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CE" w:rsidRDefault="00B541CE">
      <w:pPr>
        <w:pStyle w:val="Title"/>
      </w:pPr>
      <w:bookmarkStart w:id="0" w:name="_GoBack"/>
      <w:bookmarkEnd w:id="0"/>
      <w:r>
        <w:t>PRODUCT INFORMATION</w:t>
      </w:r>
    </w:p>
    <w:p w:rsidR="00B541CE" w:rsidRDefault="00DF2DC0">
      <w:pPr>
        <w:pStyle w:val="Subtitle"/>
      </w:pPr>
      <w:r w:rsidRPr="00DF2DC0">
        <w:t>ADCETRIS</w:t>
      </w:r>
      <w:r w:rsidR="00B541CE" w:rsidRPr="00DF2DC0">
        <w:rPr>
          <w:vertAlign w:val="superscript"/>
        </w:rPr>
        <w:t>®</w:t>
      </w:r>
    </w:p>
    <w:p w:rsidR="00B541CE" w:rsidRDefault="00B541CE">
      <w:pPr>
        <w:pStyle w:val="Heading1"/>
      </w:pPr>
      <w:r>
        <w:t>NAME OF THE MEDICINE</w:t>
      </w:r>
    </w:p>
    <w:p w:rsidR="00473FF2" w:rsidRDefault="00473FF2" w:rsidP="00473FF2">
      <w:pPr>
        <w:spacing w:after="240"/>
        <w:rPr>
          <w:rFonts w:cs="Arial"/>
        </w:rPr>
      </w:pPr>
      <w:proofErr w:type="spellStart"/>
      <w:proofErr w:type="gramStart"/>
      <w:r>
        <w:rPr>
          <w:rFonts w:cs="Arial"/>
        </w:rPr>
        <w:t>brentuximab</w:t>
      </w:r>
      <w:proofErr w:type="spellEnd"/>
      <w:proofErr w:type="gramEnd"/>
      <w:r>
        <w:rPr>
          <w:rFonts w:cs="Arial"/>
        </w:rPr>
        <w:t xml:space="preserve"> </w:t>
      </w:r>
      <w:proofErr w:type="spellStart"/>
      <w:r>
        <w:rPr>
          <w:rFonts w:cs="Arial"/>
        </w:rPr>
        <w:t>vedotin</w:t>
      </w:r>
      <w:proofErr w:type="spellEnd"/>
    </w:p>
    <w:p w:rsidR="00BF24D8" w:rsidRDefault="00BF24D8" w:rsidP="000B25F6">
      <w:pPr>
        <w:pStyle w:val="Heading2"/>
      </w:pPr>
      <w:r>
        <w:t>CAS Number</w:t>
      </w:r>
    </w:p>
    <w:p w:rsidR="00BF24D8" w:rsidRPr="00BF24D8" w:rsidRDefault="00BF24D8" w:rsidP="00BF24D8">
      <w:pPr>
        <w:spacing w:after="240"/>
        <w:rPr>
          <w:color w:val="000000"/>
          <w:szCs w:val="22"/>
        </w:rPr>
      </w:pPr>
      <w:r w:rsidRPr="00BF24D8">
        <w:rPr>
          <w:color w:val="000000"/>
          <w:szCs w:val="22"/>
        </w:rPr>
        <w:t>914088-09-8</w:t>
      </w:r>
    </w:p>
    <w:p w:rsidR="00B541CE" w:rsidRDefault="00B541CE">
      <w:pPr>
        <w:pStyle w:val="Heading1"/>
      </w:pPr>
      <w:r>
        <w:t>Description</w:t>
      </w:r>
    </w:p>
    <w:p w:rsidR="00E4144B" w:rsidRPr="002D2494" w:rsidRDefault="00E4144B" w:rsidP="00E4144B">
      <w:pPr>
        <w:spacing w:after="240"/>
        <w:rPr>
          <w:color w:val="000000"/>
          <w:szCs w:val="22"/>
        </w:rPr>
      </w:pPr>
      <w:r>
        <w:rPr>
          <w:color w:val="000000"/>
          <w:szCs w:val="22"/>
        </w:rPr>
        <w:t>ADCETRIS (</w:t>
      </w:r>
      <w:proofErr w:type="spellStart"/>
      <w:r>
        <w:rPr>
          <w:color w:val="000000"/>
          <w:szCs w:val="22"/>
        </w:rPr>
        <w:t>brentuximab</w:t>
      </w:r>
      <w:proofErr w:type="spellEnd"/>
      <w:r>
        <w:rPr>
          <w:color w:val="000000"/>
          <w:szCs w:val="22"/>
        </w:rPr>
        <w:t xml:space="preserve"> </w:t>
      </w:r>
      <w:proofErr w:type="spellStart"/>
      <w:r>
        <w:rPr>
          <w:color w:val="000000"/>
          <w:szCs w:val="22"/>
        </w:rPr>
        <w:t>vedotin</w:t>
      </w:r>
      <w:proofErr w:type="spellEnd"/>
      <w:r>
        <w:rPr>
          <w:color w:val="000000"/>
          <w:szCs w:val="22"/>
        </w:rPr>
        <w:t>) is a CD30-directed antibody-drug conjugate (ADC) consisting of three components: 1) the chimeric IgG1 antibody cAC10, specific for human CD30, 2) the microtubule disrupting agent MMAE, and 3) a protease-cleavable linker that covalently attaches MMAE to cAC10.</w:t>
      </w:r>
    </w:p>
    <w:p w:rsidR="00E4144B" w:rsidRPr="00A525A2" w:rsidRDefault="00E4144B" w:rsidP="00E4144B">
      <w:pPr>
        <w:spacing w:after="240"/>
        <w:rPr>
          <w:rFonts w:cs="Arial"/>
        </w:rPr>
      </w:pPr>
      <w:r>
        <w:rPr>
          <w:rFonts w:cs="Arial"/>
          <w:noProof/>
          <w:lang w:eastAsia="en-AU"/>
        </w:rPr>
        <w:drawing>
          <wp:inline distT="0" distB="0" distL="0" distR="0">
            <wp:extent cx="5457825" cy="1270308"/>
            <wp:effectExtent l="0" t="0" r="0" b="0"/>
            <wp:docPr id="2" name="Picture 1" descr="Structure of Adcetris (brentuximab vedo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53864" cy="1269386"/>
                    </a:xfrm>
                    <a:prstGeom prst="rect">
                      <a:avLst/>
                    </a:prstGeom>
                    <a:noFill/>
                    <a:ln w="9525">
                      <a:noFill/>
                      <a:miter lim="800000"/>
                      <a:headEnd/>
                      <a:tailEnd/>
                    </a:ln>
                  </pic:spPr>
                </pic:pic>
              </a:graphicData>
            </a:graphic>
          </wp:inline>
        </w:drawing>
      </w:r>
    </w:p>
    <w:p w:rsidR="00E4144B" w:rsidRPr="00E919E9" w:rsidRDefault="00E4144B" w:rsidP="000B25F6">
      <w:pPr>
        <w:pStyle w:val="Heading2"/>
        <w:rPr>
          <w:b w:val="0"/>
          <w:noProof/>
          <w:szCs w:val="20"/>
        </w:rPr>
      </w:pPr>
      <w:r w:rsidRPr="00E919E9">
        <w:rPr>
          <w:b w:val="0"/>
          <w:noProof/>
          <w:szCs w:val="20"/>
        </w:rPr>
        <w:t>Brentuximab vedotin has an approximate molecular weight of 153 kDa. Approximately 4 molecules of MMAE are attached to each antibody molecule. Brentuximab vedotin is produced by chemical conjugation of the antibody and small molecule components. The antibody is produced by mammalian (Chinese hamster ovary) cells, and the small molecule components are produced by chemical synthesis.</w:t>
      </w:r>
    </w:p>
    <w:p w:rsidR="00A422B6" w:rsidRDefault="00A422B6" w:rsidP="00A422B6">
      <w:pPr>
        <w:rPr>
          <w:noProof/>
        </w:rPr>
      </w:pPr>
      <w:r>
        <w:rPr>
          <w:noProof/>
        </w:rPr>
        <w:t xml:space="preserve">ADCETRIS </w:t>
      </w:r>
      <w:r w:rsidR="00102A35">
        <w:rPr>
          <w:noProof/>
        </w:rPr>
        <w:t xml:space="preserve">contains 50 mg </w:t>
      </w:r>
      <w:r w:rsidR="006B7E6C">
        <w:rPr>
          <w:noProof/>
        </w:rPr>
        <w:t>brentuximab vedotin</w:t>
      </w:r>
      <w:r>
        <w:rPr>
          <w:noProof/>
        </w:rPr>
        <w:t xml:space="preserve"> </w:t>
      </w:r>
      <w:r w:rsidR="00102A35">
        <w:rPr>
          <w:noProof/>
        </w:rPr>
        <w:t>per</w:t>
      </w:r>
      <w:r>
        <w:rPr>
          <w:noProof/>
        </w:rPr>
        <w:t xml:space="preserve"> vial. Following reconstitution with 10.5 mL sterile water for injection, a solution containing 5 mg/mL brentuximab vedotin is produced. The reconstituted product contains trehalose dihydrate, sodium citrate dihydrate, citric acid monohydrate, and polysorbate 80 and water for injection. The pH is approximately 6.6.</w:t>
      </w:r>
    </w:p>
    <w:p w:rsidR="00B541CE" w:rsidRDefault="00B541CE">
      <w:pPr>
        <w:pStyle w:val="Heading1"/>
      </w:pPr>
      <w:r>
        <w:t>Pharmacology</w:t>
      </w:r>
    </w:p>
    <w:p w:rsidR="00BE40E6" w:rsidRDefault="00301A4B" w:rsidP="00BE40E6">
      <w:pPr>
        <w:pStyle w:val="paragraph0"/>
        <w:spacing w:after="120"/>
        <w:jc w:val="both"/>
        <w:rPr>
          <w:rFonts w:ascii="Arial" w:hAnsi="Arial" w:cs="Arial"/>
          <w:sz w:val="22"/>
          <w:szCs w:val="20"/>
          <w:lang w:val="en-AU"/>
        </w:rPr>
      </w:pPr>
      <w:proofErr w:type="spellStart"/>
      <w:r w:rsidRPr="00301A4B">
        <w:rPr>
          <w:rFonts w:ascii="Arial" w:hAnsi="Arial" w:cs="Arial"/>
          <w:sz w:val="22"/>
          <w:szCs w:val="20"/>
          <w:lang w:val="en-AU"/>
        </w:rPr>
        <w:t>Brentuximab</w:t>
      </w:r>
      <w:proofErr w:type="spellEnd"/>
      <w:r w:rsidRPr="00301A4B">
        <w:rPr>
          <w:rFonts w:ascii="Arial" w:hAnsi="Arial" w:cs="Arial"/>
          <w:sz w:val="22"/>
          <w:szCs w:val="20"/>
          <w:lang w:val="en-AU"/>
        </w:rPr>
        <w:t xml:space="preserve"> </w:t>
      </w:r>
      <w:proofErr w:type="spellStart"/>
      <w:r w:rsidRPr="00301A4B">
        <w:rPr>
          <w:rFonts w:ascii="Arial" w:hAnsi="Arial" w:cs="Arial"/>
          <w:sz w:val="22"/>
          <w:szCs w:val="20"/>
          <w:lang w:val="en-AU"/>
        </w:rPr>
        <w:t>vedotin</w:t>
      </w:r>
      <w:proofErr w:type="spellEnd"/>
      <w:r w:rsidRPr="00301A4B">
        <w:rPr>
          <w:rFonts w:ascii="Arial" w:hAnsi="Arial" w:cs="Arial"/>
          <w:sz w:val="22"/>
          <w:szCs w:val="20"/>
          <w:lang w:val="en-AU"/>
        </w:rPr>
        <w:t xml:space="preserve"> is an ADC that delivers an antineoplastic agent </w:t>
      </w:r>
      <w:proofErr w:type="gramStart"/>
      <w:r w:rsidRPr="00301A4B">
        <w:rPr>
          <w:rFonts w:ascii="Arial" w:hAnsi="Arial" w:cs="Arial"/>
          <w:sz w:val="22"/>
          <w:szCs w:val="20"/>
          <w:lang w:val="en-AU"/>
        </w:rPr>
        <w:t>that results</w:t>
      </w:r>
      <w:proofErr w:type="gramEnd"/>
      <w:r w:rsidRPr="00301A4B">
        <w:rPr>
          <w:rFonts w:ascii="Arial" w:hAnsi="Arial" w:cs="Arial"/>
          <w:sz w:val="22"/>
          <w:szCs w:val="20"/>
          <w:lang w:val="en-AU"/>
        </w:rPr>
        <w:t xml:space="preserve"> in apoptotic cell death in CD30</w:t>
      </w:r>
      <w:r w:rsidR="00093A22">
        <w:rPr>
          <w:rFonts w:ascii="Arial" w:hAnsi="Arial" w:cs="Arial"/>
          <w:sz w:val="22"/>
          <w:szCs w:val="20"/>
          <w:lang w:val="en-AU"/>
        </w:rPr>
        <w:t>-</w:t>
      </w:r>
      <w:r w:rsidRPr="00301A4B">
        <w:rPr>
          <w:rFonts w:ascii="Arial" w:hAnsi="Arial" w:cs="Arial"/>
          <w:sz w:val="22"/>
          <w:szCs w:val="20"/>
          <w:lang w:val="en-AU"/>
        </w:rPr>
        <w:t>expressing tumour cells</w:t>
      </w:r>
      <w:r w:rsidR="00F224A1">
        <w:rPr>
          <w:rFonts w:ascii="Arial" w:hAnsi="Arial" w:cs="Arial"/>
          <w:sz w:val="22"/>
          <w:szCs w:val="20"/>
          <w:lang w:val="en-AU"/>
        </w:rPr>
        <w:t xml:space="preserve"> (such as </w:t>
      </w:r>
      <w:r w:rsidR="00DB73E7">
        <w:rPr>
          <w:rFonts w:ascii="Arial" w:hAnsi="Arial" w:cs="Arial"/>
          <w:sz w:val="22"/>
          <w:szCs w:val="20"/>
          <w:lang w:val="en-AU"/>
        </w:rPr>
        <w:t xml:space="preserve">classical </w:t>
      </w:r>
      <w:r w:rsidR="00F224A1">
        <w:rPr>
          <w:rFonts w:ascii="Arial" w:hAnsi="Arial" w:cs="Arial"/>
          <w:sz w:val="22"/>
          <w:szCs w:val="20"/>
          <w:lang w:val="en-AU"/>
        </w:rPr>
        <w:t>Hodgkin’s lymphoma and systemic anaplastic large cell lymphoma)</w:t>
      </w:r>
      <w:r w:rsidRPr="00301A4B">
        <w:rPr>
          <w:rFonts w:ascii="Arial" w:hAnsi="Arial" w:cs="Arial"/>
          <w:sz w:val="22"/>
          <w:szCs w:val="20"/>
          <w:lang w:val="en-AU"/>
        </w:rPr>
        <w:t xml:space="preserve">. Nonclinical data suggest that the biological activity of </w:t>
      </w:r>
      <w:proofErr w:type="spellStart"/>
      <w:r w:rsidRPr="00301A4B">
        <w:rPr>
          <w:rFonts w:ascii="Arial" w:hAnsi="Arial" w:cs="Arial"/>
          <w:sz w:val="22"/>
          <w:szCs w:val="20"/>
          <w:lang w:val="en-AU"/>
        </w:rPr>
        <w:t>brentuximab</w:t>
      </w:r>
      <w:proofErr w:type="spellEnd"/>
      <w:r w:rsidRPr="00301A4B">
        <w:rPr>
          <w:rFonts w:ascii="Arial" w:hAnsi="Arial" w:cs="Arial"/>
          <w:sz w:val="22"/>
          <w:szCs w:val="20"/>
          <w:lang w:val="en-AU"/>
        </w:rPr>
        <w:t xml:space="preserve"> </w:t>
      </w:r>
      <w:proofErr w:type="spellStart"/>
      <w:r w:rsidRPr="00301A4B">
        <w:rPr>
          <w:rFonts w:ascii="Arial" w:hAnsi="Arial" w:cs="Arial"/>
          <w:sz w:val="22"/>
          <w:szCs w:val="20"/>
          <w:lang w:val="en-AU"/>
        </w:rPr>
        <w:t>vedotin</w:t>
      </w:r>
      <w:proofErr w:type="spellEnd"/>
      <w:r w:rsidRPr="00301A4B">
        <w:rPr>
          <w:rFonts w:ascii="Arial" w:hAnsi="Arial" w:cs="Arial"/>
          <w:sz w:val="22"/>
          <w:szCs w:val="20"/>
          <w:lang w:val="en-AU"/>
        </w:rPr>
        <w:t xml:space="preserve"> results from a multi-step process. Binding of the ADC to CD30 on the cell surface initiates internalisation of the ADC</w:t>
      </w:r>
      <w:r w:rsidR="00093A22">
        <w:rPr>
          <w:rFonts w:ascii="Arial" w:hAnsi="Arial" w:cs="Arial"/>
          <w:sz w:val="22"/>
          <w:szCs w:val="20"/>
          <w:lang w:val="en-AU"/>
        </w:rPr>
        <w:t>-</w:t>
      </w:r>
      <w:r w:rsidRPr="00301A4B">
        <w:rPr>
          <w:rFonts w:ascii="Arial" w:hAnsi="Arial" w:cs="Arial"/>
          <w:sz w:val="22"/>
          <w:szCs w:val="20"/>
          <w:lang w:val="en-AU"/>
        </w:rPr>
        <w:t xml:space="preserve">CD30 complex, which then traffics to the </w:t>
      </w:r>
      <w:proofErr w:type="spellStart"/>
      <w:r w:rsidRPr="00301A4B">
        <w:rPr>
          <w:rFonts w:ascii="Arial" w:hAnsi="Arial" w:cs="Arial"/>
          <w:sz w:val="22"/>
          <w:szCs w:val="20"/>
          <w:lang w:val="en-AU"/>
        </w:rPr>
        <w:t>lysosomal</w:t>
      </w:r>
      <w:proofErr w:type="spellEnd"/>
      <w:r w:rsidRPr="00301A4B">
        <w:rPr>
          <w:rFonts w:ascii="Arial" w:hAnsi="Arial" w:cs="Arial"/>
          <w:sz w:val="22"/>
          <w:szCs w:val="20"/>
          <w:lang w:val="en-AU"/>
        </w:rPr>
        <w:t xml:space="preserve"> compartment. Within the cell, a single defined active species, MMAE, is released via </w:t>
      </w:r>
      <w:proofErr w:type="spellStart"/>
      <w:r w:rsidRPr="00301A4B">
        <w:rPr>
          <w:rFonts w:ascii="Arial" w:hAnsi="Arial" w:cs="Arial"/>
          <w:sz w:val="22"/>
          <w:szCs w:val="20"/>
          <w:lang w:val="en-AU"/>
        </w:rPr>
        <w:t>proteolytic</w:t>
      </w:r>
      <w:proofErr w:type="spellEnd"/>
      <w:r w:rsidRPr="00301A4B">
        <w:rPr>
          <w:rFonts w:ascii="Arial" w:hAnsi="Arial" w:cs="Arial"/>
          <w:sz w:val="22"/>
          <w:szCs w:val="20"/>
          <w:lang w:val="en-AU"/>
        </w:rPr>
        <w:t xml:space="preserve"> cleavage. Binding of MMAE to tubulin disrupts the microtubule network within the cell, induces cell cycle arrest and results in apoptotic death of the CD30</w:t>
      </w:r>
      <w:r w:rsidR="00093A22">
        <w:rPr>
          <w:rFonts w:ascii="Arial" w:hAnsi="Arial" w:cs="Arial"/>
          <w:sz w:val="22"/>
          <w:szCs w:val="20"/>
          <w:lang w:val="en-AU"/>
        </w:rPr>
        <w:t>-</w:t>
      </w:r>
      <w:r w:rsidRPr="00301A4B">
        <w:rPr>
          <w:rFonts w:ascii="Arial" w:hAnsi="Arial" w:cs="Arial"/>
          <w:sz w:val="22"/>
          <w:szCs w:val="20"/>
          <w:lang w:val="en-AU"/>
        </w:rPr>
        <w:t>expressing tumour cell.</w:t>
      </w:r>
    </w:p>
    <w:p w:rsidR="00223786" w:rsidRPr="00E919E9" w:rsidRDefault="00301A4B" w:rsidP="00E919E9">
      <w:pPr>
        <w:pStyle w:val="paragraph0"/>
        <w:spacing w:after="120"/>
        <w:jc w:val="both"/>
        <w:rPr>
          <w:rFonts w:ascii="Arial" w:hAnsi="Arial"/>
          <w:bCs/>
          <w:sz w:val="22"/>
          <w:szCs w:val="22"/>
          <w:lang w:val="en-AU"/>
        </w:rPr>
      </w:pPr>
      <w:r w:rsidRPr="00E919E9">
        <w:rPr>
          <w:rFonts w:ascii="Arial" w:hAnsi="Arial"/>
          <w:bCs/>
          <w:sz w:val="22"/>
          <w:szCs w:val="22"/>
          <w:lang w:val="en-AU"/>
        </w:rPr>
        <w:t xml:space="preserve">Contributions to the mechanism of action by other antibody associated functions have not been excluded. </w:t>
      </w:r>
    </w:p>
    <w:p w:rsidR="000E1C2F" w:rsidRDefault="000E1C2F" w:rsidP="000B25F6">
      <w:pPr>
        <w:pStyle w:val="Heading2"/>
      </w:pPr>
      <w:r>
        <w:t>Pharmacodynamics</w:t>
      </w:r>
    </w:p>
    <w:p w:rsidR="00EA0DE6" w:rsidRDefault="00301A4B" w:rsidP="000B25F6">
      <w:pPr>
        <w:pStyle w:val="Heading3"/>
      </w:pPr>
      <w:r w:rsidRPr="00E10A87">
        <w:t>Cardiac electrophysiology</w:t>
      </w:r>
    </w:p>
    <w:p w:rsidR="00301A4B" w:rsidRPr="00C36C6C" w:rsidRDefault="00301A4B" w:rsidP="00301A4B">
      <w:pPr>
        <w:rPr>
          <w:color w:val="000000"/>
          <w:szCs w:val="22"/>
        </w:rPr>
      </w:pPr>
      <w:r w:rsidRPr="00C36C6C">
        <w:rPr>
          <w:color w:val="000000"/>
          <w:szCs w:val="22"/>
        </w:rPr>
        <w:t>Forty-six (46) patients with CD30</w:t>
      </w:r>
      <w:r w:rsidRPr="00C36C6C">
        <w:rPr>
          <w:color w:val="000000"/>
          <w:szCs w:val="22"/>
        </w:rPr>
        <w:noBreakHyphen/>
        <w:t xml:space="preserve">expressing hematologic malignancies were evaluable of the </w:t>
      </w:r>
      <w:r w:rsidRPr="00C36C6C">
        <w:rPr>
          <w:bCs/>
          <w:szCs w:val="22"/>
        </w:rPr>
        <w:t xml:space="preserve">52 patients who received 1.8 mg/kg of </w:t>
      </w:r>
      <w:proofErr w:type="spellStart"/>
      <w:r w:rsidRPr="00C36C6C">
        <w:rPr>
          <w:color w:val="000000"/>
          <w:szCs w:val="22"/>
        </w:rPr>
        <w:t>brentuximab</w:t>
      </w:r>
      <w:proofErr w:type="spellEnd"/>
      <w:r w:rsidRPr="00C36C6C">
        <w:rPr>
          <w:color w:val="000000"/>
          <w:szCs w:val="22"/>
        </w:rPr>
        <w:t xml:space="preserve"> </w:t>
      </w:r>
      <w:proofErr w:type="spellStart"/>
      <w:r w:rsidRPr="00C36C6C">
        <w:rPr>
          <w:color w:val="000000"/>
          <w:szCs w:val="22"/>
        </w:rPr>
        <w:t>vedotin</w:t>
      </w:r>
      <w:proofErr w:type="spellEnd"/>
      <w:r w:rsidRPr="00C36C6C">
        <w:rPr>
          <w:bCs/>
          <w:szCs w:val="22"/>
        </w:rPr>
        <w:t xml:space="preserve"> every 3 weeks as part of a phase 1, </w:t>
      </w:r>
      <w:r w:rsidRPr="00C36C6C">
        <w:rPr>
          <w:bCs/>
          <w:szCs w:val="22"/>
        </w:rPr>
        <w:lastRenderedPageBreak/>
        <w:t xml:space="preserve">single-arm, </w:t>
      </w:r>
      <w:proofErr w:type="gramStart"/>
      <w:r w:rsidRPr="00C36C6C">
        <w:rPr>
          <w:bCs/>
          <w:szCs w:val="22"/>
        </w:rPr>
        <w:t>open</w:t>
      </w:r>
      <w:proofErr w:type="gramEnd"/>
      <w:r w:rsidRPr="00C36C6C">
        <w:rPr>
          <w:bCs/>
          <w:szCs w:val="22"/>
        </w:rPr>
        <w:t xml:space="preserve">-label, </w:t>
      </w:r>
      <w:proofErr w:type="spellStart"/>
      <w:r w:rsidRPr="00C36C6C">
        <w:rPr>
          <w:bCs/>
          <w:szCs w:val="22"/>
        </w:rPr>
        <w:t>multicenter</w:t>
      </w:r>
      <w:proofErr w:type="spellEnd"/>
      <w:r w:rsidRPr="00C36C6C">
        <w:rPr>
          <w:bCs/>
          <w:szCs w:val="22"/>
        </w:rPr>
        <w:t xml:space="preserve"> cardiac safety study. The primary objective was to evaluate the effect of</w:t>
      </w:r>
      <w:r w:rsidRPr="00C36C6C">
        <w:rPr>
          <w:bCs/>
        </w:rPr>
        <w:t xml:space="preserve"> </w:t>
      </w:r>
      <w:proofErr w:type="spellStart"/>
      <w:r w:rsidRPr="00C36C6C">
        <w:rPr>
          <w:bCs/>
        </w:rPr>
        <w:t>brentuximab</w:t>
      </w:r>
      <w:proofErr w:type="spellEnd"/>
      <w:r w:rsidRPr="00C36C6C">
        <w:rPr>
          <w:bCs/>
        </w:rPr>
        <w:t xml:space="preserve"> </w:t>
      </w:r>
      <w:proofErr w:type="spellStart"/>
      <w:r w:rsidRPr="00C36C6C">
        <w:rPr>
          <w:bCs/>
        </w:rPr>
        <w:t>vedotin</w:t>
      </w:r>
      <w:proofErr w:type="spellEnd"/>
      <w:r w:rsidRPr="00C36C6C">
        <w:rPr>
          <w:bCs/>
        </w:rPr>
        <w:t xml:space="preserve"> on cardiac ventricular re-polarization and the predefined primary analysis was the change in </w:t>
      </w:r>
      <w:proofErr w:type="spellStart"/>
      <w:r w:rsidRPr="00C36C6C">
        <w:rPr>
          <w:bCs/>
        </w:rPr>
        <w:t>QTc</w:t>
      </w:r>
      <w:proofErr w:type="spellEnd"/>
      <w:r w:rsidRPr="00C36C6C">
        <w:rPr>
          <w:bCs/>
        </w:rPr>
        <w:t xml:space="preserve"> from baseline to multiple time points in Cycle 1.</w:t>
      </w:r>
    </w:p>
    <w:p w:rsidR="00301A4B" w:rsidRPr="00301A4B" w:rsidRDefault="00301A4B" w:rsidP="00301A4B">
      <w:pPr>
        <w:rPr>
          <w:szCs w:val="22"/>
        </w:rPr>
      </w:pPr>
      <w:r w:rsidRPr="00C36C6C">
        <w:rPr>
          <w:color w:val="000000"/>
          <w:szCs w:val="22"/>
        </w:rPr>
        <w:t xml:space="preserve">The upper 90% confidence interval (CI) around the mean effect on </w:t>
      </w:r>
      <w:proofErr w:type="spellStart"/>
      <w:r w:rsidRPr="00C36C6C">
        <w:rPr>
          <w:color w:val="000000"/>
          <w:szCs w:val="22"/>
        </w:rPr>
        <w:t>QTc</w:t>
      </w:r>
      <w:proofErr w:type="spellEnd"/>
      <w:r w:rsidRPr="00C36C6C">
        <w:rPr>
          <w:color w:val="000000"/>
          <w:szCs w:val="22"/>
        </w:rPr>
        <w:t xml:space="preserve"> was &lt;10</w:t>
      </w:r>
      <w:r w:rsidRPr="00C36C6C">
        <w:t> </w:t>
      </w:r>
      <w:proofErr w:type="spellStart"/>
      <w:r w:rsidRPr="00C36C6C">
        <w:rPr>
          <w:color w:val="000000"/>
          <w:szCs w:val="22"/>
        </w:rPr>
        <w:t>msec</w:t>
      </w:r>
      <w:proofErr w:type="spellEnd"/>
      <w:r w:rsidRPr="00C36C6C">
        <w:rPr>
          <w:color w:val="000000"/>
          <w:szCs w:val="22"/>
        </w:rPr>
        <w:t xml:space="preserve"> at each of the Cycle 1 and Cycle 3 post-baseline time points. These data indicate the absence of clinically relevant QT prolongation due to </w:t>
      </w:r>
      <w:proofErr w:type="spellStart"/>
      <w:r w:rsidRPr="00C36C6C">
        <w:rPr>
          <w:color w:val="000000"/>
          <w:szCs w:val="22"/>
        </w:rPr>
        <w:t>brentuximab</w:t>
      </w:r>
      <w:proofErr w:type="spellEnd"/>
      <w:r w:rsidRPr="00C36C6C">
        <w:rPr>
          <w:color w:val="000000"/>
          <w:szCs w:val="22"/>
        </w:rPr>
        <w:t xml:space="preserve"> </w:t>
      </w:r>
      <w:proofErr w:type="spellStart"/>
      <w:r w:rsidRPr="00C36C6C">
        <w:rPr>
          <w:color w:val="000000"/>
          <w:szCs w:val="22"/>
        </w:rPr>
        <w:t>vedotin</w:t>
      </w:r>
      <w:proofErr w:type="spellEnd"/>
      <w:r w:rsidRPr="00C36C6C">
        <w:rPr>
          <w:color w:val="000000"/>
          <w:szCs w:val="22"/>
        </w:rPr>
        <w:t xml:space="preserve"> administered at a dose of 1.8 mg/kg every 3 weeks in patients with CD30</w:t>
      </w:r>
      <w:r w:rsidRPr="00C36C6C">
        <w:rPr>
          <w:color w:val="000000"/>
          <w:szCs w:val="22"/>
        </w:rPr>
        <w:noBreakHyphen/>
        <w:t>expressing malignancies.</w:t>
      </w:r>
    </w:p>
    <w:p w:rsidR="00B541CE" w:rsidRDefault="00B541CE" w:rsidP="000B25F6">
      <w:pPr>
        <w:pStyle w:val="Heading2"/>
      </w:pPr>
      <w:r>
        <w:t>Pharmacokinetics</w:t>
      </w:r>
    </w:p>
    <w:p w:rsidR="00AF66DC" w:rsidRPr="00AF66DC" w:rsidRDefault="00AF66DC" w:rsidP="00AF66DC">
      <w:pPr>
        <w:numPr>
          <w:ilvl w:val="12"/>
          <w:numId w:val="0"/>
        </w:numPr>
        <w:ind w:right="-2"/>
        <w:rPr>
          <w:rFonts w:cs="Arial"/>
          <w:szCs w:val="22"/>
        </w:rPr>
      </w:pPr>
      <w:r w:rsidRPr="00AF66DC">
        <w:rPr>
          <w:rFonts w:cs="Arial"/>
          <w:bCs/>
        </w:rPr>
        <w:t xml:space="preserve">The pharmacokinetics of </w:t>
      </w:r>
      <w:proofErr w:type="spellStart"/>
      <w:r w:rsidRPr="00AF66DC">
        <w:rPr>
          <w:rFonts w:cs="Arial"/>
          <w:color w:val="000000"/>
          <w:szCs w:val="22"/>
        </w:rPr>
        <w:t>brentuximab</w:t>
      </w:r>
      <w:proofErr w:type="spellEnd"/>
      <w:r w:rsidRPr="00AF66DC">
        <w:rPr>
          <w:rFonts w:cs="Arial"/>
          <w:color w:val="000000"/>
          <w:szCs w:val="22"/>
        </w:rPr>
        <w:t xml:space="preserve"> </w:t>
      </w:r>
      <w:proofErr w:type="spellStart"/>
      <w:r w:rsidRPr="00AF66DC">
        <w:rPr>
          <w:rFonts w:cs="Arial"/>
          <w:color w:val="000000"/>
          <w:szCs w:val="22"/>
        </w:rPr>
        <w:t>vedotin</w:t>
      </w:r>
      <w:proofErr w:type="spellEnd"/>
      <w:r w:rsidRPr="00AF66DC">
        <w:rPr>
          <w:rFonts w:cs="Arial"/>
          <w:bCs/>
        </w:rPr>
        <w:t xml:space="preserve"> </w:t>
      </w:r>
      <w:proofErr w:type="gramStart"/>
      <w:r w:rsidRPr="00AF66DC">
        <w:rPr>
          <w:rFonts w:cs="Arial"/>
          <w:bCs/>
        </w:rPr>
        <w:t>were</w:t>
      </w:r>
      <w:proofErr w:type="gramEnd"/>
      <w:r w:rsidRPr="00AF66DC">
        <w:rPr>
          <w:rFonts w:cs="Arial"/>
          <w:bCs/>
        </w:rPr>
        <w:t xml:space="preserve"> evaluated in phase 1 studies and in a population pharmacokinetic analysis of data from 314 patients. In all clinical trials, </w:t>
      </w:r>
      <w:proofErr w:type="spellStart"/>
      <w:r w:rsidRPr="00AF66DC">
        <w:rPr>
          <w:rFonts w:cs="Arial"/>
          <w:bCs/>
        </w:rPr>
        <w:t>brentuximab</w:t>
      </w:r>
      <w:proofErr w:type="spellEnd"/>
      <w:r w:rsidRPr="00AF66DC">
        <w:rPr>
          <w:rFonts w:cs="Arial"/>
          <w:bCs/>
        </w:rPr>
        <w:t xml:space="preserve"> </w:t>
      </w:r>
      <w:proofErr w:type="spellStart"/>
      <w:r w:rsidRPr="00AF66DC">
        <w:rPr>
          <w:rFonts w:cs="Arial"/>
          <w:bCs/>
        </w:rPr>
        <w:t>vedotin</w:t>
      </w:r>
      <w:proofErr w:type="spellEnd"/>
      <w:r w:rsidRPr="00AF66DC">
        <w:rPr>
          <w:rFonts w:cs="Arial"/>
          <w:bCs/>
        </w:rPr>
        <w:t xml:space="preserve"> was administered as an intravenous infusion. </w:t>
      </w:r>
    </w:p>
    <w:p w:rsidR="00F061C5" w:rsidRDefault="00F061C5" w:rsidP="000B25F6">
      <w:pPr>
        <w:pStyle w:val="Heading3"/>
      </w:pPr>
      <w:r>
        <w:t>Absorption</w:t>
      </w:r>
    </w:p>
    <w:p w:rsidR="00AF66DC" w:rsidRPr="00AF66DC" w:rsidRDefault="00AF66DC" w:rsidP="00AF66DC">
      <w:pPr>
        <w:pStyle w:val="Paragraph"/>
        <w:spacing w:after="60"/>
        <w:jc w:val="both"/>
        <w:rPr>
          <w:rFonts w:ascii="Arial" w:hAnsi="Arial" w:cs="Arial"/>
          <w:bCs/>
          <w:sz w:val="22"/>
          <w:szCs w:val="22"/>
          <w:lang w:val="en-GB"/>
        </w:rPr>
      </w:pPr>
      <w:r w:rsidRPr="00AF66DC">
        <w:rPr>
          <w:rFonts w:ascii="Arial" w:hAnsi="Arial" w:cs="Arial"/>
          <w:bCs/>
          <w:sz w:val="22"/>
          <w:szCs w:val="22"/>
          <w:lang w:val="en-GB"/>
        </w:rPr>
        <w:t xml:space="preserve">Maximum concentrations of </w:t>
      </w:r>
      <w:proofErr w:type="spellStart"/>
      <w:r w:rsidRPr="00AF66DC">
        <w:rPr>
          <w:rFonts w:ascii="Arial" w:hAnsi="Arial" w:cs="Arial"/>
          <w:bCs/>
          <w:sz w:val="22"/>
          <w:szCs w:val="22"/>
          <w:lang w:val="en-GB"/>
        </w:rPr>
        <w:t>brentuximab</w:t>
      </w:r>
      <w:proofErr w:type="spellEnd"/>
      <w:r w:rsidRPr="00AF66DC">
        <w:rPr>
          <w:rFonts w:ascii="Arial" w:hAnsi="Arial" w:cs="Arial"/>
          <w:bCs/>
          <w:sz w:val="22"/>
          <w:szCs w:val="22"/>
          <w:lang w:val="en-GB"/>
        </w:rPr>
        <w:t xml:space="preserve"> </w:t>
      </w:r>
      <w:proofErr w:type="spellStart"/>
      <w:r w:rsidRPr="00AF66DC">
        <w:rPr>
          <w:rFonts w:ascii="Arial" w:hAnsi="Arial" w:cs="Arial"/>
          <w:bCs/>
          <w:sz w:val="22"/>
          <w:szCs w:val="22"/>
          <w:lang w:val="en-GB"/>
        </w:rPr>
        <w:t>vedotin</w:t>
      </w:r>
      <w:proofErr w:type="spellEnd"/>
      <w:r w:rsidRPr="00AF66DC">
        <w:rPr>
          <w:rFonts w:ascii="Arial" w:hAnsi="Arial" w:cs="Arial"/>
          <w:bCs/>
          <w:sz w:val="22"/>
          <w:szCs w:val="22"/>
          <w:lang w:val="en-GB"/>
        </w:rPr>
        <w:t xml:space="preserve"> ADC were typically observed at the end of infusion or the sampling </w:t>
      </w:r>
      <w:proofErr w:type="spellStart"/>
      <w:r w:rsidRPr="00AF66DC">
        <w:rPr>
          <w:rFonts w:ascii="Arial" w:hAnsi="Arial" w:cs="Arial"/>
          <w:bCs/>
          <w:sz w:val="22"/>
          <w:szCs w:val="22"/>
          <w:lang w:val="en-GB"/>
        </w:rPr>
        <w:t>timepoint</w:t>
      </w:r>
      <w:proofErr w:type="spellEnd"/>
      <w:r w:rsidRPr="00AF66DC">
        <w:rPr>
          <w:rFonts w:ascii="Arial" w:hAnsi="Arial" w:cs="Arial"/>
          <w:bCs/>
          <w:sz w:val="22"/>
          <w:szCs w:val="22"/>
          <w:lang w:val="en-GB"/>
        </w:rPr>
        <w:t xml:space="preserve"> closest to the end of infusion. A multi</w:t>
      </w:r>
      <w:r w:rsidR="00CB38C4">
        <w:rPr>
          <w:rFonts w:ascii="Arial" w:hAnsi="Arial" w:cs="Arial"/>
          <w:bCs/>
          <w:sz w:val="22"/>
          <w:szCs w:val="22"/>
          <w:lang w:val="en-GB"/>
        </w:rPr>
        <w:t>-</w:t>
      </w:r>
      <w:r w:rsidRPr="00AF66DC">
        <w:rPr>
          <w:rFonts w:ascii="Arial" w:hAnsi="Arial" w:cs="Arial"/>
          <w:bCs/>
          <w:sz w:val="22"/>
          <w:szCs w:val="22"/>
          <w:lang w:val="en-GB"/>
        </w:rPr>
        <w:t>exponential decline in ADC serum concentrations was observed with a terminal half-life of approximately 4 to 6 days. Exposures were approximately dose proportional. Minimal to no accumulation of ADC was observed with multiple doses at the every 3</w:t>
      </w:r>
      <w:r w:rsidRPr="00AF66DC">
        <w:rPr>
          <w:rFonts w:ascii="Arial" w:hAnsi="Arial" w:cs="Arial"/>
          <w:bCs/>
          <w:sz w:val="22"/>
          <w:szCs w:val="22"/>
          <w:lang w:val="en-GB"/>
        </w:rPr>
        <w:noBreakHyphen/>
        <w:t xml:space="preserve">week schedule, consistent with the terminal half-life estimate. </w:t>
      </w:r>
      <w:proofErr w:type="gramStart"/>
      <w:r w:rsidRPr="00AF66DC">
        <w:rPr>
          <w:rFonts w:ascii="Arial" w:hAnsi="Arial" w:cs="Arial"/>
          <w:bCs/>
          <w:sz w:val="22"/>
          <w:szCs w:val="22"/>
          <w:lang w:val="en-GB"/>
        </w:rPr>
        <w:t xml:space="preserve">Typical </w:t>
      </w:r>
      <w:proofErr w:type="spellStart"/>
      <w:r w:rsidRPr="00AF66DC">
        <w:rPr>
          <w:rFonts w:ascii="Arial" w:hAnsi="Arial" w:cs="Arial"/>
          <w:bCs/>
          <w:sz w:val="22"/>
          <w:szCs w:val="22"/>
          <w:lang w:val="en-GB"/>
        </w:rPr>
        <w:t>C</w:t>
      </w:r>
      <w:r w:rsidRPr="00AF66DC">
        <w:rPr>
          <w:rFonts w:ascii="Arial" w:hAnsi="Arial" w:cs="Arial"/>
          <w:bCs/>
          <w:sz w:val="22"/>
          <w:szCs w:val="22"/>
          <w:vertAlign w:val="subscript"/>
          <w:lang w:val="en-GB"/>
        </w:rPr>
        <w:t>max</w:t>
      </w:r>
      <w:proofErr w:type="spellEnd"/>
      <w:r w:rsidRPr="00AF66DC">
        <w:rPr>
          <w:rFonts w:ascii="Arial" w:hAnsi="Arial" w:cs="Arial"/>
          <w:bCs/>
          <w:sz w:val="22"/>
          <w:szCs w:val="22"/>
          <w:lang w:val="en-GB"/>
        </w:rPr>
        <w:t xml:space="preserve"> and AUC of ADC after a single 1.8 mg/kg in a phase 1 study was approximately </w:t>
      </w:r>
      <w:r w:rsidRPr="00AF66DC">
        <w:rPr>
          <w:rFonts w:ascii="Arial" w:hAnsi="Arial" w:cs="Arial"/>
          <w:sz w:val="22"/>
          <w:szCs w:val="22"/>
          <w:lang w:val="en-GB"/>
        </w:rPr>
        <w:t>31.98 </w:t>
      </w:r>
      <w:proofErr w:type="spellStart"/>
      <w:r w:rsidRPr="00AF66DC">
        <w:rPr>
          <w:rFonts w:ascii="Arial" w:hAnsi="Arial" w:cs="Arial"/>
          <w:sz w:val="22"/>
          <w:szCs w:val="22"/>
          <w:lang w:val="en-GB"/>
        </w:rPr>
        <w:t>μg</w:t>
      </w:r>
      <w:proofErr w:type="spellEnd"/>
      <w:r w:rsidRPr="00AF66DC">
        <w:rPr>
          <w:rFonts w:ascii="Arial" w:hAnsi="Arial" w:cs="Arial"/>
          <w:sz w:val="22"/>
          <w:szCs w:val="22"/>
          <w:lang w:val="en-GB"/>
        </w:rPr>
        <w:t>/</w:t>
      </w:r>
      <w:r w:rsidR="001E3777" w:rsidRPr="00AF66DC">
        <w:rPr>
          <w:rFonts w:ascii="Arial" w:hAnsi="Arial" w:cs="Arial"/>
          <w:sz w:val="22"/>
          <w:szCs w:val="22"/>
          <w:lang w:val="en-GB"/>
        </w:rPr>
        <w:t>m</w:t>
      </w:r>
      <w:r w:rsidR="001E3777">
        <w:rPr>
          <w:rFonts w:ascii="Arial" w:hAnsi="Arial" w:cs="Arial"/>
          <w:sz w:val="22"/>
          <w:szCs w:val="22"/>
          <w:lang w:val="en-GB"/>
        </w:rPr>
        <w:t xml:space="preserve">L </w:t>
      </w:r>
      <w:r w:rsidRPr="00AF66DC">
        <w:rPr>
          <w:rFonts w:ascii="Arial" w:hAnsi="Arial" w:cs="Arial"/>
          <w:sz w:val="22"/>
          <w:szCs w:val="22"/>
          <w:lang w:val="en-GB"/>
        </w:rPr>
        <w:t>and 79.41 </w:t>
      </w:r>
      <w:proofErr w:type="spellStart"/>
      <w:r w:rsidRPr="00AF66DC">
        <w:rPr>
          <w:rFonts w:ascii="Arial" w:hAnsi="Arial" w:cs="Arial"/>
          <w:sz w:val="22"/>
          <w:szCs w:val="22"/>
          <w:lang w:val="en-GB"/>
        </w:rPr>
        <w:t>μg</w:t>
      </w:r>
      <w:proofErr w:type="spellEnd"/>
      <w:r w:rsidRPr="00AF66DC">
        <w:rPr>
          <w:rFonts w:ascii="Arial" w:hAnsi="Arial" w:cs="Arial"/>
          <w:sz w:val="22"/>
          <w:szCs w:val="22"/>
          <w:lang w:val="en-GB"/>
        </w:rPr>
        <w:t>/</w:t>
      </w:r>
      <w:r w:rsidR="001E3777" w:rsidRPr="00AF66DC">
        <w:rPr>
          <w:rFonts w:ascii="Arial" w:hAnsi="Arial" w:cs="Arial"/>
          <w:sz w:val="22"/>
          <w:szCs w:val="22"/>
          <w:lang w:val="en-GB"/>
        </w:rPr>
        <w:t>m</w:t>
      </w:r>
      <w:r w:rsidR="001E3777">
        <w:rPr>
          <w:rFonts w:ascii="Arial" w:hAnsi="Arial" w:cs="Arial"/>
          <w:sz w:val="22"/>
          <w:szCs w:val="22"/>
          <w:lang w:val="en-GB"/>
        </w:rPr>
        <w:t>L</w:t>
      </w:r>
      <w:r w:rsidR="001E3777" w:rsidRPr="00AF66DC">
        <w:rPr>
          <w:rFonts w:ascii="Arial" w:hAnsi="Arial" w:cs="Arial"/>
          <w:sz w:val="22"/>
          <w:szCs w:val="22"/>
          <w:lang w:val="en-GB"/>
        </w:rPr>
        <w:t xml:space="preserve"> </w:t>
      </w:r>
      <w:r w:rsidRPr="00AF66DC">
        <w:rPr>
          <w:rFonts w:ascii="Arial" w:hAnsi="Arial" w:cs="Arial"/>
          <w:sz w:val="22"/>
          <w:szCs w:val="22"/>
          <w:lang w:val="en-GB"/>
        </w:rPr>
        <w:t>x day respectively.</w:t>
      </w:r>
      <w:proofErr w:type="gramEnd"/>
    </w:p>
    <w:p w:rsidR="00AF66DC" w:rsidRPr="00AF66DC" w:rsidRDefault="00AF66DC" w:rsidP="00AF66DC">
      <w:pPr>
        <w:pStyle w:val="Paragraph"/>
        <w:spacing w:after="0"/>
        <w:jc w:val="both"/>
        <w:rPr>
          <w:rFonts w:ascii="Arial" w:hAnsi="Arial" w:cs="Arial"/>
          <w:color w:val="000000"/>
          <w:sz w:val="22"/>
          <w:szCs w:val="22"/>
          <w:lang w:val="en-GB"/>
        </w:rPr>
      </w:pPr>
      <w:r w:rsidRPr="00AF66DC">
        <w:rPr>
          <w:rFonts w:ascii="Arial" w:hAnsi="Arial" w:cs="Arial"/>
          <w:sz w:val="22"/>
          <w:szCs w:val="22"/>
          <w:lang w:val="en-GB"/>
        </w:rPr>
        <w:t xml:space="preserve">MMAE is the major metabolite of </w:t>
      </w:r>
      <w:proofErr w:type="spellStart"/>
      <w:r w:rsidRPr="00AF66DC">
        <w:rPr>
          <w:rFonts w:ascii="Arial" w:hAnsi="Arial" w:cs="Arial"/>
          <w:sz w:val="22"/>
          <w:szCs w:val="22"/>
          <w:lang w:val="en-GB"/>
        </w:rPr>
        <w:t>brentuximab</w:t>
      </w:r>
      <w:proofErr w:type="spellEnd"/>
      <w:r w:rsidRPr="00AF66DC">
        <w:rPr>
          <w:rFonts w:ascii="Arial" w:hAnsi="Arial" w:cs="Arial"/>
          <w:sz w:val="22"/>
          <w:szCs w:val="22"/>
          <w:lang w:val="en-GB"/>
        </w:rPr>
        <w:t xml:space="preserve"> </w:t>
      </w:r>
      <w:proofErr w:type="spellStart"/>
      <w:r w:rsidRPr="00AF66DC">
        <w:rPr>
          <w:rFonts w:ascii="Arial" w:hAnsi="Arial" w:cs="Arial"/>
          <w:sz w:val="22"/>
          <w:szCs w:val="22"/>
          <w:lang w:val="en-GB"/>
        </w:rPr>
        <w:t>vedotin</w:t>
      </w:r>
      <w:proofErr w:type="spellEnd"/>
      <w:r w:rsidRPr="00AF66DC">
        <w:rPr>
          <w:rFonts w:ascii="Arial" w:hAnsi="Arial" w:cs="Arial"/>
          <w:sz w:val="22"/>
          <w:szCs w:val="22"/>
          <w:lang w:val="en-GB"/>
        </w:rPr>
        <w:t xml:space="preserve">. </w:t>
      </w:r>
      <w:r w:rsidRPr="00AF66DC">
        <w:rPr>
          <w:rFonts w:ascii="Arial" w:hAnsi="Arial" w:cs="Arial"/>
          <w:bCs/>
          <w:sz w:val="22"/>
          <w:szCs w:val="22"/>
          <w:lang w:val="en-GB"/>
        </w:rPr>
        <w:t xml:space="preserve">Median </w:t>
      </w:r>
      <w:proofErr w:type="spellStart"/>
      <w:r w:rsidRPr="00AF66DC">
        <w:rPr>
          <w:rFonts w:ascii="Arial" w:hAnsi="Arial" w:cs="Arial"/>
          <w:bCs/>
          <w:sz w:val="22"/>
          <w:szCs w:val="22"/>
          <w:lang w:val="en-GB"/>
        </w:rPr>
        <w:t>C</w:t>
      </w:r>
      <w:r w:rsidRPr="00AF66DC">
        <w:rPr>
          <w:rFonts w:ascii="Arial" w:hAnsi="Arial" w:cs="Arial"/>
          <w:bCs/>
          <w:sz w:val="22"/>
          <w:szCs w:val="22"/>
          <w:vertAlign w:val="subscript"/>
          <w:lang w:val="en-GB"/>
        </w:rPr>
        <w:t>max</w:t>
      </w:r>
      <w:proofErr w:type="spellEnd"/>
      <w:r w:rsidRPr="00AF66DC">
        <w:rPr>
          <w:rFonts w:ascii="Arial" w:hAnsi="Arial" w:cs="Arial"/>
          <w:bCs/>
          <w:sz w:val="22"/>
          <w:szCs w:val="22"/>
          <w:lang w:val="en-GB"/>
        </w:rPr>
        <w:t xml:space="preserve">, AUC and </w:t>
      </w:r>
      <w:proofErr w:type="spellStart"/>
      <w:r w:rsidRPr="00AF66DC">
        <w:rPr>
          <w:rFonts w:ascii="Arial" w:hAnsi="Arial" w:cs="Arial"/>
          <w:bCs/>
          <w:sz w:val="22"/>
          <w:szCs w:val="22"/>
          <w:lang w:val="en-GB"/>
        </w:rPr>
        <w:t>T</w:t>
      </w:r>
      <w:r w:rsidRPr="00AF66DC">
        <w:rPr>
          <w:rFonts w:ascii="Arial" w:hAnsi="Arial" w:cs="Arial"/>
          <w:bCs/>
          <w:sz w:val="22"/>
          <w:szCs w:val="22"/>
          <w:vertAlign w:val="subscript"/>
          <w:lang w:val="en-GB"/>
        </w:rPr>
        <w:t>max</w:t>
      </w:r>
      <w:proofErr w:type="spellEnd"/>
      <w:r w:rsidRPr="00AF66DC">
        <w:rPr>
          <w:rFonts w:ascii="Arial" w:hAnsi="Arial" w:cs="Arial"/>
          <w:bCs/>
          <w:sz w:val="22"/>
          <w:szCs w:val="22"/>
          <w:lang w:val="en-GB"/>
        </w:rPr>
        <w:t xml:space="preserve"> of MMAE after a single 1.8 mg/kg of the ADC in a phase 1 study was approximately </w:t>
      </w:r>
      <w:r w:rsidRPr="00AF66DC">
        <w:rPr>
          <w:rFonts w:ascii="Arial" w:hAnsi="Arial" w:cs="Arial"/>
          <w:sz w:val="22"/>
          <w:szCs w:val="22"/>
          <w:lang w:val="en-GB"/>
        </w:rPr>
        <w:t>4.97 ng/</w:t>
      </w:r>
      <w:r w:rsidR="001E3777" w:rsidRPr="00AF66DC">
        <w:rPr>
          <w:rFonts w:ascii="Arial" w:hAnsi="Arial" w:cs="Arial"/>
          <w:sz w:val="22"/>
          <w:szCs w:val="22"/>
          <w:lang w:val="en-GB"/>
        </w:rPr>
        <w:t>m</w:t>
      </w:r>
      <w:r w:rsidR="001E3777">
        <w:rPr>
          <w:rFonts w:ascii="Arial" w:hAnsi="Arial" w:cs="Arial"/>
          <w:sz w:val="22"/>
          <w:szCs w:val="22"/>
          <w:lang w:val="en-GB"/>
        </w:rPr>
        <w:t>L</w:t>
      </w:r>
      <w:r w:rsidRPr="00AF66DC">
        <w:rPr>
          <w:rFonts w:ascii="Arial" w:hAnsi="Arial" w:cs="Arial"/>
          <w:sz w:val="22"/>
          <w:szCs w:val="22"/>
          <w:lang w:val="en-GB"/>
        </w:rPr>
        <w:t>, 37.03 ng/</w:t>
      </w:r>
      <w:r w:rsidR="001E3777" w:rsidRPr="00AF66DC">
        <w:rPr>
          <w:rFonts w:ascii="Arial" w:hAnsi="Arial" w:cs="Arial"/>
          <w:sz w:val="22"/>
          <w:szCs w:val="22"/>
          <w:lang w:val="en-GB"/>
        </w:rPr>
        <w:t>m</w:t>
      </w:r>
      <w:r w:rsidR="001E3777">
        <w:rPr>
          <w:rFonts w:ascii="Arial" w:hAnsi="Arial" w:cs="Arial"/>
          <w:sz w:val="22"/>
          <w:szCs w:val="22"/>
          <w:lang w:val="en-GB"/>
        </w:rPr>
        <w:t>L</w:t>
      </w:r>
      <w:r w:rsidR="001E3777" w:rsidRPr="00AF66DC">
        <w:rPr>
          <w:rFonts w:ascii="Arial" w:hAnsi="Arial" w:cs="Arial"/>
          <w:sz w:val="22"/>
          <w:szCs w:val="22"/>
          <w:lang w:val="en-GB"/>
        </w:rPr>
        <w:t xml:space="preserve"> </w:t>
      </w:r>
      <w:r w:rsidRPr="00AF66DC">
        <w:rPr>
          <w:rFonts w:ascii="Arial" w:hAnsi="Arial" w:cs="Arial"/>
          <w:sz w:val="22"/>
          <w:szCs w:val="22"/>
          <w:lang w:val="en-GB"/>
        </w:rPr>
        <w:t xml:space="preserve">x day and 2.09 days respectively. MMAE exposures decreased after multiple doses of </w:t>
      </w:r>
      <w:proofErr w:type="spellStart"/>
      <w:r w:rsidRPr="00AF66DC">
        <w:rPr>
          <w:rFonts w:ascii="Arial" w:hAnsi="Arial" w:cs="Arial"/>
          <w:color w:val="000000"/>
          <w:sz w:val="22"/>
          <w:szCs w:val="22"/>
          <w:lang w:val="en-GB"/>
        </w:rPr>
        <w:t>brentuximab</w:t>
      </w:r>
      <w:proofErr w:type="spellEnd"/>
      <w:r w:rsidRPr="00AF66DC">
        <w:rPr>
          <w:rFonts w:ascii="Arial" w:hAnsi="Arial" w:cs="Arial"/>
          <w:color w:val="000000"/>
          <w:sz w:val="22"/>
          <w:szCs w:val="22"/>
          <w:lang w:val="en-GB"/>
        </w:rPr>
        <w:t xml:space="preserve"> </w:t>
      </w:r>
      <w:proofErr w:type="spellStart"/>
      <w:r w:rsidRPr="00AF66DC">
        <w:rPr>
          <w:rFonts w:ascii="Arial" w:hAnsi="Arial" w:cs="Arial"/>
          <w:color w:val="000000"/>
          <w:sz w:val="22"/>
          <w:szCs w:val="22"/>
          <w:lang w:val="en-GB"/>
        </w:rPr>
        <w:t>vedotin</w:t>
      </w:r>
      <w:proofErr w:type="spellEnd"/>
      <w:r w:rsidRPr="00AF66DC">
        <w:rPr>
          <w:rFonts w:ascii="Arial" w:hAnsi="Arial" w:cs="Arial"/>
          <w:color w:val="000000"/>
          <w:sz w:val="22"/>
          <w:szCs w:val="22"/>
          <w:lang w:val="en-GB"/>
        </w:rPr>
        <w:t xml:space="preserve"> with approximately 50% to 80% of the exposure of the first dose being observed at subsequent doses. In the first cycle, higher MMAE exposure was associated with an absolute decrease in neutrophil count.</w:t>
      </w:r>
    </w:p>
    <w:p w:rsidR="00B541CE" w:rsidRDefault="00B541CE" w:rsidP="000B25F6">
      <w:pPr>
        <w:pStyle w:val="Heading3"/>
      </w:pPr>
      <w:r>
        <w:t>Distribution</w:t>
      </w:r>
    </w:p>
    <w:p w:rsidR="00AF66DC" w:rsidRPr="00AF66DC" w:rsidRDefault="00AF66DC" w:rsidP="00AF66DC">
      <w:pPr>
        <w:pStyle w:val="Paragraph"/>
        <w:spacing w:after="60"/>
        <w:jc w:val="both"/>
        <w:rPr>
          <w:rFonts w:ascii="Arial" w:hAnsi="Arial" w:cs="Arial"/>
          <w:sz w:val="22"/>
          <w:szCs w:val="22"/>
          <w:lang w:val="en-GB"/>
        </w:rPr>
      </w:pPr>
      <w:r w:rsidRPr="00AF66DC">
        <w:rPr>
          <w:rFonts w:ascii="Arial" w:hAnsi="Arial" w:cs="Arial"/>
          <w:i/>
          <w:iCs/>
          <w:sz w:val="22"/>
          <w:szCs w:val="22"/>
          <w:lang w:val="en-GB"/>
        </w:rPr>
        <w:t>In vitro</w:t>
      </w:r>
      <w:r w:rsidRPr="00AF66DC">
        <w:rPr>
          <w:rFonts w:ascii="Arial" w:hAnsi="Arial" w:cs="Arial"/>
          <w:iCs/>
          <w:sz w:val="22"/>
          <w:szCs w:val="22"/>
          <w:lang w:val="en-GB"/>
        </w:rPr>
        <w:t xml:space="preserve">, </w:t>
      </w:r>
      <w:r w:rsidRPr="00AF66DC">
        <w:rPr>
          <w:rFonts w:ascii="Arial" w:hAnsi="Arial" w:cs="Arial"/>
          <w:sz w:val="22"/>
          <w:szCs w:val="22"/>
          <w:lang w:val="en-GB"/>
        </w:rPr>
        <w:t>the binding of MMAE to human serum plasma proteins ranged from 68</w:t>
      </w:r>
      <w:r w:rsidRPr="00AF66DC">
        <w:rPr>
          <w:rFonts w:ascii="Arial" w:hAnsi="Arial" w:cs="Arial"/>
          <w:sz w:val="22"/>
          <w:szCs w:val="22"/>
          <w:lang w:val="en-GB"/>
        </w:rPr>
        <w:noBreakHyphen/>
        <w:t xml:space="preserve">82%. MMAE is not likely to displace or to be displaced by highly protein-bound medicines. </w:t>
      </w:r>
      <w:r w:rsidRPr="00AF66DC">
        <w:rPr>
          <w:rFonts w:ascii="Arial" w:hAnsi="Arial" w:cs="Arial"/>
          <w:i/>
          <w:sz w:val="22"/>
          <w:szCs w:val="22"/>
          <w:lang w:val="en-GB"/>
        </w:rPr>
        <w:t>In vitro</w:t>
      </w:r>
      <w:r w:rsidRPr="00AF66DC">
        <w:rPr>
          <w:rFonts w:ascii="Arial" w:hAnsi="Arial" w:cs="Arial"/>
          <w:sz w:val="22"/>
          <w:szCs w:val="22"/>
          <w:lang w:val="en-GB"/>
        </w:rPr>
        <w:t>, MMAE was a substrate of P-</w:t>
      </w:r>
      <w:proofErr w:type="spellStart"/>
      <w:r w:rsidRPr="00AF66DC">
        <w:rPr>
          <w:rFonts w:ascii="Arial" w:hAnsi="Arial" w:cs="Arial"/>
          <w:sz w:val="22"/>
          <w:szCs w:val="22"/>
          <w:lang w:val="en-GB"/>
        </w:rPr>
        <w:t>gp</w:t>
      </w:r>
      <w:proofErr w:type="spellEnd"/>
      <w:r w:rsidRPr="00AF66DC">
        <w:rPr>
          <w:rFonts w:ascii="Arial" w:hAnsi="Arial" w:cs="Arial"/>
          <w:sz w:val="22"/>
          <w:szCs w:val="22"/>
          <w:lang w:val="en-GB"/>
        </w:rPr>
        <w:t xml:space="preserve"> and was not an inhibitor of P-</w:t>
      </w:r>
      <w:proofErr w:type="spellStart"/>
      <w:r w:rsidRPr="00AF66DC">
        <w:rPr>
          <w:rFonts w:ascii="Arial" w:hAnsi="Arial" w:cs="Arial"/>
          <w:sz w:val="22"/>
          <w:szCs w:val="22"/>
          <w:lang w:val="en-GB"/>
        </w:rPr>
        <w:t>gp</w:t>
      </w:r>
      <w:proofErr w:type="spellEnd"/>
      <w:r w:rsidRPr="00AF66DC">
        <w:rPr>
          <w:rFonts w:ascii="Arial" w:hAnsi="Arial" w:cs="Arial"/>
          <w:sz w:val="22"/>
          <w:szCs w:val="22"/>
          <w:lang w:val="en-GB"/>
        </w:rPr>
        <w:t xml:space="preserve"> at clinical concentrations.</w:t>
      </w:r>
      <w:r>
        <w:rPr>
          <w:rFonts w:ascii="Arial" w:hAnsi="Arial" w:cs="Arial"/>
          <w:sz w:val="22"/>
          <w:szCs w:val="22"/>
          <w:lang w:val="en-GB"/>
        </w:rPr>
        <w:t xml:space="preserve"> </w:t>
      </w:r>
      <w:r w:rsidR="00375A86">
        <w:rPr>
          <w:rFonts w:ascii="Arial" w:hAnsi="Arial" w:cs="Arial"/>
          <w:sz w:val="22"/>
          <w:szCs w:val="22"/>
          <w:lang w:val="en-GB"/>
        </w:rPr>
        <w:t xml:space="preserve"> </w:t>
      </w:r>
      <w:r w:rsidRPr="00AF66DC">
        <w:rPr>
          <w:rFonts w:ascii="Arial" w:hAnsi="Arial" w:cs="Arial"/>
          <w:sz w:val="22"/>
          <w:szCs w:val="22"/>
          <w:lang w:val="en-GB"/>
        </w:rPr>
        <w:t xml:space="preserve">In humans, the mean </w:t>
      </w:r>
      <w:r w:rsidRPr="009A453B">
        <w:rPr>
          <w:rFonts w:ascii="Arial" w:hAnsi="Arial" w:cs="Arial"/>
          <w:sz w:val="22"/>
          <w:szCs w:val="22"/>
          <w:lang w:val="en-GB"/>
        </w:rPr>
        <w:t>steady state volume of distribution was approximately 6</w:t>
      </w:r>
      <w:r w:rsidRPr="009A453B">
        <w:rPr>
          <w:rFonts w:ascii="Arial" w:hAnsi="Arial" w:cs="Arial"/>
          <w:sz w:val="22"/>
          <w:szCs w:val="22"/>
          <w:lang w:val="en-GB"/>
        </w:rPr>
        <w:noBreakHyphen/>
        <w:t>10 </w:t>
      </w:r>
      <w:r w:rsidR="001E3777" w:rsidRPr="009A453B">
        <w:rPr>
          <w:rFonts w:ascii="Arial" w:hAnsi="Arial" w:cs="Arial"/>
          <w:sz w:val="22"/>
          <w:szCs w:val="22"/>
          <w:lang w:val="en-GB"/>
        </w:rPr>
        <w:t xml:space="preserve">L </w:t>
      </w:r>
      <w:r w:rsidRPr="009A453B">
        <w:rPr>
          <w:rFonts w:ascii="Arial" w:hAnsi="Arial" w:cs="Arial"/>
          <w:sz w:val="22"/>
          <w:szCs w:val="22"/>
          <w:lang w:val="en-GB"/>
        </w:rPr>
        <w:t>for ADC.</w:t>
      </w:r>
      <w:r w:rsidRPr="009A453B">
        <w:rPr>
          <w:rFonts w:ascii="Arial" w:hAnsi="Arial" w:cs="Arial"/>
          <w:bCs/>
          <w:sz w:val="22"/>
          <w:szCs w:val="22"/>
          <w:lang w:val="en-GB"/>
        </w:rPr>
        <w:t xml:space="preserve"> Based on population PK estimation the typical apparent volume of </w:t>
      </w:r>
      <w:proofErr w:type="gramStart"/>
      <w:r w:rsidRPr="009A453B">
        <w:rPr>
          <w:rFonts w:ascii="Arial" w:hAnsi="Arial" w:cs="Arial"/>
          <w:bCs/>
          <w:sz w:val="22"/>
          <w:szCs w:val="22"/>
          <w:lang w:val="en-GB"/>
        </w:rPr>
        <w:t>distribution  of</w:t>
      </w:r>
      <w:proofErr w:type="gramEnd"/>
      <w:r w:rsidRPr="009A453B">
        <w:rPr>
          <w:rFonts w:ascii="Arial" w:hAnsi="Arial" w:cs="Arial"/>
          <w:bCs/>
          <w:sz w:val="22"/>
          <w:szCs w:val="22"/>
          <w:lang w:val="en-GB"/>
        </w:rPr>
        <w:t xml:space="preserve"> MMAE</w:t>
      </w:r>
      <w:r w:rsidR="00F224A1">
        <w:rPr>
          <w:rFonts w:ascii="Arial" w:hAnsi="Arial" w:cs="Arial"/>
          <w:bCs/>
          <w:sz w:val="22"/>
          <w:szCs w:val="22"/>
          <w:lang w:val="en-GB"/>
        </w:rPr>
        <w:t xml:space="preserve"> in the central compartment was</w:t>
      </w:r>
      <w:r w:rsidRPr="009A453B">
        <w:rPr>
          <w:rFonts w:ascii="Arial" w:hAnsi="Arial" w:cs="Arial"/>
          <w:bCs/>
          <w:sz w:val="22"/>
          <w:szCs w:val="22"/>
          <w:lang w:val="en-GB"/>
        </w:rPr>
        <w:t xml:space="preserve">  7.37 </w:t>
      </w:r>
      <w:r w:rsidR="001E3777" w:rsidRPr="009A453B">
        <w:rPr>
          <w:rFonts w:ascii="Arial" w:hAnsi="Arial" w:cs="Arial"/>
          <w:bCs/>
          <w:sz w:val="22"/>
          <w:szCs w:val="22"/>
          <w:lang w:val="en-GB"/>
        </w:rPr>
        <w:t xml:space="preserve">L </w:t>
      </w:r>
      <w:r w:rsidRPr="009A453B">
        <w:rPr>
          <w:rFonts w:ascii="Arial" w:hAnsi="Arial" w:cs="Arial"/>
          <w:bCs/>
          <w:sz w:val="22"/>
          <w:szCs w:val="22"/>
          <w:lang w:val="en-GB"/>
        </w:rPr>
        <w:t xml:space="preserve">and </w:t>
      </w:r>
      <w:r w:rsidR="00F224A1">
        <w:rPr>
          <w:rFonts w:ascii="Arial" w:hAnsi="Arial" w:cs="Arial"/>
          <w:bCs/>
          <w:sz w:val="22"/>
          <w:szCs w:val="22"/>
          <w:lang w:val="en-GB"/>
        </w:rPr>
        <w:t xml:space="preserve">the typical apparent volume of distribution of MMAE in the peripheral compartment was </w:t>
      </w:r>
      <w:r w:rsidRPr="009A453B">
        <w:rPr>
          <w:rFonts w:ascii="Arial" w:hAnsi="Arial" w:cs="Arial"/>
          <w:bCs/>
          <w:sz w:val="22"/>
          <w:szCs w:val="22"/>
          <w:lang w:val="en-GB"/>
        </w:rPr>
        <w:t>36.4 </w:t>
      </w:r>
      <w:r w:rsidR="001E3777" w:rsidRPr="009A453B">
        <w:rPr>
          <w:rFonts w:ascii="Arial" w:hAnsi="Arial" w:cs="Arial"/>
          <w:bCs/>
          <w:sz w:val="22"/>
          <w:szCs w:val="22"/>
          <w:lang w:val="en-GB"/>
        </w:rPr>
        <w:t>L</w:t>
      </w:r>
      <w:r w:rsidRPr="009A453B">
        <w:rPr>
          <w:rFonts w:ascii="Arial" w:hAnsi="Arial" w:cs="Arial"/>
          <w:bCs/>
          <w:sz w:val="22"/>
          <w:szCs w:val="22"/>
          <w:lang w:val="en-GB"/>
        </w:rPr>
        <w:t>.</w:t>
      </w:r>
    </w:p>
    <w:p w:rsidR="00B541CE" w:rsidRDefault="00B541CE" w:rsidP="000B25F6">
      <w:pPr>
        <w:pStyle w:val="Heading3"/>
      </w:pPr>
      <w:r>
        <w:t>Metabolism</w:t>
      </w:r>
    </w:p>
    <w:p w:rsidR="00AF66DC" w:rsidRPr="00AF66DC" w:rsidRDefault="00AF66DC" w:rsidP="00AF66DC">
      <w:pPr>
        <w:numPr>
          <w:ilvl w:val="12"/>
          <w:numId w:val="0"/>
        </w:numPr>
        <w:ind w:right="-2"/>
      </w:pPr>
      <w:r w:rsidRPr="00C36C6C">
        <w:rPr>
          <w:bCs/>
        </w:rPr>
        <w:t xml:space="preserve">The </w:t>
      </w:r>
      <w:r w:rsidR="00253DC5">
        <w:rPr>
          <w:bCs/>
        </w:rPr>
        <w:t xml:space="preserve">antibody component of the </w:t>
      </w:r>
      <w:r w:rsidRPr="00C36C6C">
        <w:rPr>
          <w:bCs/>
        </w:rPr>
        <w:t>ADC is expected to be catabolised as a protein with component amino acids recycled or eliminated.</w:t>
      </w:r>
      <w:r>
        <w:rPr>
          <w:bCs/>
        </w:rPr>
        <w:t xml:space="preserve"> </w:t>
      </w:r>
      <w:r w:rsidRPr="00C36C6C">
        <w:rPr>
          <w:bCs/>
          <w:i/>
        </w:rPr>
        <w:t>In</w:t>
      </w:r>
      <w:r w:rsidRPr="00C36C6C">
        <w:rPr>
          <w:bCs/>
        </w:rPr>
        <w:t xml:space="preserve"> </w:t>
      </w:r>
      <w:r w:rsidRPr="00C36C6C">
        <w:rPr>
          <w:bCs/>
          <w:i/>
        </w:rPr>
        <w:t>vivo</w:t>
      </w:r>
      <w:r w:rsidRPr="00C36C6C">
        <w:rPr>
          <w:bCs/>
        </w:rPr>
        <w:t xml:space="preserve"> data in animals and humans suggest that only a small fraction of MMAE released from </w:t>
      </w:r>
      <w:proofErr w:type="spellStart"/>
      <w:r w:rsidRPr="00C36C6C">
        <w:rPr>
          <w:color w:val="000000"/>
          <w:szCs w:val="22"/>
        </w:rPr>
        <w:t>brentuximab</w:t>
      </w:r>
      <w:proofErr w:type="spellEnd"/>
      <w:r w:rsidRPr="00C36C6C">
        <w:rPr>
          <w:color w:val="000000"/>
          <w:szCs w:val="22"/>
        </w:rPr>
        <w:t xml:space="preserve"> </w:t>
      </w:r>
      <w:proofErr w:type="spellStart"/>
      <w:r w:rsidRPr="00C36C6C">
        <w:rPr>
          <w:color w:val="000000"/>
          <w:szCs w:val="22"/>
        </w:rPr>
        <w:t>vedotin</w:t>
      </w:r>
      <w:proofErr w:type="spellEnd"/>
      <w:r w:rsidRPr="00C36C6C">
        <w:rPr>
          <w:bCs/>
        </w:rPr>
        <w:t xml:space="preserve"> is metabolized. The levels of MMAE metabolites have not been measured in human plasma. At least one metabolite of MMAE has been shown to be active </w:t>
      </w:r>
      <w:r w:rsidRPr="00C36C6C">
        <w:rPr>
          <w:bCs/>
          <w:i/>
        </w:rPr>
        <w:t>in vitro.</w:t>
      </w:r>
      <w:r w:rsidRPr="00C36C6C">
        <w:rPr>
          <w:bCs/>
        </w:rPr>
        <w:t xml:space="preserve"> </w:t>
      </w:r>
      <w:r w:rsidRPr="00C36C6C">
        <w:t xml:space="preserve">MMAE is a substrate of CYP3A4 and possibly CYP2D6. </w:t>
      </w:r>
      <w:r w:rsidRPr="00C36C6C">
        <w:rPr>
          <w:bCs/>
          <w:i/>
        </w:rPr>
        <w:t>In vitro</w:t>
      </w:r>
      <w:r w:rsidRPr="00C36C6C">
        <w:rPr>
          <w:bCs/>
        </w:rPr>
        <w:t xml:space="preserve"> data indicate that the MMAE metabolism that occurs is primarily via oxidation by CYP3A4/5. </w:t>
      </w:r>
      <w:r w:rsidRPr="00C36C6C">
        <w:rPr>
          <w:bCs/>
          <w:i/>
        </w:rPr>
        <w:t>In vitro</w:t>
      </w:r>
      <w:r w:rsidRPr="00C36C6C">
        <w:rPr>
          <w:bCs/>
        </w:rPr>
        <w:t xml:space="preserve"> studies using human liver </w:t>
      </w:r>
      <w:proofErr w:type="spellStart"/>
      <w:r w:rsidRPr="00C36C6C">
        <w:rPr>
          <w:bCs/>
        </w:rPr>
        <w:t>microsomes</w:t>
      </w:r>
      <w:proofErr w:type="spellEnd"/>
      <w:r w:rsidRPr="00C36C6C">
        <w:rPr>
          <w:bCs/>
        </w:rPr>
        <w:t xml:space="preserve"> indicate that MMAE inhibits only CYP3A4/5 at concentrations much higher than was achieved during clinical application. MMAE does not inhibit other isoforms. MMAE did not induce any major CYP450 enzymes in primary cultures of human hepatocytes</w:t>
      </w:r>
    </w:p>
    <w:p w:rsidR="00B541CE" w:rsidRDefault="00A811F1" w:rsidP="000B25F6">
      <w:pPr>
        <w:pStyle w:val="Heading3"/>
      </w:pPr>
      <w:r>
        <w:t>Elimination</w:t>
      </w:r>
    </w:p>
    <w:p w:rsidR="0023592C" w:rsidRPr="00C36C6C" w:rsidRDefault="0023592C" w:rsidP="0023592C">
      <w:pPr>
        <w:numPr>
          <w:ilvl w:val="12"/>
          <w:numId w:val="0"/>
        </w:numPr>
        <w:ind w:right="-2"/>
      </w:pPr>
      <w:r w:rsidRPr="00C36C6C">
        <w:rPr>
          <w:rFonts w:cs="Arial"/>
          <w:szCs w:val="22"/>
        </w:rPr>
        <w:t xml:space="preserve">The ADC is eliminated by catabolism with a typical estimated CL and </w:t>
      </w:r>
      <w:proofErr w:type="spellStart"/>
      <w:r w:rsidRPr="00C36C6C">
        <w:rPr>
          <w:rFonts w:cs="Arial"/>
          <w:szCs w:val="22"/>
        </w:rPr>
        <w:t>half life</w:t>
      </w:r>
      <w:proofErr w:type="spellEnd"/>
      <w:r w:rsidRPr="00C36C6C">
        <w:rPr>
          <w:rFonts w:cs="Arial"/>
          <w:szCs w:val="22"/>
        </w:rPr>
        <w:t xml:space="preserve"> of 1.457 </w:t>
      </w:r>
      <w:r w:rsidR="001E3777">
        <w:rPr>
          <w:rFonts w:cs="Arial"/>
          <w:szCs w:val="22"/>
        </w:rPr>
        <w:t>L</w:t>
      </w:r>
      <w:r w:rsidRPr="00C36C6C">
        <w:rPr>
          <w:rFonts w:cs="Arial"/>
          <w:szCs w:val="22"/>
        </w:rPr>
        <w:t>/day and 4</w:t>
      </w:r>
      <w:r w:rsidRPr="00C36C6C">
        <w:rPr>
          <w:rFonts w:cs="Arial"/>
          <w:szCs w:val="22"/>
        </w:rPr>
        <w:noBreakHyphen/>
        <w:t xml:space="preserve">6 days respectively. </w:t>
      </w:r>
      <w:r w:rsidRPr="00C36C6C">
        <w:t xml:space="preserve">The elimination of MMAE was limited by its rate of release from ADC, typical apparent CL and </w:t>
      </w:r>
      <w:proofErr w:type="spellStart"/>
      <w:r w:rsidRPr="00C36C6C">
        <w:t>half life</w:t>
      </w:r>
      <w:proofErr w:type="spellEnd"/>
      <w:r w:rsidRPr="00C36C6C">
        <w:t xml:space="preserve"> of MMAE was 19.99 </w:t>
      </w:r>
      <w:r w:rsidR="001E3777">
        <w:t>L</w:t>
      </w:r>
      <w:r w:rsidRPr="00C36C6C">
        <w:t>/day and 3</w:t>
      </w:r>
      <w:r w:rsidRPr="00C36C6C">
        <w:noBreakHyphen/>
        <w:t xml:space="preserve">4 days respectively. </w:t>
      </w:r>
    </w:p>
    <w:p w:rsidR="0023592C" w:rsidRDefault="0023592C" w:rsidP="0023592C">
      <w:pPr>
        <w:numPr>
          <w:ilvl w:val="12"/>
          <w:numId w:val="0"/>
        </w:numPr>
        <w:ind w:right="-2"/>
        <w:rPr>
          <w:color w:val="000000"/>
          <w:szCs w:val="22"/>
        </w:rPr>
      </w:pPr>
      <w:r w:rsidRPr="00C36C6C">
        <w:rPr>
          <w:color w:val="000000"/>
          <w:szCs w:val="22"/>
        </w:rPr>
        <w:lastRenderedPageBreak/>
        <w:t xml:space="preserve">An excretion study was undertaken in patients who received a dose of 1.8 mg/kg of </w:t>
      </w:r>
      <w:proofErr w:type="spellStart"/>
      <w:r w:rsidRPr="00C36C6C">
        <w:rPr>
          <w:color w:val="000000"/>
          <w:szCs w:val="22"/>
        </w:rPr>
        <w:t>brentuximab</w:t>
      </w:r>
      <w:proofErr w:type="spellEnd"/>
      <w:r w:rsidRPr="00C36C6C">
        <w:rPr>
          <w:color w:val="000000"/>
          <w:szCs w:val="22"/>
        </w:rPr>
        <w:t xml:space="preserve"> </w:t>
      </w:r>
      <w:proofErr w:type="spellStart"/>
      <w:r w:rsidRPr="00C36C6C">
        <w:rPr>
          <w:color w:val="000000"/>
          <w:szCs w:val="22"/>
        </w:rPr>
        <w:t>vedotin</w:t>
      </w:r>
      <w:proofErr w:type="spellEnd"/>
      <w:r w:rsidRPr="00C36C6C">
        <w:rPr>
          <w:color w:val="000000"/>
          <w:szCs w:val="22"/>
        </w:rPr>
        <w:t xml:space="preserve">. </w:t>
      </w:r>
      <w:r w:rsidRPr="00C36C6C">
        <w:rPr>
          <w:szCs w:val="22"/>
        </w:rPr>
        <w:t xml:space="preserve">Approximately 24% of the total MMAE administered as part of the ADC during a </w:t>
      </w:r>
      <w:proofErr w:type="spellStart"/>
      <w:proofErr w:type="gramStart"/>
      <w:r w:rsidRPr="00C36C6C">
        <w:rPr>
          <w:color w:val="000000"/>
          <w:szCs w:val="22"/>
        </w:rPr>
        <w:t>brentuximab</w:t>
      </w:r>
      <w:proofErr w:type="spellEnd"/>
      <w:proofErr w:type="gramEnd"/>
      <w:r w:rsidRPr="00C36C6C">
        <w:rPr>
          <w:color w:val="000000"/>
          <w:szCs w:val="22"/>
        </w:rPr>
        <w:t xml:space="preserve"> </w:t>
      </w:r>
      <w:proofErr w:type="spellStart"/>
      <w:r w:rsidRPr="00C36C6C">
        <w:rPr>
          <w:color w:val="000000"/>
          <w:szCs w:val="22"/>
        </w:rPr>
        <w:t>vedotin</w:t>
      </w:r>
      <w:proofErr w:type="spellEnd"/>
      <w:r w:rsidRPr="00C36C6C">
        <w:rPr>
          <w:szCs w:val="22"/>
        </w:rPr>
        <w:t xml:space="preserve"> infusion was recovered in both urine and faeces over a 1</w:t>
      </w:r>
      <w:r w:rsidRPr="00C36C6C">
        <w:rPr>
          <w:szCs w:val="22"/>
        </w:rPr>
        <w:noBreakHyphen/>
        <w:t>week period. Of the recovered MMAE, a</w:t>
      </w:r>
      <w:r w:rsidRPr="00C36C6C">
        <w:rPr>
          <w:color w:val="000000"/>
          <w:szCs w:val="22"/>
        </w:rPr>
        <w:t>pproximately 72% was recovered in the faeces. A lesser amount of MMAE (28%) was excreted in the urine.</w:t>
      </w:r>
    </w:p>
    <w:p w:rsidR="0023592C" w:rsidRDefault="0023592C" w:rsidP="000B25F6">
      <w:pPr>
        <w:pStyle w:val="Heading3"/>
      </w:pPr>
      <w:r w:rsidRPr="00C36C6C">
        <w:t>Pharmacokinetics in special populations</w:t>
      </w:r>
    </w:p>
    <w:p w:rsidR="0023592C" w:rsidRPr="00C36C6C" w:rsidRDefault="0023592C" w:rsidP="0023592C">
      <w:pPr>
        <w:rPr>
          <w:bCs/>
        </w:rPr>
      </w:pPr>
      <w:r w:rsidRPr="00C36C6C">
        <w:t>Population PK analysis showed that baseline serum albumin concentration was a significant covariate of MMAE clearance. The analysis indicated that MMAE clearance was</w:t>
      </w:r>
      <w:r>
        <w:t xml:space="preserve"> 2</w:t>
      </w:r>
      <w:r>
        <w:noBreakHyphen/>
        <w:t>fold</w:t>
      </w:r>
      <w:r w:rsidRPr="00C36C6C">
        <w:t xml:space="preserve"> lower in patients with low serum albumin concentrations </w:t>
      </w:r>
      <w:r>
        <w:t>&lt;3.0 g/</w:t>
      </w:r>
      <w:proofErr w:type="spellStart"/>
      <w:r>
        <w:t>d</w:t>
      </w:r>
      <w:r w:rsidR="00B46FF1">
        <w:t>L</w:t>
      </w:r>
      <w:proofErr w:type="spellEnd"/>
      <w:r>
        <w:t xml:space="preserve"> </w:t>
      </w:r>
      <w:r w:rsidRPr="00C36C6C">
        <w:t>compared with patients with serum albumin concentrations within the normal range.</w:t>
      </w:r>
    </w:p>
    <w:p w:rsidR="0023592C" w:rsidRDefault="0023592C" w:rsidP="00A71E50">
      <w:pPr>
        <w:pStyle w:val="Heading5"/>
        <w:spacing w:before="120"/>
        <w:jc w:val="both"/>
      </w:pPr>
      <w:r w:rsidRPr="00C36C6C">
        <w:rPr>
          <w:bCs/>
        </w:rPr>
        <w:t xml:space="preserve">Hepatic </w:t>
      </w:r>
      <w:r w:rsidRPr="00C36C6C">
        <w:t>impairment</w:t>
      </w:r>
    </w:p>
    <w:p w:rsidR="00246E92" w:rsidRDefault="00246E92" w:rsidP="00A71E50">
      <w:r>
        <w:t>T</w:t>
      </w:r>
      <w:r w:rsidRPr="004B2298">
        <w:t>he liver is a major route of elimination of the unchanged active metabolite MMAE.</w:t>
      </w:r>
    </w:p>
    <w:p w:rsidR="00246E92" w:rsidRPr="00246E92" w:rsidRDefault="004B2298" w:rsidP="00A71E50">
      <w:pPr>
        <w:pStyle w:val="Heading5"/>
        <w:spacing w:before="120"/>
        <w:jc w:val="both"/>
        <w:rPr>
          <w:i w:val="0"/>
        </w:rPr>
      </w:pPr>
      <w:r w:rsidRPr="00246E92">
        <w:rPr>
          <w:i w:val="0"/>
        </w:rPr>
        <w:t xml:space="preserve">A study evaluated the PK of </w:t>
      </w:r>
      <w:proofErr w:type="spellStart"/>
      <w:r w:rsidRPr="00246E92">
        <w:rPr>
          <w:i w:val="0"/>
        </w:rPr>
        <w:t>brentuximab</w:t>
      </w:r>
      <w:proofErr w:type="spellEnd"/>
      <w:r w:rsidRPr="00246E92">
        <w:rPr>
          <w:i w:val="0"/>
        </w:rPr>
        <w:t xml:space="preserve"> </w:t>
      </w:r>
      <w:proofErr w:type="spellStart"/>
      <w:r w:rsidRPr="00246E92">
        <w:rPr>
          <w:i w:val="0"/>
        </w:rPr>
        <w:t>vedotin</w:t>
      </w:r>
      <w:proofErr w:type="spellEnd"/>
      <w:r w:rsidRPr="00246E92">
        <w:rPr>
          <w:i w:val="0"/>
        </w:rPr>
        <w:t xml:space="preserve"> and MMAE after the administration of 1.2 mg/kg of ADCETRIS to patients with mild (Child-Pugh A; n=1), moderate (Child-Pugh B; n=5) and severe (Child-Pugh C; n=1) hepatic impairment. Compared to patients with normal hepatic function, MMAE exposure increased approximately 2.3-fold in patients with hepatic impairment</w:t>
      </w:r>
      <w:r w:rsidR="00567CAF" w:rsidRPr="00246E92">
        <w:rPr>
          <w:i w:val="0"/>
        </w:rPr>
        <w:t xml:space="preserve"> (see ‘Dosage and Administration’)</w:t>
      </w:r>
      <w:r w:rsidRPr="00246E92">
        <w:rPr>
          <w:i w:val="0"/>
        </w:rPr>
        <w:t>.</w:t>
      </w:r>
    </w:p>
    <w:p w:rsidR="0023592C" w:rsidRDefault="0023592C" w:rsidP="00A71E50">
      <w:pPr>
        <w:pStyle w:val="Heading5"/>
        <w:spacing w:before="120"/>
        <w:jc w:val="both"/>
        <w:rPr>
          <w:bCs/>
        </w:rPr>
      </w:pPr>
      <w:r w:rsidRPr="0023592C">
        <w:rPr>
          <w:bCs/>
        </w:rPr>
        <w:t>Renal impairment</w:t>
      </w:r>
    </w:p>
    <w:p w:rsidR="00246E92" w:rsidRPr="00246E92" w:rsidRDefault="00246E92" w:rsidP="00A71E50">
      <w:r w:rsidRPr="004B2298">
        <w:t>The kidney is a route of excretion of the unchanged active metabolite MMAE.</w:t>
      </w:r>
    </w:p>
    <w:p w:rsidR="00246E92" w:rsidRPr="00246E92" w:rsidRDefault="00A91CAD" w:rsidP="00A71E50">
      <w:pPr>
        <w:pStyle w:val="Heading5"/>
        <w:spacing w:before="120"/>
        <w:jc w:val="both"/>
        <w:rPr>
          <w:i w:val="0"/>
        </w:rPr>
      </w:pPr>
      <w:r w:rsidRPr="00246E92">
        <w:rPr>
          <w:i w:val="0"/>
        </w:rPr>
        <w:t xml:space="preserve">A study evaluated the PK of </w:t>
      </w:r>
      <w:proofErr w:type="spellStart"/>
      <w:r w:rsidRPr="00246E92">
        <w:rPr>
          <w:i w:val="0"/>
        </w:rPr>
        <w:t>brentuximab</w:t>
      </w:r>
      <w:proofErr w:type="spellEnd"/>
      <w:r w:rsidRPr="00246E92">
        <w:rPr>
          <w:i w:val="0"/>
        </w:rPr>
        <w:t xml:space="preserve"> </w:t>
      </w:r>
      <w:proofErr w:type="spellStart"/>
      <w:r w:rsidRPr="00246E92">
        <w:rPr>
          <w:i w:val="0"/>
        </w:rPr>
        <w:t>vedotin</w:t>
      </w:r>
      <w:proofErr w:type="spellEnd"/>
      <w:r w:rsidRPr="00246E92">
        <w:rPr>
          <w:i w:val="0"/>
        </w:rPr>
        <w:t xml:space="preserve"> and MMAE after the administration of 1.2 mg/kg of ADCETRIS to patients with mild (n=4), moderate (n=3) and severe (n=3) renal impairment. Compared to patients with normal renal function, MMAE exposure increased approximately 1.9-fold in patients with severe renal impairment (creatinine clearance &lt; 30 ml/min)</w:t>
      </w:r>
      <w:r w:rsidR="00567CAF" w:rsidRPr="00246E92">
        <w:rPr>
          <w:i w:val="0"/>
        </w:rPr>
        <w:t xml:space="preserve"> (see ‘Dosage and Administration’)</w:t>
      </w:r>
      <w:r w:rsidRPr="00246E92">
        <w:rPr>
          <w:i w:val="0"/>
        </w:rPr>
        <w:t>.</w:t>
      </w:r>
    </w:p>
    <w:p w:rsidR="0023592C" w:rsidRPr="00A27D91" w:rsidRDefault="0023592C" w:rsidP="00A71E50">
      <w:pPr>
        <w:pStyle w:val="Heading5"/>
        <w:spacing w:before="120"/>
        <w:jc w:val="both"/>
        <w:rPr>
          <w:szCs w:val="22"/>
        </w:rPr>
      </w:pPr>
      <w:r w:rsidRPr="00A27D91">
        <w:rPr>
          <w:szCs w:val="22"/>
        </w:rPr>
        <w:t xml:space="preserve">Elderly patients </w:t>
      </w:r>
    </w:p>
    <w:p w:rsidR="0023592C" w:rsidRPr="00C36C6C" w:rsidRDefault="0023592C" w:rsidP="00A71E50">
      <w:pPr>
        <w:numPr>
          <w:ilvl w:val="12"/>
          <w:numId w:val="0"/>
        </w:numPr>
        <w:ind w:right="-2"/>
        <w:rPr>
          <w:rFonts w:cs="Arial"/>
          <w:szCs w:val="22"/>
        </w:rPr>
      </w:pPr>
      <w:r w:rsidRPr="00C36C6C">
        <w:rPr>
          <w:color w:val="000000"/>
        </w:rPr>
        <w:t xml:space="preserve">Clinical studies of </w:t>
      </w:r>
      <w:proofErr w:type="spellStart"/>
      <w:r w:rsidRPr="00C36C6C">
        <w:rPr>
          <w:color w:val="000000"/>
          <w:szCs w:val="22"/>
        </w:rPr>
        <w:t>brentuximab</w:t>
      </w:r>
      <w:proofErr w:type="spellEnd"/>
      <w:r w:rsidRPr="00C36C6C">
        <w:rPr>
          <w:color w:val="000000"/>
          <w:szCs w:val="22"/>
        </w:rPr>
        <w:t xml:space="preserve"> </w:t>
      </w:r>
      <w:proofErr w:type="spellStart"/>
      <w:r w:rsidRPr="00C36C6C">
        <w:rPr>
          <w:color w:val="000000"/>
          <w:szCs w:val="22"/>
        </w:rPr>
        <w:t>vedotin</w:t>
      </w:r>
      <w:proofErr w:type="spellEnd"/>
      <w:r w:rsidRPr="00C36C6C">
        <w:rPr>
          <w:color w:val="000000"/>
        </w:rPr>
        <w:t xml:space="preserve"> did not include sufficient numbers of patients aged 65 and over to determine whether they respond differently from younger patients. </w:t>
      </w:r>
    </w:p>
    <w:p w:rsidR="0023592C" w:rsidRPr="0023592C" w:rsidRDefault="0023592C" w:rsidP="00A71E50">
      <w:pPr>
        <w:pStyle w:val="Heading5"/>
        <w:spacing w:before="120"/>
        <w:jc w:val="both"/>
        <w:rPr>
          <w:bCs/>
        </w:rPr>
      </w:pPr>
      <w:r w:rsidRPr="0023592C">
        <w:rPr>
          <w:bCs/>
        </w:rPr>
        <w:t>Paediatric population</w:t>
      </w:r>
    </w:p>
    <w:p w:rsidR="0023592C" w:rsidRPr="00C36C6C" w:rsidRDefault="0023592C" w:rsidP="00A71E50">
      <w:pPr>
        <w:rPr>
          <w:color w:val="000000"/>
          <w:vertAlign w:val="superscript"/>
        </w:rPr>
      </w:pPr>
      <w:r w:rsidRPr="00C36C6C">
        <w:rPr>
          <w:bCs/>
        </w:rPr>
        <w:t xml:space="preserve">Clinical studies of </w:t>
      </w:r>
      <w:proofErr w:type="spellStart"/>
      <w:r w:rsidRPr="00C36C6C">
        <w:rPr>
          <w:color w:val="000000"/>
          <w:szCs w:val="22"/>
        </w:rPr>
        <w:t>brentuximab</w:t>
      </w:r>
      <w:proofErr w:type="spellEnd"/>
      <w:r w:rsidRPr="00C36C6C">
        <w:rPr>
          <w:color w:val="000000"/>
          <w:szCs w:val="22"/>
        </w:rPr>
        <w:t xml:space="preserve"> </w:t>
      </w:r>
      <w:proofErr w:type="spellStart"/>
      <w:r w:rsidRPr="00C36C6C">
        <w:rPr>
          <w:color w:val="000000"/>
          <w:szCs w:val="22"/>
        </w:rPr>
        <w:t>vedotin</w:t>
      </w:r>
      <w:proofErr w:type="spellEnd"/>
      <w:r w:rsidRPr="00C36C6C">
        <w:rPr>
          <w:bCs/>
        </w:rPr>
        <w:t xml:space="preserve"> did not include sufficient numbers of patients below 18 years of age to determine whether the PK profile differs from adult patients.</w:t>
      </w:r>
    </w:p>
    <w:p w:rsidR="00B541CE" w:rsidRDefault="00B541CE">
      <w:pPr>
        <w:pStyle w:val="Heading1"/>
      </w:pPr>
      <w:r>
        <w:t>Clinical Trials</w:t>
      </w:r>
    </w:p>
    <w:p w:rsidR="00E10A87" w:rsidRPr="00A84436" w:rsidRDefault="00E10A87" w:rsidP="000B25F6">
      <w:pPr>
        <w:pStyle w:val="Heading2"/>
      </w:pPr>
      <w:r w:rsidRPr="00C36C6C">
        <w:t>Hodgkin lymphoma</w:t>
      </w:r>
    </w:p>
    <w:p w:rsidR="00E10A87" w:rsidRPr="00B46FF1" w:rsidRDefault="00E10A87" w:rsidP="00A84436">
      <w:pPr>
        <w:pStyle w:val="Paragraph"/>
        <w:spacing w:after="0"/>
        <w:jc w:val="both"/>
        <w:rPr>
          <w:rFonts w:ascii="Arial" w:hAnsi="Arial"/>
          <w:color w:val="000000"/>
          <w:sz w:val="22"/>
          <w:szCs w:val="22"/>
          <w:lang w:val="en-AU"/>
        </w:rPr>
      </w:pPr>
      <w:proofErr w:type="gramStart"/>
      <w:r w:rsidRPr="00A84436">
        <w:rPr>
          <w:rFonts w:ascii="Arial" w:hAnsi="Arial"/>
          <w:color w:val="000000"/>
          <w:sz w:val="22"/>
          <w:szCs w:val="22"/>
          <w:lang w:val="en-AU"/>
        </w:rPr>
        <w:t xml:space="preserve">The efficacy and safety of </w:t>
      </w:r>
      <w:r w:rsidR="00B5187B">
        <w:rPr>
          <w:rFonts w:ascii="Arial" w:hAnsi="Arial"/>
          <w:color w:val="000000"/>
          <w:sz w:val="22"/>
          <w:szCs w:val="22"/>
          <w:lang w:val="en-AU"/>
        </w:rPr>
        <w:t>ADCETRIS</w:t>
      </w:r>
      <w:r w:rsidRPr="00A84436">
        <w:rPr>
          <w:rFonts w:ascii="Arial" w:hAnsi="Arial"/>
          <w:color w:val="000000"/>
          <w:sz w:val="22"/>
          <w:szCs w:val="22"/>
          <w:lang w:val="en-AU"/>
        </w:rPr>
        <w:t xml:space="preserve"> as a single agent was evaluated in a pivotal open-label, single-arm, </w:t>
      </w:r>
      <w:proofErr w:type="spellStart"/>
      <w:r w:rsidRPr="00A84436">
        <w:rPr>
          <w:rFonts w:ascii="Arial" w:hAnsi="Arial"/>
          <w:color w:val="000000"/>
          <w:sz w:val="22"/>
          <w:szCs w:val="22"/>
          <w:lang w:val="en-AU"/>
        </w:rPr>
        <w:t>multicenter</w:t>
      </w:r>
      <w:proofErr w:type="spellEnd"/>
      <w:r w:rsidRPr="00A84436">
        <w:rPr>
          <w:rFonts w:ascii="Arial" w:hAnsi="Arial"/>
          <w:color w:val="000000"/>
          <w:sz w:val="22"/>
          <w:szCs w:val="22"/>
          <w:lang w:val="en-AU"/>
        </w:rPr>
        <w:t xml:space="preserve"> study (study SG035-0003) in 102 patients with relapsed or refractory </w:t>
      </w:r>
      <w:r w:rsidRPr="00B46FF1">
        <w:rPr>
          <w:rFonts w:ascii="Arial" w:hAnsi="Arial"/>
          <w:color w:val="000000"/>
          <w:sz w:val="22"/>
          <w:szCs w:val="22"/>
          <w:lang w:val="en-AU"/>
        </w:rPr>
        <w:t>HL.</w:t>
      </w:r>
      <w:proofErr w:type="gramEnd"/>
      <w:r w:rsidRPr="00B46FF1">
        <w:rPr>
          <w:rFonts w:ascii="Arial" w:hAnsi="Arial"/>
          <w:color w:val="000000"/>
          <w:sz w:val="22"/>
          <w:szCs w:val="22"/>
          <w:lang w:val="en-AU"/>
        </w:rPr>
        <w:t xml:space="preserve"> See Table </w:t>
      </w:r>
      <w:r w:rsidR="00B46FF1" w:rsidRPr="00B46FF1">
        <w:rPr>
          <w:rFonts w:ascii="Arial" w:hAnsi="Arial"/>
          <w:color w:val="000000"/>
          <w:sz w:val="22"/>
          <w:szCs w:val="22"/>
          <w:lang w:val="en-AU"/>
        </w:rPr>
        <w:t xml:space="preserve">1 </w:t>
      </w:r>
      <w:r w:rsidRPr="00B46FF1">
        <w:rPr>
          <w:rFonts w:ascii="Arial" w:hAnsi="Arial"/>
          <w:color w:val="000000"/>
          <w:sz w:val="22"/>
          <w:szCs w:val="22"/>
          <w:lang w:val="en-AU"/>
        </w:rPr>
        <w:t xml:space="preserve">below for a summary of baseline patient and disease characteristics. </w:t>
      </w:r>
    </w:p>
    <w:p w:rsidR="00EA0DE6" w:rsidRPr="000B25F6" w:rsidRDefault="00E10A87" w:rsidP="000B25F6">
      <w:pPr>
        <w:pStyle w:val="Heading2"/>
      </w:pPr>
      <w:r w:rsidRPr="000B25F6">
        <w:lastRenderedPageBreak/>
        <w:t xml:space="preserve">Table </w:t>
      </w:r>
      <w:r w:rsidR="00B46FF1" w:rsidRPr="000B25F6">
        <w:t>1</w:t>
      </w:r>
      <w:r w:rsidR="00864D19">
        <w:t>:</w:t>
      </w:r>
      <w:r w:rsidR="00BE40E6" w:rsidRPr="000B25F6">
        <w:t xml:space="preserve"> </w:t>
      </w:r>
      <w:r w:rsidRPr="000B25F6">
        <w:t>Summary of baseline patient and disease characteristics in the phase 2 relapsed or refractory HL study</w:t>
      </w:r>
    </w:p>
    <w:tbl>
      <w:tblPr>
        <w:tblW w:w="8889" w:type="dxa"/>
        <w:jc w:val="center"/>
        <w:tblInd w:w="-307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6193"/>
        <w:gridCol w:w="2696"/>
      </w:tblGrid>
      <w:tr w:rsidR="00E10A87" w:rsidRPr="000B25F6" w:rsidTr="00CB38C4">
        <w:trPr>
          <w:trHeight w:val="302"/>
          <w:jc w:val="center"/>
        </w:trPr>
        <w:tc>
          <w:tcPr>
            <w:tcW w:w="6193" w:type="dxa"/>
            <w:tcBorders>
              <w:top w:val="single" w:sz="4" w:space="0" w:color="auto"/>
              <w:left w:val="single" w:sz="4" w:space="0" w:color="auto"/>
              <w:bottom w:val="single" w:sz="4" w:space="0" w:color="auto"/>
            </w:tcBorders>
          </w:tcPr>
          <w:p w:rsidR="00E10A87" w:rsidRPr="000B25F6" w:rsidRDefault="00E10A87" w:rsidP="00BE40E6">
            <w:pPr>
              <w:keepNext/>
              <w:spacing w:after="0"/>
              <w:rPr>
                <w:b/>
                <w:bCs/>
                <w:sz w:val="20"/>
              </w:rPr>
            </w:pPr>
            <w:bookmarkStart w:id="1" w:name="RANGE!A1"/>
            <w:bookmarkStart w:id="2" w:name="OLE_LINK4"/>
            <w:bookmarkStart w:id="3" w:name="OLE_LINK3" w:colFirst="1" w:colLast="1"/>
            <w:bookmarkEnd w:id="1"/>
            <w:r w:rsidRPr="000B25F6">
              <w:rPr>
                <w:b/>
                <w:bCs/>
                <w:sz w:val="20"/>
              </w:rPr>
              <w:t>Patient characteristics</w:t>
            </w:r>
          </w:p>
        </w:tc>
        <w:tc>
          <w:tcPr>
            <w:tcW w:w="2696" w:type="dxa"/>
            <w:tcBorders>
              <w:top w:val="single" w:sz="4" w:space="0" w:color="auto"/>
              <w:bottom w:val="single" w:sz="4" w:space="0" w:color="auto"/>
              <w:right w:val="single" w:sz="4" w:space="0" w:color="auto"/>
            </w:tcBorders>
          </w:tcPr>
          <w:p w:rsidR="00E10A87" w:rsidRPr="000B25F6" w:rsidRDefault="00E10A87" w:rsidP="00BE40E6">
            <w:pPr>
              <w:keepNext/>
              <w:spacing w:after="0"/>
              <w:jc w:val="center"/>
              <w:rPr>
                <w:b/>
                <w:bCs/>
                <w:sz w:val="20"/>
              </w:rPr>
            </w:pPr>
            <w:r w:rsidRPr="000B25F6">
              <w:rPr>
                <w:b/>
                <w:bCs/>
                <w:sz w:val="20"/>
              </w:rPr>
              <w:t>N =102</w:t>
            </w:r>
          </w:p>
        </w:tc>
      </w:tr>
      <w:tr w:rsidR="00E10A87" w:rsidRPr="000B25F6" w:rsidTr="00CB38C4">
        <w:trPr>
          <w:trHeight w:val="270"/>
          <w:jc w:val="center"/>
        </w:trPr>
        <w:tc>
          <w:tcPr>
            <w:tcW w:w="6193" w:type="dxa"/>
            <w:tcBorders>
              <w:top w:val="single" w:sz="4" w:space="0" w:color="auto"/>
              <w:left w:val="single" w:sz="4" w:space="0" w:color="auto"/>
              <w:bottom w:val="single" w:sz="2" w:space="0" w:color="FFFFFF"/>
            </w:tcBorders>
          </w:tcPr>
          <w:p w:rsidR="00E10A87" w:rsidRPr="000B25F6" w:rsidRDefault="00E10A87" w:rsidP="00BE40E6">
            <w:pPr>
              <w:keepNext/>
              <w:spacing w:after="0"/>
              <w:ind w:left="62" w:firstLine="110"/>
              <w:rPr>
                <w:sz w:val="20"/>
              </w:rPr>
            </w:pPr>
            <w:r w:rsidRPr="000B25F6">
              <w:rPr>
                <w:sz w:val="20"/>
              </w:rPr>
              <w:t xml:space="preserve">Median age, </w:t>
            </w:r>
            <w:proofErr w:type="spellStart"/>
            <w:r w:rsidRPr="000B25F6">
              <w:rPr>
                <w:sz w:val="20"/>
              </w:rPr>
              <w:t>yrs</w:t>
            </w:r>
            <w:proofErr w:type="spellEnd"/>
            <w:r w:rsidRPr="000B25F6">
              <w:rPr>
                <w:sz w:val="20"/>
              </w:rPr>
              <w:t xml:space="preserve"> (range)</w:t>
            </w:r>
          </w:p>
        </w:tc>
        <w:tc>
          <w:tcPr>
            <w:tcW w:w="2696" w:type="dxa"/>
            <w:tcBorders>
              <w:top w:val="single" w:sz="4" w:space="0" w:color="auto"/>
              <w:bottom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31 years (15</w:t>
            </w:r>
            <w:r w:rsidRPr="000B25F6">
              <w:rPr>
                <w:sz w:val="20"/>
              </w:rPr>
              <w:noBreakHyphen/>
              <w:t>77)</w:t>
            </w:r>
          </w:p>
        </w:tc>
      </w:tr>
      <w:tr w:rsidR="00E10A87" w:rsidRPr="000B25F6" w:rsidTr="00CB38C4">
        <w:trPr>
          <w:trHeight w:val="270"/>
          <w:jc w:val="center"/>
        </w:trPr>
        <w:tc>
          <w:tcPr>
            <w:tcW w:w="6193" w:type="dxa"/>
            <w:tcBorders>
              <w:top w:val="single" w:sz="2" w:space="0" w:color="FFFFFF"/>
              <w:left w:val="single" w:sz="4" w:space="0" w:color="auto"/>
              <w:bottom w:val="single" w:sz="2" w:space="0" w:color="FFFFFF"/>
            </w:tcBorders>
          </w:tcPr>
          <w:p w:rsidR="00E10A87" w:rsidRPr="000B25F6" w:rsidRDefault="00E10A87" w:rsidP="00BE40E6">
            <w:pPr>
              <w:keepNext/>
              <w:spacing w:after="0"/>
              <w:ind w:firstLine="172"/>
              <w:rPr>
                <w:sz w:val="20"/>
              </w:rPr>
            </w:pPr>
            <w:r w:rsidRPr="000B25F6">
              <w:rPr>
                <w:sz w:val="20"/>
              </w:rPr>
              <w:t>Gender</w:t>
            </w:r>
          </w:p>
        </w:tc>
        <w:tc>
          <w:tcPr>
            <w:tcW w:w="2696" w:type="dxa"/>
            <w:tcBorders>
              <w:top w:val="single" w:sz="2" w:space="0" w:color="FFFFFF"/>
              <w:bottom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48M (47%)/54F (53%)</w:t>
            </w:r>
          </w:p>
        </w:tc>
      </w:tr>
      <w:tr w:rsidR="00E10A87" w:rsidRPr="000B25F6" w:rsidTr="00CB38C4">
        <w:trPr>
          <w:trHeight w:val="255"/>
          <w:jc w:val="center"/>
        </w:trPr>
        <w:tc>
          <w:tcPr>
            <w:tcW w:w="6193" w:type="dxa"/>
            <w:tcBorders>
              <w:top w:val="single" w:sz="2" w:space="0" w:color="FFFFFF"/>
              <w:left w:val="single" w:sz="4" w:space="0" w:color="auto"/>
            </w:tcBorders>
          </w:tcPr>
          <w:p w:rsidR="00E10A87" w:rsidRPr="000B25F6" w:rsidRDefault="00E10A87" w:rsidP="00BE40E6">
            <w:pPr>
              <w:keepNext/>
              <w:spacing w:after="0"/>
              <w:ind w:firstLine="172"/>
              <w:rPr>
                <w:sz w:val="20"/>
              </w:rPr>
            </w:pPr>
            <w:r w:rsidRPr="000B25F6">
              <w:rPr>
                <w:sz w:val="20"/>
              </w:rPr>
              <w:t>ECOG status</w:t>
            </w:r>
          </w:p>
        </w:tc>
        <w:tc>
          <w:tcPr>
            <w:tcW w:w="2696" w:type="dxa"/>
            <w:tcBorders>
              <w:top w:val="single" w:sz="2" w:space="0" w:color="FFFFFF"/>
              <w:right w:val="single" w:sz="4" w:space="0" w:color="auto"/>
            </w:tcBorders>
          </w:tcPr>
          <w:p w:rsidR="00E10A87" w:rsidRPr="000B25F6" w:rsidRDefault="00E10A87" w:rsidP="00BE40E6">
            <w:pPr>
              <w:keepNext/>
              <w:spacing w:after="0"/>
              <w:jc w:val="center"/>
              <w:rPr>
                <w:sz w:val="20"/>
              </w:rPr>
            </w:pPr>
          </w:p>
        </w:tc>
      </w:tr>
      <w:tr w:rsidR="00E10A87" w:rsidRPr="000B25F6" w:rsidTr="00CB38C4">
        <w:trPr>
          <w:trHeight w:val="255"/>
          <w:jc w:val="center"/>
        </w:trPr>
        <w:tc>
          <w:tcPr>
            <w:tcW w:w="6193" w:type="dxa"/>
            <w:tcBorders>
              <w:left w:val="single" w:sz="4" w:space="0" w:color="auto"/>
            </w:tcBorders>
          </w:tcPr>
          <w:p w:rsidR="00E10A87" w:rsidRPr="000B25F6" w:rsidRDefault="00E10A87" w:rsidP="00BE40E6">
            <w:pPr>
              <w:keepNext/>
              <w:spacing w:after="0"/>
              <w:ind w:left="392"/>
              <w:rPr>
                <w:sz w:val="20"/>
              </w:rPr>
            </w:pPr>
            <w:r w:rsidRPr="000B25F6">
              <w:rPr>
                <w:sz w:val="20"/>
              </w:rPr>
              <w:t>0</w:t>
            </w:r>
          </w:p>
        </w:tc>
        <w:tc>
          <w:tcPr>
            <w:tcW w:w="2696" w:type="dxa"/>
            <w:tcBorders>
              <w:right w:val="single" w:sz="4" w:space="0" w:color="auto"/>
            </w:tcBorders>
          </w:tcPr>
          <w:p w:rsidR="00E10A87" w:rsidRPr="000B25F6" w:rsidRDefault="00E10A87" w:rsidP="00BE40E6">
            <w:pPr>
              <w:keepNext/>
              <w:spacing w:after="0"/>
              <w:jc w:val="center"/>
              <w:rPr>
                <w:sz w:val="20"/>
              </w:rPr>
            </w:pPr>
            <w:r w:rsidRPr="000B25F6">
              <w:rPr>
                <w:sz w:val="20"/>
              </w:rPr>
              <w:t>42 (41%)</w:t>
            </w:r>
          </w:p>
        </w:tc>
      </w:tr>
      <w:tr w:rsidR="00E10A87" w:rsidRPr="000B25F6" w:rsidTr="00CB38C4">
        <w:trPr>
          <w:trHeight w:val="113"/>
          <w:jc w:val="center"/>
        </w:trPr>
        <w:tc>
          <w:tcPr>
            <w:tcW w:w="6193" w:type="dxa"/>
            <w:tcBorders>
              <w:left w:val="single" w:sz="4" w:space="0" w:color="auto"/>
              <w:bottom w:val="single" w:sz="8" w:space="0" w:color="FFFFFF"/>
            </w:tcBorders>
          </w:tcPr>
          <w:p w:rsidR="00E10A87" w:rsidRPr="000B25F6" w:rsidRDefault="00E10A87" w:rsidP="00BE40E6">
            <w:pPr>
              <w:keepNext/>
              <w:spacing w:after="0"/>
              <w:ind w:left="392"/>
              <w:rPr>
                <w:sz w:val="20"/>
              </w:rPr>
            </w:pPr>
            <w:r w:rsidRPr="000B25F6">
              <w:rPr>
                <w:sz w:val="20"/>
              </w:rPr>
              <w:t>1</w:t>
            </w:r>
          </w:p>
        </w:tc>
        <w:tc>
          <w:tcPr>
            <w:tcW w:w="2696" w:type="dxa"/>
            <w:tcBorders>
              <w:right w:val="single" w:sz="4" w:space="0" w:color="auto"/>
            </w:tcBorders>
          </w:tcPr>
          <w:p w:rsidR="00E10A87" w:rsidRPr="000B25F6" w:rsidRDefault="00E10A87" w:rsidP="00BE40E6">
            <w:pPr>
              <w:keepNext/>
              <w:spacing w:after="0"/>
              <w:jc w:val="center"/>
              <w:rPr>
                <w:sz w:val="20"/>
              </w:rPr>
            </w:pPr>
            <w:r w:rsidRPr="000B25F6">
              <w:rPr>
                <w:sz w:val="20"/>
              </w:rPr>
              <w:t>60 (59%)</w:t>
            </w:r>
          </w:p>
        </w:tc>
      </w:tr>
      <w:bookmarkEnd w:id="2"/>
      <w:tr w:rsidR="00E10A87" w:rsidRPr="000B25F6" w:rsidTr="00CB38C4">
        <w:trPr>
          <w:trHeight w:val="113"/>
          <w:jc w:val="center"/>
        </w:trPr>
        <w:tc>
          <w:tcPr>
            <w:tcW w:w="6193" w:type="dxa"/>
            <w:tcBorders>
              <w:top w:val="single" w:sz="8" w:space="0" w:color="FFFFFF"/>
              <w:left w:val="single" w:sz="4" w:space="0" w:color="auto"/>
              <w:bottom w:val="single" w:sz="8" w:space="0" w:color="FFFFFF"/>
            </w:tcBorders>
          </w:tcPr>
          <w:p w:rsidR="00E10A87" w:rsidRPr="000B25F6" w:rsidRDefault="00E10A87" w:rsidP="00BE40E6">
            <w:pPr>
              <w:keepNext/>
              <w:spacing w:after="0"/>
              <w:ind w:left="392" w:hanging="216"/>
              <w:rPr>
                <w:sz w:val="20"/>
              </w:rPr>
            </w:pPr>
            <w:r w:rsidRPr="000B25F6">
              <w:rPr>
                <w:bCs/>
                <w:sz w:val="20"/>
              </w:rPr>
              <w:t>Prior Autologous Stem Cell Transplant (ASCT)</w:t>
            </w:r>
          </w:p>
        </w:tc>
        <w:tc>
          <w:tcPr>
            <w:tcW w:w="2696" w:type="dxa"/>
            <w:tcBorders>
              <w:bottom w:val="single" w:sz="8" w:space="0" w:color="FFFFFF"/>
              <w:right w:val="single" w:sz="4" w:space="0" w:color="auto"/>
            </w:tcBorders>
          </w:tcPr>
          <w:p w:rsidR="00E10A87" w:rsidRPr="000B25F6" w:rsidRDefault="00E10A87" w:rsidP="00BE40E6">
            <w:pPr>
              <w:keepNext/>
              <w:spacing w:after="0"/>
              <w:jc w:val="center"/>
              <w:rPr>
                <w:sz w:val="20"/>
              </w:rPr>
            </w:pPr>
            <w:r w:rsidRPr="000B25F6">
              <w:rPr>
                <w:sz w:val="20"/>
              </w:rPr>
              <w:t>102 (100%)</w:t>
            </w:r>
          </w:p>
        </w:tc>
      </w:tr>
      <w:tr w:rsidR="00E10A87" w:rsidRPr="000B25F6" w:rsidTr="00CB38C4">
        <w:trPr>
          <w:trHeight w:val="113"/>
          <w:jc w:val="center"/>
        </w:trPr>
        <w:tc>
          <w:tcPr>
            <w:tcW w:w="6193" w:type="dxa"/>
            <w:tcBorders>
              <w:top w:val="single" w:sz="8" w:space="0" w:color="FFFFFF"/>
              <w:left w:val="single" w:sz="4" w:space="0" w:color="auto"/>
              <w:bottom w:val="single" w:sz="8" w:space="0" w:color="FFFFFF"/>
            </w:tcBorders>
          </w:tcPr>
          <w:p w:rsidR="00E10A87" w:rsidRPr="000B25F6" w:rsidRDefault="00E10A87" w:rsidP="00BE40E6">
            <w:pPr>
              <w:keepNext/>
              <w:spacing w:after="0"/>
              <w:ind w:left="392" w:hanging="216"/>
              <w:rPr>
                <w:sz w:val="20"/>
              </w:rPr>
            </w:pPr>
            <w:r w:rsidRPr="000B25F6">
              <w:rPr>
                <w:sz w:val="20"/>
              </w:rPr>
              <w:t>Prior chemotherapy Regimens</w:t>
            </w:r>
          </w:p>
        </w:tc>
        <w:tc>
          <w:tcPr>
            <w:tcW w:w="2696" w:type="dxa"/>
            <w:tcBorders>
              <w:top w:val="single" w:sz="8" w:space="0" w:color="FFFFFF"/>
              <w:bottom w:val="single" w:sz="8" w:space="0" w:color="FFFFFF"/>
              <w:right w:val="single" w:sz="4" w:space="0" w:color="auto"/>
            </w:tcBorders>
          </w:tcPr>
          <w:p w:rsidR="00E10A87" w:rsidRPr="000B25F6" w:rsidRDefault="00E10A87" w:rsidP="00BE40E6">
            <w:pPr>
              <w:keepNext/>
              <w:spacing w:after="0"/>
              <w:jc w:val="center"/>
              <w:rPr>
                <w:sz w:val="20"/>
              </w:rPr>
            </w:pPr>
            <w:r w:rsidRPr="000B25F6">
              <w:rPr>
                <w:sz w:val="20"/>
              </w:rPr>
              <w:t>3.5 (1-13)</w:t>
            </w:r>
          </w:p>
        </w:tc>
      </w:tr>
      <w:tr w:rsidR="00E10A87" w:rsidRPr="000B25F6" w:rsidTr="00CB38C4">
        <w:trPr>
          <w:trHeight w:val="128"/>
          <w:jc w:val="center"/>
        </w:trPr>
        <w:tc>
          <w:tcPr>
            <w:tcW w:w="6193" w:type="dxa"/>
            <w:tcBorders>
              <w:top w:val="single" w:sz="8" w:space="0" w:color="FFFFFF"/>
              <w:left w:val="single" w:sz="4" w:space="0" w:color="auto"/>
              <w:bottom w:val="single" w:sz="4" w:space="0" w:color="FFFFFF"/>
            </w:tcBorders>
          </w:tcPr>
          <w:p w:rsidR="00E10A87" w:rsidRPr="000B25F6" w:rsidRDefault="00E10A87" w:rsidP="00BE40E6">
            <w:pPr>
              <w:keepNext/>
              <w:spacing w:after="0"/>
              <w:ind w:left="392" w:hanging="216"/>
              <w:rPr>
                <w:sz w:val="20"/>
              </w:rPr>
            </w:pPr>
            <w:r w:rsidRPr="000B25F6">
              <w:rPr>
                <w:sz w:val="20"/>
              </w:rPr>
              <w:t>Time from ASCT to first post-transplant relapse</w:t>
            </w:r>
          </w:p>
        </w:tc>
        <w:tc>
          <w:tcPr>
            <w:tcW w:w="2696" w:type="dxa"/>
            <w:tcBorders>
              <w:top w:val="single" w:sz="8" w:space="0" w:color="FFFFFF"/>
              <w:right w:val="single" w:sz="4" w:space="0" w:color="auto"/>
            </w:tcBorders>
          </w:tcPr>
          <w:p w:rsidR="00E10A87" w:rsidRPr="000B25F6" w:rsidRDefault="00E10A87" w:rsidP="00BE40E6">
            <w:pPr>
              <w:keepNext/>
              <w:spacing w:after="0"/>
              <w:jc w:val="center"/>
              <w:rPr>
                <w:sz w:val="20"/>
              </w:rPr>
            </w:pPr>
            <w:r w:rsidRPr="000B25F6">
              <w:rPr>
                <w:sz w:val="20"/>
              </w:rPr>
              <w:t xml:space="preserve">6.7 </w:t>
            </w:r>
            <w:proofErr w:type="spellStart"/>
            <w:r w:rsidRPr="000B25F6">
              <w:rPr>
                <w:sz w:val="20"/>
              </w:rPr>
              <w:t>mo</w:t>
            </w:r>
            <w:proofErr w:type="spellEnd"/>
            <w:r w:rsidRPr="000B25F6">
              <w:rPr>
                <w:sz w:val="20"/>
              </w:rPr>
              <w:t xml:space="preserve"> (0-131)</w:t>
            </w:r>
          </w:p>
        </w:tc>
      </w:tr>
      <w:tr w:rsidR="00E10A87" w:rsidRPr="000B25F6" w:rsidTr="00CB38C4">
        <w:trPr>
          <w:trHeight w:val="127"/>
          <w:jc w:val="center"/>
        </w:trPr>
        <w:tc>
          <w:tcPr>
            <w:tcW w:w="6193" w:type="dxa"/>
            <w:tcBorders>
              <w:top w:val="single" w:sz="4" w:space="0" w:color="FFFFFF"/>
              <w:left w:val="single" w:sz="4" w:space="0" w:color="auto"/>
              <w:bottom w:val="single" w:sz="4" w:space="0" w:color="auto"/>
            </w:tcBorders>
          </w:tcPr>
          <w:p w:rsidR="00E10A87" w:rsidRPr="000B25F6" w:rsidRDefault="00E10A87" w:rsidP="00BE40E6">
            <w:pPr>
              <w:keepNext/>
              <w:spacing w:after="0"/>
              <w:ind w:left="392" w:hanging="216"/>
              <w:rPr>
                <w:sz w:val="20"/>
              </w:rPr>
            </w:pPr>
            <w:r w:rsidRPr="000B25F6">
              <w:rPr>
                <w:sz w:val="20"/>
              </w:rPr>
              <w:t>Histologically confirmed CD30-expressing disease</w:t>
            </w:r>
          </w:p>
        </w:tc>
        <w:tc>
          <w:tcPr>
            <w:tcW w:w="2696" w:type="dxa"/>
            <w:tcBorders>
              <w:bottom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102 (100%)</w:t>
            </w:r>
          </w:p>
        </w:tc>
      </w:tr>
      <w:tr w:rsidR="00E10A87" w:rsidRPr="000B25F6" w:rsidTr="00CB38C4">
        <w:trPr>
          <w:trHeight w:val="302"/>
          <w:jc w:val="center"/>
        </w:trPr>
        <w:tc>
          <w:tcPr>
            <w:tcW w:w="6193" w:type="dxa"/>
            <w:tcBorders>
              <w:top w:val="single" w:sz="4" w:space="0" w:color="auto"/>
              <w:left w:val="single" w:sz="4" w:space="0" w:color="auto"/>
              <w:bottom w:val="single" w:sz="4" w:space="0" w:color="auto"/>
            </w:tcBorders>
          </w:tcPr>
          <w:p w:rsidR="00E10A87" w:rsidRPr="000B25F6" w:rsidRDefault="00E10A87" w:rsidP="00BE40E6">
            <w:pPr>
              <w:keepNext/>
              <w:spacing w:after="0"/>
              <w:ind w:left="389" w:hanging="389"/>
              <w:rPr>
                <w:b/>
                <w:sz w:val="20"/>
              </w:rPr>
            </w:pPr>
            <w:r w:rsidRPr="000B25F6">
              <w:rPr>
                <w:b/>
                <w:sz w:val="20"/>
              </w:rPr>
              <w:t>Disease characteristics</w:t>
            </w:r>
          </w:p>
        </w:tc>
        <w:tc>
          <w:tcPr>
            <w:tcW w:w="2696" w:type="dxa"/>
            <w:tcBorders>
              <w:top w:val="single" w:sz="4" w:space="0" w:color="auto"/>
              <w:bottom w:val="single" w:sz="4" w:space="0" w:color="auto"/>
              <w:right w:val="single" w:sz="4" w:space="0" w:color="auto"/>
            </w:tcBorders>
          </w:tcPr>
          <w:p w:rsidR="00E10A87" w:rsidRPr="000B25F6" w:rsidRDefault="00E10A87" w:rsidP="00BE40E6">
            <w:pPr>
              <w:keepNext/>
              <w:spacing w:after="0"/>
              <w:jc w:val="center"/>
              <w:rPr>
                <w:b/>
                <w:sz w:val="20"/>
              </w:rPr>
            </w:pPr>
          </w:p>
        </w:tc>
      </w:tr>
      <w:tr w:rsidR="00E10A87" w:rsidRPr="000B25F6" w:rsidTr="00CB38C4">
        <w:trPr>
          <w:trHeight w:val="160"/>
          <w:jc w:val="center"/>
        </w:trPr>
        <w:tc>
          <w:tcPr>
            <w:tcW w:w="6193" w:type="dxa"/>
            <w:tcBorders>
              <w:top w:val="single" w:sz="4" w:space="0" w:color="auto"/>
              <w:left w:val="single" w:sz="4" w:space="0" w:color="auto"/>
            </w:tcBorders>
          </w:tcPr>
          <w:p w:rsidR="00E10A87" w:rsidRPr="000B25F6" w:rsidRDefault="00E10A87" w:rsidP="00BE40E6">
            <w:pPr>
              <w:keepNext/>
              <w:spacing w:after="0"/>
              <w:ind w:left="172"/>
              <w:rPr>
                <w:sz w:val="20"/>
              </w:rPr>
            </w:pPr>
            <w:r w:rsidRPr="000B25F6">
              <w:rPr>
                <w:sz w:val="20"/>
              </w:rPr>
              <w:t xml:space="preserve">Primary Refractory to frontline </w:t>
            </w:r>
            <w:proofErr w:type="spellStart"/>
            <w:r w:rsidRPr="000B25F6">
              <w:rPr>
                <w:sz w:val="20"/>
              </w:rPr>
              <w:t>therapy</w:t>
            </w:r>
            <w:r w:rsidRPr="000B25F6">
              <w:rPr>
                <w:sz w:val="20"/>
                <w:vertAlign w:val="superscript"/>
              </w:rPr>
              <w:t>a</w:t>
            </w:r>
            <w:proofErr w:type="spellEnd"/>
          </w:p>
        </w:tc>
        <w:tc>
          <w:tcPr>
            <w:tcW w:w="2696" w:type="dxa"/>
            <w:tcBorders>
              <w:top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72 (71%)</w:t>
            </w:r>
          </w:p>
        </w:tc>
      </w:tr>
      <w:tr w:rsidR="00E10A87" w:rsidRPr="000B25F6" w:rsidTr="00CB38C4">
        <w:trPr>
          <w:trHeight w:val="143"/>
          <w:jc w:val="center"/>
        </w:trPr>
        <w:tc>
          <w:tcPr>
            <w:tcW w:w="6193"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Refractory to most recent therapy</w:t>
            </w:r>
          </w:p>
        </w:tc>
        <w:tc>
          <w:tcPr>
            <w:tcW w:w="2696" w:type="dxa"/>
            <w:tcBorders>
              <w:top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43 (42%)</w:t>
            </w:r>
          </w:p>
        </w:tc>
      </w:tr>
      <w:tr w:rsidR="00E10A87" w:rsidRPr="000B25F6" w:rsidTr="00CB38C4">
        <w:trPr>
          <w:trHeight w:val="128"/>
          <w:jc w:val="center"/>
        </w:trPr>
        <w:tc>
          <w:tcPr>
            <w:tcW w:w="6193"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Baseline B symptoms</w:t>
            </w:r>
          </w:p>
        </w:tc>
        <w:tc>
          <w:tcPr>
            <w:tcW w:w="2696" w:type="dxa"/>
            <w:tcBorders>
              <w:right w:val="single" w:sz="4" w:space="0" w:color="auto"/>
            </w:tcBorders>
          </w:tcPr>
          <w:p w:rsidR="00E10A87" w:rsidRPr="000B25F6" w:rsidRDefault="00E10A87" w:rsidP="00BE40E6">
            <w:pPr>
              <w:keepNext/>
              <w:spacing w:after="0"/>
              <w:jc w:val="center"/>
              <w:rPr>
                <w:sz w:val="20"/>
              </w:rPr>
            </w:pPr>
            <w:r w:rsidRPr="000B25F6">
              <w:rPr>
                <w:sz w:val="20"/>
              </w:rPr>
              <w:t>35 (33%)</w:t>
            </w:r>
          </w:p>
        </w:tc>
      </w:tr>
      <w:tr w:rsidR="00E10A87" w:rsidRPr="000B25F6" w:rsidTr="00CB38C4">
        <w:trPr>
          <w:trHeight w:val="127"/>
          <w:jc w:val="center"/>
        </w:trPr>
        <w:tc>
          <w:tcPr>
            <w:tcW w:w="6193"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Stage III at initial diagnosis</w:t>
            </w:r>
          </w:p>
        </w:tc>
        <w:tc>
          <w:tcPr>
            <w:tcW w:w="2696" w:type="dxa"/>
            <w:tcBorders>
              <w:right w:val="single" w:sz="4" w:space="0" w:color="auto"/>
            </w:tcBorders>
          </w:tcPr>
          <w:p w:rsidR="00E10A87" w:rsidRPr="000B25F6" w:rsidRDefault="00E10A87" w:rsidP="00BE40E6">
            <w:pPr>
              <w:keepNext/>
              <w:spacing w:after="0"/>
              <w:jc w:val="center"/>
              <w:rPr>
                <w:sz w:val="20"/>
              </w:rPr>
            </w:pPr>
            <w:r w:rsidRPr="000B25F6">
              <w:rPr>
                <w:sz w:val="20"/>
              </w:rPr>
              <w:t>27 (26%)</w:t>
            </w:r>
          </w:p>
        </w:tc>
      </w:tr>
      <w:tr w:rsidR="00E10A87" w:rsidRPr="000B25F6" w:rsidTr="00CB38C4">
        <w:trPr>
          <w:trHeight w:val="127"/>
          <w:jc w:val="center"/>
        </w:trPr>
        <w:tc>
          <w:tcPr>
            <w:tcW w:w="6193" w:type="dxa"/>
            <w:tcBorders>
              <w:top w:val="single" w:sz="2" w:space="0" w:color="FFFFFF"/>
              <w:left w:val="single" w:sz="4" w:space="0" w:color="auto"/>
              <w:bottom w:val="single" w:sz="4" w:space="0" w:color="auto"/>
            </w:tcBorders>
          </w:tcPr>
          <w:p w:rsidR="00E10A87" w:rsidRPr="000B25F6" w:rsidRDefault="00E10A87" w:rsidP="00BE40E6">
            <w:pPr>
              <w:keepNext/>
              <w:spacing w:after="0"/>
              <w:ind w:left="172"/>
              <w:rPr>
                <w:sz w:val="20"/>
              </w:rPr>
            </w:pPr>
            <w:r w:rsidRPr="000B25F6">
              <w:rPr>
                <w:sz w:val="20"/>
              </w:rPr>
              <w:t>Stage IV at initial diagnosis</w:t>
            </w:r>
          </w:p>
        </w:tc>
        <w:tc>
          <w:tcPr>
            <w:tcW w:w="2696" w:type="dxa"/>
            <w:tcBorders>
              <w:bottom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20 (20%)</w:t>
            </w:r>
          </w:p>
        </w:tc>
      </w:tr>
    </w:tbl>
    <w:bookmarkEnd w:id="3"/>
    <w:p w:rsidR="00E10A87" w:rsidRPr="000B25F6" w:rsidRDefault="00E10A87" w:rsidP="00864D19">
      <w:pPr>
        <w:pStyle w:val="Paragraph"/>
        <w:numPr>
          <w:ilvl w:val="0"/>
          <w:numId w:val="38"/>
        </w:numPr>
        <w:tabs>
          <w:tab w:val="clear" w:pos="2340"/>
          <w:tab w:val="left" w:pos="0"/>
        </w:tabs>
        <w:spacing w:after="0"/>
        <w:ind w:left="709" w:hanging="357"/>
        <w:rPr>
          <w:rFonts w:ascii="Arial" w:hAnsi="Arial" w:cs="Arial"/>
          <w:sz w:val="20"/>
          <w:szCs w:val="20"/>
          <w:lang w:val="en-GB"/>
        </w:rPr>
      </w:pPr>
      <w:r w:rsidRPr="000B25F6">
        <w:rPr>
          <w:rFonts w:ascii="Arial" w:hAnsi="Arial" w:cs="Arial"/>
          <w:sz w:val="20"/>
          <w:szCs w:val="20"/>
          <w:lang w:val="en-GB"/>
        </w:rPr>
        <w:t>Primary refractory HL is defined as a failure to achieve a complete remission to, or progressed within 3 months of completing frontline therapy.</w:t>
      </w:r>
    </w:p>
    <w:p w:rsidR="00E10A87" w:rsidRPr="00A84436" w:rsidRDefault="00E10A87" w:rsidP="00A84436">
      <w:pPr>
        <w:pStyle w:val="Paragraph"/>
        <w:tabs>
          <w:tab w:val="left" w:pos="0"/>
        </w:tabs>
        <w:spacing w:before="240" w:after="120"/>
        <w:jc w:val="both"/>
        <w:rPr>
          <w:rFonts w:ascii="Arial" w:hAnsi="Arial"/>
          <w:color w:val="000000"/>
          <w:sz w:val="22"/>
          <w:szCs w:val="22"/>
          <w:lang w:val="en-AU"/>
        </w:rPr>
      </w:pPr>
      <w:r w:rsidRPr="00A84436">
        <w:rPr>
          <w:rFonts w:ascii="Arial" w:hAnsi="Arial"/>
          <w:color w:val="000000"/>
          <w:sz w:val="22"/>
          <w:szCs w:val="22"/>
          <w:lang w:val="en-AU"/>
        </w:rPr>
        <w:t xml:space="preserve">Eighteen (18) patients (18%) received 16 cycles of </w:t>
      </w:r>
      <w:r w:rsidR="00B5187B">
        <w:rPr>
          <w:rFonts w:ascii="Arial" w:hAnsi="Arial"/>
          <w:color w:val="000000"/>
          <w:sz w:val="22"/>
          <w:szCs w:val="22"/>
          <w:lang w:val="en-AU"/>
        </w:rPr>
        <w:t>ADCETRIS</w:t>
      </w:r>
      <w:r w:rsidRPr="00A84436">
        <w:rPr>
          <w:rFonts w:ascii="Arial" w:hAnsi="Arial"/>
          <w:color w:val="000000"/>
          <w:sz w:val="22"/>
          <w:szCs w:val="22"/>
          <w:lang w:val="en-AU"/>
        </w:rPr>
        <w:t xml:space="preserve">; and the median number of cycles received was 9 (ranging from 1 to 16). Response to treatment with </w:t>
      </w:r>
      <w:r w:rsidR="00B5187B">
        <w:rPr>
          <w:rFonts w:ascii="Arial" w:hAnsi="Arial"/>
          <w:color w:val="000000"/>
          <w:sz w:val="22"/>
          <w:szCs w:val="22"/>
          <w:lang w:val="en-AU"/>
        </w:rPr>
        <w:t xml:space="preserve">ADCETRIS </w:t>
      </w:r>
      <w:r w:rsidRPr="00A84436">
        <w:rPr>
          <w:rFonts w:ascii="Arial" w:hAnsi="Arial"/>
          <w:color w:val="000000"/>
          <w:sz w:val="22"/>
          <w:szCs w:val="22"/>
          <w:lang w:val="en-AU"/>
        </w:rPr>
        <w:t>was assessed by Independent Review Facility (IRF) using the Revised Response Criteria for Malignant Lymphoma (</w:t>
      </w:r>
      <w:proofErr w:type="spellStart"/>
      <w:r w:rsidRPr="00A84436">
        <w:rPr>
          <w:rFonts w:ascii="Arial" w:hAnsi="Arial"/>
          <w:color w:val="000000"/>
          <w:sz w:val="22"/>
          <w:szCs w:val="22"/>
          <w:lang w:val="en-AU"/>
        </w:rPr>
        <w:t>Cheson</w:t>
      </w:r>
      <w:proofErr w:type="spellEnd"/>
      <w:r w:rsidRPr="00A84436">
        <w:rPr>
          <w:rFonts w:ascii="Arial" w:hAnsi="Arial"/>
          <w:color w:val="000000"/>
          <w:sz w:val="22"/>
          <w:szCs w:val="22"/>
          <w:lang w:val="en-AU"/>
        </w:rPr>
        <w:t>, 2007). Treatment response was assessed by spiral CT of chest, neck, abdomen and pelvis; PET scans and clinical data. Response assessments were performed at cycles 2, 4, 7, 10, 13, and 16 with PET at cycles 4 and 7.</w:t>
      </w:r>
    </w:p>
    <w:p w:rsidR="00E10A87" w:rsidRPr="00B46FF1" w:rsidRDefault="00E10A87" w:rsidP="00A84436">
      <w:pPr>
        <w:pStyle w:val="Paragraph"/>
        <w:spacing w:after="0"/>
        <w:jc w:val="both"/>
        <w:rPr>
          <w:rFonts w:ascii="Arial" w:hAnsi="Arial"/>
          <w:color w:val="000000"/>
          <w:sz w:val="22"/>
          <w:szCs w:val="22"/>
          <w:lang w:val="en-AU"/>
        </w:rPr>
      </w:pPr>
      <w:r w:rsidRPr="00A84436">
        <w:rPr>
          <w:rFonts w:ascii="Arial" w:hAnsi="Arial"/>
          <w:color w:val="000000"/>
          <w:sz w:val="22"/>
          <w:szCs w:val="22"/>
          <w:lang w:val="en-AU"/>
        </w:rPr>
        <w:t xml:space="preserve">The objective response rate (ORR) per IRF assessment was 75% (76 of 102 patients in the intent-to-treat [ITT] set). Complete remission (CR) was 33% (34 of 102 patients in the ITT set). The median overall survival (OS) is </w:t>
      </w:r>
      <w:r w:rsidR="006A0246">
        <w:rPr>
          <w:rFonts w:ascii="Arial" w:hAnsi="Arial"/>
          <w:color w:val="000000"/>
          <w:sz w:val="22"/>
          <w:szCs w:val="22"/>
          <w:lang w:val="en-AU"/>
        </w:rPr>
        <w:t>40.5</w:t>
      </w:r>
      <w:r w:rsidRPr="00A84436">
        <w:rPr>
          <w:rFonts w:ascii="Arial" w:hAnsi="Arial"/>
          <w:color w:val="000000"/>
          <w:sz w:val="22"/>
          <w:szCs w:val="22"/>
          <w:lang w:val="en-AU"/>
        </w:rPr>
        <w:t xml:space="preserve"> months (the median </w:t>
      </w:r>
      <w:r w:rsidR="00087DED" w:rsidRPr="00D23910">
        <w:rPr>
          <w:rFonts w:ascii="Arial" w:hAnsi="Arial"/>
          <w:color w:val="000000"/>
          <w:sz w:val="22"/>
          <w:szCs w:val="22"/>
          <w:lang w:val="en-AU"/>
        </w:rPr>
        <w:t>observation</w:t>
      </w:r>
      <w:r w:rsidRPr="00D23910">
        <w:rPr>
          <w:rFonts w:ascii="Arial" w:hAnsi="Arial"/>
          <w:color w:val="000000"/>
          <w:sz w:val="22"/>
          <w:szCs w:val="22"/>
          <w:lang w:val="en-AU"/>
        </w:rPr>
        <w:t xml:space="preserve"> </w:t>
      </w:r>
      <w:r w:rsidRPr="00BB0057">
        <w:rPr>
          <w:rFonts w:ascii="Arial" w:hAnsi="Arial"/>
          <w:color w:val="000000"/>
          <w:sz w:val="22"/>
          <w:szCs w:val="22"/>
          <w:lang w:val="en-AU"/>
        </w:rPr>
        <w:t xml:space="preserve">time </w:t>
      </w:r>
      <w:r w:rsidR="00EF6391" w:rsidRPr="00BB0057">
        <w:rPr>
          <w:rFonts w:ascii="Arial" w:hAnsi="Arial"/>
          <w:sz w:val="22"/>
          <w:szCs w:val="22"/>
          <w:lang w:val="en-AU"/>
        </w:rPr>
        <w:t xml:space="preserve">(time to death or last contact) </w:t>
      </w:r>
      <w:r w:rsidRPr="00BB0057">
        <w:rPr>
          <w:rFonts w:ascii="Arial" w:hAnsi="Arial"/>
          <w:color w:val="000000"/>
          <w:sz w:val="22"/>
          <w:szCs w:val="22"/>
          <w:lang w:val="en-AU"/>
        </w:rPr>
        <w:t xml:space="preserve">from first dose was </w:t>
      </w:r>
      <w:r w:rsidR="006A0246" w:rsidRPr="00BB0057">
        <w:rPr>
          <w:rFonts w:ascii="Arial" w:hAnsi="Arial"/>
          <w:color w:val="000000"/>
          <w:sz w:val="22"/>
          <w:szCs w:val="22"/>
          <w:lang w:val="en-AU"/>
        </w:rPr>
        <w:t>32.7</w:t>
      </w:r>
      <w:r w:rsidRPr="00BB0057">
        <w:rPr>
          <w:rFonts w:ascii="Arial" w:hAnsi="Arial"/>
          <w:color w:val="000000"/>
          <w:sz w:val="22"/>
          <w:szCs w:val="22"/>
          <w:lang w:val="en-AU"/>
        </w:rPr>
        <w:t> months).</w:t>
      </w:r>
      <w:bookmarkStart w:id="4" w:name="OLE_LINK8"/>
      <w:bookmarkStart w:id="5" w:name="OLE_LINK9"/>
      <w:r w:rsidRPr="00BB0057">
        <w:rPr>
          <w:rFonts w:ascii="Arial" w:hAnsi="Arial"/>
          <w:color w:val="000000"/>
          <w:sz w:val="22"/>
          <w:szCs w:val="22"/>
          <w:lang w:val="en-AU"/>
        </w:rPr>
        <w:t xml:space="preserve"> The investigator assessments were generally consistent with the independent review of the scans.</w:t>
      </w:r>
      <w:bookmarkEnd w:id="4"/>
      <w:bookmarkEnd w:id="5"/>
      <w:r w:rsidRPr="00BB0057">
        <w:rPr>
          <w:rFonts w:ascii="Arial" w:hAnsi="Arial"/>
          <w:color w:val="000000"/>
          <w:sz w:val="22"/>
          <w:szCs w:val="22"/>
          <w:lang w:val="en-AU"/>
        </w:rPr>
        <w:t xml:space="preserve"> Of the patients treated, 7 responding</w:t>
      </w:r>
      <w:r w:rsidRPr="00B46FF1">
        <w:rPr>
          <w:rFonts w:ascii="Arial" w:hAnsi="Arial"/>
          <w:color w:val="000000"/>
          <w:sz w:val="22"/>
          <w:szCs w:val="22"/>
          <w:lang w:val="en-AU"/>
        </w:rPr>
        <w:t xml:space="preserve"> patients went on to receive an allogeneic SCT. For further efficacy results see Table </w:t>
      </w:r>
      <w:r w:rsidR="00B46FF1">
        <w:rPr>
          <w:rFonts w:ascii="Arial" w:hAnsi="Arial"/>
          <w:color w:val="000000"/>
          <w:sz w:val="22"/>
          <w:szCs w:val="22"/>
          <w:lang w:val="en-AU"/>
        </w:rPr>
        <w:t>2</w:t>
      </w:r>
      <w:r w:rsidRPr="00B46FF1">
        <w:rPr>
          <w:rFonts w:ascii="Arial" w:hAnsi="Arial"/>
          <w:color w:val="000000"/>
          <w:sz w:val="22"/>
          <w:szCs w:val="22"/>
          <w:lang w:val="en-AU"/>
        </w:rPr>
        <w:t xml:space="preserve">. </w:t>
      </w:r>
    </w:p>
    <w:p w:rsidR="00EA0DE6" w:rsidRDefault="00E10A87" w:rsidP="000B25F6">
      <w:pPr>
        <w:pStyle w:val="Heading2"/>
        <w:rPr>
          <w:highlight w:val="green"/>
        </w:rPr>
      </w:pPr>
      <w:r w:rsidRPr="00B46FF1">
        <w:t xml:space="preserve">Table </w:t>
      </w:r>
      <w:r w:rsidR="00B46FF1">
        <w:t>2</w:t>
      </w:r>
      <w:r w:rsidR="00864D19">
        <w:t>:</w:t>
      </w:r>
      <w:r w:rsidRPr="00B46FF1">
        <w:t xml:space="preserve"> Efficacy results in relapsed or refractory Hodgkin lymphoma patients treated with</w:t>
      </w:r>
      <w:r w:rsidRPr="00A84436">
        <w:t xml:space="preserve"> 1.8 mg/kg of </w:t>
      </w:r>
      <w:r w:rsidR="00B5187B">
        <w:t>ADCETRIS</w:t>
      </w:r>
      <w:r w:rsidRPr="00A84436">
        <w:t xml:space="preserve"> every 3 weeks</w:t>
      </w:r>
    </w:p>
    <w:tbl>
      <w:tblPr>
        <w:tblW w:w="9583" w:type="dxa"/>
        <w:tblInd w:w="10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00" w:firstRow="0" w:lastRow="0" w:firstColumn="0" w:lastColumn="0" w:noHBand="0" w:noVBand="0"/>
      </w:tblPr>
      <w:tblGrid>
        <w:gridCol w:w="4111"/>
        <w:gridCol w:w="3042"/>
        <w:gridCol w:w="2430"/>
      </w:tblGrid>
      <w:tr w:rsidR="00E10A87" w:rsidRPr="00BE40E6" w:rsidTr="00A84436">
        <w:trPr>
          <w:trHeight w:val="302"/>
        </w:trPr>
        <w:tc>
          <w:tcPr>
            <w:tcW w:w="4111" w:type="dxa"/>
            <w:tcBorders>
              <w:top w:val="single" w:sz="4" w:space="0" w:color="auto"/>
              <w:left w:val="single" w:sz="4" w:space="0" w:color="auto"/>
              <w:bottom w:val="single" w:sz="4" w:space="0" w:color="auto"/>
            </w:tcBorders>
            <w:noWrap/>
          </w:tcPr>
          <w:p w:rsidR="00E10A87" w:rsidRPr="00BE40E6" w:rsidRDefault="00E10A87" w:rsidP="00BE40E6">
            <w:pPr>
              <w:keepNext/>
              <w:spacing w:after="0"/>
              <w:rPr>
                <w:b/>
                <w:bCs/>
                <w:sz w:val="20"/>
              </w:rPr>
            </w:pPr>
            <w:r w:rsidRPr="00BE40E6">
              <w:rPr>
                <w:b/>
                <w:bCs/>
                <w:sz w:val="20"/>
              </w:rPr>
              <w:t>Best clinical response</w:t>
            </w:r>
            <w:r w:rsidRPr="00BE40E6">
              <w:rPr>
                <w:b/>
                <w:sz w:val="20"/>
                <w:vertAlign w:val="superscript"/>
              </w:rPr>
              <w:t xml:space="preserve"> </w:t>
            </w:r>
            <w:r w:rsidRPr="00BE40E6">
              <w:rPr>
                <w:b/>
                <w:bCs/>
                <w:sz w:val="20"/>
              </w:rPr>
              <w:t>(N = 102</w:t>
            </w:r>
            <w:r w:rsidRPr="00BE40E6">
              <w:rPr>
                <w:sz w:val="20"/>
                <w:vertAlign w:val="superscript"/>
              </w:rPr>
              <w:t xml:space="preserve"> </w:t>
            </w:r>
            <w:r w:rsidRPr="00BE40E6">
              <w:rPr>
                <w:b/>
                <w:bCs/>
                <w:sz w:val="20"/>
              </w:rPr>
              <w:t>)</w:t>
            </w:r>
          </w:p>
        </w:tc>
        <w:tc>
          <w:tcPr>
            <w:tcW w:w="3042" w:type="dxa"/>
            <w:tcBorders>
              <w:top w:val="single" w:sz="4" w:space="0" w:color="auto"/>
              <w:bottom w:val="single" w:sz="4" w:space="0" w:color="auto"/>
            </w:tcBorders>
            <w:noWrap/>
          </w:tcPr>
          <w:p w:rsidR="00E10A87" w:rsidRPr="00BE40E6" w:rsidRDefault="00E10A87" w:rsidP="00BE40E6">
            <w:pPr>
              <w:keepNext/>
              <w:spacing w:after="0"/>
              <w:jc w:val="center"/>
              <w:rPr>
                <w:b/>
                <w:bCs/>
                <w:sz w:val="20"/>
              </w:rPr>
            </w:pPr>
            <w:r w:rsidRPr="00BE40E6">
              <w:rPr>
                <w:b/>
                <w:bCs/>
                <w:sz w:val="20"/>
              </w:rPr>
              <w:t>IRF N (%)</w:t>
            </w:r>
          </w:p>
        </w:tc>
        <w:tc>
          <w:tcPr>
            <w:tcW w:w="2430" w:type="dxa"/>
            <w:tcBorders>
              <w:top w:val="single" w:sz="4" w:space="0" w:color="auto"/>
              <w:bottom w:val="single" w:sz="4" w:space="0" w:color="auto"/>
              <w:right w:val="single" w:sz="4" w:space="0" w:color="C0C0C0"/>
            </w:tcBorders>
            <w:noWrap/>
          </w:tcPr>
          <w:p w:rsidR="00E10A87" w:rsidRPr="00BE40E6" w:rsidRDefault="00E10A87" w:rsidP="00BE40E6">
            <w:pPr>
              <w:keepNext/>
              <w:spacing w:after="0"/>
              <w:jc w:val="center"/>
              <w:rPr>
                <w:b/>
                <w:bCs/>
                <w:sz w:val="20"/>
              </w:rPr>
            </w:pPr>
            <w:r w:rsidRPr="00BE40E6">
              <w:rPr>
                <w:b/>
                <w:bCs/>
                <w:sz w:val="20"/>
              </w:rPr>
              <w:t>95% CI</w:t>
            </w:r>
          </w:p>
        </w:tc>
      </w:tr>
      <w:tr w:rsidR="00E10A87" w:rsidRPr="00BE40E6" w:rsidTr="00A84436">
        <w:trPr>
          <w:trHeight w:val="255"/>
        </w:trPr>
        <w:tc>
          <w:tcPr>
            <w:tcW w:w="4111" w:type="dxa"/>
            <w:tcBorders>
              <w:top w:val="single" w:sz="4" w:space="0" w:color="auto"/>
              <w:left w:val="single" w:sz="4" w:space="0" w:color="auto"/>
            </w:tcBorders>
            <w:noWrap/>
          </w:tcPr>
          <w:p w:rsidR="00E10A87" w:rsidRPr="00BE40E6" w:rsidRDefault="00E10A87" w:rsidP="00BE40E6">
            <w:pPr>
              <w:keepNext/>
              <w:spacing w:after="0"/>
              <w:rPr>
                <w:sz w:val="20"/>
              </w:rPr>
            </w:pPr>
            <w:r w:rsidRPr="00BE40E6">
              <w:rPr>
                <w:sz w:val="20"/>
              </w:rPr>
              <w:t>Objective response rate (CR + PR)</w:t>
            </w:r>
          </w:p>
        </w:tc>
        <w:tc>
          <w:tcPr>
            <w:tcW w:w="3042" w:type="dxa"/>
            <w:tcBorders>
              <w:top w:val="single" w:sz="4" w:space="0" w:color="auto"/>
            </w:tcBorders>
            <w:noWrap/>
          </w:tcPr>
          <w:p w:rsidR="00E10A87" w:rsidRPr="00BE40E6" w:rsidRDefault="00E10A87" w:rsidP="00BE40E6">
            <w:pPr>
              <w:keepNext/>
              <w:spacing w:after="0"/>
              <w:jc w:val="center"/>
              <w:rPr>
                <w:sz w:val="20"/>
              </w:rPr>
            </w:pPr>
            <w:r w:rsidRPr="00BE40E6">
              <w:rPr>
                <w:sz w:val="20"/>
              </w:rPr>
              <w:t>76 (75)</w:t>
            </w:r>
          </w:p>
        </w:tc>
        <w:tc>
          <w:tcPr>
            <w:tcW w:w="2430" w:type="dxa"/>
            <w:tcBorders>
              <w:top w:val="single" w:sz="4" w:space="0" w:color="auto"/>
              <w:right w:val="single" w:sz="4" w:space="0" w:color="C0C0C0"/>
            </w:tcBorders>
            <w:noWrap/>
          </w:tcPr>
          <w:p w:rsidR="00E10A87" w:rsidRPr="00BE40E6" w:rsidRDefault="00E10A87" w:rsidP="00BE40E6">
            <w:pPr>
              <w:keepNext/>
              <w:spacing w:after="0"/>
              <w:jc w:val="center"/>
              <w:rPr>
                <w:sz w:val="20"/>
              </w:rPr>
            </w:pPr>
            <w:r w:rsidRPr="00BE40E6">
              <w:rPr>
                <w:sz w:val="20"/>
              </w:rPr>
              <w:t>64.9, 82.6</w:t>
            </w:r>
          </w:p>
        </w:tc>
      </w:tr>
      <w:tr w:rsidR="00E10A87" w:rsidRPr="00BE40E6" w:rsidTr="00A84436">
        <w:trPr>
          <w:trHeight w:val="255"/>
        </w:trPr>
        <w:tc>
          <w:tcPr>
            <w:tcW w:w="4111" w:type="dxa"/>
            <w:tcBorders>
              <w:left w:val="single" w:sz="4" w:space="0" w:color="auto"/>
            </w:tcBorders>
            <w:noWrap/>
          </w:tcPr>
          <w:p w:rsidR="00E10A87" w:rsidRPr="00BE40E6" w:rsidRDefault="00A84436" w:rsidP="00BE40E6">
            <w:pPr>
              <w:keepNext/>
              <w:spacing w:after="0"/>
              <w:rPr>
                <w:sz w:val="20"/>
              </w:rPr>
            </w:pPr>
            <w:r w:rsidRPr="00BE40E6">
              <w:rPr>
                <w:sz w:val="20"/>
              </w:rPr>
              <w:t xml:space="preserve">      </w:t>
            </w:r>
            <w:r w:rsidR="00E10A87" w:rsidRPr="00BE40E6">
              <w:rPr>
                <w:sz w:val="20"/>
              </w:rPr>
              <w:t>Complete remission (CR)</w:t>
            </w:r>
          </w:p>
        </w:tc>
        <w:tc>
          <w:tcPr>
            <w:tcW w:w="3042" w:type="dxa"/>
            <w:noWrap/>
          </w:tcPr>
          <w:p w:rsidR="00E10A87" w:rsidRPr="00BE40E6" w:rsidRDefault="00E10A87" w:rsidP="00BE40E6">
            <w:pPr>
              <w:keepNext/>
              <w:spacing w:after="0"/>
              <w:jc w:val="center"/>
              <w:rPr>
                <w:sz w:val="20"/>
              </w:rPr>
            </w:pPr>
            <w:r w:rsidRPr="00BE40E6">
              <w:rPr>
                <w:sz w:val="20"/>
              </w:rPr>
              <w:t>34 (33)</w:t>
            </w:r>
          </w:p>
        </w:tc>
        <w:tc>
          <w:tcPr>
            <w:tcW w:w="2430" w:type="dxa"/>
            <w:tcBorders>
              <w:right w:val="single" w:sz="4" w:space="0" w:color="C0C0C0"/>
            </w:tcBorders>
            <w:noWrap/>
          </w:tcPr>
          <w:p w:rsidR="00E10A87" w:rsidRPr="00BE40E6" w:rsidRDefault="00E10A87" w:rsidP="00BE40E6">
            <w:pPr>
              <w:keepNext/>
              <w:spacing w:after="0"/>
              <w:jc w:val="center"/>
              <w:rPr>
                <w:sz w:val="20"/>
              </w:rPr>
            </w:pPr>
            <w:r w:rsidRPr="00BE40E6">
              <w:rPr>
                <w:sz w:val="20"/>
              </w:rPr>
              <w:t>24.3, 43.4</w:t>
            </w:r>
          </w:p>
        </w:tc>
      </w:tr>
      <w:tr w:rsidR="00E10A87" w:rsidRPr="00BE40E6" w:rsidTr="00A84436">
        <w:trPr>
          <w:trHeight w:val="255"/>
        </w:trPr>
        <w:tc>
          <w:tcPr>
            <w:tcW w:w="4111" w:type="dxa"/>
            <w:tcBorders>
              <w:left w:val="single" w:sz="4" w:space="0" w:color="auto"/>
            </w:tcBorders>
            <w:noWrap/>
          </w:tcPr>
          <w:p w:rsidR="00E10A87" w:rsidRPr="00BE40E6" w:rsidRDefault="00A84436" w:rsidP="00BE40E6">
            <w:pPr>
              <w:keepNext/>
              <w:spacing w:after="0"/>
              <w:rPr>
                <w:sz w:val="20"/>
              </w:rPr>
            </w:pPr>
            <w:r w:rsidRPr="00BE40E6">
              <w:rPr>
                <w:sz w:val="20"/>
              </w:rPr>
              <w:t xml:space="preserve">      </w:t>
            </w:r>
            <w:r w:rsidR="00E10A87" w:rsidRPr="00BE40E6">
              <w:rPr>
                <w:sz w:val="20"/>
              </w:rPr>
              <w:t>Partial remission (PR)</w:t>
            </w:r>
          </w:p>
        </w:tc>
        <w:tc>
          <w:tcPr>
            <w:tcW w:w="3042" w:type="dxa"/>
            <w:noWrap/>
          </w:tcPr>
          <w:p w:rsidR="00E10A87" w:rsidRPr="00BE40E6" w:rsidRDefault="00E10A87" w:rsidP="00BE40E6">
            <w:pPr>
              <w:keepNext/>
              <w:spacing w:after="0"/>
              <w:jc w:val="center"/>
              <w:rPr>
                <w:sz w:val="20"/>
              </w:rPr>
            </w:pPr>
            <w:r w:rsidRPr="00BE40E6">
              <w:rPr>
                <w:sz w:val="20"/>
              </w:rPr>
              <w:t>42 (41)</w:t>
            </w:r>
          </w:p>
        </w:tc>
        <w:tc>
          <w:tcPr>
            <w:tcW w:w="2430" w:type="dxa"/>
            <w:tcBorders>
              <w:right w:val="single" w:sz="4" w:space="0" w:color="C0C0C0"/>
            </w:tcBorders>
            <w:noWrap/>
          </w:tcPr>
          <w:p w:rsidR="00E10A87" w:rsidRPr="00BE40E6" w:rsidRDefault="00E10A87" w:rsidP="00BE40E6">
            <w:pPr>
              <w:keepNext/>
              <w:spacing w:after="0"/>
              <w:jc w:val="center"/>
              <w:rPr>
                <w:sz w:val="20"/>
              </w:rPr>
            </w:pPr>
            <w:r w:rsidRPr="00BE40E6">
              <w:rPr>
                <w:sz w:val="20"/>
              </w:rPr>
              <w:t>NA</w:t>
            </w:r>
          </w:p>
        </w:tc>
      </w:tr>
      <w:tr w:rsidR="00E10A87" w:rsidRPr="00BE40E6" w:rsidTr="00A84436">
        <w:trPr>
          <w:trHeight w:val="255"/>
        </w:trPr>
        <w:tc>
          <w:tcPr>
            <w:tcW w:w="4111" w:type="dxa"/>
            <w:tcBorders>
              <w:left w:val="single" w:sz="4" w:space="0" w:color="auto"/>
              <w:bottom w:val="single" w:sz="4" w:space="0" w:color="auto"/>
            </w:tcBorders>
            <w:noWrap/>
          </w:tcPr>
          <w:p w:rsidR="00E10A87" w:rsidRPr="00BE40E6" w:rsidRDefault="00E10A87" w:rsidP="00BE40E6">
            <w:pPr>
              <w:keepNext/>
              <w:spacing w:after="0"/>
              <w:rPr>
                <w:sz w:val="20"/>
              </w:rPr>
            </w:pPr>
            <w:r w:rsidRPr="00BE40E6">
              <w:rPr>
                <w:sz w:val="20"/>
              </w:rPr>
              <w:t>Disease control rate (CR + PR + SD)</w:t>
            </w:r>
          </w:p>
        </w:tc>
        <w:tc>
          <w:tcPr>
            <w:tcW w:w="3042" w:type="dxa"/>
            <w:tcBorders>
              <w:bottom w:val="single" w:sz="4" w:space="0" w:color="auto"/>
            </w:tcBorders>
            <w:noWrap/>
          </w:tcPr>
          <w:p w:rsidR="00E10A87" w:rsidRPr="00BE40E6" w:rsidRDefault="00E10A87" w:rsidP="00BE40E6">
            <w:pPr>
              <w:keepNext/>
              <w:spacing w:after="0"/>
              <w:jc w:val="center"/>
              <w:rPr>
                <w:sz w:val="20"/>
              </w:rPr>
            </w:pPr>
            <w:r w:rsidRPr="00BE40E6">
              <w:rPr>
                <w:sz w:val="20"/>
              </w:rPr>
              <w:t>98 (96)</w:t>
            </w:r>
          </w:p>
        </w:tc>
        <w:tc>
          <w:tcPr>
            <w:tcW w:w="2430" w:type="dxa"/>
            <w:tcBorders>
              <w:bottom w:val="single" w:sz="4" w:space="0" w:color="auto"/>
              <w:right w:val="single" w:sz="4" w:space="0" w:color="C0C0C0"/>
            </w:tcBorders>
            <w:noWrap/>
          </w:tcPr>
          <w:p w:rsidR="00E10A87" w:rsidRPr="00BE40E6" w:rsidRDefault="00E10A87" w:rsidP="00BE40E6">
            <w:pPr>
              <w:keepNext/>
              <w:spacing w:after="0"/>
              <w:jc w:val="center"/>
              <w:rPr>
                <w:sz w:val="20"/>
              </w:rPr>
            </w:pPr>
            <w:r w:rsidRPr="00BE40E6">
              <w:rPr>
                <w:sz w:val="20"/>
              </w:rPr>
              <w:t>90.3, 98.9</w:t>
            </w:r>
          </w:p>
        </w:tc>
      </w:tr>
      <w:tr w:rsidR="00E10A87" w:rsidRPr="00BE40E6" w:rsidTr="00A84436">
        <w:trPr>
          <w:trHeight w:val="296"/>
        </w:trPr>
        <w:tc>
          <w:tcPr>
            <w:tcW w:w="4111" w:type="dxa"/>
            <w:tcBorders>
              <w:top w:val="single" w:sz="4" w:space="0" w:color="auto"/>
              <w:left w:val="single" w:sz="4" w:space="0" w:color="auto"/>
              <w:bottom w:val="single" w:sz="4" w:space="0" w:color="auto"/>
            </w:tcBorders>
            <w:noWrap/>
          </w:tcPr>
          <w:p w:rsidR="00E10A87" w:rsidRPr="00BE40E6" w:rsidRDefault="00E10A87" w:rsidP="00BE40E6">
            <w:pPr>
              <w:keepNext/>
              <w:spacing w:after="0"/>
              <w:rPr>
                <w:b/>
                <w:bCs/>
                <w:sz w:val="20"/>
              </w:rPr>
            </w:pPr>
            <w:r w:rsidRPr="00BE40E6">
              <w:rPr>
                <w:b/>
                <w:bCs/>
                <w:sz w:val="20"/>
              </w:rPr>
              <w:t>Duration of response</w:t>
            </w:r>
            <w:r w:rsidRPr="00BE40E6">
              <w:rPr>
                <w:sz w:val="20"/>
                <w:vertAlign w:val="superscript"/>
              </w:rPr>
              <w:t xml:space="preserve"> </w:t>
            </w:r>
            <w:r w:rsidRPr="00BE40E6">
              <w:rPr>
                <w:b/>
                <w:bCs/>
                <w:sz w:val="20"/>
              </w:rPr>
              <w:t xml:space="preserve"> </w:t>
            </w:r>
          </w:p>
        </w:tc>
        <w:tc>
          <w:tcPr>
            <w:tcW w:w="3042" w:type="dxa"/>
            <w:tcBorders>
              <w:top w:val="single" w:sz="4" w:space="0" w:color="auto"/>
              <w:bottom w:val="single" w:sz="4" w:space="0" w:color="auto"/>
            </w:tcBorders>
          </w:tcPr>
          <w:p w:rsidR="00E10A87" w:rsidRPr="00BE40E6" w:rsidRDefault="00E10A87" w:rsidP="00BE40E6">
            <w:pPr>
              <w:keepNext/>
              <w:spacing w:after="0"/>
              <w:jc w:val="center"/>
              <w:rPr>
                <w:b/>
                <w:bCs/>
                <w:sz w:val="20"/>
              </w:rPr>
            </w:pPr>
            <w:r w:rsidRPr="00BE40E6">
              <w:rPr>
                <w:b/>
                <w:bCs/>
                <w:sz w:val="20"/>
              </w:rPr>
              <w:t xml:space="preserve">Median per IRF </w:t>
            </w:r>
          </w:p>
        </w:tc>
        <w:tc>
          <w:tcPr>
            <w:tcW w:w="2430" w:type="dxa"/>
            <w:tcBorders>
              <w:top w:val="single" w:sz="4" w:space="0" w:color="auto"/>
              <w:bottom w:val="single" w:sz="4" w:space="0" w:color="auto"/>
              <w:right w:val="single" w:sz="4" w:space="0" w:color="C0C0C0"/>
            </w:tcBorders>
            <w:noWrap/>
          </w:tcPr>
          <w:p w:rsidR="00E10A87" w:rsidRPr="00BE40E6" w:rsidRDefault="00E10A87" w:rsidP="00BE40E6">
            <w:pPr>
              <w:keepNext/>
              <w:spacing w:after="0"/>
              <w:jc w:val="center"/>
              <w:rPr>
                <w:b/>
                <w:bCs/>
                <w:sz w:val="20"/>
              </w:rPr>
            </w:pPr>
            <w:r w:rsidRPr="00BE40E6">
              <w:rPr>
                <w:b/>
                <w:bCs/>
                <w:sz w:val="20"/>
              </w:rPr>
              <w:t>95% CI</w:t>
            </w:r>
          </w:p>
        </w:tc>
      </w:tr>
      <w:tr w:rsidR="00E10A87" w:rsidRPr="00BE40E6" w:rsidTr="00A84436">
        <w:trPr>
          <w:trHeight w:val="255"/>
        </w:trPr>
        <w:tc>
          <w:tcPr>
            <w:tcW w:w="4111" w:type="dxa"/>
            <w:tcBorders>
              <w:top w:val="single" w:sz="4" w:space="0" w:color="auto"/>
              <w:left w:val="single" w:sz="4" w:space="0" w:color="auto"/>
            </w:tcBorders>
            <w:noWrap/>
          </w:tcPr>
          <w:p w:rsidR="00E10A87" w:rsidRPr="00BE40E6" w:rsidRDefault="00E10A87" w:rsidP="00BE40E6">
            <w:pPr>
              <w:keepNext/>
              <w:spacing w:after="0"/>
              <w:rPr>
                <w:sz w:val="20"/>
              </w:rPr>
            </w:pPr>
            <w:r w:rsidRPr="00BE40E6">
              <w:rPr>
                <w:sz w:val="20"/>
              </w:rPr>
              <w:t xml:space="preserve">    Objective response rate (CR + PR)</w:t>
            </w:r>
            <w:r w:rsidRPr="00BE40E6">
              <w:rPr>
                <w:b/>
                <w:bCs/>
                <w:sz w:val="20"/>
              </w:rPr>
              <w:t xml:space="preserve"> </w:t>
            </w:r>
            <w:r w:rsidRPr="00BE40E6">
              <w:rPr>
                <w:bCs/>
                <w:sz w:val="20"/>
                <w:vertAlign w:val="superscript"/>
              </w:rPr>
              <w:t>a</w:t>
            </w:r>
          </w:p>
        </w:tc>
        <w:tc>
          <w:tcPr>
            <w:tcW w:w="3042" w:type="dxa"/>
            <w:tcBorders>
              <w:top w:val="single" w:sz="4" w:space="0" w:color="auto"/>
            </w:tcBorders>
            <w:noWrap/>
          </w:tcPr>
          <w:p w:rsidR="00E10A87" w:rsidRPr="00BE40E6" w:rsidRDefault="00E10A87" w:rsidP="00BE40E6">
            <w:pPr>
              <w:keepNext/>
              <w:spacing w:after="0"/>
              <w:jc w:val="center"/>
              <w:rPr>
                <w:sz w:val="20"/>
              </w:rPr>
            </w:pPr>
            <w:r w:rsidRPr="00BE40E6">
              <w:rPr>
                <w:sz w:val="20"/>
              </w:rPr>
              <w:t xml:space="preserve">6.7 months </w:t>
            </w:r>
          </w:p>
        </w:tc>
        <w:tc>
          <w:tcPr>
            <w:tcW w:w="2430" w:type="dxa"/>
            <w:tcBorders>
              <w:top w:val="single" w:sz="4" w:space="0" w:color="auto"/>
              <w:right w:val="single" w:sz="4" w:space="0" w:color="C0C0C0"/>
            </w:tcBorders>
            <w:noWrap/>
          </w:tcPr>
          <w:p w:rsidR="00E10A87" w:rsidRPr="00BE40E6" w:rsidRDefault="00E10A87" w:rsidP="00BE40E6">
            <w:pPr>
              <w:keepNext/>
              <w:spacing w:after="0"/>
              <w:jc w:val="center"/>
              <w:rPr>
                <w:sz w:val="20"/>
              </w:rPr>
            </w:pPr>
            <w:r w:rsidRPr="00BE40E6">
              <w:rPr>
                <w:sz w:val="20"/>
              </w:rPr>
              <w:t>3.6, 14.8</w:t>
            </w:r>
          </w:p>
        </w:tc>
      </w:tr>
      <w:tr w:rsidR="00E10A87" w:rsidRPr="00BE40E6" w:rsidTr="00A84436">
        <w:trPr>
          <w:trHeight w:val="255"/>
        </w:trPr>
        <w:tc>
          <w:tcPr>
            <w:tcW w:w="4111" w:type="dxa"/>
            <w:tcBorders>
              <w:left w:val="single" w:sz="4" w:space="0" w:color="auto"/>
              <w:bottom w:val="single" w:sz="4" w:space="0" w:color="auto"/>
            </w:tcBorders>
            <w:noWrap/>
          </w:tcPr>
          <w:p w:rsidR="00E10A87" w:rsidRPr="00BE40E6" w:rsidRDefault="00E10A87" w:rsidP="00BE40E6">
            <w:pPr>
              <w:keepNext/>
              <w:spacing w:after="0"/>
              <w:rPr>
                <w:sz w:val="20"/>
              </w:rPr>
            </w:pPr>
            <w:r w:rsidRPr="00BE40E6">
              <w:rPr>
                <w:sz w:val="20"/>
              </w:rPr>
              <w:t xml:space="preserve">    Complete remission (CR)</w:t>
            </w:r>
          </w:p>
        </w:tc>
        <w:tc>
          <w:tcPr>
            <w:tcW w:w="3042" w:type="dxa"/>
            <w:tcBorders>
              <w:bottom w:val="single" w:sz="4" w:space="0" w:color="auto"/>
            </w:tcBorders>
            <w:noWrap/>
          </w:tcPr>
          <w:p w:rsidR="00E10A87" w:rsidRPr="00BE40E6" w:rsidRDefault="00E10A87" w:rsidP="00BE40E6">
            <w:pPr>
              <w:keepNext/>
              <w:spacing w:after="0"/>
              <w:jc w:val="center"/>
              <w:rPr>
                <w:strike/>
                <w:sz w:val="20"/>
              </w:rPr>
            </w:pPr>
            <w:r w:rsidRPr="00BE40E6">
              <w:rPr>
                <w:sz w:val="20"/>
              </w:rPr>
              <w:t>Not reached</w:t>
            </w:r>
          </w:p>
        </w:tc>
        <w:tc>
          <w:tcPr>
            <w:tcW w:w="2430" w:type="dxa"/>
            <w:tcBorders>
              <w:bottom w:val="single" w:sz="4" w:space="0" w:color="auto"/>
              <w:right w:val="single" w:sz="4" w:space="0" w:color="C0C0C0"/>
            </w:tcBorders>
            <w:noWrap/>
          </w:tcPr>
          <w:p w:rsidR="00E10A87" w:rsidRPr="00BE40E6" w:rsidRDefault="00E10A87" w:rsidP="00BE40E6">
            <w:pPr>
              <w:keepNext/>
              <w:spacing w:after="0"/>
              <w:jc w:val="center"/>
              <w:rPr>
                <w:sz w:val="20"/>
              </w:rPr>
            </w:pPr>
            <w:r w:rsidRPr="00BE40E6">
              <w:rPr>
                <w:sz w:val="20"/>
              </w:rPr>
              <w:t xml:space="preserve">10.8, </w:t>
            </w:r>
            <w:proofErr w:type="spellStart"/>
            <w:r w:rsidRPr="00BE40E6">
              <w:rPr>
                <w:sz w:val="20"/>
              </w:rPr>
              <w:t>NE</w:t>
            </w:r>
            <w:r w:rsidRPr="00BE40E6">
              <w:rPr>
                <w:sz w:val="20"/>
                <w:vertAlign w:val="superscript"/>
              </w:rPr>
              <w:t>b</w:t>
            </w:r>
            <w:proofErr w:type="spellEnd"/>
            <w:r w:rsidRPr="00BE40E6">
              <w:rPr>
                <w:sz w:val="20"/>
              </w:rPr>
              <w:t xml:space="preserve"> </w:t>
            </w:r>
          </w:p>
        </w:tc>
      </w:tr>
      <w:tr w:rsidR="00E10A87" w:rsidRPr="00BE40E6" w:rsidTr="00A84436">
        <w:trPr>
          <w:trHeight w:val="302"/>
        </w:trPr>
        <w:tc>
          <w:tcPr>
            <w:tcW w:w="4111" w:type="dxa"/>
            <w:tcBorders>
              <w:top w:val="single" w:sz="4" w:space="0" w:color="auto"/>
              <w:left w:val="single" w:sz="4" w:space="0" w:color="auto"/>
              <w:bottom w:val="single" w:sz="4" w:space="0" w:color="auto"/>
            </w:tcBorders>
          </w:tcPr>
          <w:p w:rsidR="00E10A87" w:rsidRPr="00BE40E6" w:rsidRDefault="00E10A87" w:rsidP="00BE40E6">
            <w:pPr>
              <w:keepNext/>
              <w:spacing w:after="0"/>
              <w:rPr>
                <w:rFonts w:eastAsia="MS Mincho"/>
                <w:b/>
                <w:color w:val="000000"/>
                <w:sz w:val="20"/>
                <w:lang w:eastAsia="ja-JP"/>
              </w:rPr>
            </w:pPr>
            <w:r w:rsidRPr="00BE40E6">
              <w:rPr>
                <w:rFonts w:eastAsia="MS Mincho"/>
                <w:b/>
                <w:color w:val="000000"/>
                <w:sz w:val="20"/>
                <w:lang w:eastAsia="ja-JP"/>
              </w:rPr>
              <w:t xml:space="preserve">Overall survival </w:t>
            </w:r>
            <w:r w:rsidR="00087DED" w:rsidRPr="00087DED">
              <w:rPr>
                <w:bCs/>
                <w:sz w:val="20"/>
                <w:vertAlign w:val="superscript"/>
              </w:rPr>
              <w:t>c</w:t>
            </w:r>
          </w:p>
        </w:tc>
        <w:tc>
          <w:tcPr>
            <w:tcW w:w="3042" w:type="dxa"/>
            <w:tcBorders>
              <w:top w:val="single" w:sz="4" w:space="0" w:color="auto"/>
              <w:bottom w:val="single" w:sz="4" w:space="0" w:color="auto"/>
            </w:tcBorders>
          </w:tcPr>
          <w:p w:rsidR="00E10A87" w:rsidRPr="00BE40E6" w:rsidRDefault="00087DED" w:rsidP="00BE40E6">
            <w:pPr>
              <w:keepNext/>
              <w:spacing w:after="0"/>
              <w:jc w:val="center"/>
              <w:rPr>
                <w:b/>
                <w:sz w:val="20"/>
              </w:rPr>
            </w:pPr>
            <w:r w:rsidRPr="00823ECE">
              <w:rPr>
                <w:b/>
                <w:sz w:val="20"/>
              </w:rPr>
              <w:t>Median</w:t>
            </w:r>
          </w:p>
        </w:tc>
        <w:tc>
          <w:tcPr>
            <w:tcW w:w="2430" w:type="dxa"/>
            <w:tcBorders>
              <w:top w:val="single" w:sz="4" w:space="0" w:color="auto"/>
              <w:bottom w:val="single" w:sz="4" w:space="0" w:color="auto"/>
              <w:right w:val="single" w:sz="4" w:space="0" w:color="C0C0C0"/>
            </w:tcBorders>
          </w:tcPr>
          <w:p w:rsidR="00E10A87" w:rsidRPr="00BE40E6" w:rsidRDefault="00E10A87" w:rsidP="00BE40E6">
            <w:pPr>
              <w:keepNext/>
              <w:spacing w:after="0"/>
              <w:jc w:val="center"/>
              <w:rPr>
                <w:b/>
                <w:color w:val="000000"/>
                <w:sz w:val="20"/>
              </w:rPr>
            </w:pPr>
            <w:r w:rsidRPr="00BE40E6">
              <w:rPr>
                <w:b/>
                <w:color w:val="000000"/>
                <w:sz w:val="20"/>
              </w:rPr>
              <w:t>95% CI</w:t>
            </w:r>
          </w:p>
        </w:tc>
      </w:tr>
      <w:tr w:rsidR="00E10A87" w:rsidRPr="00BE40E6" w:rsidTr="00A84436">
        <w:trPr>
          <w:trHeight w:val="150"/>
        </w:trPr>
        <w:tc>
          <w:tcPr>
            <w:tcW w:w="4111" w:type="dxa"/>
            <w:tcBorders>
              <w:top w:val="single" w:sz="4" w:space="0" w:color="auto"/>
              <w:left w:val="single" w:sz="4" w:space="0" w:color="auto"/>
              <w:bottom w:val="single" w:sz="4" w:space="0" w:color="auto"/>
            </w:tcBorders>
          </w:tcPr>
          <w:p w:rsidR="00E10A87" w:rsidRPr="00BE40E6" w:rsidRDefault="00E10A87" w:rsidP="00BE40E6">
            <w:pPr>
              <w:keepNext/>
              <w:spacing w:after="0"/>
              <w:ind w:left="180"/>
              <w:rPr>
                <w:sz w:val="20"/>
              </w:rPr>
            </w:pPr>
            <w:r w:rsidRPr="00BE40E6">
              <w:rPr>
                <w:sz w:val="20"/>
              </w:rPr>
              <w:t>Median</w:t>
            </w:r>
          </w:p>
        </w:tc>
        <w:tc>
          <w:tcPr>
            <w:tcW w:w="3042" w:type="dxa"/>
            <w:tcBorders>
              <w:top w:val="single" w:sz="4" w:space="0" w:color="auto"/>
              <w:bottom w:val="single" w:sz="4" w:space="0" w:color="auto"/>
            </w:tcBorders>
          </w:tcPr>
          <w:p w:rsidR="00E10A87" w:rsidRPr="00BE40E6" w:rsidRDefault="006A0246" w:rsidP="00BE40E6">
            <w:pPr>
              <w:keepNext/>
              <w:spacing w:after="0"/>
              <w:jc w:val="center"/>
              <w:rPr>
                <w:sz w:val="20"/>
              </w:rPr>
            </w:pPr>
            <w:r>
              <w:rPr>
                <w:sz w:val="20"/>
              </w:rPr>
              <w:t>40.5</w:t>
            </w:r>
            <w:r w:rsidR="00E10A87" w:rsidRPr="00BE40E6">
              <w:rPr>
                <w:sz w:val="20"/>
              </w:rPr>
              <w:t> months</w:t>
            </w:r>
            <w:r w:rsidR="00E10A87" w:rsidRPr="00BE40E6">
              <w:rPr>
                <w:rFonts w:eastAsia="MS Mincho"/>
                <w:b/>
                <w:color w:val="000000"/>
                <w:sz w:val="20"/>
                <w:vertAlign w:val="superscript"/>
                <w:lang w:eastAsia="ja-JP"/>
              </w:rPr>
              <w:t xml:space="preserve"> </w:t>
            </w:r>
          </w:p>
        </w:tc>
        <w:tc>
          <w:tcPr>
            <w:tcW w:w="2430" w:type="dxa"/>
            <w:tcBorders>
              <w:top w:val="single" w:sz="4" w:space="0" w:color="auto"/>
              <w:bottom w:val="single" w:sz="4" w:space="0" w:color="auto"/>
              <w:right w:val="single" w:sz="4" w:space="0" w:color="C0C0C0"/>
            </w:tcBorders>
          </w:tcPr>
          <w:p w:rsidR="00E10A87" w:rsidRPr="00BE40E6" w:rsidRDefault="006A0246" w:rsidP="00BE40E6">
            <w:pPr>
              <w:keepNext/>
              <w:spacing w:after="0"/>
              <w:jc w:val="center"/>
              <w:rPr>
                <w:color w:val="000000"/>
                <w:sz w:val="20"/>
              </w:rPr>
            </w:pPr>
            <w:r>
              <w:rPr>
                <w:color w:val="000000"/>
                <w:sz w:val="20"/>
              </w:rPr>
              <w:t>28.7</w:t>
            </w:r>
            <w:r w:rsidR="00E10A87" w:rsidRPr="00BE40E6">
              <w:rPr>
                <w:color w:val="000000"/>
                <w:sz w:val="20"/>
              </w:rPr>
              <w:t>, NE</w:t>
            </w:r>
          </w:p>
        </w:tc>
      </w:tr>
    </w:tbl>
    <w:p w:rsidR="00E10A87" w:rsidRPr="00BE40E6" w:rsidRDefault="00E10A87" w:rsidP="00864D19">
      <w:pPr>
        <w:pStyle w:val="Paragraph"/>
        <w:keepNext/>
        <w:numPr>
          <w:ilvl w:val="0"/>
          <w:numId w:val="37"/>
        </w:numPr>
        <w:tabs>
          <w:tab w:val="clear" w:pos="720"/>
          <w:tab w:val="num" w:pos="360"/>
        </w:tabs>
        <w:spacing w:after="0"/>
        <w:ind w:left="357" w:hanging="357"/>
        <w:rPr>
          <w:rFonts w:ascii="Arial" w:hAnsi="Arial" w:cs="Arial"/>
          <w:sz w:val="20"/>
          <w:szCs w:val="20"/>
          <w:lang w:val="en-GB"/>
        </w:rPr>
      </w:pPr>
      <w:r w:rsidRPr="00BE40E6">
        <w:rPr>
          <w:rFonts w:ascii="Arial" w:hAnsi="Arial" w:cs="Arial"/>
          <w:sz w:val="20"/>
          <w:szCs w:val="20"/>
          <w:lang w:val="en-GB"/>
        </w:rPr>
        <w:t>The range of DOR was1.2+ months to 26.1+ months and the median follow-up time from first dose for patients who achieved objective response (OR) per IRF was 9.0 months.</w:t>
      </w:r>
    </w:p>
    <w:p w:rsidR="00E10A87" w:rsidRDefault="00E10A87" w:rsidP="00864D19">
      <w:pPr>
        <w:pStyle w:val="Paragraph"/>
        <w:numPr>
          <w:ilvl w:val="0"/>
          <w:numId w:val="37"/>
        </w:numPr>
        <w:tabs>
          <w:tab w:val="clear" w:pos="720"/>
          <w:tab w:val="num" w:pos="360"/>
        </w:tabs>
        <w:spacing w:after="0"/>
        <w:ind w:left="357" w:hanging="357"/>
        <w:rPr>
          <w:rFonts w:ascii="Arial" w:hAnsi="Arial" w:cs="Arial"/>
          <w:sz w:val="20"/>
          <w:szCs w:val="20"/>
          <w:lang w:val="en-GB"/>
        </w:rPr>
      </w:pPr>
      <w:r w:rsidRPr="00BE40E6">
        <w:rPr>
          <w:rFonts w:ascii="Arial" w:hAnsi="Arial" w:cs="Arial"/>
          <w:sz w:val="20"/>
          <w:szCs w:val="20"/>
          <w:lang w:val="en-GB"/>
        </w:rPr>
        <w:t>Not estimable.</w:t>
      </w:r>
    </w:p>
    <w:p w:rsidR="00515187" w:rsidRDefault="00515187" w:rsidP="00515187">
      <w:pPr>
        <w:rPr>
          <w:color w:val="000000"/>
          <w:szCs w:val="22"/>
        </w:rPr>
      </w:pPr>
    </w:p>
    <w:p w:rsidR="00515187" w:rsidRPr="00515187" w:rsidRDefault="00515187" w:rsidP="00515187">
      <w:pPr>
        <w:rPr>
          <w:color w:val="000000"/>
          <w:szCs w:val="22"/>
        </w:rPr>
      </w:pPr>
      <w:r w:rsidRPr="00515187">
        <w:rPr>
          <w:color w:val="000000"/>
          <w:szCs w:val="22"/>
        </w:rPr>
        <w:t>No clinically meaningful differences in the objective response rate were observed among the following subgroups analy</w:t>
      </w:r>
      <w:r w:rsidR="003B37FD">
        <w:rPr>
          <w:color w:val="000000"/>
          <w:szCs w:val="22"/>
        </w:rPr>
        <w:t>s</w:t>
      </w:r>
      <w:r w:rsidRPr="00515187">
        <w:rPr>
          <w:color w:val="000000"/>
          <w:szCs w:val="22"/>
        </w:rPr>
        <w:t xml:space="preserve">ed: gender, baseline weight </w:t>
      </w:r>
      <w:proofErr w:type="gramStart"/>
      <w:r w:rsidRPr="00515187">
        <w:rPr>
          <w:color w:val="000000"/>
          <w:szCs w:val="22"/>
        </w:rPr>
        <w:t>(</w:t>
      </w:r>
      <w:bookmarkStart w:id="6" w:name="OLE_LINK1"/>
      <w:bookmarkStart w:id="7" w:name="OLE_LINK2"/>
      <w:bookmarkEnd w:id="6"/>
      <w:r w:rsidR="00675922" w:rsidRPr="00515187">
        <w:rPr>
          <w:color w:val="000000"/>
          <w:szCs w:val="22"/>
        </w:rPr>
        <w:t> </w:t>
      </w:r>
      <w:r w:rsidRPr="00515187">
        <w:rPr>
          <w:color w:val="000000"/>
          <w:szCs w:val="22"/>
        </w:rPr>
        <w:t>≤</w:t>
      </w:r>
      <w:bookmarkEnd w:id="7"/>
      <w:proofErr w:type="gramEnd"/>
      <w:r w:rsidRPr="00515187">
        <w:rPr>
          <w:color w:val="000000"/>
          <w:szCs w:val="22"/>
        </w:rPr>
        <w:t xml:space="preserve">100 kg versus &gt;100 kg), baseline B </w:t>
      </w:r>
      <w:r w:rsidRPr="00515187">
        <w:rPr>
          <w:color w:val="000000"/>
          <w:szCs w:val="22"/>
        </w:rPr>
        <w:lastRenderedPageBreak/>
        <w:t>symptoms, number of treatments prior to ASCT (</w:t>
      </w:r>
      <w:r w:rsidR="00D41B1D" w:rsidRPr="00515187">
        <w:rPr>
          <w:color w:val="000000"/>
          <w:szCs w:val="22"/>
        </w:rPr>
        <w:t> ≤</w:t>
      </w:r>
      <w:r w:rsidRPr="00515187">
        <w:rPr>
          <w:color w:val="000000"/>
          <w:szCs w:val="22"/>
        </w:rPr>
        <w:t>2 versus &gt;2), number of treatments post-ASCT (0 versus ≥</w:t>
      </w:r>
      <w:r w:rsidR="00D41B1D" w:rsidRPr="00515187">
        <w:rPr>
          <w:color w:val="000000"/>
          <w:szCs w:val="22"/>
        </w:rPr>
        <w:t> </w:t>
      </w:r>
      <w:r w:rsidRPr="00515187">
        <w:rPr>
          <w:color w:val="000000"/>
          <w:szCs w:val="22"/>
        </w:rPr>
        <w:t>1), relapsed versus refractory to last therapy, primary refractory disease, and time from ASCT to relapse post-ASCT (</w:t>
      </w:r>
      <w:r w:rsidR="00D41B1D" w:rsidRPr="00515187">
        <w:rPr>
          <w:color w:val="000000"/>
          <w:szCs w:val="22"/>
        </w:rPr>
        <w:t> </w:t>
      </w:r>
      <w:r w:rsidRPr="00515187">
        <w:rPr>
          <w:color w:val="000000"/>
          <w:szCs w:val="22"/>
        </w:rPr>
        <w:t>≤1 year versus &gt;1 year).</w:t>
      </w:r>
    </w:p>
    <w:p w:rsidR="006B6D51" w:rsidRDefault="006B6D51" w:rsidP="006B6D51">
      <w:pPr>
        <w:pStyle w:val="Paragraph"/>
        <w:spacing w:before="240" w:after="0"/>
        <w:jc w:val="both"/>
        <w:rPr>
          <w:rFonts w:ascii="Arial" w:hAnsi="Arial"/>
          <w:color w:val="000000"/>
          <w:sz w:val="22"/>
          <w:szCs w:val="22"/>
          <w:lang w:val="en-AU"/>
        </w:rPr>
      </w:pPr>
      <w:r w:rsidRPr="006B6D51">
        <w:rPr>
          <w:rFonts w:ascii="Arial" w:hAnsi="Arial"/>
          <w:color w:val="000000"/>
          <w:sz w:val="22"/>
          <w:szCs w:val="22"/>
          <w:lang w:val="en-AU"/>
        </w:rPr>
        <w:t>Tumo</w:t>
      </w:r>
      <w:r w:rsidR="004C5184">
        <w:rPr>
          <w:rFonts w:ascii="Arial" w:hAnsi="Arial"/>
          <w:color w:val="000000"/>
          <w:sz w:val="22"/>
          <w:szCs w:val="22"/>
          <w:lang w:val="en-AU"/>
        </w:rPr>
        <w:t>u</w:t>
      </w:r>
      <w:r w:rsidRPr="006B6D51">
        <w:rPr>
          <w:rFonts w:ascii="Arial" w:hAnsi="Arial"/>
          <w:color w:val="000000"/>
          <w:sz w:val="22"/>
          <w:szCs w:val="22"/>
          <w:lang w:val="en-AU"/>
        </w:rPr>
        <w:t xml:space="preserve">r reduction was achieved in 94% of patients. See Figure 1 for </w:t>
      </w:r>
      <w:r w:rsidR="001F506B">
        <w:rPr>
          <w:rFonts w:ascii="Arial" w:hAnsi="Arial"/>
          <w:color w:val="000000"/>
          <w:sz w:val="22"/>
          <w:szCs w:val="22"/>
          <w:lang w:val="en-AU"/>
        </w:rPr>
        <w:t xml:space="preserve">a </w:t>
      </w:r>
      <w:r w:rsidRPr="006B6D51">
        <w:rPr>
          <w:rFonts w:ascii="Arial" w:hAnsi="Arial"/>
          <w:color w:val="000000"/>
          <w:sz w:val="22"/>
          <w:szCs w:val="22"/>
          <w:lang w:val="en-AU"/>
        </w:rPr>
        <w:t>waterfall chart of tumo</w:t>
      </w:r>
      <w:r w:rsidR="004C5184">
        <w:rPr>
          <w:rFonts w:ascii="Arial" w:hAnsi="Arial"/>
          <w:color w:val="000000"/>
          <w:sz w:val="22"/>
          <w:szCs w:val="22"/>
          <w:lang w:val="en-AU"/>
        </w:rPr>
        <w:t>u</w:t>
      </w:r>
      <w:r w:rsidRPr="006B6D51">
        <w:rPr>
          <w:rFonts w:ascii="Arial" w:hAnsi="Arial"/>
          <w:color w:val="000000"/>
          <w:sz w:val="22"/>
          <w:szCs w:val="22"/>
          <w:lang w:val="en-AU"/>
        </w:rPr>
        <w:t>r reduction,</w:t>
      </w:r>
      <w:r>
        <w:rPr>
          <w:rFonts w:ascii="Arial" w:hAnsi="Arial"/>
          <w:color w:val="000000"/>
          <w:sz w:val="22"/>
          <w:szCs w:val="22"/>
          <w:lang w:val="en-AU"/>
        </w:rPr>
        <w:t xml:space="preserve"> </w:t>
      </w:r>
      <w:r w:rsidRPr="006B6D51">
        <w:rPr>
          <w:rFonts w:ascii="Arial" w:hAnsi="Arial"/>
          <w:color w:val="000000"/>
          <w:sz w:val="22"/>
          <w:szCs w:val="22"/>
          <w:lang w:val="en-AU"/>
        </w:rPr>
        <w:t>ORR and CR</w:t>
      </w:r>
      <w:r>
        <w:rPr>
          <w:rFonts w:ascii="Arial" w:hAnsi="Arial"/>
          <w:color w:val="000000"/>
          <w:sz w:val="22"/>
          <w:szCs w:val="22"/>
          <w:lang w:val="en-AU"/>
        </w:rPr>
        <w:t>.</w:t>
      </w:r>
    </w:p>
    <w:p w:rsidR="00515187" w:rsidRPr="003B37FD" w:rsidRDefault="00515187" w:rsidP="00515187">
      <w:pPr>
        <w:keepNext/>
        <w:rPr>
          <w:b/>
          <w:szCs w:val="22"/>
        </w:rPr>
      </w:pPr>
      <w:r w:rsidRPr="003B37FD">
        <w:rPr>
          <w:b/>
          <w:szCs w:val="22"/>
        </w:rPr>
        <w:t xml:space="preserve">Figure 1: Best </w:t>
      </w:r>
      <w:r w:rsidR="00341ACD">
        <w:rPr>
          <w:b/>
          <w:szCs w:val="22"/>
        </w:rPr>
        <w:t>c</w:t>
      </w:r>
      <w:r w:rsidR="00341ACD" w:rsidRPr="003B37FD">
        <w:rPr>
          <w:b/>
          <w:szCs w:val="22"/>
        </w:rPr>
        <w:t xml:space="preserve">linical </w:t>
      </w:r>
      <w:r w:rsidR="00341ACD">
        <w:rPr>
          <w:b/>
          <w:szCs w:val="22"/>
        </w:rPr>
        <w:t>r</w:t>
      </w:r>
      <w:r w:rsidR="00341ACD" w:rsidRPr="003B37FD">
        <w:rPr>
          <w:b/>
          <w:szCs w:val="22"/>
        </w:rPr>
        <w:t xml:space="preserve">esponse </w:t>
      </w:r>
      <w:r w:rsidRPr="003B37FD">
        <w:rPr>
          <w:b/>
          <w:szCs w:val="22"/>
        </w:rPr>
        <w:t xml:space="preserve">per </w:t>
      </w:r>
      <w:r w:rsidR="00341ACD">
        <w:rPr>
          <w:b/>
          <w:szCs w:val="22"/>
        </w:rPr>
        <w:t>p</w:t>
      </w:r>
      <w:r w:rsidR="00341ACD" w:rsidRPr="003B37FD">
        <w:rPr>
          <w:b/>
          <w:szCs w:val="22"/>
        </w:rPr>
        <w:t xml:space="preserve">atient </w:t>
      </w:r>
      <w:r w:rsidRPr="003B37FD">
        <w:rPr>
          <w:b/>
          <w:szCs w:val="22"/>
        </w:rPr>
        <w:t xml:space="preserve">by IRF </w:t>
      </w:r>
      <w:r w:rsidR="00341ACD">
        <w:rPr>
          <w:b/>
          <w:szCs w:val="22"/>
        </w:rPr>
        <w:t>d</w:t>
      </w:r>
      <w:r w:rsidR="00341ACD" w:rsidRPr="003B37FD">
        <w:rPr>
          <w:b/>
          <w:szCs w:val="22"/>
        </w:rPr>
        <w:t>etermination</w:t>
      </w:r>
    </w:p>
    <w:p w:rsidR="00515187" w:rsidRDefault="001F506B" w:rsidP="00515187">
      <w:pPr>
        <w:rPr>
          <w:rFonts w:ascii="Times New Roman" w:hAnsi="Times New Roman"/>
          <w:i/>
          <w:sz w:val="16"/>
          <w:szCs w:val="16"/>
        </w:rPr>
      </w:pPr>
      <w:r>
        <w:rPr>
          <w:rFonts w:ascii="Times New Roman" w:hAnsi="Times New Roman"/>
          <w:noProof/>
          <w:lang w:eastAsia="en-AU"/>
        </w:rPr>
        <w:drawing>
          <wp:inline distT="0" distB="0" distL="0" distR="0">
            <wp:extent cx="5943600" cy="2962275"/>
            <wp:effectExtent l="0" t="0" r="0" b="0"/>
            <wp:docPr id="1" name="Picture 7" descr="Figure 1: Best clinical response per patient by IRF deter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943600" cy="2962275"/>
                    </a:xfrm>
                    <a:prstGeom prst="rect">
                      <a:avLst/>
                    </a:prstGeom>
                    <a:noFill/>
                    <a:ln w="9525">
                      <a:noFill/>
                      <a:miter lim="800000"/>
                      <a:headEnd/>
                      <a:tailEnd/>
                    </a:ln>
                  </pic:spPr>
                </pic:pic>
              </a:graphicData>
            </a:graphic>
          </wp:inline>
        </w:drawing>
      </w:r>
    </w:p>
    <w:p w:rsidR="00515187" w:rsidRPr="003B37FD" w:rsidRDefault="00C8520A" w:rsidP="00515187">
      <w:pPr>
        <w:rPr>
          <w:rFonts w:cs="Arial"/>
          <w:sz w:val="20"/>
          <w:lang w:val="en-GB"/>
        </w:rPr>
      </w:pPr>
      <w:r>
        <w:rPr>
          <w:rFonts w:cs="Arial"/>
          <w:sz w:val="20"/>
          <w:lang w:val="en-GB"/>
        </w:rPr>
        <w:pict>
          <v:rect id="_x0000_s1026" style="position:absolute;left:0;text-align:left;margin-left:324pt;margin-top:9pt;width:90pt;height:18pt;z-index:-251658752" wrapcoords="-180 0 -180 20700 21600 20700 21600 0 -180 0" stroked="f"/>
        </w:pict>
      </w:r>
      <w:r w:rsidR="00515187" w:rsidRPr="003B37FD">
        <w:rPr>
          <w:rFonts w:cs="Arial"/>
          <w:sz w:val="20"/>
          <w:lang w:val="en-GB"/>
        </w:rPr>
        <w:t>In the designation of CR per Revised Response Criteria for Malignant Lymphoma (</w:t>
      </w:r>
      <w:proofErr w:type="spellStart"/>
      <w:r w:rsidR="00515187" w:rsidRPr="003B37FD">
        <w:rPr>
          <w:rFonts w:cs="Arial"/>
          <w:sz w:val="20"/>
          <w:lang w:val="en-GB"/>
        </w:rPr>
        <w:t>Cheson</w:t>
      </w:r>
      <w:proofErr w:type="spellEnd"/>
      <w:r w:rsidR="00515187" w:rsidRPr="003B37FD">
        <w:rPr>
          <w:rFonts w:cs="Arial"/>
          <w:sz w:val="20"/>
          <w:lang w:val="en-GB"/>
        </w:rPr>
        <w:t xml:space="preserve"> et al., 2007), a post-treatment residual mass of any size is permitted as long as it is PET negative </w:t>
      </w:r>
    </w:p>
    <w:p w:rsidR="00E937C3" w:rsidRDefault="00E937C3" w:rsidP="00DA21CD">
      <w:pPr>
        <w:pStyle w:val="Paragraph"/>
        <w:spacing w:before="240" w:after="120"/>
        <w:jc w:val="both"/>
        <w:rPr>
          <w:rFonts w:ascii="Arial" w:hAnsi="Arial"/>
          <w:color w:val="000000"/>
          <w:sz w:val="22"/>
          <w:szCs w:val="22"/>
          <w:lang w:val="en-AU"/>
        </w:rPr>
      </w:pPr>
      <w:r w:rsidRPr="00A84436">
        <w:rPr>
          <w:rFonts w:ascii="Arial" w:hAnsi="Arial"/>
          <w:color w:val="000000"/>
          <w:sz w:val="22"/>
          <w:szCs w:val="22"/>
          <w:lang w:val="en-AU"/>
        </w:rPr>
        <w:t xml:space="preserve">Of the 35 patients (33%) who had B symptoms at baseline, 27 patients (77%) experienced resolution of all B symptoms at a median time of 0.7 months from initiation of </w:t>
      </w:r>
      <w:r>
        <w:rPr>
          <w:rFonts w:ascii="Arial" w:hAnsi="Arial"/>
          <w:color w:val="000000"/>
          <w:sz w:val="22"/>
          <w:szCs w:val="22"/>
          <w:lang w:val="en-AU"/>
        </w:rPr>
        <w:t>ADCETRIS</w:t>
      </w:r>
      <w:r w:rsidRPr="00A84436">
        <w:rPr>
          <w:rFonts w:ascii="Arial" w:hAnsi="Arial"/>
          <w:color w:val="000000"/>
          <w:sz w:val="22"/>
          <w:szCs w:val="22"/>
          <w:lang w:val="en-AU"/>
        </w:rPr>
        <w:t>.</w:t>
      </w:r>
    </w:p>
    <w:p w:rsidR="00515187" w:rsidRDefault="00F224A1" w:rsidP="00DA21CD">
      <w:pPr>
        <w:spacing w:after="120"/>
        <w:rPr>
          <w:color w:val="000000"/>
          <w:szCs w:val="22"/>
        </w:rPr>
      </w:pPr>
      <w:r>
        <w:rPr>
          <w:color w:val="000000"/>
          <w:szCs w:val="22"/>
        </w:rPr>
        <w:t xml:space="preserve">A pre-specified PFS analysis comparing current PFS per investigator versus PFS achieved with the last therapy received prior to study entry was performed. The analysis included a subset of patients who received systemic therapy post-ASCT prior to receiving ADCETRIS. </w:t>
      </w:r>
      <w:r w:rsidR="00515187" w:rsidRPr="001F506B">
        <w:rPr>
          <w:color w:val="000000"/>
          <w:szCs w:val="22"/>
        </w:rPr>
        <w:t xml:space="preserve">See Figure </w:t>
      </w:r>
      <w:r w:rsidR="001F506B" w:rsidRPr="001F506B">
        <w:rPr>
          <w:color w:val="000000"/>
          <w:szCs w:val="22"/>
        </w:rPr>
        <w:t xml:space="preserve">2 </w:t>
      </w:r>
      <w:r w:rsidR="00515187" w:rsidRPr="001F506B">
        <w:rPr>
          <w:color w:val="000000"/>
          <w:szCs w:val="22"/>
        </w:rPr>
        <w:t>for</w:t>
      </w:r>
      <w:r w:rsidR="00515187" w:rsidRPr="00515187">
        <w:rPr>
          <w:color w:val="000000"/>
          <w:szCs w:val="22"/>
        </w:rPr>
        <w:t xml:space="preserve"> a </w:t>
      </w:r>
      <w:r w:rsidR="000649ED">
        <w:rPr>
          <w:color w:val="000000"/>
          <w:szCs w:val="22"/>
        </w:rPr>
        <w:t>Kaplan-Meier (</w:t>
      </w:r>
      <w:r w:rsidR="00515187" w:rsidRPr="00515187">
        <w:rPr>
          <w:color w:val="000000"/>
          <w:szCs w:val="22"/>
        </w:rPr>
        <w:t>KM</w:t>
      </w:r>
      <w:r w:rsidR="000649ED">
        <w:rPr>
          <w:color w:val="000000"/>
          <w:szCs w:val="22"/>
        </w:rPr>
        <w:t>)</w:t>
      </w:r>
      <w:r w:rsidR="00515187" w:rsidRPr="00515187">
        <w:rPr>
          <w:color w:val="000000"/>
          <w:szCs w:val="22"/>
        </w:rPr>
        <w:t xml:space="preserve"> plot of PFS with </w:t>
      </w:r>
      <w:r w:rsidR="00515187">
        <w:rPr>
          <w:color w:val="000000"/>
          <w:szCs w:val="22"/>
        </w:rPr>
        <w:t>ADCETRIS</w:t>
      </w:r>
      <w:r w:rsidR="00515187" w:rsidRPr="00515187">
        <w:rPr>
          <w:color w:val="000000"/>
          <w:szCs w:val="22"/>
        </w:rPr>
        <w:t xml:space="preserve"> compared to PFS from the most recent post-ASCT </w:t>
      </w:r>
      <w:r w:rsidR="003C58E9">
        <w:rPr>
          <w:color w:val="000000"/>
          <w:szCs w:val="22"/>
        </w:rPr>
        <w:t>therapy</w:t>
      </w:r>
      <w:r w:rsidR="00515187" w:rsidRPr="00515187">
        <w:rPr>
          <w:color w:val="000000"/>
          <w:szCs w:val="22"/>
        </w:rPr>
        <w:t>.</w:t>
      </w:r>
    </w:p>
    <w:p w:rsidR="00E937C3" w:rsidRPr="00DA21CD" w:rsidRDefault="00E937C3" w:rsidP="00E937C3">
      <w:pPr>
        <w:keepNext/>
        <w:rPr>
          <w:b/>
          <w:szCs w:val="22"/>
        </w:rPr>
      </w:pPr>
      <w:bookmarkStart w:id="8" w:name="_Ref259788364"/>
      <w:bookmarkStart w:id="9" w:name="_Ref259788361"/>
      <w:bookmarkStart w:id="10" w:name="_Toc277843222"/>
      <w:bookmarkStart w:id="11" w:name="_Toc280541373"/>
      <w:r w:rsidRPr="00DA21CD">
        <w:rPr>
          <w:b/>
          <w:szCs w:val="22"/>
        </w:rPr>
        <w:lastRenderedPageBreak/>
        <w:t>Figure 2:</w:t>
      </w:r>
      <w:bookmarkEnd w:id="8"/>
      <w:r w:rsidRPr="00DA21CD">
        <w:rPr>
          <w:b/>
          <w:szCs w:val="22"/>
        </w:rPr>
        <w:t xml:space="preserve"> Comparison of current PFS per investigator and PFS achieved with the last therapy received prior to study entry</w:t>
      </w:r>
      <w:bookmarkEnd w:id="9"/>
      <w:r w:rsidRPr="00DA21CD">
        <w:rPr>
          <w:b/>
          <w:szCs w:val="22"/>
        </w:rPr>
        <w:t xml:space="preserve"> - subset of patients who received systemic therapy post-ASCT and prior to </w:t>
      </w:r>
      <w:bookmarkEnd w:id="10"/>
      <w:bookmarkEnd w:id="11"/>
      <w:r w:rsidR="000649ED" w:rsidRPr="00DA21CD">
        <w:rPr>
          <w:b/>
          <w:szCs w:val="22"/>
        </w:rPr>
        <w:t>ADCETRIS</w:t>
      </w:r>
    </w:p>
    <w:p w:rsidR="00BA6B40" w:rsidRDefault="00246E92" w:rsidP="00E937C3">
      <w:pPr>
        <w:rPr>
          <w:rFonts w:cs="Arial"/>
          <w:sz w:val="20"/>
          <w:lang w:val="en-GB"/>
        </w:rPr>
      </w:pPr>
      <w:r>
        <w:rPr>
          <w:rFonts w:cs="Arial"/>
          <w:noProof/>
          <w:sz w:val="20"/>
          <w:lang w:eastAsia="en-AU"/>
        </w:rPr>
        <w:drawing>
          <wp:inline distT="0" distB="0" distL="0" distR="0">
            <wp:extent cx="6120130" cy="3097566"/>
            <wp:effectExtent l="0" t="0" r="0" b="0"/>
            <wp:docPr id="8" name="Picture 1" descr="Figure 2: Comparison of current PFS per investigator and PFS achieved with the last therapy received prior to study entry - subset of patients who received systemic therapy post-ASCT and prior to ADCET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120130" cy="3097566"/>
                    </a:xfrm>
                    <a:prstGeom prst="rect">
                      <a:avLst/>
                    </a:prstGeom>
                    <a:noFill/>
                    <a:ln w="9525">
                      <a:noFill/>
                      <a:miter lim="800000"/>
                      <a:headEnd/>
                      <a:tailEnd/>
                    </a:ln>
                  </pic:spPr>
                </pic:pic>
              </a:graphicData>
            </a:graphic>
          </wp:inline>
        </w:drawing>
      </w:r>
    </w:p>
    <w:p w:rsidR="00E937C3" w:rsidRPr="00DA21CD" w:rsidRDefault="00E937C3" w:rsidP="00E937C3">
      <w:pPr>
        <w:rPr>
          <w:rFonts w:cs="Arial"/>
          <w:sz w:val="20"/>
          <w:lang w:val="en-GB"/>
        </w:rPr>
      </w:pPr>
      <w:r w:rsidRPr="00DA21CD">
        <w:rPr>
          <w:rFonts w:cs="Arial"/>
          <w:sz w:val="20"/>
          <w:lang w:val="en-GB"/>
        </w:rPr>
        <w:t>Symbols on the plot indicate censored patients.</w:t>
      </w:r>
    </w:p>
    <w:p w:rsidR="00C17C38" w:rsidRPr="00B04EFC" w:rsidRDefault="00C17C38" w:rsidP="00C17C38">
      <w:pPr>
        <w:rPr>
          <w:color w:val="000000"/>
          <w:szCs w:val="22"/>
        </w:rPr>
      </w:pPr>
      <w:r w:rsidRPr="00B04EFC">
        <w:rPr>
          <w:color w:val="000000"/>
          <w:szCs w:val="22"/>
        </w:rPr>
        <w:t xml:space="preserve">Data were collected from patients (n=15) in phase 1 dose escalation and clinical pharmacology studies, and from patients (n=26) in a </w:t>
      </w:r>
      <w:r w:rsidR="002E73F6" w:rsidRPr="00B04EFC">
        <w:rPr>
          <w:color w:val="000000"/>
          <w:szCs w:val="22"/>
        </w:rPr>
        <w:t>Named Patient Program (</w:t>
      </w:r>
      <w:r w:rsidRPr="00B04EFC">
        <w:rPr>
          <w:color w:val="000000"/>
          <w:szCs w:val="22"/>
        </w:rPr>
        <w:t>NPP</w:t>
      </w:r>
      <w:r w:rsidR="002E73F6" w:rsidRPr="00B04EFC">
        <w:rPr>
          <w:color w:val="000000"/>
          <w:szCs w:val="22"/>
        </w:rPr>
        <w:t>)</w:t>
      </w:r>
      <w:r w:rsidRPr="00B04EFC">
        <w:rPr>
          <w:color w:val="000000"/>
          <w:szCs w:val="22"/>
        </w:rPr>
        <w:t xml:space="preserve">, with relapsed or refractory HL who had not received an ASCT, and who were treated with 1.8 mg/kg of </w:t>
      </w:r>
      <w:proofErr w:type="spellStart"/>
      <w:r w:rsidRPr="00B04EFC">
        <w:rPr>
          <w:color w:val="000000"/>
          <w:szCs w:val="22"/>
        </w:rPr>
        <w:t>brentuximab</w:t>
      </w:r>
      <w:proofErr w:type="spellEnd"/>
      <w:r w:rsidRPr="00B04EFC">
        <w:rPr>
          <w:color w:val="000000"/>
          <w:szCs w:val="22"/>
        </w:rPr>
        <w:t xml:space="preserve"> </w:t>
      </w:r>
      <w:proofErr w:type="spellStart"/>
      <w:r w:rsidRPr="00B04EFC">
        <w:rPr>
          <w:color w:val="000000"/>
          <w:szCs w:val="22"/>
        </w:rPr>
        <w:t>vedotin</w:t>
      </w:r>
      <w:proofErr w:type="spellEnd"/>
      <w:r w:rsidRPr="00B04EFC">
        <w:rPr>
          <w:color w:val="000000"/>
          <w:szCs w:val="22"/>
        </w:rPr>
        <w:t xml:space="preserve"> every 3 weeks.   </w:t>
      </w:r>
    </w:p>
    <w:p w:rsidR="00C17C38" w:rsidRPr="00B04EFC" w:rsidRDefault="00C17C38" w:rsidP="00C17C38">
      <w:pPr>
        <w:rPr>
          <w:color w:val="000000"/>
          <w:szCs w:val="22"/>
        </w:rPr>
      </w:pPr>
      <w:r w:rsidRPr="00B04EFC">
        <w:rPr>
          <w:color w:val="000000"/>
          <w:szCs w:val="22"/>
        </w:rPr>
        <w:t xml:space="preserve">Baseline patient characteristics showed failure from multiple prior chemotherapy regimens (median of 3 with a range of 1 to 7) before first administration with </w:t>
      </w:r>
      <w:proofErr w:type="spellStart"/>
      <w:r w:rsidRPr="00B04EFC">
        <w:rPr>
          <w:color w:val="000000"/>
          <w:szCs w:val="22"/>
        </w:rPr>
        <w:t>brentuximab</w:t>
      </w:r>
      <w:proofErr w:type="spellEnd"/>
      <w:r w:rsidRPr="00B04EFC">
        <w:rPr>
          <w:color w:val="000000"/>
          <w:szCs w:val="22"/>
        </w:rPr>
        <w:t xml:space="preserve"> </w:t>
      </w:r>
      <w:proofErr w:type="spellStart"/>
      <w:r w:rsidRPr="00B04EFC">
        <w:rPr>
          <w:color w:val="000000"/>
          <w:szCs w:val="22"/>
        </w:rPr>
        <w:t>vedotin</w:t>
      </w:r>
      <w:proofErr w:type="spellEnd"/>
      <w:r w:rsidRPr="00B04EFC">
        <w:rPr>
          <w:color w:val="000000"/>
          <w:szCs w:val="22"/>
        </w:rPr>
        <w:t xml:space="preserve">. Fifty nine percent (59%) of patients had advanced stage disease (stage III or IV) at initial diagnosis. </w:t>
      </w:r>
    </w:p>
    <w:p w:rsidR="00C17C38" w:rsidRPr="00C17C38" w:rsidRDefault="00C17C38" w:rsidP="00C17C38">
      <w:pPr>
        <w:rPr>
          <w:color w:val="000000"/>
          <w:szCs w:val="22"/>
        </w:rPr>
      </w:pPr>
      <w:r w:rsidRPr="00B04EFC">
        <w:rPr>
          <w:color w:val="000000"/>
          <w:szCs w:val="22"/>
        </w:rPr>
        <w:t xml:space="preserve">Results from these phase 1 studies and from the NPP experience showed, that in patients with relapsed or refractory HL without prior ASCT, clinically meaningful responses can be achieved as evidenced by an investigator-assessed, objective response rate of 54% and a complete remission rate of 22% after a median of 5 cycles of </w:t>
      </w:r>
      <w:proofErr w:type="spellStart"/>
      <w:r w:rsidRPr="00B04EFC">
        <w:rPr>
          <w:color w:val="000000"/>
          <w:szCs w:val="22"/>
        </w:rPr>
        <w:t>brentuximab</w:t>
      </w:r>
      <w:proofErr w:type="spellEnd"/>
      <w:r w:rsidRPr="00B04EFC">
        <w:rPr>
          <w:color w:val="000000"/>
          <w:szCs w:val="22"/>
        </w:rPr>
        <w:t xml:space="preserve"> </w:t>
      </w:r>
      <w:proofErr w:type="spellStart"/>
      <w:r w:rsidRPr="00B04EFC">
        <w:rPr>
          <w:color w:val="000000"/>
          <w:szCs w:val="22"/>
        </w:rPr>
        <w:t>vedotin</w:t>
      </w:r>
      <w:proofErr w:type="spellEnd"/>
      <w:r w:rsidRPr="00B04EFC">
        <w:rPr>
          <w:color w:val="000000"/>
          <w:szCs w:val="22"/>
        </w:rPr>
        <w:t>.</w:t>
      </w:r>
      <w:r w:rsidRPr="00C17C38">
        <w:rPr>
          <w:color w:val="000000"/>
          <w:szCs w:val="22"/>
        </w:rPr>
        <w:t xml:space="preserve"> </w:t>
      </w:r>
    </w:p>
    <w:p w:rsidR="00E10A87" w:rsidRPr="00A84436" w:rsidRDefault="00E10A87" w:rsidP="000B25F6">
      <w:pPr>
        <w:pStyle w:val="Heading2"/>
      </w:pPr>
      <w:r w:rsidRPr="00D50153">
        <w:t xml:space="preserve">Systemic anaplastic large cell lymphoma </w:t>
      </w:r>
    </w:p>
    <w:p w:rsidR="00E10A87" w:rsidRPr="00A84436" w:rsidRDefault="00E10A87" w:rsidP="00A84436">
      <w:pPr>
        <w:pStyle w:val="Paragraph"/>
        <w:spacing w:after="0"/>
        <w:jc w:val="both"/>
        <w:rPr>
          <w:rFonts w:ascii="Arial" w:hAnsi="Arial"/>
          <w:color w:val="000000"/>
          <w:sz w:val="22"/>
          <w:szCs w:val="22"/>
          <w:lang w:val="en-AU"/>
        </w:rPr>
      </w:pPr>
      <w:proofErr w:type="gramStart"/>
      <w:r w:rsidRPr="00A84436">
        <w:rPr>
          <w:rFonts w:ascii="Arial" w:hAnsi="Arial"/>
          <w:color w:val="000000"/>
          <w:sz w:val="22"/>
          <w:szCs w:val="22"/>
          <w:lang w:val="en-AU"/>
        </w:rPr>
        <w:t xml:space="preserve">The efficacy and safety of </w:t>
      </w:r>
      <w:r w:rsidR="00B5187B">
        <w:rPr>
          <w:rFonts w:ascii="Arial" w:hAnsi="Arial"/>
          <w:color w:val="000000"/>
          <w:sz w:val="22"/>
          <w:szCs w:val="22"/>
          <w:lang w:val="en-AU"/>
        </w:rPr>
        <w:t xml:space="preserve">ADCETRIS </w:t>
      </w:r>
      <w:r w:rsidRPr="00A84436">
        <w:rPr>
          <w:rFonts w:ascii="Arial" w:hAnsi="Arial"/>
          <w:color w:val="000000"/>
          <w:sz w:val="22"/>
          <w:szCs w:val="22"/>
          <w:lang w:val="en-AU"/>
        </w:rPr>
        <w:t xml:space="preserve">as a single agent was evaluated in an open-label, single-arm, </w:t>
      </w:r>
      <w:proofErr w:type="spellStart"/>
      <w:r w:rsidRPr="00A84436">
        <w:rPr>
          <w:rFonts w:ascii="Arial" w:hAnsi="Arial"/>
          <w:color w:val="000000"/>
          <w:sz w:val="22"/>
          <w:szCs w:val="22"/>
          <w:lang w:val="en-AU"/>
        </w:rPr>
        <w:t>multicenter</w:t>
      </w:r>
      <w:proofErr w:type="spellEnd"/>
      <w:r w:rsidRPr="00A84436">
        <w:rPr>
          <w:rFonts w:ascii="Arial" w:hAnsi="Arial"/>
          <w:color w:val="000000"/>
          <w:sz w:val="22"/>
          <w:szCs w:val="22"/>
          <w:lang w:val="en-AU"/>
        </w:rPr>
        <w:t xml:space="preserve"> study (study SG035-0004) in 58 patients with relapsed or refractory </w:t>
      </w:r>
      <w:proofErr w:type="spellStart"/>
      <w:r w:rsidRPr="00A84436">
        <w:rPr>
          <w:rFonts w:ascii="Arial" w:hAnsi="Arial"/>
          <w:color w:val="000000"/>
          <w:sz w:val="22"/>
          <w:szCs w:val="22"/>
          <w:lang w:val="en-AU"/>
        </w:rPr>
        <w:t>sALCL</w:t>
      </w:r>
      <w:proofErr w:type="spellEnd"/>
      <w:r w:rsidRPr="00A84436">
        <w:rPr>
          <w:rFonts w:ascii="Arial" w:hAnsi="Arial"/>
          <w:color w:val="000000"/>
          <w:sz w:val="22"/>
          <w:szCs w:val="22"/>
          <w:lang w:val="en-AU"/>
        </w:rPr>
        <w:t>.</w:t>
      </w:r>
      <w:proofErr w:type="gramEnd"/>
      <w:r w:rsidRPr="00A84436">
        <w:rPr>
          <w:rFonts w:ascii="Arial" w:hAnsi="Arial"/>
          <w:color w:val="000000"/>
          <w:sz w:val="22"/>
          <w:szCs w:val="22"/>
          <w:lang w:val="en-AU"/>
        </w:rPr>
        <w:t xml:space="preserve"> </w:t>
      </w:r>
      <w:r w:rsidRPr="00B46FF1">
        <w:rPr>
          <w:rFonts w:ascii="Arial" w:hAnsi="Arial"/>
          <w:color w:val="000000"/>
          <w:sz w:val="22"/>
          <w:szCs w:val="22"/>
          <w:lang w:val="en-AU"/>
        </w:rPr>
        <w:t xml:space="preserve">See </w:t>
      </w:r>
      <w:r w:rsidRPr="00B46FF1">
        <w:rPr>
          <w:rFonts w:ascii="Arial" w:hAnsi="Arial"/>
          <w:sz w:val="22"/>
          <w:szCs w:val="22"/>
          <w:lang w:val="en-AU"/>
        </w:rPr>
        <w:t xml:space="preserve">Table </w:t>
      </w:r>
      <w:r w:rsidR="00B46FF1">
        <w:rPr>
          <w:rFonts w:ascii="Arial" w:hAnsi="Arial"/>
          <w:sz w:val="22"/>
          <w:szCs w:val="22"/>
          <w:lang w:val="en-AU"/>
        </w:rPr>
        <w:t>3</w:t>
      </w:r>
      <w:r w:rsidR="00B46FF1" w:rsidRPr="00B46FF1">
        <w:rPr>
          <w:rFonts w:ascii="Arial" w:hAnsi="Arial"/>
          <w:color w:val="000000"/>
          <w:sz w:val="22"/>
          <w:szCs w:val="22"/>
          <w:lang w:val="en-AU"/>
        </w:rPr>
        <w:t xml:space="preserve"> </w:t>
      </w:r>
      <w:r w:rsidRPr="00B46FF1">
        <w:rPr>
          <w:rFonts w:ascii="Arial" w:hAnsi="Arial"/>
          <w:color w:val="000000"/>
          <w:sz w:val="22"/>
          <w:szCs w:val="22"/>
          <w:lang w:val="en-AU"/>
        </w:rPr>
        <w:t>below for a summary of baseline patient and disease characteristics.</w:t>
      </w:r>
      <w:r w:rsidRPr="00A84436">
        <w:rPr>
          <w:rFonts w:ascii="Arial" w:hAnsi="Arial"/>
          <w:color w:val="000000"/>
          <w:sz w:val="22"/>
          <w:szCs w:val="22"/>
          <w:lang w:val="en-AU"/>
        </w:rPr>
        <w:t xml:space="preserve"> </w:t>
      </w:r>
    </w:p>
    <w:p w:rsidR="00E10A87" w:rsidRDefault="00CB38C4" w:rsidP="00F742EB">
      <w:pPr>
        <w:pStyle w:val="Paragraph"/>
        <w:keepNext/>
        <w:spacing w:before="240" w:after="120"/>
        <w:rPr>
          <w:rFonts w:ascii="Arial" w:hAnsi="Arial"/>
          <w:b/>
          <w:sz w:val="22"/>
          <w:szCs w:val="20"/>
          <w:lang w:val="en-AU"/>
        </w:rPr>
      </w:pPr>
      <w:r>
        <w:rPr>
          <w:rFonts w:ascii="Arial" w:hAnsi="Arial"/>
          <w:b/>
          <w:sz w:val="22"/>
          <w:szCs w:val="20"/>
          <w:lang w:val="en-AU"/>
        </w:rPr>
        <w:lastRenderedPageBreak/>
        <w:t xml:space="preserve">Table </w:t>
      </w:r>
      <w:r w:rsidR="00B46FF1">
        <w:rPr>
          <w:rFonts w:ascii="Arial" w:hAnsi="Arial"/>
          <w:b/>
          <w:sz w:val="22"/>
          <w:szCs w:val="20"/>
          <w:lang w:val="en-AU"/>
        </w:rPr>
        <w:t>3</w:t>
      </w:r>
      <w:r w:rsidR="00864D19">
        <w:rPr>
          <w:rFonts w:ascii="Arial" w:hAnsi="Arial"/>
          <w:b/>
          <w:sz w:val="22"/>
          <w:szCs w:val="20"/>
          <w:lang w:val="en-AU"/>
        </w:rPr>
        <w:t>:</w:t>
      </w:r>
      <w:r w:rsidR="00BE40E6">
        <w:rPr>
          <w:rFonts w:ascii="Arial" w:hAnsi="Arial"/>
          <w:b/>
          <w:sz w:val="22"/>
          <w:szCs w:val="20"/>
          <w:lang w:val="en-AU"/>
        </w:rPr>
        <w:t xml:space="preserve"> </w:t>
      </w:r>
      <w:r w:rsidR="00E10A87" w:rsidRPr="00A84436">
        <w:rPr>
          <w:rFonts w:ascii="Arial" w:hAnsi="Arial"/>
          <w:b/>
          <w:sz w:val="22"/>
          <w:szCs w:val="20"/>
          <w:lang w:val="en-AU"/>
        </w:rPr>
        <w:t xml:space="preserve">Summary of baseline patient and disease characteristics in the phase 2 relapsed or refractory </w:t>
      </w:r>
      <w:proofErr w:type="spellStart"/>
      <w:r w:rsidR="00E10A87" w:rsidRPr="00A84436">
        <w:rPr>
          <w:rFonts w:ascii="Arial" w:hAnsi="Arial"/>
          <w:b/>
          <w:sz w:val="22"/>
          <w:szCs w:val="20"/>
          <w:lang w:val="en-AU"/>
        </w:rPr>
        <w:t>sALCL</w:t>
      </w:r>
      <w:proofErr w:type="spellEnd"/>
      <w:r w:rsidR="00E10A87" w:rsidRPr="00A84436">
        <w:rPr>
          <w:rFonts w:ascii="Arial" w:hAnsi="Arial"/>
          <w:b/>
          <w:sz w:val="22"/>
          <w:szCs w:val="20"/>
          <w:lang w:val="en-AU"/>
        </w:rPr>
        <w:t xml:space="preserve"> study</w:t>
      </w:r>
    </w:p>
    <w:tbl>
      <w:tblPr>
        <w:tblW w:w="9000" w:type="dxa"/>
        <w:jc w:val="center"/>
        <w:tblInd w:w="-263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5761"/>
        <w:gridCol w:w="3239"/>
      </w:tblGrid>
      <w:tr w:rsidR="00E10A87" w:rsidRPr="000B25F6" w:rsidTr="00CB38C4">
        <w:trPr>
          <w:trHeight w:val="302"/>
          <w:jc w:val="center"/>
        </w:trPr>
        <w:tc>
          <w:tcPr>
            <w:tcW w:w="5761" w:type="dxa"/>
            <w:tcBorders>
              <w:top w:val="single" w:sz="4" w:space="0" w:color="auto"/>
              <w:left w:val="single" w:sz="4" w:space="0" w:color="auto"/>
              <w:bottom w:val="single" w:sz="4" w:space="0" w:color="auto"/>
            </w:tcBorders>
          </w:tcPr>
          <w:p w:rsidR="00E10A87" w:rsidRPr="000B25F6" w:rsidRDefault="00E10A87" w:rsidP="00BE40E6">
            <w:pPr>
              <w:keepNext/>
              <w:spacing w:after="0"/>
              <w:rPr>
                <w:b/>
                <w:bCs/>
                <w:sz w:val="20"/>
              </w:rPr>
            </w:pPr>
            <w:r w:rsidRPr="000B25F6">
              <w:rPr>
                <w:b/>
                <w:bCs/>
                <w:sz w:val="20"/>
              </w:rPr>
              <w:t>Patient characteristics</w:t>
            </w:r>
          </w:p>
        </w:tc>
        <w:tc>
          <w:tcPr>
            <w:tcW w:w="3239" w:type="dxa"/>
            <w:tcBorders>
              <w:top w:val="single" w:sz="4" w:space="0" w:color="auto"/>
              <w:bottom w:val="single" w:sz="4" w:space="0" w:color="auto"/>
              <w:right w:val="single" w:sz="4" w:space="0" w:color="auto"/>
            </w:tcBorders>
          </w:tcPr>
          <w:p w:rsidR="00E10A87" w:rsidRPr="000B25F6" w:rsidRDefault="00E10A87" w:rsidP="00BE40E6">
            <w:pPr>
              <w:keepNext/>
              <w:spacing w:after="0"/>
              <w:jc w:val="center"/>
              <w:rPr>
                <w:b/>
                <w:bCs/>
                <w:sz w:val="20"/>
              </w:rPr>
            </w:pPr>
            <w:r w:rsidRPr="000B25F6">
              <w:rPr>
                <w:b/>
                <w:bCs/>
                <w:sz w:val="20"/>
              </w:rPr>
              <w:t>N =58</w:t>
            </w:r>
          </w:p>
        </w:tc>
      </w:tr>
      <w:tr w:rsidR="00E10A87" w:rsidRPr="000B25F6" w:rsidTr="00CB38C4">
        <w:trPr>
          <w:trHeight w:val="270"/>
          <w:jc w:val="center"/>
        </w:trPr>
        <w:tc>
          <w:tcPr>
            <w:tcW w:w="5761" w:type="dxa"/>
            <w:tcBorders>
              <w:top w:val="single" w:sz="4" w:space="0" w:color="auto"/>
              <w:left w:val="single" w:sz="4" w:space="0" w:color="auto"/>
              <w:bottom w:val="single" w:sz="2" w:space="0" w:color="FFFFFF"/>
            </w:tcBorders>
          </w:tcPr>
          <w:p w:rsidR="00E10A87" w:rsidRPr="000B25F6" w:rsidRDefault="00E10A87" w:rsidP="00BE40E6">
            <w:pPr>
              <w:keepNext/>
              <w:spacing w:after="0"/>
              <w:ind w:left="62" w:firstLine="110"/>
              <w:rPr>
                <w:sz w:val="20"/>
              </w:rPr>
            </w:pPr>
            <w:r w:rsidRPr="000B25F6">
              <w:rPr>
                <w:sz w:val="20"/>
              </w:rPr>
              <w:t xml:space="preserve">Median age, </w:t>
            </w:r>
            <w:proofErr w:type="spellStart"/>
            <w:r w:rsidRPr="000B25F6">
              <w:rPr>
                <w:sz w:val="20"/>
              </w:rPr>
              <w:t>yrs</w:t>
            </w:r>
            <w:proofErr w:type="spellEnd"/>
            <w:r w:rsidRPr="000B25F6">
              <w:rPr>
                <w:sz w:val="20"/>
              </w:rPr>
              <w:t xml:space="preserve"> (range)</w:t>
            </w:r>
          </w:p>
        </w:tc>
        <w:tc>
          <w:tcPr>
            <w:tcW w:w="3239" w:type="dxa"/>
            <w:tcBorders>
              <w:top w:val="single" w:sz="4" w:space="0" w:color="auto"/>
              <w:bottom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52 years (14</w:t>
            </w:r>
            <w:r w:rsidRPr="000B25F6">
              <w:rPr>
                <w:sz w:val="20"/>
              </w:rPr>
              <w:noBreakHyphen/>
              <w:t>76)</w:t>
            </w:r>
          </w:p>
        </w:tc>
      </w:tr>
      <w:tr w:rsidR="00E10A87" w:rsidRPr="000B25F6" w:rsidTr="00CB38C4">
        <w:trPr>
          <w:trHeight w:val="270"/>
          <w:jc w:val="center"/>
        </w:trPr>
        <w:tc>
          <w:tcPr>
            <w:tcW w:w="5761" w:type="dxa"/>
            <w:tcBorders>
              <w:top w:val="single" w:sz="2" w:space="0" w:color="FFFFFF"/>
              <w:left w:val="single" w:sz="4" w:space="0" w:color="auto"/>
              <w:bottom w:val="single" w:sz="2" w:space="0" w:color="FFFFFF"/>
            </w:tcBorders>
          </w:tcPr>
          <w:p w:rsidR="00E10A87" w:rsidRPr="000B25F6" w:rsidRDefault="00E10A87" w:rsidP="00BE40E6">
            <w:pPr>
              <w:keepNext/>
              <w:spacing w:after="0"/>
              <w:ind w:firstLine="172"/>
              <w:rPr>
                <w:sz w:val="20"/>
              </w:rPr>
            </w:pPr>
            <w:r w:rsidRPr="000B25F6">
              <w:rPr>
                <w:sz w:val="20"/>
              </w:rPr>
              <w:t>Gender</w:t>
            </w:r>
          </w:p>
        </w:tc>
        <w:tc>
          <w:tcPr>
            <w:tcW w:w="3239" w:type="dxa"/>
            <w:tcBorders>
              <w:top w:val="single" w:sz="2" w:space="0" w:color="FFFFFF"/>
              <w:bottom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33M (57%)/25F (43%)</w:t>
            </w:r>
          </w:p>
        </w:tc>
      </w:tr>
      <w:tr w:rsidR="00E10A87" w:rsidRPr="000B25F6" w:rsidTr="00CB38C4">
        <w:trPr>
          <w:trHeight w:val="255"/>
          <w:jc w:val="center"/>
        </w:trPr>
        <w:tc>
          <w:tcPr>
            <w:tcW w:w="5761" w:type="dxa"/>
            <w:tcBorders>
              <w:top w:val="single" w:sz="2" w:space="0" w:color="FFFFFF"/>
              <w:left w:val="single" w:sz="4" w:space="0" w:color="auto"/>
            </w:tcBorders>
          </w:tcPr>
          <w:p w:rsidR="00E10A87" w:rsidRPr="000B25F6" w:rsidRDefault="00E10A87" w:rsidP="00BE40E6">
            <w:pPr>
              <w:keepNext/>
              <w:spacing w:after="0"/>
              <w:ind w:firstLine="172"/>
              <w:rPr>
                <w:sz w:val="20"/>
              </w:rPr>
            </w:pPr>
            <w:r w:rsidRPr="000B25F6">
              <w:rPr>
                <w:sz w:val="20"/>
              </w:rPr>
              <w:t xml:space="preserve">ECOG </w:t>
            </w:r>
            <w:proofErr w:type="spellStart"/>
            <w:r w:rsidRPr="000B25F6">
              <w:rPr>
                <w:sz w:val="20"/>
              </w:rPr>
              <w:t>status</w:t>
            </w:r>
            <w:r w:rsidRPr="000B25F6">
              <w:rPr>
                <w:sz w:val="20"/>
                <w:vertAlign w:val="superscript"/>
              </w:rPr>
              <w:t>a</w:t>
            </w:r>
            <w:proofErr w:type="spellEnd"/>
          </w:p>
        </w:tc>
        <w:tc>
          <w:tcPr>
            <w:tcW w:w="3239" w:type="dxa"/>
            <w:tcBorders>
              <w:top w:val="single" w:sz="2" w:space="0" w:color="FFFFFF"/>
              <w:right w:val="single" w:sz="4" w:space="0" w:color="auto"/>
            </w:tcBorders>
          </w:tcPr>
          <w:p w:rsidR="00E10A87" w:rsidRPr="000B25F6" w:rsidRDefault="00E10A87" w:rsidP="00BE40E6">
            <w:pPr>
              <w:keepNext/>
              <w:spacing w:after="0"/>
              <w:jc w:val="center"/>
              <w:rPr>
                <w:sz w:val="20"/>
              </w:rPr>
            </w:pPr>
          </w:p>
        </w:tc>
      </w:tr>
      <w:tr w:rsidR="00E10A87" w:rsidRPr="000B25F6" w:rsidTr="00CB38C4">
        <w:trPr>
          <w:trHeight w:val="255"/>
          <w:jc w:val="center"/>
        </w:trPr>
        <w:tc>
          <w:tcPr>
            <w:tcW w:w="5761" w:type="dxa"/>
            <w:tcBorders>
              <w:left w:val="single" w:sz="4" w:space="0" w:color="auto"/>
            </w:tcBorders>
          </w:tcPr>
          <w:p w:rsidR="00E10A87" w:rsidRPr="000B25F6" w:rsidRDefault="00E10A87" w:rsidP="00BE40E6">
            <w:pPr>
              <w:keepNext/>
              <w:spacing w:after="0"/>
              <w:ind w:left="392"/>
              <w:rPr>
                <w:sz w:val="20"/>
              </w:rPr>
            </w:pPr>
            <w:r w:rsidRPr="000B25F6">
              <w:rPr>
                <w:sz w:val="20"/>
              </w:rPr>
              <w:t>0</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19 (33%)</w:t>
            </w:r>
          </w:p>
        </w:tc>
      </w:tr>
      <w:tr w:rsidR="00E10A87" w:rsidRPr="000B25F6" w:rsidTr="00CB38C4">
        <w:trPr>
          <w:trHeight w:val="113"/>
          <w:jc w:val="center"/>
        </w:trPr>
        <w:tc>
          <w:tcPr>
            <w:tcW w:w="5761" w:type="dxa"/>
            <w:tcBorders>
              <w:left w:val="single" w:sz="4" w:space="0" w:color="auto"/>
              <w:bottom w:val="single" w:sz="8" w:space="0" w:color="FFFFFF"/>
            </w:tcBorders>
          </w:tcPr>
          <w:p w:rsidR="00E10A87" w:rsidRPr="000B25F6" w:rsidRDefault="00E10A87" w:rsidP="00BE40E6">
            <w:pPr>
              <w:keepNext/>
              <w:spacing w:after="0"/>
              <w:ind w:left="392"/>
              <w:rPr>
                <w:sz w:val="20"/>
              </w:rPr>
            </w:pPr>
            <w:r w:rsidRPr="000B25F6">
              <w:rPr>
                <w:sz w:val="20"/>
              </w:rPr>
              <w:t>1</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38 (66%)</w:t>
            </w:r>
          </w:p>
        </w:tc>
      </w:tr>
      <w:tr w:rsidR="00E10A87" w:rsidRPr="000B25F6" w:rsidTr="00CB38C4">
        <w:trPr>
          <w:trHeight w:val="113"/>
          <w:jc w:val="center"/>
        </w:trPr>
        <w:tc>
          <w:tcPr>
            <w:tcW w:w="5761" w:type="dxa"/>
            <w:tcBorders>
              <w:top w:val="single" w:sz="8" w:space="0" w:color="FFFFFF"/>
              <w:left w:val="single" w:sz="4" w:space="0" w:color="auto"/>
              <w:bottom w:val="single" w:sz="8" w:space="0" w:color="FFFFFF"/>
            </w:tcBorders>
          </w:tcPr>
          <w:p w:rsidR="00E10A87" w:rsidRPr="000B25F6" w:rsidRDefault="00E10A87" w:rsidP="00BE40E6">
            <w:pPr>
              <w:keepNext/>
              <w:spacing w:after="0"/>
              <w:ind w:left="392" w:hanging="216"/>
              <w:rPr>
                <w:sz w:val="20"/>
              </w:rPr>
            </w:pPr>
            <w:r w:rsidRPr="000B25F6">
              <w:rPr>
                <w:sz w:val="20"/>
              </w:rPr>
              <w:t>Prior ASCT</w:t>
            </w:r>
          </w:p>
        </w:tc>
        <w:tc>
          <w:tcPr>
            <w:tcW w:w="3239" w:type="dxa"/>
            <w:tcBorders>
              <w:bottom w:val="single" w:sz="8" w:space="0" w:color="FFFFFF"/>
              <w:right w:val="single" w:sz="4" w:space="0" w:color="auto"/>
            </w:tcBorders>
          </w:tcPr>
          <w:p w:rsidR="00E10A87" w:rsidRPr="000B25F6" w:rsidRDefault="00E10A87" w:rsidP="00BE40E6">
            <w:pPr>
              <w:keepNext/>
              <w:spacing w:after="0"/>
              <w:jc w:val="center"/>
              <w:rPr>
                <w:sz w:val="20"/>
              </w:rPr>
            </w:pPr>
            <w:r w:rsidRPr="000B25F6">
              <w:rPr>
                <w:sz w:val="20"/>
              </w:rPr>
              <w:t>15 (26%)</w:t>
            </w:r>
          </w:p>
        </w:tc>
      </w:tr>
      <w:tr w:rsidR="00E10A87" w:rsidRPr="000B25F6" w:rsidTr="00CB38C4">
        <w:trPr>
          <w:trHeight w:val="128"/>
          <w:jc w:val="center"/>
        </w:trPr>
        <w:tc>
          <w:tcPr>
            <w:tcW w:w="5761" w:type="dxa"/>
            <w:tcBorders>
              <w:top w:val="single" w:sz="8" w:space="0" w:color="FFFFFF"/>
              <w:left w:val="single" w:sz="4" w:space="0" w:color="auto"/>
              <w:bottom w:val="single" w:sz="8" w:space="0" w:color="FFFFFF"/>
            </w:tcBorders>
          </w:tcPr>
          <w:p w:rsidR="00E10A87" w:rsidRPr="000B25F6" w:rsidRDefault="00E10A87" w:rsidP="00BE40E6">
            <w:pPr>
              <w:keepNext/>
              <w:spacing w:after="0"/>
              <w:ind w:left="392" w:hanging="216"/>
              <w:rPr>
                <w:sz w:val="20"/>
              </w:rPr>
            </w:pPr>
            <w:r w:rsidRPr="000B25F6">
              <w:rPr>
                <w:sz w:val="20"/>
              </w:rPr>
              <w:t>Prior chemotherapy Regimens (range)</w:t>
            </w:r>
          </w:p>
        </w:tc>
        <w:tc>
          <w:tcPr>
            <w:tcW w:w="3239" w:type="dxa"/>
            <w:tcBorders>
              <w:top w:val="single" w:sz="8" w:space="0" w:color="FFFFFF"/>
              <w:right w:val="single" w:sz="4" w:space="0" w:color="auto"/>
            </w:tcBorders>
          </w:tcPr>
          <w:p w:rsidR="00E10A87" w:rsidRPr="000B25F6" w:rsidRDefault="00E10A87" w:rsidP="00BE40E6">
            <w:pPr>
              <w:keepNext/>
              <w:spacing w:after="0"/>
              <w:jc w:val="center"/>
              <w:rPr>
                <w:sz w:val="20"/>
              </w:rPr>
            </w:pPr>
            <w:r w:rsidRPr="000B25F6">
              <w:rPr>
                <w:sz w:val="20"/>
              </w:rPr>
              <w:t>2 (1-6)</w:t>
            </w:r>
          </w:p>
        </w:tc>
      </w:tr>
      <w:tr w:rsidR="00E10A87" w:rsidRPr="000B25F6" w:rsidTr="00CB38C4">
        <w:trPr>
          <w:trHeight w:val="128"/>
          <w:jc w:val="center"/>
        </w:trPr>
        <w:tc>
          <w:tcPr>
            <w:tcW w:w="5761" w:type="dxa"/>
            <w:tcBorders>
              <w:top w:val="single" w:sz="8" w:space="0" w:color="FFFFFF"/>
              <w:left w:val="single" w:sz="4" w:space="0" w:color="auto"/>
              <w:bottom w:val="single" w:sz="8" w:space="0" w:color="FFFFFF"/>
            </w:tcBorders>
          </w:tcPr>
          <w:p w:rsidR="00E10A87" w:rsidRPr="000B25F6" w:rsidRDefault="00E10A87" w:rsidP="00BE40E6">
            <w:pPr>
              <w:keepNext/>
              <w:spacing w:after="0"/>
              <w:ind w:left="392" w:hanging="216"/>
              <w:rPr>
                <w:sz w:val="20"/>
              </w:rPr>
            </w:pPr>
            <w:r w:rsidRPr="000B25F6">
              <w:rPr>
                <w:sz w:val="20"/>
              </w:rPr>
              <w:t>Histologically confirmed CD30</w:t>
            </w:r>
            <w:r w:rsidRPr="000B25F6">
              <w:rPr>
                <w:sz w:val="20"/>
              </w:rPr>
              <w:noBreakHyphen/>
              <w:t>expressing disease</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57 (98%)</w:t>
            </w:r>
          </w:p>
        </w:tc>
      </w:tr>
      <w:tr w:rsidR="00E10A87" w:rsidRPr="000B25F6" w:rsidTr="00CB38C4">
        <w:trPr>
          <w:trHeight w:val="127"/>
          <w:jc w:val="center"/>
        </w:trPr>
        <w:tc>
          <w:tcPr>
            <w:tcW w:w="5761" w:type="dxa"/>
            <w:tcBorders>
              <w:top w:val="single" w:sz="8" w:space="0" w:color="FFFFFF"/>
              <w:left w:val="single" w:sz="4" w:space="0" w:color="auto"/>
              <w:bottom w:val="single" w:sz="4" w:space="0" w:color="auto"/>
            </w:tcBorders>
          </w:tcPr>
          <w:p w:rsidR="00E10A87" w:rsidRPr="000B25F6" w:rsidRDefault="00E10A87" w:rsidP="00BE40E6">
            <w:pPr>
              <w:keepNext/>
              <w:spacing w:after="0"/>
              <w:ind w:left="392" w:hanging="216"/>
              <w:rPr>
                <w:sz w:val="20"/>
              </w:rPr>
            </w:pPr>
            <w:r w:rsidRPr="000B25F6">
              <w:rPr>
                <w:sz w:val="20"/>
              </w:rPr>
              <w:t>Anaplastic lymphoma kinase (ALK)-negative disease</w:t>
            </w:r>
          </w:p>
        </w:tc>
        <w:tc>
          <w:tcPr>
            <w:tcW w:w="3239" w:type="dxa"/>
            <w:tcBorders>
              <w:bottom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42 (72%)</w:t>
            </w:r>
          </w:p>
        </w:tc>
      </w:tr>
      <w:tr w:rsidR="00E10A87" w:rsidRPr="000B25F6" w:rsidTr="00CB38C4">
        <w:trPr>
          <w:trHeight w:val="302"/>
          <w:jc w:val="center"/>
        </w:trPr>
        <w:tc>
          <w:tcPr>
            <w:tcW w:w="5761" w:type="dxa"/>
            <w:tcBorders>
              <w:top w:val="single" w:sz="4" w:space="0" w:color="auto"/>
              <w:left w:val="single" w:sz="4" w:space="0" w:color="auto"/>
              <w:bottom w:val="single" w:sz="4" w:space="0" w:color="auto"/>
            </w:tcBorders>
          </w:tcPr>
          <w:p w:rsidR="00E10A87" w:rsidRPr="000B25F6" w:rsidRDefault="00E10A87" w:rsidP="00BE40E6">
            <w:pPr>
              <w:keepNext/>
              <w:spacing w:after="0"/>
              <w:ind w:left="389" w:hanging="389"/>
              <w:rPr>
                <w:b/>
                <w:sz w:val="20"/>
              </w:rPr>
            </w:pPr>
            <w:r w:rsidRPr="000B25F6">
              <w:rPr>
                <w:b/>
                <w:sz w:val="20"/>
              </w:rPr>
              <w:t>Disease characteristics</w:t>
            </w:r>
          </w:p>
        </w:tc>
        <w:tc>
          <w:tcPr>
            <w:tcW w:w="3239" w:type="dxa"/>
            <w:tcBorders>
              <w:top w:val="single" w:sz="4" w:space="0" w:color="auto"/>
              <w:bottom w:val="single" w:sz="4" w:space="0" w:color="auto"/>
              <w:right w:val="single" w:sz="4" w:space="0" w:color="auto"/>
            </w:tcBorders>
          </w:tcPr>
          <w:p w:rsidR="00E10A87" w:rsidRPr="000B25F6" w:rsidRDefault="00E10A87" w:rsidP="00BE40E6">
            <w:pPr>
              <w:keepNext/>
              <w:spacing w:after="0"/>
              <w:jc w:val="center"/>
              <w:rPr>
                <w:b/>
                <w:sz w:val="20"/>
              </w:rPr>
            </w:pPr>
          </w:p>
        </w:tc>
      </w:tr>
      <w:tr w:rsidR="00E10A87" w:rsidRPr="000B25F6" w:rsidTr="00CB38C4">
        <w:trPr>
          <w:trHeight w:val="160"/>
          <w:jc w:val="center"/>
        </w:trPr>
        <w:tc>
          <w:tcPr>
            <w:tcW w:w="5761" w:type="dxa"/>
            <w:tcBorders>
              <w:top w:val="single" w:sz="4" w:space="0" w:color="auto"/>
              <w:left w:val="single" w:sz="4" w:space="0" w:color="auto"/>
            </w:tcBorders>
          </w:tcPr>
          <w:p w:rsidR="00E10A87" w:rsidRPr="000B25F6" w:rsidRDefault="00E10A87" w:rsidP="00BE40E6">
            <w:pPr>
              <w:keepNext/>
              <w:spacing w:after="0"/>
              <w:ind w:left="172"/>
              <w:rPr>
                <w:sz w:val="20"/>
              </w:rPr>
            </w:pPr>
            <w:r w:rsidRPr="000B25F6">
              <w:rPr>
                <w:sz w:val="20"/>
              </w:rPr>
              <w:t xml:space="preserve">Primary Refractory to frontline </w:t>
            </w:r>
            <w:proofErr w:type="spellStart"/>
            <w:r w:rsidRPr="000B25F6">
              <w:rPr>
                <w:sz w:val="20"/>
              </w:rPr>
              <w:t>therapy</w:t>
            </w:r>
            <w:r w:rsidRPr="000B25F6">
              <w:rPr>
                <w:sz w:val="20"/>
                <w:vertAlign w:val="superscript"/>
              </w:rPr>
              <w:t>b</w:t>
            </w:r>
            <w:proofErr w:type="spellEnd"/>
          </w:p>
        </w:tc>
        <w:tc>
          <w:tcPr>
            <w:tcW w:w="3239" w:type="dxa"/>
            <w:tcBorders>
              <w:top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36 (62%)</w:t>
            </w:r>
          </w:p>
        </w:tc>
      </w:tr>
      <w:tr w:rsidR="00E10A87" w:rsidRPr="000B25F6" w:rsidTr="00CB38C4">
        <w:trPr>
          <w:trHeight w:val="143"/>
          <w:jc w:val="center"/>
        </w:trPr>
        <w:tc>
          <w:tcPr>
            <w:tcW w:w="5761"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Refractory to most recent therapy</w:t>
            </w:r>
          </w:p>
        </w:tc>
        <w:tc>
          <w:tcPr>
            <w:tcW w:w="3239" w:type="dxa"/>
            <w:tcBorders>
              <w:top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29 (50%)</w:t>
            </w:r>
          </w:p>
        </w:tc>
      </w:tr>
      <w:tr w:rsidR="00E10A87" w:rsidRPr="000B25F6" w:rsidTr="00CB38C4">
        <w:trPr>
          <w:trHeight w:val="128"/>
          <w:jc w:val="center"/>
        </w:trPr>
        <w:tc>
          <w:tcPr>
            <w:tcW w:w="5761"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Relapsed to most recent therapy</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29 (50%)</w:t>
            </w:r>
          </w:p>
        </w:tc>
      </w:tr>
      <w:tr w:rsidR="00E10A87" w:rsidRPr="000B25F6" w:rsidTr="00CB38C4">
        <w:trPr>
          <w:trHeight w:val="128"/>
          <w:jc w:val="center"/>
        </w:trPr>
        <w:tc>
          <w:tcPr>
            <w:tcW w:w="5761"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Baseline B symptoms</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17 (29%)</w:t>
            </w:r>
          </w:p>
        </w:tc>
      </w:tr>
      <w:tr w:rsidR="00E10A87" w:rsidRPr="000B25F6" w:rsidTr="00CB38C4">
        <w:trPr>
          <w:trHeight w:val="127"/>
          <w:jc w:val="center"/>
        </w:trPr>
        <w:tc>
          <w:tcPr>
            <w:tcW w:w="5761"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Stage III at initial diagnosis</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8 (14%)</w:t>
            </w:r>
          </w:p>
        </w:tc>
      </w:tr>
      <w:tr w:rsidR="00E10A87" w:rsidRPr="000B25F6" w:rsidTr="00CB38C4">
        <w:trPr>
          <w:trHeight w:val="127"/>
          <w:jc w:val="center"/>
        </w:trPr>
        <w:tc>
          <w:tcPr>
            <w:tcW w:w="5761" w:type="dxa"/>
            <w:tcBorders>
              <w:top w:val="single" w:sz="2" w:space="0" w:color="FFFFFF"/>
              <w:left w:val="single" w:sz="4" w:space="0" w:color="auto"/>
              <w:bottom w:val="single" w:sz="4" w:space="0" w:color="auto"/>
            </w:tcBorders>
          </w:tcPr>
          <w:p w:rsidR="00E10A87" w:rsidRPr="000B25F6" w:rsidRDefault="00E10A87" w:rsidP="00BE40E6">
            <w:pPr>
              <w:keepNext/>
              <w:spacing w:after="0"/>
              <w:ind w:left="172"/>
              <w:rPr>
                <w:sz w:val="20"/>
              </w:rPr>
            </w:pPr>
            <w:r w:rsidRPr="000B25F6">
              <w:rPr>
                <w:sz w:val="20"/>
              </w:rPr>
              <w:t>Stage IV at initial diagnosis</w:t>
            </w:r>
          </w:p>
        </w:tc>
        <w:tc>
          <w:tcPr>
            <w:tcW w:w="3239" w:type="dxa"/>
            <w:tcBorders>
              <w:bottom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21 (36%)</w:t>
            </w:r>
          </w:p>
        </w:tc>
      </w:tr>
    </w:tbl>
    <w:p w:rsidR="00E10A87" w:rsidRPr="00BE40E6" w:rsidRDefault="00E10A87" w:rsidP="00864D19">
      <w:pPr>
        <w:pStyle w:val="Paragraph"/>
        <w:keepNext/>
        <w:numPr>
          <w:ilvl w:val="0"/>
          <w:numId w:val="39"/>
        </w:numPr>
        <w:tabs>
          <w:tab w:val="clear" w:pos="360"/>
        </w:tabs>
        <w:spacing w:after="0"/>
        <w:ind w:left="709" w:hanging="357"/>
        <w:rPr>
          <w:rFonts w:ascii="Arial" w:hAnsi="Arial" w:cs="Arial"/>
          <w:sz w:val="20"/>
          <w:szCs w:val="20"/>
          <w:lang w:val="en-GB"/>
        </w:rPr>
      </w:pPr>
      <w:r w:rsidRPr="00BE40E6">
        <w:rPr>
          <w:rFonts w:ascii="Arial" w:hAnsi="Arial" w:cs="Arial"/>
          <w:bCs/>
          <w:sz w:val="20"/>
          <w:szCs w:val="20"/>
          <w:lang w:val="en-GB"/>
        </w:rPr>
        <w:t>One patient had a baseline ECOG status of 2, which was prohibited by protocol and is captured as Inclusion Criteria Not Met.</w:t>
      </w:r>
    </w:p>
    <w:p w:rsidR="00E10A87" w:rsidRPr="00BE40E6" w:rsidRDefault="00E10A87" w:rsidP="00864D19">
      <w:pPr>
        <w:pStyle w:val="Paragraph"/>
        <w:keepNext/>
        <w:numPr>
          <w:ilvl w:val="0"/>
          <w:numId w:val="39"/>
        </w:numPr>
        <w:tabs>
          <w:tab w:val="clear" w:pos="360"/>
          <w:tab w:val="left" w:pos="0"/>
        </w:tabs>
        <w:spacing w:after="0"/>
        <w:ind w:left="709" w:hanging="357"/>
        <w:rPr>
          <w:rFonts w:ascii="Arial" w:hAnsi="Arial" w:cs="Arial"/>
          <w:sz w:val="20"/>
          <w:szCs w:val="20"/>
          <w:lang w:val="en-GB"/>
        </w:rPr>
      </w:pPr>
      <w:r w:rsidRPr="00BE40E6">
        <w:rPr>
          <w:rFonts w:ascii="Arial" w:hAnsi="Arial" w:cs="Arial"/>
          <w:sz w:val="20"/>
          <w:szCs w:val="20"/>
          <w:lang w:val="en-GB"/>
        </w:rPr>
        <w:t xml:space="preserve">Primary refractory </w:t>
      </w:r>
      <w:proofErr w:type="spellStart"/>
      <w:r w:rsidRPr="00BE40E6">
        <w:rPr>
          <w:rFonts w:ascii="Arial" w:hAnsi="Arial" w:cs="Arial"/>
          <w:sz w:val="20"/>
          <w:szCs w:val="20"/>
          <w:lang w:val="en-GB"/>
        </w:rPr>
        <w:t>sALCL</w:t>
      </w:r>
      <w:proofErr w:type="spellEnd"/>
      <w:r w:rsidRPr="00BE40E6">
        <w:rPr>
          <w:rFonts w:ascii="Arial" w:hAnsi="Arial" w:cs="Arial"/>
          <w:sz w:val="20"/>
          <w:szCs w:val="20"/>
          <w:lang w:val="en-GB"/>
        </w:rPr>
        <w:t xml:space="preserve"> is defined as a failure to achieve a complete remission to, or progressed within 3 months of completing frontline therapy.</w:t>
      </w:r>
    </w:p>
    <w:p w:rsidR="00E10A87" w:rsidRPr="00A84436" w:rsidRDefault="00E10A87" w:rsidP="006B7E6C">
      <w:pPr>
        <w:pStyle w:val="Paragraph"/>
        <w:spacing w:before="240" w:after="120"/>
        <w:jc w:val="both"/>
        <w:rPr>
          <w:rFonts w:ascii="Arial" w:hAnsi="Arial" w:cs="Arial"/>
          <w:bCs/>
          <w:sz w:val="22"/>
          <w:szCs w:val="20"/>
          <w:lang w:val="en-AU"/>
        </w:rPr>
      </w:pPr>
      <w:r w:rsidRPr="00A84436">
        <w:rPr>
          <w:rFonts w:ascii="Arial" w:hAnsi="Arial" w:cs="Arial"/>
          <w:bCs/>
          <w:sz w:val="22"/>
          <w:szCs w:val="20"/>
          <w:lang w:val="en-AU"/>
        </w:rPr>
        <w:t xml:space="preserve">The median time from initial </w:t>
      </w:r>
      <w:proofErr w:type="spellStart"/>
      <w:r w:rsidRPr="00A84436">
        <w:rPr>
          <w:rFonts w:ascii="Arial" w:hAnsi="Arial" w:cs="Arial"/>
          <w:bCs/>
          <w:sz w:val="22"/>
          <w:szCs w:val="20"/>
          <w:lang w:val="en-AU"/>
        </w:rPr>
        <w:t>sALCL</w:t>
      </w:r>
      <w:proofErr w:type="spellEnd"/>
      <w:r w:rsidRPr="00A84436">
        <w:rPr>
          <w:rFonts w:ascii="Arial" w:hAnsi="Arial" w:cs="Arial"/>
          <w:bCs/>
          <w:sz w:val="22"/>
          <w:szCs w:val="20"/>
          <w:lang w:val="en-AU"/>
        </w:rPr>
        <w:t xml:space="preserve"> diagnosis to first dose with </w:t>
      </w:r>
      <w:r w:rsidR="00B5187B">
        <w:rPr>
          <w:rFonts w:ascii="Arial" w:hAnsi="Arial"/>
          <w:color w:val="000000"/>
          <w:sz w:val="22"/>
          <w:szCs w:val="22"/>
          <w:lang w:val="en-AU"/>
        </w:rPr>
        <w:t>ADCETRIS</w:t>
      </w:r>
      <w:r w:rsidRPr="00A84436">
        <w:rPr>
          <w:rFonts w:ascii="Arial" w:hAnsi="Arial" w:cs="Arial"/>
          <w:bCs/>
          <w:sz w:val="22"/>
          <w:szCs w:val="20"/>
          <w:lang w:val="en-AU"/>
        </w:rPr>
        <w:t xml:space="preserve"> was 16.8 months. Ten (10) patients (17%) received 16 cycles of </w:t>
      </w:r>
      <w:r w:rsidR="00B5187B">
        <w:rPr>
          <w:rFonts w:ascii="Arial" w:hAnsi="Arial"/>
          <w:color w:val="000000"/>
          <w:sz w:val="22"/>
          <w:szCs w:val="22"/>
          <w:lang w:val="en-AU"/>
        </w:rPr>
        <w:t>ADCETRIS</w:t>
      </w:r>
      <w:r w:rsidRPr="00A84436">
        <w:rPr>
          <w:rFonts w:ascii="Arial" w:hAnsi="Arial" w:cs="Arial"/>
          <w:bCs/>
          <w:sz w:val="22"/>
          <w:szCs w:val="20"/>
          <w:lang w:val="en-AU"/>
        </w:rPr>
        <w:t xml:space="preserve">; the median number of cycles received was 7 (range, 1 to 16). </w:t>
      </w:r>
    </w:p>
    <w:p w:rsidR="00E10A87" w:rsidRPr="00A84436" w:rsidRDefault="00E10A87" w:rsidP="00E10A87">
      <w:pPr>
        <w:autoSpaceDE w:val="0"/>
        <w:autoSpaceDN w:val="0"/>
        <w:adjustRightInd w:val="0"/>
        <w:rPr>
          <w:rFonts w:cs="Arial"/>
          <w:szCs w:val="22"/>
        </w:rPr>
      </w:pPr>
      <w:r w:rsidRPr="00A84436">
        <w:rPr>
          <w:rFonts w:cs="Arial"/>
          <w:bCs/>
        </w:rPr>
        <w:t xml:space="preserve">Response to treatment with </w:t>
      </w:r>
      <w:r w:rsidR="00B5187B">
        <w:rPr>
          <w:color w:val="000000"/>
          <w:szCs w:val="22"/>
        </w:rPr>
        <w:t>ADCETRIS</w:t>
      </w:r>
      <w:r w:rsidRPr="00A84436">
        <w:rPr>
          <w:rFonts w:cs="Arial"/>
          <w:bCs/>
        </w:rPr>
        <w:t xml:space="preserve"> was assessed by IRF using the</w:t>
      </w:r>
      <w:r w:rsidRPr="00A84436" w:rsidDel="00036B67">
        <w:rPr>
          <w:rFonts w:cs="Arial"/>
          <w:bCs/>
        </w:rPr>
        <w:t xml:space="preserve"> </w:t>
      </w:r>
      <w:r w:rsidRPr="00A84436">
        <w:rPr>
          <w:rFonts w:cs="Arial"/>
          <w:bCs/>
        </w:rPr>
        <w:t>Revised Response Criteria for Malignant Lymphoma (</w:t>
      </w:r>
      <w:proofErr w:type="spellStart"/>
      <w:r w:rsidRPr="00A84436">
        <w:rPr>
          <w:rFonts w:cs="Arial"/>
          <w:bCs/>
        </w:rPr>
        <w:t>Cheson</w:t>
      </w:r>
      <w:proofErr w:type="spellEnd"/>
      <w:r w:rsidRPr="00A84436">
        <w:rPr>
          <w:rFonts w:cs="Arial"/>
          <w:bCs/>
        </w:rPr>
        <w:t xml:space="preserve">, 2007). Treatment response was assessed by spiral CT of chest, neck, abdomen and pelvis; PET scans and clinical data. Response assessments were performed at cycles 2, 4, 7, 10, 13 and 16 with PET at cycles 4 and 7. </w:t>
      </w:r>
    </w:p>
    <w:p w:rsidR="00E10A87" w:rsidRPr="00A84436" w:rsidRDefault="00E10A87" w:rsidP="00A84436">
      <w:pPr>
        <w:pStyle w:val="Paragraph"/>
        <w:spacing w:after="0"/>
        <w:jc w:val="both"/>
        <w:rPr>
          <w:rFonts w:ascii="Arial" w:hAnsi="Arial" w:cs="Arial"/>
          <w:sz w:val="22"/>
          <w:szCs w:val="22"/>
          <w:lang w:val="en-GB"/>
        </w:rPr>
      </w:pPr>
      <w:r w:rsidRPr="00A84436">
        <w:rPr>
          <w:rFonts w:ascii="Arial" w:hAnsi="Arial" w:cs="Arial"/>
          <w:bCs/>
          <w:sz w:val="22"/>
          <w:szCs w:val="22"/>
          <w:lang w:val="en-GB"/>
        </w:rPr>
        <w:t xml:space="preserve">The ORR </w:t>
      </w:r>
      <w:r w:rsidRPr="00B0246A">
        <w:rPr>
          <w:rFonts w:ascii="Arial" w:hAnsi="Arial" w:cs="Arial"/>
          <w:bCs/>
          <w:sz w:val="22"/>
          <w:szCs w:val="22"/>
          <w:lang w:val="en-GB"/>
        </w:rPr>
        <w:t xml:space="preserve">per IRF assessment was 86% (50 of 58 patients in the ITT set). CR was 59% (34 of 58 patients </w:t>
      </w:r>
      <w:r w:rsidRPr="00B04EFC">
        <w:rPr>
          <w:rFonts w:ascii="Arial" w:hAnsi="Arial" w:cs="Arial"/>
          <w:bCs/>
          <w:sz w:val="22"/>
          <w:szCs w:val="22"/>
          <w:lang w:val="en-GB"/>
        </w:rPr>
        <w:t xml:space="preserve">in the ITT set). The estimated </w:t>
      </w:r>
      <w:r w:rsidR="009D5463" w:rsidRPr="00B04EFC">
        <w:rPr>
          <w:rFonts w:ascii="Arial" w:hAnsi="Arial" w:cs="Arial"/>
          <w:bCs/>
          <w:sz w:val="22"/>
          <w:szCs w:val="22"/>
          <w:lang w:val="en-GB"/>
        </w:rPr>
        <w:t xml:space="preserve">36 </w:t>
      </w:r>
      <w:r w:rsidRPr="00B04EFC">
        <w:rPr>
          <w:rFonts w:ascii="Arial" w:hAnsi="Arial" w:cs="Arial"/>
          <w:bCs/>
          <w:sz w:val="22"/>
          <w:szCs w:val="22"/>
          <w:lang w:val="en-GB"/>
        </w:rPr>
        <w:t xml:space="preserve">month overall survival was </w:t>
      </w:r>
      <w:r w:rsidR="009D5463" w:rsidRPr="00B04EFC">
        <w:rPr>
          <w:rFonts w:ascii="Arial" w:hAnsi="Arial" w:cs="Arial"/>
          <w:bCs/>
          <w:sz w:val="22"/>
          <w:szCs w:val="22"/>
          <w:lang w:val="en-GB"/>
        </w:rPr>
        <w:t>63</w:t>
      </w:r>
      <w:r w:rsidRPr="00B04EFC">
        <w:rPr>
          <w:rFonts w:ascii="Arial" w:hAnsi="Arial" w:cs="Arial"/>
          <w:bCs/>
          <w:sz w:val="22"/>
          <w:szCs w:val="22"/>
          <w:lang w:val="en-GB"/>
        </w:rPr>
        <w:t xml:space="preserve">% (the median </w:t>
      </w:r>
      <w:r w:rsidR="00394518" w:rsidRPr="00B04EFC">
        <w:rPr>
          <w:rFonts w:ascii="Arial" w:hAnsi="Arial" w:cs="Arial"/>
          <w:bCs/>
          <w:sz w:val="22"/>
          <w:szCs w:val="22"/>
          <w:lang w:val="en-GB"/>
        </w:rPr>
        <w:t>observation</w:t>
      </w:r>
      <w:r w:rsidRPr="00B04EFC">
        <w:rPr>
          <w:rFonts w:ascii="Arial" w:hAnsi="Arial" w:cs="Arial"/>
          <w:bCs/>
          <w:sz w:val="22"/>
          <w:szCs w:val="22"/>
          <w:lang w:val="en-GB"/>
        </w:rPr>
        <w:t xml:space="preserve"> time </w:t>
      </w:r>
      <w:r w:rsidR="00EF6391" w:rsidRPr="00B04EFC">
        <w:rPr>
          <w:rFonts w:ascii="Arial" w:hAnsi="Arial" w:cs="Arial"/>
          <w:bCs/>
          <w:sz w:val="22"/>
          <w:szCs w:val="22"/>
          <w:lang w:val="en-GB"/>
        </w:rPr>
        <w:t xml:space="preserve">(time to death or last contact) </w:t>
      </w:r>
      <w:r w:rsidRPr="00B04EFC">
        <w:rPr>
          <w:rFonts w:ascii="Arial" w:hAnsi="Arial" w:cs="Arial"/>
          <w:bCs/>
          <w:sz w:val="22"/>
          <w:szCs w:val="22"/>
          <w:lang w:val="en-GB"/>
        </w:rPr>
        <w:t>from</w:t>
      </w:r>
      <w:r w:rsidRPr="00B0246A">
        <w:rPr>
          <w:rFonts w:ascii="Arial" w:hAnsi="Arial" w:cs="Arial"/>
          <w:bCs/>
          <w:sz w:val="22"/>
          <w:szCs w:val="22"/>
          <w:lang w:val="en-GB"/>
        </w:rPr>
        <w:t xml:space="preserve"> first dose was </w:t>
      </w:r>
      <w:r w:rsidR="009D5463" w:rsidRPr="00B0246A">
        <w:rPr>
          <w:rFonts w:ascii="Arial" w:hAnsi="Arial" w:cs="Arial"/>
          <w:bCs/>
          <w:sz w:val="22"/>
          <w:szCs w:val="22"/>
          <w:lang w:val="en-GB"/>
        </w:rPr>
        <w:t>33.4</w:t>
      </w:r>
      <w:r w:rsidRPr="00B0246A">
        <w:rPr>
          <w:rFonts w:ascii="Arial" w:hAnsi="Arial" w:cs="Arial"/>
          <w:bCs/>
          <w:sz w:val="22"/>
          <w:szCs w:val="22"/>
          <w:lang w:val="en-GB"/>
        </w:rPr>
        <w:t> months). The investigator assessments were generally</w:t>
      </w:r>
      <w:r w:rsidRPr="00A84436">
        <w:rPr>
          <w:rFonts w:ascii="Arial" w:hAnsi="Arial" w:cs="Arial"/>
          <w:bCs/>
          <w:sz w:val="22"/>
          <w:szCs w:val="22"/>
          <w:lang w:val="en-GB"/>
        </w:rPr>
        <w:t xml:space="preserve"> consistent with the independent review of the scans. </w:t>
      </w:r>
      <w:r w:rsidRPr="00A84436">
        <w:rPr>
          <w:rFonts w:ascii="Arial" w:hAnsi="Arial" w:cs="Arial"/>
          <w:bCs/>
          <w:color w:val="000000"/>
          <w:sz w:val="22"/>
          <w:szCs w:val="22"/>
          <w:lang w:val="en-GB"/>
        </w:rPr>
        <w:t xml:space="preserve">Of the patients </w:t>
      </w:r>
      <w:r w:rsidRPr="00B04EFC">
        <w:rPr>
          <w:rFonts w:ascii="Arial" w:hAnsi="Arial" w:cs="Arial"/>
          <w:bCs/>
          <w:color w:val="000000"/>
          <w:sz w:val="22"/>
          <w:szCs w:val="22"/>
          <w:lang w:val="en-GB"/>
        </w:rPr>
        <w:t xml:space="preserve">treated, </w:t>
      </w:r>
      <w:r w:rsidR="00EF6391" w:rsidRPr="00B04EFC">
        <w:rPr>
          <w:rFonts w:ascii="Arial" w:hAnsi="Arial" w:cs="Arial"/>
          <w:bCs/>
          <w:color w:val="000000"/>
          <w:sz w:val="22"/>
          <w:szCs w:val="22"/>
          <w:lang w:val="en-GB"/>
        </w:rPr>
        <w:t xml:space="preserve">9 </w:t>
      </w:r>
      <w:r w:rsidRPr="00B04EFC">
        <w:rPr>
          <w:rFonts w:ascii="Arial" w:hAnsi="Arial" w:cs="Arial"/>
          <w:bCs/>
          <w:color w:val="000000"/>
          <w:sz w:val="22"/>
          <w:szCs w:val="22"/>
          <w:lang w:val="en-GB"/>
        </w:rPr>
        <w:t>responding patients went on to receive an allogeneic stem cell transplant and 7 responding patients</w:t>
      </w:r>
      <w:r w:rsidRPr="00A84436">
        <w:rPr>
          <w:rFonts w:ascii="Arial" w:hAnsi="Arial" w:cs="Arial"/>
          <w:bCs/>
          <w:color w:val="000000"/>
          <w:sz w:val="22"/>
          <w:szCs w:val="22"/>
          <w:lang w:val="en-GB"/>
        </w:rPr>
        <w:t xml:space="preserve"> went on to </w:t>
      </w:r>
      <w:r w:rsidR="00341ACD">
        <w:rPr>
          <w:rFonts w:ascii="Arial" w:hAnsi="Arial" w:cs="Arial"/>
          <w:bCs/>
          <w:color w:val="000000"/>
          <w:sz w:val="22"/>
          <w:szCs w:val="22"/>
          <w:lang w:val="en-GB"/>
        </w:rPr>
        <w:t>A</w:t>
      </w:r>
      <w:r w:rsidRPr="00A84436">
        <w:rPr>
          <w:rFonts w:ascii="Arial" w:hAnsi="Arial" w:cs="Arial"/>
          <w:bCs/>
          <w:color w:val="000000"/>
          <w:sz w:val="22"/>
          <w:szCs w:val="22"/>
          <w:lang w:val="en-GB"/>
        </w:rPr>
        <w:t>SCT.</w:t>
      </w:r>
      <w:r w:rsidRPr="00A84436">
        <w:rPr>
          <w:rFonts w:ascii="Arial" w:hAnsi="Arial" w:cs="Arial"/>
          <w:bCs/>
          <w:sz w:val="22"/>
          <w:szCs w:val="22"/>
          <w:lang w:val="en-GB"/>
        </w:rPr>
        <w:t xml:space="preserve"> For further efficacy results, see </w:t>
      </w:r>
      <w:r w:rsidRPr="00B46FF1">
        <w:rPr>
          <w:rFonts w:ascii="Arial" w:hAnsi="Arial" w:cs="Arial"/>
          <w:bCs/>
          <w:sz w:val="22"/>
          <w:szCs w:val="22"/>
          <w:lang w:val="en-GB"/>
        </w:rPr>
        <w:t xml:space="preserve">Table </w:t>
      </w:r>
      <w:r w:rsidR="00B46FF1">
        <w:rPr>
          <w:rFonts w:ascii="Arial" w:hAnsi="Arial" w:cs="Arial"/>
          <w:bCs/>
          <w:sz w:val="22"/>
          <w:szCs w:val="22"/>
          <w:lang w:val="en-GB"/>
        </w:rPr>
        <w:t>4</w:t>
      </w:r>
      <w:r w:rsidRPr="00B46FF1">
        <w:rPr>
          <w:rFonts w:ascii="Arial" w:hAnsi="Arial" w:cs="Arial"/>
          <w:bCs/>
          <w:sz w:val="22"/>
          <w:szCs w:val="22"/>
          <w:lang w:val="en-GB"/>
        </w:rPr>
        <w:t>.</w:t>
      </w:r>
    </w:p>
    <w:p w:rsidR="00E10A87" w:rsidRPr="00F742EB" w:rsidRDefault="00E10A87" w:rsidP="00F742EB">
      <w:pPr>
        <w:pStyle w:val="Paragraph"/>
        <w:keepNext/>
        <w:spacing w:before="240" w:after="120"/>
        <w:rPr>
          <w:rFonts w:ascii="Arial" w:hAnsi="Arial"/>
          <w:b/>
          <w:sz w:val="22"/>
          <w:szCs w:val="20"/>
          <w:lang w:val="en-AU"/>
        </w:rPr>
      </w:pPr>
      <w:r w:rsidRPr="00F742EB">
        <w:rPr>
          <w:rFonts w:ascii="Arial" w:hAnsi="Arial"/>
          <w:b/>
          <w:sz w:val="22"/>
          <w:szCs w:val="20"/>
          <w:lang w:val="en-AU"/>
        </w:rPr>
        <w:lastRenderedPageBreak/>
        <w:t xml:space="preserve">Table </w:t>
      </w:r>
      <w:r w:rsidR="00B46FF1">
        <w:rPr>
          <w:rFonts w:ascii="Arial" w:hAnsi="Arial"/>
          <w:b/>
          <w:sz w:val="22"/>
          <w:szCs w:val="20"/>
          <w:lang w:val="en-AU"/>
        </w:rPr>
        <w:t>4</w:t>
      </w:r>
      <w:r w:rsidR="00864D19">
        <w:rPr>
          <w:rFonts w:ascii="Arial" w:hAnsi="Arial"/>
          <w:b/>
          <w:sz w:val="22"/>
          <w:szCs w:val="20"/>
          <w:lang w:val="en-AU"/>
        </w:rPr>
        <w:t>:</w:t>
      </w:r>
      <w:r w:rsidR="00BE40E6">
        <w:rPr>
          <w:rFonts w:ascii="Arial" w:hAnsi="Arial"/>
          <w:b/>
          <w:sz w:val="22"/>
          <w:szCs w:val="20"/>
          <w:lang w:val="en-AU"/>
        </w:rPr>
        <w:t xml:space="preserve"> </w:t>
      </w:r>
      <w:r w:rsidRPr="00F742EB">
        <w:rPr>
          <w:rFonts w:ascii="Arial" w:hAnsi="Arial"/>
          <w:b/>
          <w:sz w:val="22"/>
          <w:szCs w:val="20"/>
          <w:lang w:val="en-AU"/>
        </w:rPr>
        <w:t xml:space="preserve">Efficacy results in relapsed or refractory </w:t>
      </w:r>
      <w:proofErr w:type="spellStart"/>
      <w:r w:rsidRPr="00F742EB">
        <w:rPr>
          <w:rFonts w:ascii="Arial" w:hAnsi="Arial"/>
          <w:b/>
          <w:sz w:val="22"/>
          <w:szCs w:val="20"/>
          <w:lang w:val="en-AU"/>
        </w:rPr>
        <w:t>sALCL</w:t>
      </w:r>
      <w:proofErr w:type="spellEnd"/>
      <w:r w:rsidRPr="00F742EB">
        <w:rPr>
          <w:rFonts w:ascii="Arial" w:hAnsi="Arial"/>
          <w:b/>
          <w:sz w:val="22"/>
          <w:szCs w:val="20"/>
          <w:lang w:val="en-AU"/>
        </w:rPr>
        <w:t xml:space="preserve"> patients treated with 1.8 mg/kg of </w:t>
      </w:r>
      <w:r w:rsidR="00B5187B">
        <w:rPr>
          <w:rFonts w:ascii="Arial" w:hAnsi="Arial"/>
          <w:b/>
          <w:sz w:val="22"/>
          <w:szCs w:val="20"/>
          <w:lang w:val="en-AU"/>
        </w:rPr>
        <w:t>ADCETRIS</w:t>
      </w:r>
      <w:r w:rsidRPr="00F742EB">
        <w:rPr>
          <w:rFonts w:ascii="Arial" w:hAnsi="Arial"/>
          <w:b/>
          <w:sz w:val="22"/>
          <w:szCs w:val="20"/>
          <w:lang w:val="en-AU"/>
        </w:rPr>
        <w:t xml:space="preserve"> every 3 weeks</w:t>
      </w:r>
    </w:p>
    <w:tbl>
      <w:tblPr>
        <w:tblW w:w="9331" w:type="dxa"/>
        <w:tblInd w:w="10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111"/>
        <w:gridCol w:w="2790"/>
        <w:gridCol w:w="2430"/>
      </w:tblGrid>
      <w:tr w:rsidR="00E10A87" w:rsidRPr="000B25F6" w:rsidTr="00A84436">
        <w:trPr>
          <w:trHeight w:val="302"/>
        </w:trPr>
        <w:tc>
          <w:tcPr>
            <w:tcW w:w="4111" w:type="dxa"/>
            <w:tcBorders>
              <w:top w:val="single" w:sz="4" w:space="0" w:color="auto"/>
              <w:left w:val="single" w:sz="4" w:space="0" w:color="auto"/>
              <w:bottom w:val="single" w:sz="4" w:space="0" w:color="auto"/>
            </w:tcBorders>
            <w:noWrap/>
          </w:tcPr>
          <w:p w:rsidR="00E10A87" w:rsidRPr="000B25F6" w:rsidRDefault="00E10A87" w:rsidP="00BE40E6">
            <w:pPr>
              <w:keepNext/>
              <w:spacing w:after="0"/>
              <w:rPr>
                <w:b/>
                <w:bCs/>
                <w:sz w:val="20"/>
              </w:rPr>
            </w:pPr>
            <w:r w:rsidRPr="000B25F6">
              <w:rPr>
                <w:b/>
                <w:bCs/>
                <w:sz w:val="20"/>
              </w:rPr>
              <w:t>Best clinical response</w:t>
            </w:r>
            <w:r w:rsidRPr="000B25F6">
              <w:rPr>
                <w:b/>
                <w:sz w:val="20"/>
                <w:vertAlign w:val="superscript"/>
              </w:rPr>
              <w:t xml:space="preserve"> </w:t>
            </w:r>
            <w:r w:rsidRPr="000B25F6">
              <w:rPr>
                <w:b/>
                <w:bCs/>
                <w:sz w:val="20"/>
              </w:rPr>
              <w:t>(N = 58</w:t>
            </w:r>
            <w:r w:rsidRPr="000B25F6">
              <w:rPr>
                <w:sz w:val="20"/>
                <w:vertAlign w:val="superscript"/>
              </w:rPr>
              <w:t xml:space="preserve"> </w:t>
            </w:r>
            <w:r w:rsidRPr="000B25F6">
              <w:rPr>
                <w:b/>
                <w:bCs/>
                <w:sz w:val="20"/>
              </w:rPr>
              <w:t>)</w:t>
            </w:r>
          </w:p>
        </w:tc>
        <w:tc>
          <w:tcPr>
            <w:tcW w:w="2790" w:type="dxa"/>
            <w:tcBorders>
              <w:top w:val="single" w:sz="4" w:space="0" w:color="auto"/>
              <w:bottom w:val="single" w:sz="4" w:space="0" w:color="auto"/>
            </w:tcBorders>
            <w:noWrap/>
          </w:tcPr>
          <w:p w:rsidR="00E10A87" w:rsidRPr="000B25F6" w:rsidRDefault="00E10A87" w:rsidP="00BE40E6">
            <w:pPr>
              <w:keepNext/>
              <w:spacing w:after="0"/>
              <w:jc w:val="center"/>
              <w:rPr>
                <w:b/>
                <w:bCs/>
                <w:sz w:val="20"/>
              </w:rPr>
            </w:pPr>
            <w:r w:rsidRPr="000B25F6">
              <w:rPr>
                <w:b/>
                <w:bCs/>
                <w:sz w:val="20"/>
              </w:rPr>
              <w:t>IRF N (%)</w:t>
            </w:r>
          </w:p>
        </w:tc>
        <w:tc>
          <w:tcPr>
            <w:tcW w:w="2430" w:type="dxa"/>
            <w:tcBorders>
              <w:top w:val="single" w:sz="4" w:space="0" w:color="auto"/>
              <w:bottom w:val="single" w:sz="4" w:space="0" w:color="auto"/>
              <w:right w:val="single" w:sz="4" w:space="0" w:color="C0C0C0"/>
            </w:tcBorders>
            <w:noWrap/>
          </w:tcPr>
          <w:p w:rsidR="00E10A87" w:rsidRPr="000B25F6" w:rsidRDefault="00E10A87" w:rsidP="00BE40E6">
            <w:pPr>
              <w:keepNext/>
              <w:spacing w:after="0"/>
              <w:jc w:val="center"/>
              <w:rPr>
                <w:b/>
                <w:bCs/>
                <w:sz w:val="20"/>
              </w:rPr>
            </w:pPr>
            <w:r w:rsidRPr="000B25F6">
              <w:rPr>
                <w:b/>
                <w:bCs/>
                <w:sz w:val="20"/>
              </w:rPr>
              <w:t>95% CI</w:t>
            </w:r>
          </w:p>
        </w:tc>
      </w:tr>
      <w:tr w:rsidR="00E10A87" w:rsidRPr="000B25F6" w:rsidTr="00A84436">
        <w:trPr>
          <w:trHeight w:val="255"/>
        </w:trPr>
        <w:tc>
          <w:tcPr>
            <w:tcW w:w="4111" w:type="dxa"/>
            <w:tcBorders>
              <w:top w:val="single" w:sz="4" w:space="0" w:color="auto"/>
              <w:left w:val="single" w:sz="4" w:space="0" w:color="auto"/>
            </w:tcBorders>
            <w:noWrap/>
          </w:tcPr>
          <w:p w:rsidR="00E10A87" w:rsidRPr="000B25F6" w:rsidRDefault="00E10A87" w:rsidP="00BE40E6">
            <w:pPr>
              <w:keepNext/>
              <w:spacing w:after="0"/>
              <w:rPr>
                <w:sz w:val="20"/>
              </w:rPr>
            </w:pPr>
            <w:r w:rsidRPr="000B25F6">
              <w:rPr>
                <w:sz w:val="20"/>
              </w:rPr>
              <w:t xml:space="preserve">    Objective response rate (CR + PR)</w:t>
            </w:r>
          </w:p>
        </w:tc>
        <w:tc>
          <w:tcPr>
            <w:tcW w:w="2790" w:type="dxa"/>
            <w:tcBorders>
              <w:top w:val="single" w:sz="4" w:space="0" w:color="auto"/>
            </w:tcBorders>
            <w:noWrap/>
          </w:tcPr>
          <w:p w:rsidR="00E10A87" w:rsidRPr="000B25F6" w:rsidRDefault="00E10A87" w:rsidP="00BE40E6">
            <w:pPr>
              <w:keepNext/>
              <w:spacing w:after="0"/>
              <w:jc w:val="center"/>
              <w:rPr>
                <w:sz w:val="20"/>
              </w:rPr>
            </w:pPr>
            <w:r w:rsidRPr="000B25F6">
              <w:rPr>
                <w:sz w:val="20"/>
              </w:rPr>
              <w:t>50 (86)</w:t>
            </w:r>
          </w:p>
        </w:tc>
        <w:tc>
          <w:tcPr>
            <w:tcW w:w="2430" w:type="dxa"/>
            <w:tcBorders>
              <w:top w:val="single" w:sz="4" w:space="0" w:color="auto"/>
              <w:right w:val="single" w:sz="4" w:space="0" w:color="C0C0C0"/>
            </w:tcBorders>
            <w:noWrap/>
          </w:tcPr>
          <w:p w:rsidR="00E10A87" w:rsidRPr="000B25F6" w:rsidRDefault="00E10A87" w:rsidP="00BE40E6">
            <w:pPr>
              <w:keepNext/>
              <w:spacing w:after="0"/>
              <w:jc w:val="center"/>
              <w:rPr>
                <w:sz w:val="20"/>
              </w:rPr>
            </w:pPr>
            <w:r w:rsidRPr="000B25F6">
              <w:rPr>
                <w:sz w:val="20"/>
              </w:rPr>
              <w:t>74.6, 93.9</w:t>
            </w:r>
          </w:p>
        </w:tc>
      </w:tr>
      <w:tr w:rsidR="00E10A87" w:rsidRPr="000B25F6" w:rsidTr="00A84436">
        <w:trPr>
          <w:trHeight w:val="255"/>
        </w:trPr>
        <w:tc>
          <w:tcPr>
            <w:tcW w:w="4111" w:type="dxa"/>
            <w:tcBorders>
              <w:left w:val="single" w:sz="4" w:space="0" w:color="auto"/>
            </w:tcBorders>
            <w:noWrap/>
          </w:tcPr>
          <w:p w:rsidR="00E10A87" w:rsidRPr="000B25F6" w:rsidRDefault="00E10A87" w:rsidP="00BE40E6">
            <w:pPr>
              <w:keepNext/>
              <w:spacing w:after="0"/>
              <w:rPr>
                <w:sz w:val="20"/>
              </w:rPr>
            </w:pPr>
            <w:r w:rsidRPr="000B25F6">
              <w:rPr>
                <w:sz w:val="20"/>
              </w:rPr>
              <w:t xml:space="preserve">          Complete remission (CR)</w:t>
            </w:r>
          </w:p>
        </w:tc>
        <w:tc>
          <w:tcPr>
            <w:tcW w:w="2790" w:type="dxa"/>
            <w:noWrap/>
          </w:tcPr>
          <w:p w:rsidR="00E10A87" w:rsidRPr="000B25F6" w:rsidRDefault="00E10A87" w:rsidP="00BE40E6">
            <w:pPr>
              <w:keepNext/>
              <w:spacing w:after="0"/>
              <w:jc w:val="center"/>
              <w:rPr>
                <w:sz w:val="20"/>
              </w:rPr>
            </w:pPr>
            <w:r w:rsidRPr="000B25F6">
              <w:rPr>
                <w:sz w:val="20"/>
              </w:rPr>
              <w:t>34 (59)</w:t>
            </w:r>
          </w:p>
        </w:tc>
        <w:tc>
          <w:tcPr>
            <w:tcW w:w="2430" w:type="dxa"/>
            <w:tcBorders>
              <w:right w:val="single" w:sz="4" w:space="0" w:color="C0C0C0"/>
            </w:tcBorders>
            <w:noWrap/>
          </w:tcPr>
          <w:p w:rsidR="00E10A87" w:rsidRPr="000B25F6" w:rsidRDefault="00E10A87" w:rsidP="00BE40E6">
            <w:pPr>
              <w:keepNext/>
              <w:spacing w:after="0"/>
              <w:jc w:val="center"/>
              <w:rPr>
                <w:sz w:val="20"/>
              </w:rPr>
            </w:pPr>
            <w:r w:rsidRPr="000B25F6">
              <w:rPr>
                <w:sz w:val="20"/>
              </w:rPr>
              <w:t>44.9, 71.4</w:t>
            </w:r>
          </w:p>
        </w:tc>
      </w:tr>
      <w:tr w:rsidR="00E10A87" w:rsidRPr="000B25F6" w:rsidTr="00A84436">
        <w:trPr>
          <w:trHeight w:val="255"/>
        </w:trPr>
        <w:tc>
          <w:tcPr>
            <w:tcW w:w="4111" w:type="dxa"/>
            <w:tcBorders>
              <w:left w:val="single" w:sz="4" w:space="0" w:color="auto"/>
            </w:tcBorders>
            <w:noWrap/>
          </w:tcPr>
          <w:p w:rsidR="00E10A87" w:rsidRPr="000B25F6" w:rsidRDefault="00E10A87" w:rsidP="00BE40E6">
            <w:pPr>
              <w:keepNext/>
              <w:spacing w:after="0"/>
              <w:rPr>
                <w:sz w:val="20"/>
              </w:rPr>
            </w:pPr>
            <w:r w:rsidRPr="000B25F6">
              <w:rPr>
                <w:sz w:val="20"/>
              </w:rPr>
              <w:t xml:space="preserve">          Partial remission (PR)</w:t>
            </w:r>
          </w:p>
        </w:tc>
        <w:tc>
          <w:tcPr>
            <w:tcW w:w="2790" w:type="dxa"/>
            <w:noWrap/>
          </w:tcPr>
          <w:p w:rsidR="00E10A87" w:rsidRPr="000B25F6" w:rsidRDefault="00E10A87" w:rsidP="00BE40E6">
            <w:pPr>
              <w:keepNext/>
              <w:spacing w:after="0"/>
              <w:jc w:val="center"/>
              <w:rPr>
                <w:sz w:val="20"/>
              </w:rPr>
            </w:pPr>
            <w:r w:rsidRPr="000B25F6">
              <w:rPr>
                <w:sz w:val="20"/>
              </w:rPr>
              <w:t>16 (28)</w:t>
            </w:r>
          </w:p>
        </w:tc>
        <w:tc>
          <w:tcPr>
            <w:tcW w:w="2430" w:type="dxa"/>
            <w:tcBorders>
              <w:right w:val="single" w:sz="4" w:space="0" w:color="C0C0C0"/>
            </w:tcBorders>
            <w:noWrap/>
          </w:tcPr>
          <w:p w:rsidR="00E10A87" w:rsidRPr="000B25F6" w:rsidRDefault="00E10A87" w:rsidP="00BE40E6">
            <w:pPr>
              <w:keepNext/>
              <w:spacing w:after="0"/>
              <w:jc w:val="center"/>
              <w:rPr>
                <w:sz w:val="20"/>
              </w:rPr>
            </w:pPr>
            <w:r w:rsidRPr="000B25F6">
              <w:rPr>
                <w:sz w:val="20"/>
              </w:rPr>
              <w:t>NA</w:t>
            </w:r>
          </w:p>
        </w:tc>
      </w:tr>
      <w:tr w:rsidR="00E10A87" w:rsidRPr="000B25F6" w:rsidTr="00A84436">
        <w:trPr>
          <w:trHeight w:val="255"/>
        </w:trPr>
        <w:tc>
          <w:tcPr>
            <w:tcW w:w="4111" w:type="dxa"/>
            <w:tcBorders>
              <w:left w:val="single" w:sz="4" w:space="0" w:color="auto"/>
              <w:bottom w:val="single" w:sz="4" w:space="0" w:color="auto"/>
            </w:tcBorders>
            <w:noWrap/>
          </w:tcPr>
          <w:p w:rsidR="00E10A87" w:rsidRPr="000B25F6" w:rsidRDefault="00E10A87" w:rsidP="00BE40E6">
            <w:pPr>
              <w:keepNext/>
              <w:spacing w:after="0"/>
              <w:rPr>
                <w:sz w:val="20"/>
              </w:rPr>
            </w:pPr>
            <w:r w:rsidRPr="000B25F6">
              <w:rPr>
                <w:sz w:val="20"/>
              </w:rPr>
              <w:t xml:space="preserve">    Disease control rate (CR + PR + SD)</w:t>
            </w:r>
          </w:p>
        </w:tc>
        <w:tc>
          <w:tcPr>
            <w:tcW w:w="2790" w:type="dxa"/>
            <w:tcBorders>
              <w:bottom w:val="single" w:sz="4" w:space="0" w:color="auto"/>
            </w:tcBorders>
            <w:noWrap/>
          </w:tcPr>
          <w:p w:rsidR="00E10A87" w:rsidRPr="000B25F6" w:rsidRDefault="00E10A87" w:rsidP="00BE40E6">
            <w:pPr>
              <w:keepNext/>
              <w:spacing w:after="0"/>
              <w:jc w:val="center"/>
              <w:rPr>
                <w:sz w:val="20"/>
              </w:rPr>
            </w:pPr>
            <w:r w:rsidRPr="000B25F6">
              <w:rPr>
                <w:sz w:val="20"/>
              </w:rPr>
              <w:t>52 (90)</w:t>
            </w:r>
          </w:p>
        </w:tc>
        <w:tc>
          <w:tcPr>
            <w:tcW w:w="2430" w:type="dxa"/>
            <w:tcBorders>
              <w:bottom w:val="single" w:sz="4" w:space="0" w:color="auto"/>
              <w:right w:val="single" w:sz="4" w:space="0" w:color="C0C0C0"/>
            </w:tcBorders>
            <w:noWrap/>
          </w:tcPr>
          <w:p w:rsidR="00E10A87" w:rsidRPr="000B25F6" w:rsidRDefault="00E10A87" w:rsidP="00BE40E6">
            <w:pPr>
              <w:keepNext/>
              <w:spacing w:after="0"/>
              <w:jc w:val="center"/>
              <w:rPr>
                <w:sz w:val="20"/>
              </w:rPr>
            </w:pPr>
            <w:r w:rsidRPr="000B25F6">
              <w:rPr>
                <w:sz w:val="20"/>
              </w:rPr>
              <w:t>78.8, 96.1</w:t>
            </w:r>
          </w:p>
        </w:tc>
      </w:tr>
      <w:tr w:rsidR="00E10A87" w:rsidRPr="000B25F6" w:rsidTr="00A84436">
        <w:trPr>
          <w:trHeight w:val="302"/>
        </w:trPr>
        <w:tc>
          <w:tcPr>
            <w:tcW w:w="4111" w:type="dxa"/>
            <w:tcBorders>
              <w:top w:val="single" w:sz="4" w:space="0" w:color="auto"/>
              <w:left w:val="single" w:sz="4" w:space="0" w:color="auto"/>
              <w:bottom w:val="single" w:sz="4" w:space="0" w:color="auto"/>
            </w:tcBorders>
            <w:noWrap/>
          </w:tcPr>
          <w:p w:rsidR="00E10A87" w:rsidRPr="000B25F6" w:rsidRDefault="00E10A87" w:rsidP="00BE40E6">
            <w:pPr>
              <w:keepNext/>
              <w:spacing w:after="0"/>
              <w:rPr>
                <w:b/>
                <w:bCs/>
                <w:sz w:val="20"/>
              </w:rPr>
            </w:pPr>
            <w:r w:rsidRPr="000B25F6">
              <w:rPr>
                <w:b/>
                <w:bCs/>
                <w:sz w:val="20"/>
              </w:rPr>
              <w:t>Duration of response</w:t>
            </w:r>
            <w:r w:rsidRPr="000B25F6">
              <w:rPr>
                <w:sz w:val="20"/>
                <w:vertAlign w:val="superscript"/>
              </w:rPr>
              <w:t xml:space="preserve"> </w:t>
            </w:r>
          </w:p>
        </w:tc>
        <w:tc>
          <w:tcPr>
            <w:tcW w:w="2790" w:type="dxa"/>
            <w:tcBorders>
              <w:top w:val="single" w:sz="4" w:space="0" w:color="auto"/>
              <w:bottom w:val="single" w:sz="4" w:space="0" w:color="auto"/>
            </w:tcBorders>
          </w:tcPr>
          <w:p w:rsidR="00E10A87" w:rsidRPr="000B25F6" w:rsidRDefault="00E10A87" w:rsidP="00BE40E6">
            <w:pPr>
              <w:keepNext/>
              <w:spacing w:after="0"/>
              <w:jc w:val="center"/>
              <w:rPr>
                <w:b/>
                <w:bCs/>
                <w:sz w:val="20"/>
              </w:rPr>
            </w:pPr>
            <w:r w:rsidRPr="000B25F6">
              <w:rPr>
                <w:b/>
                <w:bCs/>
                <w:sz w:val="20"/>
              </w:rPr>
              <w:t xml:space="preserve">Median per IRF </w:t>
            </w:r>
          </w:p>
        </w:tc>
        <w:tc>
          <w:tcPr>
            <w:tcW w:w="2430" w:type="dxa"/>
            <w:tcBorders>
              <w:top w:val="single" w:sz="4" w:space="0" w:color="auto"/>
              <w:bottom w:val="single" w:sz="4" w:space="0" w:color="auto"/>
              <w:right w:val="single" w:sz="4" w:space="0" w:color="C0C0C0"/>
            </w:tcBorders>
            <w:noWrap/>
          </w:tcPr>
          <w:p w:rsidR="00E10A87" w:rsidRPr="000B25F6" w:rsidRDefault="00E10A87" w:rsidP="00BE40E6">
            <w:pPr>
              <w:keepNext/>
              <w:spacing w:after="0"/>
              <w:jc w:val="center"/>
              <w:rPr>
                <w:b/>
                <w:bCs/>
                <w:sz w:val="20"/>
              </w:rPr>
            </w:pPr>
            <w:r w:rsidRPr="000B25F6">
              <w:rPr>
                <w:b/>
                <w:bCs/>
                <w:sz w:val="20"/>
              </w:rPr>
              <w:t>95% CI</w:t>
            </w:r>
          </w:p>
        </w:tc>
      </w:tr>
      <w:tr w:rsidR="00E10A87" w:rsidRPr="000B25F6" w:rsidTr="00A84436">
        <w:trPr>
          <w:trHeight w:val="255"/>
        </w:trPr>
        <w:tc>
          <w:tcPr>
            <w:tcW w:w="4111" w:type="dxa"/>
            <w:tcBorders>
              <w:top w:val="single" w:sz="4" w:space="0" w:color="auto"/>
              <w:left w:val="single" w:sz="4" w:space="0" w:color="auto"/>
            </w:tcBorders>
            <w:noWrap/>
          </w:tcPr>
          <w:p w:rsidR="00E10A87" w:rsidRPr="000B25F6" w:rsidRDefault="00E10A87" w:rsidP="00BE40E6">
            <w:pPr>
              <w:keepNext/>
              <w:spacing w:after="0"/>
              <w:rPr>
                <w:sz w:val="20"/>
              </w:rPr>
            </w:pPr>
            <w:r w:rsidRPr="000B25F6">
              <w:rPr>
                <w:sz w:val="20"/>
              </w:rPr>
              <w:t xml:space="preserve">    Objective response (CR + PR)</w:t>
            </w:r>
            <w:r w:rsidRPr="000B25F6">
              <w:rPr>
                <w:bCs/>
                <w:sz w:val="20"/>
                <w:vertAlign w:val="superscript"/>
              </w:rPr>
              <w:t>a</w:t>
            </w:r>
          </w:p>
        </w:tc>
        <w:tc>
          <w:tcPr>
            <w:tcW w:w="2790" w:type="dxa"/>
            <w:tcBorders>
              <w:top w:val="single" w:sz="4" w:space="0" w:color="auto"/>
            </w:tcBorders>
            <w:noWrap/>
          </w:tcPr>
          <w:p w:rsidR="00E10A87" w:rsidRPr="000B25F6" w:rsidRDefault="00E10A87" w:rsidP="00BE40E6">
            <w:pPr>
              <w:keepNext/>
              <w:spacing w:after="0"/>
              <w:jc w:val="center"/>
              <w:rPr>
                <w:sz w:val="20"/>
              </w:rPr>
            </w:pPr>
            <w:r w:rsidRPr="000B25F6">
              <w:rPr>
                <w:sz w:val="20"/>
              </w:rPr>
              <w:t xml:space="preserve">13.2 </w:t>
            </w:r>
          </w:p>
        </w:tc>
        <w:tc>
          <w:tcPr>
            <w:tcW w:w="2430" w:type="dxa"/>
            <w:tcBorders>
              <w:top w:val="single" w:sz="4" w:space="0" w:color="auto"/>
              <w:right w:val="single" w:sz="4" w:space="0" w:color="C0C0C0"/>
            </w:tcBorders>
            <w:noWrap/>
          </w:tcPr>
          <w:p w:rsidR="00E10A87" w:rsidRPr="000B25F6" w:rsidRDefault="00E10A87" w:rsidP="00BE40E6">
            <w:pPr>
              <w:keepNext/>
              <w:spacing w:after="0"/>
              <w:jc w:val="center"/>
              <w:rPr>
                <w:sz w:val="20"/>
              </w:rPr>
            </w:pPr>
            <w:r w:rsidRPr="000B25F6">
              <w:rPr>
                <w:sz w:val="20"/>
              </w:rPr>
              <w:t xml:space="preserve">5.7, </w:t>
            </w:r>
            <w:proofErr w:type="spellStart"/>
            <w:r w:rsidRPr="000B25F6">
              <w:rPr>
                <w:sz w:val="20"/>
              </w:rPr>
              <w:t>NE</w:t>
            </w:r>
            <w:r w:rsidRPr="000B25F6">
              <w:rPr>
                <w:sz w:val="20"/>
                <w:vertAlign w:val="superscript"/>
              </w:rPr>
              <w:t>b</w:t>
            </w:r>
            <w:proofErr w:type="spellEnd"/>
            <w:r w:rsidRPr="000B25F6">
              <w:rPr>
                <w:sz w:val="20"/>
              </w:rPr>
              <w:t xml:space="preserve"> </w:t>
            </w:r>
          </w:p>
        </w:tc>
      </w:tr>
      <w:tr w:rsidR="00E10A87" w:rsidRPr="000B25F6" w:rsidTr="00A84436">
        <w:trPr>
          <w:trHeight w:val="255"/>
        </w:trPr>
        <w:tc>
          <w:tcPr>
            <w:tcW w:w="4111" w:type="dxa"/>
            <w:tcBorders>
              <w:left w:val="single" w:sz="4" w:space="0" w:color="auto"/>
              <w:bottom w:val="single" w:sz="4" w:space="0" w:color="auto"/>
            </w:tcBorders>
            <w:noWrap/>
          </w:tcPr>
          <w:p w:rsidR="00E10A87" w:rsidRPr="000B25F6" w:rsidRDefault="00E10A87" w:rsidP="00BE40E6">
            <w:pPr>
              <w:keepNext/>
              <w:spacing w:after="0"/>
              <w:rPr>
                <w:sz w:val="20"/>
              </w:rPr>
            </w:pPr>
            <w:r w:rsidRPr="000B25F6">
              <w:rPr>
                <w:sz w:val="20"/>
              </w:rPr>
              <w:t xml:space="preserve">    Complete remission (CR)</w:t>
            </w:r>
          </w:p>
        </w:tc>
        <w:tc>
          <w:tcPr>
            <w:tcW w:w="2790" w:type="dxa"/>
            <w:tcBorders>
              <w:bottom w:val="single" w:sz="4" w:space="0" w:color="auto"/>
            </w:tcBorders>
            <w:noWrap/>
          </w:tcPr>
          <w:p w:rsidR="00E10A87" w:rsidRPr="00176DCC" w:rsidRDefault="00E10A87" w:rsidP="00BE40E6">
            <w:pPr>
              <w:keepNext/>
              <w:spacing w:after="0"/>
              <w:jc w:val="center"/>
              <w:rPr>
                <w:sz w:val="20"/>
              </w:rPr>
            </w:pPr>
            <w:r w:rsidRPr="00176DCC">
              <w:rPr>
                <w:sz w:val="20"/>
              </w:rPr>
              <w:t>Not reached</w:t>
            </w:r>
          </w:p>
        </w:tc>
        <w:tc>
          <w:tcPr>
            <w:tcW w:w="2430" w:type="dxa"/>
            <w:tcBorders>
              <w:bottom w:val="single" w:sz="4" w:space="0" w:color="auto"/>
              <w:right w:val="single" w:sz="4" w:space="0" w:color="C0C0C0"/>
            </w:tcBorders>
            <w:noWrap/>
          </w:tcPr>
          <w:p w:rsidR="00E10A87" w:rsidRPr="000B25F6" w:rsidRDefault="00E10A87" w:rsidP="00BE40E6">
            <w:pPr>
              <w:keepNext/>
              <w:spacing w:after="0"/>
              <w:jc w:val="center"/>
              <w:rPr>
                <w:sz w:val="20"/>
              </w:rPr>
            </w:pPr>
            <w:r w:rsidRPr="000B25F6">
              <w:rPr>
                <w:sz w:val="20"/>
              </w:rPr>
              <w:t>13.0, NE</w:t>
            </w:r>
          </w:p>
        </w:tc>
      </w:tr>
      <w:tr w:rsidR="00E10A87" w:rsidRPr="000B25F6" w:rsidTr="00A84436">
        <w:trPr>
          <w:trHeight w:val="295"/>
        </w:trPr>
        <w:tc>
          <w:tcPr>
            <w:tcW w:w="4111" w:type="dxa"/>
            <w:tcBorders>
              <w:top w:val="single" w:sz="4" w:space="0" w:color="auto"/>
              <w:left w:val="single" w:sz="4" w:space="0" w:color="auto"/>
              <w:bottom w:val="single" w:sz="4" w:space="0" w:color="auto"/>
            </w:tcBorders>
          </w:tcPr>
          <w:p w:rsidR="00E10A87" w:rsidRPr="000B25F6" w:rsidRDefault="00E10A87" w:rsidP="00BE40E6">
            <w:pPr>
              <w:keepNext/>
              <w:spacing w:after="0"/>
              <w:rPr>
                <w:rFonts w:eastAsia="MS Mincho"/>
                <w:b/>
                <w:color w:val="000000"/>
                <w:sz w:val="20"/>
                <w:lang w:eastAsia="ja-JP"/>
              </w:rPr>
            </w:pPr>
            <w:r w:rsidRPr="000B25F6">
              <w:rPr>
                <w:rFonts w:eastAsia="MS Mincho"/>
                <w:b/>
                <w:color w:val="000000"/>
                <w:sz w:val="20"/>
                <w:lang w:eastAsia="ja-JP"/>
              </w:rPr>
              <w:t>Overall survival</w:t>
            </w:r>
            <w:r w:rsidRPr="000B25F6">
              <w:rPr>
                <w:sz w:val="20"/>
                <w:vertAlign w:val="superscript"/>
              </w:rPr>
              <w:t xml:space="preserve"> </w:t>
            </w:r>
          </w:p>
        </w:tc>
        <w:tc>
          <w:tcPr>
            <w:tcW w:w="2790" w:type="dxa"/>
            <w:tcBorders>
              <w:top w:val="single" w:sz="4" w:space="0" w:color="auto"/>
              <w:bottom w:val="single" w:sz="4" w:space="0" w:color="auto"/>
            </w:tcBorders>
          </w:tcPr>
          <w:p w:rsidR="00E10A87" w:rsidRPr="00176DCC" w:rsidRDefault="00495FD3" w:rsidP="00BE40E6">
            <w:pPr>
              <w:keepNext/>
              <w:spacing w:after="0"/>
              <w:jc w:val="center"/>
              <w:rPr>
                <w:b/>
                <w:sz w:val="20"/>
              </w:rPr>
            </w:pPr>
            <w:r w:rsidRPr="00176DCC">
              <w:rPr>
                <w:b/>
                <w:sz w:val="20"/>
              </w:rPr>
              <w:t>Median</w:t>
            </w:r>
          </w:p>
        </w:tc>
        <w:tc>
          <w:tcPr>
            <w:tcW w:w="2430" w:type="dxa"/>
            <w:tcBorders>
              <w:top w:val="single" w:sz="4" w:space="0" w:color="auto"/>
              <w:bottom w:val="single" w:sz="4" w:space="0" w:color="auto"/>
              <w:right w:val="single" w:sz="4" w:space="0" w:color="C0C0C0"/>
            </w:tcBorders>
          </w:tcPr>
          <w:p w:rsidR="00E10A87" w:rsidRPr="000B25F6" w:rsidDel="00F4618A" w:rsidRDefault="00E10A87" w:rsidP="00BE40E6">
            <w:pPr>
              <w:keepNext/>
              <w:spacing w:after="0"/>
              <w:jc w:val="center"/>
              <w:rPr>
                <w:b/>
                <w:sz w:val="20"/>
              </w:rPr>
            </w:pPr>
            <w:r w:rsidRPr="000B25F6">
              <w:rPr>
                <w:b/>
                <w:sz w:val="20"/>
              </w:rPr>
              <w:t>95% CI</w:t>
            </w:r>
          </w:p>
        </w:tc>
      </w:tr>
      <w:tr w:rsidR="00E10A87" w:rsidRPr="000B25F6" w:rsidTr="00A84436">
        <w:trPr>
          <w:trHeight w:val="349"/>
        </w:trPr>
        <w:tc>
          <w:tcPr>
            <w:tcW w:w="4111" w:type="dxa"/>
            <w:tcBorders>
              <w:top w:val="single" w:sz="4" w:space="0" w:color="auto"/>
              <w:left w:val="single" w:sz="4" w:space="0" w:color="auto"/>
              <w:bottom w:val="single" w:sz="4" w:space="0" w:color="auto"/>
            </w:tcBorders>
          </w:tcPr>
          <w:p w:rsidR="00E10A87" w:rsidRPr="000B25F6" w:rsidRDefault="00E10A87" w:rsidP="00BE40E6">
            <w:pPr>
              <w:keepNext/>
              <w:spacing w:after="0"/>
              <w:ind w:firstLine="180"/>
              <w:rPr>
                <w:rFonts w:eastAsia="MS Mincho"/>
                <w:color w:val="000000"/>
                <w:sz w:val="20"/>
                <w:lang w:eastAsia="ja-JP"/>
              </w:rPr>
            </w:pPr>
            <w:r w:rsidRPr="000B25F6">
              <w:rPr>
                <w:rFonts w:eastAsia="MS Mincho"/>
                <w:color w:val="000000"/>
                <w:sz w:val="20"/>
                <w:lang w:eastAsia="ja-JP"/>
              </w:rPr>
              <w:t>Median</w:t>
            </w:r>
          </w:p>
        </w:tc>
        <w:tc>
          <w:tcPr>
            <w:tcW w:w="2790" w:type="dxa"/>
            <w:tcBorders>
              <w:top w:val="single" w:sz="4" w:space="0" w:color="auto"/>
              <w:bottom w:val="single" w:sz="4" w:space="0" w:color="auto"/>
            </w:tcBorders>
          </w:tcPr>
          <w:p w:rsidR="00E10A87" w:rsidRPr="000B25F6" w:rsidRDefault="00E10A87" w:rsidP="00BE40E6">
            <w:pPr>
              <w:keepNext/>
              <w:spacing w:after="0"/>
              <w:jc w:val="center"/>
              <w:rPr>
                <w:sz w:val="20"/>
              </w:rPr>
            </w:pPr>
            <w:r w:rsidRPr="000B25F6">
              <w:rPr>
                <w:sz w:val="20"/>
              </w:rPr>
              <w:t xml:space="preserve">Not </w:t>
            </w:r>
            <w:proofErr w:type="spellStart"/>
            <w:r w:rsidRPr="000B25F6">
              <w:rPr>
                <w:sz w:val="20"/>
              </w:rPr>
              <w:t>reached</w:t>
            </w:r>
            <w:r w:rsidRPr="000B25F6">
              <w:rPr>
                <w:sz w:val="20"/>
                <w:vertAlign w:val="superscript"/>
              </w:rPr>
              <w:t>c</w:t>
            </w:r>
            <w:proofErr w:type="spellEnd"/>
            <w:r w:rsidRPr="000B25F6">
              <w:rPr>
                <w:sz w:val="20"/>
                <w:vertAlign w:val="superscript"/>
              </w:rPr>
              <w:t xml:space="preserve"> </w:t>
            </w:r>
          </w:p>
        </w:tc>
        <w:tc>
          <w:tcPr>
            <w:tcW w:w="2430" w:type="dxa"/>
            <w:tcBorders>
              <w:top w:val="single" w:sz="4" w:space="0" w:color="auto"/>
              <w:bottom w:val="single" w:sz="4" w:space="0" w:color="auto"/>
              <w:right w:val="single" w:sz="4" w:space="0" w:color="C0C0C0"/>
            </w:tcBorders>
          </w:tcPr>
          <w:p w:rsidR="00E10A87" w:rsidRPr="000B25F6" w:rsidDel="00F4618A" w:rsidRDefault="009D5463" w:rsidP="00BE40E6">
            <w:pPr>
              <w:keepNext/>
              <w:spacing w:after="0"/>
              <w:jc w:val="center"/>
              <w:rPr>
                <w:sz w:val="20"/>
              </w:rPr>
            </w:pPr>
            <w:r>
              <w:rPr>
                <w:sz w:val="20"/>
              </w:rPr>
              <w:t>21.3</w:t>
            </w:r>
            <w:r w:rsidR="00E10A87" w:rsidRPr="000B25F6">
              <w:rPr>
                <w:sz w:val="20"/>
              </w:rPr>
              <w:t>, NE</w:t>
            </w:r>
          </w:p>
        </w:tc>
      </w:tr>
    </w:tbl>
    <w:p w:rsidR="00E10A87" w:rsidRPr="000B25F6" w:rsidRDefault="00E10A87" w:rsidP="00864D19">
      <w:pPr>
        <w:pStyle w:val="Paragraph"/>
        <w:keepNext/>
        <w:numPr>
          <w:ilvl w:val="0"/>
          <w:numId w:val="40"/>
        </w:numPr>
        <w:spacing w:after="0"/>
        <w:rPr>
          <w:rFonts w:ascii="Arial" w:hAnsi="Arial" w:cs="Arial"/>
          <w:sz w:val="20"/>
          <w:szCs w:val="20"/>
          <w:lang w:val="en-GB"/>
        </w:rPr>
      </w:pPr>
      <w:r w:rsidRPr="000B25F6">
        <w:rPr>
          <w:rFonts w:ascii="Arial" w:hAnsi="Arial" w:cs="Arial"/>
          <w:sz w:val="20"/>
          <w:szCs w:val="20"/>
          <w:lang w:val="en-GB"/>
        </w:rPr>
        <w:t xml:space="preserve">The range of DOR was 0.1+ months to 21.7+ months and the median follow-up time from first dose for patients who achieved objective response (OR) per IRF was 11.8 months. </w:t>
      </w:r>
    </w:p>
    <w:p w:rsidR="00E10A87" w:rsidRPr="000B25F6" w:rsidRDefault="00E10A87" w:rsidP="00864D19">
      <w:pPr>
        <w:pStyle w:val="Paragraph"/>
        <w:keepNext/>
        <w:numPr>
          <w:ilvl w:val="0"/>
          <w:numId w:val="40"/>
        </w:numPr>
        <w:spacing w:after="0"/>
        <w:rPr>
          <w:rFonts w:ascii="Arial" w:hAnsi="Arial" w:cs="Arial"/>
          <w:sz w:val="20"/>
          <w:szCs w:val="20"/>
          <w:lang w:val="en-GB"/>
        </w:rPr>
      </w:pPr>
      <w:r w:rsidRPr="000B25F6">
        <w:rPr>
          <w:rFonts w:ascii="Arial" w:hAnsi="Arial" w:cs="Arial"/>
          <w:sz w:val="20"/>
          <w:szCs w:val="20"/>
          <w:lang w:val="en-GB"/>
        </w:rPr>
        <w:t>Not estimable.</w:t>
      </w:r>
    </w:p>
    <w:p w:rsidR="00E10A87" w:rsidRPr="00B04EFC" w:rsidRDefault="00E10A87" w:rsidP="00864D19">
      <w:pPr>
        <w:pStyle w:val="Paragraph"/>
        <w:keepNext/>
        <w:numPr>
          <w:ilvl w:val="0"/>
          <w:numId w:val="40"/>
        </w:numPr>
        <w:spacing w:after="120"/>
        <w:ind w:left="357" w:hanging="357"/>
        <w:rPr>
          <w:rFonts w:ascii="Arial" w:hAnsi="Arial" w:cs="Arial"/>
          <w:sz w:val="20"/>
          <w:szCs w:val="20"/>
          <w:lang w:val="en-GB"/>
        </w:rPr>
      </w:pPr>
      <w:r w:rsidRPr="00176DCC">
        <w:rPr>
          <w:rFonts w:ascii="Arial" w:hAnsi="Arial" w:cs="Arial"/>
          <w:sz w:val="20"/>
          <w:szCs w:val="20"/>
          <w:lang w:val="en-GB"/>
        </w:rPr>
        <w:t xml:space="preserve">The estimated </w:t>
      </w:r>
      <w:r w:rsidR="009D5463" w:rsidRPr="00176DCC">
        <w:rPr>
          <w:rFonts w:ascii="Arial" w:hAnsi="Arial" w:cs="Arial"/>
          <w:sz w:val="20"/>
          <w:szCs w:val="20"/>
          <w:lang w:val="en-GB"/>
        </w:rPr>
        <w:t xml:space="preserve">36 </w:t>
      </w:r>
      <w:r w:rsidRPr="00176DCC">
        <w:rPr>
          <w:rFonts w:ascii="Arial" w:hAnsi="Arial" w:cs="Arial"/>
          <w:sz w:val="20"/>
          <w:szCs w:val="20"/>
          <w:lang w:val="en-GB"/>
        </w:rPr>
        <w:t xml:space="preserve">month overall survival was </w:t>
      </w:r>
      <w:r w:rsidR="009D5463" w:rsidRPr="00176DCC">
        <w:rPr>
          <w:rFonts w:ascii="Arial" w:hAnsi="Arial" w:cs="Arial"/>
          <w:sz w:val="20"/>
          <w:szCs w:val="20"/>
          <w:lang w:val="en-GB"/>
        </w:rPr>
        <w:t>63</w:t>
      </w:r>
      <w:r w:rsidRPr="00176DCC">
        <w:rPr>
          <w:rFonts w:ascii="Arial" w:hAnsi="Arial" w:cs="Arial"/>
          <w:sz w:val="20"/>
          <w:szCs w:val="20"/>
          <w:lang w:val="en-GB"/>
        </w:rPr>
        <w:t xml:space="preserve">% (the median </w:t>
      </w:r>
      <w:r w:rsidR="000233CE" w:rsidRPr="00176DCC">
        <w:rPr>
          <w:rFonts w:ascii="Arial" w:hAnsi="Arial" w:cs="Arial"/>
          <w:sz w:val="20"/>
          <w:szCs w:val="20"/>
          <w:lang w:val="en-GB"/>
        </w:rPr>
        <w:t>observation</w:t>
      </w:r>
      <w:r w:rsidRPr="00176DCC">
        <w:rPr>
          <w:rFonts w:ascii="Arial" w:hAnsi="Arial" w:cs="Arial"/>
          <w:sz w:val="20"/>
          <w:szCs w:val="20"/>
          <w:lang w:val="en-GB"/>
        </w:rPr>
        <w:t xml:space="preserve"> time </w:t>
      </w:r>
      <w:r w:rsidR="00EF6391" w:rsidRPr="00B04EFC">
        <w:rPr>
          <w:rFonts w:ascii="Arial" w:hAnsi="Arial" w:cs="Arial"/>
          <w:sz w:val="20"/>
          <w:szCs w:val="20"/>
          <w:lang w:val="en-GB"/>
        </w:rPr>
        <w:t xml:space="preserve">(time to death or last contact) </w:t>
      </w:r>
      <w:r w:rsidRPr="00B04EFC">
        <w:rPr>
          <w:rFonts w:ascii="Arial" w:hAnsi="Arial" w:cs="Arial"/>
          <w:sz w:val="20"/>
          <w:szCs w:val="20"/>
          <w:lang w:val="en-GB"/>
        </w:rPr>
        <w:t xml:space="preserve">from first dose was </w:t>
      </w:r>
      <w:r w:rsidR="009D5463" w:rsidRPr="00B04EFC">
        <w:rPr>
          <w:rFonts w:ascii="Arial" w:hAnsi="Arial" w:cs="Arial"/>
          <w:sz w:val="20"/>
          <w:szCs w:val="20"/>
          <w:lang w:val="en-GB"/>
        </w:rPr>
        <w:t>33.4</w:t>
      </w:r>
      <w:r w:rsidRPr="00B04EFC">
        <w:rPr>
          <w:rFonts w:ascii="Arial" w:hAnsi="Arial" w:cs="Arial"/>
          <w:sz w:val="20"/>
          <w:szCs w:val="20"/>
          <w:lang w:val="en-GB"/>
        </w:rPr>
        <w:t> months).</w:t>
      </w:r>
    </w:p>
    <w:p w:rsidR="000649ED" w:rsidRPr="006B7E6C" w:rsidRDefault="000649ED" w:rsidP="00A71E50">
      <w:pPr>
        <w:autoSpaceDE w:val="0"/>
        <w:autoSpaceDN w:val="0"/>
        <w:adjustRightInd w:val="0"/>
        <w:spacing w:after="120"/>
        <w:rPr>
          <w:rFonts w:cs="Arial"/>
          <w:szCs w:val="22"/>
        </w:rPr>
      </w:pPr>
      <w:r w:rsidRPr="000649ED">
        <w:rPr>
          <w:rFonts w:cs="Arial"/>
          <w:szCs w:val="22"/>
        </w:rPr>
        <w:t xml:space="preserve">No clinically meaningful differences in the objective response rate were observed among the following subgroups </w:t>
      </w:r>
      <w:r w:rsidR="001F506B" w:rsidRPr="000649ED">
        <w:rPr>
          <w:rFonts w:cs="Arial"/>
          <w:szCs w:val="22"/>
        </w:rPr>
        <w:t>analysed</w:t>
      </w:r>
      <w:r w:rsidRPr="000649ED">
        <w:rPr>
          <w:rFonts w:cs="Arial"/>
          <w:szCs w:val="22"/>
        </w:rPr>
        <w:t xml:space="preserve">: gender, baseline weight </w:t>
      </w:r>
      <w:proofErr w:type="gramStart"/>
      <w:r w:rsidRPr="000649ED">
        <w:rPr>
          <w:rFonts w:cs="Arial"/>
          <w:szCs w:val="22"/>
        </w:rPr>
        <w:t>(</w:t>
      </w:r>
      <w:r w:rsidR="00D41B1D" w:rsidRPr="00515187">
        <w:rPr>
          <w:color w:val="000000"/>
          <w:szCs w:val="22"/>
        </w:rPr>
        <w:t> </w:t>
      </w:r>
      <w:r w:rsidRPr="000649ED">
        <w:rPr>
          <w:rFonts w:cs="Arial"/>
          <w:szCs w:val="22"/>
        </w:rPr>
        <w:t>≤</w:t>
      </w:r>
      <w:proofErr w:type="gramEnd"/>
      <w:r w:rsidRPr="000649ED">
        <w:rPr>
          <w:rFonts w:cs="Arial"/>
          <w:szCs w:val="22"/>
        </w:rPr>
        <w:t xml:space="preserve">100 kg versus &gt;100 kg), baseline B symptoms, prior ASCT, and post-treatment ASCT. The ORR for relapsed patients was higher than those </w:t>
      </w:r>
      <w:r w:rsidRPr="006B7E6C">
        <w:rPr>
          <w:rFonts w:cs="Arial"/>
          <w:szCs w:val="22"/>
        </w:rPr>
        <w:t>who were refractory (97% vs. 76%).</w:t>
      </w:r>
    </w:p>
    <w:p w:rsidR="00C32226" w:rsidRDefault="00C32226" w:rsidP="00A71E50">
      <w:pPr>
        <w:autoSpaceDE w:val="0"/>
        <w:autoSpaceDN w:val="0"/>
        <w:adjustRightInd w:val="0"/>
        <w:spacing w:after="120"/>
        <w:rPr>
          <w:rFonts w:cs="Arial"/>
          <w:szCs w:val="22"/>
        </w:rPr>
      </w:pPr>
      <w:r w:rsidRPr="006B7E6C">
        <w:rPr>
          <w:rFonts w:cs="Arial"/>
          <w:szCs w:val="22"/>
        </w:rPr>
        <w:t>Tumo</w:t>
      </w:r>
      <w:r w:rsidR="004C5184">
        <w:rPr>
          <w:rFonts w:cs="Arial"/>
          <w:szCs w:val="22"/>
        </w:rPr>
        <w:t>u</w:t>
      </w:r>
      <w:r w:rsidRPr="006B7E6C">
        <w:rPr>
          <w:rFonts w:cs="Arial"/>
          <w:szCs w:val="22"/>
        </w:rPr>
        <w:t xml:space="preserve">r reduction was achieved in 97% of patients. See Figure </w:t>
      </w:r>
      <w:r w:rsidR="001F506B" w:rsidRPr="006B7E6C">
        <w:rPr>
          <w:rFonts w:cs="Arial"/>
          <w:szCs w:val="22"/>
        </w:rPr>
        <w:t xml:space="preserve">3 </w:t>
      </w:r>
      <w:r w:rsidRPr="006B7E6C">
        <w:rPr>
          <w:rFonts w:cs="Arial"/>
          <w:szCs w:val="22"/>
        </w:rPr>
        <w:t>for</w:t>
      </w:r>
      <w:r w:rsidRPr="00C32226">
        <w:rPr>
          <w:rFonts w:cs="Arial"/>
          <w:szCs w:val="22"/>
        </w:rPr>
        <w:t xml:space="preserve"> </w:t>
      </w:r>
      <w:r w:rsidR="006B7E6C">
        <w:rPr>
          <w:rFonts w:cs="Arial"/>
          <w:szCs w:val="22"/>
        </w:rPr>
        <w:t xml:space="preserve">a </w:t>
      </w:r>
      <w:r w:rsidRPr="00C32226">
        <w:rPr>
          <w:rFonts w:cs="Arial"/>
          <w:szCs w:val="22"/>
        </w:rPr>
        <w:t>waterfall chart of tumo</w:t>
      </w:r>
      <w:r w:rsidR="004C5184">
        <w:rPr>
          <w:rFonts w:cs="Arial"/>
          <w:szCs w:val="22"/>
        </w:rPr>
        <w:t>u</w:t>
      </w:r>
      <w:r w:rsidRPr="00C32226">
        <w:rPr>
          <w:rFonts w:cs="Arial"/>
          <w:szCs w:val="22"/>
        </w:rPr>
        <w:t>r reduction,</w:t>
      </w:r>
      <w:r>
        <w:rPr>
          <w:rFonts w:cs="Arial"/>
          <w:szCs w:val="22"/>
        </w:rPr>
        <w:t xml:space="preserve"> </w:t>
      </w:r>
      <w:r w:rsidRPr="00C32226">
        <w:rPr>
          <w:rFonts w:cs="Arial"/>
          <w:szCs w:val="22"/>
        </w:rPr>
        <w:t>ORR and CR.</w:t>
      </w:r>
    </w:p>
    <w:p w:rsidR="00F31D80" w:rsidRPr="001F506B" w:rsidRDefault="00F31D80" w:rsidP="00F31D80">
      <w:pPr>
        <w:keepNext/>
        <w:rPr>
          <w:rFonts w:cs="Arial"/>
          <w:b/>
        </w:rPr>
      </w:pPr>
      <w:r w:rsidRPr="001F506B">
        <w:rPr>
          <w:rFonts w:cs="Arial"/>
          <w:b/>
        </w:rPr>
        <w:t xml:space="preserve">Figure 3: Best </w:t>
      </w:r>
      <w:r w:rsidR="00341ACD">
        <w:rPr>
          <w:rFonts w:cs="Arial"/>
          <w:b/>
        </w:rPr>
        <w:t>c</w:t>
      </w:r>
      <w:r w:rsidRPr="001F506B">
        <w:rPr>
          <w:rFonts w:cs="Arial"/>
          <w:b/>
        </w:rPr>
        <w:t xml:space="preserve">linical </w:t>
      </w:r>
      <w:r w:rsidR="00341ACD">
        <w:rPr>
          <w:rFonts w:cs="Arial"/>
          <w:b/>
        </w:rPr>
        <w:t>r</w:t>
      </w:r>
      <w:r w:rsidRPr="001F506B">
        <w:rPr>
          <w:rFonts w:cs="Arial"/>
          <w:b/>
        </w:rPr>
        <w:t xml:space="preserve">esponse per </w:t>
      </w:r>
      <w:r w:rsidR="00341ACD">
        <w:rPr>
          <w:rFonts w:cs="Arial"/>
          <w:b/>
        </w:rPr>
        <w:t>p</w:t>
      </w:r>
      <w:r w:rsidRPr="001F506B">
        <w:rPr>
          <w:rFonts w:cs="Arial"/>
          <w:b/>
        </w:rPr>
        <w:t>atient by IRF Determination</w:t>
      </w:r>
    </w:p>
    <w:p w:rsidR="00F31D80" w:rsidRPr="00F31D80" w:rsidRDefault="001F506B" w:rsidP="00F31D80">
      <w:pPr>
        <w:rPr>
          <w:rFonts w:ascii="Times New Roman" w:hAnsi="Times New Roman"/>
        </w:rPr>
      </w:pPr>
      <w:r>
        <w:rPr>
          <w:rFonts w:ascii="Times New Roman" w:hAnsi="Times New Roman"/>
          <w:noProof/>
          <w:lang w:eastAsia="en-AU"/>
        </w:rPr>
        <w:drawing>
          <wp:inline distT="0" distB="0" distL="0" distR="0">
            <wp:extent cx="5943600" cy="2962275"/>
            <wp:effectExtent l="0" t="0" r="0" b="0"/>
            <wp:docPr id="5" name="Picture 10" descr="Figure 3: Best clinical response per patient by IRF Deter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43600" cy="2962275"/>
                    </a:xfrm>
                    <a:prstGeom prst="rect">
                      <a:avLst/>
                    </a:prstGeom>
                    <a:noFill/>
                    <a:ln w="9525">
                      <a:noFill/>
                      <a:miter lim="800000"/>
                      <a:headEnd/>
                      <a:tailEnd/>
                    </a:ln>
                  </pic:spPr>
                </pic:pic>
              </a:graphicData>
            </a:graphic>
          </wp:inline>
        </w:drawing>
      </w:r>
    </w:p>
    <w:p w:rsidR="00F31D80" w:rsidRPr="00341ACD" w:rsidRDefault="00F31D80" w:rsidP="00341ACD">
      <w:pPr>
        <w:spacing w:after="120"/>
        <w:rPr>
          <w:rFonts w:cs="Arial"/>
          <w:sz w:val="20"/>
          <w:lang w:val="en-GB"/>
        </w:rPr>
      </w:pPr>
      <w:r w:rsidRPr="00341ACD">
        <w:rPr>
          <w:rFonts w:cs="Arial"/>
          <w:sz w:val="20"/>
          <w:lang w:val="en-GB"/>
        </w:rPr>
        <w:t>In the designation of CR per Revised Response Criteria for Malignant Lymphoma (</w:t>
      </w:r>
      <w:proofErr w:type="spellStart"/>
      <w:r w:rsidRPr="00341ACD">
        <w:rPr>
          <w:rFonts w:cs="Arial"/>
          <w:sz w:val="20"/>
          <w:lang w:val="en-GB"/>
        </w:rPr>
        <w:t>Cheson</w:t>
      </w:r>
      <w:proofErr w:type="spellEnd"/>
      <w:r w:rsidRPr="00341ACD">
        <w:rPr>
          <w:rFonts w:cs="Arial"/>
          <w:sz w:val="20"/>
          <w:lang w:val="en-GB"/>
        </w:rPr>
        <w:t xml:space="preserve"> et al., 2007), a post-treatment residual mass of any size is permitted as long as it is PET negative </w:t>
      </w:r>
    </w:p>
    <w:p w:rsidR="00A36403" w:rsidRPr="00A84436" w:rsidRDefault="00A36403" w:rsidP="00A36403">
      <w:pPr>
        <w:pStyle w:val="Paragraph"/>
        <w:spacing w:after="120"/>
        <w:jc w:val="both"/>
        <w:rPr>
          <w:rFonts w:ascii="Arial" w:hAnsi="Arial" w:cs="Arial"/>
          <w:sz w:val="22"/>
          <w:szCs w:val="22"/>
          <w:lang w:val="en-AU"/>
        </w:rPr>
      </w:pPr>
      <w:r w:rsidRPr="00A84436" w:rsidDel="00F31D80">
        <w:rPr>
          <w:rFonts w:ascii="Arial" w:hAnsi="Arial" w:cs="Arial"/>
          <w:sz w:val="22"/>
          <w:szCs w:val="22"/>
          <w:lang w:val="en-AU"/>
        </w:rPr>
        <w:t xml:space="preserve">Of the 17 patients (29%) who had B symptoms at baseline, 14 patients (82%) experienced resolution of all B symptoms in a median time from initiation of </w:t>
      </w:r>
      <w:r w:rsidDel="00F31D80">
        <w:rPr>
          <w:rFonts w:ascii="Arial" w:hAnsi="Arial"/>
          <w:color w:val="000000"/>
          <w:sz w:val="22"/>
          <w:szCs w:val="22"/>
          <w:lang w:val="en-AU"/>
        </w:rPr>
        <w:t xml:space="preserve">ADCETRIS </w:t>
      </w:r>
      <w:r w:rsidRPr="00A84436" w:rsidDel="00F31D80">
        <w:rPr>
          <w:rFonts w:ascii="Arial" w:hAnsi="Arial" w:cs="Arial"/>
          <w:sz w:val="22"/>
          <w:szCs w:val="22"/>
          <w:lang w:val="en-AU"/>
        </w:rPr>
        <w:t>of 0.7 months.</w:t>
      </w:r>
    </w:p>
    <w:p w:rsidR="00A36403" w:rsidRDefault="00F224A1" w:rsidP="00884ECC">
      <w:pPr>
        <w:keepNext/>
        <w:spacing w:after="240"/>
        <w:rPr>
          <w:i/>
        </w:rPr>
      </w:pPr>
      <w:r>
        <w:rPr>
          <w:rFonts w:cs="Arial"/>
          <w:szCs w:val="22"/>
        </w:rPr>
        <w:lastRenderedPageBreak/>
        <w:t xml:space="preserve"> A pre-specified PFS analysis comparing current PFS per investigator versus PFS achieved with the last therapy received prior to study entry was performed. </w:t>
      </w:r>
      <w:r w:rsidR="00F31D80" w:rsidRPr="00F31D80">
        <w:rPr>
          <w:rFonts w:cs="Arial"/>
          <w:szCs w:val="22"/>
        </w:rPr>
        <w:t xml:space="preserve">See </w:t>
      </w:r>
      <w:r w:rsidR="00F31D80" w:rsidRPr="006B7E6C">
        <w:rPr>
          <w:rFonts w:cs="Arial"/>
          <w:szCs w:val="22"/>
        </w:rPr>
        <w:t xml:space="preserve">Figure </w:t>
      </w:r>
      <w:r w:rsidR="001F506B" w:rsidRPr="006B7E6C">
        <w:rPr>
          <w:rFonts w:cs="Arial"/>
          <w:szCs w:val="22"/>
        </w:rPr>
        <w:t>4</w:t>
      </w:r>
      <w:r w:rsidR="001F506B" w:rsidRPr="00F31D80">
        <w:rPr>
          <w:rFonts w:cs="Arial"/>
          <w:szCs w:val="22"/>
        </w:rPr>
        <w:t xml:space="preserve"> </w:t>
      </w:r>
      <w:r w:rsidR="00F31D80" w:rsidRPr="00F31D80">
        <w:rPr>
          <w:rFonts w:cs="Arial"/>
          <w:szCs w:val="22"/>
        </w:rPr>
        <w:t xml:space="preserve">for a KM plot of PFS with </w:t>
      </w:r>
      <w:r w:rsidR="00F31D80">
        <w:rPr>
          <w:rFonts w:cs="Arial"/>
          <w:szCs w:val="22"/>
        </w:rPr>
        <w:t>ADCETRIS</w:t>
      </w:r>
      <w:r w:rsidR="00F31D80" w:rsidRPr="00F31D80">
        <w:rPr>
          <w:rFonts w:cs="Arial"/>
          <w:szCs w:val="22"/>
        </w:rPr>
        <w:t xml:space="preserve"> compared to PFS from last therapy received prior to study entry.</w:t>
      </w:r>
      <w:r w:rsidR="00F31D80">
        <w:rPr>
          <w:i/>
        </w:rPr>
        <w:t xml:space="preserve"> </w:t>
      </w:r>
    </w:p>
    <w:p w:rsidR="00A36403" w:rsidRPr="001F506B" w:rsidRDefault="00A36403" w:rsidP="00A36403">
      <w:pPr>
        <w:keepNext/>
        <w:rPr>
          <w:rFonts w:cs="Arial"/>
          <w:b/>
        </w:rPr>
      </w:pPr>
      <w:r w:rsidRPr="001F506B">
        <w:rPr>
          <w:rFonts w:cs="Arial"/>
          <w:b/>
        </w:rPr>
        <w:t xml:space="preserve">Figure 4: Comparison of current PFS per investigator and PFS achieved with the last therapy received prior to study entry </w:t>
      </w:r>
    </w:p>
    <w:p w:rsidR="00176DCC" w:rsidRPr="00F31D80" w:rsidRDefault="00246E92" w:rsidP="00A36403">
      <w:pPr>
        <w:rPr>
          <w:rFonts w:ascii="Times New Roman" w:hAnsi="Times New Roman"/>
        </w:rPr>
      </w:pPr>
      <w:r>
        <w:rPr>
          <w:noProof/>
          <w:sz w:val="24"/>
          <w:szCs w:val="24"/>
          <w:lang w:eastAsia="en-AU"/>
        </w:rPr>
        <w:drawing>
          <wp:inline distT="0" distB="0" distL="0" distR="0">
            <wp:extent cx="6120130" cy="3097566"/>
            <wp:effectExtent l="0" t="0" r="0" b="0"/>
            <wp:docPr id="7" name="Picture 4" descr="Figure 4: Comparison of current PFS per investigator and PFS achieved with the last therapy received prior to study en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6120130" cy="3097566"/>
                    </a:xfrm>
                    <a:prstGeom prst="rect">
                      <a:avLst/>
                    </a:prstGeom>
                    <a:noFill/>
                    <a:ln w="9525">
                      <a:noFill/>
                      <a:miter lim="800000"/>
                      <a:headEnd/>
                      <a:tailEnd/>
                    </a:ln>
                  </pic:spPr>
                </pic:pic>
              </a:graphicData>
            </a:graphic>
          </wp:inline>
        </w:drawing>
      </w:r>
    </w:p>
    <w:p w:rsidR="00A36403" w:rsidRPr="00C17ACE" w:rsidRDefault="00A36403" w:rsidP="00A36403">
      <w:pPr>
        <w:rPr>
          <w:rFonts w:cs="Arial"/>
          <w:sz w:val="20"/>
          <w:lang w:val="en-GB"/>
        </w:rPr>
      </w:pPr>
      <w:r w:rsidRPr="00C17ACE">
        <w:rPr>
          <w:rFonts w:cs="Arial"/>
          <w:sz w:val="20"/>
          <w:lang w:val="en-GB"/>
        </w:rPr>
        <w:t>Symbols on the plot indicate censored patients.</w:t>
      </w:r>
    </w:p>
    <w:p w:rsidR="00B541CE" w:rsidRDefault="00B541CE">
      <w:pPr>
        <w:pStyle w:val="Heading1"/>
      </w:pPr>
      <w:r>
        <w:t>Indications</w:t>
      </w:r>
    </w:p>
    <w:p w:rsidR="00473FF2" w:rsidRPr="00C54FD9" w:rsidRDefault="00473FF2" w:rsidP="00223786">
      <w:pPr>
        <w:autoSpaceDE w:val="0"/>
        <w:autoSpaceDN w:val="0"/>
        <w:spacing w:after="0"/>
        <w:rPr>
          <w:rFonts w:cs="Arial"/>
        </w:rPr>
      </w:pPr>
      <w:r w:rsidRPr="00C54FD9">
        <w:rPr>
          <w:rFonts w:cs="Arial"/>
        </w:rPr>
        <w:t xml:space="preserve">Treatment of adult patients with relapsed or refractory </w:t>
      </w:r>
      <w:r w:rsidR="001D2931">
        <w:rPr>
          <w:rFonts w:cs="Arial"/>
        </w:rPr>
        <w:t>CD30</w:t>
      </w:r>
      <w:r w:rsidR="007A5732">
        <w:rPr>
          <w:rFonts w:cs="Arial"/>
        </w:rPr>
        <w:t>+</w:t>
      </w:r>
      <w:r w:rsidR="001D2931">
        <w:rPr>
          <w:rFonts w:cs="Arial"/>
        </w:rPr>
        <w:t xml:space="preserve"> </w:t>
      </w:r>
      <w:r>
        <w:rPr>
          <w:rFonts w:cs="Arial"/>
        </w:rPr>
        <w:t>Hodgkin lymphoma (HL)</w:t>
      </w:r>
      <w:r w:rsidRPr="00C54FD9">
        <w:rPr>
          <w:rFonts w:cs="Arial"/>
        </w:rPr>
        <w:t>:</w:t>
      </w:r>
    </w:p>
    <w:p w:rsidR="00473FF2" w:rsidRPr="00C54FD9" w:rsidRDefault="00473FF2" w:rsidP="00223786">
      <w:pPr>
        <w:autoSpaceDE w:val="0"/>
        <w:autoSpaceDN w:val="0"/>
        <w:spacing w:after="0"/>
        <w:ind w:left="284"/>
        <w:rPr>
          <w:rFonts w:cs="Arial"/>
        </w:rPr>
      </w:pPr>
      <w:r w:rsidRPr="00C54FD9">
        <w:rPr>
          <w:rFonts w:cs="Arial"/>
        </w:rPr>
        <w:t xml:space="preserve">1. </w:t>
      </w:r>
      <w:proofErr w:type="gramStart"/>
      <w:r w:rsidRPr="00C54FD9">
        <w:rPr>
          <w:rFonts w:cs="Arial"/>
        </w:rPr>
        <w:t>following</w:t>
      </w:r>
      <w:proofErr w:type="gramEnd"/>
      <w:r w:rsidRPr="00C54FD9">
        <w:rPr>
          <w:rFonts w:cs="Arial"/>
        </w:rPr>
        <w:t xml:space="preserve"> autologous stem cell transplant </w:t>
      </w:r>
      <w:r w:rsidR="003D035E">
        <w:rPr>
          <w:rFonts w:cs="Arial"/>
        </w:rPr>
        <w:t xml:space="preserve">(ASCT) </w:t>
      </w:r>
      <w:r w:rsidRPr="00C54FD9">
        <w:rPr>
          <w:rFonts w:cs="Arial"/>
        </w:rPr>
        <w:t>or</w:t>
      </w:r>
    </w:p>
    <w:p w:rsidR="00473FF2" w:rsidRDefault="00473FF2" w:rsidP="00223786">
      <w:pPr>
        <w:pStyle w:val="Default"/>
        <w:spacing w:after="120"/>
        <w:ind w:left="284"/>
        <w:jc w:val="both"/>
        <w:rPr>
          <w:rFonts w:ascii="Arial" w:eastAsia="Times New Roman" w:hAnsi="Arial" w:cs="Arial"/>
          <w:color w:val="auto"/>
          <w:sz w:val="22"/>
          <w:szCs w:val="22"/>
        </w:rPr>
      </w:pPr>
      <w:r w:rsidRPr="00C54FD9">
        <w:rPr>
          <w:rFonts w:ascii="Arial" w:eastAsia="Times New Roman" w:hAnsi="Arial" w:cs="Arial"/>
          <w:color w:val="auto"/>
          <w:sz w:val="22"/>
          <w:szCs w:val="22"/>
        </w:rPr>
        <w:t xml:space="preserve">2. </w:t>
      </w:r>
      <w:proofErr w:type="gramStart"/>
      <w:r w:rsidRPr="00C54FD9">
        <w:rPr>
          <w:rFonts w:ascii="Arial" w:eastAsia="Times New Roman" w:hAnsi="Arial" w:cs="Arial"/>
          <w:color w:val="auto"/>
          <w:sz w:val="22"/>
          <w:szCs w:val="22"/>
        </w:rPr>
        <w:t>following</w:t>
      </w:r>
      <w:proofErr w:type="gramEnd"/>
      <w:r w:rsidRPr="00C54FD9">
        <w:rPr>
          <w:rFonts w:ascii="Arial" w:eastAsia="Times New Roman" w:hAnsi="Arial" w:cs="Arial"/>
          <w:color w:val="auto"/>
          <w:sz w:val="22"/>
          <w:szCs w:val="22"/>
        </w:rPr>
        <w:t xml:space="preserve"> at least two prior therapies when </w:t>
      </w:r>
      <w:r w:rsidR="003D035E">
        <w:rPr>
          <w:rFonts w:ascii="Arial" w:eastAsia="Times New Roman" w:hAnsi="Arial" w:cs="Arial"/>
          <w:color w:val="auto"/>
          <w:sz w:val="22"/>
          <w:szCs w:val="22"/>
        </w:rPr>
        <w:t>ASCT or multi-agent chemotherapy</w:t>
      </w:r>
      <w:r w:rsidRPr="00C54FD9">
        <w:rPr>
          <w:rFonts w:ascii="Arial" w:eastAsia="Times New Roman" w:hAnsi="Arial" w:cs="Arial"/>
          <w:color w:val="auto"/>
          <w:sz w:val="22"/>
          <w:szCs w:val="22"/>
        </w:rPr>
        <w:t xml:space="preserve"> is not a treatment option.</w:t>
      </w:r>
    </w:p>
    <w:p w:rsidR="00473FF2" w:rsidRPr="00C54FD9" w:rsidRDefault="00473FF2" w:rsidP="00223786">
      <w:pPr>
        <w:pStyle w:val="Default"/>
        <w:jc w:val="both"/>
        <w:rPr>
          <w:rFonts w:ascii="Arial" w:eastAsia="Times New Roman" w:hAnsi="Arial" w:cs="Arial"/>
          <w:color w:val="auto"/>
          <w:sz w:val="22"/>
          <w:szCs w:val="22"/>
        </w:rPr>
      </w:pPr>
      <w:proofErr w:type="gramStart"/>
      <w:r w:rsidRPr="00C54FD9">
        <w:rPr>
          <w:rFonts w:ascii="Arial" w:eastAsia="Times New Roman" w:hAnsi="Arial" w:cs="Arial"/>
          <w:color w:val="auto"/>
          <w:sz w:val="22"/>
          <w:szCs w:val="22"/>
        </w:rPr>
        <w:t xml:space="preserve">Treatment of </w:t>
      </w:r>
      <w:r>
        <w:rPr>
          <w:rFonts w:ascii="Arial" w:eastAsia="Times New Roman" w:hAnsi="Arial" w:cs="Arial"/>
          <w:color w:val="auto"/>
          <w:sz w:val="22"/>
          <w:szCs w:val="22"/>
        </w:rPr>
        <w:t xml:space="preserve">adult </w:t>
      </w:r>
      <w:r w:rsidRPr="00C54FD9">
        <w:rPr>
          <w:rFonts w:ascii="Arial" w:eastAsia="Times New Roman" w:hAnsi="Arial" w:cs="Arial"/>
          <w:color w:val="auto"/>
          <w:sz w:val="22"/>
          <w:szCs w:val="22"/>
        </w:rPr>
        <w:t>patients with relapsed or refractory systemic anaplastic large cell lymphoma</w:t>
      </w:r>
      <w:r>
        <w:rPr>
          <w:rFonts w:ascii="Arial" w:eastAsia="Times New Roman" w:hAnsi="Arial" w:cs="Arial"/>
          <w:color w:val="auto"/>
          <w:sz w:val="22"/>
          <w:szCs w:val="22"/>
        </w:rPr>
        <w:t xml:space="preserve"> (</w:t>
      </w:r>
      <w:proofErr w:type="spellStart"/>
      <w:r>
        <w:rPr>
          <w:rFonts w:ascii="Arial" w:eastAsia="Times New Roman" w:hAnsi="Arial" w:cs="Arial"/>
          <w:color w:val="auto"/>
          <w:sz w:val="22"/>
          <w:szCs w:val="22"/>
        </w:rPr>
        <w:t>sALCL</w:t>
      </w:r>
      <w:proofErr w:type="spellEnd"/>
      <w:r>
        <w:rPr>
          <w:rFonts w:ascii="Arial" w:eastAsia="Times New Roman" w:hAnsi="Arial" w:cs="Arial"/>
          <w:color w:val="auto"/>
          <w:sz w:val="22"/>
          <w:szCs w:val="22"/>
        </w:rPr>
        <w:t>)</w:t>
      </w:r>
      <w:r w:rsidRPr="00C54FD9">
        <w:rPr>
          <w:rFonts w:ascii="Arial" w:eastAsia="Times New Roman" w:hAnsi="Arial" w:cs="Arial"/>
          <w:color w:val="auto"/>
          <w:sz w:val="22"/>
          <w:szCs w:val="22"/>
        </w:rPr>
        <w:t>.</w:t>
      </w:r>
      <w:proofErr w:type="gramEnd"/>
    </w:p>
    <w:p w:rsidR="00B541CE" w:rsidRDefault="00B541CE">
      <w:pPr>
        <w:pStyle w:val="Heading1"/>
      </w:pPr>
      <w:r>
        <w:t>Contraindications</w:t>
      </w:r>
    </w:p>
    <w:p w:rsidR="00C5107C" w:rsidRPr="00C36C6C" w:rsidRDefault="00C5107C" w:rsidP="00C5107C">
      <w:pPr>
        <w:rPr>
          <w:color w:val="000000"/>
          <w:szCs w:val="22"/>
        </w:rPr>
      </w:pPr>
      <w:proofErr w:type="gramStart"/>
      <w:r w:rsidRPr="00D50153">
        <w:rPr>
          <w:color w:val="000000"/>
          <w:szCs w:val="22"/>
        </w:rPr>
        <w:t xml:space="preserve">Hypersensitivity to the active substance or to any of the excipients </w:t>
      </w:r>
      <w:r w:rsidR="00B5187B">
        <w:rPr>
          <w:color w:val="000000"/>
          <w:szCs w:val="22"/>
        </w:rPr>
        <w:t>(see ‘Description’)</w:t>
      </w:r>
      <w:r w:rsidRPr="00D50153">
        <w:rPr>
          <w:color w:val="000000"/>
          <w:szCs w:val="22"/>
        </w:rPr>
        <w:t>.</w:t>
      </w:r>
      <w:proofErr w:type="gramEnd"/>
      <w:r w:rsidRPr="00D50153">
        <w:rPr>
          <w:color w:val="000000"/>
          <w:szCs w:val="22"/>
        </w:rPr>
        <w:t xml:space="preserve"> </w:t>
      </w:r>
    </w:p>
    <w:p w:rsidR="00C5107C" w:rsidRPr="00C5107C" w:rsidRDefault="00C5107C" w:rsidP="00C5107C">
      <w:pPr>
        <w:rPr>
          <w:color w:val="000000"/>
          <w:szCs w:val="22"/>
        </w:rPr>
      </w:pPr>
      <w:r w:rsidRPr="00C5107C">
        <w:rPr>
          <w:color w:val="000000"/>
          <w:szCs w:val="22"/>
        </w:rPr>
        <w:t xml:space="preserve">Combined use of </w:t>
      </w:r>
      <w:proofErr w:type="spellStart"/>
      <w:r w:rsidRPr="00C5107C">
        <w:rPr>
          <w:color w:val="000000"/>
          <w:szCs w:val="22"/>
        </w:rPr>
        <w:t>bleomycin</w:t>
      </w:r>
      <w:proofErr w:type="spellEnd"/>
      <w:r w:rsidRPr="00C5107C">
        <w:rPr>
          <w:color w:val="000000"/>
          <w:szCs w:val="22"/>
        </w:rPr>
        <w:t xml:space="preserve"> and </w:t>
      </w:r>
      <w:r w:rsidR="00B5187B">
        <w:rPr>
          <w:color w:val="000000"/>
          <w:szCs w:val="22"/>
        </w:rPr>
        <w:t xml:space="preserve">ADCETRIS </w:t>
      </w:r>
      <w:r w:rsidRPr="00C5107C">
        <w:rPr>
          <w:color w:val="000000"/>
          <w:szCs w:val="22"/>
        </w:rPr>
        <w:t>causes pulmonary toxicity</w:t>
      </w:r>
      <w:r w:rsidR="00B5187B">
        <w:rPr>
          <w:color w:val="000000"/>
          <w:szCs w:val="22"/>
        </w:rPr>
        <w:t>.</w:t>
      </w:r>
      <w:r w:rsidRPr="00C5107C">
        <w:rPr>
          <w:color w:val="000000"/>
          <w:szCs w:val="22"/>
        </w:rPr>
        <w:t xml:space="preserve"> </w:t>
      </w:r>
    </w:p>
    <w:p w:rsidR="00B541CE" w:rsidRDefault="00B541CE" w:rsidP="00C5107C">
      <w:pPr>
        <w:pStyle w:val="Heading1"/>
      </w:pPr>
      <w:r>
        <w:t>Precautions</w:t>
      </w:r>
    </w:p>
    <w:p w:rsidR="00ED0777" w:rsidRDefault="00ED0777" w:rsidP="000B25F6">
      <w:pPr>
        <w:pStyle w:val="Heading2"/>
      </w:pPr>
      <w:r w:rsidRPr="00C36C6C">
        <w:t xml:space="preserve">Progressive multifocal </w:t>
      </w:r>
      <w:proofErr w:type="spellStart"/>
      <w:r w:rsidRPr="00C36C6C">
        <w:t>leukoencephalopathy</w:t>
      </w:r>
      <w:proofErr w:type="spellEnd"/>
    </w:p>
    <w:p w:rsidR="00ED0777" w:rsidRPr="00C36C6C" w:rsidRDefault="00ED0777" w:rsidP="00ED0777">
      <w:pPr>
        <w:rPr>
          <w:szCs w:val="22"/>
        </w:rPr>
      </w:pPr>
      <w:r w:rsidRPr="00C36C6C">
        <w:rPr>
          <w:rFonts w:cs="Arial"/>
          <w:szCs w:val="22"/>
        </w:rPr>
        <w:t xml:space="preserve">John Cunningham virus (JCV) reactivation resulting in </w:t>
      </w:r>
      <w:r w:rsidRPr="00C36C6C">
        <w:rPr>
          <w:szCs w:val="22"/>
        </w:rPr>
        <w:t xml:space="preserve">progressive multifocal </w:t>
      </w:r>
      <w:proofErr w:type="spellStart"/>
      <w:r w:rsidRPr="00C36C6C">
        <w:rPr>
          <w:szCs w:val="22"/>
        </w:rPr>
        <w:t>leukoencephalopathy</w:t>
      </w:r>
      <w:proofErr w:type="spellEnd"/>
      <w:r w:rsidRPr="00C36C6C">
        <w:rPr>
          <w:rFonts w:cs="Arial"/>
          <w:szCs w:val="22"/>
        </w:rPr>
        <w:t xml:space="preserve"> (PML) and death can occur in </w:t>
      </w:r>
      <w:r w:rsidR="00866975">
        <w:rPr>
          <w:color w:val="000000"/>
          <w:szCs w:val="22"/>
        </w:rPr>
        <w:t>ADCETRIS</w:t>
      </w:r>
      <w:r w:rsidRPr="00C36C6C">
        <w:rPr>
          <w:rFonts w:cs="Arial"/>
          <w:szCs w:val="22"/>
        </w:rPr>
        <w:t xml:space="preserve">-treated patients. </w:t>
      </w:r>
      <w:r w:rsidRPr="00C36C6C">
        <w:rPr>
          <w:szCs w:val="22"/>
        </w:rPr>
        <w:t xml:space="preserve">PML has been reported in patients who received this treatment after receiving multiple prior chemotherapy regimens. PML is a rare demyelinating disease of the central nervous system that results from reactivation of latent JCV and is often fatal. </w:t>
      </w:r>
    </w:p>
    <w:p w:rsidR="00ED0777" w:rsidRPr="00C36C6C" w:rsidRDefault="00ED0777" w:rsidP="00ED0777">
      <w:pPr>
        <w:rPr>
          <w:szCs w:val="22"/>
        </w:rPr>
      </w:pPr>
      <w:r w:rsidRPr="00C36C6C">
        <w:rPr>
          <w:szCs w:val="22"/>
        </w:rPr>
        <w:t xml:space="preserve">Patients should be closely monitored for new or worsening neurological, cognitive, or behavioural signs or symptoms, which may be suggestive of PML. </w:t>
      </w:r>
      <w:r w:rsidR="00866975">
        <w:rPr>
          <w:szCs w:val="22"/>
        </w:rPr>
        <w:t xml:space="preserve">ADCETRIS </w:t>
      </w:r>
      <w:r w:rsidRPr="00C36C6C">
        <w:rPr>
          <w:szCs w:val="22"/>
        </w:rPr>
        <w:t xml:space="preserve">dosing should be held for any suspected case of PML. Suggested evaluation of PML includes neurology consultation, gadolinium-enhanced magnetic resonance imaging of the brain and cerebrospinal fluid analysis for JCV DNA by polymerase chain reaction or a brain biopsy with evidence of JCV. A negative JCV </w:t>
      </w:r>
      <w:r w:rsidRPr="00C36C6C">
        <w:rPr>
          <w:szCs w:val="22"/>
        </w:rPr>
        <w:lastRenderedPageBreak/>
        <w:t xml:space="preserve">PCR does not exclude PML. Additional follow up and evaluation may be warranted if no alternative diagnosis can be established. </w:t>
      </w:r>
      <w:r w:rsidR="00866975">
        <w:rPr>
          <w:szCs w:val="22"/>
        </w:rPr>
        <w:t>ADCETRIS</w:t>
      </w:r>
      <w:r w:rsidRPr="00C36C6C">
        <w:rPr>
          <w:szCs w:val="22"/>
        </w:rPr>
        <w:t xml:space="preserve"> dosing should be permanently discontinued if a diagnosis of PML is confirmed.</w:t>
      </w:r>
    </w:p>
    <w:p w:rsidR="00ED0777" w:rsidRPr="00C36C6C" w:rsidRDefault="00ED0777" w:rsidP="00ED0777">
      <w:r w:rsidRPr="00C36C6C">
        <w:t>The physician should be particularly alert to symptoms suggestive of PML that the patient may not notice (e.g., cognitive, neurological, or psychiatric symptoms).</w:t>
      </w:r>
    </w:p>
    <w:p w:rsidR="00CC5ECD" w:rsidRPr="00A71E50" w:rsidRDefault="00CC5ECD" w:rsidP="00A71E50">
      <w:pPr>
        <w:pStyle w:val="Heading2"/>
      </w:pPr>
      <w:r w:rsidRPr="00CC5ECD">
        <w:t>Pancreatitis</w:t>
      </w:r>
    </w:p>
    <w:p w:rsidR="00CC5ECD" w:rsidRPr="00CC5ECD" w:rsidRDefault="00CC5ECD" w:rsidP="00A71E50">
      <w:pPr>
        <w:autoSpaceDE w:val="0"/>
        <w:autoSpaceDN w:val="0"/>
        <w:adjustRightInd w:val="0"/>
        <w:spacing w:after="0"/>
        <w:rPr>
          <w:szCs w:val="22"/>
        </w:rPr>
      </w:pPr>
      <w:r w:rsidRPr="00CC5ECD">
        <w:rPr>
          <w:szCs w:val="22"/>
        </w:rPr>
        <w:t xml:space="preserve">Acute pancreatitis has been observed in patients treated with </w:t>
      </w:r>
      <w:r>
        <w:rPr>
          <w:szCs w:val="22"/>
        </w:rPr>
        <w:t>ADCETRIS</w:t>
      </w:r>
      <w:r w:rsidRPr="00CC5ECD">
        <w:rPr>
          <w:szCs w:val="22"/>
        </w:rPr>
        <w:t>. Fatal outcomes</w:t>
      </w:r>
      <w:r w:rsidR="00A71E50">
        <w:rPr>
          <w:szCs w:val="22"/>
        </w:rPr>
        <w:t xml:space="preserve"> </w:t>
      </w:r>
      <w:r w:rsidRPr="00CC5ECD">
        <w:rPr>
          <w:szCs w:val="22"/>
        </w:rPr>
        <w:t>have been reported.</w:t>
      </w:r>
      <w:r>
        <w:rPr>
          <w:szCs w:val="22"/>
        </w:rPr>
        <w:t xml:space="preserve"> </w:t>
      </w:r>
      <w:r w:rsidRPr="00CC5ECD">
        <w:rPr>
          <w:szCs w:val="22"/>
        </w:rPr>
        <w:t>Patients should be closely monitored for new or worsening abdominal pain, which may be suggestive</w:t>
      </w:r>
      <w:r>
        <w:rPr>
          <w:szCs w:val="22"/>
        </w:rPr>
        <w:t xml:space="preserve"> </w:t>
      </w:r>
      <w:r w:rsidRPr="00CC5ECD">
        <w:rPr>
          <w:szCs w:val="22"/>
        </w:rPr>
        <w:t>of acute pancreatitis. Patient evaluation may include physical examination, laboratory evaluation for</w:t>
      </w:r>
      <w:r>
        <w:rPr>
          <w:szCs w:val="22"/>
        </w:rPr>
        <w:t xml:space="preserve"> </w:t>
      </w:r>
      <w:r w:rsidRPr="00CC5ECD">
        <w:rPr>
          <w:szCs w:val="22"/>
        </w:rPr>
        <w:t>serum amylase and serum lipase, and abdominal imaging, such as ultrasound and other appropriate</w:t>
      </w:r>
      <w:r>
        <w:rPr>
          <w:szCs w:val="22"/>
        </w:rPr>
        <w:t xml:space="preserve"> </w:t>
      </w:r>
      <w:r w:rsidRPr="00CC5ECD">
        <w:rPr>
          <w:szCs w:val="22"/>
        </w:rPr>
        <w:t xml:space="preserve">diagnostic measures. </w:t>
      </w:r>
      <w:r>
        <w:rPr>
          <w:szCs w:val="22"/>
        </w:rPr>
        <w:t>ADCETRIS</w:t>
      </w:r>
      <w:r w:rsidRPr="00CC5ECD">
        <w:rPr>
          <w:szCs w:val="22"/>
        </w:rPr>
        <w:t xml:space="preserve"> should be held for any suspected case of acute pancreatitis.</w:t>
      </w:r>
    </w:p>
    <w:p w:rsidR="001C1F04" w:rsidRPr="001C1F04" w:rsidRDefault="007B771C" w:rsidP="00887001">
      <w:pPr>
        <w:pStyle w:val="Heading2"/>
      </w:pPr>
      <w:r>
        <w:rPr>
          <w:b w:val="0"/>
        </w:rPr>
        <w:t>ADCETRIS</w:t>
      </w:r>
      <w:r w:rsidR="00CC5ECD" w:rsidRPr="00CC5ECD">
        <w:rPr>
          <w:b w:val="0"/>
        </w:rPr>
        <w:t xml:space="preserve"> should be discontinued if a diagnosis of acute pancreatitis is confirmed.</w:t>
      </w:r>
    </w:p>
    <w:p w:rsidR="00ED0777" w:rsidRPr="00C36C6C" w:rsidRDefault="00ED0777" w:rsidP="000B25F6">
      <w:pPr>
        <w:pStyle w:val="Heading2"/>
      </w:pPr>
      <w:r w:rsidRPr="00C36C6C">
        <w:t>Serious infections and opportunistic infections</w:t>
      </w:r>
    </w:p>
    <w:p w:rsidR="00ED0777" w:rsidRPr="00C36C6C" w:rsidRDefault="00ED0777" w:rsidP="00ED0777">
      <w:r w:rsidRPr="00C36C6C">
        <w:t>Serious infections such as pneumonia, staphylococcal bacteraemia,</w:t>
      </w:r>
      <w:r w:rsidR="00CD20F0">
        <w:t xml:space="preserve"> sepsis/septic shock (including </w:t>
      </w:r>
      <w:r w:rsidR="00CD20F0" w:rsidRPr="002E6928">
        <w:t>fatal outcomes)</w:t>
      </w:r>
      <w:r w:rsidRPr="002E6928">
        <w:t xml:space="preserve"> and herpes zoster, and opportunistic infections such as Pneumocystis </w:t>
      </w:r>
      <w:proofErr w:type="spellStart"/>
      <w:r w:rsidRPr="002E6928">
        <w:t>jiroveci</w:t>
      </w:r>
      <w:proofErr w:type="spellEnd"/>
      <w:r w:rsidRPr="002E6928">
        <w:t xml:space="preserve"> pneumonia and oral candidiasis have been reported in patients treated with </w:t>
      </w:r>
      <w:r w:rsidR="0047004B" w:rsidRPr="002E6928">
        <w:t>ADCETRIS</w:t>
      </w:r>
      <w:r w:rsidRPr="002E6928">
        <w:t>. Patients should be carefully monitored during treatment for the emergence of possible serious and opportunistic infections.</w:t>
      </w:r>
    </w:p>
    <w:p w:rsidR="00ED0777" w:rsidRPr="00ED0777" w:rsidRDefault="00ED0777" w:rsidP="000B25F6">
      <w:pPr>
        <w:pStyle w:val="Heading2"/>
      </w:pPr>
      <w:r w:rsidRPr="00C36C6C">
        <w:t>Infusion-related reactions</w:t>
      </w:r>
    </w:p>
    <w:p w:rsidR="00ED0777" w:rsidRPr="00ED0777" w:rsidRDefault="00ED0777" w:rsidP="00ED0777">
      <w:pPr>
        <w:pStyle w:val="Paragraph"/>
        <w:spacing w:after="60"/>
        <w:jc w:val="both"/>
        <w:rPr>
          <w:rFonts w:ascii="Arial" w:hAnsi="Arial"/>
          <w:sz w:val="22"/>
          <w:szCs w:val="20"/>
          <w:lang w:val="en-AU"/>
        </w:rPr>
      </w:pPr>
      <w:r w:rsidRPr="00ED0777">
        <w:rPr>
          <w:rFonts w:ascii="Arial" w:hAnsi="Arial"/>
          <w:sz w:val="22"/>
          <w:szCs w:val="20"/>
          <w:lang w:val="en-AU"/>
        </w:rPr>
        <w:t xml:space="preserve">Immediate and delayed infusion-related reactions (IRR), as well as anaphylaxis, have been reported. Patients should be carefully monitored during and after infusion. If anaphylaxis occurs, administration of </w:t>
      </w:r>
      <w:r w:rsidR="0047004B">
        <w:rPr>
          <w:rFonts w:ascii="Arial" w:hAnsi="Arial"/>
          <w:sz w:val="22"/>
          <w:szCs w:val="20"/>
          <w:lang w:val="en-AU"/>
        </w:rPr>
        <w:t>ADCETRIS</w:t>
      </w:r>
      <w:r w:rsidRPr="00ED0777">
        <w:rPr>
          <w:rFonts w:ascii="Arial" w:hAnsi="Arial"/>
          <w:sz w:val="22"/>
          <w:szCs w:val="20"/>
          <w:lang w:val="en-AU"/>
        </w:rPr>
        <w:t xml:space="preserve"> should be immediately and permanently discontinued and appropriate medical therapy should be administered.</w:t>
      </w:r>
      <w:r>
        <w:rPr>
          <w:rFonts w:ascii="Arial" w:hAnsi="Arial"/>
          <w:sz w:val="22"/>
          <w:szCs w:val="20"/>
          <w:lang w:val="en-AU"/>
        </w:rPr>
        <w:t xml:space="preserve"> </w:t>
      </w:r>
      <w:r w:rsidRPr="00ED0777">
        <w:rPr>
          <w:rFonts w:ascii="Arial" w:hAnsi="Arial"/>
          <w:sz w:val="22"/>
          <w:szCs w:val="20"/>
          <w:lang w:val="en-AU"/>
        </w:rPr>
        <w:t>If an infusion-related reaction occurs, the infusion should be interrupted and appropriate medical management instituted. The infusion may be restarted at a slower rate after symptom resolution. Patients who have experienced a prior infusion-related reaction should be pre</w:t>
      </w:r>
      <w:r>
        <w:rPr>
          <w:rFonts w:ascii="Arial" w:hAnsi="Arial"/>
          <w:sz w:val="22"/>
          <w:szCs w:val="20"/>
          <w:lang w:val="en-AU"/>
        </w:rPr>
        <w:t>-</w:t>
      </w:r>
      <w:r w:rsidRPr="00ED0777">
        <w:rPr>
          <w:rFonts w:ascii="Arial" w:hAnsi="Arial"/>
          <w:sz w:val="22"/>
          <w:szCs w:val="20"/>
          <w:lang w:val="en-AU"/>
        </w:rPr>
        <w:t xml:space="preserve">medicated for subsequent infusions. Premedication may include paracetamol, an antihistamine and a corticosteroid. </w:t>
      </w:r>
    </w:p>
    <w:p w:rsidR="00ED0777" w:rsidRPr="00ED0777" w:rsidRDefault="00ED0777" w:rsidP="00ED0777">
      <w:pPr>
        <w:autoSpaceDE w:val="0"/>
        <w:autoSpaceDN w:val="0"/>
        <w:adjustRightInd w:val="0"/>
      </w:pPr>
      <w:r w:rsidRPr="00ED0777">
        <w:t xml:space="preserve">Infusion-related reactions are more frequent and more severe in patients with antibodies to </w:t>
      </w:r>
      <w:r w:rsidR="0047004B">
        <w:t>ADCETRIS</w:t>
      </w:r>
      <w:r w:rsidRPr="00ED0777">
        <w:t xml:space="preserve"> (see </w:t>
      </w:r>
      <w:r w:rsidR="0047004B">
        <w:t>’Adverse Effects’</w:t>
      </w:r>
      <w:r w:rsidRPr="00ED0777">
        <w:t>).</w:t>
      </w:r>
    </w:p>
    <w:p w:rsidR="00ED0777" w:rsidRPr="00ED0777" w:rsidRDefault="00ED0777" w:rsidP="000B25F6">
      <w:pPr>
        <w:pStyle w:val="Heading2"/>
      </w:pPr>
      <w:r w:rsidRPr="00C36C6C">
        <w:t xml:space="preserve">Tumour </w:t>
      </w:r>
      <w:proofErr w:type="spellStart"/>
      <w:r w:rsidRPr="00C36C6C">
        <w:t>lysis</w:t>
      </w:r>
      <w:proofErr w:type="spellEnd"/>
      <w:r w:rsidRPr="00C36C6C">
        <w:t xml:space="preserve"> syndrome</w:t>
      </w:r>
    </w:p>
    <w:p w:rsidR="00ED0777" w:rsidRPr="00C36C6C" w:rsidRDefault="00ED0777" w:rsidP="00ED0777">
      <w:pPr>
        <w:pStyle w:val="ListBullet"/>
        <w:numPr>
          <w:ilvl w:val="0"/>
          <w:numId w:val="0"/>
        </w:numPr>
        <w:rPr>
          <w:szCs w:val="22"/>
          <w:lang w:val="en-GB"/>
        </w:rPr>
      </w:pPr>
      <w:r w:rsidRPr="00D50153">
        <w:rPr>
          <w:szCs w:val="22"/>
          <w:lang w:val="en-GB"/>
        </w:rPr>
        <w:t xml:space="preserve">Tumour </w:t>
      </w:r>
      <w:proofErr w:type="spellStart"/>
      <w:r w:rsidRPr="00D50153">
        <w:rPr>
          <w:szCs w:val="22"/>
          <w:lang w:val="en-GB"/>
        </w:rPr>
        <w:t>lysis</w:t>
      </w:r>
      <w:proofErr w:type="spellEnd"/>
      <w:r w:rsidRPr="00D50153">
        <w:rPr>
          <w:szCs w:val="22"/>
          <w:lang w:val="en-GB"/>
        </w:rPr>
        <w:t xml:space="preserve"> syndrome (TLS) has been reported with </w:t>
      </w:r>
      <w:r w:rsidR="0047004B">
        <w:rPr>
          <w:szCs w:val="22"/>
          <w:lang w:val="en-GB"/>
        </w:rPr>
        <w:t>ADCETRIS</w:t>
      </w:r>
      <w:r w:rsidRPr="00D50153">
        <w:rPr>
          <w:szCs w:val="22"/>
          <w:lang w:val="en-GB"/>
        </w:rPr>
        <w:t xml:space="preserve">. Patients with rapidly proliferating tumour and high tumour burden are at risk of tumour </w:t>
      </w:r>
      <w:proofErr w:type="spellStart"/>
      <w:r w:rsidRPr="00D50153">
        <w:rPr>
          <w:szCs w:val="22"/>
          <w:lang w:val="en-GB"/>
        </w:rPr>
        <w:t>lysis</w:t>
      </w:r>
      <w:proofErr w:type="spellEnd"/>
      <w:r w:rsidRPr="00D50153">
        <w:rPr>
          <w:szCs w:val="22"/>
          <w:lang w:val="en-GB"/>
        </w:rPr>
        <w:t xml:space="preserve"> syndrome. These patients should be monitored closely and managed according to best medical practice. </w:t>
      </w:r>
      <w:r w:rsidRPr="00C36C6C">
        <w:rPr>
          <w:szCs w:val="22"/>
          <w:lang w:val="en-GB"/>
        </w:rPr>
        <w:t xml:space="preserve">Management of TLS may include aggressive hydration, monitoring of renal function, </w:t>
      </w:r>
      <w:proofErr w:type="gramStart"/>
      <w:r w:rsidRPr="00C36C6C">
        <w:rPr>
          <w:szCs w:val="22"/>
          <w:lang w:val="en-GB"/>
        </w:rPr>
        <w:t>correction</w:t>
      </w:r>
      <w:proofErr w:type="gramEnd"/>
      <w:r w:rsidRPr="00C36C6C">
        <w:rPr>
          <w:szCs w:val="22"/>
          <w:lang w:val="en-GB"/>
        </w:rPr>
        <w:t xml:space="preserve"> of electrolyte abnormalities, anti-</w:t>
      </w:r>
      <w:proofErr w:type="spellStart"/>
      <w:r w:rsidRPr="00C36C6C">
        <w:rPr>
          <w:szCs w:val="22"/>
          <w:lang w:val="en-GB"/>
        </w:rPr>
        <w:t>hyperuricaemic</w:t>
      </w:r>
      <w:proofErr w:type="spellEnd"/>
      <w:r w:rsidRPr="00C36C6C">
        <w:rPr>
          <w:szCs w:val="22"/>
          <w:lang w:val="en-GB"/>
        </w:rPr>
        <w:t xml:space="preserve"> therapy, and supportive care.</w:t>
      </w:r>
    </w:p>
    <w:p w:rsidR="00ED0777" w:rsidRPr="00ED0777" w:rsidRDefault="00ED0777" w:rsidP="000B25F6">
      <w:pPr>
        <w:pStyle w:val="Heading2"/>
      </w:pPr>
      <w:r w:rsidRPr="00C36C6C">
        <w:t>Peripheral neuropathy</w:t>
      </w:r>
    </w:p>
    <w:p w:rsidR="00ED0777" w:rsidRPr="0047004B" w:rsidRDefault="00866975" w:rsidP="00ED0777">
      <w:pPr>
        <w:pStyle w:val="Default"/>
        <w:jc w:val="both"/>
        <w:rPr>
          <w:rFonts w:ascii="Arial" w:eastAsia="Times New Roman" w:hAnsi="Arial" w:cs="Times New Roman"/>
          <w:color w:val="auto"/>
          <w:sz w:val="22"/>
          <w:szCs w:val="20"/>
        </w:rPr>
      </w:pPr>
      <w:r>
        <w:rPr>
          <w:rFonts w:ascii="Arial" w:eastAsia="Times New Roman" w:hAnsi="Arial" w:cs="Times New Roman"/>
          <w:color w:val="auto"/>
          <w:sz w:val="22"/>
          <w:szCs w:val="20"/>
        </w:rPr>
        <w:t>ADCETRIS</w:t>
      </w:r>
      <w:r w:rsidR="00ED0777" w:rsidRPr="00ED0777">
        <w:rPr>
          <w:rFonts w:ascii="Arial" w:eastAsia="Times New Roman" w:hAnsi="Arial" w:cs="Times New Roman"/>
          <w:color w:val="auto"/>
          <w:sz w:val="22"/>
          <w:szCs w:val="20"/>
        </w:rPr>
        <w:t xml:space="preserve"> treatment may cause a peripheral neuropathy that is predominantly sensory. Cases of peripheral motor neuropathy have also been reported. </w:t>
      </w:r>
      <w:r>
        <w:rPr>
          <w:rFonts w:ascii="Arial" w:eastAsia="Times New Roman" w:hAnsi="Arial" w:cs="Times New Roman"/>
          <w:color w:val="auto"/>
          <w:sz w:val="22"/>
          <w:szCs w:val="20"/>
        </w:rPr>
        <w:t>ADCETRIS</w:t>
      </w:r>
      <w:r w:rsidR="00ED0777" w:rsidRPr="00ED0777">
        <w:rPr>
          <w:rFonts w:ascii="Arial" w:eastAsia="Times New Roman" w:hAnsi="Arial" w:cs="Times New Roman"/>
          <w:color w:val="auto"/>
          <w:sz w:val="22"/>
          <w:szCs w:val="20"/>
        </w:rPr>
        <w:t>-induced peripheral neuropathy is typically an effect of cumulative exposure to this medicinal product and is reversible in most cases</w:t>
      </w:r>
      <w:r w:rsidR="00B11821">
        <w:rPr>
          <w:rFonts w:ascii="Arial" w:eastAsia="Times New Roman" w:hAnsi="Arial" w:cs="Times New Roman"/>
          <w:color w:val="auto"/>
          <w:sz w:val="22"/>
          <w:szCs w:val="20"/>
        </w:rPr>
        <w:t xml:space="preserve"> </w:t>
      </w:r>
      <w:r w:rsidR="00B11821" w:rsidRPr="00846287">
        <w:rPr>
          <w:rFonts w:ascii="Arial" w:eastAsia="Times New Roman" w:hAnsi="Arial" w:cs="Times New Roman"/>
          <w:color w:val="auto"/>
          <w:sz w:val="22"/>
          <w:szCs w:val="20"/>
        </w:rPr>
        <w:t>with a 16-week median time from onset to resolution</w:t>
      </w:r>
      <w:r w:rsidR="00ED0777" w:rsidRPr="00ED0777">
        <w:rPr>
          <w:rFonts w:ascii="Arial" w:eastAsia="Times New Roman" w:hAnsi="Arial" w:cs="Times New Roman"/>
          <w:color w:val="auto"/>
          <w:sz w:val="22"/>
          <w:szCs w:val="20"/>
        </w:rPr>
        <w:t xml:space="preserve">. </w:t>
      </w:r>
      <w:r w:rsidR="000B58A2" w:rsidRPr="000B58A2">
        <w:rPr>
          <w:rFonts w:ascii="Arial" w:eastAsia="Times New Roman" w:hAnsi="Arial" w:cs="Times New Roman"/>
          <w:color w:val="auto"/>
          <w:sz w:val="22"/>
          <w:szCs w:val="20"/>
        </w:rPr>
        <w:t xml:space="preserve">In the phase 2 population, at the time of last evaluation, the majority of patients (62%) had improvement or resolution of their peripheral neuropathy symptoms. </w:t>
      </w:r>
      <w:r w:rsidR="00B11821" w:rsidRPr="00846287">
        <w:rPr>
          <w:rFonts w:ascii="Arial" w:eastAsia="Times New Roman" w:hAnsi="Arial" w:cs="Times New Roman"/>
          <w:color w:val="auto"/>
          <w:sz w:val="22"/>
          <w:szCs w:val="20"/>
        </w:rPr>
        <w:t>Of the patients in the phase 2 studies, 56% experienced any grade of peripheral neuropathy, whereas Grade 3 events were experienced by 13% of patients and no Grade 4 or 5 events were reported.</w:t>
      </w:r>
      <w:r w:rsidR="00B11821" w:rsidRPr="00327BE6">
        <w:rPr>
          <w:rFonts w:asciiTheme="majorHAnsi" w:hAnsiTheme="majorHAnsi" w:cs="Times New Roman"/>
          <w:lang w:val="en-GB"/>
        </w:rPr>
        <w:t xml:space="preserve"> </w:t>
      </w:r>
      <w:r w:rsidR="000B58A2" w:rsidRPr="000B58A2">
        <w:rPr>
          <w:rFonts w:ascii="Arial" w:eastAsia="Times New Roman" w:hAnsi="Arial" w:cs="Times New Roman"/>
          <w:color w:val="auto"/>
          <w:sz w:val="22"/>
          <w:szCs w:val="20"/>
        </w:rPr>
        <w:t xml:space="preserve">For patients who reported peripheral neuropathy, </w:t>
      </w:r>
      <w:proofErr w:type="spellStart"/>
      <w:r w:rsidR="000B58A2" w:rsidRPr="000B58A2">
        <w:rPr>
          <w:rFonts w:ascii="Arial" w:eastAsia="Times New Roman" w:hAnsi="Arial" w:cs="Times New Roman"/>
          <w:color w:val="auto"/>
          <w:sz w:val="22"/>
          <w:szCs w:val="20"/>
        </w:rPr>
        <w:t>brentuximab</w:t>
      </w:r>
      <w:proofErr w:type="spellEnd"/>
      <w:r w:rsidR="000B58A2" w:rsidRPr="000B58A2">
        <w:rPr>
          <w:rFonts w:ascii="Arial" w:eastAsia="Times New Roman" w:hAnsi="Arial" w:cs="Times New Roman"/>
          <w:color w:val="auto"/>
          <w:sz w:val="22"/>
          <w:szCs w:val="20"/>
        </w:rPr>
        <w:t xml:space="preserve"> </w:t>
      </w:r>
      <w:proofErr w:type="spellStart"/>
      <w:r w:rsidR="000B58A2" w:rsidRPr="000B58A2">
        <w:rPr>
          <w:rFonts w:ascii="Arial" w:eastAsia="Times New Roman" w:hAnsi="Arial" w:cs="Times New Roman"/>
          <w:color w:val="auto"/>
          <w:sz w:val="22"/>
          <w:szCs w:val="20"/>
        </w:rPr>
        <w:t>vedotin</w:t>
      </w:r>
      <w:proofErr w:type="spellEnd"/>
      <w:r w:rsidR="000B58A2" w:rsidRPr="000B58A2">
        <w:rPr>
          <w:rFonts w:ascii="Arial" w:eastAsia="Times New Roman" w:hAnsi="Arial" w:cs="Times New Roman"/>
          <w:color w:val="auto"/>
          <w:sz w:val="22"/>
          <w:szCs w:val="20"/>
        </w:rPr>
        <w:t xml:space="preserve"> treatment discontinuation occurred in 9%, dose reductions were reported in 8%, and dose delays occurred in 13% of patients.  </w:t>
      </w:r>
      <w:r w:rsidR="00ED0777" w:rsidRPr="00ED0777">
        <w:rPr>
          <w:rFonts w:ascii="Arial" w:eastAsia="Times New Roman" w:hAnsi="Arial" w:cs="Times New Roman"/>
          <w:color w:val="auto"/>
          <w:sz w:val="22"/>
          <w:szCs w:val="20"/>
        </w:rPr>
        <w:t xml:space="preserve"> Patients should be monitored for symptoms of neuropathy, such as hypoesthesia, hyperesthesia, paraesthesia, discomfort, a burning sensation, neuropathic pain or weakness. Patients experiencing new or worsening peripheral neuropathy may require a </w:t>
      </w:r>
      <w:r w:rsidR="00ED0777" w:rsidRPr="00ED0777">
        <w:rPr>
          <w:rFonts w:ascii="Arial" w:eastAsia="Times New Roman" w:hAnsi="Arial" w:cs="Times New Roman"/>
          <w:color w:val="auto"/>
          <w:sz w:val="22"/>
          <w:szCs w:val="20"/>
        </w:rPr>
        <w:lastRenderedPageBreak/>
        <w:t xml:space="preserve">delay and a dose reduction of </w:t>
      </w:r>
      <w:r w:rsidR="0047004B">
        <w:rPr>
          <w:rFonts w:ascii="Arial" w:eastAsia="Times New Roman" w:hAnsi="Arial" w:cs="Times New Roman"/>
          <w:color w:val="auto"/>
          <w:sz w:val="22"/>
          <w:szCs w:val="20"/>
        </w:rPr>
        <w:t>ADCETRIS</w:t>
      </w:r>
      <w:r w:rsidR="00ED0777" w:rsidRPr="00ED0777">
        <w:rPr>
          <w:rFonts w:ascii="Arial" w:eastAsia="Times New Roman" w:hAnsi="Arial" w:cs="Times New Roman"/>
          <w:color w:val="auto"/>
          <w:sz w:val="22"/>
          <w:szCs w:val="20"/>
        </w:rPr>
        <w:t xml:space="preserve"> or discontinuation of treatment (see </w:t>
      </w:r>
      <w:r w:rsidR="0047004B">
        <w:rPr>
          <w:rFonts w:ascii="Arial" w:eastAsia="Times New Roman" w:hAnsi="Arial" w:cs="Times New Roman"/>
          <w:color w:val="auto"/>
          <w:sz w:val="22"/>
          <w:szCs w:val="20"/>
        </w:rPr>
        <w:t xml:space="preserve">‘Dosage &amp; </w:t>
      </w:r>
      <w:r w:rsidR="0047004B" w:rsidRPr="0047004B">
        <w:rPr>
          <w:rFonts w:ascii="Arial" w:eastAsia="Times New Roman" w:hAnsi="Arial" w:cs="Times New Roman"/>
          <w:color w:val="auto"/>
          <w:sz w:val="22"/>
          <w:szCs w:val="20"/>
        </w:rPr>
        <w:t>Administration’</w:t>
      </w:r>
      <w:r w:rsidR="00ED0777" w:rsidRPr="0047004B">
        <w:rPr>
          <w:rFonts w:ascii="Arial" w:eastAsia="Times New Roman" w:hAnsi="Arial" w:cs="Times New Roman"/>
          <w:color w:val="auto"/>
          <w:sz w:val="22"/>
          <w:szCs w:val="20"/>
        </w:rPr>
        <w:t>).</w:t>
      </w:r>
      <w:r w:rsidR="00F224A1">
        <w:rPr>
          <w:rFonts w:ascii="Arial" w:eastAsia="Times New Roman" w:hAnsi="Arial" w:cs="Times New Roman"/>
          <w:color w:val="auto"/>
          <w:sz w:val="22"/>
          <w:szCs w:val="20"/>
        </w:rPr>
        <w:t xml:space="preserve"> </w:t>
      </w:r>
    </w:p>
    <w:p w:rsidR="00ED0777" w:rsidRPr="0047004B" w:rsidRDefault="00ED0777" w:rsidP="000B25F6">
      <w:pPr>
        <w:pStyle w:val="Heading2"/>
      </w:pPr>
      <w:r w:rsidRPr="0047004B">
        <w:t>Haematological toxicities</w:t>
      </w:r>
    </w:p>
    <w:p w:rsidR="00ED0777" w:rsidRPr="00ED0777" w:rsidRDefault="00ED0777" w:rsidP="00ED0777">
      <w:pPr>
        <w:pStyle w:val="Default"/>
        <w:jc w:val="both"/>
        <w:rPr>
          <w:rFonts w:ascii="Arial" w:eastAsia="Times New Roman" w:hAnsi="Arial" w:cs="Times New Roman"/>
          <w:color w:val="auto"/>
          <w:sz w:val="22"/>
          <w:szCs w:val="20"/>
        </w:rPr>
      </w:pPr>
      <w:r w:rsidRPr="0047004B">
        <w:rPr>
          <w:rFonts w:ascii="Arial" w:eastAsia="Times New Roman" w:hAnsi="Arial" w:cs="Times New Roman"/>
          <w:color w:val="auto"/>
          <w:sz w:val="22"/>
          <w:szCs w:val="20"/>
        </w:rPr>
        <w:t xml:space="preserve">Grade 3 or Grade 4 anaemia, thrombocytopenia, and prolonged </w:t>
      </w:r>
      <w:proofErr w:type="gramStart"/>
      <w:r w:rsidRPr="0047004B">
        <w:rPr>
          <w:rFonts w:ascii="Arial" w:eastAsia="Times New Roman" w:hAnsi="Arial" w:cs="Times New Roman"/>
          <w:color w:val="auto"/>
          <w:sz w:val="22"/>
          <w:szCs w:val="20"/>
        </w:rPr>
        <w:t>(</w:t>
      </w:r>
      <w:r w:rsidR="00D41B1D" w:rsidRPr="00515187">
        <w:rPr>
          <w:szCs w:val="22"/>
        </w:rPr>
        <w:t> </w:t>
      </w:r>
      <w:r w:rsidRPr="0047004B">
        <w:rPr>
          <w:rFonts w:ascii="Arial" w:eastAsia="Times New Roman" w:hAnsi="Arial" w:cs="Times New Roman"/>
          <w:color w:val="auto"/>
          <w:sz w:val="22"/>
          <w:szCs w:val="20"/>
        </w:rPr>
        <w:t>≥</w:t>
      </w:r>
      <w:proofErr w:type="gramEnd"/>
      <w:r w:rsidRPr="0047004B">
        <w:rPr>
          <w:rFonts w:ascii="Arial" w:eastAsia="Times New Roman" w:hAnsi="Arial" w:cs="Times New Roman"/>
          <w:color w:val="auto"/>
          <w:sz w:val="22"/>
          <w:szCs w:val="20"/>
        </w:rPr>
        <w:t xml:space="preserve">1 week) Grade 3 or Grade 4 neutropenia can occur with </w:t>
      </w:r>
      <w:r w:rsidR="0047004B">
        <w:rPr>
          <w:rFonts w:ascii="Arial" w:eastAsia="Times New Roman" w:hAnsi="Arial" w:cs="Times New Roman"/>
          <w:color w:val="auto"/>
          <w:sz w:val="22"/>
          <w:szCs w:val="20"/>
        </w:rPr>
        <w:t>ADCETRIS</w:t>
      </w:r>
      <w:r w:rsidRPr="0047004B">
        <w:rPr>
          <w:rFonts w:ascii="Arial" w:eastAsia="Times New Roman" w:hAnsi="Arial" w:cs="Times New Roman"/>
          <w:color w:val="auto"/>
          <w:sz w:val="22"/>
          <w:szCs w:val="20"/>
        </w:rPr>
        <w:t xml:space="preserve">. Complete blood counts should be monitored prior to administration of each dose. If Grade 3 or Grade 4 neutropenia develops, refer to </w:t>
      </w:r>
      <w:r w:rsidR="0047004B">
        <w:rPr>
          <w:rFonts w:ascii="Arial" w:eastAsia="Times New Roman" w:hAnsi="Arial" w:cs="Times New Roman"/>
          <w:color w:val="auto"/>
          <w:sz w:val="22"/>
          <w:szCs w:val="20"/>
        </w:rPr>
        <w:t xml:space="preserve">‘Dosage &amp; </w:t>
      </w:r>
      <w:r w:rsidR="0047004B" w:rsidRPr="0047004B">
        <w:rPr>
          <w:rFonts w:ascii="Arial" w:eastAsia="Times New Roman" w:hAnsi="Arial" w:cs="Times New Roman"/>
          <w:color w:val="auto"/>
          <w:sz w:val="22"/>
          <w:szCs w:val="20"/>
        </w:rPr>
        <w:t>Administration’</w:t>
      </w:r>
      <w:r w:rsidRPr="0047004B">
        <w:rPr>
          <w:rFonts w:ascii="Arial" w:eastAsia="Times New Roman" w:hAnsi="Arial" w:cs="Times New Roman"/>
          <w:color w:val="auto"/>
          <w:sz w:val="22"/>
          <w:szCs w:val="20"/>
        </w:rPr>
        <w:t>.</w:t>
      </w:r>
    </w:p>
    <w:p w:rsidR="00ED0777" w:rsidRDefault="00ED0777" w:rsidP="000B25F6">
      <w:pPr>
        <w:pStyle w:val="Heading2"/>
      </w:pPr>
      <w:r w:rsidRPr="00C36C6C">
        <w:t>Febrile neutropenia</w:t>
      </w:r>
    </w:p>
    <w:p w:rsidR="00ED0777" w:rsidRPr="00ED0777" w:rsidRDefault="00ED0777" w:rsidP="00ED0777">
      <w:pPr>
        <w:pStyle w:val="Default"/>
        <w:jc w:val="both"/>
        <w:rPr>
          <w:rFonts w:ascii="Arial" w:eastAsia="Times New Roman" w:hAnsi="Arial" w:cs="Times New Roman"/>
          <w:color w:val="auto"/>
          <w:sz w:val="22"/>
          <w:szCs w:val="20"/>
        </w:rPr>
      </w:pPr>
      <w:r w:rsidRPr="00ED0777">
        <w:rPr>
          <w:rFonts w:ascii="Arial" w:eastAsia="Times New Roman" w:hAnsi="Arial" w:cs="Times New Roman"/>
          <w:color w:val="auto"/>
          <w:sz w:val="22"/>
          <w:szCs w:val="20"/>
        </w:rPr>
        <w:t>Febrile neutropenia (fever of unknown origin without clinically or microbiologically documented infection with an absolute neutrophil count &lt;1.0 x 10</w:t>
      </w:r>
      <w:r w:rsidRPr="00B30A2B">
        <w:rPr>
          <w:rFonts w:ascii="Arial" w:eastAsia="Times New Roman" w:hAnsi="Arial" w:cs="Times New Roman"/>
          <w:color w:val="auto"/>
          <w:sz w:val="22"/>
          <w:szCs w:val="20"/>
          <w:vertAlign w:val="superscript"/>
        </w:rPr>
        <w:t>9</w:t>
      </w:r>
      <w:r w:rsidRPr="00ED0777">
        <w:rPr>
          <w:rFonts w:ascii="Arial" w:eastAsia="Times New Roman" w:hAnsi="Arial" w:cs="Times New Roman"/>
          <w:color w:val="auto"/>
          <w:sz w:val="22"/>
          <w:szCs w:val="20"/>
        </w:rPr>
        <w:t>/L, fever ≥</w:t>
      </w:r>
      <w:r w:rsidR="00D41B1D" w:rsidRPr="00515187">
        <w:rPr>
          <w:szCs w:val="22"/>
        </w:rPr>
        <w:t> </w:t>
      </w:r>
      <w:r w:rsidRPr="00ED0777">
        <w:rPr>
          <w:rFonts w:ascii="Arial" w:eastAsia="Times New Roman" w:hAnsi="Arial" w:cs="Times New Roman"/>
          <w:color w:val="auto"/>
          <w:sz w:val="22"/>
          <w:szCs w:val="20"/>
        </w:rPr>
        <w:t xml:space="preserve">38.5°C; ref </w:t>
      </w:r>
      <w:r w:rsidR="00B17A5E" w:rsidRPr="00B17A5E">
        <w:rPr>
          <w:rFonts w:ascii="Arial" w:eastAsia="Times New Roman" w:hAnsi="Arial" w:cs="Times New Roman"/>
          <w:color w:val="auto"/>
          <w:sz w:val="22"/>
          <w:szCs w:val="20"/>
        </w:rPr>
        <w:t>Common Terminology Criteria for Adverse Events (</w:t>
      </w:r>
      <w:r w:rsidRPr="00ED0777">
        <w:rPr>
          <w:rFonts w:ascii="Arial" w:eastAsia="Times New Roman" w:hAnsi="Arial" w:cs="Times New Roman"/>
          <w:color w:val="auto"/>
          <w:sz w:val="22"/>
          <w:szCs w:val="20"/>
        </w:rPr>
        <w:t>CTCAE</w:t>
      </w:r>
      <w:r w:rsidR="00B17A5E">
        <w:rPr>
          <w:rFonts w:ascii="Arial" w:eastAsia="Times New Roman" w:hAnsi="Arial" w:cs="Times New Roman"/>
          <w:color w:val="auto"/>
          <w:sz w:val="22"/>
          <w:szCs w:val="20"/>
        </w:rPr>
        <w:t>)</w:t>
      </w:r>
      <w:r w:rsidRPr="00ED0777">
        <w:rPr>
          <w:rFonts w:ascii="Arial" w:eastAsia="Times New Roman" w:hAnsi="Arial" w:cs="Times New Roman"/>
          <w:color w:val="auto"/>
          <w:sz w:val="22"/>
          <w:szCs w:val="20"/>
        </w:rPr>
        <w:t xml:space="preserve"> v3) has been reported with treatment with </w:t>
      </w:r>
      <w:r w:rsidR="0047004B">
        <w:rPr>
          <w:rFonts w:ascii="Arial" w:eastAsia="Times New Roman" w:hAnsi="Arial" w:cs="Times New Roman"/>
          <w:color w:val="auto"/>
          <w:sz w:val="22"/>
          <w:szCs w:val="20"/>
        </w:rPr>
        <w:t>ADCETRIS</w:t>
      </w:r>
      <w:r w:rsidRPr="00ED0777">
        <w:rPr>
          <w:rFonts w:ascii="Arial" w:eastAsia="Times New Roman" w:hAnsi="Arial" w:cs="Times New Roman"/>
          <w:color w:val="auto"/>
          <w:sz w:val="22"/>
          <w:szCs w:val="20"/>
        </w:rPr>
        <w:t>. Complete blood counts should be monitored prior to administration of each dose of this treatment. Patients should be monitored closely for fever and managed according to best medical practice if febrile neutropenia develops.</w:t>
      </w:r>
    </w:p>
    <w:p w:rsidR="00ED0777" w:rsidRPr="00ED0777" w:rsidRDefault="00ED0777" w:rsidP="000B25F6">
      <w:pPr>
        <w:pStyle w:val="Heading2"/>
      </w:pPr>
      <w:r w:rsidRPr="00C36C6C">
        <w:t>Stevens-Johnson syndrome</w:t>
      </w:r>
      <w:r w:rsidR="009003D2">
        <w:t xml:space="preserve"> and Toxic Epidermal </w:t>
      </w:r>
      <w:proofErr w:type="spellStart"/>
      <w:r w:rsidR="009003D2">
        <w:t>Necrolysis</w:t>
      </w:r>
      <w:proofErr w:type="spellEnd"/>
    </w:p>
    <w:p w:rsidR="00ED0777" w:rsidRPr="00C36C6C" w:rsidRDefault="00ED0777" w:rsidP="00ED0777">
      <w:pPr>
        <w:pStyle w:val="ListBullet"/>
        <w:numPr>
          <w:ilvl w:val="0"/>
          <w:numId w:val="0"/>
        </w:numPr>
        <w:rPr>
          <w:color w:val="000000"/>
          <w:szCs w:val="22"/>
          <w:lang w:val="en-GB"/>
        </w:rPr>
      </w:pPr>
      <w:r w:rsidRPr="00D50153">
        <w:rPr>
          <w:color w:val="000000"/>
          <w:szCs w:val="22"/>
          <w:lang w:val="en-GB"/>
        </w:rPr>
        <w:t xml:space="preserve">Stevens-Johnson syndrome </w:t>
      </w:r>
      <w:r w:rsidR="009003D2">
        <w:rPr>
          <w:color w:val="000000"/>
          <w:szCs w:val="22"/>
          <w:lang w:val="en-GB"/>
        </w:rPr>
        <w:t xml:space="preserve">(SJS) and toxic epidermal </w:t>
      </w:r>
      <w:proofErr w:type="spellStart"/>
      <w:r w:rsidR="009003D2">
        <w:rPr>
          <w:color w:val="000000"/>
          <w:szCs w:val="22"/>
          <w:lang w:val="en-GB"/>
        </w:rPr>
        <w:t>necrolysis</w:t>
      </w:r>
      <w:proofErr w:type="spellEnd"/>
      <w:r w:rsidR="009003D2">
        <w:rPr>
          <w:color w:val="000000"/>
          <w:szCs w:val="22"/>
          <w:lang w:val="en-GB"/>
        </w:rPr>
        <w:t xml:space="preserve"> (TEN) </w:t>
      </w:r>
      <w:r w:rsidRPr="00D50153">
        <w:rPr>
          <w:color w:val="000000"/>
          <w:szCs w:val="22"/>
          <w:lang w:val="en-GB"/>
        </w:rPr>
        <w:t>ha</w:t>
      </w:r>
      <w:r w:rsidR="009003D2">
        <w:rPr>
          <w:color w:val="000000"/>
          <w:szCs w:val="22"/>
          <w:lang w:val="en-GB"/>
        </w:rPr>
        <w:t>ve</w:t>
      </w:r>
      <w:r w:rsidRPr="00D50153">
        <w:rPr>
          <w:color w:val="000000"/>
          <w:szCs w:val="22"/>
          <w:lang w:val="en-GB"/>
        </w:rPr>
        <w:t xml:space="preserve"> been reported with </w:t>
      </w:r>
      <w:r w:rsidR="00B30A2B">
        <w:rPr>
          <w:color w:val="000000"/>
          <w:szCs w:val="22"/>
          <w:lang w:val="en-GB"/>
        </w:rPr>
        <w:t>ADCETRIS</w:t>
      </w:r>
      <w:r w:rsidRPr="00D50153">
        <w:rPr>
          <w:color w:val="000000"/>
          <w:szCs w:val="22"/>
          <w:lang w:val="en-GB"/>
        </w:rPr>
        <w:t xml:space="preserve">. </w:t>
      </w:r>
      <w:r w:rsidR="009003D2">
        <w:rPr>
          <w:color w:val="000000"/>
          <w:szCs w:val="22"/>
          <w:lang w:val="en-GB"/>
        </w:rPr>
        <w:t xml:space="preserve">Fatal outcomes have been reported. </w:t>
      </w:r>
      <w:r w:rsidRPr="00D50153">
        <w:rPr>
          <w:color w:val="000000"/>
          <w:szCs w:val="22"/>
          <w:lang w:val="en-GB"/>
        </w:rPr>
        <w:t xml:space="preserve">If </w:t>
      </w:r>
      <w:r w:rsidR="009003D2">
        <w:rPr>
          <w:color w:val="000000"/>
          <w:szCs w:val="22"/>
          <w:lang w:val="en-GB"/>
        </w:rPr>
        <w:t>SJS or TEN</w:t>
      </w:r>
      <w:r w:rsidRPr="00D50153">
        <w:rPr>
          <w:color w:val="000000"/>
          <w:szCs w:val="22"/>
          <w:lang w:val="en-GB"/>
        </w:rPr>
        <w:t xml:space="preserve"> occur, </w:t>
      </w:r>
      <w:r>
        <w:rPr>
          <w:color w:val="000000"/>
          <w:szCs w:val="22"/>
          <w:lang w:val="en-GB"/>
        </w:rPr>
        <w:t xml:space="preserve">treatment with </w:t>
      </w:r>
      <w:r w:rsidR="0047004B">
        <w:rPr>
          <w:color w:val="000000"/>
          <w:szCs w:val="22"/>
          <w:lang w:val="en-GB"/>
        </w:rPr>
        <w:t>ADCETRIS</w:t>
      </w:r>
      <w:r>
        <w:rPr>
          <w:color w:val="000000"/>
          <w:szCs w:val="22"/>
          <w:lang w:val="en-GB"/>
        </w:rPr>
        <w:t xml:space="preserve"> should be </w:t>
      </w:r>
      <w:r w:rsidRPr="00D50153">
        <w:rPr>
          <w:color w:val="000000"/>
          <w:szCs w:val="22"/>
          <w:lang w:val="en-GB"/>
        </w:rPr>
        <w:t>discontinue</w:t>
      </w:r>
      <w:r>
        <w:rPr>
          <w:color w:val="000000"/>
          <w:szCs w:val="22"/>
          <w:lang w:val="en-GB"/>
        </w:rPr>
        <w:t>d</w:t>
      </w:r>
      <w:r w:rsidRPr="00D50153">
        <w:rPr>
          <w:color w:val="000000"/>
          <w:szCs w:val="22"/>
          <w:lang w:val="en-GB"/>
        </w:rPr>
        <w:t xml:space="preserve"> and appropriate medical therapy</w:t>
      </w:r>
      <w:r>
        <w:rPr>
          <w:color w:val="000000"/>
          <w:szCs w:val="22"/>
          <w:lang w:val="en-GB"/>
        </w:rPr>
        <w:t xml:space="preserve"> should be administered</w:t>
      </w:r>
      <w:r w:rsidRPr="00D50153">
        <w:rPr>
          <w:color w:val="000000"/>
          <w:szCs w:val="22"/>
          <w:lang w:val="en-GB"/>
        </w:rPr>
        <w:t>.</w:t>
      </w:r>
    </w:p>
    <w:p w:rsidR="00ED0777" w:rsidRDefault="00ED0777" w:rsidP="000B25F6">
      <w:pPr>
        <w:pStyle w:val="Heading2"/>
      </w:pPr>
      <w:r w:rsidRPr="00C36C6C">
        <w:t>Hyperglycaemia</w:t>
      </w:r>
    </w:p>
    <w:p w:rsidR="00ED0777" w:rsidRDefault="00ED0777" w:rsidP="00ED0777">
      <w:r w:rsidRPr="00C36C6C">
        <w:t xml:space="preserve">Hyperglycaemia has been reported during clinical trials in patients with an elevated Body Mass Index (BMI) with or without a history of diabetes mellitus. However, any patient who experiences an event of hyperglycaemia should have their serum glucose closely monitored. Anti-diabetic treatment should be administered as appropriate. </w:t>
      </w:r>
    </w:p>
    <w:p w:rsidR="002D5EF2" w:rsidRDefault="002D5EF2" w:rsidP="002D5EF2">
      <w:pPr>
        <w:pStyle w:val="Heading2"/>
      </w:pPr>
      <w:r>
        <w:t>Long-term safety</w:t>
      </w:r>
    </w:p>
    <w:p w:rsidR="002D5EF2" w:rsidRPr="00DD15D1" w:rsidRDefault="002D5EF2" w:rsidP="002D5EF2">
      <w:pPr>
        <w:pStyle w:val="Heading2"/>
        <w:rPr>
          <w:b w:val="0"/>
          <w:szCs w:val="20"/>
        </w:rPr>
      </w:pPr>
      <w:r w:rsidRPr="00DD15D1">
        <w:rPr>
          <w:b w:val="0"/>
          <w:szCs w:val="20"/>
        </w:rPr>
        <w:t>There is insufficient evidence to judge the safety of treatment extended past 12 months.</w:t>
      </w:r>
    </w:p>
    <w:p w:rsidR="00ED0777" w:rsidRDefault="008A4464" w:rsidP="000B25F6">
      <w:pPr>
        <w:pStyle w:val="Heading2"/>
      </w:pPr>
      <w:r>
        <w:t xml:space="preserve">Use in </w:t>
      </w:r>
      <w:r w:rsidR="00ED0777" w:rsidRPr="00C36C6C">
        <w:t>Renal impairment</w:t>
      </w:r>
    </w:p>
    <w:p w:rsidR="00567CAF" w:rsidRDefault="00567CAF" w:rsidP="00567CAF">
      <w:pPr>
        <w:rPr>
          <w:szCs w:val="22"/>
        </w:rPr>
      </w:pPr>
      <w:r w:rsidRPr="006B698A">
        <w:rPr>
          <w:szCs w:val="22"/>
        </w:rPr>
        <w:t xml:space="preserve">A study evaluated the PK of </w:t>
      </w:r>
      <w:proofErr w:type="spellStart"/>
      <w:r w:rsidRPr="006B698A">
        <w:rPr>
          <w:szCs w:val="22"/>
        </w:rPr>
        <w:t>brentuximab</w:t>
      </w:r>
      <w:proofErr w:type="spellEnd"/>
      <w:r w:rsidRPr="006B698A">
        <w:rPr>
          <w:szCs w:val="22"/>
        </w:rPr>
        <w:t xml:space="preserve"> </w:t>
      </w:r>
      <w:proofErr w:type="spellStart"/>
      <w:r w:rsidRPr="006B698A">
        <w:rPr>
          <w:szCs w:val="22"/>
        </w:rPr>
        <w:t>vedotin</w:t>
      </w:r>
      <w:proofErr w:type="spellEnd"/>
      <w:r w:rsidRPr="006B698A">
        <w:rPr>
          <w:szCs w:val="22"/>
        </w:rPr>
        <w:t xml:space="preserve"> and MMAE after the administration of 1.2 mg/kg of ADCETRIS to patients with mild (n=4), moderate (n=3) and severe (n=3) renal impairment. Compared to patients with normal renal function, MMAE exposure increased approximately 1.9-fold in patients with severe renal impairment (creatinine clearance &lt; 30 ml/min) </w:t>
      </w:r>
      <w:r w:rsidRPr="006B698A">
        <w:t>(</w:t>
      </w:r>
      <w:r w:rsidRPr="006B698A">
        <w:rPr>
          <w:szCs w:val="22"/>
        </w:rPr>
        <w:t>see ‘Dosage and Administration’).</w:t>
      </w:r>
    </w:p>
    <w:p w:rsidR="008A4464" w:rsidRPr="00567CAF" w:rsidRDefault="008A4464" w:rsidP="00567CAF">
      <w:pPr>
        <w:rPr>
          <w:b/>
          <w:szCs w:val="22"/>
        </w:rPr>
      </w:pPr>
      <w:r w:rsidRPr="00567CAF">
        <w:rPr>
          <w:b/>
          <w:szCs w:val="22"/>
        </w:rPr>
        <w:t>Use in Hepatic impairment</w:t>
      </w:r>
    </w:p>
    <w:p w:rsidR="007B52D6" w:rsidRDefault="007B52D6" w:rsidP="007B52D6">
      <w:pPr>
        <w:spacing w:after="240"/>
      </w:pPr>
      <w:r w:rsidRPr="00485863">
        <w:t xml:space="preserve">The liver is a major route of elimination of the unchanged active metabolite MMAE. Limited clinical data </w:t>
      </w:r>
      <w:r w:rsidR="005B002B">
        <w:rPr>
          <w:rFonts w:cs="Arial"/>
        </w:rPr>
        <w:t xml:space="preserve">from patients who were administered 1.2 mg/kg of ADCETRIS </w:t>
      </w:r>
      <w:r w:rsidRPr="00485863">
        <w:t xml:space="preserve">suggest that exposure to MMAE increased </w:t>
      </w:r>
      <w:r w:rsidR="00DB73E7">
        <w:t>approximately</w:t>
      </w:r>
      <w:r w:rsidRPr="00485863">
        <w:t xml:space="preserve"> 2.</w:t>
      </w:r>
      <w:r w:rsidRPr="007B52D6">
        <w:t xml:space="preserve">3-fold in patients with any degree of hepatic impairment, and that exposure to the antibody-drug conjugate may decrease, relative to patients with normal hepatic function. Use with caution in patients with hepatic impairment. Patients should be closely monitored for adverse events. Treatment with </w:t>
      </w:r>
      <w:proofErr w:type="spellStart"/>
      <w:r w:rsidRPr="007B52D6">
        <w:t>Adcetris</w:t>
      </w:r>
      <w:proofErr w:type="spellEnd"/>
      <w:r w:rsidRPr="007B52D6">
        <w:t xml:space="preserve"> should be discontinued in patients with hepatic impairment who are not demonstrating an adequate response to treatment.</w:t>
      </w:r>
    </w:p>
    <w:p w:rsidR="00B541CE" w:rsidRDefault="00B541CE" w:rsidP="000B25F6">
      <w:pPr>
        <w:pStyle w:val="Heading2"/>
      </w:pPr>
      <w:r>
        <w:t>Effects on Fertility</w:t>
      </w:r>
    </w:p>
    <w:p w:rsidR="00253DC5" w:rsidRDefault="00253DC5" w:rsidP="00EE7AE7">
      <w:pPr>
        <w:ind w:hanging="11"/>
      </w:pPr>
      <w:r w:rsidRPr="00253DC5">
        <w:t xml:space="preserve">The effects of ADCETRIS on human male and female fertility have not been studied. </w:t>
      </w:r>
    </w:p>
    <w:p w:rsidR="004446DA" w:rsidRPr="00B25B03" w:rsidRDefault="00253DC5" w:rsidP="00EE7AE7">
      <w:pPr>
        <w:ind w:hanging="11"/>
      </w:pPr>
      <w:r w:rsidRPr="00B25B03">
        <w:t xml:space="preserve">However, results from toxicity studies in rats indicate the potential for </w:t>
      </w:r>
      <w:proofErr w:type="spellStart"/>
      <w:r w:rsidRPr="00B25B03">
        <w:t>brentuximab</w:t>
      </w:r>
      <w:proofErr w:type="spellEnd"/>
      <w:r w:rsidRPr="00B25B03">
        <w:t xml:space="preserve"> </w:t>
      </w:r>
      <w:proofErr w:type="spellStart"/>
      <w:r w:rsidRPr="00B25B03">
        <w:t>vedotin</w:t>
      </w:r>
      <w:proofErr w:type="spellEnd"/>
      <w:r w:rsidRPr="00B25B03">
        <w:t xml:space="preserve"> to impair male reproductive function and fertility. Seminiferous tubule degeneration</w:t>
      </w:r>
      <w:r w:rsidRPr="00EE7AE7">
        <w:t xml:space="preserve">, </w:t>
      </w:r>
      <w:proofErr w:type="spellStart"/>
      <w:r w:rsidR="00040FDD" w:rsidRPr="00EE7AE7">
        <w:t>s</w:t>
      </w:r>
      <w:r w:rsidRPr="00EE7AE7">
        <w:t>ertoli</w:t>
      </w:r>
      <w:proofErr w:type="spellEnd"/>
      <w:r w:rsidRPr="00B25B03">
        <w:t xml:space="preserve"> cell </w:t>
      </w:r>
      <w:proofErr w:type="spellStart"/>
      <w:r w:rsidRPr="00B25B03">
        <w:t>vacuolation</w:t>
      </w:r>
      <w:proofErr w:type="spellEnd"/>
      <w:r w:rsidRPr="00B25B03">
        <w:t xml:space="preserve">, reduced spermatogenesis and </w:t>
      </w:r>
      <w:proofErr w:type="spellStart"/>
      <w:r w:rsidRPr="00B25B03">
        <w:t>aspermia</w:t>
      </w:r>
      <w:proofErr w:type="spellEnd"/>
      <w:r w:rsidRPr="00B25B03">
        <w:t xml:space="preserve"> were </w:t>
      </w:r>
      <w:r w:rsidR="00601D57" w:rsidRPr="00B25B03">
        <w:t xml:space="preserve">observed in male rats that received weekly IV injections of </w:t>
      </w:r>
      <w:r w:rsidR="00601D57" w:rsidRPr="00B25B03">
        <w:rPr>
          <w:rFonts w:cs="Arial"/>
        </w:rPr>
        <w:t>≥</w:t>
      </w:r>
      <w:r w:rsidR="00D41B1D" w:rsidRPr="00515187">
        <w:rPr>
          <w:color w:val="000000"/>
          <w:szCs w:val="22"/>
        </w:rPr>
        <w:t> </w:t>
      </w:r>
      <w:r w:rsidR="00601D57" w:rsidRPr="00B25B03">
        <w:t xml:space="preserve">5 mg/kg </w:t>
      </w:r>
      <w:proofErr w:type="spellStart"/>
      <w:r w:rsidR="00601D57" w:rsidRPr="00B25B03">
        <w:t>brentuximab</w:t>
      </w:r>
      <w:proofErr w:type="spellEnd"/>
      <w:r w:rsidR="00601D57" w:rsidRPr="00B25B03">
        <w:t xml:space="preserve"> </w:t>
      </w:r>
      <w:proofErr w:type="spellStart"/>
      <w:r w:rsidR="00601D57" w:rsidRPr="00B25B03">
        <w:t>vedotin</w:t>
      </w:r>
      <w:proofErr w:type="spellEnd"/>
      <w:r w:rsidR="00601D57" w:rsidRPr="00B25B03">
        <w:t xml:space="preserve">. The no effect dose (0.5 mg/kg) is below the recommended human dose of 1.8 mg/kg based on body weight. </w:t>
      </w:r>
      <w:r w:rsidRPr="00B25B03">
        <w:t xml:space="preserve">Testicular atrophy and </w:t>
      </w:r>
      <w:r w:rsidRPr="00B25B03">
        <w:lastRenderedPageBreak/>
        <w:t xml:space="preserve">degeneration </w:t>
      </w:r>
      <w:r w:rsidR="00601D57" w:rsidRPr="00B25B03">
        <w:t xml:space="preserve">had not fully reversed following a 16-week treatment-free period. MMAE, the main active metabolite of </w:t>
      </w:r>
      <w:proofErr w:type="spellStart"/>
      <w:r w:rsidR="00601D57" w:rsidRPr="00B25B03">
        <w:t>brentuximab</w:t>
      </w:r>
      <w:proofErr w:type="spellEnd"/>
      <w:r w:rsidR="00601D57" w:rsidRPr="00B25B03">
        <w:t xml:space="preserve"> </w:t>
      </w:r>
      <w:proofErr w:type="spellStart"/>
      <w:r w:rsidR="00601D57" w:rsidRPr="00B25B03">
        <w:t>vedotin</w:t>
      </w:r>
      <w:proofErr w:type="spellEnd"/>
      <w:r w:rsidR="00601D57" w:rsidRPr="00B25B03">
        <w:t xml:space="preserve">, has been shown to have </w:t>
      </w:r>
      <w:proofErr w:type="spellStart"/>
      <w:r w:rsidR="00601D57" w:rsidRPr="00B25B03">
        <w:t>aneugenic</w:t>
      </w:r>
      <w:proofErr w:type="spellEnd"/>
      <w:r w:rsidR="00601D57" w:rsidRPr="00B25B03">
        <w:t xml:space="preserve"> properties in an </w:t>
      </w:r>
      <w:r w:rsidR="00601D57" w:rsidRPr="00B25B03">
        <w:rPr>
          <w:i/>
        </w:rPr>
        <w:t xml:space="preserve">in vivo </w:t>
      </w:r>
      <w:r w:rsidR="00601D57" w:rsidRPr="00B25B03">
        <w:t>rat bone marrow micronucleus study. These results were consistent with the pharmacological effect of MMAE on the mitotic apparatus (disruption of the microtubule network) in cells</w:t>
      </w:r>
      <w:r w:rsidRPr="00B25B03">
        <w:t>.</w:t>
      </w:r>
    </w:p>
    <w:p w:rsidR="004446DA" w:rsidRPr="00C36C6C" w:rsidRDefault="004446DA" w:rsidP="00EE7AE7">
      <w:pPr>
        <w:ind w:hanging="11"/>
      </w:pPr>
      <w:r w:rsidRPr="00B25B03">
        <w:t xml:space="preserve">Therefore, men being treated with this medicine are advised to have sperm samples frozen and stored before treatment. Men being treated with this medicine are </w:t>
      </w:r>
      <w:r w:rsidRPr="00844E86">
        <w:t>advised no</w:t>
      </w:r>
      <w:r w:rsidR="00776BFD" w:rsidRPr="00844E86">
        <w:t>t</w:t>
      </w:r>
      <w:r w:rsidRPr="00844E86">
        <w:t xml:space="preserve"> to father</w:t>
      </w:r>
      <w:r w:rsidRPr="00B25B03">
        <w:t xml:space="preserve"> a child during treatment and for up to 6 months following the last dose. </w:t>
      </w:r>
      <w:r w:rsidR="00F33B67">
        <w:t>E</w:t>
      </w:r>
      <w:r w:rsidR="00D76A6B" w:rsidRPr="00844E86">
        <w:t xml:space="preserve">ffects on spermatogenesis </w:t>
      </w:r>
      <w:r w:rsidR="00776BFD" w:rsidRPr="00844E86">
        <w:t>cannot be excluded</w:t>
      </w:r>
      <w:r w:rsidRPr="00844E86">
        <w:t xml:space="preserve"> after a 6 month treatment-free period.</w:t>
      </w:r>
    </w:p>
    <w:p w:rsidR="00B541CE" w:rsidRDefault="00B541CE" w:rsidP="000B25F6">
      <w:pPr>
        <w:pStyle w:val="Heading2"/>
      </w:pPr>
      <w:r>
        <w:t>Use in Pregnancy</w:t>
      </w:r>
    </w:p>
    <w:p w:rsidR="009657C0" w:rsidRPr="00864D19" w:rsidRDefault="009657C0" w:rsidP="009657C0">
      <w:pPr>
        <w:rPr>
          <w:b/>
        </w:rPr>
      </w:pPr>
      <w:r w:rsidRPr="00864D19">
        <w:rPr>
          <w:b/>
        </w:rPr>
        <w:t xml:space="preserve">Pregnancy Category </w:t>
      </w:r>
      <w:r w:rsidR="0022344B" w:rsidRPr="00864D19">
        <w:rPr>
          <w:b/>
        </w:rPr>
        <w:t>D</w:t>
      </w:r>
    </w:p>
    <w:p w:rsidR="004246BF" w:rsidRPr="00B25B03" w:rsidRDefault="004246BF">
      <w:pPr>
        <w:rPr>
          <w:szCs w:val="22"/>
        </w:rPr>
      </w:pPr>
      <w:r w:rsidRPr="00B25B03">
        <w:rPr>
          <w:szCs w:val="22"/>
        </w:rPr>
        <w:t xml:space="preserve">There are no adequate and well-controlled studies with ADCETRIS in pregnant women. However based on its mechanism of action and findings in animals, ADCETRIS can cause </w:t>
      </w:r>
      <w:proofErr w:type="spellStart"/>
      <w:r w:rsidRPr="00B25B03">
        <w:rPr>
          <w:szCs w:val="22"/>
        </w:rPr>
        <w:t>fetal</w:t>
      </w:r>
      <w:proofErr w:type="spellEnd"/>
      <w:r w:rsidRPr="00B25B03">
        <w:rPr>
          <w:szCs w:val="22"/>
        </w:rPr>
        <w:t xml:space="preserve"> harm when administered </w:t>
      </w:r>
      <w:proofErr w:type="gramStart"/>
      <w:r w:rsidRPr="00B25B03">
        <w:rPr>
          <w:szCs w:val="22"/>
        </w:rPr>
        <w:t>to a pregnant women</w:t>
      </w:r>
      <w:proofErr w:type="gramEnd"/>
      <w:r w:rsidRPr="00B25B03">
        <w:rPr>
          <w:szCs w:val="22"/>
        </w:rPr>
        <w:t xml:space="preserve">. </w:t>
      </w:r>
    </w:p>
    <w:p w:rsidR="00253DC5" w:rsidRPr="00B25B03" w:rsidRDefault="004246BF">
      <w:pPr>
        <w:rPr>
          <w:szCs w:val="22"/>
        </w:rPr>
      </w:pPr>
      <w:proofErr w:type="spellStart"/>
      <w:r w:rsidRPr="00B25B03">
        <w:rPr>
          <w:szCs w:val="22"/>
        </w:rPr>
        <w:t>Embryo</w:t>
      </w:r>
      <w:r w:rsidR="00253DC5" w:rsidRPr="00B25B03">
        <w:rPr>
          <w:szCs w:val="22"/>
        </w:rPr>
        <w:t>fetal</w:t>
      </w:r>
      <w:proofErr w:type="spellEnd"/>
      <w:r w:rsidR="00253DC5" w:rsidRPr="00B25B03">
        <w:rPr>
          <w:szCs w:val="22"/>
        </w:rPr>
        <w:t xml:space="preserve"> </w:t>
      </w:r>
      <w:r w:rsidRPr="00B25B03">
        <w:rPr>
          <w:szCs w:val="22"/>
        </w:rPr>
        <w:t xml:space="preserve">toxicities were seen in a rat </w:t>
      </w:r>
      <w:proofErr w:type="spellStart"/>
      <w:r w:rsidRPr="00B25B03">
        <w:rPr>
          <w:szCs w:val="22"/>
        </w:rPr>
        <w:t>embryofetal</w:t>
      </w:r>
      <w:proofErr w:type="spellEnd"/>
      <w:r w:rsidRPr="00B25B03">
        <w:rPr>
          <w:szCs w:val="22"/>
        </w:rPr>
        <w:t xml:space="preserve"> development study in which pregnant rats received two IV doses of </w:t>
      </w:r>
      <w:r w:rsidRPr="00B25B03">
        <w:rPr>
          <w:rFonts w:cs="Arial"/>
        </w:rPr>
        <w:t>≥</w:t>
      </w:r>
      <w:r w:rsidRPr="00B25B03">
        <w:t xml:space="preserve"> 3 mg/kg </w:t>
      </w:r>
      <w:proofErr w:type="spellStart"/>
      <w:r w:rsidRPr="00B25B03">
        <w:t>brentuximab</w:t>
      </w:r>
      <w:proofErr w:type="spellEnd"/>
      <w:r w:rsidRPr="00B25B03">
        <w:t xml:space="preserve"> </w:t>
      </w:r>
      <w:proofErr w:type="spellStart"/>
      <w:r w:rsidRPr="00B25B03">
        <w:t>vedotin</w:t>
      </w:r>
      <w:proofErr w:type="spellEnd"/>
      <w:r w:rsidRPr="00B25B03">
        <w:t xml:space="preserve"> during a period of organogenesis,</w:t>
      </w:r>
      <w:r w:rsidR="005D4AEB" w:rsidRPr="00B25B03">
        <w:t xml:space="preserve"> and included an increased incidence of post-implantation loss, decreased number of foetuses and an increase in the incidence of external malformations (umbilical hernias and </w:t>
      </w:r>
      <w:proofErr w:type="spellStart"/>
      <w:r w:rsidR="005D4AEB" w:rsidRPr="00B25B03">
        <w:t>malrotated</w:t>
      </w:r>
      <w:proofErr w:type="spellEnd"/>
      <w:r w:rsidR="005D4AEB" w:rsidRPr="00B25B03">
        <w:t xml:space="preserve"> </w:t>
      </w:r>
      <w:proofErr w:type="spellStart"/>
      <w:r w:rsidR="005D4AEB" w:rsidRPr="00B25B03">
        <w:t>hindlimbs</w:t>
      </w:r>
      <w:proofErr w:type="spellEnd"/>
      <w:r w:rsidR="005D4AEB" w:rsidRPr="00B25B03">
        <w:t xml:space="preserve">). </w:t>
      </w:r>
      <w:r w:rsidR="00253DC5" w:rsidRPr="00B25B03">
        <w:rPr>
          <w:szCs w:val="22"/>
        </w:rPr>
        <w:t xml:space="preserve"> </w:t>
      </w:r>
    </w:p>
    <w:p w:rsidR="00253DC5" w:rsidRPr="00B25B03" w:rsidRDefault="005D4AEB" w:rsidP="00253DC5">
      <w:r w:rsidRPr="00B25B03">
        <w:t xml:space="preserve">ADCETRIS should not be used during pregnancy unless the benefit to the mother outweighs the potential risks to the </w:t>
      </w:r>
      <w:proofErr w:type="spellStart"/>
      <w:r w:rsidRPr="00B25B03">
        <w:t>fetus</w:t>
      </w:r>
      <w:proofErr w:type="spellEnd"/>
      <w:r w:rsidRPr="00B25B03">
        <w:t xml:space="preserve">. If a pregnant woman needs to be treated she should be clearly advised on the potential risk to the </w:t>
      </w:r>
      <w:proofErr w:type="spellStart"/>
      <w:r w:rsidRPr="00B25B03">
        <w:t>fetus</w:t>
      </w:r>
      <w:proofErr w:type="spellEnd"/>
      <w:r w:rsidRPr="00B25B03">
        <w:t xml:space="preserve">. </w:t>
      </w:r>
      <w:r w:rsidR="00253DC5" w:rsidRPr="00B25B03">
        <w:t xml:space="preserve">Women of childbearing potential should be using two methods of effective contraception during treatment with ADCETRIS and </w:t>
      </w:r>
      <w:r w:rsidR="00253DC5" w:rsidRPr="009D46FF">
        <w:t xml:space="preserve">until </w:t>
      </w:r>
      <w:r w:rsidR="00B25B03" w:rsidRPr="009D46FF">
        <w:t>6</w:t>
      </w:r>
      <w:r w:rsidRPr="009D46FF">
        <w:t xml:space="preserve"> months</w:t>
      </w:r>
      <w:r w:rsidR="00253DC5" w:rsidRPr="00B25B03">
        <w:t xml:space="preserve"> after treatment. </w:t>
      </w:r>
    </w:p>
    <w:p w:rsidR="00253DC5" w:rsidRDefault="005D4AEB">
      <w:r w:rsidRPr="00B25B03">
        <w:t>See the ‘Effects on Fertility’ section above pertaining to advice for women whose male partners are being treated with ADCETRIS.</w:t>
      </w:r>
    </w:p>
    <w:p w:rsidR="00B541CE" w:rsidRDefault="00B541CE" w:rsidP="000B25F6">
      <w:pPr>
        <w:pStyle w:val="Heading2"/>
      </w:pPr>
      <w:r>
        <w:t>Use in Lactation</w:t>
      </w:r>
    </w:p>
    <w:p w:rsidR="00473FF2" w:rsidRPr="00E670A9" w:rsidRDefault="00E670A9" w:rsidP="00473FF2">
      <w:pPr>
        <w:rPr>
          <w:szCs w:val="22"/>
        </w:rPr>
      </w:pPr>
      <w:r w:rsidRPr="00C36C6C">
        <w:rPr>
          <w:szCs w:val="22"/>
        </w:rPr>
        <w:t xml:space="preserve">There are no data as to whether </w:t>
      </w:r>
      <w:r w:rsidR="0047004B">
        <w:rPr>
          <w:szCs w:val="22"/>
        </w:rPr>
        <w:t>ADCETRIS</w:t>
      </w:r>
      <w:r w:rsidRPr="00C36C6C">
        <w:rPr>
          <w:szCs w:val="22"/>
        </w:rPr>
        <w:t xml:space="preserve"> or its metabolites are excreted in human milk. A risk to the newborn/infant cannot be excluded. A decision should be made whether to discontinue breast-feeding or to discontinue/abstain from this therapy, taking into account a potential risk of breast-feeding for the child and the benefit of therapy for the woman.</w:t>
      </w:r>
    </w:p>
    <w:p w:rsidR="00B541CE" w:rsidRDefault="00B541CE" w:rsidP="000B25F6">
      <w:pPr>
        <w:pStyle w:val="Heading2"/>
      </w:pPr>
      <w:r>
        <w:t>Paediatric Use</w:t>
      </w:r>
    </w:p>
    <w:p w:rsidR="00473FF2" w:rsidRPr="006066D5" w:rsidRDefault="00C5107C" w:rsidP="00473FF2">
      <w:pPr>
        <w:rPr>
          <w:bCs/>
        </w:rPr>
      </w:pPr>
      <w:r w:rsidRPr="00C36C6C">
        <w:rPr>
          <w:szCs w:val="22"/>
        </w:rPr>
        <w:t xml:space="preserve">The safety and efficacy of children less than 18 years have not yet been established. No data are available. </w:t>
      </w:r>
      <w:r w:rsidR="008F350C" w:rsidRPr="00D50153">
        <w:rPr>
          <w:bCs/>
        </w:rPr>
        <w:t>In nonclinical studies, lymphoid depletion and reduced</w:t>
      </w:r>
      <w:r w:rsidR="008F350C" w:rsidRPr="00C36C6C">
        <w:rPr>
          <w:bCs/>
        </w:rPr>
        <w:t xml:space="preserve"> thymic</w:t>
      </w:r>
      <w:r w:rsidR="008F350C" w:rsidRPr="00D50153">
        <w:rPr>
          <w:bCs/>
        </w:rPr>
        <w:t xml:space="preserve"> weight were observed, consistent with the pharmacologic disruption of microtubules caused by MMAE derived from </w:t>
      </w:r>
      <w:r w:rsidR="0047004B">
        <w:rPr>
          <w:bCs/>
        </w:rPr>
        <w:t>ADCETRIS</w:t>
      </w:r>
      <w:r w:rsidR="008F350C" w:rsidRPr="00D50153">
        <w:rPr>
          <w:bCs/>
        </w:rPr>
        <w:t>.</w:t>
      </w:r>
    </w:p>
    <w:p w:rsidR="00B541CE" w:rsidRDefault="00B541CE" w:rsidP="000B25F6">
      <w:pPr>
        <w:pStyle w:val="Heading2"/>
      </w:pPr>
      <w:r>
        <w:t>Use in the Elderly</w:t>
      </w:r>
    </w:p>
    <w:p w:rsidR="00C5107C" w:rsidRPr="00C36C6C" w:rsidRDefault="00C5107C" w:rsidP="00C5107C">
      <w:pPr>
        <w:rPr>
          <w:szCs w:val="22"/>
          <w:u w:val="single"/>
        </w:rPr>
      </w:pPr>
      <w:r w:rsidRPr="00C36C6C">
        <w:rPr>
          <w:szCs w:val="22"/>
        </w:rPr>
        <w:t xml:space="preserve">The safety and efficacy in elderly patients aged 65 and older have not been established. No data are available.  </w:t>
      </w:r>
    </w:p>
    <w:p w:rsidR="00B541CE" w:rsidRDefault="00B541CE" w:rsidP="000B25F6">
      <w:pPr>
        <w:pStyle w:val="Heading2"/>
      </w:pPr>
      <w:proofErr w:type="spellStart"/>
      <w:r>
        <w:t>Genotoxicity</w:t>
      </w:r>
      <w:proofErr w:type="spellEnd"/>
    </w:p>
    <w:p w:rsidR="00473FF2" w:rsidRPr="00473FF2" w:rsidRDefault="007073A2" w:rsidP="007073A2">
      <w:r>
        <w:rPr>
          <w:color w:val="000000"/>
          <w:szCs w:val="22"/>
        </w:rPr>
        <w:t xml:space="preserve">MMAE was </w:t>
      </w:r>
      <w:proofErr w:type="spellStart"/>
      <w:r>
        <w:rPr>
          <w:color w:val="000000"/>
          <w:szCs w:val="22"/>
        </w:rPr>
        <w:t>genotoxic</w:t>
      </w:r>
      <w:proofErr w:type="spellEnd"/>
      <w:r>
        <w:rPr>
          <w:color w:val="000000"/>
          <w:szCs w:val="22"/>
        </w:rPr>
        <w:t xml:space="preserve"> in the rat bone marrow micronucleus study through an </w:t>
      </w:r>
      <w:proofErr w:type="spellStart"/>
      <w:r>
        <w:rPr>
          <w:color w:val="000000"/>
          <w:szCs w:val="22"/>
        </w:rPr>
        <w:t>aneugenic</w:t>
      </w:r>
      <w:proofErr w:type="spellEnd"/>
      <w:r>
        <w:rPr>
          <w:color w:val="000000"/>
          <w:szCs w:val="22"/>
        </w:rPr>
        <w:t xml:space="preserve"> mechanism. This effect is consistent with the pharmacological effect of MMAE as a microtubule disrupting agent. MMAE was not mutagenic in the bacterial reverse mutation assay (Ames test) or the L5178Y mouse lymphoma forward mutation assay.</w:t>
      </w:r>
    </w:p>
    <w:p w:rsidR="00160E17" w:rsidRDefault="00160E17" w:rsidP="000B25F6">
      <w:pPr>
        <w:pStyle w:val="Heading2"/>
      </w:pPr>
      <w:r>
        <w:t>Carcinogenicity</w:t>
      </w:r>
    </w:p>
    <w:p w:rsidR="00473FF2" w:rsidRPr="007073A2" w:rsidRDefault="007073A2" w:rsidP="007073A2">
      <w:pPr>
        <w:pStyle w:val="CM23"/>
        <w:spacing w:after="172" w:line="300" w:lineRule="atLeast"/>
        <w:ind w:right="70"/>
        <w:rPr>
          <w:color w:val="000000"/>
          <w:sz w:val="22"/>
          <w:szCs w:val="22"/>
        </w:rPr>
      </w:pPr>
      <w:r>
        <w:rPr>
          <w:color w:val="000000"/>
          <w:sz w:val="22"/>
          <w:szCs w:val="22"/>
        </w:rPr>
        <w:t xml:space="preserve">Carcinogenicity studies with </w:t>
      </w:r>
      <w:proofErr w:type="spellStart"/>
      <w:r>
        <w:rPr>
          <w:color w:val="000000"/>
          <w:sz w:val="22"/>
          <w:szCs w:val="22"/>
        </w:rPr>
        <w:t>brentuximab</w:t>
      </w:r>
      <w:proofErr w:type="spellEnd"/>
      <w:r>
        <w:rPr>
          <w:color w:val="000000"/>
          <w:sz w:val="22"/>
          <w:szCs w:val="22"/>
        </w:rPr>
        <w:t xml:space="preserve"> </w:t>
      </w:r>
      <w:proofErr w:type="spellStart"/>
      <w:r>
        <w:rPr>
          <w:color w:val="000000"/>
          <w:sz w:val="22"/>
          <w:szCs w:val="22"/>
        </w:rPr>
        <w:t>vedotin</w:t>
      </w:r>
      <w:proofErr w:type="spellEnd"/>
      <w:r>
        <w:rPr>
          <w:color w:val="000000"/>
          <w:sz w:val="22"/>
          <w:szCs w:val="22"/>
        </w:rPr>
        <w:t xml:space="preserve"> or MMAE have not been conducted. </w:t>
      </w:r>
    </w:p>
    <w:p w:rsidR="00B541CE" w:rsidRDefault="00B541CE" w:rsidP="00160E17">
      <w:pPr>
        <w:pStyle w:val="Heading1"/>
      </w:pPr>
      <w:r>
        <w:lastRenderedPageBreak/>
        <w:t>Interactions with other Medicines</w:t>
      </w:r>
    </w:p>
    <w:p w:rsidR="008A4464" w:rsidRDefault="008A4464" w:rsidP="008A4464">
      <w:pPr>
        <w:pStyle w:val="Heading3"/>
        <w:rPr>
          <w:bCs/>
          <w:szCs w:val="20"/>
          <w:u w:val="none"/>
        </w:rPr>
      </w:pPr>
      <w:r>
        <w:rPr>
          <w:bCs/>
          <w:szCs w:val="20"/>
          <w:u w:val="none"/>
        </w:rPr>
        <w:t>T</w:t>
      </w:r>
      <w:r w:rsidRPr="008A4464">
        <w:rPr>
          <w:bCs/>
          <w:szCs w:val="20"/>
          <w:u w:val="none"/>
        </w:rPr>
        <w:t xml:space="preserve">he combined use of </w:t>
      </w:r>
      <w:r>
        <w:rPr>
          <w:bCs/>
          <w:szCs w:val="20"/>
          <w:u w:val="none"/>
        </w:rPr>
        <w:t>ADCETRIS</w:t>
      </w:r>
      <w:r w:rsidRPr="008A4464">
        <w:rPr>
          <w:bCs/>
          <w:szCs w:val="20"/>
          <w:u w:val="none"/>
        </w:rPr>
        <w:t xml:space="preserve"> and </w:t>
      </w:r>
      <w:proofErr w:type="spellStart"/>
      <w:r w:rsidRPr="008A4464">
        <w:rPr>
          <w:bCs/>
          <w:szCs w:val="20"/>
          <w:u w:val="none"/>
        </w:rPr>
        <w:t>bleomycin</w:t>
      </w:r>
      <w:proofErr w:type="spellEnd"/>
      <w:r w:rsidRPr="008A4464">
        <w:rPr>
          <w:bCs/>
          <w:szCs w:val="20"/>
          <w:u w:val="none"/>
        </w:rPr>
        <w:t xml:space="preserve"> is associated with pulmonary toxicity and </w:t>
      </w:r>
      <w:r>
        <w:rPr>
          <w:bCs/>
          <w:szCs w:val="20"/>
          <w:u w:val="none"/>
        </w:rPr>
        <w:t xml:space="preserve">is </w:t>
      </w:r>
      <w:r w:rsidRPr="008A4464">
        <w:rPr>
          <w:bCs/>
          <w:szCs w:val="20"/>
          <w:u w:val="none"/>
        </w:rPr>
        <w:t>therefore contraindicated</w:t>
      </w:r>
      <w:r>
        <w:rPr>
          <w:bCs/>
          <w:szCs w:val="20"/>
          <w:u w:val="none"/>
        </w:rPr>
        <w:t xml:space="preserve"> (see ‘Contraindications’)</w:t>
      </w:r>
      <w:r w:rsidR="008A0B5F">
        <w:rPr>
          <w:bCs/>
          <w:szCs w:val="20"/>
          <w:u w:val="none"/>
        </w:rPr>
        <w:t>.</w:t>
      </w:r>
    </w:p>
    <w:p w:rsidR="008A0B5F" w:rsidRDefault="008A0B5F" w:rsidP="008A0B5F">
      <w:pPr>
        <w:rPr>
          <w:bCs/>
        </w:rPr>
      </w:pPr>
      <w:r w:rsidRPr="008A0B5F">
        <w:rPr>
          <w:bCs/>
        </w:rPr>
        <w:t>There are no</w:t>
      </w:r>
      <w:r w:rsidR="00BE0862">
        <w:rPr>
          <w:bCs/>
        </w:rPr>
        <w:t xml:space="preserve"> drug-drug interaction</w:t>
      </w:r>
      <w:r w:rsidR="00437CDE">
        <w:rPr>
          <w:bCs/>
        </w:rPr>
        <w:t>s</w:t>
      </w:r>
      <w:r w:rsidR="00BE0862">
        <w:rPr>
          <w:bCs/>
        </w:rPr>
        <w:t xml:space="preserve"> </w:t>
      </w:r>
      <w:r w:rsidRPr="008A0B5F">
        <w:rPr>
          <w:bCs/>
        </w:rPr>
        <w:t xml:space="preserve">data available </w:t>
      </w:r>
      <w:r w:rsidR="00BE0862">
        <w:rPr>
          <w:bCs/>
        </w:rPr>
        <w:t xml:space="preserve">with </w:t>
      </w:r>
      <w:r w:rsidRPr="008A0B5F">
        <w:rPr>
          <w:bCs/>
        </w:rPr>
        <w:t>other chemotherapy regimens.</w:t>
      </w:r>
    </w:p>
    <w:p w:rsidR="002C44FE" w:rsidRPr="00864D19" w:rsidRDefault="002C44FE" w:rsidP="000B25F6">
      <w:pPr>
        <w:pStyle w:val="Heading3"/>
        <w:jc w:val="left"/>
      </w:pPr>
      <w:r w:rsidRPr="00864D19">
        <w:t>Interaction with medicinal products metabolized through CYP3A4 route (CYP3A4 inhibitors/inducers)</w:t>
      </w:r>
    </w:p>
    <w:p w:rsidR="002C44FE" w:rsidRPr="005E2CA0" w:rsidRDefault="002C44FE" w:rsidP="002C44FE">
      <w:pPr>
        <w:rPr>
          <w:highlight w:val="cyan"/>
        </w:rPr>
      </w:pPr>
      <w:r w:rsidRPr="00C36C6C">
        <w:rPr>
          <w:bCs/>
        </w:rPr>
        <w:t xml:space="preserve">Co-administration of </w:t>
      </w:r>
      <w:r w:rsidR="0047004B">
        <w:rPr>
          <w:bCs/>
        </w:rPr>
        <w:t>ADCETRIS</w:t>
      </w:r>
      <w:r w:rsidRPr="00C36C6C">
        <w:rPr>
          <w:bCs/>
        </w:rPr>
        <w:t xml:space="preserve"> with ketoconazole, a strong CYP3A4 and P-</w:t>
      </w:r>
      <w:proofErr w:type="spellStart"/>
      <w:r w:rsidRPr="00C36C6C">
        <w:rPr>
          <w:bCs/>
        </w:rPr>
        <w:t>gp</w:t>
      </w:r>
      <w:proofErr w:type="spellEnd"/>
      <w:r w:rsidRPr="00C36C6C">
        <w:rPr>
          <w:bCs/>
        </w:rPr>
        <w:t xml:space="preserve"> inhibitor, increased the exposure to the </w:t>
      </w:r>
      <w:proofErr w:type="spellStart"/>
      <w:r w:rsidRPr="00C36C6C">
        <w:rPr>
          <w:bCs/>
        </w:rPr>
        <w:t>antimicrotubule</w:t>
      </w:r>
      <w:proofErr w:type="spellEnd"/>
      <w:r w:rsidRPr="00C36C6C">
        <w:rPr>
          <w:bCs/>
        </w:rPr>
        <w:t xml:space="preserve"> agent MMAE by approximately 73%, and did not alter the plasma ex</w:t>
      </w:r>
      <w:r>
        <w:rPr>
          <w:bCs/>
        </w:rPr>
        <w:t xml:space="preserve">posure to </w:t>
      </w:r>
      <w:r w:rsidR="0047004B">
        <w:rPr>
          <w:bCs/>
        </w:rPr>
        <w:t>ADCETRIS</w:t>
      </w:r>
      <w:r>
        <w:rPr>
          <w:bCs/>
        </w:rPr>
        <w:t xml:space="preserve">. </w:t>
      </w:r>
      <w:r w:rsidRPr="00C36C6C">
        <w:rPr>
          <w:bCs/>
        </w:rPr>
        <w:t xml:space="preserve">Therefore, co-administration of </w:t>
      </w:r>
      <w:proofErr w:type="spellStart"/>
      <w:r w:rsidRPr="00C36C6C">
        <w:rPr>
          <w:bCs/>
        </w:rPr>
        <w:t>brentuximab</w:t>
      </w:r>
      <w:proofErr w:type="spellEnd"/>
      <w:r w:rsidRPr="00C36C6C">
        <w:rPr>
          <w:bCs/>
        </w:rPr>
        <w:t xml:space="preserve"> </w:t>
      </w:r>
      <w:proofErr w:type="spellStart"/>
      <w:r w:rsidRPr="00C36C6C">
        <w:rPr>
          <w:bCs/>
        </w:rPr>
        <w:t>vedotin</w:t>
      </w:r>
      <w:proofErr w:type="spellEnd"/>
      <w:r w:rsidRPr="00C36C6C">
        <w:rPr>
          <w:bCs/>
        </w:rPr>
        <w:t xml:space="preserve"> with strong CYP3A4 and P-</w:t>
      </w:r>
      <w:proofErr w:type="spellStart"/>
      <w:r w:rsidRPr="00C36C6C">
        <w:rPr>
          <w:bCs/>
        </w:rPr>
        <w:t>gp</w:t>
      </w:r>
      <w:proofErr w:type="spellEnd"/>
      <w:r w:rsidRPr="00C36C6C">
        <w:rPr>
          <w:bCs/>
        </w:rPr>
        <w:t xml:space="preserve"> inhibitors may increase the incidence of neutropenia. If neutropenia develops</w:t>
      </w:r>
      <w:r w:rsidR="00527703">
        <w:t xml:space="preserve"> see ‘Dosage &amp; Administration’</w:t>
      </w:r>
      <w:r w:rsidRPr="00C36C6C">
        <w:t xml:space="preserve">. </w:t>
      </w:r>
    </w:p>
    <w:p w:rsidR="002C44FE" w:rsidRPr="00C36C6C" w:rsidRDefault="002C44FE" w:rsidP="002C44FE">
      <w:pPr>
        <w:rPr>
          <w:rFonts w:eastAsia="MS Mincho"/>
          <w:szCs w:val="22"/>
          <w:lang w:eastAsia="ja-JP"/>
        </w:rPr>
      </w:pPr>
      <w:r w:rsidRPr="00C36C6C">
        <w:rPr>
          <w:rFonts w:eastAsia="MS Mincho"/>
          <w:szCs w:val="22"/>
          <w:lang w:eastAsia="ja-JP"/>
        </w:rPr>
        <w:t xml:space="preserve">Co-administration of </w:t>
      </w:r>
      <w:proofErr w:type="spellStart"/>
      <w:r w:rsidRPr="00C36C6C">
        <w:rPr>
          <w:bCs/>
        </w:rPr>
        <w:t>brentuximab</w:t>
      </w:r>
      <w:proofErr w:type="spellEnd"/>
      <w:r w:rsidRPr="00C36C6C">
        <w:rPr>
          <w:bCs/>
        </w:rPr>
        <w:t xml:space="preserve"> </w:t>
      </w:r>
      <w:proofErr w:type="spellStart"/>
      <w:r w:rsidRPr="00C36C6C">
        <w:rPr>
          <w:bCs/>
        </w:rPr>
        <w:t>vedotin</w:t>
      </w:r>
      <w:proofErr w:type="spellEnd"/>
      <w:r w:rsidRPr="00C36C6C">
        <w:rPr>
          <w:rFonts w:eastAsia="MS Mincho"/>
          <w:szCs w:val="22"/>
          <w:lang w:eastAsia="ja-JP"/>
        </w:rPr>
        <w:t xml:space="preserve"> with rifampicin, a strong CYP3A4 inducer, did not alter the plasma exposure to </w:t>
      </w:r>
      <w:proofErr w:type="spellStart"/>
      <w:r w:rsidRPr="00C36C6C">
        <w:rPr>
          <w:bCs/>
        </w:rPr>
        <w:t>brentuximab</w:t>
      </w:r>
      <w:proofErr w:type="spellEnd"/>
      <w:r w:rsidRPr="00C36C6C">
        <w:rPr>
          <w:bCs/>
        </w:rPr>
        <w:t xml:space="preserve"> </w:t>
      </w:r>
      <w:proofErr w:type="spellStart"/>
      <w:r w:rsidRPr="00C36C6C">
        <w:rPr>
          <w:bCs/>
        </w:rPr>
        <w:t>vedotin</w:t>
      </w:r>
      <w:proofErr w:type="spellEnd"/>
      <w:r w:rsidRPr="00C36C6C">
        <w:rPr>
          <w:rFonts w:eastAsia="MS Mincho"/>
          <w:szCs w:val="22"/>
          <w:lang w:eastAsia="ja-JP"/>
        </w:rPr>
        <w:t xml:space="preserve">; however it reduced exposure to MMAE by approximately 31%.  </w:t>
      </w:r>
    </w:p>
    <w:p w:rsidR="002C44FE" w:rsidRDefault="002C44FE" w:rsidP="002C44FE">
      <w:pPr>
        <w:rPr>
          <w:bCs/>
        </w:rPr>
      </w:pPr>
      <w:r w:rsidRPr="00C36C6C">
        <w:rPr>
          <w:bCs/>
        </w:rPr>
        <w:t>Co</w:t>
      </w:r>
      <w:r w:rsidRPr="00C36C6C">
        <w:rPr>
          <w:rFonts w:eastAsia="MS Mincho"/>
          <w:szCs w:val="22"/>
          <w:lang w:eastAsia="ja-JP"/>
        </w:rPr>
        <w:t>-</w:t>
      </w:r>
      <w:r w:rsidRPr="00C36C6C">
        <w:rPr>
          <w:bCs/>
        </w:rPr>
        <w:t xml:space="preserve">administration of midazolam, a CYP3A4 substrate, with </w:t>
      </w:r>
      <w:proofErr w:type="spellStart"/>
      <w:r w:rsidRPr="00C36C6C">
        <w:rPr>
          <w:bCs/>
        </w:rPr>
        <w:t>brentuximab</w:t>
      </w:r>
      <w:proofErr w:type="spellEnd"/>
      <w:r w:rsidRPr="00C36C6C">
        <w:rPr>
          <w:bCs/>
        </w:rPr>
        <w:t xml:space="preserve"> </w:t>
      </w:r>
      <w:proofErr w:type="spellStart"/>
      <w:r w:rsidRPr="00C36C6C">
        <w:rPr>
          <w:bCs/>
        </w:rPr>
        <w:t>vedotin</w:t>
      </w:r>
      <w:proofErr w:type="spellEnd"/>
      <w:r w:rsidRPr="00C36C6C">
        <w:rPr>
          <w:bCs/>
        </w:rPr>
        <w:t xml:space="preserve"> did not alter the metabolism of midazolam; therefore </w:t>
      </w:r>
      <w:proofErr w:type="spellStart"/>
      <w:r w:rsidRPr="00C36C6C">
        <w:rPr>
          <w:bCs/>
        </w:rPr>
        <w:t>brentuximab</w:t>
      </w:r>
      <w:proofErr w:type="spellEnd"/>
      <w:r w:rsidRPr="00C36C6C">
        <w:rPr>
          <w:bCs/>
        </w:rPr>
        <w:t xml:space="preserve"> </w:t>
      </w:r>
      <w:proofErr w:type="spellStart"/>
      <w:r w:rsidRPr="00C36C6C">
        <w:rPr>
          <w:bCs/>
        </w:rPr>
        <w:t>vedotin</w:t>
      </w:r>
      <w:proofErr w:type="spellEnd"/>
      <w:r w:rsidRPr="00C36C6C">
        <w:rPr>
          <w:bCs/>
        </w:rPr>
        <w:t xml:space="preserve"> is not expected to alter the exposure to medicines that are metabolized by CYP3A4 enzymes.</w:t>
      </w:r>
    </w:p>
    <w:p w:rsidR="00B13D3A" w:rsidRPr="00864D19" w:rsidRDefault="00B13D3A" w:rsidP="00B13D3A">
      <w:pPr>
        <w:pStyle w:val="Heading3"/>
        <w:jc w:val="left"/>
      </w:pPr>
      <w:proofErr w:type="spellStart"/>
      <w:r>
        <w:t>Coadministration</w:t>
      </w:r>
      <w:proofErr w:type="spellEnd"/>
      <w:r>
        <w:t xml:space="preserve"> with other CYP substrates</w:t>
      </w:r>
    </w:p>
    <w:p w:rsidR="00B13D3A" w:rsidRDefault="00B13D3A" w:rsidP="00B13D3A">
      <w:pPr>
        <w:rPr>
          <w:bCs/>
        </w:rPr>
      </w:pPr>
      <w:r>
        <w:rPr>
          <w:bCs/>
        </w:rPr>
        <w:t>In vitro studies indicated that clinical drug-drug interactions are unlikely to occur as a result of MMAE-mediated inhibition or induction of CYP1A2, CYP2B6, CYP2C8, CYP2C9, CYP2C19 or CYP2D6.</w:t>
      </w:r>
    </w:p>
    <w:p w:rsidR="00B13D3A" w:rsidRPr="00864D19" w:rsidRDefault="00B13D3A" w:rsidP="00B13D3A">
      <w:pPr>
        <w:pStyle w:val="Heading3"/>
        <w:jc w:val="left"/>
      </w:pPr>
      <w:proofErr w:type="spellStart"/>
      <w:r>
        <w:t>Coadministration</w:t>
      </w:r>
      <w:proofErr w:type="spellEnd"/>
      <w:r>
        <w:t xml:space="preserve"> with Drugs that are Substrates of Transporters</w:t>
      </w:r>
    </w:p>
    <w:p w:rsidR="00B13D3A" w:rsidRPr="00C36C6C" w:rsidRDefault="00B13D3A" w:rsidP="00B13D3A">
      <w:pPr>
        <w:rPr>
          <w:rFonts w:eastAsia="MS Mincho"/>
          <w:szCs w:val="22"/>
          <w:lang w:eastAsia="ja-JP"/>
        </w:rPr>
      </w:pPr>
      <w:r>
        <w:rPr>
          <w:bCs/>
        </w:rPr>
        <w:t xml:space="preserve">In vitro, MMAE was not a substrate for the </w:t>
      </w:r>
      <w:r w:rsidR="00F33B67">
        <w:rPr>
          <w:bCs/>
        </w:rPr>
        <w:t xml:space="preserve">BCRP, MRP2, </w:t>
      </w:r>
      <w:r>
        <w:rPr>
          <w:bCs/>
        </w:rPr>
        <w:t xml:space="preserve">OATP1B1, </w:t>
      </w:r>
      <w:proofErr w:type="gramStart"/>
      <w:r>
        <w:rPr>
          <w:bCs/>
        </w:rPr>
        <w:t>OATP1B3</w:t>
      </w:r>
      <w:proofErr w:type="gramEnd"/>
      <w:r>
        <w:rPr>
          <w:bCs/>
        </w:rPr>
        <w:t>, OAT1 or OCT2 transporters.</w:t>
      </w:r>
    </w:p>
    <w:p w:rsidR="00B541CE" w:rsidRDefault="00B541CE">
      <w:pPr>
        <w:pStyle w:val="Heading1"/>
      </w:pPr>
      <w:r>
        <w:t>Adverse Effects</w:t>
      </w:r>
    </w:p>
    <w:p w:rsidR="00E56CD7" w:rsidRPr="00C36C6C" w:rsidRDefault="00E56CD7" w:rsidP="000B25F6">
      <w:pPr>
        <w:pStyle w:val="Heading2"/>
      </w:pPr>
      <w:r w:rsidRPr="00C36C6C">
        <w:t>Summary of the safety profile</w:t>
      </w:r>
    </w:p>
    <w:p w:rsidR="00E56CD7" w:rsidRPr="008F7DEE" w:rsidRDefault="00866975" w:rsidP="00E56CD7">
      <w:pPr>
        <w:autoSpaceDE w:val="0"/>
        <w:autoSpaceDN w:val="0"/>
        <w:adjustRightInd w:val="0"/>
        <w:rPr>
          <w:rFonts w:ascii="TimesNewRomanPSMT" w:cs="TimesNewRomanPSMT"/>
          <w:szCs w:val="22"/>
        </w:rPr>
      </w:pPr>
      <w:r>
        <w:rPr>
          <w:bCs/>
        </w:rPr>
        <w:t>ADCETRIS</w:t>
      </w:r>
      <w:r w:rsidR="00E56CD7" w:rsidRPr="00C36C6C">
        <w:rPr>
          <w:bCs/>
        </w:rPr>
        <w:t xml:space="preserve"> was studied as monotherapy in 160 patients in two pivotal phase 2 studies (SG035</w:t>
      </w:r>
      <w:r w:rsidR="00E56CD7" w:rsidRPr="00C36C6C">
        <w:rPr>
          <w:bCs/>
        </w:rPr>
        <w:noBreakHyphen/>
        <w:t>0003 and SG035</w:t>
      </w:r>
      <w:r w:rsidR="00E56CD7" w:rsidRPr="00C36C6C">
        <w:rPr>
          <w:bCs/>
        </w:rPr>
        <w:noBreakHyphen/>
      </w:r>
      <w:r w:rsidR="00E56CD7" w:rsidRPr="008F7DEE">
        <w:rPr>
          <w:bCs/>
        </w:rPr>
        <w:t>0004)</w:t>
      </w:r>
      <w:r w:rsidR="007B52D6">
        <w:rPr>
          <w:bCs/>
        </w:rPr>
        <w:t xml:space="preserve">. </w:t>
      </w:r>
      <w:r w:rsidR="007B52D6" w:rsidRPr="00B064F0">
        <w:rPr>
          <w:bCs/>
        </w:rPr>
        <w:t>The safety profile of ADCETRIS is based on available clinical trial data, the Named Patient Program</w:t>
      </w:r>
      <w:r w:rsidR="007B52D6">
        <w:rPr>
          <w:bCs/>
        </w:rPr>
        <w:t xml:space="preserve"> </w:t>
      </w:r>
      <w:r w:rsidR="007B52D6" w:rsidRPr="00B064F0">
        <w:rPr>
          <w:bCs/>
        </w:rPr>
        <w:t>(NPP), and post-marketing experience to date. Frequencies of adverse reactions described below and</w:t>
      </w:r>
      <w:r w:rsidR="007B52D6">
        <w:rPr>
          <w:bCs/>
        </w:rPr>
        <w:t xml:space="preserve"> </w:t>
      </w:r>
      <w:r w:rsidR="00582742">
        <w:rPr>
          <w:bCs/>
        </w:rPr>
        <w:t>in Table 5</w:t>
      </w:r>
      <w:r w:rsidR="007B52D6" w:rsidRPr="00B064F0">
        <w:rPr>
          <w:bCs/>
        </w:rPr>
        <w:t xml:space="preserve"> have been determined based on data generated from clinical studies.</w:t>
      </w:r>
    </w:p>
    <w:p w:rsidR="00E56CD7" w:rsidRPr="00143BFB" w:rsidRDefault="00E56CD7" w:rsidP="00E56CD7">
      <w:pPr>
        <w:autoSpaceDE w:val="0"/>
        <w:autoSpaceDN w:val="0"/>
        <w:adjustRightInd w:val="0"/>
        <w:rPr>
          <w:bCs/>
        </w:rPr>
      </w:pPr>
      <w:r w:rsidRPr="00143BFB">
        <w:rPr>
          <w:bCs/>
        </w:rPr>
        <w:t xml:space="preserve">Serious infections and opportunistic infections have been reported in patients treated with this medicine (see </w:t>
      </w:r>
      <w:r w:rsidR="008F7DEE" w:rsidRPr="00143BFB">
        <w:rPr>
          <w:bCs/>
        </w:rPr>
        <w:t>’Precautions’</w:t>
      </w:r>
      <w:r w:rsidRPr="00143BFB">
        <w:rPr>
          <w:bCs/>
        </w:rPr>
        <w:t xml:space="preserve">). In the phase 2 population, </w:t>
      </w:r>
      <w:r w:rsidR="0065268D">
        <w:rPr>
          <w:bCs/>
        </w:rPr>
        <w:t>61</w:t>
      </w:r>
      <w:r w:rsidRPr="00143BFB">
        <w:rPr>
          <w:bCs/>
        </w:rPr>
        <w:t>% of patients reported an event term that referred to an infection</w:t>
      </w:r>
      <w:r w:rsidR="00A710D9">
        <w:rPr>
          <w:bCs/>
        </w:rPr>
        <w:t xml:space="preserve">. </w:t>
      </w:r>
      <w:r w:rsidR="000514E3" w:rsidRPr="000514E3">
        <w:rPr>
          <w:bCs/>
        </w:rPr>
        <w:t>Treatment emergent events of infection that were assessed as related by the investigator occurred in 16% of patients</w:t>
      </w:r>
      <w:r w:rsidR="000514E3">
        <w:rPr>
          <w:bCs/>
        </w:rPr>
        <w:t>.</w:t>
      </w:r>
    </w:p>
    <w:p w:rsidR="00D167FC" w:rsidRDefault="00E56CD7" w:rsidP="00E56CD7">
      <w:pPr>
        <w:autoSpaceDE w:val="0"/>
        <w:autoSpaceDN w:val="0"/>
        <w:adjustRightInd w:val="0"/>
        <w:rPr>
          <w:szCs w:val="22"/>
        </w:rPr>
      </w:pPr>
      <w:r w:rsidRPr="00D50153">
        <w:rPr>
          <w:szCs w:val="22"/>
        </w:rPr>
        <w:t xml:space="preserve">Serious adverse drug reactions were: </w:t>
      </w:r>
      <w:r w:rsidRPr="00C36C6C">
        <w:rPr>
          <w:szCs w:val="22"/>
        </w:rPr>
        <w:t xml:space="preserve">neutropenia, thrombocytopenia, constipation, diarrhoea, vomiting, pyrexia, peripheral motor neuropathy and peripheral sensory neuropathy, hyperglycaemia, demyelinating polyneuropathy, </w:t>
      </w:r>
      <w:r w:rsidR="00D167FC">
        <w:rPr>
          <w:szCs w:val="22"/>
        </w:rPr>
        <w:t xml:space="preserve">and </w:t>
      </w:r>
      <w:r w:rsidRPr="00C36C6C">
        <w:rPr>
          <w:szCs w:val="22"/>
        </w:rPr>
        <w:t xml:space="preserve">tumour </w:t>
      </w:r>
      <w:proofErr w:type="spellStart"/>
      <w:r w:rsidRPr="00C36C6C">
        <w:rPr>
          <w:szCs w:val="22"/>
        </w:rPr>
        <w:t>lysis</w:t>
      </w:r>
      <w:proofErr w:type="spellEnd"/>
      <w:r w:rsidRPr="00C36C6C">
        <w:rPr>
          <w:szCs w:val="22"/>
        </w:rPr>
        <w:t xml:space="preserve"> syndrome</w:t>
      </w:r>
      <w:r w:rsidR="00D167FC">
        <w:rPr>
          <w:szCs w:val="22"/>
        </w:rPr>
        <w:t xml:space="preserve">. </w:t>
      </w:r>
    </w:p>
    <w:p w:rsidR="00E56CD7" w:rsidRPr="00C36C6C" w:rsidRDefault="00E56CD7" w:rsidP="00E56CD7">
      <w:pPr>
        <w:autoSpaceDE w:val="0"/>
        <w:autoSpaceDN w:val="0"/>
        <w:adjustRightInd w:val="0"/>
        <w:rPr>
          <w:szCs w:val="22"/>
          <w:vertAlign w:val="superscript"/>
        </w:rPr>
      </w:pPr>
      <w:r w:rsidRPr="00C36C6C">
        <w:rPr>
          <w:szCs w:val="22"/>
        </w:rPr>
        <w:t>Stevens-Johnson syndrome</w:t>
      </w:r>
      <w:r w:rsidR="00D167FC">
        <w:rPr>
          <w:szCs w:val="22"/>
        </w:rPr>
        <w:t xml:space="preserve"> and toxic epidermal </w:t>
      </w:r>
      <w:proofErr w:type="spellStart"/>
      <w:r w:rsidR="00D167FC">
        <w:rPr>
          <w:szCs w:val="22"/>
        </w:rPr>
        <w:t>necrolysis</w:t>
      </w:r>
      <w:proofErr w:type="spellEnd"/>
      <w:r w:rsidR="00D167FC">
        <w:rPr>
          <w:szCs w:val="22"/>
        </w:rPr>
        <w:t xml:space="preserve"> have been reported in patients treated with ADCETRIS (</w:t>
      </w:r>
      <w:r w:rsidR="00D167FC" w:rsidRPr="00143BFB">
        <w:rPr>
          <w:bCs/>
        </w:rPr>
        <w:t>see ’Precautions’</w:t>
      </w:r>
      <w:r w:rsidR="00D167FC">
        <w:rPr>
          <w:bCs/>
        </w:rPr>
        <w:t>)</w:t>
      </w:r>
      <w:r w:rsidRPr="00C36C6C">
        <w:rPr>
          <w:szCs w:val="22"/>
        </w:rPr>
        <w:t>.</w:t>
      </w:r>
    </w:p>
    <w:p w:rsidR="00E56CD7" w:rsidRPr="00C36C6C" w:rsidRDefault="00E56CD7" w:rsidP="00E56CD7">
      <w:pPr>
        <w:autoSpaceDE w:val="0"/>
        <w:autoSpaceDN w:val="0"/>
        <w:adjustRightInd w:val="0"/>
        <w:rPr>
          <w:szCs w:val="22"/>
        </w:rPr>
      </w:pPr>
      <w:r w:rsidRPr="00143BFB">
        <w:rPr>
          <w:bCs/>
        </w:rPr>
        <w:t>The most frequently observed adverse reactions in patients receiving this treatment were: peripheral sensory neuropathy, fatigue, nausea, diarrhoea, neutropenia, vomiting, pyrexia,</w:t>
      </w:r>
      <w:r w:rsidR="00180ED2" w:rsidRPr="00143BFB">
        <w:rPr>
          <w:bCs/>
        </w:rPr>
        <w:t xml:space="preserve"> cough</w:t>
      </w:r>
      <w:r w:rsidRPr="00143BFB">
        <w:rPr>
          <w:bCs/>
        </w:rPr>
        <w:t xml:space="preserve"> and upper respiratory tract infection.</w:t>
      </w:r>
    </w:p>
    <w:p w:rsidR="00E56CD7" w:rsidRDefault="00846287" w:rsidP="00E56CD7">
      <w:pPr>
        <w:autoSpaceDE w:val="0"/>
        <w:autoSpaceDN w:val="0"/>
        <w:adjustRightInd w:val="0"/>
        <w:rPr>
          <w:bCs/>
        </w:rPr>
      </w:pPr>
      <w:r w:rsidRPr="00846287">
        <w:rPr>
          <w:bCs/>
        </w:rPr>
        <w:t xml:space="preserve">In the phase 2 population, adverse events led to the discontinuation of study treatment for 36 patients (23%). Adverse events that led to treatment discontinuations in two or more HL or </w:t>
      </w:r>
      <w:proofErr w:type="spellStart"/>
      <w:r w:rsidRPr="00846287">
        <w:rPr>
          <w:bCs/>
        </w:rPr>
        <w:t>sALCL</w:t>
      </w:r>
      <w:proofErr w:type="spellEnd"/>
      <w:r w:rsidRPr="00846287">
        <w:rPr>
          <w:bCs/>
        </w:rPr>
        <w:t xml:space="preserve"> patients were peripheral sensory neuropathy (8%) and peripheral motor neuropathy (2%).</w:t>
      </w:r>
    </w:p>
    <w:p w:rsidR="008D1D1C" w:rsidRPr="008D1D1C" w:rsidRDefault="008D1D1C" w:rsidP="00E56CD7">
      <w:pPr>
        <w:autoSpaceDE w:val="0"/>
        <w:autoSpaceDN w:val="0"/>
        <w:adjustRightInd w:val="0"/>
        <w:rPr>
          <w:bCs/>
        </w:rPr>
      </w:pPr>
      <w:r w:rsidRPr="008D1D1C">
        <w:rPr>
          <w:bCs/>
        </w:rPr>
        <w:lastRenderedPageBreak/>
        <w:t>The safety data reported from the phase 1 dose escalation and clinical pharmacology studies (n=15 </w:t>
      </w:r>
      <w:r w:rsidRPr="007C7D7E">
        <w:rPr>
          <w:bCs/>
        </w:rPr>
        <w:t>patients) and from the Named Patient Program (NPP; n</w:t>
      </w:r>
      <w:r w:rsidR="00F61FEC" w:rsidRPr="007C7D7E">
        <w:rPr>
          <w:bCs/>
        </w:rPr>
        <w:t xml:space="preserve"> </w:t>
      </w:r>
      <w:r w:rsidRPr="007C7D7E">
        <w:rPr>
          <w:bCs/>
        </w:rPr>
        <w:t>= 26 patients), in</w:t>
      </w:r>
      <w:r w:rsidRPr="008D1D1C">
        <w:rPr>
          <w:bCs/>
        </w:rPr>
        <w:t xml:space="preserve"> patients with relapsed or refractory HL who had not received an</w:t>
      </w:r>
      <w:r w:rsidR="00A672BF">
        <w:rPr>
          <w:bCs/>
        </w:rPr>
        <w:t xml:space="preserve"> ASCT</w:t>
      </w:r>
      <w:r w:rsidRPr="008D1D1C">
        <w:rPr>
          <w:bCs/>
        </w:rPr>
        <w:t xml:space="preserve"> (see section </w:t>
      </w:r>
      <w:r w:rsidR="00EF1D45">
        <w:rPr>
          <w:bCs/>
        </w:rPr>
        <w:t>‘Clinical Trials’</w:t>
      </w:r>
      <w:r w:rsidRPr="008D1D1C">
        <w:rPr>
          <w:bCs/>
        </w:rPr>
        <w:t>), and were treated with the recommended dose of 1.8 mg/kg every three weeks, were consistent with the safety profile of the pivotal clinical studies.</w:t>
      </w:r>
    </w:p>
    <w:p w:rsidR="00E56CD7" w:rsidRPr="00C36C6C" w:rsidRDefault="00E56CD7" w:rsidP="000B25F6">
      <w:pPr>
        <w:pStyle w:val="Heading2"/>
      </w:pPr>
      <w:r w:rsidRPr="00C36C6C">
        <w:t>Tabulated list of adverse reactions</w:t>
      </w:r>
    </w:p>
    <w:p w:rsidR="00E56CD7" w:rsidRPr="008F7DEE" w:rsidRDefault="00E56CD7" w:rsidP="000B25F6">
      <w:pPr>
        <w:autoSpaceDE w:val="0"/>
        <w:autoSpaceDN w:val="0"/>
        <w:adjustRightInd w:val="0"/>
        <w:spacing w:after="120"/>
        <w:rPr>
          <w:szCs w:val="22"/>
        </w:rPr>
      </w:pPr>
      <w:r w:rsidRPr="008F7DEE">
        <w:rPr>
          <w:szCs w:val="22"/>
        </w:rPr>
        <w:t xml:space="preserve">Adverse reactions for ADCETRIS are listed by </w:t>
      </w:r>
      <w:proofErr w:type="spellStart"/>
      <w:r w:rsidRPr="008F7DEE">
        <w:rPr>
          <w:szCs w:val="22"/>
        </w:rPr>
        <w:t>MedDRA</w:t>
      </w:r>
      <w:proofErr w:type="spellEnd"/>
      <w:r w:rsidRPr="008F7DEE">
        <w:rPr>
          <w:szCs w:val="22"/>
        </w:rPr>
        <w:t xml:space="preserve"> System Organ Class and Preferred Term (see Table </w:t>
      </w:r>
      <w:r w:rsidR="002106F4" w:rsidRPr="008F7DEE">
        <w:rPr>
          <w:szCs w:val="22"/>
        </w:rPr>
        <w:t>5</w:t>
      </w:r>
      <w:r w:rsidRPr="008F7DEE">
        <w:rPr>
          <w:szCs w:val="22"/>
        </w:rPr>
        <w:t xml:space="preserve">). Within each System Organ Class, adverse reactions are listed under frequency categories of: Very common </w:t>
      </w:r>
      <w:proofErr w:type="gramStart"/>
      <w:r w:rsidRPr="008F7DEE">
        <w:rPr>
          <w:szCs w:val="22"/>
        </w:rPr>
        <w:t>(</w:t>
      </w:r>
      <w:r w:rsidR="00D41B1D" w:rsidRPr="00515187">
        <w:rPr>
          <w:color w:val="000000"/>
          <w:szCs w:val="22"/>
        </w:rPr>
        <w:t> </w:t>
      </w:r>
      <w:r w:rsidRPr="008F7DEE">
        <w:rPr>
          <w:szCs w:val="22"/>
        </w:rPr>
        <w:t>≥</w:t>
      </w:r>
      <w:proofErr w:type="gramEnd"/>
      <w:r w:rsidRPr="008F7DEE">
        <w:rPr>
          <w:szCs w:val="22"/>
        </w:rPr>
        <w:t>1/10); Common (</w:t>
      </w:r>
      <w:r w:rsidR="00D41B1D" w:rsidRPr="00515187">
        <w:rPr>
          <w:color w:val="000000"/>
          <w:szCs w:val="22"/>
        </w:rPr>
        <w:t> </w:t>
      </w:r>
      <w:r w:rsidRPr="008F7DEE">
        <w:rPr>
          <w:szCs w:val="22"/>
        </w:rPr>
        <w:t>≥1/100 to &lt;1/10); Uncommon (</w:t>
      </w:r>
      <w:r w:rsidR="00D41B1D" w:rsidRPr="00515187">
        <w:rPr>
          <w:color w:val="000000"/>
          <w:szCs w:val="22"/>
        </w:rPr>
        <w:t> </w:t>
      </w:r>
      <w:r w:rsidRPr="008F7DEE">
        <w:rPr>
          <w:szCs w:val="22"/>
        </w:rPr>
        <w:t>≥1/1,000 to &lt;1/100); Rare (</w:t>
      </w:r>
      <w:r w:rsidR="00D41B1D" w:rsidRPr="00515187">
        <w:rPr>
          <w:color w:val="000000"/>
          <w:szCs w:val="22"/>
        </w:rPr>
        <w:t> </w:t>
      </w:r>
      <w:r w:rsidRPr="008F7DEE">
        <w:rPr>
          <w:szCs w:val="22"/>
        </w:rPr>
        <w:t>≥1/10,000 to &lt;1/1,000); Very rare (</w:t>
      </w:r>
      <w:r w:rsidR="00D41B1D" w:rsidRPr="00515187">
        <w:rPr>
          <w:color w:val="000000"/>
          <w:szCs w:val="22"/>
        </w:rPr>
        <w:t> </w:t>
      </w:r>
      <w:r w:rsidRPr="008F7DEE">
        <w:rPr>
          <w:szCs w:val="22"/>
        </w:rPr>
        <w:t>&lt;1/10,000)</w:t>
      </w:r>
      <w:r w:rsidR="00180ED2">
        <w:rPr>
          <w:szCs w:val="22"/>
        </w:rPr>
        <w:t xml:space="preserve">; </w:t>
      </w:r>
      <w:r w:rsidR="00A70EAE">
        <w:rPr>
          <w:szCs w:val="22"/>
        </w:rPr>
        <w:t xml:space="preserve">Frequency </w:t>
      </w:r>
      <w:r w:rsidR="00180ED2">
        <w:rPr>
          <w:szCs w:val="22"/>
        </w:rPr>
        <w:t>not known (cannot be estimated from the available data)</w:t>
      </w:r>
      <w:r w:rsidRPr="008F7DEE">
        <w:rPr>
          <w:szCs w:val="22"/>
        </w:rPr>
        <w:t>.</w:t>
      </w:r>
    </w:p>
    <w:p w:rsidR="00E56CD7" w:rsidRPr="00CA3276" w:rsidRDefault="00E56CD7" w:rsidP="00E56CD7">
      <w:pPr>
        <w:keepNext/>
        <w:ind w:left="806" w:hanging="806"/>
        <w:rPr>
          <w:b/>
          <w:szCs w:val="22"/>
          <w:lang w:eastAsia="fr-FR"/>
        </w:rPr>
      </w:pPr>
      <w:r w:rsidRPr="0029662B">
        <w:rPr>
          <w:b/>
          <w:szCs w:val="22"/>
          <w:lang w:eastAsia="fr-FR"/>
        </w:rPr>
        <w:t xml:space="preserve">Table </w:t>
      </w:r>
      <w:r w:rsidR="002106F4" w:rsidRPr="0029662B">
        <w:rPr>
          <w:b/>
          <w:szCs w:val="22"/>
          <w:lang w:eastAsia="fr-FR"/>
        </w:rPr>
        <w:t>5</w:t>
      </w:r>
      <w:r w:rsidRPr="0029662B">
        <w:rPr>
          <w:b/>
          <w:szCs w:val="22"/>
          <w:lang w:eastAsia="fr-FR"/>
        </w:rPr>
        <w:t>: Adverse reactions for ADCETRIS</w:t>
      </w:r>
      <w:r w:rsidRPr="00CA3276">
        <w:rPr>
          <w:b/>
          <w:szCs w:val="22"/>
          <w:lang w:eastAsia="fr-F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6189"/>
      </w:tblGrid>
      <w:tr w:rsidR="00E56CD7" w:rsidRPr="000B25F6" w:rsidTr="00E56CD7">
        <w:trPr>
          <w:trHeight w:val="302"/>
        </w:trPr>
        <w:tc>
          <w:tcPr>
            <w:tcW w:w="3275" w:type="dxa"/>
          </w:tcPr>
          <w:p w:rsidR="00E56CD7" w:rsidRPr="000B25F6" w:rsidRDefault="00E56CD7" w:rsidP="000B25F6">
            <w:pPr>
              <w:keepNext/>
              <w:autoSpaceDE w:val="0"/>
              <w:autoSpaceDN w:val="0"/>
              <w:adjustRightInd w:val="0"/>
              <w:spacing w:after="0"/>
              <w:rPr>
                <w:b/>
                <w:bCs/>
                <w:color w:val="000000"/>
                <w:sz w:val="20"/>
              </w:rPr>
            </w:pPr>
            <w:r w:rsidRPr="000B25F6">
              <w:rPr>
                <w:b/>
                <w:bCs/>
                <w:color w:val="000000"/>
                <w:sz w:val="20"/>
              </w:rPr>
              <w:t>System organ class</w:t>
            </w:r>
          </w:p>
        </w:tc>
        <w:tc>
          <w:tcPr>
            <w:tcW w:w="6189" w:type="dxa"/>
          </w:tcPr>
          <w:p w:rsidR="00E56CD7" w:rsidRPr="000B25F6" w:rsidRDefault="00E56CD7" w:rsidP="000B25F6">
            <w:pPr>
              <w:keepNext/>
              <w:spacing w:after="0"/>
              <w:rPr>
                <w:b/>
                <w:bCs/>
                <w:color w:val="000000"/>
                <w:sz w:val="20"/>
              </w:rPr>
            </w:pPr>
            <w:r w:rsidRPr="000B25F6">
              <w:rPr>
                <w:b/>
                <w:bCs/>
                <w:color w:val="000000"/>
                <w:sz w:val="20"/>
              </w:rPr>
              <w:t>Adverse reactions</w:t>
            </w:r>
          </w:p>
        </w:tc>
      </w:tr>
      <w:tr w:rsidR="00E56CD7" w:rsidRPr="000B25F6" w:rsidTr="00E56CD7">
        <w:trPr>
          <w:trHeight w:val="302"/>
        </w:trPr>
        <w:tc>
          <w:tcPr>
            <w:tcW w:w="9464" w:type="dxa"/>
            <w:gridSpan w:val="2"/>
          </w:tcPr>
          <w:p w:rsidR="00E56CD7" w:rsidRPr="000B25F6" w:rsidRDefault="00E56CD7" w:rsidP="000B25F6">
            <w:pPr>
              <w:keepNext/>
              <w:spacing w:after="0"/>
              <w:rPr>
                <w:b/>
                <w:bCs/>
                <w:color w:val="000000"/>
                <w:sz w:val="20"/>
              </w:rPr>
            </w:pPr>
            <w:r w:rsidRPr="000B25F6">
              <w:rPr>
                <w:b/>
                <w:bCs/>
                <w:color w:val="000000"/>
                <w:sz w:val="20"/>
              </w:rPr>
              <w:t xml:space="preserve">Infections and infestations </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 xml:space="preserve">Very common: </w:t>
            </w:r>
          </w:p>
        </w:tc>
        <w:tc>
          <w:tcPr>
            <w:tcW w:w="6189" w:type="dxa"/>
          </w:tcPr>
          <w:p w:rsidR="00E56CD7" w:rsidRPr="000B25F6" w:rsidRDefault="00E56CD7" w:rsidP="000B25F6">
            <w:pPr>
              <w:keepNext/>
              <w:spacing w:after="0"/>
              <w:rPr>
                <w:bCs/>
                <w:color w:val="000000"/>
                <w:sz w:val="20"/>
              </w:rPr>
            </w:pPr>
            <w:proofErr w:type="spellStart"/>
            <w:r w:rsidRPr="000B25F6">
              <w:rPr>
                <w:bCs/>
                <w:color w:val="000000"/>
                <w:sz w:val="20"/>
              </w:rPr>
              <w:t>Infection</w:t>
            </w:r>
            <w:r w:rsidRPr="000B25F6">
              <w:rPr>
                <w:color w:val="000000"/>
                <w:sz w:val="20"/>
                <w:vertAlign w:val="superscript"/>
              </w:rPr>
              <w:t>a</w:t>
            </w:r>
            <w:proofErr w:type="spellEnd"/>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E56CD7" w:rsidP="000B25F6">
            <w:pPr>
              <w:keepNext/>
              <w:spacing w:after="0"/>
              <w:rPr>
                <w:color w:val="000000"/>
                <w:sz w:val="20"/>
              </w:rPr>
            </w:pPr>
            <w:r w:rsidRPr="000B25F6">
              <w:rPr>
                <w:color w:val="000000"/>
                <w:sz w:val="20"/>
              </w:rPr>
              <w:t>Upper respiratory tract infection, herpes zoster, pneumonia</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Uncommon:</w:t>
            </w:r>
          </w:p>
        </w:tc>
        <w:tc>
          <w:tcPr>
            <w:tcW w:w="6189" w:type="dxa"/>
          </w:tcPr>
          <w:p w:rsidR="00E56CD7" w:rsidRPr="000B25F6" w:rsidRDefault="00E56CD7" w:rsidP="00A70EAE">
            <w:pPr>
              <w:keepNext/>
              <w:spacing w:after="0"/>
              <w:rPr>
                <w:color w:val="000000"/>
                <w:sz w:val="20"/>
              </w:rPr>
            </w:pPr>
            <w:r w:rsidRPr="000B25F6">
              <w:rPr>
                <w:color w:val="000000"/>
                <w:sz w:val="20"/>
              </w:rPr>
              <w:t xml:space="preserve">Oral candidiasis, </w:t>
            </w:r>
            <w:r w:rsidR="00A70EAE">
              <w:rPr>
                <w:color w:val="000000"/>
                <w:sz w:val="20"/>
              </w:rPr>
              <w:t>p</w:t>
            </w:r>
            <w:r w:rsidR="00A70EAE" w:rsidRPr="000B25F6">
              <w:rPr>
                <w:color w:val="000000"/>
                <w:sz w:val="20"/>
              </w:rPr>
              <w:t xml:space="preserve">neumocystis </w:t>
            </w:r>
            <w:proofErr w:type="spellStart"/>
            <w:r w:rsidRPr="000B25F6">
              <w:rPr>
                <w:color w:val="000000"/>
                <w:sz w:val="20"/>
              </w:rPr>
              <w:t>jiroveci</w:t>
            </w:r>
            <w:proofErr w:type="spellEnd"/>
            <w:r w:rsidRPr="000B25F6">
              <w:rPr>
                <w:color w:val="000000"/>
                <w:sz w:val="20"/>
              </w:rPr>
              <w:t xml:space="preserve"> pneumonia, staphylococcal bacteraemia</w:t>
            </w:r>
          </w:p>
        </w:tc>
      </w:tr>
      <w:tr w:rsidR="00A70EAE" w:rsidRPr="000B25F6" w:rsidTr="00E56CD7">
        <w:tc>
          <w:tcPr>
            <w:tcW w:w="3275" w:type="dxa"/>
          </w:tcPr>
          <w:p w:rsidR="00A70EAE" w:rsidRPr="000B25F6" w:rsidRDefault="00A70EAE" w:rsidP="000B25F6">
            <w:pPr>
              <w:keepNext/>
              <w:spacing w:after="0"/>
              <w:rPr>
                <w:bCs/>
                <w:color w:val="000000"/>
                <w:sz w:val="20"/>
              </w:rPr>
            </w:pPr>
            <w:r>
              <w:rPr>
                <w:bCs/>
                <w:color w:val="000000"/>
                <w:sz w:val="20"/>
              </w:rPr>
              <w:t>Frequency not known:</w:t>
            </w:r>
          </w:p>
        </w:tc>
        <w:tc>
          <w:tcPr>
            <w:tcW w:w="6189" w:type="dxa"/>
          </w:tcPr>
          <w:p w:rsidR="00A70EAE" w:rsidRPr="000B25F6" w:rsidRDefault="00A70EAE" w:rsidP="00A70EAE">
            <w:pPr>
              <w:keepNext/>
              <w:spacing w:after="0"/>
              <w:rPr>
                <w:color w:val="000000"/>
                <w:sz w:val="20"/>
              </w:rPr>
            </w:pPr>
            <w:r>
              <w:rPr>
                <w:color w:val="000000"/>
                <w:sz w:val="20"/>
              </w:rPr>
              <w:t xml:space="preserve">Progressive multifocal </w:t>
            </w:r>
            <w:proofErr w:type="spellStart"/>
            <w:r>
              <w:rPr>
                <w:color w:val="000000"/>
                <w:sz w:val="20"/>
              </w:rPr>
              <w:t>leukoencephalopathy</w:t>
            </w:r>
            <w:proofErr w:type="spellEnd"/>
            <w:r>
              <w:rPr>
                <w:color w:val="000000"/>
                <w:sz w:val="20"/>
              </w:rPr>
              <w:t xml:space="preserve"> </w:t>
            </w:r>
          </w:p>
        </w:tc>
      </w:tr>
      <w:tr w:rsidR="00E56CD7" w:rsidRPr="000B25F6" w:rsidTr="00E56CD7">
        <w:trPr>
          <w:trHeight w:val="302"/>
        </w:trPr>
        <w:tc>
          <w:tcPr>
            <w:tcW w:w="9464" w:type="dxa"/>
            <w:gridSpan w:val="2"/>
          </w:tcPr>
          <w:p w:rsidR="00E56CD7" w:rsidRPr="000B25F6" w:rsidRDefault="00E56CD7" w:rsidP="000B25F6">
            <w:pPr>
              <w:keepNext/>
              <w:spacing w:after="0"/>
              <w:rPr>
                <w:b/>
                <w:bCs/>
                <w:color w:val="000000"/>
                <w:sz w:val="20"/>
              </w:rPr>
            </w:pPr>
            <w:r w:rsidRPr="000B25F6">
              <w:rPr>
                <w:b/>
                <w:bCs/>
                <w:color w:val="000000"/>
                <w:sz w:val="20"/>
              </w:rPr>
              <w:t>Blood and lymphatic system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0B25F6">
            <w:pPr>
              <w:keepNext/>
              <w:spacing w:after="0"/>
              <w:rPr>
                <w:color w:val="000000"/>
                <w:sz w:val="20"/>
              </w:rPr>
            </w:pPr>
            <w:r w:rsidRPr="000B25F6">
              <w:rPr>
                <w:color w:val="000000"/>
                <w:sz w:val="20"/>
              </w:rPr>
              <w:t>Neutropenia</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E56CD7" w:rsidP="000B25F6">
            <w:pPr>
              <w:keepNext/>
              <w:spacing w:after="0"/>
              <w:rPr>
                <w:color w:val="000000"/>
                <w:sz w:val="20"/>
              </w:rPr>
            </w:pPr>
            <w:r w:rsidRPr="000B25F6">
              <w:rPr>
                <w:color w:val="000000"/>
                <w:sz w:val="20"/>
              </w:rPr>
              <w:t>Anaemia, thrombocytopenia</w:t>
            </w:r>
          </w:p>
        </w:tc>
      </w:tr>
      <w:tr w:rsidR="00A70EAE" w:rsidRPr="000B25F6" w:rsidTr="00E56CD7">
        <w:tc>
          <w:tcPr>
            <w:tcW w:w="3275" w:type="dxa"/>
          </w:tcPr>
          <w:p w:rsidR="00A70EAE" w:rsidRPr="000B25F6" w:rsidRDefault="00A70EAE" w:rsidP="000B25F6">
            <w:pPr>
              <w:keepNext/>
              <w:spacing w:after="0"/>
              <w:rPr>
                <w:bCs/>
                <w:color w:val="000000"/>
                <w:sz w:val="20"/>
              </w:rPr>
            </w:pPr>
            <w:r>
              <w:rPr>
                <w:bCs/>
                <w:color w:val="000000"/>
                <w:sz w:val="20"/>
              </w:rPr>
              <w:t>Frequency not known:</w:t>
            </w:r>
          </w:p>
        </w:tc>
        <w:tc>
          <w:tcPr>
            <w:tcW w:w="6189" w:type="dxa"/>
          </w:tcPr>
          <w:p w:rsidR="00A70EAE" w:rsidRPr="000B25F6" w:rsidRDefault="00A70EAE" w:rsidP="000B25F6">
            <w:pPr>
              <w:keepNext/>
              <w:spacing w:after="0"/>
              <w:rPr>
                <w:color w:val="000000"/>
                <w:sz w:val="20"/>
              </w:rPr>
            </w:pPr>
            <w:r>
              <w:rPr>
                <w:color w:val="000000"/>
                <w:sz w:val="20"/>
              </w:rPr>
              <w:t>Febrile neutropenia</w:t>
            </w:r>
          </w:p>
        </w:tc>
      </w:tr>
      <w:tr w:rsidR="00A70EAE" w:rsidRPr="000B25F6" w:rsidTr="00E56CD7">
        <w:tc>
          <w:tcPr>
            <w:tcW w:w="3275" w:type="dxa"/>
          </w:tcPr>
          <w:p w:rsidR="00A70EAE" w:rsidRDefault="00A70EAE" w:rsidP="000B25F6">
            <w:pPr>
              <w:keepNext/>
              <w:spacing w:after="0"/>
              <w:rPr>
                <w:bCs/>
                <w:color w:val="000000"/>
                <w:sz w:val="20"/>
              </w:rPr>
            </w:pPr>
            <w:r w:rsidRPr="00A70EAE">
              <w:rPr>
                <w:b/>
                <w:bCs/>
                <w:color w:val="000000"/>
                <w:sz w:val="20"/>
              </w:rPr>
              <w:t>Immune system disorders</w:t>
            </w:r>
          </w:p>
        </w:tc>
        <w:tc>
          <w:tcPr>
            <w:tcW w:w="6189" w:type="dxa"/>
          </w:tcPr>
          <w:p w:rsidR="00A70EAE" w:rsidRDefault="00A70EAE" w:rsidP="000B25F6">
            <w:pPr>
              <w:keepNext/>
              <w:spacing w:after="0"/>
              <w:rPr>
                <w:color w:val="000000"/>
                <w:sz w:val="20"/>
              </w:rPr>
            </w:pPr>
          </w:p>
        </w:tc>
      </w:tr>
      <w:tr w:rsidR="00A70EAE" w:rsidRPr="000B25F6" w:rsidTr="00E56CD7">
        <w:tc>
          <w:tcPr>
            <w:tcW w:w="3275" w:type="dxa"/>
          </w:tcPr>
          <w:p w:rsidR="00A70EAE" w:rsidRPr="00A70EAE" w:rsidRDefault="00A70EAE" w:rsidP="000B25F6">
            <w:pPr>
              <w:keepNext/>
              <w:spacing w:after="0"/>
              <w:rPr>
                <w:b/>
                <w:bCs/>
                <w:color w:val="000000"/>
                <w:sz w:val="20"/>
              </w:rPr>
            </w:pPr>
            <w:r>
              <w:rPr>
                <w:bCs/>
                <w:color w:val="000000"/>
                <w:sz w:val="20"/>
              </w:rPr>
              <w:t>Frequency not known:</w:t>
            </w:r>
          </w:p>
        </w:tc>
        <w:tc>
          <w:tcPr>
            <w:tcW w:w="6189" w:type="dxa"/>
          </w:tcPr>
          <w:p w:rsidR="00A70EAE" w:rsidRDefault="00A70EAE" w:rsidP="000B25F6">
            <w:pPr>
              <w:keepNext/>
              <w:spacing w:after="0"/>
              <w:rPr>
                <w:color w:val="000000"/>
                <w:sz w:val="20"/>
              </w:rPr>
            </w:pPr>
            <w:r>
              <w:rPr>
                <w:color w:val="000000"/>
                <w:sz w:val="20"/>
              </w:rPr>
              <w:t>Anaphylactic reaction</w:t>
            </w:r>
          </w:p>
        </w:tc>
      </w:tr>
      <w:tr w:rsidR="00E56CD7" w:rsidRPr="000B25F6" w:rsidTr="00E56CD7">
        <w:trPr>
          <w:trHeight w:val="302"/>
        </w:trPr>
        <w:tc>
          <w:tcPr>
            <w:tcW w:w="9464" w:type="dxa"/>
            <w:gridSpan w:val="2"/>
          </w:tcPr>
          <w:p w:rsidR="00E56CD7" w:rsidRPr="000B25F6" w:rsidRDefault="00E56CD7" w:rsidP="000B25F6">
            <w:pPr>
              <w:keepNext/>
              <w:spacing w:after="0"/>
              <w:rPr>
                <w:b/>
                <w:bCs/>
                <w:color w:val="000000"/>
                <w:sz w:val="20"/>
              </w:rPr>
            </w:pPr>
            <w:r w:rsidRPr="000B25F6">
              <w:rPr>
                <w:b/>
                <w:bCs/>
                <w:color w:val="000000"/>
                <w:sz w:val="20"/>
              </w:rPr>
              <w:t>Metabolism and nutrition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E56CD7" w:rsidP="000B25F6">
            <w:pPr>
              <w:keepNext/>
              <w:spacing w:after="0"/>
              <w:rPr>
                <w:color w:val="000000"/>
                <w:sz w:val="20"/>
              </w:rPr>
            </w:pPr>
            <w:r w:rsidRPr="000B25F6">
              <w:rPr>
                <w:color w:val="000000"/>
                <w:sz w:val="20"/>
              </w:rPr>
              <w:t>Hyperglycaemia</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Uncommon:</w:t>
            </w:r>
          </w:p>
        </w:tc>
        <w:tc>
          <w:tcPr>
            <w:tcW w:w="6189" w:type="dxa"/>
          </w:tcPr>
          <w:p w:rsidR="00E56CD7" w:rsidRPr="000B25F6" w:rsidRDefault="00E56CD7" w:rsidP="000B25F6">
            <w:pPr>
              <w:keepNext/>
              <w:spacing w:after="0"/>
              <w:rPr>
                <w:color w:val="000000"/>
                <w:sz w:val="20"/>
              </w:rPr>
            </w:pPr>
            <w:r w:rsidRPr="000B25F6">
              <w:rPr>
                <w:color w:val="000000"/>
                <w:sz w:val="20"/>
              </w:rPr>
              <w:t xml:space="preserve">Tumour </w:t>
            </w:r>
            <w:proofErr w:type="spellStart"/>
            <w:r w:rsidRPr="000B25F6">
              <w:rPr>
                <w:color w:val="000000"/>
                <w:sz w:val="20"/>
              </w:rPr>
              <w:t>lysis</w:t>
            </w:r>
            <w:proofErr w:type="spellEnd"/>
            <w:r w:rsidRPr="000B25F6">
              <w:rPr>
                <w:color w:val="000000"/>
                <w:sz w:val="20"/>
              </w:rPr>
              <w:t xml:space="preserve"> syndrome*</w:t>
            </w:r>
          </w:p>
        </w:tc>
      </w:tr>
      <w:tr w:rsidR="00E56CD7" w:rsidRPr="000B25F6" w:rsidTr="00E56CD7">
        <w:trPr>
          <w:trHeight w:val="302"/>
        </w:trPr>
        <w:tc>
          <w:tcPr>
            <w:tcW w:w="9464" w:type="dxa"/>
            <w:gridSpan w:val="2"/>
          </w:tcPr>
          <w:p w:rsidR="00E56CD7" w:rsidRPr="000B25F6" w:rsidRDefault="00E56CD7" w:rsidP="000B25F6">
            <w:pPr>
              <w:keepNext/>
              <w:spacing w:after="0"/>
              <w:rPr>
                <w:b/>
                <w:bCs/>
                <w:color w:val="000000"/>
                <w:sz w:val="20"/>
              </w:rPr>
            </w:pPr>
            <w:r w:rsidRPr="000B25F6">
              <w:rPr>
                <w:b/>
                <w:bCs/>
                <w:color w:val="000000"/>
                <w:sz w:val="20"/>
              </w:rPr>
              <w:t>Nervous system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0B25F6">
            <w:pPr>
              <w:keepNext/>
              <w:spacing w:after="0"/>
              <w:rPr>
                <w:color w:val="000000"/>
                <w:sz w:val="20"/>
              </w:rPr>
            </w:pPr>
            <w:r w:rsidRPr="000B25F6">
              <w:rPr>
                <w:color w:val="000000"/>
                <w:sz w:val="20"/>
              </w:rPr>
              <w:t>Peripheral sensory neuropathy</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E56CD7" w:rsidP="000B25F6">
            <w:pPr>
              <w:keepNext/>
              <w:spacing w:after="0"/>
              <w:rPr>
                <w:color w:val="000000"/>
                <w:sz w:val="20"/>
              </w:rPr>
            </w:pPr>
            <w:r w:rsidRPr="000B25F6">
              <w:rPr>
                <w:color w:val="000000"/>
                <w:sz w:val="20"/>
              </w:rPr>
              <w:t>Peripheral motor neuropathy, dizziness, demyelinating polyneuropathy*</w:t>
            </w:r>
          </w:p>
        </w:tc>
      </w:tr>
      <w:tr w:rsidR="00E56CD7" w:rsidRPr="000B25F6" w:rsidTr="00E56CD7">
        <w:trPr>
          <w:trHeight w:val="302"/>
        </w:trPr>
        <w:tc>
          <w:tcPr>
            <w:tcW w:w="9464" w:type="dxa"/>
            <w:gridSpan w:val="2"/>
          </w:tcPr>
          <w:p w:rsidR="00E56CD7" w:rsidRPr="000B25F6" w:rsidRDefault="00E56CD7" w:rsidP="000B25F6">
            <w:pPr>
              <w:keepNext/>
              <w:spacing w:after="0"/>
              <w:ind w:left="270" w:hanging="270"/>
              <w:rPr>
                <w:b/>
                <w:bCs/>
                <w:color w:val="000000"/>
                <w:sz w:val="20"/>
              </w:rPr>
            </w:pPr>
            <w:r w:rsidRPr="000B25F6">
              <w:rPr>
                <w:b/>
                <w:bCs/>
                <w:color w:val="000000"/>
                <w:sz w:val="20"/>
              </w:rPr>
              <w:t xml:space="preserve">Respiratory, thoracic and </w:t>
            </w:r>
            <w:proofErr w:type="spellStart"/>
            <w:r w:rsidRPr="000B25F6">
              <w:rPr>
                <w:b/>
                <w:bCs/>
                <w:color w:val="000000"/>
                <w:sz w:val="20"/>
              </w:rPr>
              <w:t>mediastinal</w:t>
            </w:r>
            <w:proofErr w:type="spellEnd"/>
            <w:r w:rsidRPr="000B25F6">
              <w:rPr>
                <w:b/>
                <w:bCs/>
                <w:color w:val="000000"/>
                <w:sz w:val="20"/>
              </w:rPr>
              <w:t xml:space="preserve">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E56CD7" w:rsidP="000B25F6">
            <w:pPr>
              <w:keepNext/>
              <w:spacing w:after="0"/>
              <w:rPr>
                <w:color w:val="000000"/>
                <w:sz w:val="20"/>
              </w:rPr>
            </w:pPr>
            <w:r w:rsidRPr="000B25F6">
              <w:rPr>
                <w:color w:val="000000"/>
                <w:sz w:val="20"/>
              </w:rPr>
              <w:t>Cough, dyspnoea</w:t>
            </w:r>
          </w:p>
        </w:tc>
      </w:tr>
      <w:tr w:rsidR="00E56CD7" w:rsidRPr="000B25F6" w:rsidTr="00E56CD7">
        <w:tc>
          <w:tcPr>
            <w:tcW w:w="9464" w:type="dxa"/>
            <w:gridSpan w:val="2"/>
          </w:tcPr>
          <w:p w:rsidR="00E56CD7" w:rsidRPr="000B25F6" w:rsidRDefault="00E56CD7" w:rsidP="000B25F6">
            <w:pPr>
              <w:keepNext/>
              <w:tabs>
                <w:tab w:val="left" w:pos="5130"/>
              </w:tabs>
              <w:spacing w:after="0"/>
              <w:rPr>
                <w:b/>
                <w:bCs/>
                <w:color w:val="000000"/>
                <w:sz w:val="20"/>
              </w:rPr>
            </w:pPr>
            <w:r w:rsidRPr="000B25F6">
              <w:rPr>
                <w:b/>
                <w:bCs/>
                <w:color w:val="000000"/>
                <w:sz w:val="20"/>
              </w:rPr>
              <w:t>Gastro-intestinal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0B25F6">
            <w:pPr>
              <w:keepNext/>
              <w:spacing w:after="0"/>
              <w:rPr>
                <w:color w:val="000000"/>
                <w:sz w:val="20"/>
              </w:rPr>
            </w:pPr>
            <w:r w:rsidRPr="000B25F6">
              <w:rPr>
                <w:color w:val="000000"/>
                <w:sz w:val="20"/>
              </w:rPr>
              <w:t>Diarrhoea, nausea, vomiting</w:t>
            </w:r>
          </w:p>
        </w:tc>
      </w:tr>
      <w:tr w:rsidR="00E56CD7" w:rsidRPr="000B25F6" w:rsidTr="00E56CD7">
        <w:tc>
          <w:tcPr>
            <w:tcW w:w="3275" w:type="dxa"/>
          </w:tcPr>
          <w:p w:rsidR="00E56CD7" w:rsidRPr="000B25F6" w:rsidRDefault="00E56CD7" w:rsidP="000B25F6">
            <w:pPr>
              <w:keepNext/>
              <w:tabs>
                <w:tab w:val="left" w:pos="5130"/>
              </w:tabs>
              <w:spacing w:after="0"/>
              <w:rPr>
                <w:bCs/>
                <w:color w:val="000000"/>
                <w:sz w:val="20"/>
              </w:rPr>
            </w:pPr>
            <w:r w:rsidRPr="000B25F6">
              <w:rPr>
                <w:bCs/>
                <w:color w:val="000000"/>
                <w:sz w:val="20"/>
              </w:rPr>
              <w:t xml:space="preserve">Common:                                  </w:t>
            </w:r>
          </w:p>
        </w:tc>
        <w:tc>
          <w:tcPr>
            <w:tcW w:w="6189" w:type="dxa"/>
          </w:tcPr>
          <w:p w:rsidR="00E56CD7" w:rsidRPr="000B25F6" w:rsidRDefault="00E56CD7" w:rsidP="000B25F6">
            <w:pPr>
              <w:keepNext/>
              <w:tabs>
                <w:tab w:val="left" w:pos="5130"/>
              </w:tabs>
              <w:spacing w:after="0"/>
              <w:rPr>
                <w:bCs/>
                <w:color w:val="000000"/>
                <w:sz w:val="20"/>
              </w:rPr>
            </w:pPr>
            <w:r w:rsidRPr="000B25F6">
              <w:rPr>
                <w:bCs/>
                <w:color w:val="000000"/>
                <w:sz w:val="20"/>
              </w:rPr>
              <w:t>Constipation</w:t>
            </w:r>
          </w:p>
        </w:tc>
      </w:tr>
      <w:tr w:rsidR="00097E79" w:rsidRPr="000B25F6" w:rsidTr="00E56CD7">
        <w:tc>
          <w:tcPr>
            <w:tcW w:w="3275" w:type="dxa"/>
          </w:tcPr>
          <w:p w:rsidR="00097E79" w:rsidRPr="000B25F6" w:rsidRDefault="00097E79" w:rsidP="000B25F6">
            <w:pPr>
              <w:keepNext/>
              <w:tabs>
                <w:tab w:val="left" w:pos="5130"/>
              </w:tabs>
              <w:spacing w:after="0"/>
              <w:rPr>
                <w:bCs/>
                <w:color w:val="000000"/>
                <w:sz w:val="20"/>
              </w:rPr>
            </w:pPr>
            <w:r>
              <w:rPr>
                <w:bCs/>
                <w:color w:val="000000"/>
                <w:sz w:val="20"/>
              </w:rPr>
              <w:t>Uncommon:</w:t>
            </w:r>
          </w:p>
        </w:tc>
        <w:tc>
          <w:tcPr>
            <w:tcW w:w="6189" w:type="dxa"/>
          </w:tcPr>
          <w:p w:rsidR="00097E79" w:rsidRPr="000B25F6" w:rsidRDefault="00097E79" w:rsidP="000B25F6">
            <w:pPr>
              <w:keepNext/>
              <w:tabs>
                <w:tab w:val="left" w:pos="5130"/>
              </w:tabs>
              <w:spacing w:after="0"/>
              <w:rPr>
                <w:bCs/>
                <w:color w:val="000000"/>
                <w:sz w:val="20"/>
              </w:rPr>
            </w:pPr>
            <w:r>
              <w:rPr>
                <w:bCs/>
                <w:color w:val="000000"/>
                <w:sz w:val="20"/>
              </w:rPr>
              <w:t>Pancreatitis acute</w:t>
            </w:r>
          </w:p>
        </w:tc>
      </w:tr>
      <w:tr w:rsidR="00097E79" w:rsidRPr="000B25F6" w:rsidTr="00E56CD7">
        <w:trPr>
          <w:trHeight w:val="302"/>
        </w:trPr>
        <w:tc>
          <w:tcPr>
            <w:tcW w:w="9464" w:type="dxa"/>
            <w:gridSpan w:val="2"/>
          </w:tcPr>
          <w:p w:rsidR="00097E79" w:rsidRPr="000B25F6" w:rsidRDefault="00097E79" w:rsidP="000B25F6">
            <w:pPr>
              <w:keepNext/>
              <w:tabs>
                <w:tab w:val="left" w:pos="5130"/>
              </w:tabs>
              <w:spacing w:after="0"/>
              <w:rPr>
                <w:b/>
                <w:bCs/>
                <w:color w:val="000000"/>
                <w:sz w:val="20"/>
              </w:rPr>
            </w:pPr>
            <w:proofErr w:type="spellStart"/>
            <w:r>
              <w:rPr>
                <w:b/>
                <w:bCs/>
                <w:color w:val="000000"/>
                <w:sz w:val="20"/>
              </w:rPr>
              <w:t>Hepatobiliary</w:t>
            </w:r>
            <w:proofErr w:type="spellEnd"/>
            <w:r>
              <w:rPr>
                <w:b/>
                <w:bCs/>
                <w:color w:val="000000"/>
                <w:sz w:val="20"/>
              </w:rPr>
              <w:t xml:space="preserve"> disorders</w:t>
            </w:r>
          </w:p>
        </w:tc>
      </w:tr>
      <w:tr w:rsidR="00097E79" w:rsidRPr="000B25F6" w:rsidTr="00097E79">
        <w:tc>
          <w:tcPr>
            <w:tcW w:w="3275" w:type="dxa"/>
          </w:tcPr>
          <w:p w:rsidR="00097E79" w:rsidRPr="000B25F6" w:rsidRDefault="00097E79" w:rsidP="00097E79">
            <w:pPr>
              <w:keepNext/>
              <w:spacing w:after="0"/>
              <w:rPr>
                <w:bCs/>
                <w:color w:val="000000"/>
                <w:sz w:val="20"/>
              </w:rPr>
            </w:pPr>
            <w:r>
              <w:rPr>
                <w:bCs/>
                <w:color w:val="000000"/>
                <w:sz w:val="20"/>
              </w:rPr>
              <w:t>C</w:t>
            </w:r>
            <w:r w:rsidRPr="000B25F6">
              <w:rPr>
                <w:bCs/>
                <w:color w:val="000000"/>
                <w:sz w:val="20"/>
              </w:rPr>
              <w:t>ommon:</w:t>
            </w:r>
          </w:p>
        </w:tc>
        <w:tc>
          <w:tcPr>
            <w:tcW w:w="6189" w:type="dxa"/>
          </w:tcPr>
          <w:p w:rsidR="00097E79" w:rsidRPr="000B25F6" w:rsidRDefault="00097E79" w:rsidP="00097E79">
            <w:pPr>
              <w:keepNext/>
              <w:spacing w:after="0"/>
              <w:rPr>
                <w:color w:val="000000"/>
                <w:sz w:val="20"/>
              </w:rPr>
            </w:pPr>
            <w:r>
              <w:rPr>
                <w:color w:val="000000"/>
                <w:sz w:val="20"/>
              </w:rPr>
              <w:t>Alanine aminotransferase/aspartate aminotransferase (ALT/AST) increased</w:t>
            </w:r>
          </w:p>
        </w:tc>
      </w:tr>
      <w:tr w:rsidR="00E56CD7" w:rsidRPr="000B25F6" w:rsidTr="00E56CD7">
        <w:trPr>
          <w:trHeight w:val="302"/>
        </w:trPr>
        <w:tc>
          <w:tcPr>
            <w:tcW w:w="9464" w:type="dxa"/>
            <w:gridSpan w:val="2"/>
          </w:tcPr>
          <w:p w:rsidR="00E56CD7" w:rsidRPr="000B25F6" w:rsidRDefault="00E56CD7" w:rsidP="000B25F6">
            <w:pPr>
              <w:keepNext/>
              <w:tabs>
                <w:tab w:val="left" w:pos="5130"/>
              </w:tabs>
              <w:spacing w:after="0"/>
              <w:rPr>
                <w:b/>
                <w:bCs/>
                <w:color w:val="000000"/>
                <w:sz w:val="20"/>
              </w:rPr>
            </w:pPr>
            <w:r w:rsidRPr="000B25F6">
              <w:rPr>
                <w:b/>
                <w:bCs/>
                <w:color w:val="000000"/>
                <w:sz w:val="20"/>
              </w:rPr>
              <w:t>Skin and subcutaneous tissue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0B25F6">
            <w:pPr>
              <w:keepNext/>
              <w:spacing w:after="0"/>
              <w:rPr>
                <w:color w:val="000000"/>
                <w:sz w:val="20"/>
              </w:rPr>
            </w:pPr>
            <w:r w:rsidRPr="000B25F6">
              <w:rPr>
                <w:color w:val="000000"/>
                <w:sz w:val="20"/>
              </w:rPr>
              <w:t>Alopecia, pruritus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E56CD7" w:rsidP="000B25F6">
            <w:pPr>
              <w:keepNext/>
              <w:spacing w:after="0"/>
              <w:rPr>
                <w:color w:val="000000"/>
                <w:sz w:val="20"/>
              </w:rPr>
            </w:pPr>
            <w:r w:rsidRPr="000B25F6">
              <w:rPr>
                <w:color w:val="000000"/>
                <w:sz w:val="20"/>
              </w:rPr>
              <w:t>Rash</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Uncommon:</w:t>
            </w:r>
          </w:p>
        </w:tc>
        <w:tc>
          <w:tcPr>
            <w:tcW w:w="6189" w:type="dxa"/>
          </w:tcPr>
          <w:p w:rsidR="00E56CD7" w:rsidRPr="000B25F6" w:rsidRDefault="00E56CD7" w:rsidP="000B25F6">
            <w:pPr>
              <w:keepNext/>
              <w:spacing w:after="0"/>
              <w:rPr>
                <w:color w:val="000000"/>
                <w:sz w:val="20"/>
              </w:rPr>
            </w:pPr>
            <w:r w:rsidRPr="000B25F6">
              <w:rPr>
                <w:color w:val="000000"/>
                <w:sz w:val="20"/>
              </w:rPr>
              <w:t>Stevens-Johnson syndrome*</w:t>
            </w:r>
          </w:p>
        </w:tc>
      </w:tr>
      <w:tr w:rsidR="00E56CD7" w:rsidRPr="000B25F6" w:rsidTr="00E56CD7">
        <w:trPr>
          <w:trHeight w:val="302"/>
        </w:trPr>
        <w:tc>
          <w:tcPr>
            <w:tcW w:w="9464" w:type="dxa"/>
            <w:gridSpan w:val="2"/>
          </w:tcPr>
          <w:p w:rsidR="00E56CD7" w:rsidRPr="000B25F6" w:rsidRDefault="00E56CD7" w:rsidP="000B25F6">
            <w:pPr>
              <w:keepNext/>
              <w:tabs>
                <w:tab w:val="left" w:pos="5130"/>
              </w:tabs>
              <w:spacing w:after="0"/>
              <w:rPr>
                <w:b/>
                <w:bCs/>
                <w:color w:val="000000"/>
                <w:sz w:val="20"/>
              </w:rPr>
            </w:pPr>
            <w:r w:rsidRPr="000B25F6">
              <w:rPr>
                <w:b/>
                <w:bCs/>
                <w:color w:val="000000"/>
                <w:sz w:val="20"/>
              </w:rPr>
              <w:t>Musculoskeletal and connective tissue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0B25F6">
            <w:pPr>
              <w:keepNext/>
              <w:spacing w:after="0"/>
              <w:rPr>
                <w:color w:val="000000"/>
                <w:sz w:val="20"/>
              </w:rPr>
            </w:pPr>
            <w:r w:rsidRPr="000B25F6">
              <w:rPr>
                <w:color w:val="000000"/>
                <w:sz w:val="20"/>
              </w:rPr>
              <w:t>Myalgia</w:t>
            </w:r>
          </w:p>
        </w:tc>
      </w:tr>
      <w:tr w:rsidR="00E56CD7" w:rsidRPr="000B25F6" w:rsidTr="00E56CD7">
        <w:trPr>
          <w:trHeight w:val="287"/>
        </w:trPr>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E56CD7" w:rsidP="000B25F6">
            <w:pPr>
              <w:keepNext/>
              <w:spacing w:after="0"/>
              <w:rPr>
                <w:color w:val="000000"/>
                <w:sz w:val="20"/>
              </w:rPr>
            </w:pPr>
            <w:r w:rsidRPr="000B25F6">
              <w:rPr>
                <w:color w:val="000000"/>
                <w:sz w:val="20"/>
              </w:rPr>
              <w:t>Arthralgia, back pain</w:t>
            </w:r>
          </w:p>
        </w:tc>
      </w:tr>
      <w:tr w:rsidR="00E56CD7" w:rsidRPr="000B25F6" w:rsidTr="00E56CD7">
        <w:trPr>
          <w:trHeight w:val="302"/>
        </w:trPr>
        <w:tc>
          <w:tcPr>
            <w:tcW w:w="9464" w:type="dxa"/>
            <w:gridSpan w:val="2"/>
          </w:tcPr>
          <w:p w:rsidR="00E56CD7" w:rsidRPr="000B25F6" w:rsidRDefault="00E56CD7" w:rsidP="000B25F6">
            <w:pPr>
              <w:keepNext/>
              <w:tabs>
                <w:tab w:val="left" w:pos="5130"/>
              </w:tabs>
              <w:spacing w:after="0"/>
              <w:rPr>
                <w:b/>
                <w:bCs/>
                <w:color w:val="000000"/>
                <w:sz w:val="20"/>
              </w:rPr>
            </w:pPr>
            <w:r w:rsidRPr="000B25F6">
              <w:rPr>
                <w:b/>
                <w:bCs/>
                <w:color w:val="000000"/>
                <w:sz w:val="20"/>
              </w:rPr>
              <w:t>General disorders and administration site conditions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0B25F6">
            <w:pPr>
              <w:keepNext/>
              <w:spacing w:after="0"/>
              <w:rPr>
                <w:color w:val="000000"/>
                <w:sz w:val="20"/>
              </w:rPr>
            </w:pPr>
            <w:r w:rsidRPr="000B25F6">
              <w:rPr>
                <w:color w:val="000000"/>
                <w:sz w:val="20"/>
              </w:rPr>
              <w:t xml:space="preserve">Fatigue, pyrexia, infusion-related </w:t>
            </w:r>
            <w:proofErr w:type="spellStart"/>
            <w:r w:rsidRPr="000B25F6">
              <w:rPr>
                <w:color w:val="000000"/>
                <w:sz w:val="20"/>
              </w:rPr>
              <w:t>reactions</w:t>
            </w:r>
            <w:r w:rsidRPr="000B25F6">
              <w:rPr>
                <w:color w:val="000000"/>
                <w:sz w:val="20"/>
                <w:vertAlign w:val="superscript"/>
              </w:rPr>
              <w:t>b</w:t>
            </w:r>
            <w:proofErr w:type="spellEnd"/>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E56CD7" w:rsidP="000B25F6">
            <w:pPr>
              <w:keepNext/>
              <w:spacing w:after="0"/>
              <w:rPr>
                <w:color w:val="000000"/>
                <w:sz w:val="20"/>
              </w:rPr>
            </w:pPr>
            <w:r w:rsidRPr="000B25F6">
              <w:rPr>
                <w:color w:val="000000"/>
                <w:sz w:val="20"/>
              </w:rPr>
              <w:t>Chills</w:t>
            </w:r>
          </w:p>
        </w:tc>
      </w:tr>
    </w:tbl>
    <w:p w:rsidR="00E56CD7" w:rsidRPr="000B25F6" w:rsidRDefault="00E56CD7" w:rsidP="000B25F6">
      <w:pPr>
        <w:spacing w:after="0"/>
        <w:rPr>
          <w:rFonts w:eastAsia="MS Mincho" w:cs="Arial"/>
          <w:b/>
          <w:sz w:val="20"/>
          <w:lang w:eastAsia="ja-JP"/>
        </w:rPr>
      </w:pPr>
      <w:r w:rsidRPr="000B25F6">
        <w:rPr>
          <w:rFonts w:cs="Arial"/>
          <w:sz w:val="20"/>
        </w:rPr>
        <w:t>*Reported as a serious adverse reaction only</w:t>
      </w:r>
    </w:p>
    <w:p w:rsidR="00E56CD7" w:rsidRPr="000B25F6" w:rsidRDefault="00E56CD7" w:rsidP="000B25F6">
      <w:pPr>
        <w:pStyle w:val="Paragraph"/>
        <w:numPr>
          <w:ilvl w:val="0"/>
          <w:numId w:val="36"/>
        </w:numPr>
        <w:spacing w:after="0"/>
        <w:rPr>
          <w:rFonts w:ascii="Arial" w:hAnsi="Arial" w:cs="Arial"/>
          <w:sz w:val="20"/>
          <w:szCs w:val="20"/>
        </w:rPr>
      </w:pPr>
      <w:r w:rsidRPr="000B25F6">
        <w:rPr>
          <w:rFonts w:ascii="Arial" w:hAnsi="Arial" w:cs="Arial"/>
          <w:sz w:val="20"/>
          <w:szCs w:val="20"/>
          <w:lang w:val="en-GB"/>
        </w:rPr>
        <w:lastRenderedPageBreak/>
        <w:t>Preferred terms that were reported under the Infections and Infestations SOC include upper respiratory tract infection, herpes zoster, and pneumonia.</w:t>
      </w:r>
    </w:p>
    <w:p w:rsidR="00E56CD7" w:rsidRPr="000B25F6" w:rsidRDefault="00E56CD7" w:rsidP="000B25F6">
      <w:pPr>
        <w:pStyle w:val="Paragraph"/>
        <w:numPr>
          <w:ilvl w:val="0"/>
          <w:numId w:val="36"/>
        </w:numPr>
        <w:spacing w:after="0"/>
        <w:rPr>
          <w:rFonts w:ascii="Arial" w:hAnsi="Arial" w:cs="Arial"/>
          <w:sz w:val="20"/>
          <w:szCs w:val="20"/>
        </w:rPr>
      </w:pPr>
      <w:r w:rsidRPr="000B25F6">
        <w:rPr>
          <w:rFonts w:ascii="Arial" w:hAnsi="Arial" w:cs="Arial"/>
          <w:sz w:val="20"/>
          <w:szCs w:val="20"/>
          <w:lang w:val="en-GB"/>
        </w:rPr>
        <w:t>Preferred terms associated with infusion-related reactions were chills (4%), nausea, dyspnoea and pruritus (3% each), and cough (2%).</w:t>
      </w:r>
    </w:p>
    <w:p w:rsidR="00E56CD7" w:rsidRPr="00C36C6C" w:rsidRDefault="00E56CD7" w:rsidP="000B25F6">
      <w:pPr>
        <w:pStyle w:val="Heading2"/>
      </w:pPr>
      <w:r w:rsidRPr="00D50153">
        <w:t>Description of selected adverse reactions</w:t>
      </w:r>
    </w:p>
    <w:p w:rsidR="00E56CD7" w:rsidRPr="00E56CD7" w:rsidRDefault="00E56CD7" w:rsidP="00E56CD7">
      <w:r w:rsidRPr="00E56CD7">
        <w:t xml:space="preserve">Adverse reactions that led to dose delays of up to 3 weeks in more than 5% of patients were neutropenia (14%) and peripheral sensory neuropathy (11%). </w:t>
      </w:r>
    </w:p>
    <w:p w:rsidR="00E56CD7" w:rsidRPr="00E56CD7" w:rsidRDefault="00E56CD7" w:rsidP="00E56CD7">
      <w:r w:rsidRPr="00E56CD7">
        <w:t>The adverse reaction that led to a dose reduction in more than 5% of patients was peripheral sensory neuropathy (8%). Ninety percent (90%) of patients in the phase 2 studies remained at the recommended dose of 1.8 mg/kg while on treatment.</w:t>
      </w:r>
    </w:p>
    <w:p w:rsidR="00E56CD7" w:rsidRPr="00E56CD7" w:rsidRDefault="00E56CD7" w:rsidP="00E56CD7">
      <w:r w:rsidRPr="00E56CD7">
        <w:t xml:space="preserve">Severe and prolonged </w:t>
      </w:r>
      <w:proofErr w:type="gramStart"/>
      <w:r w:rsidRPr="00E56CD7">
        <w:t>(</w:t>
      </w:r>
      <w:r w:rsidR="00D41B1D" w:rsidRPr="00515187">
        <w:rPr>
          <w:color w:val="000000"/>
          <w:szCs w:val="22"/>
        </w:rPr>
        <w:t> </w:t>
      </w:r>
      <w:r w:rsidRPr="00E56CD7">
        <w:t>≥</w:t>
      </w:r>
      <w:proofErr w:type="gramEnd"/>
      <w:r w:rsidRPr="00E56CD7">
        <w:t>1 week) neutropenia can occur with this treatment which may increase the risk of patients developing serious infections. The median duration of Grade 3 or Grade 4 neutropenia was limited (1 week); 2% of patients had Grade 4 neutropenia that lasted ≥</w:t>
      </w:r>
      <w:r w:rsidR="00D41B1D" w:rsidRPr="00515187">
        <w:rPr>
          <w:color w:val="000000"/>
          <w:szCs w:val="22"/>
        </w:rPr>
        <w:t> </w:t>
      </w:r>
      <w:r w:rsidRPr="00E56CD7">
        <w:t xml:space="preserve">7 days. Less than half of the patients in the phase 2 </w:t>
      </w:r>
      <w:proofErr w:type="gramStart"/>
      <w:r w:rsidRPr="00E56CD7">
        <w:t>population</w:t>
      </w:r>
      <w:proofErr w:type="gramEnd"/>
      <w:r w:rsidRPr="00E56CD7">
        <w:t xml:space="preserve"> with Grade 3 or Grade 4 neutropenia had temporally associated infections, and the majority of temporally associated infections were Grade 1 or Grade 2.</w:t>
      </w:r>
    </w:p>
    <w:p w:rsidR="00E56CD7" w:rsidRPr="00C36C6C" w:rsidRDefault="00E56CD7" w:rsidP="00E56CD7">
      <w:pPr>
        <w:rPr>
          <w:szCs w:val="22"/>
          <w:highlight w:val="yellow"/>
        </w:rPr>
      </w:pPr>
      <w:r w:rsidRPr="00C36C6C">
        <w:t xml:space="preserve">Among patients who experienced peripheral neuropathy, the median follow up time from end of treatment until last evaluation was approximately 10 weeks. At the time of last evaluation, 62% of the 84 patients who experienced peripheral neuropathy had resolution or improvement of their peripheral neuropathy symptoms. The median time from onset to resolution or improvement for all events was 6.6 weeks (range from 0.3 weeks to 54.4 weeks). </w:t>
      </w:r>
    </w:p>
    <w:p w:rsidR="00E56CD7" w:rsidRDefault="00E56CD7" w:rsidP="00E56CD7">
      <w:pPr>
        <w:rPr>
          <w:szCs w:val="22"/>
        </w:rPr>
      </w:pPr>
      <w:r w:rsidRPr="00C36C6C">
        <w:rPr>
          <w:szCs w:val="22"/>
        </w:rPr>
        <w:t xml:space="preserve">PML has been reported outside of the pivotal phase 2 clinical trials described in this section (see </w:t>
      </w:r>
      <w:r w:rsidR="00CA3276">
        <w:rPr>
          <w:szCs w:val="22"/>
        </w:rPr>
        <w:t>’Precautions’</w:t>
      </w:r>
      <w:r w:rsidRPr="00C36C6C">
        <w:rPr>
          <w:szCs w:val="22"/>
        </w:rPr>
        <w:t xml:space="preserve">). </w:t>
      </w:r>
    </w:p>
    <w:p w:rsidR="007E16D2" w:rsidRPr="007E16D2" w:rsidRDefault="007E16D2" w:rsidP="007E16D2">
      <w:r w:rsidRPr="007E16D2">
        <w:t>Acute pancreatitis (including fatal outcomes) has been reported outside of the pivotal phase 2 clinical</w:t>
      </w:r>
      <w:r>
        <w:t xml:space="preserve"> </w:t>
      </w:r>
      <w:r w:rsidRPr="007E16D2">
        <w:t>trials. Consider the diagnosis of acute pancreatitis for patients presenting with new or worsening</w:t>
      </w:r>
      <w:r>
        <w:t xml:space="preserve"> </w:t>
      </w:r>
      <w:r w:rsidRPr="007E16D2">
        <w:t xml:space="preserve">abdominal pain (see </w:t>
      </w:r>
      <w:r>
        <w:t>Precautions</w:t>
      </w:r>
      <w:r w:rsidRPr="007E16D2">
        <w:t>).</w:t>
      </w:r>
    </w:p>
    <w:p w:rsidR="00823B64" w:rsidRPr="00707716" w:rsidRDefault="00E56CD7" w:rsidP="00E56CD7">
      <w:r w:rsidRPr="00707716">
        <w:t xml:space="preserve">Anaphylaxis has been reported outside of the pivotal phase 2 clinical trials discussed in this section. </w:t>
      </w:r>
      <w:r w:rsidRPr="0042147E">
        <w:t xml:space="preserve">Symptoms of anaphylaxis may include, but are not limited to, </w:t>
      </w:r>
      <w:proofErr w:type="spellStart"/>
      <w:r w:rsidRPr="0042147E">
        <w:t>urticaria</w:t>
      </w:r>
      <w:proofErr w:type="spellEnd"/>
      <w:r w:rsidRPr="0042147E">
        <w:t xml:space="preserve">, angioedema, hypotension and bronchospasm. </w:t>
      </w:r>
    </w:p>
    <w:p w:rsidR="00E56CD7" w:rsidRDefault="00E56CD7" w:rsidP="00E56CD7">
      <w:pPr>
        <w:rPr>
          <w:szCs w:val="22"/>
        </w:rPr>
      </w:pPr>
      <w:r w:rsidRPr="00C36C6C">
        <w:rPr>
          <w:szCs w:val="22"/>
        </w:rPr>
        <w:t xml:space="preserve">Febrile </w:t>
      </w:r>
      <w:r w:rsidRPr="00CA3276">
        <w:rPr>
          <w:szCs w:val="22"/>
        </w:rPr>
        <w:t xml:space="preserve">neutropenia has been reported outside of the pivotal phase 2 clinical trials described in this section (see </w:t>
      </w:r>
      <w:r w:rsidR="00CA3276">
        <w:rPr>
          <w:szCs w:val="22"/>
        </w:rPr>
        <w:t>’</w:t>
      </w:r>
      <w:r w:rsidR="00901B93">
        <w:rPr>
          <w:szCs w:val="22"/>
        </w:rPr>
        <w:t>Precautions’</w:t>
      </w:r>
      <w:r w:rsidRPr="00CA3276">
        <w:rPr>
          <w:szCs w:val="22"/>
        </w:rPr>
        <w:t>).</w:t>
      </w:r>
      <w:r w:rsidRPr="00C36C6C">
        <w:rPr>
          <w:szCs w:val="22"/>
        </w:rPr>
        <w:t xml:space="preserve"> A patient enrolled in a phase 1 dose escalation trial experienced Grade 5 febrile neutropenia after receiving a single dose of 3.6 mg/kg of </w:t>
      </w:r>
      <w:proofErr w:type="spellStart"/>
      <w:r w:rsidRPr="00C36C6C">
        <w:rPr>
          <w:szCs w:val="22"/>
        </w:rPr>
        <w:t>brentuximab</w:t>
      </w:r>
      <w:proofErr w:type="spellEnd"/>
      <w:r w:rsidRPr="00C36C6C">
        <w:rPr>
          <w:szCs w:val="22"/>
        </w:rPr>
        <w:t xml:space="preserve"> </w:t>
      </w:r>
      <w:proofErr w:type="spellStart"/>
      <w:r w:rsidRPr="00C36C6C">
        <w:rPr>
          <w:szCs w:val="22"/>
        </w:rPr>
        <w:t>vedotin</w:t>
      </w:r>
      <w:proofErr w:type="spellEnd"/>
      <w:r w:rsidRPr="00C36C6C">
        <w:rPr>
          <w:szCs w:val="22"/>
        </w:rPr>
        <w:t xml:space="preserve">. </w:t>
      </w:r>
    </w:p>
    <w:p w:rsidR="00E56CD7" w:rsidRPr="00E56CD7" w:rsidRDefault="00E56CD7" w:rsidP="000B25F6">
      <w:pPr>
        <w:pStyle w:val="Heading2"/>
      </w:pPr>
      <w:r w:rsidRPr="00E56CD7">
        <w:t>Immunogenicity</w:t>
      </w:r>
    </w:p>
    <w:p w:rsidR="00E56CD7" w:rsidRPr="00C36C6C" w:rsidRDefault="00E56CD7" w:rsidP="00E56CD7">
      <w:r w:rsidRPr="00C36C6C">
        <w:rPr>
          <w:bCs/>
        </w:rPr>
        <w:t xml:space="preserve">Patients with relapsed or refractory HL or </w:t>
      </w:r>
      <w:proofErr w:type="spellStart"/>
      <w:r w:rsidRPr="00C36C6C">
        <w:rPr>
          <w:bCs/>
        </w:rPr>
        <w:t>sALCL</w:t>
      </w:r>
      <w:proofErr w:type="spellEnd"/>
      <w:r w:rsidRPr="00C36C6C">
        <w:rPr>
          <w:bCs/>
        </w:rPr>
        <w:t xml:space="preserve"> in two phase 2 studies were tested for antibodies to </w:t>
      </w:r>
      <w:proofErr w:type="spellStart"/>
      <w:r w:rsidRPr="00C36C6C">
        <w:rPr>
          <w:bCs/>
        </w:rPr>
        <w:t>brentuximab</w:t>
      </w:r>
      <w:proofErr w:type="spellEnd"/>
      <w:r w:rsidRPr="00C36C6C">
        <w:rPr>
          <w:bCs/>
        </w:rPr>
        <w:t xml:space="preserve"> </w:t>
      </w:r>
      <w:proofErr w:type="spellStart"/>
      <w:r w:rsidRPr="00C36C6C">
        <w:rPr>
          <w:bCs/>
        </w:rPr>
        <w:t>vedotin</w:t>
      </w:r>
      <w:proofErr w:type="spellEnd"/>
      <w:r w:rsidRPr="00C36C6C">
        <w:rPr>
          <w:bCs/>
        </w:rPr>
        <w:t xml:space="preserve"> every 3 weeks using a sensitive </w:t>
      </w:r>
      <w:proofErr w:type="spellStart"/>
      <w:r w:rsidRPr="00C36C6C">
        <w:rPr>
          <w:bCs/>
        </w:rPr>
        <w:t>electrochemiluminescent</w:t>
      </w:r>
      <w:proofErr w:type="spellEnd"/>
      <w:r w:rsidRPr="00C36C6C">
        <w:rPr>
          <w:bCs/>
        </w:rPr>
        <w:t xml:space="preserve"> immunoassay. Approximately 35% of patients in these studies developed antibodies to </w:t>
      </w:r>
      <w:proofErr w:type="spellStart"/>
      <w:r w:rsidRPr="00C36C6C">
        <w:rPr>
          <w:rFonts w:eastAsia="MS Mincho"/>
          <w:szCs w:val="22"/>
          <w:lang w:eastAsia="ja-JP"/>
        </w:rPr>
        <w:t>brentuximab</w:t>
      </w:r>
      <w:proofErr w:type="spellEnd"/>
      <w:r w:rsidRPr="00C36C6C">
        <w:rPr>
          <w:rFonts w:eastAsia="MS Mincho"/>
          <w:szCs w:val="22"/>
          <w:lang w:eastAsia="ja-JP"/>
        </w:rPr>
        <w:t xml:space="preserve"> </w:t>
      </w:r>
      <w:proofErr w:type="spellStart"/>
      <w:r w:rsidRPr="00C36C6C">
        <w:rPr>
          <w:rFonts w:eastAsia="MS Mincho"/>
          <w:szCs w:val="22"/>
          <w:lang w:eastAsia="ja-JP"/>
        </w:rPr>
        <w:t>vedotin</w:t>
      </w:r>
      <w:proofErr w:type="spellEnd"/>
      <w:r w:rsidRPr="00C36C6C">
        <w:rPr>
          <w:bCs/>
        </w:rPr>
        <w:t>. Of these patients, the majority became positive prior to dose 2, 7% were persistently</w:t>
      </w:r>
      <w:r w:rsidR="003D035E">
        <w:rPr>
          <w:bCs/>
        </w:rPr>
        <w:t xml:space="preserve"> anti-therapeutic antibodies</w:t>
      </w:r>
      <w:r w:rsidRPr="00C36C6C">
        <w:rPr>
          <w:bCs/>
        </w:rPr>
        <w:t xml:space="preserve"> </w:t>
      </w:r>
      <w:r w:rsidR="003D035E">
        <w:rPr>
          <w:bCs/>
        </w:rPr>
        <w:t>(</w:t>
      </w:r>
      <w:r w:rsidRPr="00C36C6C">
        <w:rPr>
          <w:bCs/>
        </w:rPr>
        <w:t>ATA</w:t>
      </w:r>
      <w:r w:rsidR="003D035E">
        <w:rPr>
          <w:bCs/>
        </w:rPr>
        <w:t>)</w:t>
      </w:r>
      <w:r w:rsidRPr="00C36C6C">
        <w:rPr>
          <w:bCs/>
        </w:rPr>
        <w:t xml:space="preserve">-positive, and 62% of the ATA-positive patients had neutralizing antibodies. One (1) percent of patients experienced adverse reactions consistent with infusion-related reactions that led to discontinuation of treatment. </w:t>
      </w:r>
    </w:p>
    <w:p w:rsidR="00E56CD7" w:rsidRDefault="00E56CD7" w:rsidP="00E56CD7">
      <w:r w:rsidRPr="00A5319D">
        <w:t xml:space="preserve">The presence of antibodies to </w:t>
      </w:r>
      <w:proofErr w:type="spellStart"/>
      <w:r w:rsidRPr="00A5319D">
        <w:t>brentuximab</w:t>
      </w:r>
      <w:proofErr w:type="spellEnd"/>
      <w:r w:rsidRPr="00A5319D">
        <w:t xml:space="preserve"> </w:t>
      </w:r>
      <w:proofErr w:type="spellStart"/>
      <w:r w:rsidRPr="00A5319D">
        <w:t>vedotin</w:t>
      </w:r>
      <w:proofErr w:type="spellEnd"/>
      <w:r w:rsidRPr="00A5319D">
        <w:t xml:space="preserve"> did not correlate with a clinically meaningful reduction in serum </w:t>
      </w:r>
      <w:proofErr w:type="spellStart"/>
      <w:r w:rsidRPr="00A5319D">
        <w:t>brentuximab</w:t>
      </w:r>
      <w:proofErr w:type="spellEnd"/>
      <w:r w:rsidRPr="00A5319D">
        <w:t xml:space="preserve"> </w:t>
      </w:r>
      <w:proofErr w:type="spellStart"/>
      <w:r w:rsidRPr="00A5319D">
        <w:t>vedotin</w:t>
      </w:r>
      <w:proofErr w:type="spellEnd"/>
      <w:r w:rsidRPr="00A5319D">
        <w:t xml:space="preserve"> levels and did not result in a decrease in the efficacy of </w:t>
      </w:r>
      <w:proofErr w:type="spellStart"/>
      <w:r w:rsidRPr="00A5319D">
        <w:t>brentuximab</w:t>
      </w:r>
      <w:proofErr w:type="spellEnd"/>
      <w:r w:rsidRPr="00A5319D">
        <w:t xml:space="preserve"> </w:t>
      </w:r>
      <w:proofErr w:type="spellStart"/>
      <w:r w:rsidRPr="00A5319D">
        <w:t>vedotin</w:t>
      </w:r>
      <w:proofErr w:type="spellEnd"/>
      <w:r w:rsidRPr="00A5319D">
        <w:t xml:space="preserve">. While the presence of antibodies to </w:t>
      </w:r>
      <w:proofErr w:type="spellStart"/>
      <w:r w:rsidRPr="00A5319D">
        <w:t>brentuximab</w:t>
      </w:r>
      <w:proofErr w:type="spellEnd"/>
      <w:r w:rsidRPr="00A5319D">
        <w:t xml:space="preserve"> </w:t>
      </w:r>
      <w:proofErr w:type="spellStart"/>
      <w:r w:rsidRPr="00A5319D">
        <w:t>vedotin</w:t>
      </w:r>
      <w:proofErr w:type="spellEnd"/>
      <w:r w:rsidRPr="00A5319D">
        <w:t xml:space="preserve"> does not necessarily predict the development of an IRR, there was a higher incidence of IRRs observed in patients with persistently positive ATA (30%) relative to patients with transiently positive ATA (12%) and never positive ATA (7%). </w:t>
      </w:r>
    </w:p>
    <w:p w:rsidR="00B541CE" w:rsidRDefault="00B541CE">
      <w:pPr>
        <w:pStyle w:val="Heading1"/>
      </w:pPr>
      <w:r>
        <w:t>Dosage and Administration</w:t>
      </w:r>
    </w:p>
    <w:p w:rsidR="00473FF2" w:rsidRPr="00C36C6C" w:rsidRDefault="00866975" w:rsidP="00473FF2">
      <w:pPr>
        <w:autoSpaceDE w:val="0"/>
        <w:autoSpaceDN w:val="0"/>
        <w:adjustRightInd w:val="0"/>
        <w:rPr>
          <w:rFonts w:eastAsia="SimSun"/>
          <w:szCs w:val="22"/>
          <w:lang w:eastAsia="zh-CN"/>
        </w:rPr>
      </w:pPr>
      <w:r>
        <w:rPr>
          <w:rFonts w:eastAsia="SimSun"/>
          <w:szCs w:val="22"/>
          <w:lang w:eastAsia="zh-CN"/>
        </w:rPr>
        <w:t>ADCETRIS</w:t>
      </w:r>
      <w:r w:rsidR="00473FF2" w:rsidRPr="00D50153">
        <w:rPr>
          <w:rFonts w:eastAsia="SimSun"/>
          <w:szCs w:val="22"/>
          <w:lang w:eastAsia="zh-CN"/>
        </w:rPr>
        <w:t xml:space="preserve"> should be administered under the supervision of a physician experienced in the use of anti-cancer agents.</w:t>
      </w:r>
    </w:p>
    <w:p w:rsidR="00473FF2" w:rsidRPr="001C61F9" w:rsidRDefault="00473FF2" w:rsidP="000B25F6">
      <w:pPr>
        <w:pStyle w:val="Heading2"/>
      </w:pPr>
      <w:r w:rsidRPr="001C61F9">
        <w:lastRenderedPageBreak/>
        <w:t>Posology</w:t>
      </w:r>
    </w:p>
    <w:p w:rsidR="00473FF2" w:rsidRDefault="00473FF2" w:rsidP="00473FF2">
      <w:pPr>
        <w:rPr>
          <w:szCs w:val="22"/>
        </w:rPr>
      </w:pPr>
      <w:r w:rsidRPr="00C36C6C">
        <w:rPr>
          <w:szCs w:val="22"/>
        </w:rPr>
        <w:t xml:space="preserve">The recommended dose is 1.8 mg/kg administered as an intravenous infusion over 30 minutes </w:t>
      </w:r>
      <w:r w:rsidRPr="00064369">
        <w:rPr>
          <w:szCs w:val="22"/>
        </w:rPr>
        <w:t>every 3 weeks.</w:t>
      </w:r>
      <w:r w:rsidR="000F574B" w:rsidRPr="00064369">
        <w:rPr>
          <w:szCs w:val="22"/>
        </w:rPr>
        <w:t xml:space="preserve"> </w:t>
      </w:r>
      <w:r w:rsidRPr="00064369">
        <w:rPr>
          <w:szCs w:val="22"/>
        </w:rPr>
        <w:t xml:space="preserve">If the patient’s weight is more than 100 kg, the dose calculation should use 100 kg (see </w:t>
      </w:r>
      <w:r w:rsidR="000F574B" w:rsidRPr="00064369">
        <w:rPr>
          <w:szCs w:val="22"/>
        </w:rPr>
        <w:t>Table 8</w:t>
      </w:r>
      <w:r w:rsidR="005F59DE">
        <w:rPr>
          <w:szCs w:val="22"/>
        </w:rPr>
        <w:t xml:space="preserve"> in ‘</w:t>
      </w:r>
      <w:r w:rsidR="00DA0936">
        <w:rPr>
          <w:szCs w:val="22"/>
        </w:rPr>
        <w:t>Determining d</w:t>
      </w:r>
      <w:r w:rsidR="005F59DE">
        <w:rPr>
          <w:szCs w:val="22"/>
        </w:rPr>
        <w:t>osage</w:t>
      </w:r>
      <w:r w:rsidR="00DA0936">
        <w:rPr>
          <w:szCs w:val="22"/>
        </w:rPr>
        <w:t xml:space="preserve"> amount</w:t>
      </w:r>
      <w:r w:rsidR="005F59DE">
        <w:rPr>
          <w:szCs w:val="22"/>
        </w:rPr>
        <w:t>’</w:t>
      </w:r>
      <w:r w:rsidRPr="00064369">
        <w:rPr>
          <w:szCs w:val="22"/>
        </w:rPr>
        <w:t>).</w:t>
      </w:r>
    </w:p>
    <w:p w:rsidR="00A91CAD" w:rsidRPr="008E7C50" w:rsidRDefault="008E7C50" w:rsidP="00A91CAD">
      <w:pPr>
        <w:rPr>
          <w:szCs w:val="22"/>
        </w:rPr>
      </w:pPr>
      <w:r w:rsidRPr="008E7C50">
        <w:rPr>
          <w:szCs w:val="22"/>
        </w:rPr>
        <w:t>The recommended starting dose in patients with severe renal impairment is 1.2 mg/kg administered as</w:t>
      </w:r>
      <w:r>
        <w:rPr>
          <w:szCs w:val="22"/>
        </w:rPr>
        <w:t xml:space="preserve"> </w:t>
      </w:r>
      <w:r w:rsidRPr="008E7C50">
        <w:rPr>
          <w:szCs w:val="22"/>
        </w:rPr>
        <w:t>an intravenous infusion over 30 minutes every 3 weeks. Patients with renal impairment should be</w:t>
      </w:r>
      <w:r>
        <w:rPr>
          <w:szCs w:val="22"/>
        </w:rPr>
        <w:t xml:space="preserve"> </w:t>
      </w:r>
      <w:r w:rsidRPr="008E7C50">
        <w:rPr>
          <w:szCs w:val="22"/>
        </w:rPr>
        <w:t xml:space="preserve">closely monitored for adverse events (see </w:t>
      </w:r>
      <w:r w:rsidR="00567CAF">
        <w:rPr>
          <w:szCs w:val="22"/>
        </w:rPr>
        <w:t>‘</w:t>
      </w:r>
      <w:r w:rsidR="00A91CAD">
        <w:rPr>
          <w:szCs w:val="22"/>
        </w:rPr>
        <w:t xml:space="preserve">Pharmacology </w:t>
      </w:r>
      <w:r w:rsidR="00567CAF">
        <w:rPr>
          <w:szCs w:val="22"/>
        </w:rPr>
        <w:t>–</w:t>
      </w:r>
      <w:r w:rsidR="00A91CAD">
        <w:rPr>
          <w:szCs w:val="22"/>
        </w:rPr>
        <w:t xml:space="preserve"> Pharmacokinetics</w:t>
      </w:r>
      <w:r w:rsidR="00567CAF">
        <w:rPr>
          <w:szCs w:val="22"/>
        </w:rPr>
        <w:t>’</w:t>
      </w:r>
      <w:r w:rsidRPr="008E7C50">
        <w:rPr>
          <w:szCs w:val="22"/>
        </w:rPr>
        <w:t>).</w:t>
      </w:r>
    </w:p>
    <w:p w:rsidR="008E7C50" w:rsidRPr="00A91CAD" w:rsidRDefault="007B52D6" w:rsidP="00A91CAD">
      <w:pPr>
        <w:rPr>
          <w:szCs w:val="22"/>
        </w:rPr>
      </w:pPr>
      <w:r w:rsidRPr="00AD1417">
        <w:rPr>
          <w:szCs w:val="22"/>
        </w:rPr>
        <w:t>ADCETRIS should be used with caution in patients with hepatic impairment. A lower starting dose should be considered. In a clinical study, doses of 1.2 mg/kg have been administered to patients with hepatic impairment (see ‘Precautions’ and ‘Pharmacokinetics’).</w:t>
      </w:r>
    </w:p>
    <w:p w:rsidR="00473FF2" w:rsidRPr="00064369" w:rsidRDefault="00473FF2" w:rsidP="00473FF2">
      <w:pPr>
        <w:autoSpaceDE w:val="0"/>
        <w:autoSpaceDN w:val="0"/>
        <w:adjustRightInd w:val="0"/>
        <w:rPr>
          <w:rFonts w:eastAsia="SimSun"/>
          <w:szCs w:val="22"/>
          <w:lang w:eastAsia="zh-CN"/>
        </w:rPr>
      </w:pPr>
      <w:r w:rsidRPr="00064369">
        <w:rPr>
          <w:rFonts w:eastAsia="SimSun"/>
          <w:szCs w:val="22"/>
          <w:lang w:eastAsia="zh-CN"/>
        </w:rPr>
        <w:t xml:space="preserve">Complete blood counts should be monitored prior to administration of each dose of this treatment (see </w:t>
      </w:r>
      <w:r w:rsidR="000F574B" w:rsidRPr="00064369">
        <w:rPr>
          <w:rFonts w:eastAsia="SimSun"/>
          <w:szCs w:val="22"/>
          <w:lang w:eastAsia="zh-CN"/>
        </w:rPr>
        <w:t>‘Precautions’</w:t>
      </w:r>
      <w:r w:rsidR="005F59DE">
        <w:rPr>
          <w:rFonts w:eastAsia="SimSun"/>
          <w:szCs w:val="22"/>
          <w:lang w:eastAsia="zh-CN"/>
        </w:rPr>
        <w:t>)</w:t>
      </w:r>
      <w:r w:rsidRPr="00064369">
        <w:rPr>
          <w:rFonts w:eastAsia="SimSun"/>
          <w:szCs w:val="22"/>
          <w:lang w:eastAsia="zh-CN"/>
        </w:rPr>
        <w:t xml:space="preserve">. </w:t>
      </w:r>
    </w:p>
    <w:p w:rsidR="00473FF2" w:rsidRPr="00064369" w:rsidRDefault="00473FF2" w:rsidP="00473FF2">
      <w:pPr>
        <w:autoSpaceDE w:val="0"/>
        <w:autoSpaceDN w:val="0"/>
        <w:adjustRightInd w:val="0"/>
        <w:rPr>
          <w:rFonts w:eastAsia="SimSun"/>
          <w:szCs w:val="22"/>
          <w:lang w:eastAsia="zh-CN"/>
        </w:rPr>
      </w:pPr>
      <w:r w:rsidRPr="00064369">
        <w:rPr>
          <w:rFonts w:eastAsia="SimSun"/>
          <w:szCs w:val="22"/>
          <w:lang w:eastAsia="zh-CN"/>
        </w:rPr>
        <w:t xml:space="preserve">Patients should be monitored during and after infusion (see </w:t>
      </w:r>
      <w:r w:rsidR="00B246A6" w:rsidRPr="00064369">
        <w:rPr>
          <w:rFonts w:eastAsia="SimSun"/>
          <w:szCs w:val="22"/>
          <w:lang w:eastAsia="zh-CN"/>
        </w:rPr>
        <w:t>’Precautions’</w:t>
      </w:r>
      <w:r w:rsidRPr="00064369">
        <w:rPr>
          <w:rFonts w:eastAsia="SimSun"/>
          <w:szCs w:val="22"/>
          <w:lang w:eastAsia="zh-CN"/>
        </w:rPr>
        <w:t xml:space="preserve">). </w:t>
      </w:r>
    </w:p>
    <w:p w:rsidR="00473FF2" w:rsidRPr="00064369" w:rsidRDefault="00473FF2" w:rsidP="00473FF2">
      <w:pPr>
        <w:rPr>
          <w:szCs w:val="22"/>
        </w:rPr>
      </w:pPr>
      <w:bookmarkStart w:id="12" w:name="OLE_LINK6"/>
      <w:bookmarkStart w:id="13" w:name="OLE_LINK7"/>
      <w:r w:rsidRPr="00064369">
        <w:rPr>
          <w:szCs w:val="22"/>
        </w:rPr>
        <w:t xml:space="preserve">Patients who achieve stable disease or better should receive a minimum of 8 cycles and </w:t>
      </w:r>
      <w:bookmarkEnd w:id="12"/>
      <w:bookmarkEnd w:id="13"/>
      <w:r w:rsidRPr="00064369">
        <w:rPr>
          <w:szCs w:val="22"/>
        </w:rPr>
        <w:t xml:space="preserve">up to a maximum of 16 cycles (approximately 1 year) (see </w:t>
      </w:r>
      <w:r w:rsidR="00B246A6" w:rsidRPr="00064369">
        <w:rPr>
          <w:szCs w:val="22"/>
        </w:rPr>
        <w:t>’Clinical Trials’</w:t>
      </w:r>
      <w:r w:rsidRPr="00064369">
        <w:rPr>
          <w:szCs w:val="22"/>
        </w:rPr>
        <w:t xml:space="preserve">). </w:t>
      </w:r>
    </w:p>
    <w:p w:rsidR="00473FF2" w:rsidRPr="00064369" w:rsidRDefault="00473FF2" w:rsidP="000B25F6">
      <w:pPr>
        <w:pStyle w:val="Heading2"/>
      </w:pPr>
      <w:r w:rsidRPr="00064369">
        <w:t>Dose adjustments</w:t>
      </w:r>
    </w:p>
    <w:p w:rsidR="00473FF2" w:rsidRPr="00064369" w:rsidRDefault="00473FF2" w:rsidP="00473FF2">
      <w:pPr>
        <w:keepNext/>
        <w:rPr>
          <w:i/>
        </w:rPr>
      </w:pPr>
      <w:r w:rsidRPr="00064369">
        <w:rPr>
          <w:i/>
        </w:rPr>
        <w:t>Neutropenia</w:t>
      </w:r>
    </w:p>
    <w:p w:rsidR="00503B2E" w:rsidRPr="00B246A6" w:rsidRDefault="00473FF2" w:rsidP="00473FF2">
      <w:r w:rsidRPr="00064369">
        <w:t xml:space="preserve">If neutropenia develops during treatment it should be managed by dose delays. See Table </w:t>
      </w:r>
      <w:r w:rsidR="00B246A6" w:rsidRPr="00064369">
        <w:t>6</w:t>
      </w:r>
      <w:r w:rsidR="00B246A6" w:rsidRPr="00B246A6">
        <w:t xml:space="preserve"> </w:t>
      </w:r>
      <w:r w:rsidRPr="00B246A6">
        <w:t xml:space="preserve">below for appropriate dosing recommendations (see </w:t>
      </w:r>
      <w:r w:rsidR="00B246A6">
        <w:t>’Precautions’</w:t>
      </w:r>
      <w:r w:rsidRPr="00B246A6">
        <w:t xml:space="preserve">). </w:t>
      </w:r>
    </w:p>
    <w:p w:rsidR="00473FF2" w:rsidRPr="00B246A6" w:rsidRDefault="00473FF2" w:rsidP="00473FF2">
      <w:pPr>
        <w:keepNext/>
        <w:rPr>
          <w:b/>
        </w:rPr>
      </w:pPr>
      <w:r w:rsidRPr="00B246A6">
        <w:rPr>
          <w:b/>
        </w:rPr>
        <w:t xml:space="preserve">Table </w:t>
      </w:r>
      <w:r w:rsidR="00B246A6" w:rsidRPr="00B246A6">
        <w:rPr>
          <w:b/>
        </w:rPr>
        <w:t>6</w:t>
      </w:r>
      <w:r w:rsidRPr="00B246A6">
        <w:rPr>
          <w:b/>
        </w:rPr>
        <w:t>: Dosing recommendations for neutropenia</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1"/>
        <w:gridCol w:w="4116"/>
      </w:tblGrid>
      <w:tr w:rsidR="00473FF2" w:rsidRPr="000B25F6" w:rsidTr="009C2880">
        <w:tc>
          <w:tcPr>
            <w:tcW w:w="2897" w:type="pct"/>
          </w:tcPr>
          <w:p w:rsidR="00473FF2" w:rsidRPr="000B25F6" w:rsidRDefault="00473FF2" w:rsidP="000B25F6">
            <w:pPr>
              <w:keepNext/>
              <w:spacing w:after="0"/>
              <w:jc w:val="center"/>
              <w:rPr>
                <w:b/>
                <w:bCs/>
                <w:sz w:val="20"/>
              </w:rPr>
            </w:pPr>
            <w:r w:rsidRPr="000B25F6">
              <w:rPr>
                <w:b/>
                <w:bCs/>
                <w:sz w:val="20"/>
              </w:rPr>
              <w:t>Severity grade of neutropenia</w:t>
            </w:r>
          </w:p>
          <w:p w:rsidR="00473FF2" w:rsidRPr="000B25F6" w:rsidRDefault="00473FF2" w:rsidP="000B25F6">
            <w:pPr>
              <w:keepNext/>
              <w:spacing w:after="0"/>
              <w:jc w:val="center"/>
              <w:rPr>
                <w:b/>
                <w:bCs/>
                <w:sz w:val="20"/>
              </w:rPr>
            </w:pPr>
            <w:r w:rsidRPr="000B25F6">
              <w:rPr>
                <w:b/>
                <w:bCs/>
                <w:sz w:val="20"/>
              </w:rPr>
              <w:t xml:space="preserve">(signs and symptoms </w:t>
            </w:r>
            <w:r w:rsidRPr="000B25F6">
              <w:rPr>
                <w:bCs/>
                <w:sz w:val="20"/>
              </w:rPr>
              <w:t xml:space="preserve">[abbreviated description of </w:t>
            </w:r>
            <w:proofErr w:type="spellStart"/>
            <w:r w:rsidRPr="000B25F6">
              <w:rPr>
                <w:bCs/>
                <w:sz w:val="20"/>
              </w:rPr>
              <w:t>CTCAE</w:t>
            </w:r>
            <w:r w:rsidRPr="000B25F6">
              <w:rPr>
                <w:bCs/>
                <w:sz w:val="20"/>
                <w:vertAlign w:val="superscript"/>
              </w:rPr>
              <w:t>a</w:t>
            </w:r>
            <w:proofErr w:type="spellEnd"/>
            <w:r w:rsidRPr="000B25F6">
              <w:rPr>
                <w:bCs/>
                <w:sz w:val="20"/>
              </w:rPr>
              <w:t>])</w:t>
            </w:r>
          </w:p>
        </w:tc>
        <w:tc>
          <w:tcPr>
            <w:tcW w:w="2103" w:type="pct"/>
          </w:tcPr>
          <w:p w:rsidR="00473FF2" w:rsidRPr="000B25F6" w:rsidRDefault="00473FF2" w:rsidP="000B25F6">
            <w:pPr>
              <w:keepNext/>
              <w:spacing w:after="0"/>
              <w:jc w:val="center"/>
              <w:rPr>
                <w:b/>
                <w:bCs/>
                <w:sz w:val="20"/>
              </w:rPr>
            </w:pPr>
            <w:r w:rsidRPr="000B25F6">
              <w:rPr>
                <w:b/>
                <w:bCs/>
                <w:sz w:val="20"/>
              </w:rPr>
              <w:t xml:space="preserve">Modification of </w:t>
            </w:r>
            <w:r w:rsidR="00B246A6" w:rsidRPr="000B25F6">
              <w:rPr>
                <w:b/>
                <w:bCs/>
                <w:sz w:val="20"/>
              </w:rPr>
              <w:t xml:space="preserve">dose and </w:t>
            </w:r>
            <w:r w:rsidRPr="000B25F6">
              <w:rPr>
                <w:b/>
                <w:bCs/>
                <w:sz w:val="20"/>
              </w:rPr>
              <w:t>schedule</w:t>
            </w:r>
          </w:p>
        </w:tc>
      </w:tr>
      <w:tr w:rsidR="00473FF2" w:rsidRPr="000B25F6" w:rsidTr="009C2880">
        <w:tc>
          <w:tcPr>
            <w:tcW w:w="2897" w:type="pct"/>
          </w:tcPr>
          <w:p w:rsidR="00473FF2" w:rsidRPr="000B25F6" w:rsidRDefault="00473FF2" w:rsidP="000B25F6">
            <w:pPr>
              <w:keepNext/>
              <w:spacing w:after="0"/>
              <w:rPr>
                <w:rFonts w:ascii="TimesNewRoman" w:hAnsi="TimesNewRoman" w:cs="TimesNewRoman"/>
                <w:sz w:val="20"/>
                <w:vertAlign w:val="superscript"/>
              </w:rPr>
            </w:pPr>
            <w:r w:rsidRPr="000B25F6">
              <w:rPr>
                <w:sz w:val="20"/>
              </w:rPr>
              <w:t>Grade 1 (&lt;LLN - 1500/mm</w:t>
            </w:r>
            <w:r w:rsidRPr="000B25F6">
              <w:rPr>
                <w:sz w:val="20"/>
                <w:vertAlign w:val="superscript"/>
              </w:rPr>
              <w:t>3</w:t>
            </w:r>
          </w:p>
          <w:p w:rsidR="00473FF2" w:rsidRPr="000B25F6" w:rsidRDefault="00473FF2" w:rsidP="000B25F6">
            <w:pPr>
              <w:keepNext/>
              <w:spacing w:after="0"/>
              <w:rPr>
                <w:sz w:val="20"/>
              </w:rPr>
            </w:pPr>
            <w:r w:rsidRPr="000B25F6">
              <w:rPr>
                <w:sz w:val="20"/>
              </w:rPr>
              <w:t xml:space="preserve">               &lt;LLN - 1.5 x 10</w:t>
            </w:r>
            <w:r w:rsidRPr="000B25F6">
              <w:rPr>
                <w:sz w:val="20"/>
                <w:vertAlign w:val="superscript"/>
              </w:rPr>
              <w:t>9</w:t>
            </w:r>
            <w:r w:rsidRPr="000B25F6">
              <w:rPr>
                <w:sz w:val="20"/>
              </w:rPr>
              <w:t>/L) or</w:t>
            </w:r>
          </w:p>
          <w:p w:rsidR="00473FF2" w:rsidRPr="000B25F6" w:rsidRDefault="00473FF2" w:rsidP="000B25F6">
            <w:pPr>
              <w:keepNext/>
              <w:spacing w:after="0"/>
              <w:rPr>
                <w:sz w:val="20"/>
                <w:vertAlign w:val="superscript"/>
              </w:rPr>
            </w:pPr>
            <w:r w:rsidRPr="000B25F6">
              <w:rPr>
                <w:sz w:val="20"/>
              </w:rPr>
              <w:t>Grade 2 (&lt;1500 - 1000/mm</w:t>
            </w:r>
            <w:r w:rsidRPr="000B25F6">
              <w:rPr>
                <w:sz w:val="20"/>
                <w:vertAlign w:val="superscript"/>
              </w:rPr>
              <w:t>3</w:t>
            </w:r>
          </w:p>
          <w:p w:rsidR="00473FF2" w:rsidRPr="000B25F6" w:rsidRDefault="00473FF2" w:rsidP="000B25F6">
            <w:pPr>
              <w:keepNext/>
              <w:spacing w:after="0"/>
              <w:rPr>
                <w:sz w:val="20"/>
              </w:rPr>
            </w:pPr>
            <w:r w:rsidRPr="000B25F6">
              <w:rPr>
                <w:sz w:val="20"/>
                <w:vertAlign w:val="superscript"/>
              </w:rPr>
              <w:t xml:space="preserve">                          </w:t>
            </w:r>
            <w:r w:rsidRPr="000B25F6">
              <w:rPr>
                <w:sz w:val="20"/>
              </w:rPr>
              <w:t>&lt;1.5 – 1.0 x 10</w:t>
            </w:r>
            <w:r w:rsidRPr="000B25F6">
              <w:rPr>
                <w:sz w:val="20"/>
                <w:vertAlign w:val="superscript"/>
              </w:rPr>
              <w:t>9</w:t>
            </w:r>
            <w:r w:rsidRPr="000B25F6">
              <w:rPr>
                <w:sz w:val="20"/>
              </w:rPr>
              <w:t>/L)</w:t>
            </w:r>
          </w:p>
        </w:tc>
        <w:tc>
          <w:tcPr>
            <w:tcW w:w="2103" w:type="pct"/>
          </w:tcPr>
          <w:p w:rsidR="00473FF2" w:rsidRPr="000B25F6" w:rsidRDefault="00473FF2" w:rsidP="000B25F6">
            <w:pPr>
              <w:keepNext/>
              <w:spacing w:after="0"/>
              <w:rPr>
                <w:sz w:val="20"/>
              </w:rPr>
            </w:pPr>
            <w:r w:rsidRPr="000B25F6">
              <w:rPr>
                <w:sz w:val="20"/>
              </w:rPr>
              <w:t>Continue with the same dose and schedule</w:t>
            </w:r>
          </w:p>
        </w:tc>
      </w:tr>
      <w:tr w:rsidR="00473FF2" w:rsidRPr="000B25F6" w:rsidTr="009C2880">
        <w:tc>
          <w:tcPr>
            <w:tcW w:w="2897" w:type="pct"/>
          </w:tcPr>
          <w:p w:rsidR="00473FF2" w:rsidRPr="000B25F6" w:rsidRDefault="00473FF2" w:rsidP="000B25F6">
            <w:pPr>
              <w:keepNext/>
              <w:spacing w:after="0"/>
              <w:ind w:left="826" w:hanging="826"/>
              <w:rPr>
                <w:sz w:val="20"/>
              </w:rPr>
            </w:pPr>
            <w:r w:rsidRPr="000B25F6">
              <w:rPr>
                <w:sz w:val="20"/>
              </w:rPr>
              <w:t>Grade 3 (&lt;1,000 - 500/mm</w:t>
            </w:r>
            <w:r w:rsidRPr="000B25F6">
              <w:rPr>
                <w:sz w:val="20"/>
                <w:vertAlign w:val="superscript"/>
              </w:rPr>
              <w:t>3</w:t>
            </w:r>
          </w:p>
          <w:p w:rsidR="00473FF2" w:rsidRPr="000B25F6" w:rsidRDefault="00473FF2" w:rsidP="000B25F6">
            <w:pPr>
              <w:keepNext/>
              <w:spacing w:after="0"/>
              <w:ind w:left="826" w:hanging="826"/>
              <w:rPr>
                <w:sz w:val="20"/>
              </w:rPr>
            </w:pPr>
            <w:r w:rsidRPr="000B25F6">
              <w:rPr>
                <w:sz w:val="20"/>
              </w:rPr>
              <w:t xml:space="preserve">                &lt;1.0 - 0.5 x 10</w:t>
            </w:r>
            <w:r w:rsidRPr="000B25F6">
              <w:rPr>
                <w:sz w:val="20"/>
                <w:vertAlign w:val="superscript"/>
              </w:rPr>
              <w:t>9</w:t>
            </w:r>
            <w:r w:rsidRPr="000B25F6">
              <w:rPr>
                <w:sz w:val="20"/>
              </w:rPr>
              <w:t>/L) or</w:t>
            </w:r>
          </w:p>
          <w:p w:rsidR="00473FF2" w:rsidRPr="000B25F6" w:rsidRDefault="00473FF2" w:rsidP="000B25F6">
            <w:pPr>
              <w:keepNext/>
              <w:spacing w:after="0"/>
              <w:ind w:left="826" w:hanging="826"/>
              <w:rPr>
                <w:sz w:val="20"/>
                <w:vertAlign w:val="superscript"/>
              </w:rPr>
            </w:pPr>
            <w:r w:rsidRPr="000B25F6">
              <w:rPr>
                <w:sz w:val="20"/>
              </w:rPr>
              <w:t>Grade 4 (&lt;500/mm</w:t>
            </w:r>
            <w:r w:rsidRPr="000B25F6">
              <w:rPr>
                <w:sz w:val="20"/>
                <w:vertAlign w:val="superscript"/>
              </w:rPr>
              <w:t>3</w:t>
            </w:r>
          </w:p>
          <w:p w:rsidR="00473FF2" w:rsidRPr="000B25F6" w:rsidRDefault="00473FF2" w:rsidP="000B25F6">
            <w:pPr>
              <w:keepNext/>
              <w:spacing w:after="0"/>
              <w:ind w:left="826" w:hanging="826"/>
              <w:rPr>
                <w:sz w:val="20"/>
              </w:rPr>
            </w:pPr>
            <w:r w:rsidRPr="000B25F6">
              <w:rPr>
                <w:sz w:val="20"/>
                <w:vertAlign w:val="superscript"/>
              </w:rPr>
              <w:t xml:space="preserve">                          </w:t>
            </w:r>
            <w:r w:rsidRPr="000B25F6">
              <w:rPr>
                <w:sz w:val="20"/>
              </w:rPr>
              <w:t>&lt;0.5 x 10</w:t>
            </w:r>
            <w:r w:rsidRPr="000B25F6">
              <w:rPr>
                <w:sz w:val="20"/>
                <w:vertAlign w:val="superscript"/>
              </w:rPr>
              <w:t>9</w:t>
            </w:r>
            <w:r w:rsidRPr="000B25F6">
              <w:rPr>
                <w:sz w:val="20"/>
              </w:rPr>
              <w:t>/L)</w:t>
            </w:r>
          </w:p>
        </w:tc>
        <w:tc>
          <w:tcPr>
            <w:tcW w:w="2103" w:type="pct"/>
          </w:tcPr>
          <w:p w:rsidR="00473FF2" w:rsidRPr="000B25F6" w:rsidRDefault="00473FF2" w:rsidP="000B25F6">
            <w:pPr>
              <w:keepNext/>
              <w:spacing w:after="0"/>
              <w:rPr>
                <w:sz w:val="20"/>
              </w:rPr>
            </w:pPr>
            <w:r w:rsidRPr="000B25F6">
              <w:rPr>
                <w:sz w:val="20"/>
              </w:rPr>
              <w:t xml:space="preserve">Withhold dose until toxicity returns to ≤ Grade 2 or baseline then resume treatment at the same dose and schedule </w:t>
            </w:r>
            <w:r w:rsidRPr="000B25F6">
              <w:rPr>
                <w:sz w:val="20"/>
                <w:vertAlign w:val="superscript"/>
              </w:rPr>
              <w:t>b</w:t>
            </w:r>
            <w:r w:rsidRPr="000B25F6">
              <w:rPr>
                <w:sz w:val="20"/>
              </w:rPr>
              <w:t>. Consider growth factor support (G-CSF or GM-CSF) in subsequent cycles for patients who develop Grade 3 or Grade 4 neutropenia.</w:t>
            </w:r>
          </w:p>
        </w:tc>
      </w:tr>
    </w:tbl>
    <w:p w:rsidR="00473FF2" w:rsidRPr="000B25F6" w:rsidRDefault="00473FF2" w:rsidP="000B25F6">
      <w:pPr>
        <w:pStyle w:val="Paragraph"/>
        <w:keepNext/>
        <w:numPr>
          <w:ilvl w:val="0"/>
          <w:numId w:val="33"/>
        </w:numPr>
        <w:spacing w:after="0"/>
        <w:rPr>
          <w:rFonts w:ascii="Arial" w:hAnsi="Arial" w:cs="Arial"/>
          <w:sz w:val="20"/>
          <w:szCs w:val="20"/>
        </w:rPr>
      </w:pPr>
      <w:r w:rsidRPr="000B25F6">
        <w:rPr>
          <w:rFonts w:ascii="Arial" w:hAnsi="Arial" w:cs="Arial"/>
          <w:sz w:val="20"/>
          <w:szCs w:val="20"/>
          <w:lang w:val="en-GB"/>
        </w:rPr>
        <w:t>Grading based on National Cancer Institute (NCI) Common Terminology Criteria for Adverse Events (CTCAE) v3.0; see Neutrophils/granulocytes; LLN= lower limit of normal</w:t>
      </w:r>
    </w:p>
    <w:p w:rsidR="00473FF2" w:rsidRPr="000B25F6" w:rsidRDefault="00473FF2" w:rsidP="000B25F6">
      <w:pPr>
        <w:pStyle w:val="Paragraph"/>
        <w:keepNext/>
        <w:numPr>
          <w:ilvl w:val="0"/>
          <w:numId w:val="33"/>
        </w:numPr>
        <w:spacing w:after="0"/>
        <w:rPr>
          <w:rFonts w:ascii="Arial" w:hAnsi="Arial" w:cs="Arial"/>
          <w:sz w:val="20"/>
          <w:szCs w:val="20"/>
        </w:rPr>
      </w:pPr>
      <w:r w:rsidRPr="000B25F6">
        <w:rPr>
          <w:rFonts w:ascii="Arial" w:hAnsi="Arial" w:cs="Arial"/>
          <w:sz w:val="20"/>
          <w:szCs w:val="20"/>
          <w:lang w:val="en-GB"/>
        </w:rPr>
        <w:t xml:space="preserve">Patients who develop Grade 3 or Grade 4 </w:t>
      </w:r>
      <w:proofErr w:type="spellStart"/>
      <w:r w:rsidRPr="000B25F6">
        <w:rPr>
          <w:rFonts w:ascii="Arial" w:hAnsi="Arial" w:cs="Arial"/>
          <w:sz w:val="20"/>
          <w:szCs w:val="20"/>
          <w:lang w:val="en-GB"/>
        </w:rPr>
        <w:t>lymphopenia</w:t>
      </w:r>
      <w:proofErr w:type="spellEnd"/>
      <w:r w:rsidRPr="000B25F6">
        <w:rPr>
          <w:rFonts w:ascii="Arial" w:hAnsi="Arial" w:cs="Arial"/>
          <w:sz w:val="20"/>
          <w:szCs w:val="20"/>
          <w:lang w:val="en-GB"/>
        </w:rPr>
        <w:t xml:space="preserve"> may continue treatment without interruption. </w:t>
      </w:r>
    </w:p>
    <w:p w:rsidR="00473FF2" w:rsidRPr="00C36C6C" w:rsidRDefault="00473FF2" w:rsidP="00473FF2">
      <w:pPr>
        <w:rPr>
          <w:bCs/>
          <w:i/>
        </w:rPr>
      </w:pPr>
    </w:p>
    <w:p w:rsidR="00473FF2" w:rsidRPr="00B246A6" w:rsidRDefault="00473FF2" w:rsidP="00473FF2">
      <w:pPr>
        <w:keepNext/>
        <w:rPr>
          <w:i/>
          <w:szCs w:val="22"/>
        </w:rPr>
      </w:pPr>
      <w:r w:rsidRPr="00B246A6">
        <w:rPr>
          <w:bCs/>
          <w:i/>
        </w:rPr>
        <w:t>Peripheral neuropathy</w:t>
      </w:r>
    </w:p>
    <w:p w:rsidR="00473FF2" w:rsidRPr="00B246A6" w:rsidRDefault="00473FF2" w:rsidP="000B25F6">
      <w:pPr>
        <w:spacing w:after="120"/>
        <w:rPr>
          <w:szCs w:val="22"/>
        </w:rPr>
      </w:pPr>
      <w:r w:rsidRPr="00B246A6">
        <w:rPr>
          <w:szCs w:val="22"/>
        </w:rPr>
        <w:t xml:space="preserve">If peripheral sensory or motor neuropathy emerges or worsens during treatment see Table </w:t>
      </w:r>
      <w:r w:rsidR="00B246A6" w:rsidRPr="00B246A6">
        <w:rPr>
          <w:szCs w:val="22"/>
        </w:rPr>
        <w:t xml:space="preserve">7 </w:t>
      </w:r>
      <w:r w:rsidRPr="00B246A6">
        <w:rPr>
          <w:szCs w:val="22"/>
        </w:rPr>
        <w:t xml:space="preserve">below for appropriate dosing recommendations (see </w:t>
      </w:r>
      <w:r w:rsidR="00B246A6" w:rsidRPr="00B246A6">
        <w:rPr>
          <w:szCs w:val="22"/>
        </w:rPr>
        <w:t>’Precautions’</w:t>
      </w:r>
      <w:r w:rsidRPr="00B246A6">
        <w:rPr>
          <w:szCs w:val="22"/>
        </w:rPr>
        <w:t>).</w:t>
      </w:r>
    </w:p>
    <w:p w:rsidR="00473FF2" w:rsidRPr="00B246A6" w:rsidRDefault="00473FF2" w:rsidP="00473FF2">
      <w:pPr>
        <w:keepNext/>
        <w:autoSpaceDE w:val="0"/>
        <w:autoSpaceDN w:val="0"/>
        <w:adjustRightInd w:val="0"/>
        <w:ind w:left="900" w:hanging="900"/>
        <w:rPr>
          <w:b/>
          <w:i/>
          <w:szCs w:val="22"/>
        </w:rPr>
      </w:pPr>
      <w:r w:rsidRPr="00B246A6">
        <w:rPr>
          <w:b/>
          <w:szCs w:val="22"/>
        </w:rPr>
        <w:lastRenderedPageBreak/>
        <w:t xml:space="preserve">Table </w:t>
      </w:r>
      <w:r w:rsidR="00B246A6" w:rsidRPr="00B246A6">
        <w:rPr>
          <w:b/>
          <w:szCs w:val="22"/>
        </w:rPr>
        <w:t>7</w:t>
      </w:r>
      <w:r w:rsidRPr="00B246A6">
        <w:rPr>
          <w:b/>
          <w:szCs w:val="22"/>
        </w:rPr>
        <w:t>: Dosing recommendations for new or worsening peripheral sensory or motor neuropathy</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1"/>
        <w:gridCol w:w="4116"/>
      </w:tblGrid>
      <w:tr w:rsidR="00473FF2" w:rsidRPr="000B25F6" w:rsidTr="009C2880">
        <w:tc>
          <w:tcPr>
            <w:tcW w:w="2897" w:type="pct"/>
          </w:tcPr>
          <w:p w:rsidR="00473FF2" w:rsidRPr="000B25F6" w:rsidRDefault="00473FF2" w:rsidP="000B25F6">
            <w:pPr>
              <w:keepNext/>
              <w:spacing w:after="0"/>
              <w:jc w:val="center"/>
              <w:rPr>
                <w:b/>
                <w:bCs/>
                <w:sz w:val="20"/>
              </w:rPr>
            </w:pPr>
            <w:r w:rsidRPr="000B25F6">
              <w:rPr>
                <w:b/>
                <w:bCs/>
                <w:sz w:val="20"/>
              </w:rPr>
              <w:t xml:space="preserve">Severity of peripheral sensory or motor neuropathy </w:t>
            </w:r>
          </w:p>
          <w:p w:rsidR="00473FF2" w:rsidRPr="000B25F6" w:rsidRDefault="00473FF2" w:rsidP="000B25F6">
            <w:pPr>
              <w:keepNext/>
              <w:spacing w:after="0"/>
              <w:jc w:val="center"/>
              <w:rPr>
                <w:b/>
                <w:bCs/>
                <w:sz w:val="20"/>
              </w:rPr>
            </w:pPr>
            <w:r w:rsidRPr="000B25F6">
              <w:rPr>
                <w:b/>
                <w:bCs/>
                <w:sz w:val="20"/>
              </w:rPr>
              <w:t xml:space="preserve">(signs and symptoms </w:t>
            </w:r>
            <w:r w:rsidRPr="000B25F6">
              <w:rPr>
                <w:bCs/>
                <w:sz w:val="20"/>
              </w:rPr>
              <w:t xml:space="preserve">[abbreviated description of </w:t>
            </w:r>
            <w:proofErr w:type="spellStart"/>
            <w:r w:rsidRPr="000B25F6">
              <w:rPr>
                <w:bCs/>
                <w:sz w:val="20"/>
              </w:rPr>
              <w:t>CTCAE</w:t>
            </w:r>
            <w:r w:rsidRPr="000B25F6">
              <w:rPr>
                <w:bCs/>
                <w:sz w:val="20"/>
                <w:vertAlign w:val="superscript"/>
              </w:rPr>
              <w:t>a</w:t>
            </w:r>
            <w:proofErr w:type="spellEnd"/>
            <w:r w:rsidRPr="000B25F6">
              <w:rPr>
                <w:bCs/>
                <w:sz w:val="20"/>
              </w:rPr>
              <w:t>])</w:t>
            </w:r>
          </w:p>
        </w:tc>
        <w:tc>
          <w:tcPr>
            <w:tcW w:w="2103" w:type="pct"/>
          </w:tcPr>
          <w:p w:rsidR="00473FF2" w:rsidRPr="000B25F6" w:rsidRDefault="00473FF2" w:rsidP="000B25F6">
            <w:pPr>
              <w:keepNext/>
              <w:spacing w:after="0"/>
              <w:jc w:val="center"/>
              <w:rPr>
                <w:b/>
                <w:bCs/>
                <w:sz w:val="20"/>
              </w:rPr>
            </w:pPr>
            <w:r w:rsidRPr="000B25F6">
              <w:rPr>
                <w:b/>
                <w:bCs/>
                <w:sz w:val="20"/>
              </w:rPr>
              <w:t>Modification of dose and schedule</w:t>
            </w:r>
          </w:p>
        </w:tc>
      </w:tr>
      <w:tr w:rsidR="00473FF2" w:rsidRPr="000B25F6" w:rsidTr="009C2880">
        <w:tc>
          <w:tcPr>
            <w:tcW w:w="2897" w:type="pct"/>
          </w:tcPr>
          <w:p w:rsidR="00473FF2" w:rsidRPr="000B25F6" w:rsidRDefault="00473FF2" w:rsidP="000B25F6">
            <w:pPr>
              <w:keepNext/>
              <w:spacing w:after="0"/>
              <w:rPr>
                <w:sz w:val="20"/>
              </w:rPr>
            </w:pPr>
            <w:r w:rsidRPr="000B25F6">
              <w:rPr>
                <w:sz w:val="20"/>
              </w:rPr>
              <w:t>Grade 1 (paraesthesia and/or loss of reflexes, with no loss of function)</w:t>
            </w:r>
          </w:p>
        </w:tc>
        <w:tc>
          <w:tcPr>
            <w:tcW w:w="2103" w:type="pct"/>
          </w:tcPr>
          <w:p w:rsidR="00473FF2" w:rsidRPr="000B25F6" w:rsidRDefault="00473FF2" w:rsidP="000B25F6">
            <w:pPr>
              <w:keepNext/>
              <w:spacing w:after="0"/>
              <w:rPr>
                <w:sz w:val="20"/>
              </w:rPr>
            </w:pPr>
            <w:r w:rsidRPr="000B25F6">
              <w:rPr>
                <w:sz w:val="20"/>
              </w:rPr>
              <w:t xml:space="preserve">Continue with the same dose and schedule </w:t>
            </w:r>
          </w:p>
        </w:tc>
      </w:tr>
      <w:tr w:rsidR="00473FF2" w:rsidRPr="000B25F6" w:rsidTr="009C2880">
        <w:tc>
          <w:tcPr>
            <w:tcW w:w="2897" w:type="pct"/>
          </w:tcPr>
          <w:p w:rsidR="00473FF2" w:rsidRPr="000B25F6" w:rsidRDefault="00473FF2" w:rsidP="000B25F6">
            <w:pPr>
              <w:keepNext/>
              <w:spacing w:after="0"/>
              <w:ind w:left="792" w:hanging="792"/>
              <w:rPr>
                <w:sz w:val="20"/>
              </w:rPr>
            </w:pPr>
            <w:r w:rsidRPr="000B25F6">
              <w:rPr>
                <w:sz w:val="20"/>
              </w:rPr>
              <w:t xml:space="preserve">Grade 2 (interfering with function but not with activities of daily living) or </w:t>
            </w:r>
          </w:p>
          <w:p w:rsidR="00473FF2" w:rsidRPr="000B25F6" w:rsidRDefault="00473FF2" w:rsidP="000B25F6">
            <w:pPr>
              <w:keepNext/>
              <w:spacing w:after="0"/>
              <w:rPr>
                <w:sz w:val="20"/>
              </w:rPr>
            </w:pPr>
            <w:r w:rsidRPr="000B25F6">
              <w:rPr>
                <w:sz w:val="20"/>
              </w:rPr>
              <w:t>Grade 3 (interfering with activities of daily living)</w:t>
            </w:r>
          </w:p>
        </w:tc>
        <w:tc>
          <w:tcPr>
            <w:tcW w:w="2103" w:type="pct"/>
          </w:tcPr>
          <w:p w:rsidR="00473FF2" w:rsidRPr="000B25F6" w:rsidRDefault="00473FF2" w:rsidP="000B25F6">
            <w:pPr>
              <w:keepNext/>
              <w:spacing w:after="0"/>
              <w:rPr>
                <w:sz w:val="20"/>
              </w:rPr>
            </w:pPr>
            <w:r w:rsidRPr="000B25F6">
              <w:rPr>
                <w:bCs/>
                <w:sz w:val="20"/>
              </w:rPr>
              <w:t>Withhold dose until toxicity returns to ≤ Grade 1 or baseline, then restart treatment at a reduced dose of 1.2 mg/kg every 3 weeks</w:t>
            </w:r>
          </w:p>
        </w:tc>
      </w:tr>
      <w:tr w:rsidR="00473FF2" w:rsidRPr="000B25F6" w:rsidTr="009C2880">
        <w:tc>
          <w:tcPr>
            <w:tcW w:w="2897" w:type="pct"/>
          </w:tcPr>
          <w:p w:rsidR="00473FF2" w:rsidRPr="000B25F6" w:rsidRDefault="00473FF2" w:rsidP="000B25F6">
            <w:pPr>
              <w:keepNext/>
              <w:spacing w:after="0"/>
              <w:ind w:left="826" w:hanging="826"/>
              <w:rPr>
                <w:sz w:val="20"/>
              </w:rPr>
            </w:pPr>
            <w:r w:rsidRPr="000B25F6">
              <w:rPr>
                <w:sz w:val="20"/>
              </w:rPr>
              <w:t>Grade 4 (sensory neuropathy which is disabling or motor neuropathy that is life threatening or leads to paralysis)</w:t>
            </w:r>
          </w:p>
        </w:tc>
        <w:tc>
          <w:tcPr>
            <w:tcW w:w="2103" w:type="pct"/>
          </w:tcPr>
          <w:p w:rsidR="00473FF2" w:rsidRPr="000B25F6" w:rsidRDefault="00473FF2" w:rsidP="000B25F6">
            <w:pPr>
              <w:keepNext/>
              <w:spacing w:after="0"/>
              <w:rPr>
                <w:sz w:val="20"/>
              </w:rPr>
            </w:pPr>
            <w:r w:rsidRPr="000B25F6">
              <w:rPr>
                <w:sz w:val="20"/>
              </w:rPr>
              <w:t>Discontinue treatment</w:t>
            </w:r>
          </w:p>
        </w:tc>
      </w:tr>
    </w:tbl>
    <w:p w:rsidR="00473FF2" w:rsidRPr="000B25F6" w:rsidRDefault="00473FF2" w:rsidP="000B25F6">
      <w:pPr>
        <w:pStyle w:val="Paragraph"/>
        <w:numPr>
          <w:ilvl w:val="0"/>
          <w:numId w:val="34"/>
        </w:numPr>
        <w:spacing w:after="0"/>
        <w:ind w:left="357" w:hanging="357"/>
        <w:rPr>
          <w:rFonts w:ascii="Arial" w:hAnsi="Arial" w:cs="Arial"/>
          <w:sz w:val="20"/>
          <w:szCs w:val="20"/>
        </w:rPr>
      </w:pPr>
      <w:r w:rsidRPr="000B25F6">
        <w:rPr>
          <w:rFonts w:ascii="Arial" w:hAnsi="Arial" w:cs="Arial"/>
          <w:sz w:val="20"/>
          <w:szCs w:val="20"/>
          <w:lang w:val="en-GB"/>
        </w:rPr>
        <w:t xml:space="preserve">Grading based on National Cancer Institute (NCI) Common Terminology Criteria for Adverse Events (CTCAE) v3.0; see neuropathy: motor; neuropathy: sensory; and neuropathic pain. </w:t>
      </w:r>
    </w:p>
    <w:p w:rsidR="003719F6" w:rsidRDefault="003719F6" w:rsidP="000B25F6">
      <w:pPr>
        <w:pStyle w:val="Heading2"/>
      </w:pPr>
    </w:p>
    <w:p w:rsidR="00C5107C" w:rsidRPr="001C61F9" w:rsidRDefault="00C5107C" w:rsidP="000B25F6">
      <w:pPr>
        <w:pStyle w:val="Heading2"/>
      </w:pPr>
      <w:r w:rsidRPr="001C61F9">
        <w:t xml:space="preserve">Method of administration </w:t>
      </w:r>
    </w:p>
    <w:p w:rsidR="00C5107C" w:rsidRPr="00C5107C" w:rsidRDefault="00C5107C" w:rsidP="00C5107C">
      <w:pPr>
        <w:rPr>
          <w:szCs w:val="22"/>
        </w:rPr>
      </w:pPr>
      <w:r w:rsidRPr="00C5107C">
        <w:rPr>
          <w:szCs w:val="22"/>
        </w:rPr>
        <w:t xml:space="preserve">The recommended dose of ADCETRIS is infused over 30 minutes. </w:t>
      </w:r>
    </w:p>
    <w:p w:rsidR="00C5107C" w:rsidRDefault="00866975" w:rsidP="00C5107C">
      <w:pPr>
        <w:rPr>
          <w:szCs w:val="22"/>
        </w:rPr>
      </w:pPr>
      <w:r>
        <w:rPr>
          <w:szCs w:val="22"/>
        </w:rPr>
        <w:t>ADCETRIS</w:t>
      </w:r>
      <w:r w:rsidR="00C5107C" w:rsidRPr="00C36C6C">
        <w:rPr>
          <w:szCs w:val="22"/>
        </w:rPr>
        <w:t xml:space="preserve"> must not be administered as an intravenous push or bolus. </w:t>
      </w:r>
      <w:r>
        <w:rPr>
          <w:szCs w:val="22"/>
        </w:rPr>
        <w:t>ADCETRIS</w:t>
      </w:r>
      <w:r w:rsidR="00C5107C" w:rsidRPr="00C36C6C">
        <w:rPr>
          <w:szCs w:val="22"/>
        </w:rPr>
        <w:t xml:space="preserve"> should be administered through a dedicated intravenous line and it must not be mixed with other medici</w:t>
      </w:r>
      <w:r w:rsidR="00C5107C">
        <w:rPr>
          <w:szCs w:val="22"/>
        </w:rPr>
        <w:t>nal products</w:t>
      </w:r>
      <w:r w:rsidR="00C5107C" w:rsidRPr="00B246A6">
        <w:rPr>
          <w:szCs w:val="22"/>
        </w:rPr>
        <w:t>.</w:t>
      </w:r>
    </w:p>
    <w:p w:rsidR="001C61F9" w:rsidRPr="001C61F9" w:rsidRDefault="001C61F9" w:rsidP="001C61F9">
      <w:pPr>
        <w:pStyle w:val="Paragraph"/>
        <w:spacing w:after="120"/>
        <w:rPr>
          <w:rFonts w:ascii="Arial" w:hAnsi="Arial"/>
          <w:sz w:val="22"/>
          <w:szCs w:val="22"/>
          <w:lang w:val="en-AU"/>
        </w:rPr>
      </w:pPr>
      <w:r w:rsidRPr="001C61F9">
        <w:rPr>
          <w:rFonts w:ascii="Arial" w:hAnsi="Arial"/>
          <w:sz w:val="22"/>
          <w:szCs w:val="22"/>
          <w:lang w:val="en-AU"/>
        </w:rPr>
        <w:t xml:space="preserve">Procedures for proper handling and disposal of anticancer medicines should be considered. </w:t>
      </w:r>
    </w:p>
    <w:p w:rsidR="001C61F9" w:rsidRPr="001C61F9" w:rsidRDefault="001C61F9" w:rsidP="001C61F9">
      <w:pPr>
        <w:pStyle w:val="Default"/>
        <w:rPr>
          <w:rFonts w:ascii="Arial" w:eastAsia="Times New Roman" w:hAnsi="Arial" w:cs="Times New Roman"/>
          <w:color w:val="auto"/>
          <w:sz w:val="22"/>
          <w:szCs w:val="22"/>
        </w:rPr>
      </w:pPr>
      <w:r w:rsidRPr="001C61F9">
        <w:rPr>
          <w:rFonts w:ascii="Arial" w:eastAsia="Times New Roman" w:hAnsi="Arial" w:cs="Times New Roman"/>
          <w:color w:val="auto"/>
          <w:sz w:val="22"/>
          <w:szCs w:val="22"/>
        </w:rPr>
        <w:t>Proper aseptic technique throughout the handling of this medicinal product should be followed.</w:t>
      </w:r>
    </w:p>
    <w:p w:rsidR="00A90C5C" w:rsidRPr="001C61F9" w:rsidRDefault="00A90C5C" w:rsidP="000B25F6">
      <w:pPr>
        <w:pStyle w:val="Heading2"/>
      </w:pPr>
      <w:r w:rsidRPr="001C61F9">
        <w:t xml:space="preserve">Instructions for reconstitution </w:t>
      </w:r>
    </w:p>
    <w:p w:rsidR="00A90C5C" w:rsidRPr="00C36C6C" w:rsidRDefault="00A90C5C" w:rsidP="00A90C5C">
      <w:pPr>
        <w:rPr>
          <w:rFonts w:eastAsia="MS Mincho"/>
        </w:rPr>
      </w:pPr>
      <w:r w:rsidRPr="00C36C6C">
        <w:rPr>
          <w:rFonts w:eastAsia="MS Mincho"/>
        </w:rPr>
        <w:t>Each single use vial must be reconstituted with 10.5 </w:t>
      </w:r>
      <w:r>
        <w:rPr>
          <w:rFonts w:eastAsia="MS Mincho"/>
        </w:rPr>
        <w:t>mL</w:t>
      </w:r>
      <w:r w:rsidRPr="00C36C6C">
        <w:rPr>
          <w:rFonts w:eastAsia="MS Mincho"/>
        </w:rPr>
        <w:t xml:space="preserve"> of water for injections to a final concentration of 5 mg/</w:t>
      </w:r>
      <w:proofErr w:type="spellStart"/>
      <w:r>
        <w:rPr>
          <w:rFonts w:eastAsia="MS Mincho"/>
        </w:rPr>
        <w:t>mL</w:t>
      </w:r>
      <w:r w:rsidRPr="00C36C6C">
        <w:rPr>
          <w:rFonts w:eastAsia="MS Mincho"/>
        </w:rPr>
        <w:t>.</w:t>
      </w:r>
      <w:proofErr w:type="spellEnd"/>
      <w:r w:rsidRPr="00C36C6C">
        <w:rPr>
          <w:rFonts w:eastAsia="MS Mincho"/>
        </w:rPr>
        <w:t xml:space="preserve"> </w:t>
      </w:r>
    </w:p>
    <w:p w:rsidR="00A90C5C" w:rsidRPr="001C61F9" w:rsidRDefault="00A90C5C" w:rsidP="00A90C5C">
      <w:pPr>
        <w:pStyle w:val="ListParagraph"/>
        <w:numPr>
          <w:ilvl w:val="0"/>
          <w:numId w:val="42"/>
        </w:numPr>
        <w:tabs>
          <w:tab w:val="clear" w:pos="567"/>
        </w:tabs>
        <w:ind w:left="540" w:hanging="540"/>
        <w:rPr>
          <w:rFonts w:ascii="Arial" w:hAnsi="Arial" w:cs="Arial"/>
        </w:rPr>
      </w:pPr>
      <w:r w:rsidRPr="001C61F9">
        <w:rPr>
          <w:rFonts w:ascii="Arial" w:hAnsi="Arial" w:cs="Arial"/>
        </w:rPr>
        <w:t xml:space="preserve">Direct the stream toward the wall of the vial and not directly at the cake or powder. </w:t>
      </w:r>
    </w:p>
    <w:p w:rsidR="00A90C5C" w:rsidRPr="001C61F9" w:rsidRDefault="00A90C5C" w:rsidP="00A90C5C">
      <w:pPr>
        <w:pStyle w:val="ListParagraph"/>
        <w:numPr>
          <w:ilvl w:val="0"/>
          <w:numId w:val="42"/>
        </w:numPr>
        <w:tabs>
          <w:tab w:val="clear" w:pos="567"/>
        </w:tabs>
        <w:ind w:left="540" w:hanging="540"/>
        <w:rPr>
          <w:rFonts w:ascii="Arial" w:hAnsi="Arial" w:cs="Arial"/>
        </w:rPr>
      </w:pPr>
      <w:r w:rsidRPr="001C61F9">
        <w:rPr>
          <w:rFonts w:ascii="Arial" w:hAnsi="Arial" w:cs="Arial"/>
        </w:rPr>
        <w:t>Gently swirl the vial to aid dissolution. DO NOT SHAKE.</w:t>
      </w:r>
    </w:p>
    <w:p w:rsidR="00A90C5C" w:rsidRPr="00A90C5C" w:rsidRDefault="00A90C5C" w:rsidP="00A90C5C">
      <w:pPr>
        <w:pStyle w:val="ListParagraph"/>
        <w:numPr>
          <w:ilvl w:val="0"/>
          <w:numId w:val="42"/>
        </w:numPr>
        <w:tabs>
          <w:tab w:val="clear" w:pos="567"/>
        </w:tabs>
        <w:ind w:left="540" w:hanging="540"/>
        <w:rPr>
          <w:rFonts w:ascii="Arial" w:hAnsi="Arial" w:cs="Arial"/>
        </w:rPr>
      </w:pPr>
      <w:r w:rsidRPr="001C61F9">
        <w:rPr>
          <w:rFonts w:ascii="Arial" w:eastAsia="MS Mincho" w:hAnsi="Arial" w:cs="Arial"/>
        </w:rPr>
        <w:t xml:space="preserve">The reconstituted solution in the vial is a clear to slightly opalescent, colourless solution with a final pH of 6.6. </w:t>
      </w:r>
    </w:p>
    <w:p w:rsidR="00A90C5C" w:rsidRPr="00A90C5C" w:rsidRDefault="00A90C5C" w:rsidP="00A90C5C">
      <w:pPr>
        <w:pStyle w:val="ListParagraph"/>
        <w:numPr>
          <w:ilvl w:val="0"/>
          <w:numId w:val="42"/>
        </w:numPr>
        <w:tabs>
          <w:tab w:val="clear" w:pos="567"/>
        </w:tabs>
        <w:ind w:left="540" w:hanging="540"/>
        <w:rPr>
          <w:rFonts w:ascii="Arial" w:eastAsia="MS Mincho" w:hAnsi="Arial" w:cs="Arial"/>
        </w:rPr>
      </w:pPr>
      <w:r w:rsidRPr="00A90C5C">
        <w:rPr>
          <w:rFonts w:ascii="Arial" w:eastAsia="MS Mincho" w:hAnsi="Arial" w:cs="Arial"/>
        </w:rPr>
        <w:t xml:space="preserve">The reconstituted solution should be inspected visually for any foreign particulate matter and/or discoloration. In the event of either being observed, discard the medicinal product. </w:t>
      </w:r>
    </w:p>
    <w:p w:rsidR="00381BDC" w:rsidRPr="001C61F9" w:rsidRDefault="00381BDC" w:rsidP="000B25F6">
      <w:pPr>
        <w:pStyle w:val="Heading2"/>
      </w:pPr>
      <w:r w:rsidRPr="001C61F9">
        <w:t>Preparation of infusion solution</w:t>
      </w:r>
    </w:p>
    <w:p w:rsidR="00381BDC" w:rsidRPr="00C36C6C" w:rsidRDefault="00381BDC" w:rsidP="00381BDC">
      <w:r w:rsidRPr="00C36C6C">
        <w:t>The appropriate amount of reconstituted ADCETRIS must be withdrawn from the vial(s) and added to an infusion bag containing sodium chloride 9 mg/</w:t>
      </w:r>
      <w:r>
        <w:t>mL</w:t>
      </w:r>
      <w:r w:rsidRPr="00C36C6C">
        <w:t xml:space="preserve"> (0.9%) solution for injection in order to achieve a final concentration of 0.4</w:t>
      </w:r>
      <w:r w:rsidRPr="00C36C6C">
        <w:noBreakHyphen/>
        <w:t>1.2 mg/</w:t>
      </w:r>
      <w:r>
        <w:t>mL</w:t>
      </w:r>
      <w:r w:rsidRPr="00C36C6C">
        <w:t xml:space="preserve"> </w:t>
      </w:r>
      <w:r w:rsidRPr="000D5F75">
        <w:t>ADCETRIS. The recommended diluent volume is 150 </w:t>
      </w:r>
      <w:proofErr w:type="spellStart"/>
      <w:r w:rsidRPr="000D5F75">
        <w:t>mL.</w:t>
      </w:r>
      <w:proofErr w:type="spellEnd"/>
      <w:r w:rsidRPr="000D5F75">
        <w:t xml:space="preserve"> The already reconstituted ADCETRIS can also be diluted into 5% dextrose for injection or Lactated Ringer's for injection.</w:t>
      </w:r>
      <w:r w:rsidRPr="00C36C6C">
        <w:t xml:space="preserve"> </w:t>
      </w:r>
    </w:p>
    <w:p w:rsidR="00381BDC" w:rsidRPr="00C36C6C" w:rsidRDefault="00381BDC" w:rsidP="00381BDC">
      <w:r w:rsidRPr="00C36C6C">
        <w:t xml:space="preserve">Gently </w:t>
      </w:r>
      <w:r>
        <w:t>i</w:t>
      </w:r>
      <w:r w:rsidRPr="00C36C6C">
        <w:t xml:space="preserve">nvert the bag to mix the solution containing ADCETRIS. DO NOT SHAKE. </w:t>
      </w:r>
    </w:p>
    <w:p w:rsidR="00381BDC" w:rsidRDefault="00381BDC" w:rsidP="00381BDC">
      <w:r>
        <w:t xml:space="preserve">Any portion left in the vial, after withdrawal of the volume to be diluted, must be disposed of in accordance with local requirements. </w:t>
      </w:r>
    </w:p>
    <w:p w:rsidR="00381BDC" w:rsidRPr="00C36C6C" w:rsidRDefault="00381BDC" w:rsidP="00381BDC">
      <w:r w:rsidRPr="00C36C6C">
        <w:t>Do not add other medicinal products to the prepared ADCETRIS infusion solution or intravenous infusion set. The infusion line should be flushed following administration with sodium chloride 9 mg/</w:t>
      </w:r>
      <w:r>
        <w:t>mL</w:t>
      </w:r>
      <w:r w:rsidRPr="00C36C6C">
        <w:t xml:space="preserve"> (0.9%) solution for injection, 5% dextrose for injection, or Lactated Ringer's for injection. </w:t>
      </w:r>
    </w:p>
    <w:p w:rsidR="00381BDC" w:rsidRPr="00C36C6C" w:rsidRDefault="00381BDC" w:rsidP="00381BDC">
      <w:r w:rsidRPr="00C36C6C">
        <w:t xml:space="preserve">Following dilution, infuse the ADCETRIS solution immediately at the recommended infusion rate. </w:t>
      </w:r>
    </w:p>
    <w:p w:rsidR="00381BDC" w:rsidRPr="00C36C6C" w:rsidRDefault="00381BDC" w:rsidP="00381BDC">
      <w:r w:rsidRPr="00C36C6C">
        <w:t xml:space="preserve">Total storage time of the solution from reconstitution to infusion should not exceed 24 hours. </w:t>
      </w:r>
    </w:p>
    <w:p w:rsidR="001C61F9" w:rsidRPr="001C61F9" w:rsidRDefault="001C61F9" w:rsidP="000B25F6">
      <w:pPr>
        <w:pStyle w:val="Heading2"/>
      </w:pPr>
      <w:r w:rsidRPr="001C61F9">
        <w:t>Determining dosage amount</w:t>
      </w:r>
    </w:p>
    <w:p w:rsidR="001C61F9" w:rsidRDefault="00236743" w:rsidP="001C61F9">
      <w:pPr>
        <w:pStyle w:val="Default"/>
        <w:spacing w:after="240"/>
        <w:rPr>
          <w:rFonts w:ascii="Arial" w:eastAsia="Times New Roman" w:hAnsi="Arial" w:cs="Times New Roman"/>
          <w:color w:val="auto"/>
          <w:sz w:val="22"/>
          <w:szCs w:val="22"/>
        </w:rPr>
      </w:pPr>
      <w:r w:rsidRPr="00236743">
        <w:rPr>
          <w:rFonts w:ascii="Arial" w:eastAsia="Times New Roman" w:hAnsi="Arial" w:cs="Times New Roman"/>
          <w:color w:val="auto"/>
          <w:sz w:val="22"/>
          <w:szCs w:val="22"/>
        </w:rPr>
        <w:t>Calculation to determine the total ADCETRIS dose (mL) to be further diluted</w:t>
      </w:r>
      <w:r w:rsidR="00BE40E6">
        <w:rPr>
          <w:rFonts w:ascii="Arial" w:eastAsia="Times New Roman" w:hAnsi="Arial" w:cs="Times New Roman"/>
          <w:color w:val="auto"/>
          <w:sz w:val="22"/>
          <w:szCs w:val="22"/>
        </w:rPr>
        <w:t>:</w:t>
      </w:r>
      <w:r w:rsidR="00381BDC" w:rsidRPr="001C61F9">
        <w:rPr>
          <w:rFonts w:ascii="Arial" w:eastAsia="Times New Roman" w:hAnsi="Arial" w:cs="Times New Roman"/>
          <w:color w:val="auto"/>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4784"/>
      </w:tblGrid>
      <w:tr w:rsidR="001C61F9" w:rsidRPr="00F61FEC" w:rsidTr="001C61F9">
        <w:tc>
          <w:tcPr>
            <w:tcW w:w="5070" w:type="dxa"/>
          </w:tcPr>
          <w:p w:rsidR="001C61F9" w:rsidRPr="00F61FEC" w:rsidRDefault="001C61F9" w:rsidP="00B06D0C">
            <w:pPr>
              <w:pStyle w:val="Default"/>
              <w:jc w:val="center"/>
              <w:rPr>
                <w:rFonts w:ascii="Arial" w:eastAsia="Times New Roman" w:hAnsi="Arial" w:cs="Times New Roman"/>
                <w:color w:val="auto"/>
                <w:sz w:val="20"/>
                <w:szCs w:val="20"/>
              </w:rPr>
            </w:pPr>
            <w:r w:rsidRPr="00F61FEC">
              <w:rPr>
                <w:rFonts w:ascii="Arial" w:eastAsia="Times New Roman" w:hAnsi="Arial" w:cs="Times New Roman"/>
                <w:color w:val="auto"/>
                <w:sz w:val="20"/>
                <w:szCs w:val="20"/>
              </w:rPr>
              <w:lastRenderedPageBreak/>
              <w:t>A</w:t>
            </w:r>
            <w:r w:rsidR="00B06D0C" w:rsidRPr="00F61FEC">
              <w:rPr>
                <w:rFonts w:ascii="Arial" w:eastAsia="Times New Roman" w:hAnsi="Arial" w:cs="Times New Roman"/>
                <w:color w:val="auto"/>
                <w:sz w:val="20"/>
                <w:szCs w:val="20"/>
              </w:rPr>
              <w:t>DCETRIS</w:t>
            </w:r>
            <w:r w:rsidRPr="00F61FEC">
              <w:rPr>
                <w:rFonts w:ascii="Arial" w:eastAsia="Times New Roman" w:hAnsi="Arial" w:cs="Times New Roman"/>
                <w:color w:val="auto"/>
                <w:sz w:val="20"/>
                <w:szCs w:val="20"/>
              </w:rPr>
              <w:t xml:space="preserve"> dose (mg/kg) x patients body weight (kg)</w:t>
            </w:r>
          </w:p>
        </w:tc>
        <w:tc>
          <w:tcPr>
            <w:tcW w:w="4784" w:type="dxa"/>
            <w:vMerge w:val="restart"/>
            <w:vAlign w:val="center"/>
          </w:tcPr>
          <w:p w:rsidR="001C61F9" w:rsidRPr="00F61FEC" w:rsidRDefault="001C61F9" w:rsidP="00B06D0C">
            <w:pPr>
              <w:pStyle w:val="Default"/>
              <w:jc w:val="center"/>
              <w:rPr>
                <w:rFonts w:ascii="Arial" w:eastAsia="Times New Roman" w:hAnsi="Arial" w:cs="Times New Roman"/>
                <w:color w:val="auto"/>
                <w:sz w:val="20"/>
                <w:szCs w:val="20"/>
              </w:rPr>
            </w:pPr>
            <w:r w:rsidRPr="00F61FEC">
              <w:rPr>
                <w:rFonts w:ascii="Arial" w:eastAsia="Times New Roman" w:hAnsi="Arial" w:cs="Times New Roman"/>
                <w:color w:val="auto"/>
                <w:sz w:val="20"/>
                <w:szCs w:val="20"/>
              </w:rPr>
              <w:t>= Total A</w:t>
            </w:r>
            <w:r w:rsidR="00B06D0C" w:rsidRPr="00F61FEC">
              <w:rPr>
                <w:rFonts w:ascii="Arial" w:eastAsia="Times New Roman" w:hAnsi="Arial" w:cs="Times New Roman"/>
                <w:color w:val="auto"/>
                <w:sz w:val="20"/>
                <w:szCs w:val="20"/>
              </w:rPr>
              <w:t>DCETRIS</w:t>
            </w:r>
            <w:r w:rsidRPr="00F61FEC">
              <w:rPr>
                <w:rFonts w:ascii="Arial" w:eastAsia="Times New Roman" w:hAnsi="Arial" w:cs="Times New Roman"/>
                <w:color w:val="auto"/>
                <w:sz w:val="20"/>
                <w:szCs w:val="20"/>
              </w:rPr>
              <w:t xml:space="preserve"> dose (mL) to be diluted further</w:t>
            </w:r>
          </w:p>
        </w:tc>
      </w:tr>
      <w:tr w:rsidR="001C61F9" w:rsidRPr="00F61FEC" w:rsidTr="001C61F9">
        <w:tc>
          <w:tcPr>
            <w:tcW w:w="5070" w:type="dxa"/>
          </w:tcPr>
          <w:p w:rsidR="001C61F9" w:rsidRPr="00F61FEC" w:rsidRDefault="001C61F9" w:rsidP="001C61F9">
            <w:pPr>
              <w:pStyle w:val="Default"/>
              <w:jc w:val="center"/>
              <w:rPr>
                <w:rFonts w:ascii="Arial" w:eastAsia="Times New Roman" w:hAnsi="Arial" w:cs="Times New Roman"/>
                <w:color w:val="auto"/>
                <w:sz w:val="20"/>
                <w:szCs w:val="20"/>
              </w:rPr>
            </w:pPr>
            <w:r w:rsidRPr="00F61FEC">
              <w:rPr>
                <w:rFonts w:ascii="Arial" w:eastAsia="Times New Roman" w:hAnsi="Arial" w:cs="Times New Roman"/>
                <w:color w:val="auto"/>
                <w:sz w:val="20"/>
                <w:szCs w:val="20"/>
              </w:rPr>
              <w:t>Reconstituted vial concentration (5 mg/mL)</w:t>
            </w:r>
          </w:p>
        </w:tc>
        <w:tc>
          <w:tcPr>
            <w:tcW w:w="4784" w:type="dxa"/>
            <w:vMerge/>
          </w:tcPr>
          <w:p w:rsidR="001C61F9" w:rsidRPr="00F61FEC" w:rsidRDefault="001C61F9" w:rsidP="001C61F9">
            <w:pPr>
              <w:pStyle w:val="Default"/>
              <w:rPr>
                <w:rFonts w:ascii="Arial" w:eastAsia="Times New Roman" w:hAnsi="Arial" w:cs="Times New Roman"/>
                <w:color w:val="auto"/>
                <w:sz w:val="20"/>
                <w:szCs w:val="20"/>
              </w:rPr>
            </w:pPr>
          </w:p>
        </w:tc>
      </w:tr>
    </w:tbl>
    <w:p w:rsidR="001C61F9" w:rsidRPr="00F61FEC" w:rsidRDefault="001C61F9" w:rsidP="000B25F6">
      <w:pPr>
        <w:tabs>
          <w:tab w:val="left" w:pos="0"/>
        </w:tabs>
        <w:spacing w:before="120"/>
        <w:rPr>
          <w:sz w:val="20"/>
        </w:rPr>
      </w:pPr>
      <w:r w:rsidRPr="00F61FEC">
        <w:rPr>
          <w:sz w:val="20"/>
        </w:rPr>
        <w:t xml:space="preserve">Note: If patient’s weight is more than 100 kg, the dose calculation should use 100 kg. The maximal recommended dose is 180 mg. </w:t>
      </w:r>
    </w:p>
    <w:p w:rsidR="001C61F9" w:rsidRPr="00F61FEC" w:rsidRDefault="001C61F9" w:rsidP="00F61FEC">
      <w:pPr>
        <w:pStyle w:val="Default"/>
        <w:spacing w:after="240"/>
        <w:rPr>
          <w:rFonts w:ascii="Arial" w:eastAsia="Times New Roman" w:hAnsi="Arial" w:cs="Times New Roman"/>
          <w:i/>
          <w:color w:val="auto"/>
          <w:sz w:val="22"/>
          <w:szCs w:val="22"/>
        </w:rPr>
      </w:pPr>
      <w:r w:rsidRPr="00F61FEC">
        <w:rPr>
          <w:rFonts w:ascii="Arial" w:eastAsia="Times New Roman" w:hAnsi="Arial" w:cs="Times New Roman"/>
          <w:i/>
          <w:color w:val="auto"/>
          <w:sz w:val="22"/>
          <w:szCs w:val="22"/>
        </w:rPr>
        <w:t xml:space="preserve">Calculation to determine the total number of ADCETRIS vials needed: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4784"/>
      </w:tblGrid>
      <w:tr w:rsidR="004F30AB" w:rsidRPr="00F61FEC" w:rsidTr="00CB38C4">
        <w:tc>
          <w:tcPr>
            <w:tcW w:w="5070" w:type="dxa"/>
          </w:tcPr>
          <w:p w:rsidR="004F30AB" w:rsidRPr="00F61FEC" w:rsidRDefault="004F30AB" w:rsidP="004F30AB">
            <w:pPr>
              <w:pStyle w:val="Default"/>
              <w:jc w:val="center"/>
              <w:rPr>
                <w:rFonts w:ascii="Arial" w:eastAsia="Times New Roman" w:hAnsi="Arial" w:cs="Times New Roman"/>
                <w:color w:val="auto"/>
                <w:sz w:val="20"/>
                <w:szCs w:val="20"/>
              </w:rPr>
            </w:pPr>
            <w:r w:rsidRPr="00F61FEC">
              <w:rPr>
                <w:rFonts w:ascii="Arial" w:eastAsia="Times New Roman" w:hAnsi="Arial" w:cs="Times New Roman"/>
                <w:color w:val="auto"/>
                <w:sz w:val="20"/>
                <w:szCs w:val="20"/>
              </w:rPr>
              <w:t xml:space="preserve">Total </w:t>
            </w:r>
            <w:r w:rsidR="00B06D0C" w:rsidRPr="00F61FEC">
              <w:rPr>
                <w:rFonts w:ascii="Arial" w:eastAsia="Times New Roman" w:hAnsi="Arial" w:cs="Times New Roman"/>
                <w:color w:val="auto"/>
                <w:sz w:val="20"/>
                <w:szCs w:val="20"/>
              </w:rPr>
              <w:t>ADCETRIS</w:t>
            </w:r>
            <w:r w:rsidRPr="00F61FEC">
              <w:rPr>
                <w:rFonts w:ascii="Arial" w:eastAsia="Times New Roman" w:hAnsi="Arial" w:cs="Times New Roman"/>
                <w:color w:val="auto"/>
                <w:sz w:val="20"/>
                <w:szCs w:val="20"/>
              </w:rPr>
              <w:t xml:space="preserve"> dose (mL) to be administered</w:t>
            </w:r>
          </w:p>
        </w:tc>
        <w:tc>
          <w:tcPr>
            <w:tcW w:w="4784" w:type="dxa"/>
            <w:vMerge w:val="restart"/>
            <w:vAlign w:val="center"/>
          </w:tcPr>
          <w:p w:rsidR="004F30AB" w:rsidRPr="00F61FEC" w:rsidRDefault="004F30AB" w:rsidP="004F30AB">
            <w:pPr>
              <w:pStyle w:val="Default"/>
              <w:rPr>
                <w:rFonts w:ascii="Arial" w:eastAsia="Times New Roman" w:hAnsi="Arial" w:cs="Times New Roman"/>
                <w:color w:val="auto"/>
                <w:sz w:val="20"/>
                <w:szCs w:val="20"/>
              </w:rPr>
            </w:pPr>
            <w:r w:rsidRPr="00F61FEC">
              <w:rPr>
                <w:rFonts w:ascii="Arial" w:eastAsia="Times New Roman" w:hAnsi="Arial" w:cs="Times New Roman"/>
                <w:color w:val="auto"/>
                <w:sz w:val="20"/>
                <w:szCs w:val="20"/>
              </w:rPr>
              <w:t xml:space="preserve">= Number of </w:t>
            </w:r>
            <w:r w:rsidR="00B06D0C" w:rsidRPr="00F61FEC">
              <w:rPr>
                <w:rFonts w:ascii="Arial" w:eastAsia="Times New Roman" w:hAnsi="Arial" w:cs="Times New Roman"/>
                <w:color w:val="auto"/>
                <w:sz w:val="20"/>
                <w:szCs w:val="20"/>
              </w:rPr>
              <w:t>ADCETRIS</w:t>
            </w:r>
            <w:r w:rsidRPr="00F61FEC">
              <w:rPr>
                <w:rFonts w:ascii="Arial" w:eastAsia="Times New Roman" w:hAnsi="Arial" w:cs="Times New Roman"/>
                <w:color w:val="auto"/>
                <w:sz w:val="20"/>
                <w:szCs w:val="20"/>
              </w:rPr>
              <w:t xml:space="preserve"> vials needed</w:t>
            </w:r>
          </w:p>
        </w:tc>
      </w:tr>
      <w:tr w:rsidR="004F30AB" w:rsidRPr="00F61FEC" w:rsidTr="00CB38C4">
        <w:tc>
          <w:tcPr>
            <w:tcW w:w="5070" w:type="dxa"/>
          </w:tcPr>
          <w:p w:rsidR="004F30AB" w:rsidRPr="00F61FEC" w:rsidRDefault="004F30AB" w:rsidP="00CB38C4">
            <w:pPr>
              <w:pStyle w:val="Default"/>
              <w:jc w:val="center"/>
              <w:rPr>
                <w:rFonts w:ascii="Arial" w:eastAsia="Times New Roman" w:hAnsi="Arial" w:cs="Times New Roman"/>
                <w:color w:val="auto"/>
                <w:sz w:val="20"/>
                <w:szCs w:val="20"/>
              </w:rPr>
            </w:pPr>
            <w:r w:rsidRPr="00F61FEC">
              <w:rPr>
                <w:rFonts w:ascii="Arial" w:eastAsia="Times New Roman" w:hAnsi="Arial" w:cs="Times New Roman"/>
                <w:color w:val="auto"/>
                <w:sz w:val="20"/>
                <w:szCs w:val="20"/>
              </w:rPr>
              <w:t>Total volume per vial (10 mL/vial))</w:t>
            </w:r>
          </w:p>
        </w:tc>
        <w:tc>
          <w:tcPr>
            <w:tcW w:w="4784" w:type="dxa"/>
            <w:vMerge/>
          </w:tcPr>
          <w:p w:rsidR="004F30AB" w:rsidRPr="00F61FEC" w:rsidRDefault="004F30AB" w:rsidP="00CB38C4">
            <w:pPr>
              <w:pStyle w:val="Default"/>
              <w:rPr>
                <w:rFonts w:ascii="Arial" w:eastAsia="Times New Roman" w:hAnsi="Arial" w:cs="Times New Roman"/>
                <w:color w:val="auto"/>
                <w:sz w:val="20"/>
                <w:szCs w:val="20"/>
              </w:rPr>
            </w:pPr>
          </w:p>
        </w:tc>
      </w:tr>
    </w:tbl>
    <w:p w:rsidR="00B06D0C" w:rsidRDefault="00B06D0C" w:rsidP="001C61F9">
      <w:pPr>
        <w:keepNext/>
        <w:spacing w:after="120"/>
        <w:rPr>
          <w:b/>
        </w:rPr>
      </w:pPr>
    </w:p>
    <w:p w:rsidR="001C61F9" w:rsidRPr="001C61F9" w:rsidRDefault="001C61F9" w:rsidP="001C61F9">
      <w:pPr>
        <w:keepNext/>
        <w:spacing w:after="120"/>
        <w:rPr>
          <w:b/>
        </w:rPr>
      </w:pPr>
      <w:r w:rsidRPr="001C61F9">
        <w:rPr>
          <w:b/>
        </w:rPr>
        <w:t>Table 8: Sample calculations for patients receiving the recommended dose of 1.8 mg/kg of ADCETRIS for weights ranging from 60 kg to 120 kg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736"/>
        <w:gridCol w:w="2835"/>
        <w:gridCol w:w="2977"/>
      </w:tblGrid>
      <w:tr w:rsidR="001C61F9" w:rsidRPr="000B25F6" w:rsidTr="001C61F9">
        <w:tc>
          <w:tcPr>
            <w:tcW w:w="950" w:type="dxa"/>
          </w:tcPr>
          <w:p w:rsidR="001C61F9" w:rsidRPr="000B25F6" w:rsidRDefault="001C61F9" w:rsidP="000B25F6">
            <w:pPr>
              <w:keepNext/>
              <w:spacing w:after="0"/>
              <w:jc w:val="left"/>
              <w:rPr>
                <w:b/>
                <w:sz w:val="20"/>
              </w:rPr>
            </w:pPr>
            <w:r w:rsidRPr="000B25F6">
              <w:rPr>
                <w:b/>
                <w:sz w:val="20"/>
              </w:rPr>
              <w:t>Patient weight (kg)</w:t>
            </w:r>
          </w:p>
        </w:tc>
        <w:tc>
          <w:tcPr>
            <w:tcW w:w="2736" w:type="dxa"/>
          </w:tcPr>
          <w:p w:rsidR="001C61F9" w:rsidRPr="000B25F6" w:rsidRDefault="001C61F9" w:rsidP="000B25F6">
            <w:pPr>
              <w:keepNext/>
              <w:spacing w:after="0"/>
              <w:jc w:val="left"/>
              <w:rPr>
                <w:b/>
                <w:sz w:val="20"/>
              </w:rPr>
            </w:pPr>
            <w:r w:rsidRPr="000B25F6">
              <w:rPr>
                <w:b/>
                <w:sz w:val="20"/>
              </w:rPr>
              <w:t xml:space="preserve">Total dose = </w:t>
            </w:r>
          </w:p>
          <w:p w:rsidR="001C61F9" w:rsidRPr="000B25F6" w:rsidRDefault="001C61F9" w:rsidP="000B25F6">
            <w:pPr>
              <w:keepNext/>
              <w:spacing w:after="0"/>
              <w:jc w:val="left"/>
              <w:rPr>
                <w:b/>
                <w:sz w:val="20"/>
              </w:rPr>
            </w:pPr>
            <w:r w:rsidRPr="000B25F6">
              <w:rPr>
                <w:b/>
                <w:sz w:val="20"/>
              </w:rPr>
              <w:t>patient weight multiplied by recommended dose [1.8 mg/</w:t>
            </w:r>
            <w:proofErr w:type="spellStart"/>
            <w:r w:rsidRPr="000B25F6">
              <w:rPr>
                <w:b/>
                <w:sz w:val="20"/>
              </w:rPr>
              <w:t>kg</w:t>
            </w:r>
            <w:r w:rsidRPr="000B25F6">
              <w:rPr>
                <w:b/>
                <w:sz w:val="20"/>
                <w:vertAlign w:val="superscript"/>
              </w:rPr>
              <w:t>a</w:t>
            </w:r>
            <w:proofErr w:type="spellEnd"/>
            <w:r w:rsidRPr="000B25F6">
              <w:rPr>
                <w:b/>
                <w:sz w:val="20"/>
              </w:rPr>
              <w:t>])</w:t>
            </w:r>
          </w:p>
        </w:tc>
        <w:tc>
          <w:tcPr>
            <w:tcW w:w="2835" w:type="dxa"/>
          </w:tcPr>
          <w:p w:rsidR="001C61F9" w:rsidRPr="000B25F6" w:rsidRDefault="001C61F9" w:rsidP="000B25F6">
            <w:pPr>
              <w:keepNext/>
              <w:spacing w:after="0"/>
              <w:jc w:val="left"/>
              <w:rPr>
                <w:b/>
                <w:sz w:val="20"/>
              </w:rPr>
            </w:pPr>
            <w:r w:rsidRPr="000B25F6">
              <w:rPr>
                <w:b/>
                <w:sz w:val="20"/>
              </w:rPr>
              <w:t xml:space="preserve">Total volume to be </w:t>
            </w:r>
            <w:proofErr w:type="spellStart"/>
            <w:r w:rsidRPr="000B25F6">
              <w:rPr>
                <w:b/>
                <w:sz w:val="20"/>
              </w:rPr>
              <w:t>diluted</w:t>
            </w:r>
            <w:r w:rsidRPr="000B25F6">
              <w:rPr>
                <w:b/>
                <w:sz w:val="20"/>
                <w:vertAlign w:val="superscript"/>
              </w:rPr>
              <w:t>b</w:t>
            </w:r>
            <w:proofErr w:type="spellEnd"/>
            <w:r w:rsidRPr="000B25F6">
              <w:rPr>
                <w:b/>
                <w:sz w:val="20"/>
              </w:rPr>
              <w:t> = total dose divided by reconstituted vial concentration [5 mg/</w:t>
            </w:r>
            <w:r w:rsidR="001E3777" w:rsidRPr="000B25F6">
              <w:rPr>
                <w:b/>
                <w:sz w:val="20"/>
              </w:rPr>
              <w:t>mL</w:t>
            </w:r>
            <w:r w:rsidRPr="000B25F6">
              <w:rPr>
                <w:b/>
                <w:sz w:val="20"/>
              </w:rPr>
              <w:t>])</w:t>
            </w:r>
          </w:p>
        </w:tc>
        <w:tc>
          <w:tcPr>
            <w:tcW w:w="2977" w:type="dxa"/>
          </w:tcPr>
          <w:p w:rsidR="001C61F9" w:rsidRPr="000B25F6" w:rsidRDefault="001C61F9" w:rsidP="000B25F6">
            <w:pPr>
              <w:keepNext/>
              <w:spacing w:after="0"/>
              <w:jc w:val="left"/>
              <w:rPr>
                <w:b/>
                <w:sz w:val="20"/>
              </w:rPr>
            </w:pPr>
            <w:r w:rsidRPr="000B25F6">
              <w:rPr>
                <w:b/>
                <w:sz w:val="20"/>
              </w:rPr>
              <w:t xml:space="preserve">Number of vials needed = </w:t>
            </w:r>
          </w:p>
          <w:p w:rsidR="001C61F9" w:rsidRPr="000B25F6" w:rsidRDefault="001C61F9" w:rsidP="000B25F6">
            <w:pPr>
              <w:keepNext/>
              <w:spacing w:after="0"/>
              <w:jc w:val="left"/>
              <w:rPr>
                <w:b/>
                <w:sz w:val="20"/>
              </w:rPr>
            </w:pPr>
            <w:r w:rsidRPr="000B25F6">
              <w:rPr>
                <w:b/>
                <w:sz w:val="20"/>
              </w:rPr>
              <w:t>total volume to be diluted divided by total volume per vial [10 </w:t>
            </w:r>
            <w:r w:rsidR="001E3777" w:rsidRPr="000B25F6">
              <w:rPr>
                <w:b/>
                <w:sz w:val="20"/>
              </w:rPr>
              <w:t>mL</w:t>
            </w:r>
            <w:r w:rsidRPr="000B25F6">
              <w:rPr>
                <w:b/>
                <w:sz w:val="20"/>
              </w:rPr>
              <w:t>/vial])</w:t>
            </w:r>
          </w:p>
        </w:tc>
      </w:tr>
      <w:tr w:rsidR="001C61F9" w:rsidRPr="000B25F6" w:rsidTr="001C61F9">
        <w:tc>
          <w:tcPr>
            <w:tcW w:w="950" w:type="dxa"/>
          </w:tcPr>
          <w:p w:rsidR="001C61F9" w:rsidRPr="000B25F6" w:rsidRDefault="001C61F9" w:rsidP="000B25F6">
            <w:pPr>
              <w:keepNext/>
              <w:spacing w:after="0"/>
              <w:rPr>
                <w:sz w:val="20"/>
              </w:rPr>
            </w:pPr>
            <w:r w:rsidRPr="000B25F6">
              <w:rPr>
                <w:sz w:val="20"/>
              </w:rPr>
              <w:t>60 kg</w:t>
            </w:r>
          </w:p>
        </w:tc>
        <w:tc>
          <w:tcPr>
            <w:tcW w:w="2736" w:type="dxa"/>
          </w:tcPr>
          <w:p w:rsidR="001C61F9" w:rsidRPr="000B25F6" w:rsidRDefault="001C61F9" w:rsidP="000B25F6">
            <w:pPr>
              <w:keepNext/>
              <w:spacing w:after="0"/>
              <w:rPr>
                <w:sz w:val="20"/>
              </w:rPr>
            </w:pPr>
            <w:r w:rsidRPr="000B25F6">
              <w:rPr>
                <w:sz w:val="20"/>
              </w:rPr>
              <w:t>108 mg</w:t>
            </w:r>
          </w:p>
        </w:tc>
        <w:tc>
          <w:tcPr>
            <w:tcW w:w="2835" w:type="dxa"/>
          </w:tcPr>
          <w:p w:rsidR="001C61F9" w:rsidRPr="000B25F6" w:rsidRDefault="001C61F9" w:rsidP="000B25F6">
            <w:pPr>
              <w:keepNext/>
              <w:spacing w:after="0"/>
              <w:rPr>
                <w:sz w:val="20"/>
              </w:rPr>
            </w:pPr>
            <w:r w:rsidRPr="000B25F6">
              <w:rPr>
                <w:sz w:val="20"/>
              </w:rPr>
              <w:t>21.6 </w:t>
            </w:r>
            <w:r w:rsidR="001E3777" w:rsidRPr="000B25F6">
              <w:rPr>
                <w:sz w:val="20"/>
              </w:rPr>
              <w:t>mL</w:t>
            </w:r>
          </w:p>
        </w:tc>
        <w:tc>
          <w:tcPr>
            <w:tcW w:w="2977" w:type="dxa"/>
          </w:tcPr>
          <w:p w:rsidR="001C61F9" w:rsidRPr="000B25F6" w:rsidRDefault="001C61F9" w:rsidP="000B25F6">
            <w:pPr>
              <w:keepNext/>
              <w:spacing w:after="0"/>
              <w:rPr>
                <w:sz w:val="20"/>
              </w:rPr>
            </w:pPr>
            <w:r w:rsidRPr="000B25F6">
              <w:rPr>
                <w:sz w:val="20"/>
              </w:rPr>
              <w:t>2.16 vials</w:t>
            </w:r>
          </w:p>
        </w:tc>
      </w:tr>
      <w:tr w:rsidR="001C61F9" w:rsidRPr="000B25F6" w:rsidTr="001C61F9">
        <w:tc>
          <w:tcPr>
            <w:tcW w:w="950" w:type="dxa"/>
          </w:tcPr>
          <w:p w:rsidR="001C61F9" w:rsidRPr="000B25F6" w:rsidRDefault="001C61F9" w:rsidP="000B25F6">
            <w:pPr>
              <w:keepNext/>
              <w:spacing w:after="0"/>
              <w:rPr>
                <w:sz w:val="20"/>
              </w:rPr>
            </w:pPr>
            <w:r w:rsidRPr="000B25F6">
              <w:rPr>
                <w:sz w:val="20"/>
              </w:rPr>
              <w:t>80 kg</w:t>
            </w:r>
          </w:p>
        </w:tc>
        <w:tc>
          <w:tcPr>
            <w:tcW w:w="2736" w:type="dxa"/>
          </w:tcPr>
          <w:p w:rsidR="001C61F9" w:rsidRPr="000B25F6" w:rsidRDefault="001C61F9" w:rsidP="000B25F6">
            <w:pPr>
              <w:keepNext/>
              <w:spacing w:after="0"/>
              <w:rPr>
                <w:sz w:val="20"/>
              </w:rPr>
            </w:pPr>
            <w:r w:rsidRPr="000B25F6">
              <w:rPr>
                <w:sz w:val="20"/>
              </w:rPr>
              <w:t>144 mg</w:t>
            </w:r>
          </w:p>
        </w:tc>
        <w:tc>
          <w:tcPr>
            <w:tcW w:w="2835" w:type="dxa"/>
          </w:tcPr>
          <w:p w:rsidR="001C61F9" w:rsidRPr="000B25F6" w:rsidRDefault="001C61F9" w:rsidP="000B25F6">
            <w:pPr>
              <w:keepNext/>
              <w:spacing w:after="0"/>
              <w:rPr>
                <w:sz w:val="20"/>
              </w:rPr>
            </w:pPr>
            <w:r w:rsidRPr="000B25F6">
              <w:rPr>
                <w:sz w:val="20"/>
              </w:rPr>
              <w:t>28.8 </w:t>
            </w:r>
            <w:r w:rsidR="001E3777" w:rsidRPr="000B25F6">
              <w:rPr>
                <w:sz w:val="20"/>
              </w:rPr>
              <w:t>mL</w:t>
            </w:r>
          </w:p>
        </w:tc>
        <w:tc>
          <w:tcPr>
            <w:tcW w:w="2977" w:type="dxa"/>
          </w:tcPr>
          <w:p w:rsidR="001C61F9" w:rsidRPr="000B25F6" w:rsidRDefault="001C61F9" w:rsidP="000B25F6">
            <w:pPr>
              <w:keepNext/>
              <w:spacing w:after="0"/>
              <w:rPr>
                <w:sz w:val="20"/>
              </w:rPr>
            </w:pPr>
            <w:r w:rsidRPr="000B25F6">
              <w:rPr>
                <w:sz w:val="20"/>
              </w:rPr>
              <w:t>2.88 vials</w:t>
            </w:r>
          </w:p>
        </w:tc>
      </w:tr>
      <w:tr w:rsidR="001C61F9" w:rsidRPr="000B25F6" w:rsidTr="001C61F9">
        <w:tc>
          <w:tcPr>
            <w:tcW w:w="950" w:type="dxa"/>
          </w:tcPr>
          <w:p w:rsidR="001C61F9" w:rsidRPr="000B25F6" w:rsidRDefault="001C61F9" w:rsidP="000B25F6">
            <w:pPr>
              <w:keepNext/>
              <w:spacing w:after="0"/>
              <w:rPr>
                <w:sz w:val="20"/>
              </w:rPr>
            </w:pPr>
            <w:r w:rsidRPr="000B25F6">
              <w:rPr>
                <w:sz w:val="20"/>
              </w:rPr>
              <w:t>100 kg</w:t>
            </w:r>
          </w:p>
        </w:tc>
        <w:tc>
          <w:tcPr>
            <w:tcW w:w="2736" w:type="dxa"/>
          </w:tcPr>
          <w:p w:rsidR="001C61F9" w:rsidRPr="000B25F6" w:rsidRDefault="001C61F9" w:rsidP="000B25F6">
            <w:pPr>
              <w:keepNext/>
              <w:spacing w:after="0"/>
              <w:rPr>
                <w:sz w:val="20"/>
              </w:rPr>
            </w:pPr>
            <w:r w:rsidRPr="000B25F6">
              <w:rPr>
                <w:sz w:val="20"/>
              </w:rPr>
              <w:t>180 mg</w:t>
            </w:r>
          </w:p>
        </w:tc>
        <w:tc>
          <w:tcPr>
            <w:tcW w:w="2835" w:type="dxa"/>
          </w:tcPr>
          <w:p w:rsidR="001C61F9" w:rsidRPr="000B25F6" w:rsidRDefault="001C61F9" w:rsidP="000B25F6">
            <w:pPr>
              <w:keepNext/>
              <w:spacing w:after="0"/>
              <w:rPr>
                <w:sz w:val="20"/>
              </w:rPr>
            </w:pPr>
            <w:r w:rsidRPr="000B25F6">
              <w:rPr>
                <w:sz w:val="20"/>
              </w:rPr>
              <w:t>36 </w:t>
            </w:r>
            <w:r w:rsidR="001E3777" w:rsidRPr="000B25F6">
              <w:rPr>
                <w:sz w:val="20"/>
              </w:rPr>
              <w:t>mL</w:t>
            </w:r>
          </w:p>
        </w:tc>
        <w:tc>
          <w:tcPr>
            <w:tcW w:w="2977" w:type="dxa"/>
          </w:tcPr>
          <w:p w:rsidR="001C61F9" w:rsidRPr="000B25F6" w:rsidRDefault="001C61F9" w:rsidP="000B25F6">
            <w:pPr>
              <w:keepNext/>
              <w:spacing w:after="0"/>
              <w:rPr>
                <w:sz w:val="20"/>
              </w:rPr>
            </w:pPr>
            <w:r w:rsidRPr="000B25F6">
              <w:rPr>
                <w:sz w:val="20"/>
              </w:rPr>
              <w:t>3.6 vials</w:t>
            </w:r>
          </w:p>
        </w:tc>
      </w:tr>
      <w:tr w:rsidR="001C61F9" w:rsidRPr="000B25F6" w:rsidTr="001C61F9">
        <w:tc>
          <w:tcPr>
            <w:tcW w:w="950" w:type="dxa"/>
          </w:tcPr>
          <w:p w:rsidR="001C61F9" w:rsidRPr="000B25F6" w:rsidRDefault="001C61F9" w:rsidP="000B25F6">
            <w:pPr>
              <w:keepNext/>
              <w:spacing w:after="0"/>
              <w:rPr>
                <w:sz w:val="20"/>
              </w:rPr>
            </w:pPr>
            <w:r w:rsidRPr="000B25F6">
              <w:rPr>
                <w:sz w:val="20"/>
              </w:rPr>
              <w:t>120 </w:t>
            </w:r>
            <w:proofErr w:type="spellStart"/>
            <w:r w:rsidRPr="000B25F6">
              <w:rPr>
                <w:sz w:val="20"/>
              </w:rPr>
              <w:t>kg</w:t>
            </w:r>
            <w:r w:rsidRPr="000B25F6">
              <w:rPr>
                <w:sz w:val="20"/>
                <w:vertAlign w:val="superscript"/>
              </w:rPr>
              <w:t>c</w:t>
            </w:r>
            <w:proofErr w:type="spellEnd"/>
          </w:p>
        </w:tc>
        <w:tc>
          <w:tcPr>
            <w:tcW w:w="2736" w:type="dxa"/>
          </w:tcPr>
          <w:p w:rsidR="001C61F9" w:rsidRPr="000B25F6" w:rsidRDefault="001C61F9" w:rsidP="000B25F6">
            <w:pPr>
              <w:keepNext/>
              <w:spacing w:after="0"/>
              <w:rPr>
                <w:sz w:val="20"/>
              </w:rPr>
            </w:pPr>
            <w:r w:rsidRPr="000B25F6">
              <w:rPr>
                <w:sz w:val="20"/>
              </w:rPr>
              <w:t>180 mg</w:t>
            </w:r>
            <w:r w:rsidRPr="000B25F6">
              <w:rPr>
                <w:sz w:val="20"/>
                <w:vertAlign w:val="superscript"/>
              </w:rPr>
              <w:t xml:space="preserve"> d</w:t>
            </w:r>
          </w:p>
        </w:tc>
        <w:tc>
          <w:tcPr>
            <w:tcW w:w="2835" w:type="dxa"/>
          </w:tcPr>
          <w:p w:rsidR="001C61F9" w:rsidRPr="000B25F6" w:rsidRDefault="001C61F9" w:rsidP="000B25F6">
            <w:pPr>
              <w:keepNext/>
              <w:spacing w:after="0"/>
              <w:rPr>
                <w:sz w:val="20"/>
              </w:rPr>
            </w:pPr>
            <w:r w:rsidRPr="000B25F6">
              <w:rPr>
                <w:sz w:val="20"/>
              </w:rPr>
              <w:t>36 </w:t>
            </w:r>
            <w:r w:rsidR="001E3777" w:rsidRPr="000B25F6">
              <w:rPr>
                <w:sz w:val="20"/>
              </w:rPr>
              <w:t>mL</w:t>
            </w:r>
          </w:p>
        </w:tc>
        <w:tc>
          <w:tcPr>
            <w:tcW w:w="2977" w:type="dxa"/>
          </w:tcPr>
          <w:p w:rsidR="001C61F9" w:rsidRPr="000B25F6" w:rsidRDefault="001C61F9" w:rsidP="000B25F6">
            <w:pPr>
              <w:keepNext/>
              <w:spacing w:after="0"/>
              <w:rPr>
                <w:sz w:val="20"/>
              </w:rPr>
            </w:pPr>
            <w:r w:rsidRPr="000B25F6">
              <w:rPr>
                <w:sz w:val="20"/>
              </w:rPr>
              <w:t>3.6 vials</w:t>
            </w:r>
          </w:p>
        </w:tc>
      </w:tr>
    </w:tbl>
    <w:p w:rsidR="001C61F9" w:rsidRPr="000B25F6" w:rsidRDefault="001C61F9" w:rsidP="000B25F6">
      <w:pPr>
        <w:pStyle w:val="Paragraph"/>
        <w:keepNext/>
        <w:numPr>
          <w:ilvl w:val="0"/>
          <w:numId w:val="41"/>
        </w:numPr>
        <w:spacing w:after="0"/>
        <w:rPr>
          <w:rFonts w:ascii="Arial" w:hAnsi="Arial" w:cs="Arial"/>
          <w:sz w:val="20"/>
          <w:szCs w:val="20"/>
        </w:rPr>
      </w:pPr>
      <w:r w:rsidRPr="000B25F6">
        <w:rPr>
          <w:rFonts w:ascii="Arial" w:hAnsi="Arial" w:cs="Arial"/>
          <w:sz w:val="20"/>
          <w:szCs w:val="20"/>
          <w:lang w:val="en-GB"/>
        </w:rPr>
        <w:t>For a reduced dose, use 1.2 mg/kg for the calculation.</w:t>
      </w:r>
    </w:p>
    <w:p w:rsidR="001C61F9" w:rsidRPr="000B25F6" w:rsidRDefault="001C61F9" w:rsidP="000B25F6">
      <w:pPr>
        <w:pStyle w:val="Paragraph"/>
        <w:keepNext/>
        <w:numPr>
          <w:ilvl w:val="0"/>
          <w:numId w:val="41"/>
        </w:numPr>
        <w:spacing w:after="0"/>
        <w:rPr>
          <w:rFonts w:ascii="Arial" w:hAnsi="Arial" w:cs="Arial"/>
          <w:sz w:val="20"/>
          <w:szCs w:val="20"/>
        </w:rPr>
      </w:pPr>
      <w:r w:rsidRPr="000B25F6">
        <w:rPr>
          <w:rFonts w:ascii="Arial" w:hAnsi="Arial" w:cs="Arial"/>
          <w:sz w:val="20"/>
          <w:szCs w:val="20"/>
          <w:lang w:val="en-GB"/>
        </w:rPr>
        <w:t>To be diluted in 150 </w:t>
      </w:r>
      <w:r w:rsidR="001E3777" w:rsidRPr="000B25F6">
        <w:rPr>
          <w:rFonts w:ascii="Arial" w:hAnsi="Arial" w:cs="Arial"/>
          <w:sz w:val="20"/>
          <w:szCs w:val="20"/>
          <w:lang w:val="en-GB"/>
        </w:rPr>
        <w:t>mL</w:t>
      </w:r>
      <w:r w:rsidRPr="000B25F6">
        <w:rPr>
          <w:rFonts w:ascii="Arial" w:hAnsi="Arial" w:cs="Arial"/>
          <w:sz w:val="20"/>
          <w:szCs w:val="20"/>
          <w:lang w:val="en-GB"/>
        </w:rPr>
        <w:t xml:space="preserve"> of diluent and administered by intravenous infusion over 30 minutes every 3 weeks.</w:t>
      </w:r>
    </w:p>
    <w:p w:rsidR="001C61F9" w:rsidRPr="000B25F6" w:rsidRDefault="001C61F9" w:rsidP="000B25F6">
      <w:pPr>
        <w:pStyle w:val="Paragraph"/>
        <w:keepNext/>
        <w:numPr>
          <w:ilvl w:val="0"/>
          <w:numId w:val="41"/>
        </w:numPr>
        <w:spacing w:after="0"/>
        <w:rPr>
          <w:rFonts w:ascii="Arial" w:hAnsi="Arial" w:cs="Arial"/>
          <w:sz w:val="20"/>
          <w:szCs w:val="20"/>
        </w:rPr>
      </w:pPr>
      <w:r w:rsidRPr="000B25F6">
        <w:rPr>
          <w:rFonts w:ascii="Arial" w:hAnsi="Arial" w:cs="Arial"/>
          <w:sz w:val="20"/>
          <w:szCs w:val="20"/>
          <w:lang w:val="en-GB"/>
        </w:rPr>
        <w:t>If patient’s weight is more than 100 kg, the dose calculation should use 100 kg.</w:t>
      </w:r>
    </w:p>
    <w:p w:rsidR="001C61F9" w:rsidRPr="000B25F6" w:rsidRDefault="001C61F9" w:rsidP="000B25F6">
      <w:pPr>
        <w:pStyle w:val="Paragraph"/>
        <w:numPr>
          <w:ilvl w:val="0"/>
          <w:numId w:val="41"/>
        </w:numPr>
        <w:spacing w:after="0"/>
        <w:ind w:left="357" w:hanging="357"/>
        <w:rPr>
          <w:rFonts w:ascii="Arial" w:hAnsi="Arial" w:cs="Arial"/>
          <w:sz w:val="20"/>
          <w:szCs w:val="20"/>
        </w:rPr>
      </w:pPr>
      <w:r w:rsidRPr="000B25F6">
        <w:rPr>
          <w:rFonts w:ascii="Arial" w:hAnsi="Arial" w:cs="Arial"/>
          <w:sz w:val="20"/>
          <w:szCs w:val="20"/>
          <w:lang w:val="en-GB"/>
        </w:rPr>
        <w:t>The maximal recommended dose is 180 mg.</w:t>
      </w:r>
    </w:p>
    <w:p w:rsidR="001C61F9" w:rsidRPr="001C61F9" w:rsidRDefault="001C61F9" w:rsidP="000B25F6">
      <w:pPr>
        <w:pStyle w:val="Heading2"/>
      </w:pPr>
      <w:r w:rsidRPr="001C61F9">
        <w:t xml:space="preserve">Disposal </w:t>
      </w:r>
    </w:p>
    <w:p w:rsidR="001C61F9" w:rsidRPr="00C36C6C" w:rsidRDefault="001C61F9" w:rsidP="001C61F9">
      <w:r w:rsidRPr="00C36C6C">
        <w:t xml:space="preserve">ADCETRIS is for single use </w:t>
      </w:r>
      <w:r w:rsidR="004C2F0C">
        <w:t xml:space="preserve">in one patient </w:t>
      </w:r>
      <w:r w:rsidRPr="00C36C6C">
        <w:t xml:space="preserve">only. </w:t>
      </w:r>
      <w:r>
        <w:t xml:space="preserve"> </w:t>
      </w:r>
      <w:r w:rsidRPr="00C36C6C">
        <w:t>Any unused product or waste material should be disposed of in accordance with local requirements.</w:t>
      </w:r>
    </w:p>
    <w:p w:rsidR="00B541CE" w:rsidRDefault="00B541CE">
      <w:pPr>
        <w:pStyle w:val="Heading1"/>
      </w:pPr>
      <w:r>
        <w:t>Overdosage</w:t>
      </w:r>
    </w:p>
    <w:p w:rsidR="00DB2C07" w:rsidRDefault="00DB2C07" w:rsidP="00DB2C07">
      <w:pPr>
        <w:rPr>
          <w:rFonts w:cs="Arial"/>
          <w:szCs w:val="22"/>
        </w:rPr>
      </w:pPr>
      <w:r w:rsidRPr="00C36C6C">
        <w:rPr>
          <w:rFonts w:cs="Arial"/>
          <w:szCs w:val="22"/>
        </w:rPr>
        <w:t xml:space="preserve">There is no known antidote for overdose of </w:t>
      </w:r>
      <w:r w:rsidR="0047004B">
        <w:rPr>
          <w:rFonts w:cs="Arial"/>
          <w:szCs w:val="22"/>
        </w:rPr>
        <w:t>ADCETRIS</w:t>
      </w:r>
      <w:r w:rsidRPr="00C36C6C">
        <w:rPr>
          <w:rFonts w:cs="Arial"/>
          <w:szCs w:val="22"/>
        </w:rPr>
        <w:t xml:space="preserve">. In case of overdose, the patient should be closely monitored for adverse reactions, particularly neutropenia, and supportive treatment should be administered (see </w:t>
      </w:r>
      <w:r w:rsidR="00B06D0C">
        <w:rPr>
          <w:rFonts w:cs="Arial"/>
          <w:szCs w:val="22"/>
        </w:rPr>
        <w:t>’Precautions’</w:t>
      </w:r>
      <w:r w:rsidRPr="00C36C6C">
        <w:rPr>
          <w:rFonts w:cs="Arial"/>
          <w:szCs w:val="22"/>
        </w:rPr>
        <w:t xml:space="preserve">). </w:t>
      </w:r>
    </w:p>
    <w:p w:rsidR="00640C29" w:rsidRPr="00C314CA" w:rsidRDefault="00640C29" w:rsidP="00640C29">
      <w:pPr>
        <w:pStyle w:val="NormalWeb"/>
        <w:spacing w:before="120" w:beforeAutospacing="0" w:after="120" w:afterAutospacing="0"/>
        <w:jc w:val="both"/>
        <w:rPr>
          <w:rFonts w:ascii="Arial" w:hAnsi="Arial" w:cs="Arial"/>
          <w:sz w:val="22"/>
          <w:szCs w:val="22"/>
          <w:lang w:eastAsia="en-US"/>
        </w:rPr>
      </w:pPr>
      <w:r w:rsidRPr="00C314CA">
        <w:rPr>
          <w:rFonts w:ascii="Arial" w:hAnsi="Arial" w:cs="Arial"/>
          <w:sz w:val="22"/>
          <w:szCs w:val="22"/>
          <w:lang w:eastAsia="en-US"/>
        </w:rPr>
        <w:t>For information on the management of overdose, contact the Poison Information Centre on 131126 (Australia).</w:t>
      </w:r>
    </w:p>
    <w:p w:rsidR="00B541CE" w:rsidRDefault="00B541CE">
      <w:pPr>
        <w:pStyle w:val="Heading1"/>
      </w:pPr>
      <w:r>
        <w:t>Presentation and Storage Conditions</w:t>
      </w:r>
    </w:p>
    <w:p w:rsidR="008F350C" w:rsidRPr="008F350C" w:rsidRDefault="008F350C" w:rsidP="008F350C">
      <w:pPr>
        <w:rPr>
          <w:rFonts w:eastAsia="MS Mincho"/>
          <w:lang w:eastAsia="ja-JP"/>
        </w:rPr>
      </w:pPr>
      <w:r>
        <w:rPr>
          <w:rFonts w:eastAsia="MS Mincho"/>
          <w:lang w:eastAsia="ja-JP"/>
        </w:rPr>
        <w:t>A</w:t>
      </w:r>
      <w:r w:rsidR="00B825C9">
        <w:rPr>
          <w:rFonts w:eastAsia="MS Mincho"/>
          <w:lang w:eastAsia="ja-JP"/>
        </w:rPr>
        <w:t>DCETRIS</w:t>
      </w:r>
      <w:r>
        <w:rPr>
          <w:rFonts w:eastAsia="MS Mincho"/>
          <w:lang w:eastAsia="ja-JP"/>
        </w:rPr>
        <w:t xml:space="preserve"> is supplied in a </w:t>
      </w:r>
      <w:r w:rsidRPr="00C36C6C">
        <w:rPr>
          <w:rFonts w:eastAsia="MS Mincho"/>
          <w:lang w:eastAsia="ja-JP"/>
        </w:rPr>
        <w:t xml:space="preserve">glass vial with a butyl rubber stopper and an aluminium/plastic flip-off </w:t>
      </w:r>
      <w:proofErr w:type="gramStart"/>
      <w:r w:rsidRPr="00C36C6C">
        <w:rPr>
          <w:rFonts w:eastAsia="MS Mincho"/>
          <w:lang w:eastAsia="ja-JP"/>
        </w:rPr>
        <w:t>seal,</w:t>
      </w:r>
      <w:proofErr w:type="gramEnd"/>
      <w:r w:rsidRPr="00C36C6C">
        <w:rPr>
          <w:rFonts w:eastAsia="MS Mincho"/>
          <w:lang w:eastAsia="ja-JP"/>
        </w:rPr>
        <w:t xml:space="preserve"> containing 50 mg </w:t>
      </w:r>
      <w:r w:rsidR="0047004B">
        <w:rPr>
          <w:rFonts w:eastAsia="MS Mincho"/>
          <w:lang w:eastAsia="ja-JP"/>
        </w:rPr>
        <w:t>ADCETRIS</w:t>
      </w:r>
      <w:r>
        <w:rPr>
          <w:rFonts w:eastAsia="MS Mincho"/>
          <w:lang w:eastAsia="ja-JP"/>
        </w:rPr>
        <w:t xml:space="preserve"> as a </w:t>
      </w:r>
      <w:r>
        <w:t>w</w:t>
      </w:r>
      <w:r w:rsidRPr="00C36C6C">
        <w:t>hite to off-white lyophilized cake or powder</w:t>
      </w:r>
      <w:r w:rsidRPr="00C36C6C">
        <w:rPr>
          <w:rFonts w:eastAsia="MS Mincho"/>
          <w:lang w:eastAsia="ja-JP"/>
        </w:rPr>
        <w:t>.</w:t>
      </w:r>
      <w:r>
        <w:rPr>
          <w:rFonts w:eastAsia="MS Mincho"/>
          <w:lang w:eastAsia="ja-JP"/>
        </w:rPr>
        <w:t xml:space="preserve"> Each pack of </w:t>
      </w:r>
      <w:proofErr w:type="spellStart"/>
      <w:r>
        <w:rPr>
          <w:rFonts w:eastAsia="MS Mincho"/>
          <w:lang w:eastAsia="ja-JP"/>
        </w:rPr>
        <w:t>Adcetris</w:t>
      </w:r>
      <w:proofErr w:type="spellEnd"/>
      <w:r>
        <w:rPr>
          <w:rFonts w:eastAsia="MS Mincho"/>
          <w:lang w:eastAsia="ja-JP"/>
        </w:rPr>
        <w:t xml:space="preserve"> contains 1</w:t>
      </w:r>
      <w:r w:rsidRPr="00C36C6C">
        <w:rPr>
          <w:rFonts w:eastAsia="MS Mincho"/>
          <w:lang w:eastAsia="ja-JP"/>
        </w:rPr>
        <w:t xml:space="preserve"> vial. </w:t>
      </w:r>
    </w:p>
    <w:p w:rsidR="008F350C" w:rsidRDefault="008F350C" w:rsidP="008F350C">
      <w:pPr>
        <w:autoSpaceDE w:val="0"/>
        <w:autoSpaceDN w:val="0"/>
        <w:adjustRightInd w:val="0"/>
        <w:rPr>
          <w:bCs/>
          <w:szCs w:val="22"/>
        </w:rPr>
      </w:pPr>
      <w:proofErr w:type="gramStart"/>
      <w:r w:rsidRPr="00D50153">
        <w:rPr>
          <w:rFonts w:eastAsia="SimSun"/>
          <w:szCs w:val="22"/>
          <w:lang w:eastAsia="zh-CN"/>
        </w:rPr>
        <w:t xml:space="preserve">Store </w:t>
      </w:r>
      <w:r w:rsidR="00CB38C4">
        <w:rPr>
          <w:rFonts w:eastAsia="SimSun"/>
          <w:szCs w:val="22"/>
          <w:lang w:eastAsia="zh-CN"/>
        </w:rPr>
        <w:t>A</w:t>
      </w:r>
      <w:r w:rsidR="00B825C9">
        <w:rPr>
          <w:rFonts w:eastAsia="SimSun"/>
          <w:szCs w:val="22"/>
          <w:lang w:eastAsia="zh-CN"/>
        </w:rPr>
        <w:t>DCETRIS</w:t>
      </w:r>
      <w:r w:rsidR="00CB38C4">
        <w:rPr>
          <w:rFonts w:eastAsia="SimSun"/>
          <w:szCs w:val="22"/>
          <w:lang w:eastAsia="zh-CN"/>
        </w:rPr>
        <w:t xml:space="preserve"> at 2°C</w:t>
      </w:r>
      <w:r w:rsidR="00CB38C4">
        <w:rPr>
          <w:rFonts w:eastAsia="SimSun"/>
          <w:szCs w:val="22"/>
          <w:lang w:eastAsia="zh-CN"/>
        </w:rPr>
        <w:noBreakHyphen/>
        <w:t>8°C</w:t>
      </w:r>
      <w:r w:rsidRPr="00D50153">
        <w:rPr>
          <w:rFonts w:eastAsia="SimSun"/>
          <w:szCs w:val="22"/>
          <w:lang w:eastAsia="zh-CN"/>
        </w:rPr>
        <w:t>.</w:t>
      </w:r>
      <w:proofErr w:type="gramEnd"/>
      <w:r w:rsidRPr="00D50153">
        <w:rPr>
          <w:rFonts w:eastAsia="SimSun"/>
          <w:szCs w:val="22"/>
          <w:lang w:eastAsia="zh-CN"/>
        </w:rPr>
        <w:t xml:space="preserve"> </w:t>
      </w:r>
      <w:r w:rsidR="00CB38C4" w:rsidRPr="00CB38C4">
        <w:rPr>
          <w:bCs/>
          <w:szCs w:val="22"/>
        </w:rPr>
        <w:t xml:space="preserve">Refrigerate. </w:t>
      </w:r>
      <w:r w:rsidRPr="00D50153">
        <w:rPr>
          <w:rFonts w:eastAsia="SimSun"/>
          <w:szCs w:val="22"/>
          <w:lang w:eastAsia="zh-CN"/>
        </w:rPr>
        <w:t xml:space="preserve">Do not freeze. </w:t>
      </w:r>
      <w:r w:rsidRPr="00C36C6C">
        <w:rPr>
          <w:bCs/>
          <w:szCs w:val="22"/>
        </w:rPr>
        <w:t>Keep the vial in the original carton in order to protect from light.</w:t>
      </w:r>
      <w:r w:rsidR="003321F1">
        <w:rPr>
          <w:bCs/>
          <w:szCs w:val="22"/>
        </w:rPr>
        <w:t xml:space="preserve"> </w:t>
      </w:r>
      <w:r w:rsidR="003321F1" w:rsidRPr="003321F1">
        <w:rPr>
          <w:bCs/>
          <w:szCs w:val="22"/>
        </w:rPr>
        <w:t xml:space="preserve">Do not use beyond the expiry date </w:t>
      </w:r>
      <w:r w:rsidR="003321F1">
        <w:rPr>
          <w:bCs/>
          <w:szCs w:val="22"/>
        </w:rPr>
        <w:t xml:space="preserve">included </w:t>
      </w:r>
      <w:r w:rsidR="003321F1" w:rsidRPr="003321F1">
        <w:rPr>
          <w:bCs/>
          <w:szCs w:val="22"/>
        </w:rPr>
        <w:t>on the carton/vial</w:t>
      </w:r>
      <w:r w:rsidR="003321F1">
        <w:rPr>
          <w:bCs/>
          <w:szCs w:val="22"/>
        </w:rPr>
        <w:t>.</w:t>
      </w:r>
    </w:p>
    <w:p w:rsidR="008F350C" w:rsidRDefault="008F350C" w:rsidP="000B25F6">
      <w:pPr>
        <w:pStyle w:val="Heading4"/>
      </w:pPr>
      <w:r w:rsidRPr="00C36C6C">
        <w:t xml:space="preserve">After reconstitution </w:t>
      </w:r>
    </w:p>
    <w:p w:rsidR="00BE40E6" w:rsidRPr="00BE40E6" w:rsidRDefault="00A90C5C" w:rsidP="008F350C">
      <w:pPr>
        <w:widowControl w:val="0"/>
        <w:rPr>
          <w:rFonts w:eastAsia="MS Mincho"/>
          <w:lang w:eastAsia="ja-JP"/>
        </w:rPr>
      </w:pPr>
      <w:r w:rsidRPr="00BE40E6">
        <w:rPr>
          <w:rFonts w:eastAsia="MS Mincho"/>
          <w:lang w:eastAsia="ja-JP"/>
        </w:rPr>
        <w:t>After reconstitution/dilution, from a microbiological point of view, the product should be used immediately. However, chemical and physical in-use stability has been demonstrated for 24 hours at 2°C</w:t>
      </w:r>
      <w:r w:rsidRPr="00BE40E6">
        <w:rPr>
          <w:rFonts w:eastAsia="MS Mincho"/>
          <w:lang w:eastAsia="ja-JP"/>
        </w:rPr>
        <w:noBreakHyphen/>
        <w:t>8°C.</w:t>
      </w:r>
    </w:p>
    <w:p w:rsidR="00B541CE" w:rsidRDefault="00B541CE">
      <w:pPr>
        <w:pStyle w:val="Heading1"/>
      </w:pPr>
      <w:r>
        <w:t>Name and Address of the Sponsor</w:t>
      </w:r>
    </w:p>
    <w:p w:rsidR="0020288E" w:rsidRDefault="0044759F" w:rsidP="000B25F6">
      <w:pPr>
        <w:spacing w:after="0"/>
        <w:jc w:val="left"/>
      </w:pPr>
      <w:r>
        <w:t>Takeda Pharmaceuticals Australia Pty Ltd</w:t>
      </w:r>
    </w:p>
    <w:p w:rsidR="00120548" w:rsidRDefault="00120548" w:rsidP="000B25F6">
      <w:pPr>
        <w:spacing w:after="0"/>
        <w:jc w:val="left"/>
      </w:pPr>
      <w:r>
        <w:t xml:space="preserve">2-4 </w:t>
      </w:r>
      <w:proofErr w:type="spellStart"/>
      <w:r w:rsidR="0044759F">
        <w:t>Lyonpark</w:t>
      </w:r>
      <w:proofErr w:type="spellEnd"/>
      <w:r>
        <w:t xml:space="preserve"> Rd</w:t>
      </w:r>
    </w:p>
    <w:p w:rsidR="00120548" w:rsidRDefault="00473FF2" w:rsidP="000B25F6">
      <w:pPr>
        <w:spacing w:after="0"/>
        <w:jc w:val="left"/>
        <w:rPr>
          <w:highlight w:val="yellow"/>
        </w:rPr>
      </w:pPr>
      <w:r>
        <w:t>Macquarie Park</w:t>
      </w:r>
      <w:r w:rsidR="00120548">
        <w:t xml:space="preserve"> NSW 2113</w:t>
      </w:r>
    </w:p>
    <w:p w:rsidR="00B541CE" w:rsidRDefault="00B541CE">
      <w:pPr>
        <w:pStyle w:val="Heading1"/>
      </w:pPr>
      <w:r>
        <w:lastRenderedPageBreak/>
        <w:t>Poison Schedule of the Medicine</w:t>
      </w:r>
    </w:p>
    <w:p w:rsidR="0020288E" w:rsidRPr="0020288E" w:rsidRDefault="0020288E" w:rsidP="0020288E">
      <w:r w:rsidRPr="00DF2DC0">
        <w:t>Schedule 4</w:t>
      </w:r>
    </w:p>
    <w:p w:rsidR="00B541CE" w:rsidRDefault="00B541CE">
      <w:pPr>
        <w:pStyle w:val="Heading1"/>
      </w:pPr>
      <w:r>
        <w:t xml:space="preserve">Date of </w:t>
      </w:r>
      <w:r w:rsidR="00160E17">
        <w:t>FIRST INCLUSION IN THE ARTG</w:t>
      </w:r>
    </w:p>
    <w:p w:rsidR="00DF2DC0" w:rsidRDefault="004105C9" w:rsidP="000B25F6">
      <w:pPr>
        <w:spacing w:after="0"/>
      </w:pPr>
      <w:r>
        <w:t>20</w:t>
      </w:r>
      <w:r w:rsidRPr="004105C9">
        <w:rPr>
          <w:vertAlign w:val="superscript"/>
        </w:rPr>
        <w:t>th</w:t>
      </w:r>
      <w:r>
        <w:t xml:space="preserve"> December 2013</w:t>
      </w:r>
    </w:p>
    <w:p w:rsidR="009003D2" w:rsidRDefault="009003D2" w:rsidP="000B25F6">
      <w:pPr>
        <w:spacing w:after="0"/>
      </w:pPr>
    </w:p>
    <w:p w:rsidR="009003D2" w:rsidRDefault="009003D2" w:rsidP="000B25F6">
      <w:pPr>
        <w:spacing w:after="0"/>
        <w:rPr>
          <w:b/>
          <w:caps/>
          <w:sz w:val="24"/>
        </w:rPr>
      </w:pPr>
      <w:r w:rsidRPr="009003D2">
        <w:rPr>
          <w:b/>
          <w:caps/>
          <w:sz w:val="24"/>
        </w:rPr>
        <w:t>DATE OF MOST RECENT AMENDMENT</w:t>
      </w:r>
    </w:p>
    <w:p w:rsidR="00E07869" w:rsidRDefault="00E07869" w:rsidP="00E07869">
      <w:pPr>
        <w:spacing w:after="0"/>
      </w:pPr>
      <w:r>
        <w:t>11</w:t>
      </w:r>
      <w:r w:rsidRPr="004105C9">
        <w:rPr>
          <w:vertAlign w:val="superscript"/>
        </w:rPr>
        <w:t>th</w:t>
      </w:r>
      <w:r>
        <w:t xml:space="preserve"> March 2014</w:t>
      </w:r>
    </w:p>
    <w:p w:rsidR="009003D2" w:rsidRPr="009003D2" w:rsidRDefault="009003D2" w:rsidP="000B25F6">
      <w:pPr>
        <w:spacing w:after="0"/>
        <w:rPr>
          <w:b/>
          <w:caps/>
          <w:sz w:val="24"/>
        </w:rPr>
      </w:pPr>
    </w:p>
    <w:sectPr w:rsidR="009003D2" w:rsidRPr="009003D2" w:rsidSect="004A1DAA">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3D2" w:rsidRDefault="009003D2">
      <w:r>
        <w:separator/>
      </w:r>
    </w:p>
  </w:endnote>
  <w:endnote w:type="continuationSeparator" w:id="0">
    <w:p w:rsidR="009003D2" w:rsidRDefault="0090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B2"/>
    <w:family w:val="auto"/>
    <w:notTrueType/>
    <w:pitch w:val="default"/>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288"/>
      <w:gridCol w:w="3287"/>
      <w:gridCol w:w="3279"/>
    </w:tblGrid>
    <w:tr w:rsidR="009003D2" w:rsidTr="00E07869">
      <w:trPr>
        <w:trHeight w:val="132"/>
      </w:trPr>
      <w:tc>
        <w:tcPr>
          <w:tcW w:w="3382" w:type="dxa"/>
        </w:tcPr>
        <w:p w:rsidR="009003D2" w:rsidRPr="00DF2DC0" w:rsidRDefault="009003D2" w:rsidP="004105C9">
          <w:pPr>
            <w:pStyle w:val="Footer"/>
            <w:tabs>
              <w:tab w:val="right" w:pos="-1843"/>
              <w:tab w:val="center" w:pos="4962"/>
              <w:tab w:val="right" w:pos="9923"/>
              <w:tab w:val="right" w:pos="10632"/>
            </w:tabs>
            <w:jc w:val="left"/>
            <w:rPr>
              <w:rStyle w:val="PageNumber"/>
              <w:bCs/>
              <w:i/>
              <w:iCs/>
              <w:sz w:val="16"/>
            </w:rPr>
          </w:pPr>
          <w:proofErr w:type="spellStart"/>
          <w:r>
            <w:rPr>
              <w:bCs/>
              <w:i/>
              <w:iCs/>
            </w:rPr>
            <w:t>Adcetris</w:t>
          </w:r>
          <w:proofErr w:type="spellEnd"/>
          <w:r w:rsidRPr="00DF2DC0">
            <w:rPr>
              <w:bCs/>
              <w:i/>
              <w:iCs/>
            </w:rPr>
            <w:t xml:space="preserve"> PI </w:t>
          </w:r>
        </w:p>
      </w:tc>
      <w:tc>
        <w:tcPr>
          <w:tcW w:w="3382" w:type="dxa"/>
        </w:tcPr>
        <w:p w:rsidR="009003D2" w:rsidRPr="00DF2DC0" w:rsidRDefault="009003D2" w:rsidP="00E07869">
          <w:pPr>
            <w:pStyle w:val="Footer"/>
            <w:tabs>
              <w:tab w:val="right" w:pos="-1843"/>
              <w:tab w:val="center" w:pos="4962"/>
              <w:tab w:val="right" w:pos="9923"/>
              <w:tab w:val="right" w:pos="10632"/>
            </w:tabs>
            <w:jc w:val="center"/>
            <w:rPr>
              <w:rStyle w:val="PageNumber"/>
              <w:bCs/>
              <w:i/>
              <w:iCs/>
            </w:rPr>
          </w:pPr>
          <w:r>
            <w:rPr>
              <w:rStyle w:val="PageNumber"/>
              <w:bCs/>
              <w:i/>
              <w:iCs/>
            </w:rPr>
            <w:t xml:space="preserve">Version </w:t>
          </w:r>
          <w:r w:rsidR="00E07869">
            <w:rPr>
              <w:rStyle w:val="PageNumber"/>
              <w:bCs/>
              <w:i/>
              <w:iCs/>
            </w:rPr>
            <w:t>2</w:t>
          </w:r>
          <w:r>
            <w:rPr>
              <w:rStyle w:val="PageNumber"/>
              <w:bCs/>
              <w:i/>
              <w:iCs/>
            </w:rPr>
            <w:t>.0</w:t>
          </w:r>
        </w:p>
      </w:tc>
      <w:tc>
        <w:tcPr>
          <w:tcW w:w="3382" w:type="dxa"/>
        </w:tcPr>
        <w:p w:rsidR="009003D2" w:rsidRPr="00DF2DC0" w:rsidRDefault="009003D2">
          <w:pPr>
            <w:pStyle w:val="Footer"/>
            <w:tabs>
              <w:tab w:val="right" w:pos="-1843"/>
              <w:tab w:val="center" w:pos="4962"/>
              <w:tab w:val="right" w:pos="9923"/>
              <w:tab w:val="right" w:pos="10632"/>
            </w:tabs>
            <w:jc w:val="right"/>
            <w:rPr>
              <w:rStyle w:val="PageNumber"/>
              <w:bCs/>
              <w:i/>
              <w:iCs/>
            </w:rPr>
          </w:pPr>
          <w:r w:rsidRPr="00DF2DC0">
            <w:rPr>
              <w:bCs/>
              <w:i/>
              <w:iCs/>
            </w:rPr>
            <w:t xml:space="preserve">Page </w:t>
          </w:r>
          <w:r w:rsidR="00CB0A78" w:rsidRPr="00DF2DC0">
            <w:rPr>
              <w:rStyle w:val="PageNumber"/>
              <w:i/>
              <w:iCs/>
            </w:rPr>
            <w:fldChar w:fldCharType="begin"/>
          </w:r>
          <w:r w:rsidRPr="00DF2DC0">
            <w:rPr>
              <w:rStyle w:val="PageNumber"/>
              <w:i/>
              <w:iCs/>
            </w:rPr>
            <w:instrText xml:space="preserve"> PAGE </w:instrText>
          </w:r>
          <w:r w:rsidR="00CB0A78" w:rsidRPr="00DF2DC0">
            <w:rPr>
              <w:rStyle w:val="PageNumber"/>
              <w:i/>
              <w:iCs/>
            </w:rPr>
            <w:fldChar w:fldCharType="separate"/>
          </w:r>
          <w:r w:rsidR="00C8520A">
            <w:rPr>
              <w:rStyle w:val="PageNumber"/>
              <w:i/>
              <w:iCs/>
              <w:noProof/>
            </w:rPr>
            <w:t>1</w:t>
          </w:r>
          <w:r w:rsidR="00CB0A78" w:rsidRPr="00DF2DC0">
            <w:rPr>
              <w:rStyle w:val="PageNumber"/>
              <w:i/>
              <w:iCs/>
            </w:rPr>
            <w:fldChar w:fldCharType="end"/>
          </w:r>
          <w:r w:rsidRPr="00DF2DC0">
            <w:rPr>
              <w:bCs/>
              <w:i/>
              <w:iCs/>
            </w:rPr>
            <w:t xml:space="preserve"> </w:t>
          </w:r>
        </w:p>
      </w:tc>
    </w:tr>
  </w:tbl>
  <w:p w:rsidR="009003D2" w:rsidRDefault="009003D2">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3D2" w:rsidRDefault="009003D2">
      <w:r>
        <w:separator/>
      </w:r>
    </w:p>
  </w:footnote>
  <w:footnote w:type="continuationSeparator" w:id="0">
    <w:p w:rsidR="009003D2" w:rsidRDefault="00900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86" w:rsidRPr="00EF4086" w:rsidRDefault="00EF4086" w:rsidP="00EF4086">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rPr>
    </w:pPr>
    <w:r w:rsidRPr="00EF4086">
      <w:rPr>
        <w:rFonts w:ascii="Cambria" w:hAnsi="Cambria"/>
        <w:b/>
        <w:sz w:val="20"/>
      </w:rPr>
      <w:t xml:space="preserve">Attachment 1: Product information for </w:t>
    </w:r>
    <w:proofErr w:type="spellStart"/>
    <w:r w:rsidRPr="00EF4086">
      <w:rPr>
        <w:rFonts w:ascii="Cambria" w:hAnsi="Cambria"/>
        <w:b/>
        <w:sz w:val="20"/>
      </w:rPr>
      <w:t>AusPAR</w:t>
    </w:r>
    <w:proofErr w:type="spellEnd"/>
    <w:r w:rsidRPr="00EF4086">
      <w:rPr>
        <w:rFonts w:ascii="Cambria" w:hAnsi="Cambria"/>
        <w:b/>
        <w:sz w:val="20"/>
      </w:rPr>
      <w:t xml:space="preserve"> </w:t>
    </w:r>
    <w:proofErr w:type="spellStart"/>
    <w:r w:rsidRPr="00EF4086">
      <w:rPr>
        <w:rFonts w:ascii="Cambria" w:hAnsi="Cambria"/>
        <w:b/>
        <w:sz w:val="20"/>
      </w:rPr>
      <w:t>Adcetris</w:t>
    </w:r>
    <w:proofErr w:type="spellEnd"/>
    <w:r w:rsidRPr="00EF4086">
      <w:rPr>
        <w:rFonts w:ascii="Cambria" w:hAnsi="Cambria"/>
        <w:b/>
        <w:sz w:val="20"/>
      </w:rPr>
      <w:t xml:space="preserve"> </w:t>
    </w:r>
    <w:proofErr w:type="spellStart"/>
    <w:r w:rsidRPr="00EF4086">
      <w:rPr>
        <w:rFonts w:ascii="Cambria" w:hAnsi="Cambria"/>
        <w:b/>
        <w:sz w:val="20"/>
      </w:rPr>
      <w:t>brentuximab</w:t>
    </w:r>
    <w:proofErr w:type="spellEnd"/>
    <w:r w:rsidRPr="00EF4086">
      <w:rPr>
        <w:rFonts w:ascii="Cambria" w:hAnsi="Cambria"/>
        <w:b/>
        <w:sz w:val="20"/>
      </w:rPr>
      <w:t xml:space="preserve"> </w:t>
    </w:r>
    <w:proofErr w:type="spellStart"/>
    <w:r w:rsidRPr="00EF4086">
      <w:rPr>
        <w:rFonts w:ascii="Cambria" w:hAnsi="Cambria"/>
        <w:b/>
        <w:sz w:val="20"/>
      </w:rPr>
      <w:t>vedotin</w:t>
    </w:r>
    <w:proofErr w:type="spellEnd"/>
    <w:r w:rsidRPr="00EF4086">
      <w:rPr>
        <w:rFonts w:ascii="Cambria" w:hAnsi="Cambria"/>
        <w:b/>
        <w:sz w:val="20"/>
      </w:rPr>
      <w:t xml:space="preserve"> Takeda PM-2012-03441-1-4 Date of Finalisation 19 May 2014</w:t>
    </w:r>
    <w:r w:rsidRPr="00EF4086">
      <w:rPr>
        <w:rFonts w:ascii="Cambria" w:hAnsi="Cambria"/>
        <w:b/>
        <w:sz w:val="20"/>
      </w:rPr>
      <w:t xml:space="preserve">. This Product Information was approved at the time this </w:t>
    </w:r>
    <w:proofErr w:type="spellStart"/>
    <w:r w:rsidRPr="00EF4086">
      <w:rPr>
        <w:rFonts w:ascii="Cambria" w:hAnsi="Cambria"/>
        <w:b/>
        <w:sz w:val="20"/>
      </w:rPr>
      <w:t>AusPAR</w:t>
    </w:r>
    <w:proofErr w:type="spellEnd"/>
    <w:r w:rsidRPr="00EF4086">
      <w:rPr>
        <w:rFonts w:ascii="Cambria" w:hAnsi="Cambria"/>
        <w:b/>
        <w:sz w:val="20"/>
      </w:rPr>
      <w:t xml:space="preserve"> was published.</w:t>
    </w:r>
  </w:p>
  <w:p w:rsidR="00E07869" w:rsidRDefault="00E078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4225A46"/>
    <w:lvl w:ilvl="0">
      <w:start w:val="1"/>
      <w:numFmt w:val="decimal"/>
      <w:pStyle w:val="ListNumber2"/>
      <w:lvlText w:val="%1."/>
      <w:lvlJc w:val="left"/>
      <w:pPr>
        <w:tabs>
          <w:tab w:val="num" w:pos="643"/>
        </w:tabs>
        <w:ind w:left="643" w:hanging="360"/>
      </w:pPr>
    </w:lvl>
  </w:abstractNum>
  <w:abstractNum w:abstractNumId="1">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2">
    <w:nsid w:val="FFFFFF89"/>
    <w:multiLevelType w:val="singleLevel"/>
    <w:tmpl w:val="16867E84"/>
    <w:lvl w:ilvl="0">
      <w:start w:val="1"/>
      <w:numFmt w:val="bullet"/>
      <w:pStyle w:val="ListBullet"/>
      <w:lvlText w:val=""/>
      <w:lvlJc w:val="left"/>
      <w:pPr>
        <w:tabs>
          <w:tab w:val="num" w:pos="360"/>
        </w:tabs>
        <w:ind w:left="340" w:hanging="340"/>
      </w:pPr>
      <w:rPr>
        <w:rFonts w:ascii="Symbol" w:hAnsi="Symbol" w:hint="default"/>
      </w:rPr>
    </w:lvl>
  </w:abstractNum>
  <w:abstractNum w:abstractNumId="3">
    <w:nsid w:val="01431B0C"/>
    <w:multiLevelType w:val="hybridMultilevel"/>
    <w:tmpl w:val="B2D422DA"/>
    <w:lvl w:ilvl="0" w:tplc="8D184958">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401DE"/>
    <w:multiLevelType w:val="hybridMultilevel"/>
    <w:tmpl w:val="B2D422DA"/>
    <w:lvl w:ilvl="0" w:tplc="8D184958">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AE6581"/>
    <w:multiLevelType w:val="hybridMultilevel"/>
    <w:tmpl w:val="B2D422DA"/>
    <w:lvl w:ilvl="0" w:tplc="8D184958">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F13B1"/>
    <w:multiLevelType w:val="hybridMultilevel"/>
    <w:tmpl w:val="59AC881C"/>
    <w:lvl w:ilvl="0" w:tplc="8280C97C">
      <w:start w:val="1"/>
      <w:numFmt w:val="lowerLetter"/>
      <w:pStyle w:val="List2"/>
      <w:lvlText w:val="%1."/>
      <w:lvlJc w:val="left"/>
      <w:pPr>
        <w:tabs>
          <w:tab w:val="num" w:pos="360"/>
        </w:tabs>
        <w:ind w:left="340" w:hanging="340"/>
      </w:pPr>
      <w:rPr>
        <w:rFonts w:ascii="Arial" w:hAnsi="Arial" w:hint="default"/>
        <w:b w:val="0"/>
        <w:i w:val="0"/>
        <w:caps w:val="0"/>
        <w:strike w:val="0"/>
        <w:dstrike w:val="0"/>
        <w:outline w:val="0"/>
        <w:shadow w:val="0"/>
        <w:emboss w:val="0"/>
        <w:imprint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771114"/>
    <w:multiLevelType w:val="hybridMultilevel"/>
    <w:tmpl w:val="BB6CBD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F65CF9"/>
    <w:multiLevelType w:val="hybridMultilevel"/>
    <w:tmpl w:val="0B32ED88"/>
    <w:lvl w:ilvl="0" w:tplc="22104444">
      <w:start w:val="1"/>
      <w:numFmt w:val="lowerLetter"/>
      <w:lvlText w:val="%1."/>
      <w:lvlJc w:val="left"/>
      <w:pPr>
        <w:tabs>
          <w:tab w:val="num" w:pos="360"/>
        </w:tabs>
        <w:ind w:left="340" w:hanging="340"/>
      </w:pPr>
      <w:rPr>
        <w:rFonts w:ascii="Arial" w:hAnsi="Arial" w:hint="default"/>
        <w:b w:val="0"/>
        <w:i w:val="0"/>
        <w:caps w:val="0"/>
        <w:strike w:val="0"/>
        <w:dstrike w:val="0"/>
        <w:outline w:val="0"/>
        <w:shadow w:val="0"/>
        <w:emboss w:val="0"/>
        <w:imprint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6042F0"/>
    <w:multiLevelType w:val="hybridMultilevel"/>
    <w:tmpl w:val="17289936"/>
    <w:lvl w:ilvl="0" w:tplc="53C07924">
      <w:start w:val="1"/>
      <w:numFmt w:val="lowerLetter"/>
      <w:lvlText w:val="%1."/>
      <w:lvlJc w:val="left"/>
      <w:pPr>
        <w:tabs>
          <w:tab w:val="num" w:pos="720"/>
        </w:tabs>
        <w:ind w:left="72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5570C10"/>
    <w:multiLevelType w:val="hybridMultilevel"/>
    <w:tmpl w:val="FE246494"/>
    <w:lvl w:ilvl="0" w:tplc="0C09000F">
      <w:start w:val="1"/>
      <w:numFmt w:val="decimal"/>
      <w:lvlText w:val="%1."/>
      <w:lvlJc w:val="left"/>
      <w:pPr>
        <w:ind w:left="72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141341"/>
    <w:multiLevelType w:val="hybridMultilevel"/>
    <w:tmpl w:val="7370158E"/>
    <w:lvl w:ilvl="0" w:tplc="79484F9C">
      <w:numFmt w:val="bullet"/>
      <w:lvlText w:val=""/>
      <w:lvlJc w:val="left"/>
      <w:pPr>
        <w:ind w:left="720" w:hanging="360"/>
      </w:pPr>
      <w:rPr>
        <w:rFonts w:ascii="Symbol" w:eastAsia="Times New Roman"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A87659"/>
    <w:multiLevelType w:val="hybridMultilevel"/>
    <w:tmpl w:val="BD6C682C"/>
    <w:lvl w:ilvl="0" w:tplc="199A8648">
      <w:start w:val="1"/>
      <w:numFmt w:val="lowerLetter"/>
      <w:lvlText w:val="%1."/>
      <w:lvlJc w:val="left"/>
      <w:pPr>
        <w:tabs>
          <w:tab w:val="num" w:pos="360"/>
        </w:tabs>
        <w:ind w:left="360" w:hanging="360"/>
      </w:pPr>
      <w:rPr>
        <w:rFonts w:ascii="Times New Roman" w:hAnsi="Times New Roman" w:cs="Times New Roman" w:hint="default"/>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0E83AC6"/>
    <w:multiLevelType w:val="hybridMultilevel"/>
    <w:tmpl w:val="98289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nsid w:val="53250BAC"/>
    <w:multiLevelType w:val="hybridMultilevel"/>
    <w:tmpl w:val="BD6C682C"/>
    <w:lvl w:ilvl="0" w:tplc="199A8648">
      <w:start w:val="1"/>
      <w:numFmt w:val="lowerLetter"/>
      <w:lvlText w:val="%1."/>
      <w:lvlJc w:val="left"/>
      <w:pPr>
        <w:tabs>
          <w:tab w:val="num" w:pos="360"/>
        </w:tabs>
        <w:ind w:left="360" w:hanging="360"/>
      </w:pPr>
      <w:rPr>
        <w:rFonts w:ascii="Times New Roman" w:hAnsi="Times New Roman" w:cs="Times New Roman" w:hint="default"/>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4D42119"/>
    <w:multiLevelType w:val="hybridMultilevel"/>
    <w:tmpl w:val="C608D3D8"/>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50F7444"/>
    <w:multiLevelType w:val="hybridMultilevel"/>
    <w:tmpl w:val="A754F04E"/>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8">
    <w:nsid w:val="582A15A4"/>
    <w:multiLevelType w:val="hybridMultilevel"/>
    <w:tmpl w:val="B2D422DA"/>
    <w:lvl w:ilvl="0" w:tplc="8D184958">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85907"/>
    <w:multiLevelType w:val="multilevel"/>
    <w:tmpl w:val="601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ED1449"/>
    <w:multiLevelType w:val="multilevel"/>
    <w:tmpl w:val="E96E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9F1C9E"/>
    <w:multiLevelType w:val="hybridMultilevel"/>
    <w:tmpl w:val="2E0AA95C"/>
    <w:lvl w:ilvl="0" w:tplc="5490AD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CD44A7"/>
    <w:multiLevelType w:val="hybridMultilevel"/>
    <w:tmpl w:val="8994831A"/>
    <w:lvl w:ilvl="0" w:tplc="08AE5BD6">
      <w:start w:val="1"/>
      <w:numFmt w:val="lowerLetter"/>
      <w:lvlText w:val="%1."/>
      <w:lvlJc w:val="left"/>
      <w:pPr>
        <w:tabs>
          <w:tab w:val="num" w:pos="2340"/>
        </w:tabs>
        <w:ind w:left="2340" w:hanging="360"/>
      </w:pPr>
      <w:rPr>
        <w:rFonts w:ascii="Times New Roman" w:hAnsi="Times New Roman" w:cs="Times New Roman" w:hint="default"/>
        <w:b w:val="0"/>
        <w:i w:val="0"/>
        <w:sz w:val="22"/>
        <w:szCs w:val="22"/>
        <w:vertAlign w:val="superscrip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EAE6BAE"/>
    <w:multiLevelType w:val="hybridMultilevel"/>
    <w:tmpl w:val="A754F04E"/>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24">
    <w:nsid w:val="7A91583A"/>
    <w:multiLevelType w:val="multilevel"/>
    <w:tmpl w:val="F980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11"/>
  </w:num>
  <w:num w:numId="4">
    <w:abstractNumId w:val="11"/>
  </w:num>
  <w:num w:numId="5">
    <w:abstractNumId w:val="1"/>
  </w:num>
  <w:num w:numId="6">
    <w:abstractNumId w:val="1"/>
  </w:num>
  <w:num w:numId="7">
    <w:abstractNumId w:val="1"/>
  </w:num>
  <w:num w:numId="8">
    <w:abstractNumId w:val="1"/>
  </w:num>
  <w:num w:numId="9">
    <w:abstractNumId w:val="2"/>
  </w:num>
  <w:num w:numId="10">
    <w:abstractNumId w:val="8"/>
  </w:num>
  <w:num w:numId="11">
    <w:abstractNumId w:val="8"/>
  </w:num>
  <w:num w:numId="12">
    <w:abstractNumId w:val="8"/>
  </w:num>
  <w:num w:numId="13">
    <w:abstractNumId w:val="8"/>
  </w:num>
  <w:num w:numId="14">
    <w:abstractNumId w:val="8"/>
  </w:num>
  <w:num w:numId="15">
    <w:abstractNumId w:val="1"/>
  </w:num>
  <w:num w:numId="16">
    <w:abstractNumId w:val="11"/>
  </w:num>
  <w:num w:numId="17">
    <w:abstractNumId w:val="8"/>
  </w:num>
  <w:num w:numId="18">
    <w:abstractNumId w:val="11"/>
  </w:num>
  <w:num w:numId="19">
    <w:abstractNumId w:val="2"/>
  </w:num>
  <w:num w:numId="20">
    <w:abstractNumId w:val="2"/>
  </w:num>
  <w:num w:numId="21">
    <w:abstractNumId w:val="2"/>
  </w:num>
  <w:num w:numId="22">
    <w:abstractNumId w:val="2"/>
  </w:num>
  <w:num w:numId="23">
    <w:abstractNumId w:val="2"/>
  </w:num>
  <w:num w:numId="24">
    <w:abstractNumId w:val="2"/>
  </w:num>
  <w:num w:numId="25">
    <w:abstractNumId w:val="6"/>
  </w:num>
  <w:num w:numId="26">
    <w:abstractNumId w:val="11"/>
  </w:num>
  <w:num w:numId="27">
    <w:abstractNumId w:val="2"/>
  </w:num>
  <w:num w:numId="28">
    <w:abstractNumId w:val="7"/>
  </w:num>
  <w:num w:numId="29">
    <w:abstractNumId w:val="16"/>
  </w:num>
  <w:num w:numId="30">
    <w:abstractNumId w:val="20"/>
  </w:num>
  <w:num w:numId="31">
    <w:abstractNumId w:val="24"/>
  </w:num>
  <w:num w:numId="32">
    <w:abstractNumId w:val="19"/>
  </w:num>
  <w:num w:numId="33">
    <w:abstractNumId w:val="5"/>
  </w:num>
  <w:num w:numId="34">
    <w:abstractNumId w:val="4"/>
  </w:num>
  <w:num w:numId="35">
    <w:abstractNumId w:val="0"/>
  </w:num>
  <w:num w:numId="36">
    <w:abstractNumId w:val="18"/>
  </w:num>
  <w:num w:numId="37">
    <w:abstractNumId w:val="9"/>
  </w:num>
  <w:num w:numId="38">
    <w:abstractNumId w:val="22"/>
  </w:num>
  <w:num w:numId="39">
    <w:abstractNumId w:val="13"/>
  </w:num>
  <w:num w:numId="40">
    <w:abstractNumId w:val="3"/>
  </w:num>
  <w:num w:numId="41">
    <w:abstractNumId w:val="15"/>
  </w:num>
  <w:num w:numId="42">
    <w:abstractNumId w:val="23"/>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1056"/>
    <w:rsid w:val="00010638"/>
    <w:rsid w:val="00010D61"/>
    <w:rsid w:val="00011504"/>
    <w:rsid w:val="0002061C"/>
    <w:rsid w:val="00021CD5"/>
    <w:rsid w:val="000233CE"/>
    <w:rsid w:val="00023DF4"/>
    <w:rsid w:val="00034A18"/>
    <w:rsid w:val="00040FDD"/>
    <w:rsid w:val="00043B9B"/>
    <w:rsid w:val="00045474"/>
    <w:rsid w:val="000514E3"/>
    <w:rsid w:val="00054AA5"/>
    <w:rsid w:val="00054DFB"/>
    <w:rsid w:val="00064369"/>
    <w:rsid w:val="000649ED"/>
    <w:rsid w:val="00071E19"/>
    <w:rsid w:val="00073762"/>
    <w:rsid w:val="00074901"/>
    <w:rsid w:val="00083956"/>
    <w:rsid w:val="000851F5"/>
    <w:rsid w:val="00087DED"/>
    <w:rsid w:val="00093A22"/>
    <w:rsid w:val="000966C3"/>
    <w:rsid w:val="00097E79"/>
    <w:rsid w:val="000A1025"/>
    <w:rsid w:val="000A321C"/>
    <w:rsid w:val="000A3C11"/>
    <w:rsid w:val="000A6A29"/>
    <w:rsid w:val="000B25F6"/>
    <w:rsid w:val="000B52FB"/>
    <w:rsid w:val="000B58A2"/>
    <w:rsid w:val="000D07A0"/>
    <w:rsid w:val="000D3B77"/>
    <w:rsid w:val="000D5F75"/>
    <w:rsid w:val="000D634D"/>
    <w:rsid w:val="000E1C2F"/>
    <w:rsid w:val="000E46D9"/>
    <w:rsid w:val="000F574B"/>
    <w:rsid w:val="00102A35"/>
    <w:rsid w:val="00105CE7"/>
    <w:rsid w:val="00110D6E"/>
    <w:rsid w:val="00120548"/>
    <w:rsid w:val="001252D6"/>
    <w:rsid w:val="001320C7"/>
    <w:rsid w:val="00133618"/>
    <w:rsid w:val="001346BB"/>
    <w:rsid w:val="00137E12"/>
    <w:rsid w:val="00142FC1"/>
    <w:rsid w:val="00143BFB"/>
    <w:rsid w:val="00145AE3"/>
    <w:rsid w:val="001500F1"/>
    <w:rsid w:val="00155021"/>
    <w:rsid w:val="00156842"/>
    <w:rsid w:val="00160E17"/>
    <w:rsid w:val="001722CB"/>
    <w:rsid w:val="00176453"/>
    <w:rsid w:val="00176DCC"/>
    <w:rsid w:val="00180ED2"/>
    <w:rsid w:val="00182D62"/>
    <w:rsid w:val="0018468A"/>
    <w:rsid w:val="001857DC"/>
    <w:rsid w:val="0018599A"/>
    <w:rsid w:val="00187908"/>
    <w:rsid w:val="001927D1"/>
    <w:rsid w:val="001976E3"/>
    <w:rsid w:val="001A69F3"/>
    <w:rsid w:val="001B540E"/>
    <w:rsid w:val="001B7E4B"/>
    <w:rsid w:val="001C1F04"/>
    <w:rsid w:val="001C61F9"/>
    <w:rsid w:val="001D2931"/>
    <w:rsid w:val="001D588A"/>
    <w:rsid w:val="001E2300"/>
    <w:rsid w:val="001E3777"/>
    <w:rsid w:val="001E61D0"/>
    <w:rsid w:val="001F506B"/>
    <w:rsid w:val="0020288E"/>
    <w:rsid w:val="002106F4"/>
    <w:rsid w:val="002166E7"/>
    <w:rsid w:val="0022344B"/>
    <w:rsid w:val="00223786"/>
    <w:rsid w:val="002339DB"/>
    <w:rsid w:val="00233AC4"/>
    <w:rsid w:val="0023592C"/>
    <w:rsid w:val="00236743"/>
    <w:rsid w:val="002407FC"/>
    <w:rsid w:val="00246E92"/>
    <w:rsid w:val="00253DC5"/>
    <w:rsid w:val="00256950"/>
    <w:rsid w:val="00262E19"/>
    <w:rsid w:val="00265855"/>
    <w:rsid w:val="002960FB"/>
    <w:rsid w:val="0029662B"/>
    <w:rsid w:val="002A0214"/>
    <w:rsid w:val="002A397E"/>
    <w:rsid w:val="002A448D"/>
    <w:rsid w:val="002B5A75"/>
    <w:rsid w:val="002C1DDB"/>
    <w:rsid w:val="002C44FE"/>
    <w:rsid w:val="002C47D8"/>
    <w:rsid w:val="002D2494"/>
    <w:rsid w:val="002D5EF2"/>
    <w:rsid w:val="002E4D9D"/>
    <w:rsid w:val="002E6928"/>
    <w:rsid w:val="002E73F6"/>
    <w:rsid w:val="002F38A4"/>
    <w:rsid w:val="002F696E"/>
    <w:rsid w:val="002F6F31"/>
    <w:rsid w:val="00301A4B"/>
    <w:rsid w:val="0030587E"/>
    <w:rsid w:val="0031794C"/>
    <w:rsid w:val="00321C46"/>
    <w:rsid w:val="003247CD"/>
    <w:rsid w:val="003321F1"/>
    <w:rsid w:val="00341ACD"/>
    <w:rsid w:val="003459B4"/>
    <w:rsid w:val="003503F7"/>
    <w:rsid w:val="00351CDA"/>
    <w:rsid w:val="00355601"/>
    <w:rsid w:val="00356427"/>
    <w:rsid w:val="0036348E"/>
    <w:rsid w:val="0036523D"/>
    <w:rsid w:val="003719F6"/>
    <w:rsid w:val="00374B9B"/>
    <w:rsid w:val="00374FDB"/>
    <w:rsid w:val="00375A86"/>
    <w:rsid w:val="0037683C"/>
    <w:rsid w:val="003802E0"/>
    <w:rsid w:val="00381BDC"/>
    <w:rsid w:val="00385033"/>
    <w:rsid w:val="00390FFB"/>
    <w:rsid w:val="0039183A"/>
    <w:rsid w:val="00394518"/>
    <w:rsid w:val="003A0436"/>
    <w:rsid w:val="003A2ED5"/>
    <w:rsid w:val="003A4A40"/>
    <w:rsid w:val="003B37FD"/>
    <w:rsid w:val="003B3F7E"/>
    <w:rsid w:val="003B54B8"/>
    <w:rsid w:val="003C58E9"/>
    <w:rsid w:val="003D035E"/>
    <w:rsid w:val="003D3383"/>
    <w:rsid w:val="003D3E8B"/>
    <w:rsid w:val="003E733A"/>
    <w:rsid w:val="003F0B28"/>
    <w:rsid w:val="003F10A5"/>
    <w:rsid w:val="003F5C08"/>
    <w:rsid w:val="00405A65"/>
    <w:rsid w:val="004105C9"/>
    <w:rsid w:val="0041175D"/>
    <w:rsid w:val="00411D6D"/>
    <w:rsid w:val="00417878"/>
    <w:rsid w:val="0042147E"/>
    <w:rsid w:val="004246BF"/>
    <w:rsid w:val="004327DD"/>
    <w:rsid w:val="00437CDE"/>
    <w:rsid w:val="004446DA"/>
    <w:rsid w:val="00445573"/>
    <w:rsid w:val="0044759F"/>
    <w:rsid w:val="0045408C"/>
    <w:rsid w:val="004610DC"/>
    <w:rsid w:val="00464949"/>
    <w:rsid w:val="004660F9"/>
    <w:rsid w:val="0047004B"/>
    <w:rsid w:val="00473FF2"/>
    <w:rsid w:val="004755EA"/>
    <w:rsid w:val="004832C4"/>
    <w:rsid w:val="00485E83"/>
    <w:rsid w:val="00495FD3"/>
    <w:rsid w:val="004A1DAA"/>
    <w:rsid w:val="004A6AA7"/>
    <w:rsid w:val="004B2298"/>
    <w:rsid w:val="004C0A81"/>
    <w:rsid w:val="004C2F0C"/>
    <w:rsid w:val="004C5184"/>
    <w:rsid w:val="004E11BB"/>
    <w:rsid w:val="004E1642"/>
    <w:rsid w:val="004E2856"/>
    <w:rsid w:val="004F30AB"/>
    <w:rsid w:val="004F3117"/>
    <w:rsid w:val="00502813"/>
    <w:rsid w:val="00503B2E"/>
    <w:rsid w:val="00513D6D"/>
    <w:rsid w:val="00513FFE"/>
    <w:rsid w:val="0051438D"/>
    <w:rsid w:val="00515187"/>
    <w:rsid w:val="00515710"/>
    <w:rsid w:val="00522FE9"/>
    <w:rsid w:val="00527703"/>
    <w:rsid w:val="00530A01"/>
    <w:rsid w:val="00536A97"/>
    <w:rsid w:val="00552274"/>
    <w:rsid w:val="0056480A"/>
    <w:rsid w:val="00567CAF"/>
    <w:rsid w:val="00581449"/>
    <w:rsid w:val="00582742"/>
    <w:rsid w:val="0059320E"/>
    <w:rsid w:val="00593AB1"/>
    <w:rsid w:val="005A0BE4"/>
    <w:rsid w:val="005B002B"/>
    <w:rsid w:val="005B3BF9"/>
    <w:rsid w:val="005C0F27"/>
    <w:rsid w:val="005C4C36"/>
    <w:rsid w:val="005C6C2C"/>
    <w:rsid w:val="005C7719"/>
    <w:rsid w:val="005C7F58"/>
    <w:rsid w:val="005D3791"/>
    <w:rsid w:val="005D43F3"/>
    <w:rsid w:val="005D4AEB"/>
    <w:rsid w:val="005D6583"/>
    <w:rsid w:val="005F59DE"/>
    <w:rsid w:val="005F72A8"/>
    <w:rsid w:val="00601D57"/>
    <w:rsid w:val="00605CE0"/>
    <w:rsid w:val="006066D5"/>
    <w:rsid w:val="006111E8"/>
    <w:rsid w:val="006204EF"/>
    <w:rsid w:val="006312F2"/>
    <w:rsid w:val="00635875"/>
    <w:rsid w:val="00640C29"/>
    <w:rsid w:val="006419B7"/>
    <w:rsid w:val="00641FEF"/>
    <w:rsid w:val="0065268D"/>
    <w:rsid w:val="00655BF9"/>
    <w:rsid w:val="006600FB"/>
    <w:rsid w:val="00661038"/>
    <w:rsid w:val="006642B8"/>
    <w:rsid w:val="00675922"/>
    <w:rsid w:val="00677E05"/>
    <w:rsid w:val="0068244C"/>
    <w:rsid w:val="006834C5"/>
    <w:rsid w:val="006A0246"/>
    <w:rsid w:val="006A02D6"/>
    <w:rsid w:val="006B3D6B"/>
    <w:rsid w:val="006B67D0"/>
    <w:rsid w:val="006B698A"/>
    <w:rsid w:val="006B6B37"/>
    <w:rsid w:val="006B6D51"/>
    <w:rsid w:val="006B7ADE"/>
    <w:rsid w:val="006B7E6C"/>
    <w:rsid w:val="006C2F31"/>
    <w:rsid w:val="006D10DA"/>
    <w:rsid w:val="006D14EE"/>
    <w:rsid w:val="006D2EF6"/>
    <w:rsid w:val="006D4BB1"/>
    <w:rsid w:val="006E2B53"/>
    <w:rsid w:val="007031F5"/>
    <w:rsid w:val="007073A2"/>
    <w:rsid w:val="0071068E"/>
    <w:rsid w:val="00721A06"/>
    <w:rsid w:val="00727320"/>
    <w:rsid w:val="007368CF"/>
    <w:rsid w:val="00737070"/>
    <w:rsid w:val="007479D7"/>
    <w:rsid w:val="00750292"/>
    <w:rsid w:val="007622DB"/>
    <w:rsid w:val="007731DE"/>
    <w:rsid w:val="007738E4"/>
    <w:rsid w:val="00776BFD"/>
    <w:rsid w:val="00781B40"/>
    <w:rsid w:val="007A5732"/>
    <w:rsid w:val="007A7268"/>
    <w:rsid w:val="007B0788"/>
    <w:rsid w:val="007B192D"/>
    <w:rsid w:val="007B52D6"/>
    <w:rsid w:val="007B5BF8"/>
    <w:rsid w:val="007B771C"/>
    <w:rsid w:val="007C7D7E"/>
    <w:rsid w:val="007E16D2"/>
    <w:rsid w:val="007E4888"/>
    <w:rsid w:val="007E5F88"/>
    <w:rsid w:val="007E60FF"/>
    <w:rsid w:val="007F1015"/>
    <w:rsid w:val="008078E6"/>
    <w:rsid w:val="00807C52"/>
    <w:rsid w:val="00816448"/>
    <w:rsid w:val="00823B64"/>
    <w:rsid w:val="00823ECE"/>
    <w:rsid w:val="0083268F"/>
    <w:rsid w:val="008328CD"/>
    <w:rsid w:val="00844E86"/>
    <w:rsid w:val="00846287"/>
    <w:rsid w:val="00864D19"/>
    <w:rsid w:val="00866975"/>
    <w:rsid w:val="00884ECC"/>
    <w:rsid w:val="00885680"/>
    <w:rsid w:val="008864DB"/>
    <w:rsid w:val="00886BCF"/>
    <w:rsid w:val="00887001"/>
    <w:rsid w:val="00891ABA"/>
    <w:rsid w:val="00891BDE"/>
    <w:rsid w:val="008A0B5F"/>
    <w:rsid w:val="008A4464"/>
    <w:rsid w:val="008B271F"/>
    <w:rsid w:val="008B2B17"/>
    <w:rsid w:val="008D1D1C"/>
    <w:rsid w:val="008D2BF0"/>
    <w:rsid w:val="008D4F9B"/>
    <w:rsid w:val="008E4CCC"/>
    <w:rsid w:val="008E5843"/>
    <w:rsid w:val="008E7C50"/>
    <w:rsid w:val="008F172B"/>
    <w:rsid w:val="008F350C"/>
    <w:rsid w:val="008F7DEE"/>
    <w:rsid w:val="009003D2"/>
    <w:rsid w:val="00901B93"/>
    <w:rsid w:val="00913076"/>
    <w:rsid w:val="00913CA1"/>
    <w:rsid w:val="00914516"/>
    <w:rsid w:val="0092714C"/>
    <w:rsid w:val="00937668"/>
    <w:rsid w:val="00940656"/>
    <w:rsid w:val="009421A3"/>
    <w:rsid w:val="00946EFE"/>
    <w:rsid w:val="009534F3"/>
    <w:rsid w:val="009559DC"/>
    <w:rsid w:val="00956896"/>
    <w:rsid w:val="00960B37"/>
    <w:rsid w:val="009614F1"/>
    <w:rsid w:val="009657C0"/>
    <w:rsid w:val="009818D7"/>
    <w:rsid w:val="009822EE"/>
    <w:rsid w:val="00987EF8"/>
    <w:rsid w:val="00994280"/>
    <w:rsid w:val="009A453B"/>
    <w:rsid w:val="009A6F7A"/>
    <w:rsid w:val="009B3B5E"/>
    <w:rsid w:val="009B4360"/>
    <w:rsid w:val="009C2880"/>
    <w:rsid w:val="009C444F"/>
    <w:rsid w:val="009C5074"/>
    <w:rsid w:val="009D46FF"/>
    <w:rsid w:val="009D4D07"/>
    <w:rsid w:val="009D5463"/>
    <w:rsid w:val="009E01DC"/>
    <w:rsid w:val="009E04BB"/>
    <w:rsid w:val="009E4C9E"/>
    <w:rsid w:val="009F2637"/>
    <w:rsid w:val="009F7991"/>
    <w:rsid w:val="00A00E01"/>
    <w:rsid w:val="00A013B5"/>
    <w:rsid w:val="00A065FC"/>
    <w:rsid w:val="00A07828"/>
    <w:rsid w:val="00A10B44"/>
    <w:rsid w:val="00A1613F"/>
    <w:rsid w:val="00A260BC"/>
    <w:rsid w:val="00A27D91"/>
    <w:rsid w:val="00A36403"/>
    <w:rsid w:val="00A37C6D"/>
    <w:rsid w:val="00A4161E"/>
    <w:rsid w:val="00A422B6"/>
    <w:rsid w:val="00A44AB8"/>
    <w:rsid w:val="00A50A3A"/>
    <w:rsid w:val="00A61AA9"/>
    <w:rsid w:val="00A61E7C"/>
    <w:rsid w:val="00A6293E"/>
    <w:rsid w:val="00A672BF"/>
    <w:rsid w:val="00A70EAE"/>
    <w:rsid w:val="00A710D9"/>
    <w:rsid w:val="00A71E50"/>
    <w:rsid w:val="00A811F1"/>
    <w:rsid w:val="00A84436"/>
    <w:rsid w:val="00A85D70"/>
    <w:rsid w:val="00A90C5C"/>
    <w:rsid w:val="00A91CAD"/>
    <w:rsid w:val="00AB12F3"/>
    <w:rsid w:val="00AB2230"/>
    <w:rsid w:val="00AC1056"/>
    <w:rsid w:val="00AC401D"/>
    <w:rsid w:val="00AC545E"/>
    <w:rsid w:val="00AD0728"/>
    <w:rsid w:val="00AD0973"/>
    <w:rsid w:val="00AD1417"/>
    <w:rsid w:val="00AD5624"/>
    <w:rsid w:val="00AD5ED7"/>
    <w:rsid w:val="00AE1C41"/>
    <w:rsid w:val="00AF66DC"/>
    <w:rsid w:val="00B0246A"/>
    <w:rsid w:val="00B04EFC"/>
    <w:rsid w:val="00B06D0C"/>
    <w:rsid w:val="00B10673"/>
    <w:rsid w:val="00B11821"/>
    <w:rsid w:val="00B13D3A"/>
    <w:rsid w:val="00B1416C"/>
    <w:rsid w:val="00B16D1E"/>
    <w:rsid w:val="00B17A5E"/>
    <w:rsid w:val="00B2140F"/>
    <w:rsid w:val="00B246A6"/>
    <w:rsid w:val="00B25B03"/>
    <w:rsid w:val="00B27235"/>
    <w:rsid w:val="00B30A2B"/>
    <w:rsid w:val="00B4251A"/>
    <w:rsid w:val="00B46FF1"/>
    <w:rsid w:val="00B5187B"/>
    <w:rsid w:val="00B52AB0"/>
    <w:rsid w:val="00B53D29"/>
    <w:rsid w:val="00B541CE"/>
    <w:rsid w:val="00B62C57"/>
    <w:rsid w:val="00B6305D"/>
    <w:rsid w:val="00B65FDE"/>
    <w:rsid w:val="00B72C43"/>
    <w:rsid w:val="00B770D2"/>
    <w:rsid w:val="00B77EA9"/>
    <w:rsid w:val="00B825C9"/>
    <w:rsid w:val="00B94EA9"/>
    <w:rsid w:val="00B957EF"/>
    <w:rsid w:val="00B95E05"/>
    <w:rsid w:val="00BA1202"/>
    <w:rsid w:val="00BA2761"/>
    <w:rsid w:val="00BA3728"/>
    <w:rsid w:val="00BA5CC7"/>
    <w:rsid w:val="00BA6B40"/>
    <w:rsid w:val="00BA71F3"/>
    <w:rsid w:val="00BB0057"/>
    <w:rsid w:val="00BB7092"/>
    <w:rsid w:val="00BC0730"/>
    <w:rsid w:val="00BC3366"/>
    <w:rsid w:val="00BC56E9"/>
    <w:rsid w:val="00BC579D"/>
    <w:rsid w:val="00BD758F"/>
    <w:rsid w:val="00BE0862"/>
    <w:rsid w:val="00BE2515"/>
    <w:rsid w:val="00BE40E6"/>
    <w:rsid w:val="00BE61E8"/>
    <w:rsid w:val="00BF1E56"/>
    <w:rsid w:val="00BF24D8"/>
    <w:rsid w:val="00C14CC8"/>
    <w:rsid w:val="00C16047"/>
    <w:rsid w:val="00C17ACE"/>
    <w:rsid w:val="00C17C38"/>
    <w:rsid w:val="00C22287"/>
    <w:rsid w:val="00C23619"/>
    <w:rsid w:val="00C23F50"/>
    <w:rsid w:val="00C2692B"/>
    <w:rsid w:val="00C314CA"/>
    <w:rsid w:val="00C32226"/>
    <w:rsid w:val="00C340B1"/>
    <w:rsid w:val="00C40791"/>
    <w:rsid w:val="00C4689F"/>
    <w:rsid w:val="00C475AB"/>
    <w:rsid w:val="00C5107C"/>
    <w:rsid w:val="00C64319"/>
    <w:rsid w:val="00C6647B"/>
    <w:rsid w:val="00C70F6F"/>
    <w:rsid w:val="00C73287"/>
    <w:rsid w:val="00C8385D"/>
    <w:rsid w:val="00C84AB6"/>
    <w:rsid w:val="00C8520A"/>
    <w:rsid w:val="00C8577B"/>
    <w:rsid w:val="00C93516"/>
    <w:rsid w:val="00C970A8"/>
    <w:rsid w:val="00CA3276"/>
    <w:rsid w:val="00CA327A"/>
    <w:rsid w:val="00CA444E"/>
    <w:rsid w:val="00CA45BA"/>
    <w:rsid w:val="00CA46CD"/>
    <w:rsid w:val="00CA68F4"/>
    <w:rsid w:val="00CA6A76"/>
    <w:rsid w:val="00CB0A78"/>
    <w:rsid w:val="00CB38C4"/>
    <w:rsid w:val="00CC36E2"/>
    <w:rsid w:val="00CC5ECD"/>
    <w:rsid w:val="00CD20F0"/>
    <w:rsid w:val="00CD6CE8"/>
    <w:rsid w:val="00CE41F7"/>
    <w:rsid w:val="00D07958"/>
    <w:rsid w:val="00D1040D"/>
    <w:rsid w:val="00D13495"/>
    <w:rsid w:val="00D14E60"/>
    <w:rsid w:val="00D167FC"/>
    <w:rsid w:val="00D20F96"/>
    <w:rsid w:val="00D237F3"/>
    <w:rsid w:val="00D23910"/>
    <w:rsid w:val="00D41B1D"/>
    <w:rsid w:val="00D46C4B"/>
    <w:rsid w:val="00D528FF"/>
    <w:rsid w:val="00D6013F"/>
    <w:rsid w:val="00D60A22"/>
    <w:rsid w:val="00D62B25"/>
    <w:rsid w:val="00D728A2"/>
    <w:rsid w:val="00D76A6B"/>
    <w:rsid w:val="00D8551E"/>
    <w:rsid w:val="00D90CC3"/>
    <w:rsid w:val="00D93C02"/>
    <w:rsid w:val="00D97F42"/>
    <w:rsid w:val="00DA0936"/>
    <w:rsid w:val="00DA21CD"/>
    <w:rsid w:val="00DA3B9C"/>
    <w:rsid w:val="00DB2C07"/>
    <w:rsid w:val="00DB5123"/>
    <w:rsid w:val="00DB52DD"/>
    <w:rsid w:val="00DB73E7"/>
    <w:rsid w:val="00DD15D1"/>
    <w:rsid w:val="00DD281A"/>
    <w:rsid w:val="00DD2E1B"/>
    <w:rsid w:val="00DD3E54"/>
    <w:rsid w:val="00DD4BDF"/>
    <w:rsid w:val="00DD5F9C"/>
    <w:rsid w:val="00DE569D"/>
    <w:rsid w:val="00DF2DC0"/>
    <w:rsid w:val="00DF4245"/>
    <w:rsid w:val="00DF4631"/>
    <w:rsid w:val="00E07869"/>
    <w:rsid w:val="00E10904"/>
    <w:rsid w:val="00E10A87"/>
    <w:rsid w:val="00E16AC0"/>
    <w:rsid w:val="00E176FB"/>
    <w:rsid w:val="00E23704"/>
    <w:rsid w:val="00E25CAC"/>
    <w:rsid w:val="00E36A13"/>
    <w:rsid w:val="00E4144B"/>
    <w:rsid w:val="00E42BD9"/>
    <w:rsid w:val="00E4637F"/>
    <w:rsid w:val="00E47B3D"/>
    <w:rsid w:val="00E50106"/>
    <w:rsid w:val="00E56CD7"/>
    <w:rsid w:val="00E60BCB"/>
    <w:rsid w:val="00E6343A"/>
    <w:rsid w:val="00E6706A"/>
    <w:rsid w:val="00E670A9"/>
    <w:rsid w:val="00E7118F"/>
    <w:rsid w:val="00E7526A"/>
    <w:rsid w:val="00E77A3F"/>
    <w:rsid w:val="00E871A3"/>
    <w:rsid w:val="00E914E8"/>
    <w:rsid w:val="00E919E9"/>
    <w:rsid w:val="00E937C3"/>
    <w:rsid w:val="00EA0DE6"/>
    <w:rsid w:val="00EA21C3"/>
    <w:rsid w:val="00EA27F9"/>
    <w:rsid w:val="00EC0DC1"/>
    <w:rsid w:val="00ED0777"/>
    <w:rsid w:val="00ED1F83"/>
    <w:rsid w:val="00ED271D"/>
    <w:rsid w:val="00ED7910"/>
    <w:rsid w:val="00EE7AE7"/>
    <w:rsid w:val="00EF1D45"/>
    <w:rsid w:val="00EF4086"/>
    <w:rsid w:val="00EF6391"/>
    <w:rsid w:val="00F061C5"/>
    <w:rsid w:val="00F117EF"/>
    <w:rsid w:val="00F13CBB"/>
    <w:rsid w:val="00F1413C"/>
    <w:rsid w:val="00F224A1"/>
    <w:rsid w:val="00F26FE6"/>
    <w:rsid w:val="00F27E5B"/>
    <w:rsid w:val="00F31D80"/>
    <w:rsid w:val="00F33B67"/>
    <w:rsid w:val="00F35981"/>
    <w:rsid w:val="00F42B82"/>
    <w:rsid w:val="00F43080"/>
    <w:rsid w:val="00F56D42"/>
    <w:rsid w:val="00F61FEC"/>
    <w:rsid w:val="00F742EB"/>
    <w:rsid w:val="00F7531B"/>
    <w:rsid w:val="00F80F30"/>
    <w:rsid w:val="00F817C4"/>
    <w:rsid w:val="00F91911"/>
    <w:rsid w:val="00FB60E5"/>
    <w:rsid w:val="00FC57C3"/>
    <w:rsid w:val="00FC633A"/>
    <w:rsid w:val="00FD1E12"/>
    <w:rsid w:val="00FD45D4"/>
    <w:rsid w:val="00FF4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DAA"/>
    <w:pPr>
      <w:spacing w:after="60"/>
      <w:jc w:val="both"/>
    </w:pPr>
    <w:rPr>
      <w:rFonts w:ascii="Arial" w:hAnsi="Arial"/>
      <w:sz w:val="22"/>
      <w:lang w:eastAsia="en-US"/>
    </w:rPr>
  </w:style>
  <w:style w:type="paragraph" w:styleId="Heading1">
    <w:name w:val="heading 1"/>
    <w:basedOn w:val="Normal"/>
    <w:next w:val="Normal"/>
    <w:qFormat/>
    <w:rsid w:val="008D4F9B"/>
    <w:pPr>
      <w:keepNext/>
      <w:spacing w:before="240"/>
      <w:outlineLvl w:val="0"/>
    </w:pPr>
    <w:rPr>
      <w:b/>
      <w:caps/>
      <w:sz w:val="24"/>
    </w:rPr>
  </w:style>
  <w:style w:type="paragraph" w:styleId="Heading2">
    <w:name w:val="heading 2"/>
    <w:basedOn w:val="Heading1"/>
    <w:next w:val="Normal"/>
    <w:autoRedefine/>
    <w:qFormat/>
    <w:rsid w:val="000B25F6"/>
    <w:pPr>
      <w:spacing w:before="120" w:after="120"/>
      <w:outlineLvl w:val="1"/>
    </w:pPr>
    <w:rPr>
      <w:caps w:val="0"/>
      <w:sz w:val="22"/>
      <w:szCs w:val="22"/>
    </w:rPr>
  </w:style>
  <w:style w:type="paragraph" w:styleId="Heading3">
    <w:name w:val="heading 3"/>
    <w:aliases w:val="CMI Heading 3"/>
    <w:basedOn w:val="Heading2"/>
    <w:next w:val="Normal"/>
    <w:link w:val="Heading3Char"/>
    <w:qFormat/>
    <w:rsid w:val="004A1DAA"/>
    <w:pPr>
      <w:outlineLvl w:val="2"/>
    </w:pPr>
    <w:rPr>
      <w:b w:val="0"/>
      <w:u w:val="single"/>
    </w:rPr>
  </w:style>
  <w:style w:type="paragraph" w:styleId="Heading4">
    <w:name w:val="heading 4"/>
    <w:basedOn w:val="Heading3"/>
    <w:next w:val="Normal"/>
    <w:qFormat/>
    <w:rsid w:val="004A1DAA"/>
    <w:pPr>
      <w:outlineLvl w:val="3"/>
    </w:pPr>
    <w:rPr>
      <w:rFonts w:cs="Arial"/>
      <w:i/>
      <w:u w:val="none"/>
    </w:rPr>
  </w:style>
  <w:style w:type="paragraph" w:styleId="Heading5">
    <w:name w:val="heading 5"/>
    <w:basedOn w:val="Normal"/>
    <w:next w:val="Normal"/>
    <w:qFormat/>
    <w:rsid w:val="004A1DAA"/>
    <w:pPr>
      <w:spacing w:before="240"/>
      <w:jc w:val="lef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46CD"/>
    <w:pPr>
      <w:spacing w:before="240"/>
      <w:jc w:val="center"/>
      <w:outlineLvl w:val="0"/>
    </w:pPr>
    <w:rPr>
      <w:rFonts w:cs="Arial"/>
      <w:b/>
      <w:bCs/>
      <w:caps/>
      <w:kern w:val="28"/>
      <w:sz w:val="28"/>
      <w:szCs w:val="32"/>
    </w:rPr>
  </w:style>
  <w:style w:type="paragraph" w:styleId="ListBullet">
    <w:name w:val="List Bullet"/>
    <w:basedOn w:val="Normal"/>
    <w:autoRedefine/>
    <w:rsid w:val="004A1DAA"/>
    <w:pPr>
      <w:numPr>
        <w:numId w:val="27"/>
      </w:numPr>
    </w:pPr>
  </w:style>
  <w:style w:type="paragraph" w:styleId="List">
    <w:name w:val="List"/>
    <w:basedOn w:val="Normal"/>
    <w:rsid w:val="004A1DAA"/>
    <w:pPr>
      <w:keepNext/>
      <w:numPr>
        <w:numId w:val="26"/>
      </w:numPr>
      <w:jc w:val="left"/>
    </w:pPr>
  </w:style>
  <w:style w:type="paragraph" w:styleId="ListNumber">
    <w:name w:val="List Number"/>
    <w:basedOn w:val="Normal"/>
    <w:rsid w:val="004A1DAA"/>
    <w:pPr>
      <w:keepNext/>
      <w:keepLines/>
      <w:numPr>
        <w:numId w:val="15"/>
      </w:numPr>
      <w:spacing w:after="120"/>
    </w:pPr>
  </w:style>
  <w:style w:type="paragraph" w:styleId="Subtitle">
    <w:name w:val="Subtitle"/>
    <w:basedOn w:val="Normal"/>
    <w:qFormat/>
    <w:rsid w:val="008D4F9B"/>
    <w:pPr>
      <w:jc w:val="center"/>
      <w:outlineLvl w:val="1"/>
    </w:pPr>
    <w:rPr>
      <w:rFonts w:cs="Arial"/>
      <w:b/>
      <w:caps/>
      <w:sz w:val="24"/>
      <w:szCs w:val="24"/>
    </w:rPr>
  </w:style>
  <w:style w:type="paragraph" w:styleId="List2">
    <w:name w:val="List 2"/>
    <w:basedOn w:val="Normal"/>
    <w:rsid w:val="004A1DAA"/>
    <w:pPr>
      <w:keepNext/>
      <w:keepLines/>
      <w:numPr>
        <w:numId w:val="25"/>
      </w:numPr>
    </w:pPr>
  </w:style>
  <w:style w:type="paragraph" w:styleId="Header">
    <w:name w:val="header"/>
    <w:basedOn w:val="Normal"/>
    <w:rsid w:val="004A1DAA"/>
    <w:pPr>
      <w:tabs>
        <w:tab w:val="center" w:pos="4153"/>
        <w:tab w:val="right" w:pos="8306"/>
      </w:tabs>
    </w:pPr>
  </w:style>
  <w:style w:type="paragraph" w:styleId="Footer">
    <w:name w:val="footer"/>
    <w:basedOn w:val="Normal"/>
    <w:rsid w:val="004A1DAA"/>
    <w:pPr>
      <w:tabs>
        <w:tab w:val="right" w:pos="9639"/>
      </w:tabs>
    </w:pPr>
    <w:rPr>
      <w:rFonts w:ascii="Arial Narrow" w:hAnsi="Arial Narrow"/>
    </w:rPr>
  </w:style>
  <w:style w:type="character" w:styleId="PageNumber">
    <w:name w:val="page number"/>
    <w:basedOn w:val="DefaultParagraphFont"/>
    <w:rsid w:val="004A1DAA"/>
  </w:style>
  <w:style w:type="paragraph" w:styleId="BodyTextIndent">
    <w:name w:val="Body Text Indent"/>
    <w:basedOn w:val="Normal"/>
    <w:rsid w:val="004A1DAA"/>
    <w:pPr>
      <w:ind w:left="720"/>
    </w:pPr>
    <w:rPr>
      <w:i/>
      <w:iCs/>
    </w:rPr>
  </w:style>
  <w:style w:type="paragraph" w:customStyle="1" w:styleId="CMIExplanation">
    <w:name w:val="CMI Explanation"/>
    <w:basedOn w:val="Normal"/>
    <w:rsid w:val="004A1DAA"/>
    <w:pPr>
      <w:spacing w:before="60"/>
      <w:jc w:val="left"/>
    </w:pPr>
    <w:rPr>
      <w:rFonts w:ascii="Times New Roman" w:hAnsi="Times New Roman"/>
      <w:snapToGrid w:val="0"/>
      <w:sz w:val="20"/>
    </w:rPr>
  </w:style>
  <w:style w:type="paragraph" w:styleId="BodyText">
    <w:name w:val="Body Text"/>
    <w:basedOn w:val="Normal"/>
    <w:rsid w:val="004A1DAA"/>
    <w:pPr>
      <w:jc w:val="left"/>
    </w:pPr>
  </w:style>
  <w:style w:type="paragraph" w:styleId="NormalWeb">
    <w:name w:val="Normal (Web)"/>
    <w:basedOn w:val="Normal"/>
    <w:uiPriority w:val="99"/>
    <w:unhideWhenUsed/>
    <w:rsid w:val="00F56D42"/>
    <w:pPr>
      <w:spacing w:before="100" w:beforeAutospacing="1" w:after="100" w:afterAutospacing="1"/>
      <w:jc w:val="left"/>
    </w:pPr>
    <w:rPr>
      <w:rFonts w:ascii="Times New Roman" w:hAnsi="Times New Roman"/>
      <w:sz w:val="24"/>
      <w:szCs w:val="24"/>
      <w:lang w:eastAsia="en-AU"/>
    </w:rPr>
  </w:style>
  <w:style w:type="character" w:styleId="CommentReference">
    <w:name w:val="annotation reference"/>
    <w:basedOn w:val="DefaultParagraphFont"/>
    <w:rsid w:val="00DF2DC0"/>
    <w:rPr>
      <w:sz w:val="16"/>
      <w:szCs w:val="16"/>
    </w:rPr>
  </w:style>
  <w:style w:type="paragraph" w:styleId="CommentText">
    <w:name w:val="annotation text"/>
    <w:basedOn w:val="Normal"/>
    <w:link w:val="CommentTextChar"/>
    <w:uiPriority w:val="99"/>
    <w:rsid w:val="00DF2DC0"/>
    <w:rPr>
      <w:sz w:val="20"/>
    </w:rPr>
  </w:style>
  <w:style w:type="character" w:customStyle="1" w:styleId="CommentTextChar">
    <w:name w:val="Comment Text Char"/>
    <w:basedOn w:val="DefaultParagraphFont"/>
    <w:link w:val="CommentText"/>
    <w:uiPriority w:val="99"/>
    <w:rsid w:val="00DF2DC0"/>
    <w:rPr>
      <w:rFonts w:ascii="Arial" w:hAnsi="Arial"/>
      <w:lang w:eastAsia="en-US"/>
    </w:rPr>
  </w:style>
  <w:style w:type="paragraph" w:styleId="CommentSubject">
    <w:name w:val="annotation subject"/>
    <w:basedOn w:val="CommentText"/>
    <w:next w:val="CommentText"/>
    <w:link w:val="CommentSubjectChar"/>
    <w:rsid w:val="00DF2DC0"/>
    <w:rPr>
      <w:b/>
      <w:bCs/>
    </w:rPr>
  </w:style>
  <w:style w:type="character" w:customStyle="1" w:styleId="CommentSubjectChar">
    <w:name w:val="Comment Subject Char"/>
    <w:basedOn w:val="CommentTextChar"/>
    <w:link w:val="CommentSubject"/>
    <w:rsid w:val="00DF2DC0"/>
    <w:rPr>
      <w:rFonts w:ascii="Arial" w:hAnsi="Arial"/>
      <w:b/>
      <w:bCs/>
      <w:lang w:eastAsia="en-US"/>
    </w:rPr>
  </w:style>
  <w:style w:type="paragraph" w:styleId="BalloonText">
    <w:name w:val="Balloon Text"/>
    <w:basedOn w:val="Normal"/>
    <w:link w:val="BalloonTextChar"/>
    <w:rsid w:val="00DF2DC0"/>
    <w:pPr>
      <w:spacing w:after="0"/>
    </w:pPr>
    <w:rPr>
      <w:rFonts w:ascii="Tahoma" w:hAnsi="Tahoma" w:cs="Tahoma"/>
      <w:sz w:val="16"/>
      <w:szCs w:val="16"/>
    </w:rPr>
  </w:style>
  <w:style w:type="character" w:customStyle="1" w:styleId="BalloonTextChar">
    <w:name w:val="Balloon Text Char"/>
    <w:basedOn w:val="DefaultParagraphFont"/>
    <w:link w:val="BalloonText"/>
    <w:rsid w:val="00DF2DC0"/>
    <w:rPr>
      <w:rFonts w:ascii="Tahoma" w:hAnsi="Tahoma" w:cs="Tahoma"/>
      <w:sz w:val="16"/>
      <w:szCs w:val="16"/>
      <w:lang w:eastAsia="en-US"/>
    </w:rPr>
  </w:style>
  <w:style w:type="paragraph" w:customStyle="1" w:styleId="Default">
    <w:name w:val="Default"/>
    <w:rsid w:val="00473FF2"/>
    <w:pPr>
      <w:autoSpaceDE w:val="0"/>
      <w:autoSpaceDN w:val="0"/>
      <w:adjustRightInd w:val="0"/>
    </w:pPr>
    <w:rPr>
      <w:rFonts w:ascii="Cambria" w:eastAsiaTheme="minorHAnsi" w:hAnsi="Cambria" w:cs="Cambria"/>
      <w:color w:val="000000"/>
      <w:sz w:val="24"/>
      <w:szCs w:val="24"/>
      <w:lang w:eastAsia="en-US"/>
    </w:rPr>
  </w:style>
  <w:style w:type="paragraph" w:customStyle="1" w:styleId="CM24">
    <w:name w:val="CM24"/>
    <w:basedOn w:val="Default"/>
    <w:next w:val="Default"/>
    <w:uiPriority w:val="99"/>
    <w:rsid w:val="00473FF2"/>
    <w:rPr>
      <w:rFonts w:ascii="Arial" w:hAnsi="Arial" w:cs="Arial"/>
      <w:color w:val="auto"/>
    </w:rPr>
  </w:style>
  <w:style w:type="paragraph" w:customStyle="1" w:styleId="Paragraph">
    <w:name w:val="Paragraph"/>
    <w:link w:val="ParagraphChar"/>
    <w:rsid w:val="00473FF2"/>
    <w:pPr>
      <w:spacing w:after="240"/>
    </w:pPr>
    <w:rPr>
      <w:sz w:val="24"/>
      <w:szCs w:val="24"/>
      <w:lang w:val="en-US" w:eastAsia="en-US"/>
    </w:rPr>
  </w:style>
  <w:style w:type="character" w:customStyle="1" w:styleId="ParagraphChar">
    <w:name w:val="Paragraph Char"/>
    <w:basedOn w:val="DefaultParagraphFont"/>
    <w:link w:val="Paragraph"/>
    <w:locked/>
    <w:rsid w:val="00473FF2"/>
    <w:rPr>
      <w:sz w:val="24"/>
      <w:szCs w:val="24"/>
      <w:lang w:val="en-US" w:eastAsia="en-US"/>
    </w:rPr>
  </w:style>
  <w:style w:type="paragraph" w:customStyle="1" w:styleId="default0">
    <w:name w:val="default"/>
    <w:basedOn w:val="Normal"/>
    <w:rsid w:val="00C5107C"/>
    <w:pPr>
      <w:autoSpaceDE w:val="0"/>
      <w:autoSpaceDN w:val="0"/>
      <w:spacing w:after="0"/>
      <w:jc w:val="left"/>
    </w:pPr>
    <w:rPr>
      <w:rFonts w:ascii="Times New Roman" w:hAnsi="Times New Roman"/>
      <w:color w:val="000000"/>
      <w:sz w:val="24"/>
      <w:szCs w:val="24"/>
      <w:lang w:val="en-US"/>
    </w:rPr>
  </w:style>
  <w:style w:type="paragraph" w:customStyle="1" w:styleId="ListEnd">
    <w:name w:val="List End"/>
    <w:next w:val="Normal"/>
    <w:rsid w:val="00ED0777"/>
    <w:rPr>
      <w:sz w:val="24"/>
      <w:lang w:val="en-US" w:eastAsia="en-US"/>
    </w:rPr>
  </w:style>
  <w:style w:type="paragraph" w:styleId="ListNumber2">
    <w:name w:val="List Number 2"/>
    <w:basedOn w:val="Normal"/>
    <w:rsid w:val="00E670A9"/>
    <w:pPr>
      <w:numPr>
        <w:numId w:val="35"/>
      </w:numPr>
      <w:contextualSpacing/>
    </w:pPr>
  </w:style>
  <w:style w:type="paragraph" w:customStyle="1" w:styleId="paragraph0">
    <w:name w:val="paragraph0"/>
    <w:basedOn w:val="Normal"/>
    <w:rsid w:val="00301A4B"/>
    <w:pPr>
      <w:spacing w:after="240"/>
      <w:jc w:val="left"/>
    </w:pPr>
    <w:rPr>
      <w:rFonts w:ascii="Times New Roman" w:hAnsi="Times New Roman"/>
      <w:sz w:val="24"/>
      <w:szCs w:val="24"/>
      <w:lang w:val="en-US"/>
    </w:rPr>
  </w:style>
  <w:style w:type="paragraph" w:styleId="ListParagraph">
    <w:name w:val="List Paragraph"/>
    <w:basedOn w:val="Normal"/>
    <w:uiPriority w:val="34"/>
    <w:qFormat/>
    <w:rsid w:val="001C61F9"/>
    <w:pPr>
      <w:tabs>
        <w:tab w:val="left" w:pos="567"/>
      </w:tabs>
      <w:spacing w:after="0" w:line="260" w:lineRule="exact"/>
      <w:ind w:left="720"/>
      <w:contextualSpacing/>
      <w:jc w:val="left"/>
    </w:pPr>
    <w:rPr>
      <w:rFonts w:ascii="Times New Roman" w:hAnsi="Times New Roman"/>
      <w:lang w:val="en-GB"/>
    </w:rPr>
  </w:style>
  <w:style w:type="table" w:styleId="TableGrid">
    <w:name w:val="Table Grid"/>
    <w:basedOn w:val="TableNormal"/>
    <w:uiPriority w:val="59"/>
    <w:rsid w:val="001C6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BF24D8"/>
  </w:style>
  <w:style w:type="paragraph" w:customStyle="1" w:styleId="CM25">
    <w:name w:val="CM25"/>
    <w:basedOn w:val="Default"/>
    <w:next w:val="Default"/>
    <w:uiPriority w:val="99"/>
    <w:rsid w:val="002D2494"/>
    <w:rPr>
      <w:rFonts w:ascii="Arial" w:eastAsia="Times New Roman" w:hAnsi="Arial" w:cs="Arial"/>
      <w:color w:val="auto"/>
      <w:lang w:eastAsia="en-AU"/>
    </w:rPr>
  </w:style>
  <w:style w:type="paragraph" w:customStyle="1" w:styleId="CM23">
    <w:name w:val="CM23"/>
    <w:basedOn w:val="Default"/>
    <w:next w:val="Default"/>
    <w:uiPriority w:val="99"/>
    <w:rsid w:val="007073A2"/>
    <w:rPr>
      <w:rFonts w:ascii="Arial" w:eastAsia="Times New Roman" w:hAnsi="Arial" w:cs="Arial"/>
      <w:color w:val="auto"/>
      <w:lang w:eastAsia="en-AU"/>
    </w:rPr>
  </w:style>
  <w:style w:type="character" w:customStyle="1" w:styleId="Heading3Char">
    <w:name w:val="Heading 3 Char"/>
    <w:aliases w:val="CMI Heading 3 Char"/>
    <w:basedOn w:val="DefaultParagraphFont"/>
    <w:link w:val="Heading3"/>
    <w:locked/>
    <w:rsid w:val="00EA27F9"/>
    <w:rPr>
      <w:rFonts w:ascii="Arial" w:hAnsi="Arial"/>
      <w:sz w:val="22"/>
      <w:u w:val="single"/>
      <w:lang w:eastAsia="en-US"/>
    </w:rPr>
  </w:style>
  <w:style w:type="paragraph" w:customStyle="1" w:styleId="EMEAEnBodyText">
    <w:name w:val="EMEA En Body Text"/>
    <w:basedOn w:val="Normal"/>
    <w:rsid w:val="006600FB"/>
    <w:pPr>
      <w:spacing w:before="120" w:after="120"/>
    </w:pPr>
    <w:rPr>
      <w:rFonts w:ascii="Times New Roman" w:hAnsi="Times New Roman"/>
      <w:lang w:val="en-US"/>
    </w:rPr>
  </w:style>
  <w:style w:type="paragraph" w:styleId="FootnoteText">
    <w:name w:val="footnote text"/>
    <w:basedOn w:val="Normal"/>
    <w:link w:val="FootnoteTextChar"/>
    <w:rsid w:val="00515187"/>
    <w:pPr>
      <w:spacing w:after="0"/>
      <w:jc w:val="left"/>
    </w:pPr>
    <w:rPr>
      <w:rFonts w:ascii="Courier" w:hAnsi="Courier"/>
      <w:sz w:val="24"/>
      <w:lang w:val="en-US"/>
    </w:rPr>
  </w:style>
  <w:style w:type="character" w:customStyle="1" w:styleId="FootnoteTextChar">
    <w:name w:val="Footnote Text Char"/>
    <w:basedOn w:val="DefaultParagraphFont"/>
    <w:link w:val="FootnoteText"/>
    <w:rsid w:val="00515187"/>
    <w:rPr>
      <w:rFonts w:ascii="Courier" w:hAnsi="Courier"/>
      <w:sz w:val="24"/>
      <w:lang w:val="en-US" w:eastAsia="en-US"/>
    </w:rPr>
  </w:style>
  <w:style w:type="character" w:styleId="FootnoteReference">
    <w:name w:val="footnote reference"/>
    <w:basedOn w:val="DefaultParagraphFont"/>
    <w:rsid w:val="00515187"/>
    <w:rPr>
      <w:vertAlign w:val="superscript"/>
    </w:rPr>
  </w:style>
  <w:style w:type="character" w:customStyle="1" w:styleId="bold5">
    <w:name w:val="bold5"/>
    <w:basedOn w:val="DefaultParagraphFont"/>
    <w:rsid w:val="00960B37"/>
    <w:rPr>
      <w:b/>
      <w:bCs/>
      <w:i w:val="0"/>
      <w:iCs w:val="0"/>
    </w:rPr>
  </w:style>
  <w:style w:type="paragraph" w:styleId="Revision">
    <w:name w:val="Revision"/>
    <w:hidden/>
    <w:uiPriority w:val="99"/>
    <w:semiHidden/>
    <w:rsid w:val="00351CDA"/>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8917">
      <w:bodyDiv w:val="1"/>
      <w:marLeft w:val="0"/>
      <w:marRight w:val="0"/>
      <w:marTop w:val="0"/>
      <w:marBottom w:val="0"/>
      <w:divBdr>
        <w:top w:val="none" w:sz="0" w:space="0" w:color="auto"/>
        <w:left w:val="none" w:sz="0" w:space="0" w:color="auto"/>
        <w:bottom w:val="none" w:sz="0" w:space="0" w:color="auto"/>
        <w:right w:val="none" w:sz="0" w:space="0" w:color="auto"/>
      </w:divBdr>
    </w:div>
    <w:div w:id="217520929">
      <w:bodyDiv w:val="1"/>
      <w:marLeft w:val="0"/>
      <w:marRight w:val="0"/>
      <w:marTop w:val="0"/>
      <w:marBottom w:val="0"/>
      <w:divBdr>
        <w:top w:val="none" w:sz="0" w:space="0" w:color="auto"/>
        <w:left w:val="none" w:sz="0" w:space="0" w:color="auto"/>
        <w:bottom w:val="none" w:sz="0" w:space="0" w:color="auto"/>
        <w:right w:val="none" w:sz="0" w:space="0" w:color="auto"/>
      </w:divBdr>
    </w:div>
    <w:div w:id="401342624">
      <w:bodyDiv w:val="1"/>
      <w:marLeft w:val="0"/>
      <w:marRight w:val="0"/>
      <w:marTop w:val="0"/>
      <w:marBottom w:val="0"/>
      <w:divBdr>
        <w:top w:val="none" w:sz="0" w:space="0" w:color="auto"/>
        <w:left w:val="none" w:sz="0" w:space="0" w:color="auto"/>
        <w:bottom w:val="none" w:sz="0" w:space="0" w:color="auto"/>
        <w:right w:val="none" w:sz="0" w:space="0" w:color="auto"/>
      </w:divBdr>
    </w:div>
    <w:div w:id="450175692">
      <w:bodyDiv w:val="1"/>
      <w:marLeft w:val="0"/>
      <w:marRight w:val="0"/>
      <w:marTop w:val="0"/>
      <w:marBottom w:val="0"/>
      <w:divBdr>
        <w:top w:val="none" w:sz="0" w:space="0" w:color="auto"/>
        <w:left w:val="none" w:sz="0" w:space="0" w:color="auto"/>
        <w:bottom w:val="none" w:sz="0" w:space="0" w:color="auto"/>
        <w:right w:val="none" w:sz="0" w:space="0" w:color="auto"/>
      </w:divBdr>
      <w:divsChild>
        <w:div w:id="793210214">
          <w:marLeft w:val="0"/>
          <w:marRight w:val="0"/>
          <w:marTop w:val="0"/>
          <w:marBottom w:val="0"/>
          <w:divBdr>
            <w:top w:val="none" w:sz="0" w:space="0" w:color="auto"/>
            <w:left w:val="none" w:sz="0" w:space="0" w:color="auto"/>
            <w:bottom w:val="none" w:sz="0" w:space="0" w:color="auto"/>
            <w:right w:val="none" w:sz="0" w:space="0" w:color="auto"/>
          </w:divBdr>
          <w:divsChild>
            <w:div w:id="551498233">
              <w:marLeft w:val="0"/>
              <w:marRight w:val="0"/>
              <w:marTop w:val="0"/>
              <w:marBottom w:val="0"/>
              <w:divBdr>
                <w:top w:val="none" w:sz="0" w:space="0" w:color="auto"/>
                <w:left w:val="none" w:sz="0" w:space="0" w:color="auto"/>
                <w:bottom w:val="none" w:sz="0" w:space="0" w:color="auto"/>
                <w:right w:val="none" w:sz="0" w:space="0" w:color="auto"/>
              </w:divBdr>
              <w:divsChild>
                <w:div w:id="292442234">
                  <w:blockQuote w:val="1"/>
                  <w:marLeft w:val="720"/>
                  <w:marRight w:val="0"/>
                  <w:marTop w:val="100"/>
                  <w:marBottom w:val="100"/>
                  <w:divBdr>
                    <w:top w:val="none" w:sz="0" w:space="0" w:color="auto"/>
                    <w:left w:val="none" w:sz="0" w:space="0" w:color="auto"/>
                    <w:bottom w:val="none" w:sz="0" w:space="0" w:color="auto"/>
                    <w:right w:val="none" w:sz="0" w:space="0" w:color="auto"/>
                  </w:divBdr>
                </w:div>
                <w:div w:id="936017399">
                  <w:blockQuote w:val="1"/>
                  <w:marLeft w:val="720"/>
                  <w:marRight w:val="0"/>
                  <w:marTop w:val="100"/>
                  <w:marBottom w:val="100"/>
                  <w:divBdr>
                    <w:top w:val="none" w:sz="0" w:space="0" w:color="auto"/>
                    <w:left w:val="none" w:sz="0" w:space="0" w:color="auto"/>
                    <w:bottom w:val="none" w:sz="0" w:space="0" w:color="auto"/>
                    <w:right w:val="none" w:sz="0" w:space="0" w:color="auto"/>
                  </w:divBdr>
                </w:div>
                <w:div w:id="17120763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51157796">
      <w:bodyDiv w:val="1"/>
      <w:marLeft w:val="0"/>
      <w:marRight w:val="0"/>
      <w:marTop w:val="0"/>
      <w:marBottom w:val="0"/>
      <w:divBdr>
        <w:top w:val="none" w:sz="0" w:space="0" w:color="auto"/>
        <w:left w:val="none" w:sz="0" w:space="0" w:color="auto"/>
        <w:bottom w:val="none" w:sz="0" w:space="0" w:color="auto"/>
        <w:right w:val="none" w:sz="0" w:space="0" w:color="auto"/>
      </w:divBdr>
    </w:div>
    <w:div w:id="691151325">
      <w:bodyDiv w:val="1"/>
      <w:marLeft w:val="0"/>
      <w:marRight w:val="0"/>
      <w:marTop w:val="0"/>
      <w:marBottom w:val="0"/>
      <w:divBdr>
        <w:top w:val="none" w:sz="0" w:space="0" w:color="auto"/>
        <w:left w:val="none" w:sz="0" w:space="0" w:color="auto"/>
        <w:bottom w:val="none" w:sz="0" w:space="0" w:color="auto"/>
        <w:right w:val="none" w:sz="0" w:space="0" w:color="auto"/>
      </w:divBdr>
    </w:div>
    <w:div w:id="921380440">
      <w:bodyDiv w:val="1"/>
      <w:marLeft w:val="0"/>
      <w:marRight w:val="0"/>
      <w:marTop w:val="0"/>
      <w:marBottom w:val="0"/>
      <w:divBdr>
        <w:top w:val="none" w:sz="0" w:space="0" w:color="auto"/>
        <w:left w:val="none" w:sz="0" w:space="0" w:color="auto"/>
        <w:bottom w:val="none" w:sz="0" w:space="0" w:color="auto"/>
        <w:right w:val="none" w:sz="0" w:space="0" w:color="auto"/>
      </w:divBdr>
    </w:div>
    <w:div w:id="979532909">
      <w:bodyDiv w:val="1"/>
      <w:marLeft w:val="0"/>
      <w:marRight w:val="0"/>
      <w:marTop w:val="0"/>
      <w:marBottom w:val="0"/>
      <w:divBdr>
        <w:top w:val="none" w:sz="0" w:space="0" w:color="auto"/>
        <w:left w:val="none" w:sz="0" w:space="0" w:color="auto"/>
        <w:bottom w:val="none" w:sz="0" w:space="0" w:color="auto"/>
        <w:right w:val="none" w:sz="0" w:space="0" w:color="auto"/>
      </w:divBdr>
    </w:div>
    <w:div w:id="1038356108">
      <w:bodyDiv w:val="1"/>
      <w:marLeft w:val="0"/>
      <w:marRight w:val="0"/>
      <w:marTop w:val="0"/>
      <w:marBottom w:val="0"/>
      <w:divBdr>
        <w:top w:val="none" w:sz="0" w:space="0" w:color="auto"/>
        <w:left w:val="none" w:sz="0" w:space="0" w:color="auto"/>
        <w:bottom w:val="none" w:sz="0" w:space="0" w:color="auto"/>
        <w:right w:val="none" w:sz="0" w:space="0" w:color="auto"/>
      </w:divBdr>
    </w:div>
    <w:div w:id="1066412047">
      <w:bodyDiv w:val="1"/>
      <w:marLeft w:val="0"/>
      <w:marRight w:val="0"/>
      <w:marTop w:val="0"/>
      <w:marBottom w:val="0"/>
      <w:divBdr>
        <w:top w:val="none" w:sz="0" w:space="0" w:color="auto"/>
        <w:left w:val="none" w:sz="0" w:space="0" w:color="auto"/>
        <w:bottom w:val="none" w:sz="0" w:space="0" w:color="auto"/>
        <w:right w:val="none" w:sz="0" w:space="0" w:color="auto"/>
      </w:divBdr>
      <w:divsChild>
        <w:div w:id="636103177">
          <w:marLeft w:val="0"/>
          <w:marRight w:val="0"/>
          <w:marTop w:val="0"/>
          <w:marBottom w:val="0"/>
          <w:divBdr>
            <w:top w:val="none" w:sz="0" w:space="0" w:color="auto"/>
            <w:left w:val="none" w:sz="0" w:space="0" w:color="auto"/>
            <w:bottom w:val="none" w:sz="0" w:space="0" w:color="auto"/>
            <w:right w:val="none" w:sz="0" w:space="0" w:color="auto"/>
          </w:divBdr>
          <w:divsChild>
            <w:div w:id="2075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966">
      <w:bodyDiv w:val="1"/>
      <w:marLeft w:val="0"/>
      <w:marRight w:val="0"/>
      <w:marTop w:val="0"/>
      <w:marBottom w:val="0"/>
      <w:divBdr>
        <w:top w:val="none" w:sz="0" w:space="0" w:color="auto"/>
        <w:left w:val="none" w:sz="0" w:space="0" w:color="auto"/>
        <w:bottom w:val="none" w:sz="0" w:space="0" w:color="auto"/>
        <w:right w:val="none" w:sz="0" w:space="0" w:color="auto"/>
      </w:divBdr>
      <w:divsChild>
        <w:div w:id="2047870281">
          <w:marLeft w:val="0"/>
          <w:marRight w:val="0"/>
          <w:marTop w:val="0"/>
          <w:marBottom w:val="0"/>
          <w:divBdr>
            <w:top w:val="none" w:sz="0" w:space="0" w:color="auto"/>
            <w:left w:val="none" w:sz="0" w:space="0" w:color="auto"/>
            <w:bottom w:val="none" w:sz="0" w:space="0" w:color="auto"/>
            <w:right w:val="none" w:sz="0" w:space="0" w:color="auto"/>
          </w:divBdr>
          <w:divsChild>
            <w:div w:id="4668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8966">
      <w:bodyDiv w:val="1"/>
      <w:marLeft w:val="0"/>
      <w:marRight w:val="0"/>
      <w:marTop w:val="0"/>
      <w:marBottom w:val="0"/>
      <w:divBdr>
        <w:top w:val="none" w:sz="0" w:space="0" w:color="auto"/>
        <w:left w:val="none" w:sz="0" w:space="0" w:color="auto"/>
        <w:bottom w:val="none" w:sz="0" w:space="0" w:color="auto"/>
        <w:right w:val="none" w:sz="0" w:space="0" w:color="auto"/>
      </w:divBdr>
      <w:divsChild>
        <w:div w:id="1628270165">
          <w:marLeft w:val="0"/>
          <w:marRight w:val="0"/>
          <w:marTop w:val="0"/>
          <w:marBottom w:val="0"/>
          <w:divBdr>
            <w:top w:val="none" w:sz="0" w:space="0" w:color="auto"/>
            <w:left w:val="none" w:sz="0" w:space="0" w:color="auto"/>
            <w:bottom w:val="none" w:sz="0" w:space="0" w:color="auto"/>
            <w:right w:val="none" w:sz="0" w:space="0" w:color="auto"/>
          </w:divBdr>
          <w:divsChild>
            <w:div w:id="7901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555">
      <w:bodyDiv w:val="1"/>
      <w:marLeft w:val="0"/>
      <w:marRight w:val="0"/>
      <w:marTop w:val="0"/>
      <w:marBottom w:val="0"/>
      <w:divBdr>
        <w:top w:val="none" w:sz="0" w:space="0" w:color="auto"/>
        <w:left w:val="none" w:sz="0" w:space="0" w:color="auto"/>
        <w:bottom w:val="none" w:sz="0" w:space="0" w:color="auto"/>
        <w:right w:val="none" w:sz="0" w:space="0" w:color="auto"/>
      </w:divBdr>
      <w:divsChild>
        <w:div w:id="990138613">
          <w:marLeft w:val="2592"/>
          <w:marRight w:val="0"/>
          <w:marTop w:val="0"/>
          <w:marBottom w:val="0"/>
          <w:divBdr>
            <w:top w:val="none" w:sz="0" w:space="0" w:color="auto"/>
            <w:left w:val="none" w:sz="0" w:space="0" w:color="auto"/>
            <w:bottom w:val="none" w:sz="0" w:space="0" w:color="auto"/>
            <w:right w:val="none" w:sz="0" w:space="0" w:color="auto"/>
          </w:divBdr>
          <w:divsChild>
            <w:div w:id="1371144497">
              <w:marLeft w:val="0"/>
              <w:marRight w:val="0"/>
              <w:marTop w:val="0"/>
              <w:marBottom w:val="0"/>
              <w:divBdr>
                <w:top w:val="none" w:sz="0" w:space="0" w:color="auto"/>
                <w:left w:val="none" w:sz="0" w:space="0" w:color="auto"/>
                <w:bottom w:val="none" w:sz="0" w:space="0" w:color="auto"/>
                <w:right w:val="none" w:sz="0" w:space="0" w:color="auto"/>
              </w:divBdr>
              <w:divsChild>
                <w:div w:id="1373312517">
                  <w:marLeft w:val="0"/>
                  <w:marRight w:val="0"/>
                  <w:marTop w:val="0"/>
                  <w:marBottom w:val="0"/>
                  <w:divBdr>
                    <w:top w:val="none" w:sz="0" w:space="0" w:color="auto"/>
                    <w:left w:val="none" w:sz="0" w:space="0" w:color="auto"/>
                    <w:bottom w:val="none" w:sz="0" w:space="0" w:color="auto"/>
                    <w:right w:val="none" w:sz="0" w:space="0" w:color="auto"/>
                  </w:divBdr>
                  <w:divsChild>
                    <w:div w:id="11483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7860">
      <w:bodyDiv w:val="1"/>
      <w:marLeft w:val="0"/>
      <w:marRight w:val="0"/>
      <w:marTop w:val="0"/>
      <w:marBottom w:val="0"/>
      <w:divBdr>
        <w:top w:val="none" w:sz="0" w:space="0" w:color="auto"/>
        <w:left w:val="none" w:sz="0" w:space="0" w:color="auto"/>
        <w:bottom w:val="none" w:sz="0" w:space="0" w:color="auto"/>
        <w:right w:val="none" w:sz="0" w:space="0" w:color="auto"/>
      </w:divBdr>
    </w:div>
    <w:div w:id="1500459043">
      <w:bodyDiv w:val="1"/>
      <w:marLeft w:val="0"/>
      <w:marRight w:val="0"/>
      <w:marTop w:val="0"/>
      <w:marBottom w:val="0"/>
      <w:divBdr>
        <w:top w:val="none" w:sz="0" w:space="0" w:color="auto"/>
        <w:left w:val="none" w:sz="0" w:space="0" w:color="auto"/>
        <w:bottom w:val="none" w:sz="0" w:space="0" w:color="auto"/>
        <w:right w:val="none" w:sz="0" w:space="0" w:color="auto"/>
      </w:divBdr>
      <w:divsChild>
        <w:div w:id="1805807376">
          <w:marLeft w:val="0"/>
          <w:marRight w:val="0"/>
          <w:marTop w:val="0"/>
          <w:marBottom w:val="0"/>
          <w:divBdr>
            <w:top w:val="none" w:sz="0" w:space="0" w:color="auto"/>
            <w:left w:val="none" w:sz="0" w:space="0" w:color="auto"/>
            <w:bottom w:val="none" w:sz="0" w:space="0" w:color="auto"/>
            <w:right w:val="none" w:sz="0" w:space="0" w:color="auto"/>
          </w:divBdr>
          <w:divsChild>
            <w:div w:id="6466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21522">
      <w:bodyDiv w:val="1"/>
      <w:marLeft w:val="0"/>
      <w:marRight w:val="0"/>
      <w:marTop w:val="0"/>
      <w:marBottom w:val="0"/>
      <w:divBdr>
        <w:top w:val="none" w:sz="0" w:space="0" w:color="auto"/>
        <w:left w:val="none" w:sz="0" w:space="0" w:color="auto"/>
        <w:bottom w:val="none" w:sz="0" w:space="0" w:color="auto"/>
        <w:right w:val="none" w:sz="0" w:space="0" w:color="auto"/>
      </w:divBdr>
      <w:divsChild>
        <w:div w:id="1666204599">
          <w:marLeft w:val="0"/>
          <w:marRight w:val="0"/>
          <w:marTop w:val="0"/>
          <w:marBottom w:val="0"/>
          <w:divBdr>
            <w:top w:val="none" w:sz="0" w:space="0" w:color="auto"/>
            <w:left w:val="none" w:sz="0" w:space="0" w:color="auto"/>
            <w:bottom w:val="none" w:sz="0" w:space="0" w:color="auto"/>
            <w:right w:val="none" w:sz="0" w:space="0" w:color="auto"/>
          </w:divBdr>
          <w:divsChild>
            <w:div w:id="19142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1720">
      <w:bodyDiv w:val="1"/>
      <w:marLeft w:val="0"/>
      <w:marRight w:val="0"/>
      <w:marTop w:val="0"/>
      <w:marBottom w:val="0"/>
      <w:divBdr>
        <w:top w:val="none" w:sz="0" w:space="0" w:color="auto"/>
        <w:left w:val="none" w:sz="0" w:space="0" w:color="auto"/>
        <w:bottom w:val="none" w:sz="0" w:space="0" w:color="auto"/>
        <w:right w:val="none" w:sz="0" w:space="0" w:color="auto"/>
      </w:divBdr>
      <w:divsChild>
        <w:div w:id="2099908912">
          <w:marLeft w:val="0"/>
          <w:marRight w:val="0"/>
          <w:marTop w:val="0"/>
          <w:marBottom w:val="0"/>
          <w:divBdr>
            <w:top w:val="none" w:sz="0" w:space="0" w:color="auto"/>
            <w:left w:val="none" w:sz="0" w:space="0" w:color="auto"/>
            <w:bottom w:val="none" w:sz="0" w:space="0" w:color="auto"/>
            <w:right w:val="none" w:sz="0" w:space="0" w:color="auto"/>
          </w:divBdr>
          <w:divsChild>
            <w:div w:id="7266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425BE-816B-4E89-A788-59D80909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7211</Words>
  <Characters>40840</Characters>
  <Application>Microsoft Office Word</Application>
  <DocSecurity>0</DocSecurity>
  <Lines>648</Lines>
  <Paragraphs>222</Paragraphs>
  <ScaleCrop>false</ScaleCrop>
  <HeadingPairs>
    <vt:vector size="2" baseType="variant">
      <vt:variant>
        <vt:lpstr>Title</vt:lpstr>
      </vt:variant>
      <vt:variant>
        <vt:i4>1</vt:i4>
      </vt:variant>
    </vt:vector>
  </HeadingPairs>
  <TitlesOfParts>
    <vt:vector size="1" baseType="lpstr">
      <vt:lpstr>Product Information</vt:lpstr>
    </vt:vector>
  </TitlesOfParts>
  <Company>Takeda Pharmaceuticals Australia Pty Ltd</Company>
  <LinksUpToDate>false</LinksUpToDate>
  <CharactersWithSpaces>47829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brentuximab vedotin (Adcetris)</dc:title>
  <dc:subject>prescription medicine regulation</dc:subject>
  <dc:creator>Takeda Pharmaceuticals Australia Pty Ltd</dc:creator>
  <cp:keywords>pi, product information, prescription, medicine, regulation, australia, brentuximab vedotin, adcetris, takeda pharmaceuticals</cp:keywords>
  <cp:lastModifiedBy>Sheppard, Fran</cp:lastModifiedBy>
  <cp:revision>5</cp:revision>
  <cp:lastPrinted>2013-11-12T15:17:00Z</cp:lastPrinted>
  <dcterms:created xsi:type="dcterms:W3CDTF">2014-05-08T01:09:00Z</dcterms:created>
  <dcterms:modified xsi:type="dcterms:W3CDTF">2014-06-20T01:11:00Z</dcterms:modified>
</cp:coreProperties>
</file>