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C484B" w14:textId="07AF3862" w:rsidR="00737F35" w:rsidRPr="00886742" w:rsidRDefault="00E56E81" w:rsidP="00737F35">
      <w:pPr>
        <w:tabs>
          <w:tab w:val="left" w:pos="284"/>
        </w:tabs>
        <w:spacing w:after="120"/>
      </w:pPr>
      <w:r>
        <w:rPr>
          <w:noProof/>
          <w:lang w:eastAsia="en-AU"/>
        </w:rPr>
        <mc:AlternateContent>
          <mc:Choice Requires="wps">
            <w:drawing>
              <wp:inline distT="0" distB="0" distL="0" distR="0" wp14:anchorId="427C4B35" wp14:editId="62DE5D54">
                <wp:extent cx="252095" cy="252095"/>
                <wp:effectExtent l="0" t="0" r="0" b="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C4B79" w14:textId="77777777" w:rsidR="00EF447F" w:rsidRPr="00BE2A26" w:rsidRDefault="00EF447F" w:rsidP="00737F35">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27C4B35" id="_x0000_t202" coordsize="21600,21600" o:spt="202" path="m,l,21600r21600,l21600,xe">
                <v:stroke joinstyle="miter"/>
                <v:path gradientshapeok="t" o:connecttype="rect"/>
              </v:shapetype>
              <v:shape id="Text Box 7"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" stroked="f">
                <v:textbox inset="0,0,0,0">
                  <w:txbxContent>
                    <w:p w14:paraId="427C4B79" w14:textId="77777777" w:rsidR="00EF447F" w:rsidRPr="00BE2A26" w:rsidRDefault="00EF447F" w:rsidP="00737F35">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737F35" w:rsidRPr="00886742">
        <w:t xml:space="preserve">This medicinal product is subject to additional monitoring in Australia. This will allow quick identification of new safety information. Healthcare professionals are asked to report any suspected adverse events at </w:t>
      </w:r>
      <w:hyperlink r:id="rId11" w:history="1">
        <w:r w:rsidR="00737F35" w:rsidRPr="00886742">
          <w:t>www.tga.gov.au/reporting-problems</w:t>
        </w:r>
      </w:hyperlink>
      <w:r w:rsidR="00737F35" w:rsidRPr="00886742">
        <w:t>.</w:t>
      </w:r>
    </w:p>
    <w:p w14:paraId="427C484C" w14:textId="77777777" w:rsidR="00381F50" w:rsidRPr="00E957E3" w:rsidRDefault="003301BE" w:rsidP="003301BE">
      <w:pPr>
        <w:pStyle w:val="Title"/>
      </w:pPr>
      <w:r w:rsidRPr="00E957E3">
        <w:t xml:space="preserve">AUSTRALIAN PRODUCT INFORMATION  </w:t>
      </w:r>
    </w:p>
    <w:p w14:paraId="427C484D" w14:textId="77777777" w:rsidR="00B541CE" w:rsidRPr="00E957E3" w:rsidRDefault="00C243CE" w:rsidP="003301BE">
      <w:pPr>
        <w:pStyle w:val="Title"/>
      </w:pPr>
      <w:r w:rsidRPr="00E957E3">
        <w:t>ALUNBRIG</w:t>
      </w:r>
      <w:r w:rsidR="003301BE" w:rsidRPr="00E957E3">
        <w:rPr>
          <w:vertAlign w:val="superscript"/>
        </w:rPr>
        <w:t>®</w:t>
      </w:r>
      <w:r w:rsidR="003301BE" w:rsidRPr="00E957E3">
        <w:t xml:space="preserve"> (</w:t>
      </w:r>
      <w:r w:rsidRPr="00E957E3">
        <w:t>BRIGATINIB</w:t>
      </w:r>
      <w:r w:rsidR="003301BE" w:rsidRPr="00E957E3">
        <w:t>)</w:t>
      </w:r>
    </w:p>
    <w:p w14:paraId="427C484E" w14:textId="77777777" w:rsidR="00B541CE" w:rsidRPr="00E957E3" w:rsidRDefault="00B541CE" w:rsidP="00C77D3B">
      <w:pPr>
        <w:pStyle w:val="Heading1"/>
        <w:numPr>
          <w:ilvl w:val="0"/>
          <w:numId w:val="5"/>
        </w:numPr>
        <w:tabs>
          <w:tab w:val="left" w:pos="567"/>
        </w:tabs>
        <w:ind w:left="567" w:hanging="567"/>
      </w:pPr>
      <w:r w:rsidRPr="00E957E3">
        <w:t>NAME OF THE MEDICINE</w:t>
      </w:r>
    </w:p>
    <w:p w14:paraId="427C484F" w14:textId="77777777" w:rsidR="00B541CE" w:rsidRPr="00E957E3" w:rsidRDefault="005A0936" w:rsidP="00105E46">
      <w:r w:rsidRPr="00E957E3">
        <w:t>ALUNBRIG (b</w:t>
      </w:r>
      <w:r w:rsidR="00C243CE" w:rsidRPr="00E957E3">
        <w:t>rigatinib</w:t>
      </w:r>
      <w:r w:rsidRPr="00E957E3">
        <w:t>)</w:t>
      </w:r>
    </w:p>
    <w:p w14:paraId="427C4850" w14:textId="77777777" w:rsidR="003301BE" w:rsidRPr="00E957E3" w:rsidRDefault="003301BE" w:rsidP="00C77D3B">
      <w:pPr>
        <w:pStyle w:val="Heading1"/>
        <w:numPr>
          <w:ilvl w:val="0"/>
          <w:numId w:val="5"/>
        </w:numPr>
        <w:tabs>
          <w:tab w:val="left" w:pos="567"/>
        </w:tabs>
        <w:ind w:left="567" w:hanging="567"/>
      </w:pPr>
      <w:r w:rsidRPr="00E957E3">
        <w:t xml:space="preserve">QUALITATIVE AND QUANTITATIVE COMPOSITION </w:t>
      </w:r>
    </w:p>
    <w:p w14:paraId="427C4851" w14:textId="77777777" w:rsidR="005B5E58" w:rsidRPr="00E957E3" w:rsidRDefault="005A0936" w:rsidP="005F636F">
      <w:pPr>
        <w:spacing w:after="120"/>
        <w:rPr>
          <w:u w:val="single"/>
        </w:rPr>
      </w:pPr>
      <w:r w:rsidRPr="00E957E3">
        <w:rPr>
          <w:u w:val="single"/>
        </w:rPr>
        <w:t>ALUNBRIG</w:t>
      </w:r>
      <w:r w:rsidR="005B5E58" w:rsidRPr="00E957E3">
        <w:rPr>
          <w:u w:val="single"/>
        </w:rPr>
        <w:t xml:space="preserve"> 30 mg film</w:t>
      </w:r>
      <w:r w:rsidR="000515D7">
        <w:rPr>
          <w:u w:val="single"/>
        </w:rPr>
        <w:t>-</w:t>
      </w:r>
      <w:r w:rsidR="005B5E58" w:rsidRPr="00E957E3">
        <w:rPr>
          <w:u w:val="single"/>
        </w:rPr>
        <w:t>coated tablets</w:t>
      </w:r>
    </w:p>
    <w:p w14:paraId="427C4852" w14:textId="77777777" w:rsidR="005A0936" w:rsidRPr="00E957E3" w:rsidRDefault="005B5E58" w:rsidP="005F636F">
      <w:pPr>
        <w:spacing w:after="120"/>
      </w:pPr>
      <w:r w:rsidRPr="00E957E3">
        <w:t>Each film</w:t>
      </w:r>
      <w:r w:rsidR="000515D7">
        <w:t>-</w:t>
      </w:r>
      <w:r w:rsidRPr="00E957E3">
        <w:t>coated tablet contains 30 mg of brigatinib.</w:t>
      </w:r>
      <w:r w:rsidR="009E59B9" w:rsidRPr="00E957E3">
        <w:t xml:space="preserve"> </w:t>
      </w:r>
      <w:r w:rsidRPr="00E957E3">
        <w:t>Excipient with known effect</w:t>
      </w:r>
      <w:r w:rsidR="00920E30" w:rsidRPr="00E957E3">
        <w:t xml:space="preserve">: </w:t>
      </w:r>
      <w:r w:rsidRPr="00E957E3">
        <w:t xml:space="preserve">Each film-coated tablet contains 56 mg of lactose monohydrate. </w:t>
      </w:r>
    </w:p>
    <w:p w14:paraId="427C4853" w14:textId="77777777" w:rsidR="005B5E58" w:rsidRPr="00E957E3" w:rsidRDefault="005A0936" w:rsidP="005F636F">
      <w:pPr>
        <w:spacing w:after="120"/>
        <w:rPr>
          <w:u w:val="single"/>
        </w:rPr>
      </w:pPr>
      <w:r w:rsidRPr="00E957E3">
        <w:rPr>
          <w:u w:val="single"/>
        </w:rPr>
        <w:t>ALUNBRIG</w:t>
      </w:r>
      <w:r w:rsidR="005B5E58" w:rsidRPr="00E957E3">
        <w:rPr>
          <w:u w:val="single"/>
        </w:rPr>
        <w:t xml:space="preserve"> 90 mg film</w:t>
      </w:r>
      <w:r w:rsidR="000515D7">
        <w:rPr>
          <w:u w:val="single"/>
        </w:rPr>
        <w:t>-</w:t>
      </w:r>
      <w:r w:rsidR="005B5E58" w:rsidRPr="00E957E3">
        <w:rPr>
          <w:u w:val="single"/>
        </w:rPr>
        <w:t>coated tablets</w:t>
      </w:r>
    </w:p>
    <w:p w14:paraId="427C4854" w14:textId="77777777" w:rsidR="005B5E58" w:rsidRPr="00E957E3" w:rsidRDefault="005B5E58" w:rsidP="005F636F">
      <w:pPr>
        <w:spacing w:after="120"/>
      </w:pPr>
      <w:r w:rsidRPr="00E957E3">
        <w:t>Each film-coated tablet contains 90 mg of brigatinib.</w:t>
      </w:r>
      <w:r w:rsidR="009E59B9" w:rsidRPr="00E957E3">
        <w:t xml:space="preserve"> </w:t>
      </w:r>
      <w:r w:rsidRPr="00E957E3">
        <w:t>Excipient with known effect</w:t>
      </w:r>
      <w:r w:rsidR="00920E30" w:rsidRPr="00E957E3">
        <w:t xml:space="preserve">: </w:t>
      </w:r>
      <w:r w:rsidRPr="00E957E3">
        <w:t>Each film-coated tablet contains 168 mg of lactose monohydrate.</w:t>
      </w:r>
    </w:p>
    <w:p w14:paraId="427C4855" w14:textId="77777777" w:rsidR="005B5E58" w:rsidRPr="00E957E3" w:rsidRDefault="005A0936" w:rsidP="005F636F">
      <w:pPr>
        <w:spacing w:after="120"/>
        <w:rPr>
          <w:u w:val="single"/>
        </w:rPr>
      </w:pPr>
      <w:r w:rsidRPr="00E957E3">
        <w:rPr>
          <w:u w:val="single"/>
        </w:rPr>
        <w:t>ALUNBRIG</w:t>
      </w:r>
      <w:r w:rsidR="005B5E58" w:rsidRPr="00E957E3">
        <w:rPr>
          <w:u w:val="single"/>
        </w:rPr>
        <w:t xml:space="preserve"> 180 mg film</w:t>
      </w:r>
      <w:r w:rsidR="000515D7">
        <w:rPr>
          <w:u w:val="single"/>
        </w:rPr>
        <w:t>-</w:t>
      </w:r>
      <w:r w:rsidR="005B5E58" w:rsidRPr="00E957E3">
        <w:rPr>
          <w:u w:val="single"/>
        </w:rPr>
        <w:t>coated tablets</w:t>
      </w:r>
    </w:p>
    <w:p w14:paraId="427C4856" w14:textId="77777777" w:rsidR="00F55A41" w:rsidRPr="00E957E3" w:rsidRDefault="005B5E58" w:rsidP="005F636F">
      <w:pPr>
        <w:spacing w:after="120"/>
      </w:pPr>
      <w:r w:rsidRPr="00E957E3">
        <w:t>Each film-coated tablet contains 180 mg of brigatinib.</w:t>
      </w:r>
      <w:r w:rsidR="009E59B9" w:rsidRPr="00E957E3">
        <w:t xml:space="preserve"> </w:t>
      </w:r>
      <w:r w:rsidRPr="00E957E3">
        <w:t>Excipient with known effect</w:t>
      </w:r>
      <w:r w:rsidR="00920E30" w:rsidRPr="00E957E3">
        <w:t xml:space="preserve">: </w:t>
      </w:r>
      <w:r w:rsidRPr="00E957E3">
        <w:t xml:space="preserve">Each film-coated tablet contains </w:t>
      </w:r>
      <w:r w:rsidR="00F55A41" w:rsidRPr="00E957E3">
        <w:t>336</w:t>
      </w:r>
      <w:r w:rsidRPr="00E957E3">
        <w:t xml:space="preserve"> mg of lactose monohydrate.</w:t>
      </w:r>
    </w:p>
    <w:p w14:paraId="427C4857" w14:textId="77777777" w:rsidR="00744612" w:rsidRPr="00E957E3" w:rsidRDefault="00744612" w:rsidP="00744612">
      <w:r w:rsidRPr="00E957E3">
        <w:t>For the full list of excipients, see section 6.1</w:t>
      </w:r>
      <w:r w:rsidR="00026FB0" w:rsidRPr="00026FB0">
        <w:t xml:space="preserve"> List of excipients</w:t>
      </w:r>
      <w:r w:rsidRPr="00E957E3">
        <w:t>.</w:t>
      </w:r>
    </w:p>
    <w:p w14:paraId="427C4858" w14:textId="77777777" w:rsidR="003301BE" w:rsidRPr="00E957E3" w:rsidRDefault="003301BE" w:rsidP="00C77D3B">
      <w:pPr>
        <w:pStyle w:val="Heading1"/>
        <w:numPr>
          <w:ilvl w:val="0"/>
          <w:numId w:val="5"/>
        </w:numPr>
        <w:tabs>
          <w:tab w:val="left" w:pos="567"/>
        </w:tabs>
        <w:ind w:left="567" w:hanging="567"/>
      </w:pPr>
      <w:r w:rsidRPr="00E957E3">
        <w:t xml:space="preserve">PHARMACEUTICAL FORM </w:t>
      </w:r>
    </w:p>
    <w:p w14:paraId="427C4859" w14:textId="77777777" w:rsidR="00F55A41" w:rsidRPr="00E957E3" w:rsidRDefault="00F55A41" w:rsidP="005F636F">
      <w:pPr>
        <w:spacing w:after="120"/>
        <w:rPr>
          <w:u w:val="single"/>
        </w:rPr>
      </w:pPr>
      <w:r w:rsidRPr="00E957E3">
        <w:rPr>
          <w:u w:val="single"/>
        </w:rPr>
        <w:t>ALUNBRIG 30 mg film</w:t>
      </w:r>
      <w:r w:rsidR="00854052">
        <w:rPr>
          <w:u w:val="single"/>
        </w:rPr>
        <w:t>-</w:t>
      </w:r>
      <w:r w:rsidRPr="00E957E3">
        <w:rPr>
          <w:u w:val="single"/>
        </w:rPr>
        <w:t>coated tablets</w:t>
      </w:r>
    </w:p>
    <w:p w14:paraId="427C485A" w14:textId="77777777" w:rsidR="00F55A41" w:rsidRPr="00E957E3" w:rsidRDefault="00F55A41" w:rsidP="005F636F">
      <w:pPr>
        <w:spacing w:after="120"/>
      </w:pPr>
      <w:r w:rsidRPr="00E957E3">
        <w:t>Round, white to off-white with debossed “U3” on one side and plain on the other side.</w:t>
      </w:r>
    </w:p>
    <w:p w14:paraId="427C485B" w14:textId="77777777" w:rsidR="00F55A41" w:rsidRPr="00E957E3" w:rsidRDefault="00F55A41" w:rsidP="005F636F">
      <w:pPr>
        <w:spacing w:after="120"/>
        <w:rPr>
          <w:u w:val="single"/>
        </w:rPr>
      </w:pPr>
      <w:r w:rsidRPr="00E957E3">
        <w:rPr>
          <w:u w:val="single"/>
        </w:rPr>
        <w:t>ALUNBRIG 90 mg film</w:t>
      </w:r>
      <w:r w:rsidR="00854052">
        <w:rPr>
          <w:u w:val="single"/>
        </w:rPr>
        <w:t>-</w:t>
      </w:r>
      <w:r w:rsidRPr="00E957E3">
        <w:rPr>
          <w:u w:val="single"/>
        </w:rPr>
        <w:t>coated tablets</w:t>
      </w:r>
    </w:p>
    <w:p w14:paraId="427C485C" w14:textId="77777777" w:rsidR="00F55A41" w:rsidRPr="00E957E3" w:rsidRDefault="00F55A41" w:rsidP="005F636F">
      <w:pPr>
        <w:spacing w:after="120"/>
      </w:pPr>
      <w:r w:rsidRPr="00E957E3">
        <w:t>Oval, white to off-white with debossed “U7” on one side and plain on the other side.</w:t>
      </w:r>
    </w:p>
    <w:p w14:paraId="427C485D" w14:textId="77777777" w:rsidR="00F55A41" w:rsidRPr="00E957E3" w:rsidRDefault="00F55A41" w:rsidP="005F636F">
      <w:pPr>
        <w:spacing w:after="120"/>
        <w:rPr>
          <w:u w:val="single"/>
        </w:rPr>
      </w:pPr>
      <w:r w:rsidRPr="00E957E3">
        <w:rPr>
          <w:u w:val="single"/>
        </w:rPr>
        <w:t>ALUNBRIG 180 mg film</w:t>
      </w:r>
      <w:r w:rsidR="00854052">
        <w:rPr>
          <w:u w:val="single"/>
        </w:rPr>
        <w:t>-</w:t>
      </w:r>
      <w:r w:rsidRPr="00E957E3">
        <w:rPr>
          <w:u w:val="single"/>
        </w:rPr>
        <w:t>coated tablets</w:t>
      </w:r>
    </w:p>
    <w:p w14:paraId="427C485E" w14:textId="77777777" w:rsidR="00F55A41" w:rsidRPr="00E957E3" w:rsidRDefault="00F55A41" w:rsidP="003301BE">
      <w:pPr>
        <w:rPr>
          <w:highlight w:val="yellow"/>
        </w:rPr>
      </w:pPr>
      <w:r w:rsidRPr="00E957E3">
        <w:t>Oval, white to off-white with debossed “U13” on one side and plain on the other side.</w:t>
      </w:r>
    </w:p>
    <w:p w14:paraId="427C485F" w14:textId="77777777" w:rsidR="003301BE" w:rsidRPr="00E957E3" w:rsidRDefault="003301BE" w:rsidP="00C77D3B">
      <w:pPr>
        <w:pStyle w:val="Heading1"/>
        <w:numPr>
          <w:ilvl w:val="0"/>
          <w:numId w:val="5"/>
        </w:numPr>
        <w:tabs>
          <w:tab w:val="left" w:pos="567"/>
        </w:tabs>
        <w:ind w:left="567" w:hanging="567"/>
      </w:pPr>
      <w:r w:rsidRPr="00E957E3">
        <w:t xml:space="preserve">CLINICAL PARTICULARS </w:t>
      </w:r>
    </w:p>
    <w:p w14:paraId="427C4860" w14:textId="77777777" w:rsidR="003301BE" w:rsidRPr="00C77D3B" w:rsidRDefault="003301BE" w:rsidP="001A0D3C">
      <w:pPr>
        <w:pStyle w:val="Heading2"/>
      </w:pPr>
      <w:r w:rsidRPr="00C77D3B">
        <w:t xml:space="preserve">THERAPEUTIC INDICATIONS </w:t>
      </w:r>
    </w:p>
    <w:p w14:paraId="427C4861" w14:textId="77777777" w:rsidR="003207A8" w:rsidRPr="00D87C81" w:rsidRDefault="00C96CC7" w:rsidP="002D6061">
      <w:pPr>
        <w:spacing w:after="120"/>
      </w:pPr>
      <w:r w:rsidRPr="00E957E3">
        <w:t xml:space="preserve">ALUNBRIG is indicated for the treatment of adult patients with anaplastic lymphoma kinase </w:t>
      </w:r>
      <w:r w:rsidRPr="00D87C81">
        <w:t>(ALK</w:t>
      </w:r>
      <w:r w:rsidR="00D83BE1" w:rsidRPr="00D87C81">
        <w:t>)</w:t>
      </w:r>
      <w:r w:rsidR="00D83BE1" w:rsidRPr="00D87C81">
        <w:noBreakHyphen/>
      </w:r>
      <w:r w:rsidRPr="00D87C81">
        <w:t>positive advanced non-small cell lung cancer (NSCLC) previously treated with crizotinib.</w:t>
      </w:r>
    </w:p>
    <w:p w14:paraId="28179CE2" w14:textId="611CF507" w:rsidR="002342F2" w:rsidRPr="00D87C81" w:rsidRDefault="002342F2" w:rsidP="00C96CC7">
      <w:r w:rsidRPr="00D87C81">
        <w:t xml:space="preserve">The </w:t>
      </w:r>
      <w:r w:rsidR="00CF5E67" w:rsidRPr="00D87C81">
        <w:t xml:space="preserve">approval of </w:t>
      </w:r>
      <w:r w:rsidRPr="00D87C81">
        <w:t xml:space="preserve">this medicine </w:t>
      </w:r>
      <w:r w:rsidR="00CF5E67" w:rsidRPr="00D87C81">
        <w:t xml:space="preserve">is based on </w:t>
      </w:r>
      <w:r w:rsidRPr="00D87C81">
        <w:t>objective response rate and duration of response in a non-comparative study.</w:t>
      </w:r>
    </w:p>
    <w:p w14:paraId="427C4862" w14:textId="77777777" w:rsidR="003301BE" w:rsidRPr="00D87C81" w:rsidRDefault="003301BE" w:rsidP="001A0D3C">
      <w:pPr>
        <w:pStyle w:val="Heading2"/>
      </w:pPr>
      <w:r w:rsidRPr="00D87C81">
        <w:t xml:space="preserve">DOSE AND METHOD OF ADMINISTRATION </w:t>
      </w:r>
    </w:p>
    <w:p w14:paraId="7714788D" w14:textId="6C1C6152" w:rsidR="003D2D1F" w:rsidRPr="00D87C81" w:rsidRDefault="00F75F1D" w:rsidP="005F636F">
      <w:pPr>
        <w:spacing w:after="120"/>
      </w:pPr>
      <w:r w:rsidRPr="00F75F1D">
        <w:lastRenderedPageBreak/>
        <w:t>ALK-positive NSCLC status should be known prior to initiation of ALUNBRIG therapy. A validated ALK assay is necessary for the selection of ALK-positive NSCLC patients.</w:t>
      </w:r>
      <w:r w:rsidR="003D2D1F" w:rsidRPr="00D87C81">
        <w:t xml:space="preserve"> </w:t>
      </w:r>
    </w:p>
    <w:p w14:paraId="427C4863" w14:textId="77777777" w:rsidR="00E253E0" w:rsidRPr="00D87C81" w:rsidRDefault="00E253E0" w:rsidP="005F636F">
      <w:pPr>
        <w:spacing w:after="120"/>
      </w:pPr>
      <w:r w:rsidRPr="00D87C81">
        <w:t>Treatment with ALUNBRIG should be initiated and supervised by a physician experienced in the use of anticancer medicinal products.</w:t>
      </w:r>
    </w:p>
    <w:p w14:paraId="427C4864" w14:textId="77777777" w:rsidR="00E253E0" w:rsidRPr="00E957E3" w:rsidRDefault="00D171C7" w:rsidP="005F636F">
      <w:pPr>
        <w:spacing w:after="120"/>
      </w:pPr>
      <w:r w:rsidRPr="00E957E3">
        <w:t xml:space="preserve">The recommended starting dose of ALUNBRIG is 90 mg once daily for the first 7 days, then </w:t>
      </w:r>
      <w:r w:rsidR="00952B08" w:rsidRPr="00E957E3">
        <w:t>180</w:t>
      </w:r>
      <w:r w:rsidR="00952B08">
        <w:t> </w:t>
      </w:r>
      <w:r w:rsidRPr="00E957E3">
        <w:t xml:space="preserve">mg once daily. </w:t>
      </w:r>
      <w:r w:rsidR="001A0752" w:rsidRPr="00E957E3">
        <w:t>Treatment should continue as long as clinical benefit is observed.</w:t>
      </w:r>
    </w:p>
    <w:p w14:paraId="427C4865" w14:textId="09F824F7" w:rsidR="00E253E0" w:rsidRDefault="00E253E0" w:rsidP="00E253E0">
      <w:r w:rsidRPr="00E957E3">
        <w:t>If a dose of A</w:t>
      </w:r>
      <w:r w:rsidR="001A0752" w:rsidRPr="00E957E3">
        <w:t>LUNBRIG</w:t>
      </w:r>
      <w:r w:rsidRPr="00E957E3">
        <w:t xml:space="preserve"> is missed</w:t>
      </w:r>
      <w:r w:rsidR="00105B72">
        <w:t>,</w:t>
      </w:r>
      <w:r w:rsidRPr="00E957E3">
        <w:t xml:space="preserve"> or vomiting occurs after taking a dose, an additional dose should not be administered and the next dose of A</w:t>
      </w:r>
      <w:r w:rsidR="001A0752" w:rsidRPr="00E957E3">
        <w:t>LUNBRIG</w:t>
      </w:r>
      <w:r w:rsidRPr="00E957E3">
        <w:t xml:space="preserve"> should be taken at the scheduled time.</w:t>
      </w:r>
    </w:p>
    <w:p w14:paraId="427C4866" w14:textId="77777777" w:rsidR="001A0752" w:rsidRPr="00E957E3" w:rsidRDefault="001A0752" w:rsidP="005F636F">
      <w:pPr>
        <w:spacing w:after="120"/>
        <w:rPr>
          <w:b/>
        </w:rPr>
      </w:pPr>
      <w:r w:rsidRPr="00E957E3">
        <w:rPr>
          <w:b/>
        </w:rPr>
        <w:t>Dose Adjustments</w:t>
      </w:r>
    </w:p>
    <w:p w14:paraId="427C4867" w14:textId="77777777" w:rsidR="001A0752" w:rsidRPr="00E957E3" w:rsidRDefault="001A0752" w:rsidP="001A0752">
      <w:r w:rsidRPr="00E957E3">
        <w:t xml:space="preserve">Dosing interruption and/or dose reduction may be required based on individual safety and tolerability. ALUNBRIG dose modification levels are summarised in </w:t>
      </w:r>
      <w:r w:rsidR="00BE7968">
        <w:fldChar w:fldCharType="begin"/>
      </w:r>
      <w:r w:rsidR="00BE7968">
        <w:instrText xml:space="preserve"> REF _Ref503184079 \h  \* MERGEFORMAT </w:instrText>
      </w:r>
      <w:r w:rsidR="00BE7968">
        <w:fldChar w:fldCharType="separate"/>
      </w:r>
      <w:r w:rsidR="008D78FC" w:rsidRPr="008D78FC">
        <w:t>Table 1</w:t>
      </w:r>
      <w:r w:rsidR="00BE7968">
        <w:fldChar w:fldCharType="end"/>
      </w:r>
      <w:r w:rsidRPr="00E957E3">
        <w:t>.</w:t>
      </w:r>
    </w:p>
    <w:p w14:paraId="427C4868" w14:textId="77777777" w:rsidR="00821F00" w:rsidRPr="00E957E3" w:rsidRDefault="00821F00" w:rsidP="00412088">
      <w:pPr>
        <w:numPr>
          <w:ilvl w:val="12"/>
          <w:numId w:val="0"/>
        </w:numPr>
        <w:spacing w:before="240"/>
        <w:rPr>
          <w:b/>
          <w:noProof/>
          <w:szCs w:val="22"/>
        </w:rPr>
      </w:pPr>
      <w:bookmarkStart w:id="0" w:name="_Ref503184079"/>
      <w:r w:rsidRPr="00E957E3">
        <w:rPr>
          <w:b/>
          <w:noProof/>
          <w:szCs w:val="22"/>
        </w:rPr>
        <w:t xml:space="preserve">Table </w:t>
      </w:r>
      <w:r w:rsidR="004948F2" w:rsidRPr="00E957E3">
        <w:rPr>
          <w:b/>
          <w:noProof/>
          <w:szCs w:val="22"/>
        </w:rPr>
        <w:fldChar w:fldCharType="begin"/>
      </w:r>
      <w:r w:rsidRPr="00E957E3">
        <w:rPr>
          <w:b/>
          <w:noProof/>
          <w:szCs w:val="22"/>
        </w:rPr>
        <w:instrText xml:space="preserve"> SEQ Table \* ARABIC </w:instrText>
      </w:r>
      <w:r w:rsidR="004948F2" w:rsidRPr="00E957E3">
        <w:rPr>
          <w:b/>
          <w:noProof/>
          <w:szCs w:val="22"/>
        </w:rPr>
        <w:fldChar w:fldCharType="separate"/>
      </w:r>
      <w:r w:rsidR="008D78FC">
        <w:rPr>
          <w:b/>
          <w:noProof/>
          <w:szCs w:val="22"/>
        </w:rPr>
        <w:t>1</w:t>
      </w:r>
      <w:r w:rsidR="004948F2" w:rsidRPr="00E957E3">
        <w:rPr>
          <w:b/>
          <w:noProof/>
          <w:szCs w:val="22"/>
        </w:rPr>
        <w:fldChar w:fldCharType="end"/>
      </w:r>
      <w:bookmarkEnd w:id="0"/>
      <w:r w:rsidRPr="00E957E3">
        <w:rPr>
          <w:b/>
          <w:noProof/>
          <w:szCs w:val="22"/>
        </w:rPr>
        <w:t>: Recommended ALUNBRIG Dose Reduction Levels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4"/>
        <w:gridCol w:w="2464"/>
        <w:gridCol w:w="2465"/>
      </w:tblGrid>
      <w:tr w:rsidR="001A0752" w:rsidRPr="00E957E3" w14:paraId="427C486B" w14:textId="77777777" w:rsidTr="00697F5A">
        <w:tc>
          <w:tcPr>
            <w:tcW w:w="1249" w:type="pct"/>
            <w:vMerge w:val="restart"/>
            <w:shd w:val="clear" w:color="auto" w:fill="auto"/>
          </w:tcPr>
          <w:p w14:paraId="427C4869" w14:textId="77777777" w:rsidR="001A0752" w:rsidRPr="00E957E3" w:rsidRDefault="001A0752" w:rsidP="00D171C7">
            <w:pPr>
              <w:numPr>
                <w:ilvl w:val="12"/>
                <w:numId w:val="0"/>
              </w:numPr>
              <w:tabs>
                <w:tab w:val="left" w:pos="567"/>
              </w:tabs>
              <w:spacing w:after="0"/>
              <w:rPr>
                <w:b/>
                <w:noProof/>
                <w:szCs w:val="22"/>
              </w:rPr>
            </w:pPr>
            <w:r w:rsidRPr="00E957E3">
              <w:rPr>
                <w:b/>
                <w:noProof/>
                <w:szCs w:val="22"/>
              </w:rPr>
              <w:t>Dose</w:t>
            </w:r>
          </w:p>
        </w:tc>
        <w:tc>
          <w:tcPr>
            <w:tcW w:w="3751" w:type="pct"/>
            <w:gridSpan w:val="3"/>
            <w:shd w:val="clear" w:color="auto" w:fill="auto"/>
          </w:tcPr>
          <w:p w14:paraId="427C486A" w14:textId="77777777" w:rsidR="001A0752" w:rsidRPr="00E957E3" w:rsidRDefault="001A0752" w:rsidP="00D171C7">
            <w:pPr>
              <w:numPr>
                <w:ilvl w:val="12"/>
                <w:numId w:val="0"/>
              </w:numPr>
              <w:tabs>
                <w:tab w:val="left" w:pos="567"/>
              </w:tabs>
              <w:spacing w:after="0"/>
              <w:jc w:val="center"/>
              <w:rPr>
                <w:b/>
                <w:noProof/>
                <w:szCs w:val="22"/>
              </w:rPr>
            </w:pPr>
            <w:r w:rsidRPr="00E957E3">
              <w:rPr>
                <w:b/>
                <w:noProof/>
                <w:szCs w:val="22"/>
              </w:rPr>
              <w:t>Dose reduction levels</w:t>
            </w:r>
          </w:p>
        </w:tc>
      </w:tr>
      <w:tr w:rsidR="001A0752" w:rsidRPr="00E957E3" w14:paraId="427C4870" w14:textId="77777777" w:rsidTr="00697F5A">
        <w:tc>
          <w:tcPr>
            <w:tcW w:w="1249" w:type="pct"/>
            <w:vMerge/>
            <w:shd w:val="clear" w:color="auto" w:fill="auto"/>
          </w:tcPr>
          <w:p w14:paraId="427C486C" w14:textId="77777777" w:rsidR="001A0752" w:rsidRPr="00E957E3" w:rsidRDefault="001A0752" w:rsidP="00D171C7">
            <w:pPr>
              <w:numPr>
                <w:ilvl w:val="12"/>
                <w:numId w:val="0"/>
              </w:numPr>
              <w:tabs>
                <w:tab w:val="left" w:pos="567"/>
              </w:tabs>
              <w:spacing w:after="0"/>
              <w:rPr>
                <w:b/>
                <w:noProof/>
                <w:szCs w:val="22"/>
              </w:rPr>
            </w:pPr>
          </w:p>
        </w:tc>
        <w:tc>
          <w:tcPr>
            <w:tcW w:w="1250" w:type="pct"/>
            <w:shd w:val="clear" w:color="auto" w:fill="auto"/>
          </w:tcPr>
          <w:p w14:paraId="427C486D" w14:textId="77777777" w:rsidR="001A0752" w:rsidRPr="00E957E3" w:rsidRDefault="001A0752" w:rsidP="00D171C7">
            <w:pPr>
              <w:numPr>
                <w:ilvl w:val="12"/>
                <w:numId w:val="0"/>
              </w:numPr>
              <w:tabs>
                <w:tab w:val="left" w:pos="567"/>
              </w:tabs>
              <w:spacing w:after="0"/>
              <w:jc w:val="center"/>
              <w:rPr>
                <w:b/>
                <w:noProof/>
                <w:szCs w:val="22"/>
              </w:rPr>
            </w:pPr>
            <w:r w:rsidRPr="00E957E3">
              <w:rPr>
                <w:b/>
                <w:noProof/>
                <w:szCs w:val="22"/>
              </w:rPr>
              <w:t>First</w:t>
            </w:r>
          </w:p>
        </w:tc>
        <w:tc>
          <w:tcPr>
            <w:tcW w:w="1250" w:type="pct"/>
            <w:shd w:val="clear" w:color="auto" w:fill="auto"/>
          </w:tcPr>
          <w:p w14:paraId="427C486E" w14:textId="77777777" w:rsidR="001A0752" w:rsidRPr="00E957E3" w:rsidRDefault="001A0752" w:rsidP="00D171C7">
            <w:pPr>
              <w:numPr>
                <w:ilvl w:val="12"/>
                <w:numId w:val="0"/>
              </w:numPr>
              <w:tabs>
                <w:tab w:val="left" w:pos="567"/>
              </w:tabs>
              <w:spacing w:after="0"/>
              <w:jc w:val="center"/>
              <w:rPr>
                <w:b/>
                <w:noProof/>
                <w:szCs w:val="22"/>
              </w:rPr>
            </w:pPr>
            <w:r w:rsidRPr="00E957E3">
              <w:rPr>
                <w:b/>
                <w:noProof/>
                <w:szCs w:val="22"/>
              </w:rPr>
              <w:t>Second</w:t>
            </w:r>
          </w:p>
        </w:tc>
        <w:tc>
          <w:tcPr>
            <w:tcW w:w="1251" w:type="pct"/>
            <w:shd w:val="clear" w:color="auto" w:fill="auto"/>
          </w:tcPr>
          <w:p w14:paraId="427C486F" w14:textId="77777777" w:rsidR="001A0752" w:rsidRPr="00E957E3" w:rsidRDefault="001A0752" w:rsidP="00D171C7">
            <w:pPr>
              <w:numPr>
                <w:ilvl w:val="12"/>
                <w:numId w:val="0"/>
              </w:numPr>
              <w:tabs>
                <w:tab w:val="left" w:pos="567"/>
              </w:tabs>
              <w:spacing w:after="0"/>
              <w:jc w:val="center"/>
              <w:rPr>
                <w:b/>
                <w:noProof/>
                <w:szCs w:val="22"/>
              </w:rPr>
            </w:pPr>
            <w:r w:rsidRPr="00E957E3">
              <w:rPr>
                <w:b/>
                <w:noProof/>
                <w:szCs w:val="22"/>
              </w:rPr>
              <w:t>Third</w:t>
            </w:r>
          </w:p>
        </w:tc>
      </w:tr>
      <w:tr w:rsidR="001A0752" w:rsidRPr="00E957E3" w14:paraId="427C4876" w14:textId="77777777" w:rsidTr="00697F5A">
        <w:tc>
          <w:tcPr>
            <w:tcW w:w="1249" w:type="pct"/>
            <w:shd w:val="clear" w:color="auto" w:fill="auto"/>
          </w:tcPr>
          <w:p w14:paraId="427C4871" w14:textId="77777777" w:rsidR="00E2259C" w:rsidRPr="00E957E3" w:rsidRDefault="001A0752" w:rsidP="00D171C7">
            <w:pPr>
              <w:numPr>
                <w:ilvl w:val="12"/>
                <w:numId w:val="0"/>
              </w:numPr>
              <w:tabs>
                <w:tab w:val="left" w:pos="567"/>
              </w:tabs>
              <w:spacing w:after="0"/>
              <w:jc w:val="center"/>
              <w:rPr>
                <w:noProof/>
                <w:szCs w:val="22"/>
              </w:rPr>
            </w:pPr>
            <w:r w:rsidRPr="00E957E3">
              <w:rPr>
                <w:noProof/>
                <w:szCs w:val="22"/>
              </w:rPr>
              <w:t>90 mg once daily</w:t>
            </w:r>
          </w:p>
          <w:p w14:paraId="427C4872"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(first 7 days)</w:t>
            </w:r>
          </w:p>
        </w:tc>
        <w:tc>
          <w:tcPr>
            <w:tcW w:w="1250" w:type="pct"/>
            <w:shd w:val="clear" w:color="auto" w:fill="auto"/>
          </w:tcPr>
          <w:p w14:paraId="427C4873"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reduce to 60 mg once daily</w:t>
            </w:r>
          </w:p>
        </w:tc>
        <w:tc>
          <w:tcPr>
            <w:tcW w:w="1250" w:type="pct"/>
            <w:shd w:val="clear" w:color="auto" w:fill="auto"/>
          </w:tcPr>
          <w:p w14:paraId="427C4874"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permanently discontinue</w:t>
            </w:r>
          </w:p>
        </w:tc>
        <w:tc>
          <w:tcPr>
            <w:tcW w:w="1251" w:type="pct"/>
            <w:shd w:val="clear" w:color="auto" w:fill="auto"/>
          </w:tcPr>
          <w:p w14:paraId="427C4875" w14:textId="77777777" w:rsidR="001A0752" w:rsidRPr="00E957E3" w:rsidRDefault="00E2259C" w:rsidP="007A243F">
            <w:pPr>
              <w:numPr>
                <w:ilvl w:val="12"/>
                <w:numId w:val="0"/>
              </w:numPr>
              <w:tabs>
                <w:tab w:val="left" w:pos="567"/>
              </w:tabs>
              <w:spacing w:after="0"/>
              <w:jc w:val="center"/>
              <w:rPr>
                <w:noProof/>
                <w:szCs w:val="22"/>
              </w:rPr>
            </w:pPr>
            <w:r w:rsidRPr="00E957E3">
              <w:rPr>
                <w:noProof/>
                <w:szCs w:val="22"/>
              </w:rPr>
              <w:t>N</w:t>
            </w:r>
            <w:r w:rsidR="001A0752" w:rsidRPr="00E957E3">
              <w:rPr>
                <w:noProof/>
                <w:szCs w:val="22"/>
              </w:rPr>
              <w:t xml:space="preserve">ot </w:t>
            </w:r>
            <w:r w:rsidR="007A243F">
              <w:rPr>
                <w:noProof/>
                <w:szCs w:val="22"/>
              </w:rPr>
              <w:t>a</w:t>
            </w:r>
            <w:r w:rsidR="001A0752" w:rsidRPr="00E957E3">
              <w:rPr>
                <w:noProof/>
                <w:szCs w:val="22"/>
              </w:rPr>
              <w:t>pplicable</w:t>
            </w:r>
          </w:p>
        </w:tc>
      </w:tr>
      <w:tr w:rsidR="001A0752" w:rsidRPr="00E957E3" w14:paraId="427C487B" w14:textId="77777777" w:rsidTr="00697F5A">
        <w:tc>
          <w:tcPr>
            <w:tcW w:w="1249" w:type="pct"/>
            <w:shd w:val="clear" w:color="auto" w:fill="auto"/>
          </w:tcPr>
          <w:p w14:paraId="427C4877"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180 mg once daily</w:t>
            </w:r>
          </w:p>
        </w:tc>
        <w:tc>
          <w:tcPr>
            <w:tcW w:w="1250" w:type="pct"/>
            <w:shd w:val="clear" w:color="auto" w:fill="auto"/>
          </w:tcPr>
          <w:p w14:paraId="427C4878"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reduce to 120 mg once daily</w:t>
            </w:r>
          </w:p>
        </w:tc>
        <w:tc>
          <w:tcPr>
            <w:tcW w:w="1250" w:type="pct"/>
            <w:shd w:val="clear" w:color="auto" w:fill="auto"/>
          </w:tcPr>
          <w:p w14:paraId="427C4879"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reduce to 90 mg once daily</w:t>
            </w:r>
          </w:p>
        </w:tc>
        <w:tc>
          <w:tcPr>
            <w:tcW w:w="1251" w:type="pct"/>
            <w:shd w:val="clear" w:color="auto" w:fill="auto"/>
          </w:tcPr>
          <w:p w14:paraId="427C487A" w14:textId="77777777" w:rsidR="001A0752" w:rsidRPr="00E957E3" w:rsidRDefault="001A0752" w:rsidP="00D171C7">
            <w:pPr>
              <w:numPr>
                <w:ilvl w:val="12"/>
                <w:numId w:val="0"/>
              </w:numPr>
              <w:tabs>
                <w:tab w:val="left" w:pos="567"/>
              </w:tabs>
              <w:spacing w:after="0"/>
              <w:jc w:val="center"/>
              <w:rPr>
                <w:noProof/>
                <w:szCs w:val="22"/>
              </w:rPr>
            </w:pPr>
            <w:r w:rsidRPr="00E957E3">
              <w:rPr>
                <w:noProof/>
                <w:szCs w:val="22"/>
              </w:rPr>
              <w:t>reduce to 60 mg once daily</w:t>
            </w:r>
          </w:p>
        </w:tc>
      </w:tr>
    </w:tbl>
    <w:p w14:paraId="427C487C" w14:textId="77777777" w:rsidR="00744612" w:rsidRPr="00E957E3" w:rsidRDefault="00744612" w:rsidP="002040D0">
      <w:pPr>
        <w:spacing w:after="0"/>
      </w:pPr>
    </w:p>
    <w:p w14:paraId="427C487D" w14:textId="77777777" w:rsidR="00E2259C" w:rsidRPr="00E957E3" w:rsidRDefault="00E2259C" w:rsidP="005F636F">
      <w:pPr>
        <w:spacing w:after="120"/>
      </w:pPr>
      <w:r w:rsidRPr="00E957E3">
        <w:t>Permanently discontinue ALUNBRIG if patient is unable to tolerate the 60 mg once daily dose.</w:t>
      </w:r>
    </w:p>
    <w:p w14:paraId="427C487E" w14:textId="77777777" w:rsidR="00E2259C" w:rsidRPr="00E957E3" w:rsidRDefault="00E2259C" w:rsidP="005F636F">
      <w:pPr>
        <w:spacing w:after="120"/>
      </w:pPr>
      <w:r w:rsidRPr="00E957E3">
        <w:t>If ALUNBRIG is interrupted for 14 days or longer for reasons other than adverse reactions, treatment should be resumed at 90 mg once daily for 7 days before increasing to the previously tolerated dose.</w:t>
      </w:r>
    </w:p>
    <w:p w14:paraId="427C487F" w14:textId="2EA52013" w:rsidR="00E2259C" w:rsidRPr="00E957E3" w:rsidRDefault="00E2259C" w:rsidP="00E2259C">
      <w:r w:rsidRPr="00E957E3">
        <w:t xml:space="preserve">Recommendations for dose modifications of ALUNBRIG for the management of adverse reactions are </w:t>
      </w:r>
      <w:r w:rsidR="00105B72" w:rsidRPr="00E957E3">
        <w:t>summari</w:t>
      </w:r>
      <w:r w:rsidR="00105B72">
        <w:t>s</w:t>
      </w:r>
      <w:r w:rsidR="00105B72" w:rsidRPr="00E957E3">
        <w:t xml:space="preserve">ed </w:t>
      </w:r>
      <w:r w:rsidRPr="00E957E3">
        <w:t xml:space="preserve">in </w:t>
      </w:r>
      <w:r w:rsidR="00BE7968">
        <w:fldChar w:fldCharType="begin"/>
      </w:r>
      <w:r w:rsidR="00BE7968">
        <w:instrText xml:space="preserve"> REF _Ref503184131 \h  \* MERGEFORMAT </w:instrText>
      </w:r>
      <w:r w:rsidR="00BE7968">
        <w:fldChar w:fldCharType="separate"/>
      </w:r>
      <w:r w:rsidR="008D78FC" w:rsidRPr="008D78FC">
        <w:t>Table 2</w:t>
      </w:r>
      <w:r w:rsidR="00BE7968">
        <w:fldChar w:fldCharType="end"/>
      </w:r>
      <w:r w:rsidRPr="00E957E3">
        <w:t>.</w:t>
      </w:r>
    </w:p>
    <w:p w14:paraId="427C4880" w14:textId="77777777" w:rsidR="00412088" w:rsidRPr="00E957E3" w:rsidRDefault="00412088" w:rsidP="00412088">
      <w:pPr>
        <w:numPr>
          <w:ilvl w:val="12"/>
          <w:numId w:val="0"/>
        </w:numPr>
        <w:ind w:right="-2"/>
        <w:rPr>
          <w:b/>
          <w:noProof/>
          <w:szCs w:val="22"/>
        </w:rPr>
      </w:pPr>
      <w:bookmarkStart w:id="1" w:name="_Ref503184131"/>
      <w:r w:rsidRPr="00E957E3">
        <w:rPr>
          <w:b/>
          <w:noProof/>
          <w:szCs w:val="22"/>
        </w:rPr>
        <w:t xml:space="preserve">Table </w:t>
      </w:r>
      <w:r w:rsidR="004948F2" w:rsidRPr="00E957E3">
        <w:rPr>
          <w:b/>
          <w:noProof/>
          <w:szCs w:val="22"/>
        </w:rPr>
        <w:fldChar w:fldCharType="begin"/>
      </w:r>
      <w:r w:rsidRPr="00E957E3">
        <w:rPr>
          <w:b/>
          <w:noProof/>
          <w:szCs w:val="22"/>
        </w:rPr>
        <w:instrText xml:space="preserve"> SEQ Table \* ARABIC </w:instrText>
      </w:r>
      <w:r w:rsidR="004948F2" w:rsidRPr="00E957E3">
        <w:rPr>
          <w:b/>
          <w:noProof/>
          <w:szCs w:val="22"/>
        </w:rPr>
        <w:fldChar w:fldCharType="separate"/>
      </w:r>
      <w:r w:rsidR="008D78FC">
        <w:rPr>
          <w:b/>
          <w:noProof/>
          <w:szCs w:val="22"/>
        </w:rPr>
        <w:t>2</w:t>
      </w:r>
      <w:r w:rsidR="004948F2" w:rsidRPr="00E957E3">
        <w:rPr>
          <w:b/>
          <w:noProof/>
          <w:szCs w:val="22"/>
        </w:rPr>
        <w:fldChar w:fldCharType="end"/>
      </w:r>
      <w:bookmarkEnd w:id="1"/>
      <w:r w:rsidRPr="00E957E3">
        <w:rPr>
          <w:b/>
          <w:noProof/>
          <w:szCs w:val="22"/>
        </w:rPr>
        <w:t>: Recommended ALUNBRIG dose modifications for adverse reactions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091"/>
        <w:gridCol w:w="5366"/>
      </w:tblGrid>
      <w:tr w:rsidR="00E2259C" w:rsidRPr="00E957E3" w14:paraId="427C4884" w14:textId="77777777" w:rsidTr="003D2D1F">
        <w:trPr>
          <w:tblHeader/>
        </w:trPr>
        <w:tc>
          <w:tcPr>
            <w:tcW w:w="1216" w:type="pct"/>
            <w:shd w:val="clear" w:color="auto" w:fill="auto"/>
          </w:tcPr>
          <w:p w14:paraId="427C4881" w14:textId="77777777" w:rsidR="00E2259C" w:rsidRPr="00E957E3" w:rsidRDefault="00E2259C" w:rsidP="00BC568F">
            <w:pPr>
              <w:numPr>
                <w:ilvl w:val="12"/>
                <w:numId w:val="0"/>
              </w:numPr>
              <w:tabs>
                <w:tab w:val="left" w:pos="567"/>
              </w:tabs>
              <w:ind w:right="-2"/>
              <w:rPr>
                <w:b/>
                <w:noProof/>
                <w:szCs w:val="22"/>
              </w:rPr>
            </w:pPr>
            <w:r w:rsidRPr="00E957E3">
              <w:rPr>
                <w:b/>
                <w:noProof/>
                <w:szCs w:val="22"/>
              </w:rPr>
              <w:t>Adverse reaction</w:t>
            </w:r>
          </w:p>
        </w:tc>
        <w:tc>
          <w:tcPr>
            <w:tcW w:w="1061" w:type="pct"/>
            <w:shd w:val="clear" w:color="auto" w:fill="auto"/>
          </w:tcPr>
          <w:p w14:paraId="427C4882" w14:textId="77777777" w:rsidR="00E2259C" w:rsidRPr="00E957E3" w:rsidRDefault="00E2259C" w:rsidP="00BC568F">
            <w:pPr>
              <w:numPr>
                <w:ilvl w:val="12"/>
                <w:numId w:val="0"/>
              </w:numPr>
              <w:tabs>
                <w:tab w:val="left" w:pos="567"/>
              </w:tabs>
              <w:ind w:right="-2"/>
              <w:rPr>
                <w:b/>
                <w:noProof/>
                <w:szCs w:val="22"/>
              </w:rPr>
            </w:pPr>
            <w:r w:rsidRPr="00E957E3">
              <w:rPr>
                <w:b/>
                <w:noProof/>
                <w:szCs w:val="22"/>
              </w:rPr>
              <w:t>Severity</w:t>
            </w:r>
            <w:r w:rsidRPr="00E957E3">
              <w:rPr>
                <w:noProof/>
                <w:szCs w:val="22"/>
              </w:rPr>
              <w:t>*</w:t>
            </w:r>
          </w:p>
        </w:tc>
        <w:tc>
          <w:tcPr>
            <w:tcW w:w="2723" w:type="pct"/>
            <w:shd w:val="clear" w:color="auto" w:fill="auto"/>
          </w:tcPr>
          <w:p w14:paraId="427C4883" w14:textId="77777777" w:rsidR="00E2259C" w:rsidRPr="00E957E3" w:rsidRDefault="00E2259C" w:rsidP="00BC568F">
            <w:pPr>
              <w:numPr>
                <w:ilvl w:val="12"/>
                <w:numId w:val="0"/>
              </w:numPr>
              <w:tabs>
                <w:tab w:val="left" w:pos="567"/>
              </w:tabs>
              <w:ind w:right="-2"/>
              <w:rPr>
                <w:b/>
                <w:noProof/>
                <w:szCs w:val="22"/>
              </w:rPr>
            </w:pPr>
            <w:r w:rsidRPr="00E957E3">
              <w:rPr>
                <w:b/>
                <w:noProof/>
                <w:szCs w:val="22"/>
              </w:rPr>
              <w:t>Dose modification</w:t>
            </w:r>
          </w:p>
        </w:tc>
      </w:tr>
      <w:tr w:rsidR="00E2259C" w:rsidRPr="00E957E3" w14:paraId="427C488A" w14:textId="77777777" w:rsidTr="003D2D1F">
        <w:tc>
          <w:tcPr>
            <w:tcW w:w="1216" w:type="pct"/>
            <w:vMerge w:val="restart"/>
            <w:shd w:val="clear" w:color="auto" w:fill="auto"/>
          </w:tcPr>
          <w:p w14:paraId="427C4885" w14:textId="77777777" w:rsidR="00E2259C" w:rsidRPr="00E957E3" w:rsidRDefault="00E2259C" w:rsidP="00E2259C">
            <w:pPr>
              <w:numPr>
                <w:ilvl w:val="12"/>
                <w:numId w:val="0"/>
              </w:numPr>
              <w:tabs>
                <w:tab w:val="left" w:pos="567"/>
              </w:tabs>
              <w:ind w:right="-2"/>
              <w:jc w:val="left"/>
              <w:rPr>
                <w:noProof/>
                <w:szCs w:val="22"/>
              </w:rPr>
            </w:pPr>
            <w:r w:rsidRPr="00E957E3">
              <w:rPr>
                <w:noProof/>
                <w:szCs w:val="22"/>
              </w:rPr>
              <w:t>Interstit</w:t>
            </w:r>
            <w:r w:rsidR="004D1116">
              <w:rPr>
                <w:noProof/>
                <w:szCs w:val="22"/>
              </w:rPr>
              <w:t>i</w:t>
            </w:r>
            <w:r w:rsidRPr="00E957E3">
              <w:rPr>
                <w:noProof/>
                <w:szCs w:val="22"/>
              </w:rPr>
              <w:t>al lung disease (ILD)/pneumonitis</w:t>
            </w:r>
          </w:p>
        </w:tc>
        <w:tc>
          <w:tcPr>
            <w:tcW w:w="1061" w:type="pct"/>
            <w:shd w:val="clear" w:color="auto" w:fill="auto"/>
          </w:tcPr>
          <w:p w14:paraId="427C4886"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1 </w:t>
            </w:r>
          </w:p>
        </w:tc>
        <w:tc>
          <w:tcPr>
            <w:tcW w:w="2723" w:type="pct"/>
            <w:shd w:val="clear" w:color="auto" w:fill="auto"/>
          </w:tcPr>
          <w:p w14:paraId="427C4887" w14:textId="77777777" w:rsidR="00491B15" w:rsidRPr="00491B15" w:rsidRDefault="00491B15" w:rsidP="00C77D3B">
            <w:pPr>
              <w:numPr>
                <w:ilvl w:val="0"/>
                <w:numId w:val="6"/>
              </w:numPr>
              <w:tabs>
                <w:tab w:val="left" w:pos="430"/>
              </w:tabs>
              <w:spacing w:after="0"/>
              <w:ind w:left="430" w:right="-2" w:hanging="430"/>
              <w:jc w:val="left"/>
              <w:rPr>
                <w:noProof/>
                <w:szCs w:val="22"/>
              </w:rPr>
            </w:pPr>
            <w:r w:rsidRPr="00491B15">
              <w:rPr>
                <w:noProof/>
                <w:szCs w:val="22"/>
              </w:rPr>
              <w:t>If new pulmonary symptoms occur during the first 7 days of treatment, withhold ALUNBRIG until recovery to baseline, then resume at</w:t>
            </w:r>
            <w:r w:rsidR="00A3759D">
              <w:rPr>
                <w:noProof/>
                <w:szCs w:val="22"/>
              </w:rPr>
              <w:t xml:space="preserve"> the</w:t>
            </w:r>
            <w:r w:rsidRPr="00491B15">
              <w:rPr>
                <w:noProof/>
                <w:szCs w:val="22"/>
              </w:rPr>
              <w:t xml:space="preserve"> same dose and do not escalate to 180 mg if ILD/pneumonitis is suspected. </w:t>
            </w:r>
          </w:p>
          <w:p w14:paraId="427C4888" w14:textId="77777777" w:rsidR="00491B15" w:rsidRPr="00491B15" w:rsidRDefault="00491B15" w:rsidP="00C77D3B">
            <w:pPr>
              <w:numPr>
                <w:ilvl w:val="0"/>
                <w:numId w:val="6"/>
              </w:numPr>
              <w:tabs>
                <w:tab w:val="left" w:pos="430"/>
              </w:tabs>
              <w:spacing w:after="0"/>
              <w:ind w:left="430" w:right="-2" w:hanging="430"/>
              <w:jc w:val="left"/>
              <w:rPr>
                <w:noProof/>
                <w:szCs w:val="22"/>
              </w:rPr>
            </w:pPr>
            <w:r w:rsidRPr="00491B15">
              <w:rPr>
                <w:noProof/>
                <w:szCs w:val="22"/>
              </w:rPr>
              <w:t xml:space="preserve">If new pulmonary symptoms occur after the first 7 days of treatment, withhold ALUNBRIG until recovery to baseline, then resume at </w:t>
            </w:r>
            <w:r w:rsidR="00A3759D">
              <w:rPr>
                <w:noProof/>
                <w:szCs w:val="22"/>
              </w:rPr>
              <w:t xml:space="preserve">the </w:t>
            </w:r>
            <w:r w:rsidRPr="00491B15">
              <w:rPr>
                <w:noProof/>
                <w:szCs w:val="22"/>
              </w:rPr>
              <w:t>same dose.</w:t>
            </w:r>
          </w:p>
          <w:p w14:paraId="427C4889" w14:textId="77777777" w:rsidR="00491B15" w:rsidRPr="005F636F" w:rsidRDefault="00491B15" w:rsidP="00491B15">
            <w:pPr>
              <w:numPr>
                <w:ilvl w:val="0"/>
                <w:numId w:val="6"/>
              </w:numPr>
              <w:tabs>
                <w:tab w:val="left" w:pos="430"/>
              </w:tabs>
              <w:spacing w:after="0"/>
              <w:ind w:left="430" w:right="-2" w:hanging="430"/>
              <w:jc w:val="left"/>
              <w:rPr>
                <w:noProof/>
                <w:szCs w:val="22"/>
              </w:rPr>
            </w:pPr>
            <w:r w:rsidRPr="00491B15">
              <w:rPr>
                <w:noProof/>
                <w:szCs w:val="22"/>
              </w:rPr>
              <w:t>If ILD/pneumonitis recurs, permanently discontinue ALUNBRIG.</w:t>
            </w:r>
          </w:p>
        </w:tc>
      </w:tr>
      <w:tr w:rsidR="00E2259C" w:rsidRPr="00E957E3" w14:paraId="427C4890" w14:textId="77777777" w:rsidTr="003D2D1F">
        <w:tc>
          <w:tcPr>
            <w:tcW w:w="1216" w:type="pct"/>
            <w:vMerge/>
            <w:shd w:val="clear" w:color="auto" w:fill="auto"/>
          </w:tcPr>
          <w:p w14:paraId="427C488B"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8C"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2 </w:t>
            </w:r>
          </w:p>
        </w:tc>
        <w:tc>
          <w:tcPr>
            <w:tcW w:w="2723" w:type="pct"/>
            <w:shd w:val="clear" w:color="auto" w:fill="auto"/>
          </w:tcPr>
          <w:p w14:paraId="427C488D" w14:textId="77777777" w:rsidR="00A3759D" w:rsidRPr="00A3759D" w:rsidRDefault="00A3759D" w:rsidP="00C77D3B">
            <w:pPr>
              <w:numPr>
                <w:ilvl w:val="0"/>
                <w:numId w:val="6"/>
              </w:numPr>
              <w:tabs>
                <w:tab w:val="left" w:pos="430"/>
              </w:tabs>
              <w:spacing w:after="0"/>
              <w:ind w:left="430" w:right="-2" w:hanging="430"/>
              <w:jc w:val="left"/>
              <w:rPr>
                <w:noProof/>
                <w:szCs w:val="22"/>
              </w:rPr>
            </w:pPr>
            <w:r w:rsidRPr="00A3759D">
              <w:rPr>
                <w:noProof/>
                <w:szCs w:val="22"/>
              </w:rPr>
              <w:t xml:space="preserve">If new pulmonary symptoms occur during the first 7 days of treatment, withhold ALUNBRIG until recovery to baseline. Resume at </w:t>
            </w:r>
            <w:r>
              <w:rPr>
                <w:noProof/>
                <w:szCs w:val="22"/>
              </w:rPr>
              <w:t xml:space="preserve">the </w:t>
            </w:r>
            <w:r w:rsidRPr="00A3759D">
              <w:rPr>
                <w:noProof/>
                <w:szCs w:val="22"/>
              </w:rPr>
              <w:t xml:space="preserve">next </w:t>
            </w:r>
            <w:r w:rsidRPr="00A3759D">
              <w:rPr>
                <w:noProof/>
                <w:szCs w:val="22"/>
              </w:rPr>
              <w:lastRenderedPageBreak/>
              <w:t>lower dose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A3759D">
              <w:rPr>
                <w:noProof/>
                <w:szCs w:val="22"/>
              </w:rPr>
              <w:t>) and do not dose escalate if ILD/pneumonitis is suspected.</w:t>
            </w:r>
          </w:p>
          <w:p w14:paraId="427C488E" w14:textId="77777777" w:rsidR="00A3759D" w:rsidRPr="00A3759D" w:rsidRDefault="00A3759D" w:rsidP="00C77D3B">
            <w:pPr>
              <w:numPr>
                <w:ilvl w:val="0"/>
                <w:numId w:val="6"/>
              </w:numPr>
              <w:tabs>
                <w:tab w:val="left" w:pos="430"/>
              </w:tabs>
              <w:spacing w:after="0"/>
              <w:ind w:left="430" w:right="-2" w:hanging="430"/>
              <w:jc w:val="left"/>
              <w:rPr>
                <w:noProof/>
                <w:szCs w:val="22"/>
              </w:rPr>
            </w:pPr>
            <w:r w:rsidRPr="00A3759D">
              <w:rPr>
                <w:noProof/>
                <w:szCs w:val="22"/>
              </w:rPr>
              <w:t xml:space="preserve">If new pulmonary symptoms occur after the first 7 days of treatment, withhold ALUNBRIG until recovery to baseline. If ILD/pneumonitis is suspected, resume at </w:t>
            </w:r>
            <w:r w:rsidR="000B6ABE">
              <w:rPr>
                <w:noProof/>
                <w:szCs w:val="22"/>
              </w:rPr>
              <w:t xml:space="preserve">the </w:t>
            </w:r>
            <w:r w:rsidRPr="00A3759D">
              <w:rPr>
                <w:noProof/>
                <w:szCs w:val="22"/>
              </w:rPr>
              <w:t>next lower dose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A3759D">
              <w:rPr>
                <w:noProof/>
                <w:szCs w:val="22"/>
              </w:rPr>
              <w:t xml:space="preserve">); otherwise, resume at same dose. </w:t>
            </w:r>
          </w:p>
          <w:p w14:paraId="427C488F" w14:textId="77777777" w:rsidR="00A3759D" w:rsidRPr="00E957E3" w:rsidRDefault="00A3759D" w:rsidP="00C77D3B">
            <w:pPr>
              <w:numPr>
                <w:ilvl w:val="0"/>
                <w:numId w:val="6"/>
              </w:numPr>
              <w:tabs>
                <w:tab w:val="left" w:pos="430"/>
              </w:tabs>
              <w:spacing w:after="0"/>
              <w:ind w:left="430" w:right="-2" w:hanging="430"/>
              <w:jc w:val="left"/>
              <w:rPr>
                <w:noProof/>
                <w:szCs w:val="22"/>
              </w:rPr>
            </w:pPr>
            <w:r w:rsidRPr="00A3759D">
              <w:rPr>
                <w:noProof/>
                <w:szCs w:val="22"/>
              </w:rPr>
              <w:t>If ILD/pneumonitis recurs, permanently discontinue ALUNBRIG.</w:t>
            </w:r>
          </w:p>
        </w:tc>
      </w:tr>
      <w:tr w:rsidR="00E2259C" w:rsidRPr="00E957E3" w14:paraId="427C4894" w14:textId="77777777" w:rsidTr="003D2D1F">
        <w:trPr>
          <w:trHeight w:val="262"/>
        </w:trPr>
        <w:tc>
          <w:tcPr>
            <w:tcW w:w="1216" w:type="pct"/>
            <w:vMerge/>
            <w:shd w:val="clear" w:color="auto" w:fill="auto"/>
          </w:tcPr>
          <w:p w14:paraId="427C4891"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92"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3 or 4 </w:t>
            </w:r>
          </w:p>
        </w:tc>
        <w:tc>
          <w:tcPr>
            <w:tcW w:w="2723" w:type="pct"/>
            <w:shd w:val="clear" w:color="auto" w:fill="auto"/>
          </w:tcPr>
          <w:p w14:paraId="427C4893" w14:textId="77777777" w:rsidR="00E2259C" w:rsidRPr="00E957E3" w:rsidRDefault="00E2259C" w:rsidP="00C77D3B">
            <w:pPr>
              <w:numPr>
                <w:ilvl w:val="0"/>
                <w:numId w:val="8"/>
              </w:numPr>
              <w:tabs>
                <w:tab w:val="left" w:pos="401"/>
              </w:tabs>
              <w:spacing w:after="0"/>
              <w:ind w:left="401" w:right="-2" w:hanging="401"/>
              <w:jc w:val="left"/>
              <w:rPr>
                <w:noProof/>
                <w:szCs w:val="22"/>
              </w:rPr>
            </w:pPr>
            <w:r w:rsidRPr="00E957E3">
              <w:rPr>
                <w:noProof/>
                <w:szCs w:val="22"/>
              </w:rPr>
              <w:t>ALUNBRIG should be permanently discontinued.</w:t>
            </w:r>
          </w:p>
        </w:tc>
      </w:tr>
      <w:tr w:rsidR="00E2259C" w:rsidRPr="00E957E3" w14:paraId="427C4899" w14:textId="77777777" w:rsidTr="003D2D1F">
        <w:tc>
          <w:tcPr>
            <w:tcW w:w="1216" w:type="pct"/>
            <w:vMerge w:val="restart"/>
            <w:shd w:val="clear" w:color="auto" w:fill="auto"/>
          </w:tcPr>
          <w:p w14:paraId="427C4895" w14:textId="77777777" w:rsidR="00E2259C" w:rsidRPr="00E957E3" w:rsidRDefault="00E2259C" w:rsidP="00BC568F">
            <w:pPr>
              <w:numPr>
                <w:ilvl w:val="12"/>
                <w:numId w:val="0"/>
              </w:numPr>
              <w:tabs>
                <w:tab w:val="left" w:pos="567"/>
              </w:tabs>
              <w:ind w:right="-2"/>
              <w:rPr>
                <w:noProof/>
                <w:szCs w:val="22"/>
              </w:rPr>
            </w:pPr>
            <w:r w:rsidRPr="00E957E3">
              <w:rPr>
                <w:noProof/>
                <w:szCs w:val="22"/>
              </w:rPr>
              <w:t>Hypertension</w:t>
            </w:r>
          </w:p>
        </w:tc>
        <w:tc>
          <w:tcPr>
            <w:tcW w:w="1061" w:type="pct"/>
            <w:shd w:val="clear" w:color="auto" w:fill="auto"/>
          </w:tcPr>
          <w:p w14:paraId="427C4896" w14:textId="77777777" w:rsidR="00E2259C" w:rsidRPr="00E957E3" w:rsidRDefault="00E2259C" w:rsidP="007A243F">
            <w:pPr>
              <w:numPr>
                <w:ilvl w:val="12"/>
                <w:numId w:val="0"/>
              </w:numPr>
              <w:tabs>
                <w:tab w:val="left" w:pos="567"/>
              </w:tabs>
              <w:ind w:right="-2"/>
              <w:jc w:val="left"/>
              <w:rPr>
                <w:noProof/>
                <w:szCs w:val="22"/>
              </w:rPr>
            </w:pPr>
            <w:r w:rsidRPr="00E957E3">
              <w:rPr>
                <w:noProof/>
                <w:szCs w:val="22"/>
              </w:rPr>
              <w:t>Grade 3 hypertension</w:t>
            </w:r>
            <w:r w:rsidRPr="00E957E3">
              <w:rPr>
                <w:noProof/>
                <w:szCs w:val="22"/>
              </w:rPr>
              <w:br/>
              <w:t>(SBP ≥ 160 mmHg or DBP ≥ 100 mmHg, medical intervention indicated, more than one anti</w:t>
            </w:r>
            <w:r w:rsidRPr="00E957E3">
              <w:rPr>
                <w:noProof/>
                <w:szCs w:val="22"/>
              </w:rPr>
              <w:noBreakHyphen/>
              <w:t>hypertensive medicinal product, or more intensive therapy than previously used indicated)</w:t>
            </w:r>
          </w:p>
        </w:tc>
        <w:tc>
          <w:tcPr>
            <w:tcW w:w="2723" w:type="pct"/>
            <w:shd w:val="clear" w:color="auto" w:fill="auto"/>
          </w:tcPr>
          <w:p w14:paraId="427C4897" w14:textId="77777777" w:rsidR="00E2259C" w:rsidRPr="00E957E3" w:rsidRDefault="00E2259C" w:rsidP="00C77D3B">
            <w:pPr>
              <w:numPr>
                <w:ilvl w:val="0"/>
                <w:numId w:val="7"/>
              </w:numPr>
              <w:tabs>
                <w:tab w:val="left" w:pos="384"/>
              </w:tabs>
              <w:spacing w:after="0"/>
              <w:ind w:left="384" w:right="-2" w:hanging="384"/>
              <w:jc w:val="left"/>
              <w:rPr>
                <w:noProof/>
                <w:szCs w:val="22"/>
              </w:rPr>
            </w:pPr>
            <w:r w:rsidRPr="00E957E3">
              <w:rPr>
                <w:noProof/>
                <w:szCs w:val="22"/>
              </w:rPr>
              <w:t xml:space="preserve">ALUNBRIG should be withheld until hypertension has recovered to Grade ≤ 1 (SBP &lt;140 mmHg and DBP &lt;90 mmHg), then resumed at </w:t>
            </w:r>
            <w:r w:rsidR="00744612" w:rsidRPr="00E957E3">
              <w:rPr>
                <w:noProof/>
                <w:szCs w:val="22"/>
              </w:rPr>
              <w:t xml:space="preserve">the </w:t>
            </w:r>
            <w:r w:rsidRPr="00E957E3">
              <w:rPr>
                <w:noProof/>
                <w:szCs w:val="22"/>
              </w:rPr>
              <w:t>same dose.</w:t>
            </w:r>
          </w:p>
          <w:p w14:paraId="427C4898" w14:textId="77777777" w:rsidR="00E2259C" w:rsidRPr="00E957E3" w:rsidRDefault="00E2259C" w:rsidP="00C77D3B">
            <w:pPr>
              <w:numPr>
                <w:ilvl w:val="0"/>
                <w:numId w:val="7"/>
              </w:numPr>
              <w:tabs>
                <w:tab w:val="left" w:pos="384"/>
              </w:tabs>
              <w:spacing w:after="0"/>
              <w:ind w:left="384" w:right="-2" w:hanging="384"/>
              <w:jc w:val="left"/>
              <w:rPr>
                <w:noProof/>
                <w:szCs w:val="22"/>
              </w:rPr>
            </w:pPr>
            <w:r w:rsidRPr="00E957E3">
              <w:rPr>
                <w:noProof/>
                <w:szCs w:val="22"/>
              </w:rPr>
              <w:t xml:space="preserve">If  Grade 3 hypertension recurs, ALUNBRIG should be withheld until hypertension has recovered to Grade ≤ 1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00EC2C38">
              <w:rPr>
                <w:noProof/>
                <w:szCs w:val="22"/>
              </w:rPr>
              <w:t xml:space="preserve"> </w:t>
            </w:r>
            <w:r w:rsidRPr="00E957E3">
              <w:rPr>
                <w:noProof/>
                <w:szCs w:val="22"/>
              </w:rPr>
              <w:t>or permanently discontinued</w:t>
            </w:r>
          </w:p>
        </w:tc>
      </w:tr>
      <w:tr w:rsidR="00E2259C" w:rsidRPr="00E957E3" w14:paraId="427C489E" w14:textId="77777777" w:rsidTr="003D2D1F">
        <w:tc>
          <w:tcPr>
            <w:tcW w:w="1216" w:type="pct"/>
            <w:vMerge/>
            <w:shd w:val="clear" w:color="auto" w:fill="auto"/>
          </w:tcPr>
          <w:p w14:paraId="427C489A"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9B" w14:textId="77777777" w:rsidR="00E2259C" w:rsidRPr="00E957E3" w:rsidRDefault="00E2259C" w:rsidP="007A243F">
            <w:pPr>
              <w:numPr>
                <w:ilvl w:val="12"/>
                <w:numId w:val="0"/>
              </w:numPr>
              <w:tabs>
                <w:tab w:val="left" w:pos="567"/>
              </w:tabs>
              <w:ind w:right="-2"/>
              <w:jc w:val="left"/>
              <w:rPr>
                <w:noProof/>
                <w:szCs w:val="22"/>
              </w:rPr>
            </w:pPr>
            <w:r w:rsidRPr="00E957E3">
              <w:rPr>
                <w:noProof/>
                <w:szCs w:val="22"/>
              </w:rPr>
              <w:t>Grade 4 hypertension</w:t>
            </w:r>
            <w:r w:rsidRPr="00E957E3">
              <w:rPr>
                <w:noProof/>
                <w:szCs w:val="22"/>
              </w:rPr>
              <w:br/>
              <w:t xml:space="preserve">(life threatening consequences, urgent intervention indicated) </w:t>
            </w:r>
          </w:p>
        </w:tc>
        <w:tc>
          <w:tcPr>
            <w:tcW w:w="2723" w:type="pct"/>
            <w:shd w:val="clear" w:color="auto" w:fill="auto"/>
          </w:tcPr>
          <w:p w14:paraId="427C489C"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 xml:space="preserve">ALUNBRIG should be withheld until hypertension has recovered to Grade ≤ 1 (SBP &lt;140 mmHg and DBP &lt;90 mmHg),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007A243F">
              <w:rPr>
                <w:noProof/>
                <w:szCs w:val="22"/>
              </w:rPr>
              <w:t xml:space="preserve"> </w:t>
            </w:r>
            <w:r w:rsidRPr="00E957E3">
              <w:rPr>
                <w:noProof/>
                <w:szCs w:val="22"/>
              </w:rPr>
              <w:t>or permanently discontinued</w:t>
            </w:r>
          </w:p>
          <w:p w14:paraId="427C489D"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If Grade 4 hypertension recurs, ALUNBRIG should be permanently discontinued.</w:t>
            </w:r>
          </w:p>
        </w:tc>
      </w:tr>
      <w:tr w:rsidR="002A49FD" w:rsidRPr="00E957E3" w14:paraId="427C48A4" w14:textId="77777777" w:rsidTr="003D2D1F">
        <w:tc>
          <w:tcPr>
            <w:tcW w:w="1216" w:type="pct"/>
            <w:vMerge w:val="restart"/>
            <w:shd w:val="clear" w:color="auto" w:fill="auto"/>
          </w:tcPr>
          <w:p w14:paraId="427C489F" w14:textId="77777777" w:rsidR="002A49FD" w:rsidRPr="00E957E3" w:rsidRDefault="002A49FD" w:rsidP="00BC568F">
            <w:pPr>
              <w:numPr>
                <w:ilvl w:val="12"/>
                <w:numId w:val="0"/>
              </w:numPr>
              <w:tabs>
                <w:tab w:val="left" w:pos="567"/>
              </w:tabs>
              <w:ind w:right="-2"/>
              <w:rPr>
                <w:noProof/>
                <w:szCs w:val="22"/>
              </w:rPr>
            </w:pPr>
            <w:r w:rsidRPr="00E957E3">
              <w:rPr>
                <w:noProof/>
                <w:szCs w:val="22"/>
              </w:rPr>
              <w:t>Bradycardia (HR less than 60 bpm)</w:t>
            </w:r>
          </w:p>
        </w:tc>
        <w:tc>
          <w:tcPr>
            <w:tcW w:w="1061" w:type="pct"/>
            <w:shd w:val="clear" w:color="auto" w:fill="auto"/>
          </w:tcPr>
          <w:p w14:paraId="427C48A0" w14:textId="77777777" w:rsidR="002A49FD" w:rsidRPr="00E957E3" w:rsidRDefault="002A49FD" w:rsidP="00BC568F">
            <w:pPr>
              <w:numPr>
                <w:ilvl w:val="12"/>
                <w:numId w:val="0"/>
              </w:numPr>
              <w:tabs>
                <w:tab w:val="left" w:pos="567"/>
              </w:tabs>
              <w:ind w:right="-2"/>
              <w:rPr>
                <w:noProof/>
                <w:szCs w:val="22"/>
              </w:rPr>
            </w:pPr>
            <w:r w:rsidRPr="00E957E3">
              <w:rPr>
                <w:noProof/>
                <w:szCs w:val="22"/>
              </w:rPr>
              <w:t>Symptomatic bradycardia</w:t>
            </w:r>
          </w:p>
        </w:tc>
        <w:tc>
          <w:tcPr>
            <w:tcW w:w="2723" w:type="pct"/>
            <w:shd w:val="clear" w:color="auto" w:fill="auto"/>
          </w:tcPr>
          <w:p w14:paraId="427C48A1" w14:textId="77777777" w:rsidR="002A49FD" w:rsidRPr="00300756" w:rsidRDefault="002A49FD" w:rsidP="00C77D3B">
            <w:pPr>
              <w:numPr>
                <w:ilvl w:val="0"/>
                <w:numId w:val="6"/>
              </w:numPr>
              <w:tabs>
                <w:tab w:val="left" w:pos="430"/>
              </w:tabs>
              <w:spacing w:after="0"/>
              <w:ind w:left="430" w:right="-2" w:hanging="430"/>
              <w:jc w:val="left"/>
              <w:rPr>
                <w:noProof/>
                <w:szCs w:val="22"/>
                <w:lang w:val="en-GB"/>
              </w:rPr>
            </w:pPr>
            <w:r w:rsidRPr="00300756">
              <w:rPr>
                <w:noProof/>
                <w:szCs w:val="22"/>
                <w:lang w:val="en-GB"/>
              </w:rPr>
              <w:t>A</w:t>
            </w:r>
            <w:r>
              <w:rPr>
                <w:noProof/>
                <w:szCs w:val="22"/>
                <w:lang w:val="en-GB"/>
              </w:rPr>
              <w:t>LUNBRIG</w:t>
            </w:r>
            <w:r w:rsidRPr="00300756">
              <w:rPr>
                <w:noProof/>
                <w:szCs w:val="22"/>
                <w:lang w:val="en-GB"/>
              </w:rPr>
              <w:t xml:space="preserve"> </w:t>
            </w:r>
            <w:r>
              <w:rPr>
                <w:noProof/>
                <w:szCs w:val="22"/>
                <w:lang w:val="en-GB"/>
              </w:rPr>
              <w:t xml:space="preserve">should be withheld </w:t>
            </w:r>
            <w:r w:rsidRPr="00300756">
              <w:rPr>
                <w:noProof/>
                <w:szCs w:val="22"/>
                <w:lang w:val="en-GB"/>
              </w:rPr>
              <w:t>until recovery to asymptomatic bradycardia or to a resting heart rate of 60 bpm or above.</w:t>
            </w:r>
          </w:p>
          <w:p w14:paraId="427C48A2" w14:textId="77777777" w:rsidR="002A49FD" w:rsidRPr="00300756" w:rsidRDefault="002A49FD" w:rsidP="00C77D3B">
            <w:pPr>
              <w:numPr>
                <w:ilvl w:val="0"/>
                <w:numId w:val="6"/>
              </w:numPr>
              <w:tabs>
                <w:tab w:val="left" w:pos="430"/>
              </w:tabs>
              <w:spacing w:after="0"/>
              <w:ind w:left="430" w:right="-2" w:hanging="430"/>
              <w:jc w:val="left"/>
              <w:rPr>
                <w:noProof/>
                <w:szCs w:val="22"/>
                <w:lang w:val="en-GB"/>
              </w:rPr>
            </w:pPr>
            <w:r w:rsidRPr="00300756">
              <w:rPr>
                <w:noProof/>
                <w:szCs w:val="22"/>
                <w:lang w:val="en-GB"/>
              </w:rPr>
              <w:t xml:space="preserve">If a concomitant </w:t>
            </w:r>
            <w:r>
              <w:rPr>
                <w:noProof/>
                <w:szCs w:val="22"/>
                <w:lang w:val="en-GB"/>
              </w:rPr>
              <w:t>medicinal product</w:t>
            </w:r>
            <w:r w:rsidRPr="00300756">
              <w:rPr>
                <w:noProof/>
                <w:szCs w:val="22"/>
                <w:lang w:val="en-GB"/>
              </w:rPr>
              <w:t xml:space="preserve"> known to cause bradycardia is identified and discontinued, or its dose is adjusted, A</w:t>
            </w:r>
            <w:r>
              <w:rPr>
                <w:noProof/>
                <w:szCs w:val="22"/>
                <w:lang w:val="en-GB"/>
              </w:rPr>
              <w:t>LUNBRIG should be resumed</w:t>
            </w:r>
            <w:r w:rsidRPr="00300756">
              <w:rPr>
                <w:noProof/>
                <w:szCs w:val="22"/>
                <w:lang w:val="en-GB"/>
              </w:rPr>
              <w:t xml:space="preserve"> at</w:t>
            </w:r>
            <w:r>
              <w:rPr>
                <w:noProof/>
                <w:szCs w:val="22"/>
                <w:lang w:val="en-GB"/>
              </w:rPr>
              <w:t xml:space="preserve"> the</w:t>
            </w:r>
            <w:r w:rsidRPr="00300756">
              <w:rPr>
                <w:noProof/>
                <w:szCs w:val="22"/>
                <w:lang w:val="en-GB"/>
              </w:rPr>
              <w:t xml:space="preserve"> same dose upon recovery to asymptomatic bradycardia or to a resting heart rate of 60 bpm or above.</w:t>
            </w:r>
          </w:p>
          <w:p w14:paraId="427C48A3" w14:textId="1E603979" w:rsidR="002A49FD" w:rsidRPr="00E957E3" w:rsidRDefault="002A49FD" w:rsidP="00105B72">
            <w:pPr>
              <w:numPr>
                <w:ilvl w:val="0"/>
                <w:numId w:val="6"/>
              </w:numPr>
              <w:tabs>
                <w:tab w:val="left" w:pos="430"/>
              </w:tabs>
              <w:spacing w:after="0"/>
              <w:ind w:left="430" w:right="-2" w:hanging="430"/>
              <w:jc w:val="left"/>
              <w:rPr>
                <w:noProof/>
                <w:szCs w:val="22"/>
              </w:rPr>
            </w:pPr>
            <w:r w:rsidRPr="00300756">
              <w:rPr>
                <w:noProof/>
                <w:szCs w:val="22"/>
                <w:lang w:val="en-GB"/>
              </w:rPr>
              <w:t xml:space="preserve">If no concomitant </w:t>
            </w:r>
            <w:r>
              <w:rPr>
                <w:noProof/>
                <w:szCs w:val="22"/>
                <w:lang w:val="en-GB"/>
              </w:rPr>
              <w:t xml:space="preserve"> medicinal product</w:t>
            </w:r>
            <w:r w:rsidRPr="00300756">
              <w:rPr>
                <w:noProof/>
                <w:szCs w:val="22"/>
                <w:lang w:val="en-GB"/>
              </w:rPr>
              <w:t xml:space="preserve"> known to cause bradycardia is identified, or if contributing concomitant </w:t>
            </w:r>
            <w:r>
              <w:rPr>
                <w:noProof/>
                <w:szCs w:val="22"/>
                <w:lang w:val="en-GB"/>
              </w:rPr>
              <w:t xml:space="preserve"> medicinal product</w:t>
            </w:r>
            <w:r w:rsidDel="002A49FD">
              <w:rPr>
                <w:rStyle w:val="CommentReference"/>
              </w:rPr>
              <w:t xml:space="preserve"> </w:t>
            </w:r>
            <w:r w:rsidR="00105B72">
              <w:rPr>
                <w:noProof/>
                <w:szCs w:val="22"/>
                <w:lang w:val="en-GB"/>
              </w:rPr>
              <w:t>is</w:t>
            </w:r>
            <w:r w:rsidR="00105B72" w:rsidRPr="00300756">
              <w:rPr>
                <w:noProof/>
                <w:szCs w:val="22"/>
                <w:lang w:val="en-GB"/>
              </w:rPr>
              <w:t xml:space="preserve"> </w:t>
            </w:r>
            <w:r w:rsidRPr="00300756">
              <w:rPr>
                <w:noProof/>
                <w:szCs w:val="22"/>
                <w:lang w:val="en-GB"/>
              </w:rPr>
              <w:t>not discontinued or dose modified, A</w:t>
            </w:r>
            <w:r>
              <w:rPr>
                <w:noProof/>
                <w:szCs w:val="22"/>
                <w:lang w:val="en-GB"/>
              </w:rPr>
              <w:t xml:space="preserve">LUNBRIG </w:t>
            </w:r>
            <w:r>
              <w:rPr>
                <w:noProof/>
                <w:szCs w:val="22"/>
                <w:lang w:val="en-GB"/>
              </w:rPr>
              <w:lastRenderedPageBreak/>
              <w:t>should be resumed</w:t>
            </w:r>
            <w:r w:rsidRPr="00300756">
              <w:rPr>
                <w:noProof/>
                <w:szCs w:val="22"/>
                <w:lang w:val="en-GB"/>
              </w:rPr>
              <w:t xml:space="preserve">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lang w:val="en-GB"/>
              </w:rPr>
              <w:t>Table 1</w:t>
            </w:r>
            <w:r w:rsidR="00BE7968">
              <w:fldChar w:fldCharType="end"/>
            </w:r>
            <w:r w:rsidRPr="00300756">
              <w:rPr>
                <w:noProof/>
                <w:szCs w:val="22"/>
                <w:lang w:val="en-GB"/>
              </w:rPr>
              <w:t xml:space="preserve"> upon recovery to asymptomatic bradycardia or to a resting heart rate of 60 bpm or above.</w:t>
            </w:r>
          </w:p>
        </w:tc>
      </w:tr>
      <w:tr w:rsidR="00E2259C" w:rsidRPr="00E957E3" w14:paraId="427C48AA" w14:textId="77777777" w:rsidTr="003D2D1F">
        <w:tc>
          <w:tcPr>
            <w:tcW w:w="1216" w:type="pct"/>
            <w:vMerge/>
            <w:shd w:val="clear" w:color="auto" w:fill="auto"/>
          </w:tcPr>
          <w:p w14:paraId="427C48A5"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A6"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Bradycardia with life</w:t>
            </w:r>
            <w:r w:rsidRPr="00E957E3">
              <w:rPr>
                <w:noProof/>
                <w:szCs w:val="22"/>
              </w:rPr>
              <w:noBreakHyphen/>
              <w:t>threatening consequences, urgent intervention indicated</w:t>
            </w:r>
          </w:p>
        </w:tc>
        <w:tc>
          <w:tcPr>
            <w:tcW w:w="2723" w:type="pct"/>
            <w:shd w:val="clear" w:color="auto" w:fill="auto"/>
          </w:tcPr>
          <w:p w14:paraId="427C48A7"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 xml:space="preserve">If </w:t>
            </w:r>
            <w:r w:rsidR="00817358" w:rsidRPr="00E957E3">
              <w:rPr>
                <w:noProof/>
                <w:szCs w:val="22"/>
              </w:rPr>
              <w:t xml:space="preserve">a </w:t>
            </w:r>
            <w:r w:rsidRPr="00E957E3">
              <w:rPr>
                <w:noProof/>
                <w:szCs w:val="22"/>
              </w:rPr>
              <w:t>contributing concomitant medicinal product is identified and discontinued, or its dose is adjusted, A</w:t>
            </w:r>
            <w:r w:rsidR="00E70745" w:rsidRPr="00E957E3">
              <w:rPr>
                <w:noProof/>
                <w:szCs w:val="22"/>
              </w:rPr>
              <w:t>LUNBRIG</w:t>
            </w:r>
            <w:r w:rsidRPr="00E957E3">
              <w:rPr>
                <w:noProof/>
                <w:szCs w:val="22"/>
              </w:rPr>
              <w:t xml:space="preserve"> should be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 xml:space="preserve"> upon recovery to asymptomatic bradycardia or to a resting heart rate of 60 bpm or above, with frequent monitoring as clinically indicated. </w:t>
            </w:r>
          </w:p>
          <w:p w14:paraId="427C48A8"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permanently discontinued if no contributing concomitant medicinal product is identified.</w:t>
            </w:r>
          </w:p>
          <w:p w14:paraId="427C48A9"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permanently discontinued in case of recurrence.</w:t>
            </w:r>
          </w:p>
        </w:tc>
      </w:tr>
      <w:tr w:rsidR="00E2259C" w:rsidRPr="00E957E3" w14:paraId="427C48AF" w14:textId="77777777" w:rsidTr="003D2D1F">
        <w:tc>
          <w:tcPr>
            <w:tcW w:w="1216" w:type="pct"/>
            <w:vMerge w:val="restart"/>
            <w:shd w:val="clear" w:color="auto" w:fill="auto"/>
          </w:tcPr>
          <w:p w14:paraId="427C48AB" w14:textId="77777777" w:rsidR="00E2259C" w:rsidRPr="00E957E3" w:rsidRDefault="00E2259C" w:rsidP="00BC568F">
            <w:pPr>
              <w:numPr>
                <w:ilvl w:val="12"/>
                <w:numId w:val="0"/>
              </w:numPr>
              <w:tabs>
                <w:tab w:val="left" w:pos="567"/>
              </w:tabs>
              <w:ind w:right="-2"/>
              <w:rPr>
                <w:noProof/>
                <w:szCs w:val="22"/>
              </w:rPr>
            </w:pPr>
            <w:r w:rsidRPr="00E957E3">
              <w:rPr>
                <w:noProof/>
                <w:szCs w:val="22"/>
              </w:rPr>
              <w:t>Elevation of CPK</w:t>
            </w:r>
          </w:p>
        </w:tc>
        <w:tc>
          <w:tcPr>
            <w:tcW w:w="1061" w:type="pct"/>
            <w:shd w:val="clear" w:color="auto" w:fill="auto"/>
          </w:tcPr>
          <w:p w14:paraId="427C48AC"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3 elevation of CPK (&gt;5.0 × ULN) </w:t>
            </w:r>
          </w:p>
        </w:tc>
        <w:tc>
          <w:tcPr>
            <w:tcW w:w="2723" w:type="pct"/>
            <w:shd w:val="clear" w:color="auto" w:fill="auto"/>
          </w:tcPr>
          <w:p w14:paraId="427C48AD"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Grade ≤ 1 (≤2.5 × ULN) or to baseline, then resumed at the same dose.</w:t>
            </w:r>
          </w:p>
          <w:p w14:paraId="427C48AE"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If Grade 3 elevation of CPK recurs, A</w:t>
            </w:r>
            <w:r w:rsidR="00E70745" w:rsidRPr="00E957E3">
              <w:rPr>
                <w:noProof/>
                <w:szCs w:val="22"/>
              </w:rPr>
              <w:t>LUNBRIG</w:t>
            </w:r>
            <w:r w:rsidRPr="00E957E3">
              <w:rPr>
                <w:noProof/>
                <w:szCs w:val="22"/>
              </w:rPr>
              <w:t xml:space="preserve"> should be withheld until recovery to Grade ≤ 1 (≤2.5 × ULN) or to baseline,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w:t>
            </w:r>
          </w:p>
        </w:tc>
      </w:tr>
      <w:tr w:rsidR="00E2259C" w:rsidRPr="00E957E3" w14:paraId="427C48B3" w14:textId="77777777" w:rsidTr="003D2D1F">
        <w:tc>
          <w:tcPr>
            <w:tcW w:w="1216" w:type="pct"/>
            <w:vMerge/>
            <w:shd w:val="clear" w:color="auto" w:fill="auto"/>
          </w:tcPr>
          <w:p w14:paraId="427C48B0"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B1"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4 elevation of CPK (&gt;10.0 × ULN) </w:t>
            </w:r>
          </w:p>
        </w:tc>
        <w:tc>
          <w:tcPr>
            <w:tcW w:w="2723" w:type="pct"/>
            <w:shd w:val="clear" w:color="auto" w:fill="auto"/>
          </w:tcPr>
          <w:p w14:paraId="427C48B2"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Grade ≤ 1 (≤2.5 × ULN) or to baseline,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w:t>
            </w:r>
          </w:p>
        </w:tc>
      </w:tr>
      <w:tr w:rsidR="00E2259C" w:rsidRPr="00E957E3" w14:paraId="427C48B8" w14:textId="77777777" w:rsidTr="003D2D1F">
        <w:tc>
          <w:tcPr>
            <w:tcW w:w="1216" w:type="pct"/>
            <w:vMerge w:val="restart"/>
            <w:shd w:val="clear" w:color="auto" w:fill="auto"/>
          </w:tcPr>
          <w:p w14:paraId="427C48B4" w14:textId="77777777" w:rsidR="00E2259C" w:rsidRPr="00E957E3" w:rsidRDefault="00E2259C" w:rsidP="00BC568F">
            <w:pPr>
              <w:numPr>
                <w:ilvl w:val="12"/>
                <w:numId w:val="0"/>
              </w:numPr>
              <w:tabs>
                <w:tab w:val="left" w:pos="567"/>
              </w:tabs>
              <w:ind w:right="-2"/>
              <w:rPr>
                <w:noProof/>
                <w:szCs w:val="22"/>
              </w:rPr>
            </w:pPr>
            <w:r w:rsidRPr="00E957E3">
              <w:rPr>
                <w:noProof/>
                <w:szCs w:val="22"/>
              </w:rPr>
              <w:t>Elevation of lipase or amylase</w:t>
            </w:r>
          </w:p>
        </w:tc>
        <w:tc>
          <w:tcPr>
            <w:tcW w:w="1061" w:type="pct"/>
            <w:shd w:val="clear" w:color="auto" w:fill="auto"/>
          </w:tcPr>
          <w:p w14:paraId="427C48B5"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3 elevation of lipase or amylase (&gt;2.0 × ULN) </w:t>
            </w:r>
          </w:p>
        </w:tc>
        <w:tc>
          <w:tcPr>
            <w:tcW w:w="2723" w:type="pct"/>
            <w:shd w:val="clear" w:color="auto" w:fill="auto"/>
          </w:tcPr>
          <w:p w14:paraId="427C48B6"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Grade ≤ 1 (≤1.5 × ULN) or to baseline, then resumed at same dose.</w:t>
            </w:r>
          </w:p>
          <w:p w14:paraId="427C48B7"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If Grade 3 elevation of lipase and amylase reccurs, A</w:t>
            </w:r>
            <w:r w:rsidR="00E70745" w:rsidRPr="00E957E3">
              <w:rPr>
                <w:noProof/>
                <w:szCs w:val="22"/>
              </w:rPr>
              <w:t>LUNBRIG</w:t>
            </w:r>
            <w:r w:rsidRPr="00E957E3">
              <w:rPr>
                <w:noProof/>
                <w:szCs w:val="22"/>
              </w:rPr>
              <w:t xml:space="preserve"> should be withheld until recovery to Grade ≤ 1 (≤1.5 × ULN) or to baseline,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w:t>
            </w:r>
          </w:p>
        </w:tc>
      </w:tr>
      <w:tr w:rsidR="00E2259C" w:rsidRPr="00E957E3" w14:paraId="427C48BC" w14:textId="77777777" w:rsidTr="003D2D1F">
        <w:tc>
          <w:tcPr>
            <w:tcW w:w="1216" w:type="pct"/>
            <w:vMerge/>
            <w:shd w:val="clear" w:color="auto" w:fill="auto"/>
          </w:tcPr>
          <w:p w14:paraId="427C48B9"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BA"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4 elevation of lipase or amylase (&gt;5.0 x ULN) </w:t>
            </w:r>
          </w:p>
        </w:tc>
        <w:tc>
          <w:tcPr>
            <w:tcW w:w="2723" w:type="pct"/>
            <w:shd w:val="clear" w:color="auto" w:fill="auto"/>
          </w:tcPr>
          <w:p w14:paraId="427C48BB"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Grade ≤ 1 (≤1.5 × ULN),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w:t>
            </w:r>
          </w:p>
        </w:tc>
      </w:tr>
      <w:tr w:rsidR="003D2D1F" w:rsidRPr="00E957E3" w14:paraId="55249DE2" w14:textId="77777777" w:rsidTr="003D2D1F">
        <w:tc>
          <w:tcPr>
            <w:tcW w:w="1216" w:type="pct"/>
            <w:vMerge w:val="restart"/>
            <w:shd w:val="clear" w:color="auto" w:fill="auto"/>
          </w:tcPr>
          <w:p w14:paraId="0816B32C" w14:textId="78C9BAF1" w:rsidR="003D2D1F" w:rsidRPr="00E957E3" w:rsidRDefault="003D2D1F" w:rsidP="00A90DD1">
            <w:pPr>
              <w:numPr>
                <w:ilvl w:val="12"/>
                <w:numId w:val="0"/>
              </w:numPr>
              <w:tabs>
                <w:tab w:val="left" w:pos="567"/>
              </w:tabs>
              <w:ind w:right="-2"/>
              <w:rPr>
                <w:bCs/>
                <w:iCs/>
                <w:szCs w:val="22"/>
              </w:rPr>
            </w:pPr>
            <w:r>
              <w:rPr>
                <w:bCs/>
                <w:iCs/>
                <w:szCs w:val="22"/>
              </w:rPr>
              <w:t>Hepatotoxicity</w:t>
            </w:r>
          </w:p>
        </w:tc>
        <w:tc>
          <w:tcPr>
            <w:tcW w:w="1061" w:type="pct"/>
            <w:shd w:val="clear" w:color="auto" w:fill="auto"/>
          </w:tcPr>
          <w:p w14:paraId="69E45395" w14:textId="7FBD0F53" w:rsidR="003D2D1F" w:rsidRPr="00E957E3" w:rsidRDefault="003D2D1F" w:rsidP="003A1C6B">
            <w:pPr>
              <w:autoSpaceDE w:val="0"/>
              <w:autoSpaceDN w:val="0"/>
              <w:adjustRightInd w:val="0"/>
              <w:spacing w:after="0"/>
              <w:jc w:val="left"/>
              <w:rPr>
                <w:noProof/>
                <w:szCs w:val="22"/>
              </w:rPr>
            </w:pPr>
            <w:r w:rsidRPr="003D2D1F">
              <w:rPr>
                <w:noProof/>
                <w:szCs w:val="22"/>
              </w:rPr>
              <w:t xml:space="preserve">Grade </w:t>
            </w:r>
            <w:r w:rsidRPr="003D2D1F">
              <w:rPr>
                <w:rFonts w:hint="eastAsia"/>
                <w:noProof/>
                <w:szCs w:val="22"/>
              </w:rPr>
              <w:t>≥</w:t>
            </w:r>
            <w:r w:rsidRPr="003D2D1F">
              <w:rPr>
                <w:noProof/>
                <w:szCs w:val="22"/>
              </w:rPr>
              <w:t xml:space="preserve"> 3 elevation</w:t>
            </w:r>
            <w:r w:rsidR="003A1C6B">
              <w:rPr>
                <w:noProof/>
                <w:szCs w:val="22"/>
              </w:rPr>
              <w:t xml:space="preserve"> </w:t>
            </w:r>
            <w:r w:rsidRPr="003D2D1F">
              <w:rPr>
                <w:noProof/>
                <w:szCs w:val="22"/>
              </w:rPr>
              <w:t xml:space="preserve">(&gt; 5.0 </w:t>
            </w:r>
            <w:r w:rsidRPr="003D2D1F">
              <w:rPr>
                <w:rFonts w:hint="eastAsia"/>
                <w:noProof/>
                <w:szCs w:val="22"/>
              </w:rPr>
              <w:t>×</w:t>
            </w:r>
            <w:r w:rsidRPr="003D2D1F">
              <w:rPr>
                <w:noProof/>
                <w:szCs w:val="22"/>
              </w:rPr>
              <w:t xml:space="preserve"> ULN) of</w:t>
            </w:r>
            <w:r w:rsidR="003A1C6B">
              <w:rPr>
                <w:noProof/>
                <w:szCs w:val="22"/>
              </w:rPr>
              <w:t xml:space="preserve"> </w:t>
            </w:r>
            <w:r w:rsidRPr="003D2D1F">
              <w:rPr>
                <w:noProof/>
                <w:szCs w:val="22"/>
              </w:rPr>
              <w:t>either alanine</w:t>
            </w:r>
            <w:r w:rsidR="003A1C6B">
              <w:rPr>
                <w:noProof/>
                <w:szCs w:val="22"/>
              </w:rPr>
              <w:t xml:space="preserve"> </w:t>
            </w:r>
            <w:r w:rsidRPr="003D2D1F">
              <w:rPr>
                <w:noProof/>
                <w:szCs w:val="22"/>
              </w:rPr>
              <w:t>aminotransferase</w:t>
            </w:r>
            <w:r w:rsidR="003A1C6B">
              <w:rPr>
                <w:noProof/>
                <w:szCs w:val="22"/>
              </w:rPr>
              <w:t xml:space="preserve"> </w:t>
            </w:r>
            <w:r w:rsidRPr="003D2D1F">
              <w:rPr>
                <w:noProof/>
                <w:szCs w:val="22"/>
              </w:rPr>
              <w:t>(ALT) or aspartate</w:t>
            </w:r>
            <w:r w:rsidR="003A1C6B">
              <w:rPr>
                <w:noProof/>
                <w:szCs w:val="22"/>
              </w:rPr>
              <w:t xml:space="preserve"> </w:t>
            </w:r>
            <w:r w:rsidRPr="003D2D1F">
              <w:rPr>
                <w:noProof/>
                <w:szCs w:val="22"/>
              </w:rPr>
              <w:t>aminotransferase</w:t>
            </w:r>
            <w:r w:rsidR="003A1C6B">
              <w:rPr>
                <w:noProof/>
                <w:szCs w:val="22"/>
              </w:rPr>
              <w:t xml:space="preserve"> </w:t>
            </w:r>
            <w:r w:rsidRPr="003D2D1F">
              <w:rPr>
                <w:noProof/>
                <w:szCs w:val="22"/>
              </w:rPr>
              <w:t>(AST) with bilirubin</w:t>
            </w:r>
            <w:r w:rsidR="003A1C6B">
              <w:rPr>
                <w:noProof/>
                <w:szCs w:val="22"/>
              </w:rPr>
              <w:t xml:space="preserve"> </w:t>
            </w:r>
            <w:r>
              <w:rPr>
                <w:rFonts w:ascii="Symbol" w:hAnsi="Symbol" w:cs="Symbol"/>
                <w:szCs w:val="22"/>
                <w:lang w:eastAsia="en-GB"/>
              </w:rPr>
              <w:lastRenderedPageBreak/>
              <w:t></w:t>
            </w:r>
            <w:r w:rsidRPr="003D2D1F">
              <w:rPr>
                <w:rFonts w:hint="eastAsia"/>
                <w:noProof/>
                <w:szCs w:val="22"/>
              </w:rPr>
              <w:t xml:space="preserve"> </w:t>
            </w:r>
            <w:r w:rsidRPr="003D2D1F">
              <w:rPr>
                <w:noProof/>
                <w:szCs w:val="22"/>
              </w:rPr>
              <w:t xml:space="preserve">2 </w:t>
            </w:r>
            <w:r w:rsidRPr="003D2D1F">
              <w:rPr>
                <w:rFonts w:hint="eastAsia"/>
                <w:noProof/>
                <w:szCs w:val="22"/>
              </w:rPr>
              <w:t>×</w:t>
            </w:r>
            <w:r w:rsidRPr="003D2D1F">
              <w:rPr>
                <w:noProof/>
                <w:szCs w:val="22"/>
              </w:rPr>
              <w:t xml:space="preserve"> ULN</w:t>
            </w:r>
          </w:p>
        </w:tc>
        <w:tc>
          <w:tcPr>
            <w:tcW w:w="2723" w:type="pct"/>
            <w:shd w:val="clear" w:color="auto" w:fill="auto"/>
          </w:tcPr>
          <w:p w14:paraId="77676899" w14:textId="665BFE3C" w:rsidR="003D2D1F" w:rsidRPr="003D2D1F" w:rsidRDefault="003D2D1F" w:rsidP="003D2D1F">
            <w:pPr>
              <w:numPr>
                <w:ilvl w:val="0"/>
                <w:numId w:val="6"/>
              </w:numPr>
              <w:tabs>
                <w:tab w:val="left" w:pos="430"/>
              </w:tabs>
              <w:spacing w:after="0"/>
              <w:ind w:right="-2"/>
              <w:jc w:val="left"/>
              <w:rPr>
                <w:noProof/>
                <w:szCs w:val="22"/>
              </w:rPr>
            </w:pPr>
            <w:r w:rsidRPr="003D2D1F">
              <w:rPr>
                <w:noProof/>
                <w:szCs w:val="22"/>
              </w:rPr>
              <w:lastRenderedPageBreak/>
              <w:t>A</w:t>
            </w:r>
            <w:r>
              <w:rPr>
                <w:noProof/>
                <w:szCs w:val="22"/>
              </w:rPr>
              <w:t xml:space="preserve">LUNBRIG </w:t>
            </w:r>
            <w:r w:rsidRPr="003D2D1F">
              <w:rPr>
                <w:noProof/>
                <w:szCs w:val="22"/>
              </w:rPr>
              <w:t>should be withheld until recovery to</w:t>
            </w:r>
            <w:r>
              <w:rPr>
                <w:noProof/>
                <w:szCs w:val="22"/>
              </w:rPr>
              <w:t xml:space="preserve"> </w:t>
            </w:r>
            <w:r w:rsidRPr="003D2D1F">
              <w:rPr>
                <w:noProof/>
                <w:szCs w:val="22"/>
              </w:rPr>
              <w:t>baseline or less than or equal to 3 × ULN, then</w:t>
            </w:r>
            <w:r>
              <w:rPr>
                <w:noProof/>
                <w:szCs w:val="22"/>
              </w:rPr>
              <w:t xml:space="preserve"> </w:t>
            </w:r>
            <w:r w:rsidRPr="003D2D1F">
              <w:rPr>
                <w:noProof/>
                <w:szCs w:val="22"/>
              </w:rPr>
              <w:t>resumed at next lower dose per Table 1.</w:t>
            </w:r>
          </w:p>
        </w:tc>
      </w:tr>
      <w:tr w:rsidR="003D2D1F" w:rsidRPr="00E957E3" w14:paraId="0E7B28D7" w14:textId="77777777" w:rsidTr="003D2D1F">
        <w:tc>
          <w:tcPr>
            <w:tcW w:w="1216" w:type="pct"/>
            <w:vMerge/>
            <w:shd w:val="clear" w:color="auto" w:fill="auto"/>
          </w:tcPr>
          <w:p w14:paraId="73E204F6" w14:textId="77777777" w:rsidR="003D2D1F" w:rsidRPr="00E957E3" w:rsidRDefault="003D2D1F" w:rsidP="00BC568F">
            <w:pPr>
              <w:numPr>
                <w:ilvl w:val="12"/>
                <w:numId w:val="0"/>
              </w:numPr>
              <w:tabs>
                <w:tab w:val="left" w:pos="567"/>
              </w:tabs>
              <w:ind w:right="-2"/>
              <w:rPr>
                <w:bCs/>
                <w:iCs/>
                <w:szCs w:val="22"/>
              </w:rPr>
            </w:pPr>
          </w:p>
        </w:tc>
        <w:tc>
          <w:tcPr>
            <w:tcW w:w="1061" w:type="pct"/>
            <w:shd w:val="clear" w:color="auto" w:fill="auto"/>
          </w:tcPr>
          <w:p w14:paraId="40E53F70" w14:textId="320C9F77" w:rsidR="003D2D1F" w:rsidRPr="00E957E3" w:rsidRDefault="003D2D1F" w:rsidP="003D2D1F">
            <w:pPr>
              <w:numPr>
                <w:ilvl w:val="12"/>
                <w:numId w:val="0"/>
              </w:numPr>
              <w:tabs>
                <w:tab w:val="left" w:pos="567"/>
              </w:tabs>
              <w:ind w:right="-2"/>
              <w:jc w:val="left"/>
              <w:rPr>
                <w:noProof/>
                <w:szCs w:val="22"/>
              </w:rPr>
            </w:pPr>
            <w:r w:rsidRPr="003D2D1F">
              <w:rPr>
                <w:noProof/>
                <w:szCs w:val="22"/>
              </w:rPr>
              <w:t>Grade ≥ 2 elevation</w:t>
            </w:r>
            <w:r>
              <w:rPr>
                <w:noProof/>
                <w:szCs w:val="22"/>
              </w:rPr>
              <w:t xml:space="preserve"> </w:t>
            </w:r>
            <w:r w:rsidRPr="003D2D1F">
              <w:rPr>
                <w:noProof/>
                <w:szCs w:val="22"/>
              </w:rPr>
              <w:t>(&gt; 3 × ULN) of ALT</w:t>
            </w:r>
            <w:r>
              <w:rPr>
                <w:noProof/>
                <w:szCs w:val="22"/>
              </w:rPr>
              <w:t xml:space="preserve"> </w:t>
            </w:r>
            <w:r w:rsidRPr="003D2D1F">
              <w:rPr>
                <w:noProof/>
                <w:szCs w:val="22"/>
              </w:rPr>
              <w:t>or AST with</w:t>
            </w:r>
            <w:r>
              <w:rPr>
                <w:noProof/>
                <w:szCs w:val="22"/>
              </w:rPr>
              <w:t xml:space="preserve"> </w:t>
            </w:r>
            <w:r w:rsidRPr="003D2D1F">
              <w:rPr>
                <w:noProof/>
                <w:szCs w:val="22"/>
              </w:rPr>
              <w:t>concurrent total</w:t>
            </w:r>
            <w:r>
              <w:rPr>
                <w:noProof/>
                <w:szCs w:val="22"/>
              </w:rPr>
              <w:t xml:space="preserve"> </w:t>
            </w:r>
            <w:r w:rsidRPr="003D2D1F">
              <w:rPr>
                <w:noProof/>
                <w:szCs w:val="22"/>
              </w:rPr>
              <w:t>bilirubin</w:t>
            </w:r>
            <w:r>
              <w:rPr>
                <w:noProof/>
                <w:szCs w:val="22"/>
              </w:rPr>
              <w:t xml:space="preserve"> </w:t>
            </w:r>
            <w:r w:rsidRPr="003D2D1F">
              <w:rPr>
                <w:noProof/>
                <w:szCs w:val="22"/>
              </w:rPr>
              <w:t>elevation &gt; 2 × ULN</w:t>
            </w:r>
            <w:r>
              <w:rPr>
                <w:noProof/>
                <w:szCs w:val="22"/>
              </w:rPr>
              <w:t xml:space="preserve"> </w:t>
            </w:r>
            <w:r w:rsidRPr="003D2D1F">
              <w:rPr>
                <w:noProof/>
                <w:szCs w:val="22"/>
              </w:rPr>
              <w:t>in the absence of</w:t>
            </w:r>
            <w:r>
              <w:rPr>
                <w:noProof/>
                <w:szCs w:val="22"/>
              </w:rPr>
              <w:t xml:space="preserve"> </w:t>
            </w:r>
            <w:r w:rsidRPr="003D2D1F">
              <w:rPr>
                <w:noProof/>
                <w:szCs w:val="22"/>
              </w:rPr>
              <w:t>cholestasis or</w:t>
            </w:r>
            <w:r>
              <w:rPr>
                <w:noProof/>
                <w:szCs w:val="22"/>
              </w:rPr>
              <w:t xml:space="preserve"> </w:t>
            </w:r>
            <w:r w:rsidRPr="003D2D1F">
              <w:rPr>
                <w:noProof/>
                <w:szCs w:val="22"/>
              </w:rPr>
              <w:t>haemolysis</w:t>
            </w:r>
          </w:p>
        </w:tc>
        <w:tc>
          <w:tcPr>
            <w:tcW w:w="2723" w:type="pct"/>
            <w:shd w:val="clear" w:color="auto" w:fill="auto"/>
          </w:tcPr>
          <w:p w14:paraId="35BF7F15" w14:textId="50BE7E12" w:rsidR="003D2D1F" w:rsidRPr="00E957E3" w:rsidRDefault="003D2D1F" w:rsidP="00C77D3B">
            <w:pPr>
              <w:numPr>
                <w:ilvl w:val="0"/>
                <w:numId w:val="6"/>
              </w:numPr>
              <w:tabs>
                <w:tab w:val="left" w:pos="430"/>
              </w:tabs>
              <w:spacing w:after="0"/>
              <w:ind w:left="430" w:right="-2" w:hanging="430"/>
              <w:jc w:val="left"/>
              <w:rPr>
                <w:noProof/>
                <w:szCs w:val="22"/>
              </w:rPr>
            </w:pPr>
            <w:r w:rsidRPr="00E957E3">
              <w:rPr>
                <w:noProof/>
                <w:szCs w:val="22"/>
              </w:rPr>
              <w:t>ALUNBRIG should be permanently discontinued.</w:t>
            </w:r>
          </w:p>
        </w:tc>
      </w:tr>
      <w:tr w:rsidR="00E2259C" w:rsidRPr="00E957E3" w14:paraId="427C48C0" w14:textId="77777777" w:rsidTr="003D2D1F">
        <w:tc>
          <w:tcPr>
            <w:tcW w:w="1216" w:type="pct"/>
            <w:shd w:val="clear" w:color="auto" w:fill="auto"/>
          </w:tcPr>
          <w:p w14:paraId="427C48BD" w14:textId="77777777" w:rsidR="00E2259C" w:rsidRPr="00E957E3" w:rsidRDefault="00E2259C" w:rsidP="00BC568F">
            <w:pPr>
              <w:numPr>
                <w:ilvl w:val="12"/>
                <w:numId w:val="0"/>
              </w:numPr>
              <w:tabs>
                <w:tab w:val="left" w:pos="567"/>
              </w:tabs>
              <w:ind w:right="-2"/>
              <w:rPr>
                <w:noProof/>
                <w:szCs w:val="22"/>
              </w:rPr>
            </w:pPr>
            <w:r w:rsidRPr="00E957E3">
              <w:rPr>
                <w:bCs/>
                <w:iCs/>
                <w:szCs w:val="22"/>
              </w:rPr>
              <w:t>Hyperglycaemia</w:t>
            </w:r>
          </w:p>
        </w:tc>
        <w:tc>
          <w:tcPr>
            <w:tcW w:w="1061" w:type="pct"/>
            <w:shd w:val="clear" w:color="auto" w:fill="auto"/>
          </w:tcPr>
          <w:p w14:paraId="427C48BE"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For Grade 3 (greater than 250 mg/dL or 13.9 mmol/L) or greater</w:t>
            </w:r>
          </w:p>
        </w:tc>
        <w:tc>
          <w:tcPr>
            <w:tcW w:w="2723" w:type="pct"/>
            <w:shd w:val="clear" w:color="auto" w:fill="auto"/>
          </w:tcPr>
          <w:p w14:paraId="427C48BF"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If adequate hyperglycaemic control cannot be achieved with optimal medical management, A</w:t>
            </w:r>
            <w:r w:rsidR="00E70745" w:rsidRPr="00E957E3">
              <w:rPr>
                <w:noProof/>
                <w:szCs w:val="22"/>
              </w:rPr>
              <w:t>LUNBRIG</w:t>
            </w:r>
            <w:r w:rsidRPr="00E957E3">
              <w:rPr>
                <w:noProof/>
                <w:szCs w:val="22"/>
              </w:rPr>
              <w:t xml:space="preserve"> should be withheld until adequate hyperglycaemic control is achieved.  Upon recovery, A</w:t>
            </w:r>
            <w:r w:rsidR="00E70745" w:rsidRPr="00E957E3">
              <w:rPr>
                <w:noProof/>
                <w:szCs w:val="22"/>
              </w:rPr>
              <w:t>LUNBRIG</w:t>
            </w:r>
            <w:r w:rsidRPr="00E957E3">
              <w:rPr>
                <w:noProof/>
                <w:szCs w:val="22"/>
              </w:rPr>
              <w:t xml:space="preserve"> may either be resumed at the next lower dose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 xml:space="preserve"> or permanently discontinued.  </w:t>
            </w:r>
          </w:p>
        </w:tc>
      </w:tr>
      <w:tr w:rsidR="00E2259C" w:rsidRPr="00E957E3" w14:paraId="427C48C4" w14:textId="77777777" w:rsidTr="003D2D1F">
        <w:trPr>
          <w:trHeight w:val="255"/>
        </w:trPr>
        <w:tc>
          <w:tcPr>
            <w:tcW w:w="1216" w:type="pct"/>
            <w:vMerge w:val="restart"/>
            <w:shd w:val="clear" w:color="auto" w:fill="auto"/>
          </w:tcPr>
          <w:p w14:paraId="427C48C1" w14:textId="77777777" w:rsidR="00E2259C" w:rsidRPr="00E957E3" w:rsidRDefault="00E2259C" w:rsidP="00BC568F">
            <w:pPr>
              <w:numPr>
                <w:ilvl w:val="12"/>
                <w:numId w:val="0"/>
              </w:numPr>
              <w:tabs>
                <w:tab w:val="left" w:pos="567"/>
              </w:tabs>
              <w:ind w:right="-2"/>
              <w:rPr>
                <w:bCs/>
                <w:iCs/>
                <w:szCs w:val="22"/>
              </w:rPr>
            </w:pPr>
            <w:r w:rsidRPr="00E957E3">
              <w:rPr>
                <w:bCs/>
                <w:iCs/>
                <w:szCs w:val="22"/>
              </w:rPr>
              <w:t>Visual Disturbance</w:t>
            </w:r>
          </w:p>
        </w:tc>
        <w:tc>
          <w:tcPr>
            <w:tcW w:w="1061" w:type="pct"/>
            <w:shd w:val="clear" w:color="auto" w:fill="auto"/>
          </w:tcPr>
          <w:p w14:paraId="427C48C2"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Grade 2 or 3</w:t>
            </w:r>
          </w:p>
        </w:tc>
        <w:tc>
          <w:tcPr>
            <w:tcW w:w="2723" w:type="pct"/>
            <w:shd w:val="clear" w:color="auto" w:fill="auto"/>
          </w:tcPr>
          <w:p w14:paraId="427C48C3" w14:textId="77777777" w:rsidR="00E2259C" w:rsidRPr="00E957E3" w:rsidRDefault="00E2259C" w:rsidP="00C77D3B">
            <w:pPr>
              <w:numPr>
                <w:ilvl w:val="0"/>
                <w:numId w:val="6"/>
              </w:numPr>
              <w:tabs>
                <w:tab w:val="left" w:pos="430"/>
              </w:tabs>
              <w:spacing w:after="0"/>
              <w:ind w:left="455" w:right="-2" w:hanging="45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Grade 1 or baseline, then resumed at the next lower dose level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w:t>
            </w:r>
          </w:p>
        </w:tc>
      </w:tr>
      <w:tr w:rsidR="00E2259C" w:rsidRPr="00E957E3" w14:paraId="427C48C8" w14:textId="77777777" w:rsidTr="003D2D1F">
        <w:trPr>
          <w:trHeight w:val="255"/>
        </w:trPr>
        <w:tc>
          <w:tcPr>
            <w:tcW w:w="1216" w:type="pct"/>
            <w:vMerge/>
            <w:shd w:val="clear" w:color="auto" w:fill="auto"/>
          </w:tcPr>
          <w:p w14:paraId="427C48C5" w14:textId="77777777" w:rsidR="00E2259C" w:rsidRPr="00E957E3" w:rsidRDefault="00E2259C" w:rsidP="00BC568F">
            <w:pPr>
              <w:numPr>
                <w:ilvl w:val="12"/>
                <w:numId w:val="0"/>
              </w:numPr>
              <w:tabs>
                <w:tab w:val="left" w:pos="567"/>
              </w:tabs>
              <w:ind w:right="-2"/>
              <w:rPr>
                <w:bCs/>
                <w:iCs/>
                <w:szCs w:val="22"/>
              </w:rPr>
            </w:pPr>
          </w:p>
        </w:tc>
        <w:tc>
          <w:tcPr>
            <w:tcW w:w="1061" w:type="pct"/>
            <w:shd w:val="clear" w:color="auto" w:fill="auto"/>
          </w:tcPr>
          <w:p w14:paraId="427C48C6"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Grade 4</w:t>
            </w:r>
          </w:p>
        </w:tc>
        <w:tc>
          <w:tcPr>
            <w:tcW w:w="2723" w:type="pct"/>
            <w:shd w:val="clear" w:color="auto" w:fill="auto"/>
          </w:tcPr>
          <w:p w14:paraId="427C48C7"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permanently discontinued.</w:t>
            </w:r>
          </w:p>
        </w:tc>
      </w:tr>
      <w:tr w:rsidR="00E2259C" w:rsidRPr="00E957E3" w14:paraId="427C48CD" w14:textId="77777777" w:rsidTr="003D2D1F">
        <w:tc>
          <w:tcPr>
            <w:tcW w:w="1216" w:type="pct"/>
            <w:vMerge w:val="restart"/>
            <w:shd w:val="clear" w:color="auto" w:fill="auto"/>
          </w:tcPr>
          <w:p w14:paraId="427C48C9"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Other adverse reactions</w:t>
            </w:r>
          </w:p>
        </w:tc>
        <w:tc>
          <w:tcPr>
            <w:tcW w:w="1061" w:type="pct"/>
            <w:shd w:val="clear" w:color="auto" w:fill="auto"/>
          </w:tcPr>
          <w:p w14:paraId="427C48CA"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Grade 3</w:t>
            </w:r>
          </w:p>
        </w:tc>
        <w:tc>
          <w:tcPr>
            <w:tcW w:w="2723" w:type="pct"/>
            <w:shd w:val="clear" w:color="auto" w:fill="auto"/>
          </w:tcPr>
          <w:p w14:paraId="427C48CB"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baseline, then resumed at the same dose level.</w:t>
            </w:r>
          </w:p>
          <w:p w14:paraId="427C48CC"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If the Grade 3 event recurs, A</w:t>
            </w:r>
            <w:r w:rsidR="00E70745" w:rsidRPr="00E957E3">
              <w:rPr>
                <w:noProof/>
                <w:szCs w:val="22"/>
              </w:rPr>
              <w:t>LUNBRIG</w:t>
            </w:r>
            <w:r w:rsidRPr="00E957E3">
              <w:rPr>
                <w:noProof/>
                <w:szCs w:val="22"/>
              </w:rPr>
              <w:t xml:space="preserve"> should be withheld until recovery to baseline, then resumed at the lower dose level as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 xml:space="preserve"> or permanently discontinued.</w:t>
            </w:r>
          </w:p>
        </w:tc>
      </w:tr>
      <w:tr w:rsidR="00E2259C" w:rsidRPr="00E957E3" w14:paraId="427C48D2" w14:textId="77777777" w:rsidTr="003D2D1F">
        <w:tc>
          <w:tcPr>
            <w:tcW w:w="1216" w:type="pct"/>
            <w:vMerge/>
            <w:shd w:val="clear" w:color="auto" w:fill="auto"/>
          </w:tcPr>
          <w:p w14:paraId="427C48CE" w14:textId="77777777" w:rsidR="00E2259C" w:rsidRPr="00E957E3" w:rsidRDefault="00E2259C" w:rsidP="00BC568F">
            <w:pPr>
              <w:numPr>
                <w:ilvl w:val="12"/>
                <w:numId w:val="0"/>
              </w:numPr>
              <w:tabs>
                <w:tab w:val="left" w:pos="567"/>
              </w:tabs>
              <w:ind w:right="-2"/>
              <w:rPr>
                <w:noProof/>
                <w:szCs w:val="22"/>
              </w:rPr>
            </w:pPr>
          </w:p>
        </w:tc>
        <w:tc>
          <w:tcPr>
            <w:tcW w:w="1061" w:type="pct"/>
            <w:shd w:val="clear" w:color="auto" w:fill="auto"/>
          </w:tcPr>
          <w:p w14:paraId="427C48CF" w14:textId="77777777" w:rsidR="00E2259C" w:rsidRPr="00E957E3" w:rsidRDefault="00E2259C" w:rsidP="00F32DB3">
            <w:pPr>
              <w:numPr>
                <w:ilvl w:val="12"/>
                <w:numId w:val="0"/>
              </w:numPr>
              <w:tabs>
                <w:tab w:val="left" w:pos="567"/>
              </w:tabs>
              <w:ind w:right="-2"/>
              <w:jc w:val="left"/>
              <w:rPr>
                <w:noProof/>
                <w:szCs w:val="22"/>
              </w:rPr>
            </w:pPr>
            <w:r w:rsidRPr="00E957E3">
              <w:rPr>
                <w:noProof/>
                <w:szCs w:val="22"/>
              </w:rPr>
              <w:t xml:space="preserve">Grade 4 </w:t>
            </w:r>
          </w:p>
        </w:tc>
        <w:tc>
          <w:tcPr>
            <w:tcW w:w="2723" w:type="pct"/>
            <w:shd w:val="clear" w:color="auto" w:fill="auto"/>
          </w:tcPr>
          <w:p w14:paraId="427C48D0"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A</w:t>
            </w:r>
            <w:r w:rsidR="00E70745" w:rsidRPr="00E957E3">
              <w:rPr>
                <w:noProof/>
                <w:szCs w:val="22"/>
              </w:rPr>
              <w:t>LUNBRIG</w:t>
            </w:r>
            <w:r w:rsidRPr="00E957E3">
              <w:rPr>
                <w:noProof/>
                <w:szCs w:val="22"/>
              </w:rPr>
              <w:t xml:space="preserve"> should be withheld until recovery to baseline, then resumed at the next lower dose level as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w:t>
            </w:r>
          </w:p>
          <w:p w14:paraId="427C48D1" w14:textId="77777777" w:rsidR="00E2259C" w:rsidRPr="00E957E3" w:rsidRDefault="00E2259C" w:rsidP="00C77D3B">
            <w:pPr>
              <w:numPr>
                <w:ilvl w:val="0"/>
                <w:numId w:val="6"/>
              </w:numPr>
              <w:tabs>
                <w:tab w:val="left" w:pos="430"/>
              </w:tabs>
              <w:spacing w:after="0"/>
              <w:ind w:left="430" w:right="-2" w:hanging="430"/>
              <w:jc w:val="left"/>
              <w:rPr>
                <w:noProof/>
                <w:szCs w:val="22"/>
              </w:rPr>
            </w:pPr>
            <w:r w:rsidRPr="00E957E3">
              <w:rPr>
                <w:noProof/>
                <w:szCs w:val="22"/>
              </w:rPr>
              <w:t xml:space="preserve">If the </w:t>
            </w:r>
            <w:r w:rsidR="00981B4A">
              <w:rPr>
                <w:noProof/>
                <w:szCs w:val="22"/>
              </w:rPr>
              <w:t xml:space="preserve">Grade 4 </w:t>
            </w:r>
            <w:r w:rsidRPr="00E957E3">
              <w:rPr>
                <w:noProof/>
                <w:szCs w:val="22"/>
              </w:rPr>
              <w:t>event recurs, A</w:t>
            </w:r>
            <w:r w:rsidR="00E70745" w:rsidRPr="00E957E3">
              <w:rPr>
                <w:noProof/>
                <w:szCs w:val="22"/>
              </w:rPr>
              <w:t>LUNBRIG</w:t>
            </w:r>
            <w:r w:rsidRPr="00E957E3">
              <w:rPr>
                <w:noProof/>
                <w:szCs w:val="22"/>
              </w:rPr>
              <w:t xml:space="preserve"> should be withheld until recovery to baseline, then resumed at the next lower dose level as per </w:t>
            </w:r>
            <w:r w:rsidR="00BE7968">
              <w:fldChar w:fldCharType="begin"/>
            </w:r>
            <w:r w:rsidR="00BE7968">
              <w:instrText xml:space="preserve"> REF _Ref503184079 \h  \* MERGEFORMAT </w:instrText>
            </w:r>
            <w:r w:rsidR="00BE7968">
              <w:fldChar w:fldCharType="separate"/>
            </w:r>
            <w:r w:rsidR="008D78FC" w:rsidRPr="008D78FC">
              <w:rPr>
                <w:noProof/>
                <w:szCs w:val="22"/>
              </w:rPr>
              <w:t>Table 1</w:t>
            </w:r>
            <w:r w:rsidR="00BE7968">
              <w:fldChar w:fldCharType="end"/>
            </w:r>
            <w:r w:rsidRPr="00E957E3">
              <w:rPr>
                <w:noProof/>
                <w:szCs w:val="22"/>
              </w:rPr>
              <w:t xml:space="preserve"> or permanently discontinued.</w:t>
            </w:r>
          </w:p>
        </w:tc>
      </w:tr>
      <w:tr w:rsidR="00E2259C" w:rsidRPr="00E957E3" w14:paraId="427C48D4" w14:textId="77777777" w:rsidTr="00697F5A">
        <w:tc>
          <w:tcPr>
            <w:tcW w:w="5000" w:type="pct"/>
            <w:gridSpan w:val="3"/>
          </w:tcPr>
          <w:p w14:paraId="427C48D3" w14:textId="77777777" w:rsidR="00E2259C" w:rsidRPr="00E957E3" w:rsidRDefault="00E2259C" w:rsidP="00BC568F">
            <w:pPr>
              <w:numPr>
                <w:ilvl w:val="12"/>
                <w:numId w:val="0"/>
              </w:numPr>
              <w:tabs>
                <w:tab w:val="left" w:pos="567"/>
              </w:tabs>
              <w:ind w:right="-2"/>
              <w:rPr>
                <w:noProof/>
                <w:szCs w:val="22"/>
              </w:rPr>
            </w:pPr>
            <w:r w:rsidRPr="00E957E3">
              <w:rPr>
                <w:noProof/>
                <w:szCs w:val="22"/>
              </w:rPr>
              <w:t>bpm = beats per minute; CPK = Creatine Phosphokinase; DBP = diastolic blood pressure; HR = heart rate; SBP = systolic blood pressure; ULN = upper limit of normal</w:t>
            </w:r>
          </w:p>
        </w:tc>
      </w:tr>
    </w:tbl>
    <w:p w14:paraId="427C48D5" w14:textId="77777777" w:rsidR="00E2259C" w:rsidRPr="00A464C0" w:rsidRDefault="00E2259C" w:rsidP="00E2259C">
      <w:pPr>
        <w:numPr>
          <w:ilvl w:val="12"/>
          <w:numId w:val="0"/>
        </w:numPr>
        <w:ind w:right="-2"/>
        <w:rPr>
          <w:noProof/>
          <w:sz w:val="20"/>
        </w:rPr>
      </w:pPr>
      <w:r w:rsidRPr="00A464C0">
        <w:rPr>
          <w:noProof/>
          <w:sz w:val="20"/>
        </w:rPr>
        <w:t>*Graded per National Cancer Institute Common Terminology Criteria for Adverse Events. Version 4.0 (</w:t>
      </w:r>
      <w:r w:rsidR="00A464C0" w:rsidRPr="00A464C0">
        <w:rPr>
          <w:noProof/>
          <w:sz w:val="20"/>
        </w:rPr>
        <w:t>NCI</w:t>
      </w:r>
      <w:r w:rsidR="00A464C0">
        <w:rPr>
          <w:noProof/>
          <w:sz w:val="20"/>
        </w:rPr>
        <w:t> </w:t>
      </w:r>
      <w:r w:rsidRPr="00A464C0">
        <w:rPr>
          <w:noProof/>
          <w:sz w:val="20"/>
        </w:rPr>
        <w:t>CTCAE v4).</w:t>
      </w:r>
    </w:p>
    <w:p w14:paraId="427C48D6" w14:textId="77777777" w:rsidR="003E2411" w:rsidRPr="00E957E3" w:rsidRDefault="003E2411" w:rsidP="003E2411">
      <w:pPr>
        <w:rPr>
          <w:b/>
        </w:rPr>
      </w:pPr>
      <w:r w:rsidRPr="00E957E3">
        <w:rPr>
          <w:b/>
        </w:rPr>
        <w:t>Special Patient Populations</w:t>
      </w:r>
    </w:p>
    <w:p w14:paraId="427C48D7" w14:textId="77777777" w:rsidR="003E2411" w:rsidRPr="00E957E3" w:rsidRDefault="003E2411" w:rsidP="005F636F">
      <w:pPr>
        <w:spacing w:after="120"/>
        <w:rPr>
          <w:u w:val="single"/>
        </w:rPr>
      </w:pPr>
      <w:r w:rsidRPr="00E957E3">
        <w:rPr>
          <w:u w:val="single"/>
        </w:rPr>
        <w:t>Elderly</w:t>
      </w:r>
    </w:p>
    <w:p w14:paraId="427C48D8" w14:textId="77777777" w:rsidR="003E2411" w:rsidRPr="00E957E3" w:rsidRDefault="003E2411" w:rsidP="005F636F">
      <w:pPr>
        <w:spacing w:after="120"/>
      </w:pPr>
      <w:r w:rsidRPr="00E957E3">
        <w:lastRenderedPageBreak/>
        <w:t>The limited data on the safety and efficacy of ALUNBRIG in patients aged 65 years and older suggest that a dose adjustment is not required in elderly patients. There are no available data on patients over 85 years of age.</w:t>
      </w:r>
    </w:p>
    <w:p w14:paraId="427C48D9" w14:textId="77777777" w:rsidR="003E2411" w:rsidRPr="00E957E3" w:rsidRDefault="003E2411" w:rsidP="005F636F">
      <w:pPr>
        <w:spacing w:after="120"/>
        <w:rPr>
          <w:u w:val="single"/>
        </w:rPr>
      </w:pPr>
      <w:r w:rsidRPr="00E957E3">
        <w:rPr>
          <w:u w:val="single"/>
        </w:rPr>
        <w:t>Paediatric</w:t>
      </w:r>
      <w:r w:rsidR="00A21562" w:rsidRPr="00E957E3">
        <w:rPr>
          <w:u w:val="single"/>
        </w:rPr>
        <w:t>s</w:t>
      </w:r>
    </w:p>
    <w:p w14:paraId="427C48DA" w14:textId="77777777" w:rsidR="003E2411" w:rsidRPr="00E957E3" w:rsidRDefault="003E2411" w:rsidP="003E2411">
      <w:r w:rsidRPr="00E957E3">
        <w:t>The safety and efficacy of ALUNBRIG in patients less than 18 years of age have not been established. No data are available.</w:t>
      </w:r>
    </w:p>
    <w:p w14:paraId="427C48DB" w14:textId="77777777" w:rsidR="003E2411" w:rsidRPr="006145CD" w:rsidRDefault="003E2411" w:rsidP="005F636F">
      <w:pPr>
        <w:spacing w:after="120"/>
        <w:rPr>
          <w:u w:val="single"/>
        </w:rPr>
      </w:pPr>
      <w:r w:rsidRPr="006145CD">
        <w:rPr>
          <w:u w:val="single"/>
        </w:rPr>
        <w:t xml:space="preserve">Renal </w:t>
      </w:r>
      <w:r w:rsidR="00A21562" w:rsidRPr="006145CD">
        <w:rPr>
          <w:u w:val="single"/>
        </w:rPr>
        <w:t>impairment</w:t>
      </w:r>
    </w:p>
    <w:p w14:paraId="427C48DC" w14:textId="057CF40D" w:rsidR="003E2411" w:rsidRPr="006145CD" w:rsidRDefault="003E2411" w:rsidP="0038459D">
      <w:pPr>
        <w:autoSpaceDE w:val="0"/>
        <w:autoSpaceDN w:val="0"/>
        <w:adjustRightInd w:val="0"/>
        <w:spacing w:after="120"/>
      </w:pPr>
      <w:r w:rsidRPr="006145CD">
        <w:t>No dose adjustment of ALUNBRIG is required for patients with mild or moderate renal impairment (estimated glomerular filtration rate (eGFR) ≥ 30 mL/min/1.73 m</w:t>
      </w:r>
      <w:r w:rsidRPr="006145CD">
        <w:rPr>
          <w:vertAlign w:val="superscript"/>
        </w:rPr>
        <w:t>2</w:t>
      </w:r>
      <w:r w:rsidRPr="006145CD">
        <w:t xml:space="preserve">). </w:t>
      </w:r>
      <w:r w:rsidR="006565DC" w:rsidRPr="006145CD">
        <w:rPr>
          <w:rFonts w:cs="Arial"/>
          <w:szCs w:val="22"/>
          <w:lang w:eastAsia="en-GB"/>
        </w:rPr>
        <w:t>A reduced starting dose of 60 mg once daily for the first 7 days, then 90 mg once daily is recommended for patients with severe renal impairment (eGFR &lt; 30 mL/min/1.73 m</w:t>
      </w:r>
      <w:r w:rsidR="006565DC" w:rsidRPr="006145CD">
        <w:rPr>
          <w:rFonts w:cs="Arial"/>
          <w:szCs w:val="22"/>
          <w:vertAlign w:val="superscript"/>
          <w:lang w:eastAsia="en-GB"/>
        </w:rPr>
        <w:t>2</w:t>
      </w:r>
      <w:r w:rsidR="006565DC" w:rsidRPr="006145CD">
        <w:rPr>
          <w:rFonts w:cs="Arial"/>
          <w:szCs w:val="22"/>
          <w:lang w:eastAsia="en-GB"/>
        </w:rPr>
        <w:t>)</w:t>
      </w:r>
      <w:r w:rsidR="006565DC" w:rsidRPr="006145CD">
        <w:t xml:space="preserve"> </w:t>
      </w:r>
      <w:r w:rsidR="00886742" w:rsidRPr="006145CD">
        <w:t>(see section 5.2 Pharmacokinetic Properties).</w:t>
      </w:r>
      <w:r w:rsidR="00886742" w:rsidRPr="006145CD">
        <w:rPr>
          <w:bCs/>
        </w:rPr>
        <w:t xml:space="preserve"> These dosing recommendations for patients with severe renal impairment are based on the results of a single-dose pharmacokinetic study. </w:t>
      </w:r>
      <w:r w:rsidR="00886742" w:rsidRPr="006145CD">
        <w:t>Patients should be closely monitored as the safety of brigatinib has not been studied in patients with severe renal impairment</w:t>
      </w:r>
      <w:r w:rsidRPr="006145CD">
        <w:t>.</w:t>
      </w:r>
    </w:p>
    <w:p w14:paraId="427C48DD" w14:textId="77777777" w:rsidR="003E2411" w:rsidRPr="006145CD" w:rsidRDefault="003E2411" w:rsidP="005F636F">
      <w:pPr>
        <w:spacing w:after="120"/>
        <w:rPr>
          <w:u w:val="single"/>
        </w:rPr>
      </w:pPr>
      <w:r w:rsidRPr="006145CD">
        <w:rPr>
          <w:u w:val="single"/>
        </w:rPr>
        <w:t xml:space="preserve">Hepatic </w:t>
      </w:r>
      <w:r w:rsidR="00A21562" w:rsidRPr="006145CD">
        <w:rPr>
          <w:u w:val="single"/>
        </w:rPr>
        <w:t>impairment</w:t>
      </w:r>
    </w:p>
    <w:p w14:paraId="427C48DE" w14:textId="25AB42B5" w:rsidR="003E2411" w:rsidRPr="00E957E3" w:rsidRDefault="003E2411" w:rsidP="006565DC">
      <w:pPr>
        <w:spacing w:after="120"/>
      </w:pPr>
      <w:r w:rsidRPr="006145CD">
        <w:t>No dose adjustment of A</w:t>
      </w:r>
      <w:r w:rsidR="00A21562" w:rsidRPr="006145CD">
        <w:t>LUNBRIG</w:t>
      </w:r>
      <w:r w:rsidRPr="006145CD">
        <w:t xml:space="preserve"> is required for patients with mild hepatic impairment (Child</w:t>
      </w:r>
      <w:r w:rsidR="00BB5C91" w:rsidRPr="006145CD">
        <w:t>-</w:t>
      </w:r>
      <w:r w:rsidRPr="006145CD">
        <w:t xml:space="preserve">Pugh class A) or moderate hepatic impairment (Child-Pugh class B). </w:t>
      </w:r>
      <w:r w:rsidR="006565DC" w:rsidRPr="006145CD">
        <w:rPr>
          <w:rFonts w:eastAsia="MS Mincho"/>
          <w:bCs/>
          <w:szCs w:val="24"/>
        </w:rPr>
        <w:t xml:space="preserve">A reduced starting dose of 60 mg once daily for the first 7 days, then 120 mg once daily is recommended for patients with severe hepatic impairment (Child-Pugh class C) </w:t>
      </w:r>
      <w:r w:rsidR="009126FD" w:rsidRPr="006145CD">
        <w:rPr>
          <w:rFonts w:eastAsia="MS Mincho"/>
          <w:bCs/>
          <w:szCs w:val="24"/>
        </w:rPr>
        <w:t xml:space="preserve">(see section 5.2 </w:t>
      </w:r>
      <w:r w:rsidR="009126FD" w:rsidRPr="006145CD">
        <w:t>Pharmacokinetic Properties</w:t>
      </w:r>
      <w:r w:rsidR="009126FD" w:rsidRPr="006145CD">
        <w:rPr>
          <w:rFonts w:eastAsia="MS Mincho"/>
          <w:bCs/>
          <w:szCs w:val="24"/>
        </w:rPr>
        <w:t xml:space="preserve">).  </w:t>
      </w:r>
      <w:bookmarkStart w:id="2" w:name="_Hlk524945359"/>
      <w:r w:rsidR="009126FD" w:rsidRPr="006145CD">
        <w:rPr>
          <w:rFonts w:eastAsia="MS Mincho"/>
          <w:bCs/>
          <w:szCs w:val="24"/>
        </w:rPr>
        <w:t xml:space="preserve">These dosing recommendations are based on the results of a single-dose pharmacokinetic study. </w:t>
      </w:r>
      <w:bookmarkEnd w:id="2"/>
      <w:r w:rsidR="009126FD" w:rsidRPr="006145CD">
        <w:rPr>
          <w:rFonts w:eastAsia="MS Mincho"/>
          <w:bCs/>
          <w:szCs w:val="24"/>
        </w:rPr>
        <w:t xml:space="preserve">Patients should be closely monitored as the </w:t>
      </w:r>
      <w:r w:rsidR="009126FD" w:rsidRPr="006145CD">
        <w:rPr>
          <w:bCs/>
        </w:rPr>
        <w:t>safety of brigatinib has not been studied in patients with hepatic impairment.</w:t>
      </w:r>
      <w:r w:rsidR="009126FD" w:rsidRPr="0088723E">
        <w:t xml:space="preserve"> </w:t>
      </w:r>
    </w:p>
    <w:p w14:paraId="427C48DF" w14:textId="77777777" w:rsidR="003E2411" w:rsidRPr="00E957E3" w:rsidDel="00800785" w:rsidRDefault="003E2411" w:rsidP="005F636F">
      <w:pPr>
        <w:spacing w:after="120"/>
        <w:rPr>
          <w:u w:val="single"/>
        </w:rPr>
      </w:pPr>
      <w:r w:rsidRPr="00E957E3" w:rsidDel="00800785">
        <w:rPr>
          <w:u w:val="single"/>
        </w:rPr>
        <w:t>Method of Administration</w:t>
      </w:r>
    </w:p>
    <w:p w14:paraId="427C48E0" w14:textId="77777777" w:rsidR="001A0752" w:rsidRPr="00E957E3" w:rsidDel="00800785" w:rsidRDefault="003E2411" w:rsidP="003E2411">
      <w:r w:rsidRPr="00E957E3" w:rsidDel="00800785">
        <w:t>ALUNBRIG is for oral use. The tablets should be swallowed whole and with water. Do not crush or chew tablets.</w:t>
      </w:r>
      <w:r w:rsidR="00D4299C" w:rsidRPr="00E957E3" w:rsidDel="00800785">
        <w:t xml:space="preserve"> </w:t>
      </w:r>
      <w:r w:rsidRPr="00E957E3" w:rsidDel="00800785">
        <w:t>ALUNBRIG may be taken with or without food.</w:t>
      </w:r>
    </w:p>
    <w:p w14:paraId="427C48E1" w14:textId="77777777" w:rsidR="003301BE" w:rsidRPr="00E957E3" w:rsidRDefault="003301BE" w:rsidP="001A0D3C">
      <w:pPr>
        <w:pStyle w:val="Heading2"/>
      </w:pPr>
      <w:r w:rsidRPr="00E957E3">
        <w:t xml:space="preserve">CONTRAINDICATIONS </w:t>
      </w:r>
    </w:p>
    <w:p w14:paraId="427C48E2" w14:textId="77777777" w:rsidR="00217334" w:rsidRPr="00E957E3" w:rsidRDefault="008B5D92" w:rsidP="00217334">
      <w:r w:rsidRPr="00E957E3">
        <w:t xml:space="preserve">Hypersensitivity to the active substance or to any of the excipients listed in </w:t>
      </w:r>
      <w:r w:rsidRPr="00132E8B">
        <w:t>section 6.1</w:t>
      </w:r>
      <w:r w:rsidR="00DE4919">
        <w:t xml:space="preserve"> </w:t>
      </w:r>
      <w:r w:rsidR="00DE4919" w:rsidRPr="00026FB0">
        <w:t>List of excipients</w:t>
      </w:r>
      <w:r w:rsidR="00DE4919">
        <w:t>.</w:t>
      </w:r>
    </w:p>
    <w:p w14:paraId="427C48E3" w14:textId="77777777" w:rsidR="00217334" w:rsidRPr="00E957E3" w:rsidRDefault="003301BE" w:rsidP="001A0D3C">
      <w:pPr>
        <w:pStyle w:val="Heading2"/>
      </w:pPr>
      <w:r w:rsidRPr="00E957E3">
        <w:t xml:space="preserve">SPECIAL WARNINGS AND PRECAUTIONS FOR USE </w:t>
      </w:r>
    </w:p>
    <w:p w14:paraId="427C48E4" w14:textId="77777777" w:rsidR="008B5D92" w:rsidRPr="00734027" w:rsidRDefault="008B5D92" w:rsidP="00734027">
      <w:pPr>
        <w:pStyle w:val="Heading3"/>
        <w:keepNext/>
        <w:keepLines/>
        <w:rPr>
          <w:rFonts w:eastAsiaTheme="majorEastAsia"/>
          <w:b/>
          <w:bCs/>
          <w:smallCaps w:val="0"/>
          <w:sz w:val="22"/>
          <w:u w:val="none"/>
        </w:rPr>
      </w:pPr>
      <w:r w:rsidRPr="00734027">
        <w:rPr>
          <w:rFonts w:eastAsiaTheme="majorEastAsia"/>
          <w:b/>
          <w:bCs/>
          <w:smallCaps w:val="0"/>
          <w:sz w:val="22"/>
          <w:u w:val="none"/>
        </w:rPr>
        <w:t>Pulmonary adverse reactions</w:t>
      </w:r>
    </w:p>
    <w:p w14:paraId="427C48E5" w14:textId="77777777" w:rsidR="008B5D92" w:rsidRPr="00E957E3" w:rsidRDefault="008B5D92" w:rsidP="00E4798E">
      <w:pPr>
        <w:numPr>
          <w:ilvl w:val="12"/>
          <w:numId w:val="0"/>
        </w:numPr>
      </w:pPr>
      <w:r w:rsidRPr="00E957E3">
        <w:t xml:space="preserve">Severe, life-threatening, and fatal pulmonary adverse reactions, including those with features consistent with ILD/pneumonitis, can occur in patients treated with ALUNBRIG </w:t>
      </w:r>
      <w:r w:rsidR="007413F2">
        <w:t>[</w:t>
      </w:r>
      <w:r w:rsidRPr="00E957E3">
        <w:t>see section 4.8</w:t>
      </w:r>
      <w:r w:rsidR="007413F2">
        <w:t xml:space="preserve"> Adverse Effects (Undesirable Effects)]</w:t>
      </w:r>
      <w:r w:rsidR="007413F2" w:rsidRPr="00E957E3">
        <w:t xml:space="preserve">. </w:t>
      </w:r>
      <w:r w:rsidRPr="00E957E3">
        <w:t xml:space="preserve">Most pulmonary adverse reactions were observed within the first 7 days of treatment. Grade 1-2 pulmonary adverse reactions resolved with interruption of treatment or dose modification. Increased age and shorter interval (less than 7 days) between the last dose of crizotinib and the first dose of ALUNBRIG were independently associated with an increased rate of these pulmonary adverse reactions. These factors should be considered when initiating treatment with ALUNBRIG. </w:t>
      </w:r>
      <w:r w:rsidR="00737F35" w:rsidRPr="002E0F65">
        <w:rPr>
          <w:bCs/>
          <w:szCs w:val="22"/>
        </w:rPr>
        <w:t>Patients with a history of ILD or drug</w:t>
      </w:r>
      <w:r w:rsidR="00737F35" w:rsidRPr="002E0F65">
        <w:rPr>
          <w:bCs/>
          <w:szCs w:val="22"/>
        </w:rPr>
        <w:noBreakHyphen/>
        <w:t>induced pneumonitis were excluded from the pivotal trial</w:t>
      </w:r>
      <w:r w:rsidR="00BD01F8">
        <w:rPr>
          <w:bCs/>
          <w:szCs w:val="22"/>
        </w:rPr>
        <w:t>.</w:t>
      </w:r>
      <w:r w:rsidR="00737F35">
        <w:rPr>
          <w:bCs/>
          <w:szCs w:val="22"/>
        </w:rPr>
        <w:t xml:space="preserve"> </w:t>
      </w:r>
      <w:r w:rsidRPr="00E957E3">
        <w:t>Some patients experienced pneumonitis later in treatment with ALUNBRIG. Patients should be monitored for</w:t>
      </w:r>
      <w:r w:rsidR="00737F35">
        <w:t xml:space="preserve"> and instructed to report any</w:t>
      </w:r>
      <w:r w:rsidRPr="00E957E3">
        <w:t xml:space="preserve"> new or worsening respiratory symptoms (e.g., dyspnoea, cough, etc.), particularly in the first week of treatment. Evidence of pneumonitis in any patient with worsening respiratory symptoms should be promptly </w:t>
      </w:r>
      <w:r w:rsidRPr="00E957E3">
        <w:lastRenderedPageBreak/>
        <w:t>investigated. If pneumonitis is suspected, ALUNBRIG should be withheld, and the patient evaluated for other causes of symptoms (e.g., pulmonary embolism, tumour progression, and infectious pneumonia) and dosing modified accordingly (see section 4.2</w:t>
      </w:r>
      <w:r w:rsidR="007413F2">
        <w:t xml:space="preserve"> Dose and Method of Administration</w:t>
      </w:r>
      <w:r w:rsidRPr="00E957E3">
        <w:t>).</w:t>
      </w:r>
    </w:p>
    <w:p w14:paraId="427C48E6" w14:textId="77777777" w:rsidR="00547E68" w:rsidRPr="00734027" w:rsidRDefault="00547E68" w:rsidP="00734027">
      <w:pPr>
        <w:pStyle w:val="Heading3"/>
        <w:keepNext/>
        <w:keepLines/>
        <w:rPr>
          <w:rFonts w:eastAsiaTheme="majorEastAsia"/>
          <w:b/>
          <w:bCs/>
          <w:smallCaps w:val="0"/>
          <w:sz w:val="22"/>
          <w:u w:val="none"/>
        </w:rPr>
      </w:pPr>
      <w:r w:rsidRPr="00734027">
        <w:rPr>
          <w:rFonts w:eastAsiaTheme="majorEastAsia"/>
          <w:b/>
          <w:bCs/>
          <w:smallCaps w:val="0"/>
          <w:sz w:val="22"/>
          <w:u w:val="none"/>
        </w:rPr>
        <w:t>Hypertension</w:t>
      </w:r>
    </w:p>
    <w:p w14:paraId="427C48E7" w14:textId="26B73252" w:rsidR="00547E68" w:rsidRPr="00E957E3" w:rsidRDefault="00547E68" w:rsidP="00547E68">
      <w:r w:rsidRPr="00E957E3">
        <w:t xml:space="preserve">Hypertension has occurred in patients treated with ALUNBRIG </w:t>
      </w:r>
      <w:r w:rsidR="007413F2">
        <w:t>[</w:t>
      </w:r>
      <w:r w:rsidRPr="00E957E3">
        <w:t>see section 4.8</w:t>
      </w:r>
      <w:r w:rsidR="007413F2">
        <w:t xml:space="preserve"> Adverse Effects (Undesirable Effects</w:t>
      </w:r>
      <w:r w:rsidRPr="00E957E3">
        <w:t>)</w:t>
      </w:r>
      <w:r w:rsidR="007413F2">
        <w:t>]</w:t>
      </w:r>
      <w:r w:rsidRPr="00E957E3">
        <w:t>. Blood pressure should be monitored regularly during treatment with ALUNBRIG. Hypertension should be treated according to standard guidelines to control blood pressure. For severe hypertension (≥ Grade 3), ALUNBRIG should be withheld until hypertension has recovered to Grade 1 or to baseline. The dose should be modified accordingly (see section 4.2</w:t>
      </w:r>
      <w:r w:rsidR="007700D2">
        <w:t xml:space="preserve"> Dose and Method of Administration</w:t>
      </w:r>
      <w:r w:rsidRPr="00E957E3">
        <w:t>).</w:t>
      </w:r>
    </w:p>
    <w:p w14:paraId="427C48E8" w14:textId="77777777" w:rsidR="00547E68" w:rsidRPr="00734027" w:rsidRDefault="00547E68" w:rsidP="00734027">
      <w:pPr>
        <w:pStyle w:val="Heading3"/>
        <w:keepNext/>
        <w:keepLines/>
        <w:rPr>
          <w:rFonts w:eastAsiaTheme="majorEastAsia"/>
          <w:b/>
          <w:bCs/>
          <w:smallCaps w:val="0"/>
          <w:sz w:val="22"/>
          <w:u w:val="none"/>
        </w:rPr>
      </w:pPr>
      <w:r w:rsidRPr="00734027">
        <w:rPr>
          <w:rFonts w:eastAsiaTheme="majorEastAsia"/>
          <w:b/>
          <w:bCs/>
          <w:smallCaps w:val="0"/>
          <w:sz w:val="22"/>
          <w:u w:val="none"/>
        </w:rPr>
        <w:t>Bradycardia</w:t>
      </w:r>
    </w:p>
    <w:p w14:paraId="427C48E9" w14:textId="223AA7C8" w:rsidR="00547E68" w:rsidRPr="00E957E3" w:rsidRDefault="00547E68" w:rsidP="00547E68">
      <w:r w:rsidRPr="00E957E3">
        <w:t xml:space="preserve">Bradycardia has occurred in patients treated with ALUNBRIG </w:t>
      </w:r>
      <w:r w:rsidR="007700D2">
        <w:t>[</w:t>
      </w:r>
      <w:r w:rsidRPr="00E957E3">
        <w:t>see section 4.8</w:t>
      </w:r>
      <w:r w:rsidR="007700D2">
        <w:t xml:space="preserve"> Adverse Effects (Undesirable Effects</w:t>
      </w:r>
      <w:r w:rsidR="007700D2" w:rsidRPr="00E957E3">
        <w:t>)</w:t>
      </w:r>
      <w:r w:rsidR="007700D2">
        <w:t>]</w:t>
      </w:r>
      <w:r w:rsidR="007700D2" w:rsidRPr="00E957E3">
        <w:t xml:space="preserve">. </w:t>
      </w:r>
      <w:r w:rsidRPr="006145CD">
        <w:t>Heart rate and blood pressure should be monitored regularly.</w:t>
      </w:r>
      <w:r w:rsidR="003D7A6A">
        <w:t xml:space="preserve"> </w:t>
      </w:r>
      <w:r w:rsidR="003D7A6A" w:rsidRPr="00E957E3">
        <w:t xml:space="preserve">Caution should be exercised when administering ALUNBRIG in combination with other </w:t>
      </w:r>
      <w:r w:rsidR="003D7A6A" w:rsidRPr="006145CD">
        <w:t xml:space="preserve">agents known to cause bradycardia. </w:t>
      </w:r>
      <w:r w:rsidR="00251262" w:rsidRPr="006145CD">
        <w:t xml:space="preserve"> Heart rate should be monitored more frequently in patients if concomitant use of a medicinal product known to cause bradycardia cannot be avoided. </w:t>
      </w:r>
      <w:r w:rsidRPr="006145CD">
        <w:t xml:space="preserve"> If symptomatic</w:t>
      </w:r>
      <w:r w:rsidRPr="00E957E3">
        <w:t xml:space="preserve"> bradycardia occurs, treatment with ALUNBRIG should be withheld and concomitant medications known to cause bradycardia should be evaluated. Upon recovery, the dose should be modified accordingly (see section 4.2</w:t>
      </w:r>
      <w:r w:rsidR="007700D2">
        <w:t xml:space="preserve"> Dose and Method of Administration</w:t>
      </w:r>
      <w:r w:rsidRPr="00E957E3">
        <w:t>). In case of life-threatening bradycardia, if no contributing concomitant medication is identified</w:t>
      </w:r>
      <w:r w:rsidR="00105B72">
        <w:t>,</w:t>
      </w:r>
      <w:r w:rsidRPr="00E957E3">
        <w:t xml:space="preserve"> or in case of recurrence, treatment with ALUNBRIG should be discontinued (see section 4.2</w:t>
      </w:r>
      <w:r w:rsidR="007700D2">
        <w:t xml:space="preserve"> Dose and Method of Administration</w:t>
      </w:r>
      <w:r w:rsidRPr="00E957E3">
        <w:t>).</w:t>
      </w:r>
    </w:p>
    <w:p w14:paraId="427C48EA" w14:textId="77777777" w:rsidR="00547E68" w:rsidRPr="00734027" w:rsidRDefault="00547E68" w:rsidP="00734027">
      <w:pPr>
        <w:pStyle w:val="Heading3"/>
        <w:keepNext/>
        <w:keepLines/>
        <w:rPr>
          <w:rFonts w:eastAsiaTheme="majorEastAsia"/>
          <w:b/>
          <w:bCs/>
          <w:smallCaps w:val="0"/>
          <w:sz w:val="22"/>
          <w:u w:val="none"/>
        </w:rPr>
      </w:pPr>
      <w:r w:rsidRPr="00734027">
        <w:rPr>
          <w:rFonts w:eastAsiaTheme="majorEastAsia"/>
          <w:b/>
          <w:bCs/>
          <w:smallCaps w:val="0"/>
          <w:sz w:val="22"/>
          <w:u w:val="none"/>
        </w:rPr>
        <w:t>Visual Disturbance</w:t>
      </w:r>
    </w:p>
    <w:p w14:paraId="427C48EB" w14:textId="77777777" w:rsidR="00547E68" w:rsidRPr="00E957E3" w:rsidRDefault="00547E68" w:rsidP="00547E68">
      <w:r w:rsidRPr="00E957E3">
        <w:t xml:space="preserve">Visual disturbance adverse reactions have occurred in patients treated with ALUNBRIG </w:t>
      </w:r>
      <w:r w:rsidR="007700D2">
        <w:t>[</w:t>
      </w:r>
      <w:r w:rsidRPr="00E957E3">
        <w:t>see section 4.8</w:t>
      </w:r>
      <w:r w:rsidR="007700D2">
        <w:t xml:space="preserve"> Adverse Effects (Undesirable Effects</w:t>
      </w:r>
      <w:r w:rsidRPr="00E957E3">
        <w:t>)</w:t>
      </w:r>
      <w:r w:rsidR="007700D2">
        <w:t>]</w:t>
      </w:r>
      <w:r w:rsidRPr="00E957E3">
        <w:t>. Patients should be advised to report any visual symptoms. For new or worsening severe visual symptoms, an ophthalmologic evaluation and dose reduction should be considered (section 4.2</w:t>
      </w:r>
      <w:r w:rsidR="00AD7573">
        <w:t xml:space="preserve"> Dose and Method of Administration</w:t>
      </w:r>
      <w:r w:rsidRPr="00E957E3">
        <w:t>).</w:t>
      </w:r>
    </w:p>
    <w:p w14:paraId="427C48EC" w14:textId="77777777" w:rsidR="00547E68" w:rsidRPr="00734027" w:rsidRDefault="00547E68" w:rsidP="00734027">
      <w:pPr>
        <w:pStyle w:val="Heading3"/>
        <w:keepNext/>
        <w:keepLines/>
        <w:rPr>
          <w:rFonts w:eastAsiaTheme="majorEastAsia"/>
          <w:b/>
          <w:bCs/>
          <w:smallCaps w:val="0"/>
          <w:sz w:val="22"/>
          <w:u w:val="none"/>
        </w:rPr>
      </w:pPr>
      <w:r w:rsidRPr="00734027">
        <w:rPr>
          <w:rFonts w:eastAsiaTheme="majorEastAsia"/>
          <w:b/>
          <w:bCs/>
          <w:smallCaps w:val="0"/>
          <w:sz w:val="22"/>
          <w:u w:val="none"/>
        </w:rPr>
        <w:t>Creatine Phosphokinase (CPK) Elevation</w:t>
      </w:r>
    </w:p>
    <w:p w14:paraId="427C48ED" w14:textId="72B6EEE3" w:rsidR="00547E68" w:rsidRPr="00453433" w:rsidRDefault="00547E68" w:rsidP="00CD59BF">
      <w:pPr>
        <w:pStyle w:val="CommentText"/>
        <w:rPr>
          <w:sz w:val="22"/>
        </w:rPr>
      </w:pPr>
      <w:r w:rsidRPr="00453433">
        <w:rPr>
          <w:sz w:val="22"/>
        </w:rPr>
        <w:t xml:space="preserve">Elevations of CPK have occurred in patients treated with ALUNBRIG </w:t>
      </w:r>
      <w:r w:rsidR="007700D2" w:rsidRPr="00453433">
        <w:rPr>
          <w:sz w:val="22"/>
        </w:rPr>
        <w:t>[</w:t>
      </w:r>
      <w:r w:rsidRPr="00453433">
        <w:rPr>
          <w:sz w:val="22"/>
        </w:rPr>
        <w:t>see section 4.8</w:t>
      </w:r>
      <w:r w:rsidR="007700D2" w:rsidRPr="00453433">
        <w:rPr>
          <w:sz w:val="22"/>
        </w:rPr>
        <w:t xml:space="preserve"> Adverse Effects (Undesirable Effects</w:t>
      </w:r>
      <w:r w:rsidRPr="00453433">
        <w:rPr>
          <w:sz w:val="22"/>
        </w:rPr>
        <w:t>)</w:t>
      </w:r>
      <w:r w:rsidR="00C14B4A" w:rsidRPr="00453433">
        <w:rPr>
          <w:sz w:val="22"/>
        </w:rPr>
        <w:t>]</w:t>
      </w:r>
      <w:r w:rsidR="00737F35" w:rsidRPr="00453433">
        <w:rPr>
          <w:sz w:val="22"/>
        </w:rPr>
        <w:t xml:space="preserve">; the pathology resulting in CPK elevation is unknown. Significant myopathies (such as rhabdomyolysis or cardiomyopathies) were not observed in the clinical trials however, the rare occurrence of significant myopathies cannot be ruled out. </w:t>
      </w:r>
      <w:r w:rsidRPr="00453433">
        <w:rPr>
          <w:sz w:val="22"/>
        </w:rPr>
        <w:t>Patients should be advised to report any unexplained muscle pain, tenderness, or weakness. CPK levels should be monitored regularly during ALUNBRIG treatment. Based on the severity of the CPK elevation, treatment with ALUNBRIG should be withheld, and the dose modified accordingly (see section 4.2</w:t>
      </w:r>
      <w:r w:rsidR="00C14B4A" w:rsidRPr="00453433">
        <w:rPr>
          <w:sz w:val="22"/>
        </w:rPr>
        <w:t xml:space="preserve"> Dose and Method of Administration</w:t>
      </w:r>
      <w:r w:rsidRPr="00453433">
        <w:rPr>
          <w:sz w:val="22"/>
        </w:rPr>
        <w:t>).</w:t>
      </w:r>
    </w:p>
    <w:p w14:paraId="427C48EE" w14:textId="77777777" w:rsidR="00234C52" w:rsidRPr="00734027" w:rsidRDefault="00C954E4" w:rsidP="00734027">
      <w:pPr>
        <w:pStyle w:val="Heading3"/>
        <w:keepNext/>
        <w:keepLines/>
        <w:rPr>
          <w:rFonts w:eastAsiaTheme="majorEastAsia"/>
          <w:b/>
          <w:bCs/>
          <w:smallCaps w:val="0"/>
          <w:sz w:val="22"/>
          <w:u w:val="none"/>
        </w:rPr>
      </w:pPr>
      <w:r>
        <w:rPr>
          <w:rFonts w:eastAsiaTheme="majorEastAsia"/>
          <w:b/>
          <w:bCs/>
          <w:smallCaps w:val="0"/>
          <w:sz w:val="22"/>
          <w:u w:val="none"/>
        </w:rPr>
        <w:t xml:space="preserve">Elevations of </w:t>
      </w:r>
      <w:r w:rsidR="00234C52" w:rsidRPr="00734027">
        <w:rPr>
          <w:rFonts w:eastAsiaTheme="majorEastAsia"/>
          <w:b/>
          <w:bCs/>
          <w:smallCaps w:val="0"/>
          <w:sz w:val="22"/>
          <w:u w:val="none"/>
        </w:rPr>
        <w:t>Pancreatic Enzyme</w:t>
      </w:r>
      <w:r>
        <w:rPr>
          <w:rFonts w:eastAsiaTheme="majorEastAsia"/>
          <w:b/>
          <w:bCs/>
          <w:smallCaps w:val="0"/>
          <w:sz w:val="22"/>
          <w:u w:val="none"/>
        </w:rPr>
        <w:t>s</w:t>
      </w:r>
    </w:p>
    <w:p w14:paraId="427C48EF" w14:textId="77777777" w:rsidR="00234C52" w:rsidRPr="006145CD" w:rsidRDefault="00234C52" w:rsidP="00234C52">
      <w:r w:rsidRPr="00E957E3">
        <w:t xml:space="preserve">Elevations of amylase and lipase have occurred in patients treated with ALUNBRIG </w:t>
      </w:r>
      <w:r w:rsidR="00C14B4A">
        <w:t>[</w:t>
      </w:r>
      <w:r w:rsidRPr="00886A47">
        <w:t>see section 4.8</w:t>
      </w:r>
      <w:r w:rsidR="00C14B4A" w:rsidRPr="00886A47">
        <w:t xml:space="preserve"> Adverse Effects (Undesirable Effects</w:t>
      </w:r>
      <w:r w:rsidRPr="00886A47">
        <w:t>)</w:t>
      </w:r>
      <w:r w:rsidR="00C14B4A">
        <w:t>]</w:t>
      </w:r>
      <w:r w:rsidRPr="00E957E3">
        <w:t>. Lipase and amylase should be monitored regularly during treatment with ALUNBRIG. Based on the severity of the laboratory abnormalities, treatment with ALUNBRIG should be withheld, and the dose modified accordingly (see section 4.2</w:t>
      </w:r>
      <w:r w:rsidR="00C14B4A">
        <w:t xml:space="preserve"> Dose and Method of </w:t>
      </w:r>
      <w:r w:rsidR="00C14B4A" w:rsidRPr="006145CD">
        <w:t>Administration</w:t>
      </w:r>
      <w:r w:rsidRPr="006145CD">
        <w:t>).</w:t>
      </w:r>
    </w:p>
    <w:p w14:paraId="7B948F61" w14:textId="5BC12D4F" w:rsidR="00251262" w:rsidRPr="006145CD" w:rsidRDefault="00251262" w:rsidP="00251262">
      <w:pPr>
        <w:pStyle w:val="Heading3"/>
        <w:keepNext/>
        <w:keepLines/>
        <w:rPr>
          <w:rFonts w:eastAsiaTheme="majorEastAsia"/>
          <w:b/>
          <w:bCs/>
          <w:smallCaps w:val="0"/>
          <w:sz w:val="22"/>
          <w:u w:val="none"/>
        </w:rPr>
      </w:pPr>
      <w:r w:rsidRPr="006145CD">
        <w:rPr>
          <w:rFonts w:eastAsiaTheme="majorEastAsia"/>
          <w:b/>
          <w:bCs/>
          <w:smallCaps w:val="0"/>
          <w:sz w:val="22"/>
          <w:u w:val="none"/>
        </w:rPr>
        <w:lastRenderedPageBreak/>
        <w:t xml:space="preserve">Hepatotoxicity </w:t>
      </w:r>
    </w:p>
    <w:p w14:paraId="670418C2" w14:textId="4B173088" w:rsidR="00251262" w:rsidRPr="00E957E3" w:rsidRDefault="00251262" w:rsidP="00234C52">
      <w:r w:rsidRPr="006145CD">
        <w:t>Elevations of hepatic enzymes (aspartate aminotransferase, alanine aminotransferase) and bilirubin have occurred in patients treated with A</w:t>
      </w:r>
      <w:r w:rsidR="00A059B3">
        <w:t>LUNBRIG</w:t>
      </w:r>
      <w:r w:rsidRPr="006145CD">
        <w:t xml:space="preserve"> (see section 4.8). Liver function, including AST, ALT and total bilirubin should be assessed prior to the initiation of ALUNBRIG and then every 2 weeks during the first 3 months of treatment. Thereafter, monitoring should be performed periodically. Based on the severity of the laboratory abnormalities, treatment should be withheld, and the dose modified accordingly (see section 4.2 Dose and Method of Administration).</w:t>
      </w:r>
    </w:p>
    <w:p w14:paraId="427C48F0" w14:textId="77777777" w:rsidR="00234C52" w:rsidRPr="00734027" w:rsidRDefault="00234C52" w:rsidP="00734027">
      <w:pPr>
        <w:pStyle w:val="Heading3"/>
        <w:keepNext/>
        <w:keepLines/>
        <w:rPr>
          <w:rFonts w:eastAsiaTheme="majorEastAsia"/>
          <w:b/>
          <w:bCs/>
          <w:smallCaps w:val="0"/>
          <w:sz w:val="22"/>
          <w:u w:val="none"/>
        </w:rPr>
      </w:pPr>
      <w:r w:rsidRPr="00734027">
        <w:rPr>
          <w:rFonts w:eastAsiaTheme="majorEastAsia"/>
          <w:b/>
          <w:bCs/>
          <w:smallCaps w:val="0"/>
          <w:sz w:val="22"/>
          <w:u w:val="none"/>
        </w:rPr>
        <w:t>Hyperglyc</w:t>
      </w:r>
      <w:r w:rsidR="00E957E3" w:rsidRPr="00734027">
        <w:rPr>
          <w:rFonts w:eastAsiaTheme="majorEastAsia"/>
          <w:b/>
          <w:bCs/>
          <w:smallCaps w:val="0"/>
          <w:sz w:val="22"/>
          <w:u w:val="none"/>
        </w:rPr>
        <w:t>a</w:t>
      </w:r>
      <w:r w:rsidRPr="00734027">
        <w:rPr>
          <w:rFonts w:eastAsiaTheme="majorEastAsia"/>
          <w:b/>
          <w:bCs/>
          <w:smallCaps w:val="0"/>
          <w:sz w:val="22"/>
          <w:u w:val="none"/>
        </w:rPr>
        <w:t>emia</w:t>
      </w:r>
    </w:p>
    <w:p w14:paraId="427C48F1" w14:textId="0FCC3B11" w:rsidR="00234C52" w:rsidRDefault="00234C52" w:rsidP="00234C52">
      <w:r w:rsidRPr="00E957E3">
        <w:t>Elevations of serum glucose have occurred in patients treated with ALUNBRIG</w:t>
      </w:r>
      <w:r w:rsidR="001A1180">
        <w:t xml:space="preserve"> </w:t>
      </w:r>
      <w:r w:rsidR="00C954E4">
        <w:t>[</w:t>
      </w:r>
      <w:r w:rsidR="00C954E4" w:rsidRPr="001A1180">
        <w:t>see section 4.8 Adverse Effects (Undesirable Effects)]</w:t>
      </w:r>
      <w:r w:rsidRPr="001A1180">
        <w:t>.</w:t>
      </w:r>
      <w:r w:rsidRPr="00E957E3">
        <w:t xml:space="preserve"> Fasting serum glucose should be assessed prior to initiation of ALUNBRIG and monitored periodically thereafter. Antihyperglyc</w:t>
      </w:r>
      <w:r w:rsidR="00E957E3">
        <w:t>a</w:t>
      </w:r>
      <w:r w:rsidRPr="00E957E3">
        <w:t>emic medications should be initiated or optimi</w:t>
      </w:r>
      <w:r w:rsidR="00105B72">
        <w:t>s</w:t>
      </w:r>
      <w:r w:rsidRPr="00E957E3">
        <w:t xml:space="preserve">ed as needed. </w:t>
      </w:r>
      <w:r w:rsidR="00E957E3" w:rsidRPr="00E957E3">
        <w:t>If adequate hyperglyc</w:t>
      </w:r>
      <w:r w:rsidR="00E957E3">
        <w:t>a</w:t>
      </w:r>
      <w:r w:rsidR="00E957E3" w:rsidRPr="00E957E3">
        <w:t>emic control cannot be achieved with optimal medical management, ALUNBRIG should be withheld until adequate hyperglyc</w:t>
      </w:r>
      <w:r w:rsidR="00E957E3">
        <w:t>a</w:t>
      </w:r>
      <w:r w:rsidR="00E957E3" w:rsidRPr="00E957E3">
        <w:t>emic control is achieved; upon recovery reducing the dose of ALUNBRIG as described in section 4.2</w:t>
      </w:r>
      <w:r w:rsidR="00C14B4A">
        <w:t xml:space="preserve"> Dose and Method of Administration</w:t>
      </w:r>
      <w:r w:rsidR="00E957E3" w:rsidRPr="00E957E3">
        <w:t xml:space="preserve"> may be considered or ALUNBRIG may be permanently discontinued.</w:t>
      </w:r>
    </w:p>
    <w:p w14:paraId="427C48F2" w14:textId="77777777" w:rsidR="00C954E4" w:rsidRPr="0051595B" w:rsidRDefault="00C954E4" w:rsidP="00C954E4">
      <w:pPr>
        <w:pStyle w:val="Heading3"/>
        <w:keepNext/>
        <w:keepLines/>
        <w:rPr>
          <w:rFonts w:eastAsiaTheme="majorEastAsia"/>
          <w:b/>
          <w:bCs/>
          <w:smallCaps w:val="0"/>
          <w:sz w:val="22"/>
          <w:u w:val="none"/>
        </w:rPr>
      </w:pPr>
      <w:r>
        <w:rPr>
          <w:rFonts w:eastAsiaTheme="majorEastAsia"/>
          <w:b/>
          <w:bCs/>
          <w:smallCaps w:val="0"/>
          <w:sz w:val="22"/>
          <w:u w:val="none"/>
        </w:rPr>
        <w:t>Fertility</w:t>
      </w:r>
    </w:p>
    <w:p w14:paraId="427C48F3" w14:textId="2902BD90" w:rsidR="00813D95" w:rsidRDefault="00C954E4" w:rsidP="00234C52">
      <w:r w:rsidRPr="001A1CA5">
        <w:t>Women of childbearing potential should be advised to use effective non-hormonal contraception during treatment with ALUNBRIG and for at least 4 months following the final dose.  Men with female partners of childbearing potential should be advised to use effective contraception during treatment and for at least 3 months after the last dose of ALUNBRIG</w:t>
      </w:r>
      <w:r>
        <w:t xml:space="preserve"> (see section</w:t>
      </w:r>
      <w:r w:rsidRPr="001A1CA5">
        <w:t xml:space="preserve"> 4.6 </w:t>
      </w:r>
      <w:r>
        <w:t xml:space="preserve">Fertility, </w:t>
      </w:r>
      <w:r w:rsidRPr="001A1CA5">
        <w:t>Pregnancy and Lactation)</w:t>
      </w:r>
      <w:r>
        <w:t>.</w:t>
      </w:r>
    </w:p>
    <w:p w14:paraId="427C48F4" w14:textId="77777777" w:rsidR="0051595B" w:rsidRPr="0051595B" w:rsidRDefault="0051595B" w:rsidP="0051595B">
      <w:pPr>
        <w:pStyle w:val="Heading3"/>
        <w:keepNext/>
        <w:keepLines/>
        <w:rPr>
          <w:rFonts w:eastAsiaTheme="majorEastAsia"/>
          <w:b/>
          <w:bCs/>
          <w:smallCaps w:val="0"/>
          <w:sz w:val="22"/>
          <w:u w:val="none"/>
        </w:rPr>
      </w:pPr>
      <w:r w:rsidRPr="0051595B">
        <w:rPr>
          <w:rFonts w:eastAsiaTheme="majorEastAsia"/>
          <w:b/>
          <w:bCs/>
          <w:smallCaps w:val="0"/>
          <w:sz w:val="22"/>
          <w:u w:val="none"/>
        </w:rPr>
        <w:t>Use in the elderly</w:t>
      </w:r>
    </w:p>
    <w:p w14:paraId="427C48F5" w14:textId="77777777" w:rsidR="0051595B" w:rsidRDefault="00FA26C2" w:rsidP="00234C52">
      <w:r>
        <w:t>S</w:t>
      </w:r>
      <w:r w:rsidR="0044407C">
        <w:t xml:space="preserve">ee </w:t>
      </w:r>
      <w:r w:rsidR="0044407C" w:rsidRPr="00E957E3">
        <w:t>section 4.2</w:t>
      </w:r>
      <w:r w:rsidR="0044407C">
        <w:t xml:space="preserve"> Dose and Method of Administration.</w:t>
      </w:r>
    </w:p>
    <w:p w14:paraId="427C48F6" w14:textId="77777777" w:rsidR="0051595B" w:rsidRPr="0051595B" w:rsidRDefault="0051595B" w:rsidP="0051595B">
      <w:pPr>
        <w:pStyle w:val="Heading3"/>
        <w:keepNext/>
        <w:keepLines/>
        <w:rPr>
          <w:rFonts w:eastAsiaTheme="majorEastAsia"/>
          <w:b/>
          <w:bCs/>
          <w:smallCaps w:val="0"/>
          <w:sz w:val="22"/>
          <w:u w:val="none"/>
        </w:rPr>
      </w:pPr>
      <w:r w:rsidRPr="0051595B">
        <w:rPr>
          <w:rFonts w:eastAsiaTheme="majorEastAsia"/>
          <w:b/>
          <w:bCs/>
          <w:smallCaps w:val="0"/>
          <w:sz w:val="22"/>
          <w:u w:val="none"/>
        </w:rPr>
        <w:t>Paediatric use</w:t>
      </w:r>
    </w:p>
    <w:p w14:paraId="427C48F7" w14:textId="77777777" w:rsidR="0051595B" w:rsidRDefault="00FA26C2" w:rsidP="0051595B">
      <w:r>
        <w:t>S</w:t>
      </w:r>
      <w:r w:rsidR="0044407C">
        <w:t xml:space="preserve">ee </w:t>
      </w:r>
      <w:r w:rsidR="0044407C" w:rsidRPr="00E957E3">
        <w:t>section 4.2</w:t>
      </w:r>
      <w:r w:rsidR="0044407C">
        <w:t xml:space="preserve"> Dose and Method of Administration.</w:t>
      </w:r>
    </w:p>
    <w:p w14:paraId="427C48F8" w14:textId="77777777" w:rsidR="0051595B" w:rsidRPr="0051595B" w:rsidRDefault="0051595B" w:rsidP="0051595B">
      <w:pPr>
        <w:pStyle w:val="Heading3"/>
        <w:keepNext/>
        <w:keepLines/>
        <w:rPr>
          <w:rFonts w:eastAsiaTheme="majorEastAsia"/>
          <w:b/>
          <w:bCs/>
          <w:smallCaps w:val="0"/>
          <w:sz w:val="22"/>
          <w:u w:val="none"/>
        </w:rPr>
      </w:pPr>
      <w:r w:rsidRPr="0051595B">
        <w:rPr>
          <w:rFonts w:eastAsiaTheme="majorEastAsia"/>
          <w:b/>
          <w:bCs/>
          <w:smallCaps w:val="0"/>
          <w:sz w:val="22"/>
          <w:u w:val="none"/>
        </w:rPr>
        <w:t>Effects on laboratory tests</w:t>
      </w:r>
    </w:p>
    <w:p w14:paraId="427C48F9" w14:textId="77777777" w:rsidR="0051595B" w:rsidRDefault="0063172B" w:rsidP="0051595B">
      <w:r w:rsidRPr="0088723E">
        <w:t>See section 4.4 Special Warnings and Precautions for Use</w:t>
      </w:r>
      <w:r w:rsidR="00FF4C14" w:rsidRPr="0088723E">
        <w:t xml:space="preserve"> and</w:t>
      </w:r>
      <w:r w:rsidR="00FF4C14">
        <w:t xml:space="preserve"> </w:t>
      </w:r>
      <w:r w:rsidR="00FF4C14" w:rsidRPr="0063172B">
        <w:t xml:space="preserve">section </w:t>
      </w:r>
      <w:r w:rsidR="00FF4C14" w:rsidRPr="00E957E3">
        <w:t>4.8</w:t>
      </w:r>
      <w:r w:rsidR="00FF4C14">
        <w:t xml:space="preserve"> Adverse Effects (Undesirable Effects</w:t>
      </w:r>
      <w:r w:rsidR="00FF4C14" w:rsidRPr="00E957E3">
        <w:t>)</w:t>
      </w:r>
      <w:r>
        <w:t>.</w:t>
      </w:r>
    </w:p>
    <w:p w14:paraId="427C48FA" w14:textId="77777777" w:rsidR="00217334" w:rsidRPr="00E957E3" w:rsidRDefault="00217334" w:rsidP="001A0D3C">
      <w:pPr>
        <w:pStyle w:val="Heading2"/>
      </w:pPr>
      <w:r w:rsidRPr="00E957E3">
        <w:t xml:space="preserve">INTERACTIONS WITH OTHER MEDICINES AND OTHER FORMS OF INTERACTIONS </w:t>
      </w:r>
    </w:p>
    <w:p w14:paraId="427C48FB" w14:textId="77777777" w:rsidR="00AA13AE" w:rsidRPr="00734027" w:rsidRDefault="00AA13AE" w:rsidP="00734027">
      <w:pPr>
        <w:pStyle w:val="Heading3"/>
        <w:keepNext/>
        <w:keepLines/>
        <w:rPr>
          <w:rFonts w:eastAsiaTheme="majorEastAsia"/>
          <w:b/>
          <w:bCs/>
          <w:smallCaps w:val="0"/>
          <w:sz w:val="22"/>
          <w:u w:val="none"/>
        </w:rPr>
      </w:pPr>
      <w:r w:rsidRPr="00734027">
        <w:rPr>
          <w:rFonts w:eastAsiaTheme="majorEastAsia"/>
          <w:b/>
          <w:bCs/>
          <w:smallCaps w:val="0"/>
          <w:sz w:val="22"/>
          <w:u w:val="none"/>
        </w:rPr>
        <w:t>Agents that may increase brigatinib plasma concentrations</w:t>
      </w:r>
    </w:p>
    <w:p w14:paraId="427C48FC" w14:textId="77777777" w:rsidR="00AA13AE" w:rsidRPr="00E957E3" w:rsidRDefault="00AA13AE" w:rsidP="005F636F">
      <w:pPr>
        <w:spacing w:after="120"/>
        <w:rPr>
          <w:u w:val="single"/>
        </w:rPr>
      </w:pPr>
      <w:r w:rsidRPr="00E957E3">
        <w:rPr>
          <w:u w:val="single"/>
        </w:rPr>
        <w:t>CYP3A Inhibitors</w:t>
      </w:r>
    </w:p>
    <w:p w14:paraId="427C48FD" w14:textId="77777777" w:rsidR="00595BA4" w:rsidRPr="00E957E3" w:rsidRDefault="00595BA4" w:rsidP="005F636F">
      <w:pPr>
        <w:spacing w:after="120"/>
      </w:pPr>
      <w:r w:rsidRPr="00E957E3">
        <w:t>The concomitant use of strong CYP3A inhibitors with A</w:t>
      </w:r>
      <w:r w:rsidR="000F268A" w:rsidRPr="00E957E3">
        <w:t>LUNBRIG</w:t>
      </w:r>
      <w:r w:rsidRPr="00E957E3">
        <w:t xml:space="preserve">, including but not limited to certain antivirals (e.g., indinavir, nelfinavir, ritonavir, saquinavir), macrolide antibiotics (e.g., clarithromycin, telithromycin, troleandomycin), antifungals (e.g., ketoconazole, voriconazole), </w:t>
      </w:r>
      <w:r w:rsidRPr="00824AA2">
        <w:t>and nefazodone</w:t>
      </w:r>
      <w:r w:rsidRPr="00E957E3">
        <w:t xml:space="preserve"> should be avoided. If concomitant use of strong CYP3A inhibitors cannot be avoided, the dose of ALUNBRIG should be reduced by approximately 50% (i.e., from 180 mg to 90 mg, or from 90 mg to 60 mg). After discontinuation of a strong CYP3A inhibitor, ALUNBRIG should be </w:t>
      </w:r>
      <w:r w:rsidRPr="00E957E3">
        <w:lastRenderedPageBreak/>
        <w:t xml:space="preserve">resumed at the dose that was tolerated prior to the initiation of the strong CYP3A inhibitor. </w:t>
      </w:r>
      <w:r w:rsidR="0048595A" w:rsidRPr="00E957E3">
        <w:rPr>
          <w:i/>
        </w:rPr>
        <w:t>In vitro</w:t>
      </w:r>
      <w:r w:rsidR="0048595A" w:rsidRPr="00E957E3">
        <w:t xml:space="preserve"> studies demonstrated that brigatinib is a substrate of CYP3A4/5.  Coadministration of multiple 200 mg twice daily doses of itraconazole, a strong CYP3A inhibitor, with a single 90 mg brigatinib dose increased brigatinib C</w:t>
      </w:r>
      <w:r w:rsidR="0048595A" w:rsidRPr="00E957E3">
        <w:rPr>
          <w:vertAlign w:val="subscript"/>
        </w:rPr>
        <w:t>max</w:t>
      </w:r>
      <w:r w:rsidR="0048595A" w:rsidRPr="00E957E3">
        <w:t xml:space="preserve"> by 21%, AUC</w:t>
      </w:r>
      <w:r w:rsidR="0048595A" w:rsidRPr="00E957E3">
        <w:rPr>
          <w:vertAlign w:val="subscript"/>
        </w:rPr>
        <w:t xml:space="preserve">0-INF </w:t>
      </w:r>
      <w:r w:rsidR="0048595A" w:rsidRPr="00E957E3">
        <w:t>by 101% (2-fold), and AUC</w:t>
      </w:r>
      <w:r w:rsidR="0048595A" w:rsidRPr="00E957E3">
        <w:rPr>
          <w:vertAlign w:val="subscript"/>
        </w:rPr>
        <w:t xml:space="preserve">0-120 </w:t>
      </w:r>
      <w:r w:rsidR="0048595A" w:rsidRPr="00E957E3">
        <w:t xml:space="preserve">by 82% (&lt;2-fold), relative to a 90 mg brigatinib dose administered alone. </w:t>
      </w:r>
    </w:p>
    <w:p w14:paraId="427C48FE" w14:textId="4AEDA033" w:rsidR="00A23BF9" w:rsidRDefault="00595BA4" w:rsidP="005F636F">
      <w:pPr>
        <w:spacing w:after="120"/>
      </w:pPr>
      <w:r w:rsidRPr="00E957E3">
        <w:t xml:space="preserve">No dose adjustment is required for ALUNBRIG in combination with moderate CYP3A inhibitors. Patients should be closely monitored when ALUNBRIG is coadministered with moderate CYP3A inhibitors. </w:t>
      </w:r>
      <w:r w:rsidR="0048595A" w:rsidRPr="00E957E3">
        <w:t xml:space="preserve">Moderate CYP3A inhibitors (e.g., diltiazem and verapamil) may increase the AUC of brigatinib by </w:t>
      </w:r>
      <w:r w:rsidR="00BE7968">
        <w:t xml:space="preserve">approximately </w:t>
      </w:r>
      <w:r w:rsidR="0048595A" w:rsidRPr="00E957E3">
        <w:t xml:space="preserve">40% based on simulations from a physiologically-based pharmacokinetic model. </w:t>
      </w:r>
    </w:p>
    <w:p w14:paraId="427C48FF" w14:textId="77777777" w:rsidR="00AA13AE" w:rsidRPr="00E957E3" w:rsidRDefault="00595BA4" w:rsidP="00AA13AE">
      <w:r w:rsidRPr="00E957E3">
        <w:t xml:space="preserve">Grapefruit or grapefruit juice may also increase plasma concentrations of brigatinib and should be avoided. </w:t>
      </w:r>
    </w:p>
    <w:p w14:paraId="427C4900" w14:textId="77777777" w:rsidR="00AA13AE" w:rsidRPr="00E957E3" w:rsidRDefault="00AA13AE" w:rsidP="00AA13AE">
      <w:pPr>
        <w:rPr>
          <w:u w:val="single"/>
        </w:rPr>
      </w:pPr>
      <w:r w:rsidRPr="00E957E3">
        <w:rPr>
          <w:u w:val="single"/>
        </w:rPr>
        <w:t>CYP2C8 Inhibitors</w:t>
      </w:r>
    </w:p>
    <w:p w14:paraId="427C4901" w14:textId="77777777" w:rsidR="00D922FC" w:rsidRPr="00D922FC" w:rsidRDefault="00595BA4" w:rsidP="00D922FC">
      <w:pPr>
        <w:pStyle w:val="BodyText"/>
      </w:pPr>
      <w:r w:rsidRPr="00E957E3">
        <w:t>No dose adjustment is required for ALUNBRIG during coadministration with strong CYP2C8 inhibitors.</w:t>
      </w:r>
      <w:r w:rsidR="0048595A">
        <w:t xml:space="preserve"> </w:t>
      </w:r>
      <w:r w:rsidR="0048595A" w:rsidRPr="00E957E3">
        <w:rPr>
          <w:i/>
        </w:rPr>
        <w:t>In vitro</w:t>
      </w:r>
      <w:r w:rsidR="0048595A" w:rsidRPr="00E957E3">
        <w:t xml:space="preserve"> studies demonstrated that brigatinib is a substrate of CYP2C8. Coadministration of multiple 600 mg twice daily doses of gemfibrozil, a strong CYP2C8 inhibitor, with a single 90 mg brigatinib dose decreased brigatinib C</w:t>
      </w:r>
      <w:r w:rsidR="0048595A" w:rsidRPr="00E957E3">
        <w:rPr>
          <w:vertAlign w:val="subscript"/>
        </w:rPr>
        <w:t>max</w:t>
      </w:r>
      <w:r w:rsidR="0048595A" w:rsidRPr="00E957E3">
        <w:t xml:space="preserve"> by 41%, AUC</w:t>
      </w:r>
      <w:r w:rsidR="0048595A" w:rsidRPr="00E957E3">
        <w:rPr>
          <w:vertAlign w:val="subscript"/>
        </w:rPr>
        <w:t xml:space="preserve">0-INF </w:t>
      </w:r>
      <w:r w:rsidR="0048595A" w:rsidRPr="00E957E3">
        <w:t>by 12%, and AUC</w:t>
      </w:r>
      <w:r w:rsidR="0048595A" w:rsidRPr="00E957E3">
        <w:rPr>
          <w:vertAlign w:val="subscript"/>
        </w:rPr>
        <w:t xml:space="preserve">0-120 </w:t>
      </w:r>
      <w:r w:rsidR="0048595A" w:rsidRPr="00E957E3">
        <w:t>by 15%, relative to a 90 mg brigatinib dose administered alone.</w:t>
      </w:r>
      <w:r w:rsidR="00D06961">
        <w:t xml:space="preserve"> </w:t>
      </w:r>
      <w:r w:rsidR="00D06961" w:rsidRPr="00D922FC">
        <w:t>The effect of gemfibrozil on the pharmacokinetics of brigatinib is not clinically meaningful and the underlying mechanism for the decreased exposure of brigatinib is unknown.</w:t>
      </w:r>
    </w:p>
    <w:p w14:paraId="427C4902" w14:textId="77777777" w:rsidR="00AA13AE" w:rsidRPr="00E957E3" w:rsidRDefault="00AA13AE" w:rsidP="00AA13AE">
      <w:pPr>
        <w:rPr>
          <w:u w:val="single"/>
        </w:rPr>
      </w:pPr>
      <w:r w:rsidRPr="00E957E3">
        <w:rPr>
          <w:u w:val="single"/>
        </w:rPr>
        <w:t>P-gp and BCRP Inhibitors</w:t>
      </w:r>
    </w:p>
    <w:p w14:paraId="427C4903" w14:textId="692F149A" w:rsidR="00AA13AE" w:rsidRPr="00E957E3" w:rsidRDefault="002040D0" w:rsidP="00AA13AE">
      <w:r w:rsidRPr="00E957E3">
        <w:t xml:space="preserve">Brigatinib is a substrate of P-glycoprotein (P-gp) and breast cancer resistance protein (BCRP) </w:t>
      </w:r>
      <w:r w:rsidR="00D43BA5" w:rsidRPr="00E957E3">
        <w:rPr>
          <w:i/>
        </w:rPr>
        <w:t>in</w:t>
      </w:r>
      <w:r w:rsidR="00D43BA5">
        <w:rPr>
          <w:i/>
        </w:rPr>
        <w:t> </w:t>
      </w:r>
      <w:r w:rsidRPr="00E957E3">
        <w:rPr>
          <w:i/>
        </w:rPr>
        <w:t>vitro</w:t>
      </w:r>
      <w:r w:rsidRPr="00E957E3">
        <w:t xml:space="preserve">. </w:t>
      </w:r>
      <w:r w:rsidR="00AA13AE" w:rsidRPr="00E957E3">
        <w:t>No dose adjustment is required for ALUNBRIG during coadministration with P-gp and BCRP inhibitors.</w:t>
      </w:r>
      <w:r w:rsidR="0048595A">
        <w:t xml:space="preserve"> </w:t>
      </w:r>
      <w:r w:rsidR="0048595A" w:rsidRPr="00E957E3">
        <w:t>Brigatinib exhibits high solubility and high permeability. Additionally, simulations from a physiologically-based pharmacokinetic model suggested that inhibition of P-gp and BCRP is not expected to result in a clinically meaningful change in the systemic exposure of brigatinib</w:t>
      </w:r>
      <w:r w:rsidR="00BE7968">
        <w:t>.</w:t>
      </w:r>
    </w:p>
    <w:p w14:paraId="427C4904" w14:textId="77777777" w:rsidR="00AA13AE" w:rsidRPr="00734027" w:rsidRDefault="00AA13AE" w:rsidP="00734027">
      <w:pPr>
        <w:pStyle w:val="Heading3"/>
        <w:keepNext/>
        <w:keepLines/>
        <w:rPr>
          <w:rFonts w:eastAsiaTheme="majorEastAsia"/>
          <w:b/>
          <w:bCs/>
          <w:smallCaps w:val="0"/>
          <w:sz w:val="22"/>
          <w:u w:val="none"/>
        </w:rPr>
      </w:pPr>
      <w:r w:rsidRPr="00734027">
        <w:rPr>
          <w:rFonts w:eastAsiaTheme="majorEastAsia"/>
          <w:b/>
          <w:bCs/>
          <w:smallCaps w:val="0"/>
          <w:sz w:val="22"/>
          <w:u w:val="none"/>
        </w:rPr>
        <w:t>Agents that may decrease brigatinib plasma concentrations</w:t>
      </w:r>
    </w:p>
    <w:p w14:paraId="427C4905" w14:textId="77777777" w:rsidR="00AA13AE" w:rsidRPr="00E957E3" w:rsidRDefault="00AA13AE" w:rsidP="005F636F">
      <w:pPr>
        <w:spacing w:after="120"/>
        <w:rPr>
          <w:u w:val="single"/>
        </w:rPr>
      </w:pPr>
      <w:r w:rsidRPr="00E957E3">
        <w:rPr>
          <w:u w:val="single"/>
        </w:rPr>
        <w:t>CYP3A Inducers</w:t>
      </w:r>
    </w:p>
    <w:p w14:paraId="427C4906" w14:textId="77777777" w:rsidR="00AA13AE" w:rsidRPr="00E957E3" w:rsidRDefault="00AA13AE" w:rsidP="005F636F">
      <w:pPr>
        <w:spacing w:after="120"/>
      </w:pPr>
      <w:r w:rsidRPr="00E957E3">
        <w:t xml:space="preserve">The concomitant use of strong CYP3A inducers with ALUNBRIG, including but not limited to </w:t>
      </w:r>
      <w:r w:rsidR="00C04B44">
        <w:t>r</w:t>
      </w:r>
      <w:r w:rsidR="00C04B44" w:rsidRPr="00E957E3">
        <w:t>ifampicin</w:t>
      </w:r>
      <w:r w:rsidRPr="00E957E3">
        <w:t xml:space="preserve">, carbamazepine, phenytoin, rifabutin, phenobarbital, and St. John’s Wort should be avoided. </w:t>
      </w:r>
      <w:r w:rsidR="0048595A" w:rsidRPr="00E957E3">
        <w:t xml:space="preserve">Coadministration of multiple 600 mg daily doses of </w:t>
      </w:r>
      <w:r w:rsidR="0048595A">
        <w:t>r</w:t>
      </w:r>
      <w:r w:rsidR="0048595A" w:rsidRPr="00E957E3">
        <w:t>ifampicin, a strong CYP3A inducer, with a single 180 mg brigatinib dose decreased brigatinib Cmax by 60%, AUC</w:t>
      </w:r>
      <w:r w:rsidR="0048595A" w:rsidRPr="00E957E3">
        <w:rPr>
          <w:vertAlign w:val="subscript"/>
        </w:rPr>
        <w:t xml:space="preserve">0-INF </w:t>
      </w:r>
      <w:r w:rsidR="0048595A" w:rsidRPr="00E957E3">
        <w:t>by 80% (5-fold), and AUC</w:t>
      </w:r>
      <w:r w:rsidR="0048595A" w:rsidRPr="00E957E3">
        <w:rPr>
          <w:vertAlign w:val="subscript"/>
        </w:rPr>
        <w:t>0-120</w:t>
      </w:r>
      <w:r w:rsidR="0048595A" w:rsidRPr="00E957E3">
        <w:t xml:space="preserve"> by 80% (5-fold), relative to a 180 mg brigatinib dose administered alone.</w:t>
      </w:r>
    </w:p>
    <w:p w14:paraId="427C4907" w14:textId="77777777" w:rsidR="00E84937" w:rsidRPr="00E957E3" w:rsidRDefault="00E84937" w:rsidP="005F636F">
      <w:pPr>
        <w:spacing w:after="120"/>
      </w:pPr>
      <w:r w:rsidRPr="00E957E3">
        <w:t xml:space="preserve">The concomitant use of moderate CYP3A inducers with ALUNBRIG, including but not limited to efavirenz, modafinil, bosentan, etravirine, </w:t>
      </w:r>
      <w:r w:rsidRPr="00824AA2">
        <w:t>and nafcillin</w:t>
      </w:r>
      <w:r w:rsidRPr="00E957E3">
        <w:t xml:space="preserve"> should be avoided.</w:t>
      </w:r>
      <w:r w:rsidR="0048595A">
        <w:t xml:space="preserve"> </w:t>
      </w:r>
      <w:r w:rsidR="0048595A" w:rsidRPr="00E957E3">
        <w:t>Moderate CYP3A inducers may decrease the AUC of brigatinib by approximately 50% based on simulations from a physiologically-based pharmacokinetic model.</w:t>
      </w:r>
    </w:p>
    <w:p w14:paraId="427C4908" w14:textId="77777777" w:rsidR="00AA13AE" w:rsidRPr="00734027" w:rsidRDefault="00AA13AE" w:rsidP="00734027">
      <w:pPr>
        <w:pStyle w:val="Heading3"/>
        <w:keepNext/>
        <w:keepLines/>
        <w:rPr>
          <w:rFonts w:eastAsiaTheme="majorEastAsia"/>
          <w:b/>
          <w:bCs/>
          <w:smallCaps w:val="0"/>
          <w:sz w:val="22"/>
          <w:u w:val="none"/>
        </w:rPr>
      </w:pPr>
      <w:r w:rsidRPr="00734027">
        <w:rPr>
          <w:rFonts w:eastAsiaTheme="majorEastAsia"/>
          <w:b/>
          <w:bCs/>
          <w:smallCaps w:val="0"/>
          <w:sz w:val="22"/>
          <w:u w:val="none"/>
        </w:rPr>
        <w:t>Agents that may have their plasma concentrations altered by brigatinib</w:t>
      </w:r>
    </w:p>
    <w:p w14:paraId="427C4909" w14:textId="77777777" w:rsidR="00AA13AE" w:rsidRPr="00E957E3" w:rsidRDefault="00AA13AE" w:rsidP="005F636F">
      <w:pPr>
        <w:spacing w:after="120"/>
        <w:rPr>
          <w:u w:val="single"/>
        </w:rPr>
      </w:pPr>
      <w:r w:rsidRPr="00E957E3">
        <w:rPr>
          <w:u w:val="single"/>
        </w:rPr>
        <w:t>CYP3A Substrates</w:t>
      </w:r>
    </w:p>
    <w:p w14:paraId="427C490A" w14:textId="3F437448" w:rsidR="00AA13AE" w:rsidRPr="00E957E3" w:rsidRDefault="00AA13AE" w:rsidP="005F636F">
      <w:pPr>
        <w:spacing w:after="120"/>
      </w:pPr>
      <w:r w:rsidRPr="00E957E3">
        <w:t xml:space="preserve">Brigatinib may reduce plasma concentrations of coadministered </w:t>
      </w:r>
      <w:r w:rsidR="005A52A7">
        <w:t>medicinal products</w:t>
      </w:r>
      <w:r w:rsidR="005A52A7" w:rsidRPr="00E957E3">
        <w:t xml:space="preserve"> </w:t>
      </w:r>
      <w:r w:rsidRPr="00E957E3">
        <w:t>that are predominantly metaboli</w:t>
      </w:r>
      <w:r w:rsidR="00105B72">
        <w:t>s</w:t>
      </w:r>
      <w:r w:rsidRPr="00E957E3">
        <w:t xml:space="preserve">ed by CYP3A. Brigatinib may also induce other enzymes and transporters (e.g., CYP2C, P-gp) via the same mechanisms responsible for induction of CYP3A (e.g., pregnane </w:t>
      </w:r>
      <w:r w:rsidRPr="00E957E3">
        <w:lastRenderedPageBreak/>
        <w:t>X receptor activation).</w:t>
      </w:r>
      <w:r w:rsidR="0048595A">
        <w:t xml:space="preserve"> </w:t>
      </w:r>
      <w:r w:rsidR="0048595A" w:rsidRPr="00D43BA5">
        <w:rPr>
          <w:i/>
        </w:rPr>
        <w:t>In vitro</w:t>
      </w:r>
      <w:r w:rsidR="0048595A" w:rsidRPr="00E957E3">
        <w:t xml:space="preserve"> studies in hepatocytes have shown that brigatinib is an inducer of CYP3A4. Clinical drug</w:t>
      </w:r>
      <w:r w:rsidR="00630315">
        <w:t>-</w:t>
      </w:r>
      <w:r w:rsidR="0048595A" w:rsidRPr="00E957E3">
        <w:t xml:space="preserve">drug interaction studies with </w:t>
      </w:r>
      <w:r w:rsidR="0036675A">
        <w:t xml:space="preserve">sensitive </w:t>
      </w:r>
      <w:r w:rsidR="0048595A" w:rsidRPr="00E957E3">
        <w:t>CYP3A substrates have not been conducted.</w:t>
      </w:r>
    </w:p>
    <w:p w14:paraId="427C490B" w14:textId="77777777" w:rsidR="00AA13AE" w:rsidRPr="00E957E3" w:rsidRDefault="00AA13AE" w:rsidP="005F636F">
      <w:pPr>
        <w:spacing w:after="120"/>
        <w:rPr>
          <w:u w:val="single"/>
        </w:rPr>
      </w:pPr>
      <w:r w:rsidRPr="00E957E3">
        <w:rPr>
          <w:u w:val="single"/>
        </w:rPr>
        <w:t>Transporter Substrates</w:t>
      </w:r>
    </w:p>
    <w:p w14:paraId="427C490C" w14:textId="0FE96EE9" w:rsidR="00AA13AE" w:rsidRPr="00355FCF" w:rsidRDefault="00AA13AE" w:rsidP="00E74A01">
      <w:r w:rsidRPr="00E957E3">
        <w:t xml:space="preserve">Brigatinib is an inhibitor of P-gp, </w:t>
      </w:r>
      <w:r w:rsidRPr="00355FCF">
        <w:t xml:space="preserve">BCRP, </w:t>
      </w:r>
      <w:r w:rsidR="00A059B3" w:rsidRPr="00355FCF">
        <w:t xml:space="preserve">organic cation transporter 1 </w:t>
      </w:r>
      <w:r w:rsidR="00A059B3">
        <w:t>(</w:t>
      </w:r>
      <w:r w:rsidRPr="00355FCF">
        <w:t>OCT1</w:t>
      </w:r>
      <w:r w:rsidR="00A059B3">
        <w:t>)</w:t>
      </w:r>
      <w:r w:rsidRPr="00355FCF">
        <w:t xml:space="preserve">, </w:t>
      </w:r>
      <w:r w:rsidR="00A059B3" w:rsidRPr="00355FCF">
        <w:t xml:space="preserve">multidrug and toxin extrusion protein 1 </w:t>
      </w:r>
      <w:r w:rsidR="00A059B3">
        <w:t>(</w:t>
      </w:r>
      <w:r w:rsidRPr="00355FCF">
        <w:t>MATE1</w:t>
      </w:r>
      <w:r w:rsidR="00A059B3">
        <w:t>)</w:t>
      </w:r>
      <w:r w:rsidRPr="00355FCF">
        <w:t xml:space="preserve">, and </w:t>
      </w:r>
      <w:r w:rsidR="00A059B3">
        <w:t>2K (</w:t>
      </w:r>
      <w:r w:rsidRPr="00355FCF">
        <w:t>MATE2K</w:t>
      </w:r>
      <w:r w:rsidR="00A059B3">
        <w:t>)</w:t>
      </w:r>
      <w:r w:rsidRPr="00355FCF">
        <w:t xml:space="preserve"> </w:t>
      </w:r>
      <w:r w:rsidRPr="00355FCF">
        <w:rPr>
          <w:i/>
        </w:rPr>
        <w:t>in vitro</w:t>
      </w:r>
      <w:r w:rsidRPr="00355FCF">
        <w:t>. Coadministration of brigatinib with substrates of P-gp, (e.g. digoxin, dabigatran, colchicine, pravastatin), BCRP (e.g.</w:t>
      </w:r>
      <w:r w:rsidR="005F636F" w:rsidRPr="00355FCF">
        <w:t>, methotrexate</w:t>
      </w:r>
      <w:r w:rsidRPr="00355FCF">
        <w:t>, rosuvastatin, sulfasalazine), OCT1, MATE1, and</w:t>
      </w:r>
      <w:r w:rsidR="00E74A01" w:rsidRPr="00355FCF">
        <w:t xml:space="preserve"> </w:t>
      </w:r>
      <w:r w:rsidRPr="00355FCF">
        <w:t>MATE2K may increase their plasma concentrations.</w:t>
      </w:r>
      <w:r w:rsidR="00E74A01" w:rsidRPr="00355FCF">
        <w:t xml:space="preserve"> Patients should be closely monitored when ALUNBRIG is coadministered with substrates of these transporters with a narrow therapeutic index (e.g., digoxin, dabigatran, methotrexate). </w:t>
      </w:r>
    </w:p>
    <w:p w14:paraId="427C490D" w14:textId="77777777" w:rsidR="00217334" w:rsidRPr="00E957E3" w:rsidRDefault="00217334" w:rsidP="001A0D3C">
      <w:pPr>
        <w:pStyle w:val="Heading2"/>
      </w:pPr>
      <w:r w:rsidRPr="00355FCF">
        <w:t>FERTILITY, PREGNANCY AND</w:t>
      </w:r>
      <w:r w:rsidRPr="00E957E3">
        <w:t xml:space="preserve"> LACTATION </w:t>
      </w:r>
    </w:p>
    <w:p w14:paraId="427C490E" w14:textId="77777777" w:rsidR="00217334" w:rsidRPr="00734027" w:rsidRDefault="00217334"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Effects on fertility </w:t>
      </w:r>
    </w:p>
    <w:p w14:paraId="427C490F" w14:textId="413321F5" w:rsidR="00217334" w:rsidRDefault="00BC568F" w:rsidP="004A7544">
      <w:r w:rsidRPr="003E2BAD">
        <w:t xml:space="preserve">No human data on the effect of ALUNBRIG on fertility are available. Based on </w:t>
      </w:r>
      <w:r w:rsidR="00D139C1" w:rsidRPr="00D139C1">
        <w:t>repeat dose toxicity</w:t>
      </w:r>
      <w:r w:rsidR="00794BFE">
        <w:t xml:space="preserve"> </w:t>
      </w:r>
      <w:r w:rsidRPr="003E2BAD">
        <w:t>studies in male animals, ALUNBRIG may cause reduced fertility in males</w:t>
      </w:r>
      <w:r w:rsidR="00437F03">
        <w:t>.</w:t>
      </w:r>
      <w:r w:rsidRPr="003E2BAD">
        <w:t xml:space="preserve">  The clinical relevance of these findings to human fertility is unknown.</w:t>
      </w:r>
    </w:p>
    <w:p w14:paraId="54C5C566" w14:textId="61AA908A" w:rsidR="00630315" w:rsidRPr="003E2BAD" w:rsidRDefault="00630315" w:rsidP="004A7544">
      <w:r w:rsidRPr="00E957E3">
        <w:t>Testicular toxicity was observed in repeat-dose animal studies. In rats, findings included lower weight of testes, seminal vesicles and prostate gland, and testicular tubular degeneration; these effects were not reversible during the recovery period. In monkeys, findings included reduced size of testes; th</w:t>
      </w:r>
      <w:r w:rsidR="00B10509">
        <w:t>is effect</w:t>
      </w:r>
      <w:r w:rsidRPr="00E957E3">
        <w:t xml:space="preserve"> w</w:t>
      </w:r>
      <w:r w:rsidR="00B10509">
        <w:t>as</w:t>
      </w:r>
      <w:r w:rsidRPr="00E957E3">
        <w:t xml:space="preserve"> reversible during the recovery period. Overall, these effects on the male reproductive organs in rats and monkeys occurred at exposures as low as 0.</w:t>
      </w:r>
      <w:r>
        <w:t>2</w:t>
      </w:r>
      <w:r w:rsidRPr="00E957E3">
        <w:t>-times the AUC in patients at the 180 mg once daily dose. No apparent adverse effects on female reproductive organs were observed in general toxicology studies in rats and monkeys.</w:t>
      </w:r>
    </w:p>
    <w:p w14:paraId="427C4911" w14:textId="77777777" w:rsidR="00217334" w:rsidRPr="003E2BAD" w:rsidRDefault="00217334" w:rsidP="00734027">
      <w:pPr>
        <w:pStyle w:val="Heading3"/>
        <w:keepNext/>
        <w:keepLines/>
        <w:rPr>
          <w:rFonts w:eastAsiaTheme="majorEastAsia"/>
          <w:b/>
          <w:bCs/>
          <w:smallCaps w:val="0"/>
          <w:sz w:val="22"/>
          <w:u w:val="none"/>
        </w:rPr>
      </w:pPr>
      <w:r w:rsidRPr="003E2BAD">
        <w:rPr>
          <w:rFonts w:eastAsiaTheme="majorEastAsia"/>
          <w:b/>
          <w:bCs/>
          <w:smallCaps w:val="0"/>
          <w:sz w:val="22"/>
          <w:u w:val="none"/>
        </w:rPr>
        <w:t>Use in pregnancy</w:t>
      </w:r>
      <w:r w:rsidR="00386008" w:rsidRPr="003E2BAD">
        <w:rPr>
          <w:rFonts w:eastAsiaTheme="majorEastAsia"/>
          <w:b/>
          <w:bCs/>
          <w:smallCaps w:val="0"/>
          <w:sz w:val="22"/>
          <w:u w:val="none"/>
        </w:rPr>
        <w:t xml:space="preserve"> (Category </w:t>
      </w:r>
      <w:r w:rsidR="00BC568F" w:rsidRPr="003E2BAD">
        <w:rPr>
          <w:rFonts w:eastAsiaTheme="majorEastAsia"/>
          <w:b/>
          <w:bCs/>
          <w:smallCaps w:val="0"/>
          <w:sz w:val="22"/>
          <w:u w:val="none"/>
        </w:rPr>
        <w:t>D</w:t>
      </w:r>
      <w:r w:rsidR="00386008" w:rsidRPr="003E2BAD">
        <w:rPr>
          <w:rFonts w:eastAsiaTheme="majorEastAsia"/>
          <w:b/>
          <w:bCs/>
          <w:smallCaps w:val="0"/>
          <w:sz w:val="22"/>
          <w:u w:val="none"/>
        </w:rPr>
        <w:t>)</w:t>
      </w:r>
    </w:p>
    <w:p w14:paraId="427C4912" w14:textId="7D16081D" w:rsidR="005C4D01" w:rsidRPr="003E2BAD" w:rsidRDefault="00AA13AE" w:rsidP="005F636F">
      <w:pPr>
        <w:spacing w:after="120"/>
      </w:pPr>
      <w:r w:rsidRPr="003E2BAD">
        <w:t xml:space="preserve">ALUNBRIG may cause </w:t>
      </w:r>
      <w:r w:rsidR="002040D0" w:rsidRPr="003E2BAD">
        <w:t>fetal</w:t>
      </w:r>
      <w:r w:rsidRPr="003E2BAD">
        <w:t xml:space="preserve"> harm when administered to a pregnant woman. Studies in animals have shown reproductive toxicity. There are no clinical data on the use </w:t>
      </w:r>
      <w:r w:rsidR="004A7544" w:rsidRPr="003E2BAD">
        <w:t>of ALUNBRIG</w:t>
      </w:r>
      <w:r w:rsidRPr="003E2BAD">
        <w:t xml:space="preserve"> in pregn</w:t>
      </w:r>
      <w:r w:rsidR="004A7544" w:rsidRPr="003E2BAD">
        <w:t>ant women. ALUNBRIG</w:t>
      </w:r>
      <w:r w:rsidRPr="003E2BAD">
        <w:t xml:space="preserve"> should not be used during pregnancy unless the clinical condition of the mother </w:t>
      </w:r>
      <w:r w:rsidR="004A7544" w:rsidRPr="003E2BAD">
        <w:t>requires treatment. If ALUNBRIG</w:t>
      </w:r>
      <w:r w:rsidRPr="003E2BAD">
        <w:t xml:space="preserve"> is used during pregnancy, or if the patient becomes pregnant while taking this drug, the patient should be apprised of the potential hazard to </w:t>
      </w:r>
      <w:r w:rsidR="00105B72">
        <w:t>the</w:t>
      </w:r>
      <w:r w:rsidR="00105B72" w:rsidRPr="003E2BAD">
        <w:t xml:space="preserve"> </w:t>
      </w:r>
      <w:r w:rsidR="002040D0" w:rsidRPr="003E2BAD">
        <w:t>fetus</w:t>
      </w:r>
      <w:r w:rsidRPr="003E2BAD">
        <w:t>.</w:t>
      </w:r>
      <w:r w:rsidR="004A7544" w:rsidRPr="003E2BAD">
        <w:t xml:space="preserve"> </w:t>
      </w:r>
    </w:p>
    <w:p w14:paraId="427C4913" w14:textId="77777777" w:rsidR="00AA13AE" w:rsidRPr="003E2BAD" w:rsidRDefault="00AA13AE" w:rsidP="005F636F">
      <w:pPr>
        <w:spacing w:after="120"/>
      </w:pPr>
      <w:r w:rsidRPr="003E2BAD">
        <w:t xml:space="preserve">Women of childbearing </w:t>
      </w:r>
      <w:r w:rsidR="004A7544" w:rsidRPr="003E2BAD">
        <w:t>age being treated with ALUNBRIG</w:t>
      </w:r>
      <w:r w:rsidRPr="003E2BAD">
        <w:t xml:space="preserve"> should be advised not to become pregnant and </w:t>
      </w:r>
      <w:r w:rsidR="004A7544" w:rsidRPr="003E2BAD">
        <w:t>men being treated with ALUNBRIG</w:t>
      </w:r>
      <w:r w:rsidRPr="003E2BAD">
        <w:t xml:space="preserve"> should be advised not to father a child during treatment. Women of reproductive potential should be advised to use effective non-hormonal contraception during </w:t>
      </w:r>
      <w:r w:rsidR="004A7544" w:rsidRPr="003E2BAD">
        <w:t>treatment with ALUNBRIG</w:t>
      </w:r>
      <w:r w:rsidRPr="003E2BAD">
        <w:t xml:space="preserve"> and for at least 4 months following the final dose. Male patient</w:t>
      </w:r>
      <w:r w:rsidR="008C5F6F">
        <w:t>s</w:t>
      </w:r>
      <w:r w:rsidRPr="003E2BAD">
        <w:t xml:space="preserve"> with</w:t>
      </w:r>
      <w:r w:rsidR="004A7544" w:rsidRPr="003E2BAD">
        <w:t xml:space="preserve"> </w:t>
      </w:r>
      <w:r w:rsidRPr="003E2BAD">
        <w:t>female partners of reproductive potential should be advised to use effective contraception during</w:t>
      </w:r>
      <w:r w:rsidR="004A7544" w:rsidRPr="003E2BAD">
        <w:t xml:space="preserve"> </w:t>
      </w:r>
      <w:r w:rsidRPr="003E2BAD">
        <w:t xml:space="preserve">treatment and for at least 3 months </w:t>
      </w:r>
      <w:r w:rsidR="004A7544" w:rsidRPr="003E2BAD">
        <w:t>after the last dose of ALUNBRIG</w:t>
      </w:r>
      <w:r w:rsidRPr="003E2BAD">
        <w:t>.</w:t>
      </w:r>
    </w:p>
    <w:p w14:paraId="427C4914" w14:textId="4DB47614" w:rsidR="00816EB5" w:rsidRPr="00E957E3" w:rsidRDefault="00816EB5" w:rsidP="00AA13AE">
      <w:pPr>
        <w:rPr>
          <w:highlight w:val="yellow"/>
        </w:rPr>
      </w:pPr>
      <w:r w:rsidRPr="003E2BAD">
        <w:t>In an embryo</w:t>
      </w:r>
      <w:r w:rsidR="002040D0" w:rsidRPr="003E2BAD">
        <w:t>fetal</w:t>
      </w:r>
      <w:r w:rsidRPr="003E2BAD">
        <w:t xml:space="preserve"> development study in which pregnant rats were administered daily </w:t>
      </w:r>
      <w:r w:rsidR="008C5F6F">
        <w:t xml:space="preserve">oral </w:t>
      </w:r>
      <w:r w:rsidRPr="003E2BAD">
        <w:t xml:space="preserve">doses </w:t>
      </w:r>
      <w:r w:rsidR="008C5F6F" w:rsidRPr="008C5F6F">
        <w:t>of up to 25 mg/kg/day</w:t>
      </w:r>
      <w:r w:rsidR="008C5F6F">
        <w:t xml:space="preserve"> </w:t>
      </w:r>
      <w:r w:rsidRPr="003E2BAD">
        <w:t>of brigatinib during organogenesis, dose-related skeletal (incomplete ossification, small incisors</w:t>
      </w:r>
      <w:r w:rsidR="008C5F6F">
        <w:t xml:space="preserve">, </w:t>
      </w:r>
      <w:r w:rsidR="008C5F6F" w:rsidRPr="008C5F6F">
        <w:t>wavy/notched/absent ribs</w:t>
      </w:r>
      <w:r w:rsidRPr="003E2BAD">
        <w:t>) and visceral anomalies were observed at doses as low as 12.5 mg/kg/day (approximately 0.</w:t>
      </w:r>
      <w:r w:rsidR="007C5B15">
        <w:t>6</w:t>
      </w:r>
      <w:r w:rsidR="007C5B15" w:rsidRPr="003E2BAD">
        <w:t xml:space="preserve"> </w:t>
      </w:r>
      <w:r w:rsidRPr="003E2BAD">
        <w:t>times the human exposure by AUC at 180 mg once daily).</w:t>
      </w:r>
      <w:r w:rsidRPr="00E957E3">
        <w:t xml:space="preserve"> Malformations observed at 25 mg/kg/day (approximately 1.</w:t>
      </w:r>
      <w:r w:rsidR="007C5B15">
        <w:t>1</w:t>
      </w:r>
      <w:r w:rsidR="007C5B15" w:rsidRPr="00E957E3">
        <w:t xml:space="preserve"> </w:t>
      </w:r>
      <w:r w:rsidRPr="00E957E3">
        <w:t xml:space="preserve">times the human AUC at 180 mg once daily) included anasarca (generalized subcutaneous </w:t>
      </w:r>
      <w:r w:rsidR="002040D0" w:rsidRPr="00E957E3">
        <w:t>oedema</w:t>
      </w:r>
      <w:r w:rsidRPr="00E957E3">
        <w:t xml:space="preserve">), anophthalmia (absent eyes), forelimb hyperflexion, small, short and/or bent limbs, multiple fused ribs, bent scapulae, omphalocele (intestine protruding into umbilicus), and </w:t>
      </w:r>
      <w:proofErr w:type="spellStart"/>
      <w:r w:rsidRPr="00E957E3">
        <w:t>gastroschisis</w:t>
      </w:r>
      <w:proofErr w:type="spellEnd"/>
      <w:r w:rsidRPr="00E957E3">
        <w:t xml:space="preserve"> (intestines protruding through </w:t>
      </w:r>
      <w:r w:rsidRPr="00E957E3">
        <w:lastRenderedPageBreak/>
        <w:t>a defect in the abdominal wall) along with visceral findings of moderate bilateral dilatation of the lateral ventricles.</w:t>
      </w:r>
    </w:p>
    <w:p w14:paraId="427C4915" w14:textId="77777777" w:rsidR="003301BE" w:rsidRPr="00734027" w:rsidRDefault="00217334" w:rsidP="00734027">
      <w:pPr>
        <w:pStyle w:val="Heading3"/>
        <w:keepNext/>
        <w:keepLines/>
        <w:rPr>
          <w:rFonts w:eastAsiaTheme="majorEastAsia"/>
          <w:b/>
          <w:bCs/>
          <w:smallCaps w:val="0"/>
          <w:sz w:val="22"/>
          <w:u w:val="none"/>
        </w:rPr>
      </w:pPr>
      <w:r w:rsidRPr="00734027">
        <w:rPr>
          <w:rFonts w:eastAsiaTheme="majorEastAsia"/>
          <w:b/>
          <w:bCs/>
          <w:smallCaps w:val="0"/>
          <w:sz w:val="22"/>
          <w:u w:val="none"/>
        </w:rPr>
        <w:t>Use in lactation</w:t>
      </w:r>
    </w:p>
    <w:p w14:paraId="427C4916" w14:textId="77777777" w:rsidR="00217334" w:rsidRPr="003E2BAD" w:rsidRDefault="00F5402B" w:rsidP="00217334">
      <w:r w:rsidRPr="003E2BAD">
        <w:t>It is unknown whether ALUNBRIG</w:t>
      </w:r>
      <w:r w:rsidR="004A7544" w:rsidRPr="003E2BAD">
        <w:t xml:space="preserve"> is excreted in human milk. Available data cannot exclude potential excretion in human milk. Breast-feeding should be stopped during treatment with ALUNBRIG.</w:t>
      </w:r>
    </w:p>
    <w:p w14:paraId="427C4917" w14:textId="77777777" w:rsidR="002F0774" w:rsidRPr="00E957E3" w:rsidRDefault="00151AE1" w:rsidP="001A0D3C">
      <w:pPr>
        <w:pStyle w:val="Heading2"/>
      </w:pPr>
      <w:r w:rsidRPr="00E957E3">
        <w:t xml:space="preserve">EFFECTS ON ABILITY TO DRIVE AND USE MACHINES </w:t>
      </w:r>
    </w:p>
    <w:p w14:paraId="427C4918" w14:textId="77777777" w:rsidR="002F0774" w:rsidRPr="00E957E3" w:rsidRDefault="00BB5C91" w:rsidP="002F0774">
      <w:r w:rsidRPr="00BB5C91">
        <w:t>There are no data on the effect of A</w:t>
      </w:r>
      <w:r>
        <w:t>LUNBRIG</w:t>
      </w:r>
      <w:r w:rsidRPr="00BB5C91">
        <w:t xml:space="preserve"> on the ability to drive and use machines. Visual disturbance, dizziness, and fatigue have been observed in clinical trials. Patients should be advised not to drive or operate machines if they experience any of these symptoms while taking ALUNBRIG.</w:t>
      </w:r>
      <w:r w:rsidRPr="00E957E3">
        <w:t xml:space="preserve"> </w:t>
      </w:r>
    </w:p>
    <w:p w14:paraId="427C4919" w14:textId="77777777" w:rsidR="002F0774" w:rsidRPr="00E957E3" w:rsidRDefault="00151AE1" w:rsidP="001A0D3C">
      <w:pPr>
        <w:pStyle w:val="Heading2"/>
      </w:pPr>
      <w:r w:rsidRPr="00E957E3">
        <w:t xml:space="preserve">ADVERSE EFFECTS (UNDESIRABLE EFFECTS) </w:t>
      </w:r>
    </w:p>
    <w:p w14:paraId="427C491A" w14:textId="77777777" w:rsidR="00A00F64" w:rsidRDefault="00A00F64" w:rsidP="00A00F64">
      <w:pPr>
        <w:spacing w:after="0"/>
      </w:pPr>
      <w:r>
        <w:t>The adverse reactions described in this section were identified from two clinical trials:</w:t>
      </w:r>
    </w:p>
    <w:p w14:paraId="427C491B" w14:textId="77777777" w:rsidR="00A00F64" w:rsidRDefault="00A00F64" w:rsidP="00C77D3B">
      <w:pPr>
        <w:pStyle w:val="ListParagraph"/>
        <w:numPr>
          <w:ilvl w:val="0"/>
          <w:numId w:val="10"/>
        </w:numPr>
      </w:pPr>
      <w:r>
        <w:t>Study 201 (ALTA): A randomised, open label, multicentre trial in patients treated with ALUNBRIG (N = 219) with ALK+ NSCLC who previously progressed on crizotinib.  Patients were randomised in a 1:1 ratio to receive ALUNBRIG either 90 mg once daily continuously (90 mg regimen) or 180 mg once daily with 7</w:t>
      </w:r>
      <w:r w:rsidR="00326B8C">
        <w:t>-</w:t>
      </w:r>
      <w:r>
        <w:t>day lead in at 90 mg once daily (180 mg regimen)</w:t>
      </w:r>
    </w:p>
    <w:p w14:paraId="427C491C" w14:textId="77777777" w:rsidR="00A00F64" w:rsidRDefault="00A00F64" w:rsidP="005F636F">
      <w:pPr>
        <w:pStyle w:val="ListParagraph"/>
        <w:numPr>
          <w:ilvl w:val="0"/>
          <w:numId w:val="10"/>
        </w:numPr>
        <w:spacing w:after="120"/>
      </w:pPr>
      <w:r>
        <w:t xml:space="preserve">Study 101: An open-label multicentre phase 1/2 dose escalation/expansion trial in patients with advanced malignancies </w:t>
      </w:r>
    </w:p>
    <w:p w14:paraId="427C491D" w14:textId="77777777" w:rsidR="00A00F64" w:rsidRDefault="00A00F64" w:rsidP="005F636F">
      <w:pPr>
        <w:spacing w:after="120"/>
      </w:pPr>
      <w:r>
        <w:t>Across these two studies, ALK</w:t>
      </w:r>
      <w:r w:rsidR="00326B8C">
        <w:t>-</w:t>
      </w:r>
      <w:r>
        <w:t>positive NSCLC patients receiving the recommended dosing regimen had a median duration of treatment of 17.4 months.</w:t>
      </w:r>
    </w:p>
    <w:p w14:paraId="427C491E" w14:textId="68E047C5" w:rsidR="00A00F64" w:rsidRDefault="00A00F64" w:rsidP="005F636F">
      <w:pPr>
        <w:spacing w:after="120"/>
      </w:pPr>
      <w:r>
        <w:t>The most common adverse reactions reported in patients (≥25%) treated with ALUNBRIG at the 180 mg regimen were increased  AST (65.9%), hyperglycaemia (</w:t>
      </w:r>
      <w:r w:rsidR="00326B8C">
        <w:t>65.9</w:t>
      </w:r>
      <w:r>
        <w:t xml:space="preserve">%), </w:t>
      </w:r>
      <w:r w:rsidR="00105B72">
        <w:t>hyperinsulinemia</w:t>
      </w:r>
      <w:r>
        <w:t xml:space="preserve"> (</w:t>
      </w:r>
      <w:r w:rsidR="00326B8C">
        <w:t>60.9</w:t>
      </w:r>
      <w:r>
        <w:t>%), anaemia (</w:t>
      </w:r>
      <w:r w:rsidR="00326B8C">
        <w:t>52.2</w:t>
      </w:r>
      <w:r>
        <w:t>%), increased CPK (50%), increased lipase (</w:t>
      </w:r>
      <w:r w:rsidR="00326B8C">
        <w:t>50</w:t>
      </w:r>
      <w:r>
        <w:t>%), decreased lymphocyte count (</w:t>
      </w:r>
      <w:r w:rsidR="00326B8C">
        <w:t>50</w:t>
      </w:r>
      <w:r>
        <w:t xml:space="preserve">%), </w:t>
      </w:r>
      <w:r w:rsidR="00326B8C">
        <w:t xml:space="preserve">nausea (49.3%), fatigue (47.8%), diarrhoea (46.4%), </w:t>
      </w:r>
      <w:r>
        <w:t xml:space="preserve">increased  ALT (45.7%), </w:t>
      </w:r>
      <w:r w:rsidR="00326B8C">
        <w:t xml:space="preserve">headache (44.2%), </w:t>
      </w:r>
      <w:r w:rsidR="00BD01F8">
        <w:t xml:space="preserve">increased </w:t>
      </w:r>
      <w:r>
        <w:t>amylase (</w:t>
      </w:r>
      <w:r w:rsidR="00326B8C">
        <w:t>43.5</w:t>
      </w:r>
      <w:r>
        <w:t>%), cough (</w:t>
      </w:r>
      <w:r w:rsidR="00326B8C">
        <w:t>40.6</w:t>
      </w:r>
      <w:r>
        <w:t xml:space="preserve">%), </w:t>
      </w:r>
      <w:r w:rsidR="00326B8C">
        <w:t xml:space="preserve">myalgia (40.6%), </w:t>
      </w:r>
      <w:r>
        <w:t>increased alkaline phosphatase (</w:t>
      </w:r>
      <w:r w:rsidR="00326B8C">
        <w:t>39.1</w:t>
      </w:r>
      <w:r>
        <w:t>%), hypophosphataemia (37</w:t>
      </w:r>
      <w:r w:rsidR="00326B8C">
        <w:t>.7</w:t>
      </w:r>
      <w:r>
        <w:t>%), increased APTT (</w:t>
      </w:r>
      <w:r w:rsidR="00326B8C">
        <w:t>35.5</w:t>
      </w:r>
      <w:r>
        <w:t>%), rash (</w:t>
      </w:r>
      <w:r w:rsidR="00326B8C">
        <w:t>34.8</w:t>
      </w:r>
      <w:r>
        <w:t>%), vomiting (</w:t>
      </w:r>
      <w:r w:rsidR="00326B8C">
        <w:t>31.9</w:t>
      </w:r>
      <w:r>
        <w:t>%), dyspnoea (</w:t>
      </w:r>
      <w:r w:rsidR="00326B8C">
        <w:t>29</w:t>
      </w:r>
      <w:r>
        <w:t xml:space="preserve">%), </w:t>
      </w:r>
      <w:r w:rsidR="00326B8C" w:rsidRPr="00C237AC">
        <w:rPr>
          <w:noProof/>
          <w:lang w:val="en-US"/>
        </w:rPr>
        <w:t xml:space="preserve">peripheral neuropathy (27.5%), </w:t>
      </w:r>
      <w:r>
        <w:t>hypertension (</w:t>
      </w:r>
      <w:r w:rsidR="00B553CC">
        <w:t>26.8</w:t>
      </w:r>
      <w:r>
        <w:t>%), and decreased WBC count (</w:t>
      </w:r>
      <w:r w:rsidR="00B553CC">
        <w:t>26.8</w:t>
      </w:r>
      <w:r>
        <w:t>%).</w:t>
      </w:r>
    </w:p>
    <w:p w14:paraId="427C491F" w14:textId="32BD7E47" w:rsidR="00A00F64" w:rsidRDefault="00A00F64" w:rsidP="005F636F">
      <w:pPr>
        <w:spacing w:after="120"/>
      </w:pPr>
      <w:r>
        <w:t>The most common serious adverse reactions reported in 2% or more of patients at the 180 mg regimen</w:t>
      </w:r>
      <w:r w:rsidR="00105B72">
        <w:t>,</w:t>
      </w:r>
      <w:r>
        <w:t xml:space="preserve"> other than events related to neoplasm progression included pneumonitis (7.2%), pneumonia (</w:t>
      </w:r>
      <w:r w:rsidR="00B553CC">
        <w:t>7.2</w:t>
      </w:r>
      <w:r>
        <w:t>%) and dyspnoea (</w:t>
      </w:r>
      <w:r w:rsidR="00B553CC">
        <w:t>3.6</w:t>
      </w:r>
      <w:r>
        <w:t>%).</w:t>
      </w:r>
    </w:p>
    <w:p w14:paraId="427C4920" w14:textId="2AA23DF0" w:rsidR="00A00F64" w:rsidRDefault="00A00F64" w:rsidP="005F636F">
      <w:pPr>
        <w:spacing w:after="120"/>
      </w:pPr>
      <w:r>
        <w:t>Treatment-emergent adverse events that led to discontinuation of brigatinib occurred in 11.6 % (16/138) of patients receiving the 180 mg regimen. The most common TEAEs (occurring in ≥2 patients receiving the 180 mg regimen) other than events related to neoplasm progression</w:t>
      </w:r>
      <w:r w:rsidR="00105B72">
        <w:t>,</w:t>
      </w:r>
      <w:r>
        <w:t xml:space="preserve"> that led to brigatinib discontinuation were pneumonitis 2.9 % (4/138) and pneumonia 1.4% (2/138).  </w:t>
      </w:r>
    </w:p>
    <w:p w14:paraId="427C4921" w14:textId="2D2EF95B" w:rsidR="00A00F64" w:rsidRDefault="00A00F64" w:rsidP="005F636F">
      <w:pPr>
        <w:spacing w:after="120"/>
      </w:pPr>
      <w:r>
        <w:t xml:space="preserve">Treatment-emergent adverse events that led to dose reduction occurred in </w:t>
      </w:r>
      <w:r w:rsidR="00B553CC">
        <w:t>27.5</w:t>
      </w:r>
      <w:r>
        <w:t>% (</w:t>
      </w:r>
      <w:r w:rsidR="00B553CC">
        <w:t>38</w:t>
      </w:r>
      <w:r>
        <w:t>/138) of patients receiving the 180 mg regimen. The TEAE</w:t>
      </w:r>
      <w:r w:rsidR="00105B72">
        <w:t>s</w:t>
      </w:r>
      <w:r>
        <w:t xml:space="preserve"> leading to dose reduction that occurred in ≥2% of patients receiving the 180 mg regimen were blood CPK increased 5.1% (7/138), rash 2.9% (4/138), nausea 2.9% (4/138), </w:t>
      </w:r>
      <w:r w:rsidR="00B553CC">
        <w:t xml:space="preserve">and </w:t>
      </w:r>
      <w:r>
        <w:t>lipase increased 2.2% (3/138)</w:t>
      </w:r>
      <w:r w:rsidR="00B553CC">
        <w:t>.</w:t>
      </w:r>
    </w:p>
    <w:p w14:paraId="427C4922" w14:textId="77777777" w:rsidR="00A00F64" w:rsidRDefault="00A00F64" w:rsidP="00A00F64">
      <w:r>
        <w:t xml:space="preserve">Adverse reactions reported in </w:t>
      </w:r>
      <w:r w:rsidR="00BE7968">
        <w:fldChar w:fldCharType="begin"/>
      </w:r>
      <w:r w:rsidR="00BE7968">
        <w:instrText xml:space="preserve"> REF _Ref505699122 \h  \* MERGEFORMAT </w:instrText>
      </w:r>
      <w:r w:rsidR="00BE7968">
        <w:fldChar w:fldCharType="separate"/>
      </w:r>
      <w:r w:rsidR="008D78FC" w:rsidRPr="008D78FC">
        <w:rPr>
          <w:noProof/>
          <w:szCs w:val="22"/>
        </w:rPr>
        <w:t>Table 3</w:t>
      </w:r>
      <w:r w:rsidR="00BE7968">
        <w:fldChar w:fldCharType="end"/>
      </w:r>
      <w:r w:rsidR="00AD562D" w:rsidRPr="00AD562D">
        <w:t xml:space="preserve"> </w:t>
      </w:r>
      <w:r w:rsidRPr="00AD562D">
        <w:t>are listed</w:t>
      </w:r>
      <w:r>
        <w:t xml:space="preserve"> by system organ class, preferred term and frequency. The following convention is used for the classification of the frequency of an adverse </w:t>
      </w:r>
      <w:r>
        <w:lastRenderedPageBreak/>
        <w:t>drug reaction (ADR) and is based on the Council for International Organizations of Medical Sciences (CIOMS) guidelines: very common (≥ 1/10); common (≥ 1/100 to &lt; 1/10); uncommon (≥ 1/1,000 to &lt; 1/100); rare (≥ 1/10,000 to&lt; 1/1,000); very rare (&lt; 1/10,000); not known (cannot be estimated from the available data).</w:t>
      </w:r>
    </w:p>
    <w:p w14:paraId="427C4923" w14:textId="0828C515" w:rsidR="00A00F64" w:rsidRDefault="00A00F64" w:rsidP="00A00F64">
      <w:bookmarkStart w:id="3" w:name="_Ref505699122"/>
      <w:bookmarkStart w:id="4" w:name="_Ref505699103"/>
      <w:r w:rsidRPr="00E957E3">
        <w:rPr>
          <w:b/>
          <w:noProof/>
          <w:szCs w:val="22"/>
        </w:rPr>
        <w:t xml:space="preserve">Table </w:t>
      </w:r>
      <w:r w:rsidR="004948F2" w:rsidRPr="00E957E3">
        <w:rPr>
          <w:b/>
          <w:noProof/>
          <w:szCs w:val="22"/>
        </w:rPr>
        <w:fldChar w:fldCharType="begin"/>
      </w:r>
      <w:r w:rsidRPr="00E957E3">
        <w:rPr>
          <w:b/>
          <w:noProof/>
          <w:szCs w:val="22"/>
        </w:rPr>
        <w:instrText xml:space="preserve"> SEQ Table \* ARABIC </w:instrText>
      </w:r>
      <w:r w:rsidR="004948F2" w:rsidRPr="00E957E3">
        <w:rPr>
          <w:b/>
          <w:noProof/>
          <w:szCs w:val="22"/>
        </w:rPr>
        <w:fldChar w:fldCharType="separate"/>
      </w:r>
      <w:r w:rsidR="008D78FC">
        <w:rPr>
          <w:b/>
          <w:noProof/>
          <w:szCs w:val="22"/>
        </w:rPr>
        <w:t>3</w:t>
      </w:r>
      <w:r w:rsidR="004948F2" w:rsidRPr="00E957E3">
        <w:rPr>
          <w:b/>
          <w:noProof/>
          <w:szCs w:val="22"/>
        </w:rPr>
        <w:fldChar w:fldCharType="end"/>
      </w:r>
      <w:bookmarkEnd w:id="3"/>
      <w:r w:rsidRPr="00E957E3">
        <w:rPr>
          <w:b/>
          <w:noProof/>
          <w:szCs w:val="22"/>
        </w:rPr>
        <w:t xml:space="preserve">: Adverse Reactions </w:t>
      </w:r>
      <w:r w:rsidRPr="00F61E45">
        <w:rPr>
          <w:b/>
          <w:noProof/>
          <w:szCs w:val="22"/>
        </w:rPr>
        <w:t>reported in patients treated with Alunbrig in ALTA and Study 101 (per Common Terminology Criteria for Adverse Events (CTCAE) version 4.0) at the 180 mg regimen</w:t>
      </w:r>
      <w:bookmarkEnd w:id="4"/>
      <w:r w:rsidR="001E1430">
        <w:rPr>
          <w:b/>
          <w:noProof/>
          <w:szCs w:val="22"/>
        </w:rPr>
        <w:t xml:space="preserve"> </w:t>
      </w:r>
    </w:p>
    <w:tbl>
      <w:tblPr>
        <w:tblStyle w:val="TableGrid"/>
        <w:tblW w:w="0" w:type="auto"/>
        <w:tblLook w:val="04A0" w:firstRow="1" w:lastRow="0" w:firstColumn="1" w:lastColumn="0" w:noHBand="0" w:noVBand="1"/>
      </w:tblPr>
      <w:tblGrid>
        <w:gridCol w:w="1809"/>
        <w:gridCol w:w="1843"/>
        <w:gridCol w:w="2977"/>
        <w:gridCol w:w="3225"/>
      </w:tblGrid>
      <w:tr w:rsidR="00A00F64" w:rsidRPr="00CF2BF1" w14:paraId="427C4928" w14:textId="77777777" w:rsidTr="00F87C5E">
        <w:trPr>
          <w:tblHeader/>
        </w:trPr>
        <w:tc>
          <w:tcPr>
            <w:tcW w:w="1809" w:type="dxa"/>
            <w:tcBorders>
              <w:bottom w:val="single" w:sz="4" w:space="0" w:color="auto"/>
            </w:tcBorders>
          </w:tcPr>
          <w:p w14:paraId="427C4924" w14:textId="77777777" w:rsidR="00A00F64" w:rsidRPr="00CF2BF1" w:rsidRDefault="00A00F64" w:rsidP="001C463A">
            <w:pPr>
              <w:keepNext/>
              <w:keepLines/>
              <w:numPr>
                <w:ilvl w:val="12"/>
                <w:numId w:val="0"/>
              </w:numPr>
              <w:spacing w:after="0"/>
              <w:ind w:right="-2"/>
              <w:jc w:val="center"/>
              <w:rPr>
                <w:b/>
                <w:bCs/>
                <w:noProof/>
                <w:szCs w:val="22"/>
              </w:rPr>
            </w:pPr>
            <w:r w:rsidRPr="00CF2BF1">
              <w:rPr>
                <w:b/>
                <w:bCs/>
                <w:noProof/>
                <w:szCs w:val="22"/>
              </w:rPr>
              <w:t>System organ class</w:t>
            </w:r>
          </w:p>
        </w:tc>
        <w:tc>
          <w:tcPr>
            <w:tcW w:w="1843" w:type="dxa"/>
          </w:tcPr>
          <w:p w14:paraId="427C4925" w14:textId="77777777" w:rsidR="00A00F64" w:rsidRPr="00CF2BF1" w:rsidRDefault="00A00F64" w:rsidP="001C463A">
            <w:pPr>
              <w:keepNext/>
              <w:keepLines/>
              <w:numPr>
                <w:ilvl w:val="12"/>
                <w:numId w:val="0"/>
              </w:numPr>
              <w:spacing w:after="0"/>
              <w:ind w:right="-2"/>
              <w:jc w:val="center"/>
              <w:rPr>
                <w:b/>
                <w:bCs/>
                <w:noProof/>
                <w:szCs w:val="22"/>
              </w:rPr>
            </w:pPr>
            <w:r w:rsidRPr="00CF2BF1">
              <w:rPr>
                <w:b/>
                <w:bCs/>
                <w:noProof/>
                <w:szCs w:val="22"/>
              </w:rPr>
              <w:t>Frequency category</w:t>
            </w:r>
          </w:p>
        </w:tc>
        <w:tc>
          <w:tcPr>
            <w:tcW w:w="2977" w:type="dxa"/>
          </w:tcPr>
          <w:p w14:paraId="427C4926" w14:textId="77777777" w:rsidR="00A00F64" w:rsidRPr="00CF2BF1" w:rsidRDefault="00A00F64" w:rsidP="001C463A">
            <w:pPr>
              <w:keepNext/>
              <w:keepLines/>
              <w:numPr>
                <w:ilvl w:val="12"/>
                <w:numId w:val="0"/>
              </w:numPr>
              <w:spacing w:after="0"/>
              <w:ind w:right="-2"/>
              <w:jc w:val="center"/>
              <w:rPr>
                <w:b/>
                <w:bCs/>
                <w:noProof/>
                <w:szCs w:val="22"/>
              </w:rPr>
            </w:pPr>
            <w:r w:rsidRPr="00BD6FEB">
              <w:rPr>
                <w:b/>
                <w:bCs/>
                <w:noProof/>
                <w:szCs w:val="22"/>
              </w:rPr>
              <w:t>Adverse reactions</w:t>
            </w:r>
            <w:r w:rsidR="00F40787" w:rsidRPr="00F40787">
              <w:rPr>
                <w:b/>
                <w:bCs/>
                <w:noProof/>
                <w:szCs w:val="22"/>
                <w:vertAlign w:val="superscript"/>
              </w:rPr>
              <w:t>†</w:t>
            </w:r>
            <w:r w:rsidRPr="00CF2BF1">
              <w:rPr>
                <w:b/>
                <w:bCs/>
                <w:noProof/>
                <w:szCs w:val="22"/>
              </w:rPr>
              <w:t xml:space="preserve"> </w:t>
            </w:r>
            <w:r>
              <w:rPr>
                <w:b/>
                <w:bCs/>
                <w:noProof/>
                <w:szCs w:val="22"/>
              </w:rPr>
              <w:t>all grades</w:t>
            </w:r>
          </w:p>
        </w:tc>
        <w:tc>
          <w:tcPr>
            <w:tcW w:w="3225" w:type="dxa"/>
          </w:tcPr>
          <w:p w14:paraId="427C4927" w14:textId="77777777" w:rsidR="00A00F64" w:rsidRPr="00CF2BF1" w:rsidRDefault="00A00F64" w:rsidP="001C463A">
            <w:pPr>
              <w:keepNext/>
              <w:keepLines/>
              <w:numPr>
                <w:ilvl w:val="12"/>
                <w:numId w:val="0"/>
              </w:numPr>
              <w:spacing w:after="0"/>
              <w:ind w:right="-2"/>
              <w:jc w:val="center"/>
              <w:rPr>
                <w:b/>
                <w:bCs/>
                <w:noProof/>
                <w:szCs w:val="22"/>
              </w:rPr>
            </w:pPr>
            <w:r>
              <w:rPr>
                <w:b/>
                <w:bCs/>
                <w:noProof/>
                <w:szCs w:val="22"/>
              </w:rPr>
              <w:t>Adverse reactions g</w:t>
            </w:r>
            <w:r w:rsidRPr="00BD6FEB">
              <w:rPr>
                <w:b/>
                <w:bCs/>
                <w:noProof/>
                <w:szCs w:val="22"/>
              </w:rPr>
              <w:t>rade 3-4</w:t>
            </w:r>
          </w:p>
        </w:tc>
      </w:tr>
      <w:tr w:rsidR="00A00F64" w14:paraId="427C492E" w14:textId="77777777" w:rsidTr="001C463A">
        <w:tc>
          <w:tcPr>
            <w:tcW w:w="1809" w:type="dxa"/>
            <w:tcBorders>
              <w:bottom w:val="nil"/>
            </w:tcBorders>
          </w:tcPr>
          <w:p w14:paraId="427C4929" w14:textId="77777777" w:rsidR="00A00F64" w:rsidRDefault="00A00F64" w:rsidP="001C463A">
            <w:pPr>
              <w:spacing w:after="0"/>
              <w:jc w:val="left"/>
            </w:pPr>
            <w:r>
              <w:rPr>
                <w:noProof/>
                <w:szCs w:val="22"/>
              </w:rPr>
              <w:t>Infections and infestations</w:t>
            </w:r>
          </w:p>
        </w:tc>
        <w:tc>
          <w:tcPr>
            <w:tcW w:w="1843" w:type="dxa"/>
          </w:tcPr>
          <w:p w14:paraId="427C492A" w14:textId="77777777" w:rsidR="00A00F64" w:rsidRDefault="00A00F64" w:rsidP="001C463A">
            <w:pPr>
              <w:spacing w:after="0"/>
            </w:pPr>
            <w:r>
              <w:rPr>
                <w:noProof/>
                <w:szCs w:val="22"/>
              </w:rPr>
              <w:t>Very common</w:t>
            </w:r>
          </w:p>
        </w:tc>
        <w:tc>
          <w:tcPr>
            <w:tcW w:w="2977" w:type="dxa"/>
          </w:tcPr>
          <w:p w14:paraId="427C492B" w14:textId="77777777" w:rsidR="00151EF8" w:rsidRDefault="00151EF8" w:rsidP="00151EF8">
            <w:pPr>
              <w:spacing w:after="0"/>
              <w:jc w:val="left"/>
            </w:pPr>
            <w:r w:rsidRPr="002062EC">
              <w:t>Pneumonia</w:t>
            </w:r>
            <w:r w:rsidRPr="002062EC">
              <w:rPr>
                <w:vertAlign w:val="superscript"/>
              </w:rPr>
              <w:t>a</w:t>
            </w:r>
          </w:p>
          <w:p w14:paraId="427C492C" w14:textId="77777777" w:rsidR="00A00F64" w:rsidRPr="002062EC" w:rsidRDefault="00A00F64" w:rsidP="001C463A">
            <w:pPr>
              <w:spacing w:after="0"/>
              <w:jc w:val="left"/>
            </w:pPr>
            <w:r w:rsidRPr="002062EC">
              <w:t xml:space="preserve">Upper respiratory tract infection </w:t>
            </w:r>
          </w:p>
        </w:tc>
        <w:tc>
          <w:tcPr>
            <w:tcW w:w="3225" w:type="dxa"/>
          </w:tcPr>
          <w:p w14:paraId="427C492D" w14:textId="77777777" w:rsidR="00A00F64" w:rsidRDefault="00A00F64" w:rsidP="001C463A">
            <w:pPr>
              <w:spacing w:after="0"/>
            </w:pPr>
          </w:p>
        </w:tc>
      </w:tr>
      <w:tr w:rsidR="00A00F64" w14:paraId="427C4933" w14:textId="77777777" w:rsidTr="001C463A">
        <w:tc>
          <w:tcPr>
            <w:tcW w:w="1809" w:type="dxa"/>
            <w:tcBorders>
              <w:top w:val="nil"/>
              <w:bottom w:val="single" w:sz="4" w:space="0" w:color="auto"/>
            </w:tcBorders>
          </w:tcPr>
          <w:p w14:paraId="427C492F" w14:textId="77777777" w:rsidR="00A00F64" w:rsidRDefault="00A00F64" w:rsidP="001C463A">
            <w:pPr>
              <w:spacing w:after="0"/>
              <w:jc w:val="left"/>
            </w:pPr>
          </w:p>
        </w:tc>
        <w:tc>
          <w:tcPr>
            <w:tcW w:w="1843" w:type="dxa"/>
          </w:tcPr>
          <w:p w14:paraId="427C4930" w14:textId="77777777" w:rsidR="00A00F64" w:rsidRDefault="00A00F64" w:rsidP="001C463A">
            <w:pPr>
              <w:spacing w:after="0"/>
            </w:pPr>
            <w:r>
              <w:rPr>
                <w:noProof/>
                <w:szCs w:val="22"/>
              </w:rPr>
              <w:t>Common</w:t>
            </w:r>
          </w:p>
        </w:tc>
        <w:tc>
          <w:tcPr>
            <w:tcW w:w="2977" w:type="dxa"/>
          </w:tcPr>
          <w:p w14:paraId="427C4931" w14:textId="77777777" w:rsidR="00A00F64" w:rsidRPr="002062EC" w:rsidRDefault="00A00F64" w:rsidP="001C463A">
            <w:pPr>
              <w:spacing w:after="0"/>
              <w:jc w:val="left"/>
            </w:pPr>
          </w:p>
        </w:tc>
        <w:tc>
          <w:tcPr>
            <w:tcW w:w="3225" w:type="dxa"/>
          </w:tcPr>
          <w:p w14:paraId="427C4932" w14:textId="77777777" w:rsidR="00A00F64" w:rsidRDefault="00A00F64" w:rsidP="00533E65">
            <w:pPr>
              <w:spacing w:after="0"/>
            </w:pPr>
            <w:r w:rsidRPr="00A0349F">
              <w:rPr>
                <w:noProof/>
                <w:szCs w:val="22"/>
              </w:rPr>
              <w:t>Pneumonia</w:t>
            </w:r>
            <w:r w:rsidRPr="00A0349F">
              <w:rPr>
                <w:noProof/>
                <w:szCs w:val="22"/>
                <w:vertAlign w:val="superscript"/>
              </w:rPr>
              <w:t xml:space="preserve">a </w:t>
            </w:r>
          </w:p>
        </w:tc>
      </w:tr>
      <w:tr w:rsidR="00A00F64" w14:paraId="427C493D" w14:textId="77777777" w:rsidTr="001C463A">
        <w:tc>
          <w:tcPr>
            <w:tcW w:w="1809" w:type="dxa"/>
            <w:tcBorders>
              <w:bottom w:val="nil"/>
            </w:tcBorders>
          </w:tcPr>
          <w:p w14:paraId="427C4934" w14:textId="77777777" w:rsidR="00A00F64" w:rsidRDefault="00A00F64" w:rsidP="00B553CC">
            <w:pPr>
              <w:spacing w:after="0"/>
              <w:jc w:val="left"/>
            </w:pPr>
            <w:r w:rsidRPr="00BD6FEB">
              <w:rPr>
                <w:noProof/>
                <w:szCs w:val="22"/>
              </w:rPr>
              <w:t>Blood and lymphatic system disorders</w:t>
            </w:r>
          </w:p>
        </w:tc>
        <w:tc>
          <w:tcPr>
            <w:tcW w:w="1843" w:type="dxa"/>
          </w:tcPr>
          <w:p w14:paraId="427C4935" w14:textId="77777777" w:rsidR="00A00F64" w:rsidRDefault="00A00F64" w:rsidP="001C463A">
            <w:pPr>
              <w:spacing w:after="0"/>
            </w:pPr>
            <w:r>
              <w:rPr>
                <w:noProof/>
                <w:szCs w:val="22"/>
              </w:rPr>
              <w:t>Very common</w:t>
            </w:r>
          </w:p>
        </w:tc>
        <w:tc>
          <w:tcPr>
            <w:tcW w:w="2977" w:type="dxa"/>
          </w:tcPr>
          <w:p w14:paraId="427C4936" w14:textId="77777777" w:rsidR="00A00F64" w:rsidRPr="002062EC" w:rsidRDefault="00A00F64" w:rsidP="001C463A">
            <w:pPr>
              <w:spacing w:after="0"/>
              <w:jc w:val="left"/>
            </w:pPr>
            <w:r w:rsidRPr="002062EC">
              <w:t xml:space="preserve">Anaemia </w:t>
            </w:r>
          </w:p>
          <w:p w14:paraId="427C4937" w14:textId="77777777" w:rsidR="00A00F64" w:rsidRPr="002062EC" w:rsidRDefault="00A00F64" w:rsidP="001C463A">
            <w:pPr>
              <w:spacing w:after="0"/>
              <w:jc w:val="left"/>
            </w:pPr>
            <w:r w:rsidRPr="002062EC">
              <w:t xml:space="preserve">Lymphocyte count decreased </w:t>
            </w:r>
          </w:p>
          <w:p w14:paraId="427C4938" w14:textId="77777777" w:rsidR="00A00F64" w:rsidRPr="002062EC" w:rsidRDefault="00A00F64" w:rsidP="001C463A">
            <w:pPr>
              <w:spacing w:after="0"/>
              <w:jc w:val="left"/>
            </w:pPr>
            <w:r w:rsidRPr="002062EC">
              <w:t xml:space="preserve">APTT increased </w:t>
            </w:r>
          </w:p>
          <w:p w14:paraId="427C4939" w14:textId="77777777" w:rsidR="00A00F64" w:rsidRPr="002062EC" w:rsidRDefault="00A00F64" w:rsidP="001C463A">
            <w:pPr>
              <w:spacing w:after="0"/>
              <w:jc w:val="left"/>
            </w:pPr>
            <w:r w:rsidRPr="002062EC">
              <w:t xml:space="preserve">White blood cell count decreased </w:t>
            </w:r>
          </w:p>
          <w:p w14:paraId="427C493A" w14:textId="77777777" w:rsidR="00A00F64" w:rsidRPr="002062EC" w:rsidRDefault="00A00F64" w:rsidP="001C463A">
            <w:pPr>
              <w:spacing w:after="0"/>
              <w:jc w:val="left"/>
            </w:pPr>
            <w:r w:rsidRPr="002062EC">
              <w:t xml:space="preserve">Neutrophil count decreased </w:t>
            </w:r>
          </w:p>
          <w:p w14:paraId="427C493B" w14:textId="77777777" w:rsidR="00A00F64" w:rsidRPr="002062EC" w:rsidRDefault="00A00F64" w:rsidP="00533E65">
            <w:pPr>
              <w:spacing w:after="0"/>
              <w:jc w:val="left"/>
            </w:pPr>
            <w:r w:rsidRPr="002062EC">
              <w:t xml:space="preserve">Decreased platelet count </w:t>
            </w:r>
          </w:p>
        </w:tc>
        <w:tc>
          <w:tcPr>
            <w:tcW w:w="3225" w:type="dxa"/>
          </w:tcPr>
          <w:p w14:paraId="427C493C" w14:textId="77777777" w:rsidR="00A00F64" w:rsidRDefault="00A00F64" w:rsidP="00533E65">
            <w:pPr>
              <w:spacing w:after="0"/>
            </w:pPr>
            <w:r w:rsidRPr="00A0349F">
              <w:rPr>
                <w:noProof/>
                <w:szCs w:val="22"/>
              </w:rPr>
              <w:t xml:space="preserve">Lymphocyte count decreased </w:t>
            </w:r>
          </w:p>
        </w:tc>
      </w:tr>
      <w:tr w:rsidR="00A00F64" w14:paraId="427C4944" w14:textId="77777777" w:rsidTr="001C463A">
        <w:tc>
          <w:tcPr>
            <w:tcW w:w="1809" w:type="dxa"/>
            <w:tcBorders>
              <w:top w:val="nil"/>
              <w:bottom w:val="single" w:sz="4" w:space="0" w:color="auto"/>
            </w:tcBorders>
          </w:tcPr>
          <w:p w14:paraId="427C493E" w14:textId="77777777" w:rsidR="00A00F64" w:rsidRDefault="00A00F64" w:rsidP="001C463A">
            <w:pPr>
              <w:spacing w:after="0"/>
            </w:pPr>
          </w:p>
        </w:tc>
        <w:tc>
          <w:tcPr>
            <w:tcW w:w="1843" w:type="dxa"/>
          </w:tcPr>
          <w:p w14:paraId="427C493F" w14:textId="77777777" w:rsidR="00A00F64" w:rsidRDefault="00A00F64" w:rsidP="001C463A">
            <w:pPr>
              <w:spacing w:after="0"/>
            </w:pPr>
            <w:r>
              <w:rPr>
                <w:noProof/>
                <w:szCs w:val="22"/>
              </w:rPr>
              <w:t>Common</w:t>
            </w:r>
          </w:p>
        </w:tc>
        <w:tc>
          <w:tcPr>
            <w:tcW w:w="2977" w:type="dxa"/>
          </w:tcPr>
          <w:p w14:paraId="427C4940" w14:textId="77777777" w:rsidR="00A00F64" w:rsidRDefault="00A00F64" w:rsidP="001C463A">
            <w:pPr>
              <w:spacing w:after="0"/>
              <w:jc w:val="left"/>
            </w:pPr>
          </w:p>
        </w:tc>
        <w:tc>
          <w:tcPr>
            <w:tcW w:w="3225" w:type="dxa"/>
          </w:tcPr>
          <w:p w14:paraId="427C4941" w14:textId="77777777" w:rsidR="00151EF8" w:rsidRPr="00A0349F" w:rsidRDefault="00151EF8" w:rsidP="00151EF8">
            <w:pPr>
              <w:numPr>
                <w:ilvl w:val="12"/>
                <w:numId w:val="0"/>
              </w:numPr>
              <w:spacing w:after="0"/>
              <w:ind w:right="-2"/>
              <w:jc w:val="left"/>
              <w:rPr>
                <w:noProof/>
                <w:szCs w:val="22"/>
              </w:rPr>
            </w:pPr>
            <w:r>
              <w:rPr>
                <w:noProof/>
                <w:szCs w:val="22"/>
              </w:rPr>
              <w:t>APTT increased</w:t>
            </w:r>
          </w:p>
          <w:p w14:paraId="427C4942" w14:textId="77777777" w:rsidR="00A00F64" w:rsidRPr="00A0349F" w:rsidRDefault="00A00F64" w:rsidP="001C463A">
            <w:pPr>
              <w:numPr>
                <w:ilvl w:val="12"/>
                <w:numId w:val="0"/>
              </w:numPr>
              <w:spacing w:after="0"/>
              <w:ind w:right="-2"/>
              <w:jc w:val="left"/>
              <w:rPr>
                <w:noProof/>
                <w:szCs w:val="22"/>
              </w:rPr>
            </w:pPr>
            <w:r w:rsidRPr="00A0349F">
              <w:rPr>
                <w:noProof/>
                <w:szCs w:val="22"/>
              </w:rPr>
              <w:t>Anaemia</w:t>
            </w:r>
          </w:p>
          <w:p w14:paraId="427C4943" w14:textId="77777777" w:rsidR="00A00F64" w:rsidRDefault="00A00F64" w:rsidP="0007393E">
            <w:pPr>
              <w:numPr>
                <w:ilvl w:val="12"/>
                <w:numId w:val="0"/>
              </w:numPr>
              <w:spacing w:after="0"/>
              <w:ind w:right="-2"/>
              <w:jc w:val="left"/>
            </w:pPr>
            <w:r w:rsidRPr="00A0349F">
              <w:rPr>
                <w:noProof/>
                <w:szCs w:val="22"/>
              </w:rPr>
              <w:t xml:space="preserve">Neutrophil count decreased </w:t>
            </w:r>
          </w:p>
        </w:tc>
      </w:tr>
      <w:tr w:rsidR="00A00F64" w14:paraId="427C494F" w14:textId="77777777" w:rsidTr="001C463A">
        <w:tc>
          <w:tcPr>
            <w:tcW w:w="1809" w:type="dxa"/>
            <w:tcBorders>
              <w:bottom w:val="nil"/>
            </w:tcBorders>
          </w:tcPr>
          <w:p w14:paraId="427C4945" w14:textId="77777777" w:rsidR="00A00F64" w:rsidRDefault="00A00F64" w:rsidP="001C463A">
            <w:pPr>
              <w:spacing w:after="0"/>
            </w:pPr>
            <w:r w:rsidRPr="00BD6FEB">
              <w:rPr>
                <w:noProof/>
                <w:color w:val="000000"/>
                <w:szCs w:val="22"/>
                <w:lang w:val="da-DK"/>
              </w:rPr>
              <w:t>Metabolism and nutrition disorders</w:t>
            </w:r>
          </w:p>
        </w:tc>
        <w:tc>
          <w:tcPr>
            <w:tcW w:w="1843" w:type="dxa"/>
          </w:tcPr>
          <w:p w14:paraId="427C4946" w14:textId="77777777" w:rsidR="00A00F64" w:rsidRPr="00D04B5D" w:rsidRDefault="00A00F64" w:rsidP="001C463A">
            <w:pPr>
              <w:spacing w:after="0"/>
            </w:pPr>
            <w:r w:rsidRPr="00D04B5D">
              <w:rPr>
                <w:noProof/>
                <w:szCs w:val="22"/>
              </w:rPr>
              <w:t>Very common</w:t>
            </w:r>
          </w:p>
        </w:tc>
        <w:tc>
          <w:tcPr>
            <w:tcW w:w="2977" w:type="dxa"/>
          </w:tcPr>
          <w:p w14:paraId="427C4947" w14:textId="77777777" w:rsidR="00A00F64" w:rsidRPr="00D04B5D" w:rsidRDefault="00A00F64" w:rsidP="001C463A">
            <w:pPr>
              <w:spacing w:after="0"/>
              <w:jc w:val="left"/>
            </w:pPr>
            <w:r w:rsidRPr="00D04B5D">
              <w:t xml:space="preserve">Hyperglycaemia </w:t>
            </w:r>
          </w:p>
          <w:p w14:paraId="427C4948" w14:textId="77777777" w:rsidR="00A00F64" w:rsidRPr="00D04B5D" w:rsidRDefault="00A00F64" w:rsidP="001C463A">
            <w:pPr>
              <w:spacing w:after="0"/>
              <w:jc w:val="left"/>
            </w:pPr>
            <w:r w:rsidRPr="00D04B5D">
              <w:t>Hyperinsulinaemia</w:t>
            </w:r>
            <w:r w:rsidRPr="00D04B5D">
              <w:rPr>
                <w:vertAlign w:val="superscript"/>
              </w:rPr>
              <w:t>b</w:t>
            </w:r>
            <w:r w:rsidRPr="00D04B5D">
              <w:t xml:space="preserve"> </w:t>
            </w:r>
          </w:p>
          <w:p w14:paraId="427C4949" w14:textId="77777777" w:rsidR="00A00F64" w:rsidRPr="00D04B5D" w:rsidRDefault="00A00F64" w:rsidP="001C463A">
            <w:pPr>
              <w:spacing w:after="0"/>
              <w:jc w:val="left"/>
            </w:pPr>
            <w:r w:rsidRPr="00D04B5D">
              <w:t xml:space="preserve">Hypophosphataemia </w:t>
            </w:r>
          </w:p>
          <w:p w14:paraId="427C494A" w14:textId="77777777" w:rsidR="00A00F64" w:rsidRPr="00D04B5D" w:rsidRDefault="00A00F64" w:rsidP="001C463A">
            <w:pPr>
              <w:spacing w:after="0"/>
              <w:jc w:val="left"/>
            </w:pPr>
            <w:r w:rsidRPr="00D04B5D">
              <w:t xml:space="preserve">Decreased appetite </w:t>
            </w:r>
          </w:p>
          <w:p w14:paraId="427C494B" w14:textId="77777777" w:rsidR="00A00F64" w:rsidRPr="00D04B5D" w:rsidRDefault="00A00F64" w:rsidP="001C463A">
            <w:pPr>
              <w:spacing w:after="0"/>
              <w:jc w:val="left"/>
            </w:pPr>
            <w:r w:rsidRPr="00D04B5D">
              <w:t xml:space="preserve">Hypokalaemia </w:t>
            </w:r>
          </w:p>
          <w:p w14:paraId="427C494C" w14:textId="77777777" w:rsidR="00A00F64" w:rsidRPr="00D04B5D" w:rsidRDefault="00A00F64" w:rsidP="001C463A">
            <w:pPr>
              <w:spacing w:after="0"/>
              <w:jc w:val="left"/>
            </w:pPr>
            <w:r w:rsidRPr="00D04B5D">
              <w:t xml:space="preserve">Hypomagnesaemia </w:t>
            </w:r>
          </w:p>
          <w:p w14:paraId="04F78CE8" w14:textId="77777777" w:rsidR="00B553CC" w:rsidRPr="00D04B5D" w:rsidRDefault="00A00F64" w:rsidP="00533E65">
            <w:pPr>
              <w:spacing w:after="0"/>
              <w:jc w:val="left"/>
            </w:pPr>
            <w:r w:rsidRPr="00D04B5D">
              <w:t xml:space="preserve">Hyponatraemia </w:t>
            </w:r>
          </w:p>
          <w:p w14:paraId="427C494D" w14:textId="27E54227" w:rsidR="001E1430" w:rsidRPr="00D04B5D" w:rsidRDefault="001E1430" w:rsidP="00533E65">
            <w:pPr>
              <w:spacing w:after="0"/>
              <w:jc w:val="left"/>
            </w:pPr>
            <w:r w:rsidRPr="00D04B5D">
              <w:t>Hypercalcaemia</w:t>
            </w:r>
          </w:p>
        </w:tc>
        <w:tc>
          <w:tcPr>
            <w:tcW w:w="3225" w:type="dxa"/>
          </w:tcPr>
          <w:p w14:paraId="427C494E" w14:textId="77777777" w:rsidR="00A00F64" w:rsidRDefault="00A00F64" w:rsidP="001C463A">
            <w:pPr>
              <w:spacing w:after="0"/>
            </w:pPr>
          </w:p>
        </w:tc>
      </w:tr>
      <w:tr w:rsidR="005F636F" w14:paraId="427C4958" w14:textId="77777777" w:rsidTr="001C463A">
        <w:tc>
          <w:tcPr>
            <w:tcW w:w="1809" w:type="dxa"/>
            <w:tcBorders>
              <w:top w:val="nil"/>
              <w:bottom w:val="nil"/>
            </w:tcBorders>
          </w:tcPr>
          <w:p w14:paraId="427C4950" w14:textId="77777777" w:rsidR="005F636F" w:rsidRDefault="005F636F" w:rsidP="001C463A">
            <w:pPr>
              <w:spacing w:after="0"/>
            </w:pPr>
          </w:p>
        </w:tc>
        <w:tc>
          <w:tcPr>
            <w:tcW w:w="1843" w:type="dxa"/>
            <w:vMerge w:val="restart"/>
          </w:tcPr>
          <w:p w14:paraId="427C4951" w14:textId="77777777" w:rsidR="005F636F" w:rsidRDefault="005F636F" w:rsidP="001C463A">
            <w:pPr>
              <w:spacing w:after="0"/>
            </w:pPr>
            <w:r>
              <w:rPr>
                <w:noProof/>
                <w:szCs w:val="22"/>
              </w:rPr>
              <w:t>Common</w:t>
            </w:r>
          </w:p>
        </w:tc>
        <w:tc>
          <w:tcPr>
            <w:tcW w:w="2977" w:type="dxa"/>
            <w:vMerge w:val="restart"/>
          </w:tcPr>
          <w:p w14:paraId="427C4952" w14:textId="77777777" w:rsidR="005F636F" w:rsidRDefault="005F636F" w:rsidP="001C463A">
            <w:pPr>
              <w:spacing w:after="0"/>
            </w:pPr>
          </w:p>
        </w:tc>
        <w:tc>
          <w:tcPr>
            <w:tcW w:w="3225" w:type="dxa"/>
            <w:vMerge w:val="restart"/>
          </w:tcPr>
          <w:p w14:paraId="427C4953" w14:textId="77777777" w:rsidR="005F636F" w:rsidRDefault="005F636F" w:rsidP="001C463A">
            <w:pPr>
              <w:numPr>
                <w:ilvl w:val="12"/>
                <w:numId w:val="0"/>
              </w:numPr>
              <w:spacing w:after="0"/>
              <w:ind w:right="-2"/>
              <w:jc w:val="left"/>
              <w:rPr>
                <w:noProof/>
                <w:szCs w:val="22"/>
              </w:rPr>
            </w:pPr>
            <w:r w:rsidRPr="00BD6FEB">
              <w:rPr>
                <w:noProof/>
                <w:szCs w:val="22"/>
              </w:rPr>
              <w:t>Hypophosphataemia</w:t>
            </w:r>
            <w:r>
              <w:rPr>
                <w:noProof/>
                <w:szCs w:val="22"/>
              </w:rPr>
              <w:t xml:space="preserve"> </w:t>
            </w:r>
          </w:p>
          <w:p w14:paraId="427C4954" w14:textId="77777777" w:rsidR="005F636F" w:rsidRPr="00BD6FEB" w:rsidRDefault="005F636F" w:rsidP="001C463A">
            <w:pPr>
              <w:numPr>
                <w:ilvl w:val="12"/>
                <w:numId w:val="0"/>
              </w:numPr>
              <w:spacing w:after="0"/>
              <w:ind w:right="-2"/>
              <w:jc w:val="left"/>
              <w:rPr>
                <w:noProof/>
                <w:szCs w:val="22"/>
              </w:rPr>
            </w:pPr>
            <w:r>
              <w:rPr>
                <w:noProof/>
                <w:szCs w:val="22"/>
              </w:rPr>
              <w:t xml:space="preserve">Hyperglycaemia </w:t>
            </w:r>
          </w:p>
          <w:p w14:paraId="427C4955" w14:textId="77777777" w:rsidR="005F636F" w:rsidRPr="00BD6FEB" w:rsidRDefault="005F636F" w:rsidP="001C463A">
            <w:pPr>
              <w:numPr>
                <w:ilvl w:val="12"/>
                <w:numId w:val="0"/>
              </w:numPr>
              <w:spacing w:after="0"/>
              <w:ind w:right="-2"/>
              <w:jc w:val="left"/>
              <w:rPr>
                <w:noProof/>
                <w:szCs w:val="22"/>
              </w:rPr>
            </w:pPr>
            <w:r>
              <w:rPr>
                <w:noProof/>
                <w:szCs w:val="22"/>
              </w:rPr>
              <w:t xml:space="preserve">Hyponatraemia </w:t>
            </w:r>
          </w:p>
          <w:p w14:paraId="427C4956" w14:textId="77777777" w:rsidR="005F636F" w:rsidRDefault="005F636F" w:rsidP="001C463A">
            <w:pPr>
              <w:spacing w:after="0"/>
              <w:rPr>
                <w:noProof/>
                <w:szCs w:val="22"/>
              </w:rPr>
            </w:pPr>
            <w:r w:rsidRPr="00BD6FEB">
              <w:rPr>
                <w:noProof/>
                <w:szCs w:val="22"/>
              </w:rPr>
              <w:t>Hypokalaemia</w:t>
            </w:r>
            <w:r>
              <w:rPr>
                <w:noProof/>
                <w:szCs w:val="22"/>
              </w:rPr>
              <w:t xml:space="preserve"> </w:t>
            </w:r>
          </w:p>
          <w:p w14:paraId="427C4957" w14:textId="77777777" w:rsidR="005F636F" w:rsidRDefault="005F636F" w:rsidP="001C463A">
            <w:pPr>
              <w:spacing w:after="0"/>
            </w:pPr>
            <w:r w:rsidRPr="00C237AC">
              <w:rPr>
                <w:noProof/>
                <w:szCs w:val="22"/>
              </w:rPr>
              <w:t>Decreased appetite</w:t>
            </w:r>
          </w:p>
        </w:tc>
      </w:tr>
      <w:tr w:rsidR="005F636F" w14:paraId="427C495D" w14:textId="77777777" w:rsidTr="001C463A">
        <w:tc>
          <w:tcPr>
            <w:tcW w:w="1809" w:type="dxa"/>
            <w:tcBorders>
              <w:top w:val="nil"/>
            </w:tcBorders>
          </w:tcPr>
          <w:p w14:paraId="427C4959" w14:textId="77777777" w:rsidR="005F636F" w:rsidRDefault="005F636F" w:rsidP="001C463A">
            <w:pPr>
              <w:spacing w:after="0"/>
            </w:pPr>
          </w:p>
        </w:tc>
        <w:tc>
          <w:tcPr>
            <w:tcW w:w="1843" w:type="dxa"/>
            <w:vMerge/>
          </w:tcPr>
          <w:p w14:paraId="427C495A" w14:textId="77777777" w:rsidR="005F636F" w:rsidRDefault="005F636F" w:rsidP="001C463A">
            <w:pPr>
              <w:spacing w:after="0"/>
            </w:pPr>
          </w:p>
        </w:tc>
        <w:tc>
          <w:tcPr>
            <w:tcW w:w="2977" w:type="dxa"/>
            <w:vMerge/>
          </w:tcPr>
          <w:p w14:paraId="427C495B" w14:textId="77777777" w:rsidR="005F636F" w:rsidRDefault="005F636F" w:rsidP="001C463A">
            <w:pPr>
              <w:spacing w:after="0"/>
            </w:pPr>
          </w:p>
        </w:tc>
        <w:tc>
          <w:tcPr>
            <w:tcW w:w="3225" w:type="dxa"/>
            <w:vMerge/>
          </w:tcPr>
          <w:p w14:paraId="427C495C" w14:textId="77777777" w:rsidR="005F636F" w:rsidRDefault="005F636F" w:rsidP="001C463A">
            <w:pPr>
              <w:spacing w:after="0"/>
            </w:pPr>
          </w:p>
        </w:tc>
      </w:tr>
      <w:tr w:rsidR="00A00F64" w14:paraId="427C4962" w14:textId="77777777" w:rsidTr="001C463A">
        <w:tc>
          <w:tcPr>
            <w:tcW w:w="1809" w:type="dxa"/>
            <w:tcBorders>
              <w:bottom w:val="single" w:sz="4" w:space="0" w:color="auto"/>
            </w:tcBorders>
          </w:tcPr>
          <w:p w14:paraId="427C495E" w14:textId="77777777" w:rsidR="00A00F64" w:rsidRDefault="00A00F64" w:rsidP="001C463A">
            <w:pPr>
              <w:spacing w:after="0"/>
            </w:pPr>
            <w:r w:rsidRPr="00BD6FEB">
              <w:rPr>
                <w:noProof/>
                <w:szCs w:val="22"/>
              </w:rPr>
              <w:t>Psychiatric disorders</w:t>
            </w:r>
          </w:p>
        </w:tc>
        <w:tc>
          <w:tcPr>
            <w:tcW w:w="1843" w:type="dxa"/>
          </w:tcPr>
          <w:p w14:paraId="427C495F" w14:textId="77777777" w:rsidR="00A00F64" w:rsidRDefault="00A00F64" w:rsidP="001C463A">
            <w:pPr>
              <w:spacing w:after="0"/>
            </w:pPr>
            <w:r>
              <w:rPr>
                <w:noProof/>
                <w:szCs w:val="22"/>
              </w:rPr>
              <w:t>Very common</w:t>
            </w:r>
          </w:p>
        </w:tc>
        <w:tc>
          <w:tcPr>
            <w:tcW w:w="2977" w:type="dxa"/>
          </w:tcPr>
          <w:p w14:paraId="427C4960" w14:textId="77777777" w:rsidR="00A00F64" w:rsidRDefault="00A00F64" w:rsidP="00556ABE">
            <w:pPr>
              <w:spacing w:after="0"/>
            </w:pPr>
            <w:r w:rsidRPr="00787FEF">
              <w:t xml:space="preserve">Insomnia </w:t>
            </w:r>
          </w:p>
        </w:tc>
        <w:tc>
          <w:tcPr>
            <w:tcW w:w="3225" w:type="dxa"/>
          </w:tcPr>
          <w:p w14:paraId="427C4961" w14:textId="77777777" w:rsidR="00A00F64" w:rsidRDefault="00A00F64" w:rsidP="001C463A">
            <w:pPr>
              <w:spacing w:after="0"/>
            </w:pPr>
          </w:p>
        </w:tc>
      </w:tr>
      <w:tr w:rsidR="00A00F64" w14:paraId="427C4969" w14:textId="77777777" w:rsidTr="001C463A">
        <w:tc>
          <w:tcPr>
            <w:tcW w:w="1809" w:type="dxa"/>
            <w:tcBorders>
              <w:bottom w:val="nil"/>
            </w:tcBorders>
          </w:tcPr>
          <w:p w14:paraId="427C4963" w14:textId="77777777" w:rsidR="00A00F64" w:rsidRDefault="00A00F64" w:rsidP="001C463A">
            <w:pPr>
              <w:spacing w:after="0"/>
            </w:pPr>
            <w:r w:rsidRPr="00BD6FEB">
              <w:rPr>
                <w:noProof/>
                <w:color w:val="000000"/>
                <w:szCs w:val="22"/>
                <w:lang w:val="da-DK"/>
              </w:rPr>
              <w:t>Nervous system disorders</w:t>
            </w:r>
          </w:p>
        </w:tc>
        <w:tc>
          <w:tcPr>
            <w:tcW w:w="1843" w:type="dxa"/>
          </w:tcPr>
          <w:p w14:paraId="427C4964" w14:textId="77777777" w:rsidR="00A00F64" w:rsidRDefault="00A00F64" w:rsidP="001C463A">
            <w:pPr>
              <w:spacing w:after="0"/>
            </w:pPr>
            <w:r>
              <w:rPr>
                <w:noProof/>
                <w:szCs w:val="22"/>
              </w:rPr>
              <w:t>Very common</w:t>
            </w:r>
          </w:p>
        </w:tc>
        <w:tc>
          <w:tcPr>
            <w:tcW w:w="2977" w:type="dxa"/>
          </w:tcPr>
          <w:p w14:paraId="427C4965" w14:textId="77777777" w:rsidR="00A00F64" w:rsidRDefault="00A00F64" w:rsidP="001C463A">
            <w:pPr>
              <w:spacing w:after="0"/>
            </w:pPr>
            <w:r>
              <w:t>Headache</w:t>
            </w:r>
            <w:r w:rsidRPr="00787FEF">
              <w:rPr>
                <w:vertAlign w:val="superscript"/>
              </w:rPr>
              <w:t>c</w:t>
            </w:r>
            <w:r>
              <w:t xml:space="preserve"> </w:t>
            </w:r>
          </w:p>
          <w:p w14:paraId="427C4966" w14:textId="77777777" w:rsidR="00A00F64" w:rsidRDefault="00A00F64" w:rsidP="005C01C6">
            <w:pPr>
              <w:spacing w:after="0"/>
              <w:ind w:right="-108"/>
              <w:jc w:val="left"/>
            </w:pPr>
            <w:r>
              <w:t>Peripheral neuropathy</w:t>
            </w:r>
            <w:r w:rsidRPr="00787FEF">
              <w:rPr>
                <w:vertAlign w:val="superscript"/>
              </w:rPr>
              <w:t>d</w:t>
            </w:r>
            <w:r>
              <w:t xml:space="preserve"> </w:t>
            </w:r>
          </w:p>
          <w:p w14:paraId="427C4967" w14:textId="77777777" w:rsidR="00A00F64" w:rsidRDefault="00A00F64" w:rsidP="00556ABE">
            <w:pPr>
              <w:spacing w:after="0"/>
            </w:pPr>
            <w:r>
              <w:t xml:space="preserve">Dizziness </w:t>
            </w:r>
          </w:p>
        </w:tc>
        <w:tc>
          <w:tcPr>
            <w:tcW w:w="3225" w:type="dxa"/>
          </w:tcPr>
          <w:p w14:paraId="427C4968" w14:textId="77777777" w:rsidR="00A00F64" w:rsidRDefault="00A00F64" w:rsidP="001C463A">
            <w:pPr>
              <w:spacing w:after="0"/>
            </w:pPr>
          </w:p>
        </w:tc>
      </w:tr>
      <w:tr w:rsidR="00A00F64" w14:paraId="427C4970" w14:textId="77777777" w:rsidTr="001C463A">
        <w:tc>
          <w:tcPr>
            <w:tcW w:w="1809" w:type="dxa"/>
            <w:tcBorders>
              <w:top w:val="nil"/>
              <w:bottom w:val="single" w:sz="4" w:space="0" w:color="auto"/>
            </w:tcBorders>
          </w:tcPr>
          <w:p w14:paraId="427C496A" w14:textId="77777777" w:rsidR="00A00F64" w:rsidRDefault="00A00F64" w:rsidP="001C463A">
            <w:pPr>
              <w:spacing w:after="0"/>
            </w:pPr>
          </w:p>
        </w:tc>
        <w:tc>
          <w:tcPr>
            <w:tcW w:w="1843" w:type="dxa"/>
          </w:tcPr>
          <w:p w14:paraId="427C496B" w14:textId="77777777" w:rsidR="00A00F64" w:rsidRDefault="00A00F64" w:rsidP="001C463A">
            <w:pPr>
              <w:spacing w:after="0"/>
            </w:pPr>
            <w:r>
              <w:rPr>
                <w:noProof/>
                <w:szCs w:val="22"/>
              </w:rPr>
              <w:t>Common</w:t>
            </w:r>
          </w:p>
        </w:tc>
        <w:tc>
          <w:tcPr>
            <w:tcW w:w="2977" w:type="dxa"/>
          </w:tcPr>
          <w:p w14:paraId="427C496C" w14:textId="77777777" w:rsidR="00151EF8" w:rsidRDefault="00151EF8" w:rsidP="00151EF8">
            <w:pPr>
              <w:spacing w:after="0"/>
            </w:pPr>
            <w:r>
              <w:t>Memory impairment</w:t>
            </w:r>
          </w:p>
          <w:p w14:paraId="427C496D" w14:textId="77777777" w:rsidR="00A00F64" w:rsidRDefault="00A00F64" w:rsidP="00556ABE">
            <w:pPr>
              <w:spacing w:after="0"/>
            </w:pPr>
            <w:r w:rsidRPr="00787FEF">
              <w:t xml:space="preserve">Dysgeusia </w:t>
            </w:r>
          </w:p>
        </w:tc>
        <w:tc>
          <w:tcPr>
            <w:tcW w:w="3225" w:type="dxa"/>
          </w:tcPr>
          <w:p w14:paraId="427C496E" w14:textId="77777777" w:rsidR="00A00F64" w:rsidRDefault="00A00F64" w:rsidP="001C463A">
            <w:pPr>
              <w:spacing w:after="0"/>
            </w:pPr>
            <w:r>
              <w:t>Peripheral neuropathy</w:t>
            </w:r>
            <w:r w:rsidRPr="00787FEF">
              <w:rPr>
                <w:vertAlign w:val="superscript"/>
              </w:rPr>
              <w:t>d</w:t>
            </w:r>
            <w:r>
              <w:t xml:space="preserve"> </w:t>
            </w:r>
          </w:p>
          <w:p w14:paraId="427C496F" w14:textId="77777777" w:rsidR="00A00F64" w:rsidRDefault="00A00F64" w:rsidP="00556ABE">
            <w:pPr>
              <w:spacing w:after="0"/>
            </w:pPr>
            <w:r>
              <w:t>Headache</w:t>
            </w:r>
            <w:r w:rsidRPr="00787FEF">
              <w:rPr>
                <w:vertAlign w:val="superscript"/>
              </w:rPr>
              <w:t>c</w:t>
            </w:r>
            <w:r>
              <w:t xml:space="preserve"> </w:t>
            </w:r>
          </w:p>
        </w:tc>
      </w:tr>
      <w:tr w:rsidR="00A00F64" w14:paraId="427C4975" w14:textId="77777777" w:rsidTr="00556ABE">
        <w:trPr>
          <w:trHeight w:val="333"/>
        </w:trPr>
        <w:tc>
          <w:tcPr>
            <w:tcW w:w="1809" w:type="dxa"/>
            <w:tcBorders>
              <w:bottom w:val="nil"/>
            </w:tcBorders>
          </w:tcPr>
          <w:p w14:paraId="427C4971" w14:textId="77777777" w:rsidR="00A00F64" w:rsidRDefault="00A00F64" w:rsidP="001C463A">
            <w:pPr>
              <w:spacing w:after="0"/>
            </w:pPr>
            <w:r w:rsidRPr="00BD6FEB">
              <w:rPr>
                <w:szCs w:val="22"/>
              </w:rPr>
              <w:t>Eye disorders</w:t>
            </w:r>
          </w:p>
        </w:tc>
        <w:tc>
          <w:tcPr>
            <w:tcW w:w="1843" w:type="dxa"/>
          </w:tcPr>
          <w:p w14:paraId="427C4972" w14:textId="77777777" w:rsidR="00A00F64" w:rsidRDefault="00A00F64" w:rsidP="001C463A">
            <w:pPr>
              <w:spacing w:after="0"/>
            </w:pPr>
            <w:r>
              <w:rPr>
                <w:noProof/>
                <w:szCs w:val="22"/>
              </w:rPr>
              <w:t>Very common</w:t>
            </w:r>
          </w:p>
        </w:tc>
        <w:tc>
          <w:tcPr>
            <w:tcW w:w="2977" w:type="dxa"/>
          </w:tcPr>
          <w:p w14:paraId="427C4973" w14:textId="77777777" w:rsidR="00A00F64" w:rsidRDefault="00A00F64" w:rsidP="00556ABE">
            <w:pPr>
              <w:spacing w:after="0"/>
              <w:jc w:val="left"/>
            </w:pPr>
            <w:r>
              <w:t>Visual Disturbance</w:t>
            </w:r>
            <w:r w:rsidRPr="00787FEF">
              <w:rPr>
                <w:vertAlign w:val="superscript"/>
              </w:rPr>
              <w:t>e</w:t>
            </w:r>
            <w:r>
              <w:t xml:space="preserve"> </w:t>
            </w:r>
          </w:p>
        </w:tc>
        <w:tc>
          <w:tcPr>
            <w:tcW w:w="3225" w:type="dxa"/>
          </w:tcPr>
          <w:p w14:paraId="427C4974" w14:textId="77777777" w:rsidR="00A00F64" w:rsidRDefault="00A00F64" w:rsidP="001C463A">
            <w:pPr>
              <w:spacing w:after="0"/>
            </w:pPr>
          </w:p>
        </w:tc>
      </w:tr>
      <w:tr w:rsidR="00A00F64" w14:paraId="427C497A" w14:textId="77777777" w:rsidTr="001C463A">
        <w:tc>
          <w:tcPr>
            <w:tcW w:w="1809" w:type="dxa"/>
            <w:tcBorders>
              <w:top w:val="nil"/>
              <w:bottom w:val="single" w:sz="4" w:space="0" w:color="auto"/>
            </w:tcBorders>
          </w:tcPr>
          <w:p w14:paraId="427C4976" w14:textId="77777777" w:rsidR="00A00F64" w:rsidRDefault="00A00F64" w:rsidP="001C463A">
            <w:pPr>
              <w:spacing w:after="0"/>
            </w:pPr>
          </w:p>
        </w:tc>
        <w:tc>
          <w:tcPr>
            <w:tcW w:w="1843" w:type="dxa"/>
          </w:tcPr>
          <w:p w14:paraId="427C4977" w14:textId="77777777" w:rsidR="00A00F64" w:rsidRDefault="00A00F64" w:rsidP="001C463A">
            <w:pPr>
              <w:spacing w:after="0"/>
            </w:pPr>
            <w:r>
              <w:rPr>
                <w:noProof/>
                <w:szCs w:val="22"/>
              </w:rPr>
              <w:t>Common</w:t>
            </w:r>
          </w:p>
        </w:tc>
        <w:tc>
          <w:tcPr>
            <w:tcW w:w="2977" w:type="dxa"/>
          </w:tcPr>
          <w:p w14:paraId="427C4978" w14:textId="77777777" w:rsidR="00A00F64" w:rsidRDefault="00A00F64" w:rsidP="001C463A">
            <w:pPr>
              <w:spacing w:after="0"/>
            </w:pPr>
          </w:p>
        </w:tc>
        <w:tc>
          <w:tcPr>
            <w:tcW w:w="3225" w:type="dxa"/>
          </w:tcPr>
          <w:p w14:paraId="427C4979" w14:textId="77777777" w:rsidR="00A00F64" w:rsidRDefault="00A00F64" w:rsidP="00556ABE">
            <w:pPr>
              <w:spacing w:after="0"/>
            </w:pPr>
            <w:r>
              <w:t>Visual Disturbance</w:t>
            </w:r>
            <w:r w:rsidRPr="00787FEF">
              <w:rPr>
                <w:vertAlign w:val="superscript"/>
              </w:rPr>
              <w:t>e</w:t>
            </w:r>
            <w:r>
              <w:t xml:space="preserve"> </w:t>
            </w:r>
          </w:p>
        </w:tc>
      </w:tr>
      <w:tr w:rsidR="00A00F64" w14:paraId="427C4982" w14:textId="77777777" w:rsidTr="001C463A">
        <w:tc>
          <w:tcPr>
            <w:tcW w:w="1809" w:type="dxa"/>
            <w:tcBorders>
              <w:bottom w:val="nil"/>
            </w:tcBorders>
          </w:tcPr>
          <w:p w14:paraId="427C497B" w14:textId="77777777" w:rsidR="00A00F64" w:rsidRDefault="00A00F64" w:rsidP="001C463A">
            <w:pPr>
              <w:spacing w:after="0"/>
            </w:pPr>
            <w:r w:rsidRPr="00BD6FEB">
              <w:rPr>
                <w:noProof/>
                <w:color w:val="000000"/>
                <w:szCs w:val="22"/>
                <w:lang w:val="da-DK"/>
              </w:rPr>
              <w:t>Cardiac disorders</w:t>
            </w:r>
          </w:p>
        </w:tc>
        <w:tc>
          <w:tcPr>
            <w:tcW w:w="1843" w:type="dxa"/>
          </w:tcPr>
          <w:p w14:paraId="427C497C" w14:textId="77777777" w:rsidR="00A00F64" w:rsidRDefault="00A00F64" w:rsidP="001C463A">
            <w:pPr>
              <w:spacing w:after="0"/>
            </w:pPr>
            <w:r>
              <w:rPr>
                <w:noProof/>
                <w:szCs w:val="22"/>
              </w:rPr>
              <w:t>Common</w:t>
            </w:r>
          </w:p>
        </w:tc>
        <w:tc>
          <w:tcPr>
            <w:tcW w:w="2977" w:type="dxa"/>
          </w:tcPr>
          <w:p w14:paraId="427C497D" w14:textId="77777777" w:rsidR="00B553CC" w:rsidRDefault="00151EF8" w:rsidP="001C463A">
            <w:pPr>
              <w:spacing w:after="0"/>
            </w:pPr>
            <w:r>
              <w:t>Tachycardia</w:t>
            </w:r>
            <w:r w:rsidR="00FF3432" w:rsidRPr="00FF3432">
              <w:rPr>
                <w:vertAlign w:val="superscript"/>
              </w:rPr>
              <w:t>f</w:t>
            </w:r>
            <w:r w:rsidR="00B553CC">
              <w:t xml:space="preserve"> </w:t>
            </w:r>
          </w:p>
          <w:p w14:paraId="427C497E" w14:textId="77777777" w:rsidR="00151EF8" w:rsidRDefault="00A556C8" w:rsidP="00151EF8">
            <w:pPr>
              <w:spacing w:after="0"/>
              <w:jc w:val="left"/>
            </w:pPr>
            <w:r>
              <w:t xml:space="preserve">Electrocardiogram QT </w:t>
            </w:r>
            <w:r>
              <w:lastRenderedPageBreak/>
              <w:t>prolonged</w:t>
            </w:r>
          </w:p>
          <w:p w14:paraId="427C497F" w14:textId="77777777" w:rsidR="00A00F64" w:rsidRDefault="00A00F64" w:rsidP="001C463A">
            <w:pPr>
              <w:spacing w:after="0"/>
            </w:pPr>
            <w:r>
              <w:t>Bradycardia</w:t>
            </w:r>
            <w:r w:rsidR="006017CB">
              <w:rPr>
                <w:vertAlign w:val="superscript"/>
              </w:rPr>
              <w:t>g</w:t>
            </w:r>
            <w:r>
              <w:t xml:space="preserve"> </w:t>
            </w:r>
          </w:p>
          <w:p w14:paraId="427C4980" w14:textId="77777777" w:rsidR="00A00F64" w:rsidRDefault="00A00F64" w:rsidP="00556ABE">
            <w:pPr>
              <w:spacing w:after="0"/>
            </w:pPr>
            <w:r>
              <w:t>Palpitations</w:t>
            </w:r>
          </w:p>
        </w:tc>
        <w:tc>
          <w:tcPr>
            <w:tcW w:w="3225" w:type="dxa"/>
          </w:tcPr>
          <w:p w14:paraId="427C4981" w14:textId="77777777" w:rsidR="00A00F64" w:rsidRDefault="00A00F64" w:rsidP="001C463A">
            <w:pPr>
              <w:spacing w:after="0"/>
            </w:pPr>
          </w:p>
        </w:tc>
      </w:tr>
      <w:tr w:rsidR="00A00F64" w14:paraId="427C4987" w14:textId="77777777" w:rsidTr="001C463A">
        <w:tc>
          <w:tcPr>
            <w:tcW w:w="1809" w:type="dxa"/>
            <w:tcBorders>
              <w:top w:val="nil"/>
              <w:bottom w:val="single" w:sz="4" w:space="0" w:color="auto"/>
            </w:tcBorders>
          </w:tcPr>
          <w:p w14:paraId="427C4983" w14:textId="77777777" w:rsidR="00A00F64" w:rsidRDefault="00A00F64" w:rsidP="001C463A">
            <w:pPr>
              <w:spacing w:after="0"/>
            </w:pPr>
          </w:p>
        </w:tc>
        <w:tc>
          <w:tcPr>
            <w:tcW w:w="1843" w:type="dxa"/>
          </w:tcPr>
          <w:p w14:paraId="427C4984" w14:textId="77777777" w:rsidR="00A00F64" w:rsidRDefault="00A00F64" w:rsidP="001C463A">
            <w:pPr>
              <w:spacing w:after="0"/>
            </w:pPr>
            <w:r>
              <w:rPr>
                <w:noProof/>
                <w:szCs w:val="22"/>
              </w:rPr>
              <w:t>Uncommon</w:t>
            </w:r>
          </w:p>
        </w:tc>
        <w:tc>
          <w:tcPr>
            <w:tcW w:w="2977" w:type="dxa"/>
          </w:tcPr>
          <w:p w14:paraId="427C4985" w14:textId="77777777" w:rsidR="00A00F64" w:rsidRDefault="00A00F64" w:rsidP="001C463A">
            <w:pPr>
              <w:spacing w:after="0"/>
            </w:pPr>
          </w:p>
        </w:tc>
        <w:tc>
          <w:tcPr>
            <w:tcW w:w="3225" w:type="dxa"/>
          </w:tcPr>
          <w:p w14:paraId="427C4986" w14:textId="77777777" w:rsidR="00A00F64" w:rsidRDefault="00A00F64" w:rsidP="00556ABE">
            <w:pPr>
              <w:spacing w:after="0"/>
              <w:jc w:val="left"/>
            </w:pPr>
            <w:r>
              <w:t>Electrocardiogram QT prolonged</w:t>
            </w:r>
          </w:p>
        </w:tc>
      </w:tr>
      <w:tr w:rsidR="005F636F" w14:paraId="427C498C" w14:textId="77777777" w:rsidTr="001C463A">
        <w:tc>
          <w:tcPr>
            <w:tcW w:w="1809" w:type="dxa"/>
            <w:tcBorders>
              <w:bottom w:val="nil"/>
            </w:tcBorders>
          </w:tcPr>
          <w:p w14:paraId="427C4988" w14:textId="77777777" w:rsidR="005F636F" w:rsidRDefault="005F636F" w:rsidP="001C463A">
            <w:pPr>
              <w:spacing w:after="0"/>
            </w:pPr>
            <w:r w:rsidRPr="00BD6FEB">
              <w:rPr>
                <w:szCs w:val="22"/>
              </w:rPr>
              <w:t>Vascular disorders</w:t>
            </w:r>
          </w:p>
        </w:tc>
        <w:tc>
          <w:tcPr>
            <w:tcW w:w="1843" w:type="dxa"/>
            <w:vMerge w:val="restart"/>
          </w:tcPr>
          <w:p w14:paraId="427C4989" w14:textId="77777777" w:rsidR="005F636F" w:rsidRDefault="005F636F" w:rsidP="001C463A">
            <w:pPr>
              <w:spacing w:after="0"/>
            </w:pPr>
            <w:r w:rsidRPr="00BD6FEB">
              <w:rPr>
                <w:szCs w:val="22"/>
              </w:rPr>
              <w:t>Very Common</w:t>
            </w:r>
          </w:p>
        </w:tc>
        <w:tc>
          <w:tcPr>
            <w:tcW w:w="2977" w:type="dxa"/>
            <w:vMerge w:val="restart"/>
          </w:tcPr>
          <w:p w14:paraId="427C498A" w14:textId="77777777" w:rsidR="005F636F" w:rsidRDefault="005F636F" w:rsidP="001C463A">
            <w:pPr>
              <w:spacing w:after="0"/>
            </w:pPr>
            <w:r w:rsidRPr="00787FEF">
              <w:t>Hypertension</w:t>
            </w:r>
          </w:p>
        </w:tc>
        <w:tc>
          <w:tcPr>
            <w:tcW w:w="3225" w:type="dxa"/>
            <w:vMerge w:val="restart"/>
          </w:tcPr>
          <w:p w14:paraId="427C498B" w14:textId="77777777" w:rsidR="005F636F" w:rsidRDefault="005F636F" w:rsidP="001C463A">
            <w:pPr>
              <w:spacing w:after="0"/>
            </w:pPr>
            <w:r w:rsidRPr="00787FEF">
              <w:t>Hypertension</w:t>
            </w:r>
          </w:p>
        </w:tc>
      </w:tr>
      <w:tr w:rsidR="005F636F" w14:paraId="427C4991" w14:textId="77777777" w:rsidTr="001C463A">
        <w:tc>
          <w:tcPr>
            <w:tcW w:w="1809" w:type="dxa"/>
            <w:tcBorders>
              <w:top w:val="nil"/>
              <w:bottom w:val="single" w:sz="4" w:space="0" w:color="auto"/>
            </w:tcBorders>
          </w:tcPr>
          <w:p w14:paraId="427C498D" w14:textId="77777777" w:rsidR="005F636F" w:rsidRDefault="005F636F" w:rsidP="001C463A">
            <w:pPr>
              <w:spacing w:after="0"/>
            </w:pPr>
          </w:p>
        </w:tc>
        <w:tc>
          <w:tcPr>
            <w:tcW w:w="1843" w:type="dxa"/>
            <w:vMerge/>
          </w:tcPr>
          <w:p w14:paraId="427C498E" w14:textId="77777777" w:rsidR="005F636F" w:rsidRDefault="005F636F" w:rsidP="001C463A">
            <w:pPr>
              <w:spacing w:after="0"/>
            </w:pPr>
          </w:p>
        </w:tc>
        <w:tc>
          <w:tcPr>
            <w:tcW w:w="2977" w:type="dxa"/>
            <w:vMerge/>
          </w:tcPr>
          <w:p w14:paraId="427C498F" w14:textId="77777777" w:rsidR="005F636F" w:rsidRDefault="005F636F" w:rsidP="001C463A">
            <w:pPr>
              <w:spacing w:after="0"/>
            </w:pPr>
          </w:p>
        </w:tc>
        <w:tc>
          <w:tcPr>
            <w:tcW w:w="3225" w:type="dxa"/>
            <w:vMerge/>
          </w:tcPr>
          <w:p w14:paraId="427C4990" w14:textId="77777777" w:rsidR="005F636F" w:rsidRDefault="005F636F" w:rsidP="001C463A">
            <w:pPr>
              <w:spacing w:after="0"/>
            </w:pPr>
          </w:p>
        </w:tc>
      </w:tr>
      <w:tr w:rsidR="00A00F64" w14:paraId="427C4997" w14:textId="77777777" w:rsidTr="001C463A">
        <w:tc>
          <w:tcPr>
            <w:tcW w:w="1809" w:type="dxa"/>
            <w:tcBorders>
              <w:bottom w:val="nil"/>
            </w:tcBorders>
          </w:tcPr>
          <w:p w14:paraId="427C4992" w14:textId="77777777" w:rsidR="00A00F64" w:rsidRDefault="00A00F64" w:rsidP="001C463A">
            <w:pPr>
              <w:spacing w:after="0"/>
            </w:pPr>
            <w:r w:rsidRPr="00BD6FEB">
              <w:rPr>
                <w:szCs w:val="22"/>
              </w:rPr>
              <w:t xml:space="preserve">Respiratory, thoracic and </w:t>
            </w:r>
            <w:r>
              <w:rPr>
                <w:szCs w:val="22"/>
              </w:rPr>
              <w:t>m</w:t>
            </w:r>
            <w:r w:rsidRPr="00BD6FEB">
              <w:rPr>
                <w:szCs w:val="22"/>
              </w:rPr>
              <w:t>ediastinal disorders</w:t>
            </w:r>
          </w:p>
        </w:tc>
        <w:tc>
          <w:tcPr>
            <w:tcW w:w="1843" w:type="dxa"/>
          </w:tcPr>
          <w:p w14:paraId="427C4993" w14:textId="77777777" w:rsidR="00A00F64" w:rsidRDefault="00A00F64" w:rsidP="001C463A">
            <w:pPr>
              <w:spacing w:after="0"/>
            </w:pPr>
            <w:r w:rsidRPr="00BD6FEB">
              <w:rPr>
                <w:szCs w:val="22"/>
              </w:rPr>
              <w:t>Very Common</w:t>
            </w:r>
          </w:p>
        </w:tc>
        <w:tc>
          <w:tcPr>
            <w:tcW w:w="2977" w:type="dxa"/>
          </w:tcPr>
          <w:p w14:paraId="427C4994" w14:textId="77777777" w:rsidR="00A00F64" w:rsidRDefault="00A00F64" w:rsidP="001C463A">
            <w:pPr>
              <w:spacing w:after="0"/>
            </w:pPr>
            <w:r>
              <w:t>Cough</w:t>
            </w:r>
          </w:p>
          <w:p w14:paraId="427C4995" w14:textId="77777777" w:rsidR="00A00F64" w:rsidRDefault="00A00F64" w:rsidP="00556ABE">
            <w:pPr>
              <w:spacing w:after="0"/>
            </w:pPr>
            <w:r>
              <w:t>Dyspnoea</w:t>
            </w:r>
            <w:r w:rsidR="006017CB">
              <w:rPr>
                <w:vertAlign w:val="superscript"/>
              </w:rPr>
              <w:t>h</w:t>
            </w:r>
            <w:r>
              <w:t xml:space="preserve"> </w:t>
            </w:r>
          </w:p>
        </w:tc>
        <w:tc>
          <w:tcPr>
            <w:tcW w:w="3225" w:type="dxa"/>
          </w:tcPr>
          <w:p w14:paraId="427C4996" w14:textId="77777777" w:rsidR="00A00F64" w:rsidRDefault="00A00F64" w:rsidP="001C463A">
            <w:pPr>
              <w:spacing w:after="0"/>
            </w:pPr>
          </w:p>
        </w:tc>
      </w:tr>
      <w:tr w:rsidR="00A00F64" w14:paraId="427C499D" w14:textId="77777777" w:rsidTr="001C463A">
        <w:tc>
          <w:tcPr>
            <w:tcW w:w="1809" w:type="dxa"/>
            <w:tcBorders>
              <w:top w:val="nil"/>
              <w:bottom w:val="single" w:sz="4" w:space="0" w:color="auto"/>
            </w:tcBorders>
          </w:tcPr>
          <w:p w14:paraId="427C4998" w14:textId="77777777" w:rsidR="00A00F64" w:rsidRDefault="00A00F64" w:rsidP="001C463A">
            <w:pPr>
              <w:spacing w:after="0"/>
            </w:pPr>
          </w:p>
        </w:tc>
        <w:tc>
          <w:tcPr>
            <w:tcW w:w="1843" w:type="dxa"/>
          </w:tcPr>
          <w:p w14:paraId="427C4999" w14:textId="77777777" w:rsidR="00A00F64" w:rsidRDefault="00A00F64" w:rsidP="001C463A">
            <w:pPr>
              <w:spacing w:after="0"/>
            </w:pPr>
            <w:r w:rsidRPr="00BD6FEB">
              <w:rPr>
                <w:szCs w:val="22"/>
              </w:rPr>
              <w:t>Common</w:t>
            </w:r>
          </w:p>
        </w:tc>
        <w:tc>
          <w:tcPr>
            <w:tcW w:w="2977" w:type="dxa"/>
          </w:tcPr>
          <w:p w14:paraId="427C499A" w14:textId="77777777" w:rsidR="00A00F64" w:rsidRDefault="00A00F64" w:rsidP="00556ABE">
            <w:pPr>
              <w:spacing w:after="0"/>
            </w:pPr>
            <w:r w:rsidRPr="009F3805">
              <w:t>Pneumonitis</w:t>
            </w:r>
            <w:r w:rsidR="006017CB">
              <w:rPr>
                <w:vertAlign w:val="superscript"/>
              </w:rPr>
              <w:t>i</w:t>
            </w:r>
          </w:p>
        </w:tc>
        <w:tc>
          <w:tcPr>
            <w:tcW w:w="3225" w:type="dxa"/>
          </w:tcPr>
          <w:p w14:paraId="427C499B" w14:textId="77777777" w:rsidR="0007393E" w:rsidRDefault="00A00F64" w:rsidP="00556ABE">
            <w:pPr>
              <w:spacing w:after="0"/>
            </w:pPr>
            <w:r>
              <w:t>Pneumonitis</w:t>
            </w:r>
            <w:r w:rsidR="006017CB">
              <w:rPr>
                <w:vertAlign w:val="superscript"/>
              </w:rPr>
              <w:t>i</w:t>
            </w:r>
            <w:r>
              <w:t xml:space="preserve"> </w:t>
            </w:r>
          </w:p>
          <w:p w14:paraId="427C499C" w14:textId="77777777" w:rsidR="00A00F64" w:rsidRDefault="00A00F64" w:rsidP="00556ABE">
            <w:pPr>
              <w:spacing w:after="0"/>
            </w:pPr>
            <w:r>
              <w:t>Dyspnoea</w:t>
            </w:r>
            <w:r w:rsidR="006017CB">
              <w:rPr>
                <w:vertAlign w:val="superscript"/>
              </w:rPr>
              <w:t>h</w:t>
            </w:r>
            <w:r>
              <w:t xml:space="preserve"> </w:t>
            </w:r>
          </w:p>
        </w:tc>
      </w:tr>
      <w:tr w:rsidR="00A00F64" w14:paraId="427C49AA" w14:textId="77777777" w:rsidTr="001C463A">
        <w:tc>
          <w:tcPr>
            <w:tcW w:w="1809" w:type="dxa"/>
            <w:tcBorders>
              <w:bottom w:val="nil"/>
            </w:tcBorders>
          </w:tcPr>
          <w:p w14:paraId="427C499E" w14:textId="77777777" w:rsidR="00A00F64" w:rsidRDefault="00A00F64" w:rsidP="001C463A">
            <w:pPr>
              <w:spacing w:after="0"/>
            </w:pPr>
            <w:r w:rsidRPr="00BD6FEB">
              <w:rPr>
                <w:noProof/>
                <w:color w:val="000000"/>
                <w:szCs w:val="22"/>
                <w:lang w:val="da-DK"/>
              </w:rPr>
              <w:t>Gastrointestinal disorders</w:t>
            </w:r>
          </w:p>
        </w:tc>
        <w:tc>
          <w:tcPr>
            <w:tcW w:w="1843" w:type="dxa"/>
          </w:tcPr>
          <w:p w14:paraId="427C499F" w14:textId="77777777" w:rsidR="00A00F64" w:rsidRDefault="00A00F64" w:rsidP="001C463A">
            <w:pPr>
              <w:spacing w:after="0"/>
            </w:pPr>
            <w:r w:rsidRPr="00BD6FEB">
              <w:rPr>
                <w:szCs w:val="22"/>
              </w:rPr>
              <w:t>Very Common</w:t>
            </w:r>
          </w:p>
        </w:tc>
        <w:tc>
          <w:tcPr>
            <w:tcW w:w="2977" w:type="dxa"/>
          </w:tcPr>
          <w:p w14:paraId="427C49A0" w14:textId="77777777" w:rsidR="00151EF8" w:rsidRDefault="00A556C8" w:rsidP="00151EF8">
            <w:pPr>
              <w:spacing w:after="0"/>
            </w:pPr>
            <w:r>
              <w:t>Lipase increased</w:t>
            </w:r>
          </w:p>
          <w:p w14:paraId="427C49A1" w14:textId="77777777" w:rsidR="00A00F64" w:rsidRDefault="00A00F64" w:rsidP="001C463A">
            <w:pPr>
              <w:spacing w:after="0"/>
            </w:pPr>
            <w:r>
              <w:t xml:space="preserve">Nausea </w:t>
            </w:r>
          </w:p>
          <w:p w14:paraId="427C49A2" w14:textId="77777777" w:rsidR="00A00F64" w:rsidRDefault="00A00F64" w:rsidP="001C463A">
            <w:pPr>
              <w:spacing w:after="0"/>
            </w:pPr>
            <w:r>
              <w:t>Diarrhoea</w:t>
            </w:r>
            <w:r w:rsidR="006017CB">
              <w:rPr>
                <w:vertAlign w:val="superscript"/>
              </w:rPr>
              <w:t>j</w:t>
            </w:r>
            <w:r>
              <w:t xml:space="preserve"> </w:t>
            </w:r>
          </w:p>
          <w:p w14:paraId="427C49A3" w14:textId="77777777" w:rsidR="00A00F64" w:rsidRDefault="00A00F64" w:rsidP="001C463A">
            <w:pPr>
              <w:spacing w:after="0"/>
            </w:pPr>
            <w:r>
              <w:t xml:space="preserve">Amylase increased </w:t>
            </w:r>
          </w:p>
          <w:p w14:paraId="427C49A4" w14:textId="77777777" w:rsidR="00A00F64" w:rsidRDefault="00A00F64" w:rsidP="001C463A">
            <w:pPr>
              <w:spacing w:after="0"/>
            </w:pPr>
            <w:r>
              <w:t xml:space="preserve">Vomiting </w:t>
            </w:r>
          </w:p>
          <w:p w14:paraId="427C49A5" w14:textId="77777777" w:rsidR="00A00F64" w:rsidRDefault="00A00F64" w:rsidP="001C463A">
            <w:pPr>
              <w:spacing w:after="0"/>
            </w:pPr>
            <w:r>
              <w:t xml:space="preserve">Constipation </w:t>
            </w:r>
          </w:p>
          <w:p w14:paraId="427C49A6" w14:textId="77777777" w:rsidR="00A00F64" w:rsidRDefault="00A00F64" w:rsidP="001C463A">
            <w:pPr>
              <w:spacing w:after="0"/>
            </w:pPr>
            <w:r>
              <w:t>Abdominal pain</w:t>
            </w:r>
            <w:r w:rsidR="006017CB">
              <w:rPr>
                <w:vertAlign w:val="superscript"/>
              </w:rPr>
              <w:t>k</w:t>
            </w:r>
            <w:r>
              <w:t xml:space="preserve"> </w:t>
            </w:r>
          </w:p>
          <w:p w14:paraId="427C49A7" w14:textId="77777777" w:rsidR="005C01C6" w:rsidRDefault="00A00F64" w:rsidP="001C463A">
            <w:pPr>
              <w:spacing w:after="0"/>
            </w:pPr>
            <w:r>
              <w:t xml:space="preserve">Dry mouth </w:t>
            </w:r>
          </w:p>
          <w:p w14:paraId="427C49A8" w14:textId="77777777" w:rsidR="005D163F" w:rsidRDefault="00151EF8" w:rsidP="001C463A">
            <w:pPr>
              <w:spacing w:after="0"/>
            </w:pPr>
            <w:r>
              <w:t>Stomatitis</w:t>
            </w:r>
            <w:r w:rsidR="005D163F">
              <w:t xml:space="preserve"> </w:t>
            </w:r>
          </w:p>
        </w:tc>
        <w:tc>
          <w:tcPr>
            <w:tcW w:w="3225" w:type="dxa"/>
          </w:tcPr>
          <w:p w14:paraId="427C49A9" w14:textId="77777777" w:rsidR="00A00F64" w:rsidRDefault="00A00F64" w:rsidP="00556ABE">
            <w:pPr>
              <w:spacing w:after="0"/>
            </w:pPr>
            <w:r w:rsidRPr="00B315F1">
              <w:t>Lipase increased</w:t>
            </w:r>
          </w:p>
        </w:tc>
      </w:tr>
      <w:tr w:rsidR="00A00F64" w14:paraId="427C49B1" w14:textId="77777777" w:rsidTr="001C463A">
        <w:tc>
          <w:tcPr>
            <w:tcW w:w="1809" w:type="dxa"/>
            <w:tcBorders>
              <w:top w:val="nil"/>
              <w:bottom w:val="nil"/>
            </w:tcBorders>
          </w:tcPr>
          <w:p w14:paraId="427C49AB" w14:textId="77777777" w:rsidR="00A00F64" w:rsidRDefault="00A00F64" w:rsidP="001C463A">
            <w:pPr>
              <w:spacing w:after="0"/>
            </w:pPr>
          </w:p>
        </w:tc>
        <w:tc>
          <w:tcPr>
            <w:tcW w:w="1843" w:type="dxa"/>
          </w:tcPr>
          <w:p w14:paraId="427C49AC" w14:textId="77777777" w:rsidR="00A00F64" w:rsidRDefault="00A00F64" w:rsidP="001C463A">
            <w:pPr>
              <w:spacing w:after="0"/>
            </w:pPr>
            <w:r w:rsidRPr="00BD6FEB">
              <w:rPr>
                <w:szCs w:val="22"/>
              </w:rPr>
              <w:t>Common</w:t>
            </w:r>
          </w:p>
        </w:tc>
        <w:tc>
          <w:tcPr>
            <w:tcW w:w="2977" w:type="dxa"/>
          </w:tcPr>
          <w:p w14:paraId="427C49AD" w14:textId="77777777" w:rsidR="00A00F64" w:rsidRDefault="00A00F64" w:rsidP="001C463A">
            <w:pPr>
              <w:spacing w:after="0"/>
            </w:pPr>
            <w:r>
              <w:t>Dyspepsia</w:t>
            </w:r>
          </w:p>
          <w:p w14:paraId="427C49AE" w14:textId="77777777" w:rsidR="00A00F64" w:rsidRDefault="00A00F64" w:rsidP="00556ABE">
            <w:pPr>
              <w:spacing w:after="0"/>
            </w:pPr>
            <w:r>
              <w:t>Flatulence</w:t>
            </w:r>
          </w:p>
        </w:tc>
        <w:tc>
          <w:tcPr>
            <w:tcW w:w="3225" w:type="dxa"/>
          </w:tcPr>
          <w:p w14:paraId="427C49AF" w14:textId="77777777" w:rsidR="00A00F64" w:rsidRDefault="00A00F64" w:rsidP="001C463A">
            <w:pPr>
              <w:spacing w:after="0"/>
            </w:pPr>
            <w:r>
              <w:t>Amylase increased</w:t>
            </w:r>
          </w:p>
          <w:p w14:paraId="427C49B0" w14:textId="77777777" w:rsidR="00A00F64" w:rsidRDefault="00A00F64" w:rsidP="00556ABE">
            <w:pPr>
              <w:spacing w:after="0"/>
            </w:pPr>
            <w:r>
              <w:t>Abdominal pain</w:t>
            </w:r>
            <w:r w:rsidR="006017CB">
              <w:rPr>
                <w:vertAlign w:val="superscript"/>
              </w:rPr>
              <w:t>k</w:t>
            </w:r>
            <w:r>
              <w:t xml:space="preserve"> </w:t>
            </w:r>
          </w:p>
        </w:tc>
      </w:tr>
      <w:tr w:rsidR="00A00F64" w14:paraId="427C49B7" w14:textId="77777777" w:rsidTr="001C463A">
        <w:tc>
          <w:tcPr>
            <w:tcW w:w="1809" w:type="dxa"/>
            <w:tcBorders>
              <w:top w:val="nil"/>
              <w:bottom w:val="single" w:sz="4" w:space="0" w:color="auto"/>
            </w:tcBorders>
          </w:tcPr>
          <w:p w14:paraId="427C49B2" w14:textId="77777777" w:rsidR="00A00F64" w:rsidRDefault="00A00F64" w:rsidP="001C463A">
            <w:pPr>
              <w:spacing w:after="0"/>
            </w:pPr>
          </w:p>
        </w:tc>
        <w:tc>
          <w:tcPr>
            <w:tcW w:w="1843" w:type="dxa"/>
          </w:tcPr>
          <w:p w14:paraId="427C49B3" w14:textId="77777777" w:rsidR="00A00F64" w:rsidRDefault="00A00F64" w:rsidP="001C463A">
            <w:pPr>
              <w:spacing w:after="0"/>
            </w:pPr>
            <w:r>
              <w:rPr>
                <w:noProof/>
                <w:szCs w:val="22"/>
              </w:rPr>
              <w:t>Uncommon</w:t>
            </w:r>
          </w:p>
        </w:tc>
        <w:tc>
          <w:tcPr>
            <w:tcW w:w="2977" w:type="dxa"/>
          </w:tcPr>
          <w:p w14:paraId="427C49B4" w14:textId="1375BF21" w:rsidR="00A00F64" w:rsidRPr="00556ABE" w:rsidRDefault="00A00F64" w:rsidP="001C463A">
            <w:pPr>
              <w:spacing w:after="0"/>
            </w:pPr>
          </w:p>
        </w:tc>
        <w:tc>
          <w:tcPr>
            <w:tcW w:w="3225" w:type="dxa"/>
          </w:tcPr>
          <w:p w14:paraId="427C49B5" w14:textId="77777777" w:rsidR="00A00F64" w:rsidRPr="00556ABE" w:rsidRDefault="00A00F64" w:rsidP="001C463A">
            <w:pPr>
              <w:spacing w:after="0"/>
            </w:pPr>
            <w:r w:rsidRPr="00556ABE">
              <w:t xml:space="preserve">Nausea </w:t>
            </w:r>
          </w:p>
          <w:p w14:paraId="427C49B6" w14:textId="7F2E333E" w:rsidR="001E1430" w:rsidRPr="00556ABE" w:rsidRDefault="00A00F64" w:rsidP="001C463A">
            <w:pPr>
              <w:spacing w:after="0"/>
            </w:pPr>
            <w:r w:rsidRPr="00556ABE">
              <w:t>Dyspepsia</w:t>
            </w:r>
          </w:p>
        </w:tc>
      </w:tr>
      <w:tr w:rsidR="00A00F64" w14:paraId="427C49BE" w14:textId="77777777" w:rsidTr="001C463A">
        <w:tc>
          <w:tcPr>
            <w:tcW w:w="1809" w:type="dxa"/>
            <w:tcBorders>
              <w:bottom w:val="nil"/>
            </w:tcBorders>
          </w:tcPr>
          <w:p w14:paraId="427C49B8" w14:textId="77777777" w:rsidR="00A00F64" w:rsidRDefault="00A00F64" w:rsidP="001C463A">
            <w:pPr>
              <w:spacing w:after="0"/>
            </w:pPr>
            <w:r w:rsidRPr="00BD6FEB">
              <w:rPr>
                <w:noProof/>
                <w:color w:val="000000"/>
                <w:szCs w:val="22"/>
                <w:lang w:val="da-DK"/>
              </w:rPr>
              <w:t>Hepatobiliary disorders</w:t>
            </w:r>
          </w:p>
        </w:tc>
        <w:tc>
          <w:tcPr>
            <w:tcW w:w="1843" w:type="dxa"/>
          </w:tcPr>
          <w:p w14:paraId="427C49B9" w14:textId="77777777" w:rsidR="00A00F64" w:rsidRDefault="00A00F64" w:rsidP="001C463A">
            <w:pPr>
              <w:spacing w:after="0"/>
            </w:pPr>
            <w:r w:rsidRPr="00BD6FEB">
              <w:rPr>
                <w:szCs w:val="22"/>
              </w:rPr>
              <w:t>Very Common</w:t>
            </w:r>
          </w:p>
        </w:tc>
        <w:tc>
          <w:tcPr>
            <w:tcW w:w="2977" w:type="dxa"/>
          </w:tcPr>
          <w:p w14:paraId="427C49BA" w14:textId="77777777" w:rsidR="00A00F64" w:rsidRDefault="00A00F64" w:rsidP="001C463A">
            <w:pPr>
              <w:spacing w:after="0"/>
            </w:pPr>
            <w:r>
              <w:t>AST increased</w:t>
            </w:r>
          </w:p>
          <w:p w14:paraId="427C49BB" w14:textId="77777777" w:rsidR="00A00F64" w:rsidRDefault="00A00F64" w:rsidP="001C463A">
            <w:pPr>
              <w:spacing w:after="0"/>
            </w:pPr>
            <w:r>
              <w:t>ALT increased</w:t>
            </w:r>
          </w:p>
          <w:p w14:paraId="427C49BC" w14:textId="77777777" w:rsidR="00A00F64" w:rsidRDefault="00A00F64" w:rsidP="00151EF8">
            <w:pPr>
              <w:spacing w:after="0"/>
              <w:jc w:val="left"/>
            </w:pPr>
            <w:r>
              <w:t xml:space="preserve">Alkaline phosphatase increased </w:t>
            </w:r>
          </w:p>
        </w:tc>
        <w:tc>
          <w:tcPr>
            <w:tcW w:w="3225" w:type="dxa"/>
          </w:tcPr>
          <w:p w14:paraId="427C49BD" w14:textId="77777777" w:rsidR="00A00F64" w:rsidRDefault="00A00F64" w:rsidP="001C463A">
            <w:pPr>
              <w:spacing w:after="0"/>
            </w:pPr>
          </w:p>
        </w:tc>
      </w:tr>
      <w:tr w:rsidR="00A00F64" w14:paraId="427C49C6" w14:textId="77777777" w:rsidTr="001C463A">
        <w:tc>
          <w:tcPr>
            <w:tcW w:w="1809" w:type="dxa"/>
            <w:tcBorders>
              <w:top w:val="nil"/>
              <w:bottom w:val="single" w:sz="4" w:space="0" w:color="auto"/>
            </w:tcBorders>
          </w:tcPr>
          <w:p w14:paraId="427C49BF" w14:textId="77777777" w:rsidR="00A00F64" w:rsidRDefault="00A00F64" w:rsidP="001C463A">
            <w:pPr>
              <w:spacing w:after="0"/>
            </w:pPr>
          </w:p>
        </w:tc>
        <w:tc>
          <w:tcPr>
            <w:tcW w:w="1843" w:type="dxa"/>
          </w:tcPr>
          <w:p w14:paraId="427C49C0" w14:textId="77777777" w:rsidR="00A00F64" w:rsidRDefault="00A00F64" w:rsidP="001C463A">
            <w:pPr>
              <w:spacing w:after="0"/>
            </w:pPr>
            <w:r w:rsidRPr="00BD6FEB">
              <w:rPr>
                <w:szCs w:val="22"/>
              </w:rPr>
              <w:t>Common</w:t>
            </w:r>
          </w:p>
        </w:tc>
        <w:tc>
          <w:tcPr>
            <w:tcW w:w="2977" w:type="dxa"/>
          </w:tcPr>
          <w:p w14:paraId="427C49C2" w14:textId="2A70DA32" w:rsidR="005950E3" w:rsidRPr="00151EF8" w:rsidRDefault="00A00F64" w:rsidP="001C463A">
            <w:pPr>
              <w:spacing w:after="0"/>
              <w:jc w:val="left"/>
            </w:pPr>
            <w:r w:rsidRPr="00151EF8">
              <w:t>Blood lactate dehydrogenase increased</w:t>
            </w:r>
          </w:p>
        </w:tc>
        <w:tc>
          <w:tcPr>
            <w:tcW w:w="3225" w:type="dxa"/>
          </w:tcPr>
          <w:p w14:paraId="427C49C3" w14:textId="77777777" w:rsidR="00A00F64" w:rsidRPr="00151EF8" w:rsidRDefault="00A00F64" w:rsidP="001C463A">
            <w:pPr>
              <w:spacing w:after="0"/>
            </w:pPr>
            <w:r w:rsidRPr="00151EF8">
              <w:t xml:space="preserve">ALT increased </w:t>
            </w:r>
          </w:p>
          <w:p w14:paraId="427C49C4" w14:textId="77777777" w:rsidR="00A00F64" w:rsidRPr="00151EF8" w:rsidRDefault="00A00F64" w:rsidP="001C463A">
            <w:pPr>
              <w:spacing w:after="0"/>
            </w:pPr>
            <w:r w:rsidRPr="00151EF8">
              <w:t xml:space="preserve">AST increased </w:t>
            </w:r>
          </w:p>
          <w:p w14:paraId="427C49C5" w14:textId="466F6FA1" w:rsidR="001E1430" w:rsidRPr="00151EF8" w:rsidRDefault="00A00F64" w:rsidP="00D04B5D">
            <w:pPr>
              <w:spacing w:after="0"/>
              <w:jc w:val="left"/>
            </w:pPr>
            <w:r w:rsidRPr="00151EF8">
              <w:t>Alkaline phosphatase increased</w:t>
            </w:r>
          </w:p>
        </w:tc>
      </w:tr>
      <w:tr w:rsidR="00A00F64" w14:paraId="427C49CC" w14:textId="77777777" w:rsidTr="001C463A">
        <w:tc>
          <w:tcPr>
            <w:tcW w:w="1809" w:type="dxa"/>
            <w:tcBorders>
              <w:bottom w:val="nil"/>
            </w:tcBorders>
          </w:tcPr>
          <w:p w14:paraId="427C49C7" w14:textId="77777777" w:rsidR="00A00F64" w:rsidRDefault="00A00F64" w:rsidP="001C463A">
            <w:pPr>
              <w:spacing w:after="0"/>
              <w:jc w:val="left"/>
            </w:pPr>
            <w:r w:rsidRPr="005D0D9C">
              <w:rPr>
                <w:noProof/>
                <w:color w:val="000000"/>
                <w:szCs w:val="22"/>
              </w:rPr>
              <w:t>Skin and subcutaneous tissue disorders</w:t>
            </w:r>
          </w:p>
        </w:tc>
        <w:tc>
          <w:tcPr>
            <w:tcW w:w="1843" w:type="dxa"/>
          </w:tcPr>
          <w:p w14:paraId="427C49C8" w14:textId="77777777" w:rsidR="00A00F64" w:rsidRDefault="00A00F64" w:rsidP="001C463A">
            <w:pPr>
              <w:spacing w:after="0"/>
            </w:pPr>
            <w:r>
              <w:rPr>
                <w:noProof/>
                <w:szCs w:val="22"/>
              </w:rPr>
              <w:t>Very common</w:t>
            </w:r>
          </w:p>
        </w:tc>
        <w:tc>
          <w:tcPr>
            <w:tcW w:w="2977" w:type="dxa"/>
          </w:tcPr>
          <w:p w14:paraId="427C49C9" w14:textId="77777777" w:rsidR="00A00F64" w:rsidRDefault="00A00F64" w:rsidP="001C463A">
            <w:pPr>
              <w:spacing w:after="0"/>
            </w:pPr>
            <w:r>
              <w:t>Rash</w:t>
            </w:r>
            <w:r w:rsidR="0080202E">
              <w:rPr>
                <w:vertAlign w:val="superscript"/>
              </w:rPr>
              <w:t>m</w:t>
            </w:r>
            <w:r w:rsidRPr="0024075D">
              <w:rPr>
                <w:vertAlign w:val="superscript"/>
              </w:rPr>
              <w:t xml:space="preserve"> </w:t>
            </w:r>
          </w:p>
          <w:p w14:paraId="427C49CA" w14:textId="77777777" w:rsidR="00A00F64" w:rsidRDefault="00A00F64" w:rsidP="00151EF8">
            <w:pPr>
              <w:spacing w:after="0"/>
            </w:pPr>
            <w:r>
              <w:t>Pruritus</w:t>
            </w:r>
          </w:p>
        </w:tc>
        <w:tc>
          <w:tcPr>
            <w:tcW w:w="3225" w:type="dxa"/>
          </w:tcPr>
          <w:p w14:paraId="427C49CB" w14:textId="77777777" w:rsidR="00A00F64" w:rsidRDefault="00A00F64" w:rsidP="001C463A">
            <w:pPr>
              <w:spacing w:after="0"/>
            </w:pPr>
          </w:p>
        </w:tc>
      </w:tr>
      <w:tr w:rsidR="00A00F64" w14:paraId="427C49D3" w14:textId="77777777" w:rsidTr="001C463A">
        <w:tc>
          <w:tcPr>
            <w:tcW w:w="1809" w:type="dxa"/>
            <w:tcBorders>
              <w:top w:val="nil"/>
              <w:bottom w:val="nil"/>
            </w:tcBorders>
          </w:tcPr>
          <w:p w14:paraId="427C49CD" w14:textId="77777777" w:rsidR="00A00F64" w:rsidRDefault="00A00F64" w:rsidP="001C463A">
            <w:pPr>
              <w:spacing w:after="0"/>
            </w:pPr>
          </w:p>
        </w:tc>
        <w:tc>
          <w:tcPr>
            <w:tcW w:w="1843" w:type="dxa"/>
          </w:tcPr>
          <w:p w14:paraId="427C49CE" w14:textId="77777777" w:rsidR="00A00F64" w:rsidRDefault="00A00F64" w:rsidP="001C463A">
            <w:pPr>
              <w:spacing w:after="0"/>
            </w:pPr>
            <w:r>
              <w:rPr>
                <w:noProof/>
                <w:szCs w:val="22"/>
              </w:rPr>
              <w:t>Common</w:t>
            </w:r>
          </w:p>
        </w:tc>
        <w:tc>
          <w:tcPr>
            <w:tcW w:w="2977" w:type="dxa"/>
          </w:tcPr>
          <w:p w14:paraId="427C49CF" w14:textId="77777777" w:rsidR="00A00F64" w:rsidRDefault="00A00F64" w:rsidP="001C463A">
            <w:pPr>
              <w:spacing w:after="0"/>
            </w:pPr>
            <w:r>
              <w:t xml:space="preserve">Dry skin </w:t>
            </w:r>
          </w:p>
          <w:p w14:paraId="427C49D0" w14:textId="77777777" w:rsidR="00A00F64" w:rsidRDefault="00A00F64" w:rsidP="00151EF8">
            <w:pPr>
              <w:spacing w:after="0"/>
            </w:pPr>
            <w:r>
              <w:t>Photosensitivity reaction</w:t>
            </w:r>
          </w:p>
        </w:tc>
        <w:tc>
          <w:tcPr>
            <w:tcW w:w="3225" w:type="dxa"/>
          </w:tcPr>
          <w:p w14:paraId="427C49D1" w14:textId="77777777" w:rsidR="00A00F64" w:rsidRDefault="00A00F64" w:rsidP="001C463A">
            <w:pPr>
              <w:spacing w:after="0"/>
            </w:pPr>
            <w:r>
              <w:t>Rash</w:t>
            </w:r>
            <w:r w:rsidR="0080202E">
              <w:rPr>
                <w:vertAlign w:val="superscript"/>
              </w:rPr>
              <w:t>m</w:t>
            </w:r>
            <w:r>
              <w:t xml:space="preserve"> </w:t>
            </w:r>
          </w:p>
          <w:p w14:paraId="427C49D2" w14:textId="77777777" w:rsidR="00A00F64" w:rsidRDefault="00A00F64" w:rsidP="00151EF8">
            <w:pPr>
              <w:spacing w:after="0"/>
            </w:pPr>
            <w:r>
              <w:t>Photosensitivity reaction</w:t>
            </w:r>
          </w:p>
        </w:tc>
      </w:tr>
      <w:tr w:rsidR="00A00F64" w14:paraId="427C49D8" w14:textId="77777777" w:rsidTr="001C463A">
        <w:tc>
          <w:tcPr>
            <w:tcW w:w="1809" w:type="dxa"/>
            <w:tcBorders>
              <w:top w:val="nil"/>
              <w:bottom w:val="single" w:sz="4" w:space="0" w:color="auto"/>
            </w:tcBorders>
          </w:tcPr>
          <w:p w14:paraId="427C49D4" w14:textId="77777777" w:rsidR="00A00F64" w:rsidRDefault="00A00F64" w:rsidP="001C463A">
            <w:pPr>
              <w:spacing w:after="0"/>
            </w:pPr>
          </w:p>
        </w:tc>
        <w:tc>
          <w:tcPr>
            <w:tcW w:w="1843" w:type="dxa"/>
          </w:tcPr>
          <w:p w14:paraId="427C49D5" w14:textId="77777777" w:rsidR="00A00F64" w:rsidRDefault="00A00F64" w:rsidP="001C463A">
            <w:pPr>
              <w:spacing w:after="0"/>
            </w:pPr>
            <w:r>
              <w:rPr>
                <w:noProof/>
                <w:szCs w:val="22"/>
              </w:rPr>
              <w:t>Uncommon</w:t>
            </w:r>
          </w:p>
        </w:tc>
        <w:tc>
          <w:tcPr>
            <w:tcW w:w="2977" w:type="dxa"/>
          </w:tcPr>
          <w:p w14:paraId="427C49D6" w14:textId="77777777" w:rsidR="00A00F64" w:rsidRDefault="00A00F64" w:rsidP="001C463A">
            <w:pPr>
              <w:spacing w:after="0"/>
            </w:pPr>
          </w:p>
        </w:tc>
        <w:tc>
          <w:tcPr>
            <w:tcW w:w="3225" w:type="dxa"/>
          </w:tcPr>
          <w:p w14:paraId="427C49D7" w14:textId="77777777" w:rsidR="00A00F64" w:rsidRDefault="00A00F64" w:rsidP="00151EF8">
            <w:pPr>
              <w:spacing w:after="0"/>
            </w:pPr>
            <w:r w:rsidRPr="0024075D">
              <w:t xml:space="preserve">Dry skin </w:t>
            </w:r>
          </w:p>
        </w:tc>
      </w:tr>
      <w:tr w:rsidR="00A00F64" w14:paraId="427C49E0" w14:textId="77777777" w:rsidTr="001C463A">
        <w:tc>
          <w:tcPr>
            <w:tcW w:w="1809" w:type="dxa"/>
            <w:tcBorders>
              <w:bottom w:val="nil"/>
            </w:tcBorders>
          </w:tcPr>
          <w:p w14:paraId="427C49D9" w14:textId="77777777" w:rsidR="00A00F64" w:rsidRDefault="00A00F64" w:rsidP="001C463A">
            <w:pPr>
              <w:spacing w:after="0"/>
            </w:pPr>
            <w:r w:rsidRPr="005D0D9C">
              <w:rPr>
                <w:noProof/>
                <w:color w:val="000000"/>
                <w:szCs w:val="22"/>
              </w:rPr>
              <w:t>Musculoskeletal and connective tissue disorders</w:t>
            </w:r>
          </w:p>
        </w:tc>
        <w:tc>
          <w:tcPr>
            <w:tcW w:w="1843" w:type="dxa"/>
          </w:tcPr>
          <w:p w14:paraId="427C49DA" w14:textId="77777777" w:rsidR="00A00F64" w:rsidRDefault="00A00F64" w:rsidP="001C463A">
            <w:pPr>
              <w:spacing w:after="0"/>
              <w:jc w:val="center"/>
            </w:pPr>
            <w:r w:rsidRPr="00BD6FEB">
              <w:rPr>
                <w:noProof/>
                <w:szCs w:val="22"/>
              </w:rPr>
              <w:t>Very common</w:t>
            </w:r>
          </w:p>
        </w:tc>
        <w:tc>
          <w:tcPr>
            <w:tcW w:w="2977" w:type="dxa"/>
          </w:tcPr>
          <w:p w14:paraId="427C49DB" w14:textId="77777777" w:rsidR="00A00F64" w:rsidRDefault="00A00F64" w:rsidP="001C463A">
            <w:pPr>
              <w:spacing w:after="0"/>
            </w:pPr>
            <w:r>
              <w:t xml:space="preserve">Blood CPK increased </w:t>
            </w:r>
          </w:p>
          <w:p w14:paraId="427C49DC" w14:textId="77777777" w:rsidR="00A00F64" w:rsidRDefault="00A00F64" w:rsidP="001C463A">
            <w:pPr>
              <w:spacing w:after="0"/>
            </w:pPr>
            <w:r>
              <w:t>Myalgia</w:t>
            </w:r>
            <w:r w:rsidR="0080202E">
              <w:rPr>
                <w:vertAlign w:val="superscript"/>
              </w:rPr>
              <w:t>n</w:t>
            </w:r>
            <w:r w:rsidR="005D163F">
              <w:rPr>
                <w:vertAlign w:val="superscript"/>
              </w:rPr>
              <w:t xml:space="preserve"> </w:t>
            </w:r>
          </w:p>
          <w:p w14:paraId="427C49DD" w14:textId="77777777" w:rsidR="00151EF8" w:rsidRDefault="00A00F64" w:rsidP="001C463A">
            <w:pPr>
              <w:spacing w:after="0"/>
            </w:pPr>
            <w:r>
              <w:t xml:space="preserve">Arthralgia </w:t>
            </w:r>
          </w:p>
          <w:p w14:paraId="427C49DE" w14:textId="77777777" w:rsidR="005D163F" w:rsidRDefault="00151EF8" w:rsidP="001C463A">
            <w:pPr>
              <w:spacing w:after="0"/>
            </w:pPr>
            <w:r>
              <w:t>Musculoskeletal chest pain</w:t>
            </w:r>
          </w:p>
        </w:tc>
        <w:tc>
          <w:tcPr>
            <w:tcW w:w="3225" w:type="dxa"/>
          </w:tcPr>
          <w:p w14:paraId="427C49DF" w14:textId="77777777" w:rsidR="00A00F64" w:rsidRDefault="00A00F64" w:rsidP="00151EF8">
            <w:pPr>
              <w:spacing w:after="0"/>
            </w:pPr>
            <w:r w:rsidRPr="0024075D">
              <w:t xml:space="preserve">Blood CPK increased </w:t>
            </w:r>
          </w:p>
        </w:tc>
      </w:tr>
      <w:tr w:rsidR="00A00F64" w14:paraId="427C49E6" w14:textId="77777777" w:rsidTr="001C463A">
        <w:tc>
          <w:tcPr>
            <w:tcW w:w="1809" w:type="dxa"/>
            <w:tcBorders>
              <w:top w:val="nil"/>
              <w:bottom w:val="nil"/>
            </w:tcBorders>
          </w:tcPr>
          <w:p w14:paraId="427C49E1" w14:textId="77777777" w:rsidR="00A00F64" w:rsidRDefault="00A00F64" w:rsidP="001C463A">
            <w:pPr>
              <w:spacing w:after="0"/>
            </w:pPr>
          </w:p>
        </w:tc>
        <w:tc>
          <w:tcPr>
            <w:tcW w:w="1843" w:type="dxa"/>
          </w:tcPr>
          <w:p w14:paraId="427C49E2" w14:textId="77777777" w:rsidR="00A00F64" w:rsidRDefault="00A00F64" w:rsidP="001C463A">
            <w:pPr>
              <w:spacing w:after="0"/>
            </w:pPr>
            <w:r w:rsidRPr="00BD6FEB">
              <w:rPr>
                <w:noProof/>
                <w:szCs w:val="22"/>
              </w:rPr>
              <w:t>Common</w:t>
            </w:r>
          </w:p>
        </w:tc>
        <w:tc>
          <w:tcPr>
            <w:tcW w:w="2977" w:type="dxa"/>
          </w:tcPr>
          <w:p w14:paraId="427C49E3" w14:textId="77777777" w:rsidR="00886A47" w:rsidRDefault="00A00F64" w:rsidP="00886A47">
            <w:pPr>
              <w:spacing w:after="0"/>
            </w:pPr>
            <w:r>
              <w:t xml:space="preserve">Pain in </w:t>
            </w:r>
            <w:r w:rsidRPr="00151EF8">
              <w:t xml:space="preserve">extremity </w:t>
            </w:r>
          </w:p>
          <w:p w14:paraId="427C49E4" w14:textId="77777777" w:rsidR="005D163F" w:rsidRDefault="00151EF8" w:rsidP="00886A47">
            <w:pPr>
              <w:spacing w:after="0"/>
            </w:pPr>
            <w:r>
              <w:t>Musculoskeletal stiffness</w:t>
            </w:r>
          </w:p>
        </w:tc>
        <w:tc>
          <w:tcPr>
            <w:tcW w:w="3225" w:type="dxa"/>
          </w:tcPr>
          <w:p w14:paraId="427C49E5" w14:textId="77777777" w:rsidR="00A00F64" w:rsidRDefault="00A00F64" w:rsidP="00151EF8">
            <w:pPr>
              <w:spacing w:after="0"/>
            </w:pPr>
            <w:r w:rsidRPr="001916BA">
              <w:rPr>
                <w:noProof/>
                <w:szCs w:val="22"/>
              </w:rPr>
              <w:t>Pain in extremity</w:t>
            </w:r>
            <w:r>
              <w:rPr>
                <w:noProof/>
                <w:szCs w:val="22"/>
              </w:rPr>
              <w:t xml:space="preserve"> </w:t>
            </w:r>
          </w:p>
        </w:tc>
      </w:tr>
      <w:tr w:rsidR="00A00F64" w14:paraId="427C49EB" w14:textId="77777777" w:rsidTr="001C463A">
        <w:tc>
          <w:tcPr>
            <w:tcW w:w="1809" w:type="dxa"/>
            <w:tcBorders>
              <w:top w:val="nil"/>
            </w:tcBorders>
          </w:tcPr>
          <w:p w14:paraId="427C49E7" w14:textId="77777777" w:rsidR="00A00F64" w:rsidRDefault="00A00F64" w:rsidP="001C463A">
            <w:pPr>
              <w:spacing w:after="0"/>
            </w:pPr>
          </w:p>
        </w:tc>
        <w:tc>
          <w:tcPr>
            <w:tcW w:w="1843" w:type="dxa"/>
          </w:tcPr>
          <w:p w14:paraId="427C49E8" w14:textId="77777777" w:rsidR="00A00F64" w:rsidRDefault="00A00F64" w:rsidP="001C463A">
            <w:pPr>
              <w:spacing w:after="0"/>
            </w:pPr>
            <w:r w:rsidRPr="00BD6FEB">
              <w:rPr>
                <w:noProof/>
                <w:szCs w:val="22"/>
              </w:rPr>
              <w:t>Uncommon</w:t>
            </w:r>
          </w:p>
        </w:tc>
        <w:tc>
          <w:tcPr>
            <w:tcW w:w="2977" w:type="dxa"/>
          </w:tcPr>
          <w:p w14:paraId="427C49E9" w14:textId="77777777" w:rsidR="00A00F64" w:rsidRDefault="00A00F64" w:rsidP="001C463A">
            <w:pPr>
              <w:spacing w:after="0"/>
            </w:pPr>
          </w:p>
        </w:tc>
        <w:tc>
          <w:tcPr>
            <w:tcW w:w="3225" w:type="dxa"/>
          </w:tcPr>
          <w:p w14:paraId="427C49EA" w14:textId="77777777" w:rsidR="00A00F64" w:rsidRDefault="00A00F64" w:rsidP="00151EF8">
            <w:pPr>
              <w:spacing w:after="0"/>
            </w:pPr>
            <w:r w:rsidRPr="0024075D">
              <w:t>Myalgia</w:t>
            </w:r>
            <w:r w:rsidR="0080202E">
              <w:rPr>
                <w:vertAlign w:val="superscript"/>
              </w:rPr>
              <w:t>n</w:t>
            </w:r>
            <w:r w:rsidRPr="0024075D">
              <w:t xml:space="preserve"> </w:t>
            </w:r>
          </w:p>
        </w:tc>
      </w:tr>
      <w:tr w:rsidR="00A00F64" w14:paraId="427C49F0" w14:textId="77777777" w:rsidTr="001C463A">
        <w:tc>
          <w:tcPr>
            <w:tcW w:w="1809" w:type="dxa"/>
            <w:tcBorders>
              <w:bottom w:val="single" w:sz="4" w:space="0" w:color="auto"/>
            </w:tcBorders>
          </w:tcPr>
          <w:p w14:paraId="427C49EC" w14:textId="77777777" w:rsidR="00A00F64" w:rsidRDefault="00A00F64" w:rsidP="001C463A">
            <w:pPr>
              <w:spacing w:after="0"/>
              <w:jc w:val="left"/>
            </w:pPr>
            <w:r w:rsidRPr="00BD6FEB">
              <w:rPr>
                <w:noProof/>
                <w:szCs w:val="22"/>
              </w:rPr>
              <w:lastRenderedPageBreak/>
              <w:t>Renal and urinary disorders</w:t>
            </w:r>
          </w:p>
        </w:tc>
        <w:tc>
          <w:tcPr>
            <w:tcW w:w="1843" w:type="dxa"/>
          </w:tcPr>
          <w:p w14:paraId="427C49ED" w14:textId="77777777" w:rsidR="00A00F64" w:rsidRDefault="00A00F64" w:rsidP="001C463A">
            <w:pPr>
              <w:spacing w:after="0"/>
            </w:pPr>
            <w:r w:rsidRPr="00BD6FEB">
              <w:rPr>
                <w:noProof/>
                <w:szCs w:val="22"/>
              </w:rPr>
              <w:t>Very common</w:t>
            </w:r>
          </w:p>
        </w:tc>
        <w:tc>
          <w:tcPr>
            <w:tcW w:w="2977" w:type="dxa"/>
          </w:tcPr>
          <w:p w14:paraId="427C49EE" w14:textId="77777777" w:rsidR="00A00F64" w:rsidRDefault="00A00F64" w:rsidP="00151EF8">
            <w:pPr>
              <w:spacing w:after="0"/>
            </w:pPr>
            <w:r w:rsidRPr="0024075D">
              <w:t>Blood creatinine increased</w:t>
            </w:r>
          </w:p>
        </w:tc>
        <w:tc>
          <w:tcPr>
            <w:tcW w:w="3225" w:type="dxa"/>
          </w:tcPr>
          <w:p w14:paraId="427C49EF" w14:textId="77777777" w:rsidR="00A00F64" w:rsidRDefault="00A00F64" w:rsidP="001C463A">
            <w:pPr>
              <w:spacing w:after="0"/>
            </w:pPr>
          </w:p>
        </w:tc>
      </w:tr>
      <w:tr w:rsidR="00A00F64" w14:paraId="427C49F7" w14:textId="77777777" w:rsidTr="001C463A">
        <w:tc>
          <w:tcPr>
            <w:tcW w:w="1809" w:type="dxa"/>
            <w:tcBorders>
              <w:bottom w:val="nil"/>
            </w:tcBorders>
          </w:tcPr>
          <w:p w14:paraId="427C49F1" w14:textId="77777777" w:rsidR="00A00F64" w:rsidRDefault="00A00F64" w:rsidP="001C463A">
            <w:pPr>
              <w:spacing w:after="0"/>
              <w:jc w:val="left"/>
            </w:pPr>
            <w:r w:rsidRPr="005D0D9C">
              <w:rPr>
                <w:noProof/>
                <w:color w:val="000000"/>
                <w:szCs w:val="22"/>
              </w:rPr>
              <w:t>General disorders and administration site conditions</w:t>
            </w:r>
          </w:p>
        </w:tc>
        <w:tc>
          <w:tcPr>
            <w:tcW w:w="1843" w:type="dxa"/>
          </w:tcPr>
          <w:p w14:paraId="427C49F2" w14:textId="77777777" w:rsidR="00A00F64" w:rsidRDefault="00A00F64" w:rsidP="001C463A">
            <w:pPr>
              <w:spacing w:after="0"/>
            </w:pPr>
            <w:r w:rsidRPr="00BD6FEB">
              <w:rPr>
                <w:noProof/>
                <w:szCs w:val="22"/>
              </w:rPr>
              <w:t>Very common</w:t>
            </w:r>
          </w:p>
        </w:tc>
        <w:tc>
          <w:tcPr>
            <w:tcW w:w="2977" w:type="dxa"/>
          </w:tcPr>
          <w:p w14:paraId="427C49F3" w14:textId="77777777" w:rsidR="00A00F64" w:rsidRDefault="00A00F64" w:rsidP="001C463A">
            <w:pPr>
              <w:spacing w:after="0"/>
            </w:pPr>
            <w:r>
              <w:t>Fatigue</w:t>
            </w:r>
            <w:r w:rsidR="0080202E">
              <w:rPr>
                <w:vertAlign w:val="superscript"/>
              </w:rPr>
              <w:t>o</w:t>
            </w:r>
            <w:r>
              <w:t xml:space="preserve"> </w:t>
            </w:r>
          </w:p>
          <w:p w14:paraId="427C49F4" w14:textId="77777777" w:rsidR="00A556C8" w:rsidRDefault="00A00F64" w:rsidP="00151EF8">
            <w:pPr>
              <w:spacing w:after="0"/>
            </w:pPr>
            <w:r>
              <w:t>Oedema</w:t>
            </w:r>
            <w:r w:rsidR="0080202E">
              <w:rPr>
                <w:vertAlign w:val="superscript"/>
              </w:rPr>
              <w:t>p</w:t>
            </w:r>
            <w:r>
              <w:t xml:space="preserve"> </w:t>
            </w:r>
          </w:p>
          <w:p w14:paraId="427C49F5" w14:textId="77777777" w:rsidR="00A00F64" w:rsidRDefault="00A00F64" w:rsidP="00151EF8">
            <w:pPr>
              <w:spacing w:after="0"/>
            </w:pPr>
            <w:r>
              <w:t xml:space="preserve">Pyrexia </w:t>
            </w:r>
          </w:p>
        </w:tc>
        <w:tc>
          <w:tcPr>
            <w:tcW w:w="3225" w:type="dxa"/>
          </w:tcPr>
          <w:p w14:paraId="427C49F6" w14:textId="77777777" w:rsidR="00A00F64" w:rsidRDefault="00A00F64" w:rsidP="001C463A">
            <w:pPr>
              <w:spacing w:after="0"/>
            </w:pPr>
          </w:p>
        </w:tc>
      </w:tr>
      <w:tr w:rsidR="00A00F64" w14:paraId="427C49FE" w14:textId="77777777" w:rsidTr="001C463A">
        <w:tc>
          <w:tcPr>
            <w:tcW w:w="1809" w:type="dxa"/>
            <w:tcBorders>
              <w:top w:val="nil"/>
              <w:bottom w:val="nil"/>
            </w:tcBorders>
          </w:tcPr>
          <w:p w14:paraId="427C49F8" w14:textId="77777777" w:rsidR="00A00F64" w:rsidRDefault="00A00F64" w:rsidP="001C463A">
            <w:pPr>
              <w:spacing w:after="0"/>
            </w:pPr>
          </w:p>
        </w:tc>
        <w:tc>
          <w:tcPr>
            <w:tcW w:w="1843" w:type="dxa"/>
          </w:tcPr>
          <w:p w14:paraId="427C49F9" w14:textId="77777777" w:rsidR="00A00F64" w:rsidRDefault="00A00F64" w:rsidP="001C463A">
            <w:pPr>
              <w:spacing w:after="0"/>
            </w:pPr>
            <w:r w:rsidRPr="00BD6FEB">
              <w:rPr>
                <w:noProof/>
                <w:szCs w:val="22"/>
              </w:rPr>
              <w:t>Common</w:t>
            </w:r>
          </w:p>
        </w:tc>
        <w:tc>
          <w:tcPr>
            <w:tcW w:w="2977" w:type="dxa"/>
          </w:tcPr>
          <w:p w14:paraId="427C49FA" w14:textId="77777777" w:rsidR="00A00F64" w:rsidRDefault="00A00F64" w:rsidP="001C463A">
            <w:pPr>
              <w:spacing w:after="0"/>
            </w:pPr>
            <w:r>
              <w:t xml:space="preserve">Pain </w:t>
            </w:r>
          </w:p>
          <w:p w14:paraId="427C49FB" w14:textId="77777777" w:rsidR="00886A47" w:rsidRDefault="00A00F64" w:rsidP="001C463A">
            <w:pPr>
              <w:spacing w:after="0"/>
            </w:pPr>
            <w:r>
              <w:t>Non cardiac chest pain</w:t>
            </w:r>
          </w:p>
          <w:p w14:paraId="427C49FC" w14:textId="77777777" w:rsidR="005D163F" w:rsidRDefault="00151EF8" w:rsidP="001C463A">
            <w:pPr>
              <w:spacing w:after="0"/>
            </w:pPr>
            <w:r>
              <w:t>Chest discomfort</w:t>
            </w:r>
          </w:p>
        </w:tc>
        <w:tc>
          <w:tcPr>
            <w:tcW w:w="3225" w:type="dxa"/>
          </w:tcPr>
          <w:p w14:paraId="427C49FD" w14:textId="77777777" w:rsidR="00A00F64" w:rsidRDefault="00A00F64" w:rsidP="00151EF8">
            <w:pPr>
              <w:spacing w:after="0"/>
            </w:pPr>
            <w:r w:rsidRPr="0024075D">
              <w:t>Fatigue</w:t>
            </w:r>
            <w:r w:rsidR="0080202E">
              <w:rPr>
                <w:vertAlign w:val="superscript"/>
              </w:rPr>
              <w:t>o</w:t>
            </w:r>
          </w:p>
        </w:tc>
      </w:tr>
      <w:tr w:rsidR="00A00F64" w14:paraId="427C4A04" w14:textId="77777777" w:rsidTr="001C463A">
        <w:tc>
          <w:tcPr>
            <w:tcW w:w="1809" w:type="dxa"/>
            <w:tcBorders>
              <w:top w:val="nil"/>
              <w:bottom w:val="single" w:sz="4" w:space="0" w:color="auto"/>
            </w:tcBorders>
          </w:tcPr>
          <w:p w14:paraId="427C49FF" w14:textId="77777777" w:rsidR="00A00F64" w:rsidRDefault="00A00F64" w:rsidP="001C463A">
            <w:pPr>
              <w:spacing w:after="0"/>
            </w:pPr>
          </w:p>
        </w:tc>
        <w:tc>
          <w:tcPr>
            <w:tcW w:w="1843" w:type="dxa"/>
          </w:tcPr>
          <w:p w14:paraId="427C4A00" w14:textId="77777777" w:rsidR="00A00F64" w:rsidRDefault="00A00F64" w:rsidP="001C463A">
            <w:pPr>
              <w:spacing w:after="0"/>
            </w:pPr>
            <w:r w:rsidRPr="00BD6FEB">
              <w:rPr>
                <w:noProof/>
                <w:szCs w:val="22"/>
              </w:rPr>
              <w:t>Uncommon</w:t>
            </w:r>
          </w:p>
        </w:tc>
        <w:tc>
          <w:tcPr>
            <w:tcW w:w="2977" w:type="dxa"/>
          </w:tcPr>
          <w:p w14:paraId="427C4A01" w14:textId="77777777" w:rsidR="00A00F64" w:rsidRDefault="00A00F64" w:rsidP="001C463A">
            <w:pPr>
              <w:spacing w:after="0"/>
            </w:pPr>
          </w:p>
        </w:tc>
        <w:tc>
          <w:tcPr>
            <w:tcW w:w="3225" w:type="dxa"/>
          </w:tcPr>
          <w:p w14:paraId="427C4A02" w14:textId="77777777" w:rsidR="00A00F64" w:rsidRDefault="00A00F64" w:rsidP="001C463A">
            <w:pPr>
              <w:spacing w:after="0"/>
            </w:pPr>
            <w:r>
              <w:t xml:space="preserve">Non cardiac chest pain </w:t>
            </w:r>
          </w:p>
          <w:p w14:paraId="427C4A03" w14:textId="77777777" w:rsidR="00A00F64" w:rsidRDefault="00A00F64" w:rsidP="00151EF8">
            <w:pPr>
              <w:spacing w:after="0"/>
            </w:pPr>
            <w:r>
              <w:t xml:space="preserve">Pyrexia </w:t>
            </w:r>
          </w:p>
        </w:tc>
      </w:tr>
      <w:tr w:rsidR="00A00F64" w14:paraId="427C4A09" w14:textId="77777777" w:rsidTr="001C463A">
        <w:tc>
          <w:tcPr>
            <w:tcW w:w="1809" w:type="dxa"/>
            <w:tcBorders>
              <w:bottom w:val="nil"/>
            </w:tcBorders>
          </w:tcPr>
          <w:p w14:paraId="427C4A05" w14:textId="77777777" w:rsidR="00A00F64" w:rsidRDefault="00A00F64" w:rsidP="001C463A">
            <w:pPr>
              <w:spacing w:after="0"/>
            </w:pPr>
            <w:r w:rsidRPr="00BD6FEB">
              <w:rPr>
                <w:noProof/>
                <w:color w:val="000000"/>
                <w:szCs w:val="22"/>
                <w:lang w:val="da-DK"/>
              </w:rPr>
              <w:t>Investigations</w:t>
            </w:r>
          </w:p>
        </w:tc>
        <w:tc>
          <w:tcPr>
            <w:tcW w:w="1843" w:type="dxa"/>
          </w:tcPr>
          <w:p w14:paraId="427C4A06" w14:textId="77777777" w:rsidR="00A00F64" w:rsidRDefault="00A00F64" w:rsidP="001C463A">
            <w:pPr>
              <w:spacing w:after="0"/>
            </w:pPr>
            <w:r w:rsidRPr="00BD6FEB">
              <w:rPr>
                <w:noProof/>
                <w:szCs w:val="22"/>
              </w:rPr>
              <w:t>Common</w:t>
            </w:r>
          </w:p>
        </w:tc>
        <w:tc>
          <w:tcPr>
            <w:tcW w:w="2977" w:type="dxa"/>
          </w:tcPr>
          <w:p w14:paraId="427C4A07" w14:textId="77777777" w:rsidR="00A00F64" w:rsidRDefault="00A00F64" w:rsidP="00151EF8">
            <w:pPr>
              <w:spacing w:after="0"/>
            </w:pPr>
            <w:r w:rsidRPr="003676E6">
              <w:t>Weight decreased</w:t>
            </w:r>
          </w:p>
        </w:tc>
        <w:tc>
          <w:tcPr>
            <w:tcW w:w="3225" w:type="dxa"/>
          </w:tcPr>
          <w:p w14:paraId="427C4A08" w14:textId="77777777" w:rsidR="00A00F64" w:rsidRDefault="00A00F64" w:rsidP="001C463A">
            <w:pPr>
              <w:spacing w:after="0"/>
            </w:pPr>
          </w:p>
        </w:tc>
      </w:tr>
      <w:tr w:rsidR="00A00F64" w14:paraId="427C4A0E" w14:textId="77777777" w:rsidTr="001C463A">
        <w:tc>
          <w:tcPr>
            <w:tcW w:w="1809" w:type="dxa"/>
            <w:tcBorders>
              <w:top w:val="nil"/>
            </w:tcBorders>
          </w:tcPr>
          <w:p w14:paraId="427C4A0A" w14:textId="77777777" w:rsidR="00A00F64" w:rsidRDefault="00A00F64" w:rsidP="001C463A">
            <w:pPr>
              <w:spacing w:after="0"/>
            </w:pPr>
          </w:p>
        </w:tc>
        <w:tc>
          <w:tcPr>
            <w:tcW w:w="1843" w:type="dxa"/>
          </w:tcPr>
          <w:p w14:paraId="427C4A0B" w14:textId="77777777" w:rsidR="00A00F64" w:rsidRDefault="00A00F64" w:rsidP="001C463A">
            <w:pPr>
              <w:spacing w:after="0"/>
            </w:pPr>
            <w:r w:rsidRPr="00BD6FEB">
              <w:rPr>
                <w:noProof/>
                <w:szCs w:val="22"/>
              </w:rPr>
              <w:t>Uncommon</w:t>
            </w:r>
          </w:p>
        </w:tc>
        <w:tc>
          <w:tcPr>
            <w:tcW w:w="2977" w:type="dxa"/>
          </w:tcPr>
          <w:p w14:paraId="427C4A0C" w14:textId="77777777" w:rsidR="00A00F64" w:rsidRDefault="00A00F64" w:rsidP="001C463A">
            <w:pPr>
              <w:spacing w:after="0"/>
            </w:pPr>
          </w:p>
        </w:tc>
        <w:tc>
          <w:tcPr>
            <w:tcW w:w="3225" w:type="dxa"/>
          </w:tcPr>
          <w:p w14:paraId="427C4A0D" w14:textId="77777777" w:rsidR="00A00F64" w:rsidRDefault="00A00F64" w:rsidP="00151EF8">
            <w:pPr>
              <w:spacing w:after="0"/>
            </w:pPr>
            <w:r>
              <w:rPr>
                <w:noProof/>
                <w:szCs w:val="22"/>
              </w:rPr>
              <w:t xml:space="preserve">Weight decreased </w:t>
            </w:r>
          </w:p>
        </w:tc>
      </w:tr>
      <w:tr w:rsidR="00A00F64" w14:paraId="427C4A20" w14:textId="77777777" w:rsidTr="001C463A">
        <w:tc>
          <w:tcPr>
            <w:tcW w:w="9854" w:type="dxa"/>
            <w:gridSpan w:val="4"/>
          </w:tcPr>
          <w:p w14:paraId="427C4A0F" w14:textId="77777777" w:rsidR="00A00F64" w:rsidRPr="006C2748" w:rsidRDefault="00A00F64" w:rsidP="000969B9">
            <w:pPr>
              <w:numPr>
                <w:ilvl w:val="12"/>
                <w:numId w:val="0"/>
              </w:numPr>
              <w:spacing w:after="0"/>
              <w:ind w:right="-2"/>
              <w:jc w:val="left"/>
              <w:rPr>
                <w:color w:val="000000"/>
                <w:sz w:val="18"/>
                <w:szCs w:val="18"/>
              </w:rPr>
            </w:pPr>
            <w:r w:rsidRPr="006C2748">
              <w:rPr>
                <w:color w:val="000000"/>
                <w:sz w:val="18"/>
                <w:szCs w:val="18"/>
              </w:rPr>
              <w:t xml:space="preserve">ADRs included as preferred terms are based on MedDRA version </w:t>
            </w:r>
            <w:r w:rsidR="005D163F" w:rsidRPr="006C2748">
              <w:rPr>
                <w:color w:val="000000"/>
                <w:sz w:val="18"/>
                <w:szCs w:val="18"/>
              </w:rPr>
              <w:t>20</w:t>
            </w:r>
            <w:r w:rsidRPr="006C2748">
              <w:rPr>
                <w:color w:val="000000"/>
                <w:sz w:val="18"/>
                <w:szCs w:val="18"/>
              </w:rPr>
              <w:t>.0.</w:t>
            </w:r>
          </w:p>
          <w:p w14:paraId="427C4A10" w14:textId="77777777" w:rsidR="00A00F64" w:rsidRPr="006C2748" w:rsidRDefault="00A00F64" w:rsidP="006017CB">
            <w:pPr>
              <w:keepNext/>
              <w:numPr>
                <w:ilvl w:val="12"/>
                <w:numId w:val="0"/>
              </w:numPr>
              <w:spacing w:after="0"/>
              <w:jc w:val="left"/>
              <w:rPr>
                <w:color w:val="000000"/>
                <w:sz w:val="18"/>
                <w:szCs w:val="18"/>
              </w:rPr>
            </w:pPr>
            <w:r w:rsidRPr="006C2748">
              <w:rPr>
                <w:noProof/>
                <w:sz w:val="18"/>
                <w:szCs w:val="18"/>
                <w:vertAlign w:val="superscript"/>
              </w:rPr>
              <w:t>a</w:t>
            </w:r>
            <w:r w:rsidRPr="006C2748">
              <w:rPr>
                <w:rFonts w:eastAsia="SimSun"/>
                <w:noProof/>
                <w:sz w:val="18"/>
                <w:szCs w:val="18"/>
                <w:vertAlign w:val="superscript"/>
              </w:rPr>
              <w:t xml:space="preserve">  </w:t>
            </w:r>
            <w:r w:rsidRPr="006C2748">
              <w:rPr>
                <w:rFonts w:eastAsia="SimSun"/>
                <w:noProof/>
                <w:sz w:val="18"/>
                <w:szCs w:val="18"/>
              </w:rPr>
              <w:t>Includes a</w:t>
            </w:r>
            <w:r w:rsidRPr="006C2748">
              <w:rPr>
                <w:color w:val="000000"/>
                <w:sz w:val="18"/>
                <w:szCs w:val="18"/>
              </w:rPr>
              <w:t>typical pneumonia, pneumonia, pneumonia aspiration, pneumonia pseudomonal</w:t>
            </w:r>
            <w:r w:rsidR="005D163F" w:rsidRPr="006C2748">
              <w:rPr>
                <w:rFonts w:eastAsia="SimSun"/>
                <w:noProof/>
                <w:sz w:val="18"/>
                <w:szCs w:val="18"/>
              </w:rPr>
              <w:t>, lower respiratory tract infection, lower respiratory tract infection viral, lung infection</w:t>
            </w:r>
            <w:r w:rsidRPr="006C2748">
              <w:rPr>
                <w:color w:val="000000"/>
                <w:sz w:val="18"/>
                <w:szCs w:val="18"/>
                <w:vertAlign w:val="superscript"/>
              </w:rPr>
              <w:t xml:space="preserve">b </w:t>
            </w:r>
            <w:r w:rsidRPr="006C2748">
              <w:rPr>
                <w:color w:val="000000"/>
                <w:sz w:val="18"/>
                <w:szCs w:val="18"/>
              </w:rPr>
              <w:t>Grade not applicable</w:t>
            </w:r>
          </w:p>
          <w:p w14:paraId="427C4A11" w14:textId="77777777" w:rsidR="00A00F64" w:rsidRPr="006C2748" w:rsidRDefault="00A00F64" w:rsidP="001C463A">
            <w:pPr>
              <w:numPr>
                <w:ilvl w:val="12"/>
                <w:numId w:val="0"/>
              </w:numPr>
              <w:spacing w:after="0"/>
              <w:ind w:right="-2"/>
              <w:jc w:val="left"/>
              <w:rPr>
                <w:rFonts w:eastAsia="SimSun"/>
                <w:noProof/>
                <w:sz w:val="18"/>
                <w:szCs w:val="18"/>
              </w:rPr>
            </w:pPr>
            <w:r w:rsidRPr="006C2748">
              <w:rPr>
                <w:noProof/>
                <w:sz w:val="18"/>
                <w:szCs w:val="18"/>
                <w:vertAlign w:val="superscript"/>
              </w:rPr>
              <w:t>c</w:t>
            </w:r>
            <w:r w:rsidRPr="006C2748">
              <w:rPr>
                <w:rFonts w:eastAsia="SimSun"/>
                <w:noProof/>
                <w:sz w:val="18"/>
                <w:szCs w:val="18"/>
                <w:vertAlign w:val="superscript"/>
              </w:rPr>
              <w:t xml:space="preserve"> </w:t>
            </w:r>
            <w:r w:rsidRPr="006C2748">
              <w:rPr>
                <w:rFonts w:eastAsia="SimSun"/>
                <w:noProof/>
                <w:sz w:val="18"/>
                <w:szCs w:val="18"/>
              </w:rPr>
              <w:t>Includes headache, sinus headache</w:t>
            </w:r>
            <w:r w:rsidR="005D163F" w:rsidRPr="006C2748">
              <w:rPr>
                <w:rFonts w:eastAsia="SimSun"/>
                <w:noProof/>
                <w:sz w:val="18"/>
                <w:szCs w:val="18"/>
              </w:rPr>
              <w:t>, head discomfort, migraine, tension headache</w:t>
            </w:r>
          </w:p>
          <w:p w14:paraId="427C4A12" w14:textId="77777777" w:rsidR="00A00F64" w:rsidRPr="006C2748" w:rsidRDefault="00A00F64" w:rsidP="001C463A">
            <w:pPr>
              <w:numPr>
                <w:ilvl w:val="12"/>
                <w:numId w:val="0"/>
              </w:numPr>
              <w:spacing w:after="0"/>
              <w:ind w:right="-2"/>
              <w:jc w:val="left"/>
              <w:rPr>
                <w:color w:val="000000"/>
                <w:sz w:val="18"/>
                <w:szCs w:val="18"/>
              </w:rPr>
            </w:pPr>
            <w:r w:rsidRPr="006C2748">
              <w:rPr>
                <w:rFonts w:eastAsia="SimSun"/>
                <w:noProof/>
                <w:sz w:val="18"/>
                <w:szCs w:val="18"/>
                <w:vertAlign w:val="superscript"/>
              </w:rPr>
              <w:t>d</w:t>
            </w:r>
            <w:r w:rsidRPr="006C2748">
              <w:rPr>
                <w:rFonts w:eastAsia="SimSun"/>
                <w:noProof/>
                <w:sz w:val="18"/>
                <w:szCs w:val="18"/>
              </w:rPr>
              <w:t xml:space="preserve"> Includes </w:t>
            </w:r>
            <w:r w:rsidRPr="006C2748">
              <w:rPr>
                <w:color w:val="000000"/>
                <w:sz w:val="18"/>
                <w:szCs w:val="18"/>
              </w:rPr>
              <w:t>paraesthesia, peripheral sensory neuropathy</w:t>
            </w:r>
            <w:r w:rsidR="005D163F" w:rsidRPr="006C2748">
              <w:rPr>
                <w:color w:val="000000"/>
                <w:sz w:val="18"/>
                <w:szCs w:val="18"/>
              </w:rPr>
              <w:t xml:space="preserve">, </w:t>
            </w:r>
            <w:r w:rsidR="005D163F" w:rsidRPr="006C2748">
              <w:rPr>
                <w:sz w:val="18"/>
                <w:szCs w:val="18"/>
              </w:rPr>
              <w:t>d</w:t>
            </w:r>
            <w:r w:rsidR="005D163F" w:rsidRPr="006C2748">
              <w:rPr>
                <w:color w:val="000000"/>
                <w:sz w:val="18"/>
                <w:szCs w:val="18"/>
              </w:rPr>
              <w:t>ysesthesia, hyperesthesia, hypoesthesia, neuralgia, neuropathy peripheral, neurotoxicity, peripheral motor neuropathy, polyneuropathy</w:t>
            </w:r>
          </w:p>
          <w:p w14:paraId="427C4A13" w14:textId="77777777" w:rsidR="00A00F64" w:rsidRPr="006C2748" w:rsidRDefault="00A00F64" w:rsidP="001C463A">
            <w:pPr>
              <w:numPr>
                <w:ilvl w:val="12"/>
                <w:numId w:val="0"/>
              </w:numPr>
              <w:spacing w:after="0"/>
              <w:ind w:right="-2"/>
              <w:jc w:val="left"/>
              <w:rPr>
                <w:color w:val="000000"/>
                <w:sz w:val="18"/>
                <w:szCs w:val="18"/>
              </w:rPr>
            </w:pPr>
            <w:r w:rsidRPr="006C2748">
              <w:rPr>
                <w:rFonts w:eastAsia="SimSun"/>
                <w:noProof/>
                <w:sz w:val="18"/>
                <w:szCs w:val="18"/>
                <w:vertAlign w:val="superscript"/>
              </w:rPr>
              <w:t>e</w:t>
            </w:r>
            <w:r w:rsidR="006017CB">
              <w:rPr>
                <w:rFonts w:eastAsia="SimSun"/>
                <w:noProof/>
                <w:sz w:val="18"/>
                <w:szCs w:val="18"/>
                <w:vertAlign w:val="superscript"/>
              </w:rPr>
              <w:t xml:space="preserve"> </w:t>
            </w:r>
            <w:r w:rsidRPr="006C2748">
              <w:rPr>
                <w:rFonts w:eastAsia="SimSun"/>
                <w:noProof/>
                <w:sz w:val="18"/>
                <w:szCs w:val="18"/>
              </w:rPr>
              <w:t>Includes altered visual depth perception, asthenopia, cataract, colour blindness acquired, diplopia, glaucoma, intraocular pressure increased, macular oedema, photophobia, photopsia, retinal oedema, vision blurred, visual acuity reduced, visual field defect, visual impairment, vitreous detachment, vitreous floaters</w:t>
            </w:r>
            <w:r w:rsidR="005D163F" w:rsidRPr="006C2748">
              <w:rPr>
                <w:rFonts w:eastAsia="SimSun"/>
                <w:noProof/>
                <w:sz w:val="18"/>
                <w:szCs w:val="18"/>
              </w:rPr>
              <w:t xml:space="preserve">, </w:t>
            </w:r>
            <w:r w:rsidR="005D163F" w:rsidRPr="006C2748">
              <w:rPr>
                <w:color w:val="000000"/>
                <w:sz w:val="18"/>
                <w:szCs w:val="18"/>
              </w:rPr>
              <w:t>amaurosis fugax</w:t>
            </w:r>
          </w:p>
          <w:p w14:paraId="427C4A14" w14:textId="77777777" w:rsidR="005D163F" w:rsidRPr="006C2748" w:rsidRDefault="006017CB" w:rsidP="001C463A">
            <w:pPr>
              <w:numPr>
                <w:ilvl w:val="12"/>
                <w:numId w:val="0"/>
              </w:numPr>
              <w:spacing w:after="0"/>
              <w:ind w:right="-2"/>
              <w:jc w:val="left"/>
              <w:rPr>
                <w:rFonts w:eastAsia="SimSun"/>
                <w:noProof/>
                <w:sz w:val="18"/>
                <w:szCs w:val="18"/>
              </w:rPr>
            </w:pPr>
            <w:r w:rsidRPr="006017CB">
              <w:rPr>
                <w:color w:val="000000"/>
                <w:sz w:val="18"/>
                <w:szCs w:val="18"/>
                <w:vertAlign w:val="superscript"/>
              </w:rPr>
              <w:t>f</w:t>
            </w:r>
            <w:r w:rsidR="005D163F" w:rsidRPr="006C2748">
              <w:rPr>
                <w:color w:val="000000"/>
                <w:sz w:val="18"/>
                <w:szCs w:val="18"/>
              </w:rPr>
              <w:t xml:space="preserve"> Includes sinus tachycardia, tachycardia</w:t>
            </w:r>
          </w:p>
          <w:p w14:paraId="427C4A15" w14:textId="77777777" w:rsidR="00A00F64" w:rsidRPr="006C2748" w:rsidRDefault="006017CB" w:rsidP="001C463A">
            <w:pPr>
              <w:numPr>
                <w:ilvl w:val="12"/>
                <w:numId w:val="0"/>
              </w:numPr>
              <w:spacing w:after="0"/>
              <w:ind w:right="-2"/>
              <w:jc w:val="left"/>
              <w:rPr>
                <w:rFonts w:eastAsia="SimSun"/>
                <w:noProof/>
                <w:sz w:val="18"/>
                <w:szCs w:val="18"/>
              </w:rPr>
            </w:pPr>
            <w:r>
              <w:rPr>
                <w:rFonts w:eastAsia="SimSun"/>
                <w:noProof/>
                <w:sz w:val="18"/>
                <w:szCs w:val="18"/>
                <w:vertAlign w:val="superscript"/>
              </w:rPr>
              <w:t xml:space="preserve">g </w:t>
            </w:r>
            <w:r w:rsidRPr="006C2748">
              <w:rPr>
                <w:rFonts w:eastAsia="SimSun"/>
                <w:noProof/>
                <w:sz w:val="18"/>
                <w:szCs w:val="18"/>
              </w:rPr>
              <w:t xml:space="preserve">Includes </w:t>
            </w:r>
            <w:r w:rsidR="00A00F64" w:rsidRPr="006C2748">
              <w:rPr>
                <w:rFonts w:eastAsia="SimSun"/>
                <w:noProof/>
                <w:sz w:val="18"/>
                <w:szCs w:val="18"/>
              </w:rPr>
              <w:t>bradycardia, sinus bradycardia</w:t>
            </w:r>
          </w:p>
          <w:p w14:paraId="427C4A16" w14:textId="77777777" w:rsidR="00A00F64" w:rsidRPr="006C2748" w:rsidRDefault="006017CB" w:rsidP="001C463A">
            <w:pPr>
              <w:numPr>
                <w:ilvl w:val="12"/>
                <w:numId w:val="0"/>
              </w:numPr>
              <w:spacing w:after="0"/>
              <w:ind w:right="-2"/>
              <w:jc w:val="left"/>
              <w:rPr>
                <w:rFonts w:eastAsia="SimSun"/>
                <w:noProof/>
                <w:sz w:val="18"/>
                <w:szCs w:val="18"/>
              </w:rPr>
            </w:pPr>
            <w:r>
              <w:rPr>
                <w:rFonts w:eastAsia="SimSun"/>
                <w:noProof/>
                <w:sz w:val="18"/>
                <w:szCs w:val="18"/>
                <w:vertAlign w:val="superscript"/>
              </w:rPr>
              <w:t xml:space="preserve">h </w:t>
            </w:r>
            <w:r w:rsidRPr="006C2748">
              <w:rPr>
                <w:rFonts w:eastAsia="SimSun"/>
                <w:noProof/>
                <w:sz w:val="18"/>
                <w:szCs w:val="18"/>
              </w:rPr>
              <w:t xml:space="preserve">Includes </w:t>
            </w:r>
            <w:r w:rsidR="00A00F64" w:rsidRPr="006C2748">
              <w:rPr>
                <w:rFonts w:eastAsia="SimSun"/>
                <w:noProof/>
                <w:sz w:val="18"/>
                <w:szCs w:val="18"/>
              </w:rPr>
              <w:t>dyspnoea, dyspnoea exertional</w:t>
            </w:r>
          </w:p>
          <w:p w14:paraId="427C4A17" w14:textId="77777777" w:rsidR="00A00F64" w:rsidRPr="006C2748" w:rsidRDefault="00214779" w:rsidP="001C463A">
            <w:pPr>
              <w:numPr>
                <w:ilvl w:val="12"/>
                <w:numId w:val="0"/>
              </w:numPr>
              <w:spacing w:after="0"/>
              <w:ind w:right="-2"/>
              <w:jc w:val="left"/>
              <w:rPr>
                <w:noProof/>
                <w:sz w:val="18"/>
                <w:szCs w:val="18"/>
              </w:rPr>
            </w:pPr>
            <w:r>
              <w:rPr>
                <w:noProof/>
                <w:sz w:val="18"/>
                <w:szCs w:val="18"/>
                <w:vertAlign w:val="superscript"/>
              </w:rPr>
              <w:t>i</w:t>
            </w:r>
            <w:r w:rsidR="006017CB">
              <w:rPr>
                <w:noProof/>
                <w:sz w:val="18"/>
                <w:szCs w:val="18"/>
                <w:vertAlign w:val="superscript"/>
              </w:rPr>
              <w:t xml:space="preserve"> </w:t>
            </w:r>
            <w:r w:rsidR="006017CB" w:rsidRPr="006C2748">
              <w:rPr>
                <w:noProof/>
                <w:sz w:val="18"/>
                <w:szCs w:val="18"/>
              </w:rPr>
              <w:t xml:space="preserve">Includes </w:t>
            </w:r>
            <w:r w:rsidR="00A00F64" w:rsidRPr="006C2748">
              <w:rPr>
                <w:noProof/>
                <w:sz w:val="18"/>
                <w:szCs w:val="18"/>
              </w:rPr>
              <w:t>interstitial lung disease, pneumonitis</w:t>
            </w:r>
          </w:p>
          <w:p w14:paraId="427C4A18" w14:textId="77777777" w:rsidR="00A00F64" w:rsidRPr="006C2748" w:rsidRDefault="006017CB" w:rsidP="001C463A">
            <w:pPr>
              <w:numPr>
                <w:ilvl w:val="12"/>
                <w:numId w:val="0"/>
              </w:numPr>
              <w:spacing w:after="0"/>
              <w:ind w:right="-2"/>
              <w:jc w:val="left"/>
              <w:rPr>
                <w:noProof/>
                <w:sz w:val="18"/>
                <w:szCs w:val="18"/>
              </w:rPr>
            </w:pPr>
            <w:r>
              <w:rPr>
                <w:noProof/>
                <w:sz w:val="18"/>
                <w:szCs w:val="18"/>
                <w:vertAlign w:val="superscript"/>
              </w:rPr>
              <w:t>j</w:t>
            </w:r>
            <w:r w:rsidRPr="006C2748">
              <w:rPr>
                <w:noProof/>
                <w:sz w:val="18"/>
                <w:szCs w:val="18"/>
              </w:rPr>
              <w:t xml:space="preserve"> </w:t>
            </w:r>
            <w:r w:rsidR="00A00F64" w:rsidRPr="006C2748">
              <w:rPr>
                <w:noProof/>
                <w:sz w:val="18"/>
                <w:szCs w:val="18"/>
              </w:rPr>
              <w:t>Includes diarrhoea, diarrhoea infectious</w:t>
            </w:r>
          </w:p>
          <w:p w14:paraId="427C4A19" w14:textId="77777777" w:rsidR="00A00F64" w:rsidRPr="006C2748" w:rsidRDefault="006017CB" w:rsidP="001C463A">
            <w:pPr>
              <w:numPr>
                <w:ilvl w:val="12"/>
                <w:numId w:val="0"/>
              </w:numPr>
              <w:spacing w:after="0"/>
              <w:ind w:right="-2"/>
              <w:jc w:val="left"/>
              <w:rPr>
                <w:rFonts w:eastAsia="SimSun"/>
                <w:noProof/>
                <w:sz w:val="18"/>
                <w:szCs w:val="18"/>
              </w:rPr>
            </w:pPr>
            <w:r>
              <w:rPr>
                <w:rFonts w:eastAsia="SimSun"/>
                <w:noProof/>
                <w:sz w:val="18"/>
                <w:szCs w:val="18"/>
                <w:vertAlign w:val="superscript"/>
              </w:rPr>
              <w:t xml:space="preserve">k </w:t>
            </w:r>
            <w:r w:rsidR="00A00F64" w:rsidRPr="006C2748">
              <w:rPr>
                <w:rFonts w:eastAsia="SimSun"/>
                <w:noProof/>
                <w:sz w:val="18"/>
                <w:szCs w:val="18"/>
              </w:rPr>
              <w:t>Includes abdominal discomfort, abdominal distension, abdominal pain, abdominal pain lower, abdominal pain upper, epigastric discomfort</w:t>
            </w:r>
          </w:p>
          <w:p w14:paraId="427C4A1A" w14:textId="77777777" w:rsidR="00A00F64" w:rsidRPr="006C2748" w:rsidRDefault="006017CB" w:rsidP="001C463A">
            <w:pPr>
              <w:numPr>
                <w:ilvl w:val="12"/>
                <w:numId w:val="0"/>
              </w:numPr>
              <w:spacing w:after="0"/>
              <w:ind w:right="-2"/>
              <w:jc w:val="left"/>
              <w:rPr>
                <w:rFonts w:eastAsia="SimSun"/>
                <w:noProof/>
                <w:sz w:val="18"/>
                <w:szCs w:val="18"/>
              </w:rPr>
            </w:pPr>
            <w:r>
              <w:rPr>
                <w:rFonts w:eastAsia="SimSun"/>
                <w:noProof/>
                <w:sz w:val="18"/>
                <w:szCs w:val="18"/>
                <w:vertAlign w:val="superscript"/>
              </w:rPr>
              <w:t xml:space="preserve">l </w:t>
            </w:r>
            <w:r w:rsidR="00A00F64" w:rsidRPr="006C2748">
              <w:rPr>
                <w:rFonts w:eastAsia="SimSun"/>
                <w:noProof/>
                <w:sz w:val="18"/>
                <w:szCs w:val="18"/>
              </w:rPr>
              <w:t>Includes aphthous stomatitis, stomatitis</w:t>
            </w:r>
            <w:r w:rsidR="005D163F" w:rsidRPr="006C2748">
              <w:rPr>
                <w:rFonts w:eastAsia="SimSun"/>
                <w:noProof/>
                <w:sz w:val="18"/>
                <w:szCs w:val="18"/>
              </w:rPr>
              <w:t>, aphthous ulcer, mouth ulceration, oral mucosal blistering</w:t>
            </w:r>
          </w:p>
          <w:p w14:paraId="427C4A1B" w14:textId="77777777" w:rsidR="006C2748" w:rsidRPr="006C2748" w:rsidRDefault="006017CB" w:rsidP="00D06961">
            <w:pPr>
              <w:keepNext/>
              <w:numPr>
                <w:ilvl w:val="12"/>
                <w:numId w:val="0"/>
              </w:numPr>
              <w:spacing w:after="0"/>
              <w:jc w:val="left"/>
              <w:rPr>
                <w:rFonts w:eastAsia="SimSun"/>
                <w:noProof/>
                <w:sz w:val="18"/>
                <w:szCs w:val="18"/>
              </w:rPr>
            </w:pPr>
            <w:r>
              <w:rPr>
                <w:noProof/>
                <w:sz w:val="18"/>
                <w:szCs w:val="18"/>
                <w:vertAlign w:val="superscript"/>
              </w:rPr>
              <w:t xml:space="preserve">m </w:t>
            </w:r>
            <w:r w:rsidR="00A00F64" w:rsidRPr="006C2748">
              <w:rPr>
                <w:noProof/>
                <w:sz w:val="18"/>
                <w:szCs w:val="18"/>
              </w:rPr>
              <w:t>Includes dermatitis acneiform, erythema, exfoliative rash, rash, rash erythematous, rash macular, rash maculo</w:t>
            </w:r>
            <w:r w:rsidR="00A00F64" w:rsidRPr="006C2748">
              <w:rPr>
                <w:noProof/>
                <w:sz w:val="18"/>
                <w:szCs w:val="18"/>
              </w:rPr>
              <w:noBreakHyphen/>
              <w:t>papular, rash papular, rash pruritic, rash pustular</w:t>
            </w:r>
            <w:r w:rsidR="006C2748" w:rsidRPr="006C2748">
              <w:rPr>
                <w:noProof/>
                <w:sz w:val="18"/>
                <w:szCs w:val="18"/>
              </w:rPr>
              <w:t>, d</w:t>
            </w:r>
            <w:r w:rsidR="006C2748" w:rsidRPr="006C2748">
              <w:rPr>
                <w:color w:val="000000"/>
                <w:sz w:val="18"/>
                <w:szCs w:val="18"/>
              </w:rPr>
              <w:t>ermatitis, dermatitis allergic, generalized erythema, rash follicular, urticaria</w:t>
            </w:r>
          </w:p>
          <w:p w14:paraId="427C4A1C" w14:textId="77777777" w:rsidR="00A00F64" w:rsidRPr="006C2748" w:rsidRDefault="006017CB" w:rsidP="00D06961">
            <w:pPr>
              <w:keepNext/>
              <w:numPr>
                <w:ilvl w:val="12"/>
                <w:numId w:val="0"/>
              </w:numPr>
              <w:spacing w:after="0"/>
              <w:jc w:val="left"/>
              <w:rPr>
                <w:noProof/>
                <w:sz w:val="18"/>
                <w:szCs w:val="18"/>
              </w:rPr>
            </w:pPr>
            <w:r>
              <w:rPr>
                <w:noProof/>
                <w:sz w:val="18"/>
                <w:szCs w:val="18"/>
                <w:vertAlign w:val="superscript"/>
              </w:rPr>
              <w:t xml:space="preserve">n </w:t>
            </w:r>
            <w:r w:rsidR="00A00F64" w:rsidRPr="006C2748">
              <w:rPr>
                <w:noProof/>
                <w:sz w:val="18"/>
                <w:szCs w:val="18"/>
              </w:rPr>
              <w:t>Includes musculoskeletal pain, myalgia</w:t>
            </w:r>
            <w:r w:rsidR="006C2748" w:rsidRPr="006C2748">
              <w:rPr>
                <w:noProof/>
                <w:sz w:val="18"/>
                <w:szCs w:val="18"/>
              </w:rPr>
              <w:t>, muscle spasms, muscle tightness, muscle twitching, musculoskeletal discomfort</w:t>
            </w:r>
          </w:p>
          <w:p w14:paraId="427C4A1D" w14:textId="77777777" w:rsidR="00A00F64" w:rsidRPr="006C2748" w:rsidRDefault="006017CB" w:rsidP="00D06961">
            <w:pPr>
              <w:numPr>
                <w:ilvl w:val="12"/>
                <w:numId w:val="0"/>
              </w:numPr>
              <w:spacing w:after="0"/>
              <w:jc w:val="left"/>
              <w:rPr>
                <w:rFonts w:eastAsia="SimSun"/>
                <w:noProof/>
                <w:sz w:val="18"/>
                <w:szCs w:val="18"/>
              </w:rPr>
            </w:pPr>
            <w:r>
              <w:rPr>
                <w:noProof/>
                <w:sz w:val="18"/>
                <w:szCs w:val="18"/>
                <w:vertAlign w:val="superscript"/>
              </w:rPr>
              <w:t xml:space="preserve">o </w:t>
            </w:r>
            <w:r w:rsidR="00A00F64" w:rsidRPr="006C2748">
              <w:rPr>
                <w:noProof/>
                <w:sz w:val="18"/>
                <w:szCs w:val="18"/>
              </w:rPr>
              <w:t>Includes asthenia, fatigue</w:t>
            </w:r>
          </w:p>
          <w:p w14:paraId="427C4A1E" w14:textId="77777777" w:rsidR="00A00F64" w:rsidRPr="006C2748" w:rsidRDefault="006017CB" w:rsidP="001C463A">
            <w:pPr>
              <w:numPr>
                <w:ilvl w:val="12"/>
                <w:numId w:val="0"/>
              </w:numPr>
              <w:spacing w:after="0"/>
              <w:ind w:right="-2"/>
              <w:jc w:val="left"/>
              <w:rPr>
                <w:rFonts w:eastAsia="SimSun"/>
                <w:noProof/>
                <w:sz w:val="18"/>
                <w:szCs w:val="18"/>
              </w:rPr>
            </w:pPr>
            <w:r>
              <w:rPr>
                <w:rFonts w:eastAsia="SimSun"/>
                <w:noProof/>
                <w:sz w:val="18"/>
                <w:szCs w:val="18"/>
                <w:vertAlign w:val="superscript"/>
              </w:rPr>
              <w:t xml:space="preserve">p </w:t>
            </w:r>
            <w:r w:rsidR="00A00F64" w:rsidRPr="006C2748">
              <w:rPr>
                <w:rFonts w:eastAsia="SimSun"/>
                <w:noProof/>
                <w:sz w:val="18"/>
                <w:szCs w:val="18"/>
              </w:rPr>
              <w:t>Includes eyelid oedema, face oedema, localised oedema, oedema peripheral, periorbital oedema, swelling face</w:t>
            </w:r>
            <w:r w:rsidR="006C2748" w:rsidRPr="006C2748">
              <w:rPr>
                <w:rFonts w:eastAsia="SimSun"/>
                <w:noProof/>
                <w:sz w:val="18"/>
                <w:szCs w:val="18"/>
              </w:rPr>
              <w:t xml:space="preserve">, </w:t>
            </w:r>
            <w:r w:rsidR="006C2748" w:rsidRPr="006C2748">
              <w:rPr>
                <w:color w:val="000000"/>
                <w:sz w:val="18"/>
                <w:szCs w:val="18"/>
              </w:rPr>
              <w:t>generalized edema, peripheral swelling</w:t>
            </w:r>
          </w:p>
          <w:p w14:paraId="427C4A1F" w14:textId="77777777" w:rsidR="00A00F64" w:rsidRDefault="00A00F64" w:rsidP="001C463A">
            <w:pPr>
              <w:spacing w:after="0"/>
            </w:pPr>
            <w:r w:rsidRPr="006C2748">
              <w:rPr>
                <w:noProof/>
                <w:sz w:val="18"/>
                <w:szCs w:val="18"/>
                <w:vertAlign w:val="superscript"/>
              </w:rPr>
              <w:t>†</w:t>
            </w:r>
            <w:r w:rsidRPr="006C2748">
              <w:rPr>
                <w:iCs/>
                <w:sz w:val="18"/>
                <w:szCs w:val="18"/>
              </w:rPr>
              <w:t>The frequencies for ADR terms associated with chemistry and haematology laboratory changes were determined based on the frequency of abnormal laboratory shifts from baseline.</w:t>
            </w:r>
          </w:p>
        </w:tc>
      </w:tr>
    </w:tbl>
    <w:p w14:paraId="427C4A21" w14:textId="77777777" w:rsidR="00A00F64" w:rsidRPr="00E957E3" w:rsidRDefault="00A00F64" w:rsidP="00816EB5">
      <w:pPr>
        <w:rPr>
          <w:rFonts w:cs="Arial"/>
          <w:szCs w:val="22"/>
          <w:u w:val="single"/>
        </w:rPr>
      </w:pPr>
    </w:p>
    <w:p w14:paraId="427C4A22" w14:textId="77777777" w:rsidR="009F6FF1" w:rsidRPr="006C4FF5" w:rsidRDefault="009F6FF1" w:rsidP="006C4FF5">
      <w:pPr>
        <w:pStyle w:val="Heading3"/>
        <w:keepNext/>
        <w:keepLines/>
        <w:rPr>
          <w:rFonts w:eastAsiaTheme="majorEastAsia"/>
          <w:b/>
          <w:bCs/>
          <w:smallCaps w:val="0"/>
          <w:sz w:val="22"/>
          <w:u w:val="none"/>
        </w:rPr>
      </w:pPr>
      <w:r w:rsidRPr="006C4FF5">
        <w:rPr>
          <w:rFonts w:eastAsiaTheme="majorEastAsia"/>
          <w:b/>
          <w:bCs/>
          <w:smallCaps w:val="0"/>
          <w:sz w:val="22"/>
          <w:u w:val="none"/>
        </w:rPr>
        <w:t xml:space="preserve">Description of selected adverse reactions </w:t>
      </w:r>
    </w:p>
    <w:p w14:paraId="427C4A23" w14:textId="77777777" w:rsidR="00471119" w:rsidRPr="00734027" w:rsidRDefault="00471119" w:rsidP="00734027">
      <w:pPr>
        <w:pStyle w:val="Heading3"/>
        <w:keepNext/>
        <w:keepLines/>
        <w:rPr>
          <w:rFonts w:eastAsiaTheme="majorEastAsia"/>
          <w:b/>
          <w:bCs/>
          <w:smallCaps w:val="0"/>
          <w:sz w:val="22"/>
          <w:u w:val="none"/>
        </w:rPr>
      </w:pPr>
      <w:r w:rsidRPr="00734027">
        <w:rPr>
          <w:rFonts w:eastAsiaTheme="majorEastAsia"/>
          <w:b/>
          <w:bCs/>
          <w:smallCaps w:val="0"/>
          <w:sz w:val="22"/>
          <w:u w:val="none"/>
        </w:rPr>
        <w:t>Pulmonary Adverse Reactions</w:t>
      </w:r>
    </w:p>
    <w:p w14:paraId="427C4A24" w14:textId="77777777" w:rsidR="00471119" w:rsidRPr="00E957E3" w:rsidRDefault="00A00F64" w:rsidP="009B1DF2">
      <w:pPr>
        <w:numPr>
          <w:ilvl w:val="12"/>
          <w:numId w:val="0"/>
        </w:numPr>
        <w:ind w:right="-2"/>
      </w:pPr>
      <w:r>
        <w:t>In ALTA, p</w:t>
      </w:r>
      <w:r w:rsidR="00471119" w:rsidRPr="00E957E3">
        <w:t xml:space="preserve">ulmonary adverse reactions of any grade, including ILD/pneumonitis, pneumonia and </w:t>
      </w:r>
      <w:r w:rsidR="002040D0" w:rsidRPr="00E957E3">
        <w:t>dyspnoea</w:t>
      </w:r>
      <w:r w:rsidR="00471119" w:rsidRPr="00E957E3">
        <w:t>, early in treatment (within 9 days, median onset: 2 days) were experienced in 6.4% of patients; 2.7% of patients had Grade 3-4 pulmonary adverse reactions and 1 patient (0.5%) had fatal pneumonia. Following Grade 1-2 pulmonary adverse reactions, treatment with brigatinib was either interrupted and then restarted or the dose was reduced.</w:t>
      </w:r>
      <w:r w:rsidR="00790048">
        <w:t xml:space="preserve"> </w:t>
      </w:r>
      <w:r w:rsidR="00790048" w:rsidRPr="002E0F65">
        <w:rPr>
          <w:szCs w:val="22"/>
        </w:rPr>
        <w:t>Early pulmonary adverse reactions also occurred in a dose escalation study in patients (N = 137) (Study 101) including three fatal cases (hypoxia, acute respiratory distress syndrome and pneumonia)</w:t>
      </w:r>
      <w:r w:rsidR="009B1DF2">
        <w:rPr>
          <w:szCs w:val="22"/>
        </w:rPr>
        <w:t xml:space="preserve"> </w:t>
      </w:r>
      <w:r w:rsidR="00471119" w:rsidRPr="00E957E3">
        <w:t xml:space="preserve">Additionally, 2.3% of patients experienced pneumonitis later in treatment, with 2 patients having Grade 3 pneumonitis (see </w:t>
      </w:r>
      <w:r w:rsidR="00471119" w:rsidRPr="00E957E3">
        <w:lastRenderedPageBreak/>
        <w:t>section 4.2</w:t>
      </w:r>
      <w:r w:rsidR="00C14B4A">
        <w:t xml:space="preserve"> Dose and Method of Administration</w:t>
      </w:r>
      <w:r w:rsidR="00471119" w:rsidRPr="00E957E3">
        <w:t xml:space="preserve"> and section 4.4</w:t>
      </w:r>
      <w:r w:rsidR="00C14B4A">
        <w:t xml:space="preserve"> Special Warnings and Precautions for Use</w:t>
      </w:r>
      <w:r w:rsidR="00471119" w:rsidRPr="00E957E3">
        <w:t>).</w:t>
      </w:r>
    </w:p>
    <w:p w14:paraId="427C4A25" w14:textId="77777777" w:rsidR="00471119" w:rsidRPr="00734027" w:rsidRDefault="00471119" w:rsidP="00734027">
      <w:pPr>
        <w:pStyle w:val="Heading3"/>
        <w:keepNext/>
        <w:keepLines/>
        <w:rPr>
          <w:rFonts w:eastAsiaTheme="majorEastAsia"/>
          <w:b/>
          <w:bCs/>
          <w:smallCaps w:val="0"/>
          <w:sz w:val="22"/>
          <w:u w:val="none"/>
        </w:rPr>
      </w:pPr>
      <w:r w:rsidRPr="00734027">
        <w:rPr>
          <w:rFonts w:eastAsiaTheme="majorEastAsia"/>
          <w:b/>
          <w:bCs/>
          <w:smallCaps w:val="0"/>
          <w:sz w:val="22"/>
          <w:u w:val="none"/>
        </w:rPr>
        <w:t>Hypertension</w:t>
      </w:r>
    </w:p>
    <w:p w14:paraId="427C4A26" w14:textId="77777777" w:rsidR="00471119" w:rsidRPr="00E957E3" w:rsidRDefault="00C52677" w:rsidP="00471119">
      <w:r>
        <w:t>In ALTA, h</w:t>
      </w:r>
      <w:r w:rsidRPr="00E957E3">
        <w:t xml:space="preserve">ypertension </w:t>
      </w:r>
      <w:r w:rsidR="00471119" w:rsidRPr="00E957E3">
        <w:t xml:space="preserve">was reported in </w:t>
      </w:r>
      <w:r w:rsidR="006C2748">
        <w:t>28</w:t>
      </w:r>
      <w:r w:rsidR="00471119" w:rsidRPr="00E957E3">
        <w:t xml:space="preserve">% of patients treated with brigatinib at the 180 mg regimen with </w:t>
      </w:r>
      <w:r w:rsidR="006C2748">
        <w:t>10</w:t>
      </w:r>
      <w:r w:rsidR="00471119" w:rsidRPr="00E957E3">
        <w:t>% having Grade 3 hypertension. Dose reduction for hypertension occurred in 0.9% of patients at the 180 mg regimen. Systolic and diastolic blood pressure increased over time (see section 4.2</w:t>
      </w:r>
      <w:r w:rsidR="00C14B4A">
        <w:t xml:space="preserve"> Dose and Method of Administration</w:t>
      </w:r>
      <w:r w:rsidR="00471119" w:rsidRPr="00E957E3">
        <w:t xml:space="preserve"> and section 4.4</w:t>
      </w:r>
      <w:r w:rsidR="00C14B4A">
        <w:t xml:space="preserve"> Special Warnings and Precautions for Use</w:t>
      </w:r>
      <w:r w:rsidR="00471119" w:rsidRPr="00E957E3">
        <w:t>).</w:t>
      </w:r>
    </w:p>
    <w:p w14:paraId="427C4A27" w14:textId="77777777" w:rsidR="00471119" w:rsidRPr="00734027" w:rsidRDefault="00471119" w:rsidP="00734027">
      <w:pPr>
        <w:pStyle w:val="Heading3"/>
        <w:keepNext/>
        <w:keepLines/>
        <w:rPr>
          <w:rFonts w:eastAsiaTheme="majorEastAsia"/>
          <w:b/>
          <w:bCs/>
          <w:smallCaps w:val="0"/>
          <w:sz w:val="22"/>
          <w:u w:val="none"/>
        </w:rPr>
      </w:pPr>
      <w:r w:rsidRPr="00734027">
        <w:rPr>
          <w:rFonts w:eastAsiaTheme="majorEastAsia"/>
          <w:b/>
          <w:bCs/>
          <w:smallCaps w:val="0"/>
          <w:sz w:val="22"/>
          <w:u w:val="none"/>
        </w:rPr>
        <w:t>Bradycardia</w:t>
      </w:r>
    </w:p>
    <w:p w14:paraId="427C4A28" w14:textId="77777777" w:rsidR="00471119" w:rsidRPr="00E957E3" w:rsidRDefault="00746758" w:rsidP="00471119">
      <w:r>
        <w:t>In ALTA, b</w:t>
      </w:r>
      <w:r w:rsidR="00471119" w:rsidRPr="00E957E3">
        <w:t xml:space="preserve">radycardia was reported in 4.5% of patients treated with brigatinib at the 180 mg regimen. Heart rates of less than 50 beats per minute (bpm) were reported in 8.2% of patients at the 180 mg regimen (see section 4.2 </w:t>
      </w:r>
      <w:r w:rsidR="00C14B4A">
        <w:t>Dose and Method of Administration</w:t>
      </w:r>
      <w:r w:rsidR="00C14B4A" w:rsidRPr="00E957E3">
        <w:t xml:space="preserve"> </w:t>
      </w:r>
      <w:r w:rsidR="00471119" w:rsidRPr="00E957E3">
        <w:t>and section 4.4</w:t>
      </w:r>
      <w:r w:rsidR="00C14B4A">
        <w:t xml:space="preserve"> Special Warnings and Precautions for Use</w:t>
      </w:r>
      <w:r w:rsidR="00471119" w:rsidRPr="00E957E3">
        <w:t>).</w:t>
      </w:r>
    </w:p>
    <w:p w14:paraId="427C4A29" w14:textId="77777777" w:rsidR="00151EF8" w:rsidRPr="00F26606" w:rsidRDefault="00151EF8" w:rsidP="00151EF8">
      <w:pPr>
        <w:pStyle w:val="Heading3"/>
        <w:keepNext/>
        <w:keepLines/>
        <w:rPr>
          <w:rFonts w:eastAsiaTheme="majorEastAsia"/>
          <w:b/>
          <w:bCs/>
          <w:smallCaps w:val="0"/>
          <w:sz w:val="22"/>
          <w:u w:val="none"/>
        </w:rPr>
      </w:pPr>
      <w:r w:rsidRPr="00F26606">
        <w:rPr>
          <w:rFonts w:eastAsiaTheme="majorEastAsia"/>
          <w:b/>
          <w:bCs/>
          <w:smallCaps w:val="0"/>
          <w:sz w:val="22"/>
          <w:u w:val="none"/>
        </w:rPr>
        <w:t>Peripheral neuropathy</w:t>
      </w:r>
    </w:p>
    <w:p w14:paraId="427C4A2A" w14:textId="77777777" w:rsidR="00151EF8" w:rsidRPr="002E0F65" w:rsidRDefault="00151EF8" w:rsidP="00F26606">
      <w:pPr>
        <w:autoSpaceDE w:val="0"/>
        <w:autoSpaceDN w:val="0"/>
        <w:rPr>
          <w:szCs w:val="22"/>
        </w:rPr>
      </w:pPr>
      <w:r w:rsidRPr="002E0F65">
        <w:rPr>
          <w:color w:val="000000"/>
          <w:szCs w:val="22"/>
        </w:rPr>
        <w:t>In ALTA, peripheral neuropathy adverse reactions were reported in 27.3% of patients treated at the 180 mg regimen</w:t>
      </w:r>
      <w:r>
        <w:rPr>
          <w:color w:val="000000"/>
          <w:szCs w:val="22"/>
        </w:rPr>
        <w:t xml:space="preserve"> with </w:t>
      </w:r>
      <w:r w:rsidRPr="00BC5494">
        <w:rPr>
          <w:color w:val="000000"/>
          <w:szCs w:val="22"/>
        </w:rPr>
        <w:t>1.8%</w:t>
      </w:r>
      <w:r>
        <w:rPr>
          <w:color w:val="000000"/>
          <w:szCs w:val="22"/>
        </w:rPr>
        <w:t xml:space="preserve"> having Grade 2 peripheral neuropathy</w:t>
      </w:r>
      <w:r w:rsidRPr="002E0F65">
        <w:rPr>
          <w:color w:val="000000"/>
          <w:szCs w:val="22"/>
        </w:rPr>
        <w:t xml:space="preserve">. Thirty percent of patients had resolution of all peripheral neuropathy adverse reactions. </w:t>
      </w:r>
      <w:r>
        <w:rPr>
          <w:color w:val="000000"/>
          <w:szCs w:val="22"/>
        </w:rPr>
        <w:t xml:space="preserve">The median time to onset of peripheral neuropathy was </w:t>
      </w:r>
      <w:r w:rsidRPr="00BC5494">
        <w:rPr>
          <w:color w:val="000000"/>
          <w:szCs w:val="22"/>
        </w:rPr>
        <w:t>3.5 months</w:t>
      </w:r>
      <w:r>
        <w:rPr>
          <w:color w:val="000000"/>
          <w:szCs w:val="22"/>
        </w:rPr>
        <w:t xml:space="preserve">. </w:t>
      </w:r>
      <w:r w:rsidRPr="002E0F65">
        <w:rPr>
          <w:color w:val="000000"/>
          <w:szCs w:val="22"/>
        </w:rPr>
        <w:t>The median duration of peripheral neuropathy adverse reactions was 4.5 months, with a maximum duration of 28.7 months.</w:t>
      </w:r>
    </w:p>
    <w:p w14:paraId="427C4A2B" w14:textId="77777777" w:rsidR="00471119" w:rsidRPr="00734027" w:rsidRDefault="00471119" w:rsidP="00734027">
      <w:pPr>
        <w:pStyle w:val="Heading3"/>
        <w:keepNext/>
        <w:keepLines/>
        <w:rPr>
          <w:rFonts w:eastAsiaTheme="majorEastAsia"/>
          <w:b/>
          <w:bCs/>
          <w:smallCaps w:val="0"/>
          <w:sz w:val="22"/>
          <w:u w:val="none"/>
        </w:rPr>
      </w:pPr>
      <w:r w:rsidRPr="00734027">
        <w:rPr>
          <w:rFonts w:eastAsiaTheme="majorEastAsia"/>
          <w:b/>
          <w:bCs/>
          <w:smallCaps w:val="0"/>
          <w:sz w:val="22"/>
          <w:u w:val="none"/>
        </w:rPr>
        <w:t>Visual Disturbance</w:t>
      </w:r>
    </w:p>
    <w:p w14:paraId="427C4A2C" w14:textId="77777777" w:rsidR="00471119" w:rsidRPr="00E957E3" w:rsidRDefault="00746758" w:rsidP="00471119">
      <w:r>
        <w:t>In ALTA, v</w:t>
      </w:r>
      <w:r w:rsidRPr="00E957E3">
        <w:t xml:space="preserve">isual </w:t>
      </w:r>
      <w:r w:rsidR="00471119" w:rsidRPr="00E957E3">
        <w:t xml:space="preserve">disturbance adverse reactions were reported in </w:t>
      </w:r>
      <w:r w:rsidR="006C2748">
        <w:t>18</w:t>
      </w:r>
      <w:r w:rsidR="00471119" w:rsidRPr="00E957E3">
        <w:t>% of patients treated with brigatinib at the 180 mg regimen. Of these, two grade 3 adverse reactions (</w:t>
      </w:r>
      <w:r w:rsidR="006C2748">
        <w:t>2.7</w:t>
      </w:r>
      <w:r w:rsidR="00471119" w:rsidRPr="00E957E3">
        <w:t xml:space="preserve">%) including macular oedema </w:t>
      </w:r>
      <w:r w:rsidR="006C2748">
        <w:t xml:space="preserve">(1) </w:t>
      </w:r>
      <w:r w:rsidR="00471119" w:rsidRPr="00E957E3">
        <w:t xml:space="preserve">and cataract </w:t>
      </w:r>
      <w:r w:rsidR="006C2748">
        <w:t xml:space="preserve">(2) </w:t>
      </w:r>
      <w:r w:rsidR="00471119" w:rsidRPr="00E957E3">
        <w:t xml:space="preserve">were reported. Dose reduction for visual disturbance occurred in two patients (1.8%) at the 180 mg regimen (see section 4.2 </w:t>
      </w:r>
      <w:r w:rsidR="00C14B4A">
        <w:t>Dose and Method of Administration</w:t>
      </w:r>
      <w:r w:rsidR="00C14B4A" w:rsidRPr="00E957E3">
        <w:t xml:space="preserve"> </w:t>
      </w:r>
      <w:r w:rsidR="00471119" w:rsidRPr="00E957E3">
        <w:t>and section 4.4</w:t>
      </w:r>
      <w:r w:rsidR="00C14B4A">
        <w:t xml:space="preserve"> Special Warnings and Precautions for Use</w:t>
      </w:r>
      <w:r w:rsidR="00471119" w:rsidRPr="00E957E3">
        <w:t>).</w:t>
      </w:r>
    </w:p>
    <w:p w14:paraId="427C4A2D" w14:textId="77777777" w:rsidR="00471119" w:rsidRPr="00734027" w:rsidRDefault="00471119" w:rsidP="00734027">
      <w:pPr>
        <w:pStyle w:val="Heading3"/>
        <w:keepNext/>
        <w:keepLines/>
        <w:rPr>
          <w:rFonts w:eastAsiaTheme="majorEastAsia"/>
          <w:b/>
          <w:bCs/>
          <w:smallCaps w:val="0"/>
          <w:sz w:val="22"/>
          <w:u w:val="none"/>
        </w:rPr>
      </w:pPr>
      <w:r w:rsidRPr="00734027">
        <w:rPr>
          <w:rFonts w:eastAsiaTheme="majorEastAsia"/>
          <w:b/>
          <w:bCs/>
          <w:smallCaps w:val="0"/>
          <w:sz w:val="22"/>
          <w:u w:val="none"/>
        </w:rPr>
        <w:t>Creatine Phosphokinase (CPK) Elevation</w:t>
      </w:r>
    </w:p>
    <w:p w14:paraId="427C4A2E" w14:textId="77777777" w:rsidR="00471119" w:rsidRPr="00E957E3" w:rsidRDefault="00746758" w:rsidP="00471119">
      <w:r>
        <w:t>In ALTA, e</w:t>
      </w:r>
      <w:r w:rsidR="00471119" w:rsidRPr="00E957E3">
        <w:t xml:space="preserve">levations of creatine phosphokinase (CPK) were reported in 50% of patients treated with brigatinib at the 180 mg regimen. The incidence of Grade 3-4 elevations of CPK was </w:t>
      </w:r>
      <w:r w:rsidR="006C2748">
        <w:t>13.6</w:t>
      </w:r>
      <w:r w:rsidR="00471119" w:rsidRPr="00E957E3">
        <w:t xml:space="preserve">%. The median time to onset for CPK elevations was 27 days. Dose reduction for CPK elevation occurred in 6.4% patients at the 180 mg regimen (see section 4.2 </w:t>
      </w:r>
      <w:r w:rsidR="00C14B4A">
        <w:t>Dose and Method of Administration</w:t>
      </w:r>
      <w:r w:rsidR="00C14B4A" w:rsidRPr="00E957E3">
        <w:t xml:space="preserve"> </w:t>
      </w:r>
      <w:r w:rsidR="00471119" w:rsidRPr="00E957E3">
        <w:t>and section 4.4</w:t>
      </w:r>
      <w:r w:rsidR="00C14B4A">
        <w:t xml:space="preserve"> Special Warnings and Precautions for Use</w:t>
      </w:r>
      <w:r w:rsidR="00471119" w:rsidRPr="00E957E3">
        <w:t>).</w:t>
      </w:r>
    </w:p>
    <w:p w14:paraId="427C4A2F" w14:textId="77777777" w:rsidR="00471119" w:rsidRPr="00734027" w:rsidRDefault="00471119" w:rsidP="00734027">
      <w:pPr>
        <w:pStyle w:val="Heading3"/>
        <w:keepNext/>
        <w:keepLines/>
        <w:rPr>
          <w:rFonts w:eastAsiaTheme="majorEastAsia"/>
          <w:b/>
          <w:bCs/>
          <w:smallCaps w:val="0"/>
          <w:sz w:val="22"/>
          <w:u w:val="none"/>
        </w:rPr>
      </w:pPr>
      <w:r w:rsidRPr="00734027">
        <w:rPr>
          <w:rFonts w:eastAsiaTheme="majorEastAsia"/>
          <w:b/>
          <w:bCs/>
          <w:smallCaps w:val="0"/>
          <w:sz w:val="22"/>
          <w:u w:val="none"/>
        </w:rPr>
        <w:t>Elevations of Pancreatic Enzymes</w:t>
      </w:r>
    </w:p>
    <w:p w14:paraId="427C4A30" w14:textId="77777777" w:rsidR="00471119" w:rsidRDefault="00746758" w:rsidP="00471119">
      <w:r>
        <w:t>In ALTA, e</w:t>
      </w:r>
      <w:r w:rsidR="00471119" w:rsidRPr="00E957E3">
        <w:t xml:space="preserve">levations of amylase and lipase were reported in </w:t>
      </w:r>
      <w:r w:rsidR="006C2748">
        <w:t>43</w:t>
      </w:r>
      <w:r w:rsidR="00471119" w:rsidRPr="00E957E3">
        <w:t xml:space="preserve">% and </w:t>
      </w:r>
      <w:r w:rsidR="006C2748">
        <w:t>50</w:t>
      </w:r>
      <w:r w:rsidR="00471119" w:rsidRPr="00E957E3">
        <w:t xml:space="preserve">% of patients treated with brigatinib, respectively at the 180 mg regimen. For elevations to Grades 3 - 4, the incidences for amylase and lipase were </w:t>
      </w:r>
      <w:r w:rsidR="006C2748">
        <w:t>8.2</w:t>
      </w:r>
      <w:r w:rsidR="00471119" w:rsidRPr="00E957E3">
        <w:t xml:space="preserve">% and 10%, respectively. The median time to onset for amylase elevations and lipase elevations was </w:t>
      </w:r>
      <w:r w:rsidR="006C2748">
        <w:t>17</w:t>
      </w:r>
      <w:r w:rsidR="00471119" w:rsidRPr="00E957E3">
        <w:t xml:space="preserve"> days and 29 days, respectively. Dose reduction for elevation of lipase and amylase occurred in 1.8% and 0.9% of patients, respectively at the 180 mg regimen (see section 4.2 </w:t>
      </w:r>
      <w:r w:rsidR="00C14B4A">
        <w:t>Dose and Method of Administration</w:t>
      </w:r>
      <w:r w:rsidR="00C14B4A" w:rsidRPr="00E957E3">
        <w:t xml:space="preserve"> </w:t>
      </w:r>
      <w:r w:rsidR="00471119" w:rsidRPr="00E957E3">
        <w:t>and section 4.4</w:t>
      </w:r>
      <w:r w:rsidR="00C14B4A" w:rsidRPr="00C14B4A">
        <w:t xml:space="preserve"> </w:t>
      </w:r>
      <w:r w:rsidR="00C14B4A">
        <w:t>Special Warnings and Precautions for Use</w:t>
      </w:r>
      <w:r w:rsidR="00471119" w:rsidRPr="00E957E3">
        <w:t>).</w:t>
      </w:r>
    </w:p>
    <w:p w14:paraId="546679A7" w14:textId="39357D13" w:rsidR="00B04A58" w:rsidRPr="00734027" w:rsidRDefault="00B04A58" w:rsidP="00B04A58">
      <w:pPr>
        <w:pStyle w:val="Heading3"/>
        <w:keepNext/>
        <w:keepLines/>
        <w:rPr>
          <w:rFonts w:eastAsiaTheme="majorEastAsia"/>
          <w:b/>
          <w:bCs/>
          <w:smallCaps w:val="0"/>
          <w:sz w:val="22"/>
          <w:u w:val="none"/>
        </w:rPr>
      </w:pPr>
      <w:r w:rsidRPr="00734027">
        <w:rPr>
          <w:rFonts w:eastAsiaTheme="majorEastAsia"/>
          <w:b/>
          <w:bCs/>
          <w:smallCaps w:val="0"/>
          <w:sz w:val="22"/>
          <w:u w:val="none"/>
        </w:rPr>
        <w:lastRenderedPageBreak/>
        <w:t xml:space="preserve">Elevations of </w:t>
      </w:r>
      <w:r>
        <w:rPr>
          <w:rFonts w:eastAsiaTheme="majorEastAsia"/>
          <w:b/>
          <w:bCs/>
          <w:smallCaps w:val="0"/>
          <w:sz w:val="22"/>
          <w:u w:val="none"/>
        </w:rPr>
        <w:t xml:space="preserve">Hepatic </w:t>
      </w:r>
      <w:r w:rsidRPr="00734027">
        <w:rPr>
          <w:rFonts w:eastAsiaTheme="majorEastAsia"/>
          <w:b/>
          <w:bCs/>
          <w:smallCaps w:val="0"/>
          <w:sz w:val="22"/>
          <w:u w:val="none"/>
        </w:rPr>
        <w:t>Enzymes</w:t>
      </w:r>
    </w:p>
    <w:p w14:paraId="50324E45" w14:textId="5A3252ED" w:rsidR="00B04A58" w:rsidRPr="003A1C6B" w:rsidRDefault="00B04A58" w:rsidP="003A1C6B">
      <w:r w:rsidRPr="003A1C6B">
        <w:t xml:space="preserve">In ALTA, elevations of ALT and AST were reported in 46% and 65% of patients treated with ALUNBRIG, respectively at the 180 mg regimen. For elevations to Grade 3 and 4, the incidences for ALT and AST were 5.5% and 3.6%, respectively. No patients had dose reductions due to elevation of ALT or AST. </w:t>
      </w:r>
    </w:p>
    <w:p w14:paraId="427C4A31" w14:textId="77777777" w:rsidR="00471119" w:rsidRPr="00734027" w:rsidRDefault="002040D0" w:rsidP="00734027">
      <w:pPr>
        <w:pStyle w:val="Heading3"/>
        <w:keepNext/>
        <w:keepLines/>
        <w:rPr>
          <w:rFonts w:eastAsiaTheme="majorEastAsia"/>
          <w:b/>
          <w:bCs/>
          <w:smallCaps w:val="0"/>
          <w:sz w:val="22"/>
          <w:u w:val="none"/>
        </w:rPr>
      </w:pPr>
      <w:r w:rsidRPr="00734027">
        <w:rPr>
          <w:rFonts w:eastAsiaTheme="majorEastAsia"/>
          <w:b/>
          <w:bCs/>
          <w:smallCaps w:val="0"/>
          <w:sz w:val="22"/>
          <w:u w:val="none"/>
        </w:rPr>
        <w:t>Hyperglycaemia</w:t>
      </w:r>
    </w:p>
    <w:p w14:paraId="427C4A32" w14:textId="77777777" w:rsidR="00471119" w:rsidRDefault="00471119" w:rsidP="00471119">
      <w:r w:rsidRPr="00E957E3">
        <w:t xml:space="preserve">In </w:t>
      </w:r>
      <w:r w:rsidR="00746758">
        <w:t>ALTA</w:t>
      </w:r>
      <w:r w:rsidR="006C2748">
        <w:t>,</w:t>
      </w:r>
      <w:r w:rsidRPr="00E957E3">
        <w:t xml:space="preserve"> </w:t>
      </w:r>
      <w:r w:rsidR="006C2748">
        <w:t>69</w:t>
      </w:r>
      <w:r w:rsidRPr="00E957E3">
        <w:t>% of</w:t>
      </w:r>
      <w:r w:rsidR="00D0097A" w:rsidRPr="00E957E3">
        <w:t xml:space="preserve"> patients experienced </w:t>
      </w:r>
      <w:r w:rsidR="002040D0" w:rsidRPr="00E957E3">
        <w:t>hyperglycaemia</w:t>
      </w:r>
      <w:r w:rsidRPr="00E957E3">
        <w:t xml:space="preserve">. Grade 3 </w:t>
      </w:r>
      <w:r w:rsidR="002040D0" w:rsidRPr="00E957E3">
        <w:t>hyperglycaemia</w:t>
      </w:r>
      <w:r w:rsidRPr="00E957E3">
        <w:t xml:space="preserve"> occurred in </w:t>
      </w:r>
      <w:r w:rsidR="006C2748">
        <w:t>7.3</w:t>
      </w:r>
      <w:r w:rsidRPr="00E957E3">
        <w:t xml:space="preserve">% of patients (see section 4.2 </w:t>
      </w:r>
      <w:r w:rsidR="00C14B4A">
        <w:t>Dose and Method of Administration</w:t>
      </w:r>
      <w:r w:rsidR="00C14B4A" w:rsidRPr="00E957E3">
        <w:t xml:space="preserve"> </w:t>
      </w:r>
      <w:r w:rsidRPr="00E957E3">
        <w:t>and section 4.4</w:t>
      </w:r>
      <w:r w:rsidR="00C14B4A" w:rsidRPr="00C14B4A">
        <w:t xml:space="preserve"> </w:t>
      </w:r>
      <w:r w:rsidR="00C14B4A">
        <w:t>Special Warnings and Precautions for Use</w:t>
      </w:r>
      <w:r w:rsidRPr="00E957E3">
        <w:t>). No patients had dose reductions due to hyperglycaemia.</w:t>
      </w:r>
    </w:p>
    <w:p w14:paraId="427C4A33" w14:textId="77777777" w:rsidR="00746758" w:rsidRPr="00734027" w:rsidRDefault="001A1A69" w:rsidP="00734027">
      <w:pPr>
        <w:pStyle w:val="Heading3"/>
        <w:keepNext/>
        <w:keepLines/>
        <w:rPr>
          <w:rFonts w:eastAsiaTheme="majorEastAsia"/>
          <w:b/>
          <w:bCs/>
          <w:smallCaps w:val="0"/>
          <w:sz w:val="22"/>
          <w:u w:val="none"/>
        </w:rPr>
      </w:pPr>
      <w:r w:rsidRPr="00734027">
        <w:rPr>
          <w:rFonts w:eastAsiaTheme="majorEastAsia"/>
          <w:b/>
          <w:bCs/>
          <w:smallCaps w:val="0"/>
          <w:sz w:val="22"/>
          <w:u w:val="none"/>
        </w:rPr>
        <w:t>Post-marketing</w:t>
      </w:r>
    </w:p>
    <w:p w14:paraId="427C4A34" w14:textId="77777777" w:rsidR="00F61E45" w:rsidRPr="00E957E3" w:rsidRDefault="00746758" w:rsidP="00746758">
      <w:r>
        <w:t>Not applicable.</w:t>
      </w:r>
    </w:p>
    <w:p w14:paraId="427C4A35" w14:textId="77777777" w:rsidR="00985ED5" w:rsidRPr="00734027" w:rsidRDefault="00985ED5" w:rsidP="00734027">
      <w:pPr>
        <w:pStyle w:val="Heading3"/>
        <w:keepNext/>
        <w:keepLines/>
        <w:rPr>
          <w:rFonts w:eastAsiaTheme="majorEastAsia"/>
          <w:b/>
          <w:bCs/>
          <w:smallCaps w:val="0"/>
          <w:sz w:val="22"/>
          <w:u w:val="none"/>
        </w:rPr>
      </w:pPr>
      <w:r w:rsidRPr="00734027">
        <w:rPr>
          <w:rFonts w:eastAsiaTheme="majorEastAsia"/>
          <w:b/>
          <w:bCs/>
          <w:smallCaps w:val="0"/>
          <w:sz w:val="22"/>
          <w:u w:val="none"/>
        </w:rPr>
        <w:t>Reporting of suspected adverse reactions</w:t>
      </w:r>
    </w:p>
    <w:p w14:paraId="427C4A36" w14:textId="77777777" w:rsidR="002F0774" w:rsidRPr="00E957E3" w:rsidRDefault="009616F3" w:rsidP="002F0774">
      <w:r w:rsidRPr="00E957E3">
        <w:t>Reporting suspected adverse reactions after registration of the medicinal product is important. It allows continued monitoring of the benefit-risk balance of the medicinal product. Healthcare professionals are asked to report any suspected adverse reactions at http://www.tga.gov.au/reporting-</w:t>
      </w:r>
      <w:r w:rsidR="000D6F60" w:rsidRPr="00E957E3">
        <w:t>prob</w:t>
      </w:r>
      <w:r w:rsidR="000D6F60">
        <w:t>l</w:t>
      </w:r>
      <w:r w:rsidR="000D6F60" w:rsidRPr="00E957E3">
        <w:t>ems</w:t>
      </w:r>
      <w:r w:rsidRPr="00E957E3">
        <w:t>.</w:t>
      </w:r>
      <w:r w:rsidR="00151AE1" w:rsidRPr="00E957E3">
        <w:rPr>
          <w:highlight w:val="yellow"/>
        </w:rPr>
        <w:t xml:space="preserve"> </w:t>
      </w:r>
    </w:p>
    <w:p w14:paraId="427C4A37" w14:textId="77777777" w:rsidR="002F0774" w:rsidRPr="00E957E3" w:rsidRDefault="00151AE1" w:rsidP="001A0D3C">
      <w:pPr>
        <w:pStyle w:val="Heading2"/>
      </w:pPr>
      <w:r w:rsidRPr="00E957E3">
        <w:t xml:space="preserve">OVERDOSE </w:t>
      </w:r>
    </w:p>
    <w:p w14:paraId="427C4A38" w14:textId="77777777" w:rsidR="009616F3" w:rsidRPr="00E957E3" w:rsidRDefault="009616F3" w:rsidP="005F636F">
      <w:pPr>
        <w:spacing w:after="120"/>
        <w:rPr>
          <w:highlight w:val="yellow"/>
        </w:rPr>
      </w:pPr>
      <w:r w:rsidRPr="00E957E3">
        <w:t xml:space="preserve">There is no specific antidote for overdose with ALUNBRIG. In the event of an overdose, monitor the patient for adverse reactions </w:t>
      </w:r>
      <w:r w:rsidR="00B272BF">
        <w:t>[</w:t>
      </w:r>
      <w:r w:rsidRPr="00E957E3">
        <w:t xml:space="preserve">see </w:t>
      </w:r>
      <w:r w:rsidRPr="00C82E18">
        <w:t>section 4.8</w:t>
      </w:r>
      <w:r w:rsidR="00B272BF">
        <w:t xml:space="preserve"> Adverse Effects (Undesirable Effects</w:t>
      </w:r>
      <w:r w:rsidRPr="00E957E3">
        <w:t>)</w:t>
      </w:r>
      <w:r w:rsidR="00B272BF">
        <w:t>]</w:t>
      </w:r>
      <w:r w:rsidRPr="00E957E3">
        <w:t xml:space="preserve"> and provide appropriate supportive care.</w:t>
      </w:r>
    </w:p>
    <w:p w14:paraId="427C4A39" w14:textId="77777777" w:rsidR="009616F3" w:rsidRPr="00E957E3" w:rsidRDefault="009616F3" w:rsidP="002F0774">
      <w:pPr>
        <w:rPr>
          <w:highlight w:val="yellow"/>
        </w:rPr>
      </w:pPr>
      <w:r w:rsidRPr="00E957E3">
        <w:t>For information on the management of overdose, contact the Poison Information Centre on 131126 (Australia).</w:t>
      </w:r>
    </w:p>
    <w:p w14:paraId="427C4A3A" w14:textId="77777777" w:rsidR="007E4EF4" w:rsidRPr="00E957E3" w:rsidRDefault="007E4EF4" w:rsidP="00C77D3B">
      <w:pPr>
        <w:pStyle w:val="Heading1"/>
        <w:numPr>
          <w:ilvl w:val="0"/>
          <w:numId w:val="5"/>
        </w:numPr>
        <w:tabs>
          <w:tab w:val="left" w:pos="567"/>
        </w:tabs>
        <w:ind w:left="567" w:hanging="567"/>
      </w:pPr>
      <w:r w:rsidRPr="00E957E3">
        <w:t xml:space="preserve">PHARMACOLOGICAL PROPERTIES </w:t>
      </w:r>
    </w:p>
    <w:p w14:paraId="427C4A3B" w14:textId="77777777" w:rsidR="00993925" w:rsidRDefault="00993925" w:rsidP="001A0D3C">
      <w:pPr>
        <w:pStyle w:val="Heading2"/>
      </w:pPr>
      <w:r>
        <w:t xml:space="preserve">PHARMACODYNAMIC PROPERTIES </w:t>
      </w:r>
    </w:p>
    <w:p w14:paraId="427C4A3C" w14:textId="77777777" w:rsidR="00B42A36" w:rsidRPr="00E957E3" w:rsidRDefault="00B42A36" w:rsidP="00993925">
      <w:r w:rsidRPr="00E957E3">
        <w:t>Pharmacotherapeutic group: antineoplastic agent, protein kinase inhibitors</w:t>
      </w:r>
    </w:p>
    <w:p w14:paraId="427C4A3D" w14:textId="77777777" w:rsidR="007E4EF4" w:rsidRPr="00734027" w:rsidRDefault="007E4EF4"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Mechanism of action </w:t>
      </w:r>
    </w:p>
    <w:p w14:paraId="427C4A3E" w14:textId="7D0974DC" w:rsidR="00F64C4F" w:rsidRPr="00E957E3" w:rsidRDefault="00F64C4F" w:rsidP="00F64C4F">
      <w:r w:rsidRPr="00E957E3">
        <w:t xml:space="preserve">Brigatinib is a tyrosine kinase inhibitor </w:t>
      </w:r>
      <w:r w:rsidR="008C5F6F" w:rsidRPr="008C5F6F">
        <w:t>of multiple kinases including</w:t>
      </w:r>
      <w:r w:rsidR="00794BFE">
        <w:t xml:space="preserve"> </w:t>
      </w:r>
      <w:r w:rsidRPr="00E957E3">
        <w:t xml:space="preserve">ALK, ROS1 and insulin-like growth factor 1 receptor (IGF-1R). Among these, brigatinib is most active against ALK. Brigatinib inhibited autophosphorylation of ALK and ALK-mediated phosphorylation of the downstream signalling protein STAT3 in </w:t>
      </w:r>
      <w:r w:rsidRPr="00D43BA5">
        <w:rPr>
          <w:i/>
        </w:rPr>
        <w:t>in vitro</w:t>
      </w:r>
      <w:r w:rsidRPr="00E957E3">
        <w:t xml:space="preserve"> and </w:t>
      </w:r>
      <w:r w:rsidRPr="00D43BA5">
        <w:rPr>
          <w:i/>
        </w:rPr>
        <w:t>in vivo</w:t>
      </w:r>
      <w:r w:rsidRPr="00E957E3">
        <w:t xml:space="preserve"> assays. Brigatinib inhibited the </w:t>
      </w:r>
      <w:r w:rsidRPr="00D43BA5">
        <w:rPr>
          <w:i/>
        </w:rPr>
        <w:t>in vitro</w:t>
      </w:r>
      <w:r w:rsidRPr="00E957E3">
        <w:t xml:space="preserve"> proliferation of cell lines expressing EML4-ALK and NPM-ALK fusion proteins and demonstrated dose-dependent inhibition of EML4-ALK-positive NSCLC xenograft growth in mice. At concentrations (≤ 500 nM) that are achieved clinically, brigatinib inhibited the </w:t>
      </w:r>
      <w:r w:rsidRPr="00D43BA5">
        <w:rPr>
          <w:i/>
        </w:rPr>
        <w:t>in vitro</w:t>
      </w:r>
      <w:r w:rsidRPr="00E957E3">
        <w:t xml:space="preserve"> viability of cells expressing EML4-ALK and </w:t>
      </w:r>
      <w:r w:rsidR="008C5F6F">
        <w:t>most</w:t>
      </w:r>
      <w:r w:rsidRPr="00E957E3">
        <w:t xml:space="preserve"> mutant forms associated with resistance to ALK inhibitors including crizotinib. Brigatinib demonstrated </w:t>
      </w:r>
      <w:r w:rsidRPr="00D43BA5">
        <w:rPr>
          <w:i/>
        </w:rPr>
        <w:t>in vivo</w:t>
      </w:r>
      <w:r w:rsidRPr="00E957E3">
        <w:t xml:space="preserve"> and clinical activity against multiple mutant forms of EML4-ALK, including G1202R and L1196M mutants identified in NSCLC tumours in patients who have progressed on crizotinib. Administration of brigatinib resulted in antitumor activity and prolonged survival in mice with an ALK-driven tumour cell line implanted intracranially.</w:t>
      </w:r>
    </w:p>
    <w:p w14:paraId="427C4A3F" w14:textId="77777777" w:rsidR="00B42A36" w:rsidRPr="00734027" w:rsidRDefault="00B42A36" w:rsidP="00734027">
      <w:pPr>
        <w:pStyle w:val="Heading3"/>
        <w:keepNext/>
        <w:keepLines/>
        <w:rPr>
          <w:rFonts w:eastAsiaTheme="majorEastAsia"/>
          <w:b/>
          <w:bCs/>
          <w:smallCaps w:val="0"/>
          <w:sz w:val="22"/>
          <w:u w:val="none"/>
        </w:rPr>
      </w:pPr>
      <w:r w:rsidRPr="00734027">
        <w:rPr>
          <w:rFonts w:eastAsiaTheme="majorEastAsia"/>
          <w:b/>
          <w:bCs/>
          <w:smallCaps w:val="0"/>
          <w:sz w:val="22"/>
          <w:u w:val="none"/>
        </w:rPr>
        <w:lastRenderedPageBreak/>
        <w:t>Cardiac Electrophysiology</w:t>
      </w:r>
    </w:p>
    <w:p w14:paraId="427C4A40" w14:textId="77777777" w:rsidR="00B42A36" w:rsidRPr="00E957E3" w:rsidRDefault="00B42A36" w:rsidP="00B42A36">
      <w:pPr>
        <w:rPr>
          <w:highlight w:val="yellow"/>
        </w:rPr>
      </w:pPr>
      <w:r w:rsidRPr="00E957E3">
        <w:t>The QT interval prolongation potential of brigatinib was assessed in 123 patients following once daily ALUNBRIG doses of 30 mg to 240 mg. Brigatinib did not prolong the QT interval to a clinically relevant extent.</w:t>
      </w:r>
    </w:p>
    <w:p w14:paraId="427C4A41" w14:textId="77777777" w:rsidR="007E4EF4" w:rsidRPr="00734027" w:rsidRDefault="00B42A36" w:rsidP="00734027">
      <w:pPr>
        <w:pStyle w:val="Heading3"/>
        <w:keepNext/>
        <w:keepLines/>
        <w:rPr>
          <w:rFonts w:eastAsiaTheme="majorEastAsia"/>
          <w:b/>
          <w:bCs/>
          <w:smallCaps w:val="0"/>
          <w:sz w:val="22"/>
          <w:u w:val="none"/>
        </w:rPr>
      </w:pPr>
      <w:r w:rsidRPr="00734027">
        <w:rPr>
          <w:rFonts w:eastAsiaTheme="majorEastAsia"/>
          <w:b/>
          <w:bCs/>
          <w:smallCaps w:val="0"/>
          <w:sz w:val="22"/>
          <w:u w:val="none"/>
        </w:rPr>
        <w:t>Clinical T</w:t>
      </w:r>
      <w:r w:rsidR="007E4EF4" w:rsidRPr="00734027">
        <w:rPr>
          <w:rFonts w:eastAsiaTheme="majorEastAsia"/>
          <w:b/>
          <w:bCs/>
          <w:smallCaps w:val="0"/>
          <w:sz w:val="22"/>
          <w:u w:val="none"/>
        </w:rPr>
        <w:t xml:space="preserve">rials </w:t>
      </w:r>
    </w:p>
    <w:p w14:paraId="2058DC3C" w14:textId="40267466" w:rsidR="00A90DD1" w:rsidRDefault="00A90DD1" w:rsidP="005F636F">
      <w:pPr>
        <w:spacing w:after="120"/>
      </w:pPr>
      <w:r w:rsidRPr="00A90DD1">
        <w:t xml:space="preserve">ALUNBRIG is approved on the basis of </w:t>
      </w:r>
      <w:r w:rsidR="00EF447F">
        <w:t>objective</w:t>
      </w:r>
      <w:r w:rsidR="00EF447F" w:rsidRPr="00A90DD1">
        <w:t xml:space="preserve"> </w:t>
      </w:r>
      <w:r w:rsidRPr="00A90DD1">
        <w:t xml:space="preserve">response rate and duration of response </w:t>
      </w:r>
      <w:r>
        <w:t>in a non-comparative study</w:t>
      </w:r>
      <w:r w:rsidRPr="00A90DD1">
        <w:t>. A condition of approval is the submission</w:t>
      </w:r>
      <w:r w:rsidR="0031094F">
        <w:t>,</w:t>
      </w:r>
      <w:r w:rsidRPr="00A90DD1">
        <w:t xml:space="preserve"> when available</w:t>
      </w:r>
      <w:r w:rsidR="0031094F">
        <w:t>,</w:t>
      </w:r>
      <w:r w:rsidRPr="00A90DD1">
        <w:t xml:space="preserve"> of a Phase III study (already underway) designed to provide further efficacy and safety data</w:t>
      </w:r>
      <w:r>
        <w:t>.</w:t>
      </w:r>
      <w:r w:rsidR="00B06685">
        <w:t xml:space="preserve"> </w:t>
      </w:r>
    </w:p>
    <w:p w14:paraId="427C4A42" w14:textId="6ED51BF9" w:rsidR="003338AD" w:rsidRPr="00E957E3" w:rsidRDefault="00F64C4F" w:rsidP="005F636F">
      <w:pPr>
        <w:spacing w:after="120"/>
      </w:pPr>
      <w:r w:rsidRPr="00E957E3">
        <w:t xml:space="preserve">The safety and efficacy of ALUNBRIG was evaluated in a randomised (1:1), open-label, </w:t>
      </w:r>
      <w:r w:rsidR="002040D0" w:rsidRPr="00E957E3">
        <w:t>multicentre</w:t>
      </w:r>
      <w:r w:rsidRPr="00E957E3">
        <w:t xml:space="preserve"> trial (ALTA) in 222 adult patients with locally advanced or metastatic ALK</w:t>
      </w:r>
      <w:r w:rsidR="00A73878">
        <w:noBreakHyphen/>
      </w:r>
      <w:r w:rsidRPr="00E957E3">
        <w:t xml:space="preserve">positive NSCLC who had progressed on crizotinib. Eligibility criteria permitted </w:t>
      </w:r>
      <w:r w:rsidR="002040D0" w:rsidRPr="00E957E3">
        <w:t>enrolment</w:t>
      </w:r>
      <w:r w:rsidRPr="00E957E3">
        <w:t xml:space="preserve"> of patients with a documented ALK rearrangement based on</w:t>
      </w:r>
      <w:r w:rsidR="0031094F">
        <w:t xml:space="preserve"> </w:t>
      </w:r>
      <w:r w:rsidR="0031094F" w:rsidRPr="0031094F">
        <w:t>the Vysis</w:t>
      </w:r>
      <w:r w:rsidR="0031094F" w:rsidRPr="0031094F">
        <w:rPr>
          <w:vertAlign w:val="superscript"/>
        </w:rPr>
        <w:t>®</w:t>
      </w:r>
      <w:r w:rsidR="0031094F" w:rsidRPr="0031094F">
        <w:t xml:space="preserve"> ALK Break-Apart fluorescence in situ hybridization (FISH) Probe Kit test either from clinical practice or confirmed by central laboratory</w:t>
      </w:r>
      <w:r w:rsidRPr="00E957E3">
        <w:t>, ECOG Performance Status of 0-2, prior chemotherapy, and central nervous system (CNS) metastases provided they were neurologically stable and did not require an increasing dose of corticosteroids. Patients with a history of pulmonary interstitial disease or drug-related pneumonitis were excluded.</w:t>
      </w:r>
      <w:r w:rsidR="00621344">
        <w:t xml:space="preserve"> </w:t>
      </w:r>
      <w:r w:rsidRPr="00E957E3">
        <w:t>Patients were randomised in a 1:1 ratio to receive brigatinib either 90 mg once daily (90 mg regimen, n=112) or 180 mg once daily with 7-day lead-in at 90 mg once daily (180 mg regimen, n=110). The median duration of follow-up was 17.9 months. Randomisation was stratified by brain metastases (present, absent) and best prior response to crizotinib therapy (complete or partial response, any other response/unknown).</w:t>
      </w:r>
      <w:r w:rsidR="003338AD" w:rsidRPr="00E957E3">
        <w:t xml:space="preserve"> </w:t>
      </w:r>
      <w:r w:rsidRPr="00E957E3">
        <w:t xml:space="preserve">The major outcome measure was confirmed objective response rate (ORR) according to Response Evaluation Criteria in Solid Tumors (RECIST v1.1) as evaluated by investigator. Additional outcome measures included confirmed ORR as evaluated by an Independent Review Committee (IRC); time to response; progression free survival (PFS); duration of response (DOR); overall survival; quality of life; and intracranial ORR, intracranial DOR and intracranial PFS as evaluated by an IRC. The analysis of study measured outcomes across both arms informed the recommended dose. </w:t>
      </w:r>
    </w:p>
    <w:p w14:paraId="427C4A43" w14:textId="77777777" w:rsidR="00B86F47" w:rsidRPr="00E957E3" w:rsidRDefault="00F64C4F" w:rsidP="005F636F">
      <w:pPr>
        <w:spacing w:after="120"/>
      </w:pPr>
      <w:r w:rsidRPr="00E957E3">
        <w:t>Baseline demographics and disease characteristics in ALTA were median age 54 years old (range 18 to 82; 23% 65 and over), 67% White and 31% Asian, 57% female, 36% ECOG PS 0 and 57% ECOG PS 1, 95% never or former smokers, 98% Stage IV, 97% adenocarcinoma, and 74% prior chemotherapy. The most common sites of extra-thoracic metastasis included 69% brain (of whom 62% had received prior radiation to the brain), 40% bone, and 26% liver.</w:t>
      </w:r>
    </w:p>
    <w:p w14:paraId="427C4A44" w14:textId="77777777" w:rsidR="00F64C4F" w:rsidRPr="00E957E3" w:rsidRDefault="00F64C4F" w:rsidP="00F64C4F">
      <w:r w:rsidRPr="00E957E3">
        <w:t xml:space="preserve">Efficacy results from ALTA analysis are summarised in </w:t>
      </w:r>
      <w:r w:rsidR="00BE7968">
        <w:fldChar w:fldCharType="begin"/>
      </w:r>
      <w:r w:rsidR="00BE7968">
        <w:instrText xml:space="preserve"> REF _Ref503184387 \h  \* MERGEFORMAT </w:instrText>
      </w:r>
      <w:r w:rsidR="00BE7968">
        <w:fldChar w:fldCharType="separate"/>
      </w:r>
      <w:r w:rsidR="008D78FC" w:rsidRPr="008D78FC">
        <w:t>Table 4</w:t>
      </w:r>
      <w:r w:rsidR="00BE7968">
        <w:fldChar w:fldCharType="end"/>
      </w:r>
      <w:r w:rsidRPr="00E957E3">
        <w:t xml:space="preserve"> and the Kaplan-Meier (KM) curves for investigator-assessed and IRC-assessed systemic PFS are shown in </w:t>
      </w:r>
      <w:r w:rsidR="00BE7968">
        <w:fldChar w:fldCharType="begin"/>
      </w:r>
      <w:r w:rsidR="00BE7968">
        <w:instrText xml:space="preserve"> REF _Ref503184486 \h  \* MERGEFORMAT </w:instrText>
      </w:r>
      <w:r w:rsidR="00BE7968">
        <w:fldChar w:fldCharType="separate"/>
      </w:r>
      <w:r w:rsidR="008D78FC" w:rsidRPr="008D78FC">
        <w:t>Figure 1</w:t>
      </w:r>
      <w:r w:rsidR="00BE7968">
        <w:fldChar w:fldCharType="end"/>
      </w:r>
      <w:r w:rsidR="003E2FF7" w:rsidRPr="00E957E3">
        <w:t xml:space="preserve"> </w:t>
      </w:r>
      <w:r w:rsidRPr="00E957E3">
        <w:t xml:space="preserve">and </w:t>
      </w:r>
      <w:r w:rsidR="00BE7968">
        <w:fldChar w:fldCharType="begin"/>
      </w:r>
      <w:r w:rsidR="00BE7968">
        <w:instrText xml:space="preserve"> REF _Ref503184494 \h  \* MERGEFORMAT </w:instrText>
      </w:r>
      <w:r w:rsidR="00BE7968">
        <w:fldChar w:fldCharType="separate"/>
      </w:r>
      <w:r w:rsidR="008D78FC" w:rsidRPr="008D78FC">
        <w:t>Figure 2</w:t>
      </w:r>
      <w:r w:rsidR="00BE7968">
        <w:fldChar w:fldCharType="end"/>
      </w:r>
      <w:r w:rsidRPr="00E957E3">
        <w:t>, respectively.</w:t>
      </w:r>
    </w:p>
    <w:p w14:paraId="427C4A46" w14:textId="77777777" w:rsidR="003E2FF7" w:rsidRPr="00E957E3" w:rsidRDefault="003E2FF7" w:rsidP="003E2FF7">
      <w:pPr>
        <w:rPr>
          <w:b/>
        </w:rPr>
      </w:pPr>
      <w:bookmarkStart w:id="5" w:name="_Ref503184387"/>
      <w:r w:rsidRPr="00E957E3">
        <w:rPr>
          <w:b/>
        </w:rPr>
        <w:t xml:space="preserve">Table </w:t>
      </w:r>
      <w:r w:rsidR="004948F2" w:rsidRPr="00E957E3">
        <w:rPr>
          <w:b/>
        </w:rPr>
        <w:fldChar w:fldCharType="begin"/>
      </w:r>
      <w:r w:rsidRPr="00E957E3">
        <w:rPr>
          <w:b/>
        </w:rPr>
        <w:instrText xml:space="preserve"> SEQ Table \* ARABIC </w:instrText>
      </w:r>
      <w:r w:rsidR="004948F2" w:rsidRPr="00E957E3">
        <w:rPr>
          <w:b/>
        </w:rPr>
        <w:fldChar w:fldCharType="separate"/>
      </w:r>
      <w:r w:rsidR="008D78FC">
        <w:rPr>
          <w:b/>
          <w:noProof/>
        </w:rPr>
        <w:t>4</w:t>
      </w:r>
      <w:r w:rsidR="004948F2" w:rsidRPr="00E957E3">
        <w:rPr>
          <w:b/>
        </w:rPr>
        <w:fldChar w:fldCharType="end"/>
      </w:r>
      <w:bookmarkEnd w:id="5"/>
      <w:r w:rsidRPr="00E957E3">
        <w:rPr>
          <w:b/>
        </w:rPr>
        <w:t>: Efficacy Results in ALTA (ITT Population)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1701"/>
        <w:gridCol w:w="1842"/>
        <w:gridCol w:w="1701"/>
        <w:gridCol w:w="1560"/>
      </w:tblGrid>
      <w:tr w:rsidR="00B86F47" w:rsidRPr="00E957E3" w14:paraId="427C4A4A" w14:textId="77777777" w:rsidTr="00697F5A">
        <w:trPr>
          <w:trHeight w:val="113"/>
        </w:trPr>
        <w:tc>
          <w:tcPr>
            <w:tcW w:w="2825" w:type="dxa"/>
            <w:vMerge w:val="restart"/>
          </w:tcPr>
          <w:p w14:paraId="427C4A47" w14:textId="77777777" w:rsidR="00B86F47" w:rsidRPr="00E957E3" w:rsidRDefault="00B86F47" w:rsidP="00412088">
            <w:pPr>
              <w:pStyle w:val="Default"/>
              <w:rPr>
                <w:rFonts w:ascii="Arial" w:hAnsi="Arial" w:cs="Arial"/>
                <w:sz w:val="22"/>
                <w:szCs w:val="22"/>
                <w:lang w:val="en-AU"/>
              </w:rPr>
            </w:pPr>
            <w:r w:rsidRPr="00E957E3">
              <w:rPr>
                <w:rFonts w:ascii="Arial" w:hAnsi="Arial" w:cs="Arial"/>
                <w:b/>
                <w:sz w:val="22"/>
                <w:szCs w:val="22"/>
                <w:lang w:val="en-AU"/>
              </w:rPr>
              <w:t>Efficacy Parameters</w:t>
            </w:r>
          </w:p>
        </w:tc>
        <w:tc>
          <w:tcPr>
            <w:tcW w:w="3543" w:type="dxa"/>
            <w:gridSpan w:val="2"/>
          </w:tcPr>
          <w:p w14:paraId="427C4A48" w14:textId="77777777" w:rsidR="00B86F47" w:rsidRPr="00E957E3"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Investigator Assessment</w:t>
            </w:r>
          </w:p>
        </w:tc>
        <w:tc>
          <w:tcPr>
            <w:tcW w:w="3261" w:type="dxa"/>
            <w:gridSpan w:val="2"/>
          </w:tcPr>
          <w:p w14:paraId="427C4A49" w14:textId="77777777" w:rsidR="00B86F47" w:rsidRPr="00E957E3"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IRC Assessment</w:t>
            </w:r>
          </w:p>
        </w:tc>
      </w:tr>
      <w:tr w:rsidR="00B86F47" w:rsidRPr="00E957E3" w14:paraId="427C4A54" w14:textId="77777777" w:rsidTr="00697F5A">
        <w:trPr>
          <w:trHeight w:val="113"/>
        </w:trPr>
        <w:tc>
          <w:tcPr>
            <w:tcW w:w="2825" w:type="dxa"/>
            <w:vMerge/>
          </w:tcPr>
          <w:p w14:paraId="427C4A4B" w14:textId="77777777" w:rsidR="00B86F47" w:rsidRPr="00E957E3" w:rsidRDefault="00B86F47" w:rsidP="00412088">
            <w:pPr>
              <w:pStyle w:val="Default"/>
              <w:rPr>
                <w:rFonts w:ascii="Arial" w:hAnsi="Arial" w:cs="Arial"/>
                <w:b/>
                <w:sz w:val="22"/>
                <w:szCs w:val="22"/>
                <w:lang w:val="en-AU"/>
              </w:rPr>
            </w:pPr>
          </w:p>
        </w:tc>
        <w:tc>
          <w:tcPr>
            <w:tcW w:w="1701" w:type="dxa"/>
          </w:tcPr>
          <w:p w14:paraId="427C4A4C" w14:textId="77777777" w:rsidR="00B86F47" w:rsidRPr="00E957E3"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 xml:space="preserve">90 mg regimen* </w:t>
            </w:r>
          </w:p>
          <w:p w14:paraId="427C4A4D"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 xml:space="preserve">N = 112 </w:t>
            </w:r>
          </w:p>
        </w:tc>
        <w:tc>
          <w:tcPr>
            <w:tcW w:w="1842" w:type="dxa"/>
          </w:tcPr>
          <w:p w14:paraId="427C4A4E"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180 mg regimen</w:t>
            </w:r>
            <w:r w:rsidRPr="00E957E3">
              <w:rPr>
                <w:rFonts w:ascii="Arial" w:hAnsi="Arial" w:cs="Arial"/>
                <w:sz w:val="22"/>
                <w:szCs w:val="22"/>
                <w:lang w:val="en-AU"/>
              </w:rPr>
              <w:t>†</w:t>
            </w:r>
          </w:p>
          <w:p w14:paraId="427C4A4F"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 </w:t>
            </w:r>
            <w:r w:rsidRPr="00E957E3">
              <w:rPr>
                <w:rFonts w:ascii="Arial" w:hAnsi="Arial" w:cs="Arial"/>
                <w:b/>
                <w:bCs/>
                <w:sz w:val="22"/>
                <w:szCs w:val="22"/>
                <w:lang w:val="en-AU"/>
              </w:rPr>
              <w:t xml:space="preserve">N = 110 </w:t>
            </w:r>
          </w:p>
        </w:tc>
        <w:tc>
          <w:tcPr>
            <w:tcW w:w="1701" w:type="dxa"/>
          </w:tcPr>
          <w:p w14:paraId="427C4A50" w14:textId="77777777" w:rsidR="00CD471D"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 xml:space="preserve">90 mg regimen* </w:t>
            </w:r>
          </w:p>
          <w:p w14:paraId="427C4A51"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 xml:space="preserve">N = 112 </w:t>
            </w:r>
          </w:p>
        </w:tc>
        <w:tc>
          <w:tcPr>
            <w:tcW w:w="1560" w:type="dxa"/>
          </w:tcPr>
          <w:p w14:paraId="427C4A52" w14:textId="77777777" w:rsidR="00CD471D" w:rsidRDefault="00B86F47" w:rsidP="00412088">
            <w:pPr>
              <w:pStyle w:val="Default"/>
              <w:rPr>
                <w:rFonts w:ascii="Arial" w:hAnsi="Arial" w:cs="Arial"/>
                <w:sz w:val="22"/>
                <w:szCs w:val="22"/>
                <w:lang w:val="en-AU"/>
              </w:rPr>
            </w:pPr>
            <w:r w:rsidRPr="00E957E3">
              <w:rPr>
                <w:rFonts w:ascii="Arial" w:hAnsi="Arial" w:cs="Arial"/>
                <w:b/>
                <w:bCs/>
                <w:sz w:val="22"/>
                <w:szCs w:val="22"/>
                <w:lang w:val="en-AU"/>
              </w:rPr>
              <w:t>180 mg regimen</w:t>
            </w:r>
            <w:r w:rsidRPr="00E957E3">
              <w:rPr>
                <w:rFonts w:ascii="Arial" w:hAnsi="Arial" w:cs="Arial"/>
                <w:sz w:val="22"/>
                <w:szCs w:val="22"/>
                <w:lang w:val="en-AU"/>
              </w:rPr>
              <w:t xml:space="preserve">† </w:t>
            </w:r>
          </w:p>
          <w:p w14:paraId="427C4A53"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 xml:space="preserve">N = 110 </w:t>
            </w:r>
          </w:p>
        </w:tc>
      </w:tr>
      <w:tr w:rsidR="00B86F47" w:rsidRPr="00E957E3" w14:paraId="427C4A56" w14:textId="77777777" w:rsidTr="00697F5A">
        <w:trPr>
          <w:trHeight w:val="113"/>
        </w:trPr>
        <w:tc>
          <w:tcPr>
            <w:tcW w:w="9629" w:type="dxa"/>
            <w:gridSpan w:val="5"/>
          </w:tcPr>
          <w:p w14:paraId="427C4A55" w14:textId="77777777" w:rsidR="00B86F47" w:rsidRPr="00E957E3"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Objective Response Rate</w:t>
            </w:r>
          </w:p>
        </w:tc>
      </w:tr>
      <w:tr w:rsidR="00B86F47" w:rsidRPr="00E957E3" w14:paraId="427C4A5C" w14:textId="77777777" w:rsidTr="00697F5A">
        <w:trPr>
          <w:trHeight w:val="113"/>
        </w:trPr>
        <w:tc>
          <w:tcPr>
            <w:tcW w:w="2825" w:type="dxa"/>
          </w:tcPr>
          <w:p w14:paraId="427C4A57"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 </w:t>
            </w:r>
          </w:p>
        </w:tc>
        <w:tc>
          <w:tcPr>
            <w:tcW w:w="1701" w:type="dxa"/>
          </w:tcPr>
          <w:p w14:paraId="427C4A58"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45.5% </w:t>
            </w:r>
          </w:p>
        </w:tc>
        <w:tc>
          <w:tcPr>
            <w:tcW w:w="1842" w:type="dxa"/>
          </w:tcPr>
          <w:p w14:paraId="427C4A59"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55.5% </w:t>
            </w:r>
          </w:p>
        </w:tc>
        <w:tc>
          <w:tcPr>
            <w:tcW w:w="1701" w:type="dxa"/>
          </w:tcPr>
          <w:p w14:paraId="427C4A5A"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50.9% </w:t>
            </w:r>
          </w:p>
        </w:tc>
        <w:tc>
          <w:tcPr>
            <w:tcW w:w="1560" w:type="dxa"/>
          </w:tcPr>
          <w:p w14:paraId="427C4A5B"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54.5% </w:t>
            </w:r>
          </w:p>
        </w:tc>
      </w:tr>
      <w:tr w:rsidR="00B86F47" w:rsidRPr="00E957E3" w14:paraId="427C4A62" w14:textId="77777777" w:rsidTr="00697F5A">
        <w:trPr>
          <w:trHeight w:val="120"/>
        </w:trPr>
        <w:tc>
          <w:tcPr>
            <w:tcW w:w="2825" w:type="dxa"/>
          </w:tcPr>
          <w:p w14:paraId="427C4A5D"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CI‡ </w:t>
            </w:r>
          </w:p>
        </w:tc>
        <w:tc>
          <w:tcPr>
            <w:tcW w:w="1701" w:type="dxa"/>
          </w:tcPr>
          <w:p w14:paraId="427C4A5E"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(34.8, 56.5) </w:t>
            </w:r>
          </w:p>
        </w:tc>
        <w:tc>
          <w:tcPr>
            <w:tcW w:w="1842" w:type="dxa"/>
          </w:tcPr>
          <w:p w14:paraId="427C4A5F"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(44.3, 66.2) </w:t>
            </w:r>
          </w:p>
        </w:tc>
        <w:tc>
          <w:tcPr>
            <w:tcW w:w="1701" w:type="dxa"/>
          </w:tcPr>
          <w:p w14:paraId="427C4A60"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(41.3, 60.5) </w:t>
            </w:r>
          </w:p>
        </w:tc>
        <w:tc>
          <w:tcPr>
            <w:tcW w:w="1560" w:type="dxa"/>
          </w:tcPr>
          <w:p w14:paraId="427C4A61"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(44.8, 64.1) </w:t>
            </w:r>
          </w:p>
        </w:tc>
      </w:tr>
      <w:tr w:rsidR="00B86F47" w:rsidRPr="00E957E3" w14:paraId="427C4A64" w14:textId="77777777" w:rsidTr="00697F5A">
        <w:trPr>
          <w:trHeight w:val="115"/>
        </w:trPr>
        <w:tc>
          <w:tcPr>
            <w:tcW w:w="9629" w:type="dxa"/>
            <w:gridSpan w:val="5"/>
          </w:tcPr>
          <w:p w14:paraId="427C4A63"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 xml:space="preserve">Time to response </w:t>
            </w:r>
          </w:p>
        </w:tc>
      </w:tr>
      <w:tr w:rsidR="00B86F47" w:rsidRPr="00E957E3" w14:paraId="427C4A6A" w14:textId="77777777" w:rsidTr="00697F5A">
        <w:trPr>
          <w:trHeight w:val="113"/>
        </w:trPr>
        <w:tc>
          <w:tcPr>
            <w:tcW w:w="2825" w:type="dxa"/>
          </w:tcPr>
          <w:p w14:paraId="427C4A65"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Median (months) </w:t>
            </w:r>
          </w:p>
        </w:tc>
        <w:tc>
          <w:tcPr>
            <w:tcW w:w="1701" w:type="dxa"/>
          </w:tcPr>
          <w:p w14:paraId="427C4A66"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1.8 </w:t>
            </w:r>
          </w:p>
        </w:tc>
        <w:tc>
          <w:tcPr>
            <w:tcW w:w="1842" w:type="dxa"/>
          </w:tcPr>
          <w:p w14:paraId="427C4A67"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1.9 </w:t>
            </w:r>
          </w:p>
        </w:tc>
        <w:tc>
          <w:tcPr>
            <w:tcW w:w="1701" w:type="dxa"/>
          </w:tcPr>
          <w:p w14:paraId="427C4A68"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1.8 </w:t>
            </w:r>
          </w:p>
        </w:tc>
        <w:tc>
          <w:tcPr>
            <w:tcW w:w="1560" w:type="dxa"/>
          </w:tcPr>
          <w:p w14:paraId="427C4A69"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1.9 </w:t>
            </w:r>
          </w:p>
        </w:tc>
      </w:tr>
      <w:tr w:rsidR="00B86F47" w:rsidRPr="00E957E3" w14:paraId="427C4A6C" w14:textId="77777777" w:rsidTr="00697F5A">
        <w:trPr>
          <w:trHeight w:val="115"/>
        </w:trPr>
        <w:tc>
          <w:tcPr>
            <w:tcW w:w="9629" w:type="dxa"/>
            <w:gridSpan w:val="5"/>
          </w:tcPr>
          <w:p w14:paraId="427C4A6B"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lastRenderedPageBreak/>
              <w:t xml:space="preserve">Duration of response </w:t>
            </w:r>
          </w:p>
        </w:tc>
      </w:tr>
      <w:tr w:rsidR="00B86F47" w:rsidRPr="00E957E3" w14:paraId="427C4A72" w14:textId="77777777" w:rsidTr="00697F5A">
        <w:trPr>
          <w:trHeight w:val="113"/>
        </w:trPr>
        <w:tc>
          <w:tcPr>
            <w:tcW w:w="2825" w:type="dxa"/>
          </w:tcPr>
          <w:p w14:paraId="427C4A6D"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Median (months) </w:t>
            </w:r>
          </w:p>
        </w:tc>
        <w:tc>
          <w:tcPr>
            <w:tcW w:w="1701" w:type="dxa"/>
          </w:tcPr>
          <w:p w14:paraId="427C4A6E"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12.0 </w:t>
            </w:r>
          </w:p>
        </w:tc>
        <w:tc>
          <w:tcPr>
            <w:tcW w:w="1842" w:type="dxa"/>
          </w:tcPr>
          <w:p w14:paraId="427C4A6F"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13.8 </w:t>
            </w:r>
          </w:p>
        </w:tc>
        <w:tc>
          <w:tcPr>
            <w:tcW w:w="1701" w:type="dxa"/>
          </w:tcPr>
          <w:p w14:paraId="427C4A70"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13.8 </w:t>
            </w:r>
          </w:p>
        </w:tc>
        <w:tc>
          <w:tcPr>
            <w:tcW w:w="1560" w:type="dxa"/>
          </w:tcPr>
          <w:p w14:paraId="427C4A71"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14.8 </w:t>
            </w:r>
          </w:p>
        </w:tc>
      </w:tr>
      <w:tr w:rsidR="00B86F47" w:rsidRPr="002062EC" w14:paraId="427C4A78" w14:textId="77777777" w:rsidTr="00697F5A">
        <w:trPr>
          <w:trHeight w:val="113"/>
        </w:trPr>
        <w:tc>
          <w:tcPr>
            <w:tcW w:w="2825" w:type="dxa"/>
          </w:tcPr>
          <w:p w14:paraId="427C4A73"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95% CI </w:t>
            </w:r>
          </w:p>
        </w:tc>
        <w:tc>
          <w:tcPr>
            <w:tcW w:w="1701" w:type="dxa"/>
          </w:tcPr>
          <w:p w14:paraId="427C4A74"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(9.2, 17.7) </w:t>
            </w:r>
          </w:p>
        </w:tc>
        <w:tc>
          <w:tcPr>
            <w:tcW w:w="1842" w:type="dxa"/>
          </w:tcPr>
          <w:p w14:paraId="427C4A75"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(10.2, 17.5) </w:t>
            </w:r>
          </w:p>
        </w:tc>
        <w:tc>
          <w:tcPr>
            <w:tcW w:w="1701" w:type="dxa"/>
          </w:tcPr>
          <w:p w14:paraId="427C4A76"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(7.4, NE) </w:t>
            </w:r>
          </w:p>
        </w:tc>
        <w:tc>
          <w:tcPr>
            <w:tcW w:w="1560" w:type="dxa"/>
          </w:tcPr>
          <w:p w14:paraId="427C4A77"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(12.6, NE) </w:t>
            </w:r>
          </w:p>
        </w:tc>
      </w:tr>
      <w:tr w:rsidR="00B86F47" w:rsidRPr="002062EC" w14:paraId="427C4A7A" w14:textId="77777777" w:rsidTr="00697F5A">
        <w:trPr>
          <w:trHeight w:val="115"/>
        </w:trPr>
        <w:tc>
          <w:tcPr>
            <w:tcW w:w="9629" w:type="dxa"/>
            <w:gridSpan w:val="5"/>
          </w:tcPr>
          <w:p w14:paraId="427C4A79" w14:textId="77777777" w:rsidR="00B86F47" w:rsidRPr="002062EC" w:rsidRDefault="00B86F47" w:rsidP="00412088">
            <w:pPr>
              <w:pStyle w:val="Default"/>
              <w:rPr>
                <w:rFonts w:ascii="Arial" w:hAnsi="Arial" w:cs="Arial"/>
                <w:sz w:val="22"/>
                <w:szCs w:val="22"/>
                <w:lang w:val="en-AU"/>
              </w:rPr>
            </w:pPr>
            <w:r w:rsidRPr="002062EC">
              <w:rPr>
                <w:rFonts w:ascii="Arial" w:hAnsi="Arial" w:cs="Arial"/>
                <w:b/>
                <w:bCs/>
                <w:sz w:val="22"/>
                <w:szCs w:val="22"/>
                <w:lang w:val="en-AU"/>
              </w:rPr>
              <w:t xml:space="preserve">Progression-free survival </w:t>
            </w:r>
          </w:p>
        </w:tc>
      </w:tr>
      <w:tr w:rsidR="00B86F47" w:rsidRPr="002062EC" w14:paraId="427C4A80" w14:textId="77777777" w:rsidTr="00697F5A">
        <w:trPr>
          <w:trHeight w:val="113"/>
        </w:trPr>
        <w:tc>
          <w:tcPr>
            <w:tcW w:w="2825" w:type="dxa"/>
          </w:tcPr>
          <w:p w14:paraId="427C4A7B"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Median (months) </w:t>
            </w:r>
          </w:p>
        </w:tc>
        <w:tc>
          <w:tcPr>
            <w:tcW w:w="1701" w:type="dxa"/>
          </w:tcPr>
          <w:p w14:paraId="427C4A7C"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9.2 </w:t>
            </w:r>
          </w:p>
        </w:tc>
        <w:tc>
          <w:tcPr>
            <w:tcW w:w="1842" w:type="dxa"/>
          </w:tcPr>
          <w:p w14:paraId="427C4A7D"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15.6 </w:t>
            </w:r>
          </w:p>
        </w:tc>
        <w:tc>
          <w:tcPr>
            <w:tcW w:w="1701" w:type="dxa"/>
          </w:tcPr>
          <w:p w14:paraId="427C4A7E"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9.2 </w:t>
            </w:r>
          </w:p>
        </w:tc>
        <w:tc>
          <w:tcPr>
            <w:tcW w:w="1560" w:type="dxa"/>
          </w:tcPr>
          <w:p w14:paraId="427C4A7F"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16.7 </w:t>
            </w:r>
          </w:p>
        </w:tc>
      </w:tr>
      <w:tr w:rsidR="00B86F47" w:rsidRPr="002062EC" w14:paraId="427C4A86" w14:textId="77777777" w:rsidTr="00697F5A">
        <w:trPr>
          <w:trHeight w:val="113"/>
        </w:trPr>
        <w:tc>
          <w:tcPr>
            <w:tcW w:w="2825" w:type="dxa"/>
          </w:tcPr>
          <w:p w14:paraId="427C4A81"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95% CI </w:t>
            </w:r>
          </w:p>
        </w:tc>
        <w:tc>
          <w:tcPr>
            <w:tcW w:w="1701" w:type="dxa"/>
          </w:tcPr>
          <w:p w14:paraId="427C4A82"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(7.4, 11.1) </w:t>
            </w:r>
          </w:p>
        </w:tc>
        <w:tc>
          <w:tcPr>
            <w:tcW w:w="1842" w:type="dxa"/>
          </w:tcPr>
          <w:p w14:paraId="427C4A83"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(11.1, 19.4) </w:t>
            </w:r>
          </w:p>
        </w:tc>
        <w:tc>
          <w:tcPr>
            <w:tcW w:w="1701" w:type="dxa"/>
          </w:tcPr>
          <w:p w14:paraId="427C4A84"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(7.4, 12.8) </w:t>
            </w:r>
          </w:p>
        </w:tc>
        <w:tc>
          <w:tcPr>
            <w:tcW w:w="1560" w:type="dxa"/>
          </w:tcPr>
          <w:p w14:paraId="427C4A85"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(11.6, NE) </w:t>
            </w:r>
          </w:p>
        </w:tc>
      </w:tr>
      <w:tr w:rsidR="00B86F47" w:rsidRPr="002062EC" w14:paraId="427C4A88" w14:textId="77777777" w:rsidTr="00697F5A">
        <w:trPr>
          <w:trHeight w:val="115"/>
        </w:trPr>
        <w:tc>
          <w:tcPr>
            <w:tcW w:w="9629" w:type="dxa"/>
            <w:gridSpan w:val="5"/>
          </w:tcPr>
          <w:p w14:paraId="427C4A87" w14:textId="77777777" w:rsidR="00B86F47" w:rsidRPr="002062EC" w:rsidRDefault="00B86F47" w:rsidP="00412088">
            <w:pPr>
              <w:pStyle w:val="Default"/>
              <w:rPr>
                <w:rFonts w:ascii="Arial" w:hAnsi="Arial" w:cs="Arial"/>
                <w:sz w:val="22"/>
                <w:szCs w:val="22"/>
                <w:lang w:val="en-AU"/>
              </w:rPr>
            </w:pPr>
            <w:r w:rsidRPr="002062EC">
              <w:rPr>
                <w:rFonts w:ascii="Arial" w:hAnsi="Arial" w:cs="Arial"/>
                <w:b/>
                <w:bCs/>
                <w:sz w:val="22"/>
                <w:szCs w:val="22"/>
                <w:lang w:val="en-AU"/>
              </w:rPr>
              <w:t xml:space="preserve">Overall survival </w:t>
            </w:r>
          </w:p>
        </w:tc>
      </w:tr>
      <w:tr w:rsidR="00B86F47" w:rsidRPr="002062EC" w14:paraId="427C4A8E" w14:textId="77777777" w:rsidTr="00697F5A">
        <w:trPr>
          <w:trHeight w:val="113"/>
        </w:trPr>
        <w:tc>
          <w:tcPr>
            <w:tcW w:w="2825" w:type="dxa"/>
          </w:tcPr>
          <w:p w14:paraId="427C4A89"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Median (months) </w:t>
            </w:r>
          </w:p>
        </w:tc>
        <w:tc>
          <w:tcPr>
            <w:tcW w:w="1701" w:type="dxa"/>
          </w:tcPr>
          <w:p w14:paraId="427C4A8A"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NE </w:t>
            </w:r>
          </w:p>
        </w:tc>
        <w:tc>
          <w:tcPr>
            <w:tcW w:w="1842" w:type="dxa"/>
          </w:tcPr>
          <w:p w14:paraId="427C4A8B"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27.6 </w:t>
            </w:r>
          </w:p>
        </w:tc>
        <w:tc>
          <w:tcPr>
            <w:tcW w:w="1701" w:type="dxa"/>
          </w:tcPr>
          <w:p w14:paraId="427C4A8C"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NA </w:t>
            </w:r>
          </w:p>
        </w:tc>
        <w:tc>
          <w:tcPr>
            <w:tcW w:w="1560" w:type="dxa"/>
          </w:tcPr>
          <w:p w14:paraId="427C4A8D"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NA </w:t>
            </w:r>
          </w:p>
        </w:tc>
      </w:tr>
      <w:tr w:rsidR="00B86F47" w:rsidRPr="002062EC" w14:paraId="427C4A94" w14:textId="77777777" w:rsidTr="00697F5A">
        <w:trPr>
          <w:trHeight w:val="113"/>
        </w:trPr>
        <w:tc>
          <w:tcPr>
            <w:tcW w:w="2825" w:type="dxa"/>
          </w:tcPr>
          <w:p w14:paraId="427C4A8F"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95% CI </w:t>
            </w:r>
          </w:p>
        </w:tc>
        <w:tc>
          <w:tcPr>
            <w:tcW w:w="1701" w:type="dxa"/>
          </w:tcPr>
          <w:p w14:paraId="427C4A90"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(20.2, NE) </w:t>
            </w:r>
          </w:p>
        </w:tc>
        <w:tc>
          <w:tcPr>
            <w:tcW w:w="1842" w:type="dxa"/>
          </w:tcPr>
          <w:p w14:paraId="427C4A91"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(27.6, NE) </w:t>
            </w:r>
          </w:p>
        </w:tc>
        <w:tc>
          <w:tcPr>
            <w:tcW w:w="1701" w:type="dxa"/>
          </w:tcPr>
          <w:p w14:paraId="427C4A92"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NA </w:t>
            </w:r>
          </w:p>
        </w:tc>
        <w:tc>
          <w:tcPr>
            <w:tcW w:w="1560" w:type="dxa"/>
          </w:tcPr>
          <w:p w14:paraId="427C4A93"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NA </w:t>
            </w:r>
          </w:p>
        </w:tc>
      </w:tr>
      <w:tr w:rsidR="00B86F47" w:rsidRPr="002062EC" w14:paraId="427C4A9A" w14:textId="77777777" w:rsidTr="00697F5A">
        <w:trPr>
          <w:trHeight w:val="211"/>
        </w:trPr>
        <w:tc>
          <w:tcPr>
            <w:tcW w:w="2825" w:type="dxa"/>
          </w:tcPr>
          <w:p w14:paraId="427C4A95"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12-month survival probability (%) </w:t>
            </w:r>
          </w:p>
        </w:tc>
        <w:tc>
          <w:tcPr>
            <w:tcW w:w="1701" w:type="dxa"/>
          </w:tcPr>
          <w:p w14:paraId="427C4A96"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70.3% </w:t>
            </w:r>
          </w:p>
        </w:tc>
        <w:tc>
          <w:tcPr>
            <w:tcW w:w="1842" w:type="dxa"/>
          </w:tcPr>
          <w:p w14:paraId="427C4A97"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80.1% </w:t>
            </w:r>
          </w:p>
        </w:tc>
        <w:tc>
          <w:tcPr>
            <w:tcW w:w="1701" w:type="dxa"/>
          </w:tcPr>
          <w:p w14:paraId="427C4A98"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NA </w:t>
            </w:r>
          </w:p>
        </w:tc>
        <w:tc>
          <w:tcPr>
            <w:tcW w:w="1560" w:type="dxa"/>
          </w:tcPr>
          <w:p w14:paraId="427C4A99" w14:textId="77777777" w:rsidR="00B86F47" w:rsidRPr="002062EC" w:rsidRDefault="00B86F47" w:rsidP="00412088">
            <w:pPr>
              <w:pStyle w:val="Default"/>
              <w:rPr>
                <w:rFonts w:ascii="Arial" w:hAnsi="Arial" w:cs="Arial"/>
                <w:sz w:val="22"/>
                <w:szCs w:val="22"/>
                <w:lang w:val="en-AU"/>
              </w:rPr>
            </w:pPr>
            <w:r w:rsidRPr="002062EC">
              <w:rPr>
                <w:rFonts w:ascii="Arial" w:hAnsi="Arial" w:cs="Arial"/>
                <w:sz w:val="22"/>
                <w:szCs w:val="22"/>
                <w:lang w:val="en-AU"/>
              </w:rPr>
              <w:t xml:space="preserve">NA </w:t>
            </w:r>
          </w:p>
        </w:tc>
      </w:tr>
    </w:tbl>
    <w:p w14:paraId="427C4A9B" w14:textId="77777777" w:rsidR="00B86F47" w:rsidRPr="002062EC" w:rsidRDefault="00B86F47" w:rsidP="00B86F47">
      <w:pPr>
        <w:pStyle w:val="Default"/>
        <w:rPr>
          <w:rFonts w:ascii="Arial" w:hAnsi="Arial" w:cs="Arial"/>
          <w:sz w:val="20"/>
          <w:szCs w:val="20"/>
          <w:lang w:val="en-AU"/>
        </w:rPr>
      </w:pPr>
      <w:r w:rsidRPr="002062EC">
        <w:rPr>
          <w:rFonts w:ascii="Arial" w:hAnsi="Arial" w:cs="Arial"/>
          <w:sz w:val="20"/>
          <w:szCs w:val="20"/>
          <w:lang w:val="en-AU"/>
        </w:rPr>
        <w:t xml:space="preserve">CI = Confidence Interval; NE = Not Estimable; NA = Not Applicable </w:t>
      </w:r>
    </w:p>
    <w:p w14:paraId="427C4A9C" w14:textId="77777777" w:rsidR="00B86F47" w:rsidRPr="002062EC" w:rsidRDefault="00B86F47" w:rsidP="00B86F47">
      <w:pPr>
        <w:pStyle w:val="Default"/>
        <w:rPr>
          <w:rFonts w:ascii="Arial" w:hAnsi="Arial" w:cs="Arial"/>
          <w:sz w:val="20"/>
          <w:szCs w:val="20"/>
          <w:lang w:val="en-AU"/>
        </w:rPr>
      </w:pPr>
      <w:r w:rsidRPr="002062EC">
        <w:rPr>
          <w:rFonts w:ascii="Arial" w:hAnsi="Arial" w:cs="Arial"/>
          <w:sz w:val="20"/>
          <w:szCs w:val="20"/>
          <w:lang w:val="en-AU"/>
        </w:rPr>
        <w:t xml:space="preserve">*90 mg once daily regimen </w:t>
      </w:r>
    </w:p>
    <w:p w14:paraId="427C4A9D" w14:textId="77777777" w:rsidR="00B86F47" w:rsidRPr="002062EC" w:rsidRDefault="00B86F47" w:rsidP="00B86F47">
      <w:pPr>
        <w:pStyle w:val="Default"/>
        <w:rPr>
          <w:rFonts w:ascii="Arial" w:hAnsi="Arial" w:cs="Arial"/>
          <w:sz w:val="20"/>
          <w:szCs w:val="20"/>
          <w:lang w:val="en-AU"/>
        </w:rPr>
      </w:pPr>
      <w:r w:rsidRPr="002062EC">
        <w:rPr>
          <w:rFonts w:ascii="Arial" w:hAnsi="Arial" w:cs="Arial"/>
          <w:sz w:val="20"/>
          <w:szCs w:val="20"/>
          <w:lang w:val="en-AU"/>
        </w:rPr>
        <w:t xml:space="preserve">†180 mg once daily with 7-day lead-in at 90 mg once daily </w:t>
      </w:r>
    </w:p>
    <w:p w14:paraId="427C4A9E" w14:textId="77777777" w:rsidR="00342FCD" w:rsidRPr="002062EC" w:rsidRDefault="00B86F47" w:rsidP="00B86F47">
      <w:pPr>
        <w:rPr>
          <w:rFonts w:cs="Arial"/>
          <w:b/>
          <w:sz w:val="20"/>
        </w:rPr>
      </w:pPr>
      <w:r w:rsidRPr="002062EC">
        <w:rPr>
          <w:rFonts w:cs="Arial"/>
          <w:sz w:val="20"/>
        </w:rPr>
        <w:t>‡Confidence Interval for investigator assessed ORR is 97.5% and for IRC assessed ORR is 95%</w:t>
      </w:r>
    </w:p>
    <w:p w14:paraId="427C4A9F" w14:textId="77777777" w:rsidR="003E2FF7" w:rsidRPr="00E957E3" w:rsidRDefault="003E2FF7" w:rsidP="003E2FF7">
      <w:pPr>
        <w:rPr>
          <w:b/>
        </w:rPr>
      </w:pPr>
      <w:bookmarkStart w:id="6" w:name="_Ref503184486"/>
      <w:r w:rsidRPr="002062EC">
        <w:rPr>
          <w:b/>
        </w:rPr>
        <w:t xml:space="preserve">Figure </w:t>
      </w:r>
      <w:r w:rsidR="004948F2" w:rsidRPr="002062EC">
        <w:rPr>
          <w:b/>
        </w:rPr>
        <w:fldChar w:fldCharType="begin"/>
      </w:r>
      <w:r w:rsidRPr="002062EC">
        <w:rPr>
          <w:b/>
        </w:rPr>
        <w:instrText xml:space="preserve"> SEQ Figure \* ARABIC </w:instrText>
      </w:r>
      <w:r w:rsidR="004948F2" w:rsidRPr="002062EC">
        <w:rPr>
          <w:b/>
        </w:rPr>
        <w:fldChar w:fldCharType="separate"/>
      </w:r>
      <w:r w:rsidR="008D78FC">
        <w:rPr>
          <w:b/>
          <w:noProof/>
        </w:rPr>
        <w:t>1</w:t>
      </w:r>
      <w:r w:rsidR="004948F2" w:rsidRPr="002062EC">
        <w:rPr>
          <w:b/>
        </w:rPr>
        <w:fldChar w:fldCharType="end"/>
      </w:r>
      <w:bookmarkEnd w:id="6"/>
      <w:r w:rsidRPr="002062EC">
        <w:rPr>
          <w:b/>
        </w:rPr>
        <w:t>: Investigator-Assessed Systemic Progression-Free Survival: ITT Population by Treatment Arm (ALTA)</w:t>
      </w:r>
    </w:p>
    <w:p w14:paraId="427C4AA0" w14:textId="77777777" w:rsidR="00342FCD" w:rsidRPr="00E957E3" w:rsidRDefault="00B86F47" w:rsidP="00EA6AC3">
      <w:pPr>
        <w:rPr>
          <w:b/>
        </w:rPr>
      </w:pPr>
      <w:r w:rsidRPr="00E957E3">
        <w:rPr>
          <w:noProof/>
          <w:szCs w:val="22"/>
          <w:lang w:eastAsia="en-AU"/>
        </w:rPr>
        <w:drawing>
          <wp:inline distT="0" distB="0" distL="0" distR="0" wp14:anchorId="427C4B36" wp14:editId="427C4B37">
            <wp:extent cx="5939790" cy="273494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734945"/>
                    </a:xfrm>
                    <a:prstGeom prst="rect">
                      <a:avLst/>
                    </a:prstGeom>
                    <a:noFill/>
                    <a:ln>
                      <a:noFill/>
                    </a:ln>
                  </pic:spPr>
                </pic:pic>
              </a:graphicData>
            </a:graphic>
          </wp:inline>
        </w:drawing>
      </w:r>
    </w:p>
    <w:p w14:paraId="427C4AA1" w14:textId="77777777" w:rsidR="00B86F47" w:rsidRPr="00E957E3" w:rsidRDefault="00B86F47" w:rsidP="00B86F47">
      <w:pPr>
        <w:pStyle w:val="Default"/>
        <w:keepNext/>
        <w:keepLines/>
        <w:widowControl w:val="0"/>
        <w:rPr>
          <w:rFonts w:ascii="Arial" w:hAnsi="Arial" w:cs="Arial"/>
          <w:sz w:val="20"/>
          <w:szCs w:val="20"/>
          <w:lang w:val="en-AU"/>
        </w:rPr>
      </w:pPr>
      <w:r w:rsidRPr="00E957E3">
        <w:rPr>
          <w:rFonts w:ascii="Arial" w:hAnsi="Arial" w:cs="Arial"/>
          <w:sz w:val="20"/>
          <w:szCs w:val="20"/>
          <w:lang w:val="en-AU"/>
        </w:rPr>
        <w:t xml:space="preserve">Abbreviations: ITT = Intent-to-treat </w:t>
      </w:r>
    </w:p>
    <w:p w14:paraId="427C4AA2" w14:textId="77777777" w:rsidR="00B86F47" w:rsidRPr="00E957E3" w:rsidRDefault="00B86F47" w:rsidP="00B86F47">
      <w:pPr>
        <w:pStyle w:val="Default"/>
        <w:keepNext/>
        <w:keepLines/>
        <w:widowControl w:val="0"/>
        <w:rPr>
          <w:rFonts w:ascii="Arial" w:hAnsi="Arial" w:cs="Arial"/>
          <w:sz w:val="20"/>
          <w:szCs w:val="20"/>
          <w:lang w:val="en-AU"/>
        </w:rPr>
      </w:pPr>
      <w:r w:rsidRPr="00E957E3">
        <w:rPr>
          <w:rFonts w:ascii="Arial" w:hAnsi="Arial" w:cs="Arial"/>
          <w:sz w:val="20"/>
          <w:szCs w:val="20"/>
          <w:lang w:val="en-AU"/>
        </w:rPr>
        <w:t xml:space="preserve">Note: Progression-Free survival was defined as time from initiation of treatment until the date at which disease progression was first evident or death, whichever comes first. </w:t>
      </w:r>
    </w:p>
    <w:p w14:paraId="427C4AA3" w14:textId="77777777" w:rsidR="00B86F47" w:rsidRPr="00E957E3" w:rsidRDefault="00B86F47" w:rsidP="00B86F47">
      <w:pPr>
        <w:pStyle w:val="Default"/>
        <w:keepNext/>
        <w:keepLines/>
        <w:widowControl w:val="0"/>
        <w:rPr>
          <w:rFonts w:ascii="Arial" w:hAnsi="Arial" w:cs="Arial"/>
          <w:sz w:val="20"/>
          <w:szCs w:val="20"/>
          <w:lang w:val="en-AU"/>
        </w:rPr>
      </w:pPr>
      <w:r w:rsidRPr="00E957E3">
        <w:rPr>
          <w:rFonts w:ascii="Arial" w:hAnsi="Arial" w:cs="Arial"/>
          <w:sz w:val="20"/>
          <w:szCs w:val="20"/>
          <w:lang w:val="en-AU"/>
        </w:rPr>
        <w:t xml:space="preserve">*90 mg once daily regimen </w:t>
      </w:r>
    </w:p>
    <w:p w14:paraId="427C4AA4" w14:textId="77777777" w:rsidR="00B86F47" w:rsidRPr="00E957E3" w:rsidRDefault="00B86F47" w:rsidP="00B86F47">
      <w:pPr>
        <w:pStyle w:val="ListBullet2"/>
        <w:keepNext/>
        <w:keepLines/>
        <w:widowControl w:val="0"/>
        <w:numPr>
          <w:ilvl w:val="0"/>
          <w:numId w:val="0"/>
        </w:numPr>
        <w:rPr>
          <w:rFonts w:ascii="Arial" w:hAnsi="Arial" w:cs="Arial"/>
          <w:sz w:val="20"/>
          <w:lang w:val="en-AU"/>
        </w:rPr>
      </w:pPr>
      <w:r w:rsidRPr="00E957E3">
        <w:rPr>
          <w:rFonts w:ascii="Arial" w:hAnsi="Arial" w:cs="Arial"/>
          <w:sz w:val="20"/>
          <w:lang w:val="en-AU"/>
        </w:rPr>
        <w:t>†180 mg once daily with 7-day lead-in at 90 mg once daily</w:t>
      </w:r>
    </w:p>
    <w:p w14:paraId="427C4AA5" w14:textId="77777777" w:rsidR="00B86F47" w:rsidRPr="00E957E3" w:rsidRDefault="00B86F47" w:rsidP="00EA6AC3">
      <w:pPr>
        <w:rPr>
          <w:b/>
        </w:rPr>
      </w:pPr>
    </w:p>
    <w:p w14:paraId="427C4AA7" w14:textId="77777777" w:rsidR="003E2FF7" w:rsidRPr="00E957E3" w:rsidRDefault="003E2FF7" w:rsidP="003E2FF7">
      <w:pPr>
        <w:rPr>
          <w:b/>
        </w:rPr>
      </w:pPr>
      <w:bookmarkStart w:id="7" w:name="_Ref503184494"/>
      <w:r w:rsidRPr="002062EC">
        <w:rPr>
          <w:b/>
        </w:rPr>
        <w:t xml:space="preserve">Figure </w:t>
      </w:r>
      <w:r w:rsidR="004948F2" w:rsidRPr="002062EC">
        <w:rPr>
          <w:b/>
        </w:rPr>
        <w:fldChar w:fldCharType="begin"/>
      </w:r>
      <w:r w:rsidRPr="002062EC">
        <w:rPr>
          <w:b/>
        </w:rPr>
        <w:instrText xml:space="preserve"> SEQ Figure \* ARABIC </w:instrText>
      </w:r>
      <w:r w:rsidR="004948F2" w:rsidRPr="002062EC">
        <w:rPr>
          <w:b/>
        </w:rPr>
        <w:fldChar w:fldCharType="separate"/>
      </w:r>
      <w:r w:rsidR="008D78FC">
        <w:rPr>
          <w:b/>
          <w:noProof/>
        </w:rPr>
        <w:t>2</w:t>
      </w:r>
      <w:r w:rsidR="004948F2" w:rsidRPr="002062EC">
        <w:rPr>
          <w:b/>
        </w:rPr>
        <w:fldChar w:fldCharType="end"/>
      </w:r>
      <w:bookmarkEnd w:id="7"/>
      <w:r w:rsidRPr="002062EC">
        <w:rPr>
          <w:b/>
        </w:rPr>
        <w:t>: IRC-Assessed Systemic Progression-Free Survival: ITT Population by Treatment Arm (ALTA)</w:t>
      </w:r>
    </w:p>
    <w:p w14:paraId="427C4AA8" w14:textId="77777777" w:rsidR="00B86F47" w:rsidRPr="00E957E3" w:rsidRDefault="00B86F47" w:rsidP="00EA6AC3">
      <w:pPr>
        <w:rPr>
          <w:b/>
        </w:rPr>
      </w:pPr>
      <w:r w:rsidRPr="00E957E3">
        <w:rPr>
          <w:noProof/>
          <w:szCs w:val="22"/>
          <w:lang w:eastAsia="en-AU"/>
        </w:rPr>
        <w:lastRenderedPageBreak/>
        <w:drawing>
          <wp:inline distT="0" distB="0" distL="0" distR="0" wp14:anchorId="427C4B38" wp14:editId="427C4B39">
            <wp:extent cx="5939790" cy="273494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2734945"/>
                    </a:xfrm>
                    <a:prstGeom prst="rect">
                      <a:avLst/>
                    </a:prstGeom>
                    <a:noFill/>
                    <a:ln>
                      <a:noFill/>
                    </a:ln>
                  </pic:spPr>
                </pic:pic>
              </a:graphicData>
            </a:graphic>
          </wp:inline>
        </w:drawing>
      </w:r>
    </w:p>
    <w:p w14:paraId="427C4AA9"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Abbreviations: ITT = Intent-to-treat; IRC = Independent Review Committee </w:t>
      </w:r>
    </w:p>
    <w:p w14:paraId="427C4AAA"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Note: Progression-Free survival was defined as time from initiation of treatment until the date at which disease progression was first evident or death, whichever comes first. </w:t>
      </w:r>
    </w:p>
    <w:p w14:paraId="427C4AAB"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*90 mg once daily regimen </w:t>
      </w:r>
    </w:p>
    <w:p w14:paraId="427C4AAC"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†180 mg once daily with 7-day lead-in at 90 mg once daily </w:t>
      </w:r>
    </w:p>
    <w:p w14:paraId="427C4AAD" w14:textId="77777777" w:rsidR="00B86F47" w:rsidRPr="00E957E3" w:rsidRDefault="00B86F47" w:rsidP="005D7216">
      <w:pPr>
        <w:spacing w:after="0"/>
        <w:rPr>
          <w:b/>
        </w:rPr>
      </w:pPr>
    </w:p>
    <w:p w14:paraId="427C4AAE" w14:textId="77777777" w:rsidR="00EA6AC3" w:rsidRPr="00E957E3" w:rsidRDefault="00EA6AC3" w:rsidP="00EA6AC3">
      <w:r w:rsidRPr="00E957E3">
        <w:t xml:space="preserve">In ALTA, 201 patients had at least 1 evaluable post-baseline assessment out of the 222 patients. </w:t>
      </w:r>
      <w:r w:rsidR="00EE498B" w:rsidRPr="00E957E3">
        <w:t>Waterfall plots displaying the maximum decrease from baseline in the sum of the longest tumo</w:t>
      </w:r>
      <w:r w:rsidR="00EE498B">
        <w:t>u</w:t>
      </w:r>
      <w:r w:rsidR="00EE498B" w:rsidRPr="00E957E3">
        <w:t>r diameters shows that the majority of patients treated with ALUNBRIG had a reduction in tumo</w:t>
      </w:r>
      <w:r w:rsidR="00EE498B">
        <w:t>u</w:t>
      </w:r>
      <w:r w:rsidR="00EE498B" w:rsidRPr="00E957E3">
        <w:t>r burden in both the 90 mg and 180 mg regimens in ALTA (</w:t>
      </w:r>
      <w:r w:rsidR="00BE7968">
        <w:fldChar w:fldCharType="begin"/>
      </w:r>
      <w:r w:rsidR="00BE7968">
        <w:instrText xml:space="preserve"> REF _Ref503184561 \h  \* MERGEFORMAT </w:instrText>
      </w:r>
      <w:r w:rsidR="00BE7968">
        <w:fldChar w:fldCharType="separate"/>
      </w:r>
      <w:r w:rsidR="008D78FC" w:rsidRPr="008D78FC">
        <w:t>Figure 3</w:t>
      </w:r>
      <w:r w:rsidR="00BE7968">
        <w:fldChar w:fldCharType="end"/>
      </w:r>
      <w:r w:rsidR="00EE498B" w:rsidRPr="00E957E3">
        <w:t xml:space="preserve"> and </w:t>
      </w:r>
      <w:r w:rsidR="00BE7968">
        <w:fldChar w:fldCharType="begin"/>
      </w:r>
      <w:r w:rsidR="00BE7968">
        <w:instrText xml:space="preserve"> REF _Ref503184572 \h  \* MERGEFORMAT </w:instrText>
      </w:r>
      <w:r w:rsidR="00BE7968">
        <w:fldChar w:fldCharType="separate"/>
      </w:r>
      <w:r w:rsidR="008D78FC" w:rsidRPr="008D78FC">
        <w:t>Figure 4</w:t>
      </w:r>
      <w:r w:rsidR="00BE7968">
        <w:fldChar w:fldCharType="end"/>
      </w:r>
      <w:r w:rsidR="00EE498B" w:rsidRPr="00E957E3">
        <w:t>).</w:t>
      </w:r>
    </w:p>
    <w:p w14:paraId="427C4AAF" w14:textId="77777777" w:rsidR="003E2FF7" w:rsidRPr="00E957E3" w:rsidRDefault="003E2FF7" w:rsidP="003E2FF7">
      <w:pPr>
        <w:rPr>
          <w:b/>
        </w:rPr>
      </w:pPr>
      <w:bookmarkStart w:id="8" w:name="_Ref503184561"/>
      <w:r w:rsidRPr="00E957E3">
        <w:rPr>
          <w:b/>
        </w:rPr>
        <w:t xml:space="preserve">Figure </w:t>
      </w:r>
      <w:r w:rsidR="004948F2" w:rsidRPr="00E957E3">
        <w:rPr>
          <w:b/>
        </w:rPr>
        <w:fldChar w:fldCharType="begin"/>
      </w:r>
      <w:r w:rsidRPr="00E957E3">
        <w:rPr>
          <w:b/>
        </w:rPr>
        <w:instrText xml:space="preserve"> SEQ Figure \* ARABIC </w:instrText>
      </w:r>
      <w:r w:rsidR="004948F2" w:rsidRPr="00E957E3">
        <w:rPr>
          <w:b/>
        </w:rPr>
        <w:fldChar w:fldCharType="separate"/>
      </w:r>
      <w:r w:rsidR="008D78FC">
        <w:rPr>
          <w:b/>
          <w:noProof/>
        </w:rPr>
        <w:t>3</w:t>
      </w:r>
      <w:r w:rsidR="004948F2" w:rsidRPr="00E957E3">
        <w:rPr>
          <w:b/>
        </w:rPr>
        <w:fldChar w:fldCharType="end"/>
      </w:r>
      <w:bookmarkEnd w:id="8"/>
      <w:r w:rsidRPr="00E957E3">
        <w:rPr>
          <w:b/>
        </w:rPr>
        <w:t>: Waterfall Plot of Best Percent Change in Target Lesions from Baseline by Patient Based on Investigator Assessment (ALK-Positive NSCLC) – 90 mg Regimen</w:t>
      </w:r>
    </w:p>
    <w:p w14:paraId="427C4AB0" w14:textId="77777777" w:rsidR="00B86F47" w:rsidRPr="00E957E3" w:rsidRDefault="00B86F47" w:rsidP="009E3A1F">
      <w:pPr>
        <w:rPr>
          <w:b/>
        </w:rPr>
      </w:pPr>
      <w:r w:rsidRPr="00E957E3">
        <w:rPr>
          <w:noProof/>
          <w:szCs w:val="24"/>
          <w:lang w:eastAsia="en-AU"/>
        </w:rPr>
        <w:drawing>
          <wp:inline distT="0" distB="0" distL="0" distR="0" wp14:anchorId="427C4B3A" wp14:editId="427C4B3B">
            <wp:extent cx="5943600" cy="2732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732405"/>
                    </a:xfrm>
                    <a:prstGeom prst="rect">
                      <a:avLst/>
                    </a:prstGeom>
                    <a:noFill/>
                    <a:ln>
                      <a:noFill/>
                    </a:ln>
                  </pic:spPr>
                </pic:pic>
              </a:graphicData>
            </a:graphic>
          </wp:inline>
        </w:drawing>
      </w:r>
    </w:p>
    <w:p w14:paraId="427C4AB2" w14:textId="77777777" w:rsidR="003E2FF7" w:rsidRPr="00E957E3" w:rsidRDefault="003E2FF7" w:rsidP="003E2FF7">
      <w:pPr>
        <w:rPr>
          <w:b/>
        </w:rPr>
      </w:pPr>
      <w:bookmarkStart w:id="9" w:name="_Ref503184572"/>
      <w:r w:rsidRPr="00E957E3">
        <w:rPr>
          <w:b/>
        </w:rPr>
        <w:lastRenderedPageBreak/>
        <w:t xml:space="preserve">Figure </w:t>
      </w:r>
      <w:r w:rsidR="004948F2" w:rsidRPr="00E957E3">
        <w:rPr>
          <w:b/>
        </w:rPr>
        <w:fldChar w:fldCharType="begin"/>
      </w:r>
      <w:r w:rsidRPr="00E957E3">
        <w:rPr>
          <w:b/>
        </w:rPr>
        <w:instrText xml:space="preserve"> SEQ Figure \* ARABIC </w:instrText>
      </w:r>
      <w:r w:rsidR="004948F2" w:rsidRPr="00E957E3">
        <w:rPr>
          <w:b/>
        </w:rPr>
        <w:fldChar w:fldCharType="separate"/>
      </w:r>
      <w:r w:rsidR="008D78FC">
        <w:rPr>
          <w:b/>
          <w:noProof/>
        </w:rPr>
        <w:t>4</w:t>
      </w:r>
      <w:r w:rsidR="004948F2" w:rsidRPr="00E957E3">
        <w:rPr>
          <w:b/>
        </w:rPr>
        <w:fldChar w:fldCharType="end"/>
      </w:r>
      <w:bookmarkEnd w:id="9"/>
      <w:r w:rsidRPr="00E957E3">
        <w:rPr>
          <w:b/>
        </w:rPr>
        <w:t>: Waterfall Plot of Best Percent Change in Target Lesions from Baseline by Patient Based on Investigator Assessment (ALK-Positive NSCLC) – 180 mg Regimen</w:t>
      </w:r>
    </w:p>
    <w:p w14:paraId="427C4AB3" w14:textId="77777777" w:rsidR="00342FCD" w:rsidRPr="00E957E3" w:rsidRDefault="00B86F47" w:rsidP="009E3A1F">
      <w:pPr>
        <w:rPr>
          <w:b/>
          <w:highlight w:val="yellow"/>
        </w:rPr>
      </w:pPr>
      <w:r w:rsidRPr="00E957E3">
        <w:rPr>
          <w:noProof/>
          <w:szCs w:val="24"/>
          <w:lang w:eastAsia="en-AU"/>
        </w:rPr>
        <w:drawing>
          <wp:inline distT="0" distB="0" distL="0" distR="0" wp14:anchorId="427C4B3C" wp14:editId="427C4B3D">
            <wp:extent cx="5943600" cy="2732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732405"/>
                    </a:xfrm>
                    <a:prstGeom prst="rect">
                      <a:avLst/>
                    </a:prstGeom>
                    <a:noFill/>
                    <a:ln>
                      <a:noFill/>
                    </a:ln>
                  </pic:spPr>
                </pic:pic>
              </a:graphicData>
            </a:graphic>
          </wp:inline>
        </w:drawing>
      </w:r>
    </w:p>
    <w:p w14:paraId="427C4AB4" w14:textId="77777777" w:rsidR="009E3A1F" w:rsidRPr="00E957E3" w:rsidRDefault="009E3A1F" w:rsidP="005F636F">
      <w:pPr>
        <w:spacing w:after="120"/>
        <w:rPr>
          <w:highlight w:val="yellow"/>
        </w:rPr>
      </w:pPr>
      <w:r w:rsidRPr="00E957E3">
        <w:t>Of the 222 enrolled patients, baseline tumour tissue samples were evaluable in 17 patients. Responses were seen in patients with and without secondary ALK kinase domain mutations, including one patient with a secondary ALK kinase domain mutation of G1202R.</w:t>
      </w:r>
    </w:p>
    <w:p w14:paraId="427C4AB5" w14:textId="6EA8F1D5" w:rsidR="0038459D" w:rsidRDefault="009E3A1F" w:rsidP="009E3A1F">
      <w:r w:rsidRPr="00E957E3">
        <w:t>IRC assessments of intracranial ORR and duration of intracranial response in patients from ALTA with measurable brain metastases (≥</w:t>
      </w:r>
      <w:r w:rsidR="00697F5A" w:rsidRPr="00E957E3">
        <w:t>10</w:t>
      </w:r>
      <w:r w:rsidR="00697F5A">
        <w:t> </w:t>
      </w:r>
      <w:r w:rsidRPr="00E957E3">
        <w:t>mm in longest diameter) at baseline are summari</w:t>
      </w:r>
      <w:r w:rsidR="004616E3">
        <w:t>s</w:t>
      </w:r>
      <w:r w:rsidRPr="00E957E3">
        <w:t xml:space="preserve">ed in </w:t>
      </w:r>
      <w:r w:rsidR="00BE7968">
        <w:fldChar w:fldCharType="begin"/>
      </w:r>
      <w:r w:rsidR="00BE7968">
        <w:instrText xml:space="preserve"> REF _Ref503184650 \h  \* MERGEFORMAT </w:instrText>
      </w:r>
      <w:r w:rsidR="00BE7968">
        <w:fldChar w:fldCharType="separate"/>
      </w:r>
      <w:r w:rsidR="008D78FC" w:rsidRPr="008D78FC">
        <w:t>Table 5</w:t>
      </w:r>
      <w:r w:rsidR="00BE7968">
        <w:fldChar w:fldCharType="end"/>
      </w:r>
      <w:r w:rsidR="00B86F47" w:rsidRPr="00E957E3">
        <w:t>.</w:t>
      </w:r>
    </w:p>
    <w:p w14:paraId="62527715" w14:textId="77777777" w:rsidR="0038459D" w:rsidRDefault="0038459D">
      <w:pPr>
        <w:spacing w:after="0"/>
        <w:jc w:val="left"/>
      </w:pPr>
      <w:r>
        <w:br w:type="page"/>
      </w:r>
    </w:p>
    <w:p w14:paraId="427C4AB6" w14:textId="77777777" w:rsidR="00BC78A7" w:rsidRPr="00E957E3" w:rsidRDefault="00BC78A7" w:rsidP="00BC78A7">
      <w:pPr>
        <w:rPr>
          <w:b/>
        </w:rPr>
      </w:pPr>
      <w:bookmarkStart w:id="10" w:name="_Ref503184650"/>
      <w:r w:rsidRPr="00E957E3">
        <w:rPr>
          <w:b/>
        </w:rPr>
        <w:lastRenderedPageBreak/>
        <w:t xml:space="preserve">Table </w:t>
      </w:r>
      <w:r w:rsidR="004948F2" w:rsidRPr="00E957E3">
        <w:rPr>
          <w:b/>
        </w:rPr>
        <w:fldChar w:fldCharType="begin"/>
      </w:r>
      <w:r w:rsidRPr="00E957E3">
        <w:rPr>
          <w:b/>
        </w:rPr>
        <w:instrText xml:space="preserve"> SEQ Table \* ARABIC </w:instrText>
      </w:r>
      <w:r w:rsidR="004948F2" w:rsidRPr="00E957E3">
        <w:rPr>
          <w:b/>
        </w:rPr>
        <w:fldChar w:fldCharType="separate"/>
      </w:r>
      <w:r w:rsidR="008D78FC">
        <w:rPr>
          <w:b/>
          <w:noProof/>
        </w:rPr>
        <w:t>5</w:t>
      </w:r>
      <w:r w:rsidR="004948F2" w:rsidRPr="00E957E3">
        <w:rPr>
          <w:b/>
        </w:rPr>
        <w:fldChar w:fldCharType="end"/>
      </w:r>
      <w:bookmarkEnd w:id="10"/>
      <w:r w:rsidRPr="002062EC">
        <w:rPr>
          <w:b/>
        </w:rPr>
        <w:t xml:space="preserve">: Intracranial Efficacy in Patients with Measurable Brain Metastases at Baseline in </w:t>
      </w:r>
      <w:r w:rsidR="009F6FF1">
        <w:rPr>
          <w:b/>
        </w:rPr>
        <w:t>ALTA</w:t>
      </w:r>
      <w:r w:rsidRPr="002062EC">
        <w:rPr>
          <w:b/>
        </w:rPr>
        <w:t xml:space="preserve"> IRC-assessed efficacy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3"/>
        <w:gridCol w:w="2245"/>
        <w:gridCol w:w="23"/>
        <w:gridCol w:w="2245"/>
      </w:tblGrid>
      <w:tr w:rsidR="00B86F47" w:rsidRPr="00E957E3" w14:paraId="427C4AB9" w14:textId="77777777" w:rsidTr="00697F5A">
        <w:trPr>
          <w:trHeight w:val="122"/>
        </w:trPr>
        <w:tc>
          <w:tcPr>
            <w:tcW w:w="4219" w:type="dxa"/>
          </w:tcPr>
          <w:p w14:paraId="427C4AB7" w14:textId="77777777" w:rsidR="00B86F47" w:rsidRPr="00E957E3" w:rsidRDefault="00B86F47" w:rsidP="00412088">
            <w:pPr>
              <w:pStyle w:val="Default"/>
              <w:rPr>
                <w:rFonts w:ascii="Arial" w:hAnsi="Arial" w:cs="Arial"/>
                <w:b/>
                <w:sz w:val="22"/>
                <w:szCs w:val="22"/>
                <w:lang w:val="en-AU"/>
              </w:rPr>
            </w:pPr>
            <w:r w:rsidRPr="00E957E3">
              <w:rPr>
                <w:rFonts w:ascii="Arial" w:hAnsi="Arial" w:cs="Arial"/>
                <w:b/>
                <w:sz w:val="22"/>
                <w:szCs w:val="22"/>
                <w:lang w:val="en-AU"/>
              </w:rPr>
              <w:t>IRC-assessed efficacy parameter</w:t>
            </w:r>
          </w:p>
        </w:tc>
        <w:tc>
          <w:tcPr>
            <w:tcW w:w="4536" w:type="dxa"/>
            <w:gridSpan w:val="4"/>
          </w:tcPr>
          <w:p w14:paraId="427C4AB8" w14:textId="77777777" w:rsidR="00B86F47" w:rsidRPr="00E957E3"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Patients with Measurable Brain Metastases at Baseline</w:t>
            </w:r>
          </w:p>
        </w:tc>
      </w:tr>
      <w:tr w:rsidR="00B86F47" w:rsidRPr="00E957E3" w14:paraId="427C4ABD" w14:textId="77777777" w:rsidTr="00697F5A">
        <w:trPr>
          <w:trHeight w:val="122"/>
        </w:trPr>
        <w:tc>
          <w:tcPr>
            <w:tcW w:w="4219" w:type="dxa"/>
          </w:tcPr>
          <w:p w14:paraId="427C4ABA" w14:textId="77777777" w:rsidR="00B86F47" w:rsidRPr="00E957E3" w:rsidRDefault="00B86F47" w:rsidP="00412088">
            <w:pPr>
              <w:pStyle w:val="Default"/>
              <w:rPr>
                <w:rFonts w:ascii="Arial" w:hAnsi="Arial" w:cs="Arial"/>
                <w:sz w:val="22"/>
                <w:szCs w:val="22"/>
                <w:lang w:val="en-AU"/>
              </w:rPr>
            </w:pPr>
          </w:p>
        </w:tc>
        <w:tc>
          <w:tcPr>
            <w:tcW w:w="2268" w:type="dxa"/>
            <w:gridSpan w:val="2"/>
          </w:tcPr>
          <w:p w14:paraId="427C4ABB"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90 mg regimen</w:t>
            </w:r>
            <w:r w:rsidRPr="00E957E3">
              <w:rPr>
                <w:rFonts w:ascii="Arial" w:hAnsi="Arial" w:cs="Arial"/>
                <w:sz w:val="22"/>
                <w:szCs w:val="22"/>
                <w:lang w:val="en-AU"/>
              </w:rPr>
              <w:t xml:space="preserve">* </w:t>
            </w:r>
            <w:r w:rsidRPr="00E957E3">
              <w:rPr>
                <w:rFonts w:ascii="Arial" w:hAnsi="Arial" w:cs="Arial"/>
                <w:b/>
                <w:bCs/>
                <w:sz w:val="22"/>
                <w:szCs w:val="22"/>
                <w:lang w:val="en-AU"/>
              </w:rPr>
              <w:t xml:space="preserve">(N=26) </w:t>
            </w:r>
          </w:p>
        </w:tc>
        <w:tc>
          <w:tcPr>
            <w:tcW w:w="2268" w:type="dxa"/>
            <w:gridSpan w:val="2"/>
          </w:tcPr>
          <w:p w14:paraId="427C4ABC"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180 mg regimen</w:t>
            </w:r>
            <w:r w:rsidRPr="00E957E3">
              <w:rPr>
                <w:rFonts w:ascii="Arial" w:hAnsi="Arial" w:cs="Arial"/>
                <w:sz w:val="22"/>
                <w:szCs w:val="22"/>
                <w:lang w:val="en-AU"/>
              </w:rPr>
              <w:t xml:space="preserve">† </w:t>
            </w:r>
            <w:r w:rsidRPr="00E957E3">
              <w:rPr>
                <w:rFonts w:ascii="Arial" w:hAnsi="Arial" w:cs="Arial"/>
                <w:b/>
                <w:bCs/>
                <w:sz w:val="22"/>
                <w:szCs w:val="22"/>
                <w:lang w:val="en-AU"/>
              </w:rPr>
              <w:t xml:space="preserve">(N=18) </w:t>
            </w:r>
          </w:p>
        </w:tc>
      </w:tr>
      <w:tr w:rsidR="00B86F47" w:rsidRPr="00E957E3" w14:paraId="427C4ABF" w14:textId="77777777" w:rsidTr="00697F5A">
        <w:trPr>
          <w:trHeight w:val="122"/>
        </w:trPr>
        <w:tc>
          <w:tcPr>
            <w:tcW w:w="8755" w:type="dxa"/>
            <w:gridSpan w:val="5"/>
          </w:tcPr>
          <w:p w14:paraId="427C4ABE" w14:textId="77777777" w:rsidR="00B86F47" w:rsidRPr="00E957E3" w:rsidRDefault="00B86F47" w:rsidP="00412088">
            <w:pPr>
              <w:pStyle w:val="Default"/>
              <w:rPr>
                <w:rFonts w:ascii="Arial" w:hAnsi="Arial" w:cs="Arial"/>
                <w:b/>
                <w:bCs/>
                <w:sz w:val="22"/>
                <w:szCs w:val="22"/>
                <w:lang w:val="en-AU"/>
              </w:rPr>
            </w:pPr>
            <w:r w:rsidRPr="00E957E3">
              <w:rPr>
                <w:rFonts w:ascii="Arial" w:hAnsi="Arial" w:cs="Arial"/>
                <w:b/>
                <w:bCs/>
                <w:sz w:val="22"/>
                <w:szCs w:val="22"/>
                <w:lang w:val="en-AU"/>
              </w:rPr>
              <w:t>Intracranial Objective Response Rate</w:t>
            </w:r>
          </w:p>
        </w:tc>
      </w:tr>
      <w:tr w:rsidR="00B86F47" w:rsidRPr="00E957E3" w14:paraId="427C4AC3" w14:textId="77777777" w:rsidTr="00697F5A">
        <w:trPr>
          <w:trHeight w:val="122"/>
        </w:trPr>
        <w:tc>
          <w:tcPr>
            <w:tcW w:w="4219" w:type="dxa"/>
          </w:tcPr>
          <w:p w14:paraId="427C4AC0"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 </w:t>
            </w:r>
          </w:p>
        </w:tc>
        <w:tc>
          <w:tcPr>
            <w:tcW w:w="2268" w:type="dxa"/>
            <w:gridSpan w:val="2"/>
          </w:tcPr>
          <w:p w14:paraId="427C4AC1"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50% </w:t>
            </w:r>
          </w:p>
        </w:tc>
        <w:tc>
          <w:tcPr>
            <w:tcW w:w="2268" w:type="dxa"/>
            <w:gridSpan w:val="2"/>
          </w:tcPr>
          <w:p w14:paraId="427C4AC2"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67% </w:t>
            </w:r>
          </w:p>
        </w:tc>
      </w:tr>
      <w:tr w:rsidR="00B86F47" w:rsidRPr="00E957E3" w14:paraId="427C4AC7" w14:textId="77777777" w:rsidTr="00697F5A">
        <w:trPr>
          <w:trHeight w:val="122"/>
        </w:trPr>
        <w:tc>
          <w:tcPr>
            <w:tcW w:w="4219" w:type="dxa"/>
          </w:tcPr>
          <w:p w14:paraId="427C4AC4"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95% CI </w:t>
            </w:r>
          </w:p>
        </w:tc>
        <w:tc>
          <w:tcPr>
            <w:tcW w:w="2268" w:type="dxa"/>
            <w:gridSpan w:val="2"/>
          </w:tcPr>
          <w:p w14:paraId="427C4AC5"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(30, 70) </w:t>
            </w:r>
          </w:p>
        </w:tc>
        <w:tc>
          <w:tcPr>
            <w:tcW w:w="2268" w:type="dxa"/>
            <w:gridSpan w:val="2"/>
          </w:tcPr>
          <w:p w14:paraId="427C4AC6"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(41, 87) </w:t>
            </w:r>
          </w:p>
        </w:tc>
      </w:tr>
      <w:tr w:rsidR="00B86F47" w:rsidRPr="00E957E3" w14:paraId="427C4AC9" w14:textId="77777777" w:rsidTr="00697F5A">
        <w:trPr>
          <w:trHeight w:val="115"/>
        </w:trPr>
        <w:tc>
          <w:tcPr>
            <w:tcW w:w="8755" w:type="dxa"/>
            <w:gridSpan w:val="5"/>
          </w:tcPr>
          <w:p w14:paraId="427C4AC8"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 xml:space="preserve">Intracranial Disease Control Rate </w:t>
            </w:r>
          </w:p>
        </w:tc>
      </w:tr>
      <w:tr w:rsidR="00B86F47" w:rsidRPr="00E957E3" w14:paraId="427C4ACD" w14:textId="77777777" w:rsidTr="00697F5A">
        <w:trPr>
          <w:trHeight w:val="133"/>
        </w:trPr>
        <w:tc>
          <w:tcPr>
            <w:tcW w:w="4242" w:type="dxa"/>
            <w:gridSpan w:val="2"/>
          </w:tcPr>
          <w:p w14:paraId="427C4ACA"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 </w:t>
            </w:r>
          </w:p>
        </w:tc>
        <w:tc>
          <w:tcPr>
            <w:tcW w:w="2268" w:type="dxa"/>
            <w:gridSpan w:val="2"/>
          </w:tcPr>
          <w:p w14:paraId="427C4ACB"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85% </w:t>
            </w:r>
          </w:p>
        </w:tc>
        <w:tc>
          <w:tcPr>
            <w:tcW w:w="2245" w:type="dxa"/>
          </w:tcPr>
          <w:p w14:paraId="427C4ACC"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83% </w:t>
            </w:r>
          </w:p>
        </w:tc>
      </w:tr>
      <w:tr w:rsidR="00B86F47" w:rsidRPr="00E957E3" w14:paraId="427C4AD1" w14:textId="77777777" w:rsidTr="00697F5A">
        <w:trPr>
          <w:trHeight w:val="133"/>
        </w:trPr>
        <w:tc>
          <w:tcPr>
            <w:tcW w:w="4242" w:type="dxa"/>
            <w:gridSpan w:val="2"/>
          </w:tcPr>
          <w:p w14:paraId="427C4ACE"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95% CI </w:t>
            </w:r>
          </w:p>
        </w:tc>
        <w:tc>
          <w:tcPr>
            <w:tcW w:w="2268" w:type="dxa"/>
            <w:gridSpan w:val="2"/>
          </w:tcPr>
          <w:p w14:paraId="427C4ACF"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(65, 96) </w:t>
            </w:r>
          </w:p>
        </w:tc>
        <w:tc>
          <w:tcPr>
            <w:tcW w:w="2245" w:type="dxa"/>
          </w:tcPr>
          <w:p w14:paraId="427C4AD0"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(59, 96) </w:t>
            </w:r>
          </w:p>
        </w:tc>
      </w:tr>
      <w:tr w:rsidR="00B86F47" w:rsidRPr="00E957E3" w14:paraId="427C4AD3" w14:textId="77777777" w:rsidTr="00697F5A">
        <w:trPr>
          <w:trHeight w:val="121"/>
        </w:trPr>
        <w:tc>
          <w:tcPr>
            <w:tcW w:w="8755" w:type="dxa"/>
            <w:gridSpan w:val="5"/>
          </w:tcPr>
          <w:p w14:paraId="427C4AD2" w14:textId="77777777" w:rsidR="00B86F47" w:rsidRPr="00E957E3" w:rsidRDefault="00B86F47" w:rsidP="00412088">
            <w:pPr>
              <w:pStyle w:val="Default"/>
              <w:rPr>
                <w:rFonts w:ascii="Arial" w:hAnsi="Arial" w:cs="Arial"/>
                <w:sz w:val="22"/>
                <w:szCs w:val="22"/>
                <w:lang w:val="en-AU"/>
              </w:rPr>
            </w:pPr>
            <w:r w:rsidRPr="00E957E3">
              <w:rPr>
                <w:rFonts w:ascii="Arial" w:hAnsi="Arial" w:cs="Arial"/>
                <w:b/>
                <w:bCs/>
                <w:sz w:val="22"/>
                <w:szCs w:val="22"/>
                <w:lang w:val="en-AU"/>
              </w:rPr>
              <w:t xml:space="preserve">Duration of Intracranial </w:t>
            </w:r>
            <w:r w:rsidRPr="00E957E3">
              <w:rPr>
                <w:rFonts w:ascii="Arial" w:hAnsi="Arial" w:cs="Arial"/>
                <w:b/>
                <w:sz w:val="22"/>
                <w:szCs w:val="22"/>
                <w:lang w:val="en-AU"/>
              </w:rPr>
              <w:t>Response</w:t>
            </w:r>
            <w:r w:rsidRPr="00E957E3">
              <w:rPr>
                <w:rFonts w:ascii="Arial" w:hAnsi="Arial" w:cs="Arial"/>
                <w:sz w:val="22"/>
                <w:szCs w:val="22"/>
                <w:lang w:val="en-AU"/>
              </w:rPr>
              <w:t xml:space="preserve">‡, </w:t>
            </w:r>
          </w:p>
        </w:tc>
      </w:tr>
      <w:tr w:rsidR="00B86F47" w:rsidRPr="00E957E3" w14:paraId="427C4AD7" w14:textId="77777777" w:rsidTr="00697F5A">
        <w:trPr>
          <w:trHeight w:val="121"/>
        </w:trPr>
        <w:tc>
          <w:tcPr>
            <w:tcW w:w="4242" w:type="dxa"/>
            <w:gridSpan w:val="2"/>
          </w:tcPr>
          <w:p w14:paraId="427C4AD4"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Median (months) </w:t>
            </w:r>
          </w:p>
        </w:tc>
        <w:tc>
          <w:tcPr>
            <w:tcW w:w="2268" w:type="dxa"/>
            <w:gridSpan w:val="2"/>
          </w:tcPr>
          <w:p w14:paraId="427C4AD5" w14:textId="77777777" w:rsidR="00B86F47" w:rsidRPr="00E957E3" w:rsidRDefault="006D6582" w:rsidP="00412088">
            <w:pPr>
              <w:pStyle w:val="Default"/>
              <w:rPr>
                <w:rFonts w:ascii="Arial" w:hAnsi="Arial" w:cs="Arial"/>
                <w:sz w:val="22"/>
                <w:szCs w:val="22"/>
                <w:lang w:val="en-AU"/>
              </w:rPr>
            </w:pPr>
            <w:r>
              <w:rPr>
                <w:rFonts w:ascii="Arial" w:hAnsi="Arial" w:cs="Arial"/>
                <w:sz w:val="22"/>
                <w:szCs w:val="22"/>
                <w:lang w:val="en-AU"/>
              </w:rPr>
              <w:t>NE</w:t>
            </w:r>
            <w:r w:rsidR="00B86F47" w:rsidRPr="00E957E3">
              <w:rPr>
                <w:rFonts w:ascii="Arial" w:hAnsi="Arial" w:cs="Arial"/>
                <w:sz w:val="22"/>
                <w:szCs w:val="22"/>
                <w:lang w:val="en-AU"/>
              </w:rPr>
              <w:t xml:space="preserve"> </w:t>
            </w:r>
          </w:p>
        </w:tc>
        <w:tc>
          <w:tcPr>
            <w:tcW w:w="2245" w:type="dxa"/>
          </w:tcPr>
          <w:p w14:paraId="427C4AD6"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16.6 </w:t>
            </w:r>
          </w:p>
        </w:tc>
      </w:tr>
      <w:tr w:rsidR="00B86F47" w:rsidRPr="00E957E3" w14:paraId="427C4ADB" w14:textId="77777777" w:rsidTr="00697F5A">
        <w:trPr>
          <w:trHeight w:val="121"/>
        </w:trPr>
        <w:tc>
          <w:tcPr>
            <w:tcW w:w="4242" w:type="dxa"/>
            <w:gridSpan w:val="2"/>
          </w:tcPr>
          <w:p w14:paraId="427C4AD8"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95% CI </w:t>
            </w:r>
          </w:p>
        </w:tc>
        <w:tc>
          <w:tcPr>
            <w:tcW w:w="2268" w:type="dxa"/>
            <w:gridSpan w:val="2"/>
          </w:tcPr>
          <w:p w14:paraId="427C4AD9"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(3.7, </w:t>
            </w:r>
            <w:r w:rsidR="006D6582">
              <w:rPr>
                <w:rFonts w:ascii="Arial" w:hAnsi="Arial" w:cs="Arial"/>
                <w:sz w:val="22"/>
                <w:szCs w:val="22"/>
                <w:lang w:val="en-AU"/>
              </w:rPr>
              <w:t>NE</w:t>
            </w:r>
            <w:r w:rsidRPr="00E957E3">
              <w:rPr>
                <w:rFonts w:ascii="Arial" w:hAnsi="Arial" w:cs="Arial"/>
                <w:sz w:val="22"/>
                <w:szCs w:val="22"/>
                <w:lang w:val="en-AU"/>
              </w:rPr>
              <w:t xml:space="preserve">) </w:t>
            </w:r>
          </w:p>
        </w:tc>
        <w:tc>
          <w:tcPr>
            <w:tcW w:w="2245" w:type="dxa"/>
          </w:tcPr>
          <w:p w14:paraId="427C4ADA" w14:textId="77777777" w:rsidR="00B86F47" w:rsidRPr="00E957E3" w:rsidRDefault="00B86F47" w:rsidP="00412088">
            <w:pPr>
              <w:pStyle w:val="Default"/>
              <w:rPr>
                <w:rFonts w:ascii="Arial" w:hAnsi="Arial" w:cs="Arial"/>
                <w:sz w:val="22"/>
                <w:szCs w:val="22"/>
                <w:lang w:val="en-AU"/>
              </w:rPr>
            </w:pPr>
            <w:r w:rsidRPr="00E957E3">
              <w:rPr>
                <w:rFonts w:ascii="Arial" w:hAnsi="Arial" w:cs="Arial"/>
                <w:sz w:val="22"/>
                <w:szCs w:val="22"/>
                <w:lang w:val="en-AU"/>
              </w:rPr>
              <w:t xml:space="preserve">(3.7, </w:t>
            </w:r>
            <w:r w:rsidR="006D6582">
              <w:rPr>
                <w:rFonts w:ascii="Arial" w:hAnsi="Arial" w:cs="Arial"/>
                <w:sz w:val="22"/>
                <w:szCs w:val="22"/>
                <w:lang w:val="en-AU"/>
              </w:rPr>
              <w:t>16.6</w:t>
            </w:r>
            <w:r w:rsidRPr="00E957E3">
              <w:rPr>
                <w:rFonts w:ascii="Arial" w:hAnsi="Arial" w:cs="Arial"/>
                <w:sz w:val="22"/>
                <w:szCs w:val="22"/>
                <w:lang w:val="en-AU"/>
              </w:rPr>
              <w:t xml:space="preserve">) </w:t>
            </w:r>
          </w:p>
        </w:tc>
      </w:tr>
    </w:tbl>
    <w:p w14:paraId="427C4ADC"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CI = Confidence Interval; NE = Not Estimable </w:t>
      </w:r>
    </w:p>
    <w:p w14:paraId="427C4ADD"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*90 mg once daily regimen </w:t>
      </w:r>
    </w:p>
    <w:p w14:paraId="427C4ADE" w14:textId="77777777" w:rsidR="00B86F47" w:rsidRPr="00E957E3" w:rsidRDefault="00B86F47" w:rsidP="00B86F47">
      <w:pPr>
        <w:pStyle w:val="Default"/>
        <w:rPr>
          <w:rFonts w:ascii="Arial" w:hAnsi="Arial" w:cs="Arial"/>
          <w:sz w:val="20"/>
          <w:szCs w:val="20"/>
          <w:lang w:val="en-AU"/>
        </w:rPr>
      </w:pPr>
      <w:r w:rsidRPr="00E957E3">
        <w:rPr>
          <w:rFonts w:ascii="Arial" w:hAnsi="Arial" w:cs="Arial"/>
          <w:sz w:val="20"/>
          <w:szCs w:val="20"/>
          <w:lang w:val="en-AU"/>
        </w:rPr>
        <w:t xml:space="preserve">†180 mg once daily with 7-day lead-in at 90 mg once daily </w:t>
      </w:r>
    </w:p>
    <w:p w14:paraId="427C4ADF" w14:textId="77777777" w:rsidR="00B86F47" w:rsidRPr="00E957E3" w:rsidRDefault="00B86F47" w:rsidP="00B86F47">
      <w:pPr>
        <w:pStyle w:val="ListBullet2"/>
        <w:numPr>
          <w:ilvl w:val="0"/>
          <w:numId w:val="0"/>
        </w:numPr>
        <w:rPr>
          <w:rFonts w:ascii="Arial" w:hAnsi="Arial" w:cs="Arial"/>
          <w:sz w:val="20"/>
          <w:lang w:val="en-AU"/>
        </w:rPr>
      </w:pPr>
      <w:r w:rsidRPr="00E957E3">
        <w:rPr>
          <w:rFonts w:ascii="Arial" w:hAnsi="Arial" w:cs="Arial"/>
          <w:sz w:val="20"/>
          <w:lang w:val="en-AU"/>
        </w:rPr>
        <w:t>‡Events include intracranial disease progression (new lesions, intracranial target lesion diameter growth ≥20% from nadir, or unequivocal progression of intracranial non-target lesions) or death.</w:t>
      </w:r>
    </w:p>
    <w:p w14:paraId="427C4AE0" w14:textId="77777777" w:rsidR="00B86F47" w:rsidRPr="00E957E3" w:rsidRDefault="00B86F47" w:rsidP="009E3A1F">
      <w:pPr>
        <w:rPr>
          <w:b/>
          <w:highlight w:val="yellow"/>
        </w:rPr>
      </w:pPr>
    </w:p>
    <w:p w14:paraId="427C4AE1" w14:textId="77777777" w:rsidR="009E3A1F" w:rsidRDefault="00250147" w:rsidP="00250147">
      <w:r w:rsidRPr="00E957E3">
        <w:t>In ALTA, patients overall experienced positive changes relative to baseline in quality-of-life (QOL) during treatment with brigatinib. The mean QOL, measured by the summary Global Health Status /QOL score of the European Organisation for Research and Treatment of Cancer (EORTC) Quality-of-Life Questionnaire (QLQ)-C30, was maintained above baseline mean values throughout follow-up (median: 17.9 months) across both dose groups.</w:t>
      </w:r>
    </w:p>
    <w:p w14:paraId="427C4AE2" w14:textId="70414E29" w:rsidR="009F6FF1" w:rsidRPr="00E957E3" w:rsidRDefault="009F6FF1" w:rsidP="00250147">
      <w:r w:rsidRPr="00E957E3">
        <w:t>In Study 101, 25 patients with ALK-positive NSCLC that progressed on crizotinib were administered brigatinib at 180 mg once daily with 7-day lead-in at 90 mg once daily regimen. Of these, 19 patients had an investigator-assessed confirmed objective response (76%; 95% CI: 55, 91) the KM median PFS was 16.3 months (95% CI: 9.2, NE) and the 12-month probability of overall survival was 84.0% (95% CI: 62.8, 93.7).</w:t>
      </w:r>
    </w:p>
    <w:p w14:paraId="427C4AE3" w14:textId="77777777" w:rsidR="007E4EF4" w:rsidRPr="00E957E3" w:rsidRDefault="007E4EF4" w:rsidP="001A0D3C">
      <w:pPr>
        <w:pStyle w:val="Heading2"/>
      </w:pPr>
      <w:r w:rsidRPr="00E957E3">
        <w:t xml:space="preserve">PHARMACOKINETIC PROPERTIES </w:t>
      </w:r>
    </w:p>
    <w:p w14:paraId="427C4AE4" w14:textId="77777777" w:rsidR="007E4EF4" w:rsidRPr="00734027" w:rsidRDefault="007E4EF4"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Absorption </w:t>
      </w:r>
    </w:p>
    <w:p w14:paraId="427C4AE5" w14:textId="77777777" w:rsidR="007E4EF4" w:rsidRPr="00E957E3" w:rsidRDefault="00250147" w:rsidP="00250147">
      <w:r w:rsidRPr="00E957E3">
        <w:t>Following administration of single oral doses of brigatinib of 30 to 240 mg, the median time to peak concentration (T</w:t>
      </w:r>
      <w:r w:rsidRPr="00E957E3">
        <w:rPr>
          <w:vertAlign w:val="subscript"/>
        </w:rPr>
        <w:t>max</w:t>
      </w:r>
      <w:r w:rsidRPr="00E957E3">
        <w:t xml:space="preserve">) ranged from 1 to 4 hours </w:t>
      </w:r>
      <w:proofErr w:type="spellStart"/>
      <w:r w:rsidRPr="00E957E3">
        <w:t>postdose</w:t>
      </w:r>
      <w:proofErr w:type="spellEnd"/>
      <w:r w:rsidRPr="00E957E3">
        <w:t>. The geometric mean (CV%) steady-state C</w:t>
      </w:r>
      <w:r w:rsidRPr="00E957E3">
        <w:rPr>
          <w:vertAlign w:val="subscript"/>
        </w:rPr>
        <w:t>max</w:t>
      </w:r>
      <w:r w:rsidRPr="00E957E3">
        <w:t xml:space="preserve"> of brigatinib at doses of 90 mg and 180 mg once daily was 552 (65%) and 1452 (60%) ng/mL, respectively, and the corresponding AUC</w:t>
      </w:r>
      <w:r w:rsidRPr="00E957E3">
        <w:rPr>
          <w:vertAlign w:val="subscript"/>
        </w:rPr>
        <w:t>0-tau</w:t>
      </w:r>
      <w:r w:rsidRPr="00E957E3">
        <w:t xml:space="preserve"> was 8165 </w:t>
      </w:r>
      <w:r w:rsidRPr="00B06685">
        <w:t>(57%) and 20276 (56%) h·ng/mL,</w:t>
      </w:r>
      <w:r w:rsidRPr="00E957E3">
        <w:t xml:space="preserve"> respectively. After a single dose and repeat dosing of brigatinib, systemic exposure was dose proportional over the dose range of 60 mg to 240 mg once daily. The mean accumulation ratio after repeat dosing was 1.9 to 2.4. Brigatinib C</w:t>
      </w:r>
      <w:r w:rsidRPr="00E957E3">
        <w:rPr>
          <w:vertAlign w:val="subscript"/>
        </w:rPr>
        <w:t>max</w:t>
      </w:r>
      <w:r w:rsidRPr="00E957E3">
        <w:t xml:space="preserve"> was reduced by 13% with no effect on AUC in healthy subjects administered ALUNBRIG after a high-fat meal compared to the C</w:t>
      </w:r>
      <w:r w:rsidRPr="00E957E3">
        <w:rPr>
          <w:vertAlign w:val="subscript"/>
        </w:rPr>
        <w:t>max</w:t>
      </w:r>
      <w:r w:rsidRPr="00E957E3">
        <w:t xml:space="preserve"> and AUC after overnight fasting.</w:t>
      </w:r>
    </w:p>
    <w:p w14:paraId="427C4AE6" w14:textId="77777777" w:rsidR="00217334" w:rsidRPr="00734027" w:rsidRDefault="007E4EF4" w:rsidP="00734027">
      <w:pPr>
        <w:pStyle w:val="Heading3"/>
        <w:keepNext/>
        <w:keepLines/>
        <w:rPr>
          <w:rFonts w:eastAsiaTheme="majorEastAsia"/>
          <w:b/>
          <w:bCs/>
          <w:smallCaps w:val="0"/>
          <w:sz w:val="22"/>
          <w:u w:val="none"/>
        </w:rPr>
      </w:pPr>
      <w:r w:rsidRPr="00734027">
        <w:rPr>
          <w:rFonts w:eastAsiaTheme="majorEastAsia"/>
          <w:b/>
          <w:bCs/>
          <w:smallCaps w:val="0"/>
          <w:sz w:val="22"/>
          <w:u w:val="none"/>
        </w:rPr>
        <w:lastRenderedPageBreak/>
        <w:t>Distribution</w:t>
      </w:r>
    </w:p>
    <w:p w14:paraId="427C4AE7" w14:textId="354C53D7" w:rsidR="007E4EF4" w:rsidRPr="00E957E3" w:rsidRDefault="00250147" w:rsidP="00250147">
      <w:r w:rsidRPr="00E957E3">
        <w:t>Brigatinib was 91% bound to human plasma proteins and the binding was not concentration-dependent. The blood-to-plasma concentration ratio is 0.69. Following oral administration of brigatinib 180 mg once daily, the geometric mean apparent volume of distribution (V</w:t>
      </w:r>
      <w:r w:rsidRPr="00E957E3">
        <w:rPr>
          <w:vertAlign w:val="subscript"/>
        </w:rPr>
        <w:t>z</w:t>
      </w:r>
      <w:r w:rsidRPr="00E957E3">
        <w:t>/F) at steady-state was 153 L.</w:t>
      </w:r>
    </w:p>
    <w:p w14:paraId="427C4AE8" w14:textId="77777777" w:rsidR="007E4EF4" w:rsidRPr="00734027" w:rsidRDefault="007E4EF4"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Metabolism </w:t>
      </w:r>
    </w:p>
    <w:p w14:paraId="427C4AE9" w14:textId="68D061FC" w:rsidR="007E4EF4" w:rsidRPr="00E957E3" w:rsidRDefault="00250147" w:rsidP="00250147">
      <w:r w:rsidRPr="00E957E3">
        <w:rPr>
          <w:i/>
        </w:rPr>
        <w:t>In vitro</w:t>
      </w:r>
      <w:r w:rsidRPr="00E957E3">
        <w:t xml:space="preserve"> studies demonstrated that brigatinib is primarily metaboli</w:t>
      </w:r>
      <w:r w:rsidR="004616E3">
        <w:t>s</w:t>
      </w:r>
      <w:r w:rsidRPr="00E957E3">
        <w:t>ed by CYP2C8 and CYP3A4. Following oral administration of a single 180 mg dose of [</w:t>
      </w:r>
      <w:r w:rsidRPr="00E957E3">
        <w:rPr>
          <w:vertAlign w:val="superscript"/>
        </w:rPr>
        <w:t>14</w:t>
      </w:r>
      <w:r w:rsidRPr="00E957E3">
        <w:t>C]-brigatinib to healthy subjects, N</w:t>
      </w:r>
      <w:r w:rsidR="001162B8" w:rsidRPr="00E957E3">
        <w:t>-</w:t>
      </w:r>
      <w:r w:rsidRPr="00E957E3">
        <w:t xml:space="preserve">demethylation and cysteine conjugation were the two major metabolic clearance pathways. Unchanged brigatinib (92%) and its primary metabolite, AP26123 (3.5%), were the major circulating radioactive components. In patients, the steady-state AUC of AP26123 was less than 10% of brigatinib exposure. The metabolite, AP26123, inhibited ALK with approximately 3-fold lower potency than brigatinib </w:t>
      </w:r>
      <w:r w:rsidRPr="00D43BA5">
        <w:rPr>
          <w:i/>
        </w:rPr>
        <w:t>in vitro</w:t>
      </w:r>
      <w:r w:rsidRPr="00E957E3">
        <w:t>.</w:t>
      </w:r>
    </w:p>
    <w:p w14:paraId="427C4AEA" w14:textId="77777777" w:rsidR="007E4EF4" w:rsidRPr="000D015E" w:rsidRDefault="00250147" w:rsidP="000D015E">
      <w:pPr>
        <w:rPr>
          <w:b/>
        </w:rPr>
      </w:pPr>
      <w:r w:rsidRPr="000D015E">
        <w:rPr>
          <w:b/>
        </w:rPr>
        <w:t>Excretion</w:t>
      </w:r>
    </w:p>
    <w:p w14:paraId="427C4AEB" w14:textId="77777777" w:rsidR="007E4EF4" w:rsidRDefault="00250147" w:rsidP="00250147">
      <w:r w:rsidRPr="00E957E3">
        <w:t>Following oral administration of brigatinib 180 mg once daily, the geometric mean apparent oral clearance (CL/F) of brigatinib at steady-state was 13 L/h and the mean plasma elimination half-life was 25 h. Following administration of a single 180 mg oral dose of [</w:t>
      </w:r>
      <w:r w:rsidRPr="00E957E3">
        <w:rPr>
          <w:vertAlign w:val="superscript"/>
        </w:rPr>
        <w:t>14</w:t>
      </w:r>
      <w:r w:rsidRPr="00E957E3">
        <w:t xml:space="preserve">C]-brigatinib to 6 healthy male subjects, 65% of the administered dose was recovered in </w:t>
      </w:r>
      <w:r w:rsidR="002040D0" w:rsidRPr="00E957E3">
        <w:t>faeces</w:t>
      </w:r>
      <w:r w:rsidRPr="00E957E3">
        <w:t xml:space="preserve"> and 25% of the administered dose was recovered in urine. Unchanged brigatinib represented 41% and 86% of the total radioactivity in </w:t>
      </w:r>
      <w:r w:rsidR="002040D0" w:rsidRPr="00E957E3">
        <w:t>faeces</w:t>
      </w:r>
      <w:r w:rsidRPr="00E957E3">
        <w:t xml:space="preserve"> and urine, respectively.</w:t>
      </w:r>
    </w:p>
    <w:p w14:paraId="427C4AEC" w14:textId="77777777" w:rsidR="00D95C27" w:rsidRPr="000D015E" w:rsidRDefault="00D95C27" w:rsidP="000D015E">
      <w:pPr>
        <w:rPr>
          <w:b/>
        </w:rPr>
      </w:pPr>
      <w:r w:rsidRPr="000D015E">
        <w:rPr>
          <w:b/>
        </w:rPr>
        <w:t>Special Populations</w:t>
      </w:r>
    </w:p>
    <w:p w14:paraId="427C4AED" w14:textId="77777777" w:rsidR="002F2699" w:rsidRPr="00734027" w:rsidRDefault="002F2699"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Renal impairment </w:t>
      </w:r>
    </w:p>
    <w:p w14:paraId="427C4AEE" w14:textId="77777777" w:rsidR="002F2699" w:rsidRPr="00E957E3" w:rsidRDefault="002F2699" w:rsidP="002F2699">
      <w:r w:rsidRPr="00E957E3">
        <w:t>The pharmacokinetics of brigatinib is similar in patients with normal renal function and in patients with mild or moderate renal impairment (eGFR ≥ 30 mL/min/1.73 m</w:t>
      </w:r>
      <w:r w:rsidRPr="00E957E3">
        <w:rPr>
          <w:vertAlign w:val="superscript"/>
        </w:rPr>
        <w:t>2</w:t>
      </w:r>
      <w:r w:rsidRPr="00E957E3">
        <w:t>) based on the results of population pharmacokinetic analyses. In a pharmacokinetic study, unbound AUC</w:t>
      </w:r>
      <w:r w:rsidRPr="00E957E3">
        <w:rPr>
          <w:vertAlign w:val="subscript"/>
        </w:rPr>
        <w:t xml:space="preserve">0-INF </w:t>
      </w:r>
      <w:r w:rsidRPr="00E957E3">
        <w:t>was 92% higher in patients with severe renal impairment (eGFR &lt; 30 mL/min/1.73 m</w:t>
      </w:r>
      <w:r w:rsidRPr="00E957E3">
        <w:rPr>
          <w:vertAlign w:val="superscript"/>
        </w:rPr>
        <w:t>2</w:t>
      </w:r>
      <w:r w:rsidRPr="00E957E3">
        <w:t>, N=8) as compared to patients with normal renal function (eGFR ≥ 90 mL/min/1.73 m</w:t>
      </w:r>
      <w:r w:rsidRPr="00E957E3">
        <w:rPr>
          <w:vertAlign w:val="superscript"/>
        </w:rPr>
        <w:t>2</w:t>
      </w:r>
      <w:r w:rsidRPr="00E957E3">
        <w:t>, N=8) (see section 4.2</w:t>
      </w:r>
      <w:r w:rsidR="00F90887">
        <w:t xml:space="preserve"> Dose and Method of Administration</w:t>
      </w:r>
      <w:r w:rsidRPr="00E957E3">
        <w:t>).</w:t>
      </w:r>
    </w:p>
    <w:p w14:paraId="427C4AEF" w14:textId="77777777" w:rsidR="003649DE" w:rsidRPr="00734027" w:rsidRDefault="00567CC5" w:rsidP="00734027">
      <w:pPr>
        <w:pStyle w:val="Heading3"/>
        <w:keepNext/>
        <w:keepLines/>
        <w:rPr>
          <w:rFonts w:eastAsiaTheme="majorEastAsia"/>
          <w:b/>
          <w:bCs/>
          <w:smallCaps w:val="0"/>
          <w:sz w:val="22"/>
          <w:u w:val="none"/>
        </w:rPr>
      </w:pPr>
      <w:r w:rsidRPr="00734027">
        <w:rPr>
          <w:rFonts w:eastAsiaTheme="majorEastAsia"/>
          <w:b/>
          <w:bCs/>
          <w:smallCaps w:val="0"/>
          <w:sz w:val="22"/>
          <w:u w:val="none"/>
        </w:rPr>
        <w:t>H</w:t>
      </w:r>
      <w:r w:rsidR="003649DE" w:rsidRPr="00734027">
        <w:rPr>
          <w:rFonts w:eastAsiaTheme="majorEastAsia"/>
          <w:b/>
          <w:bCs/>
          <w:smallCaps w:val="0"/>
          <w:sz w:val="22"/>
          <w:u w:val="none"/>
        </w:rPr>
        <w:t xml:space="preserve">epatic impairment </w:t>
      </w:r>
    </w:p>
    <w:p w14:paraId="427C4AF0" w14:textId="14607196" w:rsidR="003649DE" w:rsidRPr="00E957E3" w:rsidRDefault="003649DE" w:rsidP="003649DE">
      <w:r w:rsidRPr="00E957E3">
        <w:t>The pharmacokinetics of brigatinib was characteri</w:t>
      </w:r>
      <w:r w:rsidR="004616E3">
        <w:t>s</w:t>
      </w:r>
      <w:r w:rsidRPr="00E957E3">
        <w:t>ed in patients with normal hepatic function (N=9), mild hepatic impairment (Child-Pugh class A, N=6), moderate hepatic impairment (Child</w:t>
      </w:r>
      <w:r w:rsidR="007C1D94">
        <w:noBreakHyphen/>
      </w:r>
      <w:r w:rsidRPr="00E957E3">
        <w:t xml:space="preserve">Pugh class B, N=6), or severe hepatic impairment (Child-Pugh class C, N=6). The pharmacokinetics of brigatinib </w:t>
      </w:r>
      <w:r w:rsidR="004616E3" w:rsidRPr="00E957E3">
        <w:t>w</w:t>
      </w:r>
      <w:r w:rsidR="004616E3">
        <w:t>ere</w:t>
      </w:r>
      <w:r w:rsidR="004616E3" w:rsidRPr="00E957E3">
        <w:t xml:space="preserve"> </w:t>
      </w:r>
      <w:r w:rsidRPr="00E957E3">
        <w:t>similar between patients with normal hepatic function and patients with mild (Child-Pugh class A) or moderate (Child-Pugh class B) hepatic impairment. Unbound AUC</w:t>
      </w:r>
      <w:r w:rsidRPr="00E957E3">
        <w:rPr>
          <w:vertAlign w:val="subscript"/>
        </w:rPr>
        <w:t>0-INF</w:t>
      </w:r>
      <w:r w:rsidRPr="00E957E3">
        <w:t xml:space="preserve"> was 37% higher in patients with severe hepatic impairment (Child-Pugh class C) as compared to patients with normal hepatic function (see section 4.2</w:t>
      </w:r>
      <w:r w:rsidR="00F90887" w:rsidRPr="00F90887">
        <w:t xml:space="preserve"> </w:t>
      </w:r>
      <w:r w:rsidR="00F90887">
        <w:t>Dose and Method of Administration</w:t>
      </w:r>
      <w:r w:rsidRPr="00E957E3">
        <w:t>).</w:t>
      </w:r>
    </w:p>
    <w:p w14:paraId="427C4AF1" w14:textId="77777777" w:rsidR="003649DE" w:rsidRPr="00734027" w:rsidRDefault="003649DE" w:rsidP="00734027">
      <w:pPr>
        <w:pStyle w:val="Heading3"/>
        <w:keepNext/>
        <w:keepLines/>
        <w:rPr>
          <w:rFonts w:eastAsiaTheme="majorEastAsia"/>
          <w:b/>
          <w:bCs/>
          <w:smallCaps w:val="0"/>
          <w:sz w:val="22"/>
          <w:u w:val="none"/>
        </w:rPr>
      </w:pPr>
      <w:r w:rsidRPr="00734027">
        <w:rPr>
          <w:rFonts w:eastAsiaTheme="majorEastAsia"/>
          <w:b/>
          <w:bCs/>
          <w:smallCaps w:val="0"/>
          <w:sz w:val="22"/>
          <w:u w:val="none"/>
        </w:rPr>
        <w:t>Age, Gender, Race</w:t>
      </w:r>
    </w:p>
    <w:p w14:paraId="427C4AF2" w14:textId="77777777" w:rsidR="003649DE" w:rsidRPr="00E957E3" w:rsidRDefault="003649DE" w:rsidP="00250147">
      <w:r w:rsidRPr="00E957E3">
        <w:t>Population pharmacokinetic analyses showed that age, gender or race had no clinically meaningful effect on the pharmacokinetics of brigatinib.</w:t>
      </w:r>
    </w:p>
    <w:p w14:paraId="427C4AF3" w14:textId="77777777" w:rsidR="007E4EF4" w:rsidRPr="00E957E3" w:rsidRDefault="007E4EF4" w:rsidP="001A0D3C">
      <w:pPr>
        <w:pStyle w:val="Heading2"/>
      </w:pPr>
      <w:r w:rsidRPr="00E957E3">
        <w:lastRenderedPageBreak/>
        <w:t>PRECLINICAL</w:t>
      </w:r>
      <w:r w:rsidR="006167EF">
        <w:t xml:space="preserve"> </w:t>
      </w:r>
      <w:r w:rsidRPr="00E957E3">
        <w:t xml:space="preserve">SAFETY DATA </w:t>
      </w:r>
    </w:p>
    <w:p w14:paraId="427C4AF4" w14:textId="77777777" w:rsidR="007E4EF4" w:rsidRPr="00734027" w:rsidRDefault="007E4EF4"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Genotoxicity </w:t>
      </w:r>
    </w:p>
    <w:p w14:paraId="427C4AF5" w14:textId="7382922B" w:rsidR="00223ACB" w:rsidRDefault="0004385D" w:rsidP="00A46689">
      <w:r w:rsidRPr="00E957E3">
        <w:t xml:space="preserve">Brigatinib was not mutagenic </w:t>
      </w:r>
      <w:r w:rsidRPr="00D43BA5">
        <w:rPr>
          <w:i/>
        </w:rPr>
        <w:t>in vitro</w:t>
      </w:r>
      <w:r w:rsidRPr="00E957E3">
        <w:t xml:space="preserve"> in the bacterial reverse mutation (Ames) or the mammalian cell chromosomal aberration assays, but slightly increased the number of micronuclei in a rat bone marrow micronucleus test</w:t>
      </w:r>
      <w:r w:rsidR="00A46689">
        <w:t xml:space="preserve"> and induced polyploidy, endoreduplication and centromeric disruption in human lymphocytes </w:t>
      </w:r>
      <w:r w:rsidR="00A46689" w:rsidRPr="00A46689">
        <w:rPr>
          <w:i/>
        </w:rPr>
        <w:t>in vitro</w:t>
      </w:r>
      <w:r w:rsidRPr="00E957E3">
        <w:t xml:space="preserve">. The mechanism of micronucleus induction was </w:t>
      </w:r>
      <w:r w:rsidR="00EF447F">
        <w:t xml:space="preserve">probably </w:t>
      </w:r>
      <w:r w:rsidRPr="00E957E3">
        <w:t>abnormal chromosome segregation (</w:t>
      </w:r>
      <w:proofErr w:type="spellStart"/>
      <w:r w:rsidRPr="00E957E3">
        <w:t>aneugenicity</w:t>
      </w:r>
      <w:proofErr w:type="spellEnd"/>
      <w:r w:rsidRPr="00E957E3">
        <w:t>)</w:t>
      </w:r>
      <w:r w:rsidR="00B83B53">
        <w:t xml:space="preserve"> </w:t>
      </w:r>
      <w:r w:rsidR="00B83B53">
        <w:rPr>
          <w:shd w:val="clear" w:color="auto" w:fill="FFFFFF"/>
        </w:rPr>
        <w:t xml:space="preserve">and not a </w:t>
      </w:r>
      <w:proofErr w:type="spellStart"/>
      <w:r w:rsidR="00B83B53">
        <w:rPr>
          <w:shd w:val="clear" w:color="auto" w:fill="FFFFFF"/>
        </w:rPr>
        <w:t>clastogenic</w:t>
      </w:r>
      <w:proofErr w:type="spellEnd"/>
      <w:r w:rsidR="00B83B53">
        <w:rPr>
          <w:shd w:val="clear" w:color="auto" w:fill="FFFFFF"/>
        </w:rPr>
        <w:t xml:space="preserve"> effect on chromosomes. Brigatinib potentially induces numerical chromosomal aberrations </w:t>
      </w:r>
      <w:r w:rsidR="00B83B53">
        <w:rPr>
          <w:i/>
          <w:iCs/>
          <w:shd w:val="clear" w:color="auto" w:fill="FFFFFF"/>
        </w:rPr>
        <w:t xml:space="preserve">in vivo. </w:t>
      </w:r>
    </w:p>
    <w:p w14:paraId="427C4AF6" w14:textId="77777777" w:rsidR="007E4EF4" w:rsidRPr="00734027" w:rsidRDefault="007E4EF4"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Carcinogenicity </w:t>
      </w:r>
    </w:p>
    <w:p w14:paraId="427C4AF9" w14:textId="10AF4077" w:rsidR="001162B8" w:rsidRPr="00E957E3" w:rsidRDefault="0004385D" w:rsidP="00223ACB">
      <w:r w:rsidRPr="00E957E3">
        <w:t>Carcinogenicity studies have not been performed with brigatinib.</w:t>
      </w:r>
    </w:p>
    <w:p w14:paraId="427C4AFA" w14:textId="77777777" w:rsidR="007E4EF4" w:rsidRPr="00E957E3" w:rsidRDefault="007E4EF4" w:rsidP="00C77D3B">
      <w:pPr>
        <w:pStyle w:val="Heading1"/>
        <w:numPr>
          <w:ilvl w:val="0"/>
          <w:numId w:val="5"/>
        </w:numPr>
        <w:tabs>
          <w:tab w:val="left" w:pos="567"/>
        </w:tabs>
        <w:ind w:left="567" w:hanging="567"/>
      </w:pPr>
      <w:r w:rsidRPr="00E957E3">
        <w:t xml:space="preserve">PHARMACEUTICAL PARTICULARS </w:t>
      </w:r>
    </w:p>
    <w:p w14:paraId="427C4AFB" w14:textId="77777777" w:rsidR="007E4EF4" w:rsidRPr="00E957E3" w:rsidRDefault="007E4EF4" w:rsidP="001A0D3C">
      <w:pPr>
        <w:pStyle w:val="Heading2"/>
      </w:pPr>
      <w:r w:rsidRPr="00E957E3">
        <w:t xml:space="preserve">LIST OF EXCIPIENTS </w:t>
      </w:r>
    </w:p>
    <w:p w14:paraId="427C4AFC" w14:textId="77777777" w:rsidR="00B13158" w:rsidRPr="00E957E3" w:rsidRDefault="00B13158" w:rsidP="00B13158">
      <w:pPr>
        <w:rPr>
          <w:highlight w:val="yellow"/>
        </w:rPr>
      </w:pPr>
      <w:r w:rsidRPr="00E957E3">
        <w:t xml:space="preserve">Lactose monohydrate, </w:t>
      </w:r>
      <w:r w:rsidR="00F90483" w:rsidRPr="00E957E3">
        <w:t>m</w:t>
      </w:r>
      <w:r w:rsidRPr="00E957E3">
        <w:t xml:space="preserve">icrocrystalline cellulose, </w:t>
      </w:r>
      <w:r w:rsidR="00F90483" w:rsidRPr="00E957E3">
        <w:t>s</w:t>
      </w:r>
      <w:r w:rsidRPr="00E957E3">
        <w:t>odium starch glycol</w:t>
      </w:r>
      <w:r w:rsidR="00F90483" w:rsidRPr="00E957E3">
        <w:t>l</w:t>
      </w:r>
      <w:r w:rsidRPr="00E957E3">
        <w:t xml:space="preserve">ate </w:t>
      </w:r>
      <w:r w:rsidR="001162B8" w:rsidRPr="00E957E3">
        <w:t>type A</w:t>
      </w:r>
      <w:r w:rsidRPr="00E957E3">
        <w:t xml:space="preserve">, </w:t>
      </w:r>
      <w:r w:rsidR="00F90483" w:rsidRPr="00E957E3">
        <w:t>hydrophobic colloidal silica anhydrous</w:t>
      </w:r>
      <w:r w:rsidRPr="00E957E3">
        <w:t xml:space="preserve">, </w:t>
      </w:r>
      <w:r w:rsidR="00F90483" w:rsidRPr="00E957E3">
        <w:t>m</w:t>
      </w:r>
      <w:r w:rsidRPr="00E957E3">
        <w:t xml:space="preserve">agnesium stearate, </w:t>
      </w:r>
      <w:r w:rsidR="00F90483" w:rsidRPr="00E957E3">
        <w:t>OPADRY II White (PI 11376).</w:t>
      </w:r>
    </w:p>
    <w:p w14:paraId="427C4AFD" w14:textId="77777777" w:rsidR="007E4EF4" w:rsidRPr="00E957E3" w:rsidRDefault="007E4EF4" w:rsidP="001A0D3C">
      <w:pPr>
        <w:pStyle w:val="Heading2"/>
      </w:pPr>
      <w:r w:rsidRPr="00E957E3">
        <w:t xml:space="preserve">INCOMPATIBILITIES </w:t>
      </w:r>
    </w:p>
    <w:p w14:paraId="427C4AFE" w14:textId="77777777" w:rsidR="007E4EF4" w:rsidRPr="00E957E3" w:rsidRDefault="00B13158" w:rsidP="00D52976">
      <w:r w:rsidRPr="00E957E3">
        <w:t>Not App</w:t>
      </w:r>
      <w:r w:rsidR="00D52976" w:rsidRPr="00E957E3">
        <w:t>licable.</w:t>
      </w:r>
      <w:r w:rsidR="007E4EF4" w:rsidRPr="00E957E3">
        <w:t xml:space="preserve"> </w:t>
      </w:r>
    </w:p>
    <w:p w14:paraId="427C4AFF" w14:textId="77777777" w:rsidR="00223ACB" w:rsidRPr="00E957E3" w:rsidRDefault="007E4EF4" w:rsidP="001A0D3C">
      <w:pPr>
        <w:pStyle w:val="Heading2"/>
      </w:pPr>
      <w:r w:rsidRPr="00E957E3">
        <w:t xml:space="preserve">SHELF LIFE </w:t>
      </w:r>
    </w:p>
    <w:p w14:paraId="427C4B00" w14:textId="77777777" w:rsidR="00223ACB" w:rsidRPr="00E957E3" w:rsidRDefault="007E4EF4" w:rsidP="007E4EF4">
      <w:r w:rsidRPr="00E957E3">
        <w:t>In Australia, information on the shelf life can be found on the public summary of the Australian Register of Therapeutic Goods (ARTG). The expiry date can be found on the packaging.</w:t>
      </w:r>
    </w:p>
    <w:p w14:paraId="427C4B01" w14:textId="77777777" w:rsidR="00223ACB" w:rsidRPr="00E957E3" w:rsidRDefault="007E4EF4" w:rsidP="001A0D3C">
      <w:pPr>
        <w:pStyle w:val="Heading2"/>
      </w:pPr>
      <w:r w:rsidRPr="00E957E3">
        <w:t xml:space="preserve">SPECIAL PRECAUTIONS FOR STORAGE </w:t>
      </w:r>
    </w:p>
    <w:p w14:paraId="427C4B02" w14:textId="77777777" w:rsidR="00223ACB" w:rsidRPr="00E957E3" w:rsidRDefault="00D52976" w:rsidP="007E4EF4">
      <w:r w:rsidRPr="00E957E3">
        <w:t>Store below 30</w:t>
      </w:r>
      <w:r w:rsidRPr="00E957E3">
        <w:rPr>
          <w:rFonts w:cs="Arial"/>
        </w:rPr>
        <w:t>°</w:t>
      </w:r>
      <w:r w:rsidRPr="00E957E3">
        <w:t>C.</w:t>
      </w:r>
    </w:p>
    <w:p w14:paraId="427C4B03" w14:textId="77777777" w:rsidR="00223ACB" w:rsidRPr="00E957E3" w:rsidRDefault="007E4EF4" w:rsidP="001A0D3C">
      <w:pPr>
        <w:pStyle w:val="Heading2"/>
      </w:pPr>
      <w:r w:rsidRPr="00E957E3">
        <w:t xml:space="preserve">NATURE AND CONTENTS OF CONTAINER </w:t>
      </w:r>
    </w:p>
    <w:p w14:paraId="427C4B04" w14:textId="77777777" w:rsidR="00D52976" w:rsidRPr="00E957E3" w:rsidRDefault="00D52976" w:rsidP="005F636F">
      <w:pPr>
        <w:spacing w:after="120"/>
        <w:rPr>
          <w:u w:val="single"/>
        </w:rPr>
      </w:pPr>
      <w:r w:rsidRPr="00E957E3">
        <w:rPr>
          <w:u w:val="single"/>
        </w:rPr>
        <w:t>ALUNBRIG 30 mg film-coated tablets</w:t>
      </w:r>
    </w:p>
    <w:p w14:paraId="427C4B05" w14:textId="77777777" w:rsidR="00F90483" w:rsidRPr="00E957E3" w:rsidRDefault="00621344" w:rsidP="005F636F">
      <w:pPr>
        <w:spacing w:after="120"/>
      </w:pPr>
      <w:r>
        <w:t>PCTFE (</w:t>
      </w:r>
      <w:r w:rsidR="00F90483" w:rsidRPr="00E957E3">
        <w:t>Aclar</w:t>
      </w:r>
      <w:r>
        <w:t>)</w:t>
      </w:r>
      <w:r w:rsidR="00D31601" w:rsidRPr="00E957E3">
        <w:t>/Aluminium blister</w:t>
      </w:r>
      <w:r w:rsidR="00F90483" w:rsidRPr="00E957E3">
        <w:t xml:space="preserve"> in a </w:t>
      </w:r>
      <w:r w:rsidR="00D31601" w:rsidRPr="00E957E3">
        <w:t xml:space="preserve">pack size of </w:t>
      </w:r>
      <w:r w:rsidR="00491C95" w:rsidRPr="00E957E3">
        <w:t xml:space="preserve">28 </w:t>
      </w:r>
      <w:r w:rsidR="00F90483" w:rsidRPr="00E957E3">
        <w:t>film-coated tablets.</w:t>
      </w:r>
    </w:p>
    <w:p w14:paraId="427C4B06" w14:textId="752F322F" w:rsidR="00D52976" w:rsidRPr="00E957E3" w:rsidRDefault="00D52976" w:rsidP="00D52976">
      <w:r w:rsidRPr="00E957E3">
        <w:t>High density polyethylene (HDPE) bottles</w:t>
      </w:r>
      <w:r w:rsidR="00B54751">
        <w:t xml:space="preserve"> </w:t>
      </w:r>
      <w:r w:rsidR="00E33B9E" w:rsidRPr="00B54751">
        <w:t>with a polypropylene (PP) child resistant closure</w:t>
      </w:r>
      <w:r w:rsidR="006810B4" w:rsidRPr="00B54751">
        <w:t xml:space="preserve">, </w:t>
      </w:r>
      <w:r w:rsidR="006810B4" w:rsidRPr="00E957E3">
        <w:t>containing</w:t>
      </w:r>
      <w:r w:rsidRPr="00E957E3">
        <w:t xml:space="preserve"> </w:t>
      </w:r>
      <w:r w:rsidR="008C2F0A" w:rsidRPr="00E957E3">
        <w:t xml:space="preserve">30 </w:t>
      </w:r>
      <w:r w:rsidRPr="00E957E3">
        <w:t>film-coated tablets</w:t>
      </w:r>
      <w:r w:rsidR="0010746D">
        <w:t>,</w:t>
      </w:r>
      <w:r w:rsidR="0010746D" w:rsidRPr="0010746D">
        <w:t xml:space="preserve"> </w:t>
      </w:r>
      <w:r w:rsidR="00E33B9E">
        <w:t>and includes a</w:t>
      </w:r>
      <w:r w:rsidR="00E33B9E" w:rsidRPr="0010746D">
        <w:t xml:space="preserve"> </w:t>
      </w:r>
      <w:r w:rsidR="00E33B9E">
        <w:t xml:space="preserve">desiccant </w:t>
      </w:r>
      <w:r w:rsidR="00E33B9E" w:rsidRPr="0010746D">
        <w:t>canister.</w:t>
      </w:r>
    </w:p>
    <w:p w14:paraId="427C4B07" w14:textId="77777777" w:rsidR="00D52976" w:rsidRPr="00E957E3" w:rsidRDefault="00D52976" w:rsidP="005F636F">
      <w:pPr>
        <w:spacing w:after="120"/>
        <w:rPr>
          <w:u w:val="single"/>
        </w:rPr>
      </w:pPr>
      <w:r w:rsidRPr="00E957E3">
        <w:rPr>
          <w:u w:val="single"/>
        </w:rPr>
        <w:t>ALUNBRIG 90 mg film-coated tablets</w:t>
      </w:r>
    </w:p>
    <w:p w14:paraId="427C4B08" w14:textId="77777777" w:rsidR="00F90483" w:rsidRPr="00E957E3" w:rsidRDefault="00621344" w:rsidP="005F636F">
      <w:pPr>
        <w:spacing w:after="120"/>
      </w:pPr>
      <w:r>
        <w:t>PCTFE (</w:t>
      </w:r>
      <w:r w:rsidR="00F90483" w:rsidRPr="00E957E3">
        <w:t>Aclar</w:t>
      </w:r>
      <w:r>
        <w:t>)</w:t>
      </w:r>
      <w:r w:rsidR="00D31601" w:rsidRPr="00E957E3">
        <w:t>/Aluminium</w:t>
      </w:r>
      <w:r w:rsidR="00F90483" w:rsidRPr="00E957E3">
        <w:t xml:space="preserve"> blister in a </w:t>
      </w:r>
      <w:r w:rsidR="00D31601" w:rsidRPr="00E957E3">
        <w:t xml:space="preserve">pack size of </w:t>
      </w:r>
      <w:r w:rsidR="00F90483" w:rsidRPr="00E957E3">
        <w:t>28 film-coated tablets.</w:t>
      </w:r>
    </w:p>
    <w:p w14:paraId="427C4B09" w14:textId="77777777" w:rsidR="00D52976" w:rsidRPr="00E957E3" w:rsidRDefault="00D52976" w:rsidP="00D52976">
      <w:r w:rsidRPr="00E957E3">
        <w:t xml:space="preserve">High density polyethylene (HDPE) bottles </w:t>
      </w:r>
      <w:r w:rsidR="00E33B9E" w:rsidRPr="00B54751">
        <w:t xml:space="preserve">with a polypropylene (PP) child resistant closure, </w:t>
      </w:r>
      <w:r w:rsidRPr="00E957E3">
        <w:t>containing 7 or 30 film-coated tablets</w:t>
      </w:r>
      <w:r w:rsidR="0010746D">
        <w:t>,</w:t>
      </w:r>
      <w:r w:rsidR="00E33B9E" w:rsidRPr="0010746D">
        <w:t xml:space="preserve"> </w:t>
      </w:r>
      <w:r w:rsidR="00E33B9E" w:rsidRPr="00945C7D">
        <w:t xml:space="preserve">and includes a </w:t>
      </w:r>
      <w:r w:rsidR="00E33B9E" w:rsidRPr="00B54751">
        <w:t>desiccant canister</w:t>
      </w:r>
      <w:r w:rsidR="00E33B9E" w:rsidRPr="0010746D">
        <w:t>.</w:t>
      </w:r>
    </w:p>
    <w:p w14:paraId="427C4B0A" w14:textId="77777777" w:rsidR="00D52976" w:rsidRPr="00E957E3" w:rsidRDefault="00D52976" w:rsidP="005F636F">
      <w:pPr>
        <w:spacing w:after="120"/>
        <w:rPr>
          <w:u w:val="single"/>
        </w:rPr>
      </w:pPr>
      <w:r w:rsidRPr="00E957E3">
        <w:rPr>
          <w:u w:val="single"/>
        </w:rPr>
        <w:t>ALUNBRIG 180 mg film-coated tablets</w:t>
      </w:r>
    </w:p>
    <w:p w14:paraId="427C4B0B" w14:textId="77777777" w:rsidR="00F90483" w:rsidRPr="00E957E3" w:rsidRDefault="00621344" w:rsidP="005F636F">
      <w:pPr>
        <w:spacing w:after="120"/>
      </w:pPr>
      <w:r>
        <w:t>PCTFE (</w:t>
      </w:r>
      <w:r w:rsidR="00F90483" w:rsidRPr="00E957E3">
        <w:t>Aclar</w:t>
      </w:r>
      <w:r>
        <w:t>)</w:t>
      </w:r>
      <w:r w:rsidR="00D31601" w:rsidRPr="00E957E3">
        <w:t>/</w:t>
      </w:r>
      <w:r w:rsidR="008C2F0A" w:rsidRPr="00E957E3">
        <w:t>Aluminium</w:t>
      </w:r>
      <w:r w:rsidR="00F90483" w:rsidRPr="00E957E3">
        <w:t xml:space="preserve"> blister in a </w:t>
      </w:r>
      <w:r w:rsidR="00D31601" w:rsidRPr="00E957E3">
        <w:t xml:space="preserve">pack size of </w:t>
      </w:r>
      <w:r w:rsidR="00F90483" w:rsidRPr="00E957E3">
        <w:t>28 film-coated tablets.</w:t>
      </w:r>
    </w:p>
    <w:p w14:paraId="427C4B0C" w14:textId="77777777" w:rsidR="00D52976" w:rsidRPr="00E957E3" w:rsidRDefault="00D52976" w:rsidP="00D52976">
      <w:r w:rsidRPr="00E957E3">
        <w:t>High density polyethylene (HDPE) bottles</w:t>
      </w:r>
      <w:r w:rsidR="00E33B9E" w:rsidRPr="00B54751">
        <w:t xml:space="preserve"> with a polypropylene (PP) child resistant closure,</w:t>
      </w:r>
      <w:r w:rsidRPr="00E957E3">
        <w:t xml:space="preserve"> containing 30 film-coated tablets</w:t>
      </w:r>
      <w:r w:rsidR="00E33B9E">
        <w:t>,</w:t>
      </w:r>
      <w:r w:rsidR="00E33B9E" w:rsidRPr="0010746D">
        <w:t xml:space="preserve"> </w:t>
      </w:r>
      <w:r w:rsidR="00E33B9E" w:rsidRPr="00945C7D">
        <w:t xml:space="preserve">and includes a </w:t>
      </w:r>
      <w:r w:rsidR="00E33B9E" w:rsidRPr="00B54751">
        <w:t>desiccant canister</w:t>
      </w:r>
      <w:r w:rsidR="00E33B9E" w:rsidRPr="0010746D">
        <w:t>.</w:t>
      </w:r>
    </w:p>
    <w:p w14:paraId="427C4B0D" w14:textId="77777777" w:rsidR="00D52976" w:rsidRPr="00E957E3" w:rsidRDefault="00D52976" w:rsidP="00D52976">
      <w:pPr>
        <w:rPr>
          <w:u w:val="single"/>
        </w:rPr>
      </w:pPr>
      <w:r w:rsidRPr="00E957E3">
        <w:rPr>
          <w:u w:val="single"/>
        </w:rPr>
        <w:lastRenderedPageBreak/>
        <w:t>One-month initiation pack</w:t>
      </w:r>
    </w:p>
    <w:p w14:paraId="427C4B0E" w14:textId="77777777" w:rsidR="00D52976" w:rsidRPr="00E957E3" w:rsidRDefault="00621344" w:rsidP="005F636F">
      <w:pPr>
        <w:spacing w:after="120"/>
      </w:pPr>
      <w:r>
        <w:t>PCTFE (</w:t>
      </w:r>
      <w:r w:rsidR="00D52976" w:rsidRPr="00E957E3">
        <w:t>Aclar</w:t>
      </w:r>
      <w:r>
        <w:t>)</w:t>
      </w:r>
      <w:r w:rsidR="00D52976" w:rsidRPr="00E957E3">
        <w:t>/</w:t>
      </w:r>
      <w:r w:rsidR="003E4F9B" w:rsidRPr="00E957E3">
        <w:t xml:space="preserve">Aluminium </w:t>
      </w:r>
      <w:r w:rsidR="00D52976" w:rsidRPr="00E957E3">
        <w:t>foil blister strip</w:t>
      </w:r>
      <w:r w:rsidR="008B11CB" w:rsidRPr="00E957E3">
        <w:t>s</w:t>
      </w:r>
      <w:r w:rsidR="00D52976" w:rsidRPr="00E957E3">
        <w:t xml:space="preserve"> containing 7 of the 90 mg film-coated tablets (1 </w:t>
      </w:r>
      <w:r w:rsidR="005D3D8A" w:rsidRPr="00E957E3">
        <w:t xml:space="preserve">blister </w:t>
      </w:r>
      <w:r w:rsidR="00D52976" w:rsidRPr="00E957E3">
        <w:t>of 7 tablets in a carton box</w:t>
      </w:r>
      <w:r w:rsidR="008B11CB" w:rsidRPr="00E957E3">
        <w:t>)</w:t>
      </w:r>
      <w:r w:rsidR="00450AB2" w:rsidRPr="00E957E3">
        <w:t xml:space="preserve"> </w:t>
      </w:r>
      <w:r w:rsidR="00D52976" w:rsidRPr="00E957E3">
        <w:t xml:space="preserve">and 21 of the 180 mg film-coated tablets (3 </w:t>
      </w:r>
      <w:r w:rsidR="005D3D8A" w:rsidRPr="00E957E3">
        <w:t xml:space="preserve">blisters </w:t>
      </w:r>
      <w:r w:rsidR="00D52976" w:rsidRPr="00E957E3">
        <w:t>of 7 tablets in a carton box</w:t>
      </w:r>
      <w:r w:rsidR="008B11CB" w:rsidRPr="00E957E3">
        <w:t>)</w:t>
      </w:r>
      <w:r w:rsidR="00D52976" w:rsidRPr="00E957E3">
        <w:t>, co-packaged in a single</w:t>
      </w:r>
      <w:r w:rsidR="00450AB2" w:rsidRPr="00E957E3">
        <w:t xml:space="preserve"> </w:t>
      </w:r>
      <w:r w:rsidR="00D52976" w:rsidRPr="00E957E3">
        <w:t>outer carton box.</w:t>
      </w:r>
    </w:p>
    <w:p w14:paraId="427C4B0F" w14:textId="77777777" w:rsidR="00D52976" w:rsidRPr="00E957E3" w:rsidRDefault="00D52976" w:rsidP="00D52976">
      <w:pPr>
        <w:rPr>
          <w:highlight w:val="yellow"/>
        </w:rPr>
      </w:pPr>
      <w:r w:rsidRPr="00E957E3">
        <w:t>Not all presentations may be marketed.</w:t>
      </w:r>
    </w:p>
    <w:p w14:paraId="427C4B10" w14:textId="77777777" w:rsidR="00A048AF" w:rsidRPr="00E957E3" w:rsidRDefault="00A048AF" w:rsidP="001A0D3C">
      <w:pPr>
        <w:pStyle w:val="Heading2"/>
      </w:pPr>
      <w:r w:rsidRPr="00E957E3">
        <w:t xml:space="preserve">SPECIAL PRECAUTIONS FOR DISPOSAL </w:t>
      </w:r>
    </w:p>
    <w:p w14:paraId="427C4B11" w14:textId="77777777" w:rsidR="00A048AF" w:rsidRPr="00E957E3" w:rsidRDefault="00A048AF" w:rsidP="00A048AF">
      <w:r w:rsidRPr="00E957E3">
        <w:t xml:space="preserve">In Australia, any unused medicine or waste material should be disposed of by </w:t>
      </w:r>
      <w:r w:rsidR="00D52976" w:rsidRPr="00E957E3">
        <w:t>taking to your local pharmacy.</w:t>
      </w:r>
    </w:p>
    <w:p w14:paraId="427C4B12" w14:textId="77777777" w:rsidR="00A048AF" w:rsidRPr="00E957E3" w:rsidRDefault="00A048AF" w:rsidP="001A0D3C">
      <w:pPr>
        <w:pStyle w:val="Heading2"/>
      </w:pPr>
      <w:r w:rsidRPr="00E957E3">
        <w:t xml:space="preserve">PHYSICOCHEMICAL PROPERTIES </w:t>
      </w:r>
    </w:p>
    <w:p w14:paraId="427C4B13" w14:textId="77777777" w:rsidR="00A048AF" w:rsidRPr="00734027" w:rsidRDefault="00A048AF" w:rsidP="00734027">
      <w:pPr>
        <w:pStyle w:val="Heading3"/>
        <w:keepNext/>
        <w:keepLines/>
        <w:rPr>
          <w:rFonts w:eastAsiaTheme="majorEastAsia"/>
          <w:b/>
          <w:bCs/>
          <w:smallCaps w:val="0"/>
          <w:sz w:val="22"/>
          <w:u w:val="none"/>
        </w:rPr>
      </w:pPr>
      <w:r w:rsidRPr="00734027">
        <w:rPr>
          <w:rFonts w:eastAsiaTheme="majorEastAsia"/>
          <w:b/>
          <w:bCs/>
          <w:smallCaps w:val="0"/>
          <w:sz w:val="22"/>
          <w:u w:val="none"/>
        </w:rPr>
        <w:t xml:space="preserve">Chemical structure </w:t>
      </w:r>
    </w:p>
    <w:p w14:paraId="427C4B14" w14:textId="77777777" w:rsidR="00316334" w:rsidRPr="00E957E3" w:rsidRDefault="00316334" w:rsidP="00316334">
      <w:r w:rsidRPr="00E957E3">
        <w:t>The chemical name for brigatinib is 5-chloro-N</w:t>
      </w:r>
      <w:r w:rsidRPr="00E957E3">
        <w:rPr>
          <w:vertAlign w:val="superscript"/>
        </w:rPr>
        <w:t>4</w:t>
      </w:r>
      <w:r w:rsidRPr="00E957E3">
        <w:t>-[2-(dimethylphosphoryl)phenyl]-N</w:t>
      </w:r>
      <w:r w:rsidRPr="00E957E3">
        <w:rPr>
          <w:vertAlign w:val="superscript"/>
        </w:rPr>
        <w:t>2</w:t>
      </w:r>
      <w:r w:rsidRPr="00E957E3">
        <w:t>-{2-methoxy-4-[4-(4-methylpiperazin-1-yl)piperidin-1-yl]phenyl}pyrimidine-2,4-diamine. The molecular formula is C</w:t>
      </w:r>
      <w:r w:rsidRPr="00E957E3">
        <w:rPr>
          <w:vertAlign w:val="subscript"/>
        </w:rPr>
        <w:t>29</w:t>
      </w:r>
      <w:r w:rsidRPr="00E957E3">
        <w:t>H</w:t>
      </w:r>
      <w:r w:rsidRPr="00E957E3">
        <w:rPr>
          <w:vertAlign w:val="subscript"/>
        </w:rPr>
        <w:t>39</w:t>
      </w:r>
      <w:r w:rsidRPr="00E957E3">
        <w:t>ClN</w:t>
      </w:r>
      <w:r w:rsidRPr="00E957E3">
        <w:rPr>
          <w:vertAlign w:val="subscript"/>
        </w:rPr>
        <w:t>7</w:t>
      </w:r>
      <w:r w:rsidRPr="00E957E3">
        <w:t>O</w:t>
      </w:r>
      <w:r w:rsidRPr="00E957E3">
        <w:rPr>
          <w:vertAlign w:val="subscript"/>
        </w:rPr>
        <w:t>2</w:t>
      </w:r>
      <w:r w:rsidRPr="00E957E3">
        <w:t xml:space="preserve">P which corresponds to a formula weight of 584.1 g/mol. Brigatinib has no chiral </w:t>
      </w:r>
      <w:r w:rsidR="002040D0" w:rsidRPr="00E957E3">
        <w:t>centres</w:t>
      </w:r>
      <w:r w:rsidRPr="00E957E3">
        <w:t>. The chemical structure is shown below:</w:t>
      </w:r>
    </w:p>
    <w:p w14:paraId="427C4B15" w14:textId="77777777" w:rsidR="00316334" w:rsidRPr="00E957E3" w:rsidRDefault="00316334" w:rsidP="00316334">
      <w:pPr>
        <w:jc w:val="center"/>
      </w:pPr>
      <w:r w:rsidRPr="00E957E3">
        <w:rPr>
          <w:noProof/>
          <w:sz w:val="24"/>
          <w:lang w:eastAsia="en-AU"/>
        </w:rPr>
        <w:drawing>
          <wp:inline distT="0" distB="0" distL="0" distR="0" wp14:anchorId="427C4B3E" wp14:editId="427C4B3F">
            <wp:extent cx="1508760" cy="19202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760" cy="1920240"/>
                    </a:xfrm>
                    <a:prstGeom prst="rect">
                      <a:avLst/>
                    </a:prstGeom>
                    <a:noFill/>
                  </pic:spPr>
                </pic:pic>
              </a:graphicData>
            </a:graphic>
          </wp:inline>
        </w:drawing>
      </w:r>
    </w:p>
    <w:p w14:paraId="427C4B16" w14:textId="77777777" w:rsidR="00A048AF" w:rsidRPr="00E957E3" w:rsidRDefault="00316334" w:rsidP="007947DE">
      <w:r w:rsidRPr="00E957E3">
        <w:t xml:space="preserve">Brigatinib is an off-white to beige/tan solid. </w:t>
      </w:r>
      <w:r w:rsidR="00E01011">
        <w:t xml:space="preserve">It </w:t>
      </w:r>
      <w:r w:rsidR="00E01011" w:rsidRPr="006D1745">
        <w:t>is very slightly soluble in water, highly soluble from pH</w:t>
      </w:r>
      <w:r w:rsidR="00E01011">
        <w:t> </w:t>
      </w:r>
      <w:r w:rsidR="00E01011" w:rsidRPr="006D1745">
        <w:t>1.5 – 6.5, slightly soluble in ethanol and soluble in methanol.</w:t>
      </w:r>
      <w:r w:rsidR="006D1745">
        <w:t xml:space="preserve"> </w:t>
      </w:r>
      <w:r w:rsidRPr="00E957E3">
        <w:t>The pKas were determined to be: 1.73 ± 0.02 (base), 3.65 ± 0.01 (base), 4.72 ± 0.01 (base), and 8.04 ± 0.01 (base).</w:t>
      </w:r>
    </w:p>
    <w:p w14:paraId="427C4B17" w14:textId="77777777" w:rsidR="00A048AF" w:rsidRPr="000D015E" w:rsidRDefault="00A048AF" w:rsidP="000D015E">
      <w:pPr>
        <w:rPr>
          <w:b/>
        </w:rPr>
      </w:pPr>
      <w:r w:rsidRPr="000D015E">
        <w:rPr>
          <w:b/>
        </w:rPr>
        <w:t xml:space="preserve">CAS number </w:t>
      </w:r>
    </w:p>
    <w:p w14:paraId="427C4B18" w14:textId="77777777" w:rsidR="009B7209" w:rsidRPr="00E957E3" w:rsidRDefault="009B7209" w:rsidP="00A048AF">
      <w:pPr>
        <w:rPr>
          <w:highlight w:val="yellow"/>
        </w:rPr>
      </w:pPr>
      <w:r w:rsidRPr="00E957E3">
        <w:t>1197953-54-0</w:t>
      </w:r>
    </w:p>
    <w:p w14:paraId="427C4B19" w14:textId="77777777" w:rsidR="00A048AF" w:rsidRPr="00E957E3" w:rsidRDefault="00A048AF" w:rsidP="00C77D3B">
      <w:pPr>
        <w:pStyle w:val="Heading1"/>
        <w:numPr>
          <w:ilvl w:val="0"/>
          <w:numId w:val="5"/>
        </w:numPr>
        <w:tabs>
          <w:tab w:val="left" w:pos="567"/>
        </w:tabs>
        <w:ind w:left="567" w:hanging="567"/>
      </w:pPr>
      <w:r w:rsidRPr="00E957E3">
        <w:t xml:space="preserve">MEDICINE SCHEDULE (POISONS STANDARD) </w:t>
      </w:r>
    </w:p>
    <w:p w14:paraId="427C4B1A" w14:textId="77777777" w:rsidR="00A048AF" w:rsidRPr="00E957E3" w:rsidRDefault="00450AB2" w:rsidP="00A048AF">
      <w:r w:rsidRPr="00E957E3">
        <w:t>Prescription Only Medicine (Schedule 4)</w:t>
      </w:r>
      <w:r w:rsidR="00A048AF" w:rsidRPr="00E957E3">
        <w:t xml:space="preserve"> </w:t>
      </w:r>
    </w:p>
    <w:p w14:paraId="427C4B1B" w14:textId="77777777" w:rsidR="00A048AF" w:rsidRPr="00E957E3" w:rsidRDefault="00A048AF" w:rsidP="00C77D3B">
      <w:pPr>
        <w:pStyle w:val="Heading1"/>
        <w:numPr>
          <w:ilvl w:val="0"/>
          <w:numId w:val="5"/>
        </w:numPr>
        <w:tabs>
          <w:tab w:val="left" w:pos="567"/>
        </w:tabs>
        <w:ind w:left="567" w:hanging="567"/>
      </w:pPr>
      <w:r w:rsidRPr="00E957E3">
        <w:t xml:space="preserve">SPONSOR </w:t>
      </w:r>
    </w:p>
    <w:p w14:paraId="427C4B1C" w14:textId="77777777" w:rsidR="00450AB2" w:rsidRPr="00E957E3" w:rsidRDefault="00450AB2" w:rsidP="00450AB2">
      <w:pPr>
        <w:spacing w:after="0"/>
      </w:pPr>
      <w:r w:rsidRPr="00E957E3">
        <w:t>Takeda Pharmaceuticals Australia Pty Ltd</w:t>
      </w:r>
    </w:p>
    <w:p w14:paraId="427C4B1D" w14:textId="77777777" w:rsidR="00450AB2" w:rsidRPr="00E957E3" w:rsidRDefault="00450AB2" w:rsidP="00450AB2">
      <w:pPr>
        <w:spacing w:after="0"/>
      </w:pPr>
      <w:r w:rsidRPr="00E957E3">
        <w:t>Level 5</w:t>
      </w:r>
    </w:p>
    <w:p w14:paraId="427C4B1E" w14:textId="77777777" w:rsidR="00450AB2" w:rsidRPr="00E957E3" w:rsidRDefault="00450AB2" w:rsidP="00450AB2">
      <w:pPr>
        <w:spacing w:after="0"/>
      </w:pPr>
      <w:r w:rsidRPr="00E957E3">
        <w:t>2 Chifley Square</w:t>
      </w:r>
    </w:p>
    <w:p w14:paraId="427C4B1F" w14:textId="77777777" w:rsidR="007E4EF4" w:rsidRPr="00E957E3" w:rsidRDefault="00450AB2" w:rsidP="00450AB2">
      <w:pPr>
        <w:spacing w:after="0"/>
        <w:rPr>
          <w:highlight w:val="yellow"/>
        </w:rPr>
      </w:pPr>
      <w:r w:rsidRPr="00E957E3">
        <w:t>Sydney NSW 2000</w:t>
      </w:r>
    </w:p>
    <w:p w14:paraId="427C4B20" w14:textId="77777777" w:rsidR="00450AB2" w:rsidRPr="00E957E3" w:rsidRDefault="00450AB2" w:rsidP="00450AB2">
      <w:pPr>
        <w:spacing w:after="0"/>
      </w:pPr>
      <w:r w:rsidRPr="00E957E3">
        <w:lastRenderedPageBreak/>
        <w:t xml:space="preserve">Ph: 1800 </w:t>
      </w:r>
      <w:r w:rsidR="005B5E58" w:rsidRPr="00E957E3">
        <w:t>675 957</w:t>
      </w:r>
    </w:p>
    <w:p w14:paraId="427C4B21" w14:textId="77777777" w:rsidR="009A7D32" w:rsidRPr="00E957E3" w:rsidRDefault="009A7D32" w:rsidP="00C77D3B">
      <w:pPr>
        <w:pStyle w:val="Heading1"/>
        <w:numPr>
          <w:ilvl w:val="0"/>
          <w:numId w:val="5"/>
        </w:numPr>
        <w:tabs>
          <w:tab w:val="left" w:pos="567"/>
        </w:tabs>
        <w:ind w:left="567" w:hanging="567"/>
      </w:pPr>
      <w:r w:rsidRPr="00E957E3">
        <w:t xml:space="preserve">DATE OF FIRST APPROVAL </w:t>
      </w:r>
    </w:p>
    <w:p w14:paraId="76D02381" w14:textId="77777777" w:rsidR="00E843EC" w:rsidRDefault="002C7DC2" w:rsidP="00E843EC">
      <w:r>
        <w:t>6</w:t>
      </w:r>
      <w:r w:rsidRPr="002C7DC2">
        <w:rPr>
          <w:vertAlign w:val="superscript"/>
        </w:rPr>
        <w:t>th</w:t>
      </w:r>
      <w:r>
        <w:t xml:space="preserve"> March 2019 </w:t>
      </w:r>
      <w:bookmarkStart w:id="11" w:name="_GoBack"/>
      <w:bookmarkEnd w:id="11"/>
    </w:p>
    <w:p w14:paraId="427C4B23" w14:textId="29EF0F24" w:rsidR="009A7D32" w:rsidRPr="00E957E3" w:rsidRDefault="009A7D32" w:rsidP="00C77D3B">
      <w:pPr>
        <w:pStyle w:val="Heading1"/>
        <w:numPr>
          <w:ilvl w:val="0"/>
          <w:numId w:val="5"/>
        </w:numPr>
        <w:tabs>
          <w:tab w:val="left" w:pos="567"/>
        </w:tabs>
        <w:ind w:left="567" w:hanging="567"/>
      </w:pPr>
      <w:r w:rsidRPr="00E957E3">
        <w:t xml:space="preserve">DATE OF REVISION </w:t>
      </w:r>
    </w:p>
    <w:p w14:paraId="427C4B24" w14:textId="51E56209" w:rsidR="009A7D32" w:rsidRPr="000D6F60" w:rsidRDefault="00DA0A73" w:rsidP="009A7D32">
      <w:r>
        <w:t>Not Applicable</w:t>
      </w:r>
    </w:p>
    <w:p w14:paraId="427C4B25" w14:textId="77777777" w:rsidR="000D6F60" w:rsidRDefault="000D6F60" w:rsidP="000D6F60">
      <w:pPr>
        <w:pStyle w:val="Heading2"/>
        <w:numPr>
          <w:ilvl w:val="0"/>
          <w:numId w:val="0"/>
        </w:numPr>
        <w:rPr>
          <w:lang w:val="en-US"/>
        </w:rPr>
      </w:pPr>
      <w:r>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84"/>
        <w:gridCol w:w="7858"/>
      </w:tblGrid>
      <w:tr w:rsidR="000D6F60" w14:paraId="427C4B28" w14:textId="77777777" w:rsidTr="000D6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hideMark/>
          </w:tcPr>
          <w:p w14:paraId="427C4B26" w14:textId="77777777" w:rsidR="000D6F60" w:rsidRDefault="000D6F60">
            <w:pPr>
              <w:spacing w:after="0"/>
              <w:rPr>
                <w:sz w:val="20"/>
                <w:lang w:val="en-US"/>
              </w:rPr>
            </w:pPr>
            <w:r>
              <w:rPr>
                <w:sz w:val="20"/>
                <w:lang w:val="en-US"/>
              </w:rPr>
              <w:t>Section Changed</w:t>
            </w:r>
          </w:p>
        </w:tc>
        <w:tc>
          <w:tcPr>
            <w:tcW w:w="7858" w:type="dxa"/>
            <w:shd w:val="clear" w:color="auto" w:fill="F2F2F2" w:themeFill="background1" w:themeFillShade="F2"/>
            <w:vAlign w:val="center"/>
            <w:hideMark/>
          </w:tcPr>
          <w:p w14:paraId="427C4B27" w14:textId="77777777" w:rsidR="000D6F60" w:rsidRDefault="000D6F60">
            <w:pPr>
              <w:spacing w:after="0"/>
              <w:cnfStyle w:val="100000000000" w:firstRow="1" w:lastRow="0" w:firstColumn="0" w:lastColumn="0" w:oddVBand="0" w:evenVBand="0" w:oddHBand="0" w:evenHBand="0" w:firstRowFirstColumn="0" w:firstRowLastColumn="0" w:lastRowFirstColumn="0" w:lastRowLastColumn="0"/>
              <w:rPr>
                <w:sz w:val="20"/>
                <w:lang w:val="en-US"/>
              </w:rPr>
            </w:pPr>
            <w:r>
              <w:rPr>
                <w:sz w:val="20"/>
                <w:lang w:val="en-US"/>
              </w:rPr>
              <w:t>Summary of new information</w:t>
            </w:r>
          </w:p>
        </w:tc>
      </w:tr>
      <w:tr w:rsidR="000D6F60" w14:paraId="427C4B2B" w14:textId="77777777" w:rsidTr="000D6F60">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C4B29" w14:textId="77777777" w:rsidR="000D6F60" w:rsidRDefault="000D6F60">
            <w:pPr>
              <w:spacing w:after="0"/>
              <w:rPr>
                <w:lang w:val="en-US"/>
              </w:rPr>
            </w:pPr>
          </w:p>
        </w:tc>
        <w:tc>
          <w:tcPr>
            <w:tcW w:w="78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C4B2A" w14:textId="77777777" w:rsidR="000D6F60" w:rsidRDefault="000D6F60">
            <w:pPr>
              <w:spacing w:after="0"/>
              <w:cnfStyle w:val="000000000000" w:firstRow="0" w:lastRow="0" w:firstColumn="0" w:lastColumn="0" w:oddVBand="0" w:evenVBand="0" w:oddHBand="0" w:evenHBand="0" w:firstRowFirstColumn="0" w:firstRowLastColumn="0" w:lastRowFirstColumn="0" w:lastRowLastColumn="0"/>
              <w:rPr>
                <w:lang w:val="en-US"/>
              </w:rPr>
            </w:pPr>
          </w:p>
        </w:tc>
      </w:tr>
      <w:tr w:rsidR="000D6F60" w14:paraId="427C4B2E" w14:textId="77777777" w:rsidTr="000D6F60">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C4B2C" w14:textId="77777777" w:rsidR="000D6F60" w:rsidRDefault="000D6F60">
            <w:pPr>
              <w:spacing w:after="0"/>
              <w:rPr>
                <w:lang w:val="en-US"/>
              </w:rPr>
            </w:pPr>
          </w:p>
        </w:tc>
        <w:tc>
          <w:tcPr>
            <w:tcW w:w="78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7C4B2D" w14:textId="77777777" w:rsidR="000D6F60" w:rsidRDefault="000D6F60">
            <w:pPr>
              <w:spacing w:after="0"/>
              <w:cnfStyle w:val="000000000000" w:firstRow="0" w:lastRow="0" w:firstColumn="0" w:lastColumn="0" w:oddVBand="0" w:evenVBand="0" w:oddHBand="0" w:evenHBand="0" w:firstRowFirstColumn="0" w:firstRowLastColumn="0" w:lastRowFirstColumn="0" w:lastRowLastColumn="0"/>
              <w:rPr>
                <w:lang w:val="en-US"/>
              </w:rPr>
            </w:pPr>
          </w:p>
        </w:tc>
      </w:tr>
    </w:tbl>
    <w:p w14:paraId="427C4B32" w14:textId="77777777" w:rsidR="000D6F60" w:rsidRPr="00E957E3" w:rsidRDefault="000D6F60" w:rsidP="009A7D32">
      <w:pPr>
        <w:rPr>
          <w:highlight w:val="yellow"/>
        </w:rPr>
      </w:pPr>
    </w:p>
    <w:sectPr w:rsidR="000D6F60" w:rsidRPr="00E957E3" w:rsidSect="000D6F60">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33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A2C7F" w16cid:durableId="1FB844CF"/>
  <w16cid:commentId w16cid:paraId="427C4B42" w16cid:durableId="1FB3E575"/>
  <w16cid:commentId w16cid:paraId="4E015871" w16cid:durableId="1FB8450E"/>
  <w16cid:commentId w16cid:paraId="5156D62D" w16cid:durableId="1FB84547"/>
  <w16cid:commentId w16cid:paraId="674268BD" w16cid:durableId="1FB3E578"/>
  <w16cid:commentId w16cid:paraId="0054BB2F" w16cid:durableId="1FB84575"/>
  <w16cid:commentId w16cid:paraId="427C4B4B" w16cid:durableId="1FB3E579"/>
  <w16cid:commentId w16cid:paraId="6A0ED138" w16cid:durableId="1FB845E6"/>
  <w16cid:commentId w16cid:paraId="427C4B51" w16cid:durableId="1FB3E57B"/>
  <w16cid:commentId w16cid:paraId="3CCBD5E1" w16cid:durableId="1FB8484D"/>
  <w16cid:commentId w16cid:paraId="3F110EE6" w16cid:durableId="1FB84858"/>
  <w16cid:commentId w16cid:paraId="427C4B5A" w16cid:durableId="1FB3E57E"/>
  <w16cid:commentId w16cid:paraId="427C4B5B" w16cid:durableId="1FB3E57F"/>
  <w16cid:commentId w16cid:paraId="2864A4A5" w16cid:durableId="1FB846A7"/>
  <w16cid:commentId w16cid:paraId="427C4B5D" w16cid:durableId="1FB3E581"/>
  <w16cid:commentId w16cid:paraId="3E8B564C" w16cid:durableId="1FB846A1"/>
  <w16cid:commentId w16cid:paraId="72E5A9AA" w16cid:durableId="1FB846DF"/>
  <w16cid:commentId w16cid:paraId="427C4B62" w16cid:durableId="1FB3E584"/>
  <w16cid:commentId w16cid:paraId="427C4B63" w16cid:durableId="1FB3E585"/>
  <w16cid:commentId w16cid:paraId="1D46D316" w16cid:durableId="1FB8472E"/>
  <w16cid:commentId w16cid:paraId="427C4B67" w16cid:durableId="1FB3E587"/>
  <w16cid:commentId w16cid:paraId="4B7D0E93" w16cid:durableId="1FB8478F"/>
  <w16cid:commentId w16cid:paraId="427C4B6D" w16cid:durableId="1FB3E589"/>
  <w16cid:commentId w16cid:paraId="0D0941B1" w16cid:durableId="1FB847AB"/>
  <w16cid:commentId w16cid:paraId="427C4B6F" w16cid:durableId="1FB3E5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FAE5" w14:textId="77777777" w:rsidR="003277DB" w:rsidRDefault="003277DB">
      <w:r>
        <w:separator/>
      </w:r>
    </w:p>
    <w:p w14:paraId="552B20EC" w14:textId="77777777" w:rsidR="003277DB" w:rsidRDefault="003277DB"/>
  </w:endnote>
  <w:endnote w:type="continuationSeparator" w:id="0">
    <w:p w14:paraId="381C41C9" w14:textId="77777777" w:rsidR="003277DB" w:rsidRDefault="003277DB">
      <w:r>
        <w:continuationSeparator/>
      </w:r>
    </w:p>
    <w:p w14:paraId="2F147DE2" w14:textId="77777777" w:rsidR="003277DB" w:rsidRDefault="00327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7770E" w14:textId="77777777" w:rsidR="004C61CD" w:rsidRDefault="004C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3289"/>
      <w:gridCol w:w="3286"/>
      <w:gridCol w:w="3279"/>
    </w:tblGrid>
    <w:tr w:rsidR="00EF447F" w14:paraId="427C4B77" w14:textId="77777777">
      <w:tc>
        <w:tcPr>
          <w:tcW w:w="3382" w:type="dxa"/>
        </w:tcPr>
        <w:p w14:paraId="427C4B74" w14:textId="26E195AD" w:rsidR="00EF447F" w:rsidRPr="009E0EB5" w:rsidRDefault="00EF447F" w:rsidP="00992183">
          <w:pPr>
            <w:pStyle w:val="Footer"/>
            <w:tabs>
              <w:tab w:val="right" w:pos="-1843"/>
              <w:tab w:val="center" w:pos="4962"/>
              <w:tab w:val="right" w:pos="9923"/>
              <w:tab w:val="right" w:pos="10632"/>
            </w:tabs>
            <w:jc w:val="left"/>
            <w:rPr>
              <w:rStyle w:val="PageNumber"/>
              <w:bCs/>
              <w:i/>
              <w:iCs/>
              <w:sz w:val="16"/>
            </w:rPr>
          </w:pPr>
          <w:r w:rsidRPr="009E0EB5">
            <w:rPr>
              <w:bCs/>
              <w:i/>
              <w:iCs/>
            </w:rPr>
            <w:t xml:space="preserve">Alunbrig PI </w:t>
          </w:r>
        </w:p>
      </w:tc>
      <w:tc>
        <w:tcPr>
          <w:tcW w:w="3382" w:type="dxa"/>
        </w:tcPr>
        <w:p w14:paraId="427C4B75" w14:textId="76C5883C" w:rsidR="00EF447F" w:rsidRPr="009E0EB5" w:rsidRDefault="00EF447F" w:rsidP="006E2236">
          <w:pPr>
            <w:pStyle w:val="Footer"/>
            <w:tabs>
              <w:tab w:val="right" w:pos="-1843"/>
              <w:tab w:val="center" w:pos="4962"/>
              <w:tab w:val="right" w:pos="9923"/>
              <w:tab w:val="right" w:pos="10632"/>
            </w:tabs>
            <w:jc w:val="center"/>
            <w:rPr>
              <w:rStyle w:val="PageNumber"/>
              <w:bCs/>
              <w:i/>
              <w:iCs/>
            </w:rPr>
          </w:pPr>
          <w:r w:rsidRPr="009E0EB5">
            <w:rPr>
              <w:rStyle w:val="PageNumber"/>
              <w:bCs/>
              <w:i/>
              <w:iCs/>
            </w:rPr>
            <w:t xml:space="preserve">Version </w:t>
          </w:r>
          <w:r w:rsidR="002C7DC2">
            <w:rPr>
              <w:rStyle w:val="PageNumber"/>
              <w:bCs/>
              <w:i/>
              <w:iCs/>
            </w:rPr>
            <w:t>1.0</w:t>
          </w:r>
        </w:p>
      </w:tc>
      <w:tc>
        <w:tcPr>
          <w:tcW w:w="3382" w:type="dxa"/>
        </w:tcPr>
        <w:p w14:paraId="427C4B76" w14:textId="1444FA91" w:rsidR="00EF447F" w:rsidRPr="009E0EB5" w:rsidRDefault="00EF447F">
          <w:pPr>
            <w:pStyle w:val="Footer"/>
            <w:tabs>
              <w:tab w:val="right" w:pos="-1843"/>
              <w:tab w:val="center" w:pos="4962"/>
              <w:tab w:val="right" w:pos="9923"/>
              <w:tab w:val="right" w:pos="10632"/>
            </w:tabs>
            <w:jc w:val="right"/>
            <w:rPr>
              <w:rStyle w:val="PageNumber"/>
              <w:bCs/>
              <w:i/>
              <w:iCs/>
            </w:rPr>
          </w:pPr>
          <w:r w:rsidRPr="009E0EB5">
            <w:rPr>
              <w:bCs/>
              <w:i/>
              <w:iCs/>
            </w:rPr>
            <w:t xml:space="preserve">Page </w:t>
          </w:r>
          <w:r w:rsidRPr="009E0EB5">
            <w:rPr>
              <w:rStyle w:val="PageNumber"/>
              <w:i/>
              <w:iCs/>
            </w:rPr>
            <w:fldChar w:fldCharType="begin"/>
          </w:r>
          <w:r w:rsidRPr="009E0EB5">
            <w:rPr>
              <w:rStyle w:val="PageNumber"/>
              <w:i/>
              <w:iCs/>
            </w:rPr>
            <w:instrText xml:space="preserve"> PAGE </w:instrText>
          </w:r>
          <w:r w:rsidRPr="009E0EB5">
            <w:rPr>
              <w:rStyle w:val="PageNumber"/>
              <w:i/>
              <w:iCs/>
            </w:rPr>
            <w:fldChar w:fldCharType="separate"/>
          </w:r>
          <w:r w:rsidR="004C61CD">
            <w:rPr>
              <w:rStyle w:val="PageNumber"/>
              <w:i/>
              <w:iCs/>
              <w:noProof/>
            </w:rPr>
            <w:t>25</w:t>
          </w:r>
          <w:r w:rsidRPr="009E0EB5">
            <w:rPr>
              <w:rStyle w:val="PageNumber"/>
              <w:i/>
              <w:iCs/>
            </w:rPr>
            <w:fldChar w:fldCharType="end"/>
          </w:r>
          <w:r w:rsidRPr="009E0EB5">
            <w:rPr>
              <w:bCs/>
              <w:i/>
              <w:iCs/>
            </w:rPr>
            <w:t xml:space="preserve"> </w:t>
          </w:r>
        </w:p>
      </w:tc>
    </w:tr>
  </w:tbl>
  <w:p w14:paraId="427C4B78" w14:textId="77777777" w:rsidR="00EF447F" w:rsidRDefault="00EF447F">
    <w:pPr>
      <w:pStyle w:val="Footer"/>
      <w:rPr>
        <w:sz w:val="2"/>
      </w:rPr>
    </w:pPr>
  </w:p>
  <w:p w14:paraId="1F4FA934" w14:textId="77777777" w:rsidR="00EF447F" w:rsidRDefault="00EF44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B857" w14:textId="77777777" w:rsidR="004C61CD" w:rsidRDefault="004C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6B636" w14:textId="77777777" w:rsidR="003277DB" w:rsidRDefault="003277DB">
      <w:r>
        <w:separator/>
      </w:r>
    </w:p>
    <w:p w14:paraId="2F693020" w14:textId="77777777" w:rsidR="003277DB" w:rsidRDefault="003277DB"/>
  </w:footnote>
  <w:footnote w:type="continuationSeparator" w:id="0">
    <w:p w14:paraId="40F548F0" w14:textId="77777777" w:rsidR="003277DB" w:rsidRDefault="003277DB">
      <w:r>
        <w:continuationSeparator/>
      </w:r>
    </w:p>
    <w:p w14:paraId="1CFBF32F" w14:textId="77777777" w:rsidR="003277DB" w:rsidRDefault="003277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B6E7D" w14:textId="77777777" w:rsidR="004C61CD" w:rsidRDefault="004C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4C61CD" w:rsidRPr="002E7F61" w14:paraId="10136F9F" w14:textId="77777777" w:rsidTr="003F7671">
      <w:trPr>
        <w:trHeight w:val="590"/>
      </w:trPr>
      <w:tc>
        <w:tcPr>
          <w:tcW w:w="8720" w:type="dxa"/>
          <w:shd w:val="clear" w:color="auto" w:fill="E4F2E0"/>
        </w:tcPr>
        <w:p w14:paraId="60E6C4A9" w14:textId="77777777" w:rsidR="004C61CD" w:rsidRPr="002E7F61" w:rsidRDefault="004C61CD" w:rsidP="004C61CD">
          <w:pPr>
            <w:pStyle w:val="Footer"/>
            <w:rPr>
              <w:b/>
              <w:sz w:val="18"/>
              <w:szCs w:val="18"/>
            </w:rPr>
          </w:pPr>
          <w:r w:rsidRPr="002E7F61">
            <w:rPr>
              <w:b/>
              <w:sz w:val="18"/>
              <w:szCs w:val="18"/>
            </w:rPr>
            <w:t xml:space="preserve">Attachment </w:t>
          </w:r>
          <w:r w:rsidRPr="00A6128B">
            <w:rPr>
              <w:b/>
              <w:sz w:val="18"/>
              <w:szCs w:val="18"/>
            </w:rPr>
            <w:t xml:space="preserve">AusPAR - ALUNBRIG - </w:t>
          </w:r>
          <w:proofErr w:type="spellStart"/>
          <w:r w:rsidRPr="00A6128B">
            <w:rPr>
              <w:b/>
              <w:sz w:val="18"/>
              <w:szCs w:val="18"/>
            </w:rPr>
            <w:t>brigatinib</w:t>
          </w:r>
          <w:proofErr w:type="spellEnd"/>
          <w:r w:rsidRPr="00A6128B">
            <w:rPr>
              <w:b/>
              <w:sz w:val="18"/>
              <w:szCs w:val="18"/>
            </w:rPr>
            <w:t xml:space="preserve"> - Takeda Pharmaceuticals Australia Pty Ltd - PM-2018-00586-1-4</w:t>
          </w:r>
          <w:r>
            <w:rPr>
              <w:b/>
              <w:sz w:val="18"/>
              <w:szCs w:val="18"/>
            </w:rPr>
            <w:t xml:space="preserve"> </w:t>
          </w:r>
          <w:r w:rsidRPr="00A6128B">
            <w:rPr>
              <w:b/>
              <w:sz w:val="18"/>
              <w:szCs w:val="18"/>
            </w:rPr>
            <w:t>FINAL 12 March 2020</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5014BA49" w14:textId="77777777" w:rsidR="004C61CD" w:rsidRDefault="004C6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C29E" w14:textId="77777777" w:rsidR="004C61CD" w:rsidRDefault="004C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0013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F7B8E5E6"/>
    <w:lvl w:ilvl="0">
      <w:start w:val="1"/>
      <w:numFmt w:val="decimal"/>
      <w:pStyle w:val="ListNumber"/>
      <w:lvlText w:val="%1."/>
      <w:lvlJc w:val="left"/>
      <w:pPr>
        <w:tabs>
          <w:tab w:val="num" w:pos="360"/>
        </w:tabs>
        <w:ind w:left="360" w:hanging="360"/>
      </w:pPr>
      <w:rPr>
        <w:rFonts w:ascii="Arial" w:hAnsi="Arial" w:hint="default"/>
        <w:b w:val="0"/>
        <w:i w:val="0"/>
        <w:sz w:val="22"/>
      </w:rPr>
    </w:lvl>
  </w:abstractNum>
  <w:abstractNum w:abstractNumId="2" w15:restartNumberingAfterBreak="0">
    <w:nsid w:val="FFFFFF89"/>
    <w:multiLevelType w:val="singleLevel"/>
    <w:tmpl w:val="4C466B7A"/>
    <w:lvl w:ilvl="0">
      <w:start w:val="1"/>
      <w:numFmt w:val="bullet"/>
      <w:pStyle w:val="ListBullet"/>
      <w:lvlText w:val=""/>
      <w:lvlJc w:val="left"/>
      <w:pPr>
        <w:tabs>
          <w:tab w:val="num" w:pos="360"/>
        </w:tabs>
        <w:ind w:left="340" w:hanging="340"/>
      </w:pPr>
      <w:rPr>
        <w:rFonts w:ascii="Symbol" w:hAnsi="Symbol" w:hint="default"/>
      </w:rPr>
    </w:lvl>
  </w:abstractNum>
  <w:abstractNum w:abstractNumId="3" w15:restartNumberingAfterBreak="0">
    <w:nsid w:val="00BF3FBE"/>
    <w:multiLevelType w:val="multilevel"/>
    <w:tmpl w:val="B20016FE"/>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2F13B1"/>
    <w:multiLevelType w:val="hybridMultilevel"/>
    <w:tmpl w:val="59AC881C"/>
    <w:lvl w:ilvl="0" w:tplc="8280C97C">
      <w:start w:val="1"/>
      <w:numFmt w:val="lowerLetter"/>
      <w:pStyle w:val="List2"/>
      <w:lvlText w:val="%1."/>
      <w:lvlJc w:val="left"/>
      <w:pPr>
        <w:tabs>
          <w:tab w:val="num" w:pos="360"/>
        </w:tabs>
        <w:ind w:left="340" w:hanging="340"/>
      </w:pPr>
      <w:rPr>
        <w:rFonts w:ascii="Arial" w:hAnsi="Arial" w:hint="default"/>
        <w:b w:val="0"/>
        <w:i w:val="0"/>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0D0F68"/>
    <w:multiLevelType w:val="hybridMultilevel"/>
    <w:tmpl w:val="65A8790C"/>
    <w:lvl w:ilvl="0" w:tplc="04405612">
      <w:start w:val="1"/>
      <w:numFmt w:val="decimal"/>
      <w:pStyle w:val="List"/>
      <w:lvlText w:val="%1."/>
      <w:lvlJc w:val="left"/>
      <w:pPr>
        <w:tabs>
          <w:tab w:val="num" w:pos="360"/>
        </w:tabs>
        <w:ind w:left="340" w:hanging="34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BF5453"/>
    <w:multiLevelType w:val="hybridMultilevel"/>
    <w:tmpl w:val="8CA0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AE5D83"/>
    <w:multiLevelType w:val="hybridMultilevel"/>
    <w:tmpl w:val="684CAC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986C68"/>
    <w:multiLevelType w:val="hybridMultilevel"/>
    <w:tmpl w:val="2FCE7C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F3B4B0E"/>
    <w:multiLevelType w:val="hybridMultilevel"/>
    <w:tmpl w:val="5B8C908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8"/>
  </w:num>
  <w:num w:numId="8">
    <w:abstractNumId w:val="9"/>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CE"/>
    <w:rsid w:val="00001C01"/>
    <w:rsid w:val="000114C9"/>
    <w:rsid w:val="00026FB0"/>
    <w:rsid w:val="00034F6F"/>
    <w:rsid w:val="00037013"/>
    <w:rsid w:val="00040FD2"/>
    <w:rsid w:val="0004385D"/>
    <w:rsid w:val="0005120C"/>
    <w:rsid w:val="000515D7"/>
    <w:rsid w:val="000529C4"/>
    <w:rsid w:val="0007393E"/>
    <w:rsid w:val="00073CFC"/>
    <w:rsid w:val="00074FA9"/>
    <w:rsid w:val="0007582C"/>
    <w:rsid w:val="000806CA"/>
    <w:rsid w:val="00093C12"/>
    <w:rsid w:val="000969B9"/>
    <w:rsid w:val="000A4D25"/>
    <w:rsid w:val="000B02A6"/>
    <w:rsid w:val="000B386A"/>
    <w:rsid w:val="000B64D0"/>
    <w:rsid w:val="000B6ABE"/>
    <w:rsid w:val="000C31E3"/>
    <w:rsid w:val="000D015E"/>
    <w:rsid w:val="000D4E90"/>
    <w:rsid w:val="000D6F60"/>
    <w:rsid w:val="000F268A"/>
    <w:rsid w:val="00105B72"/>
    <w:rsid w:val="00105E46"/>
    <w:rsid w:val="00106DA0"/>
    <w:rsid w:val="0010746D"/>
    <w:rsid w:val="001162B8"/>
    <w:rsid w:val="001166FC"/>
    <w:rsid w:val="00120548"/>
    <w:rsid w:val="00120EDA"/>
    <w:rsid w:val="001231A6"/>
    <w:rsid w:val="00132E8B"/>
    <w:rsid w:val="00141993"/>
    <w:rsid w:val="00145AE3"/>
    <w:rsid w:val="00145F5D"/>
    <w:rsid w:val="001462BE"/>
    <w:rsid w:val="00151AE1"/>
    <w:rsid w:val="00151EF8"/>
    <w:rsid w:val="00160E17"/>
    <w:rsid w:val="001976E3"/>
    <w:rsid w:val="001A0752"/>
    <w:rsid w:val="001A0D3C"/>
    <w:rsid w:val="001A1180"/>
    <w:rsid w:val="001A1657"/>
    <w:rsid w:val="001A1A69"/>
    <w:rsid w:val="001A1C2A"/>
    <w:rsid w:val="001A1CA5"/>
    <w:rsid w:val="001A7A0A"/>
    <w:rsid w:val="001C1138"/>
    <w:rsid w:val="001C463A"/>
    <w:rsid w:val="001E1430"/>
    <w:rsid w:val="001F7222"/>
    <w:rsid w:val="00200331"/>
    <w:rsid w:val="0020288E"/>
    <w:rsid w:val="002040D0"/>
    <w:rsid w:val="002062EC"/>
    <w:rsid w:val="00206F9C"/>
    <w:rsid w:val="0021066E"/>
    <w:rsid w:val="00214779"/>
    <w:rsid w:val="00217334"/>
    <w:rsid w:val="00223ACB"/>
    <w:rsid w:val="00232491"/>
    <w:rsid w:val="002342F2"/>
    <w:rsid w:val="00234C52"/>
    <w:rsid w:val="0024075D"/>
    <w:rsid w:val="00243D47"/>
    <w:rsid w:val="00250147"/>
    <w:rsid w:val="00251262"/>
    <w:rsid w:val="00273AEE"/>
    <w:rsid w:val="0028478B"/>
    <w:rsid w:val="00287C55"/>
    <w:rsid w:val="002A0214"/>
    <w:rsid w:val="002A49FD"/>
    <w:rsid w:val="002C156B"/>
    <w:rsid w:val="002C6696"/>
    <w:rsid w:val="002C7DC2"/>
    <w:rsid w:val="002D05EF"/>
    <w:rsid w:val="002D36F5"/>
    <w:rsid w:val="002D6061"/>
    <w:rsid w:val="002F0276"/>
    <w:rsid w:val="002F0774"/>
    <w:rsid w:val="002F1110"/>
    <w:rsid w:val="002F2699"/>
    <w:rsid w:val="002F2EC4"/>
    <w:rsid w:val="002F41CB"/>
    <w:rsid w:val="002F696E"/>
    <w:rsid w:val="0031094F"/>
    <w:rsid w:val="00314272"/>
    <w:rsid w:val="00316334"/>
    <w:rsid w:val="003207A8"/>
    <w:rsid w:val="00326B8C"/>
    <w:rsid w:val="003277DB"/>
    <w:rsid w:val="003301BE"/>
    <w:rsid w:val="003333B8"/>
    <w:rsid w:val="003338AD"/>
    <w:rsid w:val="00342FCD"/>
    <w:rsid w:val="00347A21"/>
    <w:rsid w:val="00355FCF"/>
    <w:rsid w:val="00362B97"/>
    <w:rsid w:val="003643DA"/>
    <w:rsid w:val="003649DE"/>
    <w:rsid w:val="0036675A"/>
    <w:rsid w:val="003676E6"/>
    <w:rsid w:val="00373BF6"/>
    <w:rsid w:val="00376911"/>
    <w:rsid w:val="00381F50"/>
    <w:rsid w:val="0038459D"/>
    <w:rsid w:val="00386008"/>
    <w:rsid w:val="003866AE"/>
    <w:rsid w:val="003A1C6B"/>
    <w:rsid w:val="003A3755"/>
    <w:rsid w:val="003B64E4"/>
    <w:rsid w:val="003C37DB"/>
    <w:rsid w:val="003D2D1F"/>
    <w:rsid w:val="003D7A6A"/>
    <w:rsid w:val="003E2411"/>
    <w:rsid w:val="003E2B5B"/>
    <w:rsid w:val="003E2BAD"/>
    <w:rsid w:val="003E2FF7"/>
    <w:rsid w:val="003E4F9B"/>
    <w:rsid w:val="003E6211"/>
    <w:rsid w:val="003E733A"/>
    <w:rsid w:val="003F30F0"/>
    <w:rsid w:val="003F3F31"/>
    <w:rsid w:val="003F672E"/>
    <w:rsid w:val="00403F70"/>
    <w:rsid w:val="00406423"/>
    <w:rsid w:val="0041175D"/>
    <w:rsid w:val="00412088"/>
    <w:rsid w:val="0042643E"/>
    <w:rsid w:val="0043391B"/>
    <w:rsid w:val="00437F03"/>
    <w:rsid w:val="0044407C"/>
    <w:rsid w:val="00445573"/>
    <w:rsid w:val="004475AE"/>
    <w:rsid w:val="00450AB2"/>
    <w:rsid w:val="0045100D"/>
    <w:rsid w:val="00453433"/>
    <w:rsid w:val="0045408C"/>
    <w:rsid w:val="004616E3"/>
    <w:rsid w:val="00464A84"/>
    <w:rsid w:val="00471119"/>
    <w:rsid w:val="00483AD4"/>
    <w:rsid w:val="0048595A"/>
    <w:rsid w:val="00491B15"/>
    <w:rsid w:val="00491C95"/>
    <w:rsid w:val="004948F2"/>
    <w:rsid w:val="004A368F"/>
    <w:rsid w:val="004A7544"/>
    <w:rsid w:val="004C14DD"/>
    <w:rsid w:val="004C61CD"/>
    <w:rsid w:val="004C727E"/>
    <w:rsid w:val="004C7963"/>
    <w:rsid w:val="004D1116"/>
    <w:rsid w:val="004D3C3E"/>
    <w:rsid w:val="004E2008"/>
    <w:rsid w:val="004E36D7"/>
    <w:rsid w:val="004E5DFE"/>
    <w:rsid w:val="004F10AC"/>
    <w:rsid w:val="004F1AF6"/>
    <w:rsid w:val="004F3DC0"/>
    <w:rsid w:val="00513A2C"/>
    <w:rsid w:val="0051595B"/>
    <w:rsid w:val="00524D1C"/>
    <w:rsid w:val="005331EE"/>
    <w:rsid w:val="00533E65"/>
    <w:rsid w:val="00535448"/>
    <w:rsid w:val="005426BC"/>
    <w:rsid w:val="00547E68"/>
    <w:rsid w:val="00556106"/>
    <w:rsid w:val="00556225"/>
    <w:rsid w:val="00556ABE"/>
    <w:rsid w:val="00556CBD"/>
    <w:rsid w:val="0056480A"/>
    <w:rsid w:val="00567CC5"/>
    <w:rsid w:val="00570AE2"/>
    <w:rsid w:val="00581536"/>
    <w:rsid w:val="0058292A"/>
    <w:rsid w:val="00584B54"/>
    <w:rsid w:val="0058703D"/>
    <w:rsid w:val="005950E3"/>
    <w:rsid w:val="00595BA4"/>
    <w:rsid w:val="005A0936"/>
    <w:rsid w:val="005A52A7"/>
    <w:rsid w:val="005B03F8"/>
    <w:rsid w:val="005B16E5"/>
    <w:rsid w:val="005B4894"/>
    <w:rsid w:val="005B5E58"/>
    <w:rsid w:val="005C01C6"/>
    <w:rsid w:val="005C10EF"/>
    <w:rsid w:val="005C4D01"/>
    <w:rsid w:val="005D163F"/>
    <w:rsid w:val="005D2993"/>
    <w:rsid w:val="005D3D8A"/>
    <w:rsid w:val="005D7216"/>
    <w:rsid w:val="005E4FCB"/>
    <w:rsid w:val="005F636F"/>
    <w:rsid w:val="006017CB"/>
    <w:rsid w:val="006145CD"/>
    <w:rsid w:val="006149BF"/>
    <w:rsid w:val="006167EF"/>
    <w:rsid w:val="00621344"/>
    <w:rsid w:val="00626F15"/>
    <w:rsid w:val="00627D9E"/>
    <w:rsid w:val="00627FE1"/>
    <w:rsid w:val="00630315"/>
    <w:rsid w:val="0063172B"/>
    <w:rsid w:val="00650B4E"/>
    <w:rsid w:val="00651B38"/>
    <w:rsid w:val="00652AF4"/>
    <w:rsid w:val="00653E8D"/>
    <w:rsid w:val="006565DC"/>
    <w:rsid w:val="00661B12"/>
    <w:rsid w:val="00662EF5"/>
    <w:rsid w:val="00667F9F"/>
    <w:rsid w:val="00672E02"/>
    <w:rsid w:val="006810B4"/>
    <w:rsid w:val="0068244C"/>
    <w:rsid w:val="00697F5A"/>
    <w:rsid w:val="006A18E2"/>
    <w:rsid w:val="006C2748"/>
    <w:rsid w:val="006C4FF5"/>
    <w:rsid w:val="006D10DA"/>
    <w:rsid w:val="006D1745"/>
    <w:rsid w:val="006D4AC5"/>
    <w:rsid w:val="006D5672"/>
    <w:rsid w:val="006D6582"/>
    <w:rsid w:val="006D7AE5"/>
    <w:rsid w:val="006E156E"/>
    <w:rsid w:val="006E2236"/>
    <w:rsid w:val="006E4AA0"/>
    <w:rsid w:val="006E5555"/>
    <w:rsid w:val="006F56D2"/>
    <w:rsid w:val="006F5810"/>
    <w:rsid w:val="00703A92"/>
    <w:rsid w:val="0071068E"/>
    <w:rsid w:val="007153CA"/>
    <w:rsid w:val="00734027"/>
    <w:rsid w:val="00736BA3"/>
    <w:rsid w:val="00737F35"/>
    <w:rsid w:val="007413F2"/>
    <w:rsid w:val="00744612"/>
    <w:rsid w:val="00746758"/>
    <w:rsid w:val="00746E9A"/>
    <w:rsid w:val="00752CC4"/>
    <w:rsid w:val="0076300E"/>
    <w:rsid w:val="007700D2"/>
    <w:rsid w:val="00771D45"/>
    <w:rsid w:val="00781B40"/>
    <w:rsid w:val="007821D6"/>
    <w:rsid w:val="00787FEF"/>
    <w:rsid w:val="00790048"/>
    <w:rsid w:val="007947DE"/>
    <w:rsid w:val="00794BFE"/>
    <w:rsid w:val="007A243F"/>
    <w:rsid w:val="007B1E93"/>
    <w:rsid w:val="007B5E23"/>
    <w:rsid w:val="007B6741"/>
    <w:rsid w:val="007B6C67"/>
    <w:rsid w:val="007C1D94"/>
    <w:rsid w:val="007C5B15"/>
    <w:rsid w:val="007D44AF"/>
    <w:rsid w:val="007D704A"/>
    <w:rsid w:val="007E2FB3"/>
    <w:rsid w:val="007E4EF4"/>
    <w:rsid w:val="007F092A"/>
    <w:rsid w:val="00800785"/>
    <w:rsid w:val="0080202E"/>
    <w:rsid w:val="00806C57"/>
    <w:rsid w:val="00813D95"/>
    <w:rsid w:val="00816EB5"/>
    <w:rsid w:val="00817358"/>
    <w:rsid w:val="00817574"/>
    <w:rsid w:val="00821F00"/>
    <w:rsid w:val="00824AA2"/>
    <w:rsid w:val="00830129"/>
    <w:rsid w:val="008478DF"/>
    <w:rsid w:val="008518F3"/>
    <w:rsid w:val="00854052"/>
    <w:rsid w:val="008552B6"/>
    <w:rsid w:val="008576FD"/>
    <w:rsid w:val="00880D97"/>
    <w:rsid w:val="008816CF"/>
    <w:rsid w:val="00886742"/>
    <w:rsid w:val="00886A47"/>
    <w:rsid w:val="0088723E"/>
    <w:rsid w:val="008919BB"/>
    <w:rsid w:val="00893DA1"/>
    <w:rsid w:val="008A5435"/>
    <w:rsid w:val="008B11CB"/>
    <w:rsid w:val="008B5D92"/>
    <w:rsid w:val="008C2F0A"/>
    <w:rsid w:val="008C5B4D"/>
    <w:rsid w:val="008C5F6F"/>
    <w:rsid w:val="008D44BD"/>
    <w:rsid w:val="008D4F9B"/>
    <w:rsid w:val="008D78FC"/>
    <w:rsid w:val="008E4376"/>
    <w:rsid w:val="009126FD"/>
    <w:rsid w:val="00920E30"/>
    <w:rsid w:val="00922EA4"/>
    <w:rsid w:val="00925566"/>
    <w:rsid w:val="0093503D"/>
    <w:rsid w:val="00945643"/>
    <w:rsid w:val="00945C7D"/>
    <w:rsid w:val="0094647E"/>
    <w:rsid w:val="00952B08"/>
    <w:rsid w:val="009542DC"/>
    <w:rsid w:val="00954AB2"/>
    <w:rsid w:val="0096056C"/>
    <w:rsid w:val="009616F3"/>
    <w:rsid w:val="00971BBB"/>
    <w:rsid w:val="00981B4A"/>
    <w:rsid w:val="00985D35"/>
    <w:rsid w:val="00985ED5"/>
    <w:rsid w:val="00992183"/>
    <w:rsid w:val="00993925"/>
    <w:rsid w:val="00993D2F"/>
    <w:rsid w:val="009A7D32"/>
    <w:rsid w:val="009B1DF2"/>
    <w:rsid w:val="009B2CC8"/>
    <w:rsid w:val="009B7209"/>
    <w:rsid w:val="009C5074"/>
    <w:rsid w:val="009C5988"/>
    <w:rsid w:val="009D02FE"/>
    <w:rsid w:val="009E0EB5"/>
    <w:rsid w:val="009E3A1F"/>
    <w:rsid w:val="009E52F6"/>
    <w:rsid w:val="009E59B9"/>
    <w:rsid w:val="009E653C"/>
    <w:rsid w:val="009F3805"/>
    <w:rsid w:val="009F6B65"/>
    <w:rsid w:val="009F6FF1"/>
    <w:rsid w:val="00A00F64"/>
    <w:rsid w:val="00A03269"/>
    <w:rsid w:val="00A048AF"/>
    <w:rsid w:val="00A059B3"/>
    <w:rsid w:val="00A05A20"/>
    <w:rsid w:val="00A109AE"/>
    <w:rsid w:val="00A12D31"/>
    <w:rsid w:val="00A21562"/>
    <w:rsid w:val="00A23BF9"/>
    <w:rsid w:val="00A3153B"/>
    <w:rsid w:val="00A317CD"/>
    <w:rsid w:val="00A32D8E"/>
    <w:rsid w:val="00A331C4"/>
    <w:rsid w:val="00A3759D"/>
    <w:rsid w:val="00A44BD7"/>
    <w:rsid w:val="00A464C0"/>
    <w:rsid w:val="00A46689"/>
    <w:rsid w:val="00A5050F"/>
    <w:rsid w:val="00A5071F"/>
    <w:rsid w:val="00A556C8"/>
    <w:rsid w:val="00A70BE0"/>
    <w:rsid w:val="00A73878"/>
    <w:rsid w:val="00A7574A"/>
    <w:rsid w:val="00A84A69"/>
    <w:rsid w:val="00A90DD1"/>
    <w:rsid w:val="00A930B6"/>
    <w:rsid w:val="00A93584"/>
    <w:rsid w:val="00A968FA"/>
    <w:rsid w:val="00AA13AE"/>
    <w:rsid w:val="00AC70AC"/>
    <w:rsid w:val="00AD30B8"/>
    <w:rsid w:val="00AD562D"/>
    <w:rsid w:val="00AD7573"/>
    <w:rsid w:val="00AE3EF7"/>
    <w:rsid w:val="00AF02D2"/>
    <w:rsid w:val="00AF4407"/>
    <w:rsid w:val="00B04A58"/>
    <w:rsid w:val="00B06685"/>
    <w:rsid w:val="00B10509"/>
    <w:rsid w:val="00B1229F"/>
    <w:rsid w:val="00B13158"/>
    <w:rsid w:val="00B16C28"/>
    <w:rsid w:val="00B272BF"/>
    <w:rsid w:val="00B313BB"/>
    <w:rsid w:val="00B315F1"/>
    <w:rsid w:val="00B369C4"/>
    <w:rsid w:val="00B42A36"/>
    <w:rsid w:val="00B46A87"/>
    <w:rsid w:val="00B50CAD"/>
    <w:rsid w:val="00B541CE"/>
    <w:rsid w:val="00B54751"/>
    <w:rsid w:val="00B553CC"/>
    <w:rsid w:val="00B65FDE"/>
    <w:rsid w:val="00B66F61"/>
    <w:rsid w:val="00B72C43"/>
    <w:rsid w:val="00B7645F"/>
    <w:rsid w:val="00B824F4"/>
    <w:rsid w:val="00B82D9A"/>
    <w:rsid w:val="00B83048"/>
    <w:rsid w:val="00B83579"/>
    <w:rsid w:val="00B83B53"/>
    <w:rsid w:val="00B83CB3"/>
    <w:rsid w:val="00B84691"/>
    <w:rsid w:val="00B86F47"/>
    <w:rsid w:val="00BA461E"/>
    <w:rsid w:val="00BB3168"/>
    <w:rsid w:val="00BB5C91"/>
    <w:rsid w:val="00BB5E37"/>
    <w:rsid w:val="00BC5494"/>
    <w:rsid w:val="00BC568F"/>
    <w:rsid w:val="00BC6169"/>
    <w:rsid w:val="00BC78A7"/>
    <w:rsid w:val="00BD01F8"/>
    <w:rsid w:val="00BE7968"/>
    <w:rsid w:val="00C04B44"/>
    <w:rsid w:val="00C05133"/>
    <w:rsid w:val="00C0545B"/>
    <w:rsid w:val="00C12468"/>
    <w:rsid w:val="00C14B4A"/>
    <w:rsid w:val="00C243CE"/>
    <w:rsid w:val="00C52677"/>
    <w:rsid w:val="00C52B74"/>
    <w:rsid w:val="00C55337"/>
    <w:rsid w:val="00C61DCA"/>
    <w:rsid w:val="00C64319"/>
    <w:rsid w:val="00C73287"/>
    <w:rsid w:val="00C74429"/>
    <w:rsid w:val="00C75F49"/>
    <w:rsid w:val="00C77D3B"/>
    <w:rsid w:val="00C82E18"/>
    <w:rsid w:val="00C954E4"/>
    <w:rsid w:val="00C96CC7"/>
    <w:rsid w:val="00CA2995"/>
    <w:rsid w:val="00CA46CD"/>
    <w:rsid w:val="00CB70A2"/>
    <w:rsid w:val="00CD2C4C"/>
    <w:rsid w:val="00CD32E0"/>
    <w:rsid w:val="00CD471D"/>
    <w:rsid w:val="00CD59BF"/>
    <w:rsid w:val="00CD6335"/>
    <w:rsid w:val="00CE0622"/>
    <w:rsid w:val="00CE07DE"/>
    <w:rsid w:val="00CF1F52"/>
    <w:rsid w:val="00CF2BF1"/>
    <w:rsid w:val="00CF5E67"/>
    <w:rsid w:val="00CF73C8"/>
    <w:rsid w:val="00D0097A"/>
    <w:rsid w:val="00D04B5D"/>
    <w:rsid w:val="00D06961"/>
    <w:rsid w:val="00D139C1"/>
    <w:rsid w:val="00D15CA5"/>
    <w:rsid w:val="00D171C7"/>
    <w:rsid w:val="00D17EC0"/>
    <w:rsid w:val="00D31601"/>
    <w:rsid w:val="00D316CE"/>
    <w:rsid w:val="00D31B24"/>
    <w:rsid w:val="00D370CF"/>
    <w:rsid w:val="00D403EE"/>
    <w:rsid w:val="00D407DC"/>
    <w:rsid w:val="00D423B3"/>
    <w:rsid w:val="00D4299C"/>
    <w:rsid w:val="00D43BA5"/>
    <w:rsid w:val="00D464FC"/>
    <w:rsid w:val="00D52976"/>
    <w:rsid w:val="00D65D4A"/>
    <w:rsid w:val="00D83BE1"/>
    <w:rsid w:val="00D872CB"/>
    <w:rsid w:val="00D87C81"/>
    <w:rsid w:val="00D922FC"/>
    <w:rsid w:val="00D95C27"/>
    <w:rsid w:val="00D975A2"/>
    <w:rsid w:val="00DA0A73"/>
    <w:rsid w:val="00DA0FE5"/>
    <w:rsid w:val="00DA3383"/>
    <w:rsid w:val="00DC2F3B"/>
    <w:rsid w:val="00DC46AB"/>
    <w:rsid w:val="00DC72AF"/>
    <w:rsid w:val="00DD484D"/>
    <w:rsid w:val="00DE4919"/>
    <w:rsid w:val="00DE5CF7"/>
    <w:rsid w:val="00DF2514"/>
    <w:rsid w:val="00DF4245"/>
    <w:rsid w:val="00DF65F6"/>
    <w:rsid w:val="00E01011"/>
    <w:rsid w:val="00E1030C"/>
    <w:rsid w:val="00E2259C"/>
    <w:rsid w:val="00E253E0"/>
    <w:rsid w:val="00E33B9E"/>
    <w:rsid w:val="00E4309C"/>
    <w:rsid w:val="00E4637F"/>
    <w:rsid w:val="00E4681E"/>
    <w:rsid w:val="00E4798E"/>
    <w:rsid w:val="00E558C6"/>
    <w:rsid w:val="00E56E81"/>
    <w:rsid w:val="00E66C8A"/>
    <w:rsid w:val="00E70745"/>
    <w:rsid w:val="00E71072"/>
    <w:rsid w:val="00E74A01"/>
    <w:rsid w:val="00E75696"/>
    <w:rsid w:val="00E843EC"/>
    <w:rsid w:val="00E84937"/>
    <w:rsid w:val="00E957E3"/>
    <w:rsid w:val="00EA136A"/>
    <w:rsid w:val="00EA6AC3"/>
    <w:rsid w:val="00EB17FC"/>
    <w:rsid w:val="00EC2C38"/>
    <w:rsid w:val="00EC5082"/>
    <w:rsid w:val="00ED3AD2"/>
    <w:rsid w:val="00EE498B"/>
    <w:rsid w:val="00EF447F"/>
    <w:rsid w:val="00EF57FC"/>
    <w:rsid w:val="00F033EC"/>
    <w:rsid w:val="00F035DC"/>
    <w:rsid w:val="00F1131A"/>
    <w:rsid w:val="00F166A9"/>
    <w:rsid w:val="00F16BD6"/>
    <w:rsid w:val="00F17641"/>
    <w:rsid w:val="00F2439A"/>
    <w:rsid w:val="00F26606"/>
    <w:rsid w:val="00F32DB3"/>
    <w:rsid w:val="00F3304B"/>
    <w:rsid w:val="00F3428F"/>
    <w:rsid w:val="00F3576C"/>
    <w:rsid w:val="00F40787"/>
    <w:rsid w:val="00F44075"/>
    <w:rsid w:val="00F44C46"/>
    <w:rsid w:val="00F45E41"/>
    <w:rsid w:val="00F537B2"/>
    <w:rsid w:val="00F5402B"/>
    <w:rsid w:val="00F55A41"/>
    <w:rsid w:val="00F56D42"/>
    <w:rsid w:val="00F609B5"/>
    <w:rsid w:val="00F61E45"/>
    <w:rsid w:val="00F64C4F"/>
    <w:rsid w:val="00F707B1"/>
    <w:rsid w:val="00F71200"/>
    <w:rsid w:val="00F75F1D"/>
    <w:rsid w:val="00F87C5E"/>
    <w:rsid w:val="00F90483"/>
    <w:rsid w:val="00F90887"/>
    <w:rsid w:val="00FA26C2"/>
    <w:rsid w:val="00FA3825"/>
    <w:rsid w:val="00FD2DC8"/>
    <w:rsid w:val="00FD3EA6"/>
    <w:rsid w:val="00FD507D"/>
    <w:rsid w:val="00FE0DB6"/>
    <w:rsid w:val="00FE5951"/>
    <w:rsid w:val="00FF3432"/>
    <w:rsid w:val="00FF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7C484B"/>
  <w15:docId w15:val="{F5EFF6C3-6F26-4482-BD8B-1C2F381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46"/>
    <w:pPr>
      <w:spacing w:after="240"/>
      <w:jc w:val="both"/>
    </w:pPr>
    <w:rPr>
      <w:rFonts w:ascii="Arial" w:hAnsi="Arial"/>
      <w:sz w:val="22"/>
      <w:lang w:val="en-AU" w:eastAsia="en-US"/>
    </w:rPr>
  </w:style>
  <w:style w:type="paragraph" w:styleId="Heading1">
    <w:name w:val="heading 1"/>
    <w:basedOn w:val="Normal"/>
    <w:next w:val="Normal"/>
    <w:link w:val="Heading1Char"/>
    <w:uiPriority w:val="9"/>
    <w:qFormat/>
    <w:rsid w:val="008D4F9B"/>
    <w:pPr>
      <w:keepNext/>
      <w:spacing w:before="240"/>
      <w:outlineLvl w:val="0"/>
    </w:pPr>
    <w:rPr>
      <w:b/>
      <w:caps/>
      <w:sz w:val="24"/>
    </w:rPr>
  </w:style>
  <w:style w:type="paragraph" w:styleId="Heading2">
    <w:name w:val="heading 2"/>
    <w:basedOn w:val="Heading1"/>
    <w:next w:val="Normal"/>
    <w:link w:val="Heading2Char"/>
    <w:autoRedefine/>
    <w:uiPriority w:val="9"/>
    <w:qFormat/>
    <w:rsid w:val="001A0D3C"/>
    <w:pPr>
      <w:keepNext w:val="0"/>
      <w:numPr>
        <w:ilvl w:val="1"/>
        <w:numId w:val="5"/>
      </w:numPr>
      <w:spacing w:before="0" w:after="120" w:line="276" w:lineRule="auto"/>
      <w:ind w:hanging="720"/>
      <w:jc w:val="left"/>
      <w:outlineLvl w:val="1"/>
    </w:pPr>
    <w:rPr>
      <w:rFonts w:eastAsiaTheme="minorHAnsi" w:cs="Arial"/>
      <w:caps w:val="0"/>
      <w:smallCaps/>
      <w:szCs w:val="22"/>
    </w:rPr>
  </w:style>
  <w:style w:type="paragraph" w:styleId="Heading3">
    <w:name w:val="heading 3"/>
    <w:aliases w:val="CMI Heading 3"/>
    <w:basedOn w:val="Heading2"/>
    <w:next w:val="Normal"/>
    <w:link w:val="Heading3Char"/>
    <w:uiPriority w:val="9"/>
    <w:qFormat/>
    <w:rsid w:val="004948F2"/>
    <w:pPr>
      <w:numPr>
        <w:ilvl w:val="0"/>
        <w:numId w:val="0"/>
      </w:numPr>
      <w:outlineLvl w:val="2"/>
    </w:pPr>
    <w:rPr>
      <w:b w:val="0"/>
      <w:u w:val="single"/>
    </w:rPr>
  </w:style>
  <w:style w:type="paragraph" w:styleId="Heading4">
    <w:name w:val="heading 4"/>
    <w:basedOn w:val="Heading3"/>
    <w:next w:val="Normal"/>
    <w:qFormat/>
    <w:rsid w:val="004948F2"/>
    <w:pPr>
      <w:outlineLvl w:val="3"/>
    </w:pPr>
    <w:rPr>
      <w:i/>
      <w:u w:val="none"/>
    </w:rPr>
  </w:style>
  <w:style w:type="paragraph" w:styleId="Heading5">
    <w:name w:val="heading 5"/>
    <w:basedOn w:val="Normal"/>
    <w:next w:val="Normal"/>
    <w:qFormat/>
    <w:rsid w:val="004948F2"/>
    <w:pPr>
      <w:spacing w:before="240"/>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46CD"/>
    <w:pPr>
      <w:spacing w:before="240"/>
      <w:jc w:val="center"/>
      <w:outlineLvl w:val="0"/>
    </w:pPr>
    <w:rPr>
      <w:rFonts w:cs="Arial"/>
      <w:b/>
      <w:bCs/>
      <w:caps/>
      <w:kern w:val="28"/>
      <w:sz w:val="28"/>
      <w:szCs w:val="32"/>
    </w:rPr>
  </w:style>
  <w:style w:type="paragraph" w:styleId="ListBullet">
    <w:name w:val="List Bullet"/>
    <w:basedOn w:val="Normal"/>
    <w:autoRedefine/>
    <w:rsid w:val="004948F2"/>
    <w:pPr>
      <w:numPr>
        <w:numId w:val="4"/>
      </w:numPr>
    </w:pPr>
  </w:style>
  <w:style w:type="paragraph" w:styleId="List">
    <w:name w:val="List"/>
    <w:basedOn w:val="Normal"/>
    <w:rsid w:val="004948F2"/>
    <w:pPr>
      <w:keepNext/>
      <w:numPr>
        <w:numId w:val="3"/>
      </w:numPr>
      <w:jc w:val="left"/>
    </w:pPr>
  </w:style>
  <w:style w:type="paragraph" w:styleId="ListNumber">
    <w:name w:val="List Number"/>
    <w:basedOn w:val="Normal"/>
    <w:rsid w:val="004948F2"/>
    <w:pPr>
      <w:keepNext/>
      <w:keepLines/>
      <w:numPr>
        <w:numId w:val="1"/>
      </w:numPr>
      <w:spacing w:after="120"/>
    </w:pPr>
  </w:style>
  <w:style w:type="paragraph" w:styleId="Subtitle">
    <w:name w:val="Subtitle"/>
    <w:basedOn w:val="Normal"/>
    <w:qFormat/>
    <w:rsid w:val="008D4F9B"/>
    <w:pPr>
      <w:jc w:val="center"/>
      <w:outlineLvl w:val="1"/>
    </w:pPr>
    <w:rPr>
      <w:rFonts w:cs="Arial"/>
      <w:b/>
      <w:caps/>
      <w:sz w:val="24"/>
      <w:szCs w:val="24"/>
    </w:rPr>
  </w:style>
  <w:style w:type="paragraph" w:styleId="List2">
    <w:name w:val="List 2"/>
    <w:basedOn w:val="Normal"/>
    <w:rsid w:val="004948F2"/>
    <w:pPr>
      <w:keepNext/>
      <w:keepLines/>
      <w:numPr>
        <w:numId w:val="2"/>
      </w:numPr>
    </w:pPr>
  </w:style>
  <w:style w:type="paragraph" w:styleId="Header">
    <w:name w:val="header"/>
    <w:basedOn w:val="Normal"/>
    <w:rsid w:val="004948F2"/>
    <w:pPr>
      <w:tabs>
        <w:tab w:val="center" w:pos="4153"/>
        <w:tab w:val="right" w:pos="8306"/>
      </w:tabs>
    </w:pPr>
  </w:style>
  <w:style w:type="paragraph" w:styleId="Footer">
    <w:name w:val="footer"/>
    <w:basedOn w:val="Normal"/>
    <w:link w:val="FooterChar"/>
    <w:rsid w:val="004948F2"/>
    <w:pPr>
      <w:tabs>
        <w:tab w:val="right" w:pos="9639"/>
      </w:tabs>
    </w:pPr>
    <w:rPr>
      <w:rFonts w:ascii="Arial Narrow" w:hAnsi="Arial Narrow"/>
    </w:rPr>
  </w:style>
  <w:style w:type="character" w:styleId="PageNumber">
    <w:name w:val="page number"/>
    <w:basedOn w:val="DefaultParagraphFont"/>
    <w:rsid w:val="004948F2"/>
  </w:style>
  <w:style w:type="paragraph" w:styleId="BodyTextIndent">
    <w:name w:val="Body Text Indent"/>
    <w:basedOn w:val="Normal"/>
    <w:rsid w:val="004948F2"/>
    <w:pPr>
      <w:ind w:left="720"/>
    </w:pPr>
    <w:rPr>
      <w:i/>
      <w:iCs/>
    </w:rPr>
  </w:style>
  <w:style w:type="paragraph" w:customStyle="1" w:styleId="CMIExplanation">
    <w:name w:val="CMI Explanation"/>
    <w:basedOn w:val="Normal"/>
    <w:rsid w:val="004948F2"/>
    <w:pPr>
      <w:spacing w:before="60"/>
      <w:jc w:val="left"/>
    </w:pPr>
    <w:rPr>
      <w:rFonts w:ascii="Times New Roman" w:hAnsi="Times New Roman"/>
      <w:snapToGrid w:val="0"/>
      <w:sz w:val="20"/>
    </w:rPr>
  </w:style>
  <w:style w:type="paragraph" w:styleId="BodyText">
    <w:name w:val="Body Text"/>
    <w:basedOn w:val="Normal"/>
    <w:rsid w:val="004948F2"/>
    <w:pPr>
      <w:jc w:val="left"/>
    </w:pPr>
  </w:style>
  <w:style w:type="paragraph" w:styleId="NormalWeb">
    <w:name w:val="Normal (Web)"/>
    <w:basedOn w:val="Normal"/>
    <w:uiPriority w:val="99"/>
    <w:unhideWhenUsed/>
    <w:rsid w:val="00F56D42"/>
    <w:pPr>
      <w:spacing w:before="100" w:beforeAutospacing="1" w:after="100" w:afterAutospacing="1"/>
      <w:jc w:val="left"/>
    </w:pPr>
    <w:rPr>
      <w:rFonts w:ascii="Times New Roman" w:hAnsi="Times New Roman"/>
      <w:sz w:val="24"/>
      <w:szCs w:val="24"/>
      <w:lang w:eastAsia="en-AU"/>
    </w:rPr>
  </w:style>
  <w:style w:type="character" w:customStyle="1" w:styleId="Heading1Char">
    <w:name w:val="Heading 1 Char"/>
    <w:link w:val="Heading1"/>
    <w:uiPriority w:val="9"/>
    <w:rsid w:val="003301BE"/>
    <w:rPr>
      <w:rFonts w:ascii="Arial" w:hAnsi="Arial"/>
      <w:b/>
      <w:caps/>
      <w:sz w:val="24"/>
      <w:lang w:val="en-AU" w:eastAsia="en-US"/>
    </w:rPr>
  </w:style>
  <w:style w:type="table" w:styleId="TableGrid">
    <w:name w:val="Table Grid"/>
    <w:basedOn w:val="TableNormal"/>
    <w:uiPriority w:val="59"/>
    <w:rsid w:val="009A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B13158"/>
    <w:rPr>
      <w:sz w:val="16"/>
      <w:szCs w:val="16"/>
    </w:rPr>
  </w:style>
  <w:style w:type="paragraph" w:styleId="CommentText">
    <w:name w:val="annotation text"/>
    <w:aliases w:val="Annotationtext,Comment Text Char Char Char,Comment Text Char1,Comment Text Char1 Char"/>
    <w:basedOn w:val="Normal"/>
    <w:link w:val="CommentTextChar"/>
    <w:uiPriority w:val="99"/>
    <w:rsid w:val="00B13158"/>
    <w:rPr>
      <w:sz w:val="20"/>
    </w:rPr>
  </w:style>
  <w:style w:type="character" w:customStyle="1" w:styleId="CommentTextChar">
    <w:name w:val="Comment Text Char"/>
    <w:aliases w:val="Annotationtext Char,Comment Text Char Char Char Char,Comment Text Char1 Char1,Comment Text Char1 Char Char"/>
    <w:basedOn w:val="DefaultParagraphFont"/>
    <w:link w:val="CommentText"/>
    <w:uiPriority w:val="99"/>
    <w:rsid w:val="00B13158"/>
    <w:rPr>
      <w:rFonts w:ascii="Arial" w:hAnsi="Arial"/>
      <w:lang w:val="en-AU" w:eastAsia="en-US"/>
    </w:rPr>
  </w:style>
  <w:style w:type="paragraph" w:styleId="CommentSubject">
    <w:name w:val="annotation subject"/>
    <w:basedOn w:val="CommentText"/>
    <w:next w:val="CommentText"/>
    <w:link w:val="CommentSubjectChar"/>
    <w:rsid w:val="00B13158"/>
    <w:rPr>
      <w:b/>
      <w:bCs/>
    </w:rPr>
  </w:style>
  <w:style w:type="character" w:customStyle="1" w:styleId="CommentSubjectChar">
    <w:name w:val="Comment Subject Char"/>
    <w:basedOn w:val="CommentTextChar"/>
    <w:link w:val="CommentSubject"/>
    <w:rsid w:val="00B13158"/>
    <w:rPr>
      <w:rFonts w:ascii="Arial" w:hAnsi="Arial"/>
      <w:b/>
      <w:bCs/>
      <w:lang w:val="en-AU" w:eastAsia="en-US"/>
    </w:rPr>
  </w:style>
  <w:style w:type="paragraph" w:styleId="BalloonText">
    <w:name w:val="Balloon Text"/>
    <w:basedOn w:val="Normal"/>
    <w:link w:val="BalloonTextChar"/>
    <w:rsid w:val="00B13158"/>
    <w:pPr>
      <w:spacing w:after="0"/>
    </w:pPr>
    <w:rPr>
      <w:rFonts w:ascii="Tahoma" w:hAnsi="Tahoma" w:cs="Tahoma"/>
      <w:sz w:val="16"/>
      <w:szCs w:val="16"/>
    </w:rPr>
  </w:style>
  <w:style w:type="character" w:customStyle="1" w:styleId="BalloonTextChar">
    <w:name w:val="Balloon Text Char"/>
    <w:basedOn w:val="DefaultParagraphFont"/>
    <w:link w:val="BalloonText"/>
    <w:rsid w:val="00B13158"/>
    <w:rPr>
      <w:rFonts w:ascii="Tahoma" w:hAnsi="Tahoma" w:cs="Tahoma"/>
      <w:sz w:val="16"/>
      <w:szCs w:val="16"/>
      <w:lang w:val="en-AU" w:eastAsia="en-US"/>
    </w:rPr>
  </w:style>
  <w:style w:type="paragraph" w:customStyle="1" w:styleId="CCDSBodytext">
    <w:name w:val="CCDS Body text"/>
    <w:basedOn w:val="Normal"/>
    <w:qFormat/>
    <w:rsid w:val="00816EB5"/>
    <w:pPr>
      <w:spacing w:after="0" w:line="360" w:lineRule="auto"/>
      <w:jc w:val="left"/>
    </w:pPr>
    <w:rPr>
      <w:rFonts w:ascii="Times New Roman" w:hAnsi="Times New Roman"/>
      <w:sz w:val="24"/>
      <w:szCs w:val="24"/>
      <w:lang w:val="en-GB"/>
    </w:rPr>
  </w:style>
  <w:style w:type="paragraph" w:customStyle="1" w:styleId="TableHeader10">
    <w:name w:val="TableHeader10"/>
    <w:basedOn w:val="Normal"/>
    <w:rsid w:val="00816EB5"/>
    <w:pPr>
      <w:spacing w:after="0"/>
      <w:jc w:val="center"/>
    </w:pPr>
    <w:rPr>
      <w:rFonts w:ascii="Times New Roman" w:hAnsi="Times New Roman"/>
      <w:b/>
      <w:sz w:val="20"/>
      <w:szCs w:val="24"/>
      <w:lang w:val="en-US"/>
    </w:rPr>
  </w:style>
  <w:style w:type="paragraph" w:customStyle="1" w:styleId="Default">
    <w:name w:val="Default"/>
    <w:rsid w:val="00B86F47"/>
    <w:pPr>
      <w:autoSpaceDE w:val="0"/>
      <w:autoSpaceDN w:val="0"/>
      <w:adjustRightInd w:val="0"/>
    </w:pPr>
    <w:rPr>
      <w:color w:val="000000"/>
      <w:sz w:val="24"/>
      <w:szCs w:val="24"/>
      <w:lang w:val="en-CA" w:eastAsia="en-CA"/>
    </w:rPr>
  </w:style>
  <w:style w:type="paragraph" w:styleId="ListBullet2">
    <w:name w:val="List Bullet 2"/>
    <w:basedOn w:val="Normal"/>
    <w:rsid w:val="00B86F47"/>
    <w:pPr>
      <w:numPr>
        <w:numId w:val="9"/>
      </w:numPr>
      <w:spacing w:after="0"/>
      <w:contextualSpacing/>
      <w:jc w:val="left"/>
    </w:pPr>
    <w:rPr>
      <w:rFonts w:ascii="Times New Roman" w:hAnsi="Times New Roman"/>
      <w:sz w:val="24"/>
      <w:lang w:val="en-US" w:eastAsia="en-CA"/>
    </w:rPr>
  </w:style>
  <w:style w:type="paragraph" w:styleId="Caption">
    <w:name w:val="caption"/>
    <w:basedOn w:val="Normal"/>
    <w:next w:val="Normal"/>
    <w:unhideWhenUsed/>
    <w:qFormat/>
    <w:rsid w:val="00821F00"/>
    <w:pPr>
      <w:spacing w:after="200"/>
    </w:pPr>
    <w:rPr>
      <w:b/>
      <w:bCs/>
      <w:color w:val="4F81BD" w:themeColor="accent1"/>
      <w:sz w:val="18"/>
      <w:szCs w:val="18"/>
    </w:rPr>
  </w:style>
  <w:style w:type="paragraph" w:styleId="Revision">
    <w:name w:val="Revision"/>
    <w:hidden/>
    <w:uiPriority w:val="99"/>
    <w:semiHidden/>
    <w:rsid w:val="00EE498B"/>
    <w:rPr>
      <w:rFonts w:ascii="Arial" w:hAnsi="Arial"/>
      <w:sz w:val="22"/>
      <w:lang w:val="en-AU" w:eastAsia="en-US"/>
    </w:rPr>
  </w:style>
  <w:style w:type="paragraph" w:styleId="ListParagraph">
    <w:name w:val="List Paragraph"/>
    <w:basedOn w:val="Normal"/>
    <w:uiPriority w:val="34"/>
    <w:qFormat/>
    <w:rsid w:val="00F61E45"/>
    <w:pPr>
      <w:ind w:left="720"/>
      <w:contextualSpacing/>
    </w:pPr>
  </w:style>
  <w:style w:type="character" w:customStyle="1" w:styleId="Heading2Char">
    <w:name w:val="Heading 2 Char"/>
    <w:basedOn w:val="DefaultParagraphFont"/>
    <w:link w:val="Heading2"/>
    <w:uiPriority w:val="9"/>
    <w:rsid w:val="001A0D3C"/>
    <w:rPr>
      <w:rFonts w:ascii="Arial" w:eastAsiaTheme="minorHAnsi" w:hAnsi="Arial" w:cs="Arial"/>
      <w:b/>
      <w:smallCaps/>
      <w:sz w:val="24"/>
      <w:szCs w:val="22"/>
      <w:lang w:val="en-AU" w:eastAsia="en-US"/>
    </w:rPr>
  </w:style>
  <w:style w:type="character" w:customStyle="1" w:styleId="Heading3Char">
    <w:name w:val="Heading 3 Char"/>
    <w:aliases w:val="CMI Heading 3 Char"/>
    <w:basedOn w:val="DefaultParagraphFont"/>
    <w:link w:val="Heading3"/>
    <w:uiPriority w:val="9"/>
    <w:rsid w:val="00734027"/>
    <w:rPr>
      <w:rFonts w:ascii="Arial" w:eastAsiaTheme="minorHAnsi" w:hAnsi="Arial" w:cs="Arial"/>
      <w:smallCaps/>
      <w:sz w:val="24"/>
      <w:szCs w:val="22"/>
      <w:u w:val="single"/>
      <w:lang w:val="en-AU" w:eastAsia="en-US"/>
    </w:rPr>
  </w:style>
  <w:style w:type="table" w:styleId="LightGrid">
    <w:name w:val="Light Grid"/>
    <w:basedOn w:val="TableNormal"/>
    <w:uiPriority w:val="62"/>
    <w:rsid w:val="000D6F60"/>
    <w:rPr>
      <w:rFonts w:asciiTheme="minorHAnsi" w:eastAsiaTheme="minorHAnsi" w:hAnsiTheme="minorHAnsi" w:cstheme="minorBidi"/>
      <w:sz w:val="22"/>
      <w:szCs w:val="22"/>
      <w:lang w:val="en-AU"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rsid w:val="00001C01"/>
    <w:rPr>
      <w:color w:val="0000FF"/>
      <w:u w:val="single"/>
    </w:rPr>
  </w:style>
  <w:style w:type="paragraph" w:customStyle="1" w:styleId="LandscapeHeader">
    <w:name w:val="Landscape Header"/>
    <w:basedOn w:val="Header"/>
    <w:rsid w:val="00093C12"/>
    <w:pPr>
      <w:widowControl w:val="0"/>
      <w:tabs>
        <w:tab w:val="clear" w:pos="4153"/>
        <w:tab w:val="clear" w:pos="8306"/>
        <w:tab w:val="center" w:pos="6480"/>
        <w:tab w:val="right" w:pos="12960"/>
      </w:tabs>
      <w:spacing w:after="0"/>
      <w:jc w:val="left"/>
    </w:pPr>
    <w:rPr>
      <w:rFonts w:ascii="Times New Roman" w:hAnsi="Times New Roman"/>
      <w:b/>
      <w:bCs/>
      <w:sz w:val="20"/>
      <w:lang w:val="en-US"/>
    </w:rPr>
  </w:style>
  <w:style w:type="character" w:customStyle="1" w:styleId="FooterChar">
    <w:name w:val="Footer Char"/>
    <w:basedOn w:val="DefaultParagraphFont"/>
    <w:link w:val="Footer"/>
    <w:rsid w:val="004C61CD"/>
    <w:rPr>
      <w:rFonts w:ascii="Arial Narrow" w:hAnsi="Arial Narrow"/>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4909">
      <w:bodyDiv w:val="1"/>
      <w:marLeft w:val="0"/>
      <w:marRight w:val="0"/>
      <w:marTop w:val="0"/>
      <w:marBottom w:val="0"/>
      <w:divBdr>
        <w:top w:val="none" w:sz="0" w:space="0" w:color="auto"/>
        <w:left w:val="none" w:sz="0" w:space="0" w:color="auto"/>
        <w:bottom w:val="none" w:sz="0" w:space="0" w:color="auto"/>
        <w:right w:val="none" w:sz="0" w:space="0" w:color="auto"/>
      </w:divBdr>
    </w:div>
    <w:div w:id="450175692">
      <w:bodyDiv w:val="1"/>
      <w:marLeft w:val="0"/>
      <w:marRight w:val="0"/>
      <w:marTop w:val="0"/>
      <w:marBottom w:val="0"/>
      <w:divBdr>
        <w:top w:val="none" w:sz="0" w:space="0" w:color="auto"/>
        <w:left w:val="none" w:sz="0" w:space="0" w:color="auto"/>
        <w:bottom w:val="none" w:sz="0" w:space="0" w:color="auto"/>
        <w:right w:val="none" w:sz="0" w:space="0" w:color="auto"/>
      </w:divBdr>
      <w:divsChild>
        <w:div w:id="793210214">
          <w:marLeft w:val="0"/>
          <w:marRight w:val="0"/>
          <w:marTop w:val="0"/>
          <w:marBottom w:val="0"/>
          <w:divBdr>
            <w:top w:val="none" w:sz="0" w:space="0" w:color="auto"/>
            <w:left w:val="none" w:sz="0" w:space="0" w:color="auto"/>
            <w:bottom w:val="none" w:sz="0" w:space="0" w:color="auto"/>
            <w:right w:val="none" w:sz="0" w:space="0" w:color="auto"/>
          </w:divBdr>
          <w:divsChild>
            <w:div w:id="551498233">
              <w:marLeft w:val="0"/>
              <w:marRight w:val="0"/>
              <w:marTop w:val="0"/>
              <w:marBottom w:val="0"/>
              <w:divBdr>
                <w:top w:val="none" w:sz="0" w:space="0" w:color="auto"/>
                <w:left w:val="none" w:sz="0" w:space="0" w:color="auto"/>
                <w:bottom w:val="none" w:sz="0" w:space="0" w:color="auto"/>
                <w:right w:val="none" w:sz="0" w:space="0" w:color="auto"/>
              </w:divBdr>
              <w:divsChild>
                <w:div w:id="292442234">
                  <w:blockQuote w:val="1"/>
                  <w:marLeft w:val="720"/>
                  <w:marRight w:val="0"/>
                  <w:marTop w:val="100"/>
                  <w:marBottom w:val="100"/>
                  <w:divBdr>
                    <w:top w:val="none" w:sz="0" w:space="0" w:color="auto"/>
                    <w:left w:val="none" w:sz="0" w:space="0" w:color="auto"/>
                    <w:bottom w:val="none" w:sz="0" w:space="0" w:color="auto"/>
                    <w:right w:val="none" w:sz="0" w:space="0" w:color="auto"/>
                  </w:divBdr>
                </w:div>
                <w:div w:id="936017399">
                  <w:blockQuote w:val="1"/>
                  <w:marLeft w:val="720"/>
                  <w:marRight w:val="0"/>
                  <w:marTop w:val="100"/>
                  <w:marBottom w:val="100"/>
                  <w:divBdr>
                    <w:top w:val="none" w:sz="0" w:space="0" w:color="auto"/>
                    <w:left w:val="none" w:sz="0" w:space="0" w:color="auto"/>
                    <w:bottom w:val="none" w:sz="0" w:space="0" w:color="auto"/>
                    <w:right w:val="none" w:sz="0" w:space="0" w:color="auto"/>
                  </w:divBdr>
                </w:div>
                <w:div w:id="17120763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1402486">
      <w:bodyDiv w:val="1"/>
      <w:marLeft w:val="0"/>
      <w:marRight w:val="0"/>
      <w:marTop w:val="0"/>
      <w:marBottom w:val="0"/>
      <w:divBdr>
        <w:top w:val="none" w:sz="0" w:space="0" w:color="auto"/>
        <w:left w:val="none" w:sz="0" w:space="0" w:color="auto"/>
        <w:bottom w:val="none" w:sz="0" w:space="0" w:color="auto"/>
        <w:right w:val="none" w:sz="0" w:space="0" w:color="auto"/>
      </w:divBdr>
    </w:div>
    <w:div w:id="996879735">
      <w:bodyDiv w:val="1"/>
      <w:marLeft w:val="0"/>
      <w:marRight w:val="0"/>
      <w:marTop w:val="0"/>
      <w:marBottom w:val="0"/>
      <w:divBdr>
        <w:top w:val="none" w:sz="0" w:space="0" w:color="auto"/>
        <w:left w:val="none" w:sz="0" w:space="0" w:color="auto"/>
        <w:bottom w:val="none" w:sz="0" w:space="0" w:color="auto"/>
        <w:right w:val="none" w:sz="0" w:space="0" w:color="auto"/>
      </w:divBdr>
    </w:div>
    <w:div w:id="1001860208">
      <w:bodyDiv w:val="1"/>
      <w:marLeft w:val="0"/>
      <w:marRight w:val="0"/>
      <w:marTop w:val="0"/>
      <w:marBottom w:val="0"/>
      <w:divBdr>
        <w:top w:val="none" w:sz="0" w:space="0" w:color="auto"/>
        <w:left w:val="none" w:sz="0" w:space="0" w:color="auto"/>
        <w:bottom w:val="none" w:sz="0" w:space="0" w:color="auto"/>
        <w:right w:val="none" w:sz="0" w:space="0" w:color="auto"/>
      </w:divBdr>
    </w:div>
    <w:div w:id="1066412047">
      <w:bodyDiv w:val="1"/>
      <w:marLeft w:val="0"/>
      <w:marRight w:val="0"/>
      <w:marTop w:val="0"/>
      <w:marBottom w:val="0"/>
      <w:divBdr>
        <w:top w:val="none" w:sz="0" w:space="0" w:color="auto"/>
        <w:left w:val="none" w:sz="0" w:space="0" w:color="auto"/>
        <w:bottom w:val="none" w:sz="0" w:space="0" w:color="auto"/>
        <w:right w:val="none" w:sz="0" w:space="0" w:color="auto"/>
      </w:divBdr>
      <w:divsChild>
        <w:div w:id="636103177">
          <w:marLeft w:val="0"/>
          <w:marRight w:val="0"/>
          <w:marTop w:val="0"/>
          <w:marBottom w:val="0"/>
          <w:divBdr>
            <w:top w:val="none" w:sz="0" w:space="0" w:color="auto"/>
            <w:left w:val="none" w:sz="0" w:space="0" w:color="auto"/>
            <w:bottom w:val="none" w:sz="0" w:space="0" w:color="auto"/>
            <w:right w:val="none" w:sz="0" w:space="0" w:color="auto"/>
          </w:divBdr>
          <w:divsChild>
            <w:div w:id="2075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0966">
      <w:bodyDiv w:val="1"/>
      <w:marLeft w:val="0"/>
      <w:marRight w:val="0"/>
      <w:marTop w:val="0"/>
      <w:marBottom w:val="0"/>
      <w:divBdr>
        <w:top w:val="none" w:sz="0" w:space="0" w:color="auto"/>
        <w:left w:val="none" w:sz="0" w:space="0" w:color="auto"/>
        <w:bottom w:val="none" w:sz="0" w:space="0" w:color="auto"/>
        <w:right w:val="none" w:sz="0" w:space="0" w:color="auto"/>
      </w:divBdr>
      <w:divsChild>
        <w:div w:id="2047870281">
          <w:marLeft w:val="0"/>
          <w:marRight w:val="0"/>
          <w:marTop w:val="0"/>
          <w:marBottom w:val="0"/>
          <w:divBdr>
            <w:top w:val="none" w:sz="0" w:space="0" w:color="auto"/>
            <w:left w:val="none" w:sz="0" w:space="0" w:color="auto"/>
            <w:bottom w:val="none" w:sz="0" w:space="0" w:color="auto"/>
            <w:right w:val="none" w:sz="0" w:space="0" w:color="auto"/>
          </w:divBdr>
          <w:divsChild>
            <w:div w:id="4668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1535">
      <w:bodyDiv w:val="1"/>
      <w:marLeft w:val="0"/>
      <w:marRight w:val="0"/>
      <w:marTop w:val="0"/>
      <w:marBottom w:val="0"/>
      <w:divBdr>
        <w:top w:val="none" w:sz="0" w:space="0" w:color="auto"/>
        <w:left w:val="none" w:sz="0" w:space="0" w:color="auto"/>
        <w:bottom w:val="none" w:sz="0" w:space="0" w:color="auto"/>
        <w:right w:val="none" w:sz="0" w:space="0" w:color="auto"/>
      </w:divBdr>
    </w:div>
    <w:div w:id="1354578966">
      <w:bodyDiv w:val="1"/>
      <w:marLeft w:val="0"/>
      <w:marRight w:val="0"/>
      <w:marTop w:val="0"/>
      <w:marBottom w:val="0"/>
      <w:divBdr>
        <w:top w:val="none" w:sz="0" w:space="0" w:color="auto"/>
        <w:left w:val="none" w:sz="0" w:space="0" w:color="auto"/>
        <w:bottom w:val="none" w:sz="0" w:space="0" w:color="auto"/>
        <w:right w:val="none" w:sz="0" w:space="0" w:color="auto"/>
      </w:divBdr>
      <w:divsChild>
        <w:div w:id="1628270165">
          <w:marLeft w:val="0"/>
          <w:marRight w:val="0"/>
          <w:marTop w:val="0"/>
          <w:marBottom w:val="0"/>
          <w:divBdr>
            <w:top w:val="none" w:sz="0" w:space="0" w:color="auto"/>
            <w:left w:val="none" w:sz="0" w:space="0" w:color="auto"/>
            <w:bottom w:val="none" w:sz="0" w:space="0" w:color="auto"/>
            <w:right w:val="none" w:sz="0" w:space="0" w:color="auto"/>
          </w:divBdr>
          <w:divsChild>
            <w:div w:id="790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2689">
      <w:bodyDiv w:val="1"/>
      <w:marLeft w:val="0"/>
      <w:marRight w:val="0"/>
      <w:marTop w:val="0"/>
      <w:marBottom w:val="0"/>
      <w:divBdr>
        <w:top w:val="none" w:sz="0" w:space="0" w:color="auto"/>
        <w:left w:val="none" w:sz="0" w:space="0" w:color="auto"/>
        <w:bottom w:val="none" w:sz="0" w:space="0" w:color="auto"/>
        <w:right w:val="none" w:sz="0" w:space="0" w:color="auto"/>
      </w:divBdr>
    </w:div>
    <w:div w:id="154772152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99">
          <w:marLeft w:val="0"/>
          <w:marRight w:val="0"/>
          <w:marTop w:val="0"/>
          <w:marBottom w:val="0"/>
          <w:divBdr>
            <w:top w:val="none" w:sz="0" w:space="0" w:color="auto"/>
            <w:left w:val="none" w:sz="0" w:space="0" w:color="auto"/>
            <w:bottom w:val="none" w:sz="0" w:space="0" w:color="auto"/>
            <w:right w:val="none" w:sz="0" w:space="0" w:color="auto"/>
          </w:divBdr>
          <w:divsChild>
            <w:div w:id="19142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1720">
      <w:bodyDiv w:val="1"/>
      <w:marLeft w:val="0"/>
      <w:marRight w:val="0"/>
      <w:marTop w:val="0"/>
      <w:marBottom w:val="0"/>
      <w:divBdr>
        <w:top w:val="none" w:sz="0" w:space="0" w:color="auto"/>
        <w:left w:val="none" w:sz="0" w:space="0" w:color="auto"/>
        <w:bottom w:val="none" w:sz="0" w:space="0" w:color="auto"/>
        <w:right w:val="none" w:sz="0" w:space="0" w:color="auto"/>
      </w:divBdr>
      <w:divsChild>
        <w:div w:id="2099908912">
          <w:marLeft w:val="0"/>
          <w:marRight w:val="0"/>
          <w:marTop w:val="0"/>
          <w:marBottom w:val="0"/>
          <w:divBdr>
            <w:top w:val="none" w:sz="0" w:space="0" w:color="auto"/>
            <w:left w:val="none" w:sz="0" w:space="0" w:color="auto"/>
            <w:bottom w:val="none" w:sz="0" w:space="0" w:color="auto"/>
            <w:right w:val="none" w:sz="0" w:space="0" w:color="auto"/>
          </w:divBdr>
          <w:divsChild>
            <w:div w:id="7266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09443">
      <w:bodyDiv w:val="1"/>
      <w:marLeft w:val="0"/>
      <w:marRight w:val="0"/>
      <w:marTop w:val="0"/>
      <w:marBottom w:val="0"/>
      <w:divBdr>
        <w:top w:val="none" w:sz="0" w:space="0" w:color="auto"/>
        <w:left w:val="none" w:sz="0" w:space="0" w:color="auto"/>
        <w:bottom w:val="none" w:sz="0" w:space="0" w:color="auto"/>
        <w:right w:val="none" w:sz="0" w:space="0" w:color="auto"/>
      </w:divBdr>
    </w:div>
    <w:div w:id="1856385673">
      <w:bodyDiv w:val="1"/>
      <w:marLeft w:val="0"/>
      <w:marRight w:val="0"/>
      <w:marTop w:val="0"/>
      <w:marBottom w:val="0"/>
      <w:divBdr>
        <w:top w:val="none" w:sz="0" w:space="0" w:color="auto"/>
        <w:left w:val="none" w:sz="0" w:space="0" w:color="auto"/>
        <w:bottom w:val="none" w:sz="0" w:space="0" w:color="auto"/>
        <w:right w:val="none" w:sz="0" w:space="0" w:color="auto"/>
      </w:divBdr>
    </w:div>
    <w:div w:id="1951668866">
      <w:bodyDiv w:val="1"/>
      <w:marLeft w:val="0"/>
      <w:marRight w:val="0"/>
      <w:marTop w:val="0"/>
      <w:marBottom w:val="0"/>
      <w:divBdr>
        <w:top w:val="none" w:sz="0" w:space="0" w:color="auto"/>
        <w:left w:val="none" w:sz="0" w:space="0" w:color="auto"/>
        <w:bottom w:val="none" w:sz="0" w:space="0" w:color="auto"/>
        <w:right w:val="none" w:sz="0" w:space="0" w:color="auto"/>
      </w:divBdr>
    </w:div>
    <w:div w:id="21058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019D0395B22468AF005862697DE1F" ma:contentTypeVersion="11" ma:contentTypeDescription="Create a new document." ma:contentTypeScope="" ma:versionID="9589a73cd2703eff3b2c166da93a09b9">
  <xsd:schema xmlns:xsd="http://www.w3.org/2001/XMLSchema" xmlns:xs="http://www.w3.org/2001/XMLSchema" xmlns:p="http://schemas.microsoft.com/office/2006/metadata/properties" xmlns:ns2="45b8674b-ae8a-4434-956f-895f4d4198ad" xmlns:ns3="3df95d23-41db-460c-b105-cf57e1e472b3" targetNamespace="http://schemas.microsoft.com/office/2006/metadata/properties" ma:root="true" ma:fieldsID="7bec69357a2811056f616bcc3930fe70" ns2:_="" ns3:_="">
    <xsd:import namespace="45b8674b-ae8a-4434-956f-895f4d4198ad"/>
    <xsd:import namespace="3df95d23-41db-460c-b105-cf57e1e47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674b-ae8a-4434-956f-895f4d4198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5d23-41db-460c-b105-cf57e1e472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4E99-FBB2-46B8-9701-B3BF340C491D}">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45b8674b-ae8a-4434-956f-895f4d4198ad"/>
    <ds:schemaRef ds:uri="http://schemas.microsoft.com/office/infopath/2007/PartnerControls"/>
    <ds:schemaRef ds:uri="3df95d23-41db-460c-b105-cf57e1e472b3"/>
    <ds:schemaRef ds:uri="http://www.w3.org/XML/1998/namespace"/>
  </ds:schemaRefs>
</ds:datastoreItem>
</file>

<file path=customXml/itemProps2.xml><?xml version="1.0" encoding="utf-8"?>
<ds:datastoreItem xmlns:ds="http://schemas.openxmlformats.org/officeDocument/2006/customXml" ds:itemID="{B95FE795-F018-4A3E-972E-9A42EDB17B2C}">
  <ds:schemaRefs>
    <ds:schemaRef ds:uri="http://schemas.microsoft.com/sharepoint/v3/contenttype/forms"/>
  </ds:schemaRefs>
</ds:datastoreItem>
</file>

<file path=customXml/itemProps3.xml><?xml version="1.0" encoding="utf-8"?>
<ds:datastoreItem xmlns:ds="http://schemas.openxmlformats.org/officeDocument/2006/customXml" ds:itemID="{ECA2B3B5-491C-4989-A630-242D53345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674b-ae8a-4434-956f-895f4d4198ad"/>
    <ds:schemaRef ds:uri="3df95d23-41db-460c-b105-cf57e1e4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54876-D3B5-4BA7-B5CC-EFCDC041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8056</Words>
  <Characters>48405</Characters>
  <Application>Microsoft Office Word</Application>
  <DocSecurity>0</DocSecurity>
  <Lines>1383</Lines>
  <Paragraphs>806</Paragraphs>
  <ScaleCrop>false</ScaleCrop>
  <HeadingPairs>
    <vt:vector size="2" baseType="variant">
      <vt:variant>
        <vt:lpstr>Title</vt:lpstr>
      </vt:variant>
      <vt:variant>
        <vt:i4>1</vt:i4>
      </vt:variant>
    </vt:vector>
  </HeadingPairs>
  <TitlesOfParts>
    <vt:vector size="1" baseType="lpstr">
      <vt:lpstr>Attachment: Product Information for Brigatinib</vt:lpstr>
    </vt:vector>
  </TitlesOfParts>
  <Company>Nycomed GmbH</Company>
  <LinksUpToDate>false</LinksUpToDate>
  <CharactersWithSpaces>55655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Brigatinib</dc:title>
  <dc:creator>Nycomed GmbH</dc:creator>
  <cp:lastPrinted>2019-03-19T03:11:00Z</cp:lastPrinted>
  <dcterms:created xsi:type="dcterms:W3CDTF">2020-03-23T00:20:00Z</dcterms:created>
  <dcterms:modified xsi:type="dcterms:W3CDTF">2020-03-23T00:29:00Z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0x01010091E019D0395B22468AF005862697DE1F</vt:lpwstr>
  </property>
</Properties>
</file>