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56209" w14:textId="05E8A264" w:rsidR="00ED27EC" w:rsidRPr="00E573E1" w:rsidRDefault="006018AE" w:rsidP="00C11150">
      <w:pPr>
        <w:pStyle w:val="Heading1Unnumbered"/>
        <w:rPr>
          <w:rFonts w:eastAsia="SimSun"/>
          <w:lang w:val="en-AU"/>
        </w:rPr>
      </w:pPr>
      <w:r w:rsidRPr="00E573E1">
        <w:rPr>
          <w:rFonts w:eastAsia="SimSun"/>
          <w:lang w:val="en-AU"/>
        </w:rPr>
        <w:t>A</w:t>
      </w:r>
      <w:r w:rsidR="00984B4B">
        <w:rPr>
          <w:rFonts w:eastAsia="SimSun"/>
          <w:lang w:val="en-AU"/>
        </w:rPr>
        <w:t>USTRALIAN</w:t>
      </w:r>
      <w:r w:rsidRPr="00E573E1">
        <w:rPr>
          <w:rFonts w:eastAsia="SimSun"/>
          <w:lang w:val="en-AU"/>
        </w:rPr>
        <w:t xml:space="preserve"> P</w:t>
      </w:r>
      <w:r w:rsidR="00A32E10" w:rsidRPr="00E573E1">
        <w:rPr>
          <w:rFonts w:eastAsia="SimSun"/>
          <w:lang w:val="en-AU"/>
        </w:rPr>
        <w:t xml:space="preserve">RODUCT </w:t>
      </w:r>
      <w:r w:rsidRPr="00E573E1">
        <w:rPr>
          <w:rFonts w:eastAsia="SimSun"/>
          <w:lang w:val="en-AU"/>
        </w:rPr>
        <w:t>I</w:t>
      </w:r>
      <w:r w:rsidR="00A32E10" w:rsidRPr="00E573E1">
        <w:rPr>
          <w:rFonts w:eastAsia="SimSun"/>
          <w:lang w:val="en-AU"/>
        </w:rPr>
        <w:t>NFORMATION</w:t>
      </w:r>
    </w:p>
    <w:p w14:paraId="7B3EDF9D" w14:textId="35F4C30D" w:rsidR="006018AE" w:rsidRPr="00E573E1" w:rsidRDefault="004D4FA1" w:rsidP="00C11150">
      <w:pPr>
        <w:pStyle w:val="Heading1Unnumbered"/>
        <w:rPr>
          <w:rFonts w:eastAsia="SimSun"/>
          <w:lang w:val="en-AU"/>
        </w:rPr>
      </w:pPr>
      <w:r w:rsidRPr="00E573E1">
        <w:rPr>
          <w:rFonts w:eastAsia="SimSun"/>
          <w:caps w:val="0"/>
          <w:lang w:val="en-AU"/>
        </w:rPr>
        <w:t>BREZTRI</w:t>
      </w:r>
      <w:r w:rsidR="00ED27EC" w:rsidRPr="00E573E1">
        <w:rPr>
          <w:rFonts w:eastAsia="SimSun"/>
          <w:caps w:val="0"/>
          <w:lang w:val="en-AU"/>
        </w:rPr>
        <w:t xml:space="preserve"> </w:t>
      </w:r>
      <w:r w:rsidR="00C62FB9" w:rsidRPr="00E573E1">
        <w:rPr>
          <w:rFonts w:eastAsia="SimSun"/>
          <w:caps w:val="0"/>
          <w:lang w:val="en-AU"/>
        </w:rPr>
        <w:t>AEROSPHERE</w:t>
      </w:r>
      <w:r w:rsidR="00C62FB9" w:rsidRPr="00E573E1">
        <w:rPr>
          <w:rFonts w:eastAsia="SimSun"/>
          <w:vertAlign w:val="superscript"/>
          <w:lang w:val="en-AU"/>
        </w:rPr>
        <w:t>®</w:t>
      </w:r>
      <w:r w:rsidR="00A32E10" w:rsidRPr="00E573E1">
        <w:rPr>
          <w:rFonts w:eastAsia="SimSun"/>
          <w:lang w:val="en-AU"/>
        </w:rPr>
        <w:t xml:space="preserve"> </w:t>
      </w:r>
      <w:r w:rsidR="006879E5" w:rsidRPr="00E573E1">
        <w:rPr>
          <w:rFonts w:eastAsia="SimSun"/>
          <w:lang w:val="en-AU"/>
        </w:rPr>
        <w:t>160</w:t>
      </w:r>
      <w:r w:rsidR="00C62FB9" w:rsidRPr="00E573E1">
        <w:rPr>
          <w:rFonts w:eastAsia="SimSun"/>
          <w:lang w:val="en-AU"/>
        </w:rPr>
        <w:t>/7.</w:t>
      </w:r>
      <w:r w:rsidR="00BC74F9" w:rsidRPr="00E573E1">
        <w:rPr>
          <w:rFonts w:eastAsia="SimSun"/>
          <w:lang w:val="en-AU"/>
        </w:rPr>
        <w:t>2</w:t>
      </w:r>
      <w:r w:rsidR="00C62FB9" w:rsidRPr="00E573E1">
        <w:rPr>
          <w:rFonts w:eastAsia="SimSun"/>
          <w:lang w:val="en-AU"/>
        </w:rPr>
        <w:t>/5</w:t>
      </w:r>
      <w:r w:rsidR="00C85970" w:rsidRPr="00E573E1">
        <w:rPr>
          <w:rFonts w:eastAsia="SimSun"/>
          <w:lang w:val="en-AU"/>
        </w:rPr>
        <w:br/>
      </w:r>
      <w:r w:rsidR="00C62FB9" w:rsidRPr="00E573E1">
        <w:rPr>
          <w:rFonts w:eastAsia="SimSun"/>
          <w:caps w:val="0"/>
          <w:lang w:val="en-AU"/>
        </w:rPr>
        <w:t>(budesonide/</w:t>
      </w:r>
      <w:proofErr w:type="spellStart"/>
      <w:r w:rsidR="00C62FB9" w:rsidRPr="00E573E1">
        <w:rPr>
          <w:rFonts w:eastAsia="SimSun"/>
          <w:caps w:val="0"/>
          <w:lang w:val="en-AU"/>
        </w:rPr>
        <w:t>glycopyrronium</w:t>
      </w:r>
      <w:proofErr w:type="spellEnd"/>
      <w:r w:rsidR="00C62FB9" w:rsidRPr="00E573E1">
        <w:rPr>
          <w:rFonts w:eastAsia="SimSun"/>
          <w:caps w:val="0"/>
          <w:lang w:val="en-AU"/>
        </w:rPr>
        <w:t>/formoterol (</w:t>
      </w:r>
      <w:proofErr w:type="spellStart"/>
      <w:r w:rsidR="00C62FB9" w:rsidRPr="00E573E1">
        <w:rPr>
          <w:rFonts w:eastAsia="SimSun"/>
          <w:caps w:val="0"/>
          <w:lang w:val="en-AU"/>
        </w:rPr>
        <w:t>eformoterol</w:t>
      </w:r>
      <w:proofErr w:type="spellEnd"/>
      <w:r w:rsidR="00C62FB9" w:rsidRPr="00E573E1">
        <w:rPr>
          <w:rFonts w:eastAsia="SimSun"/>
          <w:caps w:val="0"/>
          <w:lang w:val="en-AU"/>
        </w:rPr>
        <w:t>) fumarate dihydrate)</w:t>
      </w:r>
      <w:r w:rsidR="004D79B7">
        <w:rPr>
          <w:rFonts w:eastAsia="SimSun"/>
          <w:caps w:val="0"/>
          <w:lang w:val="en-AU"/>
        </w:rPr>
        <w:t xml:space="preserve"> pressurised metered dose inhaler</w:t>
      </w:r>
    </w:p>
    <w:p w14:paraId="36157CE7" w14:textId="77777777" w:rsidR="001A3992" w:rsidRPr="00E573E1" w:rsidRDefault="001A3992" w:rsidP="00C11150">
      <w:pPr>
        <w:pStyle w:val="Heading1"/>
        <w:rPr>
          <w:lang w:val="en-AU"/>
        </w:rPr>
      </w:pPr>
      <w:r w:rsidRPr="00E573E1">
        <w:rPr>
          <w:lang w:val="en-AU"/>
        </w:rPr>
        <w:t>Name of the medicine</w:t>
      </w:r>
    </w:p>
    <w:p w14:paraId="290CA62E" w14:textId="3015E70B" w:rsidR="00C62FB9" w:rsidRPr="00E573E1" w:rsidRDefault="004D79B7" w:rsidP="00C11150">
      <w:pPr>
        <w:pStyle w:val="Paragraph"/>
        <w:rPr>
          <w:lang w:val="en-AU"/>
        </w:rPr>
      </w:pPr>
      <w:bookmarkStart w:id="0" w:name="_Ref505770391"/>
      <w:r>
        <w:rPr>
          <w:lang w:val="en-AU"/>
        </w:rPr>
        <w:t>B</w:t>
      </w:r>
      <w:r w:rsidR="00C62FB9" w:rsidRPr="00E573E1">
        <w:rPr>
          <w:lang w:val="en-AU"/>
        </w:rPr>
        <w:t>udesonide</w:t>
      </w:r>
    </w:p>
    <w:p w14:paraId="4B9A4DCD" w14:textId="58A86E45" w:rsidR="00C62FB9" w:rsidRPr="00E573E1" w:rsidRDefault="004D79B7" w:rsidP="00C11150">
      <w:pPr>
        <w:pStyle w:val="Paragraph"/>
        <w:rPr>
          <w:lang w:val="en-AU"/>
        </w:rPr>
      </w:pPr>
      <w:proofErr w:type="spellStart"/>
      <w:r>
        <w:rPr>
          <w:lang w:val="en-AU"/>
        </w:rPr>
        <w:t>G</w:t>
      </w:r>
      <w:r w:rsidR="00C62FB9" w:rsidRPr="00E573E1">
        <w:rPr>
          <w:lang w:val="en-AU"/>
        </w:rPr>
        <w:t>lycopyrronium</w:t>
      </w:r>
      <w:proofErr w:type="spellEnd"/>
      <w:r w:rsidR="00C62FB9" w:rsidRPr="00E573E1">
        <w:rPr>
          <w:lang w:val="en-AU"/>
        </w:rPr>
        <w:t xml:space="preserve"> (as </w:t>
      </w:r>
      <w:proofErr w:type="spellStart"/>
      <w:r w:rsidR="00C62FB9" w:rsidRPr="00E573E1">
        <w:rPr>
          <w:lang w:val="en-AU"/>
        </w:rPr>
        <w:t>glycopyrronium</w:t>
      </w:r>
      <w:proofErr w:type="spellEnd"/>
      <w:r w:rsidR="00C62FB9" w:rsidRPr="00E573E1">
        <w:rPr>
          <w:lang w:val="en-AU"/>
        </w:rPr>
        <w:t xml:space="preserve"> bromide; </w:t>
      </w:r>
      <w:r>
        <w:rPr>
          <w:lang w:val="en-AU"/>
        </w:rPr>
        <w:t xml:space="preserve">also known as </w:t>
      </w:r>
      <w:r w:rsidR="00C62FB9" w:rsidRPr="00E573E1">
        <w:rPr>
          <w:lang w:val="en-AU"/>
        </w:rPr>
        <w:t>glycopyrrolate)</w:t>
      </w:r>
    </w:p>
    <w:p w14:paraId="79A7A097" w14:textId="6C91F40B" w:rsidR="00C62FB9" w:rsidRPr="00E573E1" w:rsidRDefault="004D79B7" w:rsidP="00C11150">
      <w:pPr>
        <w:pStyle w:val="Paragraph"/>
        <w:rPr>
          <w:lang w:val="en-AU"/>
        </w:rPr>
      </w:pPr>
      <w:bookmarkStart w:id="1" w:name="_Hlk513015639"/>
      <w:r>
        <w:rPr>
          <w:lang w:val="en-AU"/>
        </w:rPr>
        <w:t>F</w:t>
      </w:r>
      <w:r w:rsidR="00C62FB9" w:rsidRPr="00E573E1">
        <w:rPr>
          <w:lang w:val="en-AU"/>
        </w:rPr>
        <w:t xml:space="preserve">ormoterol </w:t>
      </w:r>
      <w:r>
        <w:rPr>
          <w:lang w:val="en-AU"/>
        </w:rPr>
        <w:t>(</w:t>
      </w:r>
      <w:proofErr w:type="spellStart"/>
      <w:r>
        <w:rPr>
          <w:lang w:val="en-AU"/>
        </w:rPr>
        <w:t>eformoterol</w:t>
      </w:r>
      <w:proofErr w:type="spellEnd"/>
      <w:r>
        <w:rPr>
          <w:lang w:val="en-AU"/>
        </w:rPr>
        <w:t xml:space="preserve">) </w:t>
      </w:r>
      <w:r w:rsidR="00C62FB9" w:rsidRPr="00E573E1">
        <w:rPr>
          <w:lang w:val="en-AU"/>
        </w:rPr>
        <w:t>fumarate dihydrate</w:t>
      </w:r>
    </w:p>
    <w:bookmarkEnd w:id="1"/>
    <w:p w14:paraId="781F4604" w14:textId="77777777" w:rsidR="001A3992" w:rsidRPr="00E573E1" w:rsidRDefault="001A3992" w:rsidP="00C11150">
      <w:pPr>
        <w:pStyle w:val="Heading1"/>
        <w:rPr>
          <w:lang w:val="en-AU"/>
        </w:rPr>
      </w:pPr>
      <w:r w:rsidRPr="00E573E1">
        <w:rPr>
          <w:lang w:val="en-AU"/>
        </w:rPr>
        <w:t>Qualitative and quantitative composition</w:t>
      </w:r>
      <w:bookmarkEnd w:id="0"/>
    </w:p>
    <w:bookmarkStart w:id="2" w:name="_Hlk505357644"/>
    <w:p w14:paraId="1B070C43" w14:textId="7CBFED6D" w:rsidR="00C62FB9" w:rsidRPr="00E573E1" w:rsidRDefault="00C62FB9" w:rsidP="00C11150">
      <w:pPr>
        <w:pStyle w:val="Paragraph"/>
        <w:rPr>
          <w:lang w:val="en-AU"/>
        </w:rPr>
      </w:pPr>
      <w:r w:rsidRPr="00E573E1">
        <w:rPr>
          <w:lang w:val="en-AU"/>
        </w:rPr>
        <w:fldChar w:fldCharType="begin"/>
      </w:r>
      <w:r w:rsidRPr="00E573E1">
        <w:rPr>
          <w:lang w:val="en-AU"/>
        </w:rPr>
        <w:instrText xml:space="preserve"> REF _Ref32350132 \h </w:instrText>
      </w:r>
      <w:r w:rsidRPr="00E573E1">
        <w:rPr>
          <w:lang w:val="en-AU"/>
        </w:rPr>
      </w:r>
      <w:r w:rsidR="00C11150">
        <w:rPr>
          <w:lang w:val="en-AU"/>
        </w:rPr>
        <w:instrText xml:space="preserve"> \* MERGEFORMAT </w:instrText>
      </w:r>
      <w:r w:rsidRPr="00E573E1">
        <w:rPr>
          <w:lang w:val="en-AU"/>
        </w:rPr>
        <w:fldChar w:fldCharType="separate"/>
      </w:r>
      <w:r w:rsidR="00960F91" w:rsidRPr="00E573E1">
        <w:rPr>
          <w:lang w:val="en-AU"/>
        </w:rPr>
        <w:t xml:space="preserve">Table </w:t>
      </w:r>
      <w:r w:rsidR="00960F91">
        <w:rPr>
          <w:noProof/>
          <w:lang w:val="en-AU"/>
        </w:rPr>
        <w:t>1</w:t>
      </w:r>
      <w:r w:rsidRPr="00E573E1">
        <w:rPr>
          <w:lang w:val="en-AU"/>
        </w:rPr>
        <w:fldChar w:fldCharType="end"/>
      </w:r>
      <w:r w:rsidRPr="00E573E1">
        <w:rPr>
          <w:lang w:val="en-AU"/>
        </w:rPr>
        <w:t xml:space="preserve"> below provides the quantities of the active moieties and their salts as the delivered dose (ex-mouthpiece/quantity delivered to the patient).  </w:t>
      </w:r>
      <w:bookmarkStart w:id="3" w:name="_Hlk513018380"/>
      <w:r w:rsidRPr="00E573E1">
        <w:rPr>
          <w:lang w:val="en-AU"/>
        </w:rPr>
        <w:t xml:space="preserve">In Australia, </w:t>
      </w:r>
      <w:r w:rsidR="00841795" w:rsidRPr="00E573E1">
        <w:rPr>
          <w:lang w:val="en-AU"/>
        </w:rPr>
        <w:t xml:space="preserve">BREZTRI AEROSPHERE </w:t>
      </w:r>
      <w:r w:rsidR="006879E5" w:rsidRPr="00E573E1">
        <w:rPr>
          <w:lang w:val="en-AU"/>
        </w:rPr>
        <w:t>160</w:t>
      </w:r>
      <w:r w:rsidR="002C7518" w:rsidRPr="00E573E1">
        <w:rPr>
          <w:lang w:val="en-AU"/>
        </w:rPr>
        <w:t>/</w:t>
      </w:r>
      <w:r w:rsidRPr="00E573E1">
        <w:rPr>
          <w:lang w:val="en-AU"/>
        </w:rPr>
        <w:t xml:space="preserve">7.2/5 is labelled as the delivered dose per actuation (puff) of </w:t>
      </w:r>
      <w:r w:rsidR="002C7518" w:rsidRPr="00E573E1">
        <w:rPr>
          <w:lang w:val="en-AU"/>
        </w:rPr>
        <w:t xml:space="preserve">budesonide, </w:t>
      </w:r>
      <w:proofErr w:type="spellStart"/>
      <w:r w:rsidRPr="00E573E1">
        <w:rPr>
          <w:lang w:val="en-AU"/>
        </w:rPr>
        <w:t>glycopyrronium</w:t>
      </w:r>
      <w:proofErr w:type="spellEnd"/>
      <w:r w:rsidRPr="00E573E1">
        <w:rPr>
          <w:lang w:val="en-AU"/>
        </w:rPr>
        <w:t xml:space="preserve"> and formoterol (</w:t>
      </w:r>
      <w:proofErr w:type="spellStart"/>
      <w:r w:rsidRPr="00E573E1">
        <w:rPr>
          <w:lang w:val="en-AU"/>
        </w:rPr>
        <w:t>eformoterol</w:t>
      </w:r>
      <w:proofErr w:type="spellEnd"/>
      <w:r w:rsidRPr="00E573E1">
        <w:rPr>
          <w:lang w:val="en-AU"/>
        </w:rPr>
        <w:t>) fumarate dihydrate (herein referred to as “formoterol”).  This may differ to other regions in the world.</w:t>
      </w:r>
      <w:bookmarkEnd w:id="3"/>
    </w:p>
    <w:p w14:paraId="786E15B1" w14:textId="2C368F0F" w:rsidR="00C62FB9" w:rsidRPr="00E573E1" w:rsidRDefault="00C62FB9" w:rsidP="00C11150">
      <w:pPr>
        <w:pStyle w:val="TableTitle"/>
        <w:rPr>
          <w:lang w:val="en-AU"/>
        </w:rPr>
      </w:pPr>
      <w:bookmarkStart w:id="4" w:name="_Ref32350132"/>
      <w:bookmarkStart w:id="5" w:name="_Ref32350128"/>
      <w:r w:rsidRPr="00E573E1">
        <w:rPr>
          <w:lang w:val="en-AU"/>
        </w:rPr>
        <w:t xml:space="preserve">Table </w:t>
      </w:r>
      <w:r w:rsidRPr="00E573E1">
        <w:rPr>
          <w:lang w:val="en-AU"/>
        </w:rPr>
        <w:fldChar w:fldCharType="begin"/>
      </w:r>
      <w:r w:rsidRPr="00E573E1">
        <w:rPr>
          <w:lang w:val="en-AU"/>
        </w:rPr>
        <w:instrText xml:space="preserve"> SEQ Table \* ARABIC </w:instrText>
      </w:r>
      <w:r w:rsidRPr="00E573E1">
        <w:rPr>
          <w:lang w:val="en-AU"/>
        </w:rPr>
        <w:fldChar w:fldCharType="separate"/>
      </w:r>
      <w:r w:rsidR="00960F91">
        <w:rPr>
          <w:noProof/>
          <w:lang w:val="en-AU"/>
        </w:rPr>
        <w:t>1</w:t>
      </w:r>
      <w:r w:rsidRPr="00E573E1">
        <w:rPr>
          <w:lang w:val="en-AU"/>
        </w:rPr>
        <w:fldChar w:fldCharType="end"/>
      </w:r>
      <w:bookmarkEnd w:id="4"/>
      <w:r w:rsidRPr="00E573E1">
        <w:rPr>
          <w:lang w:val="en-AU"/>
        </w:rPr>
        <w:tab/>
      </w:r>
      <w:bookmarkStart w:id="6" w:name="_Hlk513018408"/>
      <w:r w:rsidR="00841795" w:rsidRPr="00E573E1">
        <w:rPr>
          <w:lang w:val="en-AU"/>
        </w:rPr>
        <w:t xml:space="preserve">BREZTRI AEROSPHERE </w:t>
      </w:r>
      <w:r w:rsidRPr="00E573E1">
        <w:rPr>
          <w:lang w:val="en-AU"/>
        </w:rPr>
        <w:t>active ingredient quantities</w:t>
      </w:r>
      <w:bookmarkEnd w:id="5"/>
      <w:bookmarkEnd w:id="6"/>
    </w:p>
    <w:tbl>
      <w:tblPr>
        <w:tblStyle w:val="TableGrid"/>
        <w:tblW w:w="9634" w:type="dxa"/>
        <w:tblLayout w:type="fixed"/>
        <w:tblLook w:val="0000" w:firstRow="0" w:lastRow="0" w:firstColumn="0" w:lastColumn="0" w:noHBand="0" w:noVBand="0"/>
      </w:tblPr>
      <w:tblGrid>
        <w:gridCol w:w="5240"/>
        <w:gridCol w:w="2197"/>
        <w:gridCol w:w="2197"/>
      </w:tblGrid>
      <w:tr w:rsidR="00C62FB9" w:rsidRPr="00E573E1" w14:paraId="7AF29DEB" w14:textId="77777777" w:rsidTr="00857C06">
        <w:tc>
          <w:tcPr>
            <w:tcW w:w="5240" w:type="dxa"/>
          </w:tcPr>
          <w:p w14:paraId="32431FB6" w14:textId="77777777" w:rsidR="00C62FB9" w:rsidRPr="00E573E1" w:rsidRDefault="00C62FB9" w:rsidP="00C11150">
            <w:pPr>
              <w:pStyle w:val="TableHead"/>
              <w:jc w:val="left"/>
              <w:rPr>
                <w:sz w:val="24"/>
                <w:szCs w:val="24"/>
                <w:lang w:val="en-AU"/>
              </w:rPr>
            </w:pPr>
            <w:r w:rsidRPr="00E573E1">
              <w:rPr>
                <w:sz w:val="24"/>
                <w:szCs w:val="24"/>
                <w:lang w:val="en-AU"/>
              </w:rPr>
              <w:t>Active ingredient</w:t>
            </w:r>
          </w:p>
        </w:tc>
        <w:tc>
          <w:tcPr>
            <w:tcW w:w="2197" w:type="dxa"/>
          </w:tcPr>
          <w:p w14:paraId="54245F0F" w14:textId="77777777" w:rsidR="00C62FB9" w:rsidRPr="00E573E1" w:rsidRDefault="00C62FB9" w:rsidP="00C11150">
            <w:pPr>
              <w:pStyle w:val="TableHead"/>
              <w:jc w:val="left"/>
              <w:rPr>
                <w:sz w:val="24"/>
                <w:szCs w:val="24"/>
                <w:lang w:val="en-AU"/>
              </w:rPr>
            </w:pPr>
            <w:r w:rsidRPr="00E573E1">
              <w:rPr>
                <w:sz w:val="24"/>
                <w:szCs w:val="24"/>
                <w:lang w:val="en-AU"/>
              </w:rPr>
              <w:t>Quantity per actuation</w:t>
            </w:r>
          </w:p>
        </w:tc>
        <w:tc>
          <w:tcPr>
            <w:tcW w:w="2197" w:type="dxa"/>
          </w:tcPr>
          <w:p w14:paraId="125FA967" w14:textId="77777777" w:rsidR="00C62FB9" w:rsidRPr="00E573E1" w:rsidRDefault="00C62FB9" w:rsidP="00C11150">
            <w:pPr>
              <w:pStyle w:val="TableHead"/>
              <w:jc w:val="left"/>
              <w:rPr>
                <w:sz w:val="24"/>
                <w:szCs w:val="24"/>
                <w:lang w:val="en-AU"/>
              </w:rPr>
            </w:pPr>
            <w:r w:rsidRPr="00E573E1">
              <w:rPr>
                <w:sz w:val="24"/>
                <w:szCs w:val="24"/>
                <w:lang w:val="en-AU"/>
              </w:rPr>
              <w:t>Quantity per dose</w:t>
            </w:r>
            <w:r w:rsidRPr="00E573E1">
              <w:rPr>
                <w:sz w:val="24"/>
                <w:szCs w:val="24"/>
                <w:lang w:val="en-AU"/>
              </w:rPr>
              <w:br/>
              <w:t>(2 actuations)</w:t>
            </w:r>
          </w:p>
        </w:tc>
      </w:tr>
      <w:tr w:rsidR="00C62FB9" w:rsidRPr="00E573E1" w14:paraId="57B265C9" w14:textId="77777777" w:rsidTr="00857C06">
        <w:tc>
          <w:tcPr>
            <w:tcW w:w="5240" w:type="dxa"/>
          </w:tcPr>
          <w:p w14:paraId="6EBAA7BF" w14:textId="3B2EE28F" w:rsidR="00C62FB9" w:rsidRPr="00E573E1" w:rsidRDefault="002C7518" w:rsidP="00C11150">
            <w:pPr>
              <w:pStyle w:val="TableLeft"/>
              <w:rPr>
                <w:sz w:val="24"/>
                <w:lang w:val="en-AU"/>
              </w:rPr>
            </w:pPr>
            <w:r w:rsidRPr="00E573E1">
              <w:rPr>
                <w:sz w:val="24"/>
                <w:lang w:val="en-AU"/>
              </w:rPr>
              <w:t>Budesonide</w:t>
            </w:r>
          </w:p>
        </w:tc>
        <w:tc>
          <w:tcPr>
            <w:tcW w:w="2197" w:type="dxa"/>
          </w:tcPr>
          <w:p w14:paraId="09C22B6C" w14:textId="25C46A13" w:rsidR="00C62FB9" w:rsidRPr="00E573E1" w:rsidRDefault="006879E5" w:rsidP="00C11150">
            <w:pPr>
              <w:pStyle w:val="TableCenter"/>
              <w:jc w:val="left"/>
              <w:rPr>
                <w:sz w:val="24"/>
                <w:lang w:val="en-AU"/>
              </w:rPr>
            </w:pPr>
            <w:r w:rsidRPr="00E573E1">
              <w:rPr>
                <w:sz w:val="24"/>
                <w:lang w:val="en-AU"/>
              </w:rPr>
              <w:t>160</w:t>
            </w:r>
            <w:r w:rsidR="002C7518" w:rsidRPr="00E573E1">
              <w:rPr>
                <w:sz w:val="24"/>
                <w:lang w:val="en-AU"/>
              </w:rPr>
              <w:t> µg</w:t>
            </w:r>
            <w:r w:rsidR="00DB2E65" w:rsidRPr="00E573E1">
              <w:rPr>
                <w:sz w:val="24"/>
                <w:lang w:val="en-AU"/>
              </w:rPr>
              <w:t>*</w:t>
            </w:r>
          </w:p>
        </w:tc>
        <w:tc>
          <w:tcPr>
            <w:tcW w:w="2197" w:type="dxa"/>
          </w:tcPr>
          <w:p w14:paraId="79088A66" w14:textId="104D88CC" w:rsidR="00C62FB9" w:rsidRPr="00E573E1" w:rsidRDefault="00BB5EDB" w:rsidP="00C11150">
            <w:pPr>
              <w:pStyle w:val="TableCenter"/>
              <w:jc w:val="left"/>
              <w:rPr>
                <w:sz w:val="24"/>
                <w:lang w:val="en-AU"/>
              </w:rPr>
            </w:pPr>
            <w:r w:rsidRPr="00E573E1">
              <w:rPr>
                <w:sz w:val="24"/>
                <w:lang w:val="en-AU"/>
              </w:rPr>
              <w:t>32</w:t>
            </w:r>
            <w:r w:rsidR="002C7518" w:rsidRPr="00E573E1">
              <w:rPr>
                <w:sz w:val="24"/>
                <w:lang w:val="en-AU"/>
              </w:rPr>
              <w:t>0 µg</w:t>
            </w:r>
          </w:p>
        </w:tc>
      </w:tr>
      <w:tr w:rsidR="00C62FB9" w:rsidRPr="00E573E1" w14:paraId="18D9BA4B" w14:textId="77777777" w:rsidTr="00857C06">
        <w:tc>
          <w:tcPr>
            <w:tcW w:w="5240" w:type="dxa"/>
          </w:tcPr>
          <w:p w14:paraId="48A147D7" w14:textId="77777777" w:rsidR="00C62FB9" w:rsidRPr="00E573E1" w:rsidRDefault="00C62FB9" w:rsidP="00C11150">
            <w:pPr>
              <w:pStyle w:val="TableLeft"/>
              <w:rPr>
                <w:sz w:val="24"/>
                <w:lang w:val="en-AU"/>
              </w:rPr>
            </w:pPr>
            <w:proofErr w:type="spellStart"/>
            <w:r w:rsidRPr="00E573E1">
              <w:rPr>
                <w:sz w:val="24"/>
                <w:lang w:val="en-AU"/>
              </w:rPr>
              <w:t>Glycopyrronium</w:t>
            </w:r>
            <w:proofErr w:type="spellEnd"/>
            <w:r w:rsidRPr="00E573E1">
              <w:rPr>
                <w:sz w:val="24"/>
                <w:lang w:val="en-AU"/>
              </w:rPr>
              <w:t xml:space="preserve"> bromide (glycopyrrolate)</w:t>
            </w:r>
          </w:p>
        </w:tc>
        <w:tc>
          <w:tcPr>
            <w:tcW w:w="2197" w:type="dxa"/>
          </w:tcPr>
          <w:p w14:paraId="6E4DEC87" w14:textId="77777777" w:rsidR="00C62FB9" w:rsidRPr="00E573E1" w:rsidRDefault="00C62FB9" w:rsidP="00C11150">
            <w:pPr>
              <w:pStyle w:val="TableCenter"/>
              <w:jc w:val="left"/>
              <w:rPr>
                <w:sz w:val="24"/>
                <w:lang w:val="en-AU"/>
              </w:rPr>
            </w:pPr>
            <w:r w:rsidRPr="00E573E1">
              <w:rPr>
                <w:sz w:val="24"/>
                <w:lang w:val="en-AU"/>
              </w:rPr>
              <w:t>9 µg</w:t>
            </w:r>
          </w:p>
        </w:tc>
        <w:tc>
          <w:tcPr>
            <w:tcW w:w="2197" w:type="dxa"/>
          </w:tcPr>
          <w:p w14:paraId="3E77E6B0" w14:textId="77777777" w:rsidR="00C62FB9" w:rsidRPr="00E573E1" w:rsidRDefault="00C62FB9" w:rsidP="00C11150">
            <w:pPr>
              <w:pStyle w:val="TableCenter"/>
              <w:jc w:val="left"/>
              <w:rPr>
                <w:sz w:val="24"/>
                <w:lang w:val="en-AU"/>
              </w:rPr>
            </w:pPr>
            <w:r w:rsidRPr="00E573E1">
              <w:rPr>
                <w:sz w:val="24"/>
                <w:lang w:val="en-AU"/>
              </w:rPr>
              <w:t>18 µg</w:t>
            </w:r>
          </w:p>
        </w:tc>
      </w:tr>
      <w:tr w:rsidR="00C62FB9" w:rsidRPr="00E573E1" w14:paraId="64CCEA9D" w14:textId="77777777" w:rsidTr="00857C06">
        <w:tc>
          <w:tcPr>
            <w:tcW w:w="5240" w:type="dxa"/>
          </w:tcPr>
          <w:p w14:paraId="73CC863E" w14:textId="77777777" w:rsidR="00C62FB9" w:rsidRPr="00E573E1" w:rsidRDefault="00C62FB9" w:rsidP="00C11150">
            <w:pPr>
              <w:pStyle w:val="TableLeft"/>
              <w:rPr>
                <w:sz w:val="24"/>
                <w:lang w:val="en-AU"/>
              </w:rPr>
            </w:pPr>
            <w:r w:rsidRPr="00E573E1">
              <w:rPr>
                <w:sz w:val="24"/>
                <w:lang w:val="en-AU"/>
              </w:rPr>
              <w:t xml:space="preserve">     Equivalent to </w:t>
            </w:r>
            <w:proofErr w:type="spellStart"/>
            <w:r w:rsidRPr="00E573E1">
              <w:rPr>
                <w:sz w:val="24"/>
                <w:lang w:val="en-AU"/>
              </w:rPr>
              <w:t>glycopyrronium</w:t>
            </w:r>
            <w:proofErr w:type="spellEnd"/>
          </w:p>
        </w:tc>
        <w:tc>
          <w:tcPr>
            <w:tcW w:w="2197" w:type="dxa"/>
          </w:tcPr>
          <w:p w14:paraId="0846DECE" w14:textId="77777777" w:rsidR="00C62FB9" w:rsidRPr="00E573E1" w:rsidRDefault="00C62FB9" w:rsidP="00C11150">
            <w:pPr>
              <w:pStyle w:val="TableCenter"/>
              <w:jc w:val="left"/>
              <w:rPr>
                <w:sz w:val="24"/>
                <w:lang w:val="en-AU"/>
              </w:rPr>
            </w:pPr>
            <w:r w:rsidRPr="00E573E1">
              <w:rPr>
                <w:sz w:val="24"/>
                <w:lang w:val="en-AU"/>
              </w:rPr>
              <w:t>7.2 µg*</w:t>
            </w:r>
          </w:p>
        </w:tc>
        <w:tc>
          <w:tcPr>
            <w:tcW w:w="2197" w:type="dxa"/>
          </w:tcPr>
          <w:p w14:paraId="21DE3611" w14:textId="77777777" w:rsidR="00C62FB9" w:rsidRPr="00E573E1" w:rsidRDefault="00C62FB9" w:rsidP="00C11150">
            <w:pPr>
              <w:pStyle w:val="TableCenter"/>
              <w:jc w:val="left"/>
              <w:rPr>
                <w:sz w:val="24"/>
                <w:lang w:val="en-AU"/>
              </w:rPr>
            </w:pPr>
            <w:r w:rsidRPr="00E573E1">
              <w:rPr>
                <w:sz w:val="24"/>
                <w:lang w:val="en-AU"/>
              </w:rPr>
              <w:t>14.4 µg</w:t>
            </w:r>
          </w:p>
        </w:tc>
      </w:tr>
      <w:tr w:rsidR="00C62FB9" w:rsidRPr="00E573E1" w14:paraId="03D4FFE1" w14:textId="77777777" w:rsidTr="00857C06">
        <w:tc>
          <w:tcPr>
            <w:tcW w:w="5240" w:type="dxa"/>
          </w:tcPr>
          <w:p w14:paraId="24516AF8" w14:textId="77777777" w:rsidR="00C62FB9" w:rsidRPr="00E573E1" w:rsidRDefault="00C62FB9" w:rsidP="00C11150">
            <w:pPr>
              <w:pStyle w:val="TableLeft"/>
              <w:rPr>
                <w:sz w:val="24"/>
                <w:lang w:val="en-AU"/>
              </w:rPr>
            </w:pPr>
            <w:r w:rsidRPr="00E573E1">
              <w:rPr>
                <w:sz w:val="24"/>
                <w:lang w:val="en-AU"/>
              </w:rPr>
              <w:t>Formoterol (</w:t>
            </w:r>
            <w:proofErr w:type="spellStart"/>
            <w:r w:rsidRPr="00E573E1">
              <w:rPr>
                <w:sz w:val="24"/>
                <w:lang w:val="en-AU"/>
              </w:rPr>
              <w:t>eformoterol</w:t>
            </w:r>
            <w:proofErr w:type="spellEnd"/>
            <w:r w:rsidRPr="00E573E1">
              <w:rPr>
                <w:sz w:val="24"/>
                <w:lang w:val="en-AU"/>
              </w:rPr>
              <w:t>) fumarate dihydrate</w:t>
            </w:r>
          </w:p>
        </w:tc>
        <w:tc>
          <w:tcPr>
            <w:tcW w:w="2197" w:type="dxa"/>
          </w:tcPr>
          <w:p w14:paraId="62816F14" w14:textId="77777777" w:rsidR="00C62FB9" w:rsidRPr="00E573E1" w:rsidRDefault="00C62FB9" w:rsidP="00C11150">
            <w:pPr>
              <w:pStyle w:val="TableCenter"/>
              <w:jc w:val="left"/>
              <w:rPr>
                <w:sz w:val="24"/>
                <w:lang w:val="en-AU"/>
              </w:rPr>
            </w:pPr>
            <w:r w:rsidRPr="00E573E1">
              <w:rPr>
                <w:sz w:val="24"/>
                <w:lang w:val="en-AU"/>
              </w:rPr>
              <w:t>5 µg*</w:t>
            </w:r>
          </w:p>
        </w:tc>
        <w:tc>
          <w:tcPr>
            <w:tcW w:w="2197" w:type="dxa"/>
          </w:tcPr>
          <w:p w14:paraId="1A8F3AF1" w14:textId="77777777" w:rsidR="00C62FB9" w:rsidRPr="00E573E1" w:rsidRDefault="00C62FB9" w:rsidP="00C11150">
            <w:pPr>
              <w:pStyle w:val="TableCenter"/>
              <w:jc w:val="left"/>
              <w:rPr>
                <w:sz w:val="24"/>
                <w:lang w:val="en-AU"/>
              </w:rPr>
            </w:pPr>
            <w:r w:rsidRPr="00E573E1">
              <w:rPr>
                <w:sz w:val="24"/>
                <w:lang w:val="en-AU"/>
              </w:rPr>
              <w:t>10 µg</w:t>
            </w:r>
          </w:p>
        </w:tc>
      </w:tr>
      <w:tr w:rsidR="00C62FB9" w:rsidRPr="00E573E1" w14:paraId="6CBD5D79" w14:textId="77777777" w:rsidTr="00857C06">
        <w:tc>
          <w:tcPr>
            <w:tcW w:w="5240" w:type="dxa"/>
          </w:tcPr>
          <w:p w14:paraId="1D69036D" w14:textId="77777777" w:rsidR="00C62FB9" w:rsidRPr="00E573E1" w:rsidRDefault="00C62FB9" w:rsidP="00C11150">
            <w:pPr>
              <w:pStyle w:val="TableLeft"/>
              <w:rPr>
                <w:sz w:val="24"/>
                <w:lang w:val="en-AU"/>
              </w:rPr>
            </w:pPr>
            <w:r w:rsidRPr="00E573E1">
              <w:rPr>
                <w:sz w:val="24"/>
                <w:lang w:val="en-AU"/>
              </w:rPr>
              <w:t xml:space="preserve">     Equivalent to formoterol (</w:t>
            </w:r>
            <w:proofErr w:type="spellStart"/>
            <w:r w:rsidRPr="00E573E1">
              <w:rPr>
                <w:sz w:val="24"/>
                <w:lang w:val="en-AU"/>
              </w:rPr>
              <w:t>eformoterol</w:t>
            </w:r>
            <w:proofErr w:type="spellEnd"/>
            <w:r w:rsidRPr="00E573E1">
              <w:rPr>
                <w:sz w:val="24"/>
                <w:lang w:val="en-AU"/>
              </w:rPr>
              <w:t>) fumarate</w:t>
            </w:r>
          </w:p>
        </w:tc>
        <w:tc>
          <w:tcPr>
            <w:tcW w:w="2197" w:type="dxa"/>
          </w:tcPr>
          <w:p w14:paraId="60B53846" w14:textId="77777777" w:rsidR="00C62FB9" w:rsidRPr="00E573E1" w:rsidRDefault="00C62FB9" w:rsidP="00C11150">
            <w:pPr>
              <w:pStyle w:val="TableCenter"/>
              <w:jc w:val="left"/>
              <w:rPr>
                <w:sz w:val="24"/>
                <w:lang w:val="en-AU"/>
              </w:rPr>
            </w:pPr>
            <w:r w:rsidRPr="00E573E1">
              <w:rPr>
                <w:sz w:val="24"/>
                <w:lang w:val="en-AU"/>
              </w:rPr>
              <w:t>4.8 µg</w:t>
            </w:r>
          </w:p>
        </w:tc>
        <w:tc>
          <w:tcPr>
            <w:tcW w:w="2197" w:type="dxa"/>
          </w:tcPr>
          <w:p w14:paraId="233CC0CE" w14:textId="77777777" w:rsidR="00C62FB9" w:rsidRPr="00E573E1" w:rsidRDefault="00C62FB9" w:rsidP="00C11150">
            <w:pPr>
              <w:pStyle w:val="TableCenter"/>
              <w:jc w:val="left"/>
              <w:rPr>
                <w:sz w:val="24"/>
                <w:lang w:val="en-AU"/>
              </w:rPr>
            </w:pPr>
            <w:r w:rsidRPr="00E573E1">
              <w:rPr>
                <w:sz w:val="24"/>
                <w:lang w:val="en-AU"/>
              </w:rPr>
              <w:t>9.6 µg</w:t>
            </w:r>
          </w:p>
        </w:tc>
      </w:tr>
    </w:tbl>
    <w:p w14:paraId="37B7E577" w14:textId="77777777" w:rsidR="00C62FB9" w:rsidRPr="00E573E1" w:rsidRDefault="00C62FB9" w:rsidP="00C11150">
      <w:pPr>
        <w:pStyle w:val="TableFootnoteInfo"/>
        <w:rPr>
          <w:lang w:val="en-AU"/>
        </w:rPr>
      </w:pPr>
      <w:r w:rsidRPr="00E573E1">
        <w:rPr>
          <w:lang w:val="en-AU"/>
        </w:rPr>
        <w:t>*Quantity presented on the product packaging.</w:t>
      </w:r>
    </w:p>
    <w:p w14:paraId="24EADF79" w14:textId="77777777" w:rsidR="00C62FB9" w:rsidRPr="00E573E1" w:rsidRDefault="00C62FB9" w:rsidP="00C11150">
      <w:pPr>
        <w:pStyle w:val="Paragraph"/>
        <w:spacing w:after="0"/>
        <w:rPr>
          <w:rFonts w:eastAsia="SimSun"/>
          <w:lang w:val="en-AU"/>
        </w:rPr>
      </w:pPr>
    </w:p>
    <w:p w14:paraId="40D10496" w14:textId="027D219C" w:rsidR="00ED27EC" w:rsidRPr="00E573E1" w:rsidRDefault="00ED27EC" w:rsidP="00C11150">
      <w:pPr>
        <w:pStyle w:val="Paragraph"/>
        <w:rPr>
          <w:rFonts w:eastAsia="SimSun"/>
          <w:lang w:val="en-AU"/>
        </w:rPr>
      </w:pPr>
      <w:r w:rsidRPr="00E573E1">
        <w:rPr>
          <w:rFonts w:eastAsia="SimSun"/>
          <w:lang w:val="en-AU"/>
        </w:rPr>
        <w:t xml:space="preserve">For the full list of excipients, see Section </w:t>
      </w:r>
      <w:r w:rsidRPr="00E573E1">
        <w:rPr>
          <w:rFonts w:eastAsia="SimSun"/>
          <w:lang w:val="en-AU"/>
        </w:rPr>
        <w:fldChar w:fldCharType="begin"/>
      </w:r>
      <w:r w:rsidRPr="00E573E1">
        <w:rPr>
          <w:rFonts w:eastAsia="SimSun"/>
          <w:lang w:val="en-AU"/>
        </w:rPr>
        <w:instrText xml:space="preserve"> REF _Ref505768678 \r \h </w:instrText>
      </w:r>
      <w:r w:rsidR="00986EEB" w:rsidRPr="00E573E1">
        <w:rPr>
          <w:rFonts w:eastAsia="SimSun"/>
          <w:lang w:val="en-AU"/>
        </w:rPr>
        <w:instrText xml:space="preserve"> \* MERGEFORMAT </w:instrText>
      </w:r>
      <w:r w:rsidRPr="00E573E1">
        <w:rPr>
          <w:rFonts w:eastAsia="SimSun"/>
          <w:lang w:val="en-AU"/>
        </w:rPr>
      </w:r>
      <w:r w:rsidRPr="00E573E1">
        <w:rPr>
          <w:rFonts w:eastAsia="SimSun"/>
          <w:lang w:val="en-AU"/>
        </w:rPr>
        <w:fldChar w:fldCharType="separate"/>
      </w:r>
      <w:r w:rsidR="00960F91">
        <w:rPr>
          <w:rFonts w:eastAsia="SimSun"/>
          <w:lang w:val="en-AU"/>
        </w:rPr>
        <w:t>6.1</w:t>
      </w:r>
      <w:r w:rsidRPr="00E573E1">
        <w:rPr>
          <w:rFonts w:eastAsia="SimSun"/>
          <w:lang w:val="en-AU"/>
        </w:rPr>
        <w:fldChar w:fldCharType="end"/>
      </w:r>
      <w:r w:rsidR="007228AC" w:rsidRPr="00E573E1">
        <w:rPr>
          <w:rFonts w:eastAsia="SimSun"/>
          <w:lang w:val="en-AU"/>
        </w:rPr>
        <w:t xml:space="preserve"> </w:t>
      </w:r>
      <w:r w:rsidR="007228AC" w:rsidRPr="00E573E1">
        <w:rPr>
          <w:rFonts w:eastAsia="SimSun"/>
          <w:lang w:val="en-AU"/>
        </w:rPr>
        <w:fldChar w:fldCharType="begin"/>
      </w:r>
      <w:r w:rsidR="007228AC" w:rsidRPr="00E573E1">
        <w:rPr>
          <w:rFonts w:eastAsia="SimSun"/>
          <w:lang w:val="en-AU"/>
        </w:rPr>
        <w:instrText xml:space="preserve"> REF _Ref505768678 \h  \* MERGEFORMAT </w:instrText>
      </w:r>
      <w:r w:rsidR="007228AC" w:rsidRPr="00E573E1">
        <w:rPr>
          <w:rFonts w:eastAsia="SimSun"/>
          <w:lang w:val="en-AU"/>
        </w:rPr>
      </w:r>
      <w:r w:rsidR="007228AC" w:rsidRPr="00E573E1">
        <w:rPr>
          <w:rFonts w:eastAsia="SimSun"/>
          <w:lang w:val="en-AU"/>
        </w:rPr>
        <w:fldChar w:fldCharType="separate"/>
      </w:r>
      <w:r w:rsidR="00960F91" w:rsidRPr="00E573E1">
        <w:rPr>
          <w:lang w:val="en-AU"/>
        </w:rPr>
        <w:t>List of excipients</w:t>
      </w:r>
      <w:r w:rsidR="007228AC" w:rsidRPr="00E573E1">
        <w:rPr>
          <w:rFonts w:eastAsia="SimSun"/>
          <w:lang w:val="en-AU"/>
        </w:rPr>
        <w:fldChar w:fldCharType="end"/>
      </w:r>
      <w:r w:rsidR="007228AC" w:rsidRPr="00E573E1">
        <w:rPr>
          <w:rFonts w:eastAsia="SimSun"/>
          <w:lang w:val="en-AU"/>
        </w:rPr>
        <w:t>.</w:t>
      </w:r>
    </w:p>
    <w:bookmarkEnd w:id="2"/>
    <w:p w14:paraId="2DA9D1B3" w14:textId="77777777" w:rsidR="001A3992" w:rsidRPr="00E573E1" w:rsidRDefault="001A3992" w:rsidP="00C11150">
      <w:pPr>
        <w:pStyle w:val="Heading1"/>
        <w:rPr>
          <w:lang w:val="en-AU"/>
        </w:rPr>
      </w:pPr>
      <w:r w:rsidRPr="00E573E1">
        <w:rPr>
          <w:lang w:val="en-AU"/>
        </w:rPr>
        <w:t>Pharmaceutical form</w:t>
      </w:r>
    </w:p>
    <w:p w14:paraId="31D884C4" w14:textId="77777777" w:rsidR="002C7518" w:rsidRPr="00E573E1" w:rsidRDefault="002C7518" w:rsidP="00C11150">
      <w:pPr>
        <w:pStyle w:val="Paragraph"/>
        <w:rPr>
          <w:lang w:val="en-AU"/>
        </w:rPr>
      </w:pPr>
      <w:r w:rsidRPr="00E573E1">
        <w:rPr>
          <w:lang w:val="en-AU"/>
        </w:rPr>
        <w:t>Pressurised inhalation</w:t>
      </w:r>
    </w:p>
    <w:p w14:paraId="00E9F428" w14:textId="77777777" w:rsidR="001A3992" w:rsidRPr="00E573E1" w:rsidRDefault="001A3992" w:rsidP="00C11150">
      <w:pPr>
        <w:pStyle w:val="Heading1"/>
        <w:rPr>
          <w:lang w:val="en-AU"/>
        </w:rPr>
      </w:pPr>
      <w:r w:rsidRPr="00E573E1">
        <w:rPr>
          <w:lang w:val="en-AU"/>
        </w:rPr>
        <w:t>Clinical particulars</w:t>
      </w:r>
    </w:p>
    <w:p w14:paraId="2A484347" w14:textId="1E9A5BA1" w:rsidR="001A3992" w:rsidRPr="00E573E1" w:rsidRDefault="001A3992" w:rsidP="00C11150">
      <w:pPr>
        <w:pStyle w:val="Heading2"/>
        <w:rPr>
          <w:lang w:val="en-AU"/>
        </w:rPr>
      </w:pPr>
      <w:r w:rsidRPr="00E573E1">
        <w:rPr>
          <w:lang w:val="en-AU"/>
        </w:rPr>
        <w:t>Therapeutic indi</w:t>
      </w:r>
      <w:r w:rsidR="003B7CFF" w:rsidRPr="00E573E1">
        <w:rPr>
          <w:lang w:val="en-AU"/>
        </w:rPr>
        <w:t>cations</w:t>
      </w:r>
    </w:p>
    <w:p w14:paraId="22B9E0F1" w14:textId="254AA411" w:rsidR="00097E40" w:rsidRDefault="00097E40" w:rsidP="00C11150">
      <w:pPr>
        <w:pStyle w:val="Paragraph"/>
        <w:rPr>
          <w:lang w:val="en-AU"/>
        </w:rPr>
      </w:pPr>
      <w:bookmarkStart w:id="7" w:name="_Hlk39848511"/>
      <w:r w:rsidRPr="00E573E1">
        <w:rPr>
          <w:lang w:val="en-AU"/>
        </w:rPr>
        <w:t xml:space="preserve">Maintenance treatment to prevent exacerbations and relieve symptoms in adults with </w:t>
      </w:r>
      <w:r w:rsidR="008E7764">
        <w:rPr>
          <w:lang w:val="en-AU"/>
        </w:rPr>
        <w:t>moderate, severe, or very severe chronic obstructive pulmonary disease (</w:t>
      </w:r>
      <w:r w:rsidRPr="00E573E1">
        <w:rPr>
          <w:lang w:val="en-AU"/>
        </w:rPr>
        <w:t>COPD</w:t>
      </w:r>
      <w:r w:rsidR="008E7764">
        <w:rPr>
          <w:lang w:val="en-AU"/>
        </w:rPr>
        <w:t>)</w:t>
      </w:r>
      <w:r w:rsidRPr="00E573E1">
        <w:rPr>
          <w:lang w:val="en-AU"/>
        </w:rPr>
        <w:t xml:space="preserve"> who require treatment with </w:t>
      </w:r>
      <w:r w:rsidR="008E7764">
        <w:rPr>
          <w:lang w:val="en-AU"/>
        </w:rPr>
        <w:t xml:space="preserve">a combination of an inhaled corticosteroid (ICS), a long-acting </w:t>
      </w:r>
      <w:r w:rsidR="00CC03A6" w:rsidRPr="00E573E1">
        <w:rPr>
          <w:lang w:val="en-AU"/>
        </w:rPr>
        <w:t>β</w:t>
      </w:r>
      <w:r w:rsidR="00CC03A6" w:rsidRPr="00E573E1">
        <w:rPr>
          <w:vertAlign w:val="subscript"/>
          <w:lang w:val="en-AU"/>
        </w:rPr>
        <w:t>2</w:t>
      </w:r>
      <w:r w:rsidR="008E7764">
        <w:rPr>
          <w:lang w:val="en-AU"/>
        </w:rPr>
        <w:t>-agonist (LABA), and a long-acting muscarinic antagonist (</w:t>
      </w:r>
      <w:r w:rsidRPr="00E573E1">
        <w:rPr>
          <w:lang w:val="en-AU"/>
        </w:rPr>
        <w:t>LAMA</w:t>
      </w:r>
      <w:r w:rsidR="008E7764">
        <w:rPr>
          <w:lang w:val="en-AU"/>
        </w:rPr>
        <w:t>)</w:t>
      </w:r>
      <w:r w:rsidRPr="00E573E1">
        <w:rPr>
          <w:lang w:val="en-AU"/>
        </w:rPr>
        <w:t>.</w:t>
      </w:r>
    </w:p>
    <w:p w14:paraId="517DAAFA" w14:textId="1F37E6AB" w:rsidR="001E676B" w:rsidRPr="00E573E1" w:rsidRDefault="001E676B" w:rsidP="00C11150">
      <w:pPr>
        <w:pStyle w:val="Paragraph"/>
        <w:rPr>
          <w:lang w:val="en-AU"/>
        </w:rPr>
      </w:pPr>
      <w:r>
        <w:rPr>
          <w:lang w:val="en-AU"/>
        </w:rPr>
        <w:lastRenderedPageBreak/>
        <w:t>BREZTRI AEROSPHERE 160/7.2/5 is not indicated for the initiation of therapy in COPD.</w:t>
      </w:r>
    </w:p>
    <w:bookmarkEnd w:id="7"/>
    <w:p w14:paraId="71A16318" w14:textId="77777777" w:rsidR="003B7CFF" w:rsidRPr="00E573E1" w:rsidRDefault="001A3992" w:rsidP="00C11150">
      <w:pPr>
        <w:pStyle w:val="Heading2"/>
        <w:rPr>
          <w:lang w:val="en-AU"/>
        </w:rPr>
      </w:pPr>
      <w:r w:rsidRPr="00E573E1">
        <w:rPr>
          <w:lang w:val="en-AU"/>
        </w:rPr>
        <w:t>Dose and method of administration</w:t>
      </w:r>
    </w:p>
    <w:p w14:paraId="436E2F0F" w14:textId="77777777" w:rsidR="002C7518" w:rsidRPr="00E573E1" w:rsidRDefault="002C7518" w:rsidP="00C11150">
      <w:pPr>
        <w:pStyle w:val="Heading3Unnumbered"/>
        <w:rPr>
          <w:lang w:val="en-AU"/>
        </w:rPr>
      </w:pPr>
      <w:r w:rsidRPr="00E573E1">
        <w:rPr>
          <w:lang w:val="en-AU"/>
        </w:rPr>
        <w:t>Dosage</w:t>
      </w:r>
    </w:p>
    <w:p w14:paraId="751030A2" w14:textId="77777777" w:rsidR="002C7518" w:rsidRPr="00E573E1" w:rsidRDefault="002C7518" w:rsidP="00C11150">
      <w:pPr>
        <w:pStyle w:val="Heading4Unnumbered"/>
        <w:rPr>
          <w:lang w:val="en-AU"/>
        </w:rPr>
      </w:pPr>
      <w:r w:rsidRPr="00E573E1">
        <w:rPr>
          <w:lang w:val="en-AU"/>
        </w:rPr>
        <w:t>Adults (18 years and over)</w:t>
      </w:r>
    </w:p>
    <w:p w14:paraId="09269D0F" w14:textId="77777777" w:rsidR="002C7518" w:rsidRPr="00E573E1" w:rsidRDefault="002C7518" w:rsidP="00C11150">
      <w:pPr>
        <w:pStyle w:val="Paragraph"/>
        <w:rPr>
          <w:lang w:val="en-AU"/>
        </w:rPr>
      </w:pPr>
      <w:r w:rsidRPr="00E573E1">
        <w:rPr>
          <w:lang w:val="en-AU"/>
        </w:rPr>
        <w:t>The recommended dose is two actuations twice daily</w:t>
      </w:r>
      <w:r w:rsidRPr="00E573E1">
        <w:rPr>
          <w:rFonts w:cs="Arial"/>
          <w:sz w:val="20"/>
          <w:lang w:val="en-AU"/>
        </w:rPr>
        <w:t xml:space="preserve"> </w:t>
      </w:r>
      <w:r w:rsidRPr="00E573E1">
        <w:rPr>
          <w:lang w:val="en-AU"/>
        </w:rPr>
        <w:t>(two actuations in the morning and two actuations in the evening).</w:t>
      </w:r>
    </w:p>
    <w:p w14:paraId="2963F2A3" w14:textId="77777777" w:rsidR="002C7518" w:rsidRPr="00E573E1" w:rsidRDefault="002C7518" w:rsidP="00C11150">
      <w:pPr>
        <w:pStyle w:val="Paragraph"/>
        <w:rPr>
          <w:lang w:val="en-AU"/>
        </w:rPr>
      </w:pPr>
      <w:r w:rsidRPr="00E573E1">
        <w:rPr>
          <w:lang w:val="en-AU"/>
        </w:rPr>
        <w:t>Patients should be advised not to take more than two actuations twice daily.</w:t>
      </w:r>
    </w:p>
    <w:p w14:paraId="7A6014CD" w14:textId="77777777" w:rsidR="002C7518" w:rsidRPr="00E573E1" w:rsidRDefault="002C7518" w:rsidP="00C11150">
      <w:pPr>
        <w:pStyle w:val="Heading4Unnumbered"/>
        <w:rPr>
          <w:lang w:val="en-AU"/>
        </w:rPr>
      </w:pPr>
      <w:bookmarkStart w:id="8" w:name="_Hlk505357766"/>
      <w:r w:rsidRPr="00E573E1">
        <w:rPr>
          <w:lang w:val="en-AU"/>
        </w:rPr>
        <w:t>Special patient populations</w:t>
      </w:r>
    </w:p>
    <w:bookmarkEnd w:id="8"/>
    <w:p w14:paraId="530B0883" w14:textId="77777777" w:rsidR="002C7518" w:rsidRPr="00E573E1" w:rsidRDefault="002C7518" w:rsidP="00C11150">
      <w:pPr>
        <w:pStyle w:val="Heading5unnumbered"/>
        <w:rPr>
          <w:lang w:val="en-AU"/>
        </w:rPr>
      </w:pPr>
      <w:r w:rsidRPr="00E573E1">
        <w:rPr>
          <w:lang w:val="en-AU"/>
        </w:rPr>
        <w:t>Renal impairment</w:t>
      </w:r>
    </w:p>
    <w:p w14:paraId="69527629" w14:textId="6A045745" w:rsidR="002C7518" w:rsidRPr="00E573E1" w:rsidRDefault="00D67281" w:rsidP="00C11150">
      <w:pPr>
        <w:pStyle w:val="Paragraph"/>
        <w:rPr>
          <w:color w:val="000000" w:themeColor="text1"/>
          <w:lang w:val="en-AU"/>
        </w:rPr>
      </w:pPr>
      <w:r w:rsidRPr="00E573E1">
        <w:rPr>
          <w:rFonts w:eastAsia="SimSun"/>
          <w:color w:val="000000" w:themeColor="text1"/>
          <w:lang w:val="en-AU" w:eastAsia="fr-FR"/>
        </w:rPr>
        <w:t>No dosage adjustment is necessary for patients with renal impairment</w:t>
      </w:r>
      <w:r w:rsidR="00BE71C4" w:rsidRPr="00E573E1">
        <w:rPr>
          <w:rFonts w:eastAsia="SimSun"/>
          <w:color w:val="000000" w:themeColor="text1"/>
          <w:lang w:val="en-AU" w:eastAsia="fr-FR"/>
        </w:rPr>
        <w:t xml:space="preserve"> </w:t>
      </w:r>
      <w:r w:rsidR="00BE71C4" w:rsidRPr="00E573E1">
        <w:rPr>
          <w:color w:val="000000" w:themeColor="text1"/>
          <w:lang w:val="en-AU"/>
        </w:rPr>
        <w:t xml:space="preserve">(see Section 4.4 </w:t>
      </w:r>
      <w:r w:rsidR="00BE71C4" w:rsidRPr="00E573E1">
        <w:rPr>
          <w:color w:val="000000" w:themeColor="text1"/>
          <w:lang w:val="en-AU"/>
        </w:rPr>
        <w:fldChar w:fldCharType="begin"/>
      </w:r>
      <w:r w:rsidR="00BE71C4" w:rsidRPr="00E573E1">
        <w:rPr>
          <w:color w:val="000000" w:themeColor="text1"/>
          <w:lang w:val="en-AU"/>
        </w:rPr>
        <w:instrText xml:space="preserve"> REF _Ref37057912 \h  \* MERGEFORMAT </w:instrText>
      </w:r>
      <w:r w:rsidR="00BE71C4" w:rsidRPr="00E573E1">
        <w:rPr>
          <w:color w:val="000000" w:themeColor="text1"/>
          <w:lang w:val="en-AU"/>
        </w:rPr>
      </w:r>
      <w:r w:rsidR="00BE71C4" w:rsidRPr="00E573E1">
        <w:rPr>
          <w:color w:val="000000" w:themeColor="text1"/>
          <w:lang w:val="en-AU"/>
        </w:rPr>
        <w:fldChar w:fldCharType="separate"/>
      </w:r>
      <w:r w:rsidR="00960F91" w:rsidRPr="00960F91">
        <w:rPr>
          <w:color w:val="000000" w:themeColor="text1"/>
          <w:lang w:val="en-AU"/>
        </w:rPr>
        <w:t>Special warnings and precautions for use</w:t>
      </w:r>
      <w:r w:rsidR="00BE71C4" w:rsidRPr="00E573E1">
        <w:rPr>
          <w:color w:val="000000" w:themeColor="text1"/>
          <w:lang w:val="en-AU"/>
        </w:rPr>
        <w:fldChar w:fldCharType="end"/>
      </w:r>
      <w:r w:rsidR="00BE71C4" w:rsidRPr="00E573E1">
        <w:rPr>
          <w:color w:val="000000" w:themeColor="text1"/>
          <w:lang w:val="en-AU"/>
        </w:rPr>
        <w:t xml:space="preserve"> [</w:t>
      </w:r>
      <w:r w:rsidR="00BE71C4" w:rsidRPr="00E573E1">
        <w:rPr>
          <w:i/>
          <w:color w:val="000000" w:themeColor="text1"/>
          <w:lang w:val="en-AU"/>
        </w:rPr>
        <w:t>Use in hepatic impairment</w:t>
      </w:r>
      <w:r w:rsidR="00BE71C4" w:rsidRPr="00E573E1">
        <w:rPr>
          <w:color w:val="000000" w:themeColor="text1"/>
          <w:lang w:val="en-AU"/>
        </w:rPr>
        <w:t xml:space="preserve">] and Section </w:t>
      </w:r>
      <w:r w:rsidR="00BB56D0" w:rsidRPr="00E573E1">
        <w:rPr>
          <w:color w:val="000000" w:themeColor="text1"/>
          <w:lang w:val="en-AU"/>
        </w:rPr>
        <w:fldChar w:fldCharType="begin"/>
      </w:r>
      <w:r w:rsidR="00BB56D0" w:rsidRPr="00E573E1">
        <w:rPr>
          <w:color w:val="000000" w:themeColor="text1"/>
          <w:lang w:val="en-AU"/>
        </w:rPr>
        <w:instrText xml:space="preserve"> REF _Ref34049480 \r \h </w:instrText>
      </w:r>
      <w:r w:rsidR="00BB56D0" w:rsidRPr="00E573E1">
        <w:rPr>
          <w:color w:val="000000" w:themeColor="text1"/>
          <w:lang w:val="en-AU"/>
        </w:rPr>
      </w:r>
      <w:r w:rsidR="00C11150">
        <w:rPr>
          <w:color w:val="000000" w:themeColor="text1"/>
          <w:lang w:val="en-AU"/>
        </w:rPr>
        <w:instrText xml:space="preserve"> \* MERGEFORMAT </w:instrText>
      </w:r>
      <w:r w:rsidR="00BB56D0" w:rsidRPr="00E573E1">
        <w:rPr>
          <w:color w:val="000000" w:themeColor="text1"/>
          <w:lang w:val="en-AU"/>
        </w:rPr>
        <w:fldChar w:fldCharType="separate"/>
      </w:r>
      <w:r w:rsidR="00960F91">
        <w:rPr>
          <w:color w:val="000000" w:themeColor="text1"/>
          <w:lang w:val="en-AU"/>
        </w:rPr>
        <w:t>5.2</w:t>
      </w:r>
      <w:r w:rsidR="00BB56D0" w:rsidRPr="00E573E1">
        <w:rPr>
          <w:color w:val="000000" w:themeColor="text1"/>
          <w:lang w:val="en-AU"/>
        </w:rPr>
        <w:fldChar w:fldCharType="end"/>
      </w:r>
      <w:r w:rsidR="00B9672C" w:rsidRPr="00E573E1">
        <w:rPr>
          <w:color w:val="000000" w:themeColor="text1"/>
          <w:lang w:val="en-AU"/>
        </w:rPr>
        <w:t xml:space="preserve"> </w:t>
      </w:r>
      <w:r w:rsidR="00BE71C4" w:rsidRPr="00E573E1">
        <w:rPr>
          <w:color w:val="000000" w:themeColor="text1"/>
          <w:lang w:val="en-AU"/>
        </w:rPr>
        <w:fldChar w:fldCharType="begin"/>
      </w:r>
      <w:r w:rsidR="00BE71C4" w:rsidRPr="00E573E1">
        <w:rPr>
          <w:color w:val="000000" w:themeColor="text1"/>
          <w:lang w:val="en-AU"/>
        </w:rPr>
        <w:instrText xml:space="preserve"> REF _Ref34049480 \h  \* MERGEFORMAT </w:instrText>
      </w:r>
      <w:r w:rsidR="00BE71C4" w:rsidRPr="00E573E1">
        <w:rPr>
          <w:color w:val="000000" w:themeColor="text1"/>
          <w:lang w:val="en-AU"/>
        </w:rPr>
      </w:r>
      <w:r w:rsidR="00BE71C4" w:rsidRPr="00E573E1">
        <w:rPr>
          <w:color w:val="000000" w:themeColor="text1"/>
          <w:lang w:val="en-AU"/>
        </w:rPr>
        <w:fldChar w:fldCharType="separate"/>
      </w:r>
      <w:r w:rsidR="00960F91" w:rsidRPr="00960F91">
        <w:rPr>
          <w:color w:val="000000" w:themeColor="text1"/>
          <w:lang w:val="en-AU"/>
        </w:rPr>
        <w:t>Pharmacokinetic properties</w:t>
      </w:r>
      <w:r w:rsidR="00BE71C4" w:rsidRPr="00E573E1">
        <w:rPr>
          <w:color w:val="000000" w:themeColor="text1"/>
          <w:lang w:val="en-AU"/>
        </w:rPr>
        <w:fldChar w:fldCharType="end"/>
      </w:r>
      <w:r w:rsidR="00BE71C4" w:rsidRPr="00E573E1">
        <w:rPr>
          <w:color w:val="000000" w:themeColor="text1"/>
          <w:lang w:val="en-AU"/>
        </w:rPr>
        <w:t xml:space="preserve"> [</w:t>
      </w:r>
      <w:r w:rsidR="00BE71C4" w:rsidRPr="00E573E1">
        <w:rPr>
          <w:i/>
          <w:color w:val="000000" w:themeColor="text1"/>
          <w:lang w:val="en-AU"/>
        </w:rPr>
        <w:t>Special patient populations</w:t>
      </w:r>
      <w:r w:rsidR="00BE71C4" w:rsidRPr="00E573E1">
        <w:rPr>
          <w:color w:val="000000" w:themeColor="text1"/>
          <w:lang w:val="en-AU"/>
        </w:rPr>
        <w:t>/</w:t>
      </w:r>
      <w:r w:rsidR="00BE71C4" w:rsidRPr="00E573E1">
        <w:rPr>
          <w:i/>
          <w:color w:val="000000" w:themeColor="text1"/>
          <w:lang w:val="en-AU"/>
        </w:rPr>
        <w:t>Hepatic impairment</w:t>
      </w:r>
      <w:r w:rsidR="00BE71C4" w:rsidRPr="00E573E1">
        <w:rPr>
          <w:color w:val="000000" w:themeColor="text1"/>
          <w:lang w:val="en-AU"/>
        </w:rPr>
        <w:t>]).</w:t>
      </w:r>
    </w:p>
    <w:p w14:paraId="1B8BE44E" w14:textId="77777777" w:rsidR="002C7518" w:rsidRPr="00E573E1" w:rsidRDefault="002C7518" w:rsidP="00C11150">
      <w:pPr>
        <w:pStyle w:val="Heading5unnumbered"/>
        <w:rPr>
          <w:lang w:val="en-AU"/>
        </w:rPr>
      </w:pPr>
      <w:r w:rsidRPr="00E573E1">
        <w:rPr>
          <w:lang w:val="en-AU"/>
        </w:rPr>
        <w:t>Hepatic impairment</w:t>
      </w:r>
    </w:p>
    <w:p w14:paraId="60C23CE8" w14:textId="4394E8D4" w:rsidR="002C7518" w:rsidRPr="00E573E1" w:rsidRDefault="002C7518" w:rsidP="00C11150">
      <w:pPr>
        <w:pStyle w:val="Paragraph"/>
        <w:rPr>
          <w:lang w:val="en-AU"/>
        </w:rPr>
      </w:pPr>
      <w:r w:rsidRPr="00E573E1">
        <w:rPr>
          <w:lang w:val="en-AU"/>
        </w:rPr>
        <w:t xml:space="preserve">No dosage adjustment is necessary for patients with hepatic impairment (see Section </w:t>
      </w:r>
      <w:r w:rsidR="00E7079F" w:rsidRPr="00E573E1">
        <w:rPr>
          <w:lang w:val="en-AU"/>
        </w:rPr>
        <w:t xml:space="preserve">4.4 </w:t>
      </w:r>
      <w:r w:rsidR="00D73884" w:rsidRPr="00E573E1">
        <w:rPr>
          <w:lang w:val="en-AU"/>
        </w:rPr>
        <w:fldChar w:fldCharType="begin"/>
      </w:r>
      <w:r w:rsidR="00D73884" w:rsidRPr="00E573E1">
        <w:rPr>
          <w:lang w:val="en-AU"/>
        </w:rPr>
        <w:instrText xml:space="preserve"> REF _Ref37057912 \h  \* MERGEFORMAT </w:instrText>
      </w:r>
      <w:r w:rsidR="00D73884" w:rsidRPr="00E573E1">
        <w:rPr>
          <w:lang w:val="en-AU"/>
        </w:rPr>
      </w:r>
      <w:r w:rsidR="00D73884" w:rsidRPr="00E573E1">
        <w:rPr>
          <w:lang w:val="en-AU"/>
        </w:rPr>
        <w:fldChar w:fldCharType="separate"/>
      </w:r>
      <w:r w:rsidR="00960F91" w:rsidRPr="00E573E1">
        <w:rPr>
          <w:lang w:val="en-AU"/>
        </w:rPr>
        <w:t>Special warnings and precautions for use</w:t>
      </w:r>
      <w:r w:rsidR="00D73884" w:rsidRPr="00E573E1">
        <w:rPr>
          <w:lang w:val="en-AU"/>
        </w:rPr>
        <w:fldChar w:fldCharType="end"/>
      </w:r>
      <w:r w:rsidR="00D73884" w:rsidRPr="00E573E1">
        <w:rPr>
          <w:lang w:val="en-AU"/>
        </w:rPr>
        <w:t xml:space="preserve"> [</w:t>
      </w:r>
      <w:r w:rsidR="00D73884" w:rsidRPr="00E573E1">
        <w:rPr>
          <w:i/>
          <w:lang w:val="en-AU"/>
        </w:rPr>
        <w:t>Use in hepatic impairment</w:t>
      </w:r>
      <w:r w:rsidR="00D73884" w:rsidRPr="00E573E1">
        <w:rPr>
          <w:lang w:val="en-AU"/>
        </w:rPr>
        <w:t xml:space="preserve">] </w:t>
      </w:r>
      <w:r w:rsidR="00E7079F" w:rsidRPr="00E573E1">
        <w:rPr>
          <w:lang w:val="en-AU"/>
        </w:rPr>
        <w:t xml:space="preserve">and </w:t>
      </w:r>
      <w:r w:rsidR="00B9672C" w:rsidRPr="00E573E1">
        <w:rPr>
          <w:color w:val="000000" w:themeColor="text1"/>
          <w:lang w:val="en-AU"/>
        </w:rPr>
        <w:t xml:space="preserve">Section </w:t>
      </w:r>
      <w:r w:rsidR="00B9672C" w:rsidRPr="00E573E1">
        <w:rPr>
          <w:color w:val="000000" w:themeColor="text1"/>
          <w:lang w:val="en-AU"/>
        </w:rPr>
        <w:fldChar w:fldCharType="begin"/>
      </w:r>
      <w:r w:rsidR="00B9672C" w:rsidRPr="00E573E1">
        <w:rPr>
          <w:color w:val="000000" w:themeColor="text1"/>
          <w:lang w:val="en-AU"/>
        </w:rPr>
        <w:instrText xml:space="preserve"> REF _Ref34049480 \r \h </w:instrText>
      </w:r>
      <w:r w:rsidR="00B9672C" w:rsidRPr="00E573E1">
        <w:rPr>
          <w:color w:val="000000" w:themeColor="text1"/>
          <w:lang w:val="en-AU"/>
        </w:rPr>
      </w:r>
      <w:r w:rsidR="00C11150">
        <w:rPr>
          <w:color w:val="000000" w:themeColor="text1"/>
          <w:lang w:val="en-AU"/>
        </w:rPr>
        <w:instrText xml:space="preserve"> \* MERGEFORMAT </w:instrText>
      </w:r>
      <w:r w:rsidR="00B9672C" w:rsidRPr="00E573E1">
        <w:rPr>
          <w:color w:val="000000" w:themeColor="text1"/>
          <w:lang w:val="en-AU"/>
        </w:rPr>
        <w:fldChar w:fldCharType="separate"/>
      </w:r>
      <w:r w:rsidR="00960F91">
        <w:rPr>
          <w:color w:val="000000" w:themeColor="text1"/>
          <w:lang w:val="en-AU"/>
        </w:rPr>
        <w:t>5.2</w:t>
      </w:r>
      <w:r w:rsidR="00B9672C" w:rsidRPr="00E573E1">
        <w:rPr>
          <w:color w:val="000000" w:themeColor="text1"/>
          <w:lang w:val="en-AU"/>
        </w:rPr>
        <w:fldChar w:fldCharType="end"/>
      </w:r>
      <w:r w:rsidR="00B9672C" w:rsidRPr="00E573E1">
        <w:rPr>
          <w:color w:val="000000" w:themeColor="text1"/>
          <w:lang w:val="en-AU"/>
        </w:rPr>
        <w:t xml:space="preserve"> </w:t>
      </w:r>
      <w:r w:rsidR="00B9672C" w:rsidRPr="00E573E1">
        <w:rPr>
          <w:color w:val="000000" w:themeColor="text1"/>
          <w:lang w:val="en-AU"/>
        </w:rPr>
        <w:fldChar w:fldCharType="begin"/>
      </w:r>
      <w:r w:rsidR="00B9672C" w:rsidRPr="00E573E1">
        <w:rPr>
          <w:color w:val="000000" w:themeColor="text1"/>
          <w:lang w:val="en-AU"/>
        </w:rPr>
        <w:instrText xml:space="preserve"> REF _Ref34049480 \h  \* MERGEFORMAT </w:instrText>
      </w:r>
      <w:r w:rsidR="00B9672C" w:rsidRPr="00E573E1">
        <w:rPr>
          <w:color w:val="000000" w:themeColor="text1"/>
          <w:lang w:val="en-AU"/>
        </w:rPr>
      </w:r>
      <w:r w:rsidR="00B9672C" w:rsidRPr="00E573E1">
        <w:rPr>
          <w:color w:val="000000" w:themeColor="text1"/>
          <w:lang w:val="en-AU"/>
        </w:rPr>
        <w:fldChar w:fldCharType="separate"/>
      </w:r>
      <w:r w:rsidR="00960F91" w:rsidRPr="00960F91">
        <w:rPr>
          <w:color w:val="000000" w:themeColor="text1"/>
          <w:lang w:val="en-AU"/>
        </w:rPr>
        <w:t>Pharmacokinetic properties</w:t>
      </w:r>
      <w:r w:rsidR="00B9672C" w:rsidRPr="00E573E1">
        <w:rPr>
          <w:color w:val="000000" w:themeColor="text1"/>
          <w:lang w:val="en-AU"/>
        </w:rPr>
        <w:fldChar w:fldCharType="end"/>
      </w:r>
      <w:r w:rsidR="00BC74F9" w:rsidRPr="00E573E1">
        <w:rPr>
          <w:lang w:val="en-AU"/>
        </w:rPr>
        <w:t xml:space="preserve"> </w:t>
      </w:r>
      <w:r w:rsidRPr="00E573E1">
        <w:rPr>
          <w:lang w:val="en-AU"/>
        </w:rPr>
        <w:t>[</w:t>
      </w:r>
      <w:r w:rsidRPr="00E573E1">
        <w:rPr>
          <w:i/>
          <w:lang w:val="en-AU"/>
        </w:rPr>
        <w:t>Special patient populations</w:t>
      </w:r>
      <w:r w:rsidRPr="00E573E1">
        <w:rPr>
          <w:lang w:val="en-AU"/>
        </w:rPr>
        <w:t>/</w:t>
      </w:r>
      <w:r w:rsidRPr="00E573E1">
        <w:rPr>
          <w:i/>
          <w:lang w:val="en-AU"/>
        </w:rPr>
        <w:t>Hepatic impairment</w:t>
      </w:r>
      <w:r w:rsidRPr="00E573E1">
        <w:rPr>
          <w:lang w:val="en-AU"/>
        </w:rPr>
        <w:t>]).</w:t>
      </w:r>
    </w:p>
    <w:p w14:paraId="16A76F71" w14:textId="77777777" w:rsidR="002C7518" w:rsidRPr="00E573E1" w:rsidRDefault="002C7518" w:rsidP="00C11150">
      <w:pPr>
        <w:pStyle w:val="Heading5unnumbered"/>
        <w:rPr>
          <w:lang w:val="en-AU"/>
        </w:rPr>
      </w:pPr>
      <w:r w:rsidRPr="00E573E1">
        <w:rPr>
          <w:lang w:val="en-AU"/>
        </w:rPr>
        <w:t>Use in the elderly</w:t>
      </w:r>
    </w:p>
    <w:p w14:paraId="306B0FC1" w14:textId="42B4E309" w:rsidR="002C7518" w:rsidRPr="00E573E1" w:rsidRDefault="002C7518" w:rsidP="00C11150">
      <w:pPr>
        <w:pStyle w:val="Paragraph"/>
        <w:rPr>
          <w:lang w:val="en-AU"/>
        </w:rPr>
      </w:pPr>
      <w:r w:rsidRPr="00E573E1">
        <w:rPr>
          <w:lang w:val="en-AU"/>
        </w:rPr>
        <w:t xml:space="preserve">No dosage adjustment is necessary for elderly patients (see Section </w:t>
      </w:r>
      <w:r w:rsidR="00B9672C" w:rsidRPr="00E573E1">
        <w:rPr>
          <w:color w:val="000000" w:themeColor="text1"/>
          <w:lang w:val="en-AU"/>
        </w:rPr>
        <w:fldChar w:fldCharType="begin"/>
      </w:r>
      <w:r w:rsidR="00B9672C" w:rsidRPr="00E573E1">
        <w:rPr>
          <w:color w:val="000000" w:themeColor="text1"/>
          <w:lang w:val="en-AU"/>
        </w:rPr>
        <w:instrText xml:space="preserve"> REF _Ref34049480 \r \h </w:instrText>
      </w:r>
      <w:r w:rsidR="00B9672C" w:rsidRPr="00E573E1">
        <w:rPr>
          <w:color w:val="000000" w:themeColor="text1"/>
          <w:lang w:val="en-AU"/>
        </w:rPr>
      </w:r>
      <w:r w:rsidR="00C11150">
        <w:rPr>
          <w:color w:val="000000" w:themeColor="text1"/>
          <w:lang w:val="en-AU"/>
        </w:rPr>
        <w:instrText xml:space="preserve"> \* MERGEFORMAT </w:instrText>
      </w:r>
      <w:r w:rsidR="00B9672C" w:rsidRPr="00E573E1">
        <w:rPr>
          <w:color w:val="000000" w:themeColor="text1"/>
          <w:lang w:val="en-AU"/>
        </w:rPr>
        <w:fldChar w:fldCharType="separate"/>
      </w:r>
      <w:r w:rsidR="00960F91">
        <w:rPr>
          <w:color w:val="000000" w:themeColor="text1"/>
          <w:lang w:val="en-AU"/>
        </w:rPr>
        <w:t>5.2</w:t>
      </w:r>
      <w:r w:rsidR="00B9672C" w:rsidRPr="00E573E1">
        <w:rPr>
          <w:color w:val="000000" w:themeColor="text1"/>
          <w:lang w:val="en-AU"/>
        </w:rPr>
        <w:fldChar w:fldCharType="end"/>
      </w:r>
      <w:r w:rsidR="00B9672C" w:rsidRPr="00E573E1">
        <w:rPr>
          <w:color w:val="000000" w:themeColor="text1"/>
          <w:lang w:val="en-AU"/>
        </w:rPr>
        <w:t xml:space="preserve"> </w:t>
      </w:r>
      <w:r w:rsidR="00B9672C" w:rsidRPr="00E573E1">
        <w:rPr>
          <w:color w:val="000000" w:themeColor="text1"/>
          <w:lang w:val="en-AU"/>
        </w:rPr>
        <w:fldChar w:fldCharType="begin"/>
      </w:r>
      <w:r w:rsidR="00B9672C" w:rsidRPr="00E573E1">
        <w:rPr>
          <w:color w:val="000000" w:themeColor="text1"/>
          <w:lang w:val="en-AU"/>
        </w:rPr>
        <w:instrText xml:space="preserve"> REF _Ref34049480 \h  \* MERGEFORMAT </w:instrText>
      </w:r>
      <w:r w:rsidR="00B9672C" w:rsidRPr="00E573E1">
        <w:rPr>
          <w:color w:val="000000" w:themeColor="text1"/>
          <w:lang w:val="en-AU"/>
        </w:rPr>
      </w:r>
      <w:r w:rsidR="00B9672C" w:rsidRPr="00E573E1">
        <w:rPr>
          <w:color w:val="000000" w:themeColor="text1"/>
          <w:lang w:val="en-AU"/>
        </w:rPr>
        <w:fldChar w:fldCharType="separate"/>
      </w:r>
      <w:r w:rsidR="00960F91" w:rsidRPr="00960F91">
        <w:rPr>
          <w:color w:val="000000" w:themeColor="text1"/>
          <w:lang w:val="en-AU"/>
        </w:rPr>
        <w:t>Pharmacokinetic properties</w:t>
      </w:r>
      <w:r w:rsidR="00B9672C" w:rsidRPr="00E573E1">
        <w:rPr>
          <w:color w:val="000000" w:themeColor="text1"/>
          <w:lang w:val="en-AU"/>
        </w:rPr>
        <w:fldChar w:fldCharType="end"/>
      </w:r>
      <w:r w:rsidR="00BC74F9" w:rsidRPr="00E573E1">
        <w:rPr>
          <w:lang w:val="en-AU"/>
        </w:rPr>
        <w:t xml:space="preserve"> </w:t>
      </w:r>
      <w:r w:rsidRPr="00E573E1">
        <w:rPr>
          <w:lang w:val="en-AU"/>
        </w:rPr>
        <w:t>[</w:t>
      </w:r>
      <w:r w:rsidRPr="00E573E1">
        <w:rPr>
          <w:i/>
          <w:lang w:val="en-AU"/>
        </w:rPr>
        <w:t>Special patient populations</w:t>
      </w:r>
      <w:r w:rsidRPr="00E573E1">
        <w:rPr>
          <w:lang w:val="en-AU"/>
        </w:rPr>
        <w:t>/</w:t>
      </w:r>
      <w:r w:rsidRPr="00E573E1">
        <w:rPr>
          <w:i/>
          <w:lang w:val="en-AU"/>
        </w:rPr>
        <w:t>Use in the elderly</w:t>
      </w:r>
      <w:r w:rsidRPr="00E573E1">
        <w:rPr>
          <w:lang w:val="en-AU"/>
        </w:rPr>
        <w:t>]).</w:t>
      </w:r>
    </w:p>
    <w:p w14:paraId="13AA3AB9" w14:textId="50E1BC8A" w:rsidR="00DC650F" w:rsidRPr="00E573E1" w:rsidRDefault="00DC650F" w:rsidP="00C11150">
      <w:pPr>
        <w:pStyle w:val="Heading5unnumbered"/>
        <w:rPr>
          <w:lang w:val="en-AU"/>
        </w:rPr>
      </w:pPr>
      <w:r w:rsidRPr="00E573E1">
        <w:rPr>
          <w:lang w:val="en-AU"/>
        </w:rPr>
        <w:t>Paediatric use</w:t>
      </w:r>
    </w:p>
    <w:p w14:paraId="25A22B2F" w14:textId="09FBD034" w:rsidR="00DC650F" w:rsidRPr="00E573E1" w:rsidRDefault="00DC650F" w:rsidP="00C11150">
      <w:pPr>
        <w:pStyle w:val="Paragraph"/>
        <w:rPr>
          <w:lang w:val="en-AU"/>
        </w:rPr>
      </w:pPr>
      <w:r w:rsidRPr="00E573E1">
        <w:rPr>
          <w:lang w:val="en-AU"/>
        </w:rPr>
        <w:t>There is no relevant use of BREZTRI AEROSPHERE in children and adolescents (under 18 years of age) in the indication of COPD.</w:t>
      </w:r>
    </w:p>
    <w:p w14:paraId="16482074" w14:textId="77777777" w:rsidR="002C7518" w:rsidRPr="00E573E1" w:rsidRDefault="002C7518" w:rsidP="00C11150">
      <w:pPr>
        <w:pStyle w:val="Heading3Unnumbered"/>
        <w:rPr>
          <w:lang w:val="en-AU"/>
        </w:rPr>
      </w:pPr>
      <w:r w:rsidRPr="00E573E1">
        <w:rPr>
          <w:lang w:val="en-AU"/>
        </w:rPr>
        <w:t>Method of administration</w:t>
      </w:r>
    </w:p>
    <w:p w14:paraId="6811C49A" w14:textId="77777777" w:rsidR="002C7518" w:rsidRPr="00E573E1" w:rsidRDefault="002C7518" w:rsidP="00C11150">
      <w:pPr>
        <w:pStyle w:val="Paragraph"/>
        <w:rPr>
          <w:lang w:val="en-AU"/>
        </w:rPr>
      </w:pPr>
      <w:r w:rsidRPr="00E573E1">
        <w:rPr>
          <w:noProof/>
          <w:lang w:val="en-AU"/>
        </w:rPr>
        <w:t>For inhalation use.</w:t>
      </w:r>
    </w:p>
    <w:p w14:paraId="0CB02635" w14:textId="0B578198" w:rsidR="002C7518" w:rsidRPr="00E573E1" w:rsidRDefault="002C7518" w:rsidP="00C11150">
      <w:pPr>
        <w:pStyle w:val="Paragraph"/>
        <w:rPr>
          <w:lang w:val="en-AU"/>
        </w:rPr>
      </w:pPr>
      <w:r w:rsidRPr="00E573E1">
        <w:rPr>
          <w:lang w:val="en-AU"/>
        </w:rPr>
        <w:t xml:space="preserve">For detailed instructions, see the </w:t>
      </w:r>
      <w:r w:rsidRPr="00E573E1">
        <w:rPr>
          <w:i/>
          <w:lang w:val="en-AU"/>
        </w:rPr>
        <w:t>Instructions for use</w:t>
      </w:r>
      <w:r w:rsidRPr="00E573E1">
        <w:rPr>
          <w:lang w:val="en-AU"/>
        </w:rPr>
        <w:t xml:space="preserve"> leaflet provided in each pack of </w:t>
      </w:r>
      <w:r w:rsidR="00841795" w:rsidRPr="00E573E1">
        <w:rPr>
          <w:lang w:val="en-AU"/>
        </w:rPr>
        <w:t>BREZTRI AEROSPHERE</w:t>
      </w:r>
      <w:r w:rsidRPr="00E573E1">
        <w:rPr>
          <w:lang w:val="en-AU"/>
        </w:rPr>
        <w:t xml:space="preserve">. Patients should be instructed on how to administer the product correctly and advised to read the </w:t>
      </w:r>
      <w:r w:rsidRPr="00E573E1">
        <w:rPr>
          <w:i/>
          <w:lang w:val="en-AU"/>
        </w:rPr>
        <w:t>Instructions for use</w:t>
      </w:r>
      <w:r w:rsidRPr="00E573E1">
        <w:rPr>
          <w:lang w:val="en-AU"/>
        </w:rPr>
        <w:t xml:space="preserve"> carefully.</w:t>
      </w:r>
    </w:p>
    <w:p w14:paraId="37136927" w14:textId="34E7F411" w:rsidR="002136F6" w:rsidRPr="00E573E1" w:rsidRDefault="002136F6" w:rsidP="00C11150">
      <w:pPr>
        <w:pStyle w:val="Paragraph"/>
        <w:rPr>
          <w:lang w:val="en-AU"/>
        </w:rPr>
      </w:pPr>
      <w:r w:rsidRPr="00E573E1">
        <w:rPr>
          <w:lang w:val="en-AU"/>
        </w:rPr>
        <w:t>Patients who find it difficult to co-ordinate actuation with inhalation may use BREZTRI AEROSPHERE with a spacer to ensure proper administration of the product.</w:t>
      </w:r>
    </w:p>
    <w:p w14:paraId="03EA6B4C" w14:textId="77777777" w:rsidR="001A3992" w:rsidRPr="00E573E1" w:rsidRDefault="001A3992" w:rsidP="00C11150">
      <w:pPr>
        <w:pStyle w:val="Heading2"/>
        <w:rPr>
          <w:lang w:val="en-AU"/>
        </w:rPr>
      </w:pPr>
      <w:r w:rsidRPr="00E573E1">
        <w:rPr>
          <w:lang w:val="en-AU"/>
        </w:rPr>
        <w:t>Contraindications</w:t>
      </w:r>
    </w:p>
    <w:p w14:paraId="47DC6CDA" w14:textId="3C71FB74" w:rsidR="002C7518" w:rsidRPr="00E573E1" w:rsidRDefault="002C7518" w:rsidP="00C11150">
      <w:pPr>
        <w:pStyle w:val="Paragraph"/>
        <w:rPr>
          <w:lang w:val="en-AU"/>
        </w:rPr>
      </w:pPr>
      <w:r w:rsidRPr="00E573E1">
        <w:rPr>
          <w:lang w:val="en-AU"/>
        </w:rPr>
        <w:t xml:space="preserve">Hypersensitivity to </w:t>
      </w:r>
      <w:r w:rsidR="00C46162" w:rsidRPr="00E573E1">
        <w:rPr>
          <w:lang w:val="en-AU"/>
        </w:rPr>
        <w:t>the active substances</w:t>
      </w:r>
      <w:r w:rsidRPr="00E573E1">
        <w:rPr>
          <w:lang w:val="en-AU"/>
        </w:rPr>
        <w:t xml:space="preserve"> or any of the excipients.</w:t>
      </w:r>
    </w:p>
    <w:p w14:paraId="5AA4124D" w14:textId="46F3DA1C" w:rsidR="001A3992" w:rsidRPr="00E573E1" w:rsidRDefault="00E74A56" w:rsidP="00C11150">
      <w:pPr>
        <w:pStyle w:val="Heading2"/>
        <w:rPr>
          <w:lang w:val="en-AU"/>
        </w:rPr>
      </w:pPr>
      <w:bookmarkStart w:id="9" w:name="_Ref37057912"/>
      <w:r w:rsidRPr="00E573E1">
        <w:rPr>
          <w:lang w:val="en-AU"/>
        </w:rPr>
        <w:t>Special warnings and p</w:t>
      </w:r>
      <w:r w:rsidR="001A3992" w:rsidRPr="00E573E1">
        <w:rPr>
          <w:lang w:val="en-AU"/>
        </w:rPr>
        <w:t xml:space="preserve">recautions </w:t>
      </w:r>
      <w:r w:rsidRPr="00E573E1">
        <w:rPr>
          <w:lang w:val="en-AU"/>
        </w:rPr>
        <w:t>for use</w:t>
      </w:r>
      <w:bookmarkEnd w:id="9"/>
    </w:p>
    <w:p w14:paraId="0E2DD217" w14:textId="69F19CE1" w:rsidR="00904F88" w:rsidRPr="00331781" w:rsidRDefault="00097E40" w:rsidP="00C11150">
      <w:pPr>
        <w:pStyle w:val="Paragraph"/>
        <w:rPr>
          <w:lang w:val="en-AU"/>
        </w:rPr>
      </w:pPr>
      <w:r w:rsidRPr="00E573E1">
        <w:rPr>
          <w:lang w:val="en-AU"/>
        </w:rPr>
        <w:t>Treatment of COPD should be in accordance with current national treatment guidelines.</w:t>
      </w:r>
      <w:r w:rsidR="00331781" w:rsidRPr="00331781">
        <w:rPr>
          <w:lang w:val="en-AU"/>
        </w:rPr>
        <w:t xml:space="preserve"> Patients should have a personal action plan designed in association with their treating physician.</w:t>
      </w:r>
    </w:p>
    <w:p w14:paraId="441812B6" w14:textId="2157060C" w:rsidR="0004214B" w:rsidRPr="00E573E1" w:rsidRDefault="0004214B" w:rsidP="00C11150">
      <w:pPr>
        <w:pStyle w:val="Heading3Unnumbered"/>
        <w:rPr>
          <w:lang w:val="en-AU"/>
        </w:rPr>
      </w:pPr>
      <w:r w:rsidRPr="00E573E1">
        <w:rPr>
          <w:lang w:val="en-AU"/>
        </w:rPr>
        <w:lastRenderedPageBreak/>
        <w:t>Asthma</w:t>
      </w:r>
    </w:p>
    <w:p w14:paraId="341742C6" w14:textId="402CADBD" w:rsidR="0077687C" w:rsidRPr="00E573E1" w:rsidRDefault="0020241C" w:rsidP="00C11150">
      <w:pPr>
        <w:pStyle w:val="Paragraph"/>
        <w:rPr>
          <w:lang w:val="en-AU"/>
        </w:rPr>
      </w:pPr>
      <w:r w:rsidRPr="00E573E1">
        <w:rPr>
          <w:lang w:val="en-AU"/>
        </w:rPr>
        <w:t>BREZTRI AEROSPHERE</w:t>
      </w:r>
      <w:r w:rsidR="00CB1E31" w:rsidRPr="00E573E1">
        <w:rPr>
          <w:lang w:val="en-AU"/>
        </w:rPr>
        <w:t xml:space="preserve"> is not indicated for the treatment of asthma</w:t>
      </w:r>
      <w:r w:rsidR="0004214B" w:rsidRPr="00E573E1">
        <w:rPr>
          <w:lang w:val="en-AU"/>
        </w:rPr>
        <w:t>.</w:t>
      </w:r>
    </w:p>
    <w:p w14:paraId="1BFE9ED0" w14:textId="77777777" w:rsidR="00C46162" w:rsidRPr="00E573E1" w:rsidRDefault="00C46162" w:rsidP="00C11150">
      <w:pPr>
        <w:pStyle w:val="Heading3Unnumbered"/>
        <w:rPr>
          <w:lang w:val="en-AU"/>
        </w:rPr>
      </w:pPr>
      <w:r w:rsidRPr="00E573E1">
        <w:rPr>
          <w:lang w:val="en-AU"/>
        </w:rPr>
        <w:t>Deterioration of disease</w:t>
      </w:r>
    </w:p>
    <w:p w14:paraId="74F53707" w14:textId="444BC07F" w:rsidR="00C46162" w:rsidRPr="00E573E1" w:rsidRDefault="00C46162" w:rsidP="00C11150">
      <w:pPr>
        <w:pStyle w:val="Paragraph"/>
        <w:rPr>
          <w:lang w:val="en-AU"/>
        </w:rPr>
      </w:pPr>
      <w:r w:rsidRPr="00E573E1">
        <w:rPr>
          <w:lang w:val="en-AU"/>
        </w:rPr>
        <w:t>If patients find the treatment ineffective, despite taking the highest recommended dose of</w:t>
      </w:r>
      <w:r w:rsidR="005B2EAA" w:rsidRPr="00E573E1">
        <w:rPr>
          <w:lang w:val="en-AU"/>
        </w:rPr>
        <w:t xml:space="preserve"> </w:t>
      </w:r>
      <w:r w:rsidRPr="00E573E1">
        <w:rPr>
          <w:lang w:val="en-AU"/>
        </w:rPr>
        <w:t>BREZTRI AEROSPHERE, medical attention must be sought. Sudden and progressive</w:t>
      </w:r>
      <w:r w:rsidR="005B2EAA" w:rsidRPr="00E573E1">
        <w:rPr>
          <w:lang w:val="en-AU"/>
        </w:rPr>
        <w:t xml:space="preserve"> </w:t>
      </w:r>
      <w:r w:rsidRPr="00E573E1">
        <w:rPr>
          <w:lang w:val="en-AU"/>
        </w:rPr>
        <w:t>deterioration in control of COPD is potentially life threatening and the patient should undergo</w:t>
      </w:r>
      <w:r w:rsidR="005B2EAA" w:rsidRPr="00E573E1">
        <w:rPr>
          <w:lang w:val="en-AU"/>
        </w:rPr>
        <w:t xml:space="preserve"> </w:t>
      </w:r>
      <w:r w:rsidRPr="00E573E1">
        <w:rPr>
          <w:lang w:val="en-AU"/>
        </w:rPr>
        <w:t>urgent medical assessment. In this situation, consideration should be given to the need for</w:t>
      </w:r>
      <w:r w:rsidR="005B2EAA" w:rsidRPr="00E573E1">
        <w:rPr>
          <w:lang w:val="en-AU"/>
        </w:rPr>
        <w:t xml:space="preserve"> </w:t>
      </w:r>
      <w:r w:rsidRPr="00E573E1">
        <w:rPr>
          <w:lang w:val="en-AU"/>
        </w:rPr>
        <w:t>increased therapy such as a course of oral corticosteroids</w:t>
      </w:r>
      <w:r w:rsidR="0003556F" w:rsidRPr="00E573E1">
        <w:rPr>
          <w:lang w:val="en-AU"/>
        </w:rPr>
        <w:t xml:space="preserve"> (OCS)</w:t>
      </w:r>
      <w:r w:rsidRPr="00E573E1">
        <w:rPr>
          <w:lang w:val="en-AU"/>
        </w:rPr>
        <w:t xml:space="preserve"> or antibiotic treatment if an infection</w:t>
      </w:r>
      <w:r w:rsidR="005B2EAA" w:rsidRPr="00E573E1">
        <w:rPr>
          <w:lang w:val="en-AU"/>
        </w:rPr>
        <w:t xml:space="preserve"> </w:t>
      </w:r>
      <w:r w:rsidRPr="00E573E1">
        <w:rPr>
          <w:lang w:val="en-AU"/>
        </w:rPr>
        <w:t>is present.</w:t>
      </w:r>
    </w:p>
    <w:p w14:paraId="7E4CF3D0" w14:textId="77777777" w:rsidR="00C46162" w:rsidRPr="00E573E1" w:rsidRDefault="00C46162" w:rsidP="00C11150">
      <w:pPr>
        <w:pStyle w:val="Heading3Unnumbered"/>
        <w:rPr>
          <w:lang w:val="en-AU"/>
        </w:rPr>
      </w:pPr>
      <w:r w:rsidRPr="00E573E1">
        <w:rPr>
          <w:lang w:val="en-AU"/>
        </w:rPr>
        <w:t>Transfer from oral therapy</w:t>
      </w:r>
    </w:p>
    <w:p w14:paraId="2BE8A4F7" w14:textId="4DC7ECEE" w:rsidR="00EC60F8" w:rsidRPr="00E573E1" w:rsidRDefault="00C46162" w:rsidP="00C11150">
      <w:pPr>
        <w:pStyle w:val="Paragraph"/>
        <w:rPr>
          <w:lang w:val="en-AU"/>
        </w:rPr>
      </w:pPr>
      <w:proofErr w:type="gramStart"/>
      <w:r w:rsidRPr="00E573E1">
        <w:rPr>
          <w:lang w:val="en-AU"/>
        </w:rPr>
        <w:t>Particular care</w:t>
      </w:r>
      <w:proofErr w:type="gramEnd"/>
      <w:r w:rsidRPr="00E573E1">
        <w:rPr>
          <w:lang w:val="en-AU"/>
        </w:rPr>
        <w:t xml:space="preserve"> is needed in patients transferring from </w:t>
      </w:r>
      <w:r w:rsidR="0003556F" w:rsidRPr="00E573E1">
        <w:rPr>
          <w:lang w:val="en-AU"/>
        </w:rPr>
        <w:t>OCS</w:t>
      </w:r>
      <w:r w:rsidRPr="00E573E1">
        <w:rPr>
          <w:lang w:val="en-AU"/>
        </w:rPr>
        <w:t>, since they may remain at</w:t>
      </w:r>
      <w:r w:rsidR="005B2EAA" w:rsidRPr="00E573E1">
        <w:rPr>
          <w:lang w:val="en-AU"/>
        </w:rPr>
        <w:t xml:space="preserve"> </w:t>
      </w:r>
      <w:r w:rsidRPr="00E573E1">
        <w:rPr>
          <w:lang w:val="en-AU"/>
        </w:rPr>
        <w:t>risk of impaired adrenal function for a considerable time. Patients who have required high</w:t>
      </w:r>
      <w:r w:rsidR="005B2EAA" w:rsidRPr="00E573E1">
        <w:rPr>
          <w:lang w:val="en-AU"/>
        </w:rPr>
        <w:t xml:space="preserve"> </w:t>
      </w:r>
      <w:r w:rsidRPr="00E573E1">
        <w:rPr>
          <w:lang w:val="en-AU"/>
        </w:rPr>
        <w:t>dose corticosteroid therapy or prolonged treatment at the highest recommended</w:t>
      </w:r>
      <w:r w:rsidR="005B2EAA" w:rsidRPr="00E573E1">
        <w:rPr>
          <w:lang w:val="en-AU"/>
        </w:rPr>
        <w:t xml:space="preserve"> </w:t>
      </w:r>
      <w:r w:rsidRPr="00E573E1">
        <w:rPr>
          <w:lang w:val="en-AU"/>
        </w:rPr>
        <w:t>dose of inhaled corticosteroids</w:t>
      </w:r>
      <w:r w:rsidR="001000E5" w:rsidRPr="00E573E1">
        <w:rPr>
          <w:lang w:val="en-AU"/>
        </w:rPr>
        <w:t xml:space="preserve"> (ICS)</w:t>
      </w:r>
      <w:r w:rsidRPr="00E573E1">
        <w:rPr>
          <w:lang w:val="en-AU"/>
        </w:rPr>
        <w:t xml:space="preserve"> may also be at risk. These patients may exhibit signs and</w:t>
      </w:r>
      <w:r w:rsidR="005B2EAA" w:rsidRPr="00E573E1">
        <w:rPr>
          <w:lang w:val="en-AU"/>
        </w:rPr>
        <w:t xml:space="preserve"> </w:t>
      </w:r>
      <w:r w:rsidRPr="00E573E1">
        <w:rPr>
          <w:lang w:val="en-AU"/>
        </w:rPr>
        <w:t>symptoms of adrenal insufficiency when exposed to severe stress. Additional systemic</w:t>
      </w:r>
      <w:r w:rsidR="005B2EAA" w:rsidRPr="00E573E1">
        <w:rPr>
          <w:lang w:val="en-AU"/>
        </w:rPr>
        <w:t xml:space="preserve"> </w:t>
      </w:r>
      <w:r w:rsidRPr="00E573E1">
        <w:rPr>
          <w:lang w:val="en-AU"/>
        </w:rPr>
        <w:t>corticosteroid cover should be considered during periods of stress or elective surgery.</w:t>
      </w:r>
    </w:p>
    <w:p w14:paraId="6304A34A" w14:textId="77777777" w:rsidR="00C46162" w:rsidRPr="00E573E1" w:rsidRDefault="00C46162" w:rsidP="00C11150">
      <w:pPr>
        <w:pStyle w:val="Heading3Unnumbered"/>
        <w:rPr>
          <w:lang w:val="en-AU"/>
        </w:rPr>
      </w:pPr>
      <w:r w:rsidRPr="00E573E1">
        <w:rPr>
          <w:lang w:val="en-AU"/>
        </w:rPr>
        <w:t>Paradoxical bronchospasm</w:t>
      </w:r>
    </w:p>
    <w:p w14:paraId="2454A745" w14:textId="59398E75" w:rsidR="009E7849" w:rsidRPr="00E573E1" w:rsidRDefault="009E7849" w:rsidP="00C11150">
      <w:pPr>
        <w:pStyle w:val="Paragraph"/>
        <w:rPr>
          <w:lang w:val="en-AU"/>
        </w:rPr>
      </w:pPr>
      <w:r w:rsidRPr="00E573E1">
        <w:rPr>
          <w:lang w:val="en-AU"/>
        </w:rPr>
        <w:t xml:space="preserve">As with other inhaled medicines, administration of BREZTRI AEROSPHERE may cause paradoxical bronchospasm that may be life-threatening. If this occurs, treatment with </w:t>
      </w:r>
      <w:r w:rsidR="00A608BE" w:rsidRPr="00E573E1">
        <w:rPr>
          <w:lang w:val="en-AU"/>
        </w:rPr>
        <w:t xml:space="preserve">BREZTRI AEROSPHERE </w:t>
      </w:r>
      <w:r w:rsidRPr="00E573E1">
        <w:rPr>
          <w:lang w:val="en-AU"/>
        </w:rPr>
        <w:t>should be discontinued immediately and alternative treatments instituted.</w:t>
      </w:r>
    </w:p>
    <w:p w14:paraId="41272A9F" w14:textId="77777777" w:rsidR="00C46162" w:rsidRPr="00E573E1" w:rsidRDefault="00C46162" w:rsidP="00C11150">
      <w:pPr>
        <w:pStyle w:val="Heading3Unnumbered"/>
        <w:rPr>
          <w:lang w:val="en-AU"/>
        </w:rPr>
      </w:pPr>
      <w:r w:rsidRPr="00E573E1">
        <w:rPr>
          <w:lang w:val="en-AU"/>
        </w:rPr>
        <w:t>Not for acute use</w:t>
      </w:r>
    </w:p>
    <w:p w14:paraId="230D5246" w14:textId="171140D6" w:rsidR="00C46162" w:rsidRPr="00E573E1" w:rsidRDefault="00C46162" w:rsidP="00C11150">
      <w:pPr>
        <w:pStyle w:val="Paragraph"/>
        <w:rPr>
          <w:lang w:val="en-AU"/>
        </w:rPr>
      </w:pPr>
      <w:r w:rsidRPr="00E573E1">
        <w:rPr>
          <w:lang w:val="en-AU"/>
        </w:rPr>
        <w:t>BREZTRI AEROSPHERE is not indicated for the treatment of acute episodes of</w:t>
      </w:r>
      <w:r w:rsidR="005B2EAA" w:rsidRPr="00E573E1">
        <w:rPr>
          <w:lang w:val="en-AU"/>
        </w:rPr>
        <w:t xml:space="preserve"> </w:t>
      </w:r>
      <w:r w:rsidRPr="00E573E1">
        <w:rPr>
          <w:lang w:val="en-AU"/>
        </w:rPr>
        <w:t>bronchospasm, or to treat an acute COPD exacerbation (</w:t>
      </w:r>
      <w:proofErr w:type="gramStart"/>
      <w:r w:rsidR="005B2EAA" w:rsidRPr="00E573E1">
        <w:rPr>
          <w:lang w:val="en-AU"/>
        </w:rPr>
        <w:t>i</w:t>
      </w:r>
      <w:r w:rsidR="00CC03A6">
        <w:rPr>
          <w:lang w:val="en-AU"/>
        </w:rPr>
        <w:t>.</w:t>
      </w:r>
      <w:r w:rsidR="005B2EAA" w:rsidRPr="00E573E1">
        <w:rPr>
          <w:lang w:val="en-AU"/>
        </w:rPr>
        <w:t>e</w:t>
      </w:r>
      <w:r w:rsidR="00CC03A6">
        <w:rPr>
          <w:lang w:val="en-AU"/>
        </w:rPr>
        <w:t>.</w:t>
      </w:r>
      <w:proofErr w:type="gramEnd"/>
      <w:r w:rsidRPr="00E573E1">
        <w:rPr>
          <w:lang w:val="en-AU"/>
        </w:rPr>
        <w:t xml:space="preserve"> as a rescue therapy).</w:t>
      </w:r>
    </w:p>
    <w:p w14:paraId="27F9EAAC" w14:textId="77777777" w:rsidR="001F144A" w:rsidRPr="00E573E1" w:rsidRDefault="001F144A" w:rsidP="00C11150">
      <w:pPr>
        <w:pStyle w:val="Heading3Unnumbered"/>
        <w:rPr>
          <w:lang w:val="en-AU"/>
        </w:rPr>
      </w:pPr>
      <w:r w:rsidRPr="00E573E1">
        <w:rPr>
          <w:lang w:val="en-AU"/>
        </w:rPr>
        <w:t>Use with other LABA and/or LAMA products</w:t>
      </w:r>
    </w:p>
    <w:p w14:paraId="39AC973C" w14:textId="50AB6566" w:rsidR="001F144A" w:rsidRPr="00E573E1" w:rsidRDefault="003F0FC7" w:rsidP="00C11150">
      <w:pPr>
        <w:pStyle w:val="Paragraph"/>
        <w:rPr>
          <w:lang w:val="en-AU"/>
        </w:rPr>
      </w:pPr>
      <w:r w:rsidRPr="00E573E1">
        <w:rPr>
          <w:lang w:val="en-AU"/>
        </w:rPr>
        <w:t>BREZTRI AEROSPHERE</w:t>
      </w:r>
      <w:r w:rsidR="001F144A" w:rsidRPr="00E573E1">
        <w:rPr>
          <w:lang w:val="en-AU"/>
        </w:rPr>
        <w:t xml:space="preserve"> should not be administered concomitantly with other medicines containing a long-acting β</w:t>
      </w:r>
      <w:r w:rsidR="001F144A" w:rsidRPr="00E573E1">
        <w:rPr>
          <w:vertAlign w:val="subscript"/>
          <w:lang w:val="en-AU"/>
        </w:rPr>
        <w:t>2</w:t>
      </w:r>
      <w:r w:rsidR="001F144A" w:rsidRPr="00E573E1">
        <w:rPr>
          <w:lang w:val="en-AU"/>
        </w:rPr>
        <w:t xml:space="preserve">- agonist (LABA) or long-acting muscarinic antagonist (LAMA) (see Section </w:t>
      </w:r>
      <w:r w:rsidR="006F1B80" w:rsidRPr="00E573E1">
        <w:rPr>
          <w:lang w:val="en-AU"/>
        </w:rPr>
        <w:fldChar w:fldCharType="begin"/>
      </w:r>
      <w:r w:rsidR="006F1B80" w:rsidRPr="00E573E1">
        <w:rPr>
          <w:lang w:val="en-AU"/>
        </w:rPr>
        <w:instrText xml:space="preserve"> REF _Ref37058201 \r \h </w:instrText>
      </w:r>
      <w:r w:rsidR="006F1B80" w:rsidRPr="00E573E1">
        <w:rPr>
          <w:lang w:val="en-AU"/>
        </w:rPr>
      </w:r>
      <w:r w:rsidR="00C11150">
        <w:rPr>
          <w:lang w:val="en-AU"/>
        </w:rPr>
        <w:instrText xml:space="preserve"> \* MERGEFORMAT </w:instrText>
      </w:r>
      <w:r w:rsidR="006F1B80" w:rsidRPr="00E573E1">
        <w:rPr>
          <w:lang w:val="en-AU"/>
        </w:rPr>
        <w:fldChar w:fldCharType="separate"/>
      </w:r>
      <w:r w:rsidR="00960F91">
        <w:rPr>
          <w:lang w:val="en-AU"/>
        </w:rPr>
        <w:t>4.5</w:t>
      </w:r>
      <w:r w:rsidR="006F1B80" w:rsidRPr="00E573E1">
        <w:rPr>
          <w:lang w:val="en-AU"/>
        </w:rPr>
        <w:fldChar w:fldCharType="end"/>
      </w:r>
      <w:r w:rsidR="006F1B80" w:rsidRPr="00E573E1">
        <w:rPr>
          <w:lang w:val="en-AU"/>
        </w:rPr>
        <w:t xml:space="preserve"> </w:t>
      </w:r>
      <w:r w:rsidR="006F1B80" w:rsidRPr="00E573E1">
        <w:rPr>
          <w:lang w:val="en-AU"/>
        </w:rPr>
        <w:fldChar w:fldCharType="begin"/>
      </w:r>
      <w:r w:rsidR="006F1B80" w:rsidRPr="00E573E1">
        <w:rPr>
          <w:lang w:val="en-AU"/>
        </w:rPr>
        <w:instrText xml:space="preserve"> REF _Ref37058201 \h </w:instrText>
      </w:r>
      <w:r w:rsidR="006F1B80" w:rsidRPr="00E573E1">
        <w:rPr>
          <w:lang w:val="en-AU"/>
        </w:rPr>
      </w:r>
      <w:r w:rsidR="00C11150">
        <w:rPr>
          <w:lang w:val="en-AU"/>
        </w:rPr>
        <w:instrText xml:space="preserve"> \* MERGEFORMAT </w:instrText>
      </w:r>
      <w:r w:rsidR="006F1B80" w:rsidRPr="00E573E1">
        <w:rPr>
          <w:lang w:val="en-AU"/>
        </w:rPr>
        <w:fldChar w:fldCharType="separate"/>
      </w:r>
      <w:r w:rsidR="00960F91" w:rsidRPr="00E573E1">
        <w:rPr>
          <w:lang w:val="en-AU"/>
        </w:rPr>
        <w:t>Interactions with other medicines and other forms of interactions</w:t>
      </w:r>
      <w:r w:rsidR="006F1B80" w:rsidRPr="00E573E1">
        <w:rPr>
          <w:lang w:val="en-AU"/>
        </w:rPr>
        <w:fldChar w:fldCharType="end"/>
      </w:r>
      <w:r w:rsidR="00DF5D88" w:rsidRPr="00E573E1">
        <w:rPr>
          <w:lang w:val="en-AU"/>
        </w:rPr>
        <w:t xml:space="preserve"> </w:t>
      </w:r>
      <w:r w:rsidR="001F144A" w:rsidRPr="00E573E1">
        <w:rPr>
          <w:lang w:val="en-AU"/>
        </w:rPr>
        <w:t>[</w:t>
      </w:r>
      <w:r w:rsidR="001F144A" w:rsidRPr="00E573E1">
        <w:rPr>
          <w:i/>
          <w:lang w:val="en-AU"/>
        </w:rPr>
        <w:t>COPD Medicines</w:t>
      </w:r>
      <w:r w:rsidR="001F144A" w:rsidRPr="00E573E1">
        <w:rPr>
          <w:lang w:val="en-AU"/>
        </w:rPr>
        <w:t>]).</w:t>
      </w:r>
    </w:p>
    <w:p w14:paraId="6AC25F80" w14:textId="24A1B209" w:rsidR="00DB2AD7" w:rsidRDefault="00C46162" w:rsidP="00C11150">
      <w:pPr>
        <w:pStyle w:val="Heading3Unnumbered"/>
        <w:rPr>
          <w:lang w:val="en-AU"/>
        </w:rPr>
      </w:pPr>
      <w:r w:rsidRPr="00E573E1">
        <w:rPr>
          <w:lang w:val="en-AU"/>
        </w:rPr>
        <w:t>Cardiovascular effects</w:t>
      </w:r>
    </w:p>
    <w:p w14:paraId="3486F307" w14:textId="77777777" w:rsidR="00CA6E70" w:rsidRPr="00CA6E70" w:rsidRDefault="00CA6E70" w:rsidP="00C11150">
      <w:pPr>
        <w:pStyle w:val="Paragraph"/>
        <w:rPr>
          <w:lang w:val="en-AU"/>
        </w:rPr>
      </w:pPr>
      <w:r w:rsidRPr="00CA6E70">
        <w:rPr>
          <w:lang w:val="en-AU"/>
        </w:rPr>
        <w:t xml:space="preserve">Cardiovascular effects including cardiac arrhythmias, may occur after the administration of muscarinic receptor antagonists and sympathomimetics, including </w:t>
      </w:r>
      <w:proofErr w:type="spellStart"/>
      <w:r w:rsidRPr="00CA6E70">
        <w:rPr>
          <w:lang w:val="en-AU"/>
        </w:rPr>
        <w:t>glycopyrronium</w:t>
      </w:r>
      <w:proofErr w:type="spellEnd"/>
      <w:r w:rsidRPr="00CA6E70">
        <w:rPr>
          <w:lang w:val="en-AU"/>
        </w:rPr>
        <w:t xml:space="preserve"> and formoterol. </w:t>
      </w:r>
    </w:p>
    <w:p w14:paraId="3826139C" w14:textId="77777777" w:rsidR="00CA6E70" w:rsidRPr="00CA6E70" w:rsidRDefault="00CA6E70" w:rsidP="00C11150">
      <w:pPr>
        <w:pStyle w:val="Paragraph"/>
        <w:rPr>
          <w:lang w:val="en-AU"/>
        </w:rPr>
      </w:pPr>
      <w:r w:rsidRPr="00CA6E70">
        <w:rPr>
          <w:lang w:val="en-AU"/>
        </w:rPr>
        <w:t>Caution should also be exercised in patients with thyrotoxicosis and in patients with a clinically significant cardiovascular disease such as ischemic heart disease, acute myocardial infarction, cardiomyopathy, cardiac arrhythmias, and severe heart failure.</w:t>
      </w:r>
    </w:p>
    <w:p w14:paraId="3C48A517" w14:textId="430886A4" w:rsidR="00CA6E70" w:rsidRPr="00E573E1" w:rsidRDefault="00CA6E70" w:rsidP="00C11150">
      <w:pPr>
        <w:pStyle w:val="Paragraph"/>
        <w:rPr>
          <w:lang w:val="en-AU"/>
        </w:rPr>
      </w:pPr>
      <w:r w:rsidRPr="00CA6E70">
        <w:rPr>
          <w:lang w:val="en-AU"/>
        </w:rPr>
        <w:t>Caution should also be exercised when treating patients with known or suspected prolongation of the QTc interval, either congenital or induced by medicinal products.</w:t>
      </w:r>
    </w:p>
    <w:p w14:paraId="1FD847E0" w14:textId="77777777" w:rsidR="00C46162" w:rsidRPr="00E573E1" w:rsidRDefault="00C46162" w:rsidP="00C11150">
      <w:pPr>
        <w:pStyle w:val="Heading3Unnumbered"/>
        <w:rPr>
          <w:lang w:val="en-AU"/>
        </w:rPr>
      </w:pPr>
      <w:r w:rsidRPr="00E573E1">
        <w:rPr>
          <w:lang w:val="en-AU"/>
        </w:rPr>
        <w:t>Systemic effects</w:t>
      </w:r>
    </w:p>
    <w:p w14:paraId="7F99AC80" w14:textId="15A8ED0D" w:rsidR="00C46162" w:rsidRPr="00E573E1" w:rsidRDefault="00C46162" w:rsidP="00C11150">
      <w:pPr>
        <w:pStyle w:val="Paragraph"/>
        <w:rPr>
          <w:lang w:val="en-AU"/>
        </w:rPr>
      </w:pPr>
      <w:r w:rsidRPr="00E573E1">
        <w:rPr>
          <w:lang w:val="en-AU"/>
        </w:rPr>
        <w:t xml:space="preserve">Systemic effects may occur with any </w:t>
      </w:r>
      <w:r w:rsidR="001000E5" w:rsidRPr="00E573E1">
        <w:rPr>
          <w:lang w:val="en-AU"/>
        </w:rPr>
        <w:t>ICS</w:t>
      </w:r>
      <w:r w:rsidRPr="00E573E1">
        <w:rPr>
          <w:lang w:val="en-AU"/>
        </w:rPr>
        <w:t>, particularly at high doses</w:t>
      </w:r>
      <w:r w:rsidR="005B2EAA" w:rsidRPr="00E573E1">
        <w:rPr>
          <w:lang w:val="en-AU"/>
        </w:rPr>
        <w:t xml:space="preserve"> </w:t>
      </w:r>
      <w:r w:rsidRPr="00E573E1">
        <w:rPr>
          <w:lang w:val="en-AU"/>
        </w:rPr>
        <w:t>prescribed for long periods.</w:t>
      </w:r>
    </w:p>
    <w:p w14:paraId="24C4B524" w14:textId="6DC57448" w:rsidR="00C46162" w:rsidRPr="00E573E1" w:rsidRDefault="00C46162" w:rsidP="00C11150">
      <w:pPr>
        <w:pStyle w:val="Paragraph"/>
        <w:rPr>
          <w:lang w:val="en-AU"/>
        </w:rPr>
      </w:pPr>
      <w:r w:rsidRPr="00E573E1">
        <w:rPr>
          <w:lang w:val="en-AU"/>
        </w:rPr>
        <w:lastRenderedPageBreak/>
        <w:t xml:space="preserve">These effects are much less likely to occur with </w:t>
      </w:r>
      <w:r w:rsidR="00071521" w:rsidRPr="00E573E1">
        <w:rPr>
          <w:lang w:val="en-AU"/>
        </w:rPr>
        <w:t>ICS</w:t>
      </w:r>
      <w:r w:rsidRPr="00E573E1">
        <w:rPr>
          <w:lang w:val="en-AU"/>
        </w:rPr>
        <w:t xml:space="preserve"> treatments than with</w:t>
      </w:r>
      <w:r w:rsidR="005B2EAA" w:rsidRPr="00E573E1">
        <w:rPr>
          <w:lang w:val="en-AU"/>
        </w:rPr>
        <w:t xml:space="preserve"> </w:t>
      </w:r>
      <w:r w:rsidR="0003556F" w:rsidRPr="00E573E1">
        <w:rPr>
          <w:lang w:val="en-AU"/>
        </w:rPr>
        <w:t>OCS</w:t>
      </w:r>
      <w:r w:rsidRPr="00E573E1">
        <w:rPr>
          <w:lang w:val="en-AU"/>
        </w:rPr>
        <w:t>. Possible systemic effects include Cushing's syndrome, Cushingoid</w:t>
      </w:r>
      <w:r w:rsidR="005B2EAA" w:rsidRPr="00E573E1">
        <w:rPr>
          <w:lang w:val="en-AU"/>
        </w:rPr>
        <w:t xml:space="preserve"> </w:t>
      </w:r>
      <w:r w:rsidRPr="00E573E1">
        <w:rPr>
          <w:lang w:val="en-AU"/>
        </w:rPr>
        <w:t xml:space="preserve">features, adrenal suppression, decrease in bone mineral density, </w:t>
      </w:r>
      <w:proofErr w:type="gramStart"/>
      <w:r w:rsidRPr="00E573E1">
        <w:rPr>
          <w:lang w:val="en-AU"/>
        </w:rPr>
        <w:t>cataract</w:t>
      </w:r>
      <w:proofErr w:type="gramEnd"/>
      <w:r w:rsidRPr="00E573E1">
        <w:rPr>
          <w:lang w:val="en-AU"/>
        </w:rPr>
        <w:t xml:space="preserve"> and glaucoma.</w:t>
      </w:r>
    </w:p>
    <w:p w14:paraId="6B9E462C" w14:textId="5DBBFCAC" w:rsidR="00C46162" w:rsidRPr="00E573E1" w:rsidRDefault="00C46162" w:rsidP="00C11150">
      <w:pPr>
        <w:pStyle w:val="Paragraph"/>
        <w:rPr>
          <w:lang w:val="en-AU"/>
        </w:rPr>
      </w:pPr>
      <w:r w:rsidRPr="00E573E1">
        <w:rPr>
          <w:lang w:val="en-AU"/>
        </w:rPr>
        <w:t>Potential effects on bone density should be considered particularly in patients on high doses</w:t>
      </w:r>
      <w:r w:rsidR="005B2EAA" w:rsidRPr="00E573E1">
        <w:rPr>
          <w:lang w:val="en-AU"/>
        </w:rPr>
        <w:t xml:space="preserve"> </w:t>
      </w:r>
      <w:r w:rsidRPr="00E573E1">
        <w:rPr>
          <w:lang w:val="en-AU"/>
        </w:rPr>
        <w:t>for prolonged periods that have co-existing risk factors for osteoporosis. Long-term studies</w:t>
      </w:r>
      <w:r w:rsidR="005B2EAA" w:rsidRPr="00E573E1">
        <w:rPr>
          <w:lang w:val="en-AU"/>
        </w:rPr>
        <w:t xml:space="preserve"> </w:t>
      </w:r>
      <w:r w:rsidRPr="00E573E1">
        <w:rPr>
          <w:lang w:val="en-AU"/>
        </w:rPr>
        <w:t>with inhaled budesonide in adults at daily doses of 800 micrograms (metered dose) have not</w:t>
      </w:r>
      <w:r w:rsidR="005B2EAA" w:rsidRPr="00E573E1">
        <w:rPr>
          <w:lang w:val="en-AU"/>
        </w:rPr>
        <w:t xml:space="preserve"> </w:t>
      </w:r>
      <w:r w:rsidRPr="00E573E1">
        <w:rPr>
          <w:lang w:val="en-AU"/>
        </w:rPr>
        <w:t xml:space="preserve">shown any significant effects on bone mineral density (see </w:t>
      </w:r>
      <w:r w:rsidR="00BE71C4" w:rsidRPr="00E573E1">
        <w:rPr>
          <w:lang w:val="en-AU"/>
        </w:rPr>
        <w:t>Section</w:t>
      </w:r>
      <w:r w:rsidRPr="00E573E1">
        <w:rPr>
          <w:lang w:val="en-AU"/>
        </w:rPr>
        <w:t xml:space="preserve"> </w:t>
      </w:r>
      <w:r w:rsidR="00BE71C4" w:rsidRPr="00E573E1">
        <w:rPr>
          <w:lang w:val="en-AU"/>
        </w:rPr>
        <w:fldChar w:fldCharType="begin"/>
      </w:r>
      <w:r w:rsidR="00BE71C4" w:rsidRPr="00E573E1">
        <w:rPr>
          <w:lang w:val="en-AU"/>
        </w:rPr>
        <w:instrText xml:space="preserve"> REF _Ref37058126 \r \h </w:instrText>
      </w:r>
      <w:r w:rsidR="00BE71C4" w:rsidRPr="00E573E1">
        <w:rPr>
          <w:lang w:val="en-AU"/>
        </w:rPr>
      </w:r>
      <w:r w:rsidR="00C11150">
        <w:rPr>
          <w:lang w:val="en-AU"/>
        </w:rPr>
        <w:instrText xml:space="preserve"> \* MERGEFORMAT </w:instrText>
      </w:r>
      <w:r w:rsidR="00BE71C4" w:rsidRPr="00E573E1">
        <w:rPr>
          <w:lang w:val="en-AU"/>
        </w:rPr>
        <w:fldChar w:fldCharType="separate"/>
      </w:r>
      <w:r w:rsidR="00960F91">
        <w:rPr>
          <w:lang w:val="en-AU"/>
        </w:rPr>
        <w:t>5.1</w:t>
      </w:r>
      <w:r w:rsidR="00BE71C4" w:rsidRPr="00E573E1">
        <w:rPr>
          <w:lang w:val="en-AU"/>
        </w:rPr>
        <w:fldChar w:fldCharType="end"/>
      </w:r>
      <w:r w:rsidR="00BE71C4" w:rsidRPr="00E573E1">
        <w:rPr>
          <w:lang w:val="en-AU"/>
        </w:rPr>
        <w:t xml:space="preserve"> </w:t>
      </w:r>
      <w:r w:rsidR="00BE71C4" w:rsidRPr="00E573E1">
        <w:rPr>
          <w:lang w:val="en-AU"/>
        </w:rPr>
        <w:fldChar w:fldCharType="begin"/>
      </w:r>
      <w:r w:rsidR="00BE71C4" w:rsidRPr="00E573E1">
        <w:rPr>
          <w:lang w:val="en-AU"/>
        </w:rPr>
        <w:instrText xml:space="preserve"> REF _Ref37058126 \h </w:instrText>
      </w:r>
      <w:r w:rsidR="00BE71C4" w:rsidRPr="00E573E1">
        <w:rPr>
          <w:lang w:val="en-AU"/>
        </w:rPr>
      </w:r>
      <w:r w:rsidR="00C11150">
        <w:rPr>
          <w:lang w:val="en-AU"/>
        </w:rPr>
        <w:instrText xml:space="preserve"> \* MERGEFORMAT </w:instrText>
      </w:r>
      <w:r w:rsidR="00BE71C4" w:rsidRPr="00E573E1">
        <w:rPr>
          <w:lang w:val="en-AU"/>
        </w:rPr>
        <w:fldChar w:fldCharType="separate"/>
      </w:r>
      <w:r w:rsidR="00960F91" w:rsidRPr="00E573E1">
        <w:rPr>
          <w:lang w:val="en-AU"/>
        </w:rPr>
        <w:t>Pharmacodynamic properties</w:t>
      </w:r>
      <w:r w:rsidR="00BE71C4" w:rsidRPr="00E573E1">
        <w:rPr>
          <w:lang w:val="en-AU"/>
        </w:rPr>
        <w:fldChar w:fldCharType="end"/>
      </w:r>
      <w:r w:rsidRPr="00E573E1">
        <w:rPr>
          <w:lang w:val="en-AU"/>
        </w:rPr>
        <w:t>).</w:t>
      </w:r>
    </w:p>
    <w:p w14:paraId="6DEC1210" w14:textId="77777777" w:rsidR="007F414E" w:rsidRPr="007F414E" w:rsidRDefault="007F414E" w:rsidP="00C11150">
      <w:pPr>
        <w:pStyle w:val="Heading3Unnumbered"/>
        <w:rPr>
          <w:lang w:val="en-AU"/>
        </w:rPr>
      </w:pPr>
      <w:r w:rsidRPr="007F414E">
        <w:rPr>
          <w:lang w:val="en-AU"/>
        </w:rPr>
        <w:t>Ophthalmic effects</w:t>
      </w:r>
    </w:p>
    <w:p w14:paraId="147DDB43" w14:textId="77777777" w:rsidR="007F414E" w:rsidRPr="007F414E" w:rsidRDefault="007F414E" w:rsidP="00C11150">
      <w:pPr>
        <w:pStyle w:val="Paragraph"/>
        <w:rPr>
          <w:lang w:val="en-AU"/>
        </w:rPr>
      </w:pPr>
      <w:proofErr w:type="gramStart"/>
      <w:r w:rsidRPr="007F414E">
        <w:rPr>
          <w:lang w:val="en-AU"/>
        </w:rPr>
        <w:t>Glaucoma,</w:t>
      </w:r>
      <w:proofErr w:type="gramEnd"/>
      <w:r w:rsidRPr="007F414E">
        <w:rPr>
          <w:lang w:val="en-AU"/>
        </w:rPr>
        <w:t xml:space="preserve"> increased intraocular pressure, and cataracts have been reported in patients with COPD following the long-term administration of inhaled corticosteroids or with use of inhaled anticholinergics. Rare diseases such as central serous chorioretinopathy (CSCR) have been reported after use of systemic and topical corticosteroids.</w:t>
      </w:r>
    </w:p>
    <w:p w14:paraId="3B515F19" w14:textId="77777777" w:rsidR="007F414E" w:rsidRPr="007F414E" w:rsidRDefault="007F414E" w:rsidP="00C11150">
      <w:pPr>
        <w:pStyle w:val="Paragraph"/>
        <w:rPr>
          <w:lang w:val="en-AU"/>
        </w:rPr>
      </w:pPr>
      <w:r w:rsidRPr="007F414E">
        <w:rPr>
          <w:lang w:val="en-AU"/>
        </w:rPr>
        <w:t>Worsening of narrow-angle glaucoma may occur. BREZTRI AEROSPHERE should be used with caution in patients with narrow-angle glaucoma.</w:t>
      </w:r>
    </w:p>
    <w:p w14:paraId="44DA054D" w14:textId="1130728A" w:rsidR="007F414E" w:rsidRPr="007F414E" w:rsidRDefault="007F414E" w:rsidP="00C11150">
      <w:pPr>
        <w:pStyle w:val="Paragraph"/>
        <w:rPr>
          <w:lang w:val="en-AU"/>
        </w:rPr>
      </w:pPr>
      <w:r w:rsidRPr="007F414E">
        <w:rPr>
          <w:lang w:val="en-AU"/>
        </w:rPr>
        <w:t>Consider referral to an ophthalmologist in patients who develop ocular symptoms or use BREZTRI AEROSPHERE long term.</w:t>
      </w:r>
    </w:p>
    <w:p w14:paraId="31F706A3" w14:textId="7CF5BD72" w:rsidR="00C46162" w:rsidRPr="00E573E1" w:rsidRDefault="00C46162" w:rsidP="00C11150">
      <w:pPr>
        <w:pStyle w:val="Heading3Unnumbered"/>
        <w:rPr>
          <w:lang w:val="en-AU"/>
        </w:rPr>
      </w:pPr>
      <w:r w:rsidRPr="00E573E1">
        <w:rPr>
          <w:lang w:val="en-AU"/>
        </w:rPr>
        <w:t>Hypokalaemia</w:t>
      </w:r>
    </w:p>
    <w:p w14:paraId="2A5A26E2" w14:textId="6199C5D1" w:rsidR="005B53C5" w:rsidRPr="00E573E1" w:rsidRDefault="00C60463" w:rsidP="00C11150">
      <w:pPr>
        <w:pStyle w:val="Paragraph"/>
        <w:rPr>
          <w:lang w:val="en-AU"/>
        </w:rPr>
      </w:pPr>
      <w:r w:rsidRPr="00E573E1">
        <w:rPr>
          <w:lang w:val="en-AU"/>
        </w:rPr>
        <w:t>β</w:t>
      </w:r>
      <w:r w:rsidRPr="00E573E1">
        <w:rPr>
          <w:vertAlign w:val="subscript"/>
          <w:lang w:val="en-AU"/>
        </w:rPr>
        <w:t>2</w:t>
      </w:r>
      <w:r w:rsidRPr="00E573E1">
        <w:rPr>
          <w:lang w:val="en-AU"/>
        </w:rPr>
        <w:t>-adrenergic agonists may produce significant hypokalaemia, which may increase the susceptibility to cardiac arrhythmias. The decrease in serum potassium is usually transient, not requiring supplementation. In patients with severe COPD, hypokalaemia may be potentiated by hypoxia and concomitant treatment</w:t>
      </w:r>
      <w:r w:rsidR="00C46162" w:rsidRPr="00E573E1">
        <w:rPr>
          <w:lang w:val="en-AU"/>
        </w:rPr>
        <w:t xml:space="preserve"> (see </w:t>
      </w:r>
      <w:r w:rsidR="00BE71C4" w:rsidRPr="00E573E1">
        <w:rPr>
          <w:lang w:val="en-AU"/>
        </w:rPr>
        <w:t>S</w:t>
      </w:r>
      <w:r w:rsidR="00C46162" w:rsidRPr="00E573E1">
        <w:rPr>
          <w:lang w:val="en-AU"/>
        </w:rPr>
        <w:t>ection</w:t>
      </w:r>
      <w:r w:rsidR="00BE71C4" w:rsidRPr="00E573E1">
        <w:rPr>
          <w:lang w:val="en-AU"/>
        </w:rPr>
        <w:t xml:space="preserve"> </w:t>
      </w:r>
      <w:r w:rsidR="00BE71C4" w:rsidRPr="00E573E1">
        <w:rPr>
          <w:lang w:val="en-AU"/>
        </w:rPr>
        <w:fldChar w:fldCharType="begin"/>
      </w:r>
      <w:r w:rsidR="00BE71C4" w:rsidRPr="00E573E1">
        <w:rPr>
          <w:lang w:val="en-AU"/>
        </w:rPr>
        <w:instrText xml:space="preserve"> REF _Ref37058201 \r \h </w:instrText>
      </w:r>
      <w:r w:rsidR="0093749A" w:rsidRPr="00E573E1">
        <w:rPr>
          <w:lang w:val="en-AU"/>
        </w:rPr>
        <w:instrText xml:space="preserve"> \* MERGEFORMAT </w:instrText>
      </w:r>
      <w:r w:rsidR="00BE71C4" w:rsidRPr="00E573E1">
        <w:rPr>
          <w:lang w:val="en-AU"/>
        </w:rPr>
      </w:r>
      <w:r w:rsidR="00BE71C4" w:rsidRPr="00E573E1">
        <w:rPr>
          <w:lang w:val="en-AU"/>
        </w:rPr>
        <w:fldChar w:fldCharType="separate"/>
      </w:r>
      <w:r w:rsidR="00960F91">
        <w:rPr>
          <w:lang w:val="en-AU"/>
        </w:rPr>
        <w:t>4.5</w:t>
      </w:r>
      <w:r w:rsidR="00BE71C4" w:rsidRPr="00E573E1">
        <w:rPr>
          <w:lang w:val="en-AU"/>
        </w:rPr>
        <w:fldChar w:fldCharType="end"/>
      </w:r>
      <w:r w:rsidR="00BE71C4" w:rsidRPr="00E573E1">
        <w:rPr>
          <w:lang w:val="en-AU"/>
        </w:rPr>
        <w:t xml:space="preserve"> </w:t>
      </w:r>
      <w:r w:rsidR="00BE71C4" w:rsidRPr="00E573E1">
        <w:rPr>
          <w:lang w:val="en-AU"/>
        </w:rPr>
        <w:fldChar w:fldCharType="begin"/>
      </w:r>
      <w:r w:rsidR="00BE71C4" w:rsidRPr="00E573E1">
        <w:rPr>
          <w:lang w:val="en-AU"/>
        </w:rPr>
        <w:instrText xml:space="preserve"> REF _Ref37058201 \h </w:instrText>
      </w:r>
      <w:r w:rsidR="0093749A" w:rsidRPr="00E573E1">
        <w:rPr>
          <w:lang w:val="en-AU"/>
        </w:rPr>
        <w:instrText xml:space="preserve"> \* MERGEFORMAT </w:instrText>
      </w:r>
      <w:r w:rsidR="00BE71C4" w:rsidRPr="00E573E1">
        <w:rPr>
          <w:lang w:val="en-AU"/>
        </w:rPr>
      </w:r>
      <w:r w:rsidR="00BE71C4" w:rsidRPr="00E573E1">
        <w:rPr>
          <w:lang w:val="en-AU"/>
        </w:rPr>
        <w:fldChar w:fldCharType="separate"/>
      </w:r>
      <w:r w:rsidR="00960F91" w:rsidRPr="00E573E1">
        <w:rPr>
          <w:lang w:val="en-AU"/>
        </w:rPr>
        <w:t>Interactions with other medicines and other forms of interactions</w:t>
      </w:r>
      <w:r w:rsidR="00BE71C4" w:rsidRPr="00E573E1">
        <w:rPr>
          <w:lang w:val="en-AU"/>
        </w:rPr>
        <w:fldChar w:fldCharType="end"/>
      </w:r>
      <w:r w:rsidR="00C46162" w:rsidRPr="00E573E1">
        <w:rPr>
          <w:lang w:val="en-AU"/>
        </w:rPr>
        <w:t>).</w:t>
      </w:r>
      <w:r w:rsidRPr="00E573E1">
        <w:rPr>
          <w:lang w:val="en-AU"/>
        </w:rPr>
        <w:t xml:space="preserve"> Clinically relevant effects of hypokalaemia have not been observed in clinical studies of BREZTRI AEROSPHERE at the recommended therapeutic dose.</w:t>
      </w:r>
    </w:p>
    <w:p w14:paraId="010A2B70" w14:textId="7A71B8C5" w:rsidR="00967C5B" w:rsidRPr="00E573E1" w:rsidRDefault="00967C5B" w:rsidP="00C11150">
      <w:pPr>
        <w:pStyle w:val="Heading3Unnumbered"/>
        <w:rPr>
          <w:lang w:val="en-AU"/>
        </w:rPr>
      </w:pPr>
      <w:r w:rsidRPr="00E573E1">
        <w:rPr>
          <w:lang w:val="en-AU"/>
        </w:rPr>
        <w:t>Hyperglycaemia</w:t>
      </w:r>
    </w:p>
    <w:p w14:paraId="6EB01198" w14:textId="4283EB41" w:rsidR="00865235" w:rsidRPr="00E573E1" w:rsidRDefault="00C60463" w:rsidP="00C11150">
      <w:pPr>
        <w:pStyle w:val="Paragraph"/>
        <w:rPr>
          <w:rFonts w:eastAsia="TimesNewRoman"/>
          <w:lang w:val="en-AU"/>
        </w:rPr>
      </w:pPr>
      <w:r w:rsidRPr="00E573E1">
        <w:rPr>
          <w:rFonts w:eastAsia="TimesNewRoman"/>
          <w:lang w:val="en-AU"/>
        </w:rPr>
        <w:t>Inhalation of high doses of β</w:t>
      </w:r>
      <w:r w:rsidRPr="00E573E1">
        <w:rPr>
          <w:rFonts w:eastAsia="TimesNewRoman"/>
          <w:vertAlign w:val="subscript"/>
          <w:lang w:val="en-AU"/>
        </w:rPr>
        <w:t>2</w:t>
      </w:r>
      <w:r w:rsidRPr="00E573E1">
        <w:rPr>
          <w:rFonts w:eastAsia="TimesNewRoman"/>
          <w:lang w:val="en-AU"/>
        </w:rPr>
        <w:t>-adrenergic agonists may produce increases in plasma glucose. Clinically relevant effects of hyperglycaemia have not been observed in clinical studies of BREZTRI AEROSPHERE at the recommended therapeutic dose.</w:t>
      </w:r>
    </w:p>
    <w:p w14:paraId="63CC66C4" w14:textId="77777777" w:rsidR="00C46162" w:rsidRPr="00E573E1" w:rsidRDefault="00C46162" w:rsidP="00C11150">
      <w:pPr>
        <w:pStyle w:val="Heading3Unnumbered"/>
        <w:rPr>
          <w:lang w:val="en-AU"/>
        </w:rPr>
      </w:pPr>
      <w:r w:rsidRPr="00E573E1">
        <w:rPr>
          <w:lang w:val="en-AU"/>
        </w:rPr>
        <w:t>Anticholinergic activity</w:t>
      </w:r>
    </w:p>
    <w:p w14:paraId="6441E06D" w14:textId="2D9A3051" w:rsidR="00C46162" w:rsidRPr="00E573E1" w:rsidRDefault="00C46162" w:rsidP="00C11150">
      <w:pPr>
        <w:pStyle w:val="Paragraph"/>
        <w:rPr>
          <w:lang w:val="en-AU"/>
        </w:rPr>
      </w:pPr>
      <w:r w:rsidRPr="00E573E1">
        <w:rPr>
          <w:lang w:val="en-AU"/>
        </w:rPr>
        <w:t>Due to its anticholinergic activity, BREZTRI AEROSPHERE should be used with caution in</w:t>
      </w:r>
      <w:r w:rsidR="005B2EAA" w:rsidRPr="00E573E1">
        <w:rPr>
          <w:lang w:val="en-AU"/>
        </w:rPr>
        <w:t xml:space="preserve"> </w:t>
      </w:r>
      <w:r w:rsidRPr="00E573E1">
        <w:rPr>
          <w:lang w:val="en-AU"/>
        </w:rPr>
        <w:t xml:space="preserve">patients with symptomatic prostatic hyperplasia, urinary </w:t>
      </w:r>
      <w:proofErr w:type="gramStart"/>
      <w:r w:rsidRPr="00E573E1">
        <w:rPr>
          <w:lang w:val="en-AU"/>
        </w:rPr>
        <w:t>retention</w:t>
      </w:r>
      <w:proofErr w:type="gramEnd"/>
      <w:r w:rsidRPr="00E573E1">
        <w:rPr>
          <w:lang w:val="en-AU"/>
        </w:rPr>
        <w:t xml:space="preserve"> or narrow-angle glaucoma.</w:t>
      </w:r>
    </w:p>
    <w:p w14:paraId="2A60F288" w14:textId="77777777" w:rsidR="00C46162" w:rsidRPr="00E573E1" w:rsidRDefault="00C46162" w:rsidP="00C11150">
      <w:pPr>
        <w:pStyle w:val="Heading3Unnumbered"/>
        <w:rPr>
          <w:lang w:val="en-AU"/>
        </w:rPr>
      </w:pPr>
      <w:r w:rsidRPr="00E573E1">
        <w:rPr>
          <w:lang w:val="en-AU"/>
        </w:rPr>
        <w:t>Pneumonia</w:t>
      </w:r>
    </w:p>
    <w:p w14:paraId="23FC3DCF" w14:textId="77777777" w:rsidR="008E32A1" w:rsidRPr="008E32A1" w:rsidRDefault="008E32A1" w:rsidP="00C11150">
      <w:pPr>
        <w:pStyle w:val="Paragraph"/>
        <w:rPr>
          <w:lang w:val="en-AU"/>
        </w:rPr>
      </w:pPr>
      <w:r w:rsidRPr="008E32A1">
        <w:rPr>
          <w:lang w:val="en-AU"/>
        </w:rPr>
        <w:t>An increase in the incidence of pneumonia, including pneumonia requiring hospitalisation, has been observed in patients with COPD receiving inhaled corticosteroids. There is some evidence of an increased risk of pneumonia with increasing steroid dose</w:t>
      </w:r>
      <w:r>
        <w:rPr>
          <w:lang w:val="en-AU"/>
        </w:rPr>
        <w:t>,</w:t>
      </w:r>
      <w:r w:rsidRPr="008E32A1">
        <w:rPr>
          <w:lang w:val="en-AU"/>
        </w:rPr>
        <w:t xml:space="preserve"> but this has not been demonstrated conclusively across all studies.</w:t>
      </w:r>
    </w:p>
    <w:p w14:paraId="3551D462" w14:textId="357ACE9A" w:rsidR="00C46162" w:rsidRDefault="00C46162" w:rsidP="00C11150">
      <w:pPr>
        <w:pStyle w:val="Paragraph"/>
        <w:rPr>
          <w:lang w:val="en-AU"/>
        </w:rPr>
      </w:pPr>
      <w:r w:rsidRPr="00E573E1">
        <w:rPr>
          <w:lang w:val="en-AU"/>
        </w:rPr>
        <w:t>Physicians should remain vigilant for the possible development of pneumonia in patients with</w:t>
      </w:r>
      <w:r w:rsidR="005B2EAA" w:rsidRPr="00E573E1">
        <w:rPr>
          <w:lang w:val="en-AU"/>
        </w:rPr>
        <w:t xml:space="preserve"> </w:t>
      </w:r>
      <w:r w:rsidRPr="00E573E1">
        <w:rPr>
          <w:lang w:val="en-AU"/>
        </w:rPr>
        <w:t>COPD as the clinical features of such infections can overlap with the symptoms of COPD</w:t>
      </w:r>
      <w:r w:rsidR="005B2EAA" w:rsidRPr="00E573E1">
        <w:rPr>
          <w:lang w:val="en-AU"/>
        </w:rPr>
        <w:t xml:space="preserve"> </w:t>
      </w:r>
      <w:r w:rsidRPr="00E573E1">
        <w:rPr>
          <w:lang w:val="en-AU"/>
        </w:rPr>
        <w:t>exacerbations.</w:t>
      </w:r>
    </w:p>
    <w:p w14:paraId="7B227171" w14:textId="431CF738" w:rsidR="008E32A1" w:rsidRDefault="008E32A1" w:rsidP="00C11150">
      <w:pPr>
        <w:pStyle w:val="Paragraph"/>
        <w:rPr>
          <w:lang w:val="en-AU"/>
        </w:rPr>
      </w:pPr>
      <w:r w:rsidRPr="008E32A1">
        <w:rPr>
          <w:lang w:val="en-AU"/>
        </w:rPr>
        <w:lastRenderedPageBreak/>
        <w:t>Risk factors for pneumonia in patients with COPD include current smoking, older age, low body mass index (BMI) and severe COPD.</w:t>
      </w:r>
    </w:p>
    <w:p w14:paraId="4944E567" w14:textId="1933B6B8" w:rsidR="001778B5" w:rsidRDefault="001778B5" w:rsidP="00C11150">
      <w:pPr>
        <w:pStyle w:val="Heading3Unnumbered"/>
        <w:rPr>
          <w:lang w:val="en-AU"/>
        </w:rPr>
      </w:pPr>
      <w:r>
        <w:rPr>
          <w:lang w:val="en-AU"/>
        </w:rPr>
        <w:t>Oropharyngeal candidiasis</w:t>
      </w:r>
    </w:p>
    <w:p w14:paraId="6FF577CC" w14:textId="6D00A535" w:rsidR="001778B5" w:rsidRPr="001778B5" w:rsidRDefault="001778B5" w:rsidP="00C11150">
      <w:pPr>
        <w:pStyle w:val="Paragraph"/>
        <w:rPr>
          <w:lang w:val="en-AU"/>
        </w:rPr>
      </w:pPr>
      <w:r w:rsidRPr="001778B5">
        <w:rPr>
          <w:lang w:val="en-AU"/>
        </w:rPr>
        <w:t xml:space="preserve">Oropharyngeal candidiasis has occurred in patients treated with orally inhaled drug products containing </w:t>
      </w:r>
      <w:r w:rsidR="00FF230B">
        <w:rPr>
          <w:lang w:val="en-AU"/>
        </w:rPr>
        <w:t>inhaled corticosteroids</w:t>
      </w:r>
      <w:r w:rsidRPr="001778B5">
        <w:rPr>
          <w:lang w:val="en-AU"/>
        </w:rPr>
        <w:t>. Rinsing the mouth with water swallowing following administration of BREZTRI AEROSPHERE reduces the risk of oropharyngeal candidiasis.</w:t>
      </w:r>
      <w:r w:rsidR="009F07EF">
        <w:rPr>
          <w:lang w:val="en-AU"/>
        </w:rPr>
        <w:t xml:space="preserve"> </w:t>
      </w:r>
      <w:r w:rsidR="009F07EF" w:rsidRPr="009F07EF">
        <w:rPr>
          <w:lang w:val="en-AU"/>
        </w:rPr>
        <w:t>If such an infection develops, treatment with appropriate local or systemic antifungal therapy should be initiated.</w:t>
      </w:r>
    </w:p>
    <w:p w14:paraId="5E16773D" w14:textId="77777777" w:rsidR="002C7518" w:rsidRPr="00E573E1" w:rsidRDefault="002C7518" w:rsidP="00C11150">
      <w:pPr>
        <w:pStyle w:val="Heading3Unnumbered"/>
        <w:rPr>
          <w:lang w:val="en-AU"/>
        </w:rPr>
      </w:pPr>
      <w:r w:rsidRPr="00E573E1">
        <w:rPr>
          <w:lang w:val="en-AU"/>
        </w:rPr>
        <w:t>Use in hepatic impairment</w:t>
      </w:r>
    </w:p>
    <w:p w14:paraId="74AD5F93" w14:textId="19B43BC2" w:rsidR="00C46162" w:rsidRPr="00E573E1" w:rsidRDefault="00AF7EBD" w:rsidP="00C11150">
      <w:pPr>
        <w:pStyle w:val="Paragraph"/>
        <w:rPr>
          <w:lang w:val="en-AU"/>
        </w:rPr>
      </w:pPr>
      <w:r w:rsidRPr="00E573E1">
        <w:rPr>
          <w:lang w:val="en-AU"/>
        </w:rPr>
        <w:t>Formal pharmacokinetic studies using BREZTRI AEROSPHERE have not been conducted in patients with hepatic impairment. However, since budesonide and formoterol are predominantly cleared by hepatic metabolism, impairment of liver function may lead to accumulation of budesonide and formoterol in plasma. Therefore, patients with severe hepatic disease should be closely monitored and BREZTRI AEROSPHERE should only be used if the expected benefit outweighs the potential risk</w:t>
      </w:r>
      <w:r w:rsidR="00C46162" w:rsidRPr="00E573E1">
        <w:rPr>
          <w:lang w:val="en-AU"/>
        </w:rPr>
        <w:t xml:space="preserve"> (see </w:t>
      </w:r>
      <w:r w:rsidR="00CC4F76" w:rsidRPr="00E573E1">
        <w:rPr>
          <w:lang w:val="en-AU"/>
        </w:rPr>
        <w:t xml:space="preserve">Section </w:t>
      </w:r>
      <w:r w:rsidR="00CC4F76" w:rsidRPr="00E573E1">
        <w:rPr>
          <w:lang w:val="en-AU"/>
        </w:rPr>
        <w:fldChar w:fldCharType="begin"/>
      </w:r>
      <w:r w:rsidR="00CC4F76" w:rsidRPr="00E573E1">
        <w:rPr>
          <w:lang w:val="en-AU"/>
        </w:rPr>
        <w:instrText xml:space="preserve"> REF _Ref34049480 \r \h </w:instrText>
      </w:r>
      <w:r w:rsidR="00CC4F76" w:rsidRPr="00E573E1">
        <w:rPr>
          <w:lang w:val="en-AU"/>
        </w:rPr>
      </w:r>
      <w:r w:rsidR="00C11150">
        <w:rPr>
          <w:lang w:val="en-AU"/>
        </w:rPr>
        <w:instrText xml:space="preserve"> \* MERGEFORMAT </w:instrText>
      </w:r>
      <w:r w:rsidR="00CC4F76" w:rsidRPr="00E573E1">
        <w:rPr>
          <w:lang w:val="en-AU"/>
        </w:rPr>
        <w:fldChar w:fldCharType="separate"/>
      </w:r>
      <w:r w:rsidR="00960F91">
        <w:rPr>
          <w:lang w:val="en-AU"/>
        </w:rPr>
        <w:t>5.2</w:t>
      </w:r>
      <w:r w:rsidR="00CC4F76" w:rsidRPr="00E573E1">
        <w:rPr>
          <w:lang w:val="en-AU"/>
        </w:rPr>
        <w:fldChar w:fldCharType="end"/>
      </w:r>
      <w:r w:rsidR="00CC4F76" w:rsidRPr="00E573E1">
        <w:rPr>
          <w:lang w:val="en-AU"/>
        </w:rPr>
        <w:t xml:space="preserve"> </w:t>
      </w:r>
      <w:r w:rsidR="00CC4F76" w:rsidRPr="00E573E1">
        <w:rPr>
          <w:lang w:val="en-AU"/>
        </w:rPr>
        <w:fldChar w:fldCharType="begin"/>
      </w:r>
      <w:r w:rsidR="00CC4F76" w:rsidRPr="00E573E1">
        <w:rPr>
          <w:lang w:val="en-AU"/>
        </w:rPr>
        <w:instrText xml:space="preserve"> REF _Ref34049480 \h </w:instrText>
      </w:r>
      <w:r w:rsidR="00CC4F76" w:rsidRPr="00E573E1">
        <w:rPr>
          <w:lang w:val="en-AU"/>
        </w:rPr>
      </w:r>
      <w:r w:rsidR="00C11150">
        <w:rPr>
          <w:lang w:val="en-AU"/>
        </w:rPr>
        <w:instrText xml:space="preserve"> \* MERGEFORMAT </w:instrText>
      </w:r>
      <w:r w:rsidR="00CC4F76" w:rsidRPr="00E573E1">
        <w:rPr>
          <w:lang w:val="en-AU"/>
        </w:rPr>
        <w:fldChar w:fldCharType="separate"/>
      </w:r>
      <w:r w:rsidR="00960F91" w:rsidRPr="00E573E1">
        <w:rPr>
          <w:lang w:val="en-AU"/>
        </w:rPr>
        <w:t>Pharmacokinetic properties</w:t>
      </w:r>
      <w:r w:rsidR="00CC4F76" w:rsidRPr="00E573E1">
        <w:rPr>
          <w:lang w:val="en-AU"/>
        </w:rPr>
        <w:fldChar w:fldCharType="end"/>
      </w:r>
      <w:r w:rsidR="00CC4F76" w:rsidRPr="00E573E1">
        <w:rPr>
          <w:lang w:val="en-AU"/>
        </w:rPr>
        <w:t xml:space="preserve"> [</w:t>
      </w:r>
      <w:r w:rsidR="00CC4F76" w:rsidRPr="00E573E1">
        <w:rPr>
          <w:i/>
          <w:lang w:val="en-AU"/>
        </w:rPr>
        <w:t>Special patient populations</w:t>
      </w:r>
      <w:r w:rsidR="00CC4F76" w:rsidRPr="00E573E1">
        <w:rPr>
          <w:lang w:val="en-AU"/>
        </w:rPr>
        <w:t>/</w:t>
      </w:r>
      <w:r w:rsidR="00CC4F76" w:rsidRPr="00E573E1">
        <w:rPr>
          <w:i/>
          <w:lang w:val="en-AU"/>
        </w:rPr>
        <w:t>Hepatic impairment</w:t>
      </w:r>
      <w:r w:rsidR="00CC4F76" w:rsidRPr="00E573E1">
        <w:rPr>
          <w:lang w:val="en-AU"/>
        </w:rPr>
        <w:t>]</w:t>
      </w:r>
      <w:r w:rsidR="00C46162" w:rsidRPr="00E573E1">
        <w:rPr>
          <w:lang w:val="en-AU"/>
        </w:rPr>
        <w:t>).</w:t>
      </w:r>
    </w:p>
    <w:p w14:paraId="761F70F1" w14:textId="77777777" w:rsidR="002C7518" w:rsidRPr="00E573E1" w:rsidRDefault="002C7518" w:rsidP="00C11150">
      <w:pPr>
        <w:pStyle w:val="Heading3Unnumbered"/>
        <w:rPr>
          <w:lang w:val="en-AU"/>
        </w:rPr>
      </w:pPr>
      <w:r w:rsidRPr="00E573E1">
        <w:rPr>
          <w:lang w:val="en-AU"/>
        </w:rPr>
        <w:t>Use in renal impairment</w:t>
      </w:r>
    </w:p>
    <w:p w14:paraId="6AAB7314" w14:textId="7139F476" w:rsidR="00C46162" w:rsidRPr="00E573E1" w:rsidRDefault="00C46162" w:rsidP="00C11150">
      <w:pPr>
        <w:pStyle w:val="Paragraph"/>
        <w:rPr>
          <w:lang w:val="en-AU"/>
        </w:rPr>
      </w:pPr>
      <w:r w:rsidRPr="00E573E1">
        <w:rPr>
          <w:lang w:val="en-AU"/>
        </w:rPr>
        <w:t xml:space="preserve">Formal pharmacokinetic studies using BREZTRI AEROSPHERE have not been conducted in patients with renal impairment. As </w:t>
      </w:r>
      <w:proofErr w:type="spellStart"/>
      <w:r w:rsidRPr="00E573E1">
        <w:rPr>
          <w:lang w:val="en-AU"/>
        </w:rPr>
        <w:t>glycopyrronium</w:t>
      </w:r>
      <w:proofErr w:type="spellEnd"/>
      <w:r w:rsidRPr="00E573E1">
        <w:rPr>
          <w:lang w:val="en-AU"/>
        </w:rPr>
        <w:t xml:space="preserve"> is predominantly renally excreted, patients</w:t>
      </w:r>
      <w:r w:rsidR="00CC4F76" w:rsidRPr="00E573E1">
        <w:rPr>
          <w:lang w:val="en-AU"/>
        </w:rPr>
        <w:t xml:space="preserve"> </w:t>
      </w:r>
      <w:r w:rsidRPr="00E573E1">
        <w:rPr>
          <w:lang w:val="en-AU"/>
        </w:rPr>
        <w:t>with severe renal impairment (</w:t>
      </w:r>
      <w:r w:rsidR="0060197D" w:rsidRPr="00E573E1">
        <w:rPr>
          <w:lang w:val="en-AU"/>
        </w:rPr>
        <w:t>estimated glomerular filtration rate (eGFR) &lt;30 mL/min/1.73 m</w:t>
      </w:r>
      <w:proofErr w:type="gramStart"/>
      <w:r w:rsidR="0060197D" w:rsidRPr="00E573E1">
        <w:rPr>
          <w:vertAlign w:val="superscript"/>
          <w:lang w:val="en-AU"/>
        </w:rPr>
        <w:t xml:space="preserve">2 </w:t>
      </w:r>
      <w:r w:rsidRPr="00E573E1">
        <w:rPr>
          <w:lang w:val="en-AU"/>
        </w:rPr>
        <w:t>)</w:t>
      </w:r>
      <w:proofErr w:type="gramEnd"/>
      <w:r w:rsidRPr="00E573E1">
        <w:rPr>
          <w:lang w:val="en-AU"/>
        </w:rPr>
        <w:t xml:space="preserve"> should be treated with</w:t>
      </w:r>
      <w:r w:rsidR="00CC4F76" w:rsidRPr="00E573E1">
        <w:rPr>
          <w:lang w:val="en-AU"/>
        </w:rPr>
        <w:t xml:space="preserve"> </w:t>
      </w:r>
      <w:r w:rsidRPr="00E573E1">
        <w:rPr>
          <w:lang w:val="en-AU"/>
        </w:rPr>
        <w:t>BREZTRI AEROSPHERE only if the expected benefit outweighs the potential risk</w:t>
      </w:r>
      <w:r w:rsidR="00D043BE" w:rsidRPr="00E573E1">
        <w:rPr>
          <w:lang w:val="en-AU"/>
        </w:rPr>
        <w:t xml:space="preserve">. (see Section </w:t>
      </w:r>
      <w:r w:rsidR="00D043BE" w:rsidRPr="00E573E1">
        <w:rPr>
          <w:lang w:val="en-AU"/>
        </w:rPr>
        <w:fldChar w:fldCharType="begin"/>
      </w:r>
      <w:r w:rsidR="00D043BE" w:rsidRPr="00E573E1">
        <w:rPr>
          <w:lang w:val="en-AU"/>
        </w:rPr>
        <w:instrText xml:space="preserve"> REF _Ref34049480 \r \h </w:instrText>
      </w:r>
      <w:r w:rsidR="00D043BE" w:rsidRPr="00E573E1">
        <w:rPr>
          <w:lang w:val="en-AU"/>
        </w:rPr>
      </w:r>
      <w:r w:rsidR="00C11150">
        <w:rPr>
          <w:lang w:val="en-AU"/>
        </w:rPr>
        <w:instrText xml:space="preserve"> \* MERGEFORMAT </w:instrText>
      </w:r>
      <w:r w:rsidR="00D043BE" w:rsidRPr="00E573E1">
        <w:rPr>
          <w:lang w:val="en-AU"/>
        </w:rPr>
        <w:fldChar w:fldCharType="separate"/>
      </w:r>
      <w:r w:rsidR="00960F91">
        <w:rPr>
          <w:lang w:val="en-AU"/>
        </w:rPr>
        <w:t>5.2</w:t>
      </w:r>
      <w:r w:rsidR="00D043BE" w:rsidRPr="00E573E1">
        <w:rPr>
          <w:lang w:val="en-AU"/>
        </w:rPr>
        <w:fldChar w:fldCharType="end"/>
      </w:r>
      <w:r w:rsidR="001F6775" w:rsidRPr="00E573E1">
        <w:rPr>
          <w:lang w:val="en-AU"/>
        </w:rPr>
        <w:t xml:space="preserve"> </w:t>
      </w:r>
      <w:r w:rsidR="00D043BE" w:rsidRPr="00E573E1">
        <w:rPr>
          <w:lang w:val="en-AU"/>
        </w:rPr>
        <w:fldChar w:fldCharType="begin"/>
      </w:r>
      <w:r w:rsidR="00D043BE" w:rsidRPr="00E573E1">
        <w:rPr>
          <w:lang w:val="en-AU"/>
        </w:rPr>
        <w:instrText xml:space="preserve"> REF _Ref34049480 \h </w:instrText>
      </w:r>
      <w:r w:rsidR="00D043BE" w:rsidRPr="00E573E1">
        <w:rPr>
          <w:lang w:val="en-AU"/>
        </w:rPr>
      </w:r>
      <w:r w:rsidR="00C11150">
        <w:rPr>
          <w:lang w:val="en-AU"/>
        </w:rPr>
        <w:instrText xml:space="preserve"> \* MERGEFORMAT </w:instrText>
      </w:r>
      <w:r w:rsidR="00D043BE" w:rsidRPr="00E573E1">
        <w:rPr>
          <w:lang w:val="en-AU"/>
        </w:rPr>
        <w:fldChar w:fldCharType="separate"/>
      </w:r>
      <w:r w:rsidR="00960F91" w:rsidRPr="00E573E1">
        <w:rPr>
          <w:lang w:val="en-AU"/>
        </w:rPr>
        <w:t>Pharmacokinetic properties</w:t>
      </w:r>
      <w:r w:rsidR="00D043BE" w:rsidRPr="00E573E1">
        <w:rPr>
          <w:lang w:val="en-AU"/>
        </w:rPr>
        <w:fldChar w:fldCharType="end"/>
      </w:r>
      <w:r w:rsidR="00D043BE" w:rsidRPr="00E573E1">
        <w:rPr>
          <w:lang w:val="en-AU"/>
        </w:rPr>
        <w:t xml:space="preserve"> [</w:t>
      </w:r>
      <w:r w:rsidR="00D043BE" w:rsidRPr="00E573E1">
        <w:rPr>
          <w:i/>
          <w:lang w:val="en-AU"/>
        </w:rPr>
        <w:t>Special patient populations</w:t>
      </w:r>
      <w:r w:rsidR="00D043BE" w:rsidRPr="00E573E1">
        <w:rPr>
          <w:lang w:val="en-AU"/>
        </w:rPr>
        <w:t>/</w:t>
      </w:r>
      <w:r w:rsidR="00D043BE" w:rsidRPr="00E573E1">
        <w:rPr>
          <w:i/>
          <w:lang w:val="en-AU"/>
        </w:rPr>
        <w:t>Renal impairment</w:t>
      </w:r>
      <w:r w:rsidR="00D043BE" w:rsidRPr="00E573E1">
        <w:rPr>
          <w:lang w:val="en-AU"/>
        </w:rPr>
        <w:t>])</w:t>
      </w:r>
      <w:r w:rsidRPr="00E573E1">
        <w:rPr>
          <w:lang w:val="en-AU"/>
        </w:rPr>
        <w:t>.</w:t>
      </w:r>
    </w:p>
    <w:p w14:paraId="4A57FABD" w14:textId="77777777" w:rsidR="002C7518" w:rsidRPr="00E573E1" w:rsidRDefault="002C7518" w:rsidP="00C11150">
      <w:pPr>
        <w:pStyle w:val="Heading3Unnumbered"/>
        <w:rPr>
          <w:lang w:val="en-AU"/>
        </w:rPr>
      </w:pPr>
      <w:r w:rsidRPr="00E573E1">
        <w:rPr>
          <w:lang w:val="en-AU"/>
        </w:rPr>
        <w:t>Use in the elderly</w:t>
      </w:r>
    </w:p>
    <w:p w14:paraId="2C3B0D90" w14:textId="5764595D" w:rsidR="002C7518" w:rsidRPr="00E573E1" w:rsidRDefault="002C7518" w:rsidP="00C11150">
      <w:pPr>
        <w:pStyle w:val="Paragraph"/>
        <w:rPr>
          <w:lang w:val="en-AU"/>
        </w:rPr>
      </w:pPr>
      <w:r w:rsidRPr="00E573E1">
        <w:rPr>
          <w:lang w:val="en-AU"/>
        </w:rPr>
        <w:t xml:space="preserve">No dosage adjustment is necessary for elderly patients (see </w:t>
      </w:r>
      <w:r w:rsidR="00B9672C" w:rsidRPr="00E573E1">
        <w:rPr>
          <w:color w:val="000000" w:themeColor="text1"/>
          <w:lang w:val="en-AU"/>
        </w:rPr>
        <w:t xml:space="preserve">Section </w:t>
      </w:r>
      <w:r w:rsidR="00B9672C" w:rsidRPr="00E573E1">
        <w:rPr>
          <w:color w:val="000000" w:themeColor="text1"/>
          <w:lang w:val="en-AU"/>
        </w:rPr>
        <w:fldChar w:fldCharType="begin"/>
      </w:r>
      <w:r w:rsidR="00B9672C" w:rsidRPr="00E573E1">
        <w:rPr>
          <w:color w:val="000000" w:themeColor="text1"/>
          <w:lang w:val="en-AU"/>
        </w:rPr>
        <w:instrText xml:space="preserve"> REF _Ref34049480 \r \h </w:instrText>
      </w:r>
      <w:r w:rsidR="00B9672C" w:rsidRPr="00E573E1">
        <w:rPr>
          <w:color w:val="000000" w:themeColor="text1"/>
          <w:lang w:val="en-AU"/>
        </w:rPr>
      </w:r>
      <w:r w:rsidR="00C11150">
        <w:rPr>
          <w:color w:val="000000" w:themeColor="text1"/>
          <w:lang w:val="en-AU"/>
        </w:rPr>
        <w:instrText xml:space="preserve"> \* MERGEFORMAT </w:instrText>
      </w:r>
      <w:r w:rsidR="00B9672C" w:rsidRPr="00E573E1">
        <w:rPr>
          <w:color w:val="000000" w:themeColor="text1"/>
          <w:lang w:val="en-AU"/>
        </w:rPr>
        <w:fldChar w:fldCharType="separate"/>
      </w:r>
      <w:r w:rsidR="00960F91">
        <w:rPr>
          <w:color w:val="000000" w:themeColor="text1"/>
          <w:lang w:val="en-AU"/>
        </w:rPr>
        <w:t>5.2</w:t>
      </w:r>
      <w:r w:rsidR="00B9672C" w:rsidRPr="00E573E1">
        <w:rPr>
          <w:color w:val="000000" w:themeColor="text1"/>
          <w:lang w:val="en-AU"/>
        </w:rPr>
        <w:fldChar w:fldCharType="end"/>
      </w:r>
      <w:r w:rsidR="00B9672C" w:rsidRPr="00E573E1">
        <w:rPr>
          <w:color w:val="000000" w:themeColor="text1"/>
          <w:lang w:val="en-AU"/>
        </w:rPr>
        <w:t xml:space="preserve"> </w:t>
      </w:r>
      <w:r w:rsidR="00B9672C" w:rsidRPr="00E573E1">
        <w:rPr>
          <w:color w:val="000000" w:themeColor="text1"/>
          <w:lang w:val="en-AU"/>
        </w:rPr>
        <w:fldChar w:fldCharType="begin"/>
      </w:r>
      <w:r w:rsidR="00B9672C" w:rsidRPr="00E573E1">
        <w:rPr>
          <w:color w:val="000000" w:themeColor="text1"/>
          <w:lang w:val="en-AU"/>
        </w:rPr>
        <w:instrText xml:space="preserve"> REF _Ref34049480 \h  \* MERGEFORMAT </w:instrText>
      </w:r>
      <w:r w:rsidR="00B9672C" w:rsidRPr="00E573E1">
        <w:rPr>
          <w:color w:val="000000" w:themeColor="text1"/>
          <w:lang w:val="en-AU"/>
        </w:rPr>
      </w:r>
      <w:r w:rsidR="00B9672C" w:rsidRPr="00E573E1">
        <w:rPr>
          <w:color w:val="000000" w:themeColor="text1"/>
          <w:lang w:val="en-AU"/>
        </w:rPr>
        <w:fldChar w:fldCharType="separate"/>
      </w:r>
      <w:r w:rsidR="00960F91" w:rsidRPr="00960F91">
        <w:rPr>
          <w:color w:val="000000" w:themeColor="text1"/>
          <w:lang w:val="en-AU"/>
        </w:rPr>
        <w:t>Pharmacokinetic properties</w:t>
      </w:r>
      <w:r w:rsidR="00B9672C" w:rsidRPr="00E573E1">
        <w:rPr>
          <w:color w:val="000000" w:themeColor="text1"/>
          <w:lang w:val="en-AU"/>
        </w:rPr>
        <w:fldChar w:fldCharType="end"/>
      </w:r>
      <w:r w:rsidR="00EA094C" w:rsidRPr="00E573E1">
        <w:rPr>
          <w:lang w:val="en-AU"/>
        </w:rPr>
        <w:t xml:space="preserve"> </w:t>
      </w:r>
      <w:r w:rsidRPr="00E573E1">
        <w:rPr>
          <w:lang w:val="en-AU"/>
        </w:rPr>
        <w:t>[</w:t>
      </w:r>
      <w:r w:rsidRPr="00E573E1">
        <w:rPr>
          <w:i/>
          <w:lang w:val="en-AU"/>
        </w:rPr>
        <w:t>Special patient populations</w:t>
      </w:r>
      <w:r w:rsidRPr="00E573E1">
        <w:rPr>
          <w:lang w:val="en-AU"/>
        </w:rPr>
        <w:t>/</w:t>
      </w:r>
      <w:r w:rsidRPr="00E573E1">
        <w:rPr>
          <w:i/>
          <w:lang w:val="en-AU"/>
        </w:rPr>
        <w:t>Use in the elderly</w:t>
      </w:r>
      <w:r w:rsidRPr="00E573E1">
        <w:rPr>
          <w:lang w:val="en-AU"/>
        </w:rPr>
        <w:t>]).</w:t>
      </w:r>
    </w:p>
    <w:p w14:paraId="70840C2D" w14:textId="77777777" w:rsidR="002C7518" w:rsidRPr="00E573E1" w:rsidRDefault="002C7518" w:rsidP="00C11150">
      <w:pPr>
        <w:pStyle w:val="Heading3Unnumbered"/>
        <w:rPr>
          <w:lang w:val="en-AU"/>
        </w:rPr>
      </w:pPr>
      <w:r w:rsidRPr="00E573E1">
        <w:rPr>
          <w:lang w:val="en-AU"/>
        </w:rPr>
        <w:t>Paediatric use</w:t>
      </w:r>
    </w:p>
    <w:p w14:paraId="14D40366" w14:textId="118008AF" w:rsidR="002C7518" w:rsidRPr="00E573E1" w:rsidRDefault="00DC650F" w:rsidP="00C11150">
      <w:pPr>
        <w:pStyle w:val="Paragraph"/>
        <w:rPr>
          <w:lang w:val="en-AU"/>
        </w:rPr>
      </w:pPr>
      <w:r w:rsidRPr="00E573E1">
        <w:rPr>
          <w:lang w:val="en-AU"/>
        </w:rPr>
        <w:t>There is no relevant use of BREZTRI AEROSPHERE in children and adolescents (under 18 years of age) in the indication of COPD</w:t>
      </w:r>
      <w:r w:rsidR="002C7518" w:rsidRPr="00E573E1">
        <w:rPr>
          <w:color w:val="FF0000"/>
          <w:lang w:val="en-AU"/>
        </w:rPr>
        <w:t>.</w:t>
      </w:r>
    </w:p>
    <w:p w14:paraId="24932D02" w14:textId="77777777" w:rsidR="002C7518" w:rsidRPr="00E573E1" w:rsidRDefault="002C7518" w:rsidP="00C11150">
      <w:pPr>
        <w:pStyle w:val="Heading3Unnumbered"/>
        <w:rPr>
          <w:lang w:val="en-AU"/>
        </w:rPr>
      </w:pPr>
      <w:r w:rsidRPr="00E573E1">
        <w:rPr>
          <w:lang w:val="en-AU"/>
        </w:rPr>
        <w:t>Effects on laboratory tests</w:t>
      </w:r>
    </w:p>
    <w:p w14:paraId="3D326E1C" w14:textId="77777777" w:rsidR="002C7518" w:rsidRPr="00E573E1" w:rsidRDefault="002C7518" w:rsidP="00C11150">
      <w:pPr>
        <w:pStyle w:val="Paragraph"/>
        <w:rPr>
          <w:lang w:val="en-AU"/>
        </w:rPr>
      </w:pPr>
      <w:r w:rsidRPr="00E573E1">
        <w:rPr>
          <w:lang w:val="en-AU"/>
        </w:rPr>
        <w:t>No data available.</w:t>
      </w:r>
    </w:p>
    <w:p w14:paraId="69E6EAA3" w14:textId="77777777" w:rsidR="001A3992" w:rsidRPr="00E573E1" w:rsidRDefault="001A3992" w:rsidP="00C11150">
      <w:pPr>
        <w:pStyle w:val="Heading2"/>
        <w:rPr>
          <w:lang w:val="en-AU"/>
        </w:rPr>
      </w:pPr>
      <w:bookmarkStart w:id="10" w:name="_Ref505770425"/>
      <w:bookmarkStart w:id="11" w:name="_Ref37058201"/>
      <w:r w:rsidRPr="00E573E1">
        <w:rPr>
          <w:lang w:val="en-AU"/>
        </w:rPr>
        <w:t>Interactions with other medicines and other forms of interactions</w:t>
      </w:r>
      <w:bookmarkEnd w:id="10"/>
      <w:bookmarkEnd w:id="11"/>
    </w:p>
    <w:p w14:paraId="07F0BA7C" w14:textId="77777777" w:rsidR="00FD5A60" w:rsidRPr="00E573E1" w:rsidRDefault="00FD5A60" w:rsidP="00C11150">
      <w:pPr>
        <w:pStyle w:val="Paragraph"/>
        <w:rPr>
          <w:lang w:val="en-AU"/>
        </w:rPr>
      </w:pPr>
      <w:r w:rsidRPr="00E573E1">
        <w:rPr>
          <w:lang w:val="en-AU"/>
        </w:rPr>
        <w:t>No formal drug interaction studies have been performed with BREZTRI AEROSPHERE.</w:t>
      </w:r>
    </w:p>
    <w:p w14:paraId="392ECB50" w14:textId="77CA4F3B" w:rsidR="00FD5A60" w:rsidRPr="00E573E1" w:rsidRDefault="00FD5A60" w:rsidP="00C11150">
      <w:pPr>
        <w:pStyle w:val="Heading3Unnumbered"/>
        <w:rPr>
          <w:lang w:val="en-AU"/>
        </w:rPr>
      </w:pPr>
      <w:r w:rsidRPr="00E573E1">
        <w:rPr>
          <w:lang w:val="en-AU"/>
        </w:rPr>
        <w:t xml:space="preserve">COPD </w:t>
      </w:r>
      <w:r w:rsidR="00681381" w:rsidRPr="00E573E1">
        <w:rPr>
          <w:lang w:val="en-AU"/>
        </w:rPr>
        <w:t>medicines</w:t>
      </w:r>
    </w:p>
    <w:p w14:paraId="1BB2E728" w14:textId="77777777" w:rsidR="003144C1" w:rsidRPr="00E573E1" w:rsidRDefault="00FD5A60" w:rsidP="00C11150">
      <w:pPr>
        <w:pStyle w:val="Paragraph"/>
        <w:rPr>
          <w:lang w:val="en-AU"/>
        </w:rPr>
      </w:pPr>
      <w:r w:rsidRPr="00E573E1">
        <w:rPr>
          <w:lang w:val="en-AU"/>
        </w:rPr>
        <w:t xml:space="preserve">Co-administration of BREZTRI AEROSPHERE with other </w:t>
      </w:r>
      <w:r w:rsidR="006F1B80" w:rsidRPr="00E573E1">
        <w:rPr>
          <w:lang w:val="en-AU"/>
        </w:rPr>
        <w:t>LAMA</w:t>
      </w:r>
      <w:r w:rsidRPr="00E573E1">
        <w:rPr>
          <w:lang w:val="en-AU"/>
        </w:rPr>
        <w:t xml:space="preserve"> and/or LABA containing medicinal products has not been studied and is not recommended.</w:t>
      </w:r>
    </w:p>
    <w:p w14:paraId="55BE970E" w14:textId="2FD524DF" w:rsidR="00FD5A60" w:rsidRPr="00E573E1" w:rsidRDefault="003144C1" w:rsidP="00C11150">
      <w:pPr>
        <w:pStyle w:val="Paragraph"/>
        <w:rPr>
          <w:lang w:val="en-AU"/>
        </w:rPr>
      </w:pPr>
      <w:r w:rsidRPr="00E573E1">
        <w:rPr>
          <w:noProof/>
          <w:lang w:val="en-AU"/>
        </w:rPr>
        <w:t xml:space="preserve">No formal </w:t>
      </w:r>
      <w:r w:rsidRPr="00E573E1">
        <w:rPr>
          <w:i/>
          <w:noProof/>
          <w:lang w:val="en-AU"/>
        </w:rPr>
        <w:t>in-vivo</w:t>
      </w:r>
      <w:r w:rsidRPr="00E573E1">
        <w:rPr>
          <w:noProof/>
          <w:lang w:val="en-AU"/>
        </w:rPr>
        <w:t xml:space="preserve"> drug interaction studies have been performed with BREZTRI AEROPSHERE.  Clinical studies with BREZTRI AEROPSHERE indicate no clinical evidence of interactions when </w:t>
      </w:r>
      <w:r w:rsidRPr="00E573E1">
        <w:rPr>
          <w:noProof/>
          <w:lang w:val="en-AU"/>
        </w:rPr>
        <w:lastRenderedPageBreak/>
        <w:t>used concomitantly with other COPD medicines including short-acting β</w:t>
      </w:r>
      <w:r w:rsidRPr="00E573E1">
        <w:rPr>
          <w:noProof/>
          <w:vertAlign w:val="subscript"/>
          <w:lang w:val="en-AU"/>
        </w:rPr>
        <w:t>2</w:t>
      </w:r>
      <w:r w:rsidRPr="00E573E1">
        <w:rPr>
          <w:noProof/>
          <w:lang w:val="en-AU"/>
        </w:rPr>
        <w:t xml:space="preserve">-agonists (SABA), methylxanthines, </w:t>
      </w:r>
      <w:r w:rsidR="0003556F" w:rsidRPr="00E573E1">
        <w:rPr>
          <w:noProof/>
          <w:lang w:val="en-AU"/>
        </w:rPr>
        <w:t>OCS</w:t>
      </w:r>
      <w:r w:rsidRPr="00E573E1">
        <w:rPr>
          <w:noProof/>
          <w:lang w:val="en-AU"/>
        </w:rPr>
        <w:t xml:space="preserve"> and </w:t>
      </w:r>
      <w:r w:rsidR="00075891" w:rsidRPr="00E573E1">
        <w:rPr>
          <w:noProof/>
          <w:lang w:val="en-AU"/>
        </w:rPr>
        <w:t>ICS</w:t>
      </w:r>
      <w:r w:rsidRPr="00E573E1">
        <w:rPr>
          <w:noProof/>
          <w:lang w:val="en-AU"/>
        </w:rPr>
        <w:t>.</w:t>
      </w:r>
    </w:p>
    <w:p w14:paraId="0BB5D832" w14:textId="77777777" w:rsidR="00FD5A60" w:rsidRPr="00E573E1" w:rsidRDefault="00FD5A60" w:rsidP="00C11150">
      <w:pPr>
        <w:pStyle w:val="Heading3Unnumbered"/>
        <w:rPr>
          <w:lang w:val="en-AU"/>
        </w:rPr>
      </w:pPr>
      <w:r w:rsidRPr="00E573E1">
        <w:rPr>
          <w:lang w:val="en-AU"/>
        </w:rPr>
        <w:t>Metabolic interactions</w:t>
      </w:r>
    </w:p>
    <w:p w14:paraId="3E20898D" w14:textId="21FB5998" w:rsidR="00FD5A60" w:rsidRPr="00E573E1" w:rsidRDefault="00FD5A60" w:rsidP="00C11150">
      <w:pPr>
        <w:pStyle w:val="Paragraph"/>
        <w:rPr>
          <w:lang w:val="en-AU"/>
        </w:rPr>
      </w:pPr>
      <w:r w:rsidRPr="00E573E1">
        <w:rPr>
          <w:lang w:val="en-AU"/>
        </w:rPr>
        <w:t xml:space="preserve">The metabolism of budesonide is primarily mediated by CYP3A4. Co-treatment with strong CYP3A inhibitors </w:t>
      </w:r>
      <w:r w:rsidR="00CC03A6">
        <w:rPr>
          <w:lang w:val="en-AU"/>
        </w:rPr>
        <w:t>(</w:t>
      </w:r>
      <w:r w:rsidR="00A0686B" w:rsidRPr="00E573E1">
        <w:rPr>
          <w:lang w:val="en-AU"/>
        </w:rPr>
        <w:t>e</w:t>
      </w:r>
      <w:r w:rsidR="00CC03A6">
        <w:rPr>
          <w:lang w:val="en-AU"/>
        </w:rPr>
        <w:t>.</w:t>
      </w:r>
      <w:r w:rsidR="00A0686B" w:rsidRPr="00E573E1">
        <w:rPr>
          <w:lang w:val="en-AU"/>
        </w:rPr>
        <w:t>g</w:t>
      </w:r>
      <w:r w:rsidR="00CC03A6">
        <w:rPr>
          <w:lang w:val="en-AU"/>
        </w:rPr>
        <w:t>.</w:t>
      </w:r>
      <w:r w:rsidRPr="00E573E1">
        <w:rPr>
          <w:lang w:val="en-AU"/>
        </w:rPr>
        <w:t xml:space="preserve"> itraconazole, ketoconazole, HIV protease inhibitors and cobicistat containing products</w:t>
      </w:r>
      <w:r w:rsidR="00CC03A6">
        <w:rPr>
          <w:lang w:val="en-AU"/>
        </w:rPr>
        <w:t>)</w:t>
      </w:r>
      <w:r w:rsidRPr="00E573E1">
        <w:rPr>
          <w:lang w:val="en-AU"/>
        </w:rPr>
        <w:t xml:space="preserve">, are expected to increase the risk of systemic side effects (see </w:t>
      </w:r>
      <w:r w:rsidR="00A0686B" w:rsidRPr="00E573E1">
        <w:rPr>
          <w:lang w:val="en-AU"/>
        </w:rPr>
        <w:t>S</w:t>
      </w:r>
      <w:r w:rsidRPr="00E573E1">
        <w:rPr>
          <w:lang w:val="en-AU"/>
        </w:rPr>
        <w:t xml:space="preserve">ection </w:t>
      </w:r>
      <w:r w:rsidR="00A0686B" w:rsidRPr="00E573E1">
        <w:rPr>
          <w:lang w:val="en-AU"/>
        </w:rPr>
        <w:fldChar w:fldCharType="begin"/>
      </w:r>
      <w:r w:rsidR="00A0686B" w:rsidRPr="00E573E1">
        <w:rPr>
          <w:lang w:val="en-AU"/>
        </w:rPr>
        <w:instrText xml:space="preserve"> REF _Ref37057912 \r \h </w:instrText>
      </w:r>
      <w:r w:rsidR="00A0686B" w:rsidRPr="00E573E1">
        <w:rPr>
          <w:lang w:val="en-AU"/>
        </w:rPr>
      </w:r>
      <w:r w:rsidR="00C11150">
        <w:rPr>
          <w:lang w:val="en-AU"/>
        </w:rPr>
        <w:instrText xml:space="preserve"> \* MERGEFORMAT </w:instrText>
      </w:r>
      <w:r w:rsidR="00A0686B" w:rsidRPr="00E573E1">
        <w:rPr>
          <w:lang w:val="en-AU"/>
        </w:rPr>
        <w:fldChar w:fldCharType="separate"/>
      </w:r>
      <w:r w:rsidR="00960F91">
        <w:rPr>
          <w:lang w:val="en-AU"/>
        </w:rPr>
        <w:t>4.4</w:t>
      </w:r>
      <w:r w:rsidR="00A0686B" w:rsidRPr="00E573E1">
        <w:rPr>
          <w:lang w:val="en-AU"/>
        </w:rPr>
        <w:fldChar w:fldCharType="end"/>
      </w:r>
      <w:r w:rsidR="00A0686B" w:rsidRPr="00E573E1">
        <w:rPr>
          <w:lang w:val="en-AU"/>
        </w:rPr>
        <w:t xml:space="preserve"> </w:t>
      </w:r>
      <w:r w:rsidR="00A0686B" w:rsidRPr="00E573E1">
        <w:rPr>
          <w:lang w:val="en-AU"/>
        </w:rPr>
        <w:fldChar w:fldCharType="begin"/>
      </w:r>
      <w:r w:rsidR="00A0686B" w:rsidRPr="00E573E1">
        <w:rPr>
          <w:lang w:val="en-AU"/>
        </w:rPr>
        <w:instrText xml:space="preserve"> REF _Ref37057912 \h </w:instrText>
      </w:r>
      <w:r w:rsidR="00A0686B" w:rsidRPr="00E573E1">
        <w:rPr>
          <w:lang w:val="en-AU"/>
        </w:rPr>
      </w:r>
      <w:r w:rsidR="00C11150">
        <w:rPr>
          <w:lang w:val="en-AU"/>
        </w:rPr>
        <w:instrText xml:space="preserve"> \* MERGEFORMAT </w:instrText>
      </w:r>
      <w:r w:rsidR="00A0686B" w:rsidRPr="00E573E1">
        <w:rPr>
          <w:lang w:val="en-AU"/>
        </w:rPr>
        <w:fldChar w:fldCharType="separate"/>
      </w:r>
      <w:r w:rsidR="00960F91" w:rsidRPr="00E573E1">
        <w:rPr>
          <w:lang w:val="en-AU"/>
        </w:rPr>
        <w:t>Special warnings and precautions for use</w:t>
      </w:r>
      <w:r w:rsidR="00A0686B" w:rsidRPr="00E573E1">
        <w:rPr>
          <w:lang w:val="en-AU"/>
        </w:rPr>
        <w:fldChar w:fldCharType="end"/>
      </w:r>
      <w:r w:rsidR="00A0686B" w:rsidRPr="00E573E1">
        <w:rPr>
          <w:lang w:val="en-AU"/>
        </w:rPr>
        <w:t xml:space="preserve"> </w:t>
      </w:r>
      <w:r w:rsidRPr="00E573E1">
        <w:rPr>
          <w:lang w:val="en-AU"/>
        </w:rPr>
        <w:t xml:space="preserve">and </w:t>
      </w:r>
      <w:r w:rsidR="00A0686B" w:rsidRPr="00E573E1">
        <w:rPr>
          <w:lang w:val="en-AU"/>
        </w:rPr>
        <w:t>S</w:t>
      </w:r>
      <w:r w:rsidRPr="00E573E1">
        <w:rPr>
          <w:lang w:val="en-AU"/>
        </w:rPr>
        <w:t xml:space="preserve">ection </w:t>
      </w:r>
      <w:r w:rsidR="00A0686B" w:rsidRPr="00E573E1">
        <w:rPr>
          <w:lang w:val="en-AU"/>
        </w:rPr>
        <w:fldChar w:fldCharType="begin"/>
      </w:r>
      <w:r w:rsidR="00A0686B" w:rsidRPr="00E573E1">
        <w:rPr>
          <w:lang w:val="en-AU"/>
        </w:rPr>
        <w:instrText xml:space="preserve"> REF _Ref34049480 \r \h </w:instrText>
      </w:r>
      <w:r w:rsidR="00A0686B" w:rsidRPr="00E573E1">
        <w:rPr>
          <w:lang w:val="en-AU"/>
        </w:rPr>
      </w:r>
      <w:r w:rsidR="00C11150">
        <w:rPr>
          <w:lang w:val="en-AU"/>
        </w:rPr>
        <w:instrText xml:space="preserve"> \* MERGEFORMAT </w:instrText>
      </w:r>
      <w:r w:rsidR="00A0686B" w:rsidRPr="00E573E1">
        <w:rPr>
          <w:lang w:val="en-AU"/>
        </w:rPr>
        <w:fldChar w:fldCharType="separate"/>
      </w:r>
      <w:r w:rsidR="00960F91">
        <w:rPr>
          <w:lang w:val="en-AU"/>
        </w:rPr>
        <w:t>5.2</w:t>
      </w:r>
      <w:r w:rsidR="00A0686B" w:rsidRPr="00E573E1">
        <w:rPr>
          <w:lang w:val="en-AU"/>
        </w:rPr>
        <w:fldChar w:fldCharType="end"/>
      </w:r>
      <w:r w:rsidR="00A0686B" w:rsidRPr="00E573E1">
        <w:rPr>
          <w:lang w:val="en-AU"/>
        </w:rPr>
        <w:t xml:space="preserve"> </w:t>
      </w:r>
      <w:r w:rsidR="00A0686B" w:rsidRPr="00E573E1">
        <w:rPr>
          <w:lang w:val="en-AU"/>
        </w:rPr>
        <w:fldChar w:fldCharType="begin"/>
      </w:r>
      <w:r w:rsidR="00A0686B" w:rsidRPr="00E573E1">
        <w:rPr>
          <w:lang w:val="en-AU"/>
        </w:rPr>
        <w:instrText xml:space="preserve"> REF _Ref34049480 \h </w:instrText>
      </w:r>
      <w:r w:rsidR="00A0686B" w:rsidRPr="00E573E1">
        <w:rPr>
          <w:lang w:val="en-AU"/>
        </w:rPr>
      </w:r>
      <w:r w:rsidR="00C11150">
        <w:rPr>
          <w:lang w:val="en-AU"/>
        </w:rPr>
        <w:instrText xml:space="preserve"> \* MERGEFORMAT </w:instrText>
      </w:r>
      <w:r w:rsidR="00A0686B" w:rsidRPr="00E573E1">
        <w:rPr>
          <w:lang w:val="en-AU"/>
        </w:rPr>
        <w:fldChar w:fldCharType="separate"/>
      </w:r>
      <w:r w:rsidR="00960F91" w:rsidRPr="00E573E1">
        <w:rPr>
          <w:lang w:val="en-AU"/>
        </w:rPr>
        <w:t>Pharmacokinetic properties</w:t>
      </w:r>
      <w:r w:rsidR="00A0686B" w:rsidRPr="00E573E1">
        <w:rPr>
          <w:lang w:val="en-AU"/>
        </w:rPr>
        <w:fldChar w:fldCharType="end"/>
      </w:r>
      <w:r w:rsidRPr="00E573E1">
        <w:rPr>
          <w:lang w:val="en-AU"/>
        </w:rPr>
        <w:t xml:space="preserve">). This is of limited clinical importance for short-term (1-2 weeks) </w:t>
      </w:r>
      <w:proofErr w:type="gramStart"/>
      <w:r w:rsidRPr="00E573E1">
        <w:rPr>
          <w:lang w:val="en-AU"/>
        </w:rPr>
        <w:t>treatment, but</w:t>
      </w:r>
      <w:proofErr w:type="gramEnd"/>
      <w:r w:rsidRPr="00E573E1">
        <w:rPr>
          <w:lang w:val="en-AU"/>
        </w:rPr>
        <w:t xml:space="preserve"> should be taken into consideration during long-term treatment with a strong CYP3A4</w:t>
      </w:r>
      <w:r w:rsidR="00CC4F76" w:rsidRPr="00E573E1">
        <w:rPr>
          <w:lang w:val="en-AU"/>
        </w:rPr>
        <w:t xml:space="preserve"> </w:t>
      </w:r>
      <w:r w:rsidRPr="00E573E1">
        <w:rPr>
          <w:lang w:val="en-AU"/>
        </w:rPr>
        <w:t>inhibitor.</w:t>
      </w:r>
    </w:p>
    <w:p w14:paraId="5E340885" w14:textId="55520505" w:rsidR="00E45826" w:rsidRPr="00E573E1" w:rsidRDefault="00FD5A60" w:rsidP="00C11150">
      <w:pPr>
        <w:pStyle w:val="Paragraph"/>
        <w:rPr>
          <w:lang w:val="en-AU"/>
        </w:rPr>
      </w:pPr>
      <w:r w:rsidRPr="00E573E1">
        <w:rPr>
          <w:lang w:val="en-AU"/>
        </w:rPr>
        <w:t xml:space="preserve">Since </w:t>
      </w:r>
      <w:proofErr w:type="spellStart"/>
      <w:r w:rsidRPr="00E573E1">
        <w:rPr>
          <w:lang w:val="en-AU"/>
        </w:rPr>
        <w:t>glycopyrronium</w:t>
      </w:r>
      <w:proofErr w:type="spellEnd"/>
      <w:r w:rsidRPr="00E573E1">
        <w:rPr>
          <w:lang w:val="en-AU"/>
        </w:rPr>
        <w:t xml:space="preserve"> is eliminated mainly by the renal route, drug interaction could potentially occur with </w:t>
      </w:r>
      <w:r w:rsidR="005414BF" w:rsidRPr="00E573E1">
        <w:rPr>
          <w:lang w:val="en-AU"/>
        </w:rPr>
        <w:t>medicines</w:t>
      </w:r>
      <w:r w:rsidRPr="00E573E1">
        <w:rPr>
          <w:lang w:val="en-AU"/>
        </w:rPr>
        <w:t xml:space="preserve"> affecting renal excretion mechanisms. </w:t>
      </w:r>
      <w:r w:rsidRPr="001B5834">
        <w:rPr>
          <w:i/>
          <w:iCs/>
          <w:lang w:val="en-AU"/>
        </w:rPr>
        <w:t>In</w:t>
      </w:r>
      <w:r w:rsidR="001B5834" w:rsidRPr="001B5834">
        <w:rPr>
          <w:i/>
          <w:iCs/>
          <w:lang w:val="en-AU"/>
        </w:rPr>
        <w:t xml:space="preserve"> </w:t>
      </w:r>
      <w:r w:rsidRPr="001B5834">
        <w:rPr>
          <w:i/>
          <w:iCs/>
          <w:lang w:val="en-AU"/>
        </w:rPr>
        <w:t>vitro</w:t>
      </w:r>
      <w:r w:rsidRPr="00E573E1">
        <w:rPr>
          <w:lang w:val="en-AU"/>
        </w:rPr>
        <w:t xml:space="preserve"> </w:t>
      </w:r>
      <w:proofErr w:type="spellStart"/>
      <w:r w:rsidRPr="00E573E1">
        <w:rPr>
          <w:lang w:val="en-AU"/>
        </w:rPr>
        <w:t>glycopyrronium</w:t>
      </w:r>
      <w:proofErr w:type="spellEnd"/>
      <w:r w:rsidRPr="00E573E1">
        <w:rPr>
          <w:lang w:val="en-AU"/>
        </w:rPr>
        <w:t xml:space="preserve"> is a substrate for the renal transporters OCT2 and MATE1/2K. The effect of cimetidine, a probe inhibitor of OCT2 and MATE1, on inhaled </w:t>
      </w:r>
      <w:proofErr w:type="spellStart"/>
      <w:r w:rsidRPr="00E573E1">
        <w:rPr>
          <w:lang w:val="en-AU"/>
        </w:rPr>
        <w:t>glycopyrronium</w:t>
      </w:r>
      <w:proofErr w:type="spellEnd"/>
      <w:r w:rsidRPr="00E573E1">
        <w:rPr>
          <w:lang w:val="en-AU"/>
        </w:rPr>
        <w:t xml:space="preserve"> disposition showed a limited increase in its total systemic exposure (</w:t>
      </w:r>
      <w:r w:rsidR="002A09D6" w:rsidRPr="00E573E1">
        <w:rPr>
          <w:lang w:val="en-AU"/>
        </w:rPr>
        <w:t>Area under the curve (</w:t>
      </w:r>
      <w:r w:rsidRPr="00E573E1">
        <w:rPr>
          <w:lang w:val="en-AU"/>
        </w:rPr>
        <w:t>AUC</w:t>
      </w:r>
      <w:r w:rsidR="002A09D6" w:rsidRPr="00E573E1">
        <w:rPr>
          <w:lang w:val="en-AU"/>
        </w:rPr>
        <w:t>)</w:t>
      </w:r>
      <w:r w:rsidRPr="00E573E1">
        <w:rPr>
          <w:vertAlign w:val="subscript"/>
          <w:lang w:val="en-AU"/>
        </w:rPr>
        <w:t>0-t</w:t>
      </w:r>
      <w:r w:rsidRPr="00E573E1">
        <w:rPr>
          <w:lang w:val="en-AU"/>
        </w:rPr>
        <w:t>) by 22% and a slight decrease</w:t>
      </w:r>
      <w:r w:rsidR="003C6DB1" w:rsidRPr="00E573E1">
        <w:rPr>
          <w:lang w:val="en-AU"/>
        </w:rPr>
        <w:t xml:space="preserve"> </w:t>
      </w:r>
      <w:r w:rsidRPr="00E573E1">
        <w:rPr>
          <w:lang w:val="en-AU"/>
        </w:rPr>
        <w:t>in renal clearance by 23% due to co-administration of cimetidine.</w:t>
      </w:r>
    </w:p>
    <w:p w14:paraId="04DC9CC1" w14:textId="1DD7D9F6" w:rsidR="00FD5A60" w:rsidRPr="00E573E1" w:rsidRDefault="00FD5A60" w:rsidP="00C11150">
      <w:pPr>
        <w:pStyle w:val="Paragraph"/>
        <w:rPr>
          <w:lang w:val="en-AU"/>
        </w:rPr>
      </w:pPr>
      <w:r w:rsidRPr="00E573E1">
        <w:rPr>
          <w:lang w:val="en-AU"/>
        </w:rPr>
        <w:t xml:space="preserve">Formoterol does not inhibit the CYP450 enzymes at therapeutically relevant concentrations. Budesonide and </w:t>
      </w:r>
      <w:proofErr w:type="spellStart"/>
      <w:r w:rsidRPr="00E573E1">
        <w:rPr>
          <w:lang w:val="en-AU"/>
        </w:rPr>
        <w:t>glycopyrronium</w:t>
      </w:r>
      <w:proofErr w:type="spellEnd"/>
      <w:r w:rsidRPr="00E573E1">
        <w:rPr>
          <w:lang w:val="en-AU"/>
        </w:rPr>
        <w:t xml:space="preserve"> do not inhibit or induce CYP450 enzymes</w:t>
      </w:r>
      <w:r w:rsidR="003C6DB1" w:rsidRPr="00E573E1">
        <w:rPr>
          <w:lang w:val="en-AU"/>
        </w:rPr>
        <w:t xml:space="preserve"> </w:t>
      </w:r>
      <w:r w:rsidRPr="00E573E1">
        <w:rPr>
          <w:lang w:val="en-AU"/>
        </w:rPr>
        <w:t>at therapeutically relevant concentrations.</w:t>
      </w:r>
    </w:p>
    <w:p w14:paraId="1E7640BA" w14:textId="77777777" w:rsidR="00FD5A60" w:rsidRPr="00E573E1" w:rsidRDefault="00FD5A60" w:rsidP="00C11150">
      <w:pPr>
        <w:pStyle w:val="Heading3Unnumbered"/>
        <w:rPr>
          <w:lang w:val="en-AU"/>
        </w:rPr>
      </w:pPr>
      <w:r w:rsidRPr="00E573E1">
        <w:rPr>
          <w:lang w:val="en-AU"/>
        </w:rPr>
        <w:t>Drug-induced hypokalaemia</w:t>
      </w:r>
    </w:p>
    <w:p w14:paraId="794B6748" w14:textId="63AD14E2" w:rsidR="00FD5A60" w:rsidRPr="00E573E1" w:rsidRDefault="00FD5A60" w:rsidP="00C11150">
      <w:pPr>
        <w:pStyle w:val="Paragraph"/>
        <w:rPr>
          <w:lang w:val="en-AU"/>
        </w:rPr>
      </w:pPr>
      <w:r w:rsidRPr="00E573E1">
        <w:rPr>
          <w:lang w:val="en-AU"/>
        </w:rPr>
        <w:t>Possible initial hypokalaemia may be potentiated by concomitant medications, including non</w:t>
      </w:r>
      <w:r w:rsidR="00CC4F76" w:rsidRPr="00E573E1">
        <w:rPr>
          <w:lang w:val="en-AU"/>
        </w:rPr>
        <w:t>-</w:t>
      </w:r>
      <w:r w:rsidRPr="00E573E1">
        <w:rPr>
          <w:lang w:val="en-AU"/>
        </w:rPr>
        <w:t>potassium</w:t>
      </w:r>
      <w:r w:rsidR="003C6DB1" w:rsidRPr="00E573E1">
        <w:rPr>
          <w:lang w:val="en-AU"/>
        </w:rPr>
        <w:t xml:space="preserve"> </w:t>
      </w:r>
      <w:r w:rsidRPr="00E573E1">
        <w:rPr>
          <w:lang w:val="en-AU"/>
        </w:rPr>
        <w:t>sparing diuretics</w:t>
      </w:r>
      <w:r w:rsidR="005906E0" w:rsidRPr="00E573E1">
        <w:rPr>
          <w:lang w:val="en-AU"/>
        </w:rPr>
        <w:t xml:space="preserve"> (see Section </w:t>
      </w:r>
      <w:r w:rsidR="005906E0" w:rsidRPr="00E573E1">
        <w:rPr>
          <w:lang w:val="en-AU"/>
        </w:rPr>
        <w:fldChar w:fldCharType="begin"/>
      </w:r>
      <w:r w:rsidR="005906E0" w:rsidRPr="00E573E1">
        <w:rPr>
          <w:lang w:val="en-AU"/>
        </w:rPr>
        <w:instrText xml:space="preserve"> REF _Ref37057912 \r \h </w:instrText>
      </w:r>
      <w:r w:rsidR="005906E0" w:rsidRPr="00E573E1">
        <w:rPr>
          <w:lang w:val="en-AU"/>
        </w:rPr>
      </w:r>
      <w:r w:rsidR="00C11150">
        <w:rPr>
          <w:lang w:val="en-AU"/>
        </w:rPr>
        <w:instrText xml:space="preserve"> \* MERGEFORMAT </w:instrText>
      </w:r>
      <w:r w:rsidR="005906E0" w:rsidRPr="00E573E1">
        <w:rPr>
          <w:lang w:val="en-AU"/>
        </w:rPr>
        <w:fldChar w:fldCharType="separate"/>
      </w:r>
      <w:r w:rsidR="00960F91">
        <w:rPr>
          <w:lang w:val="en-AU"/>
        </w:rPr>
        <w:t>4.4</w:t>
      </w:r>
      <w:r w:rsidR="005906E0" w:rsidRPr="00E573E1">
        <w:rPr>
          <w:lang w:val="en-AU"/>
        </w:rPr>
        <w:fldChar w:fldCharType="end"/>
      </w:r>
      <w:r w:rsidR="005906E0" w:rsidRPr="00E573E1">
        <w:rPr>
          <w:lang w:val="en-AU"/>
        </w:rPr>
        <w:t xml:space="preserve"> </w:t>
      </w:r>
      <w:r w:rsidR="005906E0" w:rsidRPr="00E573E1">
        <w:rPr>
          <w:lang w:val="en-AU"/>
        </w:rPr>
        <w:fldChar w:fldCharType="begin"/>
      </w:r>
      <w:r w:rsidR="005906E0" w:rsidRPr="00E573E1">
        <w:rPr>
          <w:lang w:val="en-AU"/>
        </w:rPr>
        <w:instrText xml:space="preserve"> REF _Ref37057912 \h </w:instrText>
      </w:r>
      <w:r w:rsidR="005906E0" w:rsidRPr="00E573E1">
        <w:rPr>
          <w:lang w:val="en-AU"/>
        </w:rPr>
      </w:r>
      <w:r w:rsidR="00C11150">
        <w:rPr>
          <w:lang w:val="en-AU"/>
        </w:rPr>
        <w:instrText xml:space="preserve"> \* MERGEFORMAT </w:instrText>
      </w:r>
      <w:r w:rsidR="005906E0" w:rsidRPr="00E573E1">
        <w:rPr>
          <w:lang w:val="en-AU"/>
        </w:rPr>
        <w:fldChar w:fldCharType="separate"/>
      </w:r>
      <w:r w:rsidR="00960F91" w:rsidRPr="00E573E1">
        <w:rPr>
          <w:lang w:val="en-AU"/>
        </w:rPr>
        <w:t>Special warnings and precautions for use</w:t>
      </w:r>
      <w:r w:rsidR="005906E0" w:rsidRPr="00E573E1">
        <w:rPr>
          <w:lang w:val="en-AU"/>
        </w:rPr>
        <w:fldChar w:fldCharType="end"/>
      </w:r>
      <w:r w:rsidR="005906E0" w:rsidRPr="00E573E1">
        <w:rPr>
          <w:lang w:val="en-AU"/>
        </w:rPr>
        <w:t xml:space="preserve"> [</w:t>
      </w:r>
      <w:r w:rsidR="005906E0" w:rsidRPr="00E573E1">
        <w:rPr>
          <w:i/>
          <w:lang w:val="en-AU"/>
        </w:rPr>
        <w:t>Hypokalaemia</w:t>
      </w:r>
      <w:r w:rsidR="005906E0" w:rsidRPr="00E573E1">
        <w:rPr>
          <w:lang w:val="en-AU"/>
        </w:rPr>
        <w:t>])</w:t>
      </w:r>
      <w:r w:rsidRPr="00E573E1">
        <w:rPr>
          <w:lang w:val="en-AU"/>
        </w:rPr>
        <w:t>.</w:t>
      </w:r>
    </w:p>
    <w:p w14:paraId="5CC64026" w14:textId="77777777" w:rsidR="00FD5A60" w:rsidRPr="00E573E1" w:rsidRDefault="00FD5A60" w:rsidP="00C11150">
      <w:pPr>
        <w:pStyle w:val="Heading3Unnumbered"/>
        <w:rPr>
          <w:lang w:val="en-AU"/>
        </w:rPr>
      </w:pPr>
      <w:r w:rsidRPr="00E573E1">
        <w:rPr>
          <w:lang w:val="en-AU"/>
        </w:rPr>
        <w:t>β-adrenergic blockers</w:t>
      </w:r>
    </w:p>
    <w:p w14:paraId="3C97C98C" w14:textId="77777777" w:rsidR="00FD5A60" w:rsidRPr="00E573E1" w:rsidRDefault="00FD5A60" w:rsidP="00C11150">
      <w:pPr>
        <w:pStyle w:val="Paragraph"/>
        <w:rPr>
          <w:lang w:val="en-AU"/>
        </w:rPr>
      </w:pPr>
      <w:r w:rsidRPr="00E573E1">
        <w:rPr>
          <w:lang w:val="en-AU"/>
        </w:rPr>
        <w:t>Beta-adrenergic blockers (including eye drops) can weaken or inhibit the effect of formoterol.</w:t>
      </w:r>
    </w:p>
    <w:p w14:paraId="261BCE3C" w14:textId="274E7967" w:rsidR="00FD5A60" w:rsidRPr="00E573E1" w:rsidRDefault="005906E0" w:rsidP="00C11150">
      <w:pPr>
        <w:pStyle w:val="Heading3Unnumbered"/>
        <w:rPr>
          <w:lang w:val="en-AU"/>
        </w:rPr>
      </w:pPr>
      <w:bookmarkStart w:id="12" w:name="_Hlk524517858"/>
      <w:r w:rsidRPr="00E573E1">
        <w:rPr>
          <w:lang w:val="en-AU"/>
        </w:rPr>
        <w:t>Medicines known to prolong QTc interval</w:t>
      </w:r>
      <w:bookmarkEnd w:id="12"/>
    </w:p>
    <w:p w14:paraId="7C803EF0" w14:textId="6E019C9D" w:rsidR="00FD5A60" w:rsidRDefault="00FD5A60" w:rsidP="00C11150">
      <w:pPr>
        <w:pStyle w:val="Paragraph"/>
        <w:rPr>
          <w:lang w:val="en-AU"/>
        </w:rPr>
      </w:pPr>
      <w:r w:rsidRPr="00E573E1">
        <w:rPr>
          <w:lang w:val="en-AU"/>
        </w:rPr>
        <w:t xml:space="preserve">BREZTRI AEROSPHERE </w:t>
      </w:r>
      <w:r w:rsidR="009E7849" w:rsidRPr="00E573E1">
        <w:rPr>
          <w:lang w:val="en-AU"/>
        </w:rPr>
        <w:t>as with other β</w:t>
      </w:r>
      <w:r w:rsidR="009E7849" w:rsidRPr="00E573E1">
        <w:rPr>
          <w:vertAlign w:val="subscript"/>
          <w:lang w:val="en-AU"/>
        </w:rPr>
        <w:t>2</w:t>
      </w:r>
      <w:r w:rsidR="009E7849" w:rsidRPr="00E573E1">
        <w:rPr>
          <w:lang w:val="en-AU"/>
        </w:rPr>
        <w:t>-agonist containing medicines, should be administered with caution to patients being treated with medicines known to prolong the QTc interval, including monoamine oxidase inhibitors and tricyclic antidepressants as any effect of these on the QT interval may be potentiated. Medicines known to prolong the QT-interval may increase the risk of ventricular arrhythmia.</w:t>
      </w:r>
    </w:p>
    <w:p w14:paraId="4EE23470" w14:textId="0D763EDE" w:rsidR="009A11C5" w:rsidRDefault="009A11C5" w:rsidP="00C11150">
      <w:pPr>
        <w:pStyle w:val="Heading3Unnumbered"/>
      </w:pPr>
      <w:r>
        <w:t>Other antimuscarinics and sympathomimetics</w:t>
      </w:r>
    </w:p>
    <w:p w14:paraId="2813EEE4" w14:textId="77777777" w:rsidR="009A11C5" w:rsidRPr="009A11C5" w:rsidRDefault="009A11C5" w:rsidP="00C11150">
      <w:pPr>
        <w:pStyle w:val="Paragraph"/>
        <w:rPr>
          <w:lang w:val="en-AU"/>
        </w:rPr>
      </w:pPr>
      <w:r w:rsidRPr="009A11C5">
        <w:rPr>
          <w:lang w:val="en-AU"/>
        </w:rPr>
        <w:t>Co-administration of this medicinal product with other anticholinergic and/or long-acting β2-adrenergic agonist containing medicinal products has not been studied and is not recommended as it may potentiate known inhaled muscarinic antagonist or β2-adrenergic agonist adverse reactions.</w:t>
      </w:r>
    </w:p>
    <w:p w14:paraId="0C56926F" w14:textId="3A69B106" w:rsidR="009A11C5" w:rsidRPr="009A11C5" w:rsidRDefault="009A11C5" w:rsidP="00C11150">
      <w:pPr>
        <w:pStyle w:val="Paragraph"/>
        <w:rPr>
          <w:lang w:val="en-AU"/>
        </w:rPr>
      </w:pPr>
      <w:r w:rsidRPr="009A11C5">
        <w:rPr>
          <w:lang w:val="en-AU"/>
        </w:rPr>
        <w:t>Concomitant use of other beta-adrenergic medicinal products can have potentially additive effects; therefore, caution is required when other beta-adrenergic medicinal products are prescribed concomitantly with formoterol.</w:t>
      </w:r>
    </w:p>
    <w:p w14:paraId="0D37CF54" w14:textId="77777777" w:rsidR="001A3992" w:rsidRPr="00E573E1" w:rsidRDefault="001A3992" w:rsidP="00C11150">
      <w:pPr>
        <w:pStyle w:val="Heading2"/>
        <w:rPr>
          <w:lang w:val="en-AU"/>
        </w:rPr>
      </w:pPr>
      <w:r w:rsidRPr="00E573E1">
        <w:rPr>
          <w:lang w:val="en-AU"/>
        </w:rPr>
        <w:lastRenderedPageBreak/>
        <w:t>Fer</w:t>
      </w:r>
      <w:r w:rsidR="00EC60F8" w:rsidRPr="00E573E1">
        <w:rPr>
          <w:lang w:val="en-AU"/>
        </w:rPr>
        <w:t>tility, pregnancy and lactation</w:t>
      </w:r>
    </w:p>
    <w:p w14:paraId="36275E1A" w14:textId="77777777" w:rsidR="00EC6FD9" w:rsidRPr="00E573E1" w:rsidRDefault="00EC6FD9" w:rsidP="00C11150">
      <w:pPr>
        <w:pStyle w:val="Heading3Unnumbered"/>
        <w:rPr>
          <w:lang w:val="en-AU"/>
        </w:rPr>
      </w:pPr>
      <w:r w:rsidRPr="00E573E1">
        <w:rPr>
          <w:lang w:val="en-AU"/>
        </w:rPr>
        <w:t>Effects on fertility</w:t>
      </w:r>
    </w:p>
    <w:p w14:paraId="1F51E762" w14:textId="6C7555C6" w:rsidR="00EC6FD9" w:rsidRPr="00E573E1" w:rsidRDefault="00EC6FD9" w:rsidP="00C11150">
      <w:pPr>
        <w:pStyle w:val="Paragraph"/>
        <w:rPr>
          <w:lang w:val="en-AU"/>
        </w:rPr>
      </w:pPr>
      <w:r w:rsidRPr="00E573E1">
        <w:rPr>
          <w:lang w:val="en-AU"/>
        </w:rPr>
        <w:t xml:space="preserve">No fertility studies have been performed with </w:t>
      </w:r>
      <w:r w:rsidR="005D689E" w:rsidRPr="00E573E1">
        <w:rPr>
          <w:lang w:val="en-AU"/>
        </w:rPr>
        <w:t xml:space="preserve">budesonide, </w:t>
      </w:r>
      <w:proofErr w:type="spellStart"/>
      <w:r w:rsidRPr="00E573E1">
        <w:rPr>
          <w:lang w:val="en-AU"/>
        </w:rPr>
        <w:t>glycopyrronium</w:t>
      </w:r>
      <w:proofErr w:type="spellEnd"/>
      <w:r w:rsidRPr="00E573E1">
        <w:rPr>
          <w:lang w:val="en-AU"/>
        </w:rPr>
        <w:t xml:space="preserve"> and formoterol in combination.</w:t>
      </w:r>
    </w:p>
    <w:p w14:paraId="23986902" w14:textId="7CD162FE" w:rsidR="000E3E63" w:rsidRPr="00E573E1" w:rsidRDefault="000E3E63" w:rsidP="00C11150">
      <w:pPr>
        <w:pStyle w:val="Paragraph"/>
        <w:rPr>
          <w:lang w:val="en-AU"/>
        </w:rPr>
      </w:pPr>
      <w:r w:rsidRPr="00E573E1">
        <w:rPr>
          <w:lang w:val="en-AU"/>
        </w:rPr>
        <w:t xml:space="preserve">Budesonide did not </w:t>
      </w:r>
      <w:r w:rsidR="00642462" w:rsidRPr="00E573E1">
        <w:rPr>
          <w:lang w:val="en-AU"/>
        </w:rPr>
        <w:t>a</w:t>
      </w:r>
      <w:r w:rsidRPr="00E573E1">
        <w:rPr>
          <w:lang w:val="en-AU"/>
        </w:rPr>
        <w:t xml:space="preserve">ffect </w:t>
      </w:r>
      <w:r w:rsidR="00642462" w:rsidRPr="00E573E1">
        <w:rPr>
          <w:lang w:val="en-AU"/>
        </w:rPr>
        <w:t xml:space="preserve">male or female </w:t>
      </w:r>
      <w:r w:rsidRPr="00E573E1">
        <w:rPr>
          <w:lang w:val="en-AU"/>
        </w:rPr>
        <w:t>fertility in rats</w:t>
      </w:r>
      <w:r w:rsidR="00642462" w:rsidRPr="00E573E1">
        <w:rPr>
          <w:lang w:val="en-AU"/>
        </w:rPr>
        <w:t xml:space="preserve"> at subcutaneous doses up to </w:t>
      </w:r>
      <w:r w:rsidR="00C21F49">
        <w:rPr>
          <w:lang w:val="en-AU"/>
        </w:rPr>
        <w:t>20</w:t>
      </w:r>
      <w:r w:rsidR="00642462" w:rsidRPr="00E573E1">
        <w:rPr>
          <w:lang w:val="en-AU"/>
        </w:rPr>
        <w:t> </w:t>
      </w:r>
      <w:proofErr w:type="spellStart"/>
      <w:r w:rsidR="00642462" w:rsidRPr="00E573E1">
        <w:rPr>
          <w:lang w:val="en-AU"/>
        </w:rPr>
        <w:t>μg</w:t>
      </w:r>
      <w:proofErr w:type="spellEnd"/>
      <w:r w:rsidR="00642462" w:rsidRPr="00E573E1">
        <w:rPr>
          <w:lang w:val="en-AU"/>
        </w:rPr>
        <w:t>/kg/day</w:t>
      </w:r>
      <w:r w:rsidRPr="00E573E1">
        <w:rPr>
          <w:lang w:val="en-AU"/>
        </w:rPr>
        <w:t>.</w:t>
      </w:r>
    </w:p>
    <w:p w14:paraId="24266F93" w14:textId="3A367AE0" w:rsidR="00EC6FD9" w:rsidRPr="00E573E1" w:rsidRDefault="00EC6FD9" w:rsidP="00C11150">
      <w:pPr>
        <w:pStyle w:val="Paragraph"/>
        <w:rPr>
          <w:lang w:val="en-AU"/>
        </w:rPr>
      </w:pPr>
      <w:proofErr w:type="spellStart"/>
      <w:r w:rsidRPr="00E573E1">
        <w:rPr>
          <w:lang w:val="en-AU"/>
        </w:rPr>
        <w:t>Glycopyrronium</w:t>
      </w:r>
      <w:proofErr w:type="spellEnd"/>
      <w:r w:rsidRPr="00E573E1">
        <w:rPr>
          <w:lang w:val="en-AU"/>
        </w:rPr>
        <w:t xml:space="preserve"> bromide did not affect male or female fertility in rats at subcutaneous doses up to 10 mg/kg/day).</w:t>
      </w:r>
    </w:p>
    <w:p w14:paraId="71930D20" w14:textId="5714A409" w:rsidR="00EC6FD9" w:rsidRPr="00E573E1" w:rsidRDefault="00EC6FD9" w:rsidP="00C11150">
      <w:pPr>
        <w:pStyle w:val="Paragraph"/>
        <w:rPr>
          <w:lang w:val="en-AU"/>
        </w:rPr>
      </w:pPr>
      <w:r w:rsidRPr="00E573E1">
        <w:rPr>
          <w:lang w:val="en-AU"/>
        </w:rPr>
        <w:t>Formoterol fumarate reduced fertility in male rats with oral administration at 15 mg/kg/day, but not at 3 mg/kg/day. No effect on female fertility was observed in rats with oral administration at 60 mg/kg/day.</w:t>
      </w:r>
    </w:p>
    <w:p w14:paraId="7E05CA08" w14:textId="4DE5E41B" w:rsidR="000E3E63" w:rsidRPr="00E573E1" w:rsidRDefault="00EC6FD9" w:rsidP="00C11150">
      <w:pPr>
        <w:pStyle w:val="Paragraph"/>
        <w:rPr>
          <w:lang w:val="en-AU"/>
        </w:rPr>
      </w:pPr>
      <w:r w:rsidRPr="00E573E1">
        <w:rPr>
          <w:lang w:val="en-AU"/>
        </w:rPr>
        <w:t xml:space="preserve">The doses of </w:t>
      </w:r>
      <w:proofErr w:type="spellStart"/>
      <w:r w:rsidRPr="00E573E1">
        <w:rPr>
          <w:lang w:val="en-AU"/>
        </w:rPr>
        <w:t>glycopyrronium</w:t>
      </w:r>
      <w:proofErr w:type="spellEnd"/>
      <w:r w:rsidRPr="00E573E1">
        <w:rPr>
          <w:lang w:val="en-AU"/>
        </w:rPr>
        <w:t xml:space="preserve"> bromide and formoterol fumarate that were without effect on fertility in rats produced very large multiples of the systemic exposure (plasma AUC) obtained in patients. </w:t>
      </w:r>
    </w:p>
    <w:p w14:paraId="04A86CA2" w14:textId="47A93D9E" w:rsidR="00EC6FD9" w:rsidRPr="00E573E1" w:rsidRDefault="00EC6FD9" w:rsidP="00C11150">
      <w:pPr>
        <w:pStyle w:val="Heading3Unnumbered"/>
        <w:rPr>
          <w:lang w:val="en-AU"/>
        </w:rPr>
      </w:pPr>
      <w:r w:rsidRPr="00E573E1">
        <w:rPr>
          <w:lang w:val="en-AU"/>
        </w:rPr>
        <w:t>Use in pregnancy –</w:t>
      </w:r>
      <w:r w:rsidR="00861B4E">
        <w:rPr>
          <w:lang w:val="en-AU"/>
        </w:rPr>
        <w:t xml:space="preserve"> </w:t>
      </w:r>
      <w:r w:rsidRPr="00E573E1">
        <w:rPr>
          <w:lang w:val="en-AU"/>
        </w:rPr>
        <w:t>Category B3</w:t>
      </w:r>
    </w:p>
    <w:p w14:paraId="018395C5" w14:textId="539232B1" w:rsidR="00B90921" w:rsidRPr="00E573E1" w:rsidRDefault="00F1363F" w:rsidP="00C11150">
      <w:pPr>
        <w:pStyle w:val="Paragraph"/>
        <w:rPr>
          <w:lang w:val="en-AU"/>
        </w:rPr>
      </w:pPr>
      <w:r w:rsidRPr="00E573E1">
        <w:rPr>
          <w:lang w:val="en-AU"/>
        </w:rPr>
        <w:t>There are no adequate data on the use of BREZTRI AEROSPHERE in pregnant women.</w:t>
      </w:r>
      <w:r w:rsidR="00B90921" w:rsidRPr="00E573E1">
        <w:rPr>
          <w:lang w:val="en-AU"/>
        </w:rPr>
        <w:t xml:space="preserve"> No animal embryofetal development studies have been performed with budesonide, </w:t>
      </w:r>
      <w:proofErr w:type="spellStart"/>
      <w:r w:rsidR="00B90921" w:rsidRPr="00E573E1">
        <w:rPr>
          <w:lang w:val="en-AU"/>
        </w:rPr>
        <w:t>glycopyrronium</w:t>
      </w:r>
      <w:proofErr w:type="spellEnd"/>
      <w:r w:rsidR="00B90921" w:rsidRPr="00E573E1">
        <w:rPr>
          <w:lang w:val="en-AU"/>
        </w:rPr>
        <w:t xml:space="preserve"> and formoterol in combination.</w:t>
      </w:r>
    </w:p>
    <w:p w14:paraId="46FA69A7" w14:textId="60338839" w:rsidR="00B90921" w:rsidRPr="00E573E1" w:rsidRDefault="00F1363F" w:rsidP="00C11150">
      <w:pPr>
        <w:pStyle w:val="Paragraph"/>
        <w:rPr>
          <w:szCs w:val="20"/>
          <w:lang w:val="en-AU"/>
        </w:rPr>
      </w:pPr>
      <w:r w:rsidRPr="00E573E1">
        <w:rPr>
          <w:lang w:val="en-AU"/>
        </w:rPr>
        <w:t>Data on the use of inhaled budesonide in more than 2</w:t>
      </w:r>
      <w:r w:rsidR="002E3D09">
        <w:rPr>
          <w:lang w:val="en-AU"/>
        </w:rPr>
        <w:t>,</w:t>
      </w:r>
      <w:r w:rsidRPr="00E573E1">
        <w:rPr>
          <w:lang w:val="en-AU"/>
        </w:rPr>
        <w:t xml:space="preserve">500 exposed pregnancies indicate no increased teratogenic risk associated with budesonide. </w:t>
      </w:r>
      <w:r w:rsidR="00B90921" w:rsidRPr="00E573E1">
        <w:rPr>
          <w:lang w:val="en-AU"/>
        </w:rPr>
        <w:t xml:space="preserve">There are no adequate data from use of formoterol or </w:t>
      </w:r>
      <w:proofErr w:type="spellStart"/>
      <w:r w:rsidR="00B90921" w:rsidRPr="00E573E1">
        <w:rPr>
          <w:lang w:val="en-AU"/>
        </w:rPr>
        <w:t>glycopyrronium</w:t>
      </w:r>
      <w:proofErr w:type="spellEnd"/>
      <w:r w:rsidR="00B90921" w:rsidRPr="00E573E1">
        <w:rPr>
          <w:lang w:val="en-AU"/>
        </w:rPr>
        <w:t xml:space="preserve"> in pregnant women. </w:t>
      </w:r>
    </w:p>
    <w:p w14:paraId="70C13B22" w14:textId="32626405" w:rsidR="002B3EE5" w:rsidRPr="00E573E1" w:rsidRDefault="002B3EE5" w:rsidP="00C11150">
      <w:pPr>
        <w:rPr>
          <w:lang w:val="en-AU"/>
        </w:rPr>
      </w:pPr>
      <w:r w:rsidRPr="00E573E1">
        <w:rPr>
          <w:lang w:val="en-AU"/>
        </w:rPr>
        <w:t xml:space="preserve">Single-dose studies in humans found that very small amounts of </w:t>
      </w:r>
      <w:proofErr w:type="spellStart"/>
      <w:r w:rsidRPr="00E573E1">
        <w:rPr>
          <w:lang w:val="en-AU"/>
        </w:rPr>
        <w:t>glycopyrronium</w:t>
      </w:r>
      <w:proofErr w:type="spellEnd"/>
      <w:r w:rsidRPr="00E573E1">
        <w:rPr>
          <w:lang w:val="en-AU"/>
        </w:rPr>
        <w:t xml:space="preserve"> passed the placental barrier. Placental transfer of </w:t>
      </w:r>
      <w:r w:rsidR="00814D5A" w:rsidRPr="00E573E1">
        <w:rPr>
          <w:lang w:val="en-AU"/>
        </w:rPr>
        <w:t xml:space="preserve">budesonide and </w:t>
      </w:r>
      <w:r w:rsidRPr="00E573E1">
        <w:rPr>
          <w:lang w:val="en-AU"/>
        </w:rPr>
        <w:t>formoterol</w:t>
      </w:r>
      <w:r w:rsidR="00814D5A" w:rsidRPr="00E573E1">
        <w:rPr>
          <w:lang w:val="en-AU"/>
        </w:rPr>
        <w:t>,</w:t>
      </w:r>
      <w:r w:rsidRPr="00E573E1">
        <w:rPr>
          <w:lang w:val="en-AU"/>
        </w:rPr>
        <w:t xml:space="preserve"> and/or </w:t>
      </w:r>
      <w:r w:rsidR="00814D5A" w:rsidRPr="00E573E1">
        <w:rPr>
          <w:lang w:val="en-AU"/>
        </w:rPr>
        <w:t xml:space="preserve">their </w:t>
      </w:r>
      <w:r w:rsidRPr="00E573E1">
        <w:rPr>
          <w:lang w:val="en-AU"/>
        </w:rPr>
        <w:t>metabolites</w:t>
      </w:r>
      <w:r w:rsidR="00814D5A" w:rsidRPr="00E573E1">
        <w:rPr>
          <w:lang w:val="en-AU"/>
        </w:rPr>
        <w:t>,</w:t>
      </w:r>
      <w:r w:rsidRPr="00E573E1">
        <w:rPr>
          <w:lang w:val="en-AU"/>
        </w:rPr>
        <w:t xml:space="preserve"> has been demonstrated in </w:t>
      </w:r>
      <w:r w:rsidR="00C21F49">
        <w:rPr>
          <w:lang w:val="en-AU"/>
        </w:rPr>
        <w:t>animals</w:t>
      </w:r>
      <w:r w:rsidRPr="00E573E1">
        <w:rPr>
          <w:lang w:val="en-AU"/>
        </w:rPr>
        <w:t>.</w:t>
      </w:r>
    </w:p>
    <w:p w14:paraId="02922FD1" w14:textId="5CE1D9EF" w:rsidR="002B3EE5" w:rsidRPr="00E573E1" w:rsidRDefault="002B3EE5" w:rsidP="00C11150">
      <w:pPr>
        <w:pStyle w:val="Paragraph"/>
        <w:rPr>
          <w:lang w:val="en-AU"/>
        </w:rPr>
      </w:pPr>
      <w:r w:rsidRPr="00E573E1">
        <w:rPr>
          <w:lang w:val="en-AU"/>
        </w:rPr>
        <w:t xml:space="preserve">Budesonide has been shown to </w:t>
      </w:r>
      <w:r w:rsidR="00905FDD">
        <w:rPr>
          <w:lang w:val="en-AU"/>
        </w:rPr>
        <w:t>cause malformations and embryofetal loss</w:t>
      </w:r>
      <w:r w:rsidRPr="00E573E1">
        <w:rPr>
          <w:lang w:val="en-AU"/>
        </w:rPr>
        <w:t xml:space="preserve"> in rats and rabbits, a class effect of glucocorticoids. </w:t>
      </w:r>
      <w:r w:rsidR="00814D5A" w:rsidRPr="00E573E1">
        <w:rPr>
          <w:lang w:val="en-AU"/>
        </w:rPr>
        <w:t xml:space="preserve"> In rabbits, budesonide produced </w:t>
      </w:r>
      <w:proofErr w:type="spellStart"/>
      <w:r w:rsidR="00814D5A" w:rsidRPr="00E573E1">
        <w:rPr>
          <w:lang w:val="en-AU"/>
        </w:rPr>
        <w:t>fetal</w:t>
      </w:r>
      <w:proofErr w:type="spellEnd"/>
      <w:r w:rsidR="00814D5A" w:rsidRPr="00E573E1">
        <w:rPr>
          <w:lang w:val="en-AU"/>
        </w:rPr>
        <w:t xml:space="preserve"> loss, decreased </w:t>
      </w:r>
      <w:proofErr w:type="spellStart"/>
      <w:r w:rsidR="00814D5A" w:rsidRPr="00E573E1">
        <w:rPr>
          <w:lang w:val="en-AU"/>
        </w:rPr>
        <w:t>fetal</w:t>
      </w:r>
      <w:proofErr w:type="spellEnd"/>
      <w:r w:rsidR="00814D5A" w:rsidRPr="00E573E1">
        <w:rPr>
          <w:lang w:val="en-AU"/>
        </w:rPr>
        <w:t xml:space="preserve"> weight, and skeletal abnormalities at </w:t>
      </w:r>
      <w:r w:rsidR="00905FDD">
        <w:rPr>
          <w:lang w:val="en-AU"/>
        </w:rPr>
        <w:t xml:space="preserve">subcutaneous </w:t>
      </w:r>
      <w:r w:rsidR="00814D5A" w:rsidRPr="00E573E1">
        <w:rPr>
          <w:lang w:val="en-AU"/>
        </w:rPr>
        <w:t>doses as low as 25 </w:t>
      </w:r>
      <w:proofErr w:type="spellStart"/>
      <w:r w:rsidR="00814D5A" w:rsidRPr="00E573E1">
        <w:rPr>
          <w:lang w:val="en-AU"/>
        </w:rPr>
        <w:t>μg</w:t>
      </w:r>
      <w:proofErr w:type="spellEnd"/>
      <w:r w:rsidR="00814D5A" w:rsidRPr="00E573E1">
        <w:rPr>
          <w:lang w:val="en-AU"/>
        </w:rPr>
        <w:t xml:space="preserve">/kg/day, less than the </w:t>
      </w:r>
      <w:r w:rsidR="00814D5A" w:rsidRPr="00E573E1">
        <w:rPr>
          <w:bCs/>
          <w:lang w:val="en-AU"/>
        </w:rPr>
        <w:t>maximum recommended human daily inhaled dose</w:t>
      </w:r>
      <w:r w:rsidR="00814D5A" w:rsidRPr="00E573E1">
        <w:rPr>
          <w:lang w:val="en-AU"/>
        </w:rPr>
        <w:t xml:space="preserve"> (MRHDID) on a </w:t>
      </w:r>
      <w:proofErr w:type="spellStart"/>
      <w:r w:rsidR="00814D5A" w:rsidRPr="00E573E1">
        <w:rPr>
          <w:lang w:val="en-AU"/>
        </w:rPr>
        <w:t>μg</w:t>
      </w:r>
      <w:proofErr w:type="spellEnd"/>
      <w:r w:rsidR="00814D5A" w:rsidRPr="00E573E1">
        <w:rPr>
          <w:lang w:val="en-AU"/>
        </w:rPr>
        <w:t>/m</w:t>
      </w:r>
      <w:r w:rsidR="00814D5A" w:rsidRPr="00E573E1">
        <w:rPr>
          <w:vertAlign w:val="superscript"/>
          <w:lang w:val="en-AU"/>
        </w:rPr>
        <w:t xml:space="preserve">2 </w:t>
      </w:r>
      <w:r w:rsidR="00814D5A" w:rsidRPr="00E573E1">
        <w:rPr>
          <w:lang w:val="en-AU"/>
        </w:rPr>
        <w:t xml:space="preserve">basis. In an embryofetal development study in rats, budesonide produced similar adverse </w:t>
      </w:r>
      <w:proofErr w:type="spellStart"/>
      <w:r w:rsidR="00814D5A" w:rsidRPr="00E573E1">
        <w:rPr>
          <w:lang w:val="en-AU"/>
        </w:rPr>
        <w:t>fetal</w:t>
      </w:r>
      <w:proofErr w:type="spellEnd"/>
      <w:r w:rsidR="00814D5A" w:rsidRPr="00E573E1">
        <w:rPr>
          <w:lang w:val="en-AU"/>
        </w:rPr>
        <w:t xml:space="preserve"> effects at </w:t>
      </w:r>
      <w:r w:rsidR="00905FDD">
        <w:rPr>
          <w:lang w:val="en-AU"/>
        </w:rPr>
        <w:t xml:space="preserve">doses </w:t>
      </w:r>
      <w:r w:rsidR="00F36832">
        <w:rPr>
          <w:lang w:val="en-AU"/>
        </w:rPr>
        <w:br/>
      </w:r>
      <w:r w:rsidR="00905FDD">
        <w:rPr>
          <w:lang w:val="en-AU"/>
        </w:rPr>
        <w:t xml:space="preserve">≥100 </w:t>
      </w:r>
      <w:proofErr w:type="spellStart"/>
      <w:r w:rsidR="00814D5A" w:rsidRPr="00E573E1">
        <w:rPr>
          <w:lang w:val="en-AU"/>
        </w:rPr>
        <w:t>μg</w:t>
      </w:r>
      <w:proofErr w:type="spellEnd"/>
      <w:r w:rsidR="00814D5A" w:rsidRPr="00E573E1">
        <w:rPr>
          <w:lang w:val="en-AU"/>
        </w:rPr>
        <w:t>/kg/day</w:t>
      </w:r>
      <w:r w:rsidR="00905FDD">
        <w:rPr>
          <w:lang w:val="en-AU"/>
        </w:rPr>
        <w:t xml:space="preserve"> </w:t>
      </w:r>
      <w:r w:rsidR="002E3D09">
        <w:rPr>
          <w:lang w:val="en-AU"/>
        </w:rPr>
        <w:t>subcutaneously</w:t>
      </w:r>
      <w:r w:rsidR="00814D5A" w:rsidRPr="00E573E1">
        <w:rPr>
          <w:lang w:val="en-AU"/>
        </w:rPr>
        <w:t xml:space="preserve">, </w:t>
      </w:r>
      <w:r w:rsidR="00905FDD">
        <w:rPr>
          <w:lang w:val="en-AU"/>
        </w:rPr>
        <w:t>only modestly above</w:t>
      </w:r>
      <w:r w:rsidR="00814D5A" w:rsidRPr="00E573E1">
        <w:rPr>
          <w:lang w:val="en-AU"/>
        </w:rPr>
        <w:t xml:space="preserve"> the MRHDID. In another embryofetal development study in pregnant rats, no </w:t>
      </w:r>
      <w:r w:rsidR="00905FDD">
        <w:rPr>
          <w:lang w:val="en-AU"/>
        </w:rPr>
        <w:t>malformations or embryofetal lethality</w:t>
      </w:r>
      <w:r w:rsidR="00814D5A" w:rsidRPr="00E573E1">
        <w:rPr>
          <w:lang w:val="en-AU"/>
        </w:rPr>
        <w:t xml:space="preserve"> were seen at doses up to 250 </w:t>
      </w:r>
      <w:proofErr w:type="spellStart"/>
      <w:r w:rsidR="00814D5A" w:rsidRPr="00E573E1">
        <w:rPr>
          <w:lang w:val="en-AU"/>
        </w:rPr>
        <w:t>μg</w:t>
      </w:r>
      <w:proofErr w:type="spellEnd"/>
      <w:r w:rsidR="00814D5A" w:rsidRPr="00E573E1">
        <w:rPr>
          <w:lang w:val="en-AU"/>
        </w:rPr>
        <w:t>/kg/day</w:t>
      </w:r>
      <w:r w:rsidR="00905FDD">
        <w:rPr>
          <w:lang w:val="en-AU"/>
        </w:rPr>
        <w:t xml:space="preserve"> by inhalation</w:t>
      </w:r>
      <w:r w:rsidR="00814D5A" w:rsidRPr="00E573E1">
        <w:rPr>
          <w:lang w:val="en-AU"/>
        </w:rPr>
        <w:t>.</w:t>
      </w:r>
    </w:p>
    <w:p w14:paraId="43DB9902" w14:textId="6E66DCB6" w:rsidR="00F1363F" w:rsidRPr="00E573E1" w:rsidRDefault="00F1363F" w:rsidP="00C11150">
      <w:pPr>
        <w:pStyle w:val="Paragraph"/>
        <w:rPr>
          <w:lang w:val="en-AU"/>
        </w:rPr>
      </w:pPr>
      <w:proofErr w:type="spellStart"/>
      <w:r w:rsidRPr="00E573E1">
        <w:rPr>
          <w:lang w:val="en-AU"/>
        </w:rPr>
        <w:t>Glycopyrronium</w:t>
      </w:r>
      <w:proofErr w:type="spellEnd"/>
      <w:r w:rsidRPr="00E573E1">
        <w:rPr>
          <w:lang w:val="en-AU"/>
        </w:rPr>
        <w:t xml:space="preserve"> bromide was not teratogenic in rats or rabbits following subcutaneous administration at doses up to 10 mg/kg/day in the respective species. Reduced rat and rabbit </w:t>
      </w:r>
      <w:proofErr w:type="spellStart"/>
      <w:r w:rsidRPr="00E573E1">
        <w:rPr>
          <w:lang w:val="en-AU"/>
        </w:rPr>
        <w:t>fetal</w:t>
      </w:r>
      <w:proofErr w:type="spellEnd"/>
      <w:r w:rsidRPr="00E573E1">
        <w:rPr>
          <w:lang w:val="en-AU"/>
        </w:rPr>
        <w:t xml:space="preserve"> weights were seen at 10 mg/kg/day (approximately 2</w:t>
      </w:r>
      <w:r w:rsidR="002E3D09">
        <w:rPr>
          <w:lang w:val="en-AU"/>
        </w:rPr>
        <w:t>,</w:t>
      </w:r>
      <w:r w:rsidRPr="00E573E1">
        <w:rPr>
          <w:lang w:val="en-AU"/>
        </w:rPr>
        <w:t>500 and 5</w:t>
      </w:r>
      <w:r w:rsidR="002E3D09">
        <w:rPr>
          <w:lang w:val="en-AU"/>
        </w:rPr>
        <w:t>,</w:t>
      </w:r>
      <w:r w:rsidRPr="00E573E1">
        <w:rPr>
          <w:lang w:val="en-AU"/>
        </w:rPr>
        <w:t xml:space="preserve">000 times the </w:t>
      </w:r>
      <w:r w:rsidR="00B66786" w:rsidRPr="00E573E1">
        <w:rPr>
          <w:bCs/>
          <w:lang w:val="en-AU"/>
        </w:rPr>
        <w:t>MRHDID</w:t>
      </w:r>
      <w:r w:rsidRPr="00E573E1">
        <w:rPr>
          <w:bCs/>
          <w:i/>
          <w:lang w:val="en-AU"/>
        </w:rPr>
        <w:t xml:space="preserve"> </w:t>
      </w:r>
      <w:r w:rsidRPr="00E573E1">
        <w:rPr>
          <w:lang w:val="en-AU"/>
        </w:rPr>
        <w:t xml:space="preserve">on a </w:t>
      </w:r>
      <w:proofErr w:type="spellStart"/>
      <w:r w:rsidRPr="00E573E1">
        <w:rPr>
          <w:lang w:val="en-AU"/>
        </w:rPr>
        <w:t>μg</w:t>
      </w:r>
      <w:proofErr w:type="spellEnd"/>
      <w:r w:rsidRPr="00E573E1">
        <w:rPr>
          <w:lang w:val="en-AU"/>
        </w:rPr>
        <w:t>/m</w:t>
      </w:r>
      <w:r w:rsidRPr="00E573E1">
        <w:rPr>
          <w:vertAlign w:val="superscript"/>
          <w:lang w:val="en-AU"/>
        </w:rPr>
        <w:t xml:space="preserve">2 </w:t>
      </w:r>
      <w:r w:rsidRPr="00E573E1">
        <w:rPr>
          <w:lang w:val="en-AU"/>
        </w:rPr>
        <w:t xml:space="preserve">basis).  Maternal treatment at this dose during gestation and lactation was also associated with reduced birth weight and pre-weaning body weight gain in rat offspring. No adverse effects on embryofetal development were observed in the rat or rabbit at 1 mg/kg/day </w:t>
      </w:r>
      <w:r w:rsidR="002E3D09">
        <w:rPr>
          <w:lang w:val="en-AU"/>
        </w:rPr>
        <w:t>subcutaneously</w:t>
      </w:r>
      <w:r w:rsidRPr="00E573E1">
        <w:rPr>
          <w:lang w:val="en-AU"/>
        </w:rPr>
        <w:t>.</w:t>
      </w:r>
    </w:p>
    <w:p w14:paraId="59EA19A8" w14:textId="4358D82A" w:rsidR="00B90921" w:rsidRPr="00E573E1" w:rsidRDefault="00B90921" w:rsidP="00C11150">
      <w:pPr>
        <w:pStyle w:val="Paragraph"/>
        <w:rPr>
          <w:lang w:val="en-AU"/>
        </w:rPr>
      </w:pPr>
      <w:r w:rsidRPr="00E573E1">
        <w:rPr>
          <w:lang w:val="en-AU"/>
        </w:rPr>
        <w:t xml:space="preserve">No teratogenic effects were observed in rats receiving formoterol fumarate at doses up to 60 mg/kg/day orally or 1.2 mg/kg/day by inhalation. </w:t>
      </w:r>
      <w:proofErr w:type="spellStart"/>
      <w:r w:rsidRPr="00E573E1">
        <w:rPr>
          <w:lang w:val="en-AU"/>
        </w:rPr>
        <w:t>Fetal</w:t>
      </w:r>
      <w:proofErr w:type="spellEnd"/>
      <w:r w:rsidRPr="00E573E1">
        <w:rPr>
          <w:lang w:val="en-AU"/>
        </w:rPr>
        <w:t xml:space="preserve"> cardiovascular malformations were observed in one study in which pregnant rabbits were dosed orally at 125 or 500 mg/kg/day during </w:t>
      </w:r>
      <w:r w:rsidRPr="00E573E1">
        <w:rPr>
          <w:lang w:val="en-AU"/>
        </w:rPr>
        <w:lastRenderedPageBreak/>
        <w:t xml:space="preserve">the period of organogenesis, but similar results were not obtained in another study at the same dose range. In a third study, an increased incidence of subcapsular hepatic cysts was observed in </w:t>
      </w:r>
      <w:proofErr w:type="spellStart"/>
      <w:r w:rsidRPr="00E573E1">
        <w:rPr>
          <w:lang w:val="en-AU"/>
        </w:rPr>
        <w:t>fetuses</w:t>
      </w:r>
      <w:proofErr w:type="spellEnd"/>
      <w:r w:rsidRPr="00E573E1">
        <w:rPr>
          <w:lang w:val="en-AU"/>
        </w:rPr>
        <w:t xml:space="preserve"> from rabbits dosed orally at 60 mg/kg/day. These doses yielded very large multiples of the clinical plasma AUC for formoterol. Decreased birth weight and increased peri/postnatal mortality were observed when formoterol fumarate was given to rats at oral doses of 0.2 mg/kg/day or greater during late gestation (estimated relative exposure, 3). As a β</w:t>
      </w:r>
      <w:r w:rsidRPr="00E573E1">
        <w:rPr>
          <w:vertAlign w:val="subscript"/>
          <w:lang w:val="en-AU"/>
        </w:rPr>
        <w:t>2</w:t>
      </w:r>
      <w:r w:rsidRPr="00E573E1">
        <w:rPr>
          <w:lang w:val="en-AU"/>
        </w:rPr>
        <w:t>-adrenoceptor agonist, formoterol may inhibit labour due to a relaxant effect on uterine smooth muscle.</w:t>
      </w:r>
    </w:p>
    <w:p w14:paraId="3EFED99B" w14:textId="77777777" w:rsidR="00F1363F" w:rsidRPr="00E573E1" w:rsidRDefault="00F1363F" w:rsidP="00C11150">
      <w:pPr>
        <w:rPr>
          <w:lang w:val="en-AU"/>
        </w:rPr>
      </w:pPr>
      <w:r w:rsidRPr="00E573E1">
        <w:rPr>
          <w:lang w:val="en-AU"/>
        </w:rPr>
        <w:t>BREZTRI AEROSPHERE should only be used during pregnancy if the expected benefits outweigh the potential risks.</w:t>
      </w:r>
    </w:p>
    <w:p w14:paraId="0DD45D1A" w14:textId="77777777" w:rsidR="00EC6FD9" w:rsidRPr="00E573E1" w:rsidRDefault="00EC6FD9" w:rsidP="00C11150">
      <w:pPr>
        <w:pStyle w:val="Heading3Unnumbered"/>
        <w:rPr>
          <w:lang w:val="en-AU"/>
        </w:rPr>
      </w:pPr>
      <w:r w:rsidRPr="00E573E1">
        <w:rPr>
          <w:lang w:val="en-AU"/>
        </w:rPr>
        <w:t>Use in lactation</w:t>
      </w:r>
    </w:p>
    <w:p w14:paraId="68815665" w14:textId="42698C3D" w:rsidR="00D84326" w:rsidRPr="00E573E1" w:rsidRDefault="00D84326" w:rsidP="00C11150">
      <w:pPr>
        <w:pStyle w:val="Paragraph"/>
        <w:rPr>
          <w:lang w:val="en-AU"/>
        </w:rPr>
      </w:pPr>
      <w:r w:rsidRPr="00E573E1">
        <w:rPr>
          <w:lang w:val="en-AU"/>
        </w:rPr>
        <w:t>A clinical pharmacology study has shown that inhaled budesonide is excreted in breast milk. However, budesonide was not detected in nursing infant blood samples. Based on pharmacokinetic parameters, the plasma concentration in the child is estimated to be less than 0.17% of the mother’s plasma concentration. Consequently, no effects due to budesonide are anticipated in breast-fed children whose mothers are receiving therapeutic doses of BREZTRI AEROSPHERE.</w:t>
      </w:r>
    </w:p>
    <w:p w14:paraId="27047687" w14:textId="44C7EE83" w:rsidR="00EC6FD9" w:rsidRPr="00E573E1" w:rsidRDefault="00EC6FD9" w:rsidP="00C11150">
      <w:pPr>
        <w:pStyle w:val="Paragraph"/>
        <w:rPr>
          <w:lang w:val="en-AU"/>
        </w:rPr>
      </w:pPr>
      <w:r w:rsidRPr="00E573E1">
        <w:rPr>
          <w:lang w:val="en-AU"/>
        </w:rPr>
        <w:t xml:space="preserve">It is not known whether </w:t>
      </w:r>
      <w:proofErr w:type="spellStart"/>
      <w:r w:rsidRPr="00E573E1">
        <w:rPr>
          <w:lang w:val="en-AU"/>
        </w:rPr>
        <w:t>glycopyrronium</w:t>
      </w:r>
      <w:proofErr w:type="spellEnd"/>
      <w:r w:rsidRPr="00E573E1">
        <w:rPr>
          <w:lang w:val="en-AU"/>
        </w:rPr>
        <w:t xml:space="preserve"> or formoterol are excreted in human milk.  Significant lactational excretion of </w:t>
      </w:r>
      <w:proofErr w:type="spellStart"/>
      <w:r w:rsidRPr="00E573E1">
        <w:rPr>
          <w:lang w:val="en-AU"/>
        </w:rPr>
        <w:t>glycopyrronium</w:t>
      </w:r>
      <w:proofErr w:type="spellEnd"/>
      <w:r w:rsidRPr="00E573E1">
        <w:rPr>
          <w:lang w:val="en-AU"/>
        </w:rPr>
        <w:t xml:space="preserve"> (and its metabolites) has been observed in rats, with concentrations in milk up to 10-times higher than in maternal blood. Small amounts of formoterol have also been detected in maternal milk in rats.</w:t>
      </w:r>
    </w:p>
    <w:p w14:paraId="3B9A15BB" w14:textId="77777777" w:rsidR="008C55E5" w:rsidRPr="00E573E1" w:rsidRDefault="008C55E5" w:rsidP="00C11150">
      <w:pPr>
        <w:pStyle w:val="Paragraph"/>
        <w:rPr>
          <w:lang w:val="en-AU" w:eastAsia="zh-CN"/>
        </w:rPr>
      </w:pPr>
      <w:r w:rsidRPr="00E573E1">
        <w:rPr>
          <w:lang w:val="en-AU"/>
        </w:rPr>
        <w:t>Administration of BREZTRI AEROSPHERE to women who are breast-feeding should only be considered if the expected benefit to the mother is greater than any possible risk to the child.</w:t>
      </w:r>
    </w:p>
    <w:p w14:paraId="441C8D42" w14:textId="77777777" w:rsidR="001A3992" w:rsidRPr="00E573E1" w:rsidRDefault="001A3992" w:rsidP="00C11150">
      <w:pPr>
        <w:pStyle w:val="Heading2"/>
        <w:rPr>
          <w:lang w:val="en-AU"/>
        </w:rPr>
      </w:pPr>
      <w:r w:rsidRPr="00E573E1">
        <w:rPr>
          <w:lang w:val="en-AU"/>
        </w:rPr>
        <w:t>Effects on ability to drive and use machines</w:t>
      </w:r>
    </w:p>
    <w:p w14:paraId="1FEE1BCC" w14:textId="77777777" w:rsidR="00EC6FD9" w:rsidRPr="00E573E1" w:rsidRDefault="00EC6FD9" w:rsidP="00C11150">
      <w:pPr>
        <w:pStyle w:val="Paragraph"/>
        <w:rPr>
          <w:lang w:val="en-AU"/>
        </w:rPr>
      </w:pPr>
      <w:r w:rsidRPr="00E573E1">
        <w:rPr>
          <w:lang w:val="en-AU"/>
        </w:rPr>
        <w:t>No studies on the effects on the ability to drive and use machines have been performed.</w:t>
      </w:r>
    </w:p>
    <w:p w14:paraId="0CAD11F7" w14:textId="20FFD23F" w:rsidR="00EC6FD9" w:rsidRPr="00E573E1" w:rsidRDefault="00EC6FD9" w:rsidP="00C11150">
      <w:pPr>
        <w:pStyle w:val="Paragraph"/>
        <w:rPr>
          <w:lang w:val="en-AU"/>
        </w:rPr>
      </w:pPr>
      <w:r w:rsidRPr="00E573E1">
        <w:rPr>
          <w:lang w:val="en-AU"/>
        </w:rPr>
        <w:t xml:space="preserve">Based on the pharmacological profile, </w:t>
      </w:r>
      <w:r w:rsidR="00910862">
        <w:rPr>
          <w:lang w:val="en-AU"/>
        </w:rPr>
        <w:t xml:space="preserve">at clinical doses, </w:t>
      </w:r>
      <w:r w:rsidR="00CC4F76" w:rsidRPr="00E573E1">
        <w:rPr>
          <w:lang w:val="en-AU"/>
        </w:rPr>
        <w:t xml:space="preserve">BREZTRI AEROSPHERE </w:t>
      </w:r>
      <w:r w:rsidRPr="00E573E1">
        <w:rPr>
          <w:lang w:val="en-AU"/>
        </w:rPr>
        <w:t>is expected to have no or negligible influence on the ability to drive and use machines</w:t>
      </w:r>
      <w:r w:rsidR="00262CFB" w:rsidRPr="00E573E1">
        <w:rPr>
          <w:lang w:val="en-AU"/>
        </w:rPr>
        <w:t>.</w:t>
      </w:r>
    </w:p>
    <w:p w14:paraId="1853DEAC" w14:textId="77777777" w:rsidR="001A3992" w:rsidRPr="00E573E1" w:rsidRDefault="001A3992" w:rsidP="00C11150">
      <w:pPr>
        <w:pStyle w:val="Heading2"/>
        <w:rPr>
          <w:lang w:val="en-AU"/>
        </w:rPr>
      </w:pPr>
      <w:bookmarkStart w:id="13" w:name="_Ref40098489"/>
      <w:r w:rsidRPr="00E573E1">
        <w:rPr>
          <w:lang w:val="en-AU"/>
        </w:rPr>
        <w:t>Adverse effects (Undesirable effects)</w:t>
      </w:r>
      <w:bookmarkEnd w:id="13"/>
    </w:p>
    <w:p w14:paraId="545AC755" w14:textId="020C6135" w:rsidR="00446EDD" w:rsidRPr="00E573E1" w:rsidRDefault="003C6DB1" w:rsidP="00C11150">
      <w:pPr>
        <w:pStyle w:val="Paragraph"/>
        <w:rPr>
          <w:lang w:val="en-AU"/>
        </w:rPr>
      </w:pPr>
      <w:r w:rsidRPr="00E573E1">
        <w:rPr>
          <w:lang w:val="en-AU"/>
        </w:rPr>
        <w:t xml:space="preserve">As BREZTRI AEROSPHERE contains budesonide, </w:t>
      </w:r>
      <w:proofErr w:type="spellStart"/>
      <w:r w:rsidRPr="00E573E1">
        <w:rPr>
          <w:lang w:val="en-AU"/>
        </w:rPr>
        <w:t>glycopyrronium</w:t>
      </w:r>
      <w:proofErr w:type="spellEnd"/>
      <w:r w:rsidRPr="00E573E1">
        <w:rPr>
          <w:lang w:val="en-AU"/>
        </w:rPr>
        <w:t xml:space="preserve"> and formoterol, the type and severity of adverse reactions associated with each of the components may be expected with BREZTRI AEROSPHERE.</w:t>
      </w:r>
    </w:p>
    <w:p w14:paraId="399DF487" w14:textId="7BF0A925" w:rsidR="00446EDD" w:rsidRPr="00E573E1" w:rsidRDefault="003C6DB1" w:rsidP="00C11150">
      <w:pPr>
        <w:pStyle w:val="Heading3Unnumbered"/>
        <w:rPr>
          <w:lang w:val="en-AU"/>
        </w:rPr>
      </w:pPr>
      <w:r w:rsidRPr="00E573E1">
        <w:rPr>
          <w:lang w:val="en-AU"/>
        </w:rPr>
        <w:t>Clinical trials</w:t>
      </w:r>
      <w:r w:rsidR="007461B2" w:rsidRPr="00E573E1">
        <w:rPr>
          <w:lang w:val="en-AU"/>
        </w:rPr>
        <w:t xml:space="preserve"> experience</w:t>
      </w:r>
    </w:p>
    <w:p w14:paraId="41C170E6" w14:textId="089AE0B0" w:rsidR="001C394C" w:rsidRPr="00E573E1" w:rsidRDefault="003C6DB1" w:rsidP="00C11150">
      <w:pPr>
        <w:pStyle w:val="Paragraph"/>
        <w:rPr>
          <w:lang w:val="en-AU"/>
        </w:rPr>
      </w:pPr>
      <w:r w:rsidRPr="00E573E1">
        <w:rPr>
          <w:lang w:val="en-AU"/>
        </w:rPr>
        <w:t xml:space="preserve">The safety evaluation of the pivotal </w:t>
      </w:r>
      <w:r w:rsidR="00C2565D" w:rsidRPr="00E573E1">
        <w:rPr>
          <w:lang w:val="en-AU"/>
        </w:rPr>
        <w:t xml:space="preserve">Phase 3 </w:t>
      </w:r>
      <w:r w:rsidRPr="00E573E1">
        <w:rPr>
          <w:lang w:val="en-AU"/>
        </w:rPr>
        <w:t>program</w:t>
      </w:r>
      <w:r w:rsidR="007F1EEE" w:rsidRPr="00E573E1">
        <w:rPr>
          <w:lang w:val="en-AU"/>
        </w:rPr>
        <w:t>me</w:t>
      </w:r>
      <w:r w:rsidRPr="00E573E1">
        <w:rPr>
          <w:lang w:val="en-AU"/>
        </w:rPr>
        <w:t xml:space="preserve"> for BREZTRI AEROSPHERE 160/7.2/5 included 639 </w:t>
      </w:r>
      <w:r w:rsidR="00963165" w:rsidRPr="00E573E1">
        <w:rPr>
          <w:lang w:val="en-AU"/>
        </w:rPr>
        <w:t xml:space="preserve">patients </w:t>
      </w:r>
      <w:r w:rsidRPr="00E573E1">
        <w:rPr>
          <w:lang w:val="en-AU"/>
        </w:rPr>
        <w:t xml:space="preserve">with COPD in one 24-week lung function </w:t>
      </w:r>
      <w:r w:rsidR="00C2565D" w:rsidRPr="00E573E1">
        <w:rPr>
          <w:lang w:val="en-AU"/>
        </w:rPr>
        <w:t>study</w:t>
      </w:r>
      <w:r w:rsidR="007F1EEE" w:rsidRPr="00E573E1">
        <w:rPr>
          <w:lang w:val="en-AU"/>
        </w:rPr>
        <w:t xml:space="preserve"> (KRONOS)</w:t>
      </w:r>
      <w:r w:rsidRPr="00E573E1">
        <w:rPr>
          <w:lang w:val="en-AU"/>
        </w:rPr>
        <w:t xml:space="preserve"> </w:t>
      </w:r>
      <w:r w:rsidR="00966710" w:rsidRPr="00E573E1">
        <w:rPr>
          <w:lang w:val="en-AU"/>
        </w:rPr>
        <w:t>followed by</w:t>
      </w:r>
      <w:r w:rsidRPr="00E573E1">
        <w:rPr>
          <w:lang w:val="en-AU"/>
        </w:rPr>
        <w:t xml:space="preserve"> </w:t>
      </w:r>
      <w:r w:rsidR="000B2CF0" w:rsidRPr="00E573E1">
        <w:rPr>
          <w:lang w:val="en-AU"/>
        </w:rPr>
        <w:t>two</w:t>
      </w:r>
      <w:r w:rsidRPr="00E573E1">
        <w:rPr>
          <w:lang w:val="en-AU"/>
        </w:rPr>
        <w:t xml:space="preserve"> long-term safety extension stud</w:t>
      </w:r>
      <w:r w:rsidR="000B2CF0" w:rsidRPr="00E573E1">
        <w:rPr>
          <w:lang w:val="en-AU"/>
        </w:rPr>
        <w:t>ies</w:t>
      </w:r>
      <w:r w:rsidRPr="00E573E1">
        <w:rPr>
          <w:lang w:val="en-AU"/>
        </w:rPr>
        <w:t xml:space="preserve"> of 28 weeks</w:t>
      </w:r>
      <w:r w:rsidR="007F1EEE" w:rsidRPr="00E573E1">
        <w:rPr>
          <w:lang w:val="en-AU"/>
        </w:rPr>
        <w:t xml:space="preserve"> (</w:t>
      </w:r>
      <w:r w:rsidR="00081E2C" w:rsidRPr="00E573E1">
        <w:rPr>
          <w:lang w:val="en-AU"/>
        </w:rPr>
        <w:t>Study PT010007</w:t>
      </w:r>
      <w:r w:rsidR="000B2CF0" w:rsidRPr="00E573E1">
        <w:rPr>
          <w:lang w:val="en-AU"/>
        </w:rPr>
        <w:t xml:space="preserve"> </w:t>
      </w:r>
      <w:r w:rsidR="00282D4F" w:rsidRPr="00E573E1">
        <w:rPr>
          <w:lang w:val="en-AU"/>
        </w:rPr>
        <w:t>- subset of</w:t>
      </w:r>
      <w:r w:rsidR="000B2CF0" w:rsidRPr="00E573E1">
        <w:rPr>
          <w:lang w:val="en-AU"/>
        </w:rPr>
        <w:t xml:space="preserve"> </w:t>
      </w:r>
      <w:r w:rsidR="00966710" w:rsidRPr="00E573E1">
        <w:rPr>
          <w:lang w:val="en-AU"/>
        </w:rPr>
        <w:t xml:space="preserve">Japanese </w:t>
      </w:r>
      <w:r w:rsidR="00963165" w:rsidRPr="00E573E1">
        <w:rPr>
          <w:lang w:val="en-AU"/>
        </w:rPr>
        <w:t xml:space="preserve">patients </w:t>
      </w:r>
      <w:r w:rsidR="00040A9E" w:rsidRPr="00E573E1">
        <w:rPr>
          <w:lang w:val="en-AU"/>
        </w:rPr>
        <w:t xml:space="preserve">(139 </w:t>
      </w:r>
      <w:r w:rsidR="00963165" w:rsidRPr="00E573E1">
        <w:rPr>
          <w:lang w:val="en-AU"/>
        </w:rPr>
        <w:t>patients</w:t>
      </w:r>
      <w:r w:rsidR="00040A9E" w:rsidRPr="00E573E1">
        <w:rPr>
          <w:lang w:val="en-AU"/>
        </w:rPr>
        <w:t>)</w:t>
      </w:r>
      <w:r w:rsidR="000B2CF0" w:rsidRPr="00E573E1">
        <w:rPr>
          <w:lang w:val="en-AU"/>
        </w:rPr>
        <w:t xml:space="preserve"> and Study PT010008</w:t>
      </w:r>
      <w:r w:rsidR="00966710" w:rsidRPr="00E573E1">
        <w:rPr>
          <w:lang w:val="en-AU"/>
        </w:rPr>
        <w:t xml:space="preserve"> </w:t>
      </w:r>
      <w:r w:rsidR="003C5D8A" w:rsidRPr="00E573E1">
        <w:rPr>
          <w:lang w:val="en-AU"/>
        </w:rPr>
        <w:t>-</w:t>
      </w:r>
      <w:r w:rsidR="00966710" w:rsidRPr="00E573E1">
        <w:rPr>
          <w:lang w:val="en-AU"/>
        </w:rPr>
        <w:t xml:space="preserve"> subset assessing bone mineral density and </w:t>
      </w:r>
      <w:r w:rsidR="00282D4F" w:rsidRPr="00E573E1">
        <w:rPr>
          <w:lang w:val="en-AU"/>
        </w:rPr>
        <w:t>ocular</w:t>
      </w:r>
      <w:r w:rsidR="00966710" w:rsidRPr="00E573E1">
        <w:rPr>
          <w:lang w:val="en-AU"/>
        </w:rPr>
        <w:t xml:space="preserve"> safety</w:t>
      </w:r>
      <w:r w:rsidR="00040A9E" w:rsidRPr="00E573E1">
        <w:rPr>
          <w:lang w:val="en-AU"/>
        </w:rPr>
        <w:t xml:space="preserve"> (194 </w:t>
      </w:r>
      <w:r w:rsidR="00963165" w:rsidRPr="00E573E1">
        <w:rPr>
          <w:lang w:val="en-AU"/>
        </w:rPr>
        <w:t>patients</w:t>
      </w:r>
      <w:r w:rsidR="00040A9E" w:rsidRPr="00E573E1">
        <w:rPr>
          <w:lang w:val="en-AU"/>
        </w:rPr>
        <w:t>)</w:t>
      </w:r>
      <w:r w:rsidR="007F1EEE" w:rsidRPr="00E573E1">
        <w:rPr>
          <w:lang w:val="en-AU"/>
        </w:rPr>
        <w:t>)</w:t>
      </w:r>
      <w:r w:rsidRPr="00E573E1">
        <w:rPr>
          <w:lang w:val="en-AU"/>
        </w:rPr>
        <w:t>, and 2</w:t>
      </w:r>
      <w:r w:rsidR="00A14576">
        <w:rPr>
          <w:lang w:val="en-AU"/>
        </w:rPr>
        <w:t>,</w:t>
      </w:r>
      <w:r w:rsidRPr="00E573E1">
        <w:rPr>
          <w:lang w:val="en-AU"/>
        </w:rPr>
        <w:t xml:space="preserve">144 </w:t>
      </w:r>
      <w:r w:rsidR="00963165" w:rsidRPr="00E573E1">
        <w:rPr>
          <w:lang w:val="en-AU"/>
        </w:rPr>
        <w:t xml:space="preserve">patients </w:t>
      </w:r>
      <w:r w:rsidRPr="00E573E1">
        <w:rPr>
          <w:lang w:val="en-AU"/>
        </w:rPr>
        <w:t xml:space="preserve">in </w:t>
      </w:r>
      <w:r w:rsidR="00966710" w:rsidRPr="00E573E1">
        <w:rPr>
          <w:lang w:val="en-AU"/>
        </w:rPr>
        <w:t>a</w:t>
      </w:r>
      <w:r w:rsidRPr="00E573E1">
        <w:rPr>
          <w:lang w:val="en-AU"/>
        </w:rPr>
        <w:t xml:space="preserve"> 52-week exacerbation </w:t>
      </w:r>
      <w:r w:rsidR="00C2565D" w:rsidRPr="00E573E1">
        <w:rPr>
          <w:lang w:val="en-AU"/>
        </w:rPr>
        <w:t>study</w:t>
      </w:r>
      <w:r w:rsidR="007F1EEE" w:rsidRPr="00E573E1">
        <w:rPr>
          <w:lang w:val="en-AU"/>
        </w:rPr>
        <w:t xml:space="preserve"> (ETHOS)</w:t>
      </w:r>
      <w:r w:rsidRPr="00E573E1">
        <w:rPr>
          <w:lang w:val="en-AU"/>
        </w:rPr>
        <w:t>.</w:t>
      </w:r>
      <w:r w:rsidR="005E079B" w:rsidRPr="00E573E1">
        <w:rPr>
          <w:lang w:val="en-AU"/>
        </w:rPr>
        <w:t xml:space="preserve"> A lower strength of BREZTRI AEROSPHERE (BGF MDI 80/7.2/5 µg) was also assessed within the ETHOS study however the outcomes have not been provided.</w:t>
      </w:r>
    </w:p>
    <w:p w14:paraId="6E5E55E3" w14:textId="02070995" w:rsidR="00C8787F" w:rsidRPr="00E573E1" w:rsidRDefault="00074E6D" w:rsidP="00C11150">
      <w:pPr>
        <w:pStyle w:val="Paragraph"/>
        <w:rPr>
          <w:lang w:val="en-AU"/>
        </w:rPr>
      </w:pPr>
      <w:r w:rsidRPr="00E573E1">
        <w:rPr>
          <w:lang w:val="en-AU"/>
        </w:rPr>
        <w:t>Treatment emergent a</w:t>
      </w:r>
      <w:r w:rsidR="00C2565D" w:rsidRPr="00E573E1">
        <w:rPr>
          <w:lang w:val="en-AU"/>
        </w:rPr>
        <w:t xml:space="preserve">dverse events </w:t>
      </w:r>
      <w:r w:rsidR="00C731A4" w:rsidRPr="00E573E1">
        <w:rPr>
          <w:lang w:val="en-AU"/>
        </w:rPr>
        <w:t>(TEAE)</w:t>
      </w:r>
      <w:r w:rsidR="00C2565D" w:rsidRPr="00E573E1">
        <w:rPr>
          <w:lang w:val="en-AU"/>
        </w:rPr>
        <w:t xml:space="preserve"> reported in </w:t>
      </w:r>
      <w:r w:rsidR="00FC2978" w:rsidRPr="00E573E1">
        <w:rPr>
          <w:lang w:val="en-AU"/>
        </w:rPr>
        <w:t xml:space="preserve">the </w:t>
      </w:r>
      <w:r w:rsidR="005E0B9E" w:rsidRPr="00E573E1">
        <w:rPr>
          <w:lang w:val="en-AU"/>
        </w:rPr>
        <w:t>52</w:t>
      </w:r>
      <w:r w:rsidR="00FC2978" w:rsidRPr="00E573E1">
        <w:rPr>
          <w:lang w:val="en-AU"/>
        </w:rPr>
        <w:t xml:space="preserve">-week pooled </w:t>
      </w:r>
      <w:r w:rsidR="00C2565D" w:rsidRPr="00E573E1">
        <w:rPr>
          <w:lang w:val="en-AU"/>
        </w:rPr>
        <w:t>safety population</w:t>
      </w:r>
      <w:r w:rsidR="000B2CF0" w:rsidRPr="00E573E1">
        <w:rPr>
          <w:lang w:val="en-AU"/>
        </w:rPr>
        <w:t xml:space="preserve"> (ETHOS</w:t>
      </w:r>
      <w:r w:rsidR="00CC479F" w:rsidRPr="00E573E1">
        <w:rPr>
          <w:lang w:val="en-AU"/>
        </w:rPr>
        <w:t xml:space="preserve"> and KRONOS follow-up studies </w:t>
      </w:r>
      <w:r w:rsidR="00966710" w:rsidRPr="00E573E1">
        <w:rPr>
          <w:lang w:val="en-AU"/>
        </w:rPr>
        <w:t xml:space="preserve">PT010007 and Study PT010008) </w:t>
      </w:r>
      <w:r w:rsidR="00C2565D" w:rsidRPr="00E573E1">
        <w:rPr>
          <w:lang w:val="en-AU"/>
        </w:rPr>
        <w:t xml:space="preserve">in </w:t>
      </w:r>
      <w:r w:rsidR="00C731A4" w:rsidRPr="00E573E1">
        <w:rPr>
          <w:lang w:val="en-AU"/>
        </w:rPr>
        <w:t>≥</w:t>
      </w:r>
      <w:r w:rsidR="005E0B9E" w:rsidRPr="00E573E1">
        <w:rPr>
          <w:lang w:val="en-AU"/>
        </w:rPr>
        <w:t>2</w:t>
      </w:r>
      <w:r w:rsidR="00C2565D" w:rsidRPr="00E573E1">
        <w:rPr>
          <w:lang w:val="en-AU"/>
        </w:rPr>
        <w:t xml:space="preserve">% of patients </w:t>
      </w:r>
      <w:r w:rsidR="00C2565D" w:rsidRPr="00E573E1">
        <w:rPr>
          <w:lang w:val="en-AU"/>
        </w:rPr>
        <w:lastRenderedPageBreak/>
        <w:t>receiving BREZTRI AEROSPHERE</w:t>
      </w:r>
      <w:r w:rsidR="00963165" w:rsidRPr="00E573E1">
        <w:rPr>
          <w:lang w:val="en-AU"/>
        </w:rPr>
        <w:t xml:space="preserve"> 160/7.2/5</w:t>
      </w:r>
      <w:r w:rsidR="00C2565D" w:rsidRPr="00E573E1">
        <w:rPr>
          <w:lang w:val="en-AU"/>
        </w:rPr>
        <w:t xml:space="preserve"> are presented in </w:t>
      </w:r>
      <w:r w:rsidR="005E0B9E" w:rsidRPr="00E573E1">
        <w:rPr>
          <w:lang w:val="en-AU"/>
        </w:rPr>
        <w:fldChar w:fldCharType="begin"/>
      </w:r>
      <w:r w:rsidR="005E0B9E" w:rsidRPr="00E573E1">
        <w:rPr>
          <w:lang w:val="en-AU"/>
        </w:rPr>
        <w:instrText xml:space="preserve"> REF _Ref504480194 \h </w:instrText>
      </w:r>
      <w:r w:rsidR="005E0B9E" w:rsidRPr="00E573E1">
        <w:rPr>
          <w:lang w:val="en-AU"/>
        </w:rPr>
      </w:r>
      <w:r w:rsidR="00C11150">
        <w:rPr>
          <w:lang w:val="en-AU"/>
        </w:rPr>
        <w:instrText xml:space="preserve"> \* MERGEFORMAT </w:instrText>
      </w:r>
      <w:r w:rsidR="005E0B9E" w:rsidRPr="00E573E1">
        <w:rPr>
          <w:lang w:val="en-AU"/>
        </w:rPr>
        <w:fldChar w:fldCharType="separate"/>
      </w:r>
      <w:r w:rsidR="00960F91" w:rsidRPr="00E573E1">
        <w:rPr>
          <w:lang w:val="en-AU"/>
        </w:rPr>
        <w:t xml:space="preserve">Table </w:t>
      </w:r>
      <w:r w:rsidR="00960F91">
        <w:rPr>
          <w:noProof/>
          <w:lang w:val="en-AU"/>
        </w:rPr>
        <w:t>2</w:t>
      </w:r>
      <w:r w:rsidR="005E0B9E" w:rsidRPr="00E573E1">
        <w:rPr>
          <w:lang w:val="en-AU"/>
        </w:rPr>
        <w:fldChar w:fldCharType="end"/>
      </w:r>
      <w:r w:rsidR="00C2565D" w:rsidRPr="00E573E1">
        <w:rPr>
          <w:lang w:val="en-AU"/>
        </w:rPr>
        <w:t>.</w:t>
      </w:r>
      <w:r w:rsidR="00FC2978" w:rsidRPr="00E573E1">
        <w:rPr>
          <w:lang w:val="en-AU"/>
        </w:rPr>
        <w:t xml:space="preserve"> </w:t>
      </w:r>
      <w:r w:rsidR="005C2DEA" w:rsidRPr="00E573E1">
        <w:rPr>
          <w:lang w:val="en-AU"/>
        </w:rPr>
        <w:t xml:space="preserve">The safety results of </w:t>
      </w:r>
      <w:r w:rsidR="00CC479F" w:rsidRPr="00E573E1">
        <w:rPr>
          <w:lang w:val="en-AU"/>
        </w:rPr>
        <w:t xml:space="preserve">the </w:t>
      </w:r>
      <w:r w:rsidR="005C2DEA" w:rsidRPr="00E573E1">
        <w:rPr>
          <w:lang w:val="en-AU"/>
        </w:rPr>
        <w:t xml:space="preserve">individual studies (ETHOS, </w:t>
      </w:r>
      <w:r w:rsidR="00966710" w:rsidRPr="00E573E1">
        <w:rPr>
          <w:lang w:val="en-AU"/>
        </w:rPr>
        <w:t xml:space="preserve">KRONOS, </w:t>
      </w:r>
      <w:r w:rsidR="000B2CF0" w:rsidRPr="00E573E1">
        <w:rPr>
          <w:lang w:val="en-AU"/>
        </w:rPr>
        <w:t>PT010007 and PT010008)</w:t>
      </w:r>
      <w:r w:rsidR="005C2DEA" w:rsidRPr="00E573E1">
        <w:rPr>
          <w:lang w:val="en-AU"/>
        </w:rPr>
        <w:t xml:space="preserve"> and the pooled 24</w:t>
      </w:r>
      <w:r w:rsidR="000B2CF0" w:rsidRPr="00E573E1">
        <w:rPr>
          <w:lang w:val="en-AU"/>
        </w:rPr>
        <w:t>-</w:t>
      </w:r>
      <w:r w:rsidR="005C2DEA" w:rsidRPr="00E573E1">
        <w:rPr>
          <w:lang w:val="en-AU"/>
        </w:rPr>
        <w:t>Week Safety Populations</w:t>
      </w:r>
      <w:r w:rsidR="000B2CF0" w:rsidRPr="00E573E1">
        <w:rPr>
          <w:lang w:val="en-AU"/>
        </w:rPr>
        <w:t xml:space="preserve"> (ETHOS/KRONOS)</w:t>
      </w:r>
      <w:r w:rsidR="005C2DEA" w:rsidRPr="00E573E1">
        <w:rPr>
          <w:lang w:val="en-AU"/>
        </w:rPr>
        <w:t xml:space="preserve"> were generally consistent with the 52-week pooled safety population.</w:t>
      </w:r>
    </w:p>
    <w:p w14:paraId="7FE18AC3" w14:textId="0C37E735" w:rsidR="00C2565D" w:rsidRPr="00E573E1" w:rsidRDefault="00C2565D" w:rsidP="00C11150">
      <w:pPr>
        <w:pStyle w:val="TableTitle"/>
        <w:rPr>
          <w:color w:val="auto"/>
          <w:lang w:val="en-AU"/>
        </w:rPr>
      </w:pPr>
      <w:bookmarkStart w:id="14" w:name="_Ref478652716"/>
      <w:bookmarkStart w:id="15" w:name="_Ref504480194"/>
      <w:bookmarkStart w:id="16" w:name="_Ref39003851"/>
      <w:r w:rsidRPr="00E573E1">
        <w:rPr>
          <w:color w:val="auto"/>
          <w:lang w:val="en-AU"/>
        </w:rPr>
        <w:t xml:space="preserve">Table </w:t>
      </w:r>
      <w:bookmarkEnd w:id="14"/>
      <w:r w:rsidRPr="00E573E1">
        <w:rPr>
          <w:color w:val="auto"/>
          <w:lang w:val="en-AU"/>
        </w:rPr>
        <w:fldChar w:fldCharType="begin"/>
      </w:r>
      <w:r w:rsidRPr="00E573E1">
        <w:rPr>
          <w:color w:val="auto"/>
          <w:lang w:val="en-AU"/>
        </w:rPr>
        <w:instrText xml:space="preserve"> SEQ Table \* ARABIC </w:instrText>
      </w:r>
      <w:r w:rsidRPr="00E573E1">
        <w:rPr>
          <w:color w:val="auto"/>
          <w:lang w:val="en-AU"/>
        </w:rPr>
        <w:fldChar w:fldCharType="separate"/>
      </w:r>
      <w:r w:rsidR="00960F91">
        <w:rPr>
          <w:noProof/>
          <w:color w:val="auto"/>
          <w:lang w:val="en-AU"/>
        </w:rPr>
        <w:t>2</w:t>
      </w:r>
      <w:r w:rsidRPr="00E573E1">
        <w:rPr>
          <w:color w:val="auto"/>
          <w:lang w:val="en-AU"/>
        </w:rPr>
        <w:fldChar w:fldCharType="end"/>
      </w:r>
      <w:bookmarkEnd w:id="15"/>
      <w:r w:rsidRPr="00E573E1">
        <w:rPr>
          <w:color w:val="auto"/>
          <w:lang w:val="en-AU"/>
        </w:rPr>
        <w:tab/>
      </w:r>
      <w:bookmarkStart w:id="17" w:name="_Hlk508286353"/>
      <w:bookmarkStart w:id="18" w:name="_Hlk508798750"/>
      <w:r w:rsidR="00C731A4" w:rsidRPr="00E573E1">
        <w:rPr>
          <w:color w:val="auto"/>
          <w:lang w:val="en-AU"/>
        </w:rPr>
        <w:t>Treatment</w:t>
      </w:r>
      <w:r w:rsidR="00C72FB3" w:rsidRPr="00E573E1">
        <w:rPr>
          <w:color w:val="auto"/>
          <w:lang w:val="en-AU"/>
        </w:rPr>
        <w:t>-</w:t>
      </w:r>
      <w:r w:rsidR="00C731A4" w:rsidRPr="00E573E1">
        <w:rPr>
          <w:color w:val="auto"/>
          <w:lang w:val="en-AU"/>
        </w:rPr>
        <w:t>emergent a</w:t>
      </w:r>
      <w:r w:rsidRPr="00E573E1">
        <w:rPr>
          <w:color w:val="auto"/>
          <w:lang w:val="en-AU"/>
        </w:rPr>
        <w:t xml:space="preserve">dverse events </w:t>
      </w:r>
      <w:r w:rsidR="00C72FB3" w:rsidRPr="00E573E1">
        <w:rPr>
          <w:color w:val="auto"/>
          <w:lang w:val="en-AU"/>
        </w:rPr>
        <w:t xml:space="preserve">(all-causality) </w:t>
      </w:r>
      <w:r w:rsidRPr="00E573E1">
        <w:rPr>
          <w:color w:val="auto"/>
          <w:lang w:val="en-AU"/>
        </w:rPr>
        <w:t xml:space="preserve">reported in </w:t>
      </w:r>
      <w:r w:rsidR="00C608DE" w:rsidRPr="00E573E1">
        <w:rPr>
          <w:color w:val="auto"/>
          <w:lang w:val="en-AU"/>
        </w:rPr>
        <w:t>≥</w:t>
      </w:r>
      <w:r w:rsidR="005E0B9E" w:rsidRPr="00E573E1">
        <w:rPr>
          <w:color w:val="auto"/>
          <w:lang w:val="en-AU"/>
        </w:rPr>
        <w:t>2</w:t>
      </w:r>
      <w:r w:rsidRPr="00E573E1">
        <w:rPr>
          <w:color w:val="auto"/>
          <w:lang w:val="en-AU"/>
        </w:rPr>
        <w:t xml:space="preserve">% of patients </w:t>
      </w:r>
      <w:bookmarkEnd w:id="17"/>
      <w:r w:rsidR="003E574D" w:rsidRPr="00E573E1">
        <w:rPr>
          <w:color w:val="auto"/>
          <w:lang w:val="en-AU"/>
        </w:rPr>
        <w:t xml:space="preserve">receiving </w:t>
      </w:r>
      <w:r w:rsidR="00963165" w:rsidRPr="00E573E1">
        <w:rPr>
          <w:color w:val="auto"/>
          <w:lang w:val="en-AU"/>
        </w:rPr>
        <w:t xml:space="preserve">BREZTRI AEROSPHERE 160/7.2/5 </w:t>
      </w:r>
      <w:r w:rsidRPr="00E573E1">
        <w:rPr>
          <w:color w:val="auto"/>
          <w:lang w:val="en-AU"/>
        </w:rPr>
        <w:t>(</w:t>
      </w:r>
      <w:r w:rsidR="006C79A5" w:rsidRPr="00E573E1">
        <w:rPr>
          <w:color w:val="auto"/>
          <w:lang w:val="en-AU"/>
        </w:rPr>
        <w:t>ETHOS</w:t>
      </w:r>
      <w:r w:rsidR="00CC479F" w:rsidRPr="00E573E1">
        <w:rPr>
          <w:color w:val="auto"/>
          <w:lang w:val="en-AU"/>
        </w:rPr>
        <w:t xml:space="preserve"> and KRONOS follow-up studies PT010007/PT0100008 </w:t>
      </w:r>
      <w:r w:rsidR="005E0B9E" w:rsidRPr="00E573E1">
        <w:rPr>
          <w:color w:val="auto"/>
          <w:lang w:val="en-AU"/>
        </w:rPr>
        <w:t>52</w:t>
      </w:r>
      <w:r w:rsidR="006C79A5" w:rsidRPr="00E573E1">
        <w:rPr>
          <w:color w:val="auto"/>
          <w:lang w:val="en-AU"/>
        </w:rPr>
        <w:t>-week</w:t>
      </w:r>
      <w:r w:rsidRPr="00E573E1">
        <w:rPr>
          <w:color w:val="auto"/>
          <w:lang w:val="en-AU"/>
        </w:rPr>
        <w:t xml:space="preserve"> pooled safety populations</w:t>
      </w:r>
      <w:r w:rsidR="003E574D" w:rsidRPr="00E573E1">
        <w:rPr>
          <w:color w:val="auto"/>
          <w:lang w:val="en-AU"/>
        </w:rPr>
        <w:t xml:space="preserve"> – double blind treatment groups only</w:t>
      </w:r>
      <w:r w:rsidRPr="00E573E1">
        <w:rPr>
          <w:color w:val="auto"/>
          <w:lang w:val="en-AU"/>
        </w:rPr>
        <w:t>)</w:t>
      </w:r>
      <w:bookmarkEnd w:id="16"/>
      <w:bookmarkEnd w:id="18"/>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lt;&lt;Please Add a Table Title Here&gt;&gt;"/>
      </w:tblPr>
      <w:tblGrid>
        <w:gridCol w:w="2830"/>
        <w:gridCol w:w="2694"/>
        <w:gridCol w:w="2551"/>
        <w:gridCol w:w="1559"/>
      </w:tblGrid>
      <w:tr w:rsidR="0009282C" w:rsidRPr="00E573E1" w14:paraId="0DC64199" w14:textId="77777777" w:rsidTr="0009282C">
        <w:trPr>
          <w:cantSplit/>
          <w:tblHeader/>
        </w:trPr>
        <w:tc>
          <w:tcPr>
            <w:tcW w:w="2830" w:type="dxa"/>
            <w:vMerge w:val="restart"/>
            <w:tcBorders>
              <w:top w:val="single" w:sz="4" w:space="0" w:color="auto"/>
              <w:left w:val="single" w:sz="4" w:space="0" w:color="auto"/>
              <w:right w:val="single" w:sz="4" w:space="0" w:color="auto"/>
            </w:tcBorders>
            <w:vAlign w:val="bottom"/>
          </w:tcPr>
          <w:p w14:paraId="0A95514E" w14:textId="3C5AC640" w:rsidR="0009282C" w:rsidRPr="00E573E1" w:rsidRDefault="0009282C" w:rsidP="00C11150">
            <w:pPr>
              <w:pStyle w:val="TableHead"/>
              <w:spacing w:line="276" w:lineRule="auto"/>
              <w:jc w:val="left"/>
              <w:rPr>
                <w:lang w:val="en-AU"/>
              </w:rPr>
            </w:pPr>
            <w:r w:rsidRPr="00E573E1">
              <w:rPr>
                <w:lang w:val="en-AU"/>
              </w:rPr>
              <w:t>MedDRA preferred term</w:t>
            </w:r>
          </w:p>
        </w:tc>
        <w:tc>
          <w:tcPr>
            <w:tcW w:w="6804" w:type="dxa"/>
            <w:gridSpan w:val="3"/>
            <w:tcBorders>
              <w:top w:val="single" w:sz="4" w:space="0" w:color="auto"/>
              <w:left w:val="single" w:sz="4" w:space="0" w:color="auto"/>
              <w:bottom w:val="single" w:sz="4" w:space="0" w:color="auto"/>
              <w:right w:val="single" w:sz="4" w:space="0" w:color="auto"/>
            </w:tcBorders>
          </w:tcPr>
          <w:p w14:paraId="1D5CD78F" w14:textId="0CA9063E" w:rsidR="0009282C" w:rsidRPr="00E573E1" w:rsidRDefault="006A7212" w:rsidP="00C11150">
            <w:pPr>
              <w:pStyle w:val="TableHead"/>
              <w:spacing w:line="276" w:lineRule="auto"/>
              <w:jc w:val="left"/>
              <w:rPr>
                <w:lang w:val="en-AU"/>
              </w:rPr>
            </w:pPr>
            <w:r>
              <w:rPr>
                <w:lang w:val="en-AU"/>
              </w:rPr>
              <w:t>P</w:t>
            </w:r>
            <w:r w:rsidR="0009282C" w:rsidRPr="00E573E1">
              <w:rPr>
                <w:lang w:val="en-AU"/>
              </w:rPr>
              <w:t>atients</w:t>
            </w:r>
            <w:r>
              <w:rPr>
                <w:lang w:val="en-AU"/>
              </w:rPr>
              <w:t xml:space="preserve"> (%)</w:t>
            </w:r>
          </w:p>
        </w:tc>
      </w:tr>
      <w:tr w:rsidR="002A768E" w:rsidRPr="00E573E1" w14:paraId="70C6B370" w14:textId="77777777" w:rsidTr="002A768E">
        <w:trPr>
          <w:cantSplit/>
          <w:tblHeader/>
        </w:trPr>
        <w:tc>
          <w:tcPr>
            <w:tcW w:w="2830" w:type="dxa"/>
            <w:vMerge/>
            <w:tcBorders>
              <w:left w:val="single" w:sz="4" w:space="0" w:color="auto"/>
              <w:right w:val="single" w:sz="4" w:space="0" w:color="auto"/>
            </w:tcBorders>
            <w:hideMark/>
          </w:tcPr>
          <w:p w14:paraId="09CF4A5A" w14:textId="16F47C8C" w:rsidR="002A768E" w:rsidRPr="00E573E1" w:rsidRDefault="002A768E" w:rsidP="00C11150">
            <w:pPr>
              <w:pStyle w:val="TableHead"/>
              <w:spacing w:line="276" w:lineRule="auto"/>
              <w:jc w:val="left"/>
              <w:rPr>
                <w:lang w:val="en-AU"/>
              </w:rPr>
            </w:pPr>
          </w:p>
        </w:tc>
        <w:tc>
          <w:tcPr>
            <w:tcW w:w="2694" w:type="dxa"/>
            <w:tcBorders>
              <w:top w:val="single" w:sz="4" w:space="0" w:color="auto"/>
              <w:left w:val="single" w:sz="4" w:space="0" w:color="auto"/>
              <w:bottom w:val="nil"/>
              <w:right w:val="single" w:sz="4" w:space="0" w:color="auto"/>
            </w:tcBorders>
            <w:hideMark/>
          </w:tcPr>
          <w:p w14:paraId="706401E9" w14:textId="779049C5" w:rsidR="002A768E" w:rsidRPr="00E573E1" w:rsidRDefault="002A768E" w:rsidP="00C11150">
            <w:pPr>
              <w:pStyle w:val="TableHead"/>
              <w:spacing w:line="276" w:lineRule="auto"/>
              <w:jc w:val="left"/>
              <w:rPr>
                <w:lang w:val="en-AU"/>
              </w:rPr>
            </w:pPr>
            <w:r w:rsidRPr="00E573E1">
              <w:rPr>
                <w:lang w:val="en-AU"/>
              </w:rPr>
              <w:t>BREZTRI AEROSPHERE 160/7.2/5</w:t>
            </w:r>
          </w:p>
        </w:tc>
        <w:tc>
          <w:tcPr>
            <w:tcW w:w="2551" w:type="dxa"/>
            <w:tcBorders>
              <w:top w:val="single" w:sz="4" w:space="0" w:color="auto"/>
              <w:left w:val="single" w:sz="4" w:space="0" w:color="auto"/>
              <w:bottom w:val="nil"/>
              <w:right w:val="single" w:sz="4" w:space="0" w:color="auto"/>
            </w:tcBorders>
            <w:hideMark/>
          </w:tcPr>
          <w:p w14:paraId="66F58B38" w14:textId="1C44452B" w:rsidR="002A768E" w:rsidRPr="00E573E1" w:rsidRDefault="0092168E" w:rsidP="00C11150">
            <w:pPr>
              <w:pStyle w:val="TableHead"/>
              <w:spacing w:line="276" w:lineRule="auto"/>
              <w:jc w:val="left"/>
              <w:rPr>
                <w:lang w:val="en-AU"/>
              </w:rPr>
            </w:pPr>
            <w:r>
              <w:rPr>
                <w:lang w:val="en-AU"/>
              </w:rPr>
              <w:t>GFF MDI</w:t>
            </w:r>
            <w:r w:rsidR="002A768E" w:rsidRPr="00E573E1">
              <w:rPr>
                <w:lang w:val="en-AU"/>
              </w:rPr>
              <w:t xml:space="preserve"> 7.2/5</w:t>
            </w:r>
          </w:p>
        </w:tc>
        <w:tc>
          <w:tcPr>
            <w:tcW w:w="1559" w:type="dxa"/>
            <w:tcBorders>
              <w:top w:val="single" w:sz="4" w:space="0" w:color="auto"/>
              <w:left w:val="single" w:sz="4" w:space="0" w:color="auto"/>
              <w:bottom w:val="nil"/>
              <w:right w:val="single" w:sz="4" w:space="0" w:color="auto"/>
            </w:tcBorders>
            <w:hideMark/>
          </w:tcPr>
          <w:p w14:paraId="74EADA54" w14:textId="615B0942" w:rsidR="002A768E" w:rsidRPr="00E573E1" w:rsidRDefault="002A768E" w:rsidP="00C11150">
            <w:pPr>
              <w:pStyle w:val="TableHead"/>
              <w:spacing w:line="276" w:lineRule="auto"/>
              <w:jc w:val="left"/>
              <w:rPr>
                <w:lang w:val="en-AU"/>
              </w:rPr>
            </w:pPr>
            <w:r w:rsidRPr="00E573E1">
              <w:rPr>
                <w:lang w:val="en-AU"/>
              </w:rPr>
              <w:t>BFF MDI 160/5</w:t>
            </w:r>
          </w:p>
        </w:tc>
      </w:tr>
      <w:tr w:rsidR="002A768E" w:rsidRPr="00E573E1" w14:paraId="5DEC109F" w14:textId="77777777" w:rsidTr="002A768E">
        <w:trPr>
          <w:cantSplit/>
          <w:tblHeader/>
        </w:trPr>
        <w:tc>
          <w:tcPr>
            <w:tcW w:w="2830" w:type="dxa"/>
            <w:vMerge/>
            <w:tcBorders>
              <w:left w:val="single" w:sz="4" w:space="0" w:color="auto"/>
              <w:bottom w:val="single" w:sz="4" w:space="0" w:color="auto"/>
              <w:right w:val="single" w:sz="4" w:space="0" w:color="auto"/>
            </w:tcBorders>
            <w:vAlign w:val="center"/>
            <w:hideMark/>
          </w:tcPr>
          <w:p w14:paraId="11DEB152" w14:textId="77777777" w:rsidR="002A768E" w:rsidRPr="00E573E1" w:rsidRDefault="002A768E" w:rsidP="00C11150">
            <w:pPr>
              <w:spacing w:after="0"/>
              <w:rPr>
                <w:b/>
                <w:sz w:val="20"/>
                <w:szCs w:val="48"/>
                <w:lang w:val="en-AU"/>
              </w:rPr>
            </w:pPr>
          </w:p>
        </w:tc>
        <w:tc>
          <w:tcPr>
            <w:tcW w:w="2694" w:type="dxa"/>
            <w:tcBorders>
              <w:top w:val="nil"/>
              <w:left w:val="single" w:sz="4" w:space="0" w:color="auto"/>
              <w:bottom w:val="single" w:sz="4" w:space="0" w:color="auto"/>
              <w:right w:val="single" w:sz="4" w:space="0" w:color="auto"/>
            </w:tcBorders>
            <w:hideMark/>
          </w:tcPr>
          <w:p w14:paraId="27456457" w14:textId="1FAEDC73" w:rsidR="002A768E" w:rsidRPr="00E573E1" w:rsidRDefault="002A768E" w:rsidP="00C11150">
            <w:pPr>
              <w:pStyle w:val="TableHead"/>
              <w:spacing w:line="276" w:lineRule="auto"/>
              <w:jc w:val="left"/>
              <w:rPr>
                <w:lang w:val="en-AU"/>
              </w:rPr>
            </w:pPr>
            <w:r w:rsidRPr="00E573E1">
              <w:rPr>
                <w:lang w:val="en-AU"/>
              </w:rPr>
              <w:t>(N=2477)</w:t>
            </w:r>
          </w:p>
        </w:tc>
        <w:tc>
          <w:tcPr>
            <w:tcW w:w="2551" w:type="dxa"/>
            <w:tcBorders>
              <w:top w:val="nil"/>
              <w:left w:val="single" w:sz="4" w:space="0" w:color="auto"/>
              <w:bottom w:val="single" w:sz="4" w:space="0" w:color="auto"/>
              <w:right w:val="single" w:sz="4" w:space="0" w:color="auto"/>
            </w:tcBorders>
            <w:hideMark/>
          </w:tcPr>
          <w:p w14:paraId="77840236" w14:textId="51A25F10" w:rsidR="002A768E" w:rsidRPr="00E573E1" w:rsidRDefault="002A768E" w:rsidP="00C11150">
            <w:pPr>
              <w:pStyle w:val="TableHead"/>
              <w:spacing w:line="276" w:lineRule="auto"/>
              <w:jc w:val="left"/>
              <w:rPr>
                <w:lang w:val="en-AU"/>
              </w:rPr>
            </w:pPr>
            <w:r w:rsidRPr="00E573E1">
              <w:rPr>
                <w:lang w:val="en-AU"/>
              </w:rPr>
              <w:t>(N=2437)</w:t>
            </w:r>
          </w:p>
        </w:tc>
        <w:tc>
          <w:tcPr>
            <w:tcW w:w="1559" w:type="dxa"/>
            <w:tcBorders>
              <w:top w:val="nil"/>
              <w:left w:val="single" w:sz="4" w:space="0" w:color="auto"/>
              <w:bottom w:val="single" w:sz="4" w:space="0" w:color="auto"/>
              <w:right w:val="single" w:sz="4" w:space="0" w:color="auto"/>
            </w:tcBorders>
            <w:hideMark/>
          </w:tcPr>
          <w:p w14:paraId="1E55D57E" w14:textId="1437A35E" w:rsidR="002A768E" w:rsidRPr="00E573E1" w:rsidRDefault="002A768E" w:rsidP="00C11150">
            <w:pPr>
              <w:pStyle w:val="TableHead"/>
              <w:spacing w:line="276" w:lineRule="auto"/>
              <w:jc w:val="left"/>
              <w:rPr>
                <w:lang w:val="en-AU"/>
              </w:rPr>
            </w:pPr>
            <w:r w:rsidRPr="00E573E1">
              <w:rPr>
                <w:lang w:val="en-AU"/>
              </w:rPr>
              <w:t>(N=2294)</w:t>
            </w:r>
          </w:p>
        </w:tc>
      </w:tr>
      <w:tr w:rsidR="002A768E" w:rsidRPr="00E573E1" w14:paraId="3BD6A6E0" w14:textId="77777777" w:rsidTr="002A768E">
        <w:trPr>
          <w:cantSplit/>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6E3FD9BC" w14:textId="07B3DEDD" w:rsidR="002A768E" w:rsidRPr="00E573E1" w:rsidRDefault="002A768E" w:rsidP="00C11150">
            <w:pPr>
              <w:pStyle w:val="TableLeft"/>
              <w:spacing w:line="276" w:lineRule="auto"/>
              <w:rPr>
                <w:lang w:val="en-AU"/>
              </w:rPr>
            </w:pPr>
            <w:r w:rsidRPr="00E573E1">
              <w:rPr>
                <w:rFonts w:eastAsiaTheme="minorHAnsi"/>
                <w:lang w:val="en-AU"/>
              </w:rPr>
              <w:t xml:space="preserve">Nasopharyngitis </w:t>
            </w:r>
          </w:p>
        </w:tc>
        <w:tc>
          <w:tcPr>
            <w:tcW w:w="2694" w:type="dxa"/>
            <w:tcBorders>
              <w:top w:val="single" w:sz="4" w:space="0" w:color="auto"/>
              <w:left w:val="single" w:sz="4" w:space="0" w:color="auto"/>
              <w:bottom w:val="single" w:sz="4" w:space="0" w:color="auto"/>
              <w:right w:val="single" w:sz="4" w:space="0" w:color="auto"/>
            </w:tcBorders>
          </w:tcPr>
          <w:p w14:paraId="2290E075" w14:textId="72B1A556" w:rsidR="002A768E" w:rsidRPr="00E573E1" w:rsidRDefault="002A768E" w:rsidP="00C11150">
            <w:pPr>
              <w:pStyle w:val="TableCenter"/>
              <w:jc w:val="left"/>
              <w:rPr>
                <w:lang w:val="en-AU"/>
              </w:rPr>
            </w:pPr>
            <w:r w:rsidRPr="00E573E1">
              <w:rPr>
                <w:lang w:val="en-AU"/>
              </w:rPr>
              <w:t xml:space="preserve">11.4 </w:t>
            </w:r>
          </w:p>
        </w:tc>
        <w:tc>
          <w:tcPr>
            <w:tcW w:w="2551" w:type="dxa"/>
            <w:tcBorders>
              <w:top w:val="single" w:sz="4" w:space="0" w:color="auto"/>
              <w:left w:val="single" w:sz="4" w:space="0" w:color="auto"/>
              <w:bottom w:val="single" w:sz="4" w:space="0" w:color="auto"/>
              <w:right w:val="single" w:sz="4" w:space="0" w:color="auto"/>
            </w:tcBorders>
          </w:tcPr>
          <w:p w14:paraId="2F039056" w14:textId="1B0CE4F5" w:rsidR="002A768E" w:rsidRPr="00E573E1" w:rsidRDefault="002A768E" w:rsidP="00C11150">
            <w:pPr>
              <w:pStyle w:val="TableCenter"/>
              <w:jc w:val="left"/>
              <w:rPr>
                <w:lang w:val="en-AU"/>
              </w:rPr>
            </w:pPr>
            <w:r w:rsidRPr="00E573E1">
              <w:rPr>
                <w:lang w:val="en-AU"/>
              </w:rPr>
              <w:t>10.3</w:t>
            </w:r>
          </w:p>
        </w:tc>
        <w:tc>
          <w:tcPr>
            <w:tcW w:w="1559" w:type="dxa"/>
            <w:tcBorders>
              <w:top w:val="single" w:sz="4" w:space="0" w:color="auto"/>
              <w:left w:val="single" w:sz="4" w:space="0" w:color="auto"/>
              <w:bottom w:val="single" w:sz="4" w:space="0" w:color="auto"/>
              <w:right w:val="single" w:sz="4" w:space="0" w:color="auto"/>
            </w:tcBorders>
          </w:tcPr>
          <w:p w14:paraId="36C4ED76" w14:textId="2F55E574" w:rsidR="002A768E" w:rsidRPr="00E573E1" w:rsidRDefault="002A768E" w:rsidP="00C11150">
            <w:pPr>
              <w:pStyle w:val="TableCenter"/>
              <w:jc w:val="left"/>
              <w:rPr>
                <w:lang w:val="en-AU"/>
              </w:rPr>
            </w:pPr>
            <w:r w:rsidRPr="00E573E1">
              <w:rPr>
                <w:lang w:val="en-AU"/>
              </w:rPr>
              <w:t>11.5</w:t>
            </w:r>
          </w:p>
        </w:tc>
      </w:tr>
      <w:tr w:rsidR="002A768E" w:rsidRPr="00E573E1" w14:paraId="59B162C5" w14:textId="77777777" w:rsidTr="002A768E">
        <w:trPr>
          <w:cantSplit/>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6E98C617" w14:textId="5BFAA2C2" w:rsidR="002A768E" w:rsidRPr="00E573E1" w:rsidRDefault="002A768E" w:rsidP="00C11150">
            <w:pPr>
              <w:pStyle w:val="TableLeft"/>
              <w:spacing w:line="276" w:lineRule="auto"/>
              <w:rPr>
                <w:rFonts w:eastAsiaTheme="minorHAnsi"/>
                <w:lang w:val="en-AU"/>
              </w:rPr>
            </w:pPr>
            <w:r w:rsidRPr="00E573E1">
              <w:rPr>
                <w:rFonts w:eastAsiaTheme="minorHAnsi"/>
                <w:lang w:val="en-AU"/>
              </w:rPr>
              <w:t>COPD</w:t>
            </w:r>
          </w:p>
        </w:tc>
        <w:tc>
          <w:tcPr>
            <w:tcW w:w="2694" w:type="dxa"/>
            <w:tcBorders>
              <w:top w:val="single" w:sz="4" w:space="0" w:color="auto"/>
              <w:left w:val="single" w:sz="4" w:space="0" w:color="auto"/>
              <w:bottom w:val="single" w:sz="4" w:space="0" w:color="auto"/>
              <w:right w:val="single" w:sz="4" w:space="0" w:color="auto"/>
            </w:tcBorders>
          </w:tcPr>
          <w:p w14:paraId="75F44EF2" w14:textId="7328B1B2" w:rsidR="002A768E" w:rsidRPr="00E573E1" w:rsidRDefault="002A768E" w:rsidP="00C11150">
            <w:pPr>
              <w:pStyle w:val="TableCenter"/>
              <w:jc w:val="left"/>
              <w:rPr>
                <w:lang w:val="en-AU"/>
              </w:rPr>
            </w:pPr>
            <w:r w:rsidRPr="00E573E1">
              <w:rPr>
                <w:lang w:val="en-AU"/>
              </w:rPr>
              <w:t>9.0</w:t>
            </w:r>
          </w:p>
        </w:tc>
        <w:tc>
          <w:tcPr>
            <w:tcW w:w="2551" w:type="dxa"/>
            <w:tcBorders>
              <w:top w:val="single" w:sz="4" w:space="0" w:color="auto"/>
              <w:left w:val="single" w:sz="4" w:space="0" w:color="auto"/>
              <w:bottom w:val="single" w:sz="4" w:space="0" w:color="auto"/>
              <w:right w:val="single" w:sz="4" w:space="0" w:color="auto"/>
            </w:tcBorders>
          </w:tcPr>
          <w:p w14:paraId="790BBBEB" w14:textId="600D5369" w:rsidR="002A768E" w:rsidRPr="00E573E1" w:rsidRDefault="002A768E" w:rsidP="00C11150">
            <w:pPr>
              <w:pStyle w:val="TableCenter"/>
              <w:jc w:val="left"/>
              <w:rPr>
                <w:lang w:val="en-AU"/>
              </w:rPr>
            </w:pPr>
            <w:r w:rsidRPr="00E573E1">
              <w:rPr>
                <w:lang w:val="en-AU"/>
              </w:rPr>
              <w:t xml:space="preserve">9.8 </w:t>
            </w:r>
          </w:p>
        </w:tc>
        <w:tc>
          <w:tcPr>
            <w:tcW w:w="1559" w:type="dxa"/>
            <w:tcBorders>
              <w:top w:val="single" w:sz="4" w:space="0" w:color="auto"/>
              <w:left w:val="single" w:sz="4" w:space="0" w:color="auto"/>
              <w:bottom w:val="single" w:sz="4" w:space="0" w:color="auto"/>
              <w:right w:val="single" w:sz="4" w:space="0" w:color="auto"/>
            </w:tcBorders>
          </w:tcPr>
          <w:p w14:paraId="5235169D" w14:textId="65386A20" w:rsidR="002A768E" w:rsidRPr="00E573E1" w:rsidRDefault="002A768E" w:rsidP="00C11150">
            <w:pPr>
              <w:pStyle w:val="TableCenter"/>
              <w:jc w:val="left"/>
              <w:rPr>
                <w:lang w:val="en-AU"/>
              </w:rPr>
            </w:pPr>
            <w:r w:rsidRPr="00E573E1">
              <w:rPr>
                <w:lang w:val="en-AU"/>
              </w:rPr>
              <w:t>10.7</w:t>
            </w:r>
          </w:p>
        </w:tc>
      </w:tr>
      <w:tr w:rsidR="002A768E" w:rsidRPr="00E573E1" w14:paraId="3BBA4ADD" w14:textId="77777777" w:rsidTr="002A768E">
        <w:trPr>
          <w:cantSplit/>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44469966" w14:textId="00F335C9" w:rsidR="002A768E" w:rsidRPr="00E573E1" w:rsidRDefault="002A768E" w:rsidP="00C11150">
            <w:pPr>
              <w:pStyle w:val="TableLeft"/>
              <w:spacing w:line="276" w:lineRule="auto"/>
              <w:rPr>
                <w:lang w:val="en-AU"/>
              </w:rPr>
            </w:pPr>
            <w:r w:rsidRPr="00E573E1">
              <w:rPr>
                <w:lang w:val="en-AU"/>
              </w:rPr>
              <w:t>Upper respiratory tract infection</w:t>
            </w:r>
          </w:p>
        </w:tc>
        <w:tc>
          <w:tcPr>
            <w:tcW w:w="2694" w:type="dxa"/>
            <w:tcBorders>
              <w:top w:val="single" w:sz="4" w:space="0" w:color="auto"/>
              <w:left w:val="single" w:sz="4" w:space="0" w:color="auto"/>
              <w:bottom w:val="single" w:sz="4" w:space="0" w:color="auto"/>
              <w:right w:val="single" w:sz="4" w:space="0" w:color="auto"/>
            </w:tcBorders>
          </w:tcPr>
          <w:p w14:paraId="6377BEA3" w14:textId="47735FA0" w:rsidR="002A768E" w:rsidRPr="00E573E1" w:rsidRDefault="002A768E" w:rsidP="00C11150">
            <w:pPr>
              <w:pStyle w:val="TableCenter"/>
              <w:jc w:val="left"/>
              <w:rPr>
                <w:lang w:val="en-AU"/>
              </w:rPr>
            </w:pPr>
            <w:r w:rsidRPr="00E573E1">
              <w:rPr>
                <w:lang w:val="en-AU"/>
              </w:rPr>
              <w:t xml:space="preserve">6.1 </w:t>
            </w:r>
          </w:p>
        </w:tc>
        <w:tc>
          <w:tcPr>
            <w:tcW w:w="2551" w:type="dxa"/>
            <w:tcBorders>
              <w:top w:val="single" w:sz="4" w:space="0" w:color="auto"/>
              <w:left w:val="single" w:sz="4" w:space="0" w:color="auto"/>
              <w:bottom w:val="single" w:sz="4" w:space="0" w:color="auto"/>
              <w:right w:val="single" w:sz="4" w:space="0" w:color="auto"/>
            </w:tcBorders>
          </w:tcPr>
          <w:p w14:paraId="43343AD6" w14:textId="15A2FEA8" w:rsidR="002A768E" w:rsidRPr="00E573E1" w:rsidRDefault="002A768E" w:rsidP="00C11150">
            <w:pPr>
              <w:pStyle w:val="TableCenter"/>
              <w:jc w:val="left"/>
              <w:rPr>
                <w:lang w:val="en-AU"/>
              </w:rPr>
            </w:pPr>
            <w:r w:rsidRPr="00E573E1">
              <w:rPr>
                <w:lang w:val="en-AU"/>
              </w:rPr>
              <w:t xml:space="preserve">5.3 </w:t>
            </w:r>
          </w:p>
        </w:tc>
        <w:tc>
          <w:tcPr>
            <w:tcW w:w="1559" w:type="dxa"/>
            <w:tcBorders>
              <w:top w:val="single" w:sz="4" w:space="0" w:color="auto"/>
              <w:left w:val="single" w:sz="4" w:space="0" w:color="auto"/>
              <w:bottom w:val="single" w:sz="4" w:space="0" w:color="auto"/>
              <w:right w:val="single" w:sz="4" w:space="0" w:color="auto"/>
            </w:tcBorders>
          </w:tcPr>
          <w:p w14:paraId="45C1ED52" w14:textId="6D8DA4C8" w:rsidR="002A768E" w:rsidRPr="00E573E1" w:rsidRDefault="002A768E" w:rsidP="00C11150">
            <w:pPr>
              <w:pStyle w:val="TableCenter"/>
              <w:jc w:val="left"/>
              <w:rPr>
                <w:lang w:val="en-AU"/>
              </w:rPr>
            </w:pPr>
            <w:r w:rsidRPr="00E573E1">
              <w:rPr>
                <w:lang w:val="en-AU"/>
              </w:rPr>
              <w:t>5.3</w:t>
            </w:r>
          </w:p>
        </w:tc>
      </w:tr>
      <w:tr w:rsidR="002A768E" w:rsidRPr="00E573E1" w14:paraId="3C5F1AD8" w14:textId="77777777" w:rsidTr="002A768E">
        <w:trPr>
          <w:cantSplit/>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C4405CE" w14:textId="008B13F1" w:rsidR="002A768E" w:rsidRPr="00E573E1" w:rsidRDefault="002A768E" w:rsidP="00C11150">
            <w:pPr>
              <w:pStyle w:val="TableLeft"/>
              <w:spacing w:line="276" w:lineRule="auto"/>
              <w:rPr>
                <w:lang w:val="en-AU"/>
              </w:rPr>
            </w:pPr>
            <w:proofErr w:type="spellStart"/>
            <w:r w:rsidRPr="00E573E1">
              <w:rPr>
                <w:lang w:val="en-AU"/>
              </w:rPr>
              <w:t>Pneumonia</w:t>
            </w:r>
            <w:r w:rsidRPr="00E573E1">
              <w:rPr>
                <w:rFonts w:eastAsiaTheme="minorHAnsi"/>
                <w:vertAlign w:val="superscript"/>
                <w:lang w:val="en-AU"/>
              </w:rPr>
              <w:t>a</w:t>
            </w:r>
            <w:proofErr w:type="spellEnd"/>
            <w:r w:rsidRPr="00E573E1">
              <w:rPr>
                <w:rFonts w:eastAsiaTheme="minorHAnsi"/>
                <w:vertAlign w:val="superscript"/>
                <w:lang w:val="en-AU"/>
              </w:rPr>
              <w:t>, b</w:t>
            </w:r>
          </w:p>
        </w:tc>
        <w:tc>
          <w:tcPr>
            <w:tcW w:w="2694" w:type="dxa"/>
            <w:tcBorders>
              <w:top w:val="single" w:sz="4" w:space="0" w:color="auto"/>
              <w:left w:val="single" w:sz="4" w:space="0" w:color="auto"/>
              <w:bottom w:val="single" w:sz="4" w:space="0" w:color="auto"/>
              <w:right w:val="single" w:sz="4" w:space="0" w:color="auto"/>
            </w:tcBorders>
          </w:tcPr>
          <w:p w14:paraId="689F8494" w14:textId="54B1E901" w:rsidR="002A768E" w:rsidRPr="00E573E1" w:rsidRDefault="002A768E" w:rsidP="00C11150">
            <w:pPr>
              <w:pStyle w:val="TableCenter"/>
              <w:jc w:val="left"/>
              <w:rPr>
                <w:lang w:val="en-AU"/>
              </w:rPr>
            </w:pPr>
            <w:r w:rsidRPr="00E573E1">
              <w:rPr>
                <w:lang w:val="en-AU"/>
              </w:rPr>
              <w:t xml:space="preserve">4.7 </w:t>
            </w:r>
          </w:p>
        </w:tc>
        <w:tc>
          <w:tcPr>
            <w:tcW w:w="2551" w:type="dxa"/>
            <w:tcBorders>
              <w:top w:val="single" w:sz="4" w:space="0" w:color="auto"/>
              <w:left w:val="single" w:sz="4" w:space="0" w:color="auto"/>
              <w:bottom w:val="single" w:sz="4" w:space="0" w:color="auto"/>
              <w:right w:val="single" w:sz="4" w:space="0" w:color="auto"/>
            </w:tcBorders>
          </w:tcPr>
          <w:p w14:paraId="121B3E25" w14:textId="0C5D2F3F" w:rsidR="002A768E" w:rsidRPr="00E573E1" w:rsidRDefault="002A768E" w:rsidP="00C11150">
            <w:pPr>
              <w:pStyle w:val="TableCenter"/>
              <w:jc w:val="left"/>
              <w:rPr>
                <w:lang w:val="en-AU"/>
              </w:rPr>
            </w:pPr>
            <w:r w:rsidRPr="00E573E1">
              <w:rPr>
                <w:lang w:val="en-AU"/>
              </w:rPr>
              <w:t xml:space="preserve">3.0 </w:t>
            </w:r>
          </w:p>
        </w:tc>
        <w:tc>
          <w:tcPr>
            <w:tcW w:w="1559" w:type="dxa"/>
            <w:tcBorders>
              <w:top w:val="single" w:sz="4" w:space="0" w:color="auto"/>
              <w:left w:val="single" w:sz="4" w:space="0" w:color="auto"/>
              <w:bottom w:val="single" w:sz="4" w:space="0" w:color="auto"/>
              <w:right w:val="single" w:sz="4" w:space="0" w:color="auto"/>
            </w:tcBorders>
          </w:tcPr>
          <w:p w14:paraId="3A2BC631" w14:textId="4F9102FB" w:rsidR="002A768E" w:rsidRPr="00E573E1" w:rsidRDefault="002A768E" w:rsidP="00C11150">
            <w:pPr>
              <w:pStyle w:val="TableCenter"/>
              <w:jc w:val="left"/>
              <w:rPr>
                <w:lang w:val="en-AU"/>
              </w:rPr>
            </w:pPr>
            <w:r w:rsidRPr="00E573E1">
              <w:rPr>
                <w:lang w:val="en-AU"/>
              </w:rPr>
              <w:t>4.9</w:t>
            </w:r>
          </w:p>
        </w:tc>
      </w:tr>
      <w:tr w:rsidR="002A768E" w:rsidRPr="00E573E1" w14:paraId="03357788" w14:textId="77777777" w:rsidTr="002A768E">
        <w:trPr>
          <w:cantSplit/>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04E27BD" w14:textId="77777777" w:rsidR="002A768E" w:rsidRPr="00E573E1" w:rsidRDefault="002A768E" w:rsidP="00C11150">
            <w:pPr>
              <w:pStyle w:val="TableLeft"/>
              <w:spacing w:line="276" w:lineRule="auto"/>
              <w:rPr>
                <w:lang w:val="en-AU"/>
              </w:rPr>
            </w:pPr>
            <w:r w:rsidRPr="00E573E1">
              <w:rPr>
                <w:lang w:val="en-AU"/>
              </w:rPr>
              <w:t>Bronchitis</w:t>
            </w:r>
          </w:p>
        </w:tc>
        <w:tc>
          <w:tcPr>
            <w:tcW w:w="2694" w:type="dxa"/>
            <w:tcBorders>
              <w:top w:val="single" w:sz="4" w:space="0" w:color="auto"/>
              <w:left w:val="single" w:sz="4" w:space="0" w:color="auto"/>
              <w:bottom w:val="single" w:sz="4" w:space="0" w:color="auto"/>
              <w:right w:val="single" w:sz="4" w:space="0" w:color="auto"/>
            </w:tcBorders>
          </w:tcPr>
          <w:p w14:paraId="11575FE5" w14:textId="7E64903B" w:rsidR="002A768E" w:rsidRPr="00E573E1" w:rsidRDefault="002A768E" w:rsidP="00C11150">
            <w:pPr>
              <w:pStyle w:val="TableCenter"/>
              <w:jc w:val="left"/>
              <w:rPr>
                <w:lang w:val="en-AU"/>
              </w:rPr>
            </w:pPr>
            <w:r w:rsidRPr="00E573E1">
              <w:rPr>
                <w:lang w:val="en-AU"/>
              </w:rPr>
              <w:t xml:space="preserve">3.8 </w:t>
            </w:r>
          </w:p>
        </w:tc>
        <w:tc>
          <w:tcPr>
            <w:tcW w:w="2551" w:type="dxa"/>
            <w:tcBorders>
              <w:top w:val="single" w:sz="4" w:space="0" w:color="auto"/>
              <w:left w:val="single" w:sz="4" w:space="0" w:color="auto"/>
              <w:bottom w:val="single" w:sz="4" w:space="0" w:color="auto"/>
              <w:right w:val="single" w:sz="4" w:space="0" w:color="auto"/>
            </w:tcBorders>
          </w:tcPr>
          <w:p w14:paraId="76501420" w14:textId="180D4EF4" w:rsidR="002A768E" w:rsidRPr="00E573E1" w:rsidRDefault="002A768E" w:rsidP="00C11150">
            <w:pPr>
              <w:pStyle w:val="TableCenter"/>
              <w:jc w:val="left"/>
              <w:rPr>
                <w:lang w:val="en-AU"/>
              </w:rPr>
            </w:pPr>
            <w:r w:rsidRPr="00E573E1">
              <w:rPr>
                <w:lang w:val="en-AU"/>
              </w:rPr>
              <w:t xml:space="preserve">3.9 </w:t>
            </w:r>
          </w:p>
        </w:tc>
        <w:tc>
          <w:tcPr>
            <w:tcW w:w="1559" w:type="dxa"/>
            <w:tcBorders>
              <w:top w:val="single" w:sz="4" w:space="0" w:color="auto"/>
              <w:left w:val="single" w:sz="4" w:space="0" w:color="auto"/>
              <w:bottom w:val="single" w:sz="4" w:space="0" w:color="auto"/>
              <w:right w:val="single" w:sz="4" w:space="0" w:color="auto"/>
            </w:tcBorders>
          </w:tcPr>
          <w:p w14:paraId="792107CF" w14:textId="327C098E" w:rsidR="002A768E" w:rsidRPr="00E573E1" w:rsidRDefault="002A768E" w:rsidP="00C11150">
            <w:pPr>
              <w:pStyle w:val="TableCenter"/>
              <w:jc w:val="left"/>
              <w:rPr>
                <w:lang w:val="en-AU"/>
              </w:rPr>
            </w:pPr>
            <w:r w:rsidRPr="00E573E1">
              <w:rPr>
                <w:lang w:val="en-AU"/>
              </w:rPr>
              <w:t>3.4</w:t>
            </w:r>
          </w:p>
        </w:tc>
      </w:tr>
      <w:tr w:rsidR="002A768E" w:rsidRPr="00E573E1" w14:paraId="76C13596" w14:textId="77777777" w:rsidTr="002A768E">
        <w:trPr>
          <w:cantSplit/>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2DB7730D" w14:textId="77777777" w:rsidR="002A768E" w:rsidRPr="00E573E1" w:rsidRDefault="002A768E" w:rsidP="00C11150">
            <w:pPr>
              <w:pStyle w:val="TableLeft"/>
              <w:spacing w:line="276" w:lineRule="auto"/>
              <w:rPr>
                <w:lang w:val="en-AU"/>
              </w:rPr>
            </w:pPr>
            <w:r w:rsidRPr="00E573E1">
              <w:rPr>
                <w:rFonts w:eastAsiaTheme="minorHAnsi"/>
                <w:lang w:val="en-AU"/>
              </w:rPr>
              <w:t>Back pain</w:t>
            </w:r>
          </w:p>
        </w:tc>
        <w:tc>
          <w:tcPr>
            <w:tcW w:w="2694" w:type="dxa"/>
            <w:tcBorders>
              <w:top w:val="single" w:sz="4" w:space="0" w:color="auto"/>
              <w:left w:val="single" w:sz="4" w:space="0" w:color="auto"/>
              <w:bottom w:val="single" w:sz="4" w:space="0" w:color="auto"/>
              <w:right w:val="single" w:sz="4" w:space="0" w:color="auto"/>
            </w:tcBorders>
          </w:tcPr>
          <w:p w14:paraId="71C595E2" w14:textId="733AC33C" w:rsidR="002A768E" w:rsidRPr="00E573E1" w:rsidRDefault="002A768E" w:rsidP="00C11150">
            <w:pPr>
              <w:pStyle w:val="TableCenter"/>
              <w:jc w:val="left"/>
              <w:rPr>
                <w:lang w:val="en-AU"/>
              </w:rPr>
            </w:pPr>
            <w:r w:rsidRPr="00E573E1">
              <w:rPr>
                <w:lang w:val="en-AU"/>
              </w:rPr>
              <w:t xml:space="preserve">3.1 </w:t>
            </w:r>
          </w:p>
        </w:tc>
        <w:tc>
          <w:tcPr>
            <w:tcW w:w="2551" w:type="dxa"/>
            <w:tcBorders>
              <w:top w:val="single" w:sz="4" w:space="0" w:color="auto"/>
              <w:left w:val="single" w:sz="4" w:space="0" w:color="auto"/>
              <w:bottom w:val="single" w:sz="4" w:space="0" w:color="auto"/>
              <w:right w:val="single" w:sz="4" w:space="0" w:color="auto"/>
            </w:tcBorders>
          </w:tcPr>
          <w:p w14:paraId="4ADD8B9F" w14:textId="0B7C8DE9" w:rsidR="002A768E" w:rsidRPr="00E573E1" w:rsidRDefault="002A768E" w:rsidP="00C11150">
            <w:pPr>
              <w:pStyle w:val="TableCenter"/>
              <w:jc w:val="left"/>
              <w:rPr>
                <w:lang w:val="en-AU"/>
              </w:rPr>
            </w:pPr>
            <w:r w:rsidRPr="00E573E1">
              <w:rPr>
                <w:lang w:val="en-AU"/>
              </w:rPr>
              <w:t xml:space="preserve">2.7 </w:t>
            </w:r>
          </w:p>
        </w:tc>
        <w:tc>
          <w:tcPr>
            <w:tcW w:w="1559" w:type="dxa"/>
            <w:tcBorders>
              <w:top w:val="single" w:sz="4" w:space="0" w:color="auto"/>
              <w:left w:val="single" w:sz="4" w:space="0" w:color="auto"/>
              <w:bottom w:val="single" w:sz="4" w:space="0" w:color="auto"/>
              <w:right w:val="single" w:sz="4" w:space="0" w:color="auto"/>
            </w:tcBorders>
          </w:tcPr>
          <w:p w14:paraId="30423392" w14:textId="372603E9" w:rsidR="002A768E" w:rsidRPr="00E573E1" w:rsidRDefault="002A768E" w:rsidP="00C11150">
            <w:pPr>
              <w:pStyle w:val="TableCenter"/>
              <w:jc w:val="left"/>
              <w:rPr>
                <w:lang w:val="en-AU"/>
              </w:rPr>
            </w:pPr>
            <w:r w:rsidRPr="00E573E1">
              <w:rPr>
                <w:lang w:val="en-AU"/>
              </w:rPr>
              <w:t>2.9</w:t>
            </w:r>
          </w:p>
        </w:tc>
      </w:tr>
      <w:tr w:rsidR="002A768E" w:rsidRPr="00E573E1" w14:paraId="2C836E1B" w14:textId="77777777" w:rsidTr="002A768E">
        <w:trPr>
          <w:cantSplit/>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64895F30" w14:textId="24A24133" w:rsidR="002A768E" w:rsidRPr="00E573E1" w:rsidRDefault="002A768E" w:rsidP="00C11150">
            <w:pPr>
              <w:pStyle w:val="TableLeft"/>
              <w:spacing w:line="276" w:lineRule="auto"/>
              <w:rPr>
                <w:lang w:val="en-AU"/>
              </w:rPr>
            </w:pPr>
            <w:r w:rsidRPr="00E573E1">
              <w:rPr>
                <w:lang w:val="en-AU"/>
              </w:rPr>
              <w:t>Hypertension</w:t>
            </w:r>
          </w:p>
        </w:tc>
        <w:tc>
          <w:tcPr>
            <w:tcW w:w="2694" w:type="dxa"/>
            <w:tcBorders>
              <w:top w:val="single" w:sz="4" w:space="0" w:color="auto"/>
              <w:left w:val="single" w:sz="4" w:space="0" w:color="auto"/>
              <w:bottom w:val="single" w:sz="4" w:space="0" w:color="auto"/>
              <w:right w:val="single" w:sz="4" w:space="0" w:color="auto"/>
            </w:tcBorders>
          </w:tcPr>
          <w:p w14:paraId="05159E9D" w14:textId="2C2B1B06" w:rsidR="002A768E" w:rsidRPr="00E573E1" w:rsidRDefault="002A768E" w:rsidP="00C11150">
            <w:pPr>
              <w:pStyle w:val="TableCenter"/>
              <w:jc w:val="left"/>
              <w:rPr>
                <w:lang w:val="en-AU"/>
              </w:rPr>
            </w:pPr>
            <w:r w:rsidRPr="00E573E1">
              <w:rPr>
                <w:lang w:val="en-AU"/>
              </w:rPr>
              <w:t xml:space="preserve">2.8 </w:t>
            </w:r>
          </w:p>
        </w:tc>
        <w:tc>
          <w:tcPr>
            <w:tcW w:w="2551" w:type="dxa"/>
            <w:tcBorders>
              <w:top w:val="single" w:sz="4" w:space="0" w:color="auto"/>
              <w:left w:val="single" w:sz="4" w:space="0" w:color="auto"/>
              <w:bottom w:val="single" w:sz="4" w:space="0" w:color="auto"/>
              <w:right w:val="single" w:sz="4" w:space="0" w:color="auto"/>
            </w:tcBorders>
          </w:tcPr>
          <w:p w14:paraId="2FBAD9C9" w14:textId="1BD58CB6" w:rsidR="002A768E" w:rsidRPr="00E573E1" w:rsidRDefault="002A768E" w:rsidP="00C11150">
            <w:pPr>
              <w:pStyle w:val="TableCenter"/>
              <w:jc w:val="left"/>
              <w:rPr>
                <w:lang w:val="en-AU"/>
              </w:rPr>
            </w:pPr>
            <w:r w:rsidRPr="00E573E1">
              <w:rPr>
                <w:lang w:val="en-AU"/>
              </w:rPr>
              <w:t xml:space="preserve">2.8 </w:t>
            </w:r>
          </w:p>
        </w:tc>
        <w:tc>
          <w:tcPr>
            <w:tcW w:w="1559" w:type="dxa"/>
            <w:tcBorders>
              <w:top w:val="single" w:sz="4" w:space="0" w:color="auto"/>
              <w:left w:val="single" w:sz="4" w:space="0" w:color="auto"/>
              <w:bottom w:val="single" w:sz="4" w:space="0" w:color="auto"/>
              <w:right w:val="single" w:sz="4" w:space="0" w:color="auto"/>
            </w:tcBorders>
          </w:tcPr>
          <w:p w14:paraId="2E41C731" w14:textId="60ED7FA3" w:rsidR="002A768E" w:rsidRPr="00E573E1" w:rsidRDefault="002A768E" w:rsidP="00C11150">
            <w:pPr>
              <w:pStyle w:val="TableCenter"/>
              <w:jc w:val="left"/>
              <w:rPr>
                <w:lang w:val="en-AU"/>
              </w:rPr>
            </w:pPr>
            <w:r w:rsidRPr="00E573E1">
              <w:rPr>
                <w:lang w:val="en-AU"/>
              </w:rPr>
              <w:t>3.5</w:t>
            </w:r>
          </w:p>
        </w:tc>
      </w:tr>
      <w:tr w:rsidR="002A768E" w:rsidRPr="00E573E1" w14:paraId="61FAA9E9" w14:textId="77777777" w:rsidTr="002A768E">
        <w:trPr>
          <w:cantSplit/>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5528860" w14:textId="77777777" w:rsidR="002A768E" w:rsidRPr="00E573E1" w:rsidRDefault="002A768E" w:rsidP="00C11150">
            <w:pPr>
              <w:pStyle w:val="TableLeft"/>
              <w:spacing w:line="276" w:lineRule="auto"/>
              <w:rPr>
                <w:lang w:val="en-AU"/>
              </w:rPr>
            </w:pPr>
            <w:r w:rsidRPr="00E573E1">
              <w:rPr>
                <w:lang w:val="en-AU"/>
              </w:rPr>
              <w:t>Dyspnoea</w:t>
            </w:r>
          </w:p>
        </w:tc>
        <w:tc>
          <w:tcPr>
            <w:tcW w:w="2694" w:type="dxa"/>
            <w:tcBorders>
              <w:top w:val="single" w:sz="4" w:space="0" w:color="auto"/>
              <w:left w:val="single" w:sz="4" w:space="0" w:color="auto"/>
              <w:bottom w:val="single" w:sz="4" w:space="0" w:color="auto"/>
              <w:right w:val="single" w:sz="4" w:space="0" w:color="auto"/>
            </w:tcBorders>
          </w:tcPr>
          <w:p w14:paraId="3A46A0D2" w14:textId="336AC0BB" w:rsidR="002A768E" w:rsidRPr="00E573E1" w:rsidRDefault="002A768E" w:rsidP="00C11150">
            <w:pPr>
              <w:pStyle w:val="TableCenter"/>
              <w:jc w:val="left"/>
              <w:rPr>
                <w:lang w:val="en-AU"/>
              </w:rPr>
            </w:pPr>
            <w:r w:rsidRPr="00E573E1">
              <w:rPr>
                <w:lang w:val="en-AU"/>
              </w:rPr>
              <w:t xml:space="preserve">2.4 </w:t>
            </w:r>
          </w:p>
        </w:tc>
        <w:tc>
          <w:tcPr>
            <w:tcW w:w="2551" w:type="dxa"/>
            <w:tcBorders>
              <w:top w:val="single" w:sz="4" w:space="0" w:color="auto"/>
              <w:left w:val="single" w:sz="4" w:space="0" w:color="auto"/>
              <w:bottom w:val="single" w:sz="4" w:space="0" w:color="auto"/>
              <w:right w:val="single" w:sz="4" w:space="0" w:color="auto"/>
            </w:tcBorders>
          </w:tcPr>
          <w:p w14:paraId="5022793E" w14:textId="78AB60BA" w:rsidR="002A768E" w:rsidRPr="00E573E1" w:rsidRDefault="002A768E" w:rsidP="00C11150">
            <w:pPr>
              <w:pStyle w:val="TableCenter"/>
              <w:jc w:val="left"/>
              <w:rPr>
                <w:lang w:val="en-AU"/>
              </w:rPr>
            </w:pPr>
            <w:r w:rsidRPr="00E573E1">
              <w:rPr>
                <w:lang w:val="en-AU"/>
              </w:rPr>
              <w:t xml:space="preserve">2.7 </w:t>
            </w:r>
          </w:p>
        </w:tc>
        <w:tc>
          <w:tcPr>
            <w:tcW w:w="1559" w:type="dxa"/>
            <w:tcBorders>
              <w:top w:val="single" w:sz="4" w:space="0" w:color="auto"/>
              <w:left w:val="single" w:sz="4" w:space="0" w:color="auto"/>
              <w:bottom w:val="single" w:sz="4" w:space="0" w:color="auto"/>
              <w:right w:val="single" w:sz="4" w:space="0" w:color="auto"/>
            </w:tcBorders>
          </w:tcPr>
          <w:p w14:paraId="559220A1" w14:textId="6F18BA43" w:rsidR="002A768E" w:rsidRPr="00E573E1" w:rsidRDefault="002A768E" w:rsidP="00C11150">
            <w:pPr>
              <w:pStyle w:val="TableCenter"/>
              <w:jc w:val="left"/>
              <w:rPr>
                <w:lang w:val="en-AU"/>
              </w:rPr>
            </w:pPr>
            <w:r w:rsidRPr="00E573E1">
              <w:rPr>
                <w:lang w:val="en-AU"/>
              </w:rPr>
              <w:t>3.7</w:t>
            </w:r>
          </w:p>
        </w:tc>
      </w:tr>
      <w:tr w:rsidR="002A768E" w:rsidRPr="00E573E1" w14:paraId="62503991" w14:textId="77777777" w:rsidTr="002A768E">
        <w:trPr>
          <w:cantSplit/>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00C287E4" w14:textId="77777777" w:rsidR="002A768E" w:rsidRPr="00E573E1" w:rsidRDefault="002A768E" w:rsidP="00C11150">
            <w:pPr>
              <w:pStyle w:val="TableLeft"/>
              <w:spacing w:line="276" w:lineRule="auto"/>
              <w:rPr>
                <w:lang w:val="en-AU"/>
              </w:rPr>
            </w:pPr>
            <w:proofErr w:type="spellStart"/>
            <w:r w:rsidRPr="00E573E1">
              <w:rPr>
                <w:rFonts w:eastAsiaTheme="minorHAnsi"/>
                <w:lang w:val="en-AU"/>
              </w:rPr>
              <w:t>Headache</w:t>
            </w:r>
            <w:r w:rsidRPr="00E573E1">
              <w:rPr>
                <w:rFonts w:eastAsiaTheme="minorHAnsi"/>
                <w:vertAlign w:val="superscript"/>
                <w:lang w:val="en-AU"/>
              </w:rPr>
              <w:t>a</w:t>
            </w:r>
            <w:proofErr w:type="spellEnd"/>
          </w:p>
        </w:tc>
        <w:tc>
          <w:tcPr>
            <w:tcW w:w="2694" w:type="dxa"/>
            <w:tcBorders>
              <w:top w:val="single" w:sz="4" w:space="0" w:color="auto"/>
              <w:left w:val="single" w:sz="4" w:space="0" w:color="auto"/>
              <w:bottom w:val="single" w:sz="4" w:space="0" w:color="auto"/>
              <w:right w:val="single" w:sz="4" w:space="0" w:color="auto"/>
            </w:tcBorders>
          </w:tcPr>
          <w:p w14:paraId="41E3E5A2" w14:textId="1E23048E" w:rsidR="002A768E" w:rsidRPr="00E573E1" w:rsidRDefault="002A768E" w:rsidP="00C11150">
            <w:pPr>
              <w:pStyle w:val="TableCenter"/>
              <w:jc w:val="left"/>
              <w:rPr>
                <w:lang w:val="en-AU"/>
              </w:rPr>
            </w:pPr>
            <w:r w:rsidRPr="00E573E1">
              <w:rPr>
                <w:lang w:val="en-AU"/>
              </w:rPr>
              <w:t xml:space="preserve">2.5 </w:t>
            </w:r>
          </w:p>
        </w:tc>
        <w:tc>
          <w:tcPr>
            <w:tcW w:w="2551" w:type="dxa"/>
            <w:tcBorders>
              <w:top w:val="single" w:sz="4" w:space="0" w:color="auto"/>
              <w:left w:val="single" w:sz="4" w:space="0" w:color="auto"/>
              <w:bottom w:val="single" w:sz="4" w:space="0" w:color="auto"/>
              <w:right w:val="single" w:sz="4" w:space="0" w:color="auto"/>
            </w:tcBorders>
          </w:tcPr>
          <w:p w14:paraId="50BD17F0" w14:textId="03F88983" w:rsidR="002A768E" w:rsidRPr="00E573E1" w:rsidRDefault="002A768E" w:rsidP="00C11150">
            <w:pPr>
              <w:pStyle w:val="TableCenter"/>
              <w:jc w:val="left"/>
              <w:rPr>
                <w:lang w:val="en-AU"/>
              </w:rPr>
            </w:pPr>
            <w:r w:rsidRPr="00E573E1">
              <w:rPr>
                <w:lang w:val="en-AU"/>
              </w:rPr>
              <w:t xml:space="preserve">2.7 </w:t>
            </w:r>
          </w:p>
        </w:tc>
        <w:tc>
          <w:tcPr>
            <w:tcW w:w="1559" w:type="dxa"/>
            <w:tcBorders>
              <w:top w:val="single" w:sz="4" w:space="0" w:color="auto"/>
              <w:left w:val="single" w:sz="4" w:space="0" w:color="auto"/>
              <w:bottom w:val="single" w:sz="4" w:space="0" w:color="auto"/>
              <w:right w:val="single" w:sz="4" w:space="0" w:color="auto"/>
            </w:tcBorders>
          </w:tcPr>
          <w:p w14:paraId="014C2C68" w14:textId="1261CA9F" w:rsidR="002A768E" w:rsidRPr="00E573E1" w:rsidRDefault="002A768E" w:rsidP="00C11150">
            <w:pPr>
              <w:pStyle w:val="TableCenter"/>
              <w:jc w:val="left"/>
              <w:rPr>
                <w:lang w:val="en-AU"/>
              </w:rPr>
            </w:pPr>
            <w:r w:rsidRPr="00E573E1">
              <w:rPr>
                <w:lang w:val="en-AU"/>
              </w:rPr>
              <w:t>3.1</w:t>
            </w:r>
          </w:p>
        </w:tc>
      </w:tr>
      <w:tr w:rsidR="002A768E" w:rsidRPr="00E573E1" w14:paraId="12146341" w14:textId="77777777" w:rsidTr="002A768E">
        <w:trPr>
          <w:cantSplit/>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17ECE8EF" w14:textId="6AA08FD9" w:rsidR="002A768E" w:rsidRPr="00E573E1" w:rsidRDefault="002A768E" w:rsidP="00C11150">
            <w:pPr>
              <w:pStyle w:val="TableLeft"/>
              <w:spacing w:line="276" w:lineRule="auto"/>
              <w:rPr>
                <w:lang w:val="en-AU"/>
              </w:rPr>
            </w:pPr>
            <w:r w:rsidRPr="00E573E1">
              <w:rPr>
                <w:lang w:val="en-AU"/>
              </w:rPr>
              <w:t xml:space="preserve">Urinary tract </w:t>
            </w:r>
            <w:proofErr w:type="spellStart"/>
            <w:r w:rsidRPr="00E573E1">
              <w:rPr>
                <w:lang w:val="en-AU"/>
              </w:rPr>
              <w:t>infection</w:t>
            </w:r>
            <w:r w:rsidRPr="00E573E1">
              <w:rPr>
                <w:rFonts w:eastAsiaTheme="minorHAnsi"/>
                <w:vertAlign w:val="superscript"/>
                <w:lang w:val="en-AU"/>
              </w:rPr>
              <w:t>a</w:t>
            </w:r>
            <w:proofErr w:type="spellEnd"/>
          </w:p>
        </w:tc>
        <w:tc>
          <w:tcPr>
            <w:tcW w:w="2694" w:type="dxa"/>
            <w:tcBorders>
              <w:top w:val="single" w:sz="4" w:space="0" w:color="auto"/>
              <w:left w:val="single" w:sz="4" w:space="0" w:color="auto"/>
              <w:bottom w:val="single" w:sz="4" w:space="0" w:color="auto"/>
              <w:right w:val="single" w:sz="4" w:space="0" w:color="auto"/>
            </w:tcBorders>
          </w:tcPr>
          <w:p w14:paraId="76B0D849" w14:textId="3B9C0BD5" w:rsidR="002A768E" w:rsidRPr="00E573E1" w:rsidRDefault="002A768E" w:rsidP="00C11150">
            <w:pPr>
              <w:pStyle w:val="TableCenter"/>
              <w:jc w:val="left"/>
              <w:rPr>
                <w:lang w:val="en-AU"/>
              </w:rPr>
            </w:pPr>
            <w:r w:rsidRPr="00E573E1">
              <w:rPr>
                <w:lang w:val="en-AU"/>
              </w:rPr>
              <w:t xml:space="preserve">2.8 </w:t>
            </w:r>
          </w:p>
        </w:tc>
        <w:tc>
          <w:tcPr>
            <w:tcW w:w="2551" w:type="dxa"/>
            <w:tcBorders>
              <w:top w:val="single" w:sz="4" w:space="0" w:color="auto"/>
              <w:left w:val="single" w:sz="4" w:space="0" w:color="auto"/>
              <w:bottom w:val="single" w:sz="4" w:space="0" w:color="auto"/>
              <w:right w:val="single" w:sz="4" w:space="0" w:color="auto"/>
            </w:tcBorders>
          </w:tcPr>
          <w:p w14:paraId="67EEFCFC" w14:textId="5382C950" w:rsidR="002A768E" w:rsidRPr="00E573E1" w:rsidRDefault="002A768E" w:rsidP="00C11150">
            <w:pPr>
              <w:pStyle w:val="TableCenter"/>
              <w:jc w:val="left"/>
              <w:rPr>
                <w:lang w:val="en-AU"/>
              </w:rPr>
            </w:pPr>
            <w:r w:rsidRPr="00E573E1">
              <w:rPr>
                <w:lang w:val="en-AU"/>
              </w:rPr>
              <w:t xml:space="preserve">2.8 </w:t>
            </w:r>
          </w:p>
        </w:tc>
        <w:tc>
          <w:tcPr>
            <w:tcW w:w="1559" w:type="dxa"/>
            <w:tcBorders>
              <w:top w:val="single" w:sz="4" w:space="0" w:color="auto"/>
              <w:left w:val="single" w:sz="4" w:space="0" w:color="auto"/>
              <w:bottom w:val="single" w:sz="4" w:space="0" w:color="auto"/>
              <w:right w:val="single" w:sz="4" w:space="0" w:color="auto"/>
            </w:tcBorders>
          </w:tcPr>
          <w:p w14:paraId="566C415D" w14:textId="39F6FFA0" w:rsidR="002A768E" w:rsidRPr="00E573E1" w:rsidRDefault="002A768E" w:rsidP="00C11150">
            <w:pPr>
              <w:pStyle w:val="TableCenter"/>
              <w:jc w:val="left"/>
              <w:rPr>
                <w:lang w:val="en-AU"/>
              </w:rPr>
            </w:pPr>
            <w:r w:rsidRPr="00E573E1">
              <w:rPr>
                <w:lang w:val="en-AU"/>
              </w:rPr>
              <w:t>2.0</w:t>
            </w:r>
          </w:p>
        </w:tc>
      </w:tr>
      <w:tr w:rsidR="002A768E" w:rsidRPr="00E573E1" w14:paraId="76DC5509" w14:textId="77777777" w:rsidTr="002A768E">
        <w:trPr>
          <w:cantSplit/>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5952EB11" w14:textId="77777777" w:rsidR="002A768E" w:rsidRPr="00E573E1" w:rsidRDefault="002A768E" w:rsidP="00C11150">
            <w:pPr>
              <w:pStyle w:val="TableLeft"/>
              <w:spacing w:line="276" w:lineRule="auto"/>
              <w:rPr>
                <w:lang w:val="en-AU"/>
              </w:rPr>
            </w:pPr>
            <w:r w:rsidRPr="00E573E1">
              <w:rPr>
                <w:lang w:val="en-AU"/>
              </w:rPr>
              <w:t>Influenza</w:t>
            </w:r>
          </w:p>
        </w:tc>
        <w:tc>
          <w:tcPr>
            <w:tcW w:w="2694" w:type="dxa"/>
            <w:tcBorders>
              <w:top w:val="single" w:sz="4" w:space="0" w:color="auto"/>
              <w:left w:val="single" w:sz="4" w:space="0" w:color="auto"/>
              <w:bottom w:val="single" w:sz="4" w:space="0" w:color="auto"/>
              <w:right w:val="single" w:sz="4" w:space="0" w:color="auto"/>
            </w:tcBorders>
          </w:tcPr>
          <w:p w14:paraId="5D10C0F8" w14:textId="0C357D7E" w:rsidR="002A768E" w:rsidRPr="00E573E1" w:rsidRDefault="002A768E" w:rsidP="00C11150">
            <w:pPr>
              <w:pStyle w:val="TableCenter"/>
              <w:jc w:val="left"/>
              <w:rPr>
                <w:lang w:val="en-AU"/>
              </w:rPr>
            </w:pPr>
            <w:r w:rsidRPr="00E573E1">
              <w:rPr>
                <w:lang w:val="en-AU"/>
              </w:rPr>
              <w:t xml:space="preserve">2.9 </w:t>
            </w:r>
          </w:p>
        </w:tc>
        <w:tc>
          <w:tcPr>
            <w:tcW w:w="2551" w:type="dxa"/>
            <w:tcBorders>
              <w:top w:val="single" w:sz="4" w:space="0" w:color="auto"/>
              <w:left w:val="single" w:sz="4" w:space="0" w:color="auto"/>
              <w:bottom w:val="single" w:sz="4" w:space="0" w:color="auto"/>
              <w:right w:val="single" w:sz="4" w:space="0" w:color="auto"/>
            </w:tcBorders>
          </w:tcPr>
          <w:p w14:paraId="1894DAEC" w14:textId="7E12169B" w:rsidR="002A768E" w:rsidRPr="00E573E1" w:rsidRDefault="002A768E" w:rsidP="00C11150">
            <w:pPr>
              <w:pStyle w:val="TableCenter"/>
              <w:jc w:val="left"/>
              <w:rPr>
                <w:lang w:val="en-AU"/>
              </w:rPr>
            </w:pPr>
            <w:r w:rsidRPr="00E573E1">
              <w:rPr>
                <w:lang w:val="en-AU"/>
              </w:rPr>
              <w:t xml:space="preserve">2.0 </w:t>
            </w:r>
          </w:p>
        </w:tc>
        <w:tc>
          <w:tcPr>
            <w:tcW w:w="1559" w:type="dxa"/>
            <w:tcBorders>
              <w:top w:val="single" w:sz="4" w:space="0" w:color="auto"/>
              <w:left w:val="single" w:sz="4" w:space="0" w:color="auto"/>
              <w:bottom w:val="single" w:sz="4" w:space="0" w:color="auto"/>
              <w:right w:val="single" w:sz="4" w:space="0" w:color="auto"/>
            </w:tcBorders>
          </w:tcPr>
          <w:p w14:paraId="219F49BB" w14:textId="172BD8CA" w:rsidR="002A768E" w:rsidRPr="00E573E1" w:rsidRDefault="002A768E" w:rsidP="00C11150">
            <w:pPr>
              <w:pStyle w:val="TableCenter"/>
              <w:jc w:val="left"/>
              <w:rPr>
                <w:lang w:val="en-AU"/>
              </w:rPr>
            </w:pPr>
            <w:r w:rsidRPr="00E573E1">
              <w:rPr>
                <w:lang w:val="en-AU"/>
              </w:rPr>
              <w:t>2.8</w:t>
            </w:r>
          </w:p>
        </w:tc>
      </w:tr>
      <w:tr w:rsidR="002A768E" w:rsidRPr="00E573E1" w14:paraId="47DAC662" w14:textId="77777777" w:rsidTr="002A768E">
        <w:trPr>
          <w:cantSplit/>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C01CD4D" w14:textId="77777777" w:rsidR="002A768E" w:rsidRPr="00E573E1" w:rsidRDefault="002A768E" w:rsidP="00C11150">
            <w:pPr>
              <w:pStyle w:val="TableLeft"/>
              <w:spacing w:line="276" w:lineRule="auto"/>
              <w:rPr>
                <w:lang w:val="en-AU"/>
              </w:rPr>
            </w:pPr>
            <w:r w:rsidRPr="00E573E1">
              <w:rPr>
                <w:lang w:val="en-AU"/>
              </w:rPr>
              <w:t>Sinusitis</w:t>
            </w:r>
          </w:p>
        </w:tc>
        <w:tc>
          <w:tcPr>
            <w:tcW w:w="2694" w:type="dxa"/>
            <w:tcBorders>
              <w:top w:val="single" w:sz="4" w:space="0" w:color="auto"/>
              <w:left w:val="single" w:sz="4" w:space="0" w:color="auto"/>
              <w:bottom w:val="single" w:sz="4" w:space="0" w:color="auto"/>
              <w:right w:val="single" w:sz="4" w:space="0" w:color="auto"/>
            </w:tcBorders>
          </w:tcPr>
          <w:p w14:paraId="5C2DD9BD" w14:textId="147582F7" w:rsidR="002A768E" w:rsidRPr="00E573E1" w:rsidRDefault="002A768E" w:rsidP="00C11150">
            <w:pPr>
              <w:pStyle w:val="TableCenter"/>
              <w:jc w:val="left"/>
              <w:rPr>
                <w:lang w:val="en-AU"/>
              </w:rPr>
            </w:pPr>
            <w:r w:rsidRPr="00E573E1">
              <w:rPr>
                <w:lang w:val="en-AU"/>
              </w:rPr>
              <w:t xml:space="preserve">2.7 </w:t>
            </w:r>
          </w:p>
        </w:tc>
        <w:tc>
          <w:tcPr>
            <w:tcW w:w="2551" w:type="dxa"/>
            <w:tcBorders>
              <w:top w:val="single" w:sz="4" w:space="0" w:color="auto"/>
              <w:left w:val="single" w:sz="4" w:space="0" w:color="auto"/>
              <w:bottom w:val="single" w:sz="4" w:space="0" w:color="auto"/>
              <w:right w:val="single" w:sz="4" w:space="0" w:color="auto"/>
            </w:tcBorders>
          </w:tcPr>
          <w:p w14:paraId="37C586AC" w14:textId="2DA22362" w:rsidR="002A768E" w:rsidRPr="00E573E1" w:rsidRDefault="002A768E" w:rsidP="00C11150">
            <w:pPr>
              <w:pStyle w:val="TableCenter"/>
              <w:jc w:val="left"/>
              <w:rPr>
                <w:lang w:val="en-AU"/>
              </w:rPr>
            </w:pPr>
            <w:r w:rsidRPr="00E573E1">
              <w:rPr>
                <w:lang w:val="en-AU"/>
              </w:rPr>
              <w:t xml:space="preserve">2.2 </w:t>
            </w:r>
          </w:p>
        </w:tc>
        <w:tc>
          <w:tcPr>
            <w:tcW w:w="1559" w:type="dxa"/>
            <w:tcBorders>
              <w:top w:val="single" w:sz="4" w:space="0" w:color="auto"/>
              <w:left w:val="single" w:sz="4" w:space="0" w:color="auto"/>
              <w:bottom w:val="single" w:sz="4" w:space="0" w:color="auto"/>
              <w:right w:val="single" w:sz="4" w:space="0" w:color="auto"/>
            </w:tcBorders>
          </w:tcPr>
          <w:p w14:paraId="2FCC335A" w14:textId="2D209D2D" w:rsidR="002A768E" w:rsidRPr="00E573E1" w:rsidRDefault="002A768E" w:rsidP="00C11150">
            <w:pPr>
              <w:pStyle w:val="TableCenter"/>
              <w:jc w:val="left"/>
              <w:rPr>
                <w:lang w:val="en-AU"/>
              </w:rPr>
            </w:pPr>
            <w:r w:rsidRPr="00E573E1">
              <w:rPr>
                <w:lang w:val="en-AU"/>
              </w:rPr>
              <w:t>2.5</w:t>
            </w:r>
          </w:p>
        </w:tc>
      </w:tr>
      <w:tr w:rsidR="002A768E" w:rsidRPr="00E573E1" w14:paraId="5EE89ECB" w14:textId="77777777" w:rsidTr="002A768E">
        <w:trPr>
          <w:cantSplit/>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7A35038F" w14:textId="3DEAC27C" w:rsidR="002A768E" w:rsidRPr="00E573E1" w:rsidRDefault="002A768E" w:rsidP="00C11150">
            <w:pPr>
              <w:pStyle w:val="TableLeft"/>
              <w:spacing w:line="276" w:lineRule="auto"/>
              <w:rPr>
                <w:rFonts w:eastAsiaTheme="minorHAnsi"/>
                <w:vertAlign w:val="superscript"/>
                <w:lang w:val="en-AU"/>
              </w:rPr>
            </w:pPr>
            <w:r w:rsidRPr="00E573E1">
              <w:rPr>
                <w:rFonts w:eastAsiaTheme="minorHAnsi"/>
                <w:lang w:val="en-AU"/>
              </w:rPr>
              <w:t xml:space="preserve">Muscle </w:t>
            </w:r>
            <w:proofErr w:type="spellStart"/>
            <w:r w:rsidRPr="00E573E1">
              <w:rPr>
                <w:rFonts w:eastAsiaTheme="minorHAnsi"/>
                <w:lang w:val="en-AU"/>
              </w:rPr>
              <w:t>spasms</w:t>
            </w:r>
            <w:r w:rsidRPr="00E573E1">
              <w:rPr>
                <w:rFonts w:eastAsiaTheme="minorHAnsi"/>
                <w:vertAlign w:val="superscript"/>
                <w:lang w:val="en-AU"/>
              </w:rPr>
              <w:t>a</w:t>
            </w:r>
            <w:proofErr w:type="spellEnd"/>
          </w:p>
        </w:tc>
        <w:tc>
          <w:tcPr>
            <w:tcW w:w="2694" w:type="dxa"/>
            <w:tcBorders>
              <w:top w:val="single" w:sz="4" w:space="0" w:color="auto"/>
              <w:left w:val="single" w:sz="4" w:space="0" w:color="auto"/>
              <w:bottom w:val="single" w:sz="4" w:space="0" w:color="auto"/>
              <w:right w:val="single" w:sz="4" w:space="0" w:color="auto"/>
            </w:tcBorders>
          </w:tcPr>
          <w:p w14:paraId="5ED67E42" w14:textId="7D18D932" w:rsidR="002A768E" w:rsidRPr="00E573E1" w:rsidRDefault="002A768E" w:rsidP="00C11150">
            <w:pPr>
              <w:pStyle w:val="TableCenter"/>
              <w:jc w:val="left"/>
              <w:rPr>
                <w:rFonts w:eastAsiaTheme="minorHAnsi"/>
                <w:lang w:val="en-AU"/>
              </w:rPr>
            </w:pPr>
            <w:r w:rsidRPr="00E573E1">
              <w:rPr>
                <w:rFonts w:eastAsiaTheme="minorHAnsi"/>
                <w:lang w:val="en-AU"/>
              </w:rPr>
              <w:t xml:space="preserve">3.3 </w:t>
            </w:r>
          </w:p>
        </w:tc>
        <w:tc>
          <w:tcPr>
            <w:tcW w:w="2551" w:type="dxa"/>
            <w:tcBorders>
              <w:top w:val="single" w:sz="4" w:space="0" w:color="auto"/>
              <w:left w:val="single" w:sz="4" w:space="0" w:color="auto"/>
              <w:bottom w:val="single" w:sz="4" w:space="0" w:color="auto"/>
              <w:right w:val="single" w:sz="4" w:space="0" w:color="auto"/>
            </w:tcBorders>
          </w:tcPr>
          <w:p w14:paraId="265EB56D" w14:textId="72FB1A46" w:rsidR="002A768E" w:rsidRPr="00E573E1" w:rsidRDefault="002A768E" w:rsidP="00C11150">
            <w:pPr>
              <w:pStyle w:val="TableCenter"/>
              <w:jc w:val="left"/>
              <w:rPr>
                <w:rFonts w:eastAsiaTheme="minorHAnsi"/>
                <w:lang w:val="en-AU"/>
              </w:rPr>
            </w:pPr>
            <w:r w:rsidRPr="00E573E1">
              <w:rPr>
                <w:rFonts w:eastAsiaTheme="minorHAnsi"/>
                <w:lang w:val="en-AU"/>
              </w:rPr>
              <w:t xml:space="preserve">1.2 </w:t>
            </w:r>
          </w:p>
        </w:tc>
        <w:tc>
          <w:tcPr>
            <w:tcW w:w="1559" w:type="dxa"/>
            <w:tcBorders>
              <w:top w:val="single" w:sz="4" w:space="0" w:color="auto"/>
              <w:left w:val="single" w:sz="4" w:space="0" w:color="auto"/>
              <w:bottom w:val="single" w:sz="4" w:space="0" w:color="auto"/>
              <w:right w:val="single" w:sz="4" w:space="0" w:color="auto"/>
            </w:tcBorders>
          </w:tcPr>
          <w:p w14:paraId="1A62E49A" w14:textId="7C6A24A1" w:rsidR="002A768E" w:rsidRPr="00E573E1" w:rsidRDefault="002A768E" w:rsidP="00C11150">
            <w:pPr>
              <w:pStyle w:val="TableCenter"/>
              <w:jc w:val="left"/>
              <w:rPr>
                <w:rFonts w:eastAsiaTheme="minorHAnsi"/>
                <w:lang w:val="en-AU"/>
              </w:rPr>
            </w:pPr>
            <w:r w:rsidRPr="00E573E1">
              <w:rPr>
                <w:rFonts w:eastAsiaTheme="minorHAnsi"/>
                <w:lang w:val="en-AU"/>
              </w:rPr>
              <w:t>3.0</w:t>
            </w:r>
          </w:p>
        </w:tc>
      </w:tr>
      <w:tr w:rsidR="002A768E" w:rsidRPr="00E573E1" w14:paraId="68E6FB47" w14:textId="77777777" w:rsidTr="002A768E">
        <w:trPr>
          <w:cantSplit/>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74D6E596" w14:textId="335CA470" w:rsidR="002A768E" w:rsidRPr="00E573E1" w:rsidRDefault="002A768E" w:rsidP="00C11150">
            <w:pPr>
              <w:pStyle w:val="TableLeft"/>
              <w:spacing w:line="276" w:lineRule="auto"/>
              <w:rPr>
                <w:lang w:val="en-AU"/>
              </w:rPr>
            </w:pPr>
            <w:proofErr w:type="spellStart"/>
            <w:r w:rsidRPr="00E573E1">
              <w:rPr>
                <w:lang w:val="en-AU"/>
              </w:rPr>
              <w:t>Cough</w:t>
            </w:r>
            <w:r w:rsidRPr="00E573E1">
              <w:rPr>
                <w:rFonts w:eastAsiaTheme="minorHAnsi"/>
                <w:vertAlign w:val="superscript"/>
                <w:lang w:val="en-AU"/>
              </w:rPr>
              <w:t>a</w:t>
            </w:r>
            <w:proofErr w:type="spellEnd"/>
          </w:p>
        </w:tc>
        <w:tc>
          <w:tcPr>
            <w:tcW w:w="2694" w:type="dxa"/>
            <w:tcBorders>
              <w:top w:val="single" w:sz="4" w:space="0" w:color="auto"/>
              <w:left w:val="single" w:sz="4" w:space="0" w:color="auto"/>
              <w:bottom w:val="single" w:sz="4" w:space="0" w:color="auto"/>
              <w:right w:val="single" w:sz="4" w:space="0" w:color="auto"/>
            </w:tcBorders>
          </w:tcPr>
          <w:p w14:paraId="73329B82" w14:textId="62C9D68F" w:rsidR="002A768E" w:rsidRPr="00E573E1" w:rsidRDefault="002A768E" w:rsidP="00C11150">
            <w:pPr>
              <w:pStyle w:val="TableCenter"/>
              <w:jc w:val="left"/>
              <w:rPr>
                <w:lang w:val="en-AU"/>
              </w:rPr>
            </w:pPr>
            <w:r w:rsidRPr="00E573E1">
              <w:rPr>
                <w:rFonts w:eastAsiaTheme="minorHAnsi"/>
                <w:lang w:val="en-AU"/>
              </w:rPr>
              <w:t xml:space="preserve">2.6 </w:t>
            </w:r>
          </w:p>
        </w:tc>
        <w:tc>
          <w:tcPr>
            <w:tcW w:w="2551" w:type="dxa"/>
            <w:tcBorders>
              <w:top w:val="single" w:sz="4" w:space="0" w:color="auto"/>
              <w:left w:val="single" w:sz="4" w:space="0" w:color="auto"/>
              <w:bottom w:val="single" w:sz="4" w:space="0" w:color="auto"/>
              <w:right w:val="single" w:sz="4" w:space="0" w:color="auto"/>
            </w:tcBorders>
          </w:tcPr>
          <w:p w14:paraId="39C74D32" w14:textId="4ED5D78F" w:rsidR="002A768E" w:rsidRPr="00E573E1" w:rsidRDefault="002A768E" w:rsidP="00C11150">
            <w:pPr>
              <w:pStyle w:val="TableCenter"/>
              <w:jc w:val="left"/>
              <w:rPr>
                <w:lang w:val="en-AU"/>
              </w:rPr>
            </w:pPr>
            <w:r w:rsidRPr="00E573E1">
              <w:rPr>
                <w:rFonts w:eastAsiaTheme="minorHAnsi"/>
                <w:lang w:val="en-AU"/>
              </w:rPr>
              <w:t xml:space="preserve">2.3 </w:t>
            </w:r>
          </w:p>
        </w:tc>
        <w:tc>
          <w:tcPr>
            <w:tcW w:w="1559" w:type="dxa"/>
            <w:tcBorders>
              <w:top w:val="single" w:sz="4" w:space="0" w:color="auto"/>
              <w:left w:val="single" w:sz="4" w:space="0" w:color="auto"/>
              <w:bottom w:val="single" w:sz="4" w:space="0" w:color="auto"/>
              <w:right w:val="single" w:sz="4" w:space="0" w:color="auto"/>
            </w:tcBorders>
          </w:tcPr>
          <w:p w14:paraId="2DE9441E" w14:textId="3A1A8474" w:rsidR="002A768E" w:rsidRPr="00E573E1" w:rsidRDefault="002A768E" w:rsidP="00C11150">
            <w:pPr>
              <w:pStyle w:val="TableCenter"/>
              <w:jc w:val="left"/>
              <w:rPr>
                <w:lang w:val="en-AU"/>
              </w:rPr>
            </w:pPr>
            <w:r w:rsidRPr="00E573E1">
              <w:rPr>
                <w:rFonts w:eastAsiaTheme="minorHAnsi"/>
                <w:lang w:val="en-AU"/>
              </w:rPr>
              <w:t>2.2</w:t>
            </w:r>
          </w:p>
        </w:tc>
      </w:tr>
      <w:tr w:rsidR="002A768E" w:rsidRPr="00E573E1" w14:paraId="597AD6C1" w14:textId="77777777" w:rsidTr="002A768E">
        <w:trPr>
          <w:cantSplit/>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12E2545" w14:textId="604C4FDC" w:rsidR="002A768E" w:rsidRPr="00E573E1" w:rsidRDefault="002A768E" w:rsidP="00C11150">
            <w:pPr>
              <w:pStyle w:val="TableLeft"/>
              <w:spacing w:line="276" w:lineRule="auto"/>
              <w:rPr>
                <w:lang w:val="en-AU"/>
              </w:rPr>
            </w:pPr>
            <w:r w:rsidRPr="00E573E1">
              <w:rPr>
                <w:lang w:val="en-AU"/>
              </w:rPr>
              <w:t xml:space="preserve">Oral </w:t>
            </w:r>
            <w:proofErr w:type="spellStart"/>
            <w:r w:rsidRPr="00E573E1">
              <w:rPr>
                <w:lang w:val="en-AU"/>
              </w:rPr>
              <w:t>candidiasis</w:t>
            </w:r>
            <w:r w:rsidRPr="00E573E1">
              <w:rPr>
                <w:rFonts w:eastAsiaTheme="minorHAnsi"/>
                <w:vertAlign w:val="superscript"/>
                <w:lang w:val="en-AU"/>
              </w:rPr>
              <w:t>a</w:t>
            </w:r>
            <w:proofErr w:type="spellEnd"/>
          </w:p>
        </w:tc>
        <w:tc>
          <w:tcPr>
            <w:tcW w:w="2694" w:type="dxa"/>
            <w:tcBorders>
              <w:top w:val="single" w:sz="4" w:space="0" w:color="auto"/>
              <w:left w:val="single" w:sz="4" w:space="0" w:color="auto"/>
              <w:bottom w:val="single" w:sz="4" w:space="0" w:color="auto"/>
              <w:right w:val="single" w:sz="4" w:space="0" w:color="auto"/>
            </w:tcBorders>
          </w:tcPr>
          <w:p w14:paraId="0258928D" w14:textId="20CAFB22" w:rsidR="002A768E" w:rsidRPr="00E573E1" w:rsidRDefault="002A768E" w:rsidP="00C11150">
            <w:pPr>
              <w:pStyle w:val="TableCenter"/>
              <w:jc w:val="left"/>
              <w:rPr>
                <w:lang w:val="en-AU"/>
              </w:rPr>
            </w:pPr>
            <w:r w:rsidRPr="00E573E1">
              <w:rPr>
                <w:lang w:val="en-AU"/>
              </w:rPr>
              <w:t xml:space="preserve">3.0 </w:t>
            </w:r>
          </w:p>
        </w:tc>
        <w:tc>
          <w:tcPr>
            <w:tcW w:w="2551" w:type="dxa"/>
            <w:tcBorders>
              <w:top w:val="single" w:sz="4" w:space="0" w:color="auto"/>
              <w:left w:val="single" w:sz="4" w:space="0" w:color="auto"/>
              <w:bottom w:val="single" w:sz="4" w:space="0" w:color="auto"/>
              <w:right w:val="single" w:sz="4" w:space="0" w:color="auto"/>
            </w:tcBorders>
          </w:tcPr>
          <w:p w14:paraId="22A92873" w14:textId="76C38E0B" w:rsidR="002A768E" w:rsidRPr="00E573E1" w:rsidRDefault="002A768E" w:rsidP="00C11150">
            <w:pPr>
              <w:pStyle w:val="TableCenter"/>
              <w:jc w:val="left"/>
              <w:rPr>
                <w:lang w:val="en-AU"/>
              </w:rPr>
            </w:pPr>
            <w:r w:rsidRPr="00E573E1">
              <w:rPr>
                <w:lang w:val="en-AU"/>
              </w:rPr>
              <w:t xml:space="preserve">1.1 </w:t>
            </w:r>
          </w:p>
        </w:tc>
        <w:tc>
          <w:tcPr>
            <w:tcW w:w="1559" w:type="dxa"/>
            <w:tcBorders>
              <w:top w:val="single" w:sz="4" w:space="0" w:color="auto"/>
              <w:left w:val="single" w:sz="4" w:space="0" w:color="auto"/>
              <w:bottom w:val="single" w:sz="4" w:space="0" w:color="auto"/>
              <w:right w:val="single" w:sz="4" w:space="0" w:color="auto"/>
            </w:tcBorders>
          </w:tcPr>
          <w:p w14:paraId="4E818291" w14:textId="2C9C4B96" w:rsidR="002A768E" w:rsidRPr="00E573E1" w:rsidRDefault="002A768E" w:rsidP="00C11150">
            <w:pPr>
              <w:pStyle w:val="TableCenter"/>
              <w:jc w:val="left"/>
              <w:rPr>
                <w:lang w:val="en-AU"/>
              </w:rPr>
            </w:pPr>
            <w:r w:rsidRPr="00E573E1">
              <w:rPr>
                <w:lang w:val="en-AU"/>
              </w:rPr>
              <w:t>2.7</w:t>
            </w:r>
          </w:p>
        </w:tc>
      </w:tr>
      <w:tr w:rsidR="002A768E" w:rsidRPr="00E573E1" w14:paraId="3E959DAE" w14:textId="77777777" w:rsidTr="002A768E">
        <w:trPr>
          <w:cantSplit/>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EE83CB4" w14:textId="77777777" w:rsidR="002A768E" w:rsidRPr="00E573E1" w:rsidRDefault="002A768E" w:rsidP="00C11150">
            <w:pPr>
              <w:pStyle w:val="TableLeft"/>
              <w:spacing w:line="276" w:lineRule="auto"/>
              <w:rPr>
                <w:lang w:val="en-AU"/>
              </w:rPr>
            </w:pPr>
            <w:r w:rsidRPr="00E573E1">
              <w:rPr>
                <w:lang w:val="en-AU"/>
              </w:rPr>
              <w:t>Diarrhoea</w:t>
            </w:r>
          </w:p>
        </w:tc>
        <w:tc>
          <w:tcPr>
            <w:tcW w:w="2694" w:type="dxa"/>
            <w:tcBorders>
              <w:top w:val="single" w:sz="4" w:space="0" w:color="auto"/>
              <w:left w:val="single" w:sz="4" w:space="0" w:color="auto"/>
              <w:bottom w:val="single" w:sz="4" w:space="0" w:color="auto"/>
              <w:right w:val="single" w:sz="4" w:space="0" w:color="auto"/>
            </w:tcBorders>
          </w:tcPr>
          <w:p w14:paraId="3E6DA958" w14:textId="13F01BE4" w:rsidR="002A768E" w:rsidRPr="00E573E1" w:rsidRDefault="002A768E" w:rsidP="00C11150">
            <w:pPr>
              <w:pStyle w:val="TableCenter"/>
              <w:jc w:val="left"/>
              <w:rPr>
                <w:lang w:val="en-AU"/>
              </w:rPr>
            </w:pPr>
            <w:r w:rsidRPr="00E573E1">
              <w:rPr>
                <w:lang w:val="en-AU"/>
              </w:rPr>
              <w:t xml:space="preserve">2.1 </w:t>
            </w:r>
          </w:p>
        </w:tc>
        <w:tc>
          <w:tcPr>
            <w:tcW w:w="2551" w:type="dxa"/>
            <w:tcBorders>
              <w:top w:val="single" w:sz="4" w:space="0" w:color="auto"/>
              <w:left w:val="single" w:sz="4" w:space="0" w:color="auto"/>
              <w:bottom w:val="single" w:sz="4" w:space="0" w:color="auto"/>
              <w:right w:val="single" w:sz="4" w:space="0" w:color="auto"/>
            </w:tcBorders>
          </w:tcPr>
          <w:p w14:paraId="639BF870" w14:textId="01FA4155" w:rsidR="002A768E" w:rsidRPr="00E573E1" w:rsidRDefault="002A768E" w:rsidP="00C11150">
            <w:pPr>
              <w:pStyle w:val="TableCenter"/>
              <w:jc w:val="left"/>
              <w:rPr>
                <w:lang w:val="en-AU"/>
              </w:rPr>
            </w:pPr>
            <w:r w:rsidRPr="00E573E1">
              <w:rPr>
                <w:lang w:val="en-AU"/>
              </w:rPr>
              <w:t xml:space="preserve">2.0 </w:t>
            </w:r>
          </w:p>
        </w:tc>
        <w:tc>
          <w:tcPr>
            <w:tcW w:w="1559" w:type="dxa"/>
            <w:tcBorders>
              <w:top w:val="single" w:sz="4" w:space="0" w:color="auto"/>
              <w:left w:val="single" w:sz="4" w:space="0" w:color="auto"/>
              <w:bottom w:val="single" w:sz="4" w:space="0" w:color="auto"/>
              <w:right w:val="single" w:sz="4" w:space="0" w:color="auto"/>
            </w:tcBorders>
          </w:tcPr>
          <w:p w14:paraId="7196BB20" w14:textId="07DCB476" w:rsidR="002A768E" w:rsidRPr="00E573E1" w:rsidRDefault="002A768E" w:rsidP="00C11150">
            <w:pPr>
              <w:pStyle w:val="TableCenter"/>
              <w:jc w:val="left"/>
              <w:rPr>
                <w:lang w:val="en-AU"/>
              </w:rPr>
            </w:pPr>
            <w:r w:rsidRPr="00E573E1">
              <w:rPr>
                <w:lang w:val="en-AU"/>
              </w:rPr>
              <w:t>1.8</w:t>
            </w:r>
          </w:p>
        </w:tc>
      </w:tr>
    </w:tbl>
    <w:p w14:paraId="59C7F9C2" w14:textId="7288BF4B" w:rsidR="00C2565D" w:rsidRPr="00E573E1" w:rsidRDefault="00C2565D" w:rsidP="00C11150">
      <w:pPr>
        <w:pStyle w:val="TableFootnoteLetter"/>
        <w:numPr>
          <w:ilvl w:val="0"/>
          <w:numId w:val="13"/>
        </w:numPr>
        <w:rPr>
          <w:lang w:val="en-AU"/>
        </w:rPr>
      </w:pPr>
      <w:r w:rsidRPr="00E573E1">
        <w:rPr>
          <w:lang w:val="en-AU"/>
        </w:rPr>
        <w:t xml:space="preserve">Adverse drug reaction (ADR) associated with </w:t>
      </w:r>
      <w:r w:rsidR="006C79A5" w:rsidRPr="00E573E1">
        <w:rPr>
          <w:lang w:val="en-AU"/>
        </w:rPr>
        <w:t>BREZTRI AEROSPHERE</w:t>
      </w:r>
      <w:r w:rsidRPr="00E573E1">
        <w:rPr>
          <w:lang w:val="en-AU"/>
        </w:rPr>
        <w:t xml:space="preserve"> treatment</w:t>
      </w:r>
    </w:p>
    <w:p w14:paraId="031F89AD" w14:textId="47997907" w:rsidR="003B3654" w:rsidRPr="00E573E1" w:rsidRDefault="003B3654" w:rsidP="00C11150">
      <w:pPr>
        <w:pStyle w:val="TableFootnoteLetter"/>
        <w:numPr>
          <w:ilvl w:val="0"/>
          <w:numId w:val="13"/>
        </w:numPr>
        <w:rPr>
          <w:lang w:val="en-AU"/>
        </w:rPr>
      </w:pPr>
      <w:r w:rsidRPr="00E573E1">
        <w:rPr>
          <w:lang w:val="en-AU"/>
        </w:rPr>
        <w:t xml:space="preserve">See </w:t>
      </w:r>
      <w:r w:rsidRPr="00E573E1">
        <w:rPr>
          <w:i/>
          <w:lang w:val="en-AU"/>
        </w:rPr>
        <w:t>Pneumonia</w:t>
      </w:r>
      <w:r w:rsidRPr="00E573E1">
        <w:rPr>
          <w:lang w:val="en-AU"/>
        </w:rPr>
        <w:t xml:space="preserve"> section below for further detail </w:t>
      </w:r>
    </w:p>
    <w:p w14:paraId="67C56489" w14:textId="4910D1FA" w:rsidR="00C2565D" w:rsidRPr="00E573E1" w:rsidRDefault="00C2565D" w:rsidP="00C11150">
      <w:pPr>
        <w:pStyle w:val="TableFootnoteInfo"/>
        <w:rPr>
          <w:lang w:val="en-AU"/>
        </w:rPr>
      </w:pPr>
      <w:r w:rsidRPr="00E573E1">
        <w:rPr>
          <w:lang w:val="en-AU"/>
        </w:rPr>
        <w:t xml:space="preserve">MedDRA – Medical Dictionary for Regulatory Activities; </w:t>
      </w:r>
      <w:r w:rsidR="00237F06" w:rsidRPr="00E573E1">
        <w:rPr>
          <w:lang w:val="en-AU"/>
        </w:rPr>
        <w:t>GF</w:t>
      </w:r>
      <w:r w:rsidR="0092168E">
        <w:rPr>
          <w:lang w:val="en-AU"/>
        </w:rPr>
        <w:t>F</w:t>
      </w:r>
      <w:r w:rsidR="00237F06" w:rsidRPr="00E573E1">
        <w:rPr>
          <w:lang w:val="en-AU"/>
        </w:rPr>
        <w:t xml:space="preserve"> – budesonide/formoterol</w:t>
      </w:r>
      <w:r w:rsidR="00393D02">
        <w:rPr>
          <w:lang w:val="en-AU"/>
        </w:rPr>
        <w:t xml:space="preserve"> fumarate</w:t>
      </w:r>
      <w:r w:rsidR="00237F06" w:rsidRPr="00E573E1">
        <w:rPr>
          <w:lang w:val="en-AU"/>
        </w:rPr>
        <w:t>; B</w:t>
      </w:r>
      <w:r w:rsidRPr="00E573E1">
        <w:rPr>
          <w:lang w:val="en-AU"/>
        </w:rPr>
        <w:t xml:space="preserve">FF – </w:t>
      </w:r>
      <w:r w:rsidR="00237F06" w:rsidRPr="00E573E1">
        <w:rPr>
          <w:lang w:val="en-AU"/>
        </w:rPr>
        <w:t>budesonide/</w:t>
      </w:r>
      <w:r w:rsidRPr="00E573E1">
        <w:rPr>
          <w:lang w:val="en-AU"/>
        </w:rPr>
        <w:t xml:space="preserve">formoterol fumarate; </w:t>
      </w:r>
      <w:r w:rsidR="00E4793A">
        <w:rPr>
          <w:lang w:val="en-AU"/>
        </w:rPr>
        <w:t xml:space="preserve">GFF – </w:t>
      </w:r>
      <w:proofErr w:type="spellStart"/>
      <w:r w:rsidR="00E4793A">
        <w:rPr>
          <w:lang w:val="en-AU"/>
        </w:rPr>
        <w:t>glycopyrronium</w:t>
      </w:r>
      <w:proofErr w:type="spellEnd"/>
      <w:r w:rsidR="00E4793A">
        <w:rPr>
          <w:lang w:val="en-AU"/>
        </w:rPr>
        <w:t xml:space="preserve">/formoterol fumarate; </w:t>
      </w:r>
      <w:r w:rsidRPr="00E573E1">
        <w:rPr>
          <w:lang w:val="en-AU"/>
        </w:rPr>
        <w:t>MDI – pressurised metered dose inhaler; COPD – chronic obstructive pulmonary disease</w:t>
      </w:r>
      <w:r w:rsidR="00237F06" w:rsidRPr="00E573E1">
        <w:rPr>
          <w:lang w:val="en-AU"/>
        </w:rPr>
        <w:t xml:space="preserve"> </w:t>
      </w:r>
    </w:p>
    <w:p w14:paraId="7F7E0129" w14:textId="77777777" w:rsidR="00282D4F" w:rsidRPr="00E573E1" w:rsidRDefault="00282D4F" w:rsidP="00C11150">
      <w:pPr>
        <w:pStyle w:val="Paragraph"/>
        <w:spacing w:after="0"/>
        <w:rPr>
          <w:lang w:val="en-AU"/>
        </w:rPr>
      </w:pPr>
    </w:p>
    <w:p w14:paraId="3EE98BC5" w14:textId="0A047660" w:rsidR="00C2565D" w:rsidRPr="00E573E1" w:rsidRDefault="00C2565D" w:rsidP="00C11150">
      <w:pPr>
        <w:pStyle w:val="Paragraph"/>
        <w:rPr>
          <w:lang w:val="en-AU"/>
        </w:rPr>
      </w:pPr>
      <w:r w:rsidRPr="00E573E1">
        <w:rPr>
          <w:lang w:val="en-AU"/>
        </w:rPr>
        <w:t xml:space="preserve">Other adverse drug reactions (ADR) associated with </w:t>
      </w:r>
      <w:r w:rsidR="006C79A5" w:rsidRPr="00E573E1">
        <w:rPr>
          <w:lang w:val="en-AU"/>
        </w:rPr>
        <w:t>BREZTRI AEROSPHERE</w:t>
      </w:r>
      <w:r w:rsidRPr="00E573E1">
        <w:rPr>
          <w:lang w:val="en-AU"/>
        </w:rPr>
        <w:t xml:space="preserve"> treatment, including those reported by less than </w:t>
      </w:r>
      <w:r w:rsidR="002B1ECD" w:rsidRPr="00E573E1">
        <w:rPr>
          <w:lang w:val="en-AU"/>
        </w:rPr>
        <w:t>2</w:t>
      </w:r>
      <w:r w:rsidRPr="00E573E1">
        <w:rPr>
          <w:lang w:val="en-AU"/>
        </w:rPr>
        <w:t xml:space="preserve">% of patients in the </w:t>
      </w:r>
      <w:r w:rsidR="006C79A5" w:rsidRPr="00E573E1">
        <w:rPr>
          <w:lang w:val="en-AU"/>
        </w:rPr>
        <w:t xml:space="preserve">52-week </w:t>
      </w:r>
      <w:r w:rsidR="003B5CE7" w:rsidRPr="00E573E1">
        <w:rPr>
          <w:lang w:val="en-AU"/>
        </w:rPr>
        <w:t xml:space="preserve">pooled safety </w:t>
      </w:r>
      <w:r w:rsidR="006C79A5" w:rsidRPr="00E573E1">
        <w:rPr>
          <w:lang w:val="en-AU"/>
        </w:rPr>
        <w:t>data</w:t>
      </w:r>
      <w:r w:rsidR="00CC479F" w:rsidRPr="00E573E1">
        <w:rPr>
          <w:lang w:val="en-AU"/>
        </w:rPr>
        <w:t>,</w:t>
      </w:r>
      <w:r w:rsidR="006C79A5" w:rsidRPr="00E573E1">
        <w:rPr>
          <w:lang w:val="en-AU"/>
        </w:rPr>
        <w:t xml:space="preserve"> </w:t>
      </w:r>
      <w:r w:rsidR="003B5CE7" w:rsidRPr="00E573E1">
        <w:rPr>
          <w:lang w:val="en-AU"/>
        </w:rPr>
        <w:t>a</w:t>
      </w:r>
      <w:r w:rsidRPr="00E573E1">
        <w:rPr>
          <w:lang w:val="en-AU"/>
        </w:rPr>
        <w:t xml:space="preserve">re presented in </w:t>
      </w:r>
      <w:r w:rsidRPr="00E573E1">
        <w:rPr>
          <w:lang w:val="en-AU"/>
        </w:rPr>
        <w:fldChar w:fldCharType="begin"/>
      </w:r>
      <w:r w:rsidRPr="00E573E1">
        <w:rPr>
          <w:lang w:val="en-AU"/>
        </w:rPr>
        <w:instrText xml:space="preserve"> REF _Ref504480213 \h  \* MERGEFORMAT </w:instrText>
      </w:r>
      <w:r w:rsidRPr="00E573E1">
        <w:rPr>
          <w:lang w:val="en-AU"/>
        </w:rPr>
      </w:r>
      <w:r w:rsidRPr="00E573E1">
        <w:rPr>
          <w:lang w:val="en-AU"/>
        </w:rPr>
        <w:fldChar w:fldCharType="separate"/>
      </w:r>
      <w:r w:rsidR="00960F91" w:rsidRPr="00E573E1">
        <w:rPr>
          <w:lang w:val="en-AU"/>
        </w:rPr>
        <w:t xml:space="preserve">Table </w:t>
      </w:r>
      <w:r w:rsidR="00960F91">
        <w:rPr>
          <w:lang w:val="en-AU"/>
        </w:rPr>
        <w:t>3</w:t>
      </w:r>
      <w:r w:rsidRPr="00E573E1">
        <w:rPr>
          <w:lang w:val="en-AU"/>
        </w:rPr>
        <w:fldChar w:fldCharType="end"/>
      </w:r>
      <w:r w:rsidRPr="00E573E1">
        <w:rPr>
          <w:lang w:val="en-AU"/>
        </w:rPr>
        <w:t>.</w:t>
      </w:r>
    </w:p>
    <w:p w14:paraId="20A3E2E7" w14:textId="658D91B8" w:rsidR="00C2565D" w:rsidRPr="00E573E1" w:rsidRDefault="00C2565D" w:rsidP="00C11150">
      <w:pPr>
        <w:pStyle w:val="TableTitle"/>
        <w:rPr>
          <w:color w:val="auto"/>
          <w:lang w:val="en-AU"/>
        </w:rPr>
      </w:pPr>
      <w:bookmarkStart w:id="19" w:name="_Ref504480213"/>
      <w:r w:rsidRPr="00E573E1">
        <w:rPr>
          <w:color w:val="auto"/>
          <w:lang w:val="en-AU"/>
        </w:rPr>
        <w:t xml:space="preserve">Table </w:t>
      </w:r>
      <w:r w:rsidRPr="00E573E1">
        <w:rPr>
          <w:color w:val="auto"/>
          <w:lang w:val="en-AU"/>
        </w:rPr>
        <w:fldChar w:fldCharType="begin"/>
      </w:r>
      <w:r w:rsidRPr="00E573E1">
        <w:rPr>
          <w:color w:val="auto"/>
          <w:lang w:val="en-AU"/>
        </w:rPr>
        <w:instrText xml:space="preserve"> SEQ Table \* ARABIC </w:instrText>
      </w:r>
      <w:r w:rsidRPr="00E573E1">
        <w:rPr>
          <w:color w:val="auto"/>
          <w:lang w:val="en-AU"/>
        </w:rPr>
        <w:fldChar w:fldCharType="separate"/>
      </w:r>
      <w:r w:rsidR="00960F91">
        <w:rPr>
          <w:noProof/>
          <w:color w:val="auto"/>
          <w:lang w:val="en-AU"/>
        </w:rPr>
        <w:t>3</w:t>
      </w:r>
      <w:r w:rsidRPr="00E573E1">
        <w:rPr>
          <w:color w:val="auto"/>
          <w:lang w:val="en-AU"/>
        </w:rPr>
        <w:fldChar w:fldCharType="end"/>
      </w:r>
      <w:bookmarkEnd w:id="19"/>
      <w:r w:rsidRPr="00E573E1">
        <w:rPr>
          <w:color w:val="auto"/>
          <w:lang w:val="en-AU"/>
        </w:rPr>
        <w:tab/>
      </w:r>
      <w:bookmarkStart w:id="20" w:name="_Hlk508286699"/>
      <w:r w:rsidRPr="00E573E1">
        <w:rPr>
          <w:color w:val="auto"/>
          <w:lang w:val="en-AU"/>
        </w:rPr>
        <w:t xml:space="preserve">Additional adverse drug reactions (ADRs) associated with </w:t>
      </w:r>
      <w:r w:rsidR="00493F57" w:rsidRPr="00E573E1">
        <w:rPr>
          <w:color w:val="auto"/>
          <w:lang w:val="en-AU"/>
        </w:rPr>
        <w:t>BREZTRI</w:t>
      </w:r>
      <w:r w:rsidRPr="00E573E1">
        <w:rPr>
          <w:color w:val="auto"/>
          <w:lang w:val="en-AU"/>
        </w:rPr>
        <w:t xml:space="preserve"> </w:t>
      </w:r>
      <w:r w:rsidR="00493F57" w:rsidRPr="00E573E1">
        <w:rPr>
          <w:color w:val="auto"/>
          <w:lang w:val="en-AU"/>
        </w:rPr>
        <w:t>AEROSPHERE</w:t>
      </w:r>
      <w:r w:rsidRPr="00E573E1">
        <w:rPr>
          <w:color w:val="auto"/>
          <w:lang w:val="en-AU"/>
        </w:rPr>
        <w:t xml:space="preserve"> treatment</w:t>
      </w:r>
      <w:bookmarkEnd w:id="20"/>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lt;&lt;Please Add a Table Title Here&gt;&gt;"/>
      </w:tblPr>
      <w:tblGrid>
        <w:gridCol w:w="1556"/>
        <w:gridCol w:w="3117"/>
        <w:gridCol w:w="4972"/>
      </w:tblGrid>
      <w:tr w:rsidR="00600311" w:rsidRPr="00E573E1" w14:paraId="034B33BF" w14:textId="77777777" w:rsidTr="00B27165">
        <w:trPr>
          <w:cantSplit/>
          <w:tblHeader/>
        </w:trPr>
        <w:tc>
          <w:tcPr>
            <w:tcW w:w="1556" w:type="dxa"/>
            <w:tcBorders>
              <w:top w:val="single" w:sz="4" w:space="0" w:color="auto"/>
              <w:left w:val="single" w:sz="4" w:space="0" w:color="auto"/>
              <w:bottom w:val="single" w:sz="4" w:space="0" w:color="auto"/>
              <w:right w:val="single" w:sz="4" w:space="0" w:color="auto"/>
            </w:tcBorders>
            <w:hideMark/>
          </w:tcPr>
          <w:p w14:paraId="4A4485B1" w14:textId="77777777" w:rsidR="00C2565D" w:rsidRPr="00E573E1" w:rsidRDefault="00C2565D" w:rsidP="00C11150">
            <w:pPr>
              <w:pStyle w:val="TableHead"/>
              <w:spacing w:line="276" w:lineRule="auto"/>
              <w:jc w:val="left"/>
              <w:rPr>
                <w:lang w:val="en-AU"/>
              </w:rPr>
            </w:pPr>
            <w:r w:rsidRPr="00E573E1">
              <w:rPr>
                <w:lang w:val="en-AU"/>
              </w:rPr>
              <w:t>Frequency</w:t>
            </w:r>
          </w:p>
        </w:tc>
        <w:tc>
          <w:tcPr>
            <w:tcW w:w="3117" w:type="dxa"/>
            <w:tcBorders>
              <w:top w:val="single" w:sz="4" w:space="0" w:color="auto"/>
              <w:left w:val="single" w:sz="4" w:space="0" w:color="auto"/>
              <w:bottom w:val="single" w:sz="4" w:space="0" w:color="auto"/>
              <w:right w:val="single" w:sz="4" w:space="0" w:color="auto"/>
            </w:tcBorders>
            <w:hideMark/>
          </w:tcPr>
          <w:p w14:paraId="41C9C5F8" w14:textId="1D8889A8" w:rsidR="00C2565D" w:rsidRPr="00E573E1" w:rsidRDefault="00C2565D" w:rsidP="00C11150">
            <w:pPr>
              <w:pStyle w:val="TableHead"/>
              <w:spacing w:line="276" w:lineRule="auto"/>
              <w:jc w:val="left"/>
              <w:rPr>
                <w:lang w:val="en-AU"/>
              </w:rPr>
            </w:pPr>
            <w:r w:rsidRPr="00E573E1">
              <w:rPr>
                <w:lang w:val="en-AU"/>
              </w:rPr>
              <w:t>System Order Class</w:t>
            </w:r>
            <w:r w:rsidR="009D378D" w:rsidRPr="00E573E1">
              <w:rPr>
                <w:lang w:val="en-AU"/>
              </w:rPr>
              <w:t xml:space="preserve"> (SOC)</w:t>
            </w:r>
          </w:p>
        </w:tc>
        <w:tc>
          <w:tcPr>
            <w:tcW w:w="4972" w:type="dxa"/>
            <w:tcBorders>
              <w:top w:val="single" w:sz="4" w:space="0" w:color="auto"/>
              <w:left w:val="single" w:sz="4" w:space="0" w:color="auto"/>
              <w:bottom w:val="single" w:sz="4" w:space="0" w:color="auto"/>
              <w:right w:val="single" w:sz="4" w:space="0" w:color="auto"/>
            </w:tcBorders>
            <w:hideMark/>
          </w:tcPr>
          <w:p w14:paraId="74BC9FCB" w14:textId="1701EE52" w:rsidR="00C2565D" w:rsidRPr="00E573E1" w:rsidRDefault="009D378D" w:rsidP="00C11150">
            <w:pPr>
              <w:pStyle w:val="TableHead"/>
              <w:spacing w:line="276" w:lineRule="auto"/>
              <w:jc w:val="left"/>
              <w:rPr>
                <w:lang w:val="en-AU"/>
              </w:rPr>
            </w:pPr>
            <w:r w:rsidRPr="00E573E1">
              <w:rPr>
                <w:lang w:val="en-AU"/>
              </w:rPr>
              <w:t>MedDRA preferred term</w:t>
            </w:r>
          </w:p>
        </w:tc>
      </w:tr>
      <w:tr w:rsidR="006875D2" w:rsidRPr="00E573E1" w14:paraId="5F70E812" w14:textId="77777777" w:rsidTr="00B27165">
        <w:trPr>
          <w:cantSplit/>
        </w:trPr>
        <w:tc>
          <w:tcPr>
            <w:tcW w:w="1556" w:type="dxa"/>
            <w:vMerge w:val="restart"/>
            <w:tcBorders>
              <w:top w:val="single" w:sz="4" w:space="0" w:color="auto"/>
              <w:left w:val="single" w:sz="4" w:space="0" w:color="auto"/>
              <w:bottom w:val="single" w:sz="4" w:space="0" w:color="auto"/>
              <w:right w:val="single" w:sz="4" w:space="0" w:color="auto"/>
            </w:tcBorders>
            <w:hideMark/>
          </w:tcPr>
          <w:p w14:paraId="770CE9BF" w14:textId="7661D3AA" w:rsidR="006875D2" w:rsidRPr="00E573E1" w:rsidRDefault="006875D2" w:rsidP="00C11150">
            <w:pPr>
              <w:pStyle w:val="TableLeft"/>
              <w:spacing w:line="276" w:lineRule="auto"/>
              <w:rPr>
                <w:lang w:val="en-AU"/>
              </w:rPr>
            </w:pPr>
            <w:proofErr w:type="spellStart"/>
            <w:r w:rsidRPr="00E573E1">
              <w:rPr>
                <w:vertAlign w:val="superscript"/>
                <w:lang w:val="en-AU"/>
              </w:rPr>
              <w:t>a</w:t>
            </w:r>
            <w:r w:rsidRPr="00E573E1">
              <w:rPr>
                <w:lang w:val="en-AU"/>
              </w:rPr>
              <w:t>Common</w:t>
            </w:r>
            <w:proofErr w:type="spellEnd"/>
            <w:r w:rsidRPr="00E573E1">
              <w:rPr>
                <w:lang w:val="en-AU"/>
              </w:rPr>
              <w:br/>
              <w:t>(≥1% - &lt;10%)</w:t>
            </w:r>
          </w:p>
        </w:tc>
        <w:tc>
          <w:tcPr>
            <w:tcW w:w="3117" w:type="dxa"/>
            <w:tcBorders>
              <w:top w:val="single" w:sz="4" w:space="0" w:color="auto"/>
              <w:left w:val="single" w:sz="4" w:space="0" w:color="auto"/>
              <w:bottom w:val="single" w:sz="4" w:space="0" w:color="auto"/>
              <w:right w:val="single" w:sz="4" w:space="0" w:color="auto"/>
            </w:tcBorders>
          </w:tcPr>
          <w:p w14:paraId="4570298B" w14:textId="4BAB1C14" w:rsidR="006875D2" w:rsidRPr="00E573E1" w:rsidRDefault="006875D2" w:rsidP="00C11150">
            <w:pPr>
              <w:pStyle w:val="TableLeft"/>
              <w:spacing w:line="276" w:lineRule="auto"/>
              <w:rPr>
                <w:lang w:val="en-AU"/>
              </w:rPr>
            </w:pPr>
            <w:r w:rsidRPr="00E573E1">
              <w:rPr>
                <w:i/>
                <w:lang w:val="en-AU"/>
              </w:rPr>
              <w:t>Metabolism &amp; nutrition disorders</w:t>
            </w:r>
          </w:p>
        </w:tc>
        <w:tc>
          <w:tcPr>
            <w:tcW w:w="4972" w:type="dxa"/>
            <w:tcBorders>
              <w:top w:val="single" w:sz="4" w:space="0" w:color="auto"/>
              <w:left w:val="single" w:sz="4" w:space="0" w:color="auto"/>
              <w:bottom w:val="single" w:sz="4" w:space="0" w:color="auto"/>
              <w:right w:val="single" w:sz="4" w:space="0" w:color="auto"/>
            </w:tcBorders>
          </w:tcPr>
          <w:p w14:paraId="7AF68C4A" w14:textId="7E610EFE" w:rsidR="006875D2" w:rsidRPr="00E573E1" w:rsidRDefault="006875D2" w:rsidP="00C11150">
            <w:pPr>
              <w:pStyle w:val="TableLeft"/>
              <w:spacing w:line="276" w:lineRule="auto"/>
              <w:rPr>
                <w:lang w:val="en-AU"/>
              </w:rPr>
            </w:pPr>
            <w:r w:rsidRPr="00E573E1">
              <w:rPr>
                <w:lang w:val="en-AU"/>
              </w:rPr>
              <w:t>Hyperglycaemia</w:t>
            </w:r>
          </w:p>
        </w:tc>
      </w:tr>
      <w:tr w:rsidR="006875D2" w:rsidRPr="00E573E1" w14:paraId="1C78639E" w14:textId="77777777" w:rsidTr="00B27165">
        <w:trPr>
          <w:cantSplit/>
        </w:trPr>
        <w:tc>
          <w:tcPr>
            <w:tcW w:w="1556" w:type="dxa"/>
            <w:vMerge/>
            <w:tcBorders>
              <w:top w:val="single" w:sz="4" w:space="0" w:color="auto"/>
              <w:left w:val="single" w:sz="4" w:space="0" w:color="auto"/>
              <w:bottom w:val="single" w:sz="4" w:space="0" w:color="auto"/>
              <w:right w:val="single" w:sz="4" w:space="0" w:color="auto"/>
            </w:tcBorders>
          </w:tcPr>
          <w:p w14:paraId="09BA8B37" w14:textId="77777777" w:rsidR="006875D2" w:rsidRPr="00E573E1" w:rsidRDefault="006875D2" w:rsidP="00C11150">
            <w:pPr>
              <w:pStyle w:val="TableLeft"/>
              <w:spacing w:line="276" w:lineRule="auto"/>
              <w:rPr>
                <w:vertAlign w:val="superscript"/>
                <w:lang w:val="en-AU"/>
              </w:rPr>
            </w:pPr>
          </w:p>
        </w:tc>
        <w:tc>
          <w:tcPr>
            <w:tcW w:w="3117" w:type="dxa"/>
            <w:tcBorders>
              <w:top w:val="single" w:sz="4" w:space="0" w:color="auto"/>
              <w:left w:val="single" w:sz="4" w:space="0" w:color="auto"/>
              <w:bottom w:val="single" w:sz="4" w:space="0" w:color="auto"/>
              <w:right w:val="single" w:sz="4" w:space="0" w:color="auto"/>
            </w:tcBorders>
          </w:tcPr>
          <w:p w14:paraId="547B74A7" w14:textId="605EC4F9" w:rsidR="006875D2" w:rsidRPr="00E573E1" w:rsidRDefault="006875D2" w:rsidP="00C11150">
            <w:pPr>
              <w:pStyle w:val="TableLeft"/>
              <w:spacing w:line="276" w:lineRule="auto"/>
              <w:rPr>
                <w:i/>
                <w:lang w:val="en-AU"/>
              </w:rPr>
            </w:pPr>
            <w:r w:rsidRPr="00E573E1">
              <w:rPr>
                <w:i/>
                <w:lang w:val="en-AU"/>
              </w:rPr>
              <w:t>Psychiatric disorders</w:t>
            </w:r>
          </w:p>
        </w:tc>
        <w:tc>
          <w:tcPr>
            <w:tcW w:w="4972" w:type="dxa"/>
            <w:tcBorders>
              <w:top w:val="single" w:sz="4" w:space="0" w:color="auto"/>
              <w:left w:val="single" w:sz="4" w:space="0" w:color="auto"/>
              <w:bottom w:val="single" w:sz="4" w:space="0" w:color="auto"/>
              <w:right w:val="single" w:sz="4" w:space="0" w:color="auto"/>
            </w:tcBorders>
          </w:tcPr>
          <w:p w14:paraId="1F3702F0" w14:textId="34B0B0BA" w:rsidR="006875D2" w:rsidRPr="00E573E1" w:rsidRDefault="006875D2" w:rsidP="00C11150">
            <w:pPr>
              <w:pStyle w:val="TableLeft"/>
              <w:spacing w:line="276" w:lineRule="auto"/>
              <w:rPr>
                <w:lang w:val="en-AU"/>
              </w:rPr>
            </w:pPr>
            <w:r w:rsidRPr="00E573E1">
              <w:rPr>
                <w:lang w:val="en-AU"/>
              </w:rPr>
              <w:t>Anxiety, insomnia</w:t>
            </w:r>
          </w:p>
        </w:tc>
      </w:tr>
      <w:tr w:rsidR="006875D2" w:rsidRPr="00E573E1" w14:paraId="519E10D5" w14:textId="77777777" w:rsidTr="00B27165">
        <w:trPr>
          <w:cantSplit/>
        </w:trPr>
        <w:tc>
          <w:tcPr>
            <w:tcW w:w="1556" w:type="dxa"/>
            <w:vMerge/>
            <w:tcBorders>
              <w:top w:val="single" w:sz="4" w:space="0" w:color="auto"/>
              <w:left w:val="single" w:sz="4" w:space="0" w:color="auto"/>
              <w:bottom w:val="single" w:sz="4" w:space="0" w:color="auto"/>
              <w:right w:val="single" w:sz="4" w:space="0" w:color="auto"/>
            </w:tcBorders>
          </w:tcPr>
          <w:p w14:paraId="4C931C78" w14:textId="77777777" w:rsidR="006875D2" w:rsidRPr="00E573E1" w:rsidRDefault="006875D2" w:rsidP="00C11150">
            <w:pPr>
              <w:pStyle w:val="TableLeft"/>
              <w:spacing w:line="276" w:lineRule="auto"/>
              <w:rPr>
                <w:vertAlign w:val="superscript"/>
                <w:lang w:val="en-AU"/>
              </w:rPr>
            </w:pPr>
          </w:p>
        </w:tc>
        <w:tc>
          <w:tcPr>
            <w:tcW w:w="3117" w:type="dxa"/>
            <w:tcBorders>
              <w:top w:val="single" w:sz="4" w:space="0" w:color="auto"/>
              <w:left w:val="single" w:sz="4" w:space="0" w:color="auto"/>
              <w:bottom w:val="single" w:sz="4" w:space="0" w:color="auto"/>
              <w:right w:val="single" w:sz="4" w:space="0" w:color="auto"/>
            </w:tcBorders>
          </w:tcPr>
          <w:p w14:paraId="42B81570" w14:textId="6EFC6ACF" w:rsidR="006875D2" w:rsidRPr="00E573E1" w:rsidRDefault="006875D2" w:rsidP="00C11150">
            <w:pPr>
              <w:pStyle w:val="TableLeft"/>
              <w:spacing w:line="276" w:lineRule="auto"/>
              <w:rPr>
                <w:i/>
                <w:lang w:val="en-AU"/>
              </w:rPr>
            </w:pPr>
            <w:r w:rsidRPr="00E573E1">
              <w:rPr>
                <w:i/>
                <w:lang w:val="en-AU"/>
              </w:rPr>
              <w:t>Cardiac disorders</w:t>
            </w:r>
          </w:p>
        </w:tc>
        <w:tc>
          <w:tcPr>
            <w:tcW w:w="4972" w:type="dxa"/>
            <w:tcBorders>
              <w:top w:val="single" w:sz="4" w:space="0" w:color="auto"/>
              <w:left w:val="single" w:sz="4" w:space="0" w:color="auto"/>
              <w:bottom w:val="single" w:sz="4" w:space="0" w:color="auto"/>
              <w:right w:val="single" w:sz="4" w:space="0" w:color="auto"/>
            </w:tcBorders>
          </w:tcPr>
          <w:p w14:paraId="2B1B4E78" w14:textId="17FB59AB" w:rsidR="006875D2" w:rsidRPr="00E573E1" w:rsidRDefault="006875D2" w:rsidP="00C11150">
            <w:pPr>
              <w:pStyle w:val="TableLeft"/>
              <w:spacing w:line="276" w:lineRule="auto"/>
              <w:rPr>
                <w:lang w:val="en-AU"/>
              </w:rPr>
            </w:pPr>
            <w:r w:rsidRPr="00E573E1">
              <w:rPr>
                <w:lang w:val="en-AU"/>
              </w:rPr>
              <w:t>Palpitations</w:t>
            </w:r>
          </w:p>
        </w:tc>
      </w:tr>
      <w:tr w:rsidR="006875D2" w:rsidRPr="00E573E1" w14:paraId="010127DB" w14:textId="77777777" w:rsidTr="00B27165">
        <w:trPr>
          <w:cantSplit/>
        </w:trPr>
        <w:tc>
          <w:tcPr>
            <w:tcW w:w="1556" w:type="dxa"/>
            <w:vMerge/>
            <w:tcBorders>
              <w:top w:val="single" w:sz="4" w:space="0" w:color="auto"/>
              <w:left w:val="single" w:sz="4" w:space="0" w:color="auto"/>
              <w:bottom w:val="single" w:sz="4" w:space="0" w:color="auto"/>
              <w:right w:val="single" w:sz="4" w:space="0" w:color="auto"/>
            </w:tcBorders>
          </w:tcPr>
          <w:p w14:paraId="0F0ACC99" w14:textId="77777777" w:rsidR="006875D2" w:rsidRPr="00E573E1" w:rsidRDefault="006875D2" w:rsidP="00C11150">
            <w:pPr>
              <w:pStyle w:val="TableLeft"/>
              <w:spacing w:line="276" w:lineRule="auto"/>
              <w:rPr>
                <w:vertAlign w:val="superscript"/>
                <w:lang w:val="en-AU"/>
              </w:rPr>
            </w:pPr>
          </w:p>
        </w:tc>
        <w:tc>
          <w:tcPr>
            <w:tcW w:w="3117" w:type="dxa"/>
            <w:tcBorders>
              <w:top w:val="single" w:sz="4" w:space="0" w:color="auto"/>
              <w:left w:val="single" w:sz="4" w:space="0" w:color="auto"/>
              <w:bottom w:val="single" w:sz="4" w:space="0" w:color="auto"/>
              <w:right w:val="single" w:sz="4" w:space="0" w:color="auto"/>
            </w:tcBorders>
          </w:tcPr>
          <w:p w14:paraId="2C57D38A" w14:textId="70B9D11D" w:rsidR="006875D2" w:rsidRPr="00E573E1" w:rsidRDefault="006875D2" w:rsidP="00C11150">
            <w:pPr>
              <w:pStyle w:val="TableLeft"/>
              <w:spacing w:line="276" w:lineRule="auto"/>
              <w:rPr>
                <w:i/>
                <w:lang w:val="en-AU"/>
              </w:rPr>
            </w:pPr>
            <w:r w:rsidRPr="00E573E1">
              <w:rPr>
                <w:i/>
                <w:lang w:val="en-AU"/>
              </w:rPr>
              <w:t xml:space="preserve">Respiratory, thoracic </w:t>
            </w:r>
            <w:r w:rsidR="00B27165" w:rsidRPr="00E573E1">
              <w:rPr>
                <w:i/>
                <w:lang w:val="en-AU"/>
              </w:rPr>
              <w:t>&amp;</w:t>
            </w:r>
            <w:r w:rsidRPr="00E573E1">
              <w:rPr>
                <w:i/>
                <w:lang w:val="en-AU"/>
              </w:rPr>
              <w:t xml:space="preserve"> mediastinal disorders</w:t>
            </w:r>
          </w:p>
        </w:tc>
        <w:tc>
          <w:tcPr>
            <w:tcW w:w="4972" w:type="dxa"/>
            <w:tcBorders>
              <w:top w:val="single" w:sz="4" w:space="0" w:color="auto"/>
              <w:left w:val="single" w:sz="4" w:space="0" w:color="auto"/>
              <w:bottom w:val="single" w:sz="4" w:space="0" w:color="auto"/>
              <w:right w:val="single" w:sz="4" w:space="0" w:color="auto"/>
            </w:tcBorders>
          </w:tcPr>
          <w:p w14:paraId="405B1353" w14:textId="4E266453" w:rsidR="006875D2" w:rsidRPr="00E573E1" w:rsidRDefault="006875D2" w:rsidP="00C11150">
            <w:pPr>
              <w:pStyle w:val="TableLeft"/>
              <w:spacing w:line="276" w:lineRule="auto"/>
              <w:rPr>
                <w:lang w:val="en-AU"/>
              </w:rPr>
            </w:pPr>
            <w:r w:rsidRPr="00E573E1">
              <w:rPr>
                <w:lang w:val="en-AU"/>
              </w:rPr>
              <w:t>Dysphonia</w:t>
            </w:r>
          </w:p>
        </w:tc>
      </w:tr>
      <w:tr w:rsidR="006875D2" w:rsidRPr="00E573E1" w14:paraId="2CBCF26B" w14:textId="77777777" w:rsidTr="00B27165">
        <w:trPr>
          <w:cantSplit/>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0983D7AE" w14:textId="77777777" w:rsidR="006875D2" w:rsidRPr="00E573E1" w:rsidRDefault="006875D2" w:rsidP="00C11150">
            <w:pPr>
              <w:spacing w:after="0"/>
              <w:rPr>
                <w:rFonts w:cs="Arial"/>
                <w:bCs/>
                <w:kern w:val="32"/>
                <w:sz w:val="20"/>
                <w:lang w:val="en-AU"/>
              </w:rPr>
            </w:pPr>
          </w:p>
        </w:tc>
        <w:tc>
          <w:tcPr>
            <w:tcW w:w="3117" w:type="dxa"/>
            <w:tcBorders>
              <w:top w:val="single" w:sz="4" w:space="0" w:color="auto"/>
              <w:left w:val="single" w:sz="4" w:space="0" w:color="auto"/>
              <w:bottom w:val="single" w:sz="4" w:space="0" w:color="auto"/>
              <w:right w:val="single" w:sz="4" w:space="0" w:color="auto"/>
            </w:tcBorders>
            <w:hideMark/>
          </w:tcPr>
          <w:p w14:paraId="21F5D939" w14:textId="77777777" w:rsidR="006875D2" w:rsidRPr="00E573E1" w:rsidRDefault="006875D2" w:rsidP="00C11150">
            <w:pPr>
              <w:pStyle w:val="TableLeft"/>
              <w:spacing w:line="276" w:lineRule="auto"/>
              <w:rPr>
                <w:lang w:val="en-AU"/>
              </w:rPr>
            </w:pPr>
            <w:r w:rsidRPr="00E573E1">
              <w:rPr>
                <w:i/>
                <w:lang w:val="en-AU"/>
              </w:rPr>
              <w:t>Gastrointestinal disorders</w:t>
            </w:r>
          </w:p>
        </w:tc>
        <w:tc>
          <w:tcPr>
            <w:tcW w:w="4972" w:type="dxa"/>
            <w:tcBorders>
              <w:top w:val="single" w:sz="4" w:space="0" w:color="auto"/>
              <w:left w:val="single" w:sz="4" w:space="0" w:color="auto"/>
              <w:bottom w:val="single" w:sz="4" w:space="0" w:color="auto"/>
              <w:right w:val="single" w:sz="4" w:space="0" w:color="auto"/>
            </w:tcBorders>
            <w:hideMark/>
          </w:tcPr>
          <w:p w14:paraId="6F9B1D38" w14:textId="77777777" w:rsidR="006875D2" w:rsidRPr="00E573E1" w:rsidRDefault="006875D2" w:rsidP="00C11150">
            <w:pPr>
              <w:pStyle w:val="TableLeft"/>
              <w:spacing w:line="276" w:lineRule="auto"/>
              <w:rPr>
                <w:lang w:val="en-AU"/>
              </w:rPr>
            </w:pPr>
            <w:r w:rsidRPr="00E573E1">
              <w:rPr>
                <w:lang w:val="en-AU"/>
              </w:rPr>
              <w:t>Nausea</w:t>
            </w:r>
          </w:p>
        </w:tc>
      </w:tr>
      <w:tr w:rsidR="00B27165" w:rsidRPr="00E573E1" w14:paraId="707C40FA" w14:textId="77777777" w:rsidTr="00B27165">
        <w:trPr>
          <w:cantSplit/>
        </w:trPr>
        <w:tc>
          <w:tcPr>
            <w:tcW w:w="1556" w:type="dxa"/>
            <w:vMerge w:val="restart"/>
            <w:tcBorders>
              <w:top w:val="single" w:sz="4" w:space="0" w:color="auto"/>
              <w:left w:val="single" w:sz="4" w:space="0" w:color="auto"/>
              <w:bottom w:val="single" w:sz="4" w:space="0" w:color="auto"/>
              <w:right w:val="single" w:sz="4" w:space="0" w:color="auto"/>
            </w:tcBorders>
            <w:hideMark/>
          </w:tcPr>
          <w:p w14:paraId="67ACBD1F" w14:textId="77777777" w:rsidR="00B27165" w:rsidRPr="00E573E1" w:rsidRDefault="00B27165" w:rsidP="00C11150">
            <w:pPr>
              <w:pStyle w:val="TableLeft"/>
              <w:spacing w:line="276" w:lineRule="auto"/>
              <w:rPr>
                <w:lang w:val="en-AU"/>
              </w:rPr>
            </w:pPr>
            <w:r w:rsidRPr="00E573E1">
              <w:rPr>
                <w:lang w:val="en-AU"/>
              </w:rPr>
              <w:t>Uncommon</w:t>
            </w:r>
            <w:r w:rsidRPr="00E573E1">
              <w:rPr>
                <w:lang w:val="en-AU"/>
              </w:rPr>
              <w:br/>
              <w:t>(≥0.1% - &lt;1%)</w:t>
            </w:r>
          </w:p>
        </w:tc>
        <w:tc>
          <w:tcPr>
            <w:tcW w:w="3117" w:type="dxa"/>
            <w:tcBorders>
              <w:top w:val="single" w:sz="4" w:space="0" w:color="auto"/>
              <w:left w:val="single" w:sz="4" w:space="0" w:color="auto"/>
              <w:bottom w:val="single" w:sz="4" w:space="0" w:color="auto"/>
              <w:right w:val="single" w:sz="4" w:space="0" w:color="auto"/>
            </w:tcBorders>
          </w:tcPr>
          <w:p w14:paraId="68E04EB0" w14:textId="34AE165F" w:rsidR="00B27165" w:rsidRPr="00E573E1" w:rsidRDefault="00B27165" w:rsidP="00C11150">
            <w:pPr>
              <w:pStyle w:val="TableLeft"/>
              <w:spacing w:line="276" w:lineRule="auto"/>
              <w:rPr>
                <w:i/>
                <w:lang w:val="en-AU"/>
              </w:rPr>
            </w:pPr>
            <w:r w:rsidRPr="00E573E1">
              <w:rPr>
                <w:i/>
                <w:lang w:val="en-AU"/>
              </w:rPr>
              <w:t>Immune system disorders</w:t>
            </w:r>
          </w:p>
        </w:tc>
        <w:tc>
          <w:tcPr>
            <w:tcW w:w="4972" w:type="dxa"/>
            <w:tcBorders>
              <w:top w:val="single" w:sz="4" w:space="0" w:color="auto"/>
              <w:left w:val="single" w:sz="4" w:space="0" w:color="auto"/>
              <w:bottom w:val="single" w:sz="4" w:space="0" w:color="auto"/>
              <w:right w:val="single" w:sz="4" w:space="0" w:color="auto"/>
            </w:tcBorders>
          </w:tcPr>
          <w:p w14:paraId="00379C85" w14:textId="159CFC3A" w:rsidR="00B27165" w:rsidRPr="00E573E1" w:rsidRDefault="00B27165" w:rsidP="00C11150">
            <w:pPr>
              <w:pStyle w:val="TableLeft"/>
              <w:spacing w:line="276" w:lineRule="auto"/>
              <w:rPr>
                <w:lang w:val="en-AU"/>
              </w:rPr>
            </w:pPr>
            <w:r w:rsidRPr="00E573E1">
              <w:rPr>
                <w:lang w:val="en-AU"/>
              </w:rPr>
              <w:t>Hypersensitivity</w:t>
            </w:r>
          </w:p>
        </w:tc>
      </w:tr>
      <w:tr w:rsidR="00B27165" w:rsidRPr="00E573E1" w14:paraId="55A2773A" w14:textId="77777777" w:rsidTr="00B27165">
        <w:trPr>
          <w:cantSplit/>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9D5AC88" w14:textId="77777777" w:rsidR="00B27165" w:rsidRPr="00E573E1" w:rsidRDefault="00B27165" w:rsidP="00C11150">
            <w:pPr>
              <w:spacing w:after="0"/>
              <w:rPr>
                <w:rFonts w:cs="Arial"/>
                <w:bCs/>
                <w:kern w:val="32"/>
                <w:sz w:val="20"/>
                <w:lang w:val="en-AU"/>
              </w:rPr>
            </w:pPr>
          </w:p>
        </w:tc>
        <w:tc>
          <w:tcPr>
            <w:tcW w:w="3117" w:type="dxa"/>
            <w:tcBorders>
              <w:top w:val="single" w:sz="4" w:space="0" w:color="auto"/>
              <w:left w:val="single" w:sz="4" w:space="0" w:color="auto"/>
              <w:bottom w:val="single" w:sz="4" w:space="0" w:color="auto"/>
              <w:right w:val="single" w:sz="4" w:space="0" w:color="auto"/>
            </w:tcBorders>
            <w:hideMark/>
          </w:tcPr>
          <w:p w14:paraId="4548D36B" w14:textId="77777777" w:rsidR="00B27165" w:rsidRPr="00E573E1" w:rsidRDefault="00B27165" w:rsidP="00C11150">
            <w:pPr>
              <w:pStyle w:val="TableLeft"/>
              <w:spacing w:line="276" w:lineRule="auto"/>
              <w:rPr>
                <w:lang w:val="en-AU"/>
              </w:rPr>
            </w:pPr>
            <w:r w:rsidRPr="00E573E1">
              <w:rPr>
                <w:i/>
                <w:lang w:val="en-AU"/>
              </w:rPr>
              <w:t>Psychiatric disorders</w:t>
            </w:r>
          </w:p>
        </w:tc>
        <w:tc>
          <w:tcPr>
            <w:tcW w:w="4972" w:type="dxa"/>
            <w:tcBorders>
              <w:top w:val="single" w:sz="4" w:space="0" w:color="auto"/>
              <w:left w:val="single" w:sz="4" w:space="0" w:color="auto"/>
              <w:bottom w:val="single" w:sz="4" w:space="0" w:color="auto"/>
              <w:right w:val="single" w:sz="4" w:space="0" w:color="auto"/>
            </w:tcBorders>
            <w:hideMark/>
          </w:tcPr>
          <w:p w14:paraId="15E38CEF" w14:textId="4D05077D" w:rsidR="00B27165" w:rsidRPr="00E573E1" w:rsidRDefault="00B27165" w:rsidP="00C11150">
            <w:pPr>
              <w:pStyle w:val="TableLeft"/>
              <w:spacing w:line="276" w:lineRule="auto"/>
              <w:rPr>
                <w:lang w:val="en-AU"/>
              </w:rPr>
            </w:pPr>
            <w:r w:rsidRPr="00E573E1">
              <w:rPr>
                <w:lang w:val="en-AU"/>
              </w:rPr>
              <w:t>Depression, agitation, restlessness, nervousness</w:t>
            </w:r>
          </w:p>
        </w:tc>
      </w:tr>
      <w:tr w:rsidR="00B27165" w:rsidRPr="00E573E1" w14:paraId="3305577A" w14:textId="77777777" w:rsidTr="00B27165">
        <w:trPr>
          <w:cantSplit/>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4C4D412" w14:textId="77777777" w:rsidR="00B27165" w:rsidRPr="00E573E1" w:rsidRDefault="00B27165" w:rsidP="00C11150">
            <w:pPr>
              <w:spacing w:after="0"/>
              <w:rPr>
                <w:rFonts w:cs="Arial"/>
                <w:bCs/>
                <w:kern w:val="32"/>
                <w:sz w:val="20"/>
                <w:lang w:val="en-AU"/>
              </w:rPr>
            </w:pPr>
          </w:p>
        </w:tc>
        <w:tc>
          <w:tcPr>
            <w:tcW w:w="3117" w:type="dxa"/>
            <w:tcBorders>
              <w:top w:val="single" w:sz="4" w:space="0" w:color="auto"/>
              <w:left w:val="single" w:sz="4" w:space="0" w:color="auto"/>
              <w:bottom w:val="single" w:sz="4" w:space="0" w:color="auto"/>
              <w:right w:val="single" w:sz="4" w:space="0" w:color="auto"/>
            </w:tcBorders>
          </w:tcPr>
          <w:p w14:paraId="1E0894E0" w14:textId="4885BDCD" w:rsidR="00B27165" w:rsidRPr="00E573E1" w:rsidRDefault="00B27165" w:rsidP="00C11150">
            <w:pPr>
              <w:pStyle w:val="TableLeft"/>
              <w:spacing w:line="276" w:lineRule="auto"/>
              <w:rPr>
                <w:lang w:val="en-AU"/>
              </w:rPr>
            </w:pPr>
            <w:r w:rsidRPr="00E573E1">
              <w:rPr>
                <w:i/>
                <w:lang w:val="en-AU"/>
              </w:rPr>
              <w:t>Nervous system disorders</w:t>
            </w:r>
          </w:p>
        </w:tc>
        <w:tc>
          <w:tcPr>
            <w:tcW w:w="4972" w:type="dxa"/>
            <w:tcBorders>
              <w:top w:val="single" w:sz="4" w:space="0" w:color="auto"/>
              <w:left w:val="single" w:sz="4" w:space="0" w:color="auto"/>
              <w:bottom w:val="single" w:sz="4" w:space="0" w:color="auto"/>
              <w:right w:val="single" w:sz="4" w:space="0" w:color="auto"/>
            </w:tcBorders>
          </w:tcPr>
          <w:p w14:paraId="4A442326" w14:textId="4DCF4B0C" w:rsidR="00B27165" w:rsidRPr="00E573E1" w:rsidRDefault="00B27165" w:rsidP="00C11150">
            <w:pPr>
              <w:pStyle w:val="TableLeft"/>
              <w:spacing w:line="276" w:lineRule="auto"/>
              <w:rPr>
                <w:lang w:val="en-AU"/>
              </w:rPr>
            </w:pPr>
            <w:r w:rsidRPr="00E573E1">
              <w:rPr>
                <w:lang w:val="en-AU"/>
              </w:rPr>
              <w:t>Tremor, dizziness</w:t>
            </w:r>
          </w:p>
        </w:tc>
      </w:tr>
      <w:tr w:rsidR="00B27165" w:rsidRPr="00E573E1" w14:paraId="373CDAEF" w14:textId="77777777" w:rsidTr="00B27165">
        <w:trPr>
          <w:cantSplit/>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EF9A1A8" w14:textId="77777777" w:rsidR="00B27165" w:rsidRPr="00E573E1" w:rsidRDefault="00B27165" w:rsidP="00C11150">
            <w:pPr>
              <w:spacing w:after="0"/>
              <w:rPr>
                <w:rFonts w:cs="Arial"/>
                <w:bCs/>
                <w:kern w:val="32"/>
                <w:sz w:val="20"/>
                <w:lang w:val="en-AU"/>
              </w:rPr>
            </w:pPr>
          </w:p>
        </w:tc>
        <w:tc>
          <w:tcPr>
            <w:tcW w:w="3117" w:type="dxa"/>
            <w:tcBorders>
              <w:top w:val="single" w:sz="4" w:space="0" w:color="auto"/>
              <w:left w:val="single" w:sz="4" w:space="0" w:color="auto"/>
              <w:bottom w:val="single" w:sz="4" w:space="0" w:color="auto"/>
              <w:right w:val="single" w:sz="4" w:space="0" w:color="auto"/>
            </w:tcBorders>
          </w:tcPr>
          <w:p w14:paraId="79BBAF07" w14:textId="486FDF13" w:rsidR="00B27165" w:rsidRPr="00E573E1" w:rsidRDefault="00B27165" w:rsidP="00C11150">
            <w:pPr>
              <w:pStyle w:val="TableLeft"/>
              <w:spacing w:line="276" w:lineRule="auto"/>
              <w:rPr>
                <w:i/>
                <w:lang w:val="en-AU"/>
              </w:rPr>
            </w:pPr>
            <w:r w:rsidRPr="00E573E1">
              <w:rPr>
                <w:i/>
                <w:lang w:val="en-AU"/>
              </w:rPr>
              <w:t>Cardiac disorders</w:t>
            </w:r>
          </w:p>
        </w:tc>
        <w:tc>
          <w:tcPr>
            <w:tcW w:w="4972" w:type="dxa"/>
            <w:tcBorders>
              <w:top w:val="single" w:sz="4" w:space="0" w:color="auto"/>
              <w:left w:val="single" w:sz="4" w:space="0" w:color="auto"/>
              <w:bottom w:val="single" w:sz="4" w:space="0" w:color="auto"/>
              <w:right w:val="single" w:sz="4" w:space="0" w:color="auto"/>
            </w:tcBorders>
          </w:tcPr>
          <w:p w14:paraId="30368945" w14:textId="55794C58" w:rsidR="00B27165" w:rsidRPr="00E573E1" w:rsidRDefault="00B27165" w:rsidP="00C11150">
            <w:pPr>
              <w:pStyle w:val="TableLeft"/>
              <w:rPr>
                <w:lang w:val="en-AU"/>
              </w:rPr>
            </w:pPr>
            <w:r w:rsidRPr="00E573E1">
              <w:rPr>
                <w:lang w:val="en-AU"/>
              </w:rPr>
              <w:t>Angina pectoris, tachycardia, cardiac arrhythmias (atrial fibrillation, supraventricular tachycardia and extrasystoles)</w:t>
            </w:r>
          </w:p>
        </w:tc>
      </w:tr>
      <w:tr w:rsidR="00B27165" w:rsidRPr="00E573E1" w14:paraId="2D91BB9C" w14:textId="77777777" w:rsidTr="00B27165">
        <w:trPr>
          <w:cantSplit/>
        </w:trPr>
        <w:tc>
          <w:tcPr>
            <w:tcW w:w="1556" w:type="dxa"/>
            <w:vMerge/>
            <w:tcBorders>
              <w:top w:val="single" w:sz="4" w:space="0" w:color="auto"/>
              <w:left w:val="single" w:sz="4" w:space="0" w:color="auto"/>
              <w:bottom w:val="single" w:sz="4" w:space="0" w:color="auto"/>
              <w:right w:val="single" w:sz="4" w:space="0" w:color="auto"/>
            </w:tcBorders>
            <w:vAlign w:val="center"/>
          </w:tcPr>
          <w:p w14:paraId="5E349AE4" w14:textId="77777777" w:rsidR="00B27165" w:rsidRPr="00E573E1" w:rsidRDefault="00B27165" w:rsidP="00C11150">
            <w:pPr>
              <w:spacing w:after="0"/>
              <w:rPr>
                <w:rFonts w:cs="Arial"/>
                <w:bCs/>
                <w:kern w:val="32"/>
                <w:sz w:val="20"/>
                <w:lang w:val="en-AU"/>
              </w:rPr>
            </w:pPr>
          </w:p>
        </w:tc>
        <w:tc>
          <w:tcPr>
            <w:tcW w:w="3117" w:type="dxa"/>
            <w:tcBorders>
              <w:top w:val="single" w:sz="4" w:space="0" w:color="auto"/>
              <w:left w:val="single" w:sz="4" w:space="0" w:color="auto"/>
              <w:bottom w:val="single" w:sz="4" w:space="0" w:color="auto"/>
              <w:right w:val="single" w:sz="4" w:space="0" w:color="auto"/>
            </w:tcBorders>
          </w:tcPr>
          <w:p w14:paraId="2326FC83" w14:textId="1FFB008D" w:rsidR="00B27165" w:rsidRPr="00E573E1" w:rsidRDefault="00B27165" w:rsidP="00C11150">
            <w:pPr>
              <w:pStyle w:val="TableLeft"/>
              <w:spacing w:line="276" w:lineRule="auto"/>
              <w:rPr>
                <w:i/>
                <w:lang w:val="en-AU"/>
              </w:rPr>
            </w:pPr>
            <w:r w:rsidRPr="00E573E1">
              <w:rPr>
                <w:i/>
                <w:lang w:val="en-AU"/>
              </w:rPr>
              <w:t>Respiratory, thoracic &amp; mediastinal disorders</w:t>
            </w:r>
          </w:p>
        </w:tc>
        <w:tc>
          <w:tcPr>
            <w:tcW w:w="4972" w:type="dxa"/>
            <w:tcBorders>
              <w:top w:val="single" w:sz="4" w:space="0" w:color="auto"/>
              <w:left w:val="single" w:sz="4" w:space="0" w:color="auto"/>
              <w:bottom w:val="single" w:sz="4" w:space="0" w:color="auto"/>
              <w:right w:val="single" w:sz="4" w:space="0" w:color="auto"/>
            </w:tcBorders>
          </w:tcPr>
          <w:p w14:paraId="29B205B5" w14:textId="1772DC6D" w:rsidR="00B27165" w:rsidRPr="00E573E1" w:rsidRDefault="00B27165" w:rsidP="00C11150">
            <w:pPr>
              <w:pStyle w:val="TableLeft"/>
              <w:spacing w:line="276" w:lineRule="auto"/>
              <w:rPr>
                <w:lang w:val="en-AU"/>
              </w:rPr>
            </w:pPr>
            <w:r w:rsidRPr="00E573E1">
              <w:rPr>
                <w:lang w:val="en-AU"/>
              </w:rPr>
              <w:t>Throat irritation, bronchospasm</w:t>
            </w:r>
          </w:p>
        </w:tc>
      </w:tr>
      <w:tr w:rsidR="00B27165" w:rsidRPr="00E573E1" w14:paraId="5DA24A95" w14:textId="77777777" w:rsidTr="00B27165">
        <w:trPr>
          <w:cantSplit/>
        </w:trPr>
        <w:tc>
          <w:tcPr>
            <w:tcW w:w="1556" w:type="dxa"/>
            <w:vMerge/>
            <w:tcBorders>
              <w:top w:val="single" w:sz="4" w:space="0" w:color="auto"/>
              <w:left w:val="single" w:sz="4" w:space="0" w:color="auto"/>
              <w:bottom w:val="single" w:sz="4" w:space="0" w:color="auto"/>
              <w:right w:val="single" w:sz="4" w:space="0" w:color="auto"/>
            </w:tcBorders>
            <w:vAlign w:val="center"/>
          </w:tcPr>
          <w:p w14:paraId="307A6034" w14:textId="77777777" w:rsidR="00B27165" w:rsidRPr="00E573E1" w:rsidRDefault="00B27165" w:rsidP="00C11150">
            <w:pPr>
              <w:spacing w:after="0"/>
              <w:rPr>
                <w:rFonts w:cs="Arial"/>
                <w:bCs/>
                <w:kern w:val="32"/>
                <w:sz w:val="20"/>
                <w:lang w:val="en-AU"/>
              </w:rPr>
            </w:pPr>
          </w:p>
        </w:tc>
        <w:tc>
          <w:tcPr>
            <w:tcW w:w="3117" w:type="dxa"/>
            <w:tcBorders>
              <w:top w:val="single" w:sz="4" w:space="0" w:color="auto"/>
              <w:left w:val="single" w:sz="4" w:space="0" w:color="auto"/>
              <w:bottom w:val="single" w:sz="4" w:space="0" w:color="auto"/>
              <w:right w:val="single" w:sz="4" w:space="0" w:color="auto"/>
            </w:tcBorders>
          </w:tcPr>
          <w:p w14:paraId="61C97B36" w14:textId="7C0766D8" w:rsidR="00B27165" w:rsidRPr="00E573E1" w:rsidRDefault="00B27165" w:rsidP="00C11150">
            <w:pPr>
              <w:pStyle w:val="TableLeft"/>
              <w:rPr>
                <w:i/>
                <w:lang w:val="en-AU"/>
              </w:rPr>
            </w:pPr>
            <w:r w:rsidRPr="00E573E1">
              <w:rPr>
                <w:i/>
                <w:lang w:val="en-AU"/>
              </w:rPr>
              <w:t>Gastrointestinal disorders</w:t>
            </w:r>
            <w:r w:rsidRPr="00E573E1">
              <w:rPr>
                <w:i/>
                <w:lang w:val="en-AU"/>
              </w:rPr>
              <w:tab/>
            </w:r>
          </w:p>
        </w:tc>
        <w:tc>
          <w:tcPr>
            <w:tcW w:w="4972" w:type="dxa"/>
            <w:tcBorders>
              <w:top w:val="single" w:sz="4" w:space="0" w:color="auto"/>
              <w:left w:val="single" w:sz="4" w:space="0" w:color="auto"/>
              <w:bottom w:val="single" w:sz="4" w:space="0" w:color="auto"/>
              <w:right w:val="single" w:sz="4" w:space="0" w:color="auto"/>
            </w:tcBorders>
          </w:tcPr>
          <w:p w14:paraId="0988BC09" w14:textId="7505223A" w:rsidR="00B27165" w:rsidRPr="00E573E1" w:rsidRDefault="00B27165" w:rsidP="00C11150">
            <w:pPr>
              <w:pStyle w:val="TableLeft"/>
              <w:spacing w:line="276" w:lineRule="auto"/>
              <w:rPr>
                <w:lang w:val="en-AU"/>
              </w:rPr>
            </w:pPr>
            <w:r w:rsidRPr="00E573E1">
              <w:rPr>
                <w:lang w:val="en-AU"/>
              </w:rPr>
              <w:t>Dry mouth</w:t>
            </w:r>
          </w:p>
        </w:tc>
      </w:tr>
      <w:tr w:rsidR="00B27165" w:rsidRPr="00E573E1" w14:paraId="52C850B0" w14:textId="77777777" w:rsidTr="00B27165">
        <w:trPr>
          <w:cantSplit/>
        </w:trPr>
        <w:tc>
          <w:tcPr>
            <w:tcW w:w="1556" w:type="dxa"/>
            <w:vMerge/>
            <w:tcBorders>
              <w:top w:val="single" w:sz="4" w:space="0" w:color="auto"/>
              <w:left w:val="single" w:sz="4" w:space="0" w:color="auto"/>
              <w:bottom w:val="single" w:sz="4" w:space="0" w:color="auto"/>
              <w:right w:val="single" w:sz="4" w:space="0" w:color="auto"/>
            </w:tcBorders>
            <w:vAlign w:val="center"/>
          </w:tcPr>
          <w:p w14:paraId="6C64F18E" w14:textId="77777777" w:rsidR="00B27165" w:rsidRPr="00E573E1" w:rsidRDefault="00B27165" w:rsidP="00C11150">
            <w:pPr>
              <w:spacing w:after="0"/>
              <w:rPr>
                <w:rFonts w:cs="Arial"/>
                <w:bCs/>
                <w:kern w:val="32"/>
                <w:sz w:val="20"/>
                <w:lang w:val="en-AU"/>
              </w:rPr>
            </w:pPr>
          </w:p>
        </w:tc>
        <w:tc>
          <w:tcPr>
            <w:tcW w:w="3117" w:type="dxa"/>
            <w:tcBorders>
              <w:top w:val="single" w:sz="4" w:space="0" w:color="auto"/>
              <w:left w:val="single" w:sz="4" w:space="0" w:color="auto"/>
              <w:bottom w:val="single" w:sz="4" w:space="0" w:color="auto"/>
              <w:right w:val="single" w:sz="4" w:space="0" w:color="auto"/>
            </w:tcBorders>
          </w:tcPr>
          <w:p w14:paraId="7793D143" w14:textId="67B1C08D" w:rsidR="00B27165" w:rsidRPr="00E573E1" w:rsidRDefault="00B27165" w:rsidP="00C11150">
            <w:pPr>
              <w:pStyle w:val="TableLeft"/>
              <w:rPr>
                <w:i/>
                <w:lang w:val="en-AU"/>
              </w:rPr>
            </w:pPr>
            <w:r w:rsidRPr="00E573E1">
              <w:rPr>
                <w:i/>
                <w:lang w:val="en-AU"/>
              </w:rPr>
              <w:t>Skin &amp; subcutaneous tissue disorders</w:t>
            </w:r>
          </w:p>
        </w:tc>
        <w:tc>
          <w:tcPr>
            <w:tcW w:w="4972" w:type="dxa"/>
            <w:tcBorders>
              <w:top w:val="single" w:sz="4" w:space="0" w:color="auto"/>
              <w:left w:val="single" w:sz="4" w:space="0" w:color="auto"/>
              <w:bottom w:val="single" w:sz="4" w:space="0" w:color="auto"/>
              <w:right w:val="single" w:sz="4" w:space="0" w:color="auto"/>
            </w:tcBorders>
          </w:tcPr>
          <w:p w14:paraId="7CD00121" w14:textId="23B6A9FA" w:rsidR="00B27165" w:rsidRPr="00E573E1" w:rsidRDefault="00B27165" w:rsidP="00C11150">
            <w:pPr>
              <w:pStyle w:val="TableLeft"/>
              <w:spacing w:line="276" w:lineRule="auto"/>
              <w:rPr>
                <w:lang w:val="en-AU"/>
              </w:rPr>
            </w:pPr>
            <w:r w:rsidRPr="00E573E1">
              <w:rPr>
                <w:lang w:val="en-AU"/>
              </w:rPr>
              <w:t>Bruising</w:t>
            </w:r>
          </w:p>
        </w:tc>
      </w:tr>
      <w:tr w:rsidR="00B27165" w:rsidRPr="00E573E1" w14:paraId="7683F263" w14:textId="77777777" w:rsidTr="00B27165">
        <w:trPr>
          <w:cantSplit/>
        </w:trPr>
        <w:tc>
          <w:tcPr>
            <w:tcW w:w="1556" w:type="dxa"/>
            <w:vMerge/>
            <w:tcBorders>
              <w:top w:val="single" w:sz="4" w:space="0" w:color="auto"/>
              <w:left w:val="single" w:sz="4" w:space="0" w:color="auto"/>
              <w:bottom w:val="single" w:sz="4" w:space="0" w:color="auto"/>
              <w:right w:val="single" w:sz="4" w:space="0" w:color="auto"/>
            </w:tcBorders>
            <w:vAlign w:val="center"/>
          </w:tcPr>
          <w:p w14:paraId="704E8112" w14:textId="77777777" w:rsidR="00B27165" w:rsidRPr="00E573E1" w:rsidRDefault="00B27165" w:rsidP="00C11150">
            <w:pPr>
              <w:spacing w:after="0"/>
              <w:rPr>
                <w:rFonts w:cs="Arial"/>
                <w:bCs/>
                <w:kern w:val="32"/>
                <w:sz w:val="20"/>
                <w:lang w:val="en-AU"/>
              </w:rPr>
            </w:pPr>
          </w:p>
        </w:tc>
        <w:tc>
          <w:tcPr>
            <w:tcW w:w="3117" w:type="dxa"/>
            <w:tcBorders>
              <w:top w:val="single" w:sz="4" w:space="0" w:color="auto"/>
              <w:left w:val="single" w:sz="4" w:space="0" w:color="auto"/>
              <w:bottom w:val="single" w:sz="4" w:space="0" w:color="auto"/>
              <w:right w:val="single" w:sz="4" w:space="0" w:color="auto"/>
            </w:tcBorders>
          </w:tcPr>
          <w:p w14:paraId="0EBA7080" w14:textId="6840D7BD" w:rsidR="00B27165" w:rsidRPr="00E573E1" w:rsidRDefault="00B27165" w:rsidP="00C11150">
            <w:pPr>
              <w:pStyle w:val="TableLeft"/>
              <w:rPr>
                <w:i/>
                <w:lang w:val="en-AU"/>
              </w:rPr>
            </w:pPr>
            <w:r w:rsidRPr="00E573E1">
              <w:rPr>
                <w:i/>
                <w:lang w:val="en-AU"/>
              </w:rPr>
              <w:t>Renal &amp; urinary disorders</w:t>
            </w:r>
          </w:p>
        </w:tc>
        <w:tc>
          <w:tcPr>
            <w:tcW w:w="4972" w:type="dxa"/>
            <w:tcBorders>
              <w:top w:val="single" w:sz="4" w:space="0" w:color="auto"/>
              <w:left w:val="single" w:sz="4" w:space="0" w:color="auto"/>
              <w:bottom w:val="single" w:sz="4" w:space="0" w:color="auto"/>
              <w:right w:val="single" w:sz="4" w:space="0" w:color="auto"/>
            </w:tcBorders>
          </w:tcPr>
          <w:p w14:paraId="217A93C7" w14:textId="63F5D4AF" w:rsidR="00B27165" w:rsidRPr="00E573E1" w:rsidRDefault="00B27165" w:rsidP="00C11150">
            <w:pPr>
              <w:pStyle w:val="TableLeft"/>
              <w:spacing w:line="276" w:lineRule="auto"/>
              <w:rPr>
                <w:lang w:val="en-AU"/>
              </w:rPr>
            </w:pPr>
            <w:r w:rsidRPr="00E573E1">
              <w:rPr>
                <w:lang w:val="en-AU"/>
              </w:rPr>
              <w:t>Urinary retention</w:t>
            </w:r>
          </w:p>
        </w:tc>
      </w:tr>
      <w:tr w:rsidR="00B27165" w:rsidRPr="00E573E1" w14:paraId="712E5FD0" w14:textId="77777777" w:rsidTr="00B27165">
        <w:trPr>
          <w:cantSplit/>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0143E68C" w14:textId="77777777" w:rsidR="00B27165" w:rsidRPr="00E573E1" w:rsidRDefault="00B27165" w:rsidP="00C11150">
            <w:pPr>
              <w:spacing w:after="0"/>
              <w:rPr>
                <w:rFonts w:cs="Arial"/>
                <w:bCs/>
                <w:kern w:val="32"/>
                <w:sz w:val="20"/>
                <w:lang w:val="en-AU"/>
              </w:rPr>
            </w:pPr>
          </w:p>
        </w:tc>
        <w:tc>
          <w:tcPr>
            <w:tcW w:w="3117" w:type="dxa"/>
            <w:tcBorders>
              <w:top w:val="single" w:sz="4" w:space="0" w:color="auto"/>
              <w:left w:val="single" w:sz="4" w:space="0" w:color="auto"/>
              <w:bottom w:val="single" w:sz="4" w:space="0" w:color="auto"/>
              <w:right w:val="single" w:sz="4" w:space="0" w:color="auto"/>
            </w:tcBorders>
            <w:hideMark/>
          </w:tcPr>
          <w:p w14:paraId="24F0342B" w14:textId="3C851A07" w:rsidR="00B27165" w:rsidRPr="00E573E1" w:rsidRDefault="00B27165" w:rsidP="00C11150">
            <w:pPr>
              <w:pStyle w:val="TableLeft"/>
              <w:spacing w:line="276" w:lineRule="auto"/>
              <w:rPr>
                <w:i/>
                <w:lang w:val="en-AU"/>
              </w:rPr>
            </w:pPr>
            <w:r w:rsidRPr="00E573E1">
              <w:rPr>
                <w:i/>
                <w:lang w:val="en-AU"/>
              </w:rPr>
              <w:t>General disorders &amp; administration site conditions</w:t>
            </w:r>
          </w:p>
        </w:tc>
        <w:tc>
          <w:tcPr>
            <w:tcW w:w="4972" w:type="dxa"/>
            <w:tcBorders>
              <w:top w:val="single" w:sz="4" w:space="0" w:color="auto"/>
              <w:left w:val="single" w:sz="4" w:space="0" w:color="auto"/>
              <w:bottom w:val="single" w:sz="4" w:space="0" w:color="auto"/>
              <w:right w:val="single" w:sz="4" w:space="0" w:color="auto"/>
            </w:tcBorders>
          </w:tcPr>
          <w:p w14:paraId="2E0E2F03" w14:textId="55D1B11D" w:rsidR="00B27165" w:rsidRPr="00E573E1" w:rsidRDefault="00B27165" w:rsidP="00C11150">
            <w:pPr>
              <w:pStyle w:val="TableLeft"/>
              <w:spacing w:line="276" w:lineRule="auto"/>
              <w:rPr>
                <w:lang w:val="en-AU"/>
              </w:rPr>
            </w:pPr>
            <w:r w:rsidRPr="00E573E1">
              <w:rPr>
                <w:lang w:val="en-AU"/>
              </w:rPr>
              <w:t>Chest pain</w:t>
            </w:r>
          </w:p>
        </w:tc>
      </w:tr>
      <w:tr w:rsidR="00B27165" w:rsidRPr="00E573E1" w14:paraId="43293E0B" w14:textId="77777777" w:rsidTr="00B27165">
        <w:trPr>
          <w:cantSplit/>
        </w:trPr>
        <w:tc>
          <w:tcPr>
            <w:tcW w:w="1556" w:type="dxa"/>
            <w:vMerge w:val="restart"/>
            <w:tcBorders>
              <w:top w:val="single" w:sz="4" w:space="0" w:color="auto"/>
              <w:left w:val="single" w:sz="4" w:space="0" w:color="auto"/>
              <w:right w:val="single" w:sz="4" w:space="0" w:color="auto"/>
            </w:tcBorders>
          </w:tcPr>
          <w:p w14:paraId="04FE5088" w14:textId="09316DFE" w:rsidR="00B27165" w:rsidRPr="00E573E1" w:rsidRDefault="00B27165" w:rsidP="00C11150">
            <w:pPr>
              <w:spacing w:after="0"/>
              <w:rPr>
                <w:rFonts w:cs="Arial"/>
                <w:bCs/>
                <w:kern w:val="32"/>
                <w:sz w:val="20"/>
                <w:lang w:val="en-AU"/>
              </w:rPr>
            </w:pPr>
            <w:r w:rsidRPr="00E573E1">
              <w:rPr>
                <w:rFonts w:cs="Arial"/>
                <w:bCs/>
                <w:kern w:val="32"/>
                <w:sz w:val="20"/>
                <w:lang w:val="en-AU"/>
              </w:rPr>
              <w:t>Very rare</w:t>
            </w:r>
            <w:r w:rsidRPr="00E573E1">
              <w:rPr>
                <w:rFonts w:cs="Arial"/>
                <w:bCs/>
                <w:kern w:val="32"/>
                <w:sz w:val="20"/>
                <w:lang w:val="en-AU"/>
              </w:rPr>
              <w:br/>
              <w:t>(&lt;0.01%)</w:t>
            </w:r>
          </w:p>
        </w:tc>
        <w:tc>
          <w:tcPr>
            <w:tcW w:w="3117" w:type="dxa"/>
            <w:tcBorders>
              <w:top w:val="single" w:sz="4" w:space="0" w:color="auto"/>
              <w:left w:val="single" w:sz="4" w:space="0" w:color="auto"/>
              <w:bottom w:val="single" w:sz="4" w:space="0" w:color="auto"/>
              <w:right w:val="single" w:sz="4" w:space="0" w:color="auto"/>
            </w:tcBorders>
          </w:tcPr>
          <w:p w14:paraId="2B642BED" w14:textId="20CB9790" w:rsidR="00B27165" w:rsidRPr="00E573E1" w:rsidRDefault="00B27165" w:rsidP="00C11150">
            <w:pPr>
              <w:pStyle w:val="TableLeft"/>
              <w:spacing w:line="276" w:lineRule="auto"/>
              <w:rPr>
                <w:i/>
                <w:lang w:val="en-AU"/>
              </w:rPr>
            </w:pPr>
            <w:r w:rsidRPr="00E573E1">
              <w:rPr>
                <w:i/>
                <w:lang w:val="en-AU"/>
              </w:rPr>
              <w:t>Endocrine disorders</w:t>
            </w:r>
          </w:p>
        </w:tc>
        <w:tc>
          <w:tcPr>
            <w:tcW w:w="4972" w:type="dxa"/>
            <w:tcBorders>
              <w:top w:val="single" w:sz="4" w:space="0" w:color="auto"/>
              <w:left w:val="single" w:sz="4" w:space="0" w:color="auto"/>
              <w:bottom w:val="single" w:sz="4" w:space="0" w:color="auto"/>
              <w:right w:val="single" w:sz="4" w:space="0" w:color="auto"/>
            </w:tcBorders>
          </w:tcPr>
          <w:p w14:paraId="3CF5F79E" w14:textId="192B8A3B" w:rsidR="00B27165" w:rsidRPr="00E573E1" w:rsidRDefault="00B27165" w:rsidP="00C11150">
            <w:pPr>
              <w:pStyle w:val="TableLeft"/>
              <w:spacing w:line="276" w:lineRule="auto"/>
              <w:rPr>
                <w:lang w:val="en-AU"/>
              </w:rPr>
            </w:pPr>
            <w:r w:rsidRPr="00E573E1">
              <w:rPr>
                <w:lang w:val="en-AU"/>
              </w:rPr>
              <w:t xml:space="preserve">Signs or symptoms of systemic </w:t>
            </w:r>
            <w:proofErr w:type="spellStart"/>
            <w:r w:rsidRPr="00E573E1">
              <w:rPr>
                <w:lang w:val="en-AU"/>
              </w:rPr>
              <w:t>glucocorticosteroid</w:t>
            </w:r>
            <w:proofErr w:type="spellEnd"/>
            <w:r w:rsidRPr="00E573E1">
              <w:rPr>
                <w:lang w:val="en-AU"/>
              </w:rPr>
              <w:t xml:space="preserve"> effects (</w:t>
            </w:r>
            <w:proofErr w:type="gramStart"/>
            <w:r w:rsidRPr="00E573E1">
              <w:rPr>
                <w:lang w:val="en-AU"/>
              </w:rPr>
              <w:t>e</w:t>
            </w:r>
            <w:r w:rsidR="00EA14C0">
              <w:rPr>
                <w:lang w:val="en-AU"/>
              </w:rPr>
              <w:t>.</w:t>
            </w:r>
            <w:r w:rsidRPr="00E573E1">
              <w:rPr>
                <w:lang w:val="en-AU"/>
              </w:rPr>
              <w:t>g</w:t>
            </w:r>
            <w:r w:rsidR="00EA14C0">
              <w:rPr>
                <w:lang w:val="en-AU"/>
              </w:rPr>
              <w:t>.</w:t>
            </w:r>
            <w:proofErr w:type="gramEnd"/>
            <w:r w:rsidRPr="00E573E1">
              <w:rPr>
                <w:lang w:val="en-AU"/>
              </w:rPr>
              <w:t xml:space="preserve"> hypofunctions of the adrenal gland)</w:t>
            </w:r>
          </w:p>
        </w:tc>
      </w:tr>
      <w:tr w:rsidR="00B27165" w:rsidRPr="00E573E1" w14:paraId="0FD59BB9" w14:textId="77777777" w:rsidTr="00B27165">
        <w:trPr>
          <w:cantSplit/>
        </w:trPr>
        <w:tc>
          <w:tcPr>
            <w:tcW w:w="1556" w:type="dxa"/>
            <w:vMerge/>
            <w:tcBorders>
              <w:left w:val="single" w:sz="4" w:space="0" w:color="auto"/>
              <w:bottom w:val="single" w:sz="4" w:space="0" w:color="auto"/>
              <w:right w:val="single" w:sz="4" w:space="0" w:color="auto"/>
            </w:tcBorders>
            <w:vAlign w:val="center"/>
          </w:tcPr>
          <w:p w14:paraId="399AD0D6" w14:textId="77777777" w:rsidR="00B27165" w:rsidRPr="00E573E1" w:rsidRDefault="00B27165" w:rsidP="00C11150">
            <w:pPr>
              <w:spacing w:after="0"/>
              <w:rPr>
                <w:rFonts w:cs="Arial"/>
                <w:bCs/>
                <w:kern w:val="32"/>
                <w:sz w:val="20"/>
                <w:lang w:val="en-AU"/>
              </w:rPr>
            </w:pPr>
          </w:p>
        </w:tc>
        <w:tc>
          <w:tcPr>
            <w:tcW w:w="3117" w:type="dxa"/>
            <w:tcBorders>
              <w:top w:val="single" w:sz="4" w:space="0" w:color="auto"/>
              <w:left w:val="single" w:sz="4" w:space="0" w:color="auto"/>
              <w:bottom w:val="single" w:sz="4" w:space="0" w:color="auto"/>
              <w:right w:val="single" w:sz="4" w:space="0" w:color="auto"/>
            </w:tcBorders>
          </w:tcPr>
          <w:p w14:paraId="034A70B8" w14:textId="3D8221BD" w:rsidR="00B27165" w:rsidRPr="00E573E1" w:rsidRDefault="00B27165" w:rsidP="00C11150">
            <w:pPr>
              <w:pStyle w:val="TableLeft"/>
              <w:spacing w:line="276" w:lineRule="auto"/>
              <w:rPr>
                <w:i/>
                <w:lang w:val="en-AU"/>
              </w:rPr>
            </w:pPr>
            <w:r w:rsidRPr="00E573E1">
              <w:rPr>
                <w:i/>
                <w:lang w:val="en-AU"/>
              </w:rPr>
              <w:t>Psychiatric disorders</w:t>
            </w:r>
          </w:p>
        </w:tc>
        <w:tc>
          <w:tcPr>
            <w:tcW w:w="4972" w:type="dxa"/>
            <w:tcBorders>
              <w:top w:val="single" w:sz="4" w:space="0" w:color="auto"/>
              <w:left w:val="single" w:sz="4" w:space="0" w:color="auto"/>
              <w:bottom w:val="single" w:sz="4" w:space="0" w:color="auto"/>
              <w:right w:val="single" w:sz="4" w:space="0" w:color="auto"/>
            </w:tcBorders>
          </w:tcPr>
          <w:p w14:paraId="59D3078D" w14:textId="65156A0E" w:rsidR="00B27165" w:rsidRPr="00E573E1" w:rsidRDefault="00B27165" w:rsidP="00C11150">
            <w:pPr>
              <w:pStyle w:val="TableLeft"/>
              <w:spacing w:line="276" w:lineRule="auto"/>
              <w:rPr>
                <w:lang w:val="en-AU"/>
              </w:rPr>
            </w:pPr>
            <w:r w:rsidRPr="00E573E1">
              <w:rPr>
                <w:lang w:val="en-AU"/>
              </w:rPr>
              <w:t>Abnormal behaviour</w:t>
            </w:r>
          </w:p>
        </w:tc>
      </w:tr>
    </w:tbl>
    <w:p w14:paraId="4B54BC7E" w14:textId="630746AF" w:rsidR="003B5CE7" w:rsidRPr="00E573E1" w:rsidRDefault="003B5CE7" w:rsidP="00C11150">
      <w:pPr>
        <w:pStyle w:val="TableFootnoteLetter"/>
        <w:numPr>
          <w:ilvl w:val="0"/>
          <w:numId w:val="14"/>
        </w:numPr>
        <w:rPr>
          <w:lang w:val="en-AU"/>
        </w:rPr>
      </w:pPr>
      <w:r w:rsidRPr="00E573E1">
        <w:rPr>
          <w:lang w:val="en-AU"/>
        </w:rPr>
        <w:t xml:space="preserve">See </w:t>
      </w:r>
      <w:r w:rsidRPr="00E573E1">
        <w:rPr>
          <w:lang w:val="en-AU"/>
        </w:rPr>
        <w:fldChar w:fldCharType="begin"/>
      </w:r>
      <w:r w:rsidRPr="00E573E1">
        <w:rPr>
          <w:lang w:val="en-AU"/>
        </w:rPr>
        <w:instrText xml:space="preserve"> REF _Ref504480194 \h </w:instrText>
      </w:r>
      <w:r w:rsidRPr="00E573E1">
        <w:rPr>
          <w:lang w:val="en-AU"/>
        </w:rPr>
      </w:r>
      <w:r w:rsidR="00C11150">
        <w:rPr>
          <w:lang w:val="en-AU"/>
        </w:rPr>
        <w:instrText xml:space="preserve"> \* MERGEFORMAT </w:instrText>
      </w:r>
      <w:r w:rsidRPr="00E573E1">
        <w:rPr>
          <w:lang w:val="en-AU"/>
        </w:rPr>
        <w:fldChar w:fldCharType="separate"/>
      </w:r>
      <w:r w:rsidR="00960F91" w:rsidRPr="00E573E1">
        <w:rPr>
          <w:lang w:val="en-AU"/>
        </w:rPr>
        <w:t xml:space="preserve">Table </w:t>
      </w:r>
      <w:r w:rsidR="00960F91">
        <w:rPr>
          <w:noProof/>
          <w:lang w:val="en-AU"/>
        </w:rPr>
        <w:t>2</w:t>
      </w:r>
      <w:r w:rsidRPr="00E573E1">
        <w:rPr>
          <w:lang w:val="en-AU"/>
        </w:rPr>
        <w:fldChar w:fldCharType="end"/>
      </w:r>
      <w:r w:rsidRPr="00E573E1">
        <w:rPr>
          <w:lang w:val="en-AU"/>
        </w:rPr>
        <w:t xml:space="preserve"> for common ADR reported in 2% or more of patients receiving BREZTRI AEROSPHERE</w:t>
      </w:r>
    </w:p>
    <w:p w14:paraId="0338F605" w14:textId="06213663" w:rsidR="00C2565D" w:rsidRPr="00E573E1" w:rsidRDefault="009D378D" w:rsidP="00C11150">
      <w:pPr>
        <w:pStyle w:val="TableFootnoteInfo"/>
        <w:rPr>
          <w:lang w:val="en-AU"/>
        </w:rPr>
      </w:pPr>
      <w:r w:rsidRPr="00E573E1">
        <w:rPr>
          <w:lang w:val="en-AU"/>
        </w:rPr>
        <w:t>MedDRA – Medical Dictionary for Regulatory Activities</w:t>
      </w:r>
    </w:p>
    <w:p w14:paraId="2B03D91A" w14:textId="77777777" w:rsidR="009D378D" w:rsidRPr="00F36832" w:rsidRDefault="009D378D" w:rsidP="00C11150">
      <w:pPr>
        <w:pStyle w:val="Paragraph"/>
        <w:spacing w:after="0"/>
        <w:rPr>
          <w:iCs/>
          <w:lang w:val="en-AU"/>
        </w:rPr>
      </w:pPr>
    </w:p>
    <w:p w14:paraId="6BD57C78" w14:textId="4330323B" w:rsidR="003C6DB1" w:rsidRPr="00E573E1" w:rsidRDefault="003C6DB1" w:rsidP="00C11150">
      <w:pPr>
        <w:pStyle w:val="Paragraph"/>
        <w:rPr>
          <w:i/>
          <w:lang w:val="en-AU"/>
        </w:rPr>
      </w:pPr>
      <w:r w:rsidRPr="00E573E1">
        <w:rPr>
          <w:i/>
          <w:lang w:val="en-AU"/>
        </w:rPr>
        <w:t>Pneumonia</w:t>
      </w:r>
    </w:p>
    <w:p w14:paraId="198ADBE0" w14:textId="25544B4C" w:rsidR="003C6DB1" w:rsidRPr="00E573E1" w:rsidRDefault="003C6DB1" w:rsidP="00C11150">
      <w:pPr>
        <w:pStyle w:val="Paragraph"/>
        <w:rPr>
          <w:lang w:val="en-AU"/>
        </w:rPr>
      </w:pPr>
      <w:r w:rsidRPr="00E573E1">
        <w:rPr>
          <w:lang w:val="en-AU"/>
        </w:rPr>
        <w:t xml:space="preserve">In KRONOS the incidence of confirmed pneumonia was 1.9% with BREZTRI AEROSPHERE 160/7.2/5, 1.9% with BFF MDI 160/5 and 1.6% with </w:t>
      </w:r>
      <w:r w:rsidR="00EB0018">
        <w:rPr>
          <w:lang w:val="en-AU"/>
        </w:rPr>
        <w:t>GFF MDI</w:t>
      </w:r>
      <w:r w:rsidRPr="00E573E1">
        <w:rPr>
          <w:lang w:val="en-AU"/>
        </w:rPr>
        <w:t xml:space="preserve"> 7.2/5.</w:t>
      </w:r>
    </w:p>
    <w:p w14:paraId="43620DD4" w14:textId="0AA503AB" w:rsidR="003C6DB1" w:rsidRPr="00E573E1" w:rsidRDefault="003C6DB1" w:rsidP="00C11150">
      <w:pPr>
        <w:pStyle w:val="Paragraph"/>
        <w:rPr>
          <w:lang w:val="en-AU"/>
        </w:rPr>
      </w:pPr>
      <w:r w:rsidRPr="00E573E1">
        <w:rPr>
          <w:lang w:val="en-AU"/>
        </w:rPr>
        <w:t xml:space="preserve">In ETHOS the incidence of confirmed pneumonia was 4.2% with BREZTRI AEROSPHERE 160/7.2/5, 4.5% with BFF MDI 160/5 and 2.3% with </w:t>
      </w:r>
      <w:r w:rsidR="00EB0018">
        <w:rPr>
          <w:lang w:val="en-AU"/>
        </w:rPr>
        <w:t>GFF MDI</w:t>
      </w:r>
      <w:r w:rsidRPr="00E573E1">
        <w:rPr>
          <w:lang w:val="en-AU"/>
        </w:rPr>
        <w:t xml:space="preserve"> 7.2/5.</w:t>
      </w:r>
    </w:p>
    <w:p w14:paraId="561959F8" w14:textId="63BEF287" w:rsidR="00355637" w:rsidRPr="00E573E1" w:rsidRDefault="00355637" w:rsidP="00C11150">
      <w:pPr>
        <w:pStyle w:val="Paragraph"/>
        <w:rPr>
          <w:i/>
          <w:lang w:val="en-AU"/>
        </w:rPr>
      </w:pPr>
      <w:r w:rsidRPr="00E573E1">
        <w:rPr>
          <w:i/>
          <w:lang w:val="en-AU"/>
        </w:rPr>
        <w:t xml:space="preserve">Bone mineral density and ocular endpoints </w:t>
      </w:r>
    </w:p>
    <w:p w14:paraId="3430F4C9" w14:textId="778A7CCD" w:rsidR="00355637" w:rsidRPr="00E573E1" w:rsidRDefault="00355637" w:rsidP="00C11150">
      <w:pPr>
        <w:pStyle w:val="Paragraph"/>
        <w:rPr>
          <w:lang w:val="en-AU"/>
        </w:rPr>
      </w:pPr>
      <w:r w:rsidRPr="00E573E1">
        <w:rPr>
          <w:lang w:val="en-AU"/>
        </w:rPr>
        <w:t xml:space="preserve">In a subset of patients treated for up to 52 weeks </w:t>
      </w:r>
      <w:r w:rsidR="007461B2" w:rsidRPr="00E573E1">
        <w:rPr>
          <w:lang w:val="en-AU"/>
        </w:rPr>
        <w:t>(</w:t>
      </w:r>
      <w:r w:rsidRPr="00E573E1">
        <w:rPr>
          <w:lang w:val="en-AU"/>
        </w:rPr>
        <w:t>KRONOS</w:t>
      </w:r>
      <w:r w:rsidR="007461B2" w:rsidRPr="00E573E1">
        <w:rPr>
          <w:lang w:val="en-AU"/>
        </w:rPr>
        <w:t xml:space="preserve"> follow-up study </w:t>
      </w:r>
      <w:r w:rsidR="00282D4F" w:rsidRPr="00E573E1">
        <w:rPr>
          <w:lang w:val="en-AU"/>
        </w:rPr>
        <w:t>PT010008</w:t>
      </w:r>
      <w:r w:rsidR="007461B2" w:rsidRPr="00E573E1">
        <w:rPr>
          <w:lang w:val="en-AU"/>
        </w:rPr>
        <w:t>)</w:t>
      </w:r>
      <w:r w:rsidRPr="00E573E1">
        <w:rPr>
          <w:lang w:val="en-AU"/>
        </w:rPr>
        <w:t xml:space="preserve">, BREZTRI AEROSPHERE 160/7.2/5 was non-inferior to </w:t>
      </w:r>
      <w:r w:rsidR="00EB0018">
        <w:rPr>
          <w:lang w:val="en-AU"/>
        </w:rPr>
        <w:t>GFF MDI</w:t>
      </w:r>
      <w:r w:rsidRPr="00E573E1">
        <w:rPr>
          <w:lang w:val="en-AU"/>
        </w:rPr>
        <w:t xml:space="preserve"> for the primary bone mineral density and ocular endpoints</w:t>
      </w:r>
      <w:r w:rsidR="00F4658E">
        <w:rPr>
          <w:lang w:val="en-AU"/>
        </w:rPr>
        <w:t xml:space="preserve"> with treatment differences </w:t>
      </w:r>
      <w:r w:rsidR="00F4658E" w:rsidRPr="00F4658E">
        <w:rPr>
          <w:lang w:val="en-AU"/>
        </w:rPr>
        <w:t>[95% CI]: -0.5% [-1.4%, 0.5%]</w:t>
      </w:r>
      <w:r w:rsidR="00F4658E">
        <w:rPr>
          <w:lang w:val="en-AU"/>
        </w:rPr>
        <w:t xml:space="preserve"> and </w:t>
      </w:r>
      <w:r w:rsidR="00F4658E" w:rsidRPr="00F4658E">
        <w:rPr>
          <w:lang w:val="en-AU"/>
        </w:rPr>
        <w:t>[95% CI]: 0.1% [0.0, 0.2%]</w:t>
      </w:r>
      <w:r w:rsidR="00F4658E">
        <w:rPr>
          <w:lang w:val="en-AU"/>
        </w:rPr>
        <w:t>, respectively</w:t>
      </w:r>
      <w:r w:rsidRPr="00E573E1">
        <w:rPr>
          <w:lang w:val="en-AU"/>
        </w:rPr>
        <w:t>.</w:t>
      </w:r>
    </w:p>
    <w:p w14:paraId="37E4D62A" w14:textId="77777777" w:rsidR="00DF3302" w:rsidRPr="00E573E1" w:rsidRDefault="00DF3302" w:rsidP="00C11150">
      <w:pPr>
        <w:pStyle w:val="Heading3Unnumbered"/>
        <w:rPr>
          <w:lang w:val="en-AU"/>
        </w:rPr>
      </w:pPr>
      <w:r w:rsidRPr="00E573E1">
        <w:rPr>
          <w:lang w:val="en-AU"/>
        </w:rPr>
        <w:t xml:space="preserve">Reporting suspected adverse </w:t>
      </w:r>
      <w:r w:rsidR="002803FC" w:rsidRPr="00E573E1">
        <w:rPr>
          <w:lang w:val="en-AU"/>
        </w:rPr>
        <w:t>effects</w:t>
      </w:r>
    </w:p>
    <w:p w14:paraId="04414291" w14:textId="77777777" w:rsidR="001D3AF3" w:rsidRPr="00E573E1" w:rsidRDefault="00DF3302" w:rsidP="00C11150">
      <w:pPr>
        <w:pStyle w:val="Paragraph"/>
        <w:rPr>
          <w:lang w:val="en-AU"/>
        </w:rPr>
      </w:pPr>
      <w:r w:rsidRPr="00E573E1">
        <w:rPr>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r w:rsidR="00F06F31" w:rsidRPr="00E573E1">
        <w:rPr>
          <w:lang w:val="en-AU"/>
        </w:rPr>
        <w:t>www.tga.gov.au/reporting-problems</w:t>
      </w:r>
      <w:r w:rsidRPr="00E573E1">
        <w:rPr>
          <w:lang w:val="en-AU"/>
        </w:rPr>
        <w:t>.</w:t>
      </w:r>
    </w:p>
    <w:p w14:paraId="56A3606F" w14:textId="77777777" w:rsidR="001A3992" w:rsidRPr="00E573E1" w:rsidRDefault="001A3992" w:rsidP="00C11150">
      <w:pPr>
        <w:pStyle w:val="Heading2"/>
        <w:rPr>
          <w:lang w:val="en-AU"/>
        </w:rPr>
      </w:pPr>
      <w:r w:rsidRPr="00E573E1">
        <w:rPr>
          <w:lang w:val="en-AU"/>
        </w:rPr>
        <w:lastRenderedPageBreak/>
        <w:t>Overdose</w:t>
      </w:r>
    </w:p>
    <w:p w14:paraId="48AEEFB5" w14:textId="07B28F71" w:rsidR="003C6DB1" w:rsidRPr="00E573E1" w:rsidRDefault="003C6DB1" w:rsidP="00C11150">
      <w:pPr>
        <w:pStyle w:val="Paragraph"/>
        <w:rPr>
          <w:lang w:val="en-AU"/>
        </w:rPr>
      </w:pPr>
      <w:r w:rsidRPr="00E573E1">
        <w:rPr>
          <w:lang w:val="en-AU"/>
        </w:rPr>
        <w:t>There is limited evidence on the management of overdose with BREZTRI AEROSPHERE.</w:t>
      </w:r>
    </w:p>
    <w:p w14:paraId="3DBA8E13" w14:textId="00D3B594" w:rsidR="003C6DB1" w:rsidRPr="00E573E1" w:rsidRDefault="003C6DB1" w:rsidP="00C11150">
      <w:pPr>
        <w:pStyle w:val="Paragraph"/>
        <w:rPr>
          <w:lang w:val="en-AU"/>
        </w:rPr>
      </w:pPr>
      <w:r w:rsidRPr="00E573E1">
        <w:rPr>
          <w:lang w:val="en-AU"/>
        </w:rPr>
        <w:t>An overdose of BREZTRI AEROSPHERE may lead to exaggerated anticholinergic and/or β</w:t>
      </w:r>
      <w:r w:rsidRPr="00E573E1">
        <w:rPr>
          <w:vertAlign w:val="subscript"/>
          <w:lang w:val="en-AU"/>
        </w:rPr>
        <w:t>2</w:t>
      </w:r>
      <w:r w:rsidRPr="00E573E1">
        <w:rPr>
          <w:lang w:val="en-AU"/>
        </w:rPr>
        <w:t xml:space="preserve">-adrenergic signs and symptoms; the most frequent of which include blurred vision, dry mouth, nausea, muscle spasm, tremor, headache, </w:t>
      </w:r>
      <w:proofErr w:type="gramStart"/>
      <w:r w:rsidRPr="00E573E1">
        <w:rPr>
          <w:lang w:val="en-AU"/>
        </w:rPr>
        <w:t>palpitations</w:t>
      </w:r>
      <w:proofErr w:type="gramEnd"/>
      <w:r w:rsidRPr="00E573E1">
        <w:rPr>
          <w:lang w:val="en-AU"/>
        </w:rPr>
        <w:t xml:space="preserve"> and systolic hypertension. Acute overdosage with budesonide, even in excessive doses, is not expected to be a clinical problem.</w:t>
      </w:r>
    </w:p>
    <w:p w14:paraId="37217784" w14:textId="38E935C9" w:rsidR="003C6DB1" w:rsidRPr="00E573E1" w:rsidRDefault="003C6DB1" w:rsidP="00C11150">
      <w:pPr>
        <w:pStyle w:val="Paragraph"/>
        <w:rPr>
          <w:lang w:val="en-AU"/>
        </w:rPr>
      </w:pPr>
      <w:r w:rsidRPr="00E573E1">
        <w:rPr>
          <w:lang w:val="en-AU"/>
        </w:rPr>
        <w:t xml:space="preserve">When used chronically in excessive doses, systemic </w:t>
      </w:r>
      <w:proofErr w:type="spellStart"/>
      <w:r w:rsidRPr="00E573E1">
        <w:rPr>
          <w:lang w:val="en-AU"/>
        </w:rPr>
        <w:t>glucocorticosteroid</w:t>
      </w:r>
      <w:proofErr w:type="spellEnd"/>
      <w:r w:rsidRPr="00E573E1">
        <w:rPr>
          <w:lang w:val="en-AU"/>
        </w:rPr>
        <w:t xml:space="preserve"> effects may appear.</w:t>
      </w:r>
    </w:p>
    <w:p w14:paraId="6DB5DBE9" w14:textId="77777777" w:rsidR="00EC6FD9" w:rsidRPr="00E573E1" w:rsidRDefault="00EC6FD9" w:rsidP="00C11150">
      <w:pPr>
        <w:pStyle w:val="Paragraph"/>
        <w:rPr>
          <w:lang w:val="en-AU"/>
        </w:rPr>
      </w:pPr>
      <w:r w:rsidRPr="00E573E1">
        <w:rPr>
          <w:lang w:val="en-AU"/>
        </w:rPr>
        <w:t>For information on the management of overdose, contact the Poison Information Centre on 131126 (Australia).</w:t>
      </w:r>
    </w:p>
    <w:p w14:paraId="5A3D12C1" w14:textId="77777777" w:rsidR="001A3992" w:rsidRPr="00E573E1" w:rsidRDefault="001A3992" w:rsidP="00C11150">
      <w:pPr>
        <w:pStyle w:val="Heading1"/>
        <w:keepNext w:val="0"/>
        <w:rPr>
          <w:lang w:val="en-AU"/>
        </w:rPr>
      </w:pPr>
      <w:r w:rsidRPr="00E573E1">
        <w:rPr>
          <w:lang w:val="en-AU"/>
        </w:rPr>
        <w:t>Pharmacological properties</w:t>
      </w:r>
    </w:p>
    <w:p w14:paraId="74054F33" w14:textId="77777777" w:rsidR="001A3992" w:rsidRPr="00E573E1" w:rsidRDefault="007403BD" w:rsidP="00C11150">
      <w:pPr>
        <w:pStyle w:val="Heading2"/>
        <w:rPr>
          <w:lang w:val="en-AU"/>
        </w:rPr>
      </w:pPr>
      <w:bookmarkStart w:id="21" w:name="_Ref37058126"/>
      <w:r w:rsidRPr="00E573E1">
        <w:rPr>
          <w:lang w:val="en-AU"/>
        </w:rPr>
        <w:t>Pharmacodynamic properties</w:t>
      </w:r>
      <w:bookmarkEnd w:id="21"/>
    </w:p>
    <w:p w14:paraId="7653548B" w14:textId="77777777" w:rsidR="001A3992" w:rsidRPr="00E573E1" w:rsidRDefault="001A3992" w:rsidP="00C11150">
      <w:pPr>
        <w:pStyle w:val="Heading3Unnumbered"/>
        <w:rPr>
          <w:lang w:val="en-AU"/>
        </w:rPr>
      </w:pPr>
      <w:r w:rsidRPr="00E573E1">
        <w:rPr>
          <w:lang w:val="en-AU"/>
        </w:rPr>
        <w:t>Mechanism of action</w:t>
      </w:r>
    </w:p>
    <w:p w14:paraId="120D575D" w14:textId="1A2792A8" w:rsidR="007403BD" w:rsidRPr="00E573E1" w:rsidRDefault="0086608B" w:rsidP="00C11150">
      <w:pPr>
        <w:pStyle w:val="Paragraph"/>
        <w:rPr>
          <w:lang w:val="en-AU"/>
        </w:rPr>
      </w:pPr>
      <w:r w:rsidRPr="00E573E1">
        <w:rPr>
          <w:lang w:val="en-AU"/>
        </w:rPr>
        <w:t xml:space="preserve">BREZTRI AEROSPHERE contains budesonide, a </w:t>
      </w:r>
      <w:proofErr w:type="spellStart"/>
      <w:r w:rsidRPr="00E573E1">
        <w:rPr>
          <w:lang w:val="en-AU"/>
        </w:rPr>
        <w:t>glucocorticosteroid</w:t>
      </w:r>
      <w:proofErr w:type="spellEnd"/>
      <w:r w:rsidRPr="00E573E1">
        <w:rPr>
          <w:lang w:val="en-AU"/>
        </w:rPr>
        <w:t xml:space="preserve">, and two bronchodilators: </w:t>
      </w:r>
      <w:proofErr w:type="spellStart"/>
      <w:r w:rsidRPr="00E573E1">
        <w:rPr>
          <w:lang w:val="en-AU"/>
        </w:rPr>
        <w:t>glycopyrronium</w:t>
      </w:r>
      <w:proofErr w:type="spellEnd"/>
      <w:r w:rsidRPr="00E573E1">
        <w:rPr>
          <w:lang w:val="en-AU"/>
        </w:rPr>
        <w:t xml:space="preserve">, a </w:t>
      </w:r>
      <w:r w:rsidR="004B39BD" w:rsidRPr="00E573E1">
        <w:rPr>
          <w:lang w:val="en-AU"/>
        </w:rPr>
        <w:t>LAMA</w:t>
      </w:r>
      <w:r w:rsidRPr="00E573E1">
        <w:rPr>
          <w:lang w:val="en-AU"/>
        </w:rPr>
        <w:t xml:space="preserve"> (anticholinergic) and formoterol, a </w:t>
      </w:r>
      <w:r w:rsidR="004B39BD" w:rsidRPr="00E573E1">
        <w:rPr>
          <w:lang w:val="en-AU"/>
        </w:rPr>
        <w:t>LABA</w:t>
      </w:r>
      <w:r w:rsidRPr="00E573E1">
        <w:rPr>
          <w:lang w:val="en-AU"/>
        </w:rPr>
        <w:t>.</w:t>
      </w:r>
    </w:p>
    <w:p w14:paraId="394BD314" w14:textId="71766C1A" w:rsidR="0086608B" w:rsidRPr="00E573E1" w:rsidRDefault="0086608B" w:rsidP="00C11150">
      <w:pPr>
        <w:pStyle w:val="Paragraph"/>
        <w:rPr>
          <w:lang w:val="en-AU"/>
        </w:rPr>
      </w:pPr>
      <w:r w:rsidRPr="00E573E1">
        <w:rPr>
          <w:lang w:val="en-AU"/>
        </w:rPr>
        <w:t xml:space="preserve">The combination of these substances with different mechanisms of action results in increased efficacy compared to use with any of the dual component therapies. The respective mechanism of action of each </w:t>
      </w:r>
      <w:r w:rsidR="007D17FE" w:rsidRPr="00E573E1">
        <w:rPr>
          <w:lang w:val="en-AU"/>
        </w:rPr>
        <w:t>substance</w:t>
      </w:r>
      <w:r w:rsidRPr="00E573E1">
        <w:rPr>
          <w:lang w:val="en-AU"/>
        </w:rPr>
        <w:t xml:space="preserve"> is discussed below.</w:t>
      </w:r>
    </w:p>
    <w:p w14:paraId="560C869E" w14:textId="007A15FC" w:rsidR="0086608B" w:rsidRPr="00E573E1" w:rsidRDefault="0086608B" w:rsidP="00C11150">
      <w:pPr>
        <w:pStyle w:val="Paragraph"/>
        <w:rPr>
          <w:lang w:val="en-AU"/>
        </w:rPr>
      </w:pPr>
      <w:r w:rsidRPr="00E573E1">
        <w:rPr>
          <w:lang w:val="en-AU"/>
        </w:rPr>
        <w:t>Budesonide, when inhaled, has a rapid (within hours) and dose dependent anti-inflammatory action in the airways, resulting in reduced symptoms and fewer COPD exacerbations. Inhaled budesonide has less severe adverse effects than systemic corticosteroids.</w:t>
      </w:r>
    </w:p>
    <w:p w14:paraId="49195975" w14:textId="18F1753B" w:rsidR="0086608B" w:rsidRPr="000243C4" w:rsidRDefault="0086608B" w:rsidP="00C11150">
      <w:pPr>
        <w:pStyle w:val="Paragraph"/>
        <w:rPr>
          <w:lang w:val="en-AU"/>
        </w:rPr>
      </w:pPr>
      <w:proofErr w:type="spellStart"/>
      <w:r w:rsidRPr="00E573E1">
        <w:rPr>
          <w:lang w:val="en-AU"/>
        </w:rPr>
        <w:t>Glycopyrronium</w:t>
      </w:r>
      <w:proofErr w:type="spellEnd"/>
      <w:r w:rsidRPr="00E573E1">
        <w:rPr>
          <w:lang w:val="en-AU"/>
        </w:rPr>
        <w:t xml:space="preserve"> has a rapid onset of action and </w:t>
      </w:r>
      <w:r w:rsidR="000243C4">
        <w:rPr>
          <w:lang w:val="en-AU"/>
        </w:rPr>
        <w:t>works by blocking the bronchoconstrictor activity of acetylcholine on airway smooth muscle cells</w:t>
      </w:r>
      <w:r w:rsidRPr="00E573E1">
        <w:rPr>
          <w:lang w:val="en-AU"/>
        </w:rPr>
        <w:t xml:space="preserve">. </w:t>
      </w:r>
      <w:r w:rsidR="000243C4">
        <w:rPr>
          <w:lang w:val="en-AU"/>
        </w:rPr>
        <w:t>B</w:t>
      </w:r>
      <w:r w:rsidRPr="00E573E1">
        <w:rPr>
          <w:lang w:val="en-AU"/>
        </w:rPr>
        <w:t xml:space="preserve">ronchodilation is </w:t>
      </w:r>
      <w:r w:rsidR="000243C4">
        <w:rPr>
          <w:lang w:val="en-AU"/>
        </w:rPr>
        <w:t xml:space="preserve">chiefly </w:t>
      </w:r>
      <w:r w:rsidRPr="00E573E1">
        <w:rPr>
          <w:lang w:val="en-AU"/>
        </w:rPr>
        <w:t xml:space="preserve">induced through inhibition of the </w:t>
      </w:r>
      <w:r w:rsidR="000243C4">
        <w:rPr>
          <w:lang w:val="en-AU"/>
        </w:rPr>
        <w:t>M</w:t>
      </w:r>
      <w:r w:rsidR="000243C4" w:rsidRPr="000243C4">
        <w:rPr>
          <w:vertAlign w:val="subscript"/>
          <w:lang w:val="en-AU"/>
        </w:rPr>
        <w:t>3</w:t>
      </w:r>
      <w:r w:rsidRPr="00E573E1">
        <w:rPr>
          <w:lang w:val="en-AU"/>
        </w:rPr>
        <w:t xml:space="preserve"> receptor at the smooth muscle.</w:t>
      </w:r>
      <w:r w:rsidR="000243C4">
        <w:rPr>
          <w:lang w:val="en-AU"/>
        </w:rPr>
        <w:t xml:space="preserve"> </w:t>
      </w:r>
      <w:proofErr w:type="spellStart"/>
      <w:r w:rsidR="000243C4">
        <w:rPr>
          <w:lang w:val="en-AU"/>
        </w:rPr>
        <w:t>Glycopyrronium</w:t>
      </w:r>
      <w:proofErr w:type="spellEnd"/>
      <w:r w:rsidR="000243C4">
        <w:rPr>
          <w:lang w:val="en-AU"/>
        </w:rPr>
        <w:t xml:space="preserve"> shows 4- to 5-fold higher affinity for human M</w:t>
      </w:r>
      <w:r w:rsidR="000243C4" w:rsidRPr="000243C4">
        <w:rPr>
          <w:vertAlign w:val="subscript"/>
          <w:lang w:val="en-AU"/>
        </w:rPr>
        <w:t>3</w:t>
      </w:r>
      <w:r w:rsidR="000243C4">
        <w:rPr>
          <w:vertAlign w:val="subscript"/>
          <w:lang w:val="en-AU"/>
        </w:rPr>
        <w:t xml:space="preserve"> </w:t>
      </w:r>
      <w:r w:rsidR="000243C4">
        <w:rPr>
          <w:lang w:val="en-AU"/>
        </w:rPr>
        <w:t>and M</w:t>
      </w:r>
      <w:r w:rsidR="000243C4">
        <w:rPr>
          <w:vertAlign w:val="subscript"/>
          <w:lang w:val="en-AU"/>
        </w:rPr>
        <w:t>1</w:t>
      </w:r>
      <w:r w:rsidR="000243C4">
        <w:rPr>
          <w:lang w:val="en-AU"/>
        </w:rPr>
        <w:t xml:space="preserve"> receptors than for the M</w:t>
      </w:r>
      <w:r w:rsidR="000243C4">
        <w:rPr>
          <w:vertAlign w:val="subscript"/>
          <w:lang w:val="en-AU"/>
        </w:rPr>
        <w:t>2</w:t>
      </w:r>
      <w:r w:rsidR="000243C4">
        <w:rPr>
          <w:lang w:val="en-AU"/>
        </w:rPr>
        <w:t xml:space="preserve"> receptor subtype.</w:t>
      </w:r>
    </w:p>
    <w:p w14:paraId="50D82D6E" w14:textId="1E9B35D2" w:rsidR="0086608B" w:rsidRPr="00E573E1" w:rsidRDefault="0086608B" w:rsidP="00C11150">
      <w:pPr>
        <w:pStyle w:val="Paragraph"/>
        <w:rPr>
          <w:lang w:val="en-AU"/>
        </w:rPr>
      </w:pPr>
      <w:r w:rsidRPr="00E573E1">
        <w:rPr>
          <w:lang w:val="en-AU"/>
        </w:rPr>
        <w:t xml:space="preserve">Formoterol has a rapid onset of action. Bronchodilation is induced by causing direct relaxation of airway smooth muscle </w:t>
      </w:r>
      <w:proofErr w:type="gramStart"/>
      <w:r w:rsidRPr="00E573E1">
        <w:rPr>
          <w:lang w:val="en-AU"/>
        </w:rPr>
        <w:t>as a consequence of</w:t>
      </w:r>
      <w:proofErr w:type="gramEnd"/>
      <w:r w:rsidRPr="00E573E1">
        <w:rPr>
          <w:lang w:val="en-AU"/>
        </w:rPr>
        <w:t xml:space="preserve"> the increase in cyclic AMP through activation of adenylate cyclase.</w:t>
      </w:r>
    </w:p>
    <w:p w14:paraId="66EB265E" w14:textId="0FD393C6" w:rsidR="0086608B" w:rsidRPr="00E573E1" w:rsidRDefault="0086608B" w:rsidP="00C11150">
      <w:pPr>
        <w:pStyle w:val="Paragraph"/>
        <w:rPr>
          <w:lang w:val="en-AU"/>
        </w:rPr>
      </w:pPr>
      <w:proofErr w:type="gramStart"/>
      <w:r w:rsidRPr="00E573E1">
        <w:rPr>
          <w:lang w:val="en-AU"/>
        </w:rPr>
        <w:t>As a consequence of</w:t>
      </w:r>
      <w:proofErr w:type="gramEnd"/>
      <w:r w:rsidRPr="00E573E1">
        <w:rPr>
          <w:lang w:val="en-AU"/>
        </w:rPr>
        <w:t xml:space="preserve"> the differential density of muscarinic receptors and β</w:t>
      </w:r>
      <w:r w:rsidRPr="00E573E1">
        <w:rPr>
          <w:vertAlign w:val="subscript"/>
          <w:lang w:val="en-AU"/>
        </w:rPr>
        <w:t>2</w:t>
      </w:r>
      <w:r w:rsidRPr="00E573E1">
        <w:rPr>
          <w:lang w:val="en-AU"/>
        </w:rPr>
        <w:t>-adrenoceptors in the central and peripheral airways of the lung, muscarinic antagonists are more effective in relaxing central airways and β</w:t>
      </w:r>
      <w:r w:rsidRPr="00E573E1">
        <w:rPr>
          <w:vertAlign w:val="subscript"/>
          <w:lang w:val="en-AU"/>
        </w:rPr>
        <w:t>2</w:t>
      </w:r>
      <w:r w:rsidRPr="00E573E1">
        <w:rPr>
          <w:lang w:val="en-AU"/>
        </w:rPr>
        <w:t>-adrenergic agonists are more effective in relaxing peripheral airways; relaxation of both central and peripheral airways with combination treatment may contribute to its beneficial effects on lung function.</w:t>
      </w:r>
    </w:p>
    <w:p w14:paraId="24DD4CA6" w14:textId="77777777" w:rsidR="001A3992" w:rsidRPr="00E573E1" w:rsidRDefault="001A3992" w:rsidP="00C11150">
      <w:pPr>
        <w:pStyle w:val="Heading3Unnumbered"/>
        <w:rPr>
          <w:lang w:val="en-AU"/>
        </w:rPr>
      </w:pPr>
      <w:r w:rsidRPr="00E573E1">
        <w:rPr>
          <w:lang w:val="en-AU"/>
        </w:rPr>
        <w:t>Clinical trials</w:t>
      </w:r>
    </w:p>
    <w:p w14:paraId="1B181169" w14:textId="77777777" w:rsidR="00B8168F" w:rsidRPr="00E573E1" w:rsidRDefault="0086608B" w:rsidP="00C11150">
      <w:pPr>
        <w:pStyle w:val="Paragraph"/>
        <w:rPr>
          <w:lang w:val="en-AU"/>
        </w:rPr>
      </w:pPr>
      <w:r w:rsidRPr="00E573E1">
        <w:rPr>
          <w:lang w:val="en-AU"/>
        </w:rPr>
        <w:t>The efficacy and safety of BREZTRI AEROSPHERE was evaluated in patients with moderate</w:t>
      </w:r>
      <w:r w:rsidR="007F026E" w:rsidRPr="00E573E1">
        <w:rPr>
          <w:lang w:val="en-AU"/>
        </w:rPr>
        <w:t xml:space="preserve"> </w:t>
      </w:r>
      <w:r w:rsidRPr="00E573E1">
        <w:rPr>
          <w:lang w:val="en-AU"/>
        </w:rPr>
        <w:t>to very severe COPD in two randomised, double-blind, parallel-group trials.</w:t>
      </w:r>
      <w:r w:rsidR="007F026E" w:rsidRPr="00E573E1">
        <w:rPr>
          <w:lang w:val="en-AU"/>
        </w:rPr>
        <w:t xml:space="preserve"> </w:t>
      </w:r>
    </w:p>
    <w:p w14:paraId="671BD32D" w14:textId="1432B783" w:rsidR="0086608B" w:rsidRPr="00E573E1" w:rsidRDefault="0086608B" w:rsidP="00C11150">
      <w:pPr>
        <w:pStyle w:val="Paragraph"/>
        <w:rPr>
          <w:lang w:val="en-AU"/>
        </w:rPr>
      </w:pPr>
      <w:r w:rsidRPr="00E573E1">
        <w:rPr>
          <w:lang w:val="en-AU"/>
        </w:rPr>
        <w:t>ETHOS was a 52-week trial (N=8,588</w:t>
      </w:r>
      <w:r w:rsidR="00DE20B7" w:rsidRPr="00E573E1">
        <w:rPr>
          <w:lang w:val="en-AU"/>
        </w:rPr>
        <w:t xml:space="preserve"> randomised</w:t>
      </w:r>
      <w:r w:rsidRPr="00E573E1">
        <w:rPr>
          <w:lang w:val="en-AU"/>
        </w:rPr>
        <w:t xml:space="preserve">) that compared </w:t>
      </w:r>
      <w:r w:rsidR="00EC01DC" w:rsidRPr="00E573E1">
        <w:rPr>
          <w:lang w:val="en-AU"/>
        </w:rPr>
        <w:t xml:space="preserve">2 </w:t>
      </w:r>
      <w:r w:rsidRPr="00E573E1">
        <w:rPr>
          <w:lang w:val="en-AU"/>
        </w:rPr>
        <w:t>inhalations twice daily of</w:t>
      </w:r>
      <w:r w:rsidR="007F026E" w:rsidRPr="00E573E1">
        <w:rPr>
          <w:lang w:val="en-AU"/>
        </w:rPr>
        <w:t xml:space="preserve"> </w:t>
      </w:r>
      <w:r w:rsidRPr="00E573E1">
        <w:rPr>
          <w:lang w:val="en-AU"/>
        </w:rPr>
        <w:t xml:space="preserve">BREZTRI AEROSPHERE 160/7.2/5 with </w:t>
      </w:r>
      <w:r w:rsidR="00A736DF" w:rsidRPr="00E573E1">
        <w:rPr>
          <w:lang w:val="en-AU"/>
        </w:rPr>
        <w:t xml:space="preserve">2 </w:t>
      </w:r>
      <w:r w:rsidRPr="00E573E1">
        <w:rPr>
          <w:lang w:val="en-AU"/>
        </w:rPr>
        <w:t>inhalations twice daily of</w:t>
      </w:r>
      <w:r w:rsidR="007F026E" w:rsidRPr="00E573E1">
        <w:rPr>
          <w:lang w:val="en-AU"/>
        </w:rPr>
        <w:t xml:space="preserve"> </w:t>
      </w:r>
      <w:r w:rsidR="00EB0018">
        <w:rPr>
          <w:lang w:val="en-AU"/>
        </w:rPr>
        <w:t>GFF MDI</w:t>
      </w:r>
      <w:r w:rsidR="00A736DF" w:rsidRPr="00E573E1">
        <w:rPr>
          <w:lang w:val="en-AU"/>
        </w:rPr>
        <w:t xml:space="preserve"> 7.2/5</w:t>
      </w:r>
      <w:r w:rsidR="00A51936" w:rsidRPr="00E573E1">
        <w:rPr>
          <w:lang w:val="en-AU"/>
        </w:rPr>
        <w:t xml:space="preserve"> </w:t>
      </w:r>
      <w:r w:rsidR="00A51936" w:rsidRPr="00E573E1">
        <w:rPr>
          <w:lang w:val="en-AU"/>
        </w:rPr>
        <w:lastRenderedPageBreak/>
        <w:t>(</w:t>
      </w:r>
      <w:proofErr w:type="spellStart"/>
      <w:r w:rsidRPr="00E573E1">
        <w:rPr>
          <w:lang w:val="en-AU"/>
        </w:rPr>
        <w:t>glycopyrronium</w:t>
      </w:r>
      <w:proofErr w:type="spellEnd"/>
      <w:r w:rsidRPr="00E573E1">
        <w:rPr>
          <w:lang w:val="en-AU"/>
        </w:rPr>
        <w:t>/formoterol fumarate dihydrate 7.2/5</w:t>
      </w:r>
      <w:r w:rsidR="00A51936" w:rsidRPr="00E573E1">
        <w:rPr>
          <w:lang w:val="en-AU"/>
        </w:rPr>
        <w:t> µg</w:t>
      </w:r>
      <w:r w:rsidR="00A736DF" w:rsidRPr="00E573E1">
        <w:rPr>
          <w:lang w:val="en-AU"/>
        </w:rPr>
        <w:t>)</w:t>
      </w:r>
      <w:r w:rsidRPr="00E573E1">
        <w:rPr>
          <w:lang w:val="en-AU"/>
        </w:rPr>
        <w:t xml:space="preserve"> and</w:t>
      </w:r>
      <w:r w:rsidR="007F026E" w:rsidRPr="00E573E1">
        <w:rPr>
          <w:lang w:val="en-AU"/>
        </w:rPr>
        <w:t xml:space="preserve"> </w:t>
      </w:r>
      <w:r w:rsidR="00A736DF" w:rsidRPr="00E573E1">
        <w:rPr>
          <w:lang w:val="en-AU"/>
        </w:rPr>
        <w:t>BFF MDI 160/5 (</w:t>
      </w:r>
      <w:r w:rsidRPr="00E573E1">
        <w:rPr>
          <w:lang w:val="en-AU"/>
        </w:rPr>
        <w:t>budesonide/formoterol fumarate dihydrate 160/5</w:t>
      </w:r>
      <w:r w:rsidR="00A51936" w:rsidRPr="00E573E1">
        <w:rPr>
          <w:lang w:val="en-AU"/>
        </w:rPr>
        <w:t> µg</w:t>
      </w:r>
      <w:r w:rsidR="00A736DF" w:rsidRPr="00E573E1">
        <w:rPr>
          <w:lang w:val="en-AU"/>
        </w:rPr>
        <w:t>)</w:t>
      </w:r>
      <w:r w:rsidRPr="00E573E1">
        <w:rPr>
          <w:lang w:val="en-AU"/>
        </w:rPr>
        <w:t>.</w:t>
      </w:r>
      <w:r w:rsidR="00642749" w:rsidRPr="00E573E1">
        <w:rPr>
          <w:lang w:val="en-AU"/>
        </w:rPr>
        <w:t xml:space="preserve">  A lower strength of BREZTRI AEROSPHERE (</w:t>
      </w:r>
      <w:r w:rsidR="008929E8" w:rsidRPr="00E573E1">
        <w:rPr>
          <w:lang w:val="en-AU"/>
        </w:rPr>
        <w:t xml:space="preserve">BGF MDI </w:t>
      </w:r>
      <w:r w:rsidR="00642749" w:rsidRPr="00E573E1">
        <w:rPr>
          <w:lang w:val="en-AU"/>
        </w:rPr>
        <w:t xml:space="preserve">80/7.2/5 µg) was also assessed however the </w:t>
      </w:r>
      <w:r w:rsidR="005E079B" w:rsidRPr="00E573E1">
        <w:rPr>
          <w:lang w:val="en-AU"/>
        </w:rPr>
        <w:t>outcomes</w:t>
      </w:r>
      <w:r w:rsidR="00642749" w:rsidRPr="00E573E1">
        <w:rPr>
          <w:lang w:val="en-AU"/>
        </w:rPr>
        <w:t xml:space="preserve"> have not been </w:t>
      </w:r>
      <w:r w:rsidR="005E079B" w:rsidRPr="00E573E1">
        <w:rPr>
          <w:lang w:val="en-AU"/>
        </w:rPr>
        <w:t>provided</w:t>
      </w:r>
      <w:r w:rsidR="00642749" w:rsidRPr="00E573E1">
        <w:rPr>
          <w:lang w:val="en-AU"/>
        </w:rPr>
        <w:t>.</w:t>
      </w:r>
    </w:p>
    <w:p w14:paraId="3C76A7BA" w14:textId="4C9AD866" w:rsidR="00E66290" w:rsidRPr="00E573E1" w:rsidRDefault="0086608B" w:rsidP="00C11150">
      <w:pPr>
        <w:pStyle w:val="Paragraph"/>
        <w:rPr>
          <w:lang w:val="en-AU"/>
        </w:rPr>
      </w:pPr>
      <w:r w:rsidRPr="00E573E1">
        <w:rPr>
          <w:lang w:val="en-AU"/>
        </w:rPr>
        <w:t xml:space="preserve">The </w:t>
      </w:r>
      <w:r w:rsidR="00CF1940" w:rsidRPr="00E573E1">
        <w:rPr>
          <w:lang w:val="en-AU"/>
        </w:rPr>
        <w:t xml:space="preserve">ETHOS </w:t>
      </w:r>
      <w:r w:rsidRPr="00E573E1">
        <w:rPr>
          <w:lang w:val="en-AU"/>
        </w:rPr>
        <w:t>primary endpoint was the rate of moderate or severe COPD exacerbations.</w:t>
      </w:r>
      <w:r w:rsidR="007F026E" w:rsidRPr="00E573E1">
        <w:rPr>
          <w:lang w:val="en-AU"/>
        </w:rPr>
        <w:t xml:space="preserve"> </w:t>
      </w:r>
    </w:p>
    <w:p w14:paraId="589CCD65" w14:textId="78B6D9BA" w:rsidR="0086608B" w:rsidRPr="00E573E1" w:rsidRDefault="0086608B" w:rsidP="00C11150">
      <w:pPr>
        <w:pStyle w:val="Paragraph"/>
        <w:rPr>
          <w:lang w:val="en-AU"/>
        </w:rPr>
      </w:pPr>
      <w:r w:rsidRPr="00E573E1">
        <w:rPr>
          <w:lang w:val="en-AU"/>
        </w:rPr>
        <w:t>ETHOS was conducted in patients with moderate to very severe COPD (post-bronchodilator</w:t>
      </w:r>
      <w:r w:rsidR="007F026E" w:rsidRPr="00E573E1">
        <w:rPr>
          <w:lang w:val="en-AU"/>
        </w:rPr>
        <w:t xml:space="preserve"> </w:t>
      </w:r>
      <w:r w:rsidR="001B5B19" w:rsidRPr="00E573E1">
        <w:rPr>
          <w:lang w:val="en-AU"/>
        </w:rPr>
        <w:t>forced expiratory volume in 1 second (</w:t>
      </w:r>
      <w:r w:rsidRPr="00E573E1">
        <w:rPr>
          <w:lang w:val="en-AU"/>
        </w:rPr>
        <w:t>FEV</w:t>
      </w:r>
      <w:r w:rsidRPr="00E573E1">
        <w:rPr>
          <w:vertAlign w:val="subscript"/>
          <w:lang w:val="en-AU"/>
        </w:rPr>
        <w:t>1</w:t>
      </w:r>
      <w:r w:rsidR="001B5B19" w:rsidRPr="00E573E1">
        <w:rPr>
          <w:lang w:val="en-AU"/>
        </w:rPr>
        <w:t>)</w:t>
      </w:r>
      <w:r w:rsidRPr="00E573E1">
        <w:rPr>
          <w:lang w:val="en-AU"/>
        </w:rPr>
        <w:t xml:space="preserve"> ≥25% to &lt;65% predicted) with a history of 1 or more moderate or severe COPD</w:t>
      </w:r>
      <w:r w:rsidR="007F026E" w:rsidRPr="00E573E1">
        <w:rPr>
          <w:lang w:val="en-AU"/>
        </w:rPr>
        <w:t xml:space="preserve"> </w:t>
      </w:r>
      <w:r w:rsidRPr="00E573E1">
        <w:rPr>
          <w:lang w:val="en-AU"/>
        </w:rPr>
        <w:t>exacerbations in the year prior to screening. Patients were symptomatic with a COPD</w:t>
      </w:r>
      <w:r w:rsidR="007F026E" w:rsidRPr="00E573E1">
        <w:rPr>
          <w:lang w:val="en-AU"/>
        </w:rPr>
        <w:t xml:space="preserve"> </w:t>
      </w:r>
      <w:r w:rsidRPr="00E573E1">
        <w:rPr>
          <w:lang w:val="en-AU"/>
        </w:rPr>
        <w:t xml:space="preserve">Assessment Test (CAT) score of 10 or above while receiving </w:t>
      </w:r>
      <w:r w:rsidR="00A51936" w:rsidRPr="00E573E1">
        <w:rPr>
          <w:lang w:val="en-AU"/>
        </w:rPr>
        <w:t xml:space="preserve">2 </w:t>
      </w:r>
      <w:r w:rsidRPr="00E573E1">
        <w:rPr>
          <w:lang w:val="en-AU"/>
        </w:rPr>
        <w:t>or more inhaled</w:t>
      </w:r>
      <w:r w:rsidR="007F026E" w:rsidRPr="00E573E1">
        <w:rPr>
          <w:lang w:val="en-AU"/>
        </w:rPr>
        <w:t xml:space="preserve"> </w:t>
      </w:r>
      <w:r w:rsidRPr="00E573E1">
        <w:rPr>
          <w:lang w:val="en-AU"/>
        </w:rPr>
        <w:t>maintenance therapies for at least 6 weeks prior to screening. During the screening period, the</w:t>
      </w:r>
      <w:r w:rsidR="007F026E" w:rsidRPr="00E573E1">
        <w:rPr>
          <w:lang w:val="en-AU"/>
        </w:rPr>
        <w:t xml:space="preserve"> </w:t>
      </w:r>
      <w:r w:rsidRPr="00E573E1">
        <w:rPr>
          <w:lang w:val="en-AU"/>
        </w:rPr>
        <w:t>mean post-bronchodilator percent predicted FEV</w:t>
      </w:r>
      <w:r w:rsidRPr="00E573E1">
        <w:rPr>
          <w:vertAlign w:val="subscript"/>
          <w:lang w:val="en-AU"/>
        </w:rPr>
        <w:t>1</w:t>
      </w:r>
      <w:r w:rsidRPr="00E573E1">
        <w:rPr>
          <w:lang w:val="en-AU"/>
        </w:rPr>
        <w:t xml:space="preserve"> was 43%. The mean CAT score was 19.6. A</w:t>
      </w:r>
      <w:r w:rsidR="007F026E" w:rsidRPr="00E573E1">
        <w:rPr>
          <w:lang w:val="en-AU"/>
        </w:rPr>
        <w:t xml:space="preserve"> </w:t>
      </w:r>
      <w:r w:rsidRPr="00E573E1">
        <w:rPr>
          <w:lang w:val="en-AU"/>
        </w:rPr>
        <w:t>total of 81% of subjects were on ICS-containing treatments prior to screening.</w:t>
      </w:r>
      <w:r w:rsidR="00E66290" w:rsidRPr="00E573E1">
        <w:rPr>
          <w:lang w:val="en-AU"/>
        </w:rPr>
        <w:t xml:space="preserve"> The modified intention to treat (</w:t>
      </w:r>
      <w:proofErr w:type="spellStart"/>
      <w:r w:rsidR="00E66290" w:rsidRPr="00E573E1">
        <w:rPr>
          <w:lang w:val="en-AU"/>
        </w:rPr>
        <w:t>mITT</w:t>
      </w:r>
      <w:proofErr w:type="spellEnd"/>
      <w:r w:rsidR="00E66290" w:rsidRPr="00E573E1">
        <w:rPr>
          <w:lang w:val="en-AU"/>
        </w:rPr>
        <w:t>) population consisted of all randomised patient who received treatment and had post-randomisation data prior to discontinuation</w:t>
      </w:r>
      <w:r w:rsidR="001020B7" w:rsidRPr="00E573E1">
        <w:rPr>
          <w:lang w:val="en-AU"/>
        </w:rPr>
        <w:t>,</w:t>
      </w:r>
      <w:r w:rsidR="00E66290" w:rsidRPr="00E573E1">
        <w:rPr>
          <w:lang w:val="en-AU"/>
        </w:rPr>
        <w:t xml:space="preserve"> with </w:t>
      </w:r>
      <w:r w:rsidR="001020B7" w:rsidRPr="00E573E1">
        <w:rPr>
          <w:lang w:val="en-AU"/>
        </w:rPr>
        <w:t xml:space="preserve">2137, 2120 and 2131 patients in the BREZTRI AEROSPHERE 160/7.2/5, </w:t>
      </w:r>
      <w:r w:rsidR="00EB0018">
        <w:rPr>
          <w:lang w:val="en-AU"/>
        </w:rPr>
        <w:t>GFF MDI</w:t>
      </w:r>
      <w:r w:rsidR="001020B7" w:rsidRPr="00E573E1">
        <w:rPr>
          <w:lang w:val="en-AU"/>
        </w:rPr>
        <w:t xml:space="preserve"> 7.2/5 and BFF MDI 160/5 arms respectively.</w:t>
      </w:r>
    </w:p>
    <w:p w14:paraId="3BA47A2B" w14:textId="3F58F5B2" w:rsidR="003179FD" w:rsidRPr="00E573E1" w:rsidRDefault="0086608B" w:rsidP="00C11150">
      <w:pPr>
        <w:pStyle w:val="Paragraph"/>
        <w:rPr>
          <w:lang w:val="en-AU"/>
        </w:rPr>
      </w:pPr>
      <w:r w:rsidRPr="00E573E1">
        <w:rPr>
          <w:lang w:val="en-AU"/>
        </w:rPr>
        <w:t>KRONOS was a 24-week trial (N=1,896</w:t>
      </w:r>
      <w:r w:rsidR="001B5B19" w:rsidRPr="00E573E1">
        <w:rPr>
          <w:lang w:val="en-AU"/>
        </w:rPr>
        <w:t xml:space="preserve"> randomised</w:t>
      </w:r>
      <w:r w:rsidRPr="00E573E1">
        <w:rPr>
          <w:lang w:val="en-AU"/>
        </w:rPr>
        <w:t xml:space="preserve">) that compared </w:t>
      </w:r>
      <w:r w:rsidR="001B5B19" w:rsidRPr="00E573E1">
        <w:rPr>
          <w:lang w:val="en-AU"/>
        </w:rPr>
        <w:t xml:space="preserve">2 </w:t>
      </w:r>
      <w:r w:rsidRPr="00E573E1">
        <w:rPr>
          <w:lang w:val="en-AU"/>
        </w:rPr>
        <w:t>inhalations twice daily of</w:t>
      </w:r>
      <w:r w:rsidR="007F026E" w:rsidRPr="00E573E1">
        <w:rPr>
          <w:lang w:val="en-AU"/>
        </w:rPr>
        <w:t xml:space="preserve"> </w:t>
      </w:r>
      <w:r w:rsidRPr="00E573E1">
        <w:rPr>
          <w:lang w:val="en-AU"/>
        </w:rPr>
        <w:t xml:space="preserve">BREZTRI AEROSPHERE 160/7.2/5, with </w:t>
      </w:r>
      <w:r w:rsidR="00EC01DC" w:rsidRPr="00E573E1">
        <w:rPr>
          <w:lang w:val="en-AU"/>
        </w:rPr>
        <w:t xml:space="preserve">2 </w:t>
      </w:r>
      <w:r w:rsidRPr="00E573E1">
        <w:rPr>
          <w:lang w:val="en-AU"/>
        </w:rPr>
        <w:t>inhalations twice daily of</w:t>
      </w:r>
      <w:r w:rsidR="007F026E" w:rsidRPr="00E573E1">
        <w:rPr>
          <w:lang w:val="en-AU"/>
        </w:rPr>
        <w:t xml:space="preserve"> </w:t>
      </w:r>
      <w:r w:rsidR="00EB0018">
        <w:rPr>
          <w:lang w:val="en-AU"/>
        </w:rPr>
        <w:t>GFF MDI</w:t>
      </w:r>
      <w:r w:rsidR="00EC01DC" w:rsidRPr="00E573E1">
        <w:rPr>
          <w:lang w:val="en-AU"/>
        </w:rPr>
        <w:t xml:space="preserve"> 7.2/5</w:t>
      </w:r>
      <w:r w:rsidRPr="00E573E1">
        <w:rPr>
          <w:lang w:val="en-AU"/>
        </w:rPr>
        <w:t>, BFF MDI 160/5 and open</w:t>
      </w:r>
      <w:r w:rsidR="007F026E" w:rsidRPr="00E573E1">
        <w:rPr>
          <w:lang w:val="en-AU"/>
        </w:rPr>
        <w:t>-</w:t>
      </w:r>
      <w:r w:rsidRPr="00E573E1">
        <w:rPr>
          <w:lang w:val="en-AU"/>
        </w:rPr>
        <w:t>label</w:t>
      </w:r>
      <w:r w:rsidR="007F026E" w:rsidRPr="00E573E1">
        <w:rPr>
          <w:lang w:val="en-AU"/>
        </w:rPr>
        <w:t xml:space="preserve"> </w:t>
      </w:r>
      <w:r w:rsidRPr="00E573E1">
        <w:rPr>
          <w:lang w:val="en-AU"/>
        </w:rPr>
        <w:t xml:space="preserve">active comparator </w:t>
      </w:r>
      <w:r w:rsidR="009E47A1">
        <w:rPr>
          <w:lang w:val="en-AU"/>
        </w:rPr>
        <w:t xml:space="preserve">BFF </w:t>
      </w:r>
      <w:proofErr w:type="spellStart"/>
      <w:r w:rsidR="009E47A1">
        <w:rPr>
          <w:lang w:val="en-AU"/>
        </w:rPr>
        <w:t>Turbuhaler</w:t>
      </w:r>
      <w:proofErr w:type="spellEnd"/>
      <w:r w:rsidRPr="00E573E1">
        <w:rPr>
          <w:lang w:val="en-AU"/>
        </w:rPr>
        <w:t xml:space="preserve"> 200/6 </w:t>
      </w:r>
      <w:r w:rsidR="003179FD" w:rsidRPr="00E573E1">
        <w:rPr>
          <w:lang w:val="en-AU"/>
        </w:rPr>
        <w:t>(</w:t>
      </w:r>
      <w:r w:rsidRPr="00E573E1">
        <w:rPr>
          <w:lang w:val="en-AU"/>
        </w:rPr>
        <w:t>budesonide/formoterol</w:t>
      </w:r>
      <w:r w:rsidR="007F026E" w:rsidRPr="00E573E1">
        <w:rPr>
          <w:lang w:val="en-AU"/>
        </w:rPr>
        <w:t xml:space="preserve"> </w:t>
      </w:r>
      <w:r w:rsidRPr="00E573E1">
        <w:rPr>
          <w:lang w:val="en-AU"/>
        </w:rPr>
        <w:t>fumarate dihydrate</w:t>
      </w:r>
      <w:r w:rsidR="00EC01DC" w:rsidRPr="00E573E1">
        <w:rPr>
          <w:lang w:val="en-AU"/>
        </w:rPr>
        <w:t xml:space="preserve"> delivered dose 160/4.5 µg</w:t>
      </w:r>
      <w:r w:rsidR="003179FD" w:rsidRPr="00E573E1">
        <w:rPr>
          <w:lang w:val="en-AU"/>
        </w:rPr>
        <w:t>)</w:t>
      </w:r>
      <w:r w:rsidRPr="00E573E1">
        <w:rPr>
          <w:lang w:val="en-AU"/>
        </w:rPr>
        <w:t>.</w:t>
      </w:r>
      <w:r w:rsidR="008929E8" w:rsidRPr="00E573E1">
        <w:rPr>
          <w:lang w:val="en-AU"/>
        </w:rPr>
        <w:t xml:space="preserve"> </w:t>
      </w:r>
      <w:r w:rsidRPr="00E573E1">
        <w:rPr>
          <w:lang w:val="en-AU"/>
        </w:rPr>
        <w:t xml:space="preserve"> There </w:t>
      </w:r>
      <w:r w:rsidR="00EC01DC" w:rsidRPr="00E573E1">
        <w:rPr>
          <w:lang w:val="en-AU"/>
        </w:rPr>
        <w:t>were two</w:t>
      </w:r>
      <w:r w:rsidRPr="00E573E1">
        <w:rPr>
          <w:lang w:val="en-AU"/>
        </w:rPr>
        <w:t xml:space="preserve"> 28-week </w:t>
      </w:r>
      <w:r w:rsidR="00985D46" w:rsidRPr="00E573E1">
        <w:rPr>
          <w:lang w:val="en-AU"/>
        </w:rPr>
        <w:t xml:space="preserve">safety </w:t>
      </w:r>
      <w:r w:rsidRPr="00E573E1">
        <w:rPr>
          <w:lang w:val="en-AU"/>
        </w:rPr>
        <w:t>extension</w:t>
      </w:r>
      <w:r w:rsidR="00EC01DC" w:rsidRPr="00E573E1">
        <w:rPr>
          <w:lang w:val="en-AU"/>
        </w:rPr>
        <w:t xml:space="preserve"> studies</w:t>
      </w:r>
      <w:r w:rsidRPr="00E573E1">
        <w:rPr>
          <w:lang w:val="en-AU"/>
        </w:rPr>
        <w:t>, for up to 52 weeks of treatment, in a</w:t>
      </w:r>
      <w:r w:rsidR="007F026E" w:rsidRPr="00E573E1">
        <w:rPr>
          <w:lang w:val="en-AU"/>
        </w:rPr>
        <w:t xml:space="preserve"> </w:t>
      </w:r>
      <w:r w:rsidRPr="00E573E1">
        <w:rPr>
          <w:lang w:val="en-AU"/>
        </w:rPr>
        <w:t xml:space="preserve">subset of </w:t>
      </w:r>
      <w:r w:rsidR="00985D46" w:rsidRPr="00E573E1">
        <w:rPr>
          <w:lang w:val="en-AU"/>
        </w:rPr>
        <w:t xml:space="preserve">KRONOS </w:t>
      </w:r>
      <w:r w:rsidRPr="00E573E1">
        <w:rPr>
          <w:lang w:val="en-AU"/>
        </w:rPr>
        <w:t>patients</w:t>
      </w:r>
      <w:r w:rsidR="005A75AD" w:rsidRPr="00E573E1">
        <w:rPr>
          <w:lang w:val="en-AU"/>
        </w:rPr>
        <w:t xml:space="preserve"> </w:t>
      </w:r>
      <w:r w:rsidR="00B62600" w:rsidRPr="00E573E1">
        <w:rPr>
          <w:lang w:val="en-AU"/>
        </w:rPr>
        <w:t>(</w:t>
      </w:r>
      <w:r w:rsidR="003179FD" w:rsidRPr="00E573E1">
        <w:rPr>
          <w:lang w:val="en-AU"/>
        </w:rPr>
        <w:t xml:space="preserve">Study PT010007 Japanese </w:t>
      </w:r>
      <w:r w:rsidR="00985D46" w:rsidRPr="00E573E1">
        <w:rPr>
          <w:lang w:val="en-AU"/>
        </w:rPr>
        <w:t xml:space="preserve">extension </w:t>
      </w:r>
      <w:r w:rsidR="003179FD" w:rsidRPr="00E573E1">
        <w:rPr>
          <w:lang w:val="en-AU"/>
        </w:rPr>
        <w:t xml:space="preserve">and Study PT010008 </w:t>
      </w:r>
      <w:r w:rsidR="00985D46" w:rsidRPr="00E573E1">
        <w:rPr>
          <w:lang w:val="en-AU"/>
        </w:rPr>
        <w:t xml:space="preserve">ocular extension) </w:t>
      </w:r>
      <w:r w:rsidR="003179FD" w:rsidRPr="00E573E1">
        <w:rPr>
          <w:lang w:val="en-AU"/>
        </w:rPr>
        <w:t xml:space="preserve">(see Section </w:t>
      </w:r>
      <w:r w:rsidR="00B62600" w:rsidRPr="00E573E1">
        <w:rPr>
          <w:lang w:val="en-AU"/>
        </w:rPr>
        <w:fldChar w:fldCharType="begin"/>
      </w:r>
      <w:r w:rsidR="00B62600" w:rsidRPr="00E573E1">
        <w:rPr>
          <w:lang w:val="en-AU"/>
        </w:rPr>
        <w:instrText xml:space="preserve"> REF _Ref40098489 \r \h </w:instrText>
      </w:r>
      <w:r w:rsidR="00C01DA9" w:rsidRPr="00E573E1">
        <w:rPr>
          <w:lang w:val="en-AU"/>
        </w:rPr>
        <w:instrText xml:space="preserve"> \* MERGEFORMAT </w:instrText>
      </w:r>
      <w:r w:rsidR="00B62600" w:rsidRPr="00E573E1">
        <w:rPr>
          <w:lang w:val="en-AU"/>
        </w:rPr>
      </w:r>
      <w:r w:rsidR="00B62600" w:rsidRPr="00E573E1">
        <w:rPr>
          <w:lang w:val="en-AU"/>
        </w:rPr>
        <w:fldChar w:fldCharType="separate"/>
      </w:r>
      <w:r w:rsidR="00960F91">
        <w:rPr>
          <w:lang w:val="en-AU"/>
        </w:rPr>
        <w:t>4.8</w:t>
      </w:r>
      <w:r w:rsidR="00B62600" w:rsidRPr="00E573E1">
        <w:rPr>
          <w:lang w:val="en-AU"/>
        </w:rPr>
        <w:fldChar w:fldCharType="end"/>
      </w:r>
      <w:r w:rsidR="00B62600" w:rsidRPr="00E573E1">
        <w:rPr>
          <w:lang w:val="en-AU"/>
        </w:rPr>
        <w:t xml:space="preserve"> </w:t>
      </w:r>
      <w:r w:rsidR="00B62600" w:rsidRPr="00E573E1">
        <w:rPr>
          <w:lang w:val="en-AU"/>
        </w:rPr>
        <w:fldChar w:fldCharType="begin"/>
      </w:r>
      <w:r w:rsidR="00B62600" w:rsidRPr="00E573E1">
        <w:rPr>
          <w:lang w:val="en-AU"/>
        </w:rPr>
        <w:instrText xml:space="preserve"> REF _Ref40098489 \h </w:instrText>
      </w:r>
      <w:r w:rsidR="00C01DA9" w:rsidRPr="00E573E1">
        <w:rPr>
          <w:lang w:val="en-AU"/>
        </w:rPr>
        <w:instrText xml:space="preserve"> \* MERGEFORMAT </w:instrText>
      </w:r>
      <w:r w:rsidR="00B62600" w:rsidRPr="00E573E1">
        <w:rPr>
          <w:lang w:val="en-AU"/>
        </w:rPr>
      </w:r>
      <w:r w:rsidR="00B62600" w:rsidRPr="00E573E1">
        <w:rPr>
          <w:lang w:val="en-AU"/>
        </w:rPr>
        <w:fldChar w:fldCharType="separate"/>
      </w:r>
      <w:r w:rsidR="00960F91" w:rsidRPr="00E573E1">
        <w:rPr>
          <w:lang w:val="en-AU"/>
        </w:rPr>
        <w:t>Adverse effects (Undesirable effects)</w:t>
      </w:r>
      <w:r w:rsidR="00B62600" w:rsidRPr="00E573E1">
        <w:rPr>
          <w:lang w:val="en-AU"/>
        </w:rPr>
        <w:fldChar w:fldCharType="end"/>
      </w:r>
      <w:r w:rsidR="00B62600" w:rsidRPr="00E573E1">
        <w:rPr>
          <w:lang w:val="en-AU"/>
        </w:rPr>
        <w:t>)</w:t>
      </w:r>
      <w:r w:rsidR="007716DF" w:rsidRPr="00E573E1">
        <w:rPr>
          <w:lang w:val="en-AU"/>
        </w:rPr>
        <w:t>,</w:t>
      </w:r>
      <w:r w:rsidR="00B62600" w:rsidRPr="00E573E1">
        <w:rPr>
          <w:lang w:val="en-AU"/>
        </w:rPr>
        <w:t xml:space="preserve"> however</w:t>
      </w:r>
      <w:r w:rsidR="003179FD" w:rsidRPr="00E573E1">
        <w:rPr>
          <w:lang w:val="en-AU"/>
        </w:rPr>
        <w:t xml:space="preserve"> </w:t>
      </w:r>
      <w:r w:rsidR="007716DF" w:rsidRPr="00E573E1">
        <w:rPr>
          <w:lang w:val="en-AU"/>
        </w:rPr>
        <w:t xml:space="preserve">some </w:t>
      </w:r>
      <w:r w:rsidR="00B62600" w:rsidRPr="00E573E1">
        <w:rPr>
          <w:lang w:val="en-AU"/>
        </w:rPr>
        <w:t>efficacy outcomes were also reported.</w:t>
      </w:r>
    </w:p>
    <w:p w14:paraId="075C3420" w14:textId="7CDDFDCC" w:rsidR="0086608B" w:rsidRPr="00E573E1" w:rsidRDefault="0086608B" w:rsidP="00C11150">
      <w:pPr>
        <w:pStyle w:val="Paragraph"/>
        <w:rPr>
          <w:lang w:val="en-AU"/>
        </w:rPr>
      </w:pPr>
      <w:r w:rsidRPr="00E573E1">
        <w:rPr>
          <w:lang w:val="en-AU"/>
        </w:rPr>
        <w:t>The two primary endpoints in KRONOS were FEV</w:t>
      </w:r>
      <w:r w:rsidRPr="00E573E1">
        <w:rPr>
          <w:vertAlign w:val="subscript"/>
          <w:lang w:val="en-AU"/>
        </w:rPr>
        <w:t>1</w:t>
      </w:r>
      <w:r w:rsidRPr="00E573E1">
        <w:rPr>
          <w:lang w:val="en-AU"/>
        </w:rPr>
        <w:t xml:space="preserve"> </w:t>
      </w:r>
      <w:r w:rsidR="002A09D6" w:rsidRPr="00E573E1">
        <w:rPr>
          <w:lang w:val="en-AU"/>
        </w:rPr>
        <w:t>AUC</w:t>
      </w:r>
      <w:r w:rsidRPr="00E573E1">
        <w:rPr>
          <w:lang w:val="en-AU"/>
        </w:rPr>
        <w:t xml:space="preserve"> from 0-4 hours</w:t>
      </w:r>
      <w:r w:rsidR="007F026E" w:rsidRPr="00E573E1">
        <w:rPr>
          <w:lang w:val="en-AU"/>
        </w:rPr>
        <w:t xml:space="preserve"> </w:t>
      </w:r>
      <w:r w:rsidRPr="00E573E1">
        <w:rPr>
          <w:lang w:val="en-AU"/>
        </w:rPr>
        <w:t>(FEV</w:t>
      </w:r>
      <w:r w:rsidRPr="00E573E1">
        <w:rPr>
          <w:vertAlign w:val="subscript"/>
          <w:lang w:val="en-AU"/>
        </w:rPr>
        <w:t xml:space="preserve">1 </w:t>
      </w:r>
      <w:r w:rsidRPr="00E573E1">
        <w:rPr>
          <w:lang w:val="en-AU"/>
        </w:rPr>
        <w:t>AUC</w:t>
      </w:r>
      <w:r w:rsidRPr="00E573E1">
        <w:rPr>
          <w:vertAlign w:val="subscript"/>
          <w:lang w:val="en-AU"/>
        </w:rPr>
        <w:t>0-4</w:t>
      </w:r>
      <w:r w:rsidRPr="00E573E1">
        <w:rPr>
          <w:lang w:val="en-AU"/>
        </w:rPr>
        <w:t>) and change from baseline in morning pre-dose trough FEV</w:t>
      </w:r>
      <w:r w:rsidRPr="00E573E1">
        <w:rPr>
          <w:vertAlign w:val="subscript"/>
          <w:lang w:val="en-AU"/>
        </w:rPr>
        <w:t>1</w:t>
      </w:r>
      <w:r w:rsidRPr="00E573E1">
        <w:rPr>
          <w:lang w:val="en-AU"/>
        </w:rPr>
        <w:t xml:space="preserve"> over 24 weeks.</w:t>
      </w:r>
    </w:p>
    <w:p w14:paraId="74F76B07" w14:textId="233DF412" w:rsidR="0086608B" w:rsidRPr="00E573E1" w:rsidRDefault="0086608B" w:rsidP="00C11150">
      <w:pPr>
        <w:pStyle w:val="Paragraph"/>
        <w:rPr>
          <w:lang w:val="en-AU"/>
        </w:rPr>
      </w:pPr>
      <w:r w:rsidRPr="00E573E1">
        <w:rPr>
          <w:lang w:val="en-AU"/>
        </w:rPr>
        <w:t>KRONOS was conducted in patients with moderate to very severe COPD (post-bronchodilator</w:t>
      </w:r>
      <w:r w:rsidR="007F026E" w:rsidRPr="00E573E1">
        <w:rPr>
          <w:lang w:val="en-AU"/>
        </w:rPr>
        <w:t xml:space="preserve"> </w:t>
      </w:r>
      <w:r w:rsidRPr="00E573E1">
        <w:rPr>
          <w:lang w:val="en-AU"/>
        </w:rPr>
        <w:t xml:space="preserve">FEV1 ≥25% to &lt;80% predicted), who had a CAT score of 10 or above while receiving </w:t>
      </w:r>
      <w:r w:rsidR="005A75AD" w:rsidRPr="00E573E1">
        <w:rPr>
          <w:lang w:val="en-AU"/>
        </w:rPr>
        <w:t xml:space="preserve">2 </w:t>
      </w:r>
      <w:r w:rsidRPr="00E573E1">
        <w:rPr>
          <w:lang w:val="en-AU"/>
        </w:rPr>
        <w:t>or</w:t>
      </w:r>
      <w:r w:rsidR="007F026E" w:rsidRPr="00E573E1">
        <w:rPr>
          <w:lang w:val="en-AU"/>
        </w:rPr>
        <w:t xml:space="preserve"> </w:t>
      </w:r>
      <w:r w:rsidRPr="00E573E1">
        <w:rPr>
          <w:lang w:val="en-AU"/>
        </w:rPr>
        <w:t>more inhaled maintenance therapies for at least 6 weeks prior to screening. During the</w:t>
      </w:r>
      <w:r w:rsidR="007F026E" w:rsidRPr="00E573E1">
        <w:rPr>
          <w:lang w:val="en-AU"/>
        </w:rPr>
        <w:t xml:space="preserve"> </w:t>
      </w:r>
      <w:r w:rsidRPr="00E573E1">
        <w:rPr>
          <w:lang w:val="en-AU"/>
        </w:rPr>
        <w:t>screening period, the mean post-bronchodilator percent predicted FEV</w:t>
      </w:r>
      <w:r w:rsidRPr="00E573E1">
        <w:rPr>
          <w:vertAlign w:val="subscript"/>
          <w:lang w:val="en-AU"/>
        </w:rPr>
        <w:t xml:space="preserve">1 </w:t>
      </w:r>
      <w:r w:rsidRPr="00E573E1">
        <w:rPr>
          <w:lang w:val="en-AU"/>
        </w:rPr>
        <w:t>was 50%. A prior</w:t>
      </w:r>
      <w:r w:rsidR="007F026E" w:rsidRPr="00E573E1">
        <w:rPr>
          <w:lang w:val="en-AU"/>
        </w:rPr>
        <w:t xml:space="preserve"> </w:t>
      </w:r>
      <w:r w:rsidRPr="00E573E1">
        <w:rPr>
          <w:lang w:val="en-AU"/>
        </w:rPr>
        <w:t xml:space="preserve">history of exacerbations in the last 12 months was not required in KRONOS and </w:t>
      </w:r>
      <w:r w:rsidR="005A75AD" w:rsidRPr="00E573E1">
        <w:rPr>
          <w:lang w:val="en-AU"/>
        </w:rPr>
        <w:t xml:space="preserve">approximately </w:t>
      </w:r>
      <w:r w:rsidR="002A09D6" w:rsidRPr="00E573E1">
        <w:rPr>
          <w:lang w:val="en-AU"/>
        </w:rPr>
        <w:t>74%</w:t>
      </w:r>
      <w:r w:rsidR="005A75AD" w:rsidRPr="00E573E1">
        <w:rPr>
          <w:lang w:val="en-AU"/>
        </w:rPr>
        <w:t xml:space="preserve"> </w:t>
      </w:r>
      <w:r w:rsidRPr="00E573E1">
        <w:rPr>
          <w:lang w:val="en-AU"/>
        </w:rPr>
        <w:t xml:space="preserve">of patients </w:t>
      </w:r>
      <w:r w:rsidR="00985D46" w:rsidRPr="00E573E1">
        <w:rPr>
          <w:lang w:val="en-AU"/>
        </w:rPr>
        <w:t>did not have an</w:t>
      </w:r>
      <w:r w:rsidRPr="00E573E1">
        <w:rPr>
          <w:lang w:val="en-AU"/>
        </w:rPr>
        <w:t xml:space="preserve"> exacerbation in the </w:t>
      </w:r>
      <w:r w:rsidR="002A09D6" w:rsidRPr="00E573E1">
        <w:rPr>
          <w:lang w:val="en-AU"/>
        </w:rPr>
        <w:t>preceding 12 months</w:t>
      </w:r>
      <w:r w:rsidRPr="00E573E1">
        <w:rPr>
          <w:lang w:val="en-AU"/>
        </w:rPr>
        <w:t>. The mean CAT score was 18.3 and a total of 72% of subjects were on ICS-containing</w:t>
      </w:r>
      <w:r w:rsidR="007F026E" w:rsidRPr="00E573E1">
        <w:rPr>
          <w:lang w:val="en-AU"/>
        </w:rPr>
        <w:t xml:space="preserve"> </w:t>
      </w:r>
      <w:r w:rsidRPr="00E573E1">
        <w:rPr>
          <w:lang w:val="en-AU"/>
        </w:rPr>
        <w:t>treatments prior to screenin</w:t>
      </w:r>
      <w:r w:rsidR="00861B4E">
        <w:rPr>
          <w:lang w:val="en-AU"/>
        </w:rPr>
        <w:t>g.</w:t>
      </w:r>
      <w:r w:rsidR="001020B7" w:rsidRPr="00E573E1">
        <w:rPr>
          <w:lang w:val="en-AU"/>
        </w:rPr>
        <w:t xml:space="preserve"> The </w:t>
      </w:r>
      <w:proofErr w:type="spellStart"/>
      <w:r w:rsidR="001020B7" w:rsidRPr="00E573E1">
        <w:rPr>
          <w:lang w:val="en-AU"/>
        </w:rPr>
        <w:t>mITT</w:t>
      </w:r>
      <w:proofErr w:type="spellEnd"/>
      <w:r w:rsidR="001020B7" w:rsidRPr="00E573E1">
        <w:rPr>
          <w:lang w:val="en-AU"/>
        </w:rPr>
        <w:t xml:space="preserve"> population consisted of all randomised patient who received treatment and had post-randomisation data prior to discontinuation with 639, 625, 314 and 318 patients in the BREZTRI AEROSPHERE 160/7.2/5, </w:t>
      </w:r>
      <w:r w:rsidR="00EB0018">
        <w:rPr>
          <w:lang w:val="en-AU"/>
        </w:rPr>
        <w:t>GFF MDI</w:t>
      </w:r>
      <w:r w:rsidR="001020B7" w:rsidRPr="00E573E1">
        <w:rPr>
          <w:lang w:val="en-AU"/>
        </w:rPr>
        <w:t xml:space="preserve"> 7.2/5, BFF MDI 160/5 and </w:t>
      </w:r>
      <w:r w:rsidR="009E47A1">
        <w:rPr>
          <w:lang w:val="en-AU"/>
        </w:rPr>
        <w:t xml:space="preserve">BFF </w:t>
      </w:r>
      <w:proofErr w:type="spellStart"/>
      <w:r w:rsidR="009E47A1">
        <w:rPr>
          <w:lang w:val="en-AU"/>
        </w:rPr>
        <w:t>Turbuhaler</w:t>
      </w:r>
      <w:proofErr w:type="spellEnd"/>
      <w:r w:rsidR="001020B7" w:rsidRPr="00E573E1">
        <w:rPr>
          <w:lang w:val="en-AU"/>
        </w:rPr>
        <w:t xml:space="preserve"> 200/6 arms respectively.</w:t>
      </w:r>
    </w:p>
    <w:p w14:paraId="7AD50072" w14:textId="3A047305" w:rsidR="00857C06" w:rsidRPr="00E573E1" w:rsidRDefault="00857C06" w:rsidP="00C11150">
      <w:pPr>
        <w:pStyle w:val="Heading4Unnumbered"/>
        <w:rPr>
          <w:lang w:val="en-AU"/>
        </w:rPr>
      </w:pPr>
      <w:r w:rsidRPr="00E573E1">
        <w:rPr>
          <w:lang w:val="en-AU"/>
        </w:rPr>
        <w:t>Effects on exacerbations - ETHOS</w:t>
      </w:r>
    </w:p>
    <w:p w14:paraId="587F128B" w14:textId="77777777" w:rsidR="00857C06" w:rsidRPr="00E573E1" w:rsidRDefault="00857C06" w:rsidP="00C11150">
      <w:pPr>
        <w:pStyle w:val="Paragraph"/>
        <w:rPr>
          <w:i/>
          <w:lang w:val="en-AU"/>
        </w:rPr>
      </w:pPr>
      <w:r w:rsidRPr="00E573E1">
        <w:rPr>
          <w:i/>
          <w:lang w:val="en-AU"/>
        </w:rPr>
        <w:t>Rate of moderate or severe exacerbations</w:t>
      </w:r>
      <w:r w:rsidRPr="00E573E1">
        <w:rPr>
          <w:rStyle w:val="EndnoteReference"/>
          <w:i/>
          <w:vertAlign w:val="baseline"/>
          <w:lang w:val="en-AU"/>
        </w:rPr>
        <w:t xml:space="preserve"> </w:t>
      </w:r>
    </w:p>
    <w:p w14:paraId="3232F627" w14:textId="48C4BB76" w:rsidR="00857C06" w:rsidRPr="00E573E1" w:rsidRDefault="00857C06" w:rsidP="00C11150">
      <w:pPr>
        <w:pStyle w:val="Paragraph"/>
        <w:rPr>
          <w:lang w:val="en-AU"/>
        </w:rPr>
      </w:pPr>
      <w:r w:rsidRPr="00E573E1">
        <w:rPr>
          <w:lang w:val="en-AU"/>
        </w:rPr>
        <w:t xml:space="preserve">BREZTRI AEROSPHERE 160/7.2/5 significantly reduced the rate of moderate or severe COPD exacerbations over 52 weeks compared with </w:t>
      </w:r>
      <w:r w:rsidR="00EB0018">
        <w:rPr>
          <w:lang w:val="en-AU"/>
        </w:rPr>
        <w:t>GFF MDI</w:t>
      </w:r>
      <w:r w:rsidR="00AF2599" w:rsidRPr="00E573E1">
        <w:rPr>
          <w:lang w:val="en-AU"/>
        </w:rPr>
        <w:t xml:space="preserve"> 7.2/5</w:t>
      </w:r>
      <w:r w:rsidRPr="00E573E1">
        <w:rPr>
          <w:lang w:val="en-AU"/>
        </w:rPr>
        <w:t xml:space="preserve"> and BFF MDI</w:t>
      </w:r>
      <w:r w:rsidR="00AF2599" w:rsidRPr="00E573E1">
        <w:rPr>
          <w:lang w:val="en-AU"/>
        </w:rPr>
        <w:t xml:space="preserve"> 160/5</w:t>
      </w:r>
      <w:r w:rsidRPr="00E573E1">
        <w:rPr>
          <w:lang w:val="en-AU"/>
        </w:rPr>
        <w:t xml:space="preserve"> (see </w:t>
      </w:r>
      <w:r w:rsidR="00AF2599" w:rsidRPr="00E573E1">
        <w:rPr>
          <w:lang w:val="en-AU"/>
        </w:rPr>
        <w:fldChar w:fldCharType="begin"/>
      </w:r>
      <w:r w:rsidR="00AF2599" w:rsidRPr="00E573E1">
        <w:rPr>
          <w:lang w:val="en-AU"/>
        </w:rPr>
        <w:instrText xml:space="preserve"> REF _Ref40074610 \h  \* MERGEFORMAT </w:instrText>
      </w:r>
      <w:r w:rsidR="00AF2599" w:rsidRPr="00E573E1">
        <w:rPr>
          <w:lang w:val="en-AU"/>
        </w:rPr>
      </w:r>
      <w:r w:rsidR="00AF2599" w:rsidRPr="00E573E1">
        <w:rPr>
          <w:lang w:val="en-AU"/>
        </w:rPr>
        <w:fldChar w:fldCharType="separate"/>
      </w:r>
      <w:r w:rsidR="00960F91" w:rsidRPr="00E573E1">
        <w:rPr>
          <w:lang w:val="en-AU"/>
        </w:rPr>
        <w:t>Table </w:t>
      </w:r>
      <w:r w:rsidR="00960F91">
        <w:rPr>
          <w:lang w:val="en-AU"/>
        </w:rPr>
        <w:t>4</w:t>
      </w:r>
      <w:r w:rsidR="00AF2599" w:rsidRPr="00E573E1">
        <w:rPr>
          <w:lang w:val="en-AU"/>
        </w:rPr>
        <w:fldChar w:fldCharType="end"/>
      </w:r>
      <w:r w:rsidRPr="00E573E1">
        <w:rPr>
          <w:lang w:val="en-AU"/>
        </w:rPr>
        <w:t xml:space="preserve">). </w:t>
      </w:r>
    </w:p>
    <w:p w14:paraId="681A1327" w14:textId="77777777" w:rsidR="00857C06" w:rsidRPr="00E573E1" w:rsidRDefault="00857C06" w:rsidP="00C11150">
      <w:pPr>
        <w:pStyle w:val="Paragraph"/>
        <w:rPr>
          <w:i/>
          <w:lang w:val="en-AU"/>
        </w:rPr>
      </w:pPr>
      <w:r w:rsidRPr="00E573E1">
        <w:rPr>
          <w:i/>
          <w:lang w:val="en-AU"/>
        </w:rPr>
        <w:t>Rate of severe exacerbations</w:t>
      </w:r>
      <w:r w:rsidRPr="00E573E1">
        <w:rPr>
          <w:rStyle w:val="EndnoteReference"/>
          <w:i/>
          <w:lang w:val="en-AU"/>
        </w:rPr>
        <w:t xml:space="preserve"> </w:t>
      </w:r>
    </w:p>
    <w:p w14:paraId="4C61DE18" w14:textId="292F9234" w:rsidR="00A1519F" w:rsidRPr="00E573E1" w:rsidRDefault="00857C06" w:rsidP="00C11150">
      <w:pPr>
        <w:pStyle w:val="Paragraph"/>
        <w:rPr>
          <w:bCs/>
          <w:lang w:val="en-AU"/>
        </w:rPr>
      </w:pPr>
      <w:r w:rsidRPr="00E573E1">
        <w:rPr>
          <w:bCs/>
          <w:lang w:val="en-AU"/>
        </w:rPr>
        <w:t xml:space="preserve">BREZTRI AEROSPHERE 160/7.2/5 </w:t>
      </w:r>
      <w:r w:rsidR="007D6E58" w:rsidRPr="00E573E1">
        <w:rPr>
          <w:bCs/>
          <w:lang w:val="en-AU"/>
        </w:rPr>
        <w:t>s</w:t>
      </w:r>
      <w:r w:rsidRPr="00E573E1">
        <w:rPr>
          <w:bCs/>
          <w:lang w:val="en-AU"/>
        </w:rPr>
        <w:t xml:space="preserve">ignificantly reduced the rate of severe COPD exacerbations over 52 weeks compared with BFF MDI </w:t>
      </w:r>
      <w:r w:rsidR="0098429C">
        <w:rPr>
          <w:bCs/>
          <w:lang w:val="en-AU"/>
        </w:rPr>
        <w:t xml:space="preserve">160/5 </w:t>
      </w:r>
      <w:r w:rsidRPr="00E573E1">
        <w:rPr>
          <w:bCs/>
          <w:lang w:val="en-AU"/>
        </w:rPr>
        <w:t xml:space="preserve">(see </w:t>
      </w:r>
      <w:r w:rsidR="00EE5CFF" w:rsidRPr="00E573E1">
        <w:rPr>
          <w:bCs/>
          <w:lang w:val="en-AU"/>
        </w:rPr>
        <w:fldChar w:fldCharType="begin"/>
      </w:r>
      <w:r w:rsidR="00EE5CFF" w:rsidRPr="00E573E1">
        <w:rPr>
          <w:bCs/>
          <w:lang w:val="en-AU"/>
        </w:rPr>
        <w:instrText xml:space="preserve"> REF _Ref40074610 \h  \* MERGEFORMAT </w:instrText>
      </w:r>
      <w:r w:rsidR="00EE5CFF" w:rsidRPr="00E573E1">
        <w:rPr>
          <w:bCs/>
          <w:lang w:val="en-AU"/>
        </w:rPr>
      </w:r>
      <w:r w:rsidR="00EE5CFF" w:rsidRPr="00E573E1">
        <w:rPr>
          <w:bCs/>
          <w:lang w:val="en-AU"/>
        </w:rPr>
        <w:fldChar w:fldCharType="separate"/>
      </w:r>
      <w:r w:rsidR="00960F91" w:rsidRPr="00E573E1">
        <w:rPr>
          <w:lang w:val="en-AU"/>
        </w:rPr>
        <w:t>Table </w:t>
      </w:r>
      <w:r w:rsidR="00960F91">
        <w:rPr>
          <w:lang w:val="en-AU"/>
        </w:rPr>
        <w:t>4</w:t>
      </w:r>
      <w:r w:rsidR="00EE5CFF" w:rsidRPr="00E573E1">
        <w:rPr>
          <w:bCs/>
          <w:lang w:val="en-AU"/>
        </w:rPr>
        <w:fldChar w:fldCharType="end"/>
      </w:r>
      <w:r w:rsidRPr="00E573E1">
        <w:rPr>
          <w:bCs/>
          <w:lang w:val="en-AU"/>
        </w:rPr>
        <w:t xml:space="preserve">). </w:t>
      </w:r>
      <w:r w:rsidR="00437C26" w:rsidRPr="00E573E1">
        <w:rPr>
          <w:bCs/>
          <w:lang w:val="en-AU"/>
        </w:rPr>
        <w:t xml:space="preserve">There was a numerical reduction in </w:t>
      </w:r>
      <w:r w:rsidR="00437C26" w:rsidRPr="00E573E1">
        <w:rPr>
          <w:bCs/>
          <w:lang w:val="en-AU"/>
        </w:rPr>
        <w:lastRenderedPageBreak/>
        <w:t xml:space="preserve">the rate of severe COPD exacerbations over 52 weeks for BREZTRI AEROSPHERE 160/7.2/5 compared with </w:t>
      </w:r>
      <w:r w:rsidR="00266725">
        <w:rPr>
          <w:bCs/>
          <w:lang w:val="en-AU"/>
        </w:rPr>
        <w:t>GFF MDI</w:t>
      </w:r>
      <w:r w:rsidR="00437C26" w:rsidRPr="00E573E1">
        <w:rPr>
          <w:bCs/>
          <w:lang w:val="en-AU"/>
        </w:rPr>
        <w:t xml:space="preserve"> 7.2/5(see </w:t>
      </w:r>
      <w:r w:rsidR="00437C26" w:rsidRPr="00E573E1">
        <w:rPr>
          <w:bCs/>
          <w:lang w:val="en-AU"/>
        </w:rPr>
        <w:fldChar w:fldCharType="begin"/>
      </w:r>
      <w:r w:rsidR="00437C26" w:rsidRPr="00E573E1">
        <w:rPr>
          <w:bCs/>
          <w:lang w:val="en-AU"/>
        </w:rPr>
        <w:instrText xml:space="preserve"> REF _Ref40074610 \h </w:instrText>
      </w:r>
      <w:r w:rsidR="00437C26" w:rsidRPr="00E573E1">
        <w:rPr>
          <w:bCs/>
          <w:lang w:val="en-AU"/>
        </w:rPr>
      </w:r>
      <w:r w:rsidR="00C11150">
        <w:rPr>
          <w:bCs/>
          <w:lang w:val="en-AU"/>
        </w:rPr>
        <w:instrText xml:space="preserve"> \* MERGEFORMAT </w:instrText>
      </w:r>
      <w:r w:rsidR="00437C26" w:rsidRPr="00E573E1">
        <w:rPr>
          <w:bCs/>
          <w:lang w:val="en-AU"/>
        </w:rPr>
        <w:fldChar w:fldCharType="separate"/>
      </w:r>
      <w:r w:rsidR="00960F91" w:rsidRPr="00E573E1">
        <w:rPr>
          <w:lang w:val="en-AU"/>
        </w:rPr>
        <w:t>Table </w:t>
      </w:r>
      <w:r w:rsidR="00960F91">
        <w:rPr>
          <w:noProof/>
          <w:lang w:val="en-AU"/>
        </w:rPr>
        <w:t>4</w:t>
      </w:r>
      <w:r w:rsidR="00437C26" w:rsidRPr="00E573E1">
        <w:rPr>
          <w:bCs/>
          <w:lang w:val="en-AU"/>
        </w:rPr>
        <w:fldChar w:fldCharType="end"/>
      </w:r>
      <w:r w:rsidR="00437C26" w:rsidRPr="00E573E1">
        <w:rPr>
          <w:bCs/>
          <w:lang w:val="en-AU"/>
        </w:rPr>
        <w:t>)</w:t>
      </w:r>
      <w:r w:rsidR="00437C26">
        <w:rPr>
          <w:bCs/>
          <w:lang w:val="en-AU"/>
        </w:rPr>
        <w:t>, but it</w:t>
      </w:r>
      <w:r w:rsidR="0098429C" w:rsidRPr="0098429C">
        <w:rPr>
          <w:bCs/>
        </w:rPr>
        <w:t xml:space="preserve"> did not reach statistical significance.</w:t>
      </w:r>
    </w:p>
    <w:p w14:paraId="08D20E15" w14:textId="54DE7755" w:rsidR="00861B4E" w:rsidRDefault="00857C06" w:rsidP="00C11150">
      <w:pPr>
        <w:pStyle w:val="Paragraph"/>
        <w:rPr>
          <w:lang w:val="en-AU"/>
        </w:rPr>
      </w:pPr>
      <w:r w:rsidRPr="00E573E1">
        <w:rPr>
          <w:lang w:val="en-AU"/>
        </w:rPr>
        <w:t xml:space="preserve">Benefits on exacerbations were observed in patients with moderate, </w:t>
      </w:r>
      <w:proofErr w:type="gramStart"/>
      <w:r w:rsidRPr="00E573E1">
        <w:rPr>
          <w:lang w:val="en-AU"/>
        </w:rPr>
        <w:t>severe</w:t>
      </w:r>
      <w:proofErr w:type="gramEnd"/>
      <w:r w:rsidRPr="00E573E1">
        <w:rPr>
          <w:lang w:val="en-AU"/>
        </w:rPr>
        <w:t xml:space="preserve"> and very severe COPD.</w:t>
      </w:r>
    </w:p>
    <w:p w14:paraId="49EE825C" w14:textId="50518230" w:rsidR="00AF2599" w:rsidRPr="00E573E1" w:rsidRDefault="00AF2599" w:rsidP="00C11150">
      <w:pPr>
        <w:pStyle w:val="TableTitle"/>
        <w:rPr>
          <w:color w:val="auto"/>
          <w:lang w:val="en-AU"/>
        </w:rPr>
      </w:pPr>
      <w:bookmarkStart w:id="22" w:name="_Ref40074610"/>
      <w:r w:rsidRPr="00E573E1">
        <w:rPr>
          <w:color w:val="auto"/>
          <w:lang w:val="en-AU"/>
        </w:rPr>
        <w:t>Table </w:t>
      </w:r>
      <w:r w:rsidRPr="00E573E1">
        <w:rPr>
          <w:color w:val="auto"/>
          <w:lang w:val="en-AU"/>
        </w:rPr>
        <w:fldChar w:fldCharType="begin"/>
      </w:r>
      <w:r w:rsidRPr="00E573E1">
        <w:rPr>
          <w:color w:val="auto"/>
          <w:lang w:val="en-AU"/>
        </w:rPr>
        <w:instrText xml:space="preserve"> SEQ Table \* ARABIC </w:instrText>
      </w:r>
      <w:r w:rsidRPr="00E573E1">
        <w:rPr>
          <w:color w:val="auto"/>
          <w:lang w:val="en-AU"/>
        </w:rPr>
        <w:fldChar w:fldCharType="separate"/>
      </w:r>
      <w:r w:rsidR="00960F91">
        <w:rPr>
          <w:noProof/>
          <w:color w:val="auto"/>
          <w:lang w:val="en-AU"/>
        </w:rPr>
        <w:t>4</w:t>
      </w:r>
      <w:r w:rsidRPr="00E573E1">
        <w:rPr>
          <w:color w:val="auto"/>
          <w:lang w:val="en-AU"/>
        </w:rPr>
        <w:fldChar w:fldCharType="end"/>
      </w:r>
      <w:bookmarkEnd w:id="22"/>
      <w:r w:rsidRPr="00E573E1">
        <w:rPr>
          <w:color w:val="auto"/>
          <w:lang w:val="en-AU"/>
        </w:rPr>
        <w:tab/>
        <w:t xml:space="preserve">Rates of </w:t>
      </w:r>
      <w:r w:rsidR="004D59A2" w:rsidRPr="00E573E1">
        <w:rPr>
          <w:color w:val="auto"/>
          <w:lang w:val="en-AU"/>
        </w:rPr>
        <w:t xml:space="preserve">COPD </w:t>
      </w:r>
      <w:r w:rsidRPr="00E573E1">
        <w:rPr>
          <w:color w:val="auto"/>
          <w:lang w:val="en-AU"/>
        </w:rPr>
        <w:t>exacerbations over 52 weeks (ETHOS</w:t>
      </w:r>
      <w:r w:rsidR="0073291D" w:rsidRPr="00E573E1">
        <w:rPr>
          <w:color w:val="auto"/>
          <w:lang w:val="en-AU"/>
        </w:rPr>
        <w:t xml:space="preserve">; </w:t>
      </w:r>
      <w:proofErr w:type="spellStart"/>
      <w:r w:rsidR="0073291D" w:rsidRPr="00E573E1">
        <w:rPr>
          <w:color w:val="auto"/>
          <w:lang w:val="en-AU"/>
        </w:rPr>
        <w:t>mITT</w:t>
      </w:r>
      <w:proofErr w:type="spellEnd"/>
      <w:r w:rsidR="0073291D" w:rsidRPr="00E573E1">
        <w:rPr>
          <w:color w:val="auto"/>
          <w:lang w:val="en-AU"/>
        </w:rPr>
        <w:t xml:space="preserve"> population</w:t>
      </w:r>
      <w:r w:rsidRPr="00E573E1">
        <w:rPr>
          <w:color w:val="auto"/>
          <w:lang w:val="en-AU"/>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3823"/>
        <w:gridCol w:w="1842"/>
        <w:gridCol w:w="1985"/>
        <w:gridCol w:w="1984"/>
      </w:tblGrid>
      <w:tr w:rsidR="002D5015" w:rsidRPr="00E573E1" w14:paraId="4A7F4C2B" w14:textId="77777777" w:rsidTr="004D59A2">
        <w:trPr>
          <w:cantSplit/>
          <w:tblHeader/>
        </w:trPr>
        <w:tc>
          <w:tcPr>
            <w:tcW w:w="3823" w:type="dxa"/>
            <w:shd w:val="clear" w:color="auto" w:fill="auto"/>
          </w:tcPr>
          <w:p w14:paraId="41C8BA47" w14:textId="77777777" w:rsidR="008929E8" w:rsidRPr="00E573E1" w:rsidRDefault="008929E8" w:rsidP="00C11150">
            <w:pPr>
              <w:pStyle w:val="TableHead"/>
              <w:jc w:val="left"/>
              <w:rPr>
                <w:sz w:val="18"/>
                <w:szCs w:val="18"/>
                <w:lang w:val="en-AU"/>
              </w:rPr>
            </w:pPr>
          </w:p>
        </w:tc>
        <w:tc>
          <w:tcPr>
            <w:tcW w:w="1842" w:type="dxa"/>
            <w:shd w:val="clear" w:color="auto" w:fill="auto"/>
          </w:tcPr>
          <w:p w14:paraId="4C9F1015" w14:textId="7290A6AD" w:rsidR="008929E8" w:rsidRPr="00E573E1" w:rsidRDefault="00EB0018" w:rsidP="00C11150">
            <w:pPr>
              <w:pStyle w:val="TableHead"/>
              <w:jc w:val="left"/>
              <w:rPr>
                <w:rFonts w:eastAsia="Calibri"/>
                <w:bCs/>
                <w:sz w:val="18"/>
                <w:szCs w:val="18"/>
                <w:lang w:val="en-AU"/>
              </w:rPr>
            </w:pPr>
            <w:r>
              <w:rPr>
                <w:rFonts w:eastAsia="Calibri"/>
                <w:bCs/>
                <w:sz w:val="18"/>
                <w:szCs w:val="18"/>
                <w:lang w:val="en-AU"/>
              </w:rPr>
              <w:t>BREZTRI</w:t>
            </w:r>
            <w:r w:rsidR="004A06B8" w:rsidRPr="00E573E1">
              <w:rPr>
                <w:rFonts w:eastAsia="Calibri"/>
                <w:bCs/>
                <w:sz w:val="18"/>
                <w:szCs w:val="18"/>
                <w:lang w:val="en-AU"/>
              </w:rPr>
              <w:t>^</w:t>
            </w:r>
            <w:r w:rsidR="00AB0279" w:rsidRPr="00E573E1">
              <w:rPr>
                <w:rFonts w:eastAsia="Calibri"/>
                <w:bCs/>
                <w:sz w:val="18"/>
                <w:szCs w:val="18"/>
                <w:lang w:val="en-AU"/>
              </w:rPr>
              <w:t xml:space="preserve"> </w:t>
            </w:r>
            <w:r w:rsidR="008929E8" w:rsidRPr="00E573E1">
              <w:rPr>
                <w:rFonts w:eastAsia="Calibri"/>
                <w:bCs/>
                <w:sz w:val="18"/>
                <w:szCs w:val="18"/>
                <w:lang w:val="en-AU"/>
              </w:rPr>
              <w:t>160/7.2/5</w:t>
            </w:r>
          </w:p>
        </w:tc>
        <w:tc>
          <w:tcPr>
            <w:tcW w:w="1985" w:type="dxa"/>
            <w:shd w:val="clear" w:color="auto" w:fill="auto"/>
          </w:tcPr>
          <w:p w14:paraId="56C6E869" w14:textId="32573FB2" w:rsidR="008929E8" w:rsidRPr="00E573E1" w:rsidRDefault="00EB0018" w:rsidP="00C11150">
            <w:pPr>
              <w:pStyle w:val="TableHead"/>
              <w:jc w:val="left"/>
              <w:rPr>
                <w:rFonts w:eastAsia="Calibri"/>
                <w:bCs/>
                <w:sz w:val="18"/>
                <w:szCs w:val="18"/>
                <w:lang w:val="en-AU"/>
              </w:rPr>
            </w:pPr>
            <w:r>
              <w:rPr>
                <w:rFonts w:eastAsia="Calibri"/>
                <w:bCs/>
                <w:sz w:val="18"/>
                <w:szCs w:val="18"/>
                <w:lang w:val="en-AU"/>
              </w:rPr>
              <w:t>GFF MDI</w:t>
            </w:r>
            <w:r w:rsidR="004A06B8" w:rsidRPr="00E573E1">
              <w:rPr>
                <w:rFonts w:eastAsia="Calibri"/>
                <w:bCs/>
                <w:sz w:val="18"/>
                <w:szCs w:val="18"/>
                <w:lang w:val="en-AU"/>
              </w:rPr>
              <w:t>^</w:t>
            </w:r>
            <w:r w:rsidR="008929E8" w:rsidRPr="00E573E1">
              <w:rPr>
                <w:rFonts w:eastAsia="Calibri"/>
                <w:bCs/>
                <w:sz w:val="18"/>
                <w:szCs w:val="18"/>
                <w:lang w:val="en-AU"/>
              </w:rPr>
              <w:t xml:space="preserve"> 7.2/5</w:t>
            </w:r>
          </w:p>
        </w:tc>
        <w:tc>
          <w:tcPr>
            <w:tcW w:w="1984" w:type="dxa"/>
            <w:shd w:val="clear" w:color="auto" w:fill="auto"/>
          </w:tcPr>
          <w:p w14:paraId="27CEFAFC" w14:textId="0730EB9C" w:rsidR="008929E8" w:rsidRPr="00E573E1" w:rsidRDefault="008929E8" w:rsidP="00C11150">
            <w:pPr>
              <w:pStyle w:val="TableHead"/>
              <w:jc w:val="left"/>
              <w:rPr>
                <w:rFonts w:eastAsia="Calibri"/>
                <w:bCs/>
                <w:sz w:val="18"/>
                <w:szCs w:val="18"/>
                <w:lang w:val="en-AU"/>
              </w:rPr>
            </w:pPr>
            <w:r w:rsidRPr="00E573E1">
              <w:rPr>
                <w:rFonts w:eastAsia="Calibri"/>
                <w:bCs/>
                <w:sz w:val="18"/>
                <w:szCs w:val="18"/>
                <w:lang w:val="en-AU"/>
              </w:rPr>
              <w:t>BFF MDI 160/5</w:t>
            </w:r>
          </w:p>
        </w:tc>
      </w:tr>
      <w:tr w:rsidR="002D5015" w:rsidRPr="00E573E1" w14:paraId="07BC249D" w14:textId="77777777" w:rsidTr="0004349F">
        <w:trPr>
          <w:cantSplit/>
        </w:trPr>
        <w:tc>
          <w:tcPr>
            <w:tcW w:w="9634" w:type="dxa"/>
            <w:gridSpan w:val="4"/>
            <w:shd w:val="clear" w:color="auto" w:fill="auto"/>
          </w:tcPr>
          <w:p w14:paraId="4011D8EF" w14:textId="53148685" w:rsidR="00AB0279" w:rsidRPr="00E573E1" w:rsidRDefault="002D5BB3" w:rsidP="00C11150">
            <w:pPr>
              <w:pStyle w:val="TableCenter"/>
              <w:jc w:val="left"/>
              <w:rPr>
                <w:sz w:val="18"/>
                <w:szCs w:val="18"/>
                <w:lang w:val="en-AU"/>
              </w:rPr>
            </w:pPr>
            <w:proofErr w:type="spellStart"/>
            <w:r w:rsidRPr="00E573E1">
              <w:rPr>
                <w:b/>
                <w:bCs/>
                <w:sz w:val="18"/>
                <w:szCs w:val="18"/>
                <w:lang w:val="en-AU"/>
              </w:rPr>
              <w:t>M</w:t>
            </w:r>
            <w:r w:rsidR="00AB0279" w:rsidRPr="00E573E1">
              <w:rPr>
                <w:b/>
                <w:bCs/>
                <w:sz w:val="18"/>
                <w:szCs w:val="18"/>
                <w:lang w:val="en-AU"/>
              </w:rPr>
              <w:t>oderate</w:t>
            </w:r>
            <w:r w:rsidR="00623568" w:rsidRPr="00E573E1">
              <w:rPr>
                <w:b/>
                <w:bCs/>
                <w:sz w:val="18"/>
                <w:szCs w:val="18"/>
                <w:vertAlign w:val="superscript"/>
                <w:lang w:val="en-AU"/>
              </w:rPr>
              <w:t>a</w:t>
            </w:r>
            <w:proofErr w:type="spellEnd"/>
            <w:r w:rsidR="004D59A2" w:rsidRPr="00E573E1">
              <w:rPr>
                <w:b/>
                <w:bCs/>
                <w:sz w:val="18"/>
                <w:szCs w:val="18"/>
                <w:lang w:val="en-AU"/>
              </w:rPr>
              <w:t>/</w:t>
            </w:r>
            <w:proofErr w:type="spellStart"/>
            <w:r w:rsidR="00AB0279" w:rsidRPr="00E573E1">
              <w:rPr>
                <w:b/>
                <w:bCs/>
                <w:sz w:val="18"/>
                <w:szCs w:val="18"/>
                <w:lang w:val="en-AU"/>
              </w:rPr>
              <w:t>severe</w:t>
            </w:r>
            <w:r w:rsidR="00623568" w:rsidRPr="00E573E1">
              <w:rPr>
                <w:b/>
                <w:bCs/>
                <w:sz w:val="18"/>
                <w:szCs w:val="18"/>
                <w:vertAlign w:val="superscript"/>
                <w:lang w:val="en-AU"/>
              </w:rPr>
              <w:t>b</w:t>
            </w:r>
            <w:proofErr w:type="spellEnd"/>
            <w:r w:rsidR="00AB0279" w:rsidRPr="00E573E1">
              <w:rPr>
                <w:b/>
                <w:bCs/>
                <w:sz w:val="18"/>
                <w:szCs w:val="18"/>
                <w:lang w:val="en-AU"/>
              </w:rPr>
              <w:t xml:space="preserve"> exacerbations </w:t>
            </w:r>
            <w:r w:rsidR="0073291D" w:rsidRPr="00E573E1">
              <w:rPr>
                <w:b/>
                <w:bCs/>
                <w:sz w:val="18"/>
                <w:szCs w:val="18"/>
                <w:lang w:val="en-AU"/>
              </w:rPr>
              <w:t>(primary endpoint)</w:t>
            </w:r>
          </w:p>
        </w:tc>
      </w:tr>
      <w:tr w:rsidR="002D5015" w:rsidRPr="00E573E1" w14:paraId="23A86440" w14:textId="77777777" w:rsidTr="004D59A2">
        <w:trPr>
          <w:cantSplit/>
        </w:trPr>
        <w:tc>
          <w:tcPr>
            <w:tcW w:w="3823" w:type="dxa"/>
            <w:shd w:val="clear" w:color="auto" w:fill="auto"/>
          </w:tcPr>
          <w:p w14:paraId="1099F76C" w14:textId="3A70AE31" w:rsidR="008929E8" w:rsidRPr="00E573E1" w:rsidRDefault="008929E8" w:rsidP="00C11150">
            <w:pPr>
              <w:pStyle w:val="TableLeft"/>
              <w:rPr>
                <w:sz w:val="18"/>
                <w:szCs w:val="18"/>
                <w:lang w:val="en-AU"/>
              </w:rPr>
            </w:pPr>
            <w:r w:rsidRPr="00E573E1">
              <w:rPr>
                <w:bCs w:val="0"/>
                <w:sz w:val="18"/>
                <w:szCs w:val="18"/>
                <w:lang w:val="en-AU"/>
              </w:rPr>
              <w:t xml:space="preserve">Rate </w:t>
            </w:r>
          </w:p>
        </w:tc>
        <w:tc>
          <w:tcPr>
            <w:tcW w:w="1842" w:type="dxa"/>
            <w:shd w:val="clear" w:color="auto" w:fill="auto"/>
          </w:tcPr>
          <w:p w14:paraId="7DB5AFFD" w14:textId="4737FDBD" w:rsidR="008929E8" w:rsidRPr="00E573E1" w:rsidRDefault="008929E8" w:rsidP="00C11150">
            <w:pPr>
              <w:pStyle w:val="TableCenter"/>
              <w:jc w:val="left"/>
              <w:rPr>
                <w:sz w:val="18"/>
                <w:szCs w:val="18"/>
                <w:lang w:val="en-AU"/>
              </w:rPr>
            </w:pPr>
            <w:r w:rsidRPr="00E573E1">
              <w:rPr>
                <w:sz w:val="18"/>
                <w:szCs w:val="18"/>
                <w:lang w:val="en-AU"/>
              </w:rPr>
              <w:t>1.08</w:t>
            </w:r>
          </w:p>
        </w:tc>
        <w:tc>
          <w:tcPr>
            <w:tcW w:w="1985" w:type="dxa"/>
            <w:shd w:val="clear" w:color="auto" w:fill="auto"/>
          </w:tcPr>
          <w:p w14:paraId="72C3AC3E" w14:textId="3465EB24" w:rsidR="008929E8" w:rsidRPr="00E573E1" w:rsidRDefault="008929E8" w:rsidP="00C11150">
            <w:pPr>
              <w:pStyle w:val="TableCenter"/>
              <w:jc w:val="left"/>
              <w:rPr>
                <w:sz w:val="18"/>
                <w:szCs w:val="18"/>
                <w:lang w:val="en-AU"/>
              </w:rPr>
            </w:pPr>
            <w:r w:rsidRPr="00E573E1">
              <w:rPr>
                <w:sz w:val="18"/>
                <w:szCs w:val="18"/>
                <w:lang w:val="en-AU"/>
              </w:rPr>
              <w:t>1.42</w:t>
            </w:r>
          </w:p>
        </w:tc>
        <w:tc>
          <w:tcPr>
            <w:tcW w:w="1984" w:type="dxa"/>
            <w:shd w:val="clear" w:color="auto" w:fill="auto"/>
          </w:tcPr>
          <w:p w14:paraId="57B3B15F" w14:textId="44FAA110" w:rsidR="008929E8" w:rsidRPr="00E573E1" w:rsidRDefault="008929E8" w:rsidP="00C11150">
            <w:pPr>
              <w:pStyle w:val="TableCenter"/>
              <w:jc w:val="left"/>
              <w:rPr>
                <w:sz w:val="18"/>
                <w:szCs w:val="18"/>
                <w:lang w:val="en-AU"/>
              </w:rPr>
            </w:pPr>
            <w:r w:rsidRPr="00E573E1">
              <w:rPr>
                <w:sz w:val="18"/>
                <w:szCs w:val="18"/>
                <w:lang w:val="en-AU"/>
              </w:rPr>
              <w:t>1.24</w:t>
            </w:r>
          </w:p>
        </w:tc>
      </w:tr>
      <w:tr w:rsidR="002D5015" w:rsidRPr="00E573E1" w14:paraId="12B8DDE4" w14:textId="77777777" w:rsidTr="004D59A2">
        <w:trPr>
          <w:cantSplit/>
        </w:trPr>
        <w:tc>
          <w:tcPr>
            <w:tcW w:w="3823" w:type="dxa"/>
            <w:shd w:val="clear" w:color="auto" w:fill="auto"/>
          </w:tcPr>
          <w:p w14:paraId="05DABF23" w14:textId="1E7D7B6D" w:rsidR="008929E8" w:rsidRPr="00E573E1" w:rsidRDefault="008929E8" w:rsidP="00C11150">
            <w:pPr>
              <w:pStyle w:val="TableLeft"/>
              <w:rPr>
                <w:rFonts w:eastAsia="Calibri"/>
                <w:sz w:val="18"/>
                <w:szCs w:val="18"/>
                <w:lang w:val="en-AU"/>
              </w:rPr>
            </w:pPr>
            <w:r w:rsidRPr="00E573E1">
              <w:rPr>
                <w:rFonts w:eastAsia="Calibri"/>
                <w:sz w:val="18"/>
                <w:szCs w:val="18"/>
                <w:lang w:val="en-AU"/>
              </w:rPr>
              <w:t xml:space="preserve">Rate </w:t>
            </w:r>
            <w:r w:rsidR="002D5BB3" w:rsidRPr="00E573E1">
              <w:rPr>
                <w:rFonts w:eastAsia="Calibri"/>
                <w:sz w:val="18"/>
                <w:szCs w:val="18"/>
                <w:lang w:val="en-AU"/>
              </w:rPr>
              <w:t>r</w:t>
            </w:r>
            <w:r w:rsidRPr="00E573E1">
              <w:rPr>
                <w:rFonts w:eastAsia="Calibri"/>
                <w:sz w:val="18"/>
                <w:szCs w:val="18"/>
                <w:lang w:val="en-AU"/>
              </w:rPr>
              <w:t>atio: BREZTRI</w:t>
            </w:r>
            <w:r w:rsidR="00DB50D9" w:rsidRPr="00E573E1">
              <w:rPr>
                <w:rFonts w:eastAsia="Calibri"/>
                <w:sz w:val="18"/>
                <w:szCs w:val="18"/>
                <w:lang w:val="en-AU"/>
              </w:rPr>
              <w:t>^</w:t>
            </w:r>
            <w:r w:rsidRPr="00E573E1">
              <w:rPr>
                <w:rFonts w:eastAsia="Calibri"/>
                <w:sz w:val="18"/>
                <w:szCs w:val="18"/>
                <w:lang w:val="en-AU"/>
              </w:rPr>
              <w:t xml:space="preserve"> vs. comparator (95% CI</w:t>
            </w:r>
            <w:proofErr w:type="gramStart"/>
            <w:r w:rsidRPr="00E573E1">
              <w:rPr>
                <w:rFonts w:eastAsia="Calibri"/>
                <w:sz w:val="18"/>
                <w:szCs w:val="18"/>
                <w:lang w:val="en-AU"/>
              </w:rPr>
              <w:t>)</w:t>
            </w:r>
            <w:r w:rsidR="00A1519F" w:rsidRPr="00E573E1">
              <w:rPr>
                <w:rFonts w:eastAsia="Calibri"/>
                <w:sz w:val="18"/>
                <w:szCs w:val="18"/>
                <w:lang w:val="en-AU"/>
              </w:rPr>
              <w:t>;</w:t>
            </w:r>
            <w:proofErr w:type="gramEnd"/>
          </w:p>
          <w:p w14:paraId="0E1AC3D2" w14:textId="569E4A02" w:rsidR="008929E8" w:rsidRPr="00E573E1" w:rsidRDefault="008929E8" w:rsidP="00C11150">
            <w:pPr>
              <w:pStyle w:val="TableLeft"/>
              <w:rPr>
                <w:sz w:val="18"/>
                <w:szCs w:val="18"/>
                <w:lang w:val="en-AU"/>
              </w:rPr>
            </w:pPr>
            <w:r w:rsidRPr="00E573E1">
              <w:rPr>
                <w:rFonts w:eastAsia="Calibri"/>
                <w:sz w:val="18"/>
                <w:szCs w:val="18"/>
                <w:lang w:val="en-AU"/>
              </w:rPr>
              <w:t>p-value</w:t>
            </w:r>
          </w:p>
        </w:tc>
        <w:tc>
          <w:tcPr>
            <w:tcW w:w="1842" w:type="dxa"/>
            <w:vMerge w:val="restart"/>
            <w:shd w:val="clear" w:color="auto" w:fill="auto"/>
          </w:tcPr>
          <w:p w14:paraId="33D6F73A" w14:textId="6CE313AD" w:rsidR="008929E8" w:rsidRPr="00E573E1" w:rsidRDefault="008929E8" w:rsidP="00C11150">
            <w:pPr>
              <w:pStyle w:val="TableCenter"/>
              <w:jc w:val="left"/>
              <w:rPr>
                <w:sz w:val="18"/>
                <w:szCs w:val="18"/>
                <w:lang w:val="en-AU"/>
              </w:rPr>
            </w:pPr>
            <w:r w:rsidRPr="00E573E1">
              <w:rPr>
                <w:sz w:val="18"/>
                <w:szCs w:val="18"/>
                <w:lang w:val="en-AU"/>
              </w:rPr>
              <w:t>N/A</w:t>
            </w:r>
          </w:p>
        </w:tc>
        <w:tc>
          <w:tcPr>
            <w:tcW w:w="1985" w:type="dxa"/>
            <w:shd w:val="clear" w:color="auto" w:fill="auto"/>
          </w:tcPr>
          <w:p w14:paraId="25ACC0D5" w14:textId="20FA7679" w:rsidR="008929E8" w:rsidRPr="00E573E1" w:rsidRDefault="008929E8" w:rsidP="00C11150">
            <w:pPr>
              <w:pStyle w:val="TableCenter"/>
              <w:jc w:val="left"/>
              <w:rPr>
                <w:sz w:val="18"/>
                <w:szCs w:val="18"/>
                <w:lang w:val="en-AU"/>
              </w:rPr>
            </w:pPr>
            <w:r w:rsidRPr="00E573E1">
              <w:rPr>
                <w:sz w:val="18"/>
                <w:szCs w:val="18"/>
                <w:lang w:val="en-AU"/>
              </w:rPr>
              <w:t>0.76 (0.69, 0.83</w:t>
            </w:r>
            <w:proofErr w:type="gramStart"/>
            <w:r w:rsidRPr="00E573E1">
              <w:rPr>
                <w:sz w:val="18"/>
                <w:szCs w:val="18"/>
                <w:lang w:val="en-AU"/>
              </w:rPr>
              <w:t>)</w:t>
            </w:r>
            <w:r w:rsidR="00A1519F" w:rsidRPr="00E573E1">
              <w:rPr>
                <w:sz w:val="18"/>
                <w:szCs w:val="18"/>
                <w:lang w:val="en-AU"/>
              </w:rPr>
              <w:t>;</w:t>
            </w:r>
            <w:proofErr w:type="gramEnd"/>
          </w:p>
          <w:p w14:paraId="5490B99A" w14:textId="378CD57F" w:rsidR="008929E8" w:rsidRPr="00E573E1" w:rsidRDefault="008929E8" w:rsidP="00C11150">
            <w:pPr>
              <w:pStyle w:val="TableCenter"/>
              <w:jc w:val="left"/>
              <w:rPr>
                <w:sz w:val="18"/>
                <w:szCs w:val="18"/>
                <w:lang w:val="en-AU"/>
              </w:rPr>
            </w:pPr>
            <w:r w:rsidRPr="00E573E1">
              <w:rPr>
                <w:sz w:val="18"/>
                <w:szCs w:val="18"/>
                <w:lang w:val="en-AU"/>
              </w:rPr>
              <w:t>p&lt;0.0001</w:t>
            </w:r>
          </w:p>
        </w:tc>
        <w:tc>
          <w:tcPr>
            <w:tcW w:w="1984" w:type="dxa"/>
            <w:shd w:val="clear" w:color="auto" w:fill="auto"/>
          </w:tcPr>
          <w:p w14:paraId="7BC602CB" w14:textId="658D4320" w:rsidR="008929E8" w:rsidRPr="00E573E1" w:rsidRDefault="008929E8" w:rsidP="00C11150">
            <w:pPr>
              <w:pStyle w:val="TableCenter"/>
              <w:jc w:val="left"/>
              <w:rPr>
                <w:sz w:val="18"/>
                <w:szCs w:val="18"/>
                <w:lang w:val="en-AU"/>
              </w:rPr>
            </w:pPr>
            <w:r w:rsidRPr="00E573E1">
              <w:rPr>
                <w:sz w:val="18"/>
                <w:szCs w:val="18"/>
                <w:lang w:val="en-AU"/>
              </w:rPr>
              <w:t>0.87 (0.79, 0.95</w:t>
            </w:r>
            <w:proofErr w:type="gramStart"/>
            <w:r w:rsidRPr="00E573E1">
              <w:rPr>
                <w:sz w:val="18"/>
                <w:szCs w:val="18"/>
                <w:lang w:val="en-AU"/>
              </w:rPr>
              <w:t>)</w:t>
            </w:r>
            <w:r w:rsidR="00A1519F" w:rsidRPr="00E573E1">
              <w:rPr>
                <w:sz w:val="18"/>
                <w:szCs w:val="18"/>
                <w:lang w:val="en-AU"/>
              </w:rPr>
              <w:t>;</w:t>
            </w:r>
            <w:proofErr w:type="gramEnd"/>
          </w:p>
          <w:p w14:paraId="4F2D2A34" w14:textId="30E73185" w:rsidR="008929E8" w:rsidRPr="00E573E1" w:rsidRDefault="008929E8" w:rsidP="00C11150">
            <w:pPr>
              <w:pStyle w:val="TableCenter"/>
              <w:jc w:val="left"/>
              <w:rPr>
                <w:sz w:val="18"/>
                <w:szCs w:val="18"/>
                <w:lang w:val="en-AU"/>
              </w:rPr>
            </w:pPr>
            <w:r w:rsidRPr="00E573E1">
              <w:rPr>
                <w:sz w:val="18"/>
                <w:szCs w:val="18"/>
                <w:lang w:val="en-AU"/>
              </w:rPr>
              <w:t>p=0.0027</w:t>
            </w:r>
          </w:p>
        </w:tc>
      </w:tr>
      <w:tr w:rsidR="002D5015" w:rsidRPr="00E573E1" w14:paraId="62EFEE48" w14:textId="77777777" w:rsidTr="004D59A2">
        <w:trPr>
          <w:cantSplit/>
        </w:trPr>
        <w:tc>
          <w:tcPr>
            <w:tcW w:w="3823" w:type="dxa"/>
            <w:shd w:val="clear" w:color="auto" w:fill="auto"/>
          </w:tcPr>
          <w:p w14:paraId="592534DD" w14:textId="0033AE99" w:rsidR="008929E8" w:rsidRPr="00E573E1" w:rsidRDefault="008929E8" w:rsidP="00C11150">
            <w:pPr>
              <w:pStyle w:val="TableLeft"/>
              <w:rPr>
                <w:sz w:val="18"/>
                <w:szCs w:val="18"/>
                <w:lang w:val="en-AU"/>
              </w:rPr>
            </w:pPr>
            <w:r w:rsidRPr="00E573E1">
              <w:rPr>
                <w:rFonts w:eastAsia="Calibri"/>
                <w:sz w:val="18"/>
                <w:szCs w:val="18"/>
                <w:lang w:val="en-AU"/>
              </w:rPr>
              <w:t>% reduction</w:t>
            </w:r>
          </w:p>
        </w:tc>
        <w:tc>
          <w:tcPr>
            <w:tcW w:w="1842" w:type="dxa"/>
            <w:vMerge/>
            <w:shd w:val="clear" w:color="auto" w:fill="auto"/>
          </w:tcPr>
          <w:p w14:paraId="0369F59B" w14:textId="77777777" w:rsidR="008929E8" w:rsidRPr="00E573E1" w:rsidRDefault="008929E8" w:rsidP="00C11150">
            <w:pPr>
              <w:pStyle w:val="TableCenter"/>
              <w:jc w:val="left"/>
              <w:rPr>
                <w:sz w:val="18"/>
                <w:szCs w:val="18"/>
                <w:lang w:val="en-AU"/>
              </w:rPr>
            </w:pPr>
          </w:p>
        </w:tc>
        <w:tc>
          <w:tcPr>
            <w:tcW w:w="1985" w:type="dxa"/>
            <w:shd w:val="clear" w:color="auto" w:fill="auto"/>
          </w:tcPr>
          <w:p w14:paraId="7CDAA4D2" w14:textId="164E570E" w:rsidR="008929E8" w:rsidRPr="00E573E1" w:rsidRDefault="008929E8" w:rsidP="00C11150">
            <w:pPr>
              <w:pStyle w:val="TableCenter"/>
              <w:jc w:val="left"/>
              <w:rPr>
                <w:sz w:val="18"/>
                <w:szCs w:val="18"/>
                <w:lang w:val="en-AU"/>
              </w:rPr>
            </w:pPr>
            <w:r w:rsidRPr="00E573E1">
              <w:rPr>
                <w:sz w:val="18"/>
                <w:szCs w:val="18"/>
                <w:lang w:val="en-AU"/>
              </w:rPr>
              <w:t>24%</w:t>
            </w:r>
          </w:p>
        </w:tc>
        <w:tc>
          <w:tcPr>
            <w:tcW w:w="1984" w:type="dxa"/>
            <w:shd w:val="clear" w:color="auto" w:fill="auto"/>
          </w:tcPr>
          <w:p w14:paraId="6AF20D2A" w14:textId="566E7D37" w:rsidR="008929E8" w:rsidRPr="00E573E1" w:rsidRDefault="008929E8" w:rsidP="00C11150">
            <w:pPr>
              <w:pStyle w:val="TableCenter"/>
              <w:jc w:val="left"/>
              <w:rPr>
                <w:sz w:val="18"/>
                <w:szCs w:val="18"/>
                <w:lang w:val="en-AU"/>
              </w:rPr>
            </w:pPr>
            <w:r w:rsidRPr="00E573E1">
              <w:rPr>
                <w:sz w:val="18"/>
                <w:szCs w:val="18"/>
                <w:lang w:val="en-AU"/>
              </w:rPr>
              <w:t>13%</w:t>
            </w:r>
          </w:p>
        </w:tc>
      </w:tr>
      <w:tr w:rsidR="002D5015" w:rsidRPr="00E573E1" w14:paraId="7B62B279" w14:textId="77777777" w:rsidTr="0004349F">
        <w:trPr>
          <w:cantSplit/>
        </w:trPr>
        <w:tc>
          <w:tcPr>
            <w:tcW w:w="9634" w:type="dxa"/>
            <w:gridSpan w:val="4"/>
            <w:shd w:val="clear" w:color="auto" w:fill="auto"/>
          </w:tcPr>
          <w:p w14:paraId="1E13DF1A" w14:textId="31BC16ED" w:rsidR="00344182" w:rsidRPr="00E573E1" w:rsidRDefault="002D5BB3" w:rsidP="00C11150">
            <w:pPr>
              <w:pStyle w:val="TableCenter"/>
              <w:jc w:val="left"/>
              <w:rPr>
                <w:sz w:val="18"/>
                <w:szCs w:val="18"/>
                <w:lang w:val="en-AU"/>
              </w:rPr>
            </w:pPr>
            <w:proofErr w:type="spellStart"/>
            <w:r w:rsidRPr="00E573E1">
              <w:rPr>
                <w:b/>
                <w:bCs/>
                <w:sz w:val="18"/>
                <w:szCs w:val="18"/>
                <w:lang w:val="en-AU"/>
              </w:rPr>
              <w:t>S</w:t>
            </w:r>
            <w:r w:rsidR="00344182" w:rsidRPr="00E573E1">
              <w:rPr>
                <w:b/>
                <w:bCs/>
                <w:sz w:val="18"/>
                <w:szCs w:val="18"/>
                <w:lang w:val="en-AU"/>
              </w:rPr>
              <w:t>evere</w:t>
            </w:r>
            <w:r w:rsidR="00623568" w:rsidRPr="00E573E1">
              <w:rPr>
                <w:b/>
                <w:bCs/>
                <w:sz w:val="18"/>
                <w:szCs w:val="18"/>
                <w:vertAlign w:val="superscript"/>
                <w:lang w:val="en-AU"/>
              </w:rPr>
              <w:t>b</w:t>
            </w:r>
            <w:proofErr w:type="spellEnd"/>
            <w:r w:rsidR="00344182" w:rsidRPr="00E573E1">
              <w:rPr>
                <w:b/>
                <w:bCs/>
                <w:sz w:val="18"/>
                <w:szCs w:val="18"/>
                <w:lang w:val="en-AU"/>
              </w:rPr>
              <w:t xml:space="preserve"> exacerbations</w:t>
            </w:r>
          </w:p>
        </w:tc>
      </w:tr>
      <w:tr w:rsidR="002D5015" w:rsidRPr="00E573E1" w14:paraId="2A996CF5" w14:textId="77777777" w:rsidTr="004D59A2">
        <w:trPr>
          <w:cantSplit/>
        </w:trPr>
        <w:tc>
          <w:tcPr>
            <w:tcW w:w="3823" w:type="dxa"/>
            <w:shd w:val="clear" w:color="auto" w:fill="auto"/>
          </w:tcPr>
          <w:p w14:paraId="29951AE5" w14:textId="22B576A2" w:rsidR="00344182" w:rsidRPr="00E573E1" w:rsidRDefault="00344182" w:rsidP="00C11150">
            <w:pPr>
              <w:pStyle w:val="TableLeft"/>
              <w:rPr>
                <w:sz w:val="18"/>
                <w:szCs w:val="18"/>
                <w:lang w:val="en-AU"/>
              </w:rPr>
            </w:pPr>
            <w:r w:rsidRPr="00E573E1">
              <w:rPr>
                <w:bCs w:val="0"/>
                <w:sz w:val="18"/>
                <w:szCs w:val="18"/>
                <w:lang w:val="en-AU"/>
              </w:rPr>
              <w:t>Rate</w:t>
            </w:r>
          </w:p>
        </w:tc>
        <w:tc>
          <w:tcPr>
            <w:tcW w:w="1842" w:type="dxa"/>
            <w:shd w:val="clear" w:color="auto" w:fill="auto"/>
          </w:tcPr>
          <w:p w14:paraId="58359BC1" w14:textId="2694E418" w:rsidR="00344182" w:rsidRPr="00E573E1" w:rsidRDefault="00344182" w:rsidP="00C11150">
            <w:pPr>
              <w:pStyle w:val="TableCenter"/>
              <w:jc w:val="left"/>
              <w:rPr>
                <w:sz w:val="18"/>
                <w:szCs w:val="18"/>
                <w:lang w:val="en-AU"/>
              </w:rPr>
            </w:pPr>
            <w:r w:rsidRPr="00E573E1">
              <w:rPr>
                <w:sz w:val="18"/>
                <w:szCs w:val="18"/>
                <w:lang w:val="en-AU"/>
              </w:rPr>
              <w:t>0.13</w:t>
            </w:r>
          </w:p>
        </w:tc>
        <w:tc>
          <w:tcPr>
            <w:tcW w:w="1985" w:type="dxa"/>
            <w:shd w:val="clear" w:color="auto" w:fill="auto"/>
          </w:tcPr>
          <w:p w14:paraId="2B26B804" w14:textId="57BF6224" w:rsidR="00344182" w:rsidRPr="00E573E1" w:rsidRDefault="00344182" w:rsidP="00C11150">
            <w:pPr>
              <w:pStyle w:val="TableCenter"/>
              <w:jc w:val="left"/>
              <w:rPr>
                <w:sz w:val="18"/>
                <w:szCs w:val="18"/>
                <w:lang w:val="en-AU"/>
              </w:rPr>
            </w:pPr>
            <w:r w:rsidRPr="00E573E1">
              <w:rPr>
                <w:sz w:val="18"/>
                <w:szCs w:val="18"/>
                <w:lang w:val="en-AU"/>
              </w:rPr>
              <w:t>0.15</w:t>
            </w:r>
          </w:p>
        </w:tc>
        <w:tc>
          <w:tcPr>
            <w:tcW w:w="1984" w:type="dxa"/>
            <w:shd w:val="clear" w:color="auto" w:fill="auto"/>
          </w:tcPr>
          <w:p w14:paraId="076E3950" w14:textId="6424F41D" w:rsidR="00344182" w:rsidRPr="00E573E1" w:rsidRDefault="00344182" w:rsidP="00C11150">
            <w:pPr>
              <w:pStyle w:val="TableCenter"/>
              <w:jc w:val="left"/>
              <w:rPr>
                <w:sz w:val="18"/>
                <w:szCs w:val="18"/>
                <w:lang w:val="en-AU"/>
              </w:rPr>
            </w:pPr>
            <w:r w:rsidRPr="00E573E1">
              <w:rPr>
                <w:sz w:val="18"/>
                <w:szCs w:val="18"/>
                <w:lang w:val="en-AU"/>
              </w:rPr>
              <w:t>0.16</w:t>
            </w:r>
          </w:p>
        </w:tc>
      </w:tr>
      <w:tr w:rsidR="002D5015" w:rsidRPr="00E573E1" w14:paraId="490C21C1" w14:textId="77777777" w:rsidTr="004D59A2">
        <w:trPr>
          <w:cantSplit/>
        </w:trPr>
        <w:tc>
          <w:tcPr>
            <w:tcW w:w="3823" w:type="dxa"/>
            <w:shd w:val="clear" w:color="auto" w:fill="auto"/>
          </w:tcPr>
          <w:p w14:paraId="0145B633" w14:textId="5D40BF84" w:rsidR="00344182" w:rsidRPr="00E573E1" w:rsidRDefault="00344182" w:rsidP="00C11150">
            <w:pPr>
              <w:pStyle w:val="TableLeft"/>
              <w:rPr>
                <w:rFonts w:eastAsia="Calibri"/>
                <w:sz w:val="18"/>
                <w:szCs w:val="18"/>
                <w:lang w:val="en-AU"/>
              </w:rPr>
            </w:pPr>
            <w:r w:rsidRPr="00E573E1">
              <w:rPr>
                <w:rFonts w:eastAsia="Calibri"/>
                <w:sz w:val="18"/>
                <w:szCs w:val="18"/>
                <w:lang w:val="en-AU"/>
              </w:rPr>
              <w:t xml:space="preserve">Rate </w:t>
            </w:r>
            <w:r w:rsidR="002D5BB3" w:rsidRPr="00E573E1">
              <w:rPr>
                <w:rFonts w:eastAsia="Calibri"/>
                <w:sz w:val="18"/>
                <w:szCs w:val="18"/>
                <w:lang w:val="en-AU"/>
              </w:rPr>
              <w:t>r</w:t>
            </w:r>
            <w:r w:rsidRPr="00E573E1">
              <w:rPr>
                <w:rFonts w:eastAsia="Calibri"/>
                <w:sz w:val="18"/>
                <w:szCs w:val="18"/>
                <w:lang w:val="en-AU"/>
              </w:rPr>
              <w:t>atio: BREZTRI</w:t>
            </w:r>
            <w:r w:rsidR="00A90DB6" w:rsidRPr="00E573E1">
              <w:rPr>
                <w:rFonts w:eastAsia="Calibri"/>
                <w:sz w:val="18"/>
                <w:szCs w:val="18"/>
                <w:lang w:val="en-AU"/>
              </w:rPr>
              <w:t>^</w:t>
            </w:r>
            <w:r w:rsidRPr="00E573E1">
              <w:rPr>
                <w:rFonts w:eastAsia="Calibri"/>
                <w:sz w:val="18"/>
                <w:szCs w:val="18"/>
                <w:lang w:val="en-AU"/>
              </w:rPr>
              <w:t xml:space="preserve"> vs. comparator (95% CI</w:t>
            </w:r>
            <w:proofErr w:type="gramStart"/>
            <w:r w:rsidRPr="00E573E1">
              <w:rPr>
                <w:rFonts w:eastAsia="Calibri"/>
                <w:sz w:val="18"/>
                <w:szCs w:val="18"/>
                <w:lang w:val="en-AU"/>
              </w:rPr>
              <w:t>)</w:t>
            </w:r>
            <w:r w:rsidR="00A1519F" w:rsidRPr="00E573E1">
              <w:rPr>
                <w:rFonts w:eastAsia="Calibri"/>
                <w:sz w:val="18"/>
                <w:szCs w:val="18"/>
                <w:lang w:val="en-AU"/>
              </w:rPr>
              <w:t>;</w:t>
            </w:r>
            <w:proofErr w:type="gramEnd"/>
          </w:p>
          <w:p w14:paraId="5AF5C400" w14:textId="6A6B62F8" w:rsidR="00344182" w:rsidRPr="00E573E1" w:rsidRDefault="00344182" w:rsidP="00C11150">
            <w:pPr>
              <w:pStyle w:val="TableLeft"/>
              <w:rPr>
                <w:sz w:val="18"/>
                <w:szCs w:val="18"/>
                <w:lang w:val="en-AU"/>
              </w:rPr>
            </w:pPr>
            <w:r w:rsidRPr="00E573E1">
              <w:rPr>
                <w:rFonts w:eastAsia="Calibri"/>
                <w:sz w:val="18"/>
                <w:szCs w:val="18"/>
                <w:lang w:val="en-AU"/>
              </w:rPr>
              <w:t>p-value</w:t>
            </w:r>
          </w:p>
        </w:tc>
        <w:tc>
          <w:tcPr>
            <w:tcW w:w="1842" w:type="dxa"/>
            <w:vMerge w:val="restart"/>
            <w:shd w:val="clear" w:color="auto" w:fill="auto"/>
          </w:tcPr>
          <w:p w14:paraId="216D1B67" w14:textId="5B0B539E" w:rsidR="00344182" w:rsidRPr="00E573E1" w:rsidRDefault="00344182" w:rsidP="00C11150">
            <w:pPr>
              <w:pStyle w:val="TableCenter"/>
              <w:jc w:val="left"/>
              <w:rPr>
                <w:sz w:val="18"/>
                <w:szCs w:val="18"/>
                <w:lang w:val="en-AU"/>
              </w:rPr>
            </w:pPr>
            <w:r w:rsidRPr="00E573E1">
              <w:rPr>
                <w:sz w:val="18"/>
                <w:szCs w:val="18"/>
                <w:lang w:val="en-AU"/>
              </w:rPr>
              <w:t>N/A</w:t>
            </w:r>
          </w:p>
        </w:tc>
        <w:tc>
          <w:tcPr>
            <w:tcW w:w="1985" w:type="dxa"/>
            <w:shd w:val="clear" w:color="auto" w:fill="auto"/>
          </w:tcPr>
          <w:p w14:paraId="56238DE9" w14:textId="15BECC5E" w:rsidR="00344182" w:rsidRPr="00E573E1" w:rsidRDefault="00344182" w:rsidP="00C11150">
            <w:pPr>
              <w:pStyle w:val="TableCenter"/>
              <w:jc w:val="left"/>
              <w:rPr>
                <w:sz w:val="18"/>
                <w:szCs w:val="18"/>
                <w:lang w:val="en-AU"/>
              </w:rPr>
            </w:pPr>
            <w:r w:rsidRPr="00E573E1">
              <w:rPr>
                <w:sz w:val="18"/>
                <w:szCs w:val="18"/>
                <w:lang w:val="en-AU"/>
              </w:rPr>
              <w:t>0.84 (0.69, 1.03</w:t>
            </w:r>
            <w:proofErr w:type="gramStart"/>
            <w:r w:rsidRPr="00E573E1">
              <w:rPr>
                <w:sz w:val="18"/>
                <w:szCs w:val="18"/>
                <w:lang w:val="en-AU"/>
              </w:rPr>
              <w:t>)</w:t>
            </w:r>
            <w:r w:rsidR="00A1519F" w:rsidRPr="00E573E1">
              <w:rPr>
                <w:sz w:val="18"/>
                <w:szCs w:val="18"/>
                <w:lang w:val="en-AU"/>
              </w:rPr>
              <w:t>;</w:t>
            </w:r>
            <w:proofErr w:type="gramEnd"/>
          </w:p>
          <w:p w14:paraId="15DE03E5" w14:textId="2F7A335E" w:rsidR="00344182" w:rsidRPr="00E573E1" w:rsidRDefault="00344182" w:rsidP="00C11150">
            <w:pPr>
              <w:pStyle w:val="TableCenter"/>
              <w:jc w:val="left"/>
              <w:rPr>
                <w:sz w:val="18"/>
                <w:szCs w:val="18"/>
                <w:lang w:val="en-AU"/>
              </w:rPr>
            </w:pPr>
            <w:r w:rsidRPr="00E573E1">
              <w:rPr>
                <w:sz w:val="18"/>
                <w:szCs w:val="18"/>
                <w:lang w:val="en-AU"/>
              </w:rPr>
              <w:t>p=0.0943</w:t>
            </w:r>
          </w:p>
        </w:tc>
        <w:tc>
          <w:tcPr>
            <w:tcW w:w="1984" w:type="dxa"/>
            <w:shd w:val="clear" w:color="auto" w:fill="auto"/>
          </w:tcPr>
          <w:p w14:paraId="1B1E651F" w14:textId="10FD7E5A" w:rsidR="00344182" w:rsidRPr="00E573E1" w:rsidRDefault="00344182" w:rsidP="00C11150">
            <w:pPr>
              <w:pStyle w:val="TableCenter"/>
              <w:jc w:val="left"/>
              <w:rPr>
                <w:sz w:val="18"/>
                <w:szCs w:val="18"/>
                <w:lang w:val="en-AU"/>
              </w:rPr>
            </w:pPr>
            <w:r w:rsidRPr="00E573E1">
              <w:rPr>
                <w:sz w:val="18"/>
                <w:szCs w:val="18"/>
                <w:lang w:val="en-AU"/>
              </w:rPr>
              <w:t>0.80 (0.66, 0.97</w:t>
            </w:r>
            <w:proofErr w:type="gramStart"/>
            <w:r w:rsidRPr="00E573E1">
              <w:rPr>
                <w:sz w:val="18"/>
                <w:szCs w:val="18"/>
                <w:lang w:val="en-AU"/>
              </w:rPr>
              <w:t>)</w:t>
            </w:r>
            <w:r w:rsidR="00A1519F" w:rsidRPr="00E573E1">
              <w:rPr>
                <w:sz w:val="18"/>
                <w:szCs w:val="18"/>
                <w:lang w:val="en-AU"/>
              </w:rPr>
              <w:t>;</w:t>
            </w:r>
            <w:proofErr w:type="gramEnd"/>
          </w:p>
          <w:p w14:paraId="01482DA7" w14:textId="306380A0" w:rsidR="00344182" w:rsidRPr="00E573E1" w:rsidRDefault="00344182" w:rsidP="00C11150">
            <w:pPr>
              <w:pStyle w:val="TableCenter"/>
              <w:jc w:val="left"/>
              <w:rPr>
                <w:sz w:val="18"/>
                <w:szCs w:val="18"/>
                <w:lang w:val="en-AU"/>
              </w:rPr>
            </w:pPr>
            <w:r w:rsidRPr="00E573E1">
              <w:rPr>
                <w:sz w:val="18"/>
                <w:szCs w:val="18"/>
                <w:lang w:val="en-AU"/>
              </w:rPr>
              <w:t>p=0.0221</w:t>
            </w:r>
          </w:p>
        </w:tc>
      </w:tr>
      <w:tr w:rsidR="002D5015" w:rsidRPr="00E573E1" w14:paraId="46035CA4" w14:textId="77777777" w:rsidTr="004D59A2">
        <w:trPr>
          <w:cantSplit/>
        </w:trPr>
        <w:tc>
          <w:tcPr>
            <w:tcW w:w="3823" w:type="dxa"/>
            <w:shd w:val="clear" w:color="auto" w:fill="auto"/>
          </w:tcPr>
          <w:p w14:paraId="7177CAE5" w14:textId="34C0B6E3" w:rsidR="00344182" w:rsidRPr="00E573E1" w:rsidRDefault="00344182" w:rsidP="00C11150">
            <w:pPr>
              <w:pStyle w:val="TableLeft"/>
              <w:rPr>
                <w:sz w:val="18"/>
                <w:szCs w:val="18"/>
                <w:lang w:val="en-AU"/>
              </w:rPr>
            </w:pPr>
            <w:r w:rsidRPr="00E573E1">
              <w:rPr>
                <w:rFonts w:eastAsia="Calibri"/>
                <w:sz w:val="18"/>
                <w:szCs w:val="18"/>
                <w:lang w:val="en-AU"/>
              </w:rPr>
              <w:t>% reduction</w:t>
            </w:r>
          </w:p>
        </w:tc>
        <w:tc>
          <w:tcPr>
            <w:tcW w:w="1842" w:type="dxa"/>
            <w:vMerge/>
            <w:shd w:val="clear" w:color="auto" w:fill="auto"/>
          </w:tcPr>
          <w:p w14:paraId="1BAF9A12" w14:textId="77777777" w:rsidR="00344182" w:rsidRPr="00E573E1" w:rsidRDefault="00344182" w:rsidP="00C11150">
            <w:pPr>
              <w:pStyle w:val="TableCenter"/>
              <w:jc w:val="left"/>
              <w:rPr>
                <w:sz w:val="18"/>
                <w:szCs w:val="18"/>
                <w:lang w:val="en-AU"/>
              </w:rPr>
            </w:pPr>
          </w:p>
        </w:tc>
        <w:tc>
          <w:tcPr>
            <w:tcW w:w="1985" w:type="dxa"/>
            <w:shd w:val="clear" w:color="auto" w:fill="auto"/>
          </w:tcPr>
          <w:p w14:paraId="02A00901" w14:textId="32BB0E20" w:rsidR="00344182" w:rsidRPr="00E573E1" w:rsidRDefault="00344182" w:rsidP="00C11150">
            <w:pPr>
              <w:pStyle w:val="TableCenter"/>
              <w:jc w:val="left"/>
              <w:rPr>
                <w:sz w:val="18"/>
                <w:szCs w:val="18"/>
                <w:lang w:val="en-AU"/>
              </w:rPr>
            </w:pPr>
            <w:r w:rsidRPr="00E573E1">
              <w:rPr>
                <w:sz w:val="18"/>
                <w:szCs w:val="18"/>
                <w:lang w:val="en-AU"/>
              </w:rPr>
              <w:t>16%</w:t>
            </w:r>
          </w:p>
        </w:tc>
        <w:tc>
          <w:tcPr>
            <w:tcW w:w="1984" w:type="dxa"/>
            <w:shd w:val="clear" w:color="auto" w:fill="auto"/>
          </w:tcPr>
          <w:p w14:paraId="508629ED" w14:textId="619869D3" w:rsidR="00344182" w:rsidRPr="00E573E1" w:rsidRDefault="00344182" w:rsidP="00C11150">
            <w:pPr>
              <w:pStyle w:val="TableCenter"/>
              <w:jc w:val="left"/>
              <w:rPr>
                <w:sz w:val="18"/>
                <w:szCs w:val="18"/>
                <w:lang w:val="en-AU"/>
              </w:rPr>
            </w:pPr>
            <w:r w:rsidRPr="00E573E1">
              <w:rPr>
                <w:sz w:val="18"/>
                <w:szCs w:val="18"/>
                <w:lang w:val="en-AU"/>
              </w:rPr>
              <w:t>20%</w:t>
            </w:r>
          </w:p>
        </w:tc>
      </w:tr>
    </w:tbl>
    <w:p w14:paraId="1DD772C3" w14:textId="744A54A3" w:rsidR="00AF2599" w:rsidRPr="00E573E1" w:rsidRDefault="004A06B8" w:rsidP="00C11150">
      <w:pPr>
        <w:pStyle w:val="TableFootnoteInfo"/>
        <w:rPr>
          <w:lang w:val="en-AU"/>
        </w:rPr>
      </w:pPr>
      <w:proofErr w:type="spellStart"/>
      <w:r w:rsidRPr="00E573E1">
        <w:rPr>
          <w:lang w:val="en-AU"/>
        </w:rPr>
        <w:t>mITT</w:t>
      </w:r>
      <w:proofErr w:type="spellEnd"/>
      <w:r w:rsidRPr="00E573E1">
        <w:rPr>
          <w:lang w:val="en-AU"/>
        </w:rPr>
        <w:t xml:space="preserve"> – modified intention to treat; </w:t>
      </w:r>
      <w:r w:rsidR="00344182" w:rsidRPr="00E573E1">
        <w:rPr>
          <w:lang w:val="en-AU"/>
        </w:rPr>
        <w:t xml:space="preserve">CI – confidence intervals; </w:t>
      </w:r>
      <w:r w:rsidRPr="00E573E1">
        <w:rPr>
          <w:lang w:val="en-AU"/>
        </w:rPr>
        <w:t>^</w:t>
      </w:r>
      <w:r w:rsidR="00344182" w:rsidRPr="00E573E1">
        <w:rPr>
          <w:lang w:val="en-AU"/>
        </w:rPr>
        <w:t>AEROSPHERE</w:t>
      </w:r>
    </w:p>
    <w:p w14:paraId="7A7C2EE0" w14:textId="0CF36565" w:rsidR="00623568" w:rsidRPr="00E573E1" w:rsidRDefault="00623568" w:rsidP="00C11150">
      <w:pPr>
        <w:pStyle w:val="TableFootnoteLetter"/>
        <w:numPr>
          <w:ilvl w:val="0"/>
          <w:numId w:val="19"/>
        </w:numPr>
        <w:rPr>
          <w:lang w:val="en-AU"/>
        </w:rPr>
      </w:pPr>
      <w:r w:rsidRPr="00E573E1">
        <w:rPr>
          <w:lang w:val="en-AU"/>
        </w:rPr>
        <w:t>Moderate exacerbation - systemic corticosteroids and/or antibiotics for at least 3 days</w:t>
      </w:r>
    </w:p>
    <w:p w14:paraId="4788A601" w14:textId="70857F72" w:rsidR="00623568" w:rsidRPr="00E573E1" w:rsidRDefault="00623568" w:rsidP="00C11150">
      <w:pPr>
        <w:pStyle w:val="TableFootnoteLetter"/>
        <w:rPr>
          <w:lang w:val="en-AU"/>
        </w:rPr>
      </w:pPr>
      <w:r w:rsidRPr="00E573E1">
        <w:rPr>
          <w:lang w:val="en-AU"/>
        </w:rPr>
        <w:t>Severe exacerbation - inpatient COPD-related hospitalisation or COPD-related death</w:t>
      </w:r>
    </w:p>
    <w:p w14:paraId="0F4773DD" w14:textId="77777777" w:rsidR="00AF2599" w:rsidRPr="00E573E1" w:rsidRDefault="00AF2599" w:rsidP="00C11150">
      <w:pPr>
        <w:pStyle w:val="Paragraph"/>
        <w:spacing w:after="0"/>
        <w:rPr>
          <w:lang w:val="en-AU"/>
        </w:rPr>
      </w:pPr>
    </w:p>
    <w:p w14:paraId="4B1901FF" w14:textId="77777777" w:rsidR="00857C06" w:rsidRPr="00E573E1" w:rsidRDefault="00857C06" w:rsidP="00C11150">
      <w:pPr>
        <w:pStyle w:val="Heading4Unnumbered"/>
        <w:rPr>
          <w:lang w:val="en-AU"/>
        </w:rPr>
      </w:pPr>
      <w:r w:rsidRPr="00E573E1">
        <w:rPr>
          <w:lang w:val="en-AU"/>
        </w:rPr>
        <w:t>Effects on exacerbations - KRONOS</w:t>
      </w:r>
      <w:r w:rsidRPr="00E573E1">
        <w:rPr>
          <w:rStyle w:val="EndnoteReference"/>
          <w:i w:val="0"/>
          <w:lang w:val="en-AU"/>
        </w:rPr>
        <w:t xml:space="preserve"> </w:t>
      </w:r>
    </w:p>
    <w:p w14:paraId="196E786B" w14:textId="1CCC6F2B" w:rsidR="00857C06" w:rsidRPr="00E573E1" w:rsidRDefault="00857C06" w:rsidP="00C11150">
      <w:pPr>
        <w:pStyle w:val="Paragraph"/>
        <w:rPr>
          <w:bCs/>
          <w:lang w:val="en-AU"/>
        </w:rPr>
      </w:pPr>
      <w:r w:rsidRPr="00E573E1">
        <w:rPr>
          <w:bCs/>
          <w:lang w:val="en-AU"/>
        </w:rPr>
        <w:t xml:space="preserve">BREZTRI AEROSPHERE 160/7.2/5 significantly reduced the rate of moderate/severe COPD exacerbations over 24 weeks compared with </w:t>
      </w:r>
      <w:r w:rsidR="00EB0018">
        <w:rPr>
          <w:bCs/>
          <w:lang w:val="en-AU"/>
        </w:rPr>
        <w:t>GFF MDI</w:t>
      </w:r>
      <w:r w:rsidR="00344182" w:rsidRPr="00E573E1">
        <w:rPr>
          <w:bCs/>
          <w:lang w:val="en-AU"/>
        </w:rPr>
        <w:t xml:space="preserve"> 7.2/5</w:t>
      </w:r>
      <w:r w:rsidRPr="00E573E1">
        <w:rPr>
          <w:bCs/>
          <w:lang w:val="en-AU"/>
        </w:rPr>
        <w:t xml:space="preserve">. The rate of moderate/severe COPD exacerbations was numerically lower in subjects treated with BREZTRI AEROSPHERE 160/7.2/5 compared to BFF MDI </w:t>
      </w:r>
      <w:r w:rsidR="00344182" w:rsidRPr="00E573E1">
        <w:rPr>
          <w:bCs/>
          <w:lang w:val="en-AU"/>
        </w:rPr>
        <w:t>160/</w:t>
      </w:r>
      <w:r w:rsidR="001F2D8D" w:rsidRPr="00E573E1">
        <w:rPr>
          <w:bCs/>
          <w:lang w:val="en-AU"/>
        </w:rPr>
        <w:t xml:space="preserve">5 </w:t>
      </w:r>
      <w:r w:rsidRPr="00E573E1">
        <w:rPr>
          <w:bCs/>
          <w:lang w:val="en-AU"/>
        </w:rPr>
        <w:t xml:space="preserve">and </w:t>
      </w:r>
      <w:r w:rsidR="009E47A1">
        <w:rPr>
          <w:bCs/>
          <w:lang w:val="en-AU"/>
        </w:rPr>
        <w:t xml:space="preserve">BFF </w:t>
      </w:r>
      <w:proofErr w:type="spellStart"/>
      <w:r w:rsidR="009E47A1">
        <w:rPr>
          <w:bCs/>
          <w:lang w:val="en-AU"/>
        </w:rPr>
        <w:t>Turbuhaler</w:t>
      </w:r>
      <w:proofErr w:type="spellEnd"/>
      <w:r w:rsidR="00344182" w:rsidRPr="00E573E1">
        <w:rPr>
          <w:bCs/>
          <w:lang w:val="en-AU"/>
        </w:rPr>
        <w:t xml:space="preserve"> 200</w:t>
      </w:r>
      <w:r w:rsidR="001F2D8D" w:rsidRPr="00E573E1">
        <w:rPr>
          <w:bCs/>
          <w:lang w:val="en-AU"/>
        </w:rPr>
        <w:t>/</w:t>
      </w:r>
      <w:r w:rsidR="00344182" w:rsidRPr="00E573E1">
        <w:rPr>
          <w:bCs/>
          <w:lang w:val="en-AU"/>
        </w:rPr>
        <w:t xml:space="preserve">6 </w:t>
      </w:r>
      <w:r w:rsidRPr="00E573E1">
        <w:rPr>
          <w:bCs/>
          <w:lang w:val="en-AU"/>
        </w:rPr>
        <w:t xml:space="preserve">(see </w:t>
      </w:r>
      <w:r w:rsidR="009264DF" w:rsidRPr="00E573E1">
        <w:rPr>
          <w:bCs/>
          <w:lang w:val="en-AU"/>
        </w:rPr>
        <w:fldChar w:fldCharType="begin"/>
      </w:r>
      <w:r w:rsidR="009264DF" w:rsidRPr="00E573E1">
        <w:rPr>
          <w:bCs/>
          <w:lang w:val="en-AU"/>
        </w:rPr>
        <w:instrText xml:space="preserve"> REF _Ref40077441 \h </w:instrText>
      </w:r>
      <w:r w:rsidR="004101FA" w:rsidRPr="00E573E1">
        <w:rPr>
          <w:bCs/>
          <w:lang w:val="en-AU"/>
        </w:rPr>
        <w:instrText xml:space="preserve"> \* MERGEFORMAT </w:instrText>
      </w:r>
      <w:r w:rsidR="009264DF" w:rsidRPr="00E573E1">
        <w:rPr>
          <w:bCs/>
          <w:lang w:val="en-AU"/>
        </w:rPr>
      </w:r>
      <w:r w:rsidR="009264DF" w:rsidRPr="00E573E1">
        <w:rPr>
          <w:bCs/>
          <w:lang w:val="en-AU"/>
        </w:rPr>
        <w:fldChar w:fldCharType="separate"/>
      </w:r>
      <w:r w:rsidR="00960F91" w:rsidRPr="00E573E1">
        <w:rPr>
          <w:lang w:val="en-AU"/>
        </w:rPr>
        <w:t>Table </w:t>
      </w:r>
      <w:r w:rsidR="00960F91">
        <w:rPr>
          <w:lang w:val="en-AU"/>
        </w:rPr>
        <w:t>5</w:t>
      </w:r>
      <w:r w:rsidR="009264DF" w:rsidRPr="00E573E1">
        <w:rPr>
          <w:bCs/>
          <w:lang w:val="en-AU"/>
        </w:rPr>
        <w:fldChar w:fldCharType="end"/>
      </w:r>
      <w:r w:rsidRPr="00E573E1">
        <w:rPr>
          <w:bCs/>
          <w:lang w:val="en-AU"/>
        </w:rPr>
        <w:t>).</w:t>
      </w:r>
    </w:p>
    <w:p w14:paraId="3E0E601C" w14:textId="3D03D3B7" w:rsidR="00857C06" w:rsidRPr="00E573E1" w:rsidRDefault="00857C06" w:rsidP="00C11150">
      <w:pPr>
        <w:pStyle w:val="Paragraph"/>
        <w:rPr>
          <w:lang w:val="en-AU"/>
        </w:rPr>
      </w:pPr>
      <w:r w:rsidRPr="00E573E1">
        <w:rPr>
          <w:bCs/>
          <w:lang w:val="en-AU"/>
        </w:rPr>
        <w:t>I</w:t>
      </w:r>
      <w:r w:rsidRPr="00E573E1">
        <w:rPr>
          <w:lang w:val="en-AU"/>
        </w:rPr>
        <w:t>n a subset of patients treated for up to 52 weeks</w:t>
      </w:r>
      <w:r w:rsidR="006F6B5B" w:rsidRPr="00E573E1">
        <w:rPr>
          <w:lang w:val="en-AU"/>
        </w:rPr>
        <w:t xml:space="preserve"> (extension Study PT010000</w:t>
      </w:r>
      <w:r w:rsidR="000D4D9D" w:rsidRPr="00E573E1">
        <w:rPr>
          <w:lang w:val="en-AU"/>
        </w:rPr>
        <w:t>8</w:t>
      </w:r>
      <w:r w:rsidR="006F6B5B" w:rsidRPr="00E573E1">
        <w:rPr>
          <w:lang w:val="en-AU"/>
        </w:rPr>
        <w:t>)</w:t>
      </w:r>
      <w:r w:rsidRPr="00E573E1">
        <w:rPr>
          <w:lang w:val="en-AU"/>
        </w:rPr>
        <w:t xml:space="preserve">, the effects of </w:t>
      </w:r>
      <w:r w:rsidRPr="00E573E1">
        <w:rPr>
          <w:bCs/>
          <w:lang w:val="en-AU"/>
        </w:rPr>
        <w:t xml:space="preserve">BREZTRI AEROSPHERE 160/7.2/5 </w:t>
      </w:r>
      <w:r w:rsidRPr="00E573E1">
        <w:rPr>
          <w:lang w:val="en-AU"/>
        </w:rPr>
        <w:t>on reducing moderate/severe exacerbations were generally consistent with the results up to 24 weeks.</w:t>
      </w:r>
      <w:r w:rsidRPr="00E573E1">
        <w:rPr>
          <w:rStyle w:val="EndnoteReference"/>
          <w:lang w:val="en-AU"/>
        </w:rPr>
        <w:t xml:space="preserve"> </w:t>
      </w:r>
    </w:p>
    <w:p w14:paraId="4889F7B3" w14:textId="338CC849" w:rsidR="00857C06" w:rsidRPr="00E573E1" w:rsidRDefault="00857C06" w:rsidP="00C11150">
      <w:pPr>
        <w:pStyle w:val="Paragraph"/>
        <w:rPr>
          <w:bCs/>
          <w:lang w:val="en-AU"/>
        </w:rPr>
      </w:pPr>
      <w:r w:rsidRPr="00E573E1">
        <w:rPr>
          <w:bCs/>
          <w:lang w:val="en-AU"/>
        </w:rPr>
        <w:t>The rate of severe exacerbations (</w:t>
      </w:r>
      <w:proofErr w:type="gramStart"/>
      <w:r w:rsidRPr="00E573E1">
        <w:rPr>
          <w:bCs/>
          <w:lang w:val="en-AU"/>
        </w:rPr>
        <w:t>i</w:t>
      </w:r>
      <w:r w:rsidR="00022731">
        <w:rPr>
          <w:bCs/>
          <w:lang w:val="en-AU"/>
        </w:rPr>
        <w:t>.</w:t>
      </w:r>
      <w:r w:rsidRPr="00E573E1">
        <w:rPr>
          <w:bCs/>
          <w:lang w:val="en-AU"/>
        </w:rPr>
        <w:t>e</w:t>
      </w:r>
      <w:r w:rsidR="00022731">
        <w:rPr>
          <w:bCs/>
          <w:lang w:val="en-AU"/>
        </w:rPr>
        <w:t>.</w:t>
      </w:r>
      <w:proofErr w:type="gramEnd"/>
      <w:r w:rsidRPr="00E573E1">
        <w:rPr>
          <w:bCs/>
          <w:lang w:val="en-AU"/>
        </w:rPr>
        <w:t xml:space="preserve"> resulting in hospitalisation or death) was significantly lower during treatment with BREZTRI AEROSPHERE 160/7.2/5 relative to </w:t>
      </w:r>
      <w:r w:rsidR="00022731">
        <w:rPr>
          <w:bCs/>
          <w:lang w:val="en-AU"/>
        </w:rPr>
        <w:t>GFF MDI</w:t>
      </w:r>
      <w:r w:rsidR="003A7AD7" w:rsidRPr="00E573E1">
        <w:rPr>
          <w:bCs/>
          <w:lang w:val="en-AU"/>
        </w:rPr>
        <w:t xml:space="preserve"> 7.2/5</w:t>
      </w:r>
      <w:r w:rsidRPr="00E573E1">
        <w:rPr>
          <w:bCs/>
          <w:lang w:val="en-AU"/>
        </w:rPr>
        <w:t>.</w:t>
      </w:r>
      <w:r w:rsidRPr="00E573E1">
        <w:rPr>
          <w:rStyle w:val="EndnoteReference"/>
          <w:bCs/>
          <w:lang w:val="en-AU"/>
        </w:rPr>
        <w:t xml:space="preserve"> </w:t>
      </w:r>
      <w:r w:rsidRPr="00E573E1">
        <w:rPr>
          <w:bCs/>
          <w:lang w:val="en-AU"/>
        </w:rPr>
        <w:t xml:space="preserve"> </w:t>
      </w:r>
      <w:r w:rsidR="00022731" w:rsidRPr="00022731">
        <w:rPr>
          <w:bCs/>
        </w:rPr>
        <w:t xml:space="preserve">Improvement compared to BFF MDI 160/5 and BFF </w:t>
      </w:r>
      <w:proofErr w:type="spellStart"/>
      <w:r w:rsidR="00022731" w:rsidRPr="00022731">
        <w:rPr>
          <w:bCs/>
        </w:rPr>
        <w:t>Turbuhaler</w:t>
      </w:r>
      <w:proofErr w:type="spellEnd"/>
      <w:r w:rsidR="00022731" w:rsidRPr="00022731">
        <w:rPr>
          <w:bCs/>
        </w:rPr>
        <w:t xml:space="preserve"> 200/6 did not reach statistical significance (see Table 5).</w:t>
      </w:r>
      <w:r w:rsidR="00437C26">
        <w:rPr>
          <w:bCs/>
        </w:rPr>
        <w:t xml:space="preserve"> </w:t>
      </w:r>
      <w:r w:rsidR="00437C26" w:rsidRPr="00E573E1">
        <w:rPr>
          <w:bCs/>
          <w:lang w:val="en-AU"/>
        </w:rPr>
        <w:t xml:space="preserve">The rate of severe COPD exacerbations was numerically lower in subjects treated with BREZTRI AEROSPHERE 160/7.2/5 compared to BFF MDI 160/5 and </w:t>
      </w:r>
      <w:r w:rsidR="008355C7">
        <w:rPr>
          <w:bCs/>
          <w:lang w:val="en-AU"/>
        </w:rPr>
        <w:t>BFF</w:t>
      </w:r>
      <w:r w:rsidR="00437C26" w:rsidRPr="00E573E1">
        <w:rPr>
          <w:bCs/>
          <w:lang w:val="en-AU"/>
        </w:rPr>
        <w:t xml:space="preserve"> </w:t>
      </w:r>
      <w:proofErr w:type="spellStart"/>
      <w:r w:rsidR="00696220">
        <w:rPr>
          <w:bCs/>
          <w:lang w:val="en-AU"/>
        </w:rPr>
        <w:t>Turbuhaler</w:t>
      </w:r>
      <w:proofErr w:type="spellEnd"/>
      <w:r w:rsidR="00696220">
        <w:rPr>
          <w:bCs/>
          <w:lang w:val="en-AU"/>
        </w:rPr>
        <w:t xml:space="preserve"> </w:t>
      </w:r>
      <w:r w:rsidR="00437C26" w:rsidRPr="00E573E1">
        <w:rPr>
          <w:bCs/>
          <w:lang w:val="en-AU"/>
        </w:rPr>
        <w:t xml:space="preserve">200/6 (see </w:t>
      </w:r>
      <w:r w:rsidR="00437C26" w:rsidRPr="00E573E1">
        <w:rPr>
          <w:bCs/>
          <w:lang w:val="en-AU"/>
        </w:rPr>
        <w:fldChar w:fldCharType="begin"/>
      </w:r>
      <w:r w:rsidR="00437C26" w:rsidRPr="00E573E1">
        <w:rPr>
          <w:bCs/>
          <w:lang w:val="en-AU"/>
        </w:rPr>
        <w:instrText xml:space="preserve"> REF _Ref40077441 \h  \* MERGEFORMAT </w:instrText>
      </w:r>
      <w:r w:rsidR="00437C26" w:rsidRPr="00E573E1">
        <w:rPr>
          <w:bCs/>
          <w:lang w:val="en-AU"/>
        </w:rPr>
      </w:r>
      <w:r w:rsidR="00437C26" w:rsidRPr="00E573E1">
        <w:rPr>
          <w:bCs/>
          <w:lang w:val="en-AU"/>
        </w:rPr>
        <w:fldChar w:fldCharType="separate"/>
      </w:r>
      <w:r w:rsidR="00960F91" w:rsidRPr="00E573E1">
        <w:rPr>
          <w:lang w:val="en-AU"/>
        </w:rPr>
        <w:t>Table </w:t>
      </w:r>
      <w:r w:rsidR="00960F91">
        <w:rPr>
          <w:lang w:val="en-AU"/>
        </w:rPr>
        <w:t>5</w:t>
      </w:r>
      <w:r w:rsidR="00437C26" w:rsidRPr="00E573E1">
        <w:rPr>
          <w:bCs/>
          <w:lang w:val="en-AU"/>
        </w:rPr>
        <w:fldChar w:fldCharType="end"/>
      </w:r>
      <w:r w:rsidR="00437C26">
        <w:rPr>
          <w:bCs/>
          <w:lang w:val="en-AU"/>
        </w:rPr>
        <w:t>), but it did not reach statistical significance.</w:t>
      </w:r>
    </w:p>
    <w:p w14:paraId="0FB99FD3" w14:textId="741626FF" w:rsidR="00F849D4" w:rsidRPr="00E573E1" w:rsidRDefault="00857C06" w:rsidP="00C11150">
      <w:pPr>
        <w:pStyle w:val="TableTitle"/>
        <w:rPr>
          <w:lang w:val="en-AU"/>
        </w:rPr>
      </w:pPr>
      <w:bookmarkStart w:id="23" w:name="_Hlk22715743"/>
      <w:r w:rsidRPr="00E573E1">
        <w:rPr>
          <w:rStyle w:val="EndnoteReference"/>
          <w:lang w:val="en-AU"/>
        </w:rPr>
        <w:t xml:space="preserve"> </w:t>
      </w:r>
      <w:bookmarkStart w:id="24" w:name="_Ref40077441"/>
      <w:bookmarkEnd w:id="23"/>
      <w:r w:rsidR="00F849D4" w:rsidRPr="00E573E1">
        <w:rPr>
          <w:lang w:val="en-AU"/>
        </w:rPr>
        <w:t>Table </w:t>
      </w:r>
      <w:r w:rsidR="00F849D4" w:rsidRPr="00E573E1">
        <w:rPr>
          <w:lang w:val="en-AU"/>
        </w:rPr>
        <w:fldChar w:fldCharType="begin"/>
      </w:r>
      <w:r w:rsidR="00F849D4" w:rsidRPr="00E573E1">
        <w:rPr>
          <w:lang w:val="en-AU"/>
        </w:rPr>
        <w:instrText xml:space="preserve"> SEQ Table \* ARABIC </w:instrText>
      </w:r>
      <w:r w:rsidR="00F849D4" w:rsidRPr="00E573E1">
        <w:rPr>
          <w:lang w:val="en-AU"/>
        </w:rPr>
        <w:fldChar w:fldCharType="separate"/>
      </w:r>
      <w:r w:rsidR="00960F91">
        <w:rPr>
          <w:noProof/>
          <w:lang w:val="en-AU"/>
        </w:rPr>
        <w:t>5</w:t>
      </w:r>
      <w:r w:rsidR="00F849D4" w:rsidRPr="00E573E1">
        <w:rPr>
          <w:lang w:val="en-AU"/>
        </w:rPr>
        <w:fldChar w:fldCharType="end"/>
      </w:r>
      <w:bookmarkEnd w:id="24"/>
      <w:r w:rsidR="00F849D4" w:rsidRPr="00E573E1">
        <w:rPr>
          <w:lang w:val="en-AU"/>
        </w:rPr>
        <w:tab/>
      </w:r>
      <w:r w:rsidR="009264DF" w:rsidRPr="00E573E1">
        <w:rPr>
          <w:lang w:val="en-AU"/>
        </w:rPr>
        <w:t xml:space="preserve">Annualised rates of </w:t>
      </w:r>
      <w:r w:rsidR="004D59A2" w:rsidRPr="00E573E1">
        <w:rPr>
          <w:lang w:val="en-AU"/>
        </w:rPr>
        <w:t xml:space="preserve">COPD </w:t>
      </w:r>
      <w:r w:rsidR="009264DF" w:rsidRPr="00E573E1">
        <w:rPr>
          <w:lang w:val="en-AU"/>
        </w:rPr>
        <w:t>exacerbations over 24 weeks (KRONOS</w:t>
      </w:r>
      <w:r w:rsidR="003A04F8" w:rsidRPr="00E573E1">
        <w:rPr>
          <w:lang w:val="en-AU"/>
        </w:rPr>
        <w:t xml:space="preserve">; </w:t>
      </w:r>
      <w:proofErr w:type="spellStart"/>
      <w:r w:rsidR="003A04F8" w:rsidRPr="00E573E1">
        <w:rPr>
          <w:lang w:val="en-AU"/>
        </w:rPr>
        <w:t>mITT</w:t>
      </w:r>
      <w:proofErr w:type="spellEnd"/>
      <w:r w:rsidR="003A04F8" w:rsidRPr="00E573E1">
        <w:rPr>
          <w:lang w:val="en-AU"/>
        </w:rPr>
        <w:t xml:space="preserve"> population</w:t>
      </w:r>
      <w:r w:rsidR="00F849D4" w:rsidRPr="00E573E1">
        <w:rPr>
          <w:lang w:val="en-AU"/>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2547"/>
        <w:gridCol w:w="1701"/>
        <w:gridCol w:w="1701"/>
        <w:gridCol w:w="1843"/>
        <w:gridCol w:w="1984"/>
      </w:tblGrid>
      <w:tr w:rsidR="002D5015" w:rsidRPr="00E573E1" w14:paraId="39E194A8" w14:textId="1B7C2053" w:rsidTr="00A00868">
        <w:trPr>
          <w:cantSplit/>
          <w:tblHeader/>
        </w:trPr>
        <w:tc>
          <w:tcPr>
            <w:tcW w:w="2547" w:type="dxa"/>
            <w:shd w:val="clear" w:color="auto" w:fill="auto"/>
          </w:tcPr>
          <w:p w14:paraId="5F35144D" w14:textId="77777777" w:rsidR="009264DF" w:rsidRPr="00E573E1" w:rsidRDefault="009264DF" w:rsidP="00C11150">
            <w:pPr>
              <w:pStyle w:val="TableHead"/>
              <w:jc w:val="left"/>
              <w:rPr>
                <w:sz w:val="18"/>
                <w:lang w:val="en-AU"/>
              </w:rPr>
            </w:pPr>
          </w:p>
        </w:tc>
        <w:tc>
          <w:tcPr>
            <w:tcW w:w="1701" w:type="dxa"/>
            <w:shd w:val="clear" w:color="auto" w:fill="auto"/>
          </w:tcPr>
          <w:p w14:paraId="1258C616" w14:textId="41B2356E" w:rsidR="009264DF" w:rsidRPr="00E573E1" w:rsidRDefault="00EB0018" w:rsidP="00C11150">
            <w:pPr>
              <w:pStyle w:val="TableHead"/>
              <w:jc w:val="left"/>
              <w:rPr>
                <w:sz w:val="18"/>
                <w:lang w:val="en-AU"/>
              </w:rPr>
            </w:pPr>
            <w:r>
              <w:rPr>
                <w:rFonts w:eastAsia="Calibri"/>
                <w:sz w:val="18"/>
                <w:lang w:val="en-AU"/>
              </w:rPr>
              <w:t>BREZTRI</w:t>
            </w:r>
            <w:r w:rsidR="004A06B8" w:rsidRPr="00E573E1">
              <w:rPr>
                <w:rFonts w:eastAsia="Calibri"/>
                <w:sz w:val="18"/>
                <w:lang w:val="en-AU"/>
              </w:rPr>
              <w:t xml:space="preserve">^ </w:t>
            </w:r>
            <w:r w:rsidR="009264DF" w:rsidRPr="00E573E1">
              <w:rPr>
                <w:rFonts w:eastAsia="Calibri"/>
                <w:sz w:val="18"/>
                <w:lang w:val="en-AU"/>
              </w:rPr>
              <w:t>160/7.2/5</w:t>
            </w:r>
          </w:p>
        </w:tc>
        <w:tc>
          <w:tcPr>
            <w:tcW w:w="1701" w:type="dxa"/>
            <w:shd w:val="clear" w:color="auto" w:fill="auto"/>
          </w:tcPr>
          <w:p w14:paraId="72B3F3FC" w14:textId="6CB894ED" w:rsidR="009264DF" w:rsidRPr="00E573E1" w:rsidRDefault="00EB0018" w:rsidP="00C11150">
            <w:pPr>
              <w:pStyle w:val="TableHead"/>
              <w:jc w:val="left"/>
              <w:rPr>
                <w:sz w:val="18"/>
                <w:lang w:val="en-AU"/>
              </w:rPr>
            </w:pPr>
            <w:r>
              <w:rPr>
                <w:rFonts w:eastAsia="Calibri"/>
                <w:sz w:val="18"/>
                <w:lang w:val="en-AU"/>
              </w:rPr>
              <w:t>GFF MDI</w:t>
            </w:r>
            <w:r w:rsidR="004A06B8" w:rsidRPr="00E573E1">
              <w:rPr>
                <w:rFonts w:eastAsia="Calibri"/>
                <w:sz w:val="18"/>
                <w:lang w:val="en-AU"/>
              </w:rPr>
              <w:t xml:space="preserve">^ </w:t>
            </w:r>
            <w:r w:rsidR="009264DF" w:rsidRPr="00E573E1">
              <w:rPr>
                <w:rFonts w:eastAsia="Calibri"/>
                <w:sz w:val="18"/>
                <w:lang w:val="en-AU"/>
              </w:rPr>
              <w:t>7.2/5</w:t>
            </w:r>
          </w:p>
        </w:tc>
        <w:tc>
          <w:tcPr>
            <w:tcW w:w="1843" w:type="dxa"/>
            <w:shd w:val="clear" w:color="auto" w:fill="auto"/>
          </w:tcPr>
          <w:p w14:paraId="7CA3FB03" w14:textId="0BE7719A" w:rsidR="009264DF" w:rsidRPr="00E573E1" w:rsidRDefault="009264DF" w:rsidP="00C11150">
            <w:pPr>
              <w:pStyle w:val="TableHead"/>
              <w:jc w:val="left"/>
              <w:rPr>
                <w:sz w:val="18"/>
                <w:lang w:val="en-AU"/>
              </w:rPr>
            </w:pPr>
            <w:r w:rsidRPr="00E573E1">
              <w:rPr>
                <w:rFonts w:eastAsia="Calibri"/>
                <w:sz w:val="18"/>
                <w:lang w:val="en-AU"/>
              </w:rPr>
              <w:t>BFF MDI</w:t>
            </w:r>
            <w:r w:rsidR="004A06B8" w:rsidRPr="00E573E1">
              <w:rPr>
                <w:rFonts w:eastAsia="Calibri"/>
                <w:sz w:val="18"/>
                <w:lang w:val="en-AU"/>
              </w:rPr>
              <w:t xml:space="preserve"> </w:t>
            </w:r>
            <w:r w:rsidRPr="00E573E1">
              <w:rPr>
                <w:rFonts w:eastAsia="Calibri"/>
                <w:sz w:val="18"/>
                <w:lang w:val="en-AU"/>
              </w:rPr>
              <w:t>160/5</w:t>
            </w:r>
          </w:p>
        </w:tc>
        <w:tc>
          <w:tcPr>
            <w:tcW w:w="1984" w:type="dxa"/>
          </w:tcPr>
          <w:p w14:paraId="03F0DFBB" w14:textId="00362B62" w:rsidR="009264DF" w:rsidRPr="00E573E1" w:rsidRDefault="009E47A1" w:rsidP="00C11150">
            <w:pPr>
              <w:pStyle w:val="TableHead"/>
              <w:jc w:val="left"/>
              <w:rPr>
                <w:rFonts w:eastAsia="Calibri"/>
                <w:sz w:val="18"/>
                <w:lang w:val="en-AU"/>
              </w:rPr>
            </w:pPr>
            <w:r>
              <w:rPr>
                <w:rFonts w:eastAsia="Calibri"/>
                <w:sz w:val="18"/>
                <w:lang w:val="en-AU"/>
              </w:rPr>
              <w:t>BFF</w:t>
            </w:r>
            <w:r w:rsidR="004A06B8" w:rsidRPr="00E573E1">
              <w:rPr>
                <w:rFonts w:eastAsia="Calibri"/>
                <w:sz w:val="18"/>
                <w:lang w:val="en-AU"/>
              </w:rPr>
              <w:t xml:space="preserve">^^ </w:t>
            </w:r>
            <w:r w:rsidR="009264DF" w:rsidRPr="00E573E1">
              <w:rPr>
                <w:rFonts w:eastAsia="Calibri"/>
                <w:sz w:val="18"/>
                <w:lang w:val="en-AU"/>
              </w:rPr>
              <w:t>200/6</w:t>
            </w:r>
          </w:p>
        </w:tc>
      </w:tr>
      <w:tr w:rsidR="002D5015" w:rsidRPr="00E573E1" w14:paraId="03B6F089" w14:textId="4AC3B8AA" w:rsidTr="00A00868">
        <w:trPr>
          <w:cantSplit/>
        </w:trPr>
        <w:tc>
          <w:tcPr>
            <w:tcW w:w="7792" w:type="dxa"/>
            <w:gridSpan w:val="4"/>
            <w:shd w:val="clear" w:color="auto" w:fill="auto"/>
          </w:tcPr>
          <w:p w14:paraId="1E10C088" w14:textId="5DF4BE07" w:rsidR="009264DF" w:rsidRPr="00E573E1" w:rsidRDefault="004D59A2" w:rsidP="00C11150">
            <w:pPr>
              <w:pStyle w:val="TableCenter"/>
              <w:jc w:val="left"/>
              <w:rPr>
                <w:sz w:val="18"/>
                <w:szCs w:val="20"/>
                <w:lang w:val="en-AU"/>
              </w:rPr>
            </w:pPr>
            <w:proofErr w:type="spellStart"/>
            <w:r w:rsidRPr="00E573E1">
              <w:rPr>
                <w:b/>
                <w:bCs/>
                <w:sz w:val="18"/>
                <w:szCs w:val="20"/>
                <w:lang w:val="en-AU"/>
              </w:rPr>
              <w:t>M</w:t>
            </w:r>
            <w:r w:rsidR="009264DF" w:rsidRPr="00E573E1">
              <w:rPr>
                <w:b/>
                <w:bCs/>
                <w:sz w:val="18"/>
                <w:szCs w:val="20"/>
                <w:lang w:val="en-AU"/>
              </w:rPr>
              <w:t>oderate</w:t>
            </w:r>
            <w:r w:rsidR="004101FA" w:rsidRPr="00E573E1">
              <w:rPr>
                <w:b/>
                <w:bCs/>
                <w:sz w:val="18"/>
                <w:szCs w:val="18"/>
                <w:vertAlign w:val="superscript"/>
                <w:lang w:val="en-AU"/>
              </w:rPr>
              <w:t>a</w:t>
            </w:r>
            <w:proofErr w:type="spellEnd"/>
            <w:r w:rsidR="009264DF" w:rsidRPr="00E573E1">
              <w:rPr>
                <w:b/>
                <w:bCs/>
                <w:sz w:val="18"/>
                <w:szCs w:val="20"/>
                <w:lang w:val="en-AU"/>
              </w:rPr>
              <w:t>/</w:t>
            </w:r>
            <w:proofErr w:type="spellStart"/>
            <w:r w:rsidR="009264DF" w:rsidRPr="00E573E1">
              <w:rPr>
                <w:b/>
                <w:bCs/>
                <w:sz w:val="18"/>
                <w:szCs w:val="20"/>
                <w:lang w:val="en-AU"/>
              </w:rPr>
              <w:t>severe</w:t>
            </w:r>
            <w:r w:rsidR="004101FA" w:rsidRPr="00E573E1">
              <w:rPr>
                <w:b/>
                <w:bCs/>
                <w:sz w:val="18"/>
                <w:szCs w:val="18"/>
                <w:vertAlign w:val="superscript"/>
                <w:lang w:val="en-AU"/>
              </w:rPr>
              <w:t>b</w:t>
            </w:r>
            <w:proofErr w:type="spellEnd"/>
            <w:r w:rsidR="009264DF" w:rsidRPr="00E573E1">
              <w:rPr>
                <w:b/>
                <w:bCs/>
                <w:sz w:val="18"/>
                <w:szCs w:val="20"/>
                <w:lang w:val="en-AU"/>
              </w:rPr>
              <w:t xml:space="preserve"> exacerbations (adjusted)</w:t>
            </w:r>
          </w:p>
        </w:tc>
        <w:tc>
          <w:tcPr>
            <w:tcW w:w="1984" w:type="dxa"/>
          </w:tcPr>
          <w:p w14:paraId="51902048" w14:textId="77777777" w:rsidR="009264DF" w:rsidRPr="00E573E1" w:rsidRDefault="009264DF" w:rsidP="00C11150">
            <w:pPr>
              <w:pStyle w:val="TableCenter"/>
              <w:jc w:val="left"/>
              <w:rPr>
                <w:b/>
                <w:bCs/>
                <w:sz w:val="18"/>
                <w:szCs w:val="20"/>
                <w:lang w:val="en-AU"/>
              </w:rPr>
            </w:pPr>
          </w:p>
        </w:tc>
      </w:tr>
      <w:tr w:rsidR="002D5015" w:rsidRPr="00E573E1" w14:paraId="00FA5295" w14:textId="213351C9" w:rsidTr="00A00868">
        <w:trPr>
          <w:cantSplit/>
        </w:trPr>
        <w:tc>
          <w:tcPr>
            <w:tcW w:w="2547" w:type="dxa"/>
            <w:shd w:val="clear" w:color="auto" w:fill="auto"/>
          </w:tcPr>
          <w:p w14:paraId="1C36640E" w14:textId="77777777" w:rsidR="009264DF" w:rsidRPr="00E573E1" w:rsidRDefault="009264DF" w:rsidP="00C11150">
            <w:pPr>
              <w:pStyle w:val="TableLeft"/>
              <w:rPr>
                <w:sz w:val="18"/>
                <w:szCs w:val="20"/>
                <w:lang w:val="en-AU"/>
              </w:rPr>
            </w:pPr>
            <w:r w:rsidRPr="00E573E1">
              <w:rPr>
                <w:bCs w:val="0"/>
                <w:sz w:val="18"/>
                <w:szCs w:val="20"/>
                <w:lang w:val="en-AU"/>
              </w:rPr>
              <w:t xml:space="preserve">Rate </w:t>
            </w:r>
          </w:p>
        </w:tc>
        <w:tc>
          <w:tcPr>
            <w:tcW w:w="1701" w:type="dxa"/>
            <w:shd w:val="clear" w:color="auto" w:fill="auto"/>
          </w:tcPr>
          <w:p w14:paraId="6DA92DF9" w14:textId="4A67A230" w:rsidR="009264DF" w:rsidRPr="00E573E1" w:rsidRDefault="009264DF" w:rsidP="00C11150">
            <w:pPr>
              <w:pStyle w:val="TableCenter"/>
              <w:jc w:val="left"/>
              <w:rPr>
                <w:sz w:val="18"/>
                <w:szCs w:val="20"/>
                <w:lang w:val="en-AU"/>
              </w:rPr>
            </w:pPr>
            <w:r w:rsidRPr="00E573E1">
              <w:rPr>
                <w:rFonts w:eastAsia="Calibri"/>
                <w:sz w:val="18"/>
                <w:szCs w:val="20"/>
                <w:lang w:val="en-AU"/>
              </w:rPr>
              <w:t>0.46</w:t>
            </w:r>
          </w:p>
        </w:tc>
        <w:tc>
          <w:tcPr>
            <w:tcW w:w="1701" w:type="dxa"/>
            <w:shd w:val="clear" w:color="auto" w:fill="auto"/>
          </w:tcPr>
          <w:p w14:paraId="0E558ED7" w14:textId="04C5EF19" w:rsidR="009264DF" w:rsidRPr="00E573E1" w:rsidRDefault="009264DF" w:rsidP="00C11150">
            <w:pPr>
              <w:pStyle w:val="TableCenter"/>
              <w:jc w:val="left"/>
              <w:rPr>
                <w:sz w:val="18"/>
                <w:szCs w:val="20"/>
                <w:lang w:val="en-AU"/>
              </w:rPr>
            </w:pPr>
            <w:r w:rsidRPr="00E573E1">
              <w:rPr>
                <w:rFonts w:eastAsia="Calibri"/>
                <w:sz w:val="18"/>
                <w:szCs w:val="20"/>
                <w:lang w:val="en-AU"/>
              </w:rPr>
              <w:t>0.95</w:t>
            </w:r>
          </w:p>
        </w:tc>
        <w:tc>
          <w:tcPr>
            <w:tcW w:w="1843" w:type="dxa"/>
            <w:shd w:val="clear" w:color="auto" w:fill="auto"/>
          </w:tcPr>
          <w:p w14:paraId="03557872" w14:textId="38723586" w:rsidR="009264DF" w:rsidRPr="00E573E1" w:rsidRDefault="009264DF" w:rsidP="00C11150">
            <w:pPr>
              <w:pStyle w:val="TableCenter"/>
              <w:jc w:val="left"/>
              <w:rPr>
                <w:sz w:val="18"/>
                <w:szCs w:val="20"/>
                <w:lang w:val="en-AU"/>
              </w:rPr>
            </w:pPr>
            <w:r w:rsidRPr="00E573E1">
              <w:rPr>
                <w:rFonts w:eastAsia="Calibri"/>
                <w:sz w:val="18"/>
                <w:szCs w:val="20"/>
                <w:lang w:val="en-AU"/>
              </w:rPr>
              <w:t>0.56</w:t>
            </w:r>
          </w:p>
        </w:tc>
        <w:tc>
          <w:tcPr>
            <w:tcW w:w="1984" w:type="dxa"/>
          </w:tcPr>
          <w:p w14:paraId="48D54783" w14:textId="107C2C4D" w:rsidR="009264DF" w:rsidRPr="00E573E1" w:rsidRDefault="009264DF" w:rsidP="00C11150">
            <w:pPr>
              <w:pStyle w:val="TableCenter"/>
              <w:jc w:val="left"/>
              <w:rPr>
                <w:sz w:val="18"/>
                <w:szCs w:val="20"/>
                <w:lang w:val="en-AU"/>
              </w:rPr>
            </w:pPr>
            <w:r w:rsidRPr="00E573E1">
              <w:rPr>
                <w:rFonts w:eastAsia="Calibri"/>
                <w:sz w:val="18"/>
                <w:szCs w:val="20"/>
                <w:lang w:val="en-AU"/>
              </w:rPr>
              <w:t>0.55</w:t>
            </w:r>
          </w:p>
        </w:tc>
      </w:tr>
      <w:tr w:rsidR="002D5015" w:rsidRPr="00E573E1" w14:paraId="5E7BE17E" w14:textId="39254EF9" w:rsidTr="00A00868">
        <w:trPr>
          <w:cantSplit/>
        </w:trPr>
        <w:tc>
          <w:tcPr>
            <w:tcW w:w="2547" w:type="dxa"/>
            <w:shd w:val="clear" w:color="auto" w:fill="auto"/>
          </w:tcPr>
          <w:p w14:paraId="6194CE09" w14:textId="5FD553BC" w:rsidR="00A1519F" w:rsidRPr="00E573E1" w:rsidRDefault="002D5015" w:rsidP="00C11150">
            <w:pPr>
              <w:pStyle w:val="TableLeft"/>
              <w:rPr>
                <w:rFonts w:eastAsia="Calibri"/>
                <w:sz w:val="18"/>
                <w:szCs w:val="20"/>
                <w:lang w:val="en-AU"/>
              </w:rPr>
            </w:pPr>
            <w:r w:rsidRPr="00E573E1">
              <w:rPr>
                <w:rFonts w:eastAsia="Calibri"/>
                <w:sz w:val="18"/>
                <w:szCs w:val="20"/>
                <w:lang w:val="en-AU"/>
              </w:rPr>
              <w:t>Rate Ratio: BREZTRI</w:t>
            </w:r>
            <w:r w:rsidR="004A06B8" w:rsidRPr="00E573E1">
              <w:rPr>
                <w:rFonts w:eastAsia="Calibri"/>
                <w:sz w:val="18"/>
                <w:szCs w:val="20"/>
                <w:lang w:val="en-AU"/>
              </w:rPr>
              <w:t>^</w:t>
            </w:r>
            <w:r w:rsidRPr="00E573E1">
              <w:rPr>
                <w:rFonts w:eastAsia="Calibri"/>
                <w:sz w:val="18"/>
                <w:szCs w:val="20"/>
                <w:lang w:val="en-AU"/>
              </w:rPr>
              <w:t xml:space="preserve"> vs. comparator (95% CI</w:t>
            </w:r>
            <w:proofErr w:type="gramStart"/>
            <w:r w:rsidRPr="00E573E1">
              <w:rPr>
                <w:rFonts w:eastAsia="Calibri"/>
                <w:sz w:val="18"/>
                <w:szCs w:val="20"/>
                <w:lang w:val="en-AU"/>
              </w:rPr>
              <w:t>)</w:t>
            </w:r>
            <w:r w:rsidR="00A1519F" w:rsidRPr="00E573E1">
              <w:rPr>
                <w:rFonts w:eastAsia="Calibri"/>
                <w:sz w:val="18"/>
                <w:szCs w:val="20"/>
                <w:lang w:val="en-AU"/>
              </w:rPr>
              <w:t>;</w:t>
            </w:r>
            <w:proofErr w:type="gramEnd"/>
            <w:r w:rsidR="00A1519F" w:rsidRPr="00E573E1">
              <w:rPr>
                <w:rFonts w:eastAsia="Calibri"/>
                <w:sz w:val="18"/>
                <w:szCs w:val="20"/>
                <w:lang w:val="en-AU"/>
              </w:rPr>
              <w:t xml:space="preserve"> </w:t>
            </w:r>
          </w:p>
          <w:p w14:paraId="6B85F2C6" w14:textId="6791DB3E" w:rsidR="002D5015" w:rsidRPr="00E573E1" w:rsidRDefault="002D5015" w:rsidP="00C11150">
            <w:pPr>
              <w:pStyle w:val="TableLeft"/>
              <w:rPr>
                <w:sz w:val="18"/>
                <w:szCs w:val="20"/>
                <w:lang w:val="en-AU"/>
              </w:rPr>
            </w:pPr>
            <w:r w:rsidRPr="00E573E1">
              <w:rPr>
                <w:rFonts w:eastAsia="Calibri"/>
                <w:sz w:val="18"/>
                <w:szCs w:val="20"/>
                <w:lang w:val="en-AU"/>
              </w:rPr>
              <w:t>p-value</w:t>
            </w:r>
          </w:p>
        </w:tc>
        <w:tc>
          <w:tcPr>
            <w:tcW w:w="1701" w:type="dxa"/>
            <w:vMerge w:val="restart"/>
            <w:shd w:val="clear" w:color="auto" w:fill="auto"/>
          </w:tcPr>
          <w:p w14:paraId="0CBF74D4" w14:textId="77777777" w:rsidR="002D5015" w:rsidRPr="00E573E1" w:rsidRDefault="002D5015" w:rsidP="00C11150">
            <w:pPr>
              <w:pStyle w:val="TableCenter"/>
              <w:jc w:val="left"/>
              <w:rPr>
                <w:sz w:val="18"/>
                <w:szCs w:val="20"/>
                <w:lang w:val="en-AU"/>
              </w:rPr>
            </w:pPr>
            <w:r w:rsidRPr="00E573E1">
              <w:rPr>
                <w:sz w:val="18"/>
                <w:szCs w:val="20"/>
                <w:lang w:val="en-AU"/>
              </w:rPr>
              <w:t>N/A</w:t>
            </w:r>
          </w:p>
        </w:tc>
        <w:tc>
          <w:tcPr>
            <w:tcW w:w="1701" w:type="dxa"/>
            <w:shd w:val="clear" w:color="auto" w:fill="auto"/>
          </w:tcPr>
          <w:p w14:paraId="4EC7B6A8" w14:textId="14A1D987" w:rsidR="002D5015" w:rsidRPr="00E573E1" w:rsidRDefault="002D5015" w:rsidP="00C11150">
            <w:pPr>
              <w:pStyle w:val="TableCenter"/>
              <w:jc w:val="left"/>
              <w:rPr>
                <w:sz w:val="18"/>
                <w:szCs w:val="20"/>
                <w:lang w:val="en-AU"/>
              </w:rPr>
            </w:pPr>
            <w:r w:rsidRPr="00E573E1">
              <w:rPr>
                <w:sz w:val="18"/>
                <w:szCs w:val="20"/>
                <w:lang w:val="en-AU"/>
              </w:rPr>
              <w:t>0.48 (0.37, 0.64</w:t>
            </w:r>
            <w:proofErr w:type="gramStart"/>
            <w:r w:rsidRPr="00E573E1">
              <w:rPr>
                <w:sz w:val="18"/>
                <w:szCs w:val="20"/>
                <w:lang w:val="en-AU"/>
              </w:rPr>
              <w:t>)</w:t>
            </w:r>
            <w:r w:rsidR="004A06B8" w:rsidRPr="00E573E1">
              <w:rPr>
                <w:sz w:val="18"/>
                <w:szCs w:val="20"/>
                <w:lang w:val="en-AU"/>
              </w:rPr>
              <w:t>;</w:t>
            </w:r>
            <w:proofErr w:type="gramEnd"/>
          </w:p>
          <w:p w14:paraId="7E37FAF9" w14:textId="210237EC" w:rsidR="002D5015" w:rsidRPr="00E573E1" w:rsidRDefault="002D5015" w:rsidP="00C11150">
            <w:pPr>
              <w:pStyle w:val="TableCenter"/>
              <w:jc w:val="left"/>
              <w:rPr>
                <w:sz w:val="18"/>
                <w:szCs w:val="20"/>
                <w:lang w:val="en-AU"/>
              </w:rPr>
            </w:pPr>
            <w:r w:rsidRPr="00E573E1">
              <w:rPr>
                <w:sz w:val="18"/>
                <w:szCs w:val="20"/>
                <w:lang w:val="en-AU"/>
              </w:rPr>
              <w:t>p&lt;0.0001</w:t>
            </w:r>
          </w:p>
        </w:tc>
        <w:tc>
          <w:tcPr>
            <w:tcW w:w="1843" w:type="dxa"/>
            <w:shd w:val="clear" w:color="auto" w:fill="auto"/>
          </w:tcPr>
          <w:p w14:paraId="1071FA98" w14:textId="716E6E94" w:rsidR="002D5015" w:rsidRPr="00E573E1" w:rsidRDefault="002D5015" w:rsidP="00C11150">
            <w:pPr>
              <w:pStyle w:val="TableCenter"/>
              <w:jc w:val="left"/>
              <w:rPr>
                <w:sz w:val="18"/>
                <w:szCs w:val="20"/>
                <w:lang w:val="en-AU"/>
              </w:rPr>
            </w:pPr>
            <w:r w:rsidRPr="00E573E1">
              <w:rPr>
                <w:sz w:val="18"/>
                <w:szCs w:val="20"/>
                <w:lang w:val="en-AU"/>
              </w:rPr>
              <w:t>0.82 (0.58, 1.17</w:t>
            </w:r>
            <w:proofErr w:type="gramStart"/>
            <w:r w:rsidRPr="00E573E1">
              <w:rPr>
                <w:sz w:val="18"/>
                <w:szCs w:val="20"/>
                <w:lang w:val="en-AU"/>
              </w:rPr>
              <w:t>)</w:t>
            </w:r>
            <w:r w:rsidR="004A06B8" w:rsidRPr="00E573E1">
              <w:rPr>
                <w:sz w:val="18"/>
                <w:szCs w:val="20"/>
                <w:lang w:val="en-AU"/>
              </w:rPr>
              <w:t>;</w:t>
            </w:r>
            <w:proofErr w:type="gramEnd"/>
          </w:p>
          <w:p w14:paraId="66121350" w14:textId="06700B35" w:rsidR="002D5015" w:rsidRPr="00E573E1" w:rsidRDefault="002D5015" w:rsidP="00C11150">
            <w:pPr>
              <w:pStyle w:val="TableCenter"/>
              <w:jc w:val="left"/>
              <w:rPr>
                <w:sz w:val="18"/>
                <w:szCs w:val="20"/>
                <w:lang w:val="en-AU"/>
              </w:rPr>
            </w:pPr>
            <w:r w:rsidRPr="00E573E1">
              <w:rPr>
                <w:sz w:val="18"/>
                <w:szCs w:val="20"/>
                <w:lang w:val="en-AU"/>
              </w:rPr>
              <w:t>p=0.2792</w:t>
            </w:r>
          </w:p>
        </w:tc>
        <w:tc>
          <w:tcPr>
            <w:tcW w:w="1984" w:type="dxa"/>
          </w:tcPr>
          <w:p w14:paraId="57103514" w14:textId="77777777" w:rsidR="002D5015" w:rsidRPr="00E573E1" w:rsidRDefault="002D5015" w:rsidP="00C11150">
            <w:pPr>
              <w:pStyle w:val="TableCenter"/>
              <w:jc w:val="left"/>
              <w:rPr>
                <w:sz w:val="18"/>
                <w:szCs w:val="20"/>
                <w:lang w:val="en-AU"/>
              </w:rPr>
            </w:pPr>
            <w:r w:rsidRPr="00E573E1">
              <w:rPr>
                <w:sz w:val="18"/>
                <w:szCs w:val="20"/>
                <w:lang w:val="en-AU"/>
              </w:rPr>
              <w:t>0.83 (0.59, 1.18</w:t>
            </w:r>
            <w:proofErr w:type="gramStart"/>
            <w:r w:rsidRPr="00E573E1">
              <w:rPr>
                <w:sz w:val="18"/>
                <w:szCs w:val="20"/>
                <w:lang w:val="en-AU"/>
              </w:rPr>
              <w:t>);</w:t>
            </w:r>
            <w:proofErr w:type="gramEnd"/>
          </w:p>
          <w:p w14:paraId="67536CE3" w14:textId="2AB01A33" w:rsidR="002D5015" w:rsidRPr="00E573E1" w:rsidRDefault="002D5015" w:rsidP="00C11150">
            <w:pPr>
              <w:pStyle w:val="TableCenter"/>
              <w:jc w:val="left"/>
              <w:rPr>
                <w:sz w:val="18"/>
                <w:szCs w:val="20"/>
                <w:lang w:val="en-AU"/>
              </w:rPr>
            </w:pPr>
            <w:r w:rsidRPr="00E573E1">
              <w:rPr>
                <w:sz w:val="18"/>
                <w:szCs w:val="20"/>
                <w:lang w:val="en-AU"/>
              </w:rPr>
              <w:t>p=0.3120</w:t>
            </w:r>
          </w:p>
        </w:tc>
      </w:tr>
      <w:tr w:rsidR="002D5015" w:rsidRPr="00E573E1" w14:paraId="45208C6B" w14:textId="068536C8" w:rsidTr="00A00868">
        <w:trPr>
          <w:cantSplit/>
        </w:trPr>
        <w:tc>
          <w:tcPr>
            <w:tcW w:w="2547" w:type="dxa"/>
            <w:shd w:val="clear" w:color="auto" w:fill="auto"/>
          </w:tcPr>
          <w:p w14:paraId="51867B29" w14:textId="77777777" w:rsidR="002D5015" w:rsidRPr="00E573E1" w:rsidRDefault="002D5015" w:rsidP="00C11150">
            <w:pPr>
              <w:pStyle w:val="TableLeft"/>
              <w:rPr>
                <w:sz w:val="18"/>
                <w:szCs w:val="20"/>
                <w:lang w:val="en-AU"/>
              </w:rPr>
            </w:pPr>
            <w:r w:rsidRPr="00E573E1">
              <w:rPr>
                <w:rFonts w:eastAsia="Calibri"/>
                <w:sz w:val="18"/>
                <w:szCs w:val="20"/>
                <w:lang w:val="en-AU"/>
              </w:rPr>
              <w:t>% reduction</w:t>
            </w:r>
          </w:p>
        </w:tc>
        <w:tc>
          <w:tcPr>
            <w:tcW w:w="1701" w:type="dxa"/>
            <w:vMerge/>
            <w:shd w:val="clear" w:color="auto" w:fill="auto"/>
          </w:tcPr>
          <w:p w14:paraId="2F2FAC50" w14:textId="77777777" w:rsidR="002D5015" w:rsidRPr="00E573E1" w:rsidRDefault="002D5015" w:rsidP="00C11150">
            <w:pPr>
              <w:pStyle w:val="TableCenter"/>
              <w:jc w:val="left"/>
              <w:rPr>
                <w:sz w:val="18"/>
                <w:szCs w:val="20"/>
                <w:lang w:val="en-AU"/>
              </w:rPr>
            </w:pPr>
          </w:p>
        </w:tc>
        <w:tc>
          <w:tcPr>
            <w:tcW w:w="1701" w:type="dxa"/>
            <w:shd w:val="clear" w:color="auto" w:fill="auto"/>
          </w:tcPr>
          <w:p w14:paraId="52F2396D" w14:textId="56A7B90C" w:rsidR="002D5015" w:rsidRPr="00E573E1" w:rsidRDefault="002D5015" w:rsidP="00C11150">
            <w:pPr>
              <w:pStyle w:val="TableCenter"/>
              <w:jc w:val="left"/>
              <w:rPr>
                <w:sz w:val="18"/>
                <w:szCs w:val="20"/>
                <w:lang w:val="en-AU"/>
              </w:rPr>
            </w:pPr>
            <w:r w:rsidRPr="00E573E1">
              <w:rPr>
                <w:sz w:val="18"/>
                <w:szCs w:val="20"/>
                <w:lang w:val="en-AU"/>
              </w:rPr>
              <w:t>52</w:t>
            </w:r>
          </w:p>
        </w:tc>
        <w:tc>
          <w:tcPr>
            <w:tcW w:w="1843" w:type="dxa"/>
            <w:shd w:val="clear" w:color="auto" w:fill="auto"/>
          </w:tcPr>
          <w:p w14:paraId="3191E590" w14:textId="7B72F472" w:rsidR="002D5015" w:rsidRPr="00E573E1" w:rsidRDefault="002D5015" w:rsidP="00C11150">
            <w:pPr>
              <w:pStyle w:val="TableCenter"/>
              <w:jc w:val="left"/>
              <w:rPr>
                <w:sz w:val="18"/>
                <w:szCs w:val="20"/>
                <w:lang w:val="en-AU"/>
              </w:rPr>
            </w:pPr>
            <w:r w:rsidRPr="00E573E1">
              <w:rPr>
                <w:sz w:val="18"/>
                <w:szCs w:val="20"/>
                <w:lang w:val="en-AU"/>
              </w:rPr>
              <w:t>18</w:t>
            </w:r>
          </w:p>
        </w:tc>
        <w:tc>
          <w:tcPr>
            <w:tcW w:w="1984" w:type="dxa"/>
          </w:tcPr>
          <w:p w14:paraId="3F9342DD" w14:textId="0418B99F" w:rsidR="002D5015" w:rsidRPr="00E573E1" w:rsidRDefault="002D5015" w:rsidP="00C11150">
            <w:pPr>
              <w:pStyle w:val="TableCenter"/>
              <w:jc w:val="left"/>
              <w:rPr>
                <w:sz w:val="18"/>
                <w:szCs w:val="20"/>
                <w:lang w:val="en-AU"/>
              </w:rPr>
            </w:pPr>
            <w:r w:rsidRPr="00E573E1">
              <w:rPr>
                <w:sz w:val="18"/>
                <w:szCs w:val="20"/>
                <w:lang w:val="en-AU"/>
              </w:rPr>
              <w:t>17</w:t>
            </w:r>
          </w:p>
        </w:tc>
      </w:tr>
      <w:tr w:rsidR="009F0387" w:rsidRPr="00E573E1" w14:paraId="6A4473B0" w14:textId="77777777" w:rsidTr="00A00868">
        <w:trPr>
          <w:cantSplit/>
        </w:trPr>
        <w:tc>
          <w:tcPr>
            <w:tcW w:w="7792" w:type="dxa"/>
            <w:gridSpan w:val="4"/>
            <w:shd w:val="clear" w:color="auto" w:fill="auto"/>
          </w:tcPr>
          <w:p w14:paraId="0366A292" w14:textId="112AFED1" w:rsidR="009F0387" w:rsidRPr="00E573E1" w:rsidRDefault="004D59A2" w:rsidP="00C11150">
            <w:pPr>
              <w:pStyle w:val="TableCenter"/>
              <w:jc w:val="left"/>
              <w:rPr>
                <w:sz w:val="18"/>
                <w:szCs w:val="20"/>
                <w:lang w:val="en-AU"/>
              </w:rPr>
            </w:pPr>
            <w:proofErr w:type="spellStart"/>
            <w:r w:rsidRPr="00E573E1">
              <w:rPr>
                <w:b/>
                <w:bCs/>
                <w:sz w:val="18"/>
                <w:szCs w:val="20"/>
                <w:lang w:val="en-AU"/>
              </w:rPr>
              <w:lastRenderedPageBreak/>
              <w:t>S</w:t>
            </w:r>
            <w:r w:rsidR="002D5BB3" w:rsidRPr="00E573E1">
              <w:rPr>
                <w:b/>
                <w:bCs/>
                <w:sz w:val="18"/>
                <w:szCs w:val="20"/>
                <w:lang w:val="en-AU"/>
              </w:rPr>
              <w:t>evere</w:t>
            </w:r>
            <w:r w:rsidR="004101FA" w:rsidRPr="00E573E1">
              <w:rPr>
                <w:b/>
                <w:bCs/>
                <w:sz w:val="18"/>
                <w:szCs w:val="18"/>
                <w:vertAlign w:val="superscript"/>
                <w:lang w:val="en-AU"/>
              </w:rPr>
              <w:t>b</w:t>
            </w:r>
            <w:proofErr w:type="spellEnd"/>
            <w:r w:rsidR="002D5BB3" w:rsidRPr="00E573E1">
              <w:rPr>
                <w:b/>
                <w:bCs/>
                <w:sz w:val="18"/>
                <w:szCs w:val="20"/>
                <w:lang w:val="en-AU"/>
              </w:rPr>
              <w:t xml:space="preserve"> exacerbations (adjusted)</w:t>
            </w:r>
          </w:p>
        </w:tc>
        <w:tc>
          <w:tcPr>
            <w:tcW w:w="1984" w:type="dxa"/>
          </w:tcPr>
          <w:p w14:paraId="13777EB4" w14:textId="77777777" w:rsidR="009F0387" w:rsidRPr="00E573E1" w:rsidRDefault="009F0387" w:rsidP="00C11150">
            <w:pPr>
              <w:pStyle w:val="TableCenter"/>
              <w:jc w:val="left"/>
              <w:rPr>
                <w:b/>
                <w:bCs/>
                <w:sz w:val="18"/>
                <w:szCs w:val="20"/>
                <w:lang w:val="en-AU"/>
              </w:rPr>
            </w:pPr>
          </w:p>
        </w:tc>
      </w:tr>
      <w:tr w:rsidR="004D59A2" w:rsidRPr="00E573E1" w14:paraId="0910E1A1" w14:textId="77777777" w:rsidTr="00A00868">
        <w:trPr>
          <w:cantSplit/>
        </w:trPr>
        <w:tc>
          <w:tcPr>
            <w:tcW w:w="2547" w:type="dxa"/>
            <w:shd w:val="clear" w:color="auto" w:fill="auto"/>
          </w:tcPr>
          <w:p w14:paraId="5F171EE5" w14:textId="42841E43" w:rsidR="004D59A2" w:rsidRPr="00E573E1" w:rsidRDefault="004D59A2" w:rsidP="00C11150">
            <w:pPr>
              <w:pStyle w:val="TableLeft"/>
              <w:rPr>
                <w:sz w:val="18"/>
                <w:szCs w:val="20"/>
                <w:lang w:val="en-AU"/>
              </w:rPr>
            </w:pPr>
            <w:r w:rsidRPr="00E573E1">
              <w:rPr>
                <w:bCs w:val="0"/>
                <w:sz w:val="18"/>
                <w:szCs w:val="20"/>
                <w:lang w:val="en-AU"/>
              </w:rPr>
              <w:t xml:space="preserve">Rate </w:t>
            </w:r>
          </w:p>
        </w:tc>
        <w:tc>
          <w:tcPr>
            <w:tcW w:w="1701" w:type="dxa"/>
            <w:shd w:val="clear" w:color="auto" w:fill="auto"/>
          </w:tcPr>
          <w:p w14:paraId="15092FFB" w14:textId="56F0A287" w:rsidR="004D59A2" w:rsidRPr="00E573E1" w:rsidRDefault="004D59A2" w:rsidP="00C11150">
            <w:pPr>
              <w:pStyle w:val="TableCenter"/>
              <w:jc w:val="left"/>
              <w:rPr>
                <w:sz w:val="18"/>
                <w:szCs w:val="18"/>
                <w:lang w:val="en-AU"/>
              </w:rPr>
            </w:pPr>
            <w:r w:rsidRPr="00E573E1">
              <w:rPr>
                <w:sz w:val="18"/>
                <w:szCs w:val="18"/>
                <w:lang w:val="en-AU"/>
              </w:rPr>
              <w:t>0.05</w:t>
            </w:r>
          </w:p>
        </w:tc>
        <w:tc>
          <w:tcPr>
            <w:tcW w:w="1701" w:type="dxa"/>
            <w:shd w:val="clear" w:color="auto" w:fill="auto"/>
          </w:tcPr>
          <w:p w14:paraId="1C825C2B" w14:textId="28C8195C" w:rsidR="004D59A2" w:rsidRPr="00E573E1" w:rsidRDefault="004D59A2" w:rsidP="00C11150">
            <w:pPr>
              <w:pStyle w:val="TableCenter"/>
              <w:jc w:val="left"/>
              <w:rPr>
                <w:sz w:val="18"/>
                <w:szCs w:val="18"/>
                <w:lang w:val="en-AU"/>
              </w:rPr>
            </w:pPr>
            <w:r w:rsidRPr="00E573E1">
              <w:rPr>
                <w:sz w:val="18"/>
                <w:szCs w:val="18"/>
                <w:lang w:val="en-AU"/>
              </w:rPr>
              <w:t>0.13</w:t>
            </w:r>
          </w:p>
        </w:tc>
        <w:tc>
          <w:tcPr>
            <w:tcW w:w="1843" w:type="dxa"/>
            <w:shd w:val="clear" w:color="auto" w:fill="auto"/>
          </w:tcPr>
          <w:p w14:paraId="5016A900" w14:textId="1F0C06A2" w:rsidR="004D59A2" w:rsidRPr="00E573E1" w:rsidRDefault="004D59A2" w:rsidP="00C11150">
            <w:pPr>
              <w:pStyle w:val="TableCenter"/>
              <w:jc w:val="left"/>
              <w:rPr>
                <w:sz w:val="18"/>
                <w:szCs w:val="18"/>
                <w:lang w:val="en-AU"/>
              </w:rPr>
            </w:pPr>
            <w:r w:rsidRPr="00E573E1">
              <w:rPr>
                <w:sz w:val="18"/>
                <w:szCs w:val="18"/>
                <w:lang w:val="en-AU"/>
              </w:rPr>
              <w:t>0.05</w:t>
            </w:r>
          </w:p>
        </w:tc>
        <w:tc>
          <w:tcPr>
            <w:tcW w:w="1984" w:type="dxa"/>
          </w:tcPr>
          <w:p w14:paraId="105E3481" w14:textId="2FF30B25" w:rsidR="004D59A2" w:rsidRPr="00E573E1" w:rsidRDefault="004D59A2" w:rsidP="00C11150">
            <w:pPr>
              <w:pStyle w:val="TableCenter"/>
              <w:jc w:val="left"/>
              <w:rPr>
                <w:sz w:val="18"/>
                <w:szCs w:val="18"/>
                <w:lang w:val="en-AU"/>
              </w:rPr>
            </w:pPr>
            <w:r w:rsidRPr="00E573E1">
              <w:rPr>
                <w:rFonts w:ascii="Times" w:hAnsi="Times"/>
                <w:sz w:val="18"/>
                <w:szCs w:val="18"/>
                <w:lang w:val="en-AU"/>
              </w:rPr>
              <w:t>0.07</w:t>
            </w:r>
          </w:p>
        </w:tc>
      </w:tr>
      <w:tr w:rsidR="004D59A2" w:rsidRPr="00E573E1" w14:paraId="3FD2169D" w14:textId="77777777" w:rsidTr="00EF69AE">
        <w:trPr>
          <w:cantSplit/>
        </w:trPr>
        <w:tc>
          <w:tcPr>
            <w:tcW w:w="2547" w:type="dxa"/>
            <w:shd w:val="clear" w:color="auto" w:fill="auto"/>
          </w:tcPr>
          <w:p w14:paraId="6189D9D6" w14:textId="3B4BD63F" w:rsidR="004D59A2" w:rsidRPr="00E573E1" w:rsidRDefault="004D59A2" w:rsidP="00C11150">
            <w:pPr>
              <w:pStyle w:val="TableLeft"/>
              <w:rPr>
                <w:rFonts w:eastAsia="Calibri"/>
                <w:sz w:val="18"/>
                <w:szCs w:val="20"/>
                <w:lang w:val="en-AU"/>
              </w:rPr>
            </w:pPr>
            <w:r w:rsidRPr="00E573E1">
              <w:rPr>
                <w:rFonts w:eastAsia="Calibri"/>
                <w:sz w:val="18"/>
                <w:szCs w:val="20"/>
                <w:lang w:val="en-AU"/>
              </w:rPr>
              <w:t>Rate Ratio: BREZTRI</w:t>
            </w:r>
            <w:r w:rsidR="004A06B8" w:rsidRPr="00E573E1">
              <w:rPr>
                <w:rFonts w:eastAsia="Calibri"/>
                <w:sz w:val="18"/>
                <w:szCs w:val="20"/>
                <w:lang w:val="en-AU"/>
              </w:rPr>
              <w:t>^</w:t>
            </w:r>
            <w:r w:rsidRPr="00E573E1">
              <w:rPr>
                <w:rFonts w:eastAsia="Calibri"/>
                <w:sz w:val="18"/>
                <w:szCs w:val="20"/>
                <w:lang w:val="en-AU"/>
              </w:rPr>
              <w:t xml:space="preserve"> vs. comparator (95% CI</w:t>
            </w:r>
            <w:proofErr w:type="gramStart"/>
            <w:r w:rsidRPr="00E573E1">
              <w:rPr>
                <w:rFonts w:eastAsia="Calibri"/>
                <w:sz w:val="18"/>
                <w:szCs w:val="20"/>
                <w:lang w:val="en-AU"/>
              </w:rPr>
              <w:t>);</w:t>
            </w:r>
            <w:proofErr w:type="gramEnd"/>
            <w:r w:rsidRPr="00E573E1">
              <w:rPr>
                <w:rFonts w:eastAsia="Calibri"/>
                <w:sz w:val="18"/>
                <w:szCs w:val="20"/>
                <w:lang w:val="en-AU"/>
              </w:rPr>
              <w:t xml:space="preserve"> </w:t>
            </w:r>
          </w:p>
          <w:p w14:paraId="612E31D1" w14:textId="0076DD5C" w:rsidR="004D59A2" w:rsidRPr="00E573E1" w:rsidRDefault="004D59A2" w:rsidP="00C11150">
            <w:pPr>
              <w:pStyle w:val="TableLeft"/>
              <w:rPr>
                <w:sz w:val="18"/>
                <w:szCs w:val="20"/>
                <w:lang w:val="en-AU"/>
              </w:rPr>
            </w:pPr>
            <w:r w:rsidRPr="00E573E1">
              <w:rPr>
                <w:rFonts w:eastAsia="Calibri"/>
                <w:sz w:val="18"/>
                <w:szCs w:val="20"/>
                <w:lang w:val="en-AU"/>
              </w:rPr>
              <w:t>p-value</w:t>
            </w:r>
          </w:p>
        </w:tc>
        <w:tc>
          <w:tcPr>
            <w:tcW w:w="1701" w:type="dxa"/>
            <w:vMerge w:val="restart"/>
            <w:shd w:val="clear" w:color="auto" w:fill="auto"/>
          </w:tcPr>
          <w:p w14:paraId="443A044E" w14:textId="7EE6082E" w:rsidR="004D59A2" w:rsidRPr="00E573E1" w:rsidRDefault="004D59A2" w:rsidP="00C11150">
            <w:pPr>
              <w:pStyle w:val="TableCenter"/>
              <w:jc w:val="left"/>
              <w:rPr>
                <w:sz w:val="18"/>
                <w:szCs w:val="18"/>
                <w:lang w:val="en-AU"/>
              </w:rPr>
            </w:pPr>
            <w:r w:rsidRPr="00E573E1">
              <w:rPr>
                <w:sz w:val="18"/>
                <w:szCs w:val="18"/>
                <w:lang w:val="en-AU"/>
              </w:rPr>
              <w:t>N/A</w:t>
            </w:r>
          </w:p>
        </w:tc>
        <w:tc>
          <w:tcPr>
            <w:tcW w:w="1701" w:type="dxa"/>
            <w:shd w:val="clear" w:color="auto" w:fill="auto"/>
          </w:tcPr>
          <w:p w14:paraId="49DE9773" w14:textId="34952432" w:rsidR="004D59A2" w:rsidRPr="00E573E1" w:rsidRDefault="004D59A2" w:rsidP="00C11150">
            <w:pPr>
              <w:pStyle w:val="TableCenter"/>
              <w:jc w:val="left"/>
              <w:rPr>
                <w:sz w:val="18"/>
                <w:szCs w:val="18"/>
                <w:lang w:val="en-AU"/>
              </w:rPr>
            </w:pPr>
            <w:r w:rsidRPr="00E573E1">
              <w:rPr>
                <w:sz w:val="18"/>
                <w:szCs w:val="18"/>
                <w:lang w:val="en-AU"/>
              </w:rPr>
              <w:t>0.36 (0.18, 0.70</w:t>
            </w:r>
            <w:proofErr w:type="gramStart"/>
            <w:r w:rsidRPr="00E573E1">
              <w:rPr>
                <w:sz w:val="18"/>
                <w:szCs w:val="18"/>
                <w:lang w:val="en-AU"/>
              </w:rPr>
              <w:t>)</w:t>
            </w:r>
            <w:r w:rsidR="004A06B8" w:rsidRPr="00E573E1">
              <w:rPr>
                <w:sz w:val="18"/>
                <w:szCs w:val="18"/>
                <w:lang w:val="en-AU"/>
              </w:rPr>
              <w:t>;</w:t>
            </w:r>
            <w:proofErr w:type="gramEnd"/>
          </w:p>
          <w:p w14:paraId="789945EC" w14:textId="6D281DF7" w:rsidR="004D59A2" w:rsidRPr="00E573E1" w:rsidRDefault="004D59A2" w:rsidP="00C11150">
            <w:pPr>
              <w:pStyle w:val="TableCenter"/>
              <w:jc w:val="left"/>
              <w:rPr>
                <w:sz w:val="18"/>
                <w:szCs w:val="18"/>
                <w:lang w:val="en-AU"/>
              </w:rPr>
            </w:pPr>
            <w:r w:rsidRPr="00E573E1">
              <w:rPr>
                <w:sz w:val="18"/>
                <w:szCs w:val="18"/>
                <w:lang w:val="en-AU"/>
              </w:rPr>
              <w:t>p=0.0026</w:t>
            </w:r>
            <w:r w:rsidR="004637BB" w:rsidRPr="00E573E1">
              <w:rPr>
                <w:sz w:val="18"/>
                <w:szCs w:val="18"/>
                <w:vertAlign w:val="superscript"/>
                <w:lang w:val="en-AU"/>
              </w:rPr>
              <w:t>*</w:t>
            </w:r>
          </w:p>
        </w:tc>
        <w:tc>
          <w:tcPr>
            <w:tcW w:w="1843" w:type="dxa"/>
            <w:shd w:val="clear" w:color="auto" w:fill="auto"/>
          </w:tcPr>
          <w:p w14:paraId="69B4D779" w14:textId="589A5287" w:rsidR="004D59A2" w:rsidRPr="00E573E1" w:rsidRDefault="004D59A2" w:rsidP="00C11150">
            <w:pPr>
              <w:pStyle w:val="TableCenter"/>
              <w:jc w:val="left"/>
              <w:rPr>
                <w:sz w:val="18"/>
                <w:szCs w:val="18"/>
                <w:lang w:val="en-AU"/>
              </w:rPr>
            </w:pPr>
            <w:r w:rsidRPr="00E573E1">
              <w:rPr>
                <w:sz w:val="18"/>
                <w:szCs w:val="18"/>
                <w:lang w:val="en-AU"/>
              </w:rPr>
              <w:t>0.85 (0.34, 2.13</w:t>
            </w:r>
            <w:proofErr w:type="gramStart"/>
            <w:r w:rsidRPr="00E573E1">
              <w:rPr>
                <w:sz w:val="18"/>
                <w:szCs w:val="18"/>
                <w:lang w:val="en-AU"/>
              </w:rPr>
              <w:t>)</w:t>
            </w:r>
            <w:r w:rsidR="004A06B8" w:rsidRPr="00E573E1">
              <w:rPr>
                <w:sz w:val="18"/>
                <w:szCs w:val="18"/>
                <w:lang w:val="en-AU"/>
              </w:rPr>
              <w:t>;</w:t>
            </w:r>
            <w:proofErr w:type="gramEnd"/>
          </w:p>
          <w:p w14:paraId="7E00DD13" w14:textId="141FD875" w:rsidR="004D59A2" w:rsidRPr="00E573E1" w:rsidRDefault="004D59A2" w:rsidP="00C11150">
            <w:pPr>
              <w:pStyle w:val="TableCenter"/>
              <w:jc w:val="left"/>
              <w:rPr>
                <w:sz w:val="18"/>
                <w:szCs w:val="18"/>
                <w:lang w:val="en-AU"/>
              </w:rPr>
            </w:pPr>
            <w:r w:rsidRPr="00E573E1">
              <w:rPr>
                <w:sz w:val="18"/>
                <w:szCs w:val="18"/>
                <w:lang w:val="en-AU"/>
              </w:rPr>
              <w:t>p=0.7363</w:t>
            </w:r>
          </w:p>
        </w:tc>
        <w:tc>
          <w:tcPr>
            <w:tcW w:w="1984" w:type="dxa"/>
          </w:tcPr>
          <w:p w14:paraId="7EFDE160" w14:textId="335CE002" w:rsidR="004D59A2" w:rsidRPr="00E573E1" w:rsidRDefault="004D59A2" w:rsidP="00C11150">
            <w:pPr>
              <w:pStyle w:val="TableCenter"/>
              <w:jc w:val="left"/>
              <w:rPr>
                <w:sz w:val="18"/>
                <w:szCs w:val="18"/>
                <w:lang w:val="en-AU"/>
              </w:rPr>
            </w:pPr>
            <w:r w:rsidRPr="00E573E1">
              <w:rPr>
                <w:rFonts w:ascii="Times" w:hAnsi="Times" w:cs="Times"/>
                <w:sz w:val="18"/>
                <w:szCs w:val="18"/>
                <w:lang w:val="en-AU"/>
              </w:rPr>
              <w:t>0.69 (0.29, 1.61</w:t>
            </w:r>
            <w:proofErr w:type="gramStart"/>
            <w:r w:rsidRPr="00E573E1">
              <w:rPr>
                <w:rFonts w:ascii="Times" w:hAnsi="Times" w:cs="Times"/>
                <w:sz w:val="18"/>
                <w:szCs w:val="18"/>
                <w:lang w:val="en-AU"/>
              </w:rPr>
              <w:t>)</w:t>
            </w:r>
            <w:r w:rsidR="004A06B8" w:rsidRPr="00E573E1">
              <w:rPr>
                <w:rFonts w:ascii="Times" w:hAnsi="Times" w:cs="Times"/>
                <w:sz w:val="18"/>
                <w:szCs w:val="18"/>
                <w:lang w:val="en-AU"/>
              </w:rPr>
              <w:t>;</w:t>
            </w:r>
            <w:proofErr w:type="gramEnd"/>
          </w:p>
          <w:p w14:paraId="3E46DE7C" w14:textId="2AA5A8F3" w:rsidR="004D59A2" w:rsidRPr="00E573E1" w:rsidRDefault="004D59A2" w:rsidP="00C11150">
            <w:pPr>
              <w:pStyle w:val="TableCenter"/>
              <w:jc w:val="left"/>
              <w:rPr>
                <w:sz w:val="18"/>
                <w:szCs w:val="18"/>
                <w:lang w:val="en-AU"/>
              </w:rPr>
            </w:pPr>
            <w:r w:rsidRPr="00E573E1">
              <w:rPr>
                <w:rFonts w:ascii="Times" w:hAnsi="Times" w:cs="Times"/>
                <w:sz w:val="18"/>
                <w:szCs w:val="18"/>
                <w:lang w:val="en-AU"/>
              </w:rPr>
              <w:t>p=0.3861</w:t>
            </w:r>
          </w:p>
        </w:tc>
      </w:tr>
      <w:tr w:rsidR="004D59A2" w:rsidRPr="00E573E1" w14:paraId="2950BC57" w14:textId="77777777" w:rsidTr="00A00868">
        <w:trPr>
          <w:cantSplit/>
        </w:trPr>
        <w:tc>
          <w:tcPr>
            <w:tcW w:w="2547" w:type="dxa"/>
            <w:shd w:val="clear" w:color="auto" w:fill="auto"/>
          </w:tcPr>
          <w:p w14:paraId="79BA4E29" w14:textId="6B16B423" w:rsidR="004D59A2" w:rsidRPr="00E573E1" w:rsidRDefault="004D59A2" w:rsidP="00C11150">
            <w:pPr>
              <w:pStyle w:val="TableLeft"/>
              <w:rPr>
                <w:sz w:val="18"/>
                <w:szCs w:val="20"/>
                <w:lang w:val="en-AU"/>
              </w:rPr>
            </w:pPr>
            <w:r w:rsidRPr="00E573E1">
              <w:rPr>
                <w:rFonts w:eastAsia="Calibri"/>
                <w:sz w:val="18"/>
                <w:szCs w:val="20"/>
                <w:lang w:val="en-AU"/>
              </w:rPr>
              <w:t>% reduction</w:t>
            </w:r>
          </w:p>
        </w:tc>
        <w:tc>
          <w:tcPr>
            <w:tcW w:w="1701" w:type="dxa"/>
            <w:vMerge/>
            <w:shd w:val="clear" w:color="auto" w:fill="auto"/>
          </w:tcPr>
          <w:p w14:paraId="7B5585E2" w14:textId="77777777" w:rsidR="004D59A2" w:rsidRPr="00E573E1" w:rsidRDefault="004D59A2" w:rsidP="00C11150">
            <w:pPr>
              <w:pStyle w:val="TableCenter"/>
              <w:jc w:val="left"/>
              <w:rPr>
                <w:sz w:val="18"/>
                <w:szCs w:val="20"/>
                <w:lang w:val="en-AU"/>
              </w:rPr>
            </w:pPr>
          </w:p>
        </w:tc>
        <w:tc>
          <w:tcPr>
            <w:tcW w:w="1701" w:type="dxa"/>
            <w:shd w:val="clear" w:color="auto" w:fill="auto"/>
          </w:tcPr>
          <w:p w14:paraId="1AFE2D35" w14:textId="3903CD16" w:rsidR="004D59A2" w:rsidRPr="00E573E1" w:rsidRDefault="00B25BBE" w:rsidP="00C11150">
            <w:pPr>
              <w:pStyle w:val="TableCenter"/>
              <w:jc w:val="left"/>
              <w:rPr>
                <w:sz w:val="18"/>
                <w:szCs w:val="20"/>
                <w:lang w:val="en-AU"/>
              </w:rPr>
            </w:pPr>
            <w:r>
              <w:rPr>
                <w:sz w:val="18"/>
                <w:szCs w:val="20"/>
                <w:lang w:val="en-AU"/>
              </w:rPr>
              <w:t>64</w:t>
            </w:r>
          </w:p>
        </w:tc>
        <w:tc>
          <w:tcPr>
            <w:tcW w:w="1843" w:type="dxa"/>
            <w:shd w:val="clear" w:color="auto" w:fill="auto"/>
          </w:tcPr>
          <w:p w14:paraId="241918B5" w14:textId="4C4D7825" w:rsidR="004D59A2" w:rsidRPr="00E573E1" w:rsidRDefault="004D59A2" w:rsidP="00C11150">
            <w:pPr>
              <w:pStyle w:val="TableCenter"/>
              <w:jc w:val="left"/>
              <w:rPr>
                <w:sz w:val="18"/>
                <w:szCs w:val="20"/>
                <w:lang w:val="en-AU"/>
              </w:rPr>
            </w:pPr>
            <w:r w:rsidRPr="00E573E1">
              <w:rPr>
                <w:sz w:val="18"/>
                <w:szCs w:val="20"/>
                <w:lang w:val="en-AU"/>
              </w:rPr>
              <w:t>15</w:t>
            </w:r>
          </w:p>
        </w:tc>
        <w:tc>
          <w:tcPr>
            <w:tcW w:w="1984" w:type="dxa"/>
          </w:tcPr>
          <w:p w14:paraId="71D5920C" w14:textId="4C2A1C1B" w:rsidR="004D59A2" w:rsidRPr="00E573E1" w:rsidRDefault="004D59A2" w:rsidP="00C11150">
            <w:pPr>
              <w:pStyle w:val="TableCenter"/>
              <w:jc w:val="left"/>
              <w:rPr>
                <w:sz w:val="18"/>
                <w:szCs w:val="20"/>
                <w:lang w:val="en-AU"/>
              </w:rPr>
            </w:pPr>
            <w:r w:rsidRPr="00E573E1">
              <w:rPr>
                <w:sz w:val="18"/>
                <w:szCs w:val="20"/>
                <w:lang w:val="en-AU"/>
              </w:rPr>
              <w:t>31</w:t>
            </w:r>
          </w:p>
        </w:tc>
      </w:tr>
    </w:tbl>
    <w:p w14:paraId="0483ACE9" w14:textId="392AF5A4" w:rsidR="004A06B8" w:rsidRPr="00E573E1" w:rsidRDefault="00F849D4" w:rsidP="00C11150">
      <w:pPr>
        <w:pStyle w:val="TableFootnoteInfo"/>
        <w:rPr>
          <w:lang w:val="en-AU"/>
        </w:rPr>
      </w:pPr>
      <w:r w:rsidRPr="00E573E1">
        <w:rPr>
          <w:lang w:val="en-AU"/>
        </w:rPr>
        <w:t xml:space="preserve">CI – confidence intervals; </w:t>
      </w:r>
      <w:r w:rsidR="007D6E58" w:rsidRPr="00E573E1">
        <w:rPr>
          <w:lang w:val="en-AU"/>
        </w:rPr>
        <w:t>^</w:t>
      </w:r>
      <w:r w:rsidRPr="00E573E1">
        <w:rPr>
          <w:lang w:val="en-AU"/>
        </w:rPr>
        <w:t>AEROSPHERE</w:t>
      </w:r>
      <w:r w:rsidR="009264DF" w:rsidRPr="00E573E1">
        <w:rPr>
          <w:lang w:val="en-AU"/>
        </w:rPr>
        <w:t xml:space="preserve">: </w:t>
      </w:r>
      <w:r w:rsidR="007D6E58" w:rsidRPr="00E573E1">
        <w:rPr>
          <w:lang w:val="en-AU"/>
        </w:rPr>
        <w:t>^^</w:t>
      </w:r>
      <w:r w:rsidR="009264DF" w:rsidRPr="00E573E1">
        <w:rPr>
          <w:lang w:val="en-AU"/>
        </w:rPr>
        <w:t xml:space="preserve"> </w:t>
      </w:r>
      <w:proofErr w:type="spellStart"/>
      <w:r w:rsidR="009E47A1">
        <w:rPr>
          <w:lang w:val="en-AU"/>
        </w:rPr>
        <w:t>Turbuhaler</w:t>
      </w:r>
      <w:proofErr w:type="spellEnd"/>
      <w:r w:rsidR="004A06B8" w:rsidRPr="00E573E1">
        <w:rPr>
          <w:lang w:val="en-AU"/>
        </w:rPr>
        <w:t xml:space="preserve"> (open label)</w:t>
      </w:r>
      <w:r w:rsidR="007D6E58" w:rsidRPr="00E573E1">
        <w:rPr>
          <w:lang w:val="en-AU"/>
        </w:rPr>
        <w:t xml:space="preserve">; </w:t>
      </w:r>
      <w:r w:rsidR="004A06B8" w:rsidRPr="00E573E1">
        <w:rPr>
          <w:lang w:val="en-AU"/>
        </w:rPr>
        <w:t>*</w:t>
      </w:r>
      <w:r w:rsidR="004637BB" w:rsidRPr="00E573E1">
        <w:rPr>
          <w:lang w:val="en-AU"/>
        </w:rPr>
        <w:t>unadjusted p-value</w:t>
      </w:r>
    </w:p>
    <w:p w14:paraId="380F7009" w14:textId="2C7FC1DC" w:rsidR="004101FA" w:rsidRPr="00E573E1" w:rsidRDefault="004101FA" w:rsidP="00C11150">
      <w:pPr>
        <w:pStyle w:val="TableFootnoteLetter"/>
        <w:numPr>
          <w:ilvl w:val="0"/>
          <w:numId w:val="18"/>
        </w:numPr>
        <w:rPr>
          <w:lang w:val="en-AU"/>
        </w:rPr>
      </w:pPr>
      <w:r w:rsidRPr="00E573E1">
        <w:rPr>
          <w:lang w:val="en-AU"/>
        </w:rPr>
        <w:t>Moderate exacerbation - systemic corticosteroids and/or antibiotics for at least 3 days</w:t>
      </w:r>
    </w:p>
    <w:p w14:paraId="4349D5D9" w14:textId="3C3CD2BD" w:rsidR="004101FA" w:rsidRPr="00E573E1" w:rsidRDefault="004101FA" w:rsidP="00C11150">
      <w:pPr>
        <w:pStyle w:val="TableFootnoteLetter"/>
        <w:rPr>
          <w:lang w:val="en-AU"/>
        </w:rPr>
      </w:pPr>
      <w:r w:rsidRPr="00E573E1">
        <w:rPr>
          <w:lang w:val="en-AU"/>
        </w:rPr>
        <w:t>Severe exacerbation - inpatient COPD-related hospitalisation or COPD-related death</w:t>
      </w:r>
    </w:p>
    <w:p w14:paraId="28EC63B3" w14:textId="77777777" w:rsidR="00F849D4" w:rsidRPr="00E573E1" w:rsidRDefault="00F849D4" w:rsidP="00C11150">
      <w:pPr>
        <w:pStyle w:val="Paragraph"/>
        <w:spacing w:after="0"/>
        <w:rPr>
          <w:lang w:val="en-AU"/>
        </w:rPr>
      </w:pPr>
    </w:p>
    <w:p w14:paraId="767609B9" w14:textId="77777777" w:rsidR="00857C06" w:rsidRPr="00E573E1" w:rsidRDefault="00857C06" w:rsidP="00C11150">
      <w:pPr>
        <w:pStyle w:val="Heading4Unnumbered"/>
        <w:rPr>
          <w:lang w:val="en-AU"/>
        </w:rPr>
      </w:pPr>
      <w:r w:rsidRPr="00E573E1">
        <w:rPr>
          <w:lang w:val="en-AU"/>
        </w:rPr>
        <w:t>Effects on lung function</w:t>
      </w:r>
      <w:r w:rsidRPr="00E573E1">
        <w:rPr>
          <w:rStyle w:val="EndnoteReference"/>
          <w:i w:val="0"/>
          <w:lang w:val="en-AU"/>
        </w:rPr>
        <w:t xml:space="preserve"> </w:t>
      </w:r>
    </w:p>
    <w:p w14:paraId="295FEBFB" w14:textId="21088B37" w:rsidR="00857C06" w:rsidRPr="00E573E1" w:rsidRDefault="00857C06" w:rsidP="00C11150">
      <w:pPr>
        <w:pStyle w:val="Paragraph"/>
        <w:rPr>
          <w:lang w:val="en-AU"/>
        </w:rPr>
      </w:pPr>
      <w:r w:rsidRPr="00E573E1">
        <w:rPr>
          <w:lang w:val="en-AU"/>
        </w:rPr>
        <w:t xml:space="preserve">In both studies, BREZTRI AEROSPHERE </w:t>
      </w:r>
      <w:r w:rsidR="009F6A93" w:rsidRPr="00E573E1">
        <w:rPr>
          <w:lang w:val="en-AU"/>
        </w:rPr>
        <w:t xml:space="preserve">160/7.2/5 </w:t>
      </w:r>
      <w:r w:rsidRPr="00E573E1">
        <w:rPr>
          <w:lang w:val="en-AU"/>
        </w:rPr>
        <w:t>provided significant improvements in lung function (</w:t>
      </w:r>
      <w:r w:rsidR="00F872A7">
        <w:rPr>
          <w:lang w:val="en-AU"/>
        </w:rPr>
        <w:t xml:space="preserve">morning pre-dose trough </w:t>
      </w:r>
      <w:r w:rsidRPr="00E573E1">
        <w:rPr>
          <w:lang w:val="en-AU"/>
        </w:rPr>
        <w:t>FEV</w:t>
      </w:r>
      <w:r w:rsidRPr="00E573E1">
        <w:rPr>
          <w:vertAlign w:val="subscript"/>
          <w:lang w:val="en-AU"/>
        </w:rPr>
        <w:t>1</w:t>
      </w:r>
      <w:r w:rsidRPr="00E573E1">
        <w:rPr>
          <w:lang w:val="en-AU"/>
        </w:rPr>
        <w:t xml:space="preserve">) compared with </w:t>
      </w:r>
      <w:r w:rsidR="00F872A7">
        <w:rPr>
          <w:lang w:val="en-AU"/>
        </w:rPr>
        <w:t>GFF MDI</w:t>
      </w:r>
      <w:r w:rsidR="009F6A93" w:rsidRPr="00E573E1">
        <w:rPr>
          <w:lang w:val="en-AU"/>
        </w:rPr>
        <w:t xml:space="preserve"> 7.2/5</w:t>
      </w:r>
      <w:r w:rsidRPr="00E573E1">
        <w:rPr>
          <w:lang w:val="en-AU"/>
        </w:rPr>
        <w:t xml:space="preserve"> and BFF MDI</w:t>
      </w:r>
      <w:r w:rsidR="009F6A93" w:rsidRPr="00E573E1">
        <w:rPr>
          <w:lang w:val="en-AU"/>
        </w:rPr>
        <w:t xml:space="preserve"> 160/5</w:t>
      </w:r>
      <w:r w:rsidRPr="00E573E1">
        <w:rPr>
          <w:lang w:val="en-AU"/>
        </w:rPr>
        <w:t xml:space="preserve"> (see</w:t>
      </w:r>
      <w:r w:rsidR="00970574" w:rsidRPr="00E573E1">
        <w:rPr>
          <w:lang w:val="en-AU"/>
        </w:rPr>
        <w:t xml:space="preserve"> </w:t>
      </w:r>
      <w:r w:rsidR="00970574" w:rsidRPr="00E573E1">
        <w:rPr>
          <w:lang w:val="en-AU"/>
        </w:rPr>
        <w:fldChar w:fldCharType="begin"/>
      </w:r>
      <w:r w:rsidR="00970574" w:rsidRPr="00E573E1">
        <w:rPr>
          <w:lang w:val="en-AU"/>
        </w:rPr>
        <w:instrText xml:space="preserve"> REF _Ref40080887 \h </w:instrText>
      </w:r>
      <w:r w:rsidR="00970574" w:rsidRPr="00E573E1">
        <w:rPr>
          <w:lang w:val="en-AU"/>
        </w:rPr>
      </w:r>
      <w:r w:rsidR="00C11150">
        <w:rPr>
          <w:lang w:val="en-AU"/>
        </w:rPr>
        <w:instrText xml:space="preserve"> \* MERGEFORMAT </w:instrText>
      </w:r>
      <w:r w:rsidR="00970574" w:rsidRPr="00E573E1">
        <w:rPr>
          <w:lang w:val="en-AU"/>
        </w:rPr>
        <w:fldChar w:fldCharType="separate"/>
      </w:r>
      <w:r w:rsidR="00960F91" w:rsidRPr="00E573E1">
        <w:rPr>
          <w:lang w:val="en-AU"/>
        </w:rPr>
        <w:t>Table </w:t>
      </w:r>
      <w:r w:rsidR="00960F91">
        <w:rPr>
          <w:noProof/>
          <w:lang w:val="en-AU"/>
        </w:rPr>
        <w:t>6</w:t>
      </w:r>
      <w:r w:rsidR="00970574" w:rsidRPr="00E573E1">
        <w:rPr>
          <w:lang w:val="en-AU"/>
        </w:rPr>
        <w:fldChar w:fldCharType="end"/>
      </w:r>
      <w:r w:rsidRPr="00E573E1">
        <w:rPr>
          <w:lang w:val="en-AU"/>
        </w:rPr>
        <w:t>). The improvements in lung function were sustained over 52-weeks.</w:t>
      </w:r>
    </w:p>
    <w:p w14:paraId="5FECB3B4" w14:textId="7B74356B" w:rsidR="00857C06" w:rsidRPr="00E573E1" w:rsidRDefault="00857C06" w:rsidP="00C11150">
      <w:pPr>
        <w:pStyle w:val="Paragraph"/>
        <w:rPr>
          <w:lang w:val="en-AU"/>
        </w:rPr>
      </w:pPr>
      <w:r w:rsidRPr="00E573E1">
        <w:rPr>
          <w:lang w:val="en-AU"/>
        </w:rPr>
        <w:t>The median time to a 100</w:t>
      </w:r>
      <w:r w:rsidR="009F6A93" w:rsidRPr="00E573E1">
        <w:rPr>
          <w:lang w:val="en-AU"/>
        </w:rPr>
        <w:t> </w:t>
      </w:r>
      <w:r w:rsidRPr="00E573E1">
        <w:rPr>
          <w:lang w:val="en-AU"/>
        </w:rPr>
        <w:t>mL or larger improvement was within 5 minutes of the first dose on Day</w:t>
      </w:r>
      <w:r w:rsidR="009F6A93" w:rsidRPr="00E573E1">
        <w:rPr>
          <w:lang w:val="en-AU"/>
        </w:rPr>
        <w:t> </w:t>
      </w:r>
      <w:r w:rsidRPr="00E573E1">
        <w:rPr>
          <w:lang w:val="en-AU"/>
        </w:rPr>
        <w:t>1 for all treatment groups, with a change from baseline of 166</w:t>
      </w:r>
      <w:r w:rsidR="009F6A93" w:rsidRPr="00E573E1">
        <w:rPr>
          <w:lang w:val="en-AU"/>
        </w:rPr>
        <w:t> </w:t>
      </w:r>
      <w:r w:rsidRPr="00E573E1">
        <w:rPr>
          <w:lang w:val="en-AU"/>
        </w:rPr>
        <w:t>mL (ETHOS) and 175</w:t>
      </w:r>
      <w:r w:rsidR="009F6A93" w:rsidRPr="00E573E1">
        <w:rPr>
          <w:lang w:val="en-AU"/>
        </w:rPr>
        <w:t> </w:t>
      </w:r>
      <w:r w:rsidRPr="00E573E1">
        <w:rPr>
          <w:lang w:val="en-AU"/>
        </w:rPr>
        <w:t xml:space="preserve">mL (KRONOS) for BREZTRI AEROSPHERE 160/7.2/5 observed at 5 minutes post-dose. </w:t>
      </w:r>
    </w:p>
    <w:p w14:paraId="6F65FE3A" w14:textId="3967B514" w:rsidR="00726A16" w:rsidRPr="00726A16" w:rsidRDefault="00857C06" w:rsidP="00C11150">
      <w:pPr>
        <w:pStyle w:val="Paragraph"/>
        <w:rPr>
          <w:lang w:val="en-AU"/>
        </w:rPr>
      </w:pPr>
      <w:r w:rsidRPr="00E573E1">
        <w:rPr>
          <w:lang w:val="en-AU"/>
        </w:rPr>
        <w:t xml:space="preserve">In both studies, there were consistent improvements in lung function in subgroups based on age, sex, degree of airflow limitation (moderate, </w:t>
      </w:r>
      <w:proofErr w:type="gramStart"/>
      <w:r w:rsidRPr="00E573E1">
        <w:rPr>
          <w:lang w:val="en-AU"/>
        </w:rPr>
        <w:t>severe</w:t>
      </w:r>
      <w:proofErr w:type="gramEnd"/>
      <w:r w:rsidRPr="00E573E1">
        <w:rPr>
          <w:lang w:val="en-AU"/>
        </w:rPr>
        <w:t xml:space="preserve"> and very severe), and previous </w:t>
      </w:r>
      <w:r w:rsidR="009F6A93" w:rsidRPr="00E573E1">
        <w:rPr>
          <w:lang w:val="en-AU"/>
        </w:rPr>
        <w:t xml:space="preserve">ICS </w:t>
      </w:r>
      <w:r w:rsidRPr="00E573E1">
        <w:rPr>
          <w:lang w:val="en-AU"/>
        </w:rPr>
        <w:t>use.</w:t>
      </w:r>
    </w:p>
    <w:p w14:paraId="1375C69D" w14:textId="01026C9B" w:rsidR="00F1560B" w:rsidRPr="00E573E1" w:rsidRDefault="00F1560B" w:rsidP="00C11150">
      <w:pPr>
        <w:pStyle w:val="TableTitle"/>
        <w:rPr>
          <w:lang w:val="en-AU"/>
        </w:rPr>
      </w:pPr>
      <w:bookmarkStart w:id="25" w:name="_Ref40080887"/>
      <w:r w:rsidRPr="00E573E1">
        <w:rPr>
          <w:lang w:val="en-AU"/>
        </w:rPr>
        <w:t>Table </w:t>
      </w:r>
      <w:r w:rsidRPr="00E573E1">
        <w:rPr>
          <w:lang w:val="en-AU"/>
        </w:rPr>
        <w:fldChar w:fldCharType="begin"/>
      </w:r>
      <w:r w:rsidRPr="00E573E1">
        <w:rPr>
          <w:lang w:val="en-AU"/>
        </w:rPr>
        <w:instrText xml:space="preserve"> SEQ Table \* ARABIC </w:instrText>
      </w:r>
      <w:r w:rsidRPr="00E573E1">
        <w:rPr>
          <w:lang w:val="en-AU"/>
        </w:rPr>
        <w:fldChar w:fldCharType="separate"/>
      </w:r>
      <w:r w:rsidR="00960F91">
        <w:rPr>
          <w:noProof/>
          <w:lang w:val="en-AU"/>
        </w:rPr>
        <w:t>6</w:t>
      </w:r>
      <w:r w:rsidRPr="00E573E1">
        <w:rPr>
          <w:lang w:val="en-AU"/>
        </w:rPr>
        <w:fldChar w:fldCharType="end"/>
      </w:r>
      <w:bookmarkEnd w:id="25"/>
      <w:r w:rsidRPr="00E573E1">
        <w:rPr>
          <w:lang w:val="en-AU"/>
        </w:rPr>
        <w:tab/>
      </w:r>
      <w:r w:rsidR="00386A4A" w:rsidRPr="00E573E1">
        <w:rPr>
          <w:lang w:val="en-AU"/>
        </w:rPr>
        <w:t>ETHOS and KRONOS e</w:t>
      </w:r>
      <w:r w:rsidR="00E42E75" w:rsidRPr="00E573E1">
        <w:rPr>
          <w:lang w:val="en-AU"/>
        </w:rPr>
        <w:t>ffects on lung function</w:t>
      </w:r>
      <w:r w:rsidR="006E0B9E" w:rsidRPr="00E573E1">
        <w:rPr>
          <w:lang w:val="en-AU"/>
        </w:rPr>
        <w:t xml:space="preserve"> outcomes</w:t>
      </w:r>
      <w:r w:rsidR="00E42E75" w:rsidRPr="00E573E1">
        <w:rPr>
          <w:lang w:val="en-AU"/>
        </w:rPr>
        <w:t xml:space="preserve"> </w:t>
      </w:r>
      <w:r w:rsidR="00386A4A" w:rsidRPr="00E573E1">
        <w:rPr>
          <w:lang w:val="en-AU"/>
        </w:rPr>
        <w:t>(</w:t>
      </w:r>
      <w:proofErr w:type="spellStart"/>
      <w:r w:rsidR="00386A4A" w:rsidRPr="00E573E1">
        <w:rPr>
          <w:lang w:val="en-AU"/>
        </w:rPr>
        <w:t>mITT</w:t>
      </w:r>
      <w:proofErr w:type="spellEnd"/>
      <w:r w:rsidR="00490D6F" w:rsidRPr="00E573E1">
        <w:rPr>
          <w:lang w:val="en-AU"/>
        </w:rPr>
        <w:t xml:space="preserve"> population</w:t>
      </w:r>
      <w:r w:rsidR="0098041A" w:rsidRPr="00E573E1">
        <w:rPr>
          <w:lang w:val="en-AU"/>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838"/>
        <w:gridCol w:w="1418"/>
        <w:gridCol w:w="1559"/>
        <w:gridCol w:w="1417"/>
        <w:gridCol w:w="1560"/>
        <w:gridCol w:w="1846"/>
      </w:tblGrid>
      <w:tr w:rsidR="007974B2" w:rsidRPr="00E573E1" w14:paraId="6AE69510" w14:textId="77777777" w:rsidTr="00212871">
        <w:trPr>
          <w:cantSplit/>
          <w:tblHeader/>
        </w:trPr>
        <w:tc>
          <w:tcPr>
            <w:tcW w:w="1838" w:type="dxa"/>
            <w:vMerge w:val="restart"/>
            <w:shd w:val="clear" w:color="auto" w:fill="auto"/>
            <w:vAlign w:val="bottom"/>
          </w:tcPr>
          <w:p w14:paraId="2E20F387" w14:textId="4750C446" w:rsidR="007974B2" w:rsidRPr="00E573E1" w:rsidRDefault="00212871" w:rsidP="00C11150">
            <w:pPr>
              <w:pStyle w:val="TableHead"/>
              <w:jc w:val="left"/>
              <w:rPr>
                <w:sz w:val="18"/>
                <w:szCs w:val="18"/>
                <w:lang w:val="en-AU"/>
              </w:rPr>
            </w:pPr>
            <w:proofErr w:type="spellStart"/>
            <w:r w:rsidRPr="00E573E1">
              <w:rPr>
                <w:sz w:val="18"/>
                <w:szCs w:val="18"/>
                <w:lang w:val="en-AU"/>
              </w:rPr>
              <w:t>Breztri</w:t>
            </w:r>
            <w:proofErr w:type="spellEnd"/>
            <w:r w:rsidRPr="00E573E1">
              <w:rPr>
                <w:sz w:val="18"/>
                <w:szCs w:val="18"/>
                <w:lang w:val="en-AU"/>
              </w:rPr>
              <w:t>^ 160/7.2/5</w:t>
            </w:r>
            <w:r w:rsidR="007974B2" w:rsidRPr="00E573E1">
              <w:rPr>
                <w:sz w:val="18"/>
                <w:szCs w:val="18"/>
                <w:lang w:val="en-AU"/>
              </w:rPr>
              <w:t xml:space="preserve"> vs treatment</w:t>
            </w:r>
          </w:p>
        </w:tc>
        <w:tc>
          <w:tcPr>
            <w:tcW w:w="2977" w:type="dxa"/>
            <w:gridSpan w:val="2"/>
            <w:shd w:val="clear" w:color="auto" w:fill="auto"/>
          </w:tcPr>
          <w:p w14:paraId="350F5A31" w14:textId="6004F4DE" w:rsidR="007974B2" w:rsidRPr="00E573E1" w:rsidRDefault="007974B2" w:rsidP="00C11150">
            <w:pPr>
              <w:pStyle w:val="TableHead"/>
              <w:jc w:val="left"/>
              <w:rPr>
                <w:sz w:val="18"/>
                <w:szCs w:val="18"/>
                <w:lang w:val="en-AU"/>
              </w:rPr>
            </w:pPr>
            <w:r w:rsidRPr="00E573E1">
              <w:rPr>
                <w:sz w:val="18"/>
                <w:szCs w:val="18"/>
                <w:lang w:val="en-AU"/>
              </w:rPr>
              <w:t>ETHOS</w:t>
            </w:r>
          </w:p>
        </w:tc>
        <w:tc>
          <w:tcPr>
            <w:tcW w:w="4823" w:type="dxa"/>
            <w:gridSpan w:val="3"/>
            <w:shd w:val="clear" w:color="auto" w:fill="auto"/>
          </w:tcPr>
          <w:p w14:paraId="66BFE5FA" w14:textId="79F3B6FF" w:rsidR="007974B2" w:rsidRPr="00E573E1" w:rsidRDefault="007974B2" w:rsidP="00C11150">
            <w:pPr>
              <w:pStyle w:val="TableHead"/>
              <w:jc w:val="left"/>
              <w:rPr>
                <w:sz w:val="18"/>
                <w:szCs w:val="18"/>
                <w:lang w:val="en-AU"/>
              </w:rPr>
            </w:pPr>
            <w:r w:rsidRPr="00E573E1">
              <w:rPr>
                <w:sz w:val="18"/>
                <w:szCs w:val="18"/>
                <w:lang w:val="en-AU"/>
              </w:rPr>
              <w:t>KRONOS</w:t>
            </w:r>
          </w:p>
        </w:tc>
      </w:tr>
      <w:tr w:rsidR="00212871" w:rsidRPr="00E573E1" w14:paraId="589A3114" w14:textId="77777777" w:rsidTr="00212871">
        <w:trPr>
          <w:cantSplit/>
          <w:tblHeader/>
        </w:trPr>
        <w:tc>
          <w:tcPr>
            <w:tcW w:w="1838" w:type="dxa"/>
            <w:vMerge/>
            <w:shd w:val="clear" w:color="auto" w:fill="auto"/>
          </w:tcPr>
          <w:p w14:paraId="523B2580" w14:textId="6CBCD73E" w:rsidR="00212871" w:rsidRPr="00E573E1" w:rsidRDefault="00212871" w:rsidP="00C11150">
            <w:pPr>
              <w:pStyle w:val="TableHead"/>
              <w:jc w:val="left"/>
              <w:rPr>
                <w:sz w:val="18"/>
                <w:szCs w:val="18"/>
                <w:lang w:val="en-AU"/>
              </w:rPr>
            </w:pPr>
          </w:p>
        </w:tc>
        <w:tc>
          <w:tcPr>
            <w:tcW w:w="1418" w:type="dxa"/>
            <w:shd w:val="clear" w:color="auto" w:fill="auto"/>
          </w:tcPr>
          <w:p w14:paraId="421A8840" w14:textId="6865571C" w:rsidR="00212871" w:rsidRPr="00E573E1" w:rsidRDefault="00EB0018" w:rsidP="00C11150">
            <w:pPr>
              <w:pStyle w:val="TableHead"/>
              <w:jc w:val="left"/>
              <w:rPr>
                <w:sz w:val="18"/>
                <w:szCs w:val="18"/>
                <w:lang w:val="en-AU"/>
              </w:rPr>
            </w:pPr>
            <w:r>
              <w:rPr>
                <w:sz w:val="18"/>
                <w:szCs w:val="18"/>
                <w:lang w:val="en-AU"/>
              </w:rPr>
              <w:t>GFF MDI</w:t>
            </w:r>
            <w:r w:rsidR="00212871" w:rsidRPr="00E573E1">
              <w:rPr>
                <w:sz w:val="18"/>
                <w:szCs w:val="18"/>
                <w:lang w:val="en-AU"/>
              </w:rPr>
              <w:t>^ 7.2/5</w:t>
            </w:r>
          </w:p>
        </w:tc>
        <w:tc>
          <w:tcPr>
            <w:tcW w:w="1559" w:type="dxa"/>
            <w:shd w:val="clear" w:color="auto" w:fill="auto"/>
          </w:tcPr>
          <w:p w14:paraId="0EE9D68B" w14:textId="52A9C616" w:rsidR="00212871" w:rsidRPr="00E573E1" w:rsidRDefault="00212871" w:rsidP="00C11150">
            <w:pPr>
              <w:pStyle w:val="TableHead"/>
              <w:jc w:val="left"/>
              <w:rPr>
                <w:sz w:val="18"/>
                <w:szCs w:val="18"/>
                <w:lang w:val="en-AU"/>
              </w:rPr>
            </w:pPr>
            <w:r w:rsidRPr="00E573E1">
              <w:rPr>
                <w:sz w:val="18"/>
                <w:szCs w:val="18"/>
                <w:lang w:val="en-AU"/>
              </w:rPr>
              <w:t>BFF MDI 160/5</w:t>
            </w:r>
          </w:p>
        </w:tc>
        <w:tc>
          <w:tcPr>
            <w:tcW w:w="1417" w:type="dxa"/>
            <w:shd w:val="clear" w:color="auto" w:fill="auto"/>
          </w:tcPr>
          <w:p w14:paraId="3BD85D6D" w14:textId="12CBCB81" w:rsidR="00212871" w:rsidRPr="00E573E1" w:rsidRDefault="00EB0018" w:rsidP="00C11150">
            <w:pPr>
              <w:pStyle w:val="TableHead"/>
              <w:jc w:val="left"/>
              <w:rPr>
                <w:sz w:val="18"/>
                <w:szCs w:val="18"/>
                <w:lang w:val="en-AU"/>
              </w:rPr>
            </w:pPr>
            <w:r>
              <w:rPr>
                <w:sz w:val="18"/>
                <w:szCs w:val="18"/>
                <w:lang w:val="en-AU"/>
              </w:rPr>
              <w:t>GFF MDI</w:t>
            </w:r>
            <w:r w:rsidR="00212871" w:rsidRPr="00E573E1">
              <w:rPr>
                <w:sz w:val="18"/>
                <w:szCs w:val="18"/>
                <w:lang w:val="en-AU"/>
              </w:rPr>
              <w:t>^ 7.2/5</w:t>
            </w:r>
          </w:p>
        </w:tc>
        <w:tc>
          <w:tcPr>
            <w:tcW w:w="1560" w:type="dxa"/>
            <w:shd w:val="clear" w:color="auto" w:fill="auto"/>
          </w:tcPr>
          <w:p w14:paraId="7684EAA6" w14:textId="478D6CD8" w:rsidR="00212871" w:rsidRPr="00E573E1" w:rsidRDefault="00212871" w:rsidP="00C11150">
            <w:pPr>
              <w:pStyle w:val="TableHead"/>
              <w:jc w:val="left"/>
              <w:rPr>
                <w:sz w:val="18"/>
                <w:szCs w:val="18"/>
                <w:lang w:val="en-AU"/>
              </w:rPr>
            </w:pPr>
            <w:r w:rsidRPr="00E573E1">
              <w:rPr>
                <w:sz w:val="18"/>
                <w:szCs w:val="18"/>
                <w:lang w:val="en-AU"/>
              </w:rPr>
              <w:t>BFF MDI 160/5</w:t>
            </w:r>
          </w:p>
        </w:tc>
        <w:tc>
          <w:tcPr>
            <w:tcW w:w="1846" w:type="dxa"/>
            <w:shd w:val="clear" w:color="auto" w:fill="auto"/>
          </w:tcPr>
          <w:p w14:paraId="642ACA27" w14:textId="2F4AD0C8" w:rsidR="00212871" w:rsidRPr="00E573E1" w:rsidRDefault="009E47A1" w:rsidP="00C11150">
            <w:pPr>
              <w:pStyle w:val="TableHead"/>
              <w:jc w:val="left"/>
              <w:rPr>
                <w:sz w:val="18"/>
                <w:szCs w:val="18"/>
                <w:lang w:val="en-AU"/>
              </w:rPr>
            </w:pPr>
            <w:r>
              <w:rPr>
                <w:sz w:val="18"/>
                <w:szCs w:val="18"/>
                <w:lang w:val="en-AU"/>
              </w:rPr>
              <w:t>BFF</w:t>
            </w:r>
            <w:r w:rsidR="00212871" w:rsidRPr="00E573E1">
              <w:rPr>
                <w:sz w:val="18"/>
                <w:szCs w:val="18"/>
                <w:lang w:val="en-AU"/>
              </w:rPr>
              <w:t>^^</w:t>
            </w:r>
            <w:r w:rsidR="009723F7" w:rsidRPr="00E573E1">
              <w:rPr>
                <w:sz w:val="18"/>
                <w:szCs w:val="18"/>
                <w:lang w:val="en-AU"/>
              </w:rPr>
              <w:t xml:space="preserve"> 200/6</w:t>
            </w:r>
          </w:p>
        </w:tc>
      </w:tr>
      <w:tr w:rsidR="006E0B9E" w:rsidRPr="00E573E1" w14:paraId="03FD1BF9" w14:textId="77777777" w:rsidTr="004A06B8">
        <w:trPr>
          <w:cantSplit/>
        </w:trPr>
        <w:tc>
          <w:tcPr>
            <w:tcW w:w="9638" w:type="dxa"/>
            <w:gridSpan w:val="6"/>
            <w:shd w:val="clear" w:color="auto" w:fill="auto"/>
          </w:tcPr>
          <w:p w14:paraId="57662097" w14:textId="72CC00EE" w:rsidR="006E0B9E" w:rsidRPr="00E573E1" w:rsidRDefault="006E0B9E" w:rsidP="00C11150">
            <w:pPr>
              <w:pStyle w:val="TableCenter"/>
              <w:jc w:val="left"/>
              <w:rPr>
                <w:sz w:val="18"/>
                <w:lang w:val="en-AU"/>
              </w:rPr>
            </w:pPr>
            <w:r w:rsidRPr="00E573E1">
              <w:rPr>
                <w:b/>
                <w:sz w:val="18"/>
                <w:szCs w:val="18"/>
                <w:lang w:val="en-AU"/>
              </w:rPr>
              <w:t>Change from baseline over 24 weeks (LSM difference (95% CI); p value)</w:t>
            </w:r>
          </w:p>
        </w:tc>
      </w:tr>
      <w:tr w:rsidR="00E42E75" w:rsidRPr="00E573E1" w14:paraId="418285BC" w14:textId="77777777" w:rsidTr="00EF69AE">
        <w:trPr>
          <w:cantSplit/>
        </w:trPr>
        <w:tc>
          <w:tcPr>
            <w:tcW w:w="1838" w:type="dxa"/>
            <w:shd w:val="clear" w:color="auto" w:fill="auto"/>
          </w:tcPr>
          <w:p w14:paraId="2E59B039" w14:textId="2E6E04ED" w:rsidR="00E42E75" w:rsidRPr="00E573E1" w:rsidRDefault="0098041A" w:rsidP="00C11150">
            <w:pPr>
              <w:pStyle w:val="TableLeft"/>
              <w:rPr>
                <w:sz w:val="18"/>
                <w:szCs w:val="18"/>
                <w:lang w:val="en-AU"/>
              </w:rPr>
            </w:pPr>
            <w:r w:rsidRPr="00E573E1">
              <w:rPr>
                <w:sz w:val="18"/>
                <w:szCs w:val="18"/>
                <w:lang w:val="en-AU"/>
              </w:rPr>
              <w:t>Morning pre</w:t>
            </w:r>
            <w:r w:rsidR="00AC677C" w:rsidRPr="00E573E1">
              <w:rPr>
                <w:sz w:val="18"/>
                <w:szCs w:val="18"/>
                <w:lang w:val="en-AU"/>
              </w:rPr>
              <w:t>-</w:t>
            </w:r>
            <w:r w:rsidRPr="00E573E1">
              <w:rPr>
                <w:sz w:val="18"/>
                <w:szCs w:val="18"/>
                <w:lang w:val="en-AU"/>
              </w:rPr>
              <w:t>dose t</w:t>
            </w:r>
            <w:r w:rsidR="00E42E75" w:rsidRPr="00E573E1">
              <w:rPr>
                <w:sz w:val="18"/>
                <w:szCs w:val="18"/>
                <w:lang w:val="en-AU"/>
              </w:rPr>
              <w:t>rough FEV</w:t>
            </w:r>
            <w:r w:rsidR="00E42E75" w:rsidRPr="00E573E1">
              <w:rPr>
                <w:sz w:val="18"/>
                <w:szCs w:val="18"/>
                <w:vertAlign w:val="subscript"/>
                <w:lang w:val="en-AU"/>
              </w:rPr>
              <w:t>1</w:t>
            </w:r>
            <w:r w:rsidR="00970574" w:rsidRPr="00E573E1">
              <w:rPr>
                <w:sz w:val="18"/>
                <w:szCs w:val="18"/>
                <w:vertAlign w:val="subscript"/>
                <w:lang w:val="en-AU"/>
              </w:rPr>
              <w:t xml:space="preserve"> </w:t>
            </w:r>
            <w:r w:rsidR="00970574" w:rsidRPr="00E573E1">
              <w:rPr>
                <w:sz w:val="18"/>
                <w:szCs w:val="18"/>
                <w:lang w:val="en-AU"/>
              </w:rPr>
              <w:t>(mL)</w:t>
            </w:r>
            <w:r w:rsidR="00564528" w:rsidRPr="00E573E1">
              <w:rPr>
                <w:sz w:val="18"/>
                <w:szCs w:val="18"/>
                <w:vertAlign w:val="superscript"/>
                <w:lang w:val="en-AU"/>
              </w:rPr>
              <w:t>a</w:t>
            </w:r>
          </w:p>
        </w:tc>
        <w:tc>
          <w:tcPr>
            <w:tcW w:w="1418" w:type="dxa"/>
            <w:shd w:val="clear" w:color="auto" w:fill="auto"/>
          </w:tcPr>
          <w:p w14:paraId="3F0E795D" w14:textId="1268C4BC" w:rsidR="00E42E75" w:rsidRPr="00E573E1" w:rsidRDefault="00E42E75" w:rsidP="00C11150">
            <w:pPr>
              <w:pStyle w:val="TableCenter"/>
              <w:jc w:val="left"/>
              <w:rPr>
                <w:sz w:val="18"/>
                <w:lang w:val="en-AU"/>
              </w:rPr>
            </w:pPr>
            <w:r w:rsidRPr="00E573E1">
              <w:rPr>
                <w:sz w:val="18"/>
                <w:lang w:val="en-AU"/>
              </w:rPr>
              <w:t>43 (25, 60)</w:t>
            </w:r>
          </w:p>
          <w:p w14:paraId="41CA3A06" w14:textId="47F3058D" w:rsidR="00E42E75" w:rsidRPr="00E573E1" w:rsidRDefault="00E42E75" w:rsidP="00C11150">
            <w:pPr>
              <w:pStyle w:val="TableCenter"/>
              <w:jc w:val="left"/>
              <w:rPr>
                <w:sz w:val="18"/>
                <w:szCs w:val="18"/>
                <w:lang w:val="en-AU"/>
              </w:rPr>
            </w:pPr>
            <w:r w:rsidRPr="00E573E1">
              <w:rPr>
                <w:sz w:val="18"/>
                <w:lang w:val="en-AU"/>
              </w:rPr>
              <w:t>p&lt;0.0001</w:t>
            </w:r>
          </w:p>
        </w:tc>
        <w:tc>
          <w:tcPr>
            <w:tcW w:w="1559" w:type="dxa"/>
            <w:shd w:val="clear" w:color="auto" w:fill="auto"/>
          </w:tcPr>
          <w:p w14:paraId="64F2229B" w14:textId="6278604A" w:rsidR="00E42E75" w:rsidRPr="00E573E1" w:rsidRDefault="00E42E75" w:rsidP="00C11150">
            <w:pPr>
              <w:pStyle w:val="TableCenter"/>
              <w:jc w:val="left"/>
              <w:rPr>
                <w:sz w:val="18"/>
                <w:lang w:val="en-AU"/>
              </w:rPr>
            </w:pPr>
            <w:r w:rsidRPr="00E573E1">
              <w:rPr>
                <w:sz w:val="18"/>
                <w:lang w:val="en-AU"/>
              </w:rPr>
              <w:t>76 (58, 94)</w:t>
            </w:r>
          </w:p>
          <w:p w14:paraId="0620BE51" w14:textId="5128BA74" w:rsidR="00E42E75" w:rsidRPr="00E573E1" w:rsidRDefault="00E42E75" w:rsidP="00C11150">
            <w:pPr>
              <w:pStyle w:val="TableCenter"/>
              <w:jc w:val="left"/>
              <w:rPr>
                <w:sz w:val="18"/>
                <w:szCs w:val="18"/>
                <w:lang w:val="en-AU"/>
              </w:rPr>
            </w:pPr>
            <w:r w:rsidRPr="00E573E1">
              <w:rPr>
                <w:sz w:val="18"/>
                <w:lang w:val="en-AU"/>
              </w:rPr>
              <w:t>p&lt;0.0001</w:t>
            </w:r>
            <w:r w:rsidR="00AB07EC" w:rsidRPr="00E573E1">
              <w:rPr>
                <w:sz w:val="18"/>
                <w:lang w:val="en-AU"/>
              </w:rPr>
              <w:t>*</w:t>
            </w:r>
          </w:p>
        </w:tc>
        <w:tc>
          <w:tcPr>
            <w:tcW w:w="1417" w:type="dxa"/>
            <w:shd w:val="clear" w:color="auto" w:fill="auto"/>
          </w:tcPr>
          <w:p w14:paraId="0253723F" w14:textId="5488D064" w:rsidR="00E42E75" w:rsidRPr="00E573E1" w:rsidRDefault="00E42E75" w:rsidP="00C11150">
            <w:pPr>
              <w:pStyle w:val="TableCenter"/>
              <w:jc w:val="left"/>
              <w:rPr>
                <w:sz w:val="18"/>
                <w:lang w:val="en-AU"/>
              </w:rPr>
            </w:pPr>
            <w:r w:rsidRPr="00E573E1">
              <w:rPr>
                <w:sz w:val="18"/>
                <w:lang w:val="en-AU"/>
              </w:rPr>
              <w:t>22 (4, 39)</w:t>
            </w:r>
          </w:p>
          <w:p w14:paraId="3131DD81" w14:textId="2285D1E1" w:rsidR="00E42E75" w:rsidRPr="00E573E1" w:rsidRDefault="00E42E75" w:rsidP="00C11150">
            <w:pPr>
              <w:pStyle w:val="TableCenter"/>
              <w:jc w:val="left"/>
              <w:rPr>
                <w:sz w:val="18"/>
                <w:szCs w:val="18"/>
                <w:lang w:val="en-AU"/>
              </w:rPr>
            </w:pPr>
            <w:r w:rsidRPr="00E573E1">
              <w:rPr>
                <w:sz w:val="18"/>
                <w:lang w:val="en-AU"/>
              </w:rPr>
              <w:t>p=0.0139</w:t>
            </w:r>
          </w:p>
        </w:tc>
        <w:tc>
          <w:tcPr>
            <w:tcW w:w="1560" w:type="dxa"/>
            <w:shd w:val="clear" w:color="auto" w:fill="auto"/>
          </w:tcPr>
          <w:p w14:paraId="35271A40" w14:textId="1FAF6A97" w:rsidR="00E42E75" w:rsidRPr="00E573E1" w:rsidRDefault="00E42E75" w:rsidP="00C11150">
            <w:pPr>
              <w:pStyle w:val="TableCenter"/>
              <w:jc w:val="left"/>
              <w:rPr>
                <w:sz w:val="18"/>
                <w:lang w:val="en-AU"/>
              </w:rPr>
            </w:pPr>
            <w:r w:rsidRPr="00E573E1">
              <w:rPr>
                <w:sz w:val="18"/>
                <w:lang w:val="en-AU"/>
              </w:rPr>
              <w:t>74 (52, 95)</w:t>
            </w:r>
          </w:p>
          <w:p w14:paraId="610B5A8E" w14:textId="02D16122" w:rsidR="00E42E75" w:rsidRPr="00E573E1" w:rsidRDefault="00E42E75" w:rsidP="00C11150">
            <w:pPr>
              <w:pStyle w:val="TableCenter"/>
              <w:jc w:val="left"/>
              <w:rPr>
                <w:sz w:val="18"/>
                <w:szCs w:val="18"/>
                <w:lang w:val="en-AU"/>
              </w:rPr>
            </w:pPr>
            <w:r w:rsidRPr="00E573E1">
              <w:rPr>
                <w:sz w:val="18"/>
                <w:lang w:val="en-AU"/>
              </w:rPr>
              <w:t>p&lt;0.0001</w:t>
            </w:r>
          </w:p>
        </w:tc>
        <w:tc>
          <w:tcPr>
            <w:tcW w:w="1846" w:type="dxa"/>
            <w:shd w:val="clear" w:color="auto" w:fill="auto"/>
          </w:tcPr>
          <w:p w14:paraId="43EBDD2B" w14:textId="2798E9AA" w:rsidR="00E42E75" w:rsidRPr="00E573E1" w:rsidRDefault="00E42E75" w:rsidP="00C11150">
            <w:pPr>
              <w:pStyle w:val="TableCenter"/>
              <w:jc w:val="left"/>
              <w:rPr>
                <w:sz w:val="18"/>
                <w:lang w:val="en-AU"/>
              </w:rPr>
            </w:pPr>
            <w:r w:rsidRPr="00E573E1">
              <w:rPr>
                <w:sz w:val="18"/>
                <w:lang w:val="en-AU"/>
              </w:rPr>
              <w:t>59 (38, 80)</w:t>
            </w:r>
          </w:p>
          <w:p w14:paraId="0B9DD860" w14:textId="35881843" w:rsidR="00E42E75" w:rsidRPr="00E573E1" w:rsidRDefault="00E42E75" w:rsidP="00C11150">
            <w:pPr>
              <w:pStyle w:val="TableCenter"/>
              <w:jc w:val="left"/>
              <w:rPr>
                <w:sz w:val="18"/>
                <w:szCs w:val="18"/>
                <w:lang w:val="en-AU"/>
              </w:rPr>
            </w:pPr>
            <w:r w:rsidRPr="00E573E1">
              <w:rPr>
                <w:sz w:val="18"/>
                <w:lang w:val="en-AU"/>
              </w:rPr>
              <w:t>p&lt;0.0001</w:t>
            </w:r>
          </w:p>
        </w:tc>
      </w:tr>
      <w:tr w:rsidR="00E42E75" w:rsidRPr="00E573E1" w14:paraId="6288F2C8" w14:textId="77777777" w:rsidTr="00EF69AE">
        <w:trPr>
          <w:cantSplit/>
        </w:trPr>
        <w:tc>
          <w:tcPr>
            <w:tcW w:w="1838" w:type="dxa"/>
            <w:shd w:val="clear" w:color="auto" w:fill="auto"/>
          </w:tcPr>
          <w:p w14:paraId="4751533D" w14:textId="3A1DA44B" w:rsidR="00E42E75" w:rsidRPr="00E573E1" w:rsidRDefault="00E42E75" w:rsidP="00C11150">
            <w:pPr>
              <w:pStyle w:val="TableLeft"/>
              <w:rPr>
                <w:sz w:val="18"/>
                <w:szCs w:val="18"/>
                <w:lang w:val="en-AU"/>
              </w:rPr>
            </w:pPr>
            <w:r w:rsidRPr="00E573E1">
              <w:rPr>
                <w:sz w:val="18"/>
                <w:szCs w:val="18"/>
                <w:lang w:val="en-AU"/>
              </w:rPr>
              <w:t>FEV</w:t>
            </w:r>
            <w:r w:rsidRPr="00E573E1">
              <w:rPr>
                <w:sz w:val="18"/>
                <w:szCs w:val="18"/>
                <w:vertAlign w:val="subscript"/>
                <w:lang w:val="en-AU"/>
              </w:rPr>
              <w:t xml:space="preserve">1 </w:t>
            </w:r>
            <w:r w:rsidRPr="00E573E1">
              <w:rPr>
                <w:sz w:val="18"/>
                <w:szCs w:val="18"/>
                <w:lang w:val="en-AU"/>
              </w:rPr>
              <w:t>AUC</w:t>
            </w:r>
            <w:r w:rsidRPr="00E573E1">
              <w:rPr>
                <w:sz w:val="18"/>
                <w:szCs w:val="18"/>
                <w:vertAlign w:val="subscript"/>
                <w:lang w:val="en-AU"/>
              </w:rPr>
              <w:t>0-4</w:t>
            </w:r>
            <w:r w:rsidR="00970574" w:rsidRPr="00E573E1">
              <w:rPr>
                <w:sz w:val="18"/>
                <w:szCs w:val="18"/>
                <w:vertAlign w:val="subscript"/>
                <w:lang w:val="en-AU"/>
              </w:rPr>
              <w:t xml:space="preserve"> </w:t>
            </w:r>
            <w:r w:rsidR="00970574" w:rsidRPr="00E573E1">
              <w:rPr>
                <w:sz w:val="18"/>
                <w:szCs w:val="18"/>
                <w:lang w:val="en-AU"/>
              </w:rPr>
              <w:t>(mL)</w:t>
            </w:r>
            <w:r w:rsidR="004C300D" w:rsidRPr="00E573E1">
              <w:rPr>
                <w:sz w:val="18"/>
                <w:szCs w:val="18"/>
                <w:vertAlign w:val="superscript"/>
                <w:lang w:val="en-AU"/>
              </w:rPr>
              <w:t>a</w:t>
            </w:r>
          </w:p>
        </w:tc>
        <w:tc>
          <w:tcPr>
            <w:tcW w:w="1418" w:type="dxa"/>
            <w:shd w:val="clear" w:color="auto" w:fill="auto"/>
          </w:tcPr>
          <w:p w14:paraId="2059B5EB" w14:textId="7BCB386F" w:rsidR="00E42E75" w:rsidRPr="00E573E1" w:rsidRDefault="00E42E75" w:rsidP="00C11150">
            <w:pPr>
              <w:pStyle w:val="TableCenter"/>
              <w:jc w:val="left"/>
              <w:rPr>
                <w:sz w:val="18"/>
                <w:lang w:val="en-AU"/>
              </w:rPr>
            </w:pPr>
            <w:r w:rsidRPr="00E573E1">
              <w:rPr>
                <w:sz w:val="18"/>
                <w:lang w:val="en-AU"/>
              </w:rPr>
              <w:t>49 (31, 66)</w:t>
            </w:r>
          </w:p>
          <w:p w14:paraId="15F3321D" w14:textId="4117A40D" w:rsidR="00E42E75" w:rsidRPr="00E573E1" w:rsidRDefault="00E42E75" w:rsidP="00C11150">
            <w:pPr>
              <w:pStyle w:val="TableCenter"/>
              <w:jc w:val="left"/>
              <w:rPr>
                <w:sz w:val="18"/>
                <w:szCs w:val="18"/>
                <w:lang w:val="en-AU"/>
              </w:rPr>
            </w:pPr>
            <w:r w:rsidRPr="00E573E1">
              <w:rPr>
                <w:sz w:val="18"/>
                <w:lang w:val="en-AU"/>
              </w:rPr>
              <w:t>p&lt;0.0001</w:t>
            </w:r>
            <w:r w:rsidR="00AB07EC" w:rsidRPr="00E573E1">
              <w:rPr>
                <w:sz w:val="18"/>
                <w:vertAlign w:val="superscript"/>
                <w:lang w:val="en-AU"/>
              </w:rPr>
              <w:t>*</w:t>
            </w:r>
          </w:p>
        </w:tc>
        <w:tc>
          <w:tcPr>
            <w:tcW w:w="1559" w:type="dxa"/>
            <w:shd w:val="clear" w:color="auto" w:fill="auto"/>
          </w:tcPr>
          <w:p w14:paraId="47ABAF9C" w14:textId="3CFC2685" w:rsidR="00E42E75" w:rsidRPr="00E573E1" w:rsidRDefault="00E42E75" w:rsidP="00C11150">
            <w:pPr>
              <w:pStyle w:val="TableCenter"/>
              <w:jc w:val="left"/>
              <w:rPr>
                <w:sz w:val="18"/>
                <w:lang w:val="en-AU"/>
              </w:rPr>
            </w:pPr>
            <w:r w:rsidRPr="00E573E1">
              <w:rPr>
                <w:sz w:val="18"/>
                <w:lang w:val="en-AU"/>
              </w:rPr>
              <w:t>99 (82, 117)</w:t>
            </w:r>
          </w:p>
          <w:p w14:paraId="2DD64C0B" w14:textId="42FD4BCF" w:rsidR="00E42E75" w:rsidRPr="00E573E1" w:rsidRDefault="00E42E75" w:rsidP="00C11150">
            <w:pPr>
              <w:pStyle w:val="TableCenter"/>
              <w:jc w:val="left"/>
              <w:rPr>
                <w:sz w:val="18"/>
                <w:szCs w:val="18"/>
                <w:lang w:val="en-AU"/>
              </w:rPr>
            </w:pPr>
            <w:r w:rsidRPr="00E573E1">
              <w:rPr>
                <w:sz w:val="18"/>
                <w:lang w:val="en-AU"/>
              </w:rPr>
              <w:t>p&lt;0.0001</w:t>
            </w:r>
          </w:p>
        </w:tc>
        <w:tc>
          <w:tcPr>
            <w:tcW w:w="1417" w:type="dxa"/>
            <w:shd w:val="clear" w:color="auto" w:fill="auto"/>
          </w:tcPr>
          <w:p w14:paraId="5AB0225B" w14:textId="70DC118B" w:rsidR="00E42E75" w:rsidRPr="00E573E1" w:rsidRDefault="00E42E75" w:rsidP="00C11150">
            <w:pPr>
              <w:pStyle w:val="TableCenter"/>
              <w:jc w:val="left"/>
              <w:rPr>
                <w:sz w:val="18"/>
                <w:lang w:val="en-AU"/>
              </w:rPr>
            </w:pPr>
            <w:r w:rsidRPr="00E573E1">
              <w:rPr>
                <w:sz w:val="18"/>
                <w:lang w:val="en-AU"/>
              </w:rPr>
              <w:t>16 (-6, 38)</w:t>
            </w:r>
          </w:p>
          <w:p w14:paraId="112FFCBE" w14:textId="3222D746" w:rsidR="00E42E75" w:rsidRPr="00E573E1" w:rsidRDefault="00E42E75" w:rsidP="00C11150">
            <w:pPr>
              <w:pStyle w:val="TableCenter"/>
              <w:jc w:val="left"/>
              <w:rPr>
                <w:sz w:val="18"/>
                <w:szCs w:val="18"/>
                <w:lang w:val="en-AU"/>
              </w:rPr>
            </w:pPr>
            <w:r w:rsidRPr="00E573E1">
              <w:rPr>
                <w:sz w:val="18"/>
                <w:lang w:val="en-AU"/>
              </w:rPr>
              <w:t>p=0.1448</w:t>
            </w:r>
          </w:p>
        </w:tc>
        <w:tc>
          <w:tcPr>
            <w:tcW w:w="1560" w:type="dxa"/>
            <w:shd w:val="clear" w:color="auto" w:fill="auto"/>
          </w:tcPr>
          <w:p w14:paraId="7DA96694" w14:textId="628D67C8" w:rsidR="00E42E75" w:rsidRPr="00E573E1" w:rsidRDefault="00E42E75" w:rsidP="00C11150">
            <w:pPr>
              <w:pStyle w:val="TableCenter"/>
              <w:jc w:val="left"/>
              <w:rPr>
                <w:sz w:val="18"/>
                <w:lang w:val="en-AU"/>
              </w:rPr>
            </w:pPr>
            <w:r w:rsidRPr="00E573E1">
              <w:rPr>
                <w:sz w:val="18"/>
                <w:lang w:val="en-AU"/>
              </w:rPr>
              <w:t>104 (77, 131)</w:t>
            </w:r>
          </w:p>
          <w:p w14:paraId="78FFC815" w14:textId="0A5209D0" w:rsidR="00E42E75" w:rsidRPr="00E573E1" w:rsidRDefault="00E42E75" w:rsidP="00C11150">
            <w:pPr>
              <w:pStyle w:val="TableCenter"/>
              <w:jc w:val="left"/>
              <w:rPr>
                <w:sz w:val="18"/>
                <w:szCs w:val="18"/>
                <w:lang w:val="en-AU"/>
              </w:rPr>
            </w:pPr>
            <w:r w:rsidRPr="00E573E1">
              <w:rPr>
                <w:sz w:val="18"/>
                <w:lang w:val="en-AU"/>
              </w:rPr>
              <w:t>p&lt;0.0001</w:t>
            </w:r>
          </w:p>
        </w:tc>
        <w:tc>
          <w:tcPr>
            <w:tcW w:w="1846" w:type="dxa"/>
            <w:shd w:val="clear" w:color="auto" w:fill="auto"/>
          </w:tcPr>
          <w:p w14:paraId="00CEAF43" w14:textId="1946E4AB" w:rsidR="00E42E75" w:rsidRPr="00E573E1" w:rsidRDefault="00E42E75" w:rsidP="00C11150">
            <w:pPr>
              <w:pStyle w:val="TableCenter"/>
              <w:jc w:val="left"/>
              <w:rPr>
                <w:sz w:val="18"/>
                <w:lang w:val="en-AU"/>
              </w:rPr>
            </w:pPr>
            <w:r w:rsidRPr="00E573E1">
              <w:rPr>
                <w:sz w:val="18"/>
                <w:lang w:val="en-AU"/>
              </w:rPr>
              <w:t>91 (64, 117)</w:t>
            </w:r>
          </w:p>
          <w:p w14:paraId="07ABBD47" w14:textId="084F1A3A" w:rsidR="00E42E75" w:rsidRPr="00E573E1" w:rsidRDefault="00E42E75" w:rsidP="00C11150">
            <w:pPr>
              <w:pStyle w:val="TableCenter"/>
              <w:jc w:val="left"/>
              <w:rPr>
                <w:sz w:val="18"/>
                <w:szCs w:val="18"/>
                <w:lang w:val="en-AU"/>
              </w:rPr>
            </w:pPr>
            <w:r w:rsidRPr="00E573E1">
              <w:rPr>
                <w:sz w:val="18"/>
                <w:lang w:val="en-AU"/>
              </w:rPr>
              <w:t>p&lt;0.0001</w:t>
            </w:r>
          </w:p>
        </w:tc>
      </w:tr>
      <w:tr w:rsidR="00E42E75" w:rsidRPr="00E573E1" w14:paraId="0D0351F4" w14:textId="77777777" w:rsidTr="00EF69AE">
        <w:trPr>
          <w:cantSplit/>
        </w:trPr>
        <w:tc>
          <w:tcPr>
            <w:tcW w:w="1838" w:type="dxa"/>
            <w:shd w:val="clear" w:color="auto" w:fill="auto"/>
          </w:tcPr>
          <w:p w14:paraId="3AD6C004" w14:textId="3DE63F7F" w:rsidR="00E42E75" w:rsidRPr="00E573E1" w:rsidRDefault="00E42E75" w:rsidP="00C11150">
            <w:pPr>
              <w:pStyle w:val="TableLeft"/>
              <w:rPr>
                <w:sz w:val="18"/>
                <w:szCs w:val="18"/>
                <w:lang w:val="en-AU"/>
              </w:rPr>
            </w:pPr>
            <w:r w:rsidRPr="00E573E1">
              <w:rPr>
                <w:sz w:val="18"/>
                <w:szCs w:val="18"/>
                <w:lang w:val="en-AU"/>
              </w:rPr>
              <w:t>Peak FEV</w:t>
            </w:r>
            <w:r w:rsidRPr="00E573E1">
              <w:rPr>
                <w:sz w:val="18"/>
                <w:szCs w:val="18"/>
                <w:vertAlign w:val="subscript"/>
                <w:lang w:val="en-AU"/>
              </w:rPr>
              <w:t>1</w:t>
            </w:r>
            <w:r w:rsidR="00AC677C" w:rsidRPr="00E573E1">
              <w:rPr>
                <w:sz w:val="18"/>
                <w:szCs w:val="18"/>
                <w:vertAlign w:val="subscript"/>
                <w:lang w:val="en-AU"/>
              </w:rPr>
              <w:t xml:space="preserve"> </w:t>
            </w:r>
            <w:r w:rsidR="00AC677C" w:rsidRPr="00E573E1">
              <w:rPr>
                <w:sz w:val="18"/>
                <w:szCs w:val="18"/>
                <w:lang w:val="en-AU"/>
              </w:rPr>
              <w:t>within 4 hours post-dose</w:t>
            </w:r>
            <w:r w:rsidR="00970574" w:rsidRPr="00E573E1">
              <w:rPr>
                <w:sz w:val="18"/>
                <w:szCs w:val="18"/>
                <w:lang w:val="en-AU"/>
              </w:rPr>
              <w:t xml:space="preserve"> (mL)</w:t>
            </w:r>
            <w:r w:rsidR="004C300D" w:rsidRPr="00E573E1">
              <w:rPr>
                <w:sz w:val="18"/>
                <w:szCs w:val="18"/>
                <w:vertAlign w:val="superscript"/>
                <w:lang w:val="en-AU"/>
              </w:rPr>
              <w:t>b</w:t>
            </w:r>
          </w:p>
        </w:tc>
        <w:tc>
          <w:tcPr>
            <w:tcW w:w="1418" w:type="dxa"/>
            <w:shd w:val="clear" w:color="auto" w:fill="auto"/>
          </w:tcPr>
          <w:p w14:paraId="26A3663B" w14:textId="1202B4B1" w:rsidR="00E42E75" w:rsidRPr="00E573E1" w:rsidRDefault="00E42E75" w:rsidP="00C11150">
            <w:pPr>
              <w:pStyle w:val="TableCenter"/>
              <w:jc w:val="left"/>
              <w:rPr>
                <w:sz w:val="18"/>
                <w:lang w:val="en-AU"/>
              </w:rPr>
            </w:pPr>
            <w:r w:rsidRPr="00E573E1">
              <w:rPr>
                <w:sz w:val="18"/>
                <w:lang w:val="en-AU"/>
              </w:rPr>
              <w:t>51 (33, 69)</w:t>
            </w:r>
          </w:p>
          <w:p w14:paraId="5B913FBB" w14:textId="5DADD63F" w:rsidR="00E42E75" w:rsidRPr="00E573E1" w:rsidRDefault="00E42E75" w:rsidP="00C11150">
            <w:pPr>
              <w:pStyle w:val="TableCenter"/>
              <w:jc w:val="left"/>
              <w:rPr>
                <w:sz w:val="18"/>
                <w:szCs w:val="18"/>
                <w:lang w:val="en-AU"/>
              </w:rPr>
            </w:pPr>
            <w:r w:rsidRPr="00E573E1">
              <w:rPr>
                <w:sz w:val="18"/>
                <w:lang w:val="en-AU"/>
              </w:rPr>
              <w:t>p&lt;0.0001</w:t>
            </w:r>
            <w:r w:rsidR="00AB07EC" w:rsidRPr="00E573E1">
              <w:rPr>
                <w:sz w:val="18"/>
                <w:lang w:val="en-AU"/>
              </w:rPr>
              <w:t>*</w:t>
            </w:r>
          </w:p>
        </w:tc>
        <w:tc>
          <w:tcPr>
            <w:tcW w:w="1559" w:type="dxa"/>
            <w:shd w:val="clear" w:color="auto" w:fill="auto"/>
          </w:tcPr>
          <w:p w14:paraId="383E9710" w14:textId="6EB9F5EF" w:rsidR="00E42E75" w:rsidRPr="00E573E1" w:rsidRDefault="00E42E75" w:rsidP="00C11150">
            <w:pPr>
              <w:pStyle w:val="TableCenter"/>
              <w:jc w:val="left"/>
              <w:rPr>
                <w:sz w:val="18"/>
                <w:lang w:val="en-AU"/>
              </w:rPr>
            </w:pPr>
            <w:r w:rsidRPr="00E573E1">
              <w:rPr>
                <w:sz w:val="18"/>
                <w:lang w:val="en-AU"/>
              </w:rPr>
              <w:t>104 (86, 123)</w:t>
            </w:r>
          </w:p>
          <w:p w14:paraId="6E46C073" w14:textId="71010B0C" w:rsidR="00E42E75" w:rsidRPr="00E573E1" w:rsidRDefault="00E42E75" w:rsidP="00C11150">
            <w:pPr>
              <w:pStyle w:val="TableCenter"/>
              <w:jc w:val="left"/>
              <w:rPr>
                <w:sz w:val="18"/>
                <w:szCs w:val="18"/>
                <w:lang w:val="en-AU"/>
              </w:rPr>
            </w:pPr>
            <w:r w:rsidRPr="00E573E1">
              <w:rPr>
                <w:sz w:val="18"/>
                <w:lang w:val="en-AU"/>
              </w:rPr>
              <w:t>p&lt;0.0001</w:t>
            </w:r>
            <w:r w:rsidR="00AB07EC" w:rsidRPr="00E573E1">
              <w:rPr>
                <w:sz w:val="18"/>
                <w:lang w:val="en-AU"/>
              </w:rPr>
              <w:t>*</w:t>
            </w:r>
          </w:p>
        </w:tc>
        <w:tc>
          <w:tcPr>
            <w:tcW w:w="1417" w:type="dxa"/>
            <w:shd w:val="clear" w:color="auto" w:fill="auto"/>
          </w:tcPr>
          <w:p w14:paraId="24720646" w14:textId="53E5E042" w:rsidR="00E42E75" w:rsidRPr="00E573E1" w:rsidRDefault="00E42E75" w:rsidP="00C11150">
            <w:pPr>
              <w:pStyle w:val="TableCenter"/>
              <w:jc w:val="left"/>
              <w:rPr>
                <w:sz w:val="18"/>
                <w:lang w:val="en-AU"/>
              </w:rPr>
            </w:pPr>
            <w:r w:rsidRPr="00E573E1">
              <w:rPr>
                <w:sz w:val="18"/>
                <w:lang w:val="en-AU"/>
              </w:rPr>
              <w:t>17 (-6, 40)</w:t>
            </w:r>
          </w:p>
          <w:p w14:paraId="2B51DB9D" w14:textId="456776A8" w:rsidR="00E42E75" w:rsidRPr="00E573E1" w:rsidRDefault="00E42E75" w:rsidP="00C11150">
            <w:pPr>
              <w:pStyle w:val="TableCenter"/>
              <w:jc w:val="left"/>
              <w:rPr>
                <w:sz w:val="18"/>
                <w:szCs w:val="18"/>
                <w:lang w:val="en-AU"/>
              </w:rPr>
            </w:pPr>
            <w:r w:rsidRPr="00E573E1">
              <w:rPr>
                <w:sz w:val="18"/>
                <w:lang w:val="en-AU"/>
              </w:rPr>
              <w:t>p=0.1425</w:t>
            </w:r>
          </w:p>
        </w:tc>
        <w:tc>
          <w:tcPr>
            <w:tcW w:w="1560" w:type="dxa"/>
            <w:shd w:val="clear" w:color="auto" w:fill="auto"/>
          </w:tcPr>
          <w:p w14:paraId="2D3FF2F5" w14:textId="3048EB30" w:rsidR="00E42E75" w:rsidRPr="00E573E1" w:rsidRDefault="00E42E75" w:rsidP="00C11150">
            <w:pPr>
              <w:pStyle w:val="TableCenter"/>
              <w:jc w:val="left"/>
              <w:rPr>
                <w:sz w:val="18"/>
                <w:lang w:val="en-AU"/>
              </w:rPr>
            </w:pPr>
            <w:r w:rsidRPr="00E573E1">
              <w:rPr>
                <w:sz w:val="18"/>
                <w:lang w:val="en-AU"/>
              </w:rPr>
              <w:t>105 (78, 133)</w:t>
            </w:r>
          </w:p>
          <w:p w14:paraId="7E62D5CC" w14:textId="5011B53B" w:rsidR="00E42E75" w:rsidRPr="00E573E1" w:rsidRDefault="00E42E75" w:rsidP="00C11150">
            <w:pPr>
              <w:pStyle w:val="TableCenter"/>
              <w:jc w:val="left"/>
              <w:rPr>
                <w:sz w:val="18"/>
                <w:szCs w:val="18"/>
                <w:lang w:val="en-AU"/>
              </w:rPr>
            </w:pPr>
            <w:r w:rsidRPr="00E573E1">
              <w:rPr>
                <w:sz w:val="18"/>
                <w:lang w:val="en-AU"/>
              </w:rPr>
              <w:t>p&lt;0.0001</w:t>
            </w:r>
          </w:p>
        </w:tc>
        <w:tc>
          <w:tcPr>
            <w:tcW w:w="1846" w:type="dxa"/>
            <w:shd w:val="clear" w:color="auto" w:fill="auto"/>
          </w:tcPr>
          <w:p w14:paraId="220EA669" w14:textId="25D40DD5" w:rsidR="00E42E75" w:rsidRPr="00E573E1" w:rsidRDefault="00E42E75" w:rsidP="00C11150">
            <w:pPr>
              <w:pStyle w:val="TableCenter"/>
              <w:jc w:val="left"/>
              <w:rPr>
                <w:sz w:val="18"/>
                <w:lang w:val="en-AU"/>
              </w:rPr>
            </w:pPr>
            <w:r w:rsidRPr="00E573E1">
              <w:rPr>
                <w:sz w:val="18"/>
                <w:lang w:val="en-AU"/>
              </w:rPr>
              <w:t>90 (62, 118)</w:t>
            </w:r>
          </w:p>
          <w:p w14:paraId="30B0E30E" w14:textId="52628B99" w:rsidR="00E42E75" w:rsidRPr="00E573E1" w:rsidRDefault="00E42E75" w:rsidP="00C11150">
            <w:pPr>
              <w:pStyle w:val="TableCenter"/>
              <w:jc w:val="left"/>
              <w:rPr>
                <w:sz w:val="18"/>
                <w:szCs w:val="18"/>
                <w:lang w:val="en-AU"/>
              </w:rPr>
            </w:pPr>
            <w:r w:rsidRPr="00E573E1">
              <w:rPr>
                <w:sz w:val="18"/>
                <w:lang w:val="en-AU"/>
              </w:rPr>
              <w:t>p&lt;0.0001</w:t>
            </w:r>
          </w:p>
        </w:tc>
      </w:tr>
    </w:tbl>
    <w:p w14:paraId="580D56DF" w14:textId="60476968" w:rsidR="00AF4835" w:rsidRPr="00E573E1" w:rsidRDefault="00AF4835" w:rsidP="00C11150">
      <w:pPr>
        <w:pStyle w:val="TableFootnoteInfo"/>
        <w:rPr>
          <w:lang w:val="en-AU"/>
        </w:rPr>
      </w:pPr>
      <w:r w:rsidRPr="00E573E1">
        <w:rPr>
          <w:lang w:val="en-AU"/>
        </w:rPr>
        <w:t>^AEROSPHERE</w:t>
      </w:r>
      <w:r w:rsidR="00A00868" w:rsidRPr="00E573E1">
        <w:rPr>
          <w:lang w:val="en-AU"/>
        </w:rPr>
        <w:t>;</w:t>
      </w:r>
      <w:r w:rsidRPr="00E573E1">
        <w:rPr>
          <w:lang w:val="en-AU"/>
        </w:rPr>
        <w:t xml:space="preserve"> ^^ </w:t>
      </w:r>
      <w:proofErr w:type="spellStart"/>
      <w:r w:rsidR="009E47A1">
        <w:rPr>
          <w:lang w:val="en-AU"/>
        </w:rPr>
        <w:t>Turbuhaler</w:t>
      </w:r>
      <w:proofErr w:type="spellEnd"/>
      <w:r w:rsidRPr="00E573E1">
        <w:rPr>
          <w:lang w:val="en-AU"/>
        </w:rPr>
        <w:t xml:space="preserve"> (open label)</w:t>
      </w:r>
      <w:r w:rsidR="00A00868" w:rsidRPr="00E573E1">
        <w:rPr>
          <w:lang w:val="en-AU"/>
        </w:rPr>
        <w:t>; *unadjusted p-value</w:t>
      </w:r>
    </w:p>
    <w:p w14:paraId="69A0AE55" w14:textId="384DF023" w:rsidR="00E42E75" w:rsidRPr="00E573E1" w:rsidRDefault="00A32AD6" w:rsidP="00C11150">
      <w:pPr>
        <w:pStyle w:val="TableFootnoteInfo"/>
        <w:rPr>
          <w:lang w:val="en-AU"/>
        </w:rPr>
      </w:pPr>
      <w:proofErr w:type="spellStart"/>
      <w:r w:rsidRPr="00E573E1">
        <w:rPr>
          <w:lang w:val="en-AU"/>
        </w:rPr>
        <w:t>mITT</w:t>
      </w:r>
      <w:proofErr w:type="spellEnd"/>
      <w:r w:rsidRPr="00E573E1">
        <w:rPr>
          <w:lang w:val="en-AU"/>
        </w:rPr>
        <w:t xml:space="preserve"> – modified intention to treat; </w:t>
      </w:r>
      <w:r w:rsidR="002D36F7" w:rsidRPr="00E573E1">
        <w:rPr>
          <w:lang w:val="en-AU"/>
        </w:rPr>
        <w:t xml:space="preserve">LSM – least square mean; </w:t>
      </w:r>
      <w:r w:rsidRPr="00E573E1">
        <w:rPr>
          <w:lang w:val="en-AU"/>
        </w:rPr>
        <w:t xml:space="preserve">CI – confidence intervals; </w:t>
      </w:r>
      <w:r w:rsidR="00E42E75" w:rsidRPr="00E573E1">
        <w:rPr>
          <w:lang w:val="en-AU"/>
        </w:rPr>
        <w:t>FEV</w:t>
      </w:r>
      <w:r w:rsidR="00E42E75" w:rsidRPr="00E573E1">
        <w:rPr>
          <w:vertAlign w:val="subscript"/>
          <w:lang w:val="en-AU"/>
        </w:rPr>
        <w:t>1</w:t>
      </w:r>
      <w:r w:rsidR="00E42E75" w:rsidRPr="00E573E1">
        <w:rPr>
          <w:lang w:val="en-AU"/>
        </w:rPr>
        <w:t xml:space="preserve"> </w:t>
      </w:r>
      <w:r w:rsidRPr="00E573E1">
        <w:rPr>
          <w:lang w:val="en-AU"/>
        </w:rPr>
        <w:t>- forced expiratory volume in 1 second</w:t>
      </w:r>
      <w:r w:rsidR="00E42E75" w:rsidRPr="00E573E1">
        <w:rPr>
          <w:lang w:val="en-AU"/>
        </w:rPr>
        <w:t xml:space="preserve">; AUC </w:t>
      </w:r>
      <w:r w:rsidRPr="00E573E1">
        <w:rPr>
          <w:lang w:val="en-AU"/>
        </w:rPr>
        <w:t>-area under the curve</w:t>
      </w:r>
    </w:p>
    <w:p w14:paraId="46786318" w14:textId="0B9AA4D8" w:rsidR="004C300D" w:rsidRPr="00E573E1" w:rsidRDefault="004C300D" w:rsidP="00C11150">
      <w:pPr>
        <w:pStyle w:val="TableFootnoteLetter"/>
        <w:numPr>
          <w:ilvl w:val="0"/>
          <w:numId w:val="15"/>
        </w:numPr>
        <w:rPr>
          <w:lang w:val="en-AU"/>
        </w:rPr>
      </w:pPr>
      <w:r w:rsidRPr="00E573E1">
        <w:rPr>
          <w:lang w:val="en-AU"/>
        </w:rPr>
        <w:t>KRONOS coprimary endpoint; ETHOS secondary endpoint</w:t>
      </w:r>
    </w:p>
    <w:p w14:paraId="41BBB8A7" w14:textId="2591B439" w:rsidR="004C300D" w:rsidRPr="00E573E1" w:rsidRDefault="004C300D" w:rsidP="00C11150">
      <w:pPr>
        <w:pStyle w:val="TableFootnoteLetter"/>
        <w:numPr>
          <w:ilvl w:val="0"/>
          <w:numId w:val="15"/>
        </w:numPr>
        <w:spacing w:after="0"/>
        <w:rPr>
          <w:lang w:val="en-AU"/>
        </w:rPr>
      </w:pPr>
      <w:r w:rsidRPr="00E573E1">
        <w:rPr>
          <w:lang w:val="en-AU"/>
        </w:rPr>
        <w:t>Secondary endpoint both studies</w:t>
      </w:r>
    </w:p>
    <w:p w14:paraId="28BBECA6" w14:textId="506748DC" w:rsidR="00CE3904" w:rsidRPr="00A33B32" w:rsidRDefault="00CE3904" w:rsidP="00C11150">
      <w:pPr>
        <w:spacing w:after="0"/>
        <w:rPr>
          <w:sz w:val="20"/>
          <w:szCs w:val="20"/>
          <w:lang w:val="en-AU"/>
        </w:rPr>
      </w:pPr>
    </w:p>
    <w:p w14:paraId="7A50C376" w14:textId="77777777" w:rsidR="00857C06" w:rsidRPr="00E573E1" w:rsidRDefault="00857C06" w:rsidP="00C11150">
      <w:pPr>
        <w:pStyle w:val="Heading4Unnumbered"/>
        <w:spacing w:before="0"/>
        <w:rPr>
          <w:lang w:val="en-AU"/>
        </w:rPr>
      </w:pPr>
      <w:bookmarkStart w:id="26" w:name="_Hlk513643496"/>
      <w:r w:rsidRPr="00E573E1">
        <w:rPr>
          <w:lang w:val="en-AU"/>
        </w:rPr>
        <w:t>Effects on symptoms and quality of life outcomes</w:t>
      </w:r>
      <w:bookmarkEnd w:id="26"/>
      <w:r w:rsidRPr="00E573E1">
        <w:rPr>
          <w:rStyle w:val="EndnoteReference"/>
          <w:vertAlign w:val="baseline"/>
          <w:lang w:val="en-AU"/>
        </w:rPr>
        <w:t xml:space="preserve"> </w:t>
      </w:r>
    </w:p>
    <w:p w14:paraId="07678DCA" w14:textId="344D8233" w:rsidR="00857C06" w:rsidRPr="00E573E1" w:rsidRDefault="00857C06" w:rsidP="00C11150">
      <w:pPr>
        <w:pStyle w:val="Paragraph"/>
        <w:rPr>
          <w:lang w:val="en-AU"/>
        </w:rPr>
      </w:pPr>
      <w:r w:rsidRPr="00E573E1">
        <w:rPr>
          <w:lang w:val="en-AU"/>
        </w:rPr>
        <w:t xml:space="preserve">In ETHOS, BREZTRI AEROSPHERE 160/7.2/5 showed significant improvements over 24 weeks in breathlessness (assessed by the Transition Dyspnoea Index [TDI]), significant reductions in the use of rescue medication and significant improvements in disease-specific health status (as assessed by the St. George’s Respiratory Questionnaire [SGRQ]) compared to </w:t>
      </w:r>
      <w:r w:rsidR="00EB0018">
        <w:rPr>
          <w:lang w:val="en-AU"/>
        </w:rPr>
        <w:t>GFF MDI</w:t>
      </w:r>
      <w:r w:rsidR="00F1560B" w:rsidRPr="00E573E1">
        <w:rPr>
          <w:lang w:val="en-AU"/>
        </w:rPr>
        <w:t xml:space="preserve"> 7.2/5</w:t>
      </w:r>
      <w:r w:rsidRPr="00E573E1">
        <w:rPr>
          <w:lang w:val="en-AU"/>
        </w:rPr>
        <w:t xml:space="preserve"> and BFF MDI</w:t>
      </w:r>
      <w:r w:rsidR="00F1560B" w:rsidRPr="00E573E1">
        <w:rPr>
          <w:lang w:val="en-AU"/>
        </w:rPr>
        <w:t xml:space="preserve"> 160/5</w:t>
      </w:r>
      <w:r w:rsidRPr="00E573E1">
        <w:rPr>
          <w:lang w:val="en-AU"/>
        </w:rPr>
        <w:t xml:space="preserve"> (see </w:t>
      </w:r>
      <w:r w:rsidR="0004349F" w:rsidRPr="00E573E1">
        <w:rPr>
          <w:lang w:val="en-AU"/>
        </w:rPr>
        <w:fldChar w:fldCharType="begin"/>
      </w:r>
      <w:r w:rsidR="0004349F" w:rsidRPr="00E573E1">
        <w:rPr>
          <w:lang w:val="en-AU"/>
        </w:rPr>
        <w:instrText xml:space="preserve"> REF _Ref40081373 \h </w:instrText>
      </w:r>
      <w:r w:rsidR="00135DD9" w:rsidRPr="00E573E1">
        <w:rPr>
          <w:lang w:val="en-AU"/>
        </w:rPr>
        <w:instrText xml:space="preserve"> \* MERGEFORMAT </w:instrText>
      </w:r>
      <w:r w:rsidR="0004349F" w:rsidRPr="00E573E1">
        <w:rPr>
          <w:lang w:val="en-AU"/>
        </w:rPr>
      </w:r>
      <w:r w:rsidR="0004349F" w:rsidRPr="00E573E1">
        <w:rPr>
          <w:lang w:val="en-AU"/>
        </w:rPr>
        <w:fldChar w:fldCharType="separate"/>
      </w:r>
      <w:r w:rsidR="00960F91" w:rsidRPr="00E573E1">
        <w:rPr>
          <w:lang w:val="en-AU"/>
        </w:rPr>
        <w:t>Table </w:t>
      </w:r>
      <w:r w:rsidR="00960F91">
        <w:rPr>
          <w:lang w:val="en-AU"/>
        </w:rPr>
        <w:t>7</w:t>
      </w:r>
      <w:r w:rsidR="0004349F" w:rsidRPr="00E573E1">
        <w:rPr>
          <w:lang w:val="en-AU"/>
        </w:rPr>
        <w:fldChar w:fldCharType="end"/>
      </w:r>
      <w:r w:rsidRPr="00E573E1">
        <w:rPr>
          <w:lang w:val="en-AU"/>
        </w:rPr>
        <w:t xml:space="preserve">). </w:t>
      </w:r>
      <w:r w:rsidR="00A63E10" w:rsidRPr="00E573E1">
        <w:rPr>
          <w:lang w:val="en-AU"/>
        </w:rPr>
        <w:t>These effects were maintained i</w:t>
      </w:r>
      <w:r w:rsidRPr="00E573E1">
        <w:rPr>
          <w:lang w:val="en-AU"/>
        </w:rPr>
        <w:t>n patients treated for up to 52</w:t>
      </w:r>
      <w:r w:rsidR="00F1560B" w:rsidRPr="00E573E1">
        <w:rPr>
          <w:lang w:val="en-AU"/>
        </w:rPr>
        <w:t> </w:t>
      </w:r>
      <w:r w:rsidRPr="00E573E1">
        <w:rPr>
          <w:lang w:val="en-AU"/>
        </w:rPr>
        <w:t>weeks.</w:t>
      </w:r>
    </w:p>
    <w:p w14:paraId="2AB7450B" w14:textId="46C2DA4C" w:rsidR="00FA0B06" w:rsidRDefault="00857C06" w:rsidP="00C11150">
      <w:pPr>
        <w:pStyle w:val="Paragraph"/>
      </w:pPr>
      <w:r w:rsidRPr="00FA0B06">
        <w:t xml:space="preserve">In KRONOS, BREZTRI AEROSPHERE 160/7.2/5 improvement compared to </w:t>
      </w:r>
      <w:r w:rsidR="00B31504">
        <w:t>GFF MDI</w:t>
      </w:r>
      <w:r w:rsidR="00F1560B" w:rsidRPr="00FA0B06">
        <w:t xml:space="preserve"> 7.2/5 and BFF MDI 160/5 </w:t>
      </w:r>
      <w:r w:rsidR="00B31504">
        <w:t xml:space="preserve">did not reach statistical significance </w:t>
      </w:r>
      <w:r w:rsidRPr="00FA0B06">
        <w:t>(</w:t>
      </w:r>
      <w:r w:rsidR="0004349F" w:rsidRPr="00FA0B06">
        <w:t>s</w:t>
      </w:r>
      <w:r w:rsidRPr="00FA0B06">
        <w:t xml:space="preserve">ee </w:t>
      </w:r>
      <w:r w:rsidR="0004349F" w:rsidRPr="00FA0B06">
        <w:fldChar w:fldCharType="begin"/>
      </w:r>
      <w:r w:rsidR="0004349F" w:rsidRPr="00FA0B06">
        <w:instrText xml:space="preserve"> REF _Ref40081373 \h </w:instrText>
      </w:r>
      <w:r w:rsidR="00FA0B06">
        <w:instrText xml:space="preserve"> \* MERGEFORMAT </w:instrText>
      </w:r>
      <w:r w:rsidR="0004349F" w:rsidRPr="00FA0B06">
        <w:fldChar w:fldCharType="separate"/>
      </w:r>
      <w:r w:rsidR="00960F91" w:rsidRPr="00960F91">
        <w:t>Table 7</w:t>
      </w:r>
      <w:r w:rsidR="0004349F" w:rsidRPr="00FA0B06">
        <w:fldChar w:fldCharType="end"/>
      </w:r>
      <w:r w:rsidRPr="00FA0B06">
        <w:t>).</w:t>
      </w:r>
    </w:p>
    <w:p w14:paraId="7468A135" w14:textId="0512F6BF" w:rsidR="00970574" w:rsidRPr="00E573E1" w:rsidRDefault="00970574" w:rsidP="00C11150">
      <w:pPr>
        <w:pStyle w:val="TableTitle"/>
        <w:rPr>
          <w:lang w:val="en-AU"/>
        </w:rPr>
      </w:pPr>
      <w:bookmarkStart w:id="27" w:name="_Ref40081373"/>
      <w:bookmarkStart w:id="28" w:name="_Hlk515630483"/>
      <w:r w:rsidRPr="00E573E1">
        <w:rPr>
          <w:lang w:val="en-AU"/>
        </w:rPr>
        <w:lastRenderedPageBreak/>
        <w:t>Table </w:t>
      </w:r>
      <w:r w:rsidRPr="00E573E1">
        <w:rPr>
          <w:lang w:val="en-AU"/>
        </w:rPr>
        <w:fldChar w:fldCharType="begin"/>
      </w:r>
      <w:r w:rsidRPr="00E573E1">
        <w:rPr>
          <w:lang w:val="en-AU"/>
        </w:rPr>
        <w:instrText xml:space="preserve"> SEQ Table \* ARABIC </w:instrText>
      </w:r>
      <w:r w:rsidRPr="00E573E1">
        <w:rPr>
          <w:lang w:val="en-AU"/>
        </w:rPr>
        <w:fldChar w:fldCharType="separate"/>
      </w:r>
      <w:r w:rsidR="00960F91">
        <w:rPr>
          <w:noProof/>
          <w:lang w:val="en-AU"/>
        </w:rPr>
        <w:t>7</w:t>
      </w:r>
      <w:r w:rsidRPr="00E573E1">
        <w:rPr>
          <w:lang w:val="en-AU"/>
        </w:rPr>
        <w:fldChar w:fldCharType="end"/>
      </w:r>
      <w:bookmarkEnd w:id="27"/>
      <w:r w:rsidRPr="00E573E1">
        <w:rPr>
          <w:lang w:val="en-AU"/>
        </w:rPr>
        <w:tab/>
      </w:r>
      <w:r w:rsidR="00386A4A" w:rsidRPr="00E573E1">
        <w:rPr>
          <w:lang w:val="en-AU"/>
        </w:rPr>
        <w:t>ETHOS and KRONOS effects on symptoms</w:t>
      </w:r>
      <w:r w:rsidR="00DA4033" w:rsidRPr="00E573E1">
        <w:rPr>
          <w:lang w:val="en-AU"/>
        </w:rPr>
        <w:t>,</w:t>
      </w:r>
      <w:r w:rsidR="00386A4A" w:rsidRPr="00E573E1">
        <w:rPr>
          <w:lang w:val="en-AU"/>
        </w:rPr>
        <w:t xml:space="preserve"> quality of life</w:t>
      </w:r>
      <w:r w:rsidR="006E0B9E" w:rsidRPr="00E573E1">
        <w:rPr>
          <w:lang w:val="en-AU"/>
        </w:rPr>
        <w:t xml:space="preserve"> </w:t>
      </w:r>
      <w:r w:rsidR="00DA4033" w:rsidRPr="00E573E1">
        <w:rPr>
          <w:lang w:val="en-AU"/>
        </w:rPr>
        <w:t xml:space="preserve">and other </w:t>
      </w:r>
      <w:r w:rsidR="006E0B9E" w:rsidRPr="00E573E1">
        <w:rPr>
          <w:lang w:val="en-AU"/>
        </w:rPr>
        <w:t>outcomes</w:t>
      </w:r>
      <w:r w:rsidR="00386A4A" w:rsidRPr="00E573E1">
        <w:rPr>
          <w:lang w:val="en-AU"/>
        </w:rPr>
        <w:t xml:space="preserve"> (</w:t>
      </w:r>
      <w:proofErr w:type="spellStart"/>
      <w:r w:rsidR="0098041A" w:rsidRPr="00E573E1">
        <w:rPr>
          <w:lang w:val="en-AU"/>
        </w:rPr>
        <w:t>mITT</w:t>
      </w:r>
      <w:proofErr w:type="spellEnd"/>
      <w:r w:rsidR="0098041A" w:rsidRPr="00E573E1">
        <w:rPr>
          <w:lang w:val="en-AU"/>
        </w:rPr>
        <w:t xml:space="preserve"> population</w:t>
      </w:r>
      <w:r w:rsidR="00386A4A" w:rsidRPr="00E573E1">
        <w:rPr>
          <w:lang w:val="en-AU"/>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606"/>
        <w:gridCol w:w="1606"/>
        <w:gridCol w:w="1606"/>
        <w:gridCol w:w="1606"/>
        <w:gridCol w:w="1651"/>
        <w:gridCol w:w="1701"/>
      </w:tblGrid>
      <w:tr w:rsidR="009723F7" w:rsidRPr="00E573E1" w14:paraId="2B00B7D5" w14:textId="77777777" w:rsidTr="00FA0B06">
        <w:trPr>
          <w:cantSplit/>
          <w:tblHeader/>
        </w:trPr>
        <w:tc>
          <w:tcPr>
            <w:tcW w:w="1606" w:type="dxa"/>
            <w:vMerge w:val="restart"/>
            <w:shd w:val="clear" w:color="auto" w:fill="auto"/>
            <w:vAlign w:val="bottom"/>
          </w:tcPr>
          <w:p w14:paraId="6CFD555A" w14:textId="58FE28F7" w:rsidR="009723F7" w:rsidRPr="00E573E1" w:rsidRDefault="009723F7" w:rsidP="00C11150">
            <w:pPr>
              <w:pStyle w:val="TableHead"/>
              <w:jc w:val="left"/>
              <w:rPr>
                <w:sz w:val="18"/>
                <w:szCs w:val="18"/>
                <w:lang w:val="en-AU"/>
              </w:rPr>
            </w:pPr>
            <w:proofErr w:type="spellStart"/>
            <w:r w:rsidRPr="00E573E1">
              <w:rPr>
                <w:sz w:val="18"/>
                <w:szCs w:val="18"/>
                <w:lang w:val="en-AU"/>
              </w:rPr>
              <w:t>Breztri</w:t>
            </w:r>
            <w:proofErr w:type="spellEnd"/>
            <w:r w:rsidRPr="00E573E1">
              <w:rPr>
                <w:sz w:val="18"/>
                <w:szCs w:val="18"/>
                <w:lang w:val="en-AU"/>
              </w:rPr>
              <w:t>^ 160/7.2/5 vs treatment</w:t>
            </w:r>
          </w:p>
        </w:tc>
        <w:tc>
          <w:tcPr>
            <w:tcW w:w="3212" w:type="dxa"/>
            <w:gridSpan w:val="2"/>
            <w:shd w:val="clear" w:color="auto" w:fill="auto"/>
          </w:tcPr>
          <w:p w14:paraId="4DC05B80" w14:textId="77777777" w:rsidR="009723F7" w:rsidRPr="00E573E1" w:rsidRDefault="009723F7" w:rsidP="00C11150">
            <w:pPr>
              <w:pStyle w:val="TableHead"/>
              <w:jc w:val="left"/>
              <w:rPr>
                <w:sz w:val="18"/>
                <w:szCs w:val="18"/>
                <w:lang w:val="en-AU"/>
              </w:rPr>
            </w:pPr>
            <w:r w:rsidRPr="00E573E1">
              <w:rPr>
                <w:sz w:val="18"/>
                <w:szCs w:val="18"/>
                <w:lang w:val="en-AU"/>
              </w:rPr>
              <w:t>ETHOS</w:t>
            </w:r>
          </w:p>
        </w:tc>
        <w:tc>
          <w:tcPr>
            <w:tcW w:w="4958" w:type="dxa"/>
            <w:gridSpan w:val="3"/>
            <w:shd w:val="clear" w:color="auto" w:fill="auto"/>
          </w:tcPr>
          <w:p w14:paraId="67831670" w14:textId="77777777" w:rsidR="009723F7" w:rsidRPr="00E573E1" w:rsidRDefault="009723F7" w:rsidP="00C11150">
            <w:pPr>
              <w:pStyle w:val="TableHead"/>
              <w:jc w:val="left"/>
              <w:rPr>
                <w:sz w:val="18"/>
                <w:szCs w:val="18"/>
                <w:lang w:val="en-AU"/>
              </w:rPr>
            </w:pPr>
            <w:r w:rsidRPr="00E573E1">
              <w:rPr>
                <w:sz w:val="18"/>
                <w:szCs w:val="18"/>
                <w:lang w:val="en-AU"/>
              </w:rPr>
              <w:t>KRONOS</w:t>
            </w:r>
          </w:p>
        </w:tc>
      </w:tr>
      <w:tr w:rsidR="009723F7" w:rsidRPr="00E573E1" w14:paraId="6D306F6E" w14:textId="77777777" w:rsidTr="00FA0B06">
        <w:trPr>
          <w:cantSplit/>
          <w:tblHeader/>
        </w:trPr>
        <w:tc>
          <w:tcPr>
            <w:tcW w:w="1606" w:type="dxa"/>
            <w:vMerge/>
            <w:shd w:val="clear" w:color="auto" w:fill="auto"/>
          </w:tcPr>
          <w:p w14:paraId="79D3DDC1" w14:textId="36CFB276" w:rsidR="009723F7" w:rsidRPr="00E573E1" w:rsidRDefault="009723F7" w:rsidP="00C11150">
            <w:pPr>
              <w:pStyle w:val="TableHead"/>
              <w:jc w:val="left"/>
              <w:rPr>
                <w:sz w:val="18"/>
                <w:szCs w:val="18"/>
                <w:lang w:val="en-AU"/>
              </w:rPr>
            </w:pPr>
          </w:p>
        </w:tc>
        <w:tc>
          <w:tcPr>
            <w:tcW w:w="1606" w:type="dxa"/>
            <w:shd w:val="clear" w:color="auto" w:fill="auto"/>
          </w:tcPr>
          <w:p w14:paraId="285E64D8" w14:textId="001FD401" w:rsidR="009723F7" w:rsidRPr="00E573E1" w:rsidRDefault="00EB0018" w:rsidP="00C11150">
            <w:pPr>
              <w:pStyle w:val="TableHead"/>
              <w:jc w:val="left"/>
              <w:rPr>
                <w:sz w:val="18"/>
                <w:szCs w:val="18"/>
                <w:lang w:val="en-AU"/>
              </w:rPr>
            </w:pPr>
            <w:r>
              <w:rPr>
                <w:sz w:val="18"/>
                <w:szCs w:val="18"/>
                <w:lang w:val="en-AU"/>
              </w:rPr>
              <w:t>GFF MDI</w:t>
            </w:r>
            <w:r w:rsidR="009723F7" w:rsidRPr="00E573E1">
              <w:rPr>
                <w:sz w:val="18"/>
                <w:szCs w:val="18"/>
                <w:lang w:val="en-AU"/>
              </w:rPr>
              <w:t>^ 7.2/5</w:t>
            </w:r>
          </w:p>
        </w:tc>
        <w:tc>
          <w:tcPr>
            <w:tcW w:w="1606" w:type="dxa"/>
            <w:shd w:val="clear" w:color="auto" w:fill="auto"/>
          </w:tcPr>
          <w:p w14:paraId="2D7BF33F" w14:textId="761003D3" w:rsidR="009723F7" w:rsidRPr="00E573E1" w:rsidRDefault="009723F7" w:rsidP="00C11150">
            <w:pPr>
              <w:pStyle w:val="TableHead"/>
              <w:jc w:val="left"/>
              <w:rPr>
                <w:sz w:val="18"/>
                <w:szCs w:val="18"/>
                <w:lang w:val="en-AU"/>
              </w:rPr>
            </w:pPr>
            <w:r w:rsidRPr="00E573E1">
              <w:rPr>
                <w:sz w:val="18"/>
                <w:szCs w:val="18"/>
                <w:lang w:val="en-AU"/>
              </w:rPr>
              <w:t>BFF MDI 160/5</w:t>
            </w:r>
          </w:p>
        </w:tc>
        <w:tc>
          <w:tcPr>
            <w:tcW w:w="1606" w:type="dxa"/>
            <w:shd w:val="clear" w:color="auto" w:fill="auto"/>
          </w:tcPr>
          <w:p w14:paraId="432DA9D3" w14:textId="6014CDA7" w:rsidR="009723F7" w:rsidRPr="00E573E1" w:rsidRDefault="00EB0018" w:rsidP="00C11150">
            <w:pPr>
              <w:pStyle w:val="TableHead"/>
              <w:jc w:val="left"/>
              <w:rPr>
                <w:sz w:val="18"/>
                <w:szCs w:val="18"/>
                <w:lang w:val="en-AU"/>
              </w:rPr>
            </w:pPr>
            <w:r>
              <w:rPr>
                <w:sz w:val="18"/>
                <w:szCs w:val="18"/>
                <w:lang w:val="en-AU"/>
              </w:rPr>
              <w:t>GFF MDI</w:t>
            </w:r>
            <w:r w:rsidR="009723F7" w:rsidRPr="00E573E1">
              <w:rPr>
                <w:sz w:val="18"/>
                <w:szCs w:val="18"/>
                <w:lang w:val="en-AU"/>
              </w:rPr>
              <w:t>^ 7.2/5</w:t>
            </w:r>
          </w:p>
        </w:tc>
        <w:tc>
          <w:tcPr>
            <w:tcW w:w="1651" w:type="dxa"/>
            <w:shd w:val="clear" w:color="auto" w:fill="auto"/>
          </w:tcPr>
          <w:p w14:paraId="20CCCFE7" w14:textId="579E328C" w:rsidR="009723F7" w:rsidRPr="00E573E1" w:rsidRDefault="009723F7" w:rsidP="00C11150">
            <w:pPr>
              <w:pStyle w:val="TableHead"/>
              <w:jc w:val="left"/>
              <w:rPr>
                <w:sz w:val="18"/>
                <w:szCs w:val="18"/>
                <w:lang w:val="en-AU"/>
              </w:rPr>
            </w:pPr>
            <w:r w:rsidRPr="00E573E1">
              <w:rPr>
                <w:sz w:val="18"/>
                <w:szCs w:val="18"/>
                <w:lang w:val="en-AU"/>
              </w:rPr>
              <w:t>BFF MDI 160/5</w:t>
            </w:r>
          </w:p>
        </w:tc>
        <w:tc>
          <w:tcPr>
            <w:tcW w:w="1701" w:type="dxa"/>
            <w:shd w:val="clear" w:color="auto" w:fill="auto"/>
          </w:tcPr>
          <w:p w14:paraId="6B3862BA" w14:textId="19226EB7" w:rsidR="009723F7" w:rsidRPr="00E573E1" w:rsidRDefault="006E1B77" w:rsidP="00C11150">
            <w:pPr>
              <w:pStyle w:val="TableHead"/>
              <w:jc w:val="left"/>
              <w:rPr>
                <w:sz w:val="18"/>
                <w:szCs w:val="18"/>
                <w:lang w:val="en-AU"/>
              </w:rPr>
            </w:pPr>
            <w:r>
              <w:rPr>
                <w:sz w:val="18"/>
                <w:szCs w:val="18"/>
                <w:lang w:val="en-AU"/>
              </w:rPr>
              <w:t>BFF</w:t>
            </w:r>
            <w:r w:rsidR="009723F7" w:rsidRPr="00E573E1">
              <w:rPr>
                <w:sz w:val="18"/>
                <w:szCs w:val="18"/>
                <w:lang w:val="en-AU"/>
              </w:rPr>
              <w:t>^^ 200/6</w:t>
            </w:r>
          </w:p>
        </w:tc>
      </w:tr>
      <w:tr w:rsidR="006E0B9E" w:rsidRPr="00E573E1" w14:paraId="129B5194" w14:textId="77777777" w:rsidTr="00FA0B06">
        <w:trPr>
          <w:cantSplit/>
        </w:trPr>
        <w:tc>
          <w:tcPr>
            <w:tcW w:w="9776" w:type="dxa"/>
            <w:gridSpan w:val="6"/>
            <w:shd w:val="clear" w:color="auto" w:fill="auto"/>
          </w:tcPr>
          <w:p w14:paraId="1F8A2ADE" w14:textId="00C32528" w:rsidR="006E0B9E" w:rsidRPr="00E573E1" w:rsidRDefault="006E0B9E" w:rsidP="00C11150">
            <w:pPr>
              <w:pStyle w:val="TableCenter"/>
              <w:jc w:val="left"/>
              <w:rPr>
                <w:sz w:val="18"/>
                <w:szCs w:val="18"/>
                <w:lang w:val="en-AU"/>
              </w:rPr>
            </w:pPr>
            <w:r w:rsidRPr="00E573E1">
              <w:rPr>
                <w:b/>
                <w:sz w:val="18"/>
                <w:szCs w:val="18"/>
                <w:lang w:val="en-AU"/>
              </w:rPr>
              <w:t>Change from baseline over 24 weeks (LSM difference (95% CI); p value)</w:t>
            </w:r>
          </w:p>
        </w:tc>
      </w:tr>
      <w:tr w:rsidR="0004349F" w:rsidRPr="00E573E1" w14:paraId="33338C98" w14:textId="77777777" w:rsidTr="00FA0B06">
        <w:trPr>
          <w:cantSplit/>
        </w:trPr>
        <w:tc>
          <w:tcPr>
            <w:tcW w:w="1606" w:type="dxa"/>
            <w:shd w:val="clear" w:color="auto" w:fill="auto"/>
          </w:tcPr>
          <w:p w14:paraId="762FC485" w14:textId="0B4FE34E" w:rsidR="0004349F" w:rsidRPr="00E573E1" w:rsidRDefault="0004349F" w:rsidP="00C11150">
            <w:pPr>
              <w:pStyle w:val="TableLeft"/>
              <w:rPr>
                <w:sz w:val="18"/>
                <w:szCs w:val="18"/>
                <w:lang w:val="en-AU"/>
              </w:rPr>
            </w:pPr>
            <w:r w:rsidRPr="00E573E1">
              <w:rPr>
                <w:sz w:val="18"/>
                <w:szCs w:val="18"/>
                <w:lang w:val="en-AU"/>
              </w:rPr>
              <w:t xml:space="preserve">TDI </w:t>
            </w:r>
            <w:r w:rsidR="003E3719" w:rsidRPr="00E573E1">
              <w:rPr>
                <w:sz w:val="18"/>
                <w:szCs w:val="18"/>
                <w:lang w:val="en-AU"/>
              </w:rPr>
              <w:t xml:space="preserve">focal score </w:t>
            </w:r>
            <w:r w:rsidRPr="00E573E1">
              <w:rPr>
                <w:sz w:val="18"/>
                <w:szCs w:val="18"/>
                <w:lang w:val="en-AU"/>
              </w:rPr>
              <w:t>(units)</w:t>
            </w:r>
            <w:r w:rsidR="00C97FFA" w:rsidRPr="00E573E1">
              <w:rPr>
                <w:sz w:val="18"/>
                <w:szCs w:val="18"/>
                <w:vertAlign w:val="superscript"/>
                <w:lang w:val="en-AU"/>
              </w:rPr>
              <w:t>a</w:t>
            </w:r>
            <w:r w:rsidR="00C97FFA" w:rsidRPr="00E573E1">
              <w:rPr>
                <w:sz w:val="18"/>
                <w:szCs w:val="18"/>
                <w:lang w:val="en-AU"/>
              </w:rPr>
              <w:t xml:space="preserve"> </w:t>
            </w:r>
          </w:p>
        </w:tc>
        <w:tc>
          <w:tcPr>
            <w:tcW w:w="1606" w:type="dxa"/>
            <w:shd w:val="clear" w:color="auto" w:fill="auto"/>
          </w:tcPr>
          <w:p w14:paraId="2425107F" w14:textId="3F54416E" w:rsidR="0004349F" w:rsidRPr="00E573E1" w:rsidRDefault="0004349F" w:rsidP="00C11150">
            <w:pPr>
              <w:pStyle w:val="TableCenter"/>
              <w:jc w:val="left"/>
              <w:rPr>
                <w:sz w:val="18"/>
                <w:szCs w:val="18"/>
                <w:lang w:val="en-AU"/>
              </w:rPr>
            </w:pPr>
            <w:r w:rsidRPr="00E573E1">
              <w:rPr>
                <w:sz w:val="18"/>
                <w:szCs w:val="18"/>
                <w:lang w:val="en-AU"/>
              </w:rPr>
              <w:t>0.40 (0.24, 0.55)</w:t>
            </w:r>
          </w:p>
          <w:p w14:paraId="249A5A53" w14:textId="3BF90E34" w:rsidR="0004349F" w:rsidRPr="00E573E1" w:rsidRDefault="0004349F" w:rsidP="00C11150">
            <w:pPr>
              <w:pStyle w:val="TableCenter"/>
              <w:jc w:val="left"/>
              <w:rPr>
                <w:sz w:val="18"/>
                <w:szCs w:val="18"/>
                <w:lang w:val="en-AU"/>
              </w:rPr>
            </w:pPr>
            <w:r w:rsidRPr="00E573E1">
              <w:rPr>
                <w:sz w:val="18"/>
                <w:szCs w:val="18"/>
                <w:lang w:val="en-AU"/>
              </w:rPr>
              <w:t>p&lt;0.0001</w:t>
            </w:r>
          </w:p>
        </w:tc>
        <w:tc>
          <w:tcPr>
            <w:tcW w:w="1606" w:type="dxa"/>
            <w:shd w:val="clear" w:color="auto" w:fill="auto"/>
          </w:tcPr>
          <w:p w14:paraId="59A19458" w14:textId="3A8A202C" w:rsidR="0004349F" w:rsidRPr="00E573E1" w:rsidRDefault="0004349F" w:rsidP="00C11150">
            <w:pPr>
              <w:pStyle w:val="TableCenter"/>
              <w:jc w:val="left"/>
              <w:rPr>
                <w:sz w:val="18"/>
                <w:szCs w:val="18"/>
                <w:lang w:val="en-AU"/>
              </w:rPr>
            </w:pPr>
            <w:r w:rsidRPr="00E573E1">
              <w:rPr>
                <w:sz w:val="18"/>
                <w:szCs w:val="18"/>
                <w:lang w:val="en-AU"/>
              </w:rPr>
              <w:t>0.31</w:t>
            </w:r>
            <w:r w:rsidR="00135DD9" w:rsidRPr="00E573E1">
              <w:rPr>
                <w:sz w:val="18"/>
                <w:szCs w:val="18"/>
                <w:lang w:val="en-AU"/>
              </w:rPr>
              <w:t xml:space="preserve"> </w:t>
            </w:r>
            <w:r w:rsidRPr="00E573E1">
              <w:rPr>
                <w:sz w:val="18"/>
                <w:szCs w:val="18"/>
                <w:lang w:val="en-AU"/>
              </w:rPr>
              <w:t>(0.15, 0.46)</w:t>
            </w:r>
          </w:p>
          <w:p w14:paraId="085199B0" w14:textId="5CA2A393" w:rsidR="0004349F" w:rsidRPr="00E573E1" w:rsidRDefault="0004349F" w:rsidP="00C11150">
            <w:pPr>
              <w:pStyle w:val="TableCenter"/>
              <w:jc w:val="left"/>
              <w:rPr>
                <w:sz w:val="18"/>
                <w:szCs w:val="18"/>
                <w:lang w:val="en-AU"/>
              </w:rPr>
            </w:pPr>
            <w:r w:rsidRPr="00E573E1">
              <w:rPr>
                <w:sz w:val="18"/>
                <w:szCs w:val="18"/>
                <w:lang w:val="en-AU"/>
              </w:rPr>
              <w:t>p&lt;0.0001</w:t>
            </w:r>
          </w:p>
        </w:tc>
        <w:tc>
          <w:tcPr>
            <w:tcW w:w="1606" w:type="dxa"/>
            <w:shd w:val="clear" w:color="auto" w:fill="auto"/>
          </w:tcPr>
          <w:p w14:paraId="51B97FAC" w14:textId="23F5FEC0" w:rsidR="0004349F" w:rsidRPr="00E573E1" w:rsidRDefault="0004349F" w:rsidP="00C11150">
            <w:pPr>
              <w:pStyle w:val="TableCenter"/>
              <w:jc w:val="left"/>
              <w:rPr>
                <w:sz w:val="18"/>
                <w:szCs w:val="18"/>
                <w:lang w:val="en-AU"/>
              </w:rPr>
            </w:pPr>
            <w:r w:rsidRPr="00E573E1">
              <w:rPr>
                <w:sz w:val="18"/>
                <w:szCs w:val="18"/>
                <w:lang w:val="en-AU"/>
              </w:rPr>
              <w:t>0.18</w:t>
            </w:r>
            <w:r w:rsidR="00135DD9" w:rsidRPr="00E573E1">
              <w:rPr>
                <w:sz w:val="18"/>
                <w:szCs w:val="18"/>
                <w:lang w:val="en-AU"/>
              </w:rPr>
              <w:t xml:space="preserve"> </w:t>
            </w:r>
            <w:r w:rsidRPr="00E573E1">
              <w:rPr>
                <w:sz w:val="18"/>
                <w:szCs w:val="18"/>
                <w:lang w:val="en-AU"/>
              </w:rPr>
              <w:t>(-0.071, 0.43)</w:t>
            </w:r>
          </w:p>
          <w:p w14:paraId="3126E7B1" w14:textId="5463D36F" w:rsidR="0004349F" w:rsidRPr="00E573E1" w:rsidRDefault="0004349F" w:rsidP="00C11150">
            <w:pPr>
              <w:pStyle w:val="TableCenter"/>
              <w:jc w:val="left"/>
              <w:rPr>
                <w:sz w:val="18"/>
                <w:szCs w:val="18"/>
                <w:lang w:val="en-AU"/>
              </w:rPr>
            </w:pPr>
            <w:r w:rsidRPr="00E573E1">
              <w:rPr>
                <w:sz w:val="18"/>
                <w:szCs w:val="18"/>
                <w:lang w:val="en-AU"/>
              </w:rPr>
              <w:t>p=0.1621</w:t>
            </w:r>
          </w:p>
        </w:tc>
        <w:tc>
          <w:tcPr>
            <w:tcW w:w="1651" w:type="dxa"/>
            <w:shd w:val="clear" w:color="auto" w:fill="auto"/>
          </w:tcPr>
          <w:p w14:paraId="366D1E89" w14:textId="7CC0FA7D" w:rsidR="0004349F" w:rsidRPr="00E573E1" w:rsidRDefault="0004349F" w:rsidP="00C11150">
            <w:pPr>
              <w:pStyle w:val="TableCenter"/>
              <w:jc w:val="left"/>
              <w:rPr>
                <w:sz w:val="18"/>
                <w:szCs w:val="18"/>
                <w:lang w:val="en-AU"/>
              </w:rPr>
            </w:pPr>
            <w:r w:rsidRPr="00E573E1">
              <w:rPr>
                <w:sz w:val="18"/>
                <w:szCs w:val="18"/>
                <w:lang w:val="en-AU"/>
              </w:rPr>
              <w:t>0.24</w:t>
            </w:r>
            <w:r w:rsidR="00135DD9" w:rsidRPr="00E573E1">
              <w:rPr>
                <w:sz w:val="18"/>
                <w:szCs w:val="18"/>
                <w:lang w:val="en-AU"/>
              </w:rPr>
              <w:t xml:space="preserve"> </w:t>
            </w:r>
            <w:r w:rsidRPr="00E573E1">
              <w:rPr>
                <w:sz w:val="18"/>
                <w:szCs w:val="18"/>
                <w:lang w:val="en-AU"/>
              </w:rPr>
              <w:t>(-0.068, 0.54)</w:t>
            </w:r>
          </w:p>
          <w:p w14:paraId="771E739F" w14:textId="13393FD2" w:rsidR="0004349F" w:rsidRPr="00E573E1" w:rsidRDefault="0004349F" w:rsidP="00C11150">
            <w:pPr>
              <w:pStyle w:val="TableCenter"/>
              <w:jc w:val="left"/>
              <w:rPr>
                <w:sz w:val="18"/>
                <w:szCs w:val="18"/>
                <w:lang w:val="en-AU"/>
              </w:rPr>
            </w:pPr>
            <w:r w:rsidRPr="00E573E1">
              <w:rPr>
                <w:sz w:val="18"/>
                <w:szCs w:val="18"/>
                <w:lang w:val="en-AU"/>
              </w:rPr>
              <w:t>p=0.1283</w:t>
            </w:r>
          </w:p>
        </w:tc>
        <w:tc>
          <w:tcPr>
            <w:tcW w:w="1701" w:type="dxa"/>
            <w:shd w:val="clear" w:color="auto" w:fill="auto"/>
          </w:tcPr>
          <w:p w14:paraId="6474EDBA" w14:textId="1B758960" w:rsidR="0004349F" w:rsidRPr="00E573E1" w:rsidRDefault="0004349F" w:rsidP="00C11150">
            <w:pPr>
              <w:pStyle w:val="TableCenter"/>
              <w:jc w:val="left"/>
              <w:rPr>
                <w:sz w:val="18"/>
                <w:szCs w:val="18"/>
                <w:lang w:val="en-AU"/>
              </w:rPr>
            </w:pPr>
            <w:r w:rsidRPr="00E573E1">
              <w:rPr>
                <w:sz w:val="18"/>
                <w:szCs w:val="18"/>
                <w:lang w:val="en-AU"/>
              </w:rPr>
              <w:t>0.46</w:t>
            </w:r>
            <w:r w:rsidR="00135DD9" w:rsidRPr="00E573E1">
              <w:rPr>
                <w:sz w:val="18"/>
                <w:szCs w:val="18"/>
                <w:lang w:val="en-AU"/>
              </w:rPr>
              <w:t xml:space="preserve"> </w:t>
            </w:r>
            <w:r w:rsidRPr="00E573E1">
              <w:rPr>
                <w:sz w:val="18"/>
                <w:szCs w:val="18"/>
                <w:lang w:val="en-AU"/>
              </w:rPr>
              <w:t>(0.16, 0.77)</w:t>
            </w:r>
          </w:p>
          <w:p w14:paraId="3C91749D" w14:textId="666A3191" w:rsidR="0004349F" w:rsidRPr="00E573E1" w:rsidRDefault="0004349F" w:rsidP="00C11150">
            <w:pPr>
              <w:pStyle w:val="TableCenter"/>
              <w:jc w:val="left"/>
              <w:rPr>
                <w:sz w:val="18"/>
                <w:szCs w:val="18"/>
                <w:lang w:val="en-AU"/>
              </w:rPr>
            </w:pPr>
            <w:r w:rsidRPr="00E573E1">
              <w:rPr>
                <w:sz w:val="18"/>
                <w:szCs w:val="18"/>
                <w:lang w:val="en-AU"/>
              </w:rPr>
              <w:t>p=0.0031</w:t>
            </w:r>
          </w:p>
        </w:tc>
      </w:tr>
      <w:tr w:rsidR="0004349F" w:rsidRPr="00E573E1" w14:paraId="7A37B832" w14:textId="77777777" w:rsidTr="00FA0B06">
        <w:trPr>
          <w:cantSplit/>
        </w:trPr>
        <w:tc>
          <w:tcPr>
            <w:tcW w:w="1606" w:type="dxa"/>
            <w:shd w:val="clear" w:color="auto" w:fill="auto"/>
          </w:tcPr>
          <w:p w14:paraId="5BA569BA" w14:textId="7695F110" w:rsidR="0004349F" w:rsidRPr="00E573E1" w:rsidRDefault="0098041A" w:rsidP="00C11150">
            <w:pPr>
              <w:pStyle w:val="TableLeft"/>
              <w:rPr>
                <w:sz w:val="18"/>
                <w:szCs w:val="18"/>
                <w:lang w:val="en-AU"/>
              </w:rPr>
            </w:pPr>
            <w:r w:rsidRPr="00E573E1">
              <w:rPr>
                <w:sz w:val="18"/>
                <w:szCs w:val="18"/>
                <w:lang w:val="en-AU"/>
              </w:rPr>
              <w:t>Mean daily r</w:t>
            </w:r>
            <w:r w:rsidR="0004349F" w:rsidRPr="00E573E1">
              <w:rPr>
                <w:sz w:val="18"/>
                <w:szCs w:val="18"/>
                <w:lang w:val="en-AU"/>
              </w:rPr>
              <w:t>escue medication usage (puffs/day)</w:t>
            </w:r>
            <w:r w:rsidR="0035698E" w:rsidRPr="00E573E1">
              <w:rPr>
                <w:sz w:val="18"/>
                <w:szCs w:val="18"/>
                <w:lang w:val="en-AU"/>
              </w:rPr>
              <w:t xml:space="preserve"> </w:t>
            </w:r>
            <w:r w:rsidR="0035698E" w:rsidRPr="00E573E1">
              <w:rPr>
                <w:sz w:val="18"/>
                <w:szCs w:val="18"/>
                <w:vertAlign w:val="superscript"/>
                <w:lang w:val="en-AU"/>
              </w:rPr>
              <w:t>b</w:t>
            </w:r>
          </w:p>
        </w:tc>
        <w:tc>
          <w:tcPr>
            <w:tcW w:w="1606" w:type="dxa"/>
            <w:shd w:val="clear" w:color="auto" w:fill="auto"/>
          </w:tcPr>
          <w:p w14:paraId="1F39EFFC" w14:textId="095A5290" w:rsidR="0004349F" w:rsidRPr="00E573E1" w:rsidRDefault="0004349F" w:rsidP="00C11150">
            <w:pPr>
              <w:pStyle w:val="TableCenter"/>
              <w:jc w:val="left"/>
              <w:rPr>
                <w:sz w:val="18"/>
                <w:szCs w:val="18"/>
                <w:lang w:val="en-AU"/>
              </w:rPr>
            </w:pPr>
            <w:r w:rsidRPr="00E573E1">
              <w:rPr>
                <w:sz w:val="18"/>
                <w:szCs w:val="18"/>
                <w:lang w:val="en-AU"/>
              </w:rPr>
              <w:t>-0.51</w:t>
            </w:r>
            <w:r w:rsidR="00135DD9" w:rsidRPr="00E573E1">
              <w:rPr>
                <w:sz w:val="18"/>
                <w:szCs w:val="18"/>
                <w:lang w:val="en-AU"/>
              </w:rPr>
              <w:t xml:space="preserve"> </w:t>
            </w:r>
            <w:r w:rsidRPr="00E573E1">
              <w:rPr>
                <w:sz w:val="18"/>
                <w:szCs w:val="18"/>
                <w:lang w:val="en-AU"/>
              </w:rPr>
              <w:t>(-0.68, -0.34)</w:t>
            </w:r>
          </w:p>
          <w:p w14:paraId="6E5218DC" w14:textId="12FC687C" w:rsidR="0004349F" w:rsidRPr="00E573E1" w:rsidRDefault="0004349F" w:rsidP="00C11150">
            <w:pPr>
              <w:pStyle w:val="TableCenter"/>
              <w:jc w:val="left"/>
              <w:rPr>
                <w:sz w:val="18"/>
                <w:szCs w:val="18"/>
                <w:lang w:val="en-AU"/>
              </w:rPr>
            </w:pPr>
            <w:r w:rsidRPr="00E573E1">
              <w:rPr>
                <w:sz w:val="18"/>
                <w:szCs w:val="18"/>
                <w:lang w:val="en-AU"/>
              </w:rPr>
              <w:t>p&lt;0.0001</w:t>
            </w:r>
          </w:p>
        </w:tc>
        <w:tc>
          <w:tcPr>
            <w:tcW w:w="1606" w:type="dxa"/>
            <w:shd w:val="clear" w:color="auto" w:fill="auto"/>
          </w:tcPr>
          <w:p w14:paraId="1901AB8E" w14:textId="7C12104F" w:rsidR="0004349F" w:rsidRPr="00E573E1" w:rsidRDefault="0004349F" w:rsidP="00C11150">
            <w:pPr>
              <w:pStyle w:val="TableCenter"/>
              <w:jc w:val="left"/>
              <w:rPr>
                <w:sz w:val="18"/>
                <w:szCs w:val="18"/>
                <w:lang w:val="en-AU"/>
              </w:rPr>
            </w:pPr>
            <w:r w:rsidRPr="00E573E1">
              <w:rPr>
                <w:sz w:val="18"/>
                <w:szCs w:val="18"/>
                <w:lang w:val="en-AU"/>
              </w:rPr>
              <w:t>-0.37</w:t>
            </w:r>
            <w:r w:rsidR="00135DD9" w:rsidRPr="00E573E1">
              <w:rPr>
                <w:sz w:val="18"/>
                <w:szCs w:val="18"/>
                <w:lang w:val="en-AU"/>
              </w:rPr>
              <w:t xml:space="preserve"> </w:t>
            </w:r>
            <w:r w:rsidRPr="00E573E1">
              <w:rPr>
                <w:sz w:val="18"/>
                <w:szCs w:val="18"/>
                <w:lang w:val="en-AU"/>
              </w:rPr>
              <w:t>(-0.54, -0.20)</w:t>
            </w:r>
          </w:p>
          <w:p w14:paraId="6B0A43B0" w14:textId="78412A98" w:rsidR="0004349F" w:rsidRPr="00E573E1" w:rsidRDefault="0004349F" w:rsidP="00C11150">
            <w:pPr>
              <w:pStyle w:val="TableCenter"/>
              <w:jc w:val="left"/>
              <w:rPr>
                <w:sz w:val="18"/>
                <w:szCs w:val="18"/>
                <w:lang w:val="en-AU"/>
              </w:rPr>
            </w:pPr>
            <w:r w:rsidRPr="00E573E1">
              <w:rPr>
                <w:sz w:val="18"/>
                <w:szCs w:val="18"/>
                <w:lang w:val="en-AU"/>
              </w:rPr>
              <w:t>p&lt;0.0001</w:t>
            </w:r>
          </w:p>
        </w:tc>
        <w:tc>
          <w:tcPr>
            <w:tcW w:w="1606" w:type="dxa"/>
            <w:shd w:val="clear" w:color="auto" w:fill="auto"/>
          </w:tcPr>
          <w:p w14:paraId="449CD56F" w14:textId="5223073C" w:rsidR="0004349F" w:rsidRPr="00E573E1" w:rsidRDefault="0004349F" w:rsidP="00C11150">
            <w:pPr>
              <w:pStyle w:val="TableCenter"/>
              <w:jc w:val="left"/>
              <w:rPr>
                <w:sz w:val="18"/>
                <w:szCs w:val="18"/>
                <w:lang w:val="en-AU"/>
              </w:rPr>
            </w:pPr>
            <w:r w:rsidRPr="00E573E1">
              <w:rPr>
                <w:sz w:val="18"/>
                <w:szCs w:val="18"/>
                <w:lang w:val="en-AU"/>
              </w:rPr>
              <w:t>-0.25</w:t>
            </w:r>
            <w:r w:rsidR="00135DD9" w:rsidRPr="00E573E1">
              <w:rPr>
                <w:sz w:val="18"/>
                <w:szCs w:val="18"/>
                <w:lang w:val="en-AU"/>
              </w:rPr>
              <w:t xml:space="preserve"> </w:t>
            </w:r>
            <w:r w:rsidRPr="00E573E1">
              <w:rPr>
                <w:sz w:val="18"/>
                <w:szCs w:val="18"/>
                <w:lang w:val="en-AU"/>
              </w:rPr>
              <w:t>(-0.60, 0.09)</w:t>
            </w:r>
          </w:p>
          <w:p w14:paraId="680C811A" w14:textId="4FB4DE23" w:rsidR="0004349F" w:rsidRPr="00E573E1" w:rsidRDefault="0004349F" w:rsidP="00C11150">
            <w:pPr>
              <w:pStyle w:val="TableCenter"/>
              <w:jc w:val="left"/>
              <w:rPr>
                <w:sz w:val="18"/>
                <w:szCs w:val="18"/>
                <w:lang w:val="en-AU"/>
              </w:rPr>
            </w:pPr>
            <w:r w:rsidRPr="00E573E1">
              <w:rPr>
                <w:sz w:val="18"/>
                <w:szCs w:val="18"/>
                <w:lang w:val="en-AU"/>
              </w:rPr>
              <w:t>p=0.1446</w:t>
            </w:r>
          </w:p>
        </w:tc>
        <w:tc>
          <w:tcPr>
            <w:tcW w:w="1651" w:type="dxa"/>
            <w:shd w:val="clear" w:color="auto" w:fill="auto"/>
          </w:tcPr>
          <w:p w14:paraId="6007956D" w14:textId="435930FF" w:rsidR="0004349F" w:rsidRPr="00E573E1" w:rsidRDefault="0004349F" w:rsidP="00C11150">
            <w:pPr>
              <w:pStyle w:val="TableCenter"/>
              <w:jc w:val="left"/>
              <w:rPr>
                <w:sz w:val="18"/>
                <w:szCs w:val="18"/>
                <w:lang w:val="en-AU"/>
              </w:rPr>
            </w:pPr>
            <w:r w:rsidRPr="00E573E1">
              <w:rPr>
                <w:sz w:val="18"/>
                <w:szCs w:val="18"/>
                <w:lang w:val="en-AU"/>
              </w:rPr>
              <w:t>-0.24</w:t>
            </w:r>
            <w:r w:rsidR="00135DD9" w:rsidRPr="00E573E1">
              <w:rPr>
                <w:sz w:val="18"/>
                <w:szCs w:val="18"/>
                <w:lang w:val="en-AU"/>
              </w:rPr>
              <w:t xml:space="preserve"> </w:t>
            </w:r>
            <w:r w:rsidRPr="00E573E1">
              <w:rPr>
                <w:sz w:val="18"/>
                <w:szCs w:val="18"/>
                <w:lang w:val="en-AU"/>
              </w:rPr>
              <w:t>(-0.65, 0.18)</w:t>
            </w:r>
          </w:p>
          <w:p w14:paraId="1BCE6914" w14:textId="1DFC700F" w:rsidR="0004349F" w:rsidRPr="00E573E1" w:rsidRDefault="0004349F" w:rsidP="00C11150">
            <w:pPr>
              <w:pStyle w:val="TableCenter"/>
              <w:jc w:val="left"/>
              <w:rPr>
                <w:sz w:val="18"/>
                <w:szCs w:val="18"/>
                <w:lang w:val="en-AU"/>
              </w:rPr>
            </w:pPr>
            <w:r w:rsidRPr="00E573E1">
              <w:rPr>
                <w:sz w:val="18"/>
                <w:szCs w:val="18"/>
                <w:lang w:val="en-AU"/>
              </w:rPr>
              <w:t>p=0.2661</w:t>
            </w:r>
          </w:p>
        </w:tc>
        <w:tc>
          <w:tcPr>
            <w:tcW w:w="1701" w:type="dxa"/>
            <w:shd w:val="clear" w:color="auto" w:fill="auto"/>
          </w:tcPr>
          <w:p w14:paraId="23F4F2AC" w14:textId="1D039D28" w:rsidR="0004349F" w:rsidRPr="00E573E1" w:rsidRDefault="0004349F" w:rsidP="00C11150">
            <w:pPr>
              <w:pStyle w:val="TableCenter"/>
              <w:jc w:val="left"/>
              <w:rPr>
                <w:sz w:val="18"/>
                <w:szCs w:val="18"/>
                <w:lang w:val="en-AU"/>
              </w:rPr>
            </w:pPr>
            <w:r w:rsidRPr="00E573E1">
              <w:rPr>
                <w:sz w:val="18"/>
                <w:szCs w:val="18"/>
                <w:lang w:val="en-AU"/>
              </w:rPr>
              <w:t>0.23</w:t>
            </w:r>
            <w:r w:rsidR="00135DD9" w:rsidRPr="00E573E1">
              <w:rPr>
                <w:sz w:val="18"/>
                <w:szCs w:val="18"/>
                <w:lang w:val="en-AU"/>
              </w:rPr>
              <w:t xml:space="preserve"> </w:t>
            </w:r>
            <w:r w:rsidRPr="00E573E1">
              <w:rPr>
                <w:sz w:val="18"/>
                <w:szCs w:val="18"/>
                <w:lang w:val="en-AU"/>
              </w:rPr>
              <w:t>(-0.17, 0.63)</w:t>
            </w:r>
          </w:p>
          <w:p w14:paraId="54C73B38" w14:textId="070E836F" w:rsidR="0004349F" w:rsidRPr="00E573E1" w:rsidRDefault="0004349F" w:rsidP="00C11150">
            <w:pPr>
              <w:pStyle w:val="TableCenter"/>
              <w:jc w:val="left"/>
              <w:rPr>
                <w:sz w:val="18"/>
                <w:szCs w:val="18"/>
                <w:lang w:val="en-AU"/>
              </w:rPr>
            </w:pPr>
            <w:r w:rsidRPr="00E573E1">
              <w:rPr>
                <w:sz w:val="18"/>
                <w:szCs w:val="18"/>
                <w:lang w:val="en-AU"/>
              </w:rPr>
              <w:t>p=0.2667</w:t>
            </w:r>
          </w:p>
        </w:tc>
      </w:tr>
      <w:tr w:rsidR="00135DD9" w:rsidRPr="00E573E1" w14:paraId="39C108D2" w14:textId="77777777" w:rsidTr="00FA0B06">
        <w:trPr>
          <w:cantSplit/>
        </w:trPr>
        <w:tc>
          <w:tcPr>
            <w:tcW w:w="1606" w:type="dxa"/>
            <w:shd w:val="clear" w:color="auto" w:fill="auto"/>
          </w:tcPr>
          <w:p w14:paraId="46A242BC" w14:textId="12CFEF92" w:rsidR="00135DD9" w:rsidRPr="00E573E1" w:rsidRDefault="00135DD9" w:rsidP="00C11150">
            <w:pPr>
              <w:pStyle w:val="TableLeft"/>
              <w:rPr>
                <w:sz w:val="18"/>
                <w:szCs w:val="18"/>
                <w:lang w:val="en-AU"/>
              </w:rPr>
            </w:pPr>
            <w:r w:rsidRPr="00E573E1">
              <w:rPr>
                <w:sz w:val="18"/>
                <w:szCs w:val="18"/>
                <w:lang w:val="en-AU"/>
              </w:rPr>
              <w:t>SGRQ</w:t>
            </w:r>
            <w:r w:rsidR="003E3719" w:rsidRPr="00E573E1">
              <w:rPr>
                <w:sz w:val="18"/>
                <w:szCs w:val="18"/>
                <w:lang w:val="en-AU"/>
              </w:rPr>
              <w:t xml:space="preserve"> total score</w:t>
            </w:r>
            <w:r w:rsidRPr="00E573E1">
              <w:rPr>
                <w:sz w:val="18"/>
                <w:szCs w:val="18"/>
                <w:lang w:val="en-AU"/>
              </w:rPr>
              <w:t xml:space="preserve"> (units)</w:t>
            </w:r>
          </w:p>
        </w:tc>
        <w:tc>
          <w:tcPr>
            <w:tcW w:w="1606" w:type="dxa"/>
            <w:shd w:val="clear" w:color="auto" w:fill="auto"/>
          </w:tcPr>
          <w:p w14:paraId="1BE6ACB6" w14:textId="5BD2E396" w:rsidR="00135DD9" w:rsidRPr="00E573E1" w:rsidRDefault="00135DD9" w:rsidP="00C11150">
            <w:pPr>
              <w:pStyle w:val="TableCenter"/>
              <w:jc w:val="left"/>
              <w:rPr>
                <w:sz w:val="18"/>
                <w:szCs w:val="18"/>
                <w:lang w:val="en-AU"/>
              </w:rPr>
            </w:pPr>
            <w:r w:rsidRPr="00E573E1">
              <w:rPr>
                <w:sz w:val="18"/>
                <w:szCs w:val="18"/>
                <w:lang w:val="en-AU"/>
              </w:rPr>
              <w:t>-1.62 (-2.27, -0.97)</w:t>
            </w:r>
          </w:p>
          <w:p w14:paraId="0F224333" w14:textId="770C0958" w:rsidR="00135DD9" w:rsidRPr="00E573E1" w:rsidRDefault="00135DD9" w:rsidP="00C11150">
            <w:pPr>
              <w:pStyle w:val="TableCenter"/>
              <w:jc w:val="left"/>
              <w:rPr>
                <w:sz w:val="18"/>
                <w:szCs w:val="18"/>
                <w:lang w:val="en-AU"/>
              </w:rPr>
            </w:pPr>
            <w:r w:rsidRPr="00E573E1">
              <w:rPr>
                <w:sz w:val="18"/>
                <w:szCs w:val="18"/>
                <w:lang w:val="en-AU"/>
              </w:rPr>
              <w:t>p&lt;0.0001</w:t>
            </w:r>
          </w:p>
        </w:tc>
        <w:tc>
          <w:tcPr>
            <w:tcW w:w="1606" w:type="dxa"/>
            <w:shd w:val="clear" w:color="auto" w:fill="auto"/>
          </w:tcPr>
          <w:p w14:paraId="735E7B5E" w14:textId="4C74FF44" w:rsidR="00135DD9" w:rsidRPr="00E573E1" w:rsidRDefault="00135DD9" w:rsidP="00C11150">
            <w:pPr>
              <w:pStyle w:val="TableCenter"/>
              <w:jc w:val="left"/>
              <w:rPr>
                <w:sz w:val="18"/>
                <w:szCs w:val="18"/>
                <w:lang w:val="en-AU"/>
              </w:rPr>
            </w:pPr>
            <w:r w:rsidRPr="00E573E1">
              <w:rPr>
                <w:sz w:val="18"/>
                <w:szCs w:val="18"/>
                <w:lang w:val="en-AU"/>
              </w:rPr>
              <w:t>-1.38 (-2.02, -0.73)</w:t>
            </w:r>
          </w:p>
          <w:p w14:paraId="210C88F8" w14:textId="23CF6630" w:rsidR="00135DD9" w:rsidRPr="00E573E1" w:rsidRDefault="00135DD9" w:rsidP="00C11150">
            <w:pPr>
              <w:pStyle w:val="TableCenter"/>
              <w:jc w:val="left"/>
              <w:rPr>
                <w:sz w:val="18"/>
                <w:szCs w:val="18"/>
                <w:lang w:val="en-AU"/>
              </w:rPr>
            </w:pPr>
            <w:r w:rsidRPr="00E573E1">
              <w:rPr>
                <w:sz w:val="18"/>
                <w:szCs w:val="18"/>
                <w:lang w:val="en-AU"/>
              </w:rPr>
              <w:t>p&lt;0.0001</w:t>
            </w:r>
          </w:p>
        </w:tc>
        <w:tc>
          <w:tcPr>
            <w:tcW w:w="1606" w:type="dxa"/>
            <w:shd w:val="clear" w:color="auto" w:fill="auto"/>
          </w:tcPr>
          <w:p w14:paraId="2E888DAB" w14:textId="07A168BD" w:rsidR="00135DD9" w:rsidRPr="00E573E1" w:rsidRDefault="00135DD9" w:rsidP="00C11150">
            <w:pPr>
              <w:pStyle w:val="TableCenter"/>
              <w:jc w:val="left"/>
              <w:rPr>
                <w:sz w:val="18"/>
                <w:szCs w:val="18"/>
                <w:lang w:val="en-AU"/>
              </w:rPr>
            </w:pPr>
            <w:r w:rsidRPr="00E573E1">
              <w:rPr>
                <w:sz w:val="18"/>
                <w:szCs w:val="18"/>
                <w:lang w:val="en-AU"/>
              </w:rPr>
              <w:t>-1.22 (-2.30, -0.15)</w:t>
            </w:r>
          </w:p>
          <w:p w14:paraId="0FD971DE" w14:textId="66900498" w:rsidR="00135DD9" w:rsidRPr="00E573E1" w:rsidRDefault="00135DD9" w:rsidP="00C11150">
            <w:pPr>
              <w:pStyle w:val="TableCenter"/>
              <w:jc w:val="left"/>
              <w:rPr>
                <w:sz w:val="18"/>
                <w:szCs w:val="18"/>
                <w:lang w:val="en-AU"/>
              </w:rPr>
            </w:pPr>
            <w:r w:rsidRPr="00E573E1">
              <w:rPr>
                <w:sz w:val="18"/>
                <w:szCs w:val="18"/>
                <w:lang w:val="en-AU"/>
              </w:rPr>
              <w:t>p=0.0259</w:t>
            </w:r>
            <w:r w:rsidR="00240F94" w:rsidRPr="00E573E1">
              <w:rPr>
                <w:sz w:val="18"/>
                <w:szCs w:val="18"/>
                <w:lang w:val="en-AU"/>
              </w:rPr>
              <w:t>*</w:t>
            </w:r>
          </w:p>
        </w:tc>
        <w:tc>
          <w:tcPr>
            <w:tcW w:w="1651" w:type="dxa"/>
            <w:shd w:val="clear" w:color="auto" w:fill="auto"/>
          </w:tcPr>
          <w:p w14:paraId="66B67508" w14:textId="4F518708" w:rsidR="00135DD9" w:rsidRPr="00E573E1" w:rsidRDefault="00135DD9" w:rsidP="00C11150">
            <w:pPr>
              <w:pStyle w:val="TableCenter"/>
              <w:jc w:val="left"/>
              <w:rPr>
                <w:sz w:val="18"/>
                <w:szCs w:val="18"/>
                <w:lang w:val="en-AU"/>
              </w:rPr>
            </w:pPr>
            <w:r w:rsidRPr="00E573E1">
              <w:rPr>
                <w:sz w:val="18"/>
                <w:szCs w:val="18"/>
                <w:lang w:val="en-AU"/>
              </w:rPr>
              <w:t>-0.45 (-1.78, 0.87)</w:t>
            </w:r>
          </w:p>
          <w:p w14:paraId="17ACE370" w14:textId="00B4A248" w:rsidR="00135DD9" w:rsidRPr="00E573E1" w:rsidRDefault="00135DD9" w:rsidP="00C11150">
            <w:pPr>
              <w:pStyle w:val="TableCenter"/>
              <w:jc w:val="left"/>
              <w:rPr>
                <w:sz w:val="18"/>
                <w:szCs w:val="18"/>
                <w:lang w:val="en-AU"/>
              </w:rPr>
            </w:pPr>
            <w:r w:rsidRPr="00E573E1">
              <w:rPr>
                <w:sz w:val="18"/>
                <w:szCs w:val="18"/>
                <w:lang w:val="en-AU"/>
              </w:rPr>
              <w:t>p=0.5036</w:t>
            </w:r>
          </w:p>
        </w:tc>
        <w:tc>
          <w:tcPr>
            <w:tcW w:w="1701" w:type="dxa"/>
            <w:shd w:val="clear" w:color="auto" w:fill="auto"/>
          </w:tcPr>
          <w:p w14:paraId="341C30E2" w14:textId="38BF0945" w:rsidR="00135DD9" w:rsidRPr="00E573E1" w:rsidRDefault="00135DD9" w:rsidP="00C11150">
            <w:pPr>
              <w:pStyle w:val="TableCenter"/>
              <w:jc w:val="left"/>
              <w:rPr>
                <w:sz w:val="18"/>
                <w:szCs w:val="18"/>
                <w:lang w:val="en-AU"/>
              </w:rPr>
            </w:pPr>
            <w:r w:rsidRPr="00E573E1">
              <w:rPr>
                <w:sz w:val="18"/>
                <w:szCs w:val="18"/>
                <w:lang w:val="en-AU"/>
              </w:rPr>
              <w:t>-1.26 (-2.58, 0.06)</w:t>
            </w:r>
          </w:p>
          <w:p w14:paraId="6C52A641" w14:textId="388C1B64" w:rsidR="00135DD9" w:rsidRPr="00E573E1" w:rsidRDefault="00135DD9" w:rsidP="00C11150">
            <w:pPr>
              <w:pStyle w:val="TableCenter"/>
              <w:jc w:val="left"/>
              <w:rPr>
                <w:sz w:val="18"/>
                <w:szCs w:val="18"/>
                <w:lang w:val="en-AU"/>
              </w:rPr>
            </w:pPr>
            <w:r w:rsidRPr="00E573E1">
              <w:rPr>
                <w:sz w:val="18"/>
                <w:szCs w:val="18"/>
                <w:lang w:val="en-AU"/>
              </w:rPr>
              <w:t>p=0.0617</w:t>
            </w:r>
          </w:p>
        </w:tc>
      </w:tr>
      <w:tr w:rsidR="00FC31BB" w:rsidRPr="00E573E1" w14:paraId="70574502" w14:textId="77777777" w:rsidTr="00FA0B06">
        <w:trPr>
          <w:cantSplit/>
        </w:trPr>
        <w:tc>
          <w:tcPr>
            <w:tcW w:w="1606" w:type="dxa"/>
            <w:shd w:val="clear" w:color="auto" w:fill="auto"/>
          </w:tcPr>
          <w:p w14:paraId="0ECE62F8" w14:textId="77777777" w:rsidR="00FC31BB" w:rsidRPr="00E573E1" w:rsidRDefault="00FC31BB" w:rsidP="00C11150">
            <w:pPr>
              <w:pStyle w:val="TableLeft"/>
              <w:rPr>
                <w:sz w:val="18"/>
                <w:szCs w:val="18"/>
                <w:lang w:val="en-AU"/>
              </w:rPr>
            </w:pPr>
            <w:r w:rsidRPr="00E573E1">
              <w:rPr>
                <w:sz w:val="18"/>
                <w:szCs w:val="18"/>
                <w:lang w:val="en-AU"/>
              </w:rPr>
              <w:t xml:space="preserve">RS-total score (units) </w:t>
            </w:r>
          </w:p>
        </w:tc>
        <w:tc>
          <w:tcPr>
            <w:tcW w:w="1606" w:type="dxa"/>
            <w:shd w:val="clear" w:color="auto" w:fill="auto"/>
          </w:tcPr>
          <w:p w14:paraId="1EB784C2" w14:textId="77777777" w:rsidR="00FC31BB" w:rsidRPr="00E573E1" w:rsidRDefault="00FC31BB" w:rsidP="00C11150">
            <w:pPr>
              <w:pStyle w:val="TableCenter"/>
              <w:jc w:val="left"/>
              <w:rPr>
                <w:sz w:val="18"/>
                <w:szCs w:val="18"/>
                <w:lang w:val="en-AU"/>
              </w:rPr>
            </w:pPr>
            <w:r w:rsidRPr="00E573E1">
              <w:rPr>
                <w:sz w:val="18"/>
                <w:szCs w:val="18"/>
                <w:lang w:val="en-AU"/>
              </w:rPr>
              <w:t>N/A</w:t>
            </w:r>
          </w:p>
        </w:tc>
        <w:tc>
          <w:tcPr>
            <w:tcW w:w="1606" w:type="dxa"/>
            <w:shd w:val="clear" w:color="auto" w:fill="auto"/>
          </w:tcPr>
          <w:p w14:paraId="016CD6F4" w14:textId="77777777" w:rsidR="00FC31BB" w:rsidRPr="00E573E1" w:rsidRDefault="00FC31BB" w:rsidP="00C11150">
            <w:pPr>
              <w:pStyle w:val="TableCenter"/>
              <w:jc w:val="left"/>
              <w:rPr>
                <w:sz w:val="18"/>
                <w:szCs w:val="18"/>
                <w:lang w:val="en-AU"/>
              </w:rPr>
            </w:pPr>
            <w:r w:rsidRPr="00E573E1">
              <w:rPr>
                <w:sz w:val="18"/>
                <w:szCs w:val="18"/>
                <w:lang w:val="en-AU"/>
              </w:rPr>
              <w:t>N/A</w:t>
            </w:r>
          </w:p>
        </w:tc>
        <w:tc>
          <w:tcPr>
            <w:tcW w:w="1606" w:type="dxa"/>
            <w:shd w:val="clear" w:color="auto" w:fill="auto"/>
          </w:tcPr>
          <w:p w14:paraId="477F0543" w14:textId="77777777" w:rsidR="00FC31BB" w:rsidRPr="00E573E1" w:rsidRDefault="00FC31BB" w:rsidP="00C11150">
            <w:pPr>
              <w:pStyle w:val="TableCenter"/>
              <w:jc w:val="left"/>
              <w:rPr>
                <w:sz w:val="18"/>
                <w:lang w:val="en-AU" w:eastAsia="en-CA"/>
              </w:rPr>
            </w:pPr>
            <w:r w:rsidRPr="00E573E1">
              <w:rPr>
                <w:sz w:val="18"/>
                <w:lang w:val="en-AU" w:eastAsia="en-CA"/>
              </w:rPr>
              <w:t>-0.38 (-0.74, -0.01)</w:t>
            </w:r>
          </w:p>
          <w:p w14:paraId="6EF9C523" w14:textId="3E0D2E29" w:rsidR="00FC31BB" w:rsidRPr="00E573E1" w:rsidRDefault="00FC31BB" w:rsidP="00C11150">
            <w:pPr>
              <w:pStyle w:val="TableCenter"/>
              <w:jc w:val="left"/>
              <w:rPr>
                <w:sz w:val="18"/>
                <w:szCs w:val="18"/>
                <w:lang w:val="en-AU"/>
              </w:rPr>
            </w:pPr>
            <w:r w:rsidRPr="00E573E1">
              <w:rPr>
                <w:sz w:val="18"/>
                <w:lang w:val="en-AU" w:eastAsia="en-CA"/>
              </w:rPr>
              <w:t>p=0.0430</w:t>
            </w:r>
            <w:r w:rsidR="00240F94" w:rsidRPr="00E573E1">
              <w:rPr>
                <w:sz w:val="18"/>
                <w:lang w:val="en-AU" w:eastAsia="en-CA"/>
              </w:rPr>
              <w:t>*</w:t>
            </w:r>
          </w:p>
        </w:tc>
        <w:tc>
          <w:tcPr>
            <w:tcW w:w="1651" w:type="dxa"/>
            <w:shd w:val="clear" w:color="auto" w:fill="auto"/>
          </w:tcPr>
          <w:p w14:paraId="7F0CC74C" w14:textId="77777777" w:rsidR="00FC31BB" w:rsidRPr="00E573E1" w:rsidRDefault="00FC31BB" w:rsidP="00C11150">
            <w:pPr>
              <w:pStyle w:val="TableCenter"/>
              <w:jc w:val="left"/>
              <w:rPr>
                <w:sz w:val="18"/>
                <w:lang w:val="en-AU" w:eastAsia="en-CA"/>
              </w:rPr>
            </w:pPr>
            <w:r w:rsidRPr="00E573E1">
              <w:rPr>
                <w:sz w:val="18"/>
                <w:lang w:val="en-AU" w:eastAsia="en-CA"/>
              </w:rPr>
              <w:t>-0.16 (-0.61, 0.28)</w:t>
            </w:r>
          </w:p>
          <w:p w14:paraId="2846AAEB" w14:textId="77777777" w:rsidR="00FC31BB" w:rsidRPr="00E573E1" w:rsidRDefault="00FC31BB" w:rsidP="00C11150">
            <w:pPr>
              <w:pStyle w:val="TableCenter"/>
              <w:jc w:val="left"/>
              <w:rPr>
                <w:sz w:val="18"/>
                <w:szCs w:val="18"/>
                <w:lang w:val="en-AU"/>
              </w:rPr>
            </w:pPr>
            <w:r w:rsidRPr="00E573E1">
              <w:rPr>
                <w:sz w:val="18"/>
                <w:lang w:val="en-AU" w:eastAsia="en-CA"/>
              </w:rPr>
              <w:t>p=0.4790</w:t>
            </w:r>
          </w:p>
        </w:tc>
        <w:tc>
          <w:tcPr>
            <w:tcW w:w="1701" w:type="dxa"/>
            <w:shd w:val="clear" w:color="auto" w:fill="auto"/>
          </w:tcPr>
          <w:p w14:paraId="3A17BA09" w14:textId="77777777" w:rsidR="00FC31BB" w:rsidRPr="00E573E1" w:rsidRDefault="00FC31BB" w:rsidP="00C11150">
            <w:pPr>
              <w:pStyle w:val="TableCenter"/>
              <w:jc w:val="left"/>
              <w:rPr>
                <w:sz w:val="18"/>
                <w:lang w:val="en-AU" w:eastAsia="en-CA"/>
              </w:rPr>
            </w:pPr>
            <w:r w:rsidRPr="00E573E1">
              <w:rPr>
                <w:sz w:val="18"/>
                <w:lang w:val="en-AU" w:eastAsia="en-CA"/>
              </w:rPr>
              <w:t>-0.16 (-0.60, 0.29)</w:t>
            </w:r>
          </w:p>
          <w:p w14:paraId="3B48BBBE" w14:textId="77777777" w:rsidR="00FC31BB" w:rsidRPr="00E573E1" w:rsidRDefault="00FC31BB" w:rsidP="00C11150">
            <w:pPr>
              <w:pStyle w:val="TableCenter"/>
              <w:jc w:val="left"/>
              <w:rPr>
                <w:sz w:val="18"/>
                <w:szCs w:val="18"/>
                <w:lang w:val="en-AU"/>
              </w:rPr>
            </w:pPr>
            <w:r w:rsidRPr="00E573E1">
              <w:rPr>
                <w:sz w:val="18"/>
                <w:lang w:val="en-AU" w:eastAsia="en-CA"/>
              </w:rPr>
              <w:t>p=0.4923</w:t>
            </w:r>
          </w:p>
        </w:tc>
      </w:tr>
      <w:tr w:rsidR="006E0B9E" w:rsidRPr="00E573E1" w14:paraId="34063B73" w14:textId="77777777" w:rsidTr="00FA0B06">
        <w:trPr>
          <w:cantSplit/>
        </w:trPr>
        <w:tc>
          <w:tcPr>
            <w:tcW w:w="9776" w:type="dxa"/>
            <w:gridSpan w:val="6"/>
            <w:shd w:val="clear" w:color="auto" w:fill="auto"/>
          </w:tcPr>
          <w:p w14:paraId="05D0BD99" w14:textId="6A447003" w:rsidR="006E0B9E" w:rsidRPr="00E573E1" w:rsidRDefault="006E0B9E" w:rsidP="00C11150">
            <w:pPr>
              <w:pStyle w:val="TableCenter"/>
              <w:jc w:val="left"/>
              <w:rPr>
                <w:sz w:val="18"/>
                <w:szCs w:val="18"/>
                <w:lang w:val="en-AU"/>
              </w:rPr>
            </w:pPr>
            <w:r w:rsidRPr="00E573E1">
              <w:rPr>
                <w:b/>
                <w:sz w:val="18"/>
                <w:szCs w:val="18"/>
                <w:lang w:val="en-AU"/>
              </w:rPr>
              <w:t>Change from baseline over 52 weeks (LSM difference (95% CI); p value)</w:t>
            </w:r>
          </w:p>
        </w:tc>
      </w:tr>
      <w:tr w:rsidR="00F8425B" w:rsidRPr="00E573E1" w14:paraId="64F243A9" w14:textId="77777777" w:rsidTr="00FA0B06">
        <w:trPr>
          <w:cantSplit/>
        </w:trPr>
        <w:tc>
          <w:tcPr>
            <w:tcW w:w="1606" w:type="dxa"/>
            <w:shd w:val="clear" w:color="auto" w:fill="auto"/>
          </w:tcPr>
          <w:p w14:paraId="4598435D" w14:textId="4E266B69" w:rsidR="00F8425B" w:rsidRPr="00E573E1" w:rsidRDefault="00287611" w:rsidP="00C11150">
            <w:pPr>
              <w:pStyle w:val="TableLeft"/>
              <w:rPr>
                <w:sz w:val="18"/>
                <w:szCs w:val="18"/>
                <w:lang w:val="en-AU"/>
              </w:rPr>
            </w:pPr>
            <w:r w:rsidRPr="00E573E1">
              <w:rPr>
                <w:sz w:val="18"/>
                <w:szCs w:val="18"/>
                <w:lang w:val="en-AU"/>
              </w:rPr>
              <w:t xml:space="preserve">Mean daily </w:t>
            </w:r>
            <w:r w:rsidR="00D8132E" w:rsidRPr="00E573E1">
              <w:rPr>
                <w:sz w:val="18"/>
                <w:szCs w:val="18"/>
                <w:lang w:val="en-AU"/>
              </w:rPr>
              <w:t>EXACT total score</w:t>
            </w:r>
          </w:p>
        </w:tc>
        <w:tc>
          <w:tcPr>
            <w:tcW w:w="1606" w:type="dxa"/>
            <w:shd w:val="clear" w:color="auto" w:fill="auto"/>
          </w:tcPr>
          <w:p w14:paraId="3C797AAD" w14:textId="659135EF" w:rsidR="00D8132E" w:rsidRPr="00E573E1" w:rsidRDefault="00D8132E" w:rsidP="00C11150">
            <w:pPr>
              <w:pStyle w:val="TableCenter"/>
              <w:jc w:val="left"/>
              <w:rPr>
                <w:sz w:val="18"/>
                <w:szCs w:val="18"/>
                <w:lang w:val="en-AU"/>
              </w:rPr>
            </w:pPr>
            <w:r w:rsidRPr="00E573E1">
              <w:rPr>
                <w:sz w:val="18"/>
                <w:szCs w:val="18"/>
                <w:lang w:val="en-AU"/>
              </w:rPr>
              <w:t>-1.14 (-1.64, -0.65)</w:t>
            </w:r>
          </w:p>
          <w:p w14:paraId="7D5D1442" w14:textId="1AB0A6CD" w:rsidR="00F8425B" w:rsidRPr="00E573E1" w:rsidRDefault="00886BB4" w:rsidP="00C11150">
            <w:pPr>
              <w:pStyle w:val="TableCenter"/>
              <w:jc w:val="left"/>
              <w:rPr>
                <w:sz w:val="18"/>
                <w:szCs w:val="18"/>
                <w:lang w:val="en-AU"/>
              </w:rPr>
            </w:pPr>
            <w:r w:rsidRPr="00E573E1">
              <w:rPr>
                <w:sz w:val="18"/>
                <w:szCs w:val="18"/>
                <w:lang w:val="en-AU"/>
              </w:rPr>
              <w:t>p</w:t>
            </w:r>
            <w:r w:rsidR="00D8132E" w:rsidRPr="00E573E1">
              <w:rPr>
                <w:sz w:val="18"/>
                <w:szCs w:val="18"/>
                <w:lang w:val="en-AU"/>
              </w:rPr>
              <w:t>&lt;0.0001</w:t>
            </w:r>
          </w:p>
        </w:tc>
        <w:tc>
          <w:tcPr>
            <w:tcW w:w="1606" w:type="dxa"/>
            <w:shd w:val="clear" w:color="auto" w:fill="auto"/>
          </w:tcPr>
          <w:p w14:paraId="68A551D8" w14:textId="5FAFB4B1" w:rsidR="00D8132E" w:rsidRPr="00E573E1" w:rsidRDefault="00D8132E" w:rsidP="00C11150">
            <w:pPr>
              <w:pStyle w:val="TableCenter"/>
              <w:jc w:val="left"/>
              <w:rPr>
                <w:sz w:val="18"/>
                <w:szCs w:val="18"/>
                <w:lang w:val="en-AU"/>
              </w:rPr>
            </w:pPr>
            <w:r w:rsidRPr="00E573E1">
              <w:rPr>
                <w:sz w:val="18"/>
                <w:szCs w:val="18"/>
                <w:lang w:val="en-AU"/>
              </w:rPr>
              <w:t>-1.04 (-1.53, -0.55)</w:t>
            </w:r>
          </w:p>
          <w:p w14:paraId="76DF2122" w14:textId="05FBBA07" w:rsidR="00F8425B" w:rsidRPr="00E573E1" w:rsidRDefault="00886BB4" w:rsidP="00C11150">
            <w:pPr>
              <w:pStyle w:val="TableCenter"/>
              <w:jc w:val="left"/>
              <w:rPr>
                <w:sz w:val="18"/>
                <w:szCs w:val="18"/>
                <w:lang w:val="en-AU"/>
              </w:rPr>
            </w:pPr>
            <w:r w:rsidRPr="00E573E1">
              <w:rPr>
                <w:sz w:val="18"/>
                <w:szCs w:val="18"/>
                <w:lang w:val="en-AU"/>
              </w:rPr>
              <w:t>p</w:t>
            </w:r>
            <w:r w:rsidR="00D8132E" w:rsidRPr="00E573E1">
              <w:rPr>
                <w:sz w:val="18"/>
                <w:szCs w:val="18"/>
                <w:lang w:val="en-AU"/>
              </w:rPr>
              <w:t>&lt;0.0001</w:t>
            </w:r>
          </w:p>
        </w:tc>
        <w:tc>
          <w:tcPr>
            <w:tcW w:w="1606" w:type="dxa"/>
            <w:shd w:val="clear" w:color="auto" w:fill="auto"/>
          </w:tcPr>
          <w:p w14:paraId="69070A9D" w14:textId="108D2AA7" w:rsidR="00F8425B" w:rsidRPr="00E573E1" w:rsidRDefault="00287611" w:rsidP="00C11150">
            <w:pPr>
              <w:pStyle w:val="TableCenter"/>
              <w:jc w:val="left"/>
              <w:rPr>
                <w:sz w:val="18"/>
                <w:szCs w:val="18"/>
                <w:lang w:val="en-AU"/>
              </w:rPr>
            </w:pPr>
            <w:r w:rsidRPr="00E573E1">
              <w:rPr>
                <w:sz w:val="18"/>
                <w:szCs w:val="18"/>
                <w:lang w:val="en-AU"/>
              </w:rPr>
              <w:t>N/A</w:t>
            </w:r>
          </w:p>
        </w:tc>
        <w:tc>
          <w:tcPr>
            <w:tcW w:w="1651" w:type="dxa"/>
            <w:shd w:val="clear" w:color="auto" w:fill="auto"/>
          </w:tcPr>
          <w:p w14:paraId="4E2F0D37" w14:textId="08626FEC" w:rsidR="00F8425B" w:rsidRPr="00E573E1" w:rsidRDefault="00287611" w:rsidP="00C11150">
            <w:pPr>
              <w:pStyle w:val="TableCenter"/>
              <w:jc w:val="left"/>
              <w:rPr>
                <w:sz w:val="18"/>
                <w:szCs w:val="18"/>
                <w:lang w:val="en-AU"/>
              </w:rPr>
            </w:pPr>
            <w:r w:rsidRPr="00E573E1">
              <w:rPr>
                <w:sz w:val="18"/>
                <w:szCs w:val="18"/>
                <w:lang w:val="en-AU"/>
              </w:rPr>
              <w:t>N/A</w:t>
            </w:r>
          </w:p>
        </w:tc>
        <w:tc>
          <w:tcPr>
            <w:tcW w:w="1701" w:type="dxa"/>
            <w:shd w:val="clear" w:color="auto" w:fill="auto"/>
          </w:tcPr>
          <w:p w14:paraId="7E1ACB32" w14:textId="46AA8E00" w:rsidR="00F8425B" w:rsidRPr="00E573E1" w:rsidRDefault="00287611" w:rsidP="00C11150">
            <w:pPr>
              <w:pStyle w:val="TableCenter"/>
              <w:jc w:val="left"/>
              <w:rPr>
                <w:sz w:val="18"/>
                <w:szCs w:val="18"/>
                <w:lang w:val="en-AU"/>
              </w:rPr>
            </w:pPr>
            <w:r w:rsidRPr="00E573E1">
              <w:rPr>
                <w:sz w:val="18"/>
                <w:szCs w:val="18"/>
                <w:lang w:val="en-AU"/>
              </w:rPr>
              <w:t>N/A</w:t>
            </w:r>
          </w:p>
        </w:tc>
      </w:tr>
      <w:tr w:rsidR="006E0B9E" w:rsidRPr="00E573E1" w14:paraId="0C694B0F" w14:textId="77777777" w:rsidTr="00FA0B06">
        <w:trPr>
          <w:cantSplit/>
        </w:trPr>
        <w:tc>
          <w:tcPr>
            <w:tcW w:w="9776" w:type="dxa"/>
            <w:gridSpan w:val="6"/>
            <w:shd w:val="clear" w:color="auto" w:fill="auto"/>
          </w:tcPr>
          <w:p w14:paraId="49F30DE8" w14:textId="119EF977" w:rsidR="006E0B9E" w:rsidRPr="00E573E1" w:rsidRDefault="006E0B9E" w:rsidP="00C11150">
            <w:pPr>
              <w:pStyle w:val="TableCenter"/>
              <w:jc w:val="left"/>
              <w:rPr>
                <w:sz w:val="18"/>
                <w:szCs w:val="18"/>
                <w:lang w:val="en-AU"/>
              </w:rPr>
            </w:pPr>
            <w:r w:rsidRPr="00E573E1">
              <w:rPr>
                <w:b/>
                <w:sz w:val="18"/>
                <w:szCs w:val="18"/>
                <w:lang w:val="en-AU"/>
              </w:rPr>
              <w:t>Other</w:t>
            </w:r>
          </w:p>
        </w:tc>
      </w:tr>
      <w:tr w:rsidR="000305B9" w:rsidRPr="00E573E1" w14:paraId="3CB9BA1D" w14:textId="77777777" w:rsidTr="00FA0B06">
        <w:trPr>
          <w:cantSplit/>
        </w:trPr>
        <w:tc>
          <w:tcPr>
            <w:tcW w:w="1606" w:type="dxa"/>
            <w:shd w:val="clear" w:color="auto" w:fill="auto"/>
          </w:tcPr>
          <w:p w14:paraId="2F8615D3" w14:textId="32F37DE7" w:rsidR="000305B9" w:rsidRPr="00E573E1" w:rsidRDefault="00A573C3" w:rsidP="00C11150">
            <w:pPr>
              <w:pStyle w:val="TableLeft"/>
              <w:rPr>
                <w:sz w:val="18"/>
                <w:szCs w:val="18"/>
                <w:lang w:val="en-AU"/>
              </w:rPr>
            </w:pPr>
            <w:r w:rsidRPr="00E573E1">
              <w:rPr>
                <w:sz w:val="18"/>
                <w:szCs w:val="18"/>
                <w:lang w:val="en-AU"/>
              </w:rPr>
              <w:t>Risk of a CID event</w:t>
            </w:r>
            <w:r w:rsidR="00AF4835" w:rsidRPr="00E573E1">
              <w:rPr>
                <w:sz w:val="18"/>
                <w:szCs w:val="18"/>
                <w:lang w:val="en-AU"/>
              </w:rPr>
              <w:t xml:space="preserve"> </w:t>
            </w:r>
            <w:r w:rsidR="000305B9" w:rsidRPr="00E573E1">
              <w:rPr>
                <w:sz w:val="18"/>
                <w:szCs w:val="18"/>
                <w:lang w:val="en-AU"/>
              </w:rPr>
              <w:t>(HR (95%CI); p-value)</w:t>
            </w:r>
          </w:p>
        </w:tc>
        <w:tc>
          <w:tcPr>
            <w:tcW w:w="1606" w:type="dxa"/>
            <w:shd w:val="clear" w:color="auto" w:fill="auto"/>
          </w:tcPr>
          <w:p w14:paraId="460009E8" w14:textId="1B0AB630" w:rsidR="000305B9" w:rsidRPr="00E573E1" w:rsidRDefault="009723F7" w:rsidP="00C11150">
            <w:pPr>
              <w:pStyle w:val="TableCenter"/>
              <w:jc w:val="left"/>
              <w:rPr>
                <w:sz w:val="18"/>
                <w:szCs w:val="18"/>
                <w:lang w:val="en-AU"/>
              </w:rPr>
            </w:pPr>
            <w:r w:rsidRPr="00E573E1">
              <w:rPr>
                <w:sz w:val="18"/>
                <w:szCs w:val="18"/>
                <w:lang w:val="en-AU"/>
              </w:rPr>
              <w:t>N/A</w:t>
            </w:r>
          </w:p>
        </w:tc>
        <w:tc>
          <w:tcPr>
            <w:tcW w:w="1606" w:type="dxa"/>
            <w:shd w:val="clear" w:color="auto" w:fill="auto"/>
          </w:tcPr>
          <w:p w14:paraId="0A88E359" w14:textId="48BB76C2" w:rsidR="000305B9" w:rsidRPr="00E573E1" w:rsidRDefault="009723F7" w:rsidP="00C11150">
            <w:pPr>
              <w:pStyle w:val="TableCenter"/>
              <w:jc w:val="left"/>
              <w:rPr>
                <w:sz w:val="18"/>
                <w:szCs w:val="18"/>
                <w:lang w:val="en-AU"/>
              </w:rPr>
            </w:pPr>
            <w:r w:rsidRPr="00E573E1">
              <w:rPr>
                <w:sz w:val="18"/>
                <w:szCs w:val="18"/>
                <w:lang w:val="en-AU"/>
              </w:rPr>
              <w:t>N/A</w:t>
            </w:r>
          </w:p>
        </w:tc>
        <w:tc>
          <w:tcPr>
            <w:tcW w:w="1606" w:type="dxa"/>
            <w:shd w:val="clear" w:color="auto" w:fill="auto"/>
          </w:tcPr>
          <w:p w14:paraId="733894E5" w14:textId="631F68D5" w:rsidR="000305B9" w:rsidRPr="00E573E1" w:rsidRDefault="000305B9" w:rsidP="00C11150">
            <w:pPr>
              <w:pStyle w:val="TableCenter"/>
              <w:jc w:val="left"/>
              <w:rPr>
                <w:sz w:val="18"/>
                <w:lang w:val="en-AU"/>
              </w:rPr>
            </w:pPr>
            <w:r w:rsidRPr="00E573E1">
              <w:rPr>
                <w:sz w:val="18"/>
                <w:lang w:val="en-AU"/>
              </w:rPr>
              <w:t>0.877 (0.76, 1.01)</w:t>
            </w:r>
          </w:p>
          <w:p w14:paraId="40868D8C" w14:textId="0281C8EA" w:rsidR="000305B9" w:rsidRPr="00E573E1" w:rsidRDefault="000305B9" w:rsidP="00C11150">
            <w:pPr>
              <w:pStyle w:val="TableCenter"/>
              <w:jc w:val="left"/>
              <w:rPr>
                <w:sz w:val="18"/>
                <w:szCs w:val="18"/>
                <w:lang w:val="en-AU"/>
              </w:rPr>
            </w:pPr>
            <w:r w:rsidRPr="00E573E1">
              <w:rPr>
                <w:sz w:val="18"/>
                <w:lang w:val="en-AU"/>
              </w:rPr>
              <w:t>p=0.0593</w:t>
            </w:r>
          </w:p>
        </w:tc>
        <w:tc>
          <w:tcPr>
            <w:tcW w:w="1651" w:type="dxa"/>
            <w:shd w:val="clear" w:color="auto" w:fill="auto"/>
          </w:tcPr>
          <w:p w14:paraId="7132CF98" w14:textId="3CE1B9AD" w:rsidR="000305B9" w:rsidRPr="00E573E1" w:rsidRDefault="000305B9" w:rsidP="00C11150">
            <w:pPr>
              <w:pStyle w:val="TableCenter"/>
              <w:jc w:val="left"/>
              <w:rPr>
                <w:sz w:val="18"/>
                <w:lang w:val="en-AU"/>
              </w:rPr>
            </w:pPr>
            <w:r w:rsidRPr="00E573E1">
              <w:rPr>
                <w:sz w:val="18"/>
                <w:lang w:val="en-AU"/>
              </w:rPr>
              <w:t>0.831 (0.70, 0.98)</w:t>
            </w:r>
          </w:p>
          <w:p w14:paraId="04F100E4" w14:textId="251C50D2" w:rsidR="000305B9" w:rsidRPr="00E573E1" w:rsidRDefault="000305B9" w:rsidP="00C11150">
            <w:pPr>
              <w:pStyle w:val="TableCenter"/>
              <w:jc w:val="left"/>
              <w:rPr>
                <w:sz w:val="18"/>
                <w:szCs w:val="18"/>
                <w:lang w:val="en-AU"/>
              </w:rPr>
            </w:pPr>
            <w:r w:rsidRPr="00E573E1">
              <w:rPr>
                <w:sz w:val="18"/>
                <w:lang w:val="en-AU" w:eastAsia="en-CA"/>
              </w:rPr>
              <w:t>p=0.0276</w:t>
            </w:r>
            <w:r w:rsidR="00240F94" w:rsidRPr="00E573E1">
              <w:rPr>
                <w:sz w:val="18"/>
                <w:lang w:val="en-AU" w:eastAsia="en-CA"/>
              </w:rPr>
              <w:t>*</w:t>
            </w:r>
          </w:p>
        </w:tc>
        <w:tc>
          <w:tcPr>
            <w:tcW w:w="1701" w:type="dxa"/>
            <w:shd w:val="clear" w:color="auto" w:fill="auto"/>
          </w:tcPr>
          <w:p w14:paraId="248D7E05" w14:textId="59137F4F" w:rsidR="000305B9" w:rsidRPr="00E573E1" w:rsidRDefault="000305B9" w:rsidP="00C11150">
            <w:pPr>
              <w:pStyle w:val="TableCenter"/>
              <w:jc w:val="left"/>
              <w:rPr>
                <w:sz w:val="18"/>
                <w:lang w:val="en-AU"/>
              </w:rPr>
            </w:pPr>
            <w:r w:rsidRPr="00E573E1">
              <w:rPr>
                <w:sz w:val="18"/>
                <w:lang w:val="en-AU"/>
              </w:rPr>
              <w:t>0.811 (0.69, 0.96)</w:t>
            </w:r>
          </w:p>
          <w:p w14:paraId="2CBBD3D1" w14:textId="4A555D8F" w:rsidR="000305B9" w:rsidRPr="00E573E1" w:rsidRDefault="000305B9" w:rsidP="00C11150">
            <w:pPr>
              <w:pStyle w:val="TableCenter"/>
              <w:jc w:val="left"/>
              <w:rPr>
                <w:sz w:val="18"/>
                <w:szCs w:val="18"/>
                <w:lang w:val="en-AU"/>
              </w:rPr>
            </w:pPr>
            <w:r w:rsidRPr="00E573E1">
              <w:rPr>
                <w:sz w:val="18"/>
                <w:lang w:val="en-AU" w:eastAsia="en-CA"/>
              </w:rPr>
              <w:t>p=0.0119</w:t>
            </w:r>
            <w:r w:rsidR="00240F94" w:rsidRPr="00E573E1">
              <w:rPr>
                <w:sz w:val="18"/>
                <w:lang w:val="en-AU" w:eastAsia="en-CA"/>
              </w:rPr>
              <w:t>*</w:t>
            </w:r>
          </w:p>
        </w:tc>
      </w:tr>
    </w:tbl>
    <w:p w14:paraId="25F22C31" w14:textId="2D9D67FB" w:rsidR="00AF4835" w:rsidRPr="00E573E1" w:rsidRDefault="00AF4835" w:rsidP="00C11150">
      <w:pPr>
        <w:pStyle w:val="TableFootnoteInfo"/>
        <w:rPr>
          <w:lang w:val="en-AU"/>
        </w:rPr>
      </w:pPr>
      <w:r w:rsidRPr="00E573E1">
        <w:rPr>
          <w:lang w:val="en-AU"/>
        </w:rPr>
        <w:t>^AEROSPHERE; ^^</w:t>
      </w:r>
      <w:proofErr w:type="spellStart"/>
      <w:r w:rsidR="006E1B77">
        <w:rPr>
          <w:lang w:val="en-AU"/>
        </w:rPr>
        <w:t>Turbuhaler</w:t>
      </w:r>
      <w:proofErr w:type="spellEnd"/>
      <w:r w:rsidRPr="00E573E1">
        <w:rPr>
          <w:lang w:val="en-AU"/>
        </w:rPr>
        <w:t xml:space="preserve"> (open label)</w:t>
      </w:r>
      <w:r w:rsidR="00A00868" w:rsidRPr="00E573E1">
        <w:rPr>
          <w:lang w:val="en-AU"/>
        </w:rPr>
        <w:t>; *</w:t>
      </w:r>
      <w:r w:rsidR="007B2237">
        <w:rPr>
          <w:lang w:val="en-AU"/>
        </w:rPr>
        <w:t>no</w:t>
      </w:r>
      <w:r w:rsidR="00CC2D60">
        <w:rPr>
          <w:lang w:val="en-AU"/>
        </w:rPr>
        <w:t>t statistically</w:t>
      </w:r>
      <w:r w:rsidR="007B2237">
        <w:rPr>
          <w:lang w:val="en-AU"/>
        </w:rPr>
        <w:t xml:space="preserve"> sign</w:t>
      </w:r>
      <w:r w:rsidR="00A33B32">
        <w:rPr>
          <w:lang w:val="en-AU"/>
        </w:rPr>
        <w:t>i</w:t>
      </w:r>
      <w:r w:rsidR="007B2237">
        <w:rPr>
          <w:lang w:val="en-AU"/>
        </w:rPr>
        <w:t>ficant</w:t>
      </w:r>
      <w:r w:rsidR="00CC2D60">
        <w:rPr>
          <w:lang w:val="en-AU"/>
        </w:rPr>
        <w:t xml:space="preserve"> due to procedure to control Type I error</w:t>
      </w:r>
    </w:p>
    <w:p w14:paraId="2F4BAADE" w14:textId="1F3B2B4E" w:rsidR="00CB4F69" w:rsidRPr="00E573E1" w:rsidRDefault="00AF4835" w:rsidP="00C11150">
      <w:pPr>
        <w:pStyle w:val="TableFootnoteInfo"/>
        <w:rPr>
          <w:lang w:val="en-AU"/>
        </w:rPr>
      </w:pPr>
      <w:proofErr w:type="spellStart"/>
      <w:r w:rsidRPr="00E573E1">
        <w:rPr>
          <w:lang w:val="en-AU"/>
        </w:rPr>
        <w:t>mITT</w:t>
      </w:r>
      <w:proofErr w:type="spellEnd"/>
      <w:r w:rsidRPr="00E573E1">
        <w:rPr>
          <w:lang w:val="en-AU"/>
        </w:rPr>
        <w:t xml:space="preserve"> – modified intention to treat; </w:t>
      </w:r>
      <w:r w:rsidR="00F8425B" w:rsidRPr="00E573E1">
        <w:rPr>
          <w:lang w:val="en-AU"/>
        </w:rPr>
        <w:t>LSM</w:t>
      </w:r>
      <w:r w:rsidR="007974B2" w:rsidRPr="00E573E1">
        <w:rPr>
          <w:lang w:val="en-AU"/>
        </w:rPr>
        <w:t xml:space="preserve"> </w:t>
      </w:r>
      <w:r w:rsidR="009723F7" w:rsidRPr="00E573E1">
        <w:rPr>
          <w:lang w:val="en-AU"/>
        </w:rPr>
        <w:t>– least square mean</w:t>
      </w:r>
      <w:r w:rsidR="007974B2" w:rsidRPr="00E573E1">
        <w:rPr>
          <w:lang w:val="en-AU"/>
        </w:rPr>
        <w:t xml:space="preserve">; </w:t>
      </w:r>
      <w:r w:rsidRPr="00E573E1">
        <w:rPr>
          <w:lang w:val="en-AU"/>
        </w:rPr>
        <w:t xml:space="preserve">CI – confidence intervals; </w:t>
      </w:r>
      <w:r w:rsidR="003E3719" w:rsidRPr="00E573E1">
        <w:rPr>
          <w:lang w:val="en-AU"/>
        </w:rPr>
        <w:t xml:space="preserve">TDI – </w:t>
      </w:r>
      <w:r w:rsidR="009723F7" w:rsidRPr="00E573E1">
        <w:rPr>
          <w:lang w:val="en-AU"/>
        </w:rPr>
        <w:t>Transition Dyspnoea Index</w:t>
      </w:r>
      <w:r w:rsidR="003E3719" w:rsidRPr="00E573E1">
        <w:rPr>
          <w:lang w:val="en-AU"/>
        </w:rPr>
        <w:t xml:space="preserve">; </w:t>
      </w:r>
      <w:r w:rsidR="00650161" w:rsidRPr="00E573E1">
        <w:rPr>
          <w:lang w:val="en-AU"/>
        </w:rPr>
        <w:t xml:space="preserve">SGRQ - </w:t>
      </w:r>
      <w:r w:rsidR="00CB4F69" w:rsidRPr="00E573E1">
        <w:rPr>
          <w:lang w:val="en-AU"/>
        </w:rPr>
        <w:t>St. George’s Respiratory Questionnaire</w:t>
      </w:r>
      <w:r w:rsidR="00970574" w:rsidRPr="00E573E1">
        <w:rPr>
          <w:lang w:val="en-AU"/>
        </w:rPr>
        <w:t xml:space="preserve">; </w:t>
      </w:r>
      <w:r w:rsidRPr="00E573E1">
        <w:rPr>
          <w:lang w:val="en-AU"/>
        </w:rPr>
        <w:t xml:space="preserve">EXACT – </w:t>
      </w:r>
      <w:r w:rsidR="005D4F11" w:rsidRPr="00E573E1">
        <w:rPr>
          <w:lang w:val="en-AU"/>
        </w:rPr>
        <w:t>Exacerbations of Chronic Pulmonary Disease Tool</w:t>
      </w:r>
      <w:r w:rsidRPr="00E573E1">
        <w:rPr>
          <w:lang w:val="en-AU"/>
        </w:rPr>
        <w:t xml:space="preserve">; RS – </w:t>
      </w:r>
      <w:r w:rsidR="005D4F11" w:rsidRPr="00E573E1">
        <w:rPr>
          <w:lang w:val="en-AU"/>
        </w:rPr>
        <w:t>Evaluating Respiratory Symptoms in COPD</w:t>
      </w:r>
      <w:r w:rsidR="00FC31BB" w:rsidRPr="00E573E1">
        <w:rPr>
          <w:lang w:val="en-AU"/>
        </w:rPr>
        <w:t xml:space="preserve"> tool);</w:t>
      </w:r>
      <w:r w:rsidRPr="00E573E1">
        <w:rPr>
          <w:lang w:val="en-AU"/>
        </w:rPr>
        <w:t xml:space="preserve"> CID – clinically important deterioration; HR – Hazard ratio</w:t>
      </w:r>
    </w:p>
    <w:p w14:paraId="72301021" w14:textId="38E7B7B4" w:rsidR="00C97FFA" w:rsidRPr="00E573E1" w:rsidRDefault="00C97FFA" w:rsidP="00C11150">
      <w:pPr>
        <w:pStyle w:val="TableFootnoteLetter"/>
        <w:numPr>
          <w:ilvl w:val="0"/>
          <w:numId w:val="16"/>
        </w:numPr>
        <w:rPr>
          <w:lang w:val="en-AU"/>
        </w:rPr>
      </w:pPr>
      <w:r w:rsidRPr="00E573E1">
        <w:rPr>
          <w:lang w:val="en-AU"/>
        </w:rPr>
        <w:t>Baseline dyspnoea index (BDI) was similar across the treatment groups (range: 6.330 to 6.496)</w:t>
      </w:r>
    </w:p>
    <w:p w14:paraId="57C2DD40" w14:textId="157ED097" w:rsidR="0035698E" w:rsidRPr="00E573E1" w:rsidRDefault="0035698E" w:rsidP="00C11150">
      <w:pPr>
        <w:pStyle w:val="TableFootnoteLetter"/>
        <w:rPr>
          <w:lang w:val="en-AU"/>
        </w:rPr>
      </w:pPr>
      <w:r w:rsidRPr="00E573E1">
        <w:rPr>
          <w:lang w:val="en-AU"/>
        </w:rPr>
        <w:t>Evaluated in a subset of subjects from ITT population with mean baseline Rescue Ventolin use of ≥1.0 puff/day</w:t>
      </w:r>
    </w:p>
    <w:p w14:paraId="3AE907EE" w14:textId="77777777" w:rsidR="00A33B32" w:rsidRPr="00E573E1" w:rsidRDefault="00A33B32" w:rsidP="00C11150">
      <w:pPr>
        <w:pStyle w:val="Paragraph"/>
        <w:spacing w:after="0"/>
        <w:rPr>
          <w:lang w:val="en-AU"/>
        </w:rPr>
      </w:pPr>
    </w:p>
    <w:p w14:paraId="3E63F0D2" w14:textId="65ACEC30" w:rsidR="00B72D2F" w:rsidRPr="00E573E1" w:rsidRDefault="00B72D2F" w:rsidP="00C11150">
      <w:pPr>
        <w:pStyle w:val="Paragraph"/>
        <w:rPr>
          <w:lang w:val="en-AU"/>
        </w:rPr>
      </w:pPr>
      <w:r w:rsidRPr="00E573E1">
        <w:rPr>
          <w:lang w:val="en-AU"/>
        </w:rPr>
        <w:t xml:space="preserve">In ETHOS, a SGRQ responder analysis (responder defined as a reduction in SGRQ versus baseline of greater than or equal to 4) showed that there was a significantly greater percentage of responders (p&lt;0.0001) over 24 weeks with BREZTRI AEROSPHERE 160/7.2/5 (52.2%) versus </w:t>
      </w:r>
      <w:r w:rsidR="00EB0018">
        <w:rPr>
          <w:lang w:val="en-AU"/>
        </w:rPr>
        <w:t>GFF MDI</w:t>
      </w:r>
      <w:r w:rsidRPr="00E573E1">
        <w:rPr>
          <w:lang w:val="en-AU"/>
        </w:rPr>
        <w:t xml:space="preserve"> 7.2/5 (42.2%) and BFF MDI 160/5 (45.0%).</w:t>
      </w:r>
      <w:r w:rsidRPr="00E573E1">
        <w:rPr>
          <w:rStyle w:val="EndnoteReference"/>
          <w:lang w:val="en-AU"/>
        </w:rPr>
        <w:t xml:space="preserve"> </w:t>
      </w:r>
    </w:p>
    <w:p w14:paraId="7E2EA7D0" w14:textId="7E13FFAF" w:rsidR="00B72D2F" w:rsidRPr="00E573E1" w:rsidRDefault="00B72D2F" w:rsidP="00C11150">
      <w:pPr>
        <w:pStyle w:val="Paragraph"/>
        <w:rPr>
          <w:lang w:val="en-AU"/>
        </w:rPr>
      </w:pPr>
      <w:r w:rsidRPr="00E573E1">
        <w:rPr>
          <w:lang w:val="en-AU"/>
        </w:rPr>
        <w:t xml:space="preserve">In KRONOS, a SGRQ responder analysis showed that there was a significantly greater percentage of responders over 24 weeks with BREZTRI AEROSPHERE 160/7.2/5 (47.3%) versus </w:t>
      </w:r>
      <w:r w:rsidR="00EB0018">
        <w:rPr>
          <w:lang w:val="en-AU"/>
        </w:rPr>
        <w:t>GFF MDI</w:t>
      </w:r>
      <w:r w:rsidRPr="00E573E1">
        <w:rPr>
          <w:lang w:val="en-AU"/>
        </w:rPr>
        <w:t xml:space="preserve"> 7.2/5 (41%; unadjusted p=0.0348), BFF MDI 160/5 (39.5%; unadjusted p=0.0339) and </w:t>
      </w:r>
      <w:r w:rsidR="006E1B77">
        <w:rPr>
          <w:lang w:val="en-AU"/>
        </w:rPr>
        <w:t xml:space="preserve">BFF </w:t>
      </w:r>
      <w:proofErr w:type="spellStart"/>
      <w:r w:rsidR="006E1B77">
        <w:rPr>
          <w:lang w:val="en-AU"/>
        </w:rPr>
        <w:t>Turbuhaler</w:t>
      </w:r>
      <w:proofErr w:type="spellEnd"/>
      <w:r w:rsidRPr="00E573E1">
        <w:rPr>
          <w:lang w:val="en-AU"/>
        </w:rPr>
        <w:t xml:space="preserve"> 200/6 (39.5%; unadjusted p=0.0321).</w:t>
      </w:r>
    </w:p>
    <w:bookmarkEnd w:id="28"/>
    <w:p w14:paraId="2FA27CC8" w14:textId="1044B6B5" w:rsidR="004D3700" w:rsidRPr="00E573E1" w:rsidRDefault="004D3700" w:rsidP="00C11150">
      <w:pPr>
        <w:pStyle w:val="Heading4Unnumbered"/>
        <w:rPr>
          <w:lang w:val="en-AU"/>
        </w:rPr>
      </w:pPr>
      <w:r w:rsidRPr="00E573E1">
        <w:rPr>
          <w:lang w:val="en-AU"/>
        </w:rPr>
        <w:t>Time to clinically important deterioration (CID)</w:t>
      </w:r>
      <w:r w:rsidRPr="00E573E1">
        <w:rPr>
          <w:rStyle w:val="EndnoteReference"/>
          <w:szCs w:val="24"/>
          <w:lang w:val="en-AU"/>
        </w:rPr>
        <w:t xml:space="preserve"> </w:t>
      </w:r>
      <w:r w:rsidR="00B36255" w:rsidRPr="00E573E1">
        <w:rPr>
          <w:szCs w:val="24"/>
          <w:lang w:val="en-AU"/>
        </w:rPr>
        <w:t xml:space="preserve"> -</w:t>
      </w:r>
      <w:r w:rsidR="00C24D2E" w:rsidRPr="00E573E1">
        <w:rPr>
          <w:szCs w:val="24"/>
          <w:lang w:val="en-AU"/>
        </w:rPr>
        <w:t xml:space="preserve"> </w:t>
      </w:r>
      <w:r w:rsidR="00B36255" w:rsidRPr="00E573E1">
        <w:rPr>
          <w:szCs w:val="24"/>
          <w:lang w:val="en-AU"/>
        </w:rPr>
        <w:t>KRONOS</w:t>
      </w:r>
    </w:p>
    <w:p w14:paraId="0799DFC6" w14:textId="726F5423" w:rsidR="004D3700" w:rsidRPr="00E573E1" w:rsidRDefault="00B36255" w:rsidP="00C11150">
      <w:pPr>
        <w:pStyle w:val="Paragraph"/>
        <w:rPr>
          <w:lang w:val="en-AU"/>
        </w:rPr>
      </w:pPr>
      <w:r w:rsidRPr="00E573E1">
        <w:rPr>
          <w:lang w:val="en-AU"/>
        </w:rPr>
        <w:t>Time to CID is a composite endpoint defined by the first instance of deterioration in either lung function (≥100 mL decrease in trough FEV</w:t>
      </w:r>
      <w:r w:rsidRPr="00E573E1">
        <w:rPr>
          <w:vertAlign w:val="subscript"/>
          <w:lang w:val="en-AU"/>
        </w:rPr>
        <w:t>1</w:t>
      </w:r>
      <w:r w:rsidRPr="00E573E1">
        <w:rPr>
          <w:lang w:val="en-AU"/>
        </w:rPr>
        <w:t>), symptoms (≥4</w:t>
      </w:r>
      <w:r w:rsidR="00C24D2E" w:rsidRPr="00E573E1">
        <w:rPr>
          <w:lang w:val="en-AU"/>
        </w:rPr>
        <w:t>-</w:t>
      </w:r>
      <w:r w:rsidRPr="00E573E1">
        <w:rPr>
          <w:lang w:val="en-AU"/>
        </w:rPr>
        <w:t>point increase in SGRQ total score), TDI focal score (of 1 point or less) or a treatment-emergent moderate or severe COPD exacerbation occurring up to Week 24. T</w:t>
      </w:r>
      <w:r w:rsidR="004D3700" w:rsidRPr="00E573E1">
        <w:rPr>
          <w:lang w:val="en-AU"/>
        </w:rPr>
        <w:t xml:space="preserve">he median time to a CID event was longer during treatment with BREZTRI AEROSPHERE 160/7.2/5 (13.5 weeks) relative to </w:t>
      </w:r>
      <w:r w:rsidR="00EB0018">
        <w:rPr>
          <w:lang w:val="en-AU"/>
        </w:rPr>
        <w:t>GFF MDI</w:t>
      </w:r>
      <w:r w:rsidR="00135DD9" w:rsidRPr="00E573E1">
        <w:rPr>
          <w:lang w:val="en-AU"/>
        </w:rPr>
        <w:t xml:space="preserve"> 7.2/5</w:t>
      </w:r>
      <w:r w:rsidR="004D3700" w:rsidRPr="00E573E1">
        <w:rPr>
          <w:lang w:val="en-AU"/>
        </w:rPr>
        <w:t xml:space="preserve"> (12.2 weeks), BFF MDI</w:t>
      </w:r>
      <w:r w:rsidR="00135DD9" w:rsidRPr="00E573E1">
        <w:rPr>
          <w:lang w:val="en-AU"/>
        </w:rPr>
        <w:t xml:space="preserve"> 160/5</w:t>
      </w:r>
      <w:r w:rsidR="004D3700" w:rsidRPr="00E573E1">
        <w:rPr>
          <w:lang w:val="en-AU"/>
        </w:rPr>
        <w:t xml:space="preserve"> (12.2 weeks) and </w:t>
      </w:r>
      <w:r w:rsidR="006E1B77">
        <w:rPr>
          <w:lang w:val="en-AU"/>
        </w:rPr>
        <w:t xml:space="preserve">BFF </w:t>
      </w:r>
      <w:proofErr w:type="spellStart"/>
      <w:r w:rsidR="006E1B77">
        <w:rPr>
          <w:lang w:val="en-AU"/>
        </w:rPr>
        <w:t>Turbuhaler</w:t>
      </w:r>
      <w:proofErr w:type="spellEnd"/>
      <w:r w:rsidR="00135DD9" w:rsidRPr="00E573E1">
        <w:rPr>
          <w:lang w:val="en-AU"/>
        </w:rPr>
        <w:t xml:space="preserve"> 200/6</w:t>
      </w:r>
      <w:r w:rsidR="004D3700" w:rsidRPr="00E573E1">
        <w:rPr>
          <w:lang w:val="en-AU"/>
        </w:rPr>
        <w:t xml:space="preserve"> (12.2 weeks).</w:t>
      </w:r>
    </w:p>
    <w:p w14:paraId="52ADF013" w14:textId="04E4E6C1" w:rsidR="004D3700" w:rsidRDefault="004D3700" w:rsidP="00C11150">
      <w:pPr>
        <w:pStyle w:val="Paragraph"/>
        <w:rPr>
          <w:lang w:val="en-AU"/>
        </w:rPr>
      </w:pPr>
      <w:r w:rsidRPr="00E573E1">
        <w:rPr>
          <w:lang w:val="en-AU"/>
        </w:rPr>
        <w:t>The risk of a CID event was significantly lower during treatment with BREZTRI AEROSPHERE 160/7.2/5 relative to BFF MDI</w:t>
      </w:r>
      <w:r w:rsidR="003A3FEF" w:rsidRPr="00E573E1">
        <w:rPr>
          <w:lang w:val="en-AU"/>
        </w:rPr>
        <w:t xml:space="preserve"> 160/5</w:t>
      </w:r>
      <w:r w:rsidR="00A573C3" w:rsidRPr="00E573E1">
        <w:rPr>
          <w:lang w:val="en-AU"/>
        </w:rPr>
        <w:t xml:space="preserve">; </w:t>
      </w:r>
      <w:r w:rsidRPr="00E573E1">
        <w:rPr>
          <w:lang w:val="en-AU"/>
        </w:rPr>
        <w:t xml:space="preserve">a numerically lower risk of a CID event was observed during treatment with BREZTRI AEROSPHERE 160/7.2/5 relative to </w:t>
      </w:r>
      <w:r w:rsidR="00EB0018">
        <w:rPr>
          <w:lang w:val="en-AU"/>
        </w:rPr>
        <w:t>GFF MDI</w:t>
      </w:r>
      <w:r w:rsidR="003A3FEF" w:rsidRPr="00E573E1">
        <w:rPr>
          <w:lang w:val="en-AU"/>
        </w:rPr>
        <w:t xml:space="preserve"> 7.2/5</w:t>
      </w:r>
      <w:r w:rsidRPr="00E573E1">
        <w:rPr>
          <w:lang w:val="en-AU"/>
        </w:rPr>
        <w:t xml:space="preserve"> </w:t>
      </w:r>
      <w:r w:rsidR="00A573C3" w:rsidRPr="00E573E1">
        <w:rPr>
          <w:lang w:val="en-AU"/>
        </w:rPr>
        <w:t xml:space="preserve">(see </w:t>
      </w:r>
      <w:r w:rsidR="00A573C3" w:rsidRPr="00E573E1">
        <w:rPr>
          <w:lang w:val="en-AU"/>
        </w:rPr>
        <w:fldChar w:fldCharType="begin"/>
      </w:r>
      <w:r w:rsidR="00A573C3" w:rsidRPr="00E573E1">
        <w:rPr>
          <w:lang w:val="en-AU"/>
        </w:rPr>
        <w:instrText xml:space="preserve"> REF _Ref40081373 \h  \* MERGEFORMAT </w:instrText>
      </w:r>
      <w:r w:rsidR="00A573C3" w:rsidRPr="00E573E1">
        <w:rPr>
          <w:lang w:val="en-AU"/>
        </w:rPr>
      </w:r>
      <w:r w:rsidR="00A573C3" w:rsidRPr="00E573E1">
        <w:rPr>
          <w:lang w:val="en-AU"/>
        </w:rPr>
        <w:fldChar w:fldCharType="separate"/>
      </w:r>
      <w:r w:rsidR="00960F91" w:rsidRPr="00E573E1">
        <w:rPr>
          <w:lang w:val="en-AU"/>
        </w:rPr>
        <w:t>Table </w:t>
      </w:r>
      <w:r w:rsidR="00960F91">
        <w:rPr>
          <w:lang w:val="en-AU"/>
        </w:rPr>
        <w:t>7</w:t>
      </w:r>
      <w:r w:rsidR="00A573C3" w:rsidRPr="00E573E1">
        <w:rPr>
          <w:lang w:val="en-AU"/>
        </w:rPr>
        <w:fldChar w:fldCharType="end"/>
      </w:r>
      <w:r w:rsidR="00A573C3" w:rsidRPr="00E573E1">
        <w:rPr>
          <w:lang w:val="en-AU"/>
        </w:rPr>
        <w:t>).</w:t>
      </w:r>
    </w:p>
    <w:p w14:paraId="386C73B8" w14:textId="77777777" w:rsidR="00771312" w:rsidRPr="00E573E1" w:rsidRDefault="00771312" w:rsidP="00C11150">
      <w:pPr>
        <w:pStyle w:val="Heading4Unnumbered"/>
        <w:rPr>
          <w:lang w:val="en-AU"/>
        </w:rPr>
      </w:pPr>
      <w:r w:rsidRPr="00E573E1">
        <w:rPr>
          <w:lang w:val="en-AU"/>
        </w:rPr>
        <w:lastRenderedPageBreak/>
        <w:t>Patient reported outcomes (PRO) questionnaires</w:t>
      </w:r>
    </w:p>
    <w:p w14:paraId="6C3B001A" w14:textId="5FD18AE7" w:rsidR="004D3700" w:rsidRPr="00E573E1" w:rsidRDefault="004D3700" w:rsidP="00C11150">
      <w:pPr>
        <w:pStyle w:val="Paragraph"/>
        <w:rPr>
          <w:lang w:val="en-AU"/>
        </w:rPr>
      </w:pPr>
      <w:r w:rsidRPr="00E573E1">
        <w:rPr>
          <w:lang w:val="en-AU"/>
        </w:rPr>
        <w:t>Exacerbations of Chronic Pulmonary Disease Tool (EXACT)</w:t>
      </w:r>
      <w:r w:rsidR="00B36255" w:rsidRPr="00E573E1">
        <w:rPr>
          <w:lang w:val="en-AU"/>
        </w:rPr>
        <w:t xml:space="preserve"> </w:t>
      </w:r>
      <w:r w:rsidR="00771312" w:rsidRPr="00E573E1">
        <w:rPr>
          <w:lang w:val="en-AU"/>
        </w:rPr>
        <w:t xml:space="preserve">is </w:t>
      </w:r>
      <w:r w:rsidR="00EC225E" w:rsidRPr="00E573E1">
        <w:rPr>
          <w:lang w:val="en-AU"/>
        </w:rPr>
        <w:t xml:space="preserve">a 14-item </w:t>
      </w:r>
      <w:r w:rsidR="00771312" w:rsidRPr="00E573E1">
        <w:rPr>
          <w:lang w:val="en-AU"/>
        </w:rPr>
        <w:t>PRO</w:t>
      </w:r>
      <w:r w:rsidR="00EC225E" w:rsidRPr="00E573E1">
        <w:rPr>
          <w:lang w:val="en-AU"/>
        </w:rPr>
        <w:t xml:space="preserve"> questionnaire from the daily diary used to measure the effect of treatment on exacerbations, and on the severity of respiratory symptoms.  </w:t>
      </w:r>
      <w:r w:rsidR="00771312" w:rsidRPr="00E573E1">
        <w:rPr>
          <w:lang w:val="en-AU"/>
        </w:rPr>
        <w:t xml:space="preserve">In ETHOS, </w:t>
      </w:r>
      <w:r w:rsidRPr="00E573E1">
        <w:rPr>
          <w:lang w:val="en-AU"/>
        </w:rPr>
        <w:t>BREZTRI AEROSPHERE 160/7.2/5 demonstrated a significant improvement</w:t>
      </w:r>
      <w:r w:rsidR="00461BFB" w:rsidRPr="00E573E1">
        <w:rPr>
          <w:lang w:val="en-AU"/>
        </w:rPr>
        <w:t xml:space="preserve"> </w:t>
      </w:r>
      <w:r w:rsidRPr="00E573E1">
        <w:rPr>
          <w:lang w:val="en-AU"/>
        </w:rPr>
        <w:t xml:space="preserve">over 52 weeks </w:t>
      </w:r>
      <w:r w:rsidR="000E5E58" w:rsidRPr="00E573E1">
        <w:rPr>
          <w:lang w:val="en-AU"/>
        </w:rPr>
        <w:t xml:space="preserve">for EXACT total score </w:t>
      </w:r>
      <w:r w:rsidRPr="00E573E1">
        <w:rPr>
          <w:lang w:val="en-AU"/>
        </w:rPr>
        <w:t xml:space="preserve">compared with </w:t>
      </w:r>
      <w:r w:rsidR="00EB0018">
        <w:rPr>
          <w:lang w:val="en-AU"/>
        </w:rPr>
        <w:t>GFF MDI</w:t>
      </w:r>
      <w:r w:rsidR="00776D89" w:rsidRPr="00E573E1">
        <w:rPr>
          <w:lang w:val="en-AU"/>
        </w:rPr>
        <w:t xml:space="preserve"> 7.2/5 </w:t>
      </w:r>
      <w:r w:rsidRPr="00E573E1">
        <w:rPr>
          <w:lang w:val="en-AU"/>
        </w:rPr>
        <w:t>(</w:t>
      </w:r>
      <w:r w:rsidR="00D8132E" w:rsidRPr="00E573E1">
        <w:rPr>
          <w:lang w:val="en-AU"/>
        </w:rPr>
        <w:t xml:space="preserve">see </w:t>
      </w:r>
      <w:r w:rsidR="00D8132E" w:rsidRPr="00E573E1">
        <w:rPr>
          <w:lang w:val="en-AU"/>
        </w:rPr>
        <w:fldChar w:fldCharType="begin"/>
      </w:r>
      <w:r w:rsidR="00D8132E" w:rsidRPr="00E573E1">
        <w:rPr>
          <w:lang w:val="en-AU"/>
        </w:rPr>
        <w:instrText xml:space="preserve"> REF _Ref40081373 \h </w:instrText>
      </w:r>
      <w:r w:rsidR="00D8132E" w:rsidRPr="00E573E1">
        <w:rPr>
          <w:lang w:val="en-AU"/>
        </w:rPr>
      </w:r>
      <w:r w:rsidR="00C11150">
        <w:rPr>
          <w:lang w:val="en-AU"/>
        </w:rPr>
        <w:instrText xml:space="preserve"> \* MERGEFORMAT </w:instrText>
      </w:r>
      <w:r w:rsidR="00D8132E" w:rsidRPr="00E573E1">
        <w:rPr>
          <w:lang w:val="en-AU"/>
        </w:rPr>
        <w:fldChar w:fldCharType="separate"/>
      </w:r>
      <w:r w:rsidR="00960F91" w:rsidRPr="00E573E1">
        <w:rPr>
          <w:lang w:val="en-AU"/>
        </w:rPr>
        <w:t>Table </w:t>
      </w:r>
      <w:r w:rsidR="00960F91">
        <w:rPr>
          <w:noProof/>
          <w:lang w:val="en-AU"/>
        </w:rPr>
        <w:t>7</w:t>
      </w:r>
      <w:r w:rsidR="00D8132E" w:rsidRPr="00E573E1">
        <w:rPr>
          <w:lang w:val="en-AU"/>
        </w:rPr>
        <w:fldChar w:fldCharType="end"/>
      </w:r>
      <w:r w:rsidRPr="00E573E1">
        <w:rPr>
          <w:lang w:val="en-AU"/>
        </w:rPr>
        <w:t>).</w:t>
      </w:r>
    </w:p>
    <w:p w14:paraId="52673146" w14:textId="245216FB" w:rsidR="004D3700" w:rsidRPr="00E573E1" w:rsidRDefault="004D3700" w:rsidP="00C11150">
      <w:pPr>
        <w:pStyle w:val="Paragraph"/>
        <w:rPr>
          <w:lang w:val="en-AU"/>
        </w:rPr>
      </w:pPr>
      <w:r w:rsidRPr="00E573E1">
        <w:rPr>
          <w:lang w:val="en-AU"/>
        </w:rPr>
        <w:t>Evaluating Respiratory Symptoms in COPD (E-RS)</w:t>
      </w:r>
      <w:r w:rsidRPr="00E573E1">
        <w:rPr>
          <w:rStyle w:val="EndnoteReference"/>
          <w:lang w:val="en-AU"/>
        </w:rPr>
        <w:t xml:space="preserve"> </w:t>
      </w:r>
      <w:r w:rsidR="00B36255" w:rsidRPr="00E573E1">
        <w:rPr>
          <w:lang w:val="en-AU"/>
        </w:rPr>
        <w:t xml:space="preserve"> </w:t>
      </w:r>
      <w:r w:rsidR="008A76E4" w:rsidRPr="00E573E1">
        <w:rPr>
          <w:lang w:val="en-AU"/>
        </w:rPr>
        <w:t xml:space="preserve">is an 11-item PRO questionnaire from the daily diary used to measure the effect of treatment on the severity of respiratory symptoms. </w:t>
      </w:r>
      <w:r w:rsidR="00771312" w:rsidRPr="00E573E1">
        <w:rPr>
          <w:lang w:val="en-AU"/>
        </w:rPr>
        <w:t xml:space="preserve">In KRONOS, </w:t>
      </w:r>
      <w:r w:rsidRPr="00E573E1">
        <w:rPr>
          <w:lang w:val="en-AU"/>
        </w:rPr>
        <w:t xml:space="preserve">BREZTRI AEROSPHERE 160/7.2/5 demonstrated a significant improvement over 24 weeks </w:t>
      </w:r>
      <w:r w:rsidR="000E5E58" w:rsidRPr="00E573E1">
        <w:rPr>
          <w:lang w:val="en-AU"/>
        </w:rPr>
        <w:t xml:space="preserve">for RS-total score </w:t>
      </w:r>
      <w:r w:rsidRPr="00E573E1">
        <w:rPr>
          <w:lang w:val="en-AU"/>
        </w:rPr>
        <w:t xml:space="preserve">compared with </w:t>
      </w:r>
      <w:r w:rsidR="00790298">
        <w:rPr>
          <w:lang w:val="en-AU"/>
        </w:rPr>
        <w:t>GFF MDI</w:t>
      </w:r>
      <w:r w:rsidR="00434007" w:rsidRPr="00E573E1">
        <w:rPr>
          <w:lang w:val="en-AU"/>
        </w:rPr>
        <w:t xml:space="preserve"> 7.2/5</w:t>
      </w:r>
      <w:r w:rsidR="00790298">
        <w:rPr>
          <w:lang w:val="en-AU"/>
        </w:rPr>
        <w:t>,</w:t>
      </w:r>
      <w:r w:rsidRPr="00E573E1">
        <w:rPr>
          <w:lang w:val="en-AU"/>
        </w:rPr>
        <w:t xml:space="preserve"> </w:t>
      </w:r>
      <w:r w:rsidR="002044CB">
        <w:rPr>
          <w:lang w:val="en-AU"/>
        </w:rPr>
        <w:t xml:space="preserve">but not when </w:t>
      </w:r>
      <w:r w:rsidRPr="00E573E1">
        <w:rPr>
          <w:lang w:val="en-AU"/>
        </w:rPr>
        <w:t>compared with BFF MDI</w:t>
      </w:r>
      <w:r w:rsidR="00434007" w:rsidRPr="00E573E1">
        <w:rPr>
          <w:lang w:val="en-AU"/>
        </w:rPr>
        <w:t xml:space="preserve"> 160/5</w:t>
      </w:r>
      <w:r w:rsidRPr="00E573E1">
        <w:rPr>
          <w:lang w:val="en-AU"/>
        </w:rPr>
        <w:t xml:space="preserve"> and </w:t>
      </w:r>
      <w:r w:rsidR="002044CB">
        <w:rPr>
          <w:lang w:val="en-AU"/>
        </w:rPr>
        <w:t>BFF</w:t>
      </w:r>
      <w:r w:rsidR="00FC31BB" w:rsidRPr="00E573E1">
        <w:rPr>
          <w:lang w:val="en-AU"/>
        </w:rPr>
        <w:t xml:space="preserve"> </w:t>
      </w:r>
      <w:proofErr w:type="spellStart"/>
      <w:r w:rsidR="002044CB">
        <w:rPr>
          <w:lang w:val="en-AU"/>
        </w:rPr>
        <w:t>Turbuhaler</w:t>
      </w:r>
      <w:proofErr w:type="spellEnd"/>
      <w:r w:rsidR="002044CB">
        <w:rPr>
          <w:lang w:val="en-AU"/>
        </w:rPr>
        <w:t xml:space="preserve"> 200/6</w:t>
      </w:r>
      <w:r w:rsidR="00FC31BB" w:rsidRPr="00E573E1">
        <w:rPr>
          <w:lang w:val="en-AU"/>
        </w:rPr>
        <w:t xml:space="preserve"> (see </w:t>
      </w:r>
      <w:r w:rsidR="00FC31BB" w:rsidRPr="00E573E1">
        <w:rPr>
          <w:lang w:val="en-AU"/>
        </w:rPr>
        <w:fldChar w:fldCharType="begin"/>
      </w:r>
      <w:r w:rsidR="00FC31BB" w:rsidRPr="00E573E1">
        <w:rPr>
          <w:lang w:val="en-AU"/>
        </w:rPr>
        <w:instrText xml:space="preserve"> REF _Ref40081373 \h </w:instrText>
      </w:r>
      <w:r w:rsidR="00C7681E" w:rsidRPr="00E573E1">
        <w:rPr>
          <w:lang w:val="en-AU"/>
        </w:rPr>
        <w:instrText xml:space="preserve"> \* MERGEFORMAT </w:instrText>
      </w:r>
      <w:r w:rsidR="00FC31BB" w:rsidRPr="00E573E1">
        <w:rPr>
          <w:lang w:val="en-AU"/>
        </w:rPr>
      </w:r>
      <w:r w:rsidR="00FC31BB" w:rsidRPr="00E573E1">
        <w:rPr>
          <w:lang w:val="en-AU"/>
        </w:rPr>
        <w:fldChar w:fldCharType="separate"/>
      </w:r>
      <w:r w:rsidR="00960F91" w:rsidRPr="00E573E1">
        <w:rPr>
          <w:lang w:val="en-AU"/>
        </w:rPr>
        <w:t>Table </w:t>
      </w:r>
      <w:r w:rsidR="00960F91">
        <w:rPr>
          <w:lang w:val="en-AU"/>
        </w:rPr>
        <w:t>7</w:t>
      </w:r>
      <w:r w:rsidR="00FC31BB" w:rsidRPr="00E573E1">
        <w:rPr>
          <w:lang w:val="en-AU"/>
        </w:rPr>
        <w:fldChar w:fldCharType="end"/>
      </w:r>
      <w:r w:rsidR="00FC31BB" w:rsidRPr="00E573E1">
        <w:rPr>
          <w:lang w:val="en-AU"/>
        </w:rPr>
        <w:t>).</w:t>
      </w:r>
    </w:p>
    <w:p w14:paraId="1923FB12" w14:textId="52F5EBBB" w:rsidR="001A3992" w:rsidRPr="00E573E1" w:rsidRDefault="007403BD" w:rsidP="00C11150">
      <w:pPr>
        <w:pStyle w:val="Heading2"/>
        <w:rPr>
          <w:lang w:val="en-AU"/>
        </w:rPr>
      </w:pPr>
      <w:bookmarkStart w:id="29" w:name="_Ref34049480"/>
      <w:r w:rsidRPr="00E573E1">
        <w:rPr>
          <w:lang w:val="en-AU"/>
        </w:rPr>
        <w:t>Pharmacokinetic properties</w:t>
      </w:r>
      <w:bookmarkEnd w:id="29"/>
    </w:p>
    <w:p w14:paraId="70C619FD" w14:textId="77777777" w:rsidR="00FB0326" w:rsidRPr="00E573E1" w:rsidRDefault="00FB0326" w:rsidP="00C11150">
      <w:pPr>
        <w:pStyle w:val="Heading3Unnumbered"/>
        <w:rPr>
          <w:lang w:val="en-AU"/>
        </w:rPr>
      </w:pPr>
      <w:r w:rsidRPr="00E573E1">
        <w:rPr>
          <w:lang w:val="en-AU"/>
        </w:rPr>
        <w:t>Lung deposition</w:t>
      </w:r>
    </w:p>
    <w:p w14:paraId="7ADFF704" w14:textId="54F0129C" w:rsidR="00FB0326" w:rsidRPr="00E573E1" w:rsidRDefault="00FB0326" w:rsidP="00C11150">
      <w:pPr>
        <w:pStyle w:val="Paragraph"/>
        <w:rPr>
          <w:lang w:val="en-AU"/>
        </w:rPr>
      </w:pPr>
      <w:r w:rsidRPr="00E573E1">
        <w:rPr>
          <w:lang w:val="en-AU"/>
        </w:rPr>
        <w:t>A lung deposition study with BREZTRI AEROSPHERE 160/7.2/5 conducted in healthy volunteers demonstrated that on average, 38% of the nominal dose is deposited into the lung following administration with a 10 second breath-hold. T</w:t>
      </w:r>
      <w:r w:rsidRPr="00E573E1">
        <w:rPr>
          <w:sz w:val="23"/>
          <w:szCs w:val="23"/>
          <w:lang w:val="en-AU"/>
        </w:rPr>
        <w:t>he corresponding value following a 3 second breath-hold was 35%</w:t>
      </w:r>
      <w:r w:rsidRPr="00E573E1">
        <w:rPr>
          <w:lang w:val="en-AU"/>
        </w:rPr>
        <w:t>. Deposition was consistent with the width of the aerodynamic particle size distribution with both central and peripheral deposition observed.</w:t>
      </w:r>
      <w:r w:rsidRPr="00E573E1">
        <w:rPr>
          <w:rStyle w:val="EndnoteReference"/>
          <w:lang w:val="en-AU"/>
        </w:rPr>
        <w:t xml:space="preserve"> </w:t>
      </w:r>
    </w:p>
    <w:p w14:paraId="4E8EA723" w14:textId="1906DA65" w:rsidR="001A3992" w:rsidRPr="00E573E1" w:rsidRDefault="001A3992" w:rsidP="00C11150">
      <w:pPr>
        <w:pStyle w:val="Heading3Unnumbered"/>
        <w:rPr>
          <w:lang w:val="en-AU"/>
        </w:rPr>
      </w:pPr>
      <w:r w:rsidRPr="00E573E1">
        <w:rPr>
          <w:lang w:val="en-AU"/>
        </w:rPr>
        <w:t>Absorption</w:t>
      </w:r>
    </w:p>
    <w:p w14:paraId="396A1BE1" w14:textId="77777777" w:rsidR="00FB0326" w:rsidRPr="00E573E1" w:rsidRDefault="00FB0326" w:rsidP="00C11150">
      <w:pPr>
        <w:pStyle w:val="Heading4Unnumbered"/>
        <w:rPr>
          <w:lang w:val="en-AU"/>
        </w:rPr>
      </w:pPr>
      <w:r w:rsidRPr="00E573E1">
        <w:rPr>
          <w:lang w:val="en-AU"/>
        </w:rPr>
        <w:t>Budesonide</w:t>
      </w:r>
    </w:p>
    <w:p w14:paraId="36BC56C3" w14:textId="77777777" w:rsidR="00FB0326" w:rsidRPr="00E573E1" w:rsidRDefault="00FB0326" w:rsidP="00C11150">
      <w:pPr>
        <w:pStyle w:val="Paragraph"/>
        <w:rPr>
          <w:lang w:val="en-AU"/>
        </w:rPr>
      </w:pPr>
      <w:r w:rsidRPr="00E573E1">
        <w:rPr>
          <w:lang w:val="en-AU"/>
        </w:rPr>
        <w:t xml:space="preserve">Following inhaled administration of BREZTRI AEROSPHERE in subjects with COPD, </w:t>
      </w:r>
      <w:r w:rsidRPr="00E573E1">
        <w:rPr>
          <w:spacing w:val="-2"/>
          <w:lang w:val="en-AU"/>
        </w:rPr>
        <w:t>budesonide</w:t>
      </w:r>
      <w:r w:rsidRPr="00E573E1">
        <w:rPr>
          <w:lang w:val="en-AU"/>
        </w:rPr>
        <w:t xml:space="preserve"> </w:t>
      </w:r>
      <w:r w:rsidRPr="00E573E1">
        <w:rPr>
          <w:spacing w:val="1"/>
          <w:lang w:val="en-AU"/>
        </w:rPr>
        <w:t>C</w:t>
      </w:r>
      <w:r w:rsidRPr="00E573E1">
        <w:rPr>
          <w:position w:val="-3"/>
          <w:sz w:val="16"/>
          <w:szCs w:val="16"/>
          <w:lang w:val="en-AU"/>
        </w:rPr>
        <w:t>max</w:t>
      </w:r>
      <w:r w:rsidRPr="00E573E1">
        <w:rPr>
          <w:spacing w:val="19"/>
          <w:position w:val="-3"/>
          <w:sz w:val="16"/>
          <w:szCs w:val="16"/>
          <w:lang w:val="en-AU"/>
        </w:rPr>
        <w:t xml:space="preserve"> </w:t>
      </w:r>
      <w:r w:rsidRPr="00E573E1">
        <w:rPr>
          <w:lang w:val="en-AU"/>
        </w:rPr>
        <w:t>occurred within 20 to 40 minutes. Stea</w:t>
      </w:r>
      <w:r w:rsidRPr="00E573E1">
        <w:rPr>
          <w:spacing w:val="4"/>
          <w:lang w:val="en-AU"/>
        </w:rPr>
        <w:t>d</w:t>
      </w:r>
      <w:r w:rsidRPr="00E573E1">
        <w:rPr>
          <w:lang w:val="en-AU"/>
        </w:rPr>
        <w:t>y state is achieved</w:t>
      </w:r>
      <w:r w:rsidRPr="00E573E1">
        <w:rPr>
          <w:spacing w:val="-1"/>
          <w:lang w:val="en-AU"/>
        </w:rPr>
        <w:t xml:space="preserve"> </w:t>
      </w:r>
      <w:r w:rsidRPr="00E573E1">
        <w:rPr>
          <w:lang w:val="en-AU"/>
        </w:rPr>
        <w:t>after approximately 1 day of repeated dosing of BREZTRI AEROSPHERE and the extent of exposure is approximately</w:t>
      </w:r>
      <w:r w:rsidRPr="00E573E1">
        <w:rPr>
          <w:spacing w:val="-8"/>
          <w:lang w:val="en-AU"/>
        </w:rPr>
        <w:t xml:space="preserve"> </w:t>
      </w:r>
      <w:r w:rsidRPr="00E573E1">
        <w:rPr>
          <w:lang w:val="en-AU"/>
        </w:rPr>
        <w:t>1.3 times higher than after</w:t>
      </w:r>
      <w:r w:rsidRPr="00E573E1">
        <w:rPr>
          <w:spacing w:val="-1"/>
          <w:lang w:val="en-AU"/>
        </w:rPr>
        <w:t xml:space="preserve"> </w:t>
      </w:r>
      <w:r w:rsidRPr="00E573E1">
        <w:rPr>
          <w:lang w:val="en-AU"/>
        </w:rPr>
        <w:t>the first dose.</w:t>
      </w:r>
      <w:r w:rsidRPr="00E573E1">
        <w:rPr>
          <w:rStyle w:val="EndnoteReference"/>
          <w:bCs/>
          <w:iCs/>
          <w:lang w:val="en-AU"/>
        </w:rPr>
        <w:t xml:space="preserve"> </w:t>
      </w:r>
    </w:p>
    <w:p w14:paraId="72595060" w14:textId="77777777" w:rsidR="00FB0326" w:rsidRPr="00E573E1" w:rsidRDefault="00FB0326" w:rsidP="00C11150">
      <w:pPr>
        <w:pStyle w:val="Heading4Unnumbered"/>
        <w:rPr>
          <w:lang w:val="en-AU"/>
        </w:rPr>
      </w:pPr>
      <w:proofErr w:type="spellStart"/>
      <w:r w:rsidRPr="00E573E1">
        <w:rPr>
          <w:lang w:val="en-AU"/>
        </w:rPr>
        <w:t>Glycopyrronium</w:t>
      </w:r>
      <w:proofErr w:type="spellEnd"/>
    </w:p>
    <w:p w14:paraId="676D7566" w14:textId="77777777" w:rsidR="00FB0326" w:rsidRPr="00E573E1" w:rsidRDefault="00FB0326" w:rsidP="00C11150">
      <w:pPr>
        <w:pStyle w:val="Paragraph"/>
        <w:rPr>
          <w:lang w:val="en-AU"/>
        </w:rPr>
      </w:pPr>
      <w:r w:rsidRPr="00E573E1">
        <w:rPr>
          <w:lang w:val="en-AU"/>
        </w:rPr>
        <w:t xml:space="preserve">Following inhaled administration of BREZTRI AEROSPHERE in subjects with COPD, </w:t>
      </w:r>
      <w:proofErr w:type="spellStart"/>
      <w:r w:rsidRPr="00E573E1">
        <w:rPr>
          <w:spacing w:val="-2"/>
          <w:lang w:val="en-AU"/>
        </w:rPr>
        <w:t>g</w:t>
      </w:r>
      <w:r w:rsidRPr="00E573E1">
        <w:rPr>
          <w:spacing w:val="5"/>
          <w:lang w:val="en-AU"/>
        </w:rPr>
        <w:t>l</w:t>
      </w:r>
      <w:r w:rsidRPr="00E573E1">
        <w:rPr>
          <w:spacing w:val="-2"/>
          <w:lang w:val="en-AU"/>
        </w:rPr>
        <w:t>yco</w:t>
      </w:r>
      <w:r w:rsidRPr="00E573E1">
        <w:rPr>
          <w:spacing w:val="5"/>
          <w:lang w:val="en-AU"/>
        </w:rPr>
        <w:t>p</w:t>
      </w:r>
      <w:r w:rsidRPr="00E573E1">
        <w:rPr>
          <w:spacing w:val="-5"/>
          <w:lang w:val="en-AU"/>
        </w:rPr>
        <w:t>y</w:t>
      </w:r>
      <w:r w:rsidRPr="00E573E1">
        <w:rPr>
          <w:spacing w:val="2"/>
          <w:lang w:val="en-AU"/>
        </w:rPr>
        <w:t>r</w:t>
      </w:r>
      <w:r w:rsidRPr="00E573E1">
        <w:rPr>
          <w:lang w:val="en-AU"/>
        </w:rPr>
        <w:t>ronium</w:t>
      </w:r>
      <w:proofErr w:type="spellEnd"/>
      <w:r w:rsidRPr="00E573E1">
        <w:rPr>
          <w:lang w:val="en-AU"/>
        </w:rPr>
        <w:t xml:space="preserve"> </w:t>
      </w:r>
      <w:r w:rsidRPr="00E573E1">
        <w:rPr>
          <w:spacing w:val="1"/>
          <w:lang w:val="en-AU"/>
        </w:rPr>
        <w:t>C</w:t>
      </w:r>
      <w:r w:rsidRPr="00E573E1">
        <w:rPr>
          <w:position w:val="-3"/>
          <w:sz w:val="16"/>
          <w:szCs w:val="16"/>
          <w:lang w:val="en-AU"/>
        </w:rPr>
        <w:t>max</w:t>
      </w:r>
      <w:r w:rsidRPr="00E573E1">
        <w:rPr>
          <w:spacing w:val="19"/>
          <w:position w:val="-3"/>
          <w:sz w:val="16"/>
          <w:szCs w:val="16"/>
          <w:lang w:val="en-AU"/>
        </w:rPr>
        <w:t xml:space="preserve"> </w:t>
      </w:r>
      <w:r w:rsidRPr="00E573E1">
        <w:rPr>
          <w:lang w:val="en-AU"/>
        </w:rPr>
        <w:t>occurred at 6 minutes. Stea</w:t>
      </w:r>
      <w:r w:rsidRPr="00E573E1">
        <w:rPr>
          <w:spacing w:val="4"/>
          <w:lang w:val="en-AU"/>
        </w:rPr>
        <w:t>d</w:t>
      </w:r>
      <w:r w:rsidRPr="00E573E1">
        <w:rPr>
          <w:lang w:val="en-AU"/>
        </w:rPr>
        <w:t>y state is achieved</w:t>
      </w:r>
      <w:r w:rsidRPr="00E573E1">
        <w:rPr>
          <w:spacing w:val="-1"/>
          <w:lang w:val="en-AU"/>
        </w:rPr>
        <w:t xml:space="preserve"> </w:t>
      </w:r>
      <w:r w:rsidRPr="00E573E1">
        <w:rPr>
          <w:lang w:val="en-AU"/>
        </w:rPr>
        <w:t xml:space="preserve">after approximately 3 days of repeated dosing of BREZTRI </w:t>
      </w:r>
      <w:proofErr w:type="gramStart"/>
      <w:r w:rsidRPr="00E573E1">
        <w:rPr>
          <w:lang w:val="en-AU"/>
        </w:rPr>
        <w:t>AEROSPHERE</w:t>
      </w:r>
      <w:proofErr w:type="gramEnd"/>
      <w:r w:rsidRPr="00E573E1">
        <w:rPr>
          <w:lang w:val="en-AU"/>
        </w:rPr>
        <w:t xml:space="preserve"> and the extent of exposure is approximately</w:t>
      </w:r>
      <w:r w:rsidRPr="00E573E1">
        <w:rPr>
          <w:spacing w:val="-8"/>
          <w:lang w:val="en-AU"/>
        </w:rPr>
        <w:t xml:space="preserve"> </w:t>
      </w:r>
      <w:r w:rsidRPr="00E573E1">
        <w:rPr>
          <w:lang w:val="en-AU"/>
        </w:rPr>
        <w:t>1.8 times higher than after</w:t>
      </w:r>
      <w:r w:rsidRPr="00E573E1">
        <w:rPr>
          <w:spacing w:val="-1"/>
          <w:lang w:val="en-AU"/>
        </w:rPr>
        <w:t xml:space="preserve"> </w:t>
      </w:r>
      <w:r w:rsidRPr="00E573E1">
        <w:rPr>
          <w:lang w:val="en-AU"/>
        </w:rPr>
        <w:t>the first dose.</w:t>
      </w:r>
      <w:r w:rsidRPr="00E573E1">
        <w:rPr>
          <w:rStyle w:val="EndnoteReference"/>
          <w:lang w:val="en-AU"/>
        </w:rPr>
        <w:t xml:space="preserve"> </w:t>
      </w:r>
    </w:p>
    <w:p w14:paraId="6D3DB413" w14:textId="77777777" w:rsidR="00FB0326" w:rsidRPr="00E573E1" w:rsidRDefault="00FB0326" w:rsidP="00C11150">
      <w:pPr>
        <w:pStyle w:val="Heading4Unnumbered"/>
        <w:rPr>
          <w:lang w:val="en-AU"/>
        </w:rPr>
      </w:pPr>
      <w:r w:rsidRPr="00E573E1">
        <w:rPr>
          <w:lang w:val="en-AU"/>
        </w:rPr>
        <w:t>Formoterol</w:t>
      </w:r>
    </w:p>
    <w:p w14:paraId="73323DED" w14:textId="48438066" w:rsidR="00FB0326" w:rsidRPr="00E573E1" w:rsidRDefault="00FB0326" w:rsidP="00C11150">
      <w:pPr>
        <w:pStyle w:val="Paragraph"/>
        <w:rPr>
          <w:lang w:val="en-AU"/>
        </w:rPr>
      </w:pPr>
      <w:r w:rsidRPr="00E573E1">
        <w:rPr>
          <w:lang w:val="en-AU"/>
        </w:rPr>
        <w:t xml:space="preserve">Following inhaled administration of BREZTRI AEROSPHERE in subjects with COPD, formoterol </w:t>
      </w:r>
      <w:r w:rsidRPr="00E573E1">
        <w:rPr>
          <w:spacing w:val="1"/>
          <w:lang w:val="en-AU"/>
        </w:rPr>
        <w:t>C</w:t>
      </w:r>
      <w:r w:rsidRPr="00E573E1">
        <w:rPr>
          <w:position w:val="-3"/>
          <w:sz w:val="16"/>
          <w:szCs w:val="16"/>
          <w:lang w:val="en-AU"/>
        </w:rPr>
        <w:t xml:space="preserve">max </w:t>
      </w:r>
      <w:r w:rsidRPr="00E573E1">
        <w:rPr>
          <w:lang w:val="en-AU"/>
        </w:rPr>
        <w:t>occurred within 40 to 60 minutes. Steady</w:t>
      </w:r>
      <w:r w:rsidRPr="00E573E1">
        <w:rPr>
          <w:spacing w:val="-5"/>
          <w:lang w:val="en-AU"/>
        </w:rPr>
        <w:t xml:space="preserve"> </w:t>
      </w:r>
      <w:r w:rsidRPr="00E573E1">
        <w:rPr>
          <w:lang w:val="en-AU"/>
        </w:rPr>
        <w:t xml:space="preserve">state is achieved after approximately 2 days of repeated dosing with BREZTRI </w:t>
      </w:r>
      <w:proofErr w:type="gramStart"/>
      <w:r w:rsidRPr="00E573E1">
        <w:rPr>
          <w:lang w:val="en-AU"/>
        </w:rPr>
        <w:t>AEROSPHERE</w:t>
      </w:r>
      <w:proofErr w:type="gramEnd"/>
      <w:r w:rsidRPr="00E573E1">
        <w:rPr>
          <w:lang w:val="en-AU"/>
        </w:rPr>
        <w:t xml:space="preserve"> and the extent of exposure is approximately</w:t>
      </w:r>
      <w:r w:rsidRPr="00E573E1">
        <w:rPr>
          <w:spacing w:val="-5"/>
          <w:lang w:val="en-AU"/>
        </w:rPr>
        <w:t xml:space="preserve"> </w:t>
      </w:r>
      <w:r w:rsidRPr="00E573E1">
        <w:rPr>
          <w:lang w:val="en-AU"/>
        </w:rPr>
        <w:t>1.4 times higher than after the first dose.</w:t>
      </w:r>
      <w:r w:rsidRPr="00E573E1">
        <w:rPr>
          <w:rStyle w:val="EndnoteReference"/>
          <w:lang w:val="en-AU"/>
        </w:rPr>
        <w:t xml:space="preserve"> </w:t>
      </w:r>
    </w:p>
    <w:p w14:paraId="3A17DEAC" w14:textId="36F50180" w:rsidR="001A3992" w:rsidRPr="00E573E1" w:rsidRDefault="001A3992" w:rsidP="00C11150">
      <w:pPr>
        <w:pStyle w:val="Heading3Unnumbered"/>
        <w:rPr>
          <w:lang w:val="en-AU"/>
        </w:rPr>
      </w:pPr>
      <w:r w:rsidRPr="00E573E1">
        <w:rPr>
          <w:lang w:val="en-AU"/>
        </w:rPr>
        <w:t>Distribution</w:t>
      </w:r>
    </w:p>
    <w:p w14:paraId="37A8E6C4" w14:textId="77777777" w:rsidR="00FB0326" w:rsidRPr="00E573E1" w:rsidRDefault="00FB0326" w:rsidP="00C11150">
      <w:pPr>
        <w:pStyle w:val="Heading4Unnumbered"/>
        <w:rPr>
          <w:lang w:val="en-AU"/>
        </w:rPr>
      </w:pPr>
      <w:r w:rsidRPr="00E573E1">
        <w:rPr>
          <w:lang w:val="en-AU"/>
        </w:rPr>
        <w:t>Budesonide</w:t>
      </w:r>
      <w:r w:rsidRPr="00E573E1">
        <w:rPr>
          <w:rStyle w:val="EndnoteReference"/>
          <w:iCs/>
          <w:szCs w:val="24"/>
          <w:lang w:val="en-AU"/>
        </w:rPr>
        <w:t xml:space="preserve"> </w:t>
      </w:r>
    </w:p>
    <w:p w14:paraId="65A9D01B" w14:textId="7E5F7813" w:rsidR="00FB0326" w:rsidRPr="00E573E1" w:rsidRDefault="00FB0326" w:rsidP="00C11150">
      <w:pPr>
        <w:pStyle w:val="Paragraph"/>
        <w:rPr>
          <w:lang w:val="en-AU"/>
        </w:rPr>
      </w:pPr>
      <w:r w:rsidRPr="00E573E1">
        <w:rPr>
          <w:lang w:val="en-AU"/>
        </w:rPr>
        <w:t xml:space="preserve">The estimated budesonide apparent volume of distribution at </w:t>
      </w:r>
      <w:proofErr w:type="gramStart"/>
      <w:r w:rsidRPr="00E573E1">
        <w:rPr>
          <w:lang w:val="en-AU"/>
        </w:rPr>
        <w:t>steady-state</w:t>
      </w:r>
      <w:proofErr w:type="gramEnd"/>
      <w:r w:rsidRPr="00E573E1">
        <w:rPr>
          <w:lang w:val="en-AU"/>
        </w:rPr>
        <w:t xml:space="preserve"> is 1</w:t>
      </w:r>
      <w:r w:rsidR="00A14576">
        <w:rPr>
          <w:lang w:val="en-AU"/>
        </w:rPr>
        <w:t>,</w:t>
      </w:r>
      <w:r w:rsidRPr="00E573E1">
        <w:rPr>
          <w:lang w:val="en-AU"/>
        </w:rPr>
        <w:t>200</w:t>
      </w:r>
      <w:r w:rsidR="00981CA5" w:rsidRPr="00E573E1">
        <w:rPr>
          <w:lang w:val="en-AU"/>
        </w:rPr>
        <w:t> </w:t>
      </w:r>
      <w:r w:rsidRPr="00E573E1">
        <w:rPr>
          <w:lang w:val="en-AU"/>
        </w:rPr>
        <w:t>L, via population pharmacokinetic analysis. Plasma protein binding is approximately</w:t>
      </w:r>
      <w:r w:rsidRPr="00E573E1">
        <w:rPr>
          <w:spacing w:val="-5"/>
          <w:lang w:val="en-AU"/>
        </w:rPr>
        <w:t xml:space="preserve"> </w:t>
      </w:r>
      <w:r w:rsidRPr="00E573E1">
        <w:rPr>
          <w:lang w:val="en-AU"/>
        </w:rPr>
        <w:t xml:space="preserve">90% for budesonide. </w:t>
      </w:r>
    </w:p>
    <w:p w14:paraId="3EA19305" w14:textId="77777777" w:rsidR="00FB0326" w:rsidRPr="00E573E1" w:rsidRDefault="00FB0326" w:rsidP="00C11150">
      <w:pPr>
        <w:pStyle w:val="Heading4Unnumbered"/>
        <w:rPr>
          <w:lang w:val="en-AU"/>
        </w:rPr>
      </w:pPr>
      <w:proofErr w:type="spellStart"/>
      <w:r w:rsidRPr="00E573E1">
        <w:rPr>
          <w:lang w:val="en-AU"/>
        </w:rPr>
        <w:lastRenderedPageBreak/>
        <w:t>Glycopyrronium</w:t>
      </w:r>
      <w:proofErr w:type="spellEnd"/>
      <w:r w:rsidRPr="00E573E1">
        <w:rPr>
          <w:rStyle w:val="EndnoteReference"/>
          <w:iCs/>
          <w:szCs w:val="24"/>
          <w:lang w:val="en-AU"/>
        </w:rPr>
        <w:t xml:space="preserve"> </w:t>
      </w:r>
    </w:p>
    <w:p w14:paraId="57920048" w14:textId="38AA7536" w:rsidR="00FB0326" w:rsidRPr="00E573E1" w:rsidRDefault="00FB0326" w:rsidP="00C11150">
      <w:pPr>
        <w:pStyle w:val="Paragraph"/>
        <w:rPr>
          <w:lang w:val="en-AU"/>
        </w:rPr>
      </w:pPr>
      <w:r w:rsidRPr="00E573E1">
        <w:rPr>
          <w:lang w:val="en-AU"/>
        </w:rPr>
        <w:t>The estimated</w:t>
      </w:r>
      <w:r w:rsidRPr="00E573E1">
        <w:rPr>
          <w:spacing w:val="2"/>
          <w:lang w:val="en-AU"/>
        </w:rPr>
        <w:t xml:space="preserve"> </w:t>
      </w:r>
      <w:proofErr w:type="spellStart"/>
      <w:r w:rsidRPr="00E573E1">
        <w:rPr>
          <w:spacing w:val="-2"/>
          <w:lang w:val="en-AU"/>
        </w:rPr>
        <w:t>g</w:t>
      </w:r>
      <w:r w:rsidRPr="00E573E1">
        <w:rPr>
          <w:spacing w:val="5"/>
          <w:lang w:val="en-AU"/>
        </w:rPr>
        <w:t>l</w:t>
      </w:r>
      <w:r w:rsidRPr="00E573E1">
        <w:rPr>
          <w:spacing w:val="-2"/>
          <w:lang w:val="en-AU"/>
        </w:rPr>
        <w:t>yco</w:t>
      </w:r>
      <w:r w:rsidRPr="00E573E1">
        <w:rPr>
          <w:spacing w:val="5"/>
          <w:lang w:val="en-AU"/>
        </w:rPr>
        <w:t>p</w:t>
      </w:r>
      <w:r w:rsidRPr="00E573E1">
        <w:rPr>
          <w:spacing w:val="-5"/>
          <w:lang w:val="en-AU"/>
        </w:rPr>
        <w:t>y</w:t>
      </w:r>
      <w:r w:rsidRPr="00E573E1">
        <w:rPr>
          <w:spacing w:val="2"/>
          <w:lang w:val="en-AU"/>
        </w:rPr>
        <w:t>r</w:t>
      </w:r>
      <w:r w:rsidRPr="00E573E1">
        <w:rPr>
          <w:lang w:val="en-AU"/>
        </w:rPr>
        <w:t>ronium</w:t>
      </w:r>
      <w:proofErr w:type="spellEnd"/>
      <w:r w:rsidRPr="00E573E1">
        <w:rPr>
          <w:lang w:val="en-AU"/>
        </w:rPr>
        <w:t xml:space="preserve"> apparent volume of distribution at </w:t>
      </w:r>
      <w:proofErr w:type="gramStart"/>
      <w:r w:rsidRPr="00E573E1">
        <w:rPr>
          <w:lang w:val="en-AU"/>
        </w:rPr>
        <w:t>steady-state</w:t>
      </w:r>
      <w:proofErr w:type="gramEnd"/>
      <w:r w:rsidRPr="00E573E1">
        <w:rPr>
          <w:lang w:val="en-AU"/>
        </w:rPr>
        <w:t xml:space="preserve"> is 5</w:t>
      </w:r>
      <w:r w:rsidR="00A14576">
        <w:rPr>
          <w:lang w:val="en-AU"/>
        </w:rPr>
        <w:t>,</w:t>
      </w:r>
      <w:r w:rsidRPr="00E573E1">
        <w:rPr>
          <w:lang w:val="en-AU"/>
        </w:rPr>
        <w:t>500</w:t>
      </w:r>
      <w:r w:rsidR="00981CA5" w:rsidRPr="00E573E1">
        <w:rPr>
          <w:lang w:val="en-AU"/>
        </w:rPr>
        <w:t> </w:t>
      </w:r>
      <w:r w:rsidRPr="00E573E1">
        <w:rPr>
          <w:lang w:val="en-AU"/>
        </w:rPr>
        <w:t>L,</w:t>
      </w:r>
      <w:r w:rsidRPr="00E573E1">
        <w:rPr>
          <w:spacing w:val="1"/>
          <w:lang w:val="en-AU"/>
        </w:rPr>
        <w:t xml:space="preserve"> vi</w:t>
      </w:r>
      <w:r w:rsidRPr="00E573E1">
        <w:rPr>
          <w:lang w:val="en-AU"/>
        </w:rPr>
        <w:t>a</w:t>
      </w:r>
      <w:r w:rsidRPr="00E573E1">
        <w:rPr>
          <w:spacing w:val="-1"/>
          <w:lang w:val="en-AU"/>
        </w:rPr>
        <w:t xml:space="preserve"> </w:t>
      </w:r>
      <w:r w:rsidRPr="00E573E1">
        <w:rPr>
          <w:lang w:val="en-AU"/>
        </w:rPr>
        <w:t>population pharmacokinetic ana</w:t>
      </w:r>
      <w:r w:rsidRPr="00E573E1">
        <w:rPr>
          <w:spacing w:val="5"/>
          <w:lang w:val="en-AU"/>
        </w:rPr>
        <w:t>l</w:t>
      </w:r>
      <w:r w:rsidRPr="00E573E1">
        <w:rPr>
          <w:spacing w:val="-5"/>
          <w:lang w:val="en-AU"/>
        </w:rPr>
        <w:t>y</w:t>
      </w:r>
      <w:r w:rsidRPr="00E573E1">
        <w:rPr>
          <w:lang w:val="en-AU"/>
        </w:rPr>
        <w:t>s</w:t>
      </w:r>
      <w:r w:rsidRPr="00E573E1">
        <w:rPr>
          <w:spacing w:val="2"/>
          <w:lang w:val="en-AU"/>
        </w:rPr>
        <w:t>is.</w:t>
      </w:r>
      <w:r w:rsidRPr="00E573E1">
        <w:rPr>
          <w:rFonts w:ascii="TimesNewRoman" w:hAnsi="TimesNewRoman" w:cs="TimesNewRoman"/>
          <w:sz w:val="18"/>
          <w:szCs w:val="18"/>
          <w:lang w:val="en-AU"/>
        </w:rPr>
        <w:t xml:space="preserve"> </w:t>
      </w:r>
      <w:r w:rsidRPr="00E573E1">
        <w:rPr>
          <w:lang w:val="en-AU"/>
        </w:rPr>
        <w:t xml:space="preserve">Over the concentration range of 2-500 nmol/L, plasma protein binding of </w:t>
      </w:r>
      <w:proofErr w:type="spellStart"/>
      <w:r w:rsidRPr="00E573E1">
        <w:rPr>
          <w:lang w:val="en-AU"/>
        </w:rPr>
        <w:t>glycopyrronium</w:t>
      </w:r>
      <w:proofErr w:type="spellEnd"/>
      <w:r w:rsidRPr="00E573E1">
        <w:rPr>
          <w:lang w:val="en-AU"/>
        </w:rPr>
        <w:t xml:space="preserve"> ranged from 43% to 54%.</w:t>
      </w:r>
    </w:p>
    <w:p w14:paraId="17219F5A" w14:textId="77777777" w:rsidR="00FB0326" w:rsidRPr="00E573E1" w:rsidRDefault="00FB0326" w:rsidP="00C11150">
      <w:pPr>
        <w:pStyle w:val="Heading4Unnumbered"/>
        <w:rPr>
          <w:lang w:val="en-AU"/>
        </w:rPr>
      </w:pPr>
      <w:r w:rsidRPr="00E573E1">
        <w:rPr>
          <w:lang w:val="en-AU"/>
        </w:rPr>
        <w:t>Formoterol</w:t>
      </w:r>
      <w:r w:rsidRPr="00E573E1">
        <w:rPr>
          <w:rStyle w:val="EndnoteReference"/>
          <w:iCs/>
          <w:szCs w:val="24"/>
          <w:lang w:val="en-AU"/>
        </w:rPr>
        <w:t xml:space="preserve"> </w:t>
      </w:r>
    </w:p>
    <w:p w14:paraId="7FEB0753" w14:textId="70F94015" w:rsidR="00FB0326" w:rsidRPr="00E573E1" w:rsidRDefault="00FB0326" w:rsidP="00C11150">
      <w:pPr>
        <w:pStyle w:val="Paragraph"/>
        <w:rPr>
          <w:lang w:val="en-AU"/>
        </w:rPr>
      </w:pPr>
      <w:r w:rsidRPr="00E573E1">
        <w:rPr>
          <w:lang w:val="en-AU"/>
        </w:rPr>
        <w:t>The estimated</w:t>
      </w:r>
      <w:r w:rsidRPr="00E573E1">
        <w:rPr>
          <w:spacing w:val="2"/>
          <w:lang w:val="en-AU"/>
        </w:rPr>
        <w:t xml:space="preserve"> </w:t>
      </w:r>
      <w:r w:rsidRPr="00E573E1">
        <w:rPr>
          <w:spacing w:val="-2"/>
          <w:lang w:val="en-AU"/>
        </w:rPr>
        <w:t>formoterol</w:t>
      </w:r>
      <w:r w:rsidRPr="00E573E1">
        <w:rPr>
          <w:lang w:val="en-AU"/>
        </w:rPr>
        <w:t xml:space="preserve"> apparent volume of distribution at </w:t>
      </w:r>
      <w:proofErr w:type="gramStart"/>
      <w:r w:rsidRPr="00E573E1">
        <w:rPr>
          <w:lang w:val="en-AU"/>
        </w:rPr>
        <w:t>steady-state</w:t>
      </w:r>
      <w:proofErr w:type="gramEnd"/>
      <w:r w:rsidRPr="00E573E1">
        <w:rPr>
          <w:lang w:val="en-AU"/>
        </w:rPr>
        <w:t xml:space="preserve"> is 2</w:t>
      </w:r>
      <w:r w:rsidR="001C1318">
        <w:rPr>
          <w:lang w:val="en-AU"/>
        </w:rPr>
        <w:t>,</w:t>
      </w:r>
      <w:r w:rsidRPr="00E573E1">
        <w:rPr>
          <w:lang w:val="en-AU"/>
        </w:rPr>
        <w:t>400</w:t>
      </w:r>
      <w:r w:rsidR="00981CA5" w:rsidRPr="00E573E1">
        <w:rPr>
          <w:lang w:val="en-AU"/>
        </w:rPr>
        <w:t> </w:t>
      </w:r>
      <w:r w:rsidRPr="00E573E1">
        <w:rPr>
          <w:lang w:val="en-AU"/>
        </w:rPr>
        <w:t>L, via population pharmacokinetic ana</w:t>
      </w:r>
      <w:r w:rsidRPr="00E573E1">
        <w:rPr>
          <w:spacing w:val="5"/>
          <w:lang w:val="en-AU"/>
        </w:rPr>
        <w:t>l</w:t>
      </w:r>
      <w:r w:rsidRPr="00E573E1">
        <w:rPr>
          <w:spacing w:val="-5"/>
          <w:lang w:val="en-AU"/>
        </w:rPr>
        <w:t>y</w:t>
      </w:r>
      <w:r w:rsidRPr="00E573E1">
        <w:rPr>
          <w:lang w:val="en-AU"/>
        </w:rPr>
        <w:t>sis. Over the concentration range of 1</w:t>
      </w:r>
      <w:r w:rsidRPr="00E573E1">
        <w:rPr>
          <w:spacing w:val="2"/>
          <w:lang w:val="en-AU"/>
        </w:rPr>
        <w:t>0</w:t>
      </w:r>
      <w:r w:rsidRPr="00E573E1">
        <w:rPr>
          <w:spacing w:val="-1"/>
          <w:lang w:val="en-AU"/>
        </w:rPr>
        <w:t>-</w:t>
      </w:r>
      <w:r w:rsidRPr="00E573E1">
        <w:rPr>
          <w:lang w:val="en-AU"/>
        </w:rPr>
        <w:t>500</w:t>
      </w:r>
      <w:r w:rsidR="00981CA5" w:rsidRPr="00E573E1">
        <w:rPr>
          <w:lang w:val="en-AU"/>
        </w:rPr>
        <w:t> </w:t>
      </w:r>
      <w:r w:rsidRPr="00E573E1">
        <w:rPr>
          <w:lang w:val="en-AU"/>
        </w:rPr>
        <w:t>nmol/</w:t>
      </w:r>
      <w:r w:rsidRPr="00E573E1">
        <w:rPr>
          <w:spacing w:val="-5"/>
          <w:lang w:val="en-AU"/>
        </w:rPr>
        <w:t>L</w:t>
      </w:r>
      <w:r w:rsidRPr="00E573E1">
        <w:rPr>
          <w:lang w:val="en-AU"/>
        </w:rPr>
        <w:t xml:space="preserve">, plasma protein binding of formoterol ranged from 46% to 58%. </w:t>
      </w:r>
    </w:p>
    <w:p w14:paraId="0DF298F4" w14:textId="704756CD" w:rsidR="001A3992" w:rsidRPr="00E573E1" w:rsidRDefault="001A3992" w:rsidP="00C11150">
      <w:pPr>
        <w:pStyle w:val="Heading3Unnumbered"/>
        <w:rPr>
          <w:lang w:val="en-AU"/>
        </w:rPr>
      </w:pPr>
      <w:r w:rsidRPr="00E573E1">
        <w:rPr>
          <w:lang w:val="en-AU"/>
        </w:rPr>
        <w:t>Metabolism</w:t>
      </w:r>
    </w:p>
    <w:p w14:paraId="29C0829B" w14:textId="77777777" w:rsidR="00FB0326" w:rsidRPr="00E573E1" w:rsidRDefault="00FB0326" w:rsidP="00C11150">
      <w:pPr>
        <w:pStyle w:val="Heading4Unnumbered"/>
        <w:rPr>
          <w:lang w:val="en-AU"/>
        </w:rPr>
      </w:pPr>
      <w:r w:rsidRPr="00E573E1">
        <w:rPr>
          <w:lang w:val="en-AU"/>
        </w:rPr>
        <w:t>Budesonide</w:t>
      </w:r>
      <w:r w:rsidRPr="00E573E1">
        <w:rPr>
          <w:rStyle w:val="EndnoteReference"/>
          <w:iCs/>
          <w:color w:val="00B050"/>
          <w:szCs w:val="24"/>
          <w:lang w:val="en-AU"/>
        </w:rPr>
        <w:t xml:space="preserve"> </w:t>
      </w:r>
    </w:p>
    <w:p w14:paraId="595F4DC6" w14:textId="49D760AE" w:rsidR="00FB0326" w:rsidRPr="00E573E1" w:rsidRDefault="00FB0326" w:rsidP="00C11150">
      <w:pPr>
        <w:pStyle w:val="Paragraph"/>
        <w:rPr>
          <w:lang w:val="en-AU"/>
        </w:rPr>
      </w:pPr>
      <w:r w:rsidRPr="00E573E1">
        <w:rPr>
          <w:lang w:val="en-AU"/>
        </w:rPr>
        <w:t>Bud</w:t>
      </w:r>
      <w:r w:rsidRPr="00E573E1">
        <w:rPr>
          <w:spacing w:val="-2"/>
          <w:lang w:val="en-AU"/>
        </w:rPr>
        <w:t>e</w:t>
      </w:r>
      <w:r w:rsidRPr="00E573E1">
        <w:rPr>
          <w:lang w:val="en-AU"/>
        </w:rPr>
        <w:t>sonide undergoes an extensive degree (approximately</w:t>
      </w:r>
      <w:r w:rsidRPr="00E573E1">
        <w:rPr>
          <w:spacing w:val="-5"/>
          <w:lang w:val="en-AU"/>
        </w:rPr>
        <w:t xml:space="preserve"> </w:t>
      </w:r>
      <w:r w:rsidRPr="00E573E1">
        <w:rPr>
          <w:lang w:val="en-AU"/>
        </w:rPr>
        <w:t>90%) of biotransformation on first passage</w:t>
      </w:r>
      <w:r w:rsidRPr="00E573E1">
        <w:rPr>
          <w:spacing w:val="-1"/>
          <w:lang w:val="en-AU"/>
        </w:rPr>
        <w:t xml:space="preserve"> </w:t>
      </w:r>
      <w:r w:rsidRPr="00E573E1">
        <w:rPr>
          <w:lang w:val="en-AU"/>
        </w:rPr>
        <w:t xml:space="preserve">through the liver to metabolites of low </w:t>
      </w:r>
      <w:proofErr w:type="spellStart"/>
      <w:r w:rsidRPr="00E573E1">
        <w:rPr>
          <w:lang w:val="en-AU"/>
        </w:rPr>
        <w:t>glucocorticosteroid</w:t>
      </w:r>
      <w:proofErr w:type="spellEnd"/>
      <w:r w:rsidRPr="00E573E1">
        <w:rPr>
          <w:lang w:val="en-AU"/>
        </w:rPr>
        <w:t xml:space="preserve"> activit</w:t>
      </w:r>
      <w:r w:rsidRPr="00E573E1">
        <w:rPr>
          <w:spacing w:val="-5"/>
          <w:lang w:val="en-AU"/>
        </w:rPr>
        <w:t>y</w:t>
      </w:r>
      <w:r w:rsidRPr="00E573E1">
        <w:rPr>
          <w:lang w:val="en-AU"/>
        </w:rPr>
        <w:t xml:space="preserve">. The </w:t>
      </w:r>
      <w:proofErr w:type="spellStart"/>
      <w:r w:rsidRPr="00E573E1">
        <w:rPr>
          <w:lang w:val="en-AU"/>
        </w:rPr>
        <w:t>glucocorticosteroid</w:t>
      </w:r>
      <w:proofErr w:type="spellEnd"/>
      <w:r w:rsidRPr="00E573E1">
        <w:rPr>
          <w:lang w:val="en-AU"/>
        </w:rPr>
        <w:t xml:space="preserve"> activity</w:t>
      </w:r>
      <w:r w:rsidRPr="00E573E1">
        <w:rPr>
          <w:spacing w:val="-5"/>
          <w:lang w:val="en-AU"/>
        </w:rPr>
        <w:t xml:space="preserve"> </w:t>
      </w:r>
      <w:r w:rsidRPr="00E573E1">
        <w:rPr>
          <w:lang w:val="en-AU"/>
        </w:rPr>
        <w:t xml:space="preserve">of the </w:t>
      </w:r>
      <w:r w:rsidRPr="00E573E1">
        <w:rPr>
          <w:position w:val="-1"/>
          <w:lang w:val="en-AU"/>
        </w:rPr>
        <w:t>major metabolites, 6</w:t>
      </w:r>
      <w:r w:rsidR="00981CA5" w:rsidRPr="00E573E1">
        <w:rPr>
          <w:position w:val="-1"/>
          <w:lang w:val="en-AU"/>
        </w:rPr>
        <w:t> </w:t>
      </w:r>
      <w:r w:rsidRPr="00E573E1">
        <w:rPr>
          <w:position w:val="-1"/>
          <w:lang w:val="en-AU"/>
        </w:rPr>
        <w:t>bet</w:t>
      </w:r>
      <w:r w:rsidRPr="00E573E1">
        <w:rPr>
          <w:spacing w:val="1"/>
          <w:position w:val="-1"/>
          <w:lang w:val="en-AU"/>
        </w:rPr>
        <w:t>a</w:t>
      </w:r>
      <w:r w:rsidRPr="00E573E1">
        <w:rPr>
          <w:spacing w:val="-1"/>
          <w:position w:val="-1"/>
          <w:lang w:val="en-AU"/>
        </w:rPr>
        <w:t>-</w:t>
      </w:r>
      <w:r w:rsidRPr="00E573E1">
        <w:rPr>
          <w:spacing w:val="2"/>
          <w:position w:val="-1"/>
          <w:lang w:val="en-AU"/>
        </w:rPr>
        <w:t>h</w:t>
      </w:r>
      <w:r w:rsidRPr="00E573E1">
        <w:rPr>
          <w:spacing w:val="-5"/>
          <w:position w:val="-1"/>
          <w:lang w:val="en-AU"/>
        </w:rPr>
        <w:t>y</w:t>
      </w:r>
      <w:r w:rsidRPr="00E573E1">
        <w:rPr>
          <w:spacing w:val="2"/>
          <w:position w:val="-1"/>
          <w:lang w:val="en-AU"/>
        </w:rPr>
        <w:t>drox</w:t>
      </w:r>
      <w:r w:rsidRPr="00E573E1">
        <w:rPr>
          <w:spacing w:val="-5"/>
          <w:position w:val="-1"/>
          <w:lang w:val="en-AU"/>
        </w:rPr>
        <w:t>y</w:t>
      </w:r>
      <w:r w:rsidRPr="00E573E1">
        <w:rPr>
          <w:spacing w:val="-1"/>
          <w:position w:val="-1"/>
          <w:lang w:val="en-AU"/>
        </w:rPr>
        <w:t>-</w:t>
      </w:r>
      <w:r w:rsidRPr="00E573E1">
        <w:rPr>
          <w:position w:val="-1"/>
          <w:lang w:val="en-AU"/>
        </w:rPr>
        <w:t>budesonide and 1</w:t>
      </w:r>
      <w:r w:rsidRPr="00E573E1">
        <w:rPr>
          <w:spacing w:val="2"/>
          <w:position w:val="-1"/>
          <w:lang w:val="en-AU"/>
        </w:rPr>
        <w:t>6</w:t>
      </w:r>
      <w:r w:rsidRPr="00E573E1">
        <w:rPr>
          <w:rFonts w:ascii="Symbol" w:hAnsi="Symbol" w:cs="Symbol"/>
          <w:spacing w:val="-5"/>
          <w:position w:val="-1"/>
          <w:lang w:val="en-AU"/>
        </w:rPr>
        <w:t></w:t>
      </w:r>
      <w:r w:rsidRPr="00E573E1">
        <w:rPr>
          <w:spacing w:val="-1"/>
          <w:position w:val="-1"/>
          <w:lang w:val="en-AU"/>
        </w:rPr>
        <w:t>-</w:t>
      </w:r>
      <w:r w:rsidRPr="00E573E1">
        <w:rPr>
          <w:spacing w:val="5"/>
          <w:position w:val="-1"/>
          <w:lang w:val="en-AU"/>
        </w:rPr>
        <w:t>h</w:t>
      </w:r>
      <w:r w:rsidRPr="00E573E1">
        <w:rPr>
          <w:spacing w:val="-5"/>
          <w:position w:val="-1"/>
          <w:lang w:val="en-AU"/>
        </w:rPr>
        <w:t>y</w:t>
      </w:r>
      <w:r w:rsidRPr="00E573E1">
        <w:rPr>
          <w:spacing w:val="2"/>
          <w:position w:val="-1"/>
          <w:lang w:val="en-AU"/>
        </w:rPr>
        <w:t>drox</w:t>
      </w:r>
      <w:r w:rsidRPr="00E573E1">
        <w:rPr>
          <w:spacing w:val="-5"/>
          <w:position w:val="-1"/>
          <w:lang w:val="en-AU"/>
        </w:rPr>
        <w:t>y</w:t>
      </w:r>
      <w:r w:rsidRPr="00E573E1">
        <w:rPr>
          <w:spacing w:val="-1"/>
          <w:position w:val="-1"/>
          <w:lang w:val="en-AU"/>
        </w:rPr>
        <w:t>-</w:t>
      </w:r>
      <w:r w:rsidRPr="00E573E1">
        <w:rPr>
          <w:position w:val="-1"/>
          <w:lang w:val="en-AU"/>
        </w:rPr>
        <w:t xml:space="preserve">prednisolone, is less than 1% </w:t>
      </w:r>
      <w:r w:rsidRPr="00E573E1">
        <w:rPr>
          <w:lang w:val="en-AU"/>
        </w:rPr>
        <w:t>of that of budesonide.</w:t>
      </w:r>
    </w:p>
    <w:p w14:paraId="38377A20" w14:textId="77777777" w:rsidR="00FB0326" w:rsidRPr="00E573E1" w:rsidRDefault="00FB0326" w:rsidP="00C11150">
      <w:pPr>
        <w:pStyle w:val="Heading4Unnumbered"/>
        <w:rPr>
          <w:lang w:val="en-AU"/>
        </w:rPr>
      </w:pPr>
      <w:proofErr w:type="spellStart"/>
      <w:r w:rsidRPr="00E573E1">
        <w:rPr>
          <w:lang w:val="en-AU"/>
        </w:rPr>
        <w:t>Glycopyrronium</w:t>
      </w:r>
      <w:proofErr w:type="spellEnd"/>
      <w:r w:rsidRPr="00E573E1">
        <w:rPr>
          <w:rStyle w:val="EndnoteReference"/>
          <w:iCs/>
          <w:color w:val="00B050"/>
          <w:szCs w:val="24"/>
          <w:lang w:val="en-AU"/>
        </w:rPr>
        <w:t xml:space="preserve"> </w:t>
      </w:r>
    </w:p>
    <w:p w14:paraId="4354E542" w14:textId="1115CAA3" w:rsidR="00FB0326" w:rsidRPr="00E573E1" w:rsidRDefault="00FB0326" w:rsidP="00C11150">
      <w:pPr>
        <w:pStyle w:val="Paragraph"/>
        <w:rPr>
          <w:lang w:val="en-AU"/>
        </w:rPr>
      </w:pPr>
      <w:r w:rsidRPr="00E573E1">
        <w:rPr>
          <w:lang w:val="en-AU"/>
        </w:rPr>
        <w:t xml:space="preserve">Based on literature, and an </w:t>
      </w:r>
      <w:r w:rsidRPr="00E573E1">
        <w:rPr>
          <w:i/>
          <w:lang w:val="en-AU"/>
        </w:rPr>
        <w:t>in</w:t>
      </w:r>
      <w:r w:rsidR="00BE2BA0">
        <w:rPr>
          <w:i/>
          <w:lang w:val="en-AU"/>
        </w:rPr>
        <w:t xml:space="preserve"> </w:t>
      </w:r>
      <w:r w:rsidRPr="00E573E1">
        <w:rPr>
          <w:i/>
          <w:lang w:val="en-AU"/>
        </w:rPr>
        <w:t xml:space="preserve">vitro </w:t>
      </w:r>
      <w:r w:rsidRPr="00FA0B06">
        <w:rPr>
          <w:iCs/>
          <w:lang w:val="en-AU"/>
        </w:rPr>
        <w:t>human</w:t>
      </w:r>
      <w:r w:rsidRPr="00E573E1">
        <w:rPr>
          <w:lang w:val="en-AU"/>
        </w:rPr>
        <w:t xml:space="preserve"> hepatocyte study, metabolism plays a minor role in the overall elimination of </w:t>
      </w:r>
      <w:proofErr w:type="spellStart"/>
      <w:r w:rsidRPr="00E573E1">
        <w:rPr>
          <w:lang w:val="en-AU"/>
        </w:rPr>
        <w:t>glycopyrronium</w:t>
      </w:r>
      <w:proofErr w:type="spellEnd"/>
      <w:r w:rsidRPr="00E573E1">
        <w:rPr>
          <w:lang w:val="en-AU"/>
        </w:rPr>
        <w:t xml:space="preserve">. </w:t>
      </w:r>
      <w:r w:rsidR="000243C4">
        <w:rPr>
          <w:lang w:val="en-AU"/>
        </w:rPr>
        <w:t>No metabolism was observed</w:t>
      </w:r>
      <w:r w:rsidR="00A562F4">
        <w:rPr>
          <w:lang w:val="en-AU"/>
        </w:rPr>
        <w:t xml:space="preserve"> </w:t>
      </w:r>
      <w:r w:rsidR="00A562F4">
        <w:rPr>
          <w:i/>
          <w:iCs/>
          <w:lang w:val="en-AU"/>
        </w:rPr>
        <w:t>in</w:t>
      </w:r>
      <w:r w:rsidR="00A562F4" w:rsidRPr="00A562F4">
        <w:rPr>
          <w:i/>
          <w:iCs/>
          <w:lang w:val="en-AU"/>
        </w:rPr>
        <w:t xml:space="preserve"> vitro</w:t>
      </w:r>
      <w:r w:rsidR="00A562F4">
        <w:rPr>
          <w:lang w:val="en-AU"/>
        </w:rPr>
        <w:t xml:space="preserve"> in human lung microsomes. The major metabolic pathway for </w:t>
      </w:r>
      <w:proofErr w:type="spellStart"/>
      <w:r w:rsidR="00A562F4">
        <w:rPr>
          <w:lang w:val="en-AU"/>
        </w:rPr>
        <w:t>glycopyrronium</w:t>
      </w:r>
      <w:proofErr w:type="spellEnd"/>
      <w:r w:rsidR="00A562F4">
        <w:rPr>
          <w:lang w:val="en-AU"/>
        </w:rPr>
        <w:t xml:space="preserve"> is likely direct hydrolysis catalysed by members of the cholinesterase family. </w:t>
      </w:r>
      <w:r w:rsidRPr="00A562F4">
        <w:rPr>
          <w:lang w:val="en-AU"/>
        </w:rPr>
        <w:t>CYP2D6</w:t>
      </w:r>
      <w:r w:rsidRPr="00E573E1">
        <w:rPr>
          <w:lang w:val="en-AU"/>
        </w:rPr>
        <w:t xml:space="preserve"> was found to be the predominant </w:t>
      </w:r>
      <w:r w:rsidR="00A562F4">
        <w:rPr>
          <w:lang w:val="en-AU"/>
        </w:rPr>
        <w:t>CYP is</w:t>
      </w:r>
      <w:r w:rsidR="000432A2">
        <w:rPr>
          <w:lang w:val="en-AU"/>
        </w:rPr>
        <w:t>o</w:t>
      </w:r>
      <w:r w:rsidR="00A562F4">
        <w:rPr>
          <w:lang w:val="en-AU"/>
        </w:rPr>
        <w:t>form</w:t>
      </w:r>
      <w:r w:rsidRPr="00E573E1">
        <w:rPr>
          <w:lang w:val="en-AU"/>
        </w:rPr>
        <w:t xml:space="preserve"> involved in the metabolism of </w:t>
      </w:r>
      <w:proofErr w:type="spellStart"/>
      <w:r w:rsidRPr="00E573E1">
        <w:rPr>
          <w:lang w:val="en-AU"/>
        </w:rPr>
        <w:t>glycopyrronium</w:t>
      </w:r>
      <w:proofErr w:type="spellEnd"/>
      <w:r w:rsidRPr="00E573E1">
        <w:rPr>
          <w:lang w:val="en-AU"/>
        </w:rPr>
        <w:t xml:space="preserve">. </w:t>
      </w:r>
    </w:p>
    <w:p w14:paraId="2AEBE155" w14:textId="77777777" w:rsidR="00FB0326" w:rsidRPr="00E573E1" w:rsidRDefault="00FB0326" w:rsidP="00C11150">
      <w:pPr>
        <w:pStyle w:val="Heading4Unnumbered"/>
        <w:rPr>
          <w:lang w:val="en-AU"/>
        </w:rPr>
      </w:pPr>
      <w:r w:rsidRPr="00E573E1">
        <w:rPr>
          <w:lang w:val="en-AU"/>
        </w:rPr>
        <w:t>Formoterol</w:t>
      </w:r>
      <w:r w:rsidRPr="00E573E1">
        <w:rPr>
          <w:rStyle w:val="EndnoteReference"/>
          <w:iCs/>
          <w:color w:val="00B050"/>
          <w:szCs w:val="24"/>
          <w:lang w:val="en-AU"/>
        </w:rPr>
        <w:t xml:space="preserve"> </w:t>
      </w:r>
    </w:p>
    <w:p w14:paraId="363030E1" w14:textId="562631CB" w:rsidR="00FB0326" w:rsidRPr="00E573E1" w:rsidRDefault="00FB0326" w:rsidP="00C11150">
      <w:pPr>
        <w:pStyle w:val="Paragraph"/>
        <w:rPr>
          <w:lang w:val="en-AU"/>
        </w:rPr>
      </w:pPr>
      <w:r w:rsidRPr="00E573E1">
        <w:rPr>
          <w:lang w:val="en-AU"/>
        </w:rPr>
        <w:t>The primary</w:t>
      </w:r>
      <w:r w:rsidRPr="00E573E1">
        <w:rPr>
          <w:spacing w:val="-5"/>
          <w:lang w:val="en-AU"/>
        </w:rPr>
        <w:t xml:space="preserve"> </w:t>
      </w:r>
      <w:r w:rsidRPr="00E573E1">
        <w:rPr>
          <w:lang w:val="en-AU"/>
        </w:rPr>
        <w:t>metabolism of formoterol is by</w:t>
      </w:r>
      <w:r w:rsidRPr="00E573E1">
        <w:rPr>
          <w:spacing w:val="-5"/>
          <w:lang w:val="en-AU"/>
        </w:rPr>
        <w:t xml:space="preserve"> </w:t>
      </w:r>
      <w:r w:rsidRPr="00E573E1">
        <w:rPr>
          <w:lang w:val="en-AU"/>
        </w:rPr>
        <w:t xml:space="preserve">direct glucuronidation and </w:t>
      </w:r>
      <w:r w:rsidRPr="00E573E1">
        <w:rPr>
          <w:spacing w:val="4"/>
          <w:lang w:val="en-AU"/>
        </w:rPr>
        <w:t>b</w:t>
      </w:r>
      <w:r w:rsidRPr="00E573E1">
        <w:rPr>
          <w:lang w:val="en-AU"/>
        </w:rPr>
        <w:t>y</w:t>
      </w:r>
      <w:r w:rsidRPr="00E573E1">
        <w:rPr>
          <w:spacing w:val="-2"/>
          <w:lang w:val="en-AU"/>
        </w:rPr>
        <w:t xml:space="preserve"> </w:t>
      </w:r>
      <w:r w:rsidRPr="00E573E1">
        <w:rPr>
          <w:lang w:val="en-AU"/>
        </w:rPr>
        <w:t>O</w:t>
      </w:r>
      <w:r w:rsidRPr="00E573E1">
        <w:rPr>
          <w:spacing w:val="-1"/>
          <w:lang w:val="en-AU"/>
        </w:rPr>
        <w:t>-</w:t>
      </w:r>
      <w:r w:rsidRPr="00E573E1">
        <w:rPr>
          <w:lang w:val="en-AU"/>
        </w:rPr>
        <w:t>demet</w:t>
      </w:r>
      <w:r w:rsidRPr="00E573E1">
        <w:rPr>
          <w:spacing w:val="5"/>
          <w:lang w:val="en-AU"/>
        </w:rPr>
        <w:t>h</w:t>
      </w:r>
      <w:r w:rsidRPr="00E573E1">
        <w:rPr>
          <w:spacing w:val="-5"/>
          <w:lang w:val="en-AU"/>
        </w:rPr>
        <w:t>y</w:t>
      </w:r>
      <w:r w:rsidRPr="00E573E1">
        <w:rPr>
          <w:lang w:val="en-AU"/>
        </w:rPr>
        <w:t xml:space="preserve">lation followed </w:t>
      </w:r>
      <w:r w:rsidRPr="00E573E1">
        <w:rPr>
          <w:spacing w:val="5"/>
          <w:lang w:val="en-AU"/>
        </w:rPr>
        <w:t>b</w:t>
      </w:r>
      <w:r w:rsidRPr="00E573E1">
        <w:rPr>
          <w:lang w:val="en-AU"/>
        </w:rPr>
        <w:t>y conjugation to inactive metabolites. Secondary metabolic pathwa</w:t>
      </w:r>
      <w:r w:rsidRPr="00E573E1">
        <w:rPr>
          <w:spacing w:val="-5"/>
          <w:lang w:val="en-AU"/>
        </w:rPr>
        <w:t>y</w:t>
      </w:r>
      <w:r w:rsidRPr="00E573E1">
        <w:rPr>
          <w:lang w:val="en-AU"/>
        </w:rPr>
        <w:t xml:space="preserve">s include </w:t>
      </w:r>
      <w:proofErr w:type="spellStart"/>
      <w:r w:rsidRPr="00E573E1">
        <w:rPr>
          <w:lang w:val="en-AU"/>
        </w:rPr>
        <w:t>defor</w:t>
      </w:r>
      <w:r w:rsidRPr="00E573E1">
        <w:rPr>
          <w:spacing w:val="5"/>
          <w:lang w:val="en-AU"/>
        </w:rPr>
        <w:t>m</w:t>
      </w:r>
      <w:r w:rsidRPr="00E573E1">
        <w:rPr>
          <w:spacing w:val="-5"/>
          <w:lang w:val="en-AU"/>
        </w:rPr>
        <w:t>y</w:t>
      </w:r>
      <w:r w:rsidRPr="00E573E1">
        <w:rPr>
          <w:lang w:val="en-AU"/>
        </w:rPr>
        <w:t>lation</w:t>
      </w:r>
      <w:proofErr w:type="spellEnd"/>
      <w:r w:rsidRPr="00E573E1">
        <w:rPr>
          <w:lang w:val="en-AU"/>
        </w:rPr>
        <w:t xml:space="preserve"> and </w:t>
      </w:r>
      <w:proofErr w:type="spellStart"/>
      <w:r w:rsidRPr="00E573E1">
        <w:rPr>
          <w:lang w:val="en-AU"/>
        </w:rPr>
        <w:t>sulfate</w:t>
      </w:r>
      <w:proofErr w:type="spellEnd"/>
      <w:r w:rsidRPr="00E573E1">
        <w:rPr>
          <w:lang w:val="en-AU"/>
        </w:rPr>
        <w:t xml:space="preserve"> conjugation. </w:t>
      </w:r>
      <w:r w:rsidR="00A562F4">
        <w:rPr>
          <w:lang w:val="en-AU"/>
        </w:rPr>
        <w:t>Multiple isozymes catalyse the glucuronidation (UGT1A1, 1A3, 1A6, 1A7, 1A8, 1A9, 1A10, 2B7 and 2B15) and O-de</w:t>
      </w:r>
      <w:r w:rsidR="00491ABA">
        <w:rPr>
          <w:lang w:val="en-AU"/>
        </w:rPr>
        <w:t>methylation (CYP2D6, 2C19, 2C9 and 2A6) of formoterol.</w:t>
      </w:r>
    </w:p>
    <w:p w14:paraId="429AD2BE" w14:textId="7BD9E55D" w:rsidR="001A3992" w:rsidRPr="00E573E1" w:rsidRDefault="001A3992" w:rsidP="00C11150">
      <w:pPr>
        <w:pStyle w:val="Heading3Unnumbered"/>
        <w:rPr>
          <w:lang w:val="en-AU"/>
        </w:rPr>
      </w:pPr>
      <w:r w:rsidRPr="00E573E1">
        <w:rPr>
          <w:lang w:val="en-AU"/>
        </w:rPr>
        <w:t>Excretion</w:t>
      </w:r>
    </w:p>
    <w:p w14:paraId="415C2125" w14:textId="77777777" w:rsidR="00FB0326" w:rsidRPr="00E573E1" w:rsidRDefault="00FB0326" w:rsidP="00C11150">
      <w:pPr>
        <w:pStyle w:val="Heading4Unnumbered"/>
        <w:rPr>
          <w:lang w:val="en-AU"/>
        </w:rPr>
      </w:pPr>
      <w:r w:rsidRPr="00E573E1">
        <w:rPr>
          <w:lang w:val="en-AU"/>
        </w:rPr>
        <w:t>Budesonide</w:t>
      </w:r>
      <w:r w:rsidRPr="00E573E1">
        <w:rPr>
          <w:rStyle w:val="EndnoteReference"/>
          <w:iCs/>
          <w:color w:val="00B050"/>
          <w:szCs w:val="24"/>
          <w:lang w:val="en-AU"/>
        </w:rPr>
        <w:t xml:space="preserve"> </w:t>
      </w:r>
    </w:p>
    <w:p w14:paraId="06706EDF" w14:textId="77777777" w:rsidR="00FB0326" w:rsidRPr="00E573E1" w:rsidRDefault="00FB0326" w:rsidP="00C11150">
      <w:pPr>
        <w:pStyle w:val="Paragraph"/>
        <w:rPr>
          <w:lang w:val="en-AU"/>
        </w:rPr>
      </w:pPr>
      <w:r w:rsidRPr="00E573E1">
        <w:rPr>
          <w:lang w:val="en-AU"/>
        </w:rPr>
        <w:t>Budesonide is eliminated via metabolism mainly</w:t>
      </w:r>
      <w:r w:rsidRPr="00E573E1">
        <w:rPr>
          <w:spacing w:val="-5"/>
          <w:lang w:val="en-AU"/>
        </w:rPr>
        <w:t xml:space="preserve"> </w:t>
      </w:r>
      <w:r w:rsidRPr="00E573E1">
        <w:rPr>
          <w:spacing w:val="1"/>
          <w:lang w:val="en-AU"/>
        </w:rPr>
        <w:t>catal</w:t>
      </w:r>
      <w:r w:rsidRPr="00E573E1">
        <w:rPr>
          <w:spacing w:val="-5"/>
          <w:lang w:val="en-AU"/>
        </w:rPr>
        <w:t>y</w:t>
      </w:r>
      <w:r w:rsidRPr="00E573E1">
        <w:rPr>
          <w:spacing w:val="1"/>
          <w:lang w:val="en-AU"/>
        </w:rPr>
        <w:t>se</w:t>
      </w:r>
      <w:r w:rsidRPr="00E573E1">
        <w:rPr>
          <w:lang w:val="en-AU"/>
        </w:rPr>
        <w:t>d</w:t>
      </w:r>
      <w:r w:rsidRPr="00E573E1">
        <w:rPr>
          <w:spacing w:val="3"/>
          <w:lang w:val="en-AU"/>
        </w:rPr>
        <w:t xml:space="preserve"> </w:t>
      </w:r>
      <w:r w:rsidRPr="00E573E1">
        <w:rPr>
          <w:spacing w:val="1"/>
          <w:lang w:val="en-AU"/>
        </w:rPr>
        <w:t>b</w:t>
      </w:r>
      <w:r w:rsidRPr="00E573E1">
        <w:rPr>
          <w:lang w:val="en-AU"/>
        </w:rPr>
        <w:t>y</w:t>
      </w:r>
      <w:r w:rsidRPr="00E573E1">
        <w:rPr>
          <w:spacing w:val="-5"/>
          <w:lang w:val="en-AU"/>
        </w:rPr>
        <w:t xml:space="preserve"> </w:t>
      </w:r>
      <w:r w:rsidRPr="00E573E1">
        <w:rPr>
          <w:lang w:val="en-AU"/>
        </w:rPr>
        <w:t>the en</w:t>
      </w:r>
      <w:r w:rsidRPr="00E573E1">
        <w:rPr>
          <w:spacing w:val="6"/>
          <w:lang w:val="en-AU"/>
        </w:rPr>
        <w:t>z</w:t>
      </w:r>
      <w:r w:rsidRPr="00E573E1">
        <w:rPr>
          <w:spacing w:val="-7"/>
          <w:lang w:val="en-AU"/>
        </w:rPr>
        <w:t>y</w:t>
      </w:r>
      <w:r w:rsidRPr="00E573E1">
        <w:rPr>
          <w:spacing w:val="3"/>
          <w:lang w:val="en-AU"/>
        </w:rPr>
        <w:t>m</w:t>
      </w:r>
      <w:r w:rsidRPr="00E573E1">
        <w:rPr>
          <w:lang w:val="en-AU"/>
        </w:rPr>
        <w:t>e CYP3A4. The metabolites of budesonide are excreted in urine as such or in conjugated form. Only</w:t>
      </w:r>
      <w:r w:rsidRPr="00E573E1">
        <w:rPr>
          <w:spacing w:val="-5"/>
          <w:lang w:val="en-AU"/>
        </w:rPr>
        <w:t xml:space="preserve"> </w:t>
      </w:r>
      <w:r w:rsidRPr="00E573E1">
        <w:rPr>
          <w:lang w:val="en-AU"/>
        </w:rPr>
        <w:t>negligible amounts of unchanged bu</w:t>
      </w:r>
      <w:r w:rsidRPr="00E573E1">
        <w:rPr>
          <w:spacing w:val="-1"/>
          <w:lang w:val="en-AU"/>
        </w:rPr>
        <w:t>d</w:t>
      </w:r>
      <w:r w:rsidRPr="00E573E1">
        <w:rPr>
          <w:lang w:val="en-AU"/>
        </w:rPr>
        <w:t>esonide have been detected in the urine. The effective terminal elimination hal</w:t>
      </w:r>
      <w:r w:rsidRPr="00E573E1">
        <w:rPr>
          <w:spacing w:val="-2"/>
          <w:lang w:val="en-AU"/>
        </w:rPr>
        <w:t>f</w:t>
      </w:r>
      <w:r w:rsidRPr="00E573E1">
        <w:rPr>
          <w:spacing w:val="-1"/>
          <w:lang w:val="en-AU"/>
        </w:rPr>
        <w:t>-</w:t>
      </w:r>
      <w:r w:rsidRPr="00E573E1">
        <w:rPr>
          <w:lang w:val="en-AU"/>
        </w:rPr>
        <w:t>life of</w:t>
      </w:r>
      <w:r w:rsidRPr="00E573E1">
        <w:rPr>
          <w:spacing w:val="2"/>
          <w:lang w:val="en-AU"/>
        </w:rPr>
        <w:t xml:space="preserve"> </w:t>
      </w:r>
      <w:r w:rsidRPr="00E573E1">
        <w:rPr>
          <w:spacing w:val="-2"/>
          <w:lang w:val="en-AU"/>
        </w:rPr>
        <w:t>budesonide</w:t>
      </w:r>
      <w:r w:rsidRPr="00E573E1">
        <w:rPr>
          <w:lang w:val="en-AU"/>
        </w:rPr>
        <w:t xml:space="preserve"> derived via population pharmacokinetic </w:t>
      </w:r>
      <w:r w:rsidRPr="00E573E1">
        <w:rPr>
          <w:spacing w:val="-1"/>
          <w:lang w:val="en-AU"/>
        </w:rPr>
        <w:t>ana</w:t>
      </w:r>
      <w:r w:rsidRPr="00E573E1">
        <w:rPr>
          <w:spacing w:val="5"/>
          <w:lang w:val="en-AU"/>
        </w:rPr>
        <w:t>l</w:t>
      </w:r>
      <w:r w:rsidRPr="00E573E1">
        <w:rPr>
          <w:spacing w:val="-7"/>
          <w:lang w:val="en-AU"/>
        </w:rPr>
        <w:t>y</w:t>
      </w:r>
      <w:r w:rsidRPr="00E573E1">
        <w:rPr>
          <w:lang w:val="en-AU"/>
        </w:rPr>
        <w:t>sis</w:t>
      </w:r>
      <w:r w:rsidRPr="00E573E1">
        <w:rPr>
          <w:spacing w:val="1"/>
          <w:lang w:val="en-AU"/>
        </w:rPr>
        <w:t xml:space="preserve"> </w:t>
      </w:r>
      <w:r w:rsidRPr="00E573E1">
        <w:rPr>
          <w:lang w:val="en-AU"/>
        </w:rPr>
        <w:t>was 5 hours.</w:t>
      </w:r>
    </w:p>
    <w:p w14:paraId="225A201A" w14:textId="77777777" w:rsidR="00FB0326" w:rsidRPr="00E573E1" w:rsidRDefault="00FB0326" w:rsidP="00C11150">
      <w:pPr>
        <w:pStyle w:val="Heading4Unnumbered"/>
        <w:rPr>
          <w:lang w:val="en-AU"/>
        </w:rPr>
      </w:pPr>
      <w:proofErr w:type="spellStart"/>
      <w:r w:rsidRPr="00E573E1">
        <w:rPr>
          <w:lang w:val="en-AU"/>
        </w:rPr>
        <w:t>Glycopyrronium</w:t>
      </w:r>
      <w:proofErr w:type="spellEnd"/>
      <w:r w:rsidRPr="00E573E1">
        <w:rPr>
          <w:rStyle w:val="EndnoteReference"/>
          <w:iCs/>
          <w:szCs w:val="24"/>
          <w:lang w:val="en-AU"/>
        </w:rPr>
        <w:t xml:space="preserve"> </w:t>
      </w:r>
    </w:p>
    <w:p w14:paraId="768E5D09" w14:textId="3F129F2F" w:rsidR="00FB0326" w:rsidRPr="00E573E1" w:rsidRDefault="00FB0326" w:rsidP="00C11150">
      <w:pPr>
        <w:pStyle w:val="Paragraph"/>
        <w:rPr>
          <w:lang w:val="en-AU"/>
        </w:rPr>
      </w:pPr>
      <w:r w:rsidRPr="00E573E1">
        <w:rPr>
          <w:lang w:val="en-AU"/>
        </w:rPr>
        <w:t xml:space="preserve">After IV administration of a </w:t>
      </w:r>
      <w:proofErr w:type="gramStart"/>
      <w:r w:rsidR="005774CB" w:rsidRPr="00E573E1">
        <w:rPr>
          <w:lang w:val="en-AU"/>
        </w:rPr>
        <w:t>200 </w:t>
      </w:r>
      <w:r w:rsidR="005774CB" w:rsidRPr="00E573E1">
        <w:rPr>
          <w:rFonts w:cs="Arial"/>
          <w:lang w:val="en-AU"/>
        </w:rPr>
        <w:t>µ</w:t>
      </w:r>
      <w:r w:rsidR="005774CB" w:rsidRPr="00E573E1">
        <w:rPr>
          <w:lang w:val="en-AU"/>
        </w:rPr>
        <w:t>g</w:t>
      </w:r>
      <w:proofErr w:type="gramEnd"/>
      <w:r w:rsidR="005774CB" w:rsidRPr="00E573E1">
        <w:rPr>
          <w:lang w:val="en-AU"/>
        </w:rPr>
        <w:t xml:space="preserve"> </w:t>
      </w:r>
      <w:r w:rsidRPr="00E573E1">
        <w:rPr>
          <w:lang w:val="en-AU"/>
        </w:rPr>
        <w:t>dose of radiolabelled</w:t>
      </w:r>
      <w:r w:rsidRPr="00E573E1">
        <w:rPr>
          <w:spacing w:val="2"/>
          <w:lang w:val="en-AU"/>
        </w:rPr>
        <w:t xml:space="preserve"> </w:t>
      </w:r>
      <w:proofErr w:type="spellStart"/>
      <w:r w:rsidRPr="00E573E1">
        <w:rPr>
          <w:spacing w:val="1"/>
          <w:lang w:val="en-AU"/>
        </w:rPr>
        <w:t>gl</w:t>
      </w:r>
      <w:r w:rsidRPr="00E573E1">
        <w:rPr>
          <w:spacing w:val="-5"/>
          <w:lang w:val="en-AU"/>
        </w:rPr>
        <w:t>y</w:t>
      </w:r>
      <w:r w:rsidRPr="00E573E1">
        <w:rPr>
          <w:lang w:val="en-AU"/>
        </w:rPr>
        <w:t>co</w:t>
      </w:r>
      <w:r w:rsidRPr="00E573E1">
        <w:rPr>
          <w:spacing w:val="5"/>
          <w:lang w:val="en-AU"/>
        </w:rPr>
        <w:t>p</w:t>
      </w:r>
      <w:r w:rsidRPr="00E573E1">
        <w:rPr>
          <w:spacing w:val="-5"/>
          <w:lang w:val="en-AU"/>
        </w:rPr>
        <w:t>y</w:t>
      </w:r>
      <w:r w:rsidRPr="00E573E1">
        <w:rPr>
          <w:spacing w:val="2"/>
          <w:lang w:val="en-AU"/>
        </w:rPr>
        <w:t>r</w:t>
      </w:r>
      <w:r w:rsidRPr="00E573E1">
        <w:rPr>
          <w:lang w:val="en-AU"/>
        </w:rPr>
        <w:t>ronium</w:t>
      </w:r>
      <w:proofErr w:type="spellEnd"/>
      <w:r w:rsidRPr="00E573E1">
        <w:rPr>
          <w:lang w:val="en-AU"/>
        </w:rPr>
        <w:t>, 85% of the dose was recovered in urine 48 hours post dose and some of radioactivity</w:t>
      </w:r>
      <w:r w:rsidRPr="00E573E1">
        <w:rPr>
          <w:spacing w:val="-5"/>
          <w:lang w:val="en-AU"/>
        </w:rPr>
        <w:t xml:space="preserve"> </w:t>
      </w:r>
      <w:r w:rsidRPr="00E573E1">
        <w:rPr>
          <w:lang w:val="en-AU"/>
        </w:rPr>
        <w:t>was also recovered in bile. The effective terminal elimination hal</w:t>
      </w:r>
      <w:r w:rsidRPr="00E573E1">
        <w:rPr>
          <w:spacing w:val="-2"/>
          <w:lang w:val="en-AU"/>
        </w:rPr>
        <w:t>f</w:t>
      </w:r>
      <w:r w:rsidRPr="00E573E1">
        <w:rPr>
          <w:spacing w:val="-1"/>
          <w:lang w:val="en-AU"/>
        </w:rPr>
        <w:t>-</w:t>
      </w:r>
      <w:r w:rsidRPr="00E573E1">
        <w:rPr>
          <w:lang w:val="en-AU"/>
        </w:rPr>
        <w:t>life of</w:t>
      </w:r>
      <w:r w:rsidRPr="00E573E1">
        <w:rPr>
          <w:spacing w:val="2"/>
          <w:lang w:val="en-AU"/>
        </w:rPr>
        <w:t xml:space="preserve"> </w:t>
      </w:r>
      <w:proofErr w:type="spellStart"/>
      <w:r w:rsidRPr="00E573E1">
        <w:rPr>
          <w:spacing w:val="-2"/>
          <w:lang w:val="en-AU"/>
        </w:rPr>
        <w:t>g</w:t>
      </w:r>
      <w:r w:rsidRPr="00E573E1">
        <w:rPr>
          <w:spacing w:val="5"/>
          <w:lang w:val="en-AU"/>
        </w:rPr>
        <w:t>l</w:t>
      </w:r>
      <w:r w:rsidRPr="00E573E1">
        <w:rPr>
          <w:spacing w:val="-5"/>
          <w:lang w:val="en-AU"/>
        </w:rPr>
        <w:t>y</w:t>
      </w:r>
      <w:r w:rsidRPr="00E573E1">
        <w:rPr>
          <w:spacing w:val="1"/>
          <w:lang w:val="en-AU"/>
        </w:rPr>
        <w:t>c</w:t>
      </w:r>
      <w:r w:rsidRPr="00E573E1">
        <w:rPr>
          <w:spacing w:val="2"/>
          <w:lang w:val="en-AU"/>
        </w:rPr>
        <w:t>op</w:t>
      </w:r>
      <w:r w:rsidRPr="00E573E1">
        <w:rPr>
          <w:spacing w:val="-5"/>
          <w:lang w:val="en-AU"/>
        </w:rPr>
        <w:t>y</w:t>
      </w:r>
      <w:r w:rsidRPr="00E573E1">
        <w:rPr>
          <w:lang w:val="en-AU"/>
        </w:rPr>
        <w:t>rronium</w:t>
      </w:r>
      <w:proofErr w:type="spellEnd"/>
      <w:r w:rsidRPr="00E573E1">
        <w:rPr>
          <w:lang w:val="en-AU"/>
        </w:rPr>
        <w:t xml:space="preserve"> derived via population pharmacokinetic </w:t>
      </w:r>
      <w:r w:rsidRPr="00E573E1">
        <w:rPr>
          <w:spacing w:val="-1"/>
          <w:lang w:val="en-AU"/>
        </w:rPr>
        <w:t>ana</w:t>
      </w:r>
      <w:r w:rsidRPr="00E573E1">
        <w:rPr>
          <w:spacing w:val="5"/>
          <w:lang w:val="en-AU"/>
        </w:rPr>
        <w:t>l</w:t>
      </w:r>
      <w:r w:rsidRPr="00E573E1">
        <w:rPr>
          <w:spacing w:val="-7"/>
          <w:lang w:val="en-AU"/>
        </w:rPr>
        <w:t>y</w:t>
      </w:r>
      <w:r w:rsidRPr="00E573E1">
        <w:rPr>
          <w:lang w:val="en-AU"/>
        </w:rPr>
        <w:t>sis</w:t>
      </w:r>
      <w:r w:rsidRPr="00E573E1">
        <w:rPr>
          <w:spacing w:val="1"/>
          <w:lang w:val="en-AU"/>
        </w:rPr>
        <w:t xml:space="preserve"> </w:t>
      </w:r>
      <w:r w:rsidRPr="00E573E1">
        <w:rPr>
          <w:lang w:val="en-AU"/>
        </w:rPr>
        <w:t>was 15 hours.</w:t>
      </w:r>
    </w:p>
    <w:p w14:paraId="4E940912" w14:textId="77777777" w:rsidR="00FB0326" w:rsidRPr="00E573E1" w:rsidRDefault="00FB0326" w:rsidP="00C11150">
      <w:pPr>
        <w:pStyle w:val="Heading4Unnumbered"/>
        <w:rPr>
          <w:lang w:val="en-AU"/>
        </w:rPr>
      </w:pPr>
      <w:r w:rsidRPr="00E573E1">
        <w:rPr>
          <w:lang w:val="en-AU"/>
        </w:rPr>
        <w:t>Formoterol</w:t>
      </w:r>
      <w:r w:rsidRPr="00E573E1">
        <w:rPr>
          <w:rStyle w:val="EndnoteReference"/>
          <w:iCs/>
          <w:szCs w:val="24"/>
          <w:lang w:val="en-AU"/>
        </w:rPr>
        <w:t xml:space="preserve"> </w:t>
      </w:r>
    </w:p>
    <w:p w14:paraId="202CD979" w14:textId="6085E180" w:rsidR="00FB0326" w:rsidRPr="00E573E1" w:rsidRDefault="00FB0326" w:rsidP="00C11150">
      <w:pPr>
        <w:pStyle w:val="Paragraph"/>
        <w:rPr>
          <w:lang w:val="en-AU"/>
        </w:rPr>
      </w:pPr>
      <w:r w:rsidRPr="00E573E1">
        <w:rPr>
          <w:lang w:val="en-AU"/>
        </w:rPr>
        <w:t>The excretion of</w:t>
      </w:r>
      <w:r w:rsidRPr="00E573E1">
        <w:rPr>
          <w:spacing w:val="-1"/>
          <w:lang w:val="en-AU"/>
        </w:rPr>
        <w:t xml:space="preserve"> </w:t>
      </w:r>
      <w:r w:rsidRPr="00E573E1">
        <w:rPr>
          <w:lang w:val="en-AU"/>
        </w:rPr>
        <w:t>formoterol was studied in six healthy</w:t>
      </w:r>
      <w:r w:rsidRPr="00E573E1">
        <w:rPr>
          <w:spacing w:val="-4"/>
          <w:lang w:val="en-AU"/>
        </w:rPr>
        <w:t xml:space="preserve"> </w:t>
      </w:r>
      <w:r w:rsidRPr="00E573E1">
        <w:rPr>
          <w:lang w:val="en-AU"/>
        </w:rPr>
        <w:t>subjects following simultaneous administration of radiolabelled formoterol via the oral and IV routes. In that stud</w:t>
      </w:r>
      <w:r w:rsidRPr="00E573E1">
        <w:rPr>
          <w:spacing w:val="-6"/>
          <w:lang w:val="en-AU"/>
        </w:rPr>
        <w:t>y</w:t>
      </w:r>
      <w:r w:rsidRPr="00E573E1">
        <w:rPr>
          <w:lang w:val="en-AU"/>
        </w:rPr>
        <w:t>, 62% of the drug-</w:t>
      </w:r>
      <w:r w:rsidRPr="00E573E1">
        <w:rPr>
          <w:lang w:val="en-AU"/>
        </w:rPr>
        <w:lastRenderedPageBreak/>
        <w:t>related radioactivity was excreted in the urine while 24% was eliminated in the f</w:t>
      </w:r>
      <w:r w:rsidR="005774CB" w:rsidRPr="00E573E1">
        <w:rPr>
          <w:lang w:val="en-AU"/>
        </w:rPr>
        <w:t>a</w:t>
      </w:r>
      <w:r w:rsidRPr="00E573E1">
        <w:rPr>
          <w:lang w:val="en-AU"/>
        </w:rPr>
        <w:t>eces.</w:t>
      </w:r>
      <w:r w:rsidRPr="00E573E1">
        <w:rPr>
          <w:spacing w:val="-1"/>
          <w:lang w:val="en-AU"/>
        </w:rPr>
        <w:t xml:space="preserve"> </w:t>
      </w:r>
      <w:r w:rsidRPr="00E573E1">
        <w:rPr>
          <w:lang w:val="en-AU"/>
        </w:rPr>
        <w:t>The effective terminal elimination hal</w:t>
      </w:r>
      <w:r w:rsidRPr="00E573E1">
        <w:rPr>
          <w:spacing w:val="-1"/>
          <w:lang w:val="en-AU"/>
        </w:rPr>
        <w:t>f-</w:t>
      </w:r>
      <w:r w:rsidRPr="00E573E1">
        <w:rPr>
          <w:lang w:val="en-AU"/>
        </w:rPr>
        <w:t>life of formoterol derived via population pharmacokinetic ana</w:t>
      </w:r>
      <w:r w:rsidRPr="00E573E1">
        <w:rPr>
          <w:spacing w:val="4"/>
          <w:lang w:val="en-AU"/>
        </w:rPr>
        <w:t>l</w:t>
      </w:r>
      <w:r w:rsidRPr="00E573E1">
        <w:rPr>
          <w:spacing w:val="-5"/>
          <w:lang w:val="en-AU"/>
        </w:rPr>
        <w:t>y</w:t>
      </w:r>
      <w:r w:rsidRPr="00E573E1">
        <w:rPr>
          <w:lang w:val="en-AU"/>
        </w:rPr>
        <w:t>sis was 10 hours.</w:t>
      </w:r>
    </w:p>
    <w:p w14:paraId="739FB9F1" w14:textId="3243BA42" w:rsidR="00FB0326" w:rsidRPr="00E573E1" w:rsidRDefault="00FB0326" w:rsidP="00C11150">
      <w:pPr>
        <w:pStyle w:val="Heading3Unnumbered"/>
        <w:rPr>
          <w:lang w:val="en-AU"/>
        </w:rPr>
      </w:pPr>
      <w:r w:rsidRPr="00E573E1">
        <w:rPr>
          <w:lang w:val="en-AU"/>
        </w:rPr>
        <w:t>Special populations</w:t>
      </w:r>
    </w:p>
    <w:p w14:paraId="51AD3B3A" w14:textId="71411A64" w:rsidR="00FB0326" w:rsidRPr="00E573E1" w:rsidRDefault="00FB0326" w:rsidP="00C11150">
      <w:pPr>
        <w:pStyle w:val="Heading4Unnumbered"/>
        <w:rPr>
          <w:sz w:val="16"/>
          <w:szCs w:val="16"/>
          <w:lang w:val="en-AU"/>
        </w:rPr>
      </w:pPr>
      <w:r w:rsidRPr="00E573E1">
        <w:rPr>
          <w:lang w:val="en-AU"/>
        </w:rPr>
        <w:t>Age, gender, race/</w:t>
      </w:r>
      <w:proofErr w:type="gramStart"/>
      <w:r w:rsidRPr="00E573E1">
        <w:rPr>
          <w:lang w:val="en-AU"/>
        </w:rPr>
        <w:t>ethnicity</w:t>
      </w:r>
      <w:proofErr w:type="gramEnd"/>
      <w:r w:rsidRPr="00E573E1">
        <w:rPr>
          <w:lang w:val="en-AU"/>
        </w:rPr>
        <w:t xml:space="preserve"> and weight</w:t>
      </w:r>
    </w:p>
    <w:p w14:paraId="7DC5F077" w14:textId="347F5964" w:rsidR="00FB0326" w:rsidRPr="00E573E1" w:rsidRDefault="00FB0326" w:rsidP="00C11150">
      <w:pPr>
        <w:pStyle w:val="Paragraph"/>
        <w:rPr>
          <w:lang w:val="en-AU"/>
        </w:rPr>
      </w:pPr>
      <w:r w:rsidRPr="00E573E1">
        <w:rPr>
          <w:lang w:val="en-AU"/>
        </w:rPr>
        <w:t>A population pharmacokinetic ana</w:t>
      </w:r>
      <w:r w:rsidRPr="00E573E1">
        <w:rPr>
          <w:spacing w:val="5"/>
          <w:lang w:val="en-AU"/>
        </w:rPr>
        <w:t>l</w:t>
      </w:r>
      <w:r w:rsidRPr="00E573E1">
        <w:rPr>
          <w:spacing w:val="-5"/>
          <w:lang w:val="en-AU"/>
        </w:rPr>
        <w:t>y</w:t>
      </w:r>
      <w:r w:rsidRPr="00E573E1">
        <w:rPr>
          <w:lang w:val="en-AU"/>
        </w:rPr>
        <w:t>sis of</w:t>
      </w:r>
      <w:r w:rsidRPr="00E573E1">
        <w:rPr>
          <w:spacing w:val="2"/>
          <w:lang w:val="en-AU"/>
        </w:rPr>
        <w:t xml:space="preserve"> </w:t>
      </w:r>
      <w:r w:rsidRPr="00E573E1">
        <w:rPr>
          <w:spacing w:val="-2"/>
          <w:lang w:val="en-AU"/>
        </w:rPr>
        <w:t>budesonide</w:t>
      </w:r>
      <w:r w:rsidRPr="00E573E1">
        <w:rPr>
          <w:lang w:val="en-AU"/>
        </w:rPr>
        <w:t xml:space="preserve"> was performed based on data collected in a total of 220 subjects with COPD. The pharmacokinetics of budesonide was best described by a three-compartment disposition model with first order absorption. The typical clearance (CL/F) of budesonide was 122</w:t>
      </w:r>
      <w:r w:rsidR="00D922AD" w:rsidRPr="00E573E1">
        <w:rPr>
          <w:lang w:val="en-AU"/>
        </w:rPr>
        <w:t> </w:t>
      </w:r>
      <w:r w:rsidRPr="00E573E1">
        <w:rPr>
          <w:lang w:val="en-AU"/>
        </w:rPr>
        <w:t>L/</w:t>
      </w:r>
      <w:r w:rsidRPr="00E573E1">
        <w:rPr>
          <w:spacing w:val="2"/>
          <w:lang w:val="en-AU"/>
        </w:rPr>
        <w:t>h</w:t>
      </w:r>
      <w:r w:rsidRPr="00E573E1">
        <w:rPr>
          <w:lang w:val="en-AU"/>
        </w:rPr>
        <w:t>.</w:t>
      </w:r>
      <w:r w:rsidRPr="00E573E1">
        <w:rPr>
          <w:rStyle w:val="EndnoteReference"/>
          <w:lang w:val="en-AU"/>
        </w:rPr>
        <w:t xml:space="preserve"> </w:t>
      </w:r>
    </w:p>
    <w:p w14:paraId="2DA7019D" w14:textId="3A525A89" w:rsidR="00FB0326" w:rsidRPr="00E573E1" w:rsidRDefault="00FB0326" w:rsidP="00C11150">
      <w:pPr>
        <w:pStyle w:val="Paragraph"/>
        <w:rPr>
          <w:lang w:val="en-AU"/>
        </w:rPr>
      </w:pPr>
      <w:r w:rsidRPr="00E573E1">
        <w:rPr>
          <w:lang w:val="en-AU"/>
        </w:rPr>
        <w:t>A population pharmacokinetic ana</w:t>
      </w:r>
      <w:r w:rsidRPr="00E573E1">
        <w:rPr>
          <w:spacing w:val="5"/>
          <w:lang w:val="en-AU"/>
        </w:rPr>
        <w:t>l</w:t>
      </w:r>
      <w:r w:rsidRPr="00E573E1">
        <w:rPr>
          <w:spacing w:val="-5"/>
          <w:lang w:val="en-AU"/>
        </w:rPr>
        <w:t>y</w:t>
      </w:r>
      <w:r w:rsidRPr="00E573E1">
        <w:rPr>
          <w:lang w:val="en-AU"/>
        </w:rPr>
        <w:t>sis of</w:t>
      </w:r>
      <w:r w:rsidRPr="00E573E1">
        <w:rPr>
          <w:spacing w:val="2"/>
          <w:lang w:val="en-AU"/>
        </w:rPr>
        <w:t xml:space="preserve"> </w:t>
      </w:r>
      <w:proofErr w:type="spellStart"/>
      <w:r w:rsidRPr="00E573E1">
        <w:rPr>
          <w:spacing w:val="-2"/>
          <w:lang w:val="en-AU"/>
        </w:rPr>
        <w:t>g</w:t>
      </w:r>
      <w:r w:rsidRPr="00E573E1">
        <w:rPr>
          <w:spacing w:val="5"/>
          <w:lang w:val="en-AU"/>
        </w:rPr>
        <w:t>l</w:t>
      </w:r>
      <w:r w:rsidRPr="00E573E1">
        <w:rPr>
          <w:spacing w:val="-2"/>
          <w:lang w:val="en-AU"/>
        </w:rPr>
        <w:t>yco</w:t>
      </w:r>
      <w:r w:rsidRPr="00E573E1">
        <w:rPr>
          <w:spacing w:val="5"/>
          <w:lang w:val="en-AU"/>
        </w:rPr>
        <w:t>p</w:t>
      </w:r>
      <w:r w:rsidRPr="00E573E1">
        <w:rPr>
          <w:lang w:val="en-AU"/>
        </w:rPr>
        <w:t>yrronium</w:t>
      </w:r>
      <w:proofErr w:type="spellEnd"/>
      <w:r w:rsidRPr="00E573E1">
        <w:rPr>
          <w:lang w:val="en-AU"/>
        </w:rPr>
        <w:t xml:space="preserve"> was performed based on data collected in a total of 481 subjects with COPD. The pharmacokinetics of </w:t>
      </w:r>
      <w:proofErr w:type="spellStart"/>
      <w:r w:rsidRPr="00E573E1">
        <w:rPr>
          <w:lang w:val="en-AU"/>
        </w:rPr>
        <w:t>glycopyrronium</w:t>
      </w:r>
      <w:proofErr w:type="spellEnd"/>
      <w:r w:rsidRPr="00E573E1">
        <w:rPr>
          <w:lang w:val="en-AU"/>
        </w:rPr>
        <w:t xml:space="preserve"> was best described by a two-compartment disposition model with first-order absorption and linear elimination. The typical clearance (CL/F) of </w:t>
      </w:r>
      <w:proofErr w:type="spellStart"/>
      <w:r w:rsidRPr="00E573E1">
        <w:rPr>
          <w:lang w:val="en-AU"/>
        </w:rPr>
        <w:t>glycopyrronium</w:t>
      </w:r>
      <w:proofErr w:type="spellEnd"/>
      <w:r w:rsidRPr="00E573E1">
        <w:rPr>
          <w:lang w:val="en-AU"/>
        </w:rPr>
        <w:t xml:space="preserve"> was 166</w:t>
      </w:r>
      <w:r w:rsidR="00D922AD" w:rsidRPr="00E573E1">
        <w:rPr>
          <w:lang w:val="en-AU"/>
        </w:rPr>
        <w:t> </w:t>
      </w:r>
      <w:r w:rsidRPr="00E573E1">
        <w:rPr>
          <w:lang w:val="en-AU"/>
        </w:rPr>
        <w:t>L/</w:t>
      </w:r>
      <w:r w:rsidRPr="00E573E1">
        <w:rPr>
          <w:spacing w:val="2"/>
          <w:lang w:val="en-AU"/>
        </w:rPr>
        <w:t>h</w:t>
      </w:r>
      <w:r w:rsidRPr="00E573E1">
        <w:rPr>
          <w:lang w:val="en-AU"/>
        </w:rPr>
        <w:t>.</w:t>
      </w:r>
      <w:r w:rsidRPr="00E573E1">
        <w:rPr>
          <w:rStyle w:val="EndnoteReference"/>
          <w:lang w:val="en-AU"/>
        </w:rPr>
        <w:t xml:space="preserve"> </w:t>
      </w:r>
    </w:p>
    <w:p w14:paraId="7AF5AB97" w14:textId="2524779C" w:rsidR="00FB0326" w:rsidRPr="00E573E1" w:rsidRDefault="00FB0326" w:rsidP="00C11150">
      <w:pPr>
        <w:pStyle w:val="Paragraph"/>
        <w:rPr>
          <w:lang w:val="en-AU"/>
        </w:rPr>
      </w:pPr>
      <w:r w:rsidRPr="00E573E1">
        <w:rPr>
          <w:lang w:val="en-AU"/>
        </w:rPr>
        <w:t>A population pharmacokinetic ana</w:t>
      </w:r>
      <w:r w:rsidRPr="00E573E1">
        <w:rPr>
          <w:spacing w:val="5"/>
          <w:lang w:val="en-AU"/>
        </w:rPr>
        <w:t>l</w:t>
      </w:r>
      <w:r w:rsidRPr="00E573E1">
        <w:rPr>
          <w:spacing w:val="-5"/>
          <w:lang w:val="en-AU"/>
        </w:rPr>
        <w:t>y</w:t>
      </w:r>
      <w:r w:rsidRPr="00E573E1">
        <w:rPr>
          <w:lang w:val="en-AU"/>
        </w:rPr>
        <w:t>sis of formoterol was performed based on data collected in a total of 663 subjects with COPD. The pharmacokinetics of formoterol was best described by a two-compartment disposition model with a first-order rate constant of absorption and linear elimination. The typical clearance (CL/F) of formoterol was 124</w:t>
      </w:r>
      <w:r w:rsidR="00D922AD" w:rsidRPr="00E573E1">
        <w:rPr>
          <w:lang w:val="en-AU"/>
        </w:rPr>
        <w:t> </w:t>
      </w:r>
      <w:r w:rsidRPr="00E573E1">
        <w:rPr>
          <w:spacing w:val="-1"/>
          <w:lang w:val="en-AU"/>
        </w:rPr>
        <w:t>L/h</w:t>
      </w:r>
      <w:r w:rsidRPr="00E573E1">
        <w:rPr>
          <w:lang w:val="en-AU"/>
        </w:rPr>
        <w:t>.</w:t>
      </w:r>
      <w:r w:rsidRPr="00E573E1">
        <w:rPr>
          <w:rStyle w:val="EndnoteReference"/>
          <w:lang w:val="en-AU"/>
        </w:rPr>
        <w:t xml:space="preserve"> </w:t>
      </w:r>
    </w:p>
    <w:p w14:paraId="3DC4AB9A" w14:textId="77777777" w:rsidR="00FB0326" w:rsidRPr="00E573E1" w:rsidRDefault="00FB0326" w:rsidP="00C11150">
      <w:pPr>
        <w:pStyle w:val="Paragraph"/>
        <w:rPr>
          <w:lang w:val="en-AU"/>
        </w:rPr>
      </w:pPr>
      <w:r w:rsidRPr="00E573E1">
        <w:rPr>
          <w:lang w:val="en-AU"/>
        </w:rPr>
        <w:t>Dose adjustments are not necessary</w:t>
      </w:r>
      <w:r w:rsidRPr="00E573E1">
        <w:rPr>
          <w:spacing w:val="-5"/>
          <w:lang w:val="en-AU"/>
        </w:rPr>
        <w:t xml:space="preserve"> </w:t>
      </w:r>
      <w:r w:rsidRPr="00E573E1">
        <w:rPr>
          <w:lang w:val="en-AU"/>
        </w:rPr>
        <w:t>based on the effect of age,</w:t>
      </w:r>
      <w:r w:rsidRPr="00E573E1">
        <w:rPr>
          <w:spacing w:val="2"/>
          <w:lang w:val="en-AU"/>
        </w:rPr>
        <w:t xml:space="preserve"> </w:t>
      </w:r>
      <w:proofErr w:type="gramStart"/>
      <w:r w:rsidRPr="00E573E1">
        <w:rPr>
          <w:lang w:val="en-AU"/>
        </w:rPr>
        <w:t>gende</w:t>
      </w:r>
      <w:r w:rsidRPr="00E573E1">
        <w:rPr>
          <w:spacing w:val="-1"/>
          <w:lang w:val="en-AU"/>
        </w:rPr>
        <w:t>r</w:t>
      </w:r>
      <w:proofErr w:type="gramEnd"/>
      <w:r w:rsidRPr="00E573E1">
        <w:rPr>
          <w:spacing w:val="1"/>
          <w:lang w:val="en-AU"/>
        </w:rPr>
        <w:t xml:space="preserve"> </w:t>
      </w:r>
      <w:r w:rsidRPr="00E573E1">
        <w:rPr>
          <w:lang w:val="en-AU"/>
        </w:rPr>
        <w:t>or weight on the pharmacokinetic parameters of</w:t>
      </w:r>
      <w:r w:rsidRPr="00E573E1">
        <w:rPr>
          <w:spacing w:val="1"/>
          <w:lang w:val="en-AU"/>
        </w:rPr>
        <w:t xml:space="preserve"> budesonide, </w:t>
      </w:r>
      <w:proofErr w:type="spellStart"/>
      <w:r w:rsidRPr="00E573E1">
        <w:rPr>
          <w:spacing w:val="-2"/>
          <w:lang w:val="en-AU"/>
        </w:rPr>
        <w:t>g</w:t>
      </w:r>
      <w:r w:rsidRPr="00E573E1">
        <w:rPr>
          <w:spacing w:val="5"/>
          <w:lang w:val="en-AU"/>
        </w:rPr>
        <w:t>l</w:t>
      </w:r>
      <w:r w:rsidRPr="00E573E1">
        <w:rPr>
          <w:spacing w:val="-5"/>
          <w:lang w:val="en-AU"/>
        </w:rPr>
        <w:t>y</w:t>
      </w:r>
      <w:r w:rsidRPr="00E573E1">
        <w:rPr>
          <w:spacing w:val="1"/>
          <w:lang w:val="en-AU"/>
        </w:rPr>
        <w:t>cop</w:t>
      </w:r>
      <w:r w:rsidRPr="00E573E1">
        <w:rPr>
          <w:spacing w:val="-5"/>
          <w:lang w:val="en-AU"/>
        </w:rPr>
        <w:t>y</w:t>
      </w:r>
      <w:r w:rsidRPr="00E573E1">
        <w:rPr>
          <w:lang w:val="en-AU"/>
        </w:rPr>
        <w:t>rronium</w:t>
      </w:r>
      <w:proofErr w:type="spellEnd"/>
      <w:r w:rsidRPr="00E573E1">
        <w:rPr>
          <w:lang w:val="en-AU"/>
        </w:rPr>
        <w:t xml:space="preserve"> and formoterol.</w:t>
      </w:r>
    </w:p>
    <w:p w14:paraId="3CF81494" w14:textId="77777777" w:rsidR="00FB0326" w:rsidRPr="00E573E1" w:rsidRDefault="00FB0326" w:rsidP="00C11150">
      <w:pPr>
        <w:pStyle w:val="Paragraph"/>
        <w:rPr>
          <w:lang w:val="en-AU"/>
        </w:rPr>
      </w:pPr>
      <w:r w:rsidRPr="00E573E1">
        <w:rPr>
          <w:lang w:val="en-AU"/>
        </w:rPr>
        <w:t xml:space="preserve">There were no major differences in total systemic exposure (AUC) for all compounds among healthy Japanese, </w:t>
      </w:r>
      <w:proofErr w:type="gramStart"/>
      <w:r w:rsidRPr="00E573E1">
        <w:rPr>
          <w:lang w:val="en-AU"/>
        </w:rPr>
        <w:t>Chinese</w:t>
      </w:r>
      <w:proofErr w:type="gramEnd"/>
      <w:r w:rsidRPr="00E573E1">
        <w:rPr>
          <w:lang w:val="en-AU"/>
        </w:rPr>
        <w:t xml:space="preserve"> and Western subjects. Insufficient pharmacokinetic data is available for other ethnicities or races.</w:t>
      </w:r>
      <w:r w:rsidRPr="00E573E1">
        <w:rPr>
          <w:rStyle w:val="EndnoteReference"/>
          <w:lang w:val="en-AU"/>
        </w:rPr>
        <w:t xml:space="preserve"> </w:t>
      </w:r>
    </w:p>
    <w:p w14:paraId="19990052" w14:textId="4A921C51" w:rsidR="00FB0326" w:rsidRPr="00E573E1" w:rsidRDefault="00B94E67" w:rsidP="00C11150">
      <w:pPr>
        <w:pStyle w:val="Heading4Unnumbered"/>
        <w:rPr>
          <w:lang w:val="en-AU"/>
        </w:rPr>
      </w:pPr>
      <w:bookmarkStart w:id="30" w:name="_Hlk41335750"/>
      <w:r w:rsidRPr="00E573E1">
        <w:rPr>
          <w:lang w:val="en-AU"/>
        </w:rPr>
        <w:t>Use in the elderly</w:t>
      </w:r>
    </w:p>
    <w:p w14:paraId="1DAE189E" w14:textId="77777777" w:rsidR="00FB0326" w:rsidRPr="00E573E1" w:rsidRDefault="00FB0326" w:rsidP="00C11150">
      <w:pPr>
        <w:pStyle w:val="Paragraph"/>
        <w:rPr>
          <w:lang w:val="en-AU"/>
        </w:rPr>
      </w:pPr>
      <w:r w:rsidRPr="00E573E1">
        <w:rPr>
          <w:lang w:val="en-AU"/>
        </w:rPr>
        <w:t>Based on available data, no adjustment of the dosage of</w:t>
      </w:r>
      <w:r w:rsidRPr="00E573E1">
        <w:rPr>
          <w:spacing w:val="-1"/>
          <w:lang w:val="en-AU"/>
        </w:rPr>
        <w:t xml:space="preserve"> </w:t>
      </w:r>
      <w:r w:rsidRPr="00E573E1">
        <w:rPr>
          <w:lang w:val="en-AU"/>
        </w:rPr>
        <w:t>BREZTRI AEROSPHERE in elderly patients is necessar</w:t>
      </w:r>
      <w:r w:rsidRPr="00E573E1">
        <w:rPr>
          <w:spacing w:val="-5"/>
          <w:lang w:val="en-AU"/>
        </w:rPr>
        <w:t>y</w:t>
      </w:r>
      <w:r w:rsidRPr="00E573E1">
        <w:rPr>
          <w:lang w:val="en-AU"/>
        </w:rPr>
        <w:t>.</w:t>
      </w:r>
      <w:r w:rsidRPr="00E573E1">
        <w:rPr>
          <w:rStyle w:val="EndnoteReference"/>
          <w:lang w:val="en-AU"/>
        </w:rPr>
        <w:t xml:space="preserve"> </w:t>
      </w:r>
    </w:p>
    <w:p w14:paraId="3AF31C2C" w14:textId="2F8E5A7A" w:rsidR="00FB0326" w:rsidRPr="00E573E1" w:rsidRDefault="00FB0326" w:rsidP="00C11150">
      <w:pPr>
        <w:pStyle w:val="Paragraph"/>
        <w:rPr>
          <w:lang w:val="en-AU"/>
        </w:rPr>
      </w:pPr>
      <w:r w:rsidRPr="00E573E1">
        <w:rPr>
          <w:lang w:val="en-AU"/>
        </w:rPr>
        <w:t>The confirmatory</w:t>
      </w:r>
      <w:r w:rsidRPr="00E573E1">
        <w:rPr>
          <w:spacing w:val="-5"/>
          <w:lang w:val="en-AU"/>
        </w:rPr>
        <w:t xml:space="preserve"> </w:t>
      </w:r>
      <w:r w:rsidRPr="00E573E1">
        <w:rPr>
          <w:lang w:val="en-AU"/>
        </w:rPr>
        <w:t>trials of BREZTRI AEROSPHERE</w:t>
      </w:r>
      <w:r w:rsidR="00EB11E8" w:rsidRPr="00E573E1">
        <w:rPr>
          <w:lang w:val="en-AU"/>
        </w:rPr>
        <w:t xml:space="preserve"> 160/7.2/5</w:t>
      </w:r>
      <w:r w:rsidRPr="00E573E1">
        <w:rPr>
          <w:lang w:val="en-AU"/>
        </w:rPr>
        <w:t xml:space="preserve"> for COPD included </w:t>
      </w:r>
      <w:r w:rsidR="00EB11E8" w:rsidRPr="00E573E1">
        <w:rPr>
          <w:lang w:val="en-AU"/>
        </w:rPr>
        <w:t>1</w:t>
      </w:r>
      <w:r w:rsidR="00A14576">
        <w:rPr>
          <w:lang w:val="en-AU"/>
        </w:rPr>
        <w:t>,</w:t>
      </w:r>
      <w:r w:rsidR="00EB11E8" w:rsidRPr="00E573E1">
        <w:rPr>
          <w:lang w:val="en-AU"/>
        </w:rPr>
        <w:t>144</w:t>
      </w:r>
      <w:r w:rsidRPr="00E573E1">
        <w:rPr>
          <w:lang w:val="en-AU"/>
        </w:rPr>
        <w:t xml:space="preserve"> </w:t>
      </w:r>
      <w:r w:rsidR="00EB11E8" w:rsidRPr="00E573E1">
        <w:rPr>
          <w:lang w:val="en-AU"/>
        </w:rPr>
        <w:t xml:space="preserve">patients </w:t>
      </w:r>
      <w:r w:rsidRPr="00E573E1">
        <w:rPr>
          <w:lang w:val="en-AU"/>
        </w:rPr>
        <w:t>aged 65</w:t>
      </w:r>
      <w:r w:rsidR="00EB11E8" w:rsidRPr="00E573E1">
        <w:rPr>
          <w:lang w:val="en-AU"/>
        </w:rPr>
        <w:t xml:space="preserve"> to less than 75 years of age, and 303 patients aged 75 years</w:t>
      </w:r>
      <w:r w:rsidRPr="00E573E1">
        <w:rPr>
          <w:lang w:val="en-AU"/>
        </w:rPr>
        <w:t xml:space="preserve"> and older. No overall differences in safe</w:t>
      </w:r>
      <w:r w:rsidRPr="00E573E1">
        <w:rPr>
          <w:spacing w:val="4"/>
          <w:lang w:val="en-AU"/>
        </w:rPr>
        <w:t>t</w:t>
      </w:r>
      <w:r w:rsidRPr="00E573E1">
        <w:rPr>
          <w:lang w:val="en-AU"/>
        </w:rPr>
        <w:t>y</w:t>
      </w:r>
      <w:r w:rsidRPr="00E573E1">
        <w:rPr>
          <w:spacing w:val="-2"/>
          <w:lang w:val="en-AU"/>
        </w:rPr>
        <w:t xml:space="preserve"> </w:t>
      </w:r>
      <w:r w:rsidRPr="00E573E1">
        <w:rPr>
          <w:spacing w:val="-1"/>
          <w:lang w:val="en-AU"/>
        </w:rPr>
        <w:t xml:space="preserve">or </w:t>
      </w:r>
      <w:r w:rsidRPr="00E573E1">
        <w:rPr>
          <w:lang w:val="en-AU"/>
        </w:rPr>
        <w:t xml:space="preserve">effectiveness were observed between these </w:t>
      </w:r>
      <w:r w:rsidR="001B0A02" w:rsidRPr="00E573E1">
        <w:rPr>
          <w:lang w:val="en-AU"/>
        </w:rPr>
        <w:t xml:space="preserve">patients </w:t>
      </w:r>
      <w:r w:rsidRPr="00E573E1">
        <w:rPr>
          <w:lang w:val="en-AU"/>
        </w:rPr>
        <w:t xml:space="preserve">and </w:t>
      </w:r>
      <w:r w:rsidRPr="00E573E1">
        <w:rPr>
          <w:spacing w:val="-5"/>
          <w:lang w:val="en-AU"/>
        </w:rPr>
        <w:t>y</w:t>
      </w:r>
      <w:r w:rsidRPr="00E573E1">
        <w:rPr>
          <w:lang w:val="en-AU"/>
        </w:rPr>
        <w:t xml:space="preserve">ounger </w:t>
      </w:r>
      <w:r w:rsidR="001B0A02" w:rsidRPr="00E573E1">
        <w:rPr>
          <w:lang w:val="en-AU"/>
        </w:rPr>
        <w:t>patients</w:t>
      </w:r>
      <w:r w:rsidRPr="00E573E1">
        <w:rPr>
          <w:lang w:val="en-AU"/>
        </w:rPr>
        <w:t>.</w:t>
      </w:r>
      <w:r w:rsidRPr="00E573E1">
        <w:rPr>
          <w:rStyle w:val="EndnoteReference"/>
          <w:lang w:val="en-AU"/>
        </w:rPr>
        <w:t xml:space="preserve"> </w:t>
      </w:r>
    </w:p>
    <w:bookmarkEnd w:id="30"/>
    <w:p w14:paraId="1B8C955C" w14:textId="77777777" w:rsidR="00FB0326" w:rsidRPr="00E573E1" w:rsidRDefault="00FB0326" w:rsidP="00C11150">
      <w:pPr>
        <w:pStyle w:val="Heading4Unnumbered"/>
        <w:rPr>
          <w:lang w:val="en-AU"/>
        </w:rPr>
      </w:pPr>
      <w:r w:rsidRPr="00E573E1">
        <w:rPr>
          <w:lang w:val="en-AU"/>
        </w:rPr>
        <w:t>Hepatic impairment</w:t>
      </w:r>
      <w:r w:rsidRPr="00E573E1">
        <w:rPr>
          <w:rStyle w:val="EndnoteReference"/>
          <w:iCs/>
          <w:color w:val="00B050"/>
          <w:lang w:val="en-AU"/>
        </w:rPr>
        <w:t xml:space="preserve"> </w:t>
      </w:r>
    </w:p>
    <w:p w14:paraId="7B4AA7EF" w14:textId="77777777" w:rsidR="00FB0326" w:rsidRPr="00E573E1" w:rsidRDefault="00FB0326" w:rsidP="00C11150">
      <w:pPr>
        <w:pStyle w:val="Paragraph"/>
        <w:rPr>
          <w:lang w:val="en-AU"/>
        </w:rPr>
      </w:pPr>
      <w:r w:rsidRPr="00E573E1">
        <w:rPr>
          <w:lang w:val="en-AU"/>
        </w:rPr>
        <w:t xml:space="preserve">No pharmacokinetic studies have been performed with BREZTRI AEROSPHERE in patients with hepatic impairment. However, because both budesonide and formoterol are primarily eliminated via hepatic metabolism, an increased exposure can be expected in patients with severe liver impairment. </w:t>
      </w:r>
      <w:proofErr w:type="spellStart"/>
      <w:r w:rsidRPr="00E573E1">
        <w:rPr>
          <w:lang w:val="en-AU"/>
        </w:rPr>
        <w:t>Glycopyrronium</w:t>
      </w:r>
      <w:proofErr w:type="spellEnd"/>
      <w:r w:rsidRPr="00E573E1">
        <w:rPr>
          <w:lang w:val="en-AU"/>
        </w:rPr>
        <w:t xml:space="preserve"> is primarily cleared from the systemic circulation by renal excretion and hepatic impairment would therefore not be expected to effect systemic exposure.</w:t>
      </w:r>
    </w:p>
    <w:p w14:paraId="7A1980E5" w14:textId="77777777" w:rsidR="00FB0326" w:rsidRPr="00E573E1" w:rsidRDefault="00FB0326" w:rsidP="00C11150">
      <w:pPr>
        <w:pStyle w:val="Heading4Unnumbered"/>
        <w:rPr>
          <w:lang w:val="en-AU"/>
        </w:rPr>
      </w:pPr>
      <w:r w:rsidRPr="00E573E1">
        <w:rPr>
          <w:lang w:val="en-AU"/>
        </w:rPr>
        <w:t>Renal impairment</w:t>
      </w:r>
      <w:r w:rsidRPr="00E573E1">
        <w:rPr>
          <w:rStyle w:val="EndnoteReference"/>
          <w:iCs/>
          <w:color w:val="00B050"/>
          <w:lang w:val="en-AU"/>
        </w:rPr>
        <w:t xml:space="preserve"> </w:t>
      </w:r>
    </w:p>
    <w:p w14:paraId="3F72C1CF" w14:textId="77777777" w:rsidR="00FB0326" w:rsidRPr="00E573E1" w:rsidRDefault="00FB0326" w:rsidP="00C11150">
      <w:pPr>
        <w:pStyle w:val="Paragraph"/>
        <w:rPr>
          <w:spacing w:val="59"/>
          <w:lang w:val="en-AU"/>
        </w:rPr>
      </w:pPr>
      <w:r w:rsidRPr="00E573E1">
        <w:rPr>
          <w:lang w:val="en-AU"/>
        </w:rPr>
        <w:t xml:space="preserve">Studies evaluating the effect of renal impairment on the pharmacokinetics of budesonide, </w:t>
      </w:r>
      <w:proofErr w:type="spellStart"/>
      <w:r w:rsidRPr="00E573E1">
        <w:rPr>
          <w:lang w:val="en-AU"/>
        </w:rPr>
        <w:t>gl</w:t>
      </w:r>
      <w:r w:rsidRPr="00E573E1">
        <w:rPr>
          <w:spacing w:val="-6"/>
          <w:lang w:val="en-AU"/>
        </w:rPr>
        <w:t>y</w:t>
      </w:r>
      <w:r w:rsidRPr="00E573E1">
        <w:rPr>
          <w:spacing w:val="2"/>
          <w:lang w:val="en-AU"/>
        </w:rPr>
        <w:t>cop</w:t>
      </w:r>
      <w:r w:rsidRPr="00E573E1">
        <w:rPr>
          <w:spacing w:val="-5"/>
          <w:lang w:val="en-AU"/>
        </w:rPr>
        <w:t>y</w:t>
      </w:r>
      <w:r w:rsidRPr="00E573E1">
        <w:rPr>
          <w:lang w:val="en-AU"/>
        </w:rPr>
        <w:t>rronium</w:t>
      </w:r>
      <w:proofErr w:type="spellEnd"/>
      <w:r w:rsidRPr="00E573E1">
        <w:rPr>
          <w:lang w:val="en-AU"/>
        </w:rPr>
        <w:t xml:space="preserve"> and formoterol were not conducted.</w:t>
      </w:r>
      <w:r w:rsidRPr="00E573E1">
        <w:rPr>
          <w:spacing w:val="59"/>
          <w:lang w:val="en-AU"/>
        </w:rPr>
        <w:t xml:space="preserve"> </w:t>
      </w:r>
    </w:p>
    <w:p w14:paraId="05BA5CCB" w14:textId="3DEE3B1D" w:rsidR="00FB0326" w:rsidRPr="00E573E1" w:rsidRDefault="00FB0326" w:rsidP="00C11150">
      <w:pPr>
        <w:pStyle w:val="Paragraph"/>
        <w:rPr>
          <w:spacing w:val="-1"/>
          <w:lang w:val="en-AU"/>
        </w:rPr>
      </w:pPr>
      <w:r w:rsidRPr="00E573E1">
        <w:rPr>
          <w:lang w:val="en-AU"/>
        </w:rPr>
        <w:t>The effect of renal</w:t>
      </w:r>
      <w:r w:rsidRPr="00E573E1">
        <w:rPr>
          <w:spacing w:val="-7"/>
          <w:lang w:val="en-AU"/>
        </w:rPr>
        <w:t xml:space="preserve"> </w:t>
      </w:r>
      <w:r w:rsidRPr="00E573E1">
        <w:rPr>
          <w:lang w:val="en-AU"/>
        </w:rPr>
        <w:t xml:space="preserve">impairment on the exposure to budesonide, </w:t>
      </w:r>
      <w:proofErr w:type="spellStart"/>
      <w:r w:rsidRPr="00E573E1">
        <w:rPr>
          <w:spacing w:val="-2"/>
          <w:lang w:val="en-AU"/>
        </w:rPr>
        <w:t>g</w:t>
      </w:r>
      <w:r w:rsidRPr="00E573E1">
        <w:rPr>
          <w:spacing w:val="5"/>
          <w:lang w:val="en-AU"/>
        </w:rPr>
        <w:t>l</w:t>
      </w:r>
      <w:r w:rsidRPr="00E573E1">
        <w:rPr>
          <w:spacing w:val="-2"/>
          <w:lang w:val="en-AU"/>
        </w:rPr>
        <w:t>yco</w:t>
      </w:r>
      <w:r w:rsidRPr="00E573E1">
        <w:rPr>
          <w:spacing w:val="5"/>
          <w:lang w:val="en-AU"/>
        </w:rPr>
        <w:t>p</w:t>
      </w:r>
      <w:r w:rsidRPr="00E573E1">
        <w:rPr>
          <w:spacing w:val="-5"/>
          <w:lang w:val="en-AU"/>
        </w:rPr>
        <w:t>y</w:t>
      </w:r>
      <w:r w:rsidRPr="00E573E1">
        <w:rPr>
          <w:spacing w:val="2"/>
          <w:lang w:val="en-AU"/>
        </w:rPr>
        <w:t>r</w:t>
      </w:r>
      <w:r w:rsidRPr="00E573E1">
        <w:rPr>
          <w:lang w:val="en-AU"/>
        </w:rPr>
        <w:t>ronium</w:t>
      </w:r>
      <w:proofErr w:type="spellEnd"/>
      <w:r w:rsidRPr="00E573E1">
        <w:rPr>
          <w:lang w:val="en-AU"/>
        </w:rPr>
        <w:t xml:space="preserve"> and formoterol for up to 24 weeks was evaluated in a population pharmacokinetic ana</w:t>
      </w:r>
      <w:r w:rsidRPr="00E573E1">
        <w:rPr>
          <w:spacing w:val="5"/>
          <w:lang w:val="en-AU"/>
        </w:rPr>
        <w:t>l</w:t>
      </w:r>
      <w:r w:rsidRPr="00E573E1">
        <w:rPr>
          <w:spacing w:val="-5"/>
          <w:lang w:val="en-AU"/>
        </w:rPr>
        <w:t>y</w:t>
      </w:r>
      <w:r w:rsidRPr="00E573E1">
        <w:rPr>
          <w:lang w:val="en-AU"/>
        </w:rPr>
        <w:t>sis. Estimated glomerular</w:t>
      </w:r>
      <w:r w:rsidRPr="00E573E1">
        <w:rPr>
          <w:spacing w:val="-7"/>
          <w:lang w:val="en-AU"/>
        </w:rPr>
        <w:t xml:space="preserve"> </w:t>
      </w:r>
      <w:r w:rsidRPr="00E573E1">
        <w:rPr>
          <w:lang w:val="en-AU"/>
        </w:rPr>
        <w:lastRenderedPageBreak/>
        <w:t>filtration</w:t>
      </w:r>
      <w:r w:rsidRPr="00E573E1">
        <w:rPr>
          <w:spacing w:val="-7"/>
          <w:lang w:val="en-AU"/>
        </w:rPr>
        <w:t xml:space="preserve"> </w:t>
      </w:r>
      <w:r w:rsidRPr="00E573E1">
        <w:rPr>
          <w:lang w:val="en-AU"/>
        </w:rPr>
        <w:t>rate (eGFR)</w:t>
      </w:r>
      <w:r w:rsidRPr="00E573E1">
        <w:rPr>
          <w:spacing w:val="-1"/>
          <w:lang w:val="en-AU"/>
        </w:rPr>
        <w:t xml:space="preserve"> </w:t>
      </w:r>
      <w:r w:rsidRPr="00E573E1">
        <w:rPr>
          <w:lang w:val="en-AU"/>
        </w:rPr>
        <w:t>varied from 31-192</w:t>
      </w:r>
      <w:r w:rsidR="00D043BE" w:rsidRPr="00E573E1">
        <w:rPr>
          <w:lang w:val="en-AU"/>
        </w:rPr>
        <w:t> </w:t>
      </w:r>
      <w:r w:rsidRPr="00E573E1">
        <w:rPr>
          <w:lang w:val="en-AU"/>
        </w:rPr>
        <w:t>m</w:t>
      </w:r>
      <w:r w:rsidRPr="00E573E1">
        <w:rPr>
          <w:spacing w:val="-5"/>
          <w:lang w:val="en-AU"/>
        </w:rPr>
        <w:t>L</w:t>
      </w:r>
      <w:r w:rsidRPr="00E573E1">
        <w:rPr>
          <w:lang w:val="en-AU"/>
        </w:rPr>
        <w:t>/min</w:t>
      </w:r>
      <w:r w:rsidRPr="00E573E1">
        <w:rPr>
          <w:spacing w:val="21"/>
          <w:position w:val="11"/>
          <w:sz w:val="16"/>
          <w:szCs w:val="16"/>
          <w:lang w:val="en-AU"/>
        </w:rPr>
        <w:t xml:space="preserve"> </w:t>
      </w:r>
      <w:r w:rsidRPr="00E573E1">
        <w:rPr>
          <w:spacing w:val="-1"/>
          <w:lang w:val="en-AU"/>
        </w:rPr>
        <w:t>represe</w:t>
      </w:r>
      <w:r w:rsidRPr="00E573E1">
        <w:rPr>
          <w:lang w:val="en-AU"/>
        </w:rPr>
        <w:t>nting a range of moderate to no renal impairment.</w:t>
      </w:r>
      <w:r w:rsidRPr="00E573E1">
        <w:rPr>
          <w:spacing w:val="-1"/>
          <w:lang w:val="en-AU"/>
        </w:rPr>
        <w:t xml:space="preserve"> </w:t>
      </w:r>
      <w:r w:rsidRPr="00E573E1">
        <w:rPr>
          <w:lang w:val="en-AU"/>
        </w:rPr>
        <w:t xml:space="preserve">Simulation of the </w:t>
      </w:r>
      <w:r w:rsidRPr="00E573E1">
        <w:rPr>
          <w:spacing w:val="5"/>
          <w:lang w:val="en-AU"/>
        </w:rPr>
        <w:t>s</w:t>
      </w:r>
      <w:r w:rsidRPr="00E573E1">
        <w:rPr>
          <w:spacing w:val="-5"/>
          <w:lang w:val="en-AU"/>
        </w:rPr>
        <w:t>y</w:t>
      </w:r>
      <w:r w:rsidRPr="00E573E1">
        <w:rPr>
          <w:lang w:val="en-AU"/>
        </w:rPr>
        <w:t>stemic exposure (AUC</w:t>
      </w:r>
      <w:r w:rsidRPr="00E573E1">
        <w:rPr>
          <w:spacing w:val="1"/>
          <w:position w:val="-3"/>
          <w:sz w:val="16"/>
          <w:szCs w:val="16"/>
          <w:lang w:val="en-AU"/>
        </w:rPr>
        <w:t>0</w:t>
      </w:r>
      <w:r w:rsidRPr="00E573E1">
        <w:rPr>
          <w:spacing w:val="-1"/>
          <w:position w:val="-3"/>
          <w:sz w:val="16"/>
          <w:szCs w:val="16"/>
          <w:lang w:val="en-AU"/>
        </w:rPr>
        <w:t>-</w:t>
      </w:r>
      <w:r w:rsidRPr="00E573E1">
        <w:rPr>
          <w:spacing w:val="1"/>
          <w:position w:val="-3"/>
          <w:sz w:val="16"/>
          <w:szCs w:val="16"/>
          <w:lang w:val="en-AU"/>
        </w:rPr>
        <w:t>12</w:t>
      </w:r>
      <w:r w:rsidRPr="00E573E1">
        <w:rPr>
          <w:lang w:val="en-AU"/>
        </w:rPr>
        <w:t>) in subjects with COPD with</w:t>
      </w:r>
      <w:r w:rsidRPr="00E573E1">
        <w:rPr>
          <w:spacing w:val="-7"/>
          <w:lang w:val="en-AU"/>
        </w:rPr>
        <w:t xml:space="preserve"> </w:t>
      </w:r>
      <w:r w:rsidRPr="00E573E1">
        <w:rPr>
          <w:lang w:val="en-AU"/>
        </w:rPr>
        <w:t>moderate</w:t>
      </w:r>
      <w:r w:rsidRPr="00E573E1">
        <w:rPr>
          <w:spacing w:val="-7"/>
          <w:lang w:val="en-AU"/>
        </w:rPr>
        <w:t xml:space="preserve"> </w:t>
      </w:r>
      <w:r w:rsidRPr="00E573E1">
        <w:rPr>
          <w:lang w:val="en-AU"/>
        </w:rPr>
        <w:t>renal</w:t>
      </w:r>
      <w:r w:rsidRPr="00E573E1">
        <w:rPr>
          <w:spacing w:val="-7"/>
          <w:lang w:val="en-AU"/>
        </w:rPr>
        <w:t xml:space="preserve"> </w:t>
      </w:r>
      <w:r w:rsidRPr="00E573E1">
        <w:rPr>
          <w:lang w:val="en-AU"/>
        </w:rPr>
        <w:t>impairment</w:t>
      </w:r>
      <w:r w:rsidRPr="00E573E1">
        <w:rPr>
          <w:spacing w:val="-7"/>
          <w:lang w:val="en-AU"/>
        </w:rPr>
        <w:t xml:space="preserve"> </w:t>
      </w:r>
      <w:r w:rsidRPr="00E573E1">
        <w:rPr>
          <w:lang w:val="en-AU"/>
        </w:rPr>
        <w:t>(eGFR</w:t>
      </w:r>
      <w:r w:rsidRPr="00E573E1">
        <w:rPr>
          <w:spacing w:val="-7"/>
          <w:lang w:val="en-AU"/>
        </w:rPr>
        <w:t xml:space="preserve"> </w:t>
      </w:r>
      <w:r w:rsidRPr="00E573E1">
        <w:rPr>
          <w:lang w:val="en-AU"/>
        </w:rPr>
        <w:t>of</w:t>
      </w:r>
      <w:r w:rsidRPr="00E573E1">
        <w:rPr>
          <w:spacing w:val="-7"/>
          <w:lang w:val="en-AU"/>
        </w:rPr>
        <w:t xml:space="preserve"> </w:t>
      </w:r>
      <w:r w:rsidRPr="00E573E1">
        <w:rPr>
          <w:lang w:val="en-AU"/>
        </w:rPr>
        <w:t>45</w:t>
      </w:r>
      <w:r w:rsidR="00D043BE" w:rsidRPr="00E573E1">
        <w:rPr>
          <w:lang w:val="en-AU"/>
        </w:rPr>
        <w:t> </w:t>
      </w:r>
      <w:r w:rsidRPr="00E573E1">
        <w:rPr>
          <w:lang w:val="en-AU"/>
        </w:rPr>
        <w:t>mL/min)</w:t>
      </w:r>
      <w:r w:rsidRPr="00E573E1">
        <w:rPr>
          <w:spacing w:val="-7"/>
          <w:lang w:val="en-AU"/>
        </w:rPr>
        <w:t xml:space="preserve"> indicates an </w:t>
      </w:r>
      <w:r w:rsidRPr="00E573E1">
        <w:rPr>
          <w:lang w:val="en-AU"/>
        </w:rPr>
        <w:t>approximate</w:t>
      </w:r>
      <w:r w:rsidRPr="00E573E1">
        <w:rPr>
          <w:spacing w:val="-11"/>
          <w:lang w:val="en-AU"/>
        </w:rPr>
        <w:t xml:space="preserve"> </w:t>
      </w:r>
      <w:r w:rsidRPr="00E573E1">
        <w:rPr>
          <w:lang w:val="en-AU"/>
        </w:rPr>
        <w:t>68%</w:t>
      </w:r>
      <w:r w:rsidRPr="00E573E1">
        <w:rPr>
          <w:spacing w:val="-7"/>
          <w:lang w:val="en-AU"/>
        </w:rPr>
        <w:t xml:space="preserve"> increase </w:t>
      </w:r>
      <w:r w:rsidRPr="00E573E1">
        <w:rPr>
          <w:lang w:val="en-AU"/>
        </w:rPr>
        <w:t>for</w:t>
      </w:r>
      <w:r w:rsidRPr="00E573E1">
        <w:rPr>
          <w:spacing w:val="-6"/>
          <w:lang w:val="en-AU"/>
        </w:rPr>
        <w:t xml:space="preserve"> </w:t>
      </w:r>
      <w:proofErr w:type="spellStart"/>
      <w:r w:rsidRPr="00E573E1">
        <w:rPr>
          <w:lang w:val="en-AU"/>
        </w:rPr>
        <w:t>gl</w:t>
      </w:r>
      <w:r w:rsidRPr="00E573E1">
        <w:rPr>
          <w:spacing w:val="-5"/>
          <w:lang w:val="en-AU"/>
        </w:rPr>
        <w:t>y</w:t>
      </w:r>
      <w:r w:rsidRPr="00E573E1">
        <w:rPr>
          <w:spacing w:val="2"/>
          <w:lang w:val="en-AU"/>
        </w:rPr>
        <w:t>cop</w:t>
      </w:r>
      <w:r w:rsidRPr="00E573E1">
        <w:rPr>
          <w:spacing w:val="-5"/>
          <w:lang w:val="en-AU"/>
        </w:rPr>
        <w:t>y</w:t>
      </w:r>
      <w:r w:rsidRPr="00E573E1">
        <w:rPr>
          <w:lang w:val="en-AU"/>
        </w:rPr>
        <w:t>rronium</w:t>
      </w:r>
      <w:proofErr w:type="spellEnd"/>
      <w:r w:rsidRPr="00E573E1">
        <w:rPr>
          <w:spacing w:val="-7"/>
          <w:lang w:val="en-AU"/>
        </w:rPr>
        <w:t xml:space="preserve"> </w:t>
      </w:r>
      <w:r w:rsidRPr="00E573E1">
        <w:rPr>
          <w:lang w:val="en-AU"/>
        </w:rPr>
        <w:t>compared to subjects with COPD with normal</w:t>
      </w:r>
      <w:r w:rsidRPr="00E573E1">
        <w:rPr>
          <w:spacing w:val="2"/>
          <w:lang w:val="en-AU"/>
        </w:rPr>
        <w:t xml:space="preserve"> </w:t>
      </w:r>
      <w:r w:rsidRPr="00E573E1">
        <w:rPr>
          <w:lang w:val="en-AU"/>
        </w:rPr>
        <w:t>renal function (eGFR of</w:t>
      </w:r>
      <w:r w:rsidRPr="00E573E1">
        <w:rPr>
          <w:spacing w:val="-6"/>
          <w:lang w:val="en-AU"/>
        </w:rPr>
        <w:t xml:space="preserve"> &gt;90</w:t>
      </w:r>
      <w:r w:rsidR="00D043BE" w:rsidRPr="00E573E1">
        <w:rPr>
          <w:spacing w:val="-6"/>
          <w:lang w:val="en-AU"/>
        </w:rPr>
        <w:t> </w:t>
      </w:r>
      <w:r w:rsidRPr="00E573E1">
        <w:rPr>
          <w:lang w:val="en-AU"/>
        </w:rPr>
        <w:t>m</w:t>
      </w:r>
      <w:r w:rsidRPr="00E573E1">
        <w:rPr>
          <w:spacing w:val="-5"/>
          <w:lang w:val="en-AU"/>
        </w:rPr>
        <w:t>L</w:t>
      </w:r>
      <w:r w:rsidRPr="00E573E1">
        <w:rPr>
          <w:lang w:val="en-AU"/>
        </w:rPr>
        <w:t>/min). Renal function was found not to affect exposure to budesonide or formoterol</w:t>
      </w:r>
      <w:r w:rsidRPr="00E573E1">
        <w:rPr>
          <w:spacing w:val="-1"/>
          <w:lang w:val="en-AU"/>
        </w:rPr>
        <w:t>.</w:t>
      </w:r>
    </w:p>
    <w:p w14:paraId="60F2E798" w14:textId="330EEEBF" w:rsidR="001A3992" w:rsidRPr="00E573E1" w:rsidRDefault="001A3992" w:rsidP="00C11150">
      <w:pPr>
        <w:pStyle w:val="Heading2"/>
        <w:rPr>
          <w:lang w:val="en-AU"/>
        </w:rPr>
      </w:pPr>
      <w:r w:rsidRPr="00E573E1">
        <w:rPr>
          <w:lang w:val="en-AU"/>
        </w:rPr>
        <w:t>Preclinical safety data</w:t>
      </w:r>
    </w:p>
    <w:p w14:paraId="6B6D9C63" w14:textId="77777777" w:rsidR="00A73D09" w:rsidRPr="00E573E1" w:rsidRDefault="00A73D09" w:rsidP="00C11150">
      <w:pPr>
        <w:pStyle w:val="Heading3Unnumbered"/>
        <w:rPr>
          <w:lang w:val="en-AU"/>
        </w:rPr>
      </w:pPr>
      <w:r w:rsidRPr="00E573E1">
        <w:rPr>
          <w:lang w:val="en-AU"/>
        </w:rPr>
        <w:t>Genotoxicity</w:t>
      </w:r>
    </w:p>
    <w:p w14:paraId="67157F65" w14:textId="4D1A40F4" w:rsidR="00A73D09" w:rsidRPr="00E573E1" w:rsidRDefault="00A73D09" w:rsidP="00C11150">
      <w:pPr>
        <w:pStyle w:val="Paragraph"/>
        <w:rPr>
          <w:lang w:val="en-AU"/>
        </w:rPr>
      </w:pPr>
      <w:r w:rsidRPr="00E573E1">
        <w:rPr>
          <w:lang w:val="en-AU"/>
        </w:rPr>
        <w:t xml:space="preserve">Individually, </w:t>
      </w:r>
      <w:r w:rsidR="001677D7" w:rsidRPr="00E573E1">
        <w:rPr>
          <w:lang w:val="en-AU"/>
        </w:rPr>
        <w:t xml:space="preserve">budesonide, </w:t>
      </w:r>
      <w:proofErr w:type="spellStart"/>
      <w:r w:rsidRPr="00E573E1">
        <w:rPr>
          <w:lang w:val="en-AU"/>
        </w:rPr>
        <w:t>glycopyrronium</w:t>
      </w:r>
      <w:proofErr w:type="spellEnd"/>
      <w:r w:rsidRPr="00E573E1">
        <w:rPr>
          <w:lang w:val="en-AU"/>
        </w:rPr>
        <w:t xml:space="preserve"> bromide and formoterol fumarate showed no genotoxic effects in assays for bacterial mutagenicity, chromosomal aberrations </w:t>
      </w:r>
      <w:r w:rsidRPr="00FA0B06">
        <w:rPr>
          <w:i/>
          <w:iCs/>
          <w:lang w:val="en-AU"/>
        </w:rPr>
        <w:t>in vitro</w:t>
      </w:r>
      <w:r w:rsidRPr="00E573E1">
        <w:rPr>
          <w:lang w:val="en-AU"/>
        </w:rPr>
        <w:t xml:space="preserve"> (human lymphocytes) and </w:t>
      </w:r>
      <w:r w:rsidRPr="00FA0B06">
        <w:rPr>
          <w:i/>
          <w:iCs/>
          <w:lang w:val="en-AU"/>
        </w:rPr>
        <w:t>in vivo</w:t>
      </w:r>
      <w:r w:rsidRPr="00E573E1">
        <w:rPr>
          <w:lang w:val="en-AU"/>
        </w:rPr>
        <w:t xml:space="preserve"> </w:t>
      </w:r>
      <w:proofErr w:type="spellStart"/>
      <w:r w:rsidRPr="00E573E1">
        <w:rPr>
          <w:lang w:val="en-AU"/>
        </w:rPr>
        <w:t>clastogenicity</w:t>
      </w:r>
      <w:proofErr w:type="spellEnd"/>
      <w:r w:rsidRPr="00E573E1">
        <w:rPr>
          <w:lang w:val="en-AU"/>
        </w:rPr>
        <w:t xml:space="preserve"> (rat </w:t>
      </w:r>
      <w:r w:rsidR="001677D7" w:rsidRPr="00E573E1">
        <w:rPr>
          <w:lang w:val="en-AU"/>
        </w:rPr>
        <w:t xml:space="preserve">or mouse </w:t>
      </w:r>
      <w:r w:rsidRPr="00E573E1">
        <w:rPr>
          <w:lang w:val="en-AU"/>
        </w:rPr>
        <w:t xml:space="preserve">bone marrow micronucleus test), except for a slight increase in reverse mutation frequency in </w:t>
      </w:r>
      <w:r w:rsidR="00491ABA">
        <w:rPr>
          <w:i/>
          <w:iCs/>
          <w:lang w:val="en-AU"/>
        </w:rPr>
        <w:t xml:space="preserve">Salmonella typhimurium </w:t>
      </w:r>
      <w:r w:rsidRPr="00E573E1">
        <w:rPr>
          <w:lang w:val="en-AU"/>
        </w:rPr>
        <w:t>at high concentrations of formoterol fumarate.</w:t>
      </w:r>
    </w:p>
    <w:p w14:paraId="3EC5223A" w14:textId="77777777" w:rsidR="00A73D09" w:rsidRPr="00E573E1" w:rsidRDefault="00A73D09" w:rsidP="00C11150">
      <w:pPr>
        <w:pStyle w:val="Heading3Unnumbered"/>
        <w:rPr>
          <w:lang w:val="en-AU"/>
        </w:rPr>
      </w:pPr>
      <w:r w:rsidRPr="00E573E1">
        <w:rPr>
          <w:lang w:val="en-AU"/>
        </w:rPr>
        <w:t>Carcinogenicity</w:t>
      </w:r>
    </w:p>
    <w:p w14:paraId="2BBEF16D" w14:textId="1DB1B3C4" w:rsidR="00A73D09" w:rsidRPr="00E573E1" w:rsidRDefault="00A73D09" w:rsidP="00C11150">
      <w:pPr>
        <w:pStyle w:val="Paragraph"/>
        <w:rPr>
          <w:lang w:val="en-AU"/>
        </w:rPr>
      </w:pPr>
      <w:r w:rsidRPr="00E573E1">
        <w:rPr>
          <w:lang w:val="en-AU"/>
        </w:rPr>
        <w:t xml:space="preserve">The carcinogenic potential of </w:t>
      </w:r>
      <w:r w:rsidR="00ED71FC" w:rsidRPr="00E573E1">
        <w:rPr>
          <w:lang w:val="en-AU"/>
        </w:rPr>
        <w:t xml:space="preserve">budesonide, </w:t>
      </w:r>
      <w:proofErr w:type="spellStart"/>
      <w:r w:rsidRPr="00E573E1">
        <w:rPr>
          <w:lang w:val="en-AU"/>
        </w:rPr>
        <w:t>glycopyrronium</w:t>
      </w:r>
      <w:proofErr w:type="spellEnd"/>
      <w:r w:rsidRPr="00E573E1">
        <w:rPr>
          <w:lang w:val="en-AU"/>
        </w:rPr>
        <w:t xml:space="preserve"> and formoterol in combination has not been investigated in animal studies.</w:t>
      </w:r>
    </w:p>
    <w:p w14:paraId="790EFD73" w14:textId="0C0B92CE" w:rsidR="00502838" w:rsidRDefault="00C26DED" w:rsidP="00C11150">
      <w:pPr>
        <w:pStyle w:val="Paragraph"/>
        <w:rPr>
          <w:lang w:val="en-AU"/>
        </w:rPr>
      </w:pPr>
      <w:r w:rsidRPr="00E573E1">
        <w:rPr>
          <w:lang w:val="en-AU"/>
        </w:rPr>
        <w:t>In a 91-week carcinogenicity study in mice, budesonide produced no treatment-related increases in the incidence of tumours at oral doses up to 200 </w:t>
      </w:r>
      <w:proofErr w:type="spellStart"/>
      <w:r w:rsidRPr="00E573E1">
        <w:rPr>
          <w:lang w:val="en-AU"/>
        </w:rPr>
        <w:t>μg</w:t>
      </w:r>
      <w:proofErr w:type="spellEnd"/>
      <w:r w:rsidRPr="00E573E1">
        <w:rPr>
          <w:lang w:val="en-AU"/>
        </w:rPr>
        <w:t>/kg</w:t>
      </w:r>
      <w:r w:rsidR="00491ABA">
        <w:rPr>
          <w:lang w:val="en-AU"/>
        </w:rPr>
        <w:t>/day</w:t>
      </w:r>
      <w:r w:rsidRPr="00E573E1">
        <w:rPr>
          <w:lang w:val="en-AU"/>
        </w:rPr>
        <w:t xml:space="preserve"> (approximately </w:t>
      </w:r>
      <w:r w:rsidR="00491ABA">
        <w:rPr>
          <w:lang w:val="en-AU"/>
        </w:rPr>
        <w:t>1.4</w:t>
      </w:r>
      <w:r w:rsidRPr="00E573E1">
        <w:rPr>
          <w:lang w:val="en-AU"/>
        </w:rPr>
        <w:t xml:space="preserve"> times the MRHDID on a </w:t>
      </w:r>
      <w:proofErr w:type="spellStart"/>
      <w:r w:rsidRPr="00E573E1">
        <w:rPr>
          <w:lang w:val="en-AU"/>
        </w:rPr>
        <w:t>μg</w:t>
      </w:r>
      <w:proofErr w:type="spellEnd"/>
      <w:r w:rsidRPr="00E573E1">
        <w:rPr>
          <w:lang w:val="en-AU"/>
        </w:rPr>
        <w:t>/m</w:t>
      </w:r>
      <w:r w:rsidRPr="00E573E1">
        <w:rPr>
          <w:vertAlign w:val="superscript"/>
          <w:lang w:val="en-AU"/>
        </w:rPr>
        <w:t>2</w:t>
      </w:r>
      <w:r w:rsidRPr="00E573E1">
        <w:rPr>
          <w:lang w:val="en-AU"/>
        </w:rPr>
        <w:t xml:space="preserve"> basis).  A 2-year carcinogenicity study in rats, along with two additional 2-year studies in male rats comparing effects in an alternative rat strain and effects of reference corticosteroids (prednisone and triamcinolone acetonide), were conducted. It was concluded that budesonide caused a statistically significant increase in the incidence of hepatocellular tumours at an oral dose of </w:t>
      </w:r>
      <w:r w:rsidR="00491ABA">
        <w:rPr>
          <w:lang w:val="en-AU"/>
        </w:rPr>
        <w:t>≥</w:t>
      </w:r>
      <w:r w:rsidR="00502838">
        <w:rPr>
          <w:lang w:val="en-AU"/>
        </w:rPr>
        <w:t>25</w:t>
      </w:r>
      <w:r w:rsidRPr="00E573E1">
        <w:rPr>
          <w:lang w:val="en-AU"/>
        </w:rPr>
        <w:t> </w:t>
      </w:r>
      <w:proofErr w:type="spellStart"/>
      <w:r w:rsidRPr="00E573E1">
        <w:rPr>
          <w:lang w:val="en-AU"/>
        </w:rPr>
        <w:t>μg</w:t>
      </w:r>
      <w:proofErr w:type="spellEnd"/>
      <w:r w:rsidRPr="00E573E1">
        <w:rPr>
          <w:lang w:val="en-AU"/>
        </w:rPr>
        <w:t>/kg</w:t>
      </w:r>
      <w:r w:rsidR="00502838">
        <w:rPr>
          <w:lang w:val="en-AU"/>
        </w:rPr>
        <w:t>/day</w:t>
      </w:r>
      <w:r w:rsidRPr="00E573E1">
        <w:rPr>
          <w:lang w:val="en-AU"/>
        </w:rPr>
        <w:t xml:space="preserve"> (approximately </w:t>
      </w:r>
      <w:r w:rsidR="00502838">
        <w:rPr>
          <w:lang w:val="en-AU"/>
        </w:rPr>
        <w:t>one-third of</w:t>
      </w:r>
      <w:r w:rsidRPr="00E573E1">
        <w:rPr>
          <w:lang w:val="en-AU"/>
        </w:rPr>
        <w:t xml:space="preserve"> the MRHDID on a </w:t>
      </w:r>
      <w:bookmarkStart w:id="31" w:name="_Hlk37858814"/>
      <w:proofErr w:type="spellStart"/>
      <w:r w:rsidRPr="00E573E1">
        <w:rPr>
          <w:lang w:val="en-AU"/>
        </w:rPr>
        <w:t>μ</w:t>
      </w:r>
      <w:bookmarkEnd w:id="31"/>
      <w:r w:rsidRPr="00E573E1">
        <w:rPr>
          <w:lang w:val="en-AU"/>
        </w:rPr>
        <w:t>g</w:t>
      </w:r>
      <w:proofErr w:type="spellEnd"/>
      <w:r w:rsidRPr="00E573E1">
        <w:rPr>
          <w:lang w:val="en-AU"/>
        </w:rPr>
        <w:t>/m</w:t>
      </w:r>
      <w:r w:rsidRPr="00E573E1">
        <w:rPr>
          <w:vertAlign w:val="superscript"/>
          <w:lang w:val="en-AU"/>
        </w:rPr>
        <w:t>2</w:t>
      </w:r>
      <w:r w:rsidRPr="00E573E1">
        <w:rPr>
          <w:lang w:val="en-AU"/>
        </w:rPr>
        <w:t xml:space="preserve"> basis). </w:t>
      </w:r>
      <w:r w:rsidR="00502838">
        <w:rPr>
          <w:lang w:val="en-AU"/>
        </w:rPr>
        <w:t>P</w:t>
      </w:r>
      <w:r w:rsidRPr="00E573E1">
        <w:rPr>
          <w:lang w:val="en-AU"/>
        </w:rPr>
        <w:t>rednisone and triamcinolone acetonide show</w:t>
      </w:r>
      <w:r w:rsidR="00BE2BA0">
        <w:rPr>
          <w:lang w:val="en-AU"/>
        </w:rPr>
        <w:tab/>
      </w:r>
      <w:r w:rsidRPr="00E573E1">
        <w:rPr>
          <w:lang w:val="en-AU"/>
        </w:rPr>
        <w:t>ed similar findings</w:t>
      </w:r>
      <w:r w:rsidR="00502838">
        <w:rPr>
          <w:lang w:val="en-AU"/>
        </w:rPr>
        <w:t>, indicating that this is a class effect of corticosteroids</w:t>
      </w:r>
      <w:r w:rsidRPr="00E573E1">
        <w:rPr>
          <w:lang w:val="en-AU"/>
        </w:rPr>
        <w:t>.</w:t>
      </w:r>
      <w:r w:rsidR="00CE3904" w:rsidRPr="00E573E1">
        <w:rPr>
          <w:lang w:val="en-AU"/>
        </w:rPr>
        <w:t xml:space="preserve"> </w:t>
      </w:r>
    </w:p>
    <w:p w14:paraId="57409AB8" w14:textId="071F8DA6" w:rsidR="00A73D09" w:rsidRPr="00E573E1" w:rsidRDefault="00A73D09" w:rsidP="00C11150">
      <w:pPr>
        <w:pStyle w:val="Paragraph"/>
        <w:rPr>
          <w:lang w:val="en-AU"/>
        </w:rPr>
      </w:pPr>
      <w:r w:rsidRPr="00E573E1">
        <w:rPr>
          <w:lang w:val="en-AU"/>
        </w:rPr>
        <w:t>Carcinogenicity studies of six months duration by the oral route in transgenic mice (</w:t>
      </w:r>
      <w:proofErr w:type="spellStart"/>
      <w:r w:rsidRPr="00E573E1">
        <w:rPr>
          <w:lang w:val="en-AU"/>
        </w:rPr>
        <w:t>ras</w:t>
      </w:r>
      <w:proofErr w:type="spellEnd"/>
      <w:r w:rsidRPr="00E573E1">
        <w:rPr>
          <w:lang w:val="en-AU"/>
        </w:rPr>
        <w:t xml:space="preserve"> H2)</w:t>
      </w:r>
      <w:r w:rsidR="00502838">
        <w:rPr>
          <w:lang w:val="en-AU"/>
        </w:rPr>
        <w:t>,</w:t>
      </w:r>
      <w:r w:rsidRPr="00E573E1">
        <w:rPr>
          <w:lang w:val="en-AU"/>
        </w:rPr>
        <w:t xml:space="preserve"> of </w:t>
      </w:r>
      <w:r w:rsidR="00C26DED" w:rsidRPr="00E573E1">
        <w:rPr>
          <w:lang w:val="en-AU"/>
        </w:rPr>
        <w:t xml:space="preserve">24 months duration by inhalational administration in </w:t>
      </w:r>
      <w:r w:rsidR="00502838">
        <w:rPr>
          <w:lang w:val="en-AU"/>
        </w:rPr>
        <w:t xml:space="preserve">normal </w:t>
      </w:r>
      <w:r w:rsidR="00C26DED" w:rsidRPr="00E573E1">
        <w:rPr>
          <w:lang w:val="en-AU"/>
        </w:rPr>
        <w:t xml:space="preserve">mice, and </w:t>
      </w:r>
      <w:r w:rsidR="00502838">
        <w:rPr>
          <w:lang w:val="en-AU"/>
        </w:rPr>
        <w:t xml:space="preserve">of </w:t>
      </w:r>
      <w:r w:rsidRPr="00E573E1">
        <w:rPr>
          <w:lang w:val="en-AU"/>
        </w:rPr>
        <w:t>19 and 24</w:t>
      </w:r>
      <w:r w:rsidR="00A9453D" w:rsidRPr="00E573E1">
        <w:rPr>
          <w:lang w:val="en-AU"/>
        </w:rPr>
        <w:t>-</w:t>
      </w:r>
      <w:r w:rsidRPr="00E573E1">
        <w:rPr>
          <w:lang w:val="en-AU"/>
        </w:rPr>
        <w:t xml:space="preserve">months duration in rats using inhalational administration revealed no evidence of carcinogenicity with </w:t>
      </w:r>
      <w:proofErr w:type="spellStart"/>
      <w:r w:rsidRPr="00E573E1">
        <w:rPr>
          <w:lang w:val="en-AU"/>
        </w:rPr>
        <w:t>glycopyrronium</w:t>
      </w:r>
      <w:proofErr w:type="spellEnd"/>
      <w:r w:rsidRPr="00E573E1">
        <w:rPr>
          <w:lang w:val="en-AU"/>
        </w:rPr>
        <w:t xml:space="preserve"> bromide. The highest dose levels employed in the </w:t>
      </w:r>
      <w:r w:rsidR="00C26DED" w:rsidRPr="00E573E1">
        <w:rPr>
          <w:lang w:val="en-AU"/>
        </w:rPr>
        <w:t>transgenic mouse study and the 24</w:t>
      </w:r>
      <w:r w:rsidR="00502838">
        <w:rPr>
          <w:lang w:val="en-AU"/>
        </w:rPr>
        <w:t>-</w:t>
      </w:r>
      <w:r w:rsidR="00C26DED" w:rsidRPr="00E573E1">
        <w:rPr>
          <w:lang w:val="en-AU"/>
        </w:rPr>
        <w:t>month rat study</w:t>
      </w:r>
      <w:r w:rsidRPr="00E573E1">
        <w:rPr>
          <w:lang w:val="en-AU"/>
        </w:rPr>
        <w:t xml:space="preserve"> (75 and 100</w:t>
      </w:r>
      <w:r w:rsidR="00ED71FC" w:rsidRPr="00E573E1">
        <w:rPr>
          <w:lang w:val="en-AU"/>
        </w:rPr>
        <w:t> </w:t>
      </w:r>
      <w:r w:rsidRPr="00E573E1">
        <w:rPr>
          <w:lang w:val="en-AU"/>
        </w:rPr>
        <w:t>mg/kg/day in male and female mice and 0.45</w:t>
      </w:r>
      <w:r w:rsidR="00ED71FC" w:rsidRPr="00E573E1">
        <w:rPr>
          <w:lang w:val="en-AU"/>
        </w:rPr>
        <w:t> </w:t>
      </w:r>
      <w:r w:rsidRPr="00E573E1">
        <w:rPr>
          <w:lang w:val="en-AU"/>
        </w:rPr>
        <w:t xml:space="preserve">mg/kg/day in rats) were associated with systemic exposures (plasma AUC) approximately 120-fold higher in mice and 180-fold higher in rats than in humans at the maximum recommended dose of </w:t>
      </w:r>
      <w:proofErr w:type="spellStart"/>
      <w:r w:rsidRPr="00E573E1">
        <w:rPr>
          <w:lang w:val="en-AU"/>
        </w:rPr>
        <w:t>glycopyrronium</w:t>
      </w:r>
      <w:proofErr w:type="spellEnd"/>
      <w:r w:rsidRPr="00E573E1">
        <w:rPr>
          <w:lang w:val="en-AU"/>
        </w:rPr>
        <w:t xml:space="preserve"> bromide with </w:t>
      </w:r>
      <w:r w:rsidR="00ED71FC" w:rsidRPr="00E573E1">
        <w:rPr>
          <w:lang w:val="en-AU"/>
        </w:rPr>
        <w:t>BREZTRI AEROSPHERE</w:t>
      </w:r>
      <w:r w:rsidRPr="00E573E1">
        <w:rPr>
          <w:lang w:val="en-AU"/>
        </w:rPr>
        <w:t>. The highest dose</w:t>
      </w:r>
      <w:r w:rsidR="00C26DED" w:rsidRPr="00E573E1">
        <w:rPr>
          <w:lang w:val="en-AU"/>
        </w:rPr>
        <w:t>s</w:t>
      </w:r>
      <w:r w:rsidRPr="00E573E1">
        <w:rPr>
          <w:lang w:val="en-AU"/>
        </w:rPr>
        <w:t xml:space="preserve"> used in the </w:t>
      </w:r>
      <w:r w:rsidR="00C26DED" w:rsidRPr="00E573E1">
        <w:rPr>
          <w:lang w:val="en-AU"/>
        </w:rPr>
        <w:t>24</w:t>
      </w:r>
      <w:r w:rsidR="00502838">
        <w:rPr>
          <w:lang w:val="en-AU"/>
        </w:rPr>
        <w:t>-</w:t>
      </w:r>
      <w:r w:rsidR="00C26DED" w:rsidRPr="00E573E1">
        <w:rPr>
          <w:lang w:val="en-AU"/>
        </w:rPr>
        <w:t>month study in mice (1440 </w:t>
      </w:r>
      <w:proofErr w:type="spellStart"/>
      <w:r w:rsidR="00C26DED" w:rsidRPr="00E573E1">
        <w:rPr>
          <w:lang w:val="en-AU"/>
        </w:rPr>
        <w:t>μg</w:t>
      </w:r>
      <w:proofErr w:type="spellEnd"/>
      <w:r w:rsidR="00C26DED" w:rsidRPr="00E573E1">
        <w:rPr>
          <w:lang w:val="en-AU"/>
        </w:rPr>
        <w:t xml:space="preserve">/kg/day) and the </w:t>
      </w:r>
      <w:r w:rsidRPr="00E573E1">
        <w:rPr>
          <w:lang w:val="en-AU"/>
        </w:rPr>
        <w:t>19-month study in rats (652</w:t>
      </w:r>
      <w:r w:rsidR="00ED71FC" w:rsidRPr="00E573E1">
        <w:rPr>
          <w:lang w:val="en-AU"/>
        </w:rPr>
        <w:t> </w:t>
      </w:r>
      <w:r w:rsidRPr="00E573E1">
        <w:rPr>
          <w:lang w:val="en-AU"/>
        </w:rPr>
        <w:t xml:space="preserve">µg/kg/day), </w:t>
      </w:r>
      <w:r w:rsidR="00C26DED" w:rsidRPr="00E573E1">
        <w:rPr>
          <w:lang w:val="en-AU"/>
        </w:rPr>
        <w:t xml:space="preserve">are </w:t>
      </w:r>
      <w:r w:rsidRPr="00E573E1">
        <w:rPr>
          <w:lang w:val="en-AU"/>
        </w:rPr>
        <w:t>approximately 165</w:t>
      </w:r>
      <w:r w:rsidR="00502838">
        <w:rPr>
          <w:lang w:val="en-AU"/>
        </w:rPr>
        <w:t>-180</w:t>
      </w:r>
      <w:r w:rsidRPr="00E573E1">
        <w:rPr>
          <w:lang w:val="en-AU"/>
        </w:rPr>
        <w:t xml:space="preserve"> times greater than the maximum recommended clinical dose of </w:t>
      </w:r>
      <w:proofErr w:type="spellStart"/>
      <w:r w:rsidRPr="00E573E1">
        <w:rPr>
          <w:lang w:val="en-AU"/>
        </w:rPr>
        <w:t>glycopyrronium</w:t>
      </w:r>
      <w:proofErr w:type="spellEnd"/>
      <w:r w:rsidRPr="00E573E1">
        <w:rPr>
          <w:lang w:val="en-AU"/>
        </w:rPr>
        <w:t xml:space="preserve"> bromide on a </w:t>
      </w:r>
      <w:proofErr w:type="spellStart"/>
      <w:r w:rsidRPr="00E573E1">
        <w:rPr>
          <w:lang w:val="en-AU"/>
        </w:rPr>
        <w:t>μg</w:t>
      </w:r>
      <w:proofErr w:type="spellEnd"/>
      <w:r w:rsidRPr="00E573E1">
        <w:rPr>
          <w:lang w:val="en-AU"/>
        </w:rPr>
        <w:t>/m</w:t>
      </w:r>
      <w:r w:rsidRPr="00E573E1">
        <w:rPr>
          <w:vertAlign w:val="superscript"/>
          <w:lang w:val="en-AU"/>
        </w:rPr>
        <w:t xml:space="preserve">2 </w:t>
      </w:r>
      <w:r w:rsidRPr="00E573E1">
        <w:rPr>
          <w:lang w:val="en-AU"/>
        </w:rPr>
        <w:t xml:space="preserve">basis. </w:t>
      </w:r>
    </w:p>
    <w:p w14:paraId="1DE60DF2" w14:textId="4C9D93A6" w:rsidR="004F7097" w:rsidRPr="00E573E1" w:rsidRDefault="00A73D09" w:rsidP="00C11150">
      <w:pPr>
        <w:pStyle w:val="Paragraph"/>
        <w:rPr>
          <w:lang w:val="en-AU"/>
        </w:rPr>
      </w:pPr>
      <w:r w:rsidRPr="00E573E1">
        <w:rPr>
          <w:lang w:val="en-AU"/>
        </w:rPr>
        <w:t>With formoterol fumarate, there was a dose-dependent increase in the incidence of uterine leiomyomas in mice dosed orally at 0.1, 0.5 and 2.5</w:t>
      </w:r>
      <w:r w:rsidR="00ED71FC" w:rsidRPr="00E573E1">
        <w:rPr>
          <w:lang w:val="en-AU"/>
        </w:rPr>
        <w:t> </w:t>
      </w:r>
      <w:r w:rsidRPr="00E573E1">
        <w:rPr>
          <w:lang w:val="en-AU"/>
        </w:rPr>
        <w:t xml:space="preserve">mg/kg/day for two years, and a </w:t>
      </w:r>
      <w:proofErr w:type="spellStart"/>
      <w:r w:rsidRPr="00E573E1">
        <w:rPr>
          <w:lang w:val="en-AU"/>
        </w:rPr>
        <w:t>mesovarian</w:t>
      </w:r>
      <w:proofErr w:type="spellEnd"/>
      <w:r w:rsidRPr="00E573E1">
        <w:rPr>
          <w:lang w:val="en-AU"/>
        </w:rPr>
        <w:t xml:space="preserve"> leiomyoma was observed in a female rat dosed by inhalation at 0.13</w:t>
      </w:r>
      <w:r w:rsidR="00ED71FC" w:rsidRPr="00E573E1">
        <w:rPr>
          <w:lang w:val="en-AU"/>
        </w:rPr>
        <w:t> </w:t>
      </w:r>
      <w:r w:rsidRPr="00E573E1">
        <w:rPr>
          <w:lang w:val="en-AU"/>
        </w:rPr>
        <w:t>mg/kg/day for two years. The effects observed are expected findings with high dose exposure to β</w:t>
      </w:r>
      <w:r w:rsidRPr="00E573E1">
        <w:rPr>
          <w:vertAlign w:val="subscript"/>
          <w:lang w:val="en-AU"/>
        </w:rPr>
        <w:t>2</w:t>
      </w:r>
      <w:r w:rsidRPr="00E573E1">
        <w:rPr>
          <w:lang w:val="en-AU"/>
        </w:rPr>
        <w:t xml:space="preserve">-adrenoceptor agonists. Additional carcinogenic activity was observed with formoterol in rats and mice in other studies involving systemic exposure levels thousands of times higher than in patients treated with </w:t>
      </w:r>
      <w:r w:rsidR="00ED71FC" w:rsidRPr="00E573E1">
        <w:rPr>
          <w:lang w:val="en-AU"/>
        </w:rPr>
        <w:t xml:space="preserve">BREZTRI AEROSPHERE.  </w:t>
      </w:r>
      <w:r w:rsidRPr="00E573E1">
        <w:rPr>
          <w:lang w:val="en-AU"/>
        </w:rPr>
        <w:t>In view of the dose levels and the genotoxic profile of the drug, it is concluded that the cancer risk in patients treated with formoterol fumarate is no greater than for other β</w:t>
      </w:r>
      <w:r w:rsidRPr="00E573E1">
        <w:rPr>
          <w:vertAlign w:val="subscript"/>
          <w:lang w:val="en-AU"/>
        </w:rPr>
        <w:t>2</w:t>
      </w:r>
      <w:r w:rsidRPr="00E573E1">
        <w:rPr>
          <w:lang w:val="en-AU"/>
        </w:rPr>
        <w:t>-adrenoceptor agonists.</w:t>
      </w:r>
    </w:p>
    <w:p w14:paraId="153F1DEE" w14:textId="77777777" w:rsidR="001A3992" w:rsidRPr="00E573E1" w:rsidRDefault="001A3992" w:rsidP="00C11150">
      <w:pPr>
        <w:pStyle w:val="Heading1"/>
        <w:rPr>
          <w:lang w:val="en-AU"/>
        </w:rPr>
      </w:pPr>
      <w:r w:rsidRPr="00E573E1">
        <w:rPr>
          <w:lang w:val="en-AU"/>
        </w:rPr>
        <w:lastRenderedPageBreak/>
        <w:t>Pharmaceutical particulars</w:t>
      </w:r>
    </w:p>
    <w:p w14:paraId="316BFFBD" w14:textId="77777777" w:rsidR="001A3992" w:rsidRPr="00E573E1" w:rsidRDefault="001A3992" w:rsidP="00C11150">
      <w:pPr>
        <w:pStyle w:val="Heading2"/>
        <w:rPr>
          <w:lang w:val="en-AU"/>
        </w:rPr>
      </w:pPr>
      <w:bookmarkStart w:id="32" w:name="_Ref505768678"/>
      <w:r w:rsidRPr="00E573E1">
        <w:rPr>
          <w:lang w:val="en-AU"/>
        </w:rPr>
        <w:t>List of exci</w:t>
      </w:r>
      <w:r w:rsidR="00795D99" w:rsidRPr="00E573E1">
        <w:rPr>
          <w:lang w:val="en-AU"/>
        </w:rPr>
        <w:t>pients</w:t>
      </w:r>
      <w:bookmarkEnd w:id="32"/>
    </w:p>
    <w:p w14:paraId="37DD070D" w14:textId="169F749F" w:rsidR="00EC6FD9" w:rsidRPr="00E573E1" w:rsidRDefault="00DF5D88" w:rsidP="00C11150">
      <w:pPr>
        <w:pStyle w:val="Paragraph"/>
        <w:rPr>
          <w:lang w:val="en-AU"/>
        </w:rPr>
      </w:pPr>
      <w:r w:rsidRPr="00E573E1">
        <w:rPr>
          <w:lang w:val="en-AU"/>
        </w:rPr>
        <w:t xml:space="preserve">BREZTRI AEROSPHERE </w:t>
      </w:r>
      <w:r w:rsidR="006879E5" w:rsidRPr="00E573E1">
        <w:rPr>
          <w:lang w:val="en-AU"/>
        </w:rPr>
        <w:t>160</w:t>
      </w:r>
      <w:r w:rsidR="00EC6FD9" w:rsidRPr="00E573E1">
        <w:rPr>
          <w:lang w:val="en-AU"/>
        </w:rPr>
        <w:t xml:space="preserve">/7.2/5 also contains the inactive ingredients - porous particles (comprised of distearoylphosphatidylcholine (DSPC) and calcium chloride dihydrate) and the propellant </w:t>
      </w:r>
      <w:proofErr w:type="spellStart"/>
      <w:r w:rsidR="00EC6FD9" w:rsidRPr="00E573E1">
        <w:rPr>
          <w:lang w:val="en-AU"/>
        </w:rPr>
        <w:t>norflurane</w:t>
      </w:r>
      <w:proofErr w:type="spellEnd"/>
      <w:r w:rsidR="00EC6FD9" w:rsidRPr="00E573E1">
        <w:rPr>
          <w:lang w:val="en-AU"/>
        </w:rPr>
        <w:t xml:space="preserve"> (also known as </w:t>
      </w:r>
      <w:proofErr w:type="spellStart"/>
      <w:r w:rsidR="00EC6FD9" w:rsidRPr="00E573E1">
        <w:rPr>
          <w:lang w:val="en-AU"/>
        </w:rPr>
        <w:t>hydrofluroalkane</w:t>
      </w:r>
      <w:proofErr w:type="spellEnd"/>
      <w:r w:rsidR="00EC6FD9" w:rsidRPr="00E573E1">
        <w:rPr>
          <w:lang w:val="en-AU"/>
        </w:rPr>
        <w:t xml:space="preserve"> (HFA)-134a).</w:t>
      </w:r>
    </w:p>
    <w:p w14:paraId="4B4CDFC6" w14:textId="77777777" w:rsidR="001A3992" w:rsidRPr="00E573E1" w:rsidRDefault="001A3992" w:rsidP="00C11150">
      <w:pPr>
        <w:pStyle w:val="Heading2"/>
        <w:rPr>
          <w:lang w:val="en-AU"/>
        </w:rPr>
      </w:pPr>
      <w:r w:rsidRPr="00E573E1">
        <w:rPr>
          <w:lang w:val="en-AU"/>
        </w:rPr>
        <w:t>Incompatib</w:t>
      </w:r>
      <w:r w:rsidR="00795D99" w:rsidRPr="00E573E1">
        <w:rPr>
          <w:lang w:val="en-AU"/>
        </w:rPr>
        <w:t>ilities</w:t>
      </w:r>
    </w:p>
    <w:p w14:paraId="6DE740D9" w14:textId="50A18A96" w:rsidR="007A2548" w:rsidRPr="00E573E1" w:rsidRDefault="007A2548" w:rsidP="00C11150">
      <w:pPr>
        <w:pStyle w:val="Paragraph"/>
        <w:rPr>
          <w:lang w:val="en-AU"/>
        </w:rPr>
      </w:pPr>
      <w:r w:rsidRPr="00E573E1">
        <w:rPr>
          <w:lang w:val="en-AU"/>
        </w:rPr>
        <w:t>Incompatibilities were either not assessed or not identified as part of the registration of this medicine</w:t>
      </w:r>
      <w:r w:rsidR="0026243D" w:rsidRPr="00E573E1">
        <w:rPr>
          <w:lang w:val="en-AU"/>
        </w:rPr>
        <w:t>.</w:t>
      </w:r>
    </w:p>
    <w:p w14:paraId="5BAFA7F6" w14:textId="77777777" w:rsidR="001A3992" w:rsidRPr="00E573E1" w:rsidRDefault="001A3992" w:rsidP="00C11150">
      <w:pPr>
        <w:pStyle w:val="Heading2"/>
        <w:rPr>
          <w:lang w:val="en-AU"/>
        </w:rPr>
      </w:pPr>
      <w:r w:rsidRPr="00E573E1">
        <w:rPr>
          <w:lang w:val="en-AU"/>
        </w:rPr>
        <w:t>Shelf life</w:t>
      </w:r>
    </w:p>
    <w:p w14:paraId="28466ED2" w14:textId="77777777" w:rsidR="007A2548" w:rsidRPr="00E573E1" w:rsidRDefault="007A2548" w:rsidP="00C11150">
      <w:pPr>
        <w:pStyle w:val="Paragraph"/>
        <w:rPr>
          <w:lang w:val="en-AU"/>
        </w:rPr>
      </w:pPr>
      <w:r w:rsidRPr="00E573E1">
        <w:rPr>
          <w:lang w:val="en-AU"/>
        </w:rPr>
        <w:t>In Australia, information on the shelf life can be found on the public summary of the Australian Register of Therapeutic Goods (ARTG). The expiry date can be found on the packaging.</w:t>
      </w:r>
    </w:p>
    <w:p w14:paraId="31163DCA" w14:textId="77777777" w:rsidR="001A3992" w:rsidRPr="00E573E1" w:rsidRDefault="00795D99" w:rsidP="00C11150">
      <w:pPr>
        <w:pStyle w:val="Heading2"/>
        <w:rPr>
          <w:lang w:val="en-AU"/>
        </w:rPr>
      </w:pPr>
      <w:r w:rsidRPr="00E573E1">
        <w:rPr>
          <w:lang w:val="en-AU"/>
        </w:rPr>
        <w:t>Special precautions for storage</w:t>
      </w:r>
    </w:p>
    <w:p w14:paraId="5793E795" w14:textId="5416A7E6" w:rsidR="0026243D" w:rsidRPr="00E573E1" w:rsidRDefault="0026243D" w:rsidP="00C11150">
      <w:pPr>
        <w:pStyle w:val="Paragraph"/>
        <w:rPr>
          <w:lang w:val="en-AU"/>
        </w:rPr>
      </w:pPr>
      <w:r w:rsidRPr="00E573E1">
        <w:rPr>
          <w:lang w:val="en-AU"/>
        </w:rPr>
        <w:t xml:space="preserve">Store below </w:t>
      </w:r>
      <w:r w:rsidR="00B11797">
        <w:rPr>
          <w:lang w:val="en-AU"/>
        </w:rPr>
        <w:t>30</w:t>
      </w:r>
      <w:r w:rsidRPr="00E573E1">
        <w:rPr>
          <w:rFonts w:cs="Arial"/>
          <w:lang w:val="en-AU"/>
        </w:rPr>
        <w:t>°</w:t>
      </w:r>
      <w:r w:rsidRPr="00E573E1">
        <w:rPr>
          <w:lang w:val="en-AU"/>
        </w:rPr>
        <w:t>C.</w:t>
      </w:r>
    </w:p>
    <w:p w14:paraId="573D76DF" w14:textId="7393271F" w:rsidR="007A2548" w:rsidRPr="00E573E1" w:rsidRDefault="0026243D" w:rsidP="00C11150">
      <w:pPr>
        <w:pStyle w:val="Paragraph"/>
        <w:rPr>
          <w:lang w:val="en-AU"/>
        </w:rPr>
      </w:pPr>
      <w:r w:rsidRPr="00E573E1">
        <w:rPr>
          <w:lang w:val="en-AU"/>
        </w:rPr>
        <w:t>The inhaler should be discarded within 3 months</w:t>
      </w:r>
      <w:r w:rsidR="0086608B" w:rsidRPr="00E573E1">
        <w:rPr>
          <w:lang w:val="en-AU"/>
        </w:rPr>
        <w:t xml:space="preserve"> (120</w:t>
      </w:r>
      <w:r w:rsidR="00FA0B06">
        <w:rPr>
          <w:lang w:val="en-AU"/>
        </w:rPr>
        <w:t> </w:t>
      </w:r>
      <w:r w:rsidR="0086608B" w:rsidRPr="00E573E1">
        <w:rPr>
          <w:lang w:val="en-AU"/>
        </w:rPr>
        <w:t xml:space="preserve">actuations) </w:t>
      </w:r>
      <w:r w:rsidR="00485252" w:rsidRPr="00E573E1">
        <w:rPr>
          <w:lang w:val="en-AU"/>
        </w:rPr>
        <w:t>or 3</w:t>
      </w:r>
      <w:r w:rsidR="00FA0B06">
        <w:rPr>
          <w:lang w:val="en-AU"/>
        </w:rPr>
        <w:t> </w:t>
      </w:r>
      <w:r w:rsidR="00485252" w:rsidRPr="00E573E1">
        <w:rPr>
          <w:lang w:val="en-AU"/>
        </w:rPr>
        <w:t>weeks (28</w:t>
      </w:r>
      <w:r w:rsidR="00FA0B06">
        <w:rPr>
          <w:lang w:val="en-AU"/>
        </w:rPr>
        <w:t> </w:t>
      </w:r>
      <w:r w:rsidR="00485252" w:rsidRPr="00E573E1">
        <w:rPr>
          <w:lang w:val="en-AU"/>
        </w:rPr>
        <w:t>actuations</w:t>
      </w:r>
      <w:r w:rsidR="00FA0B06" w:rsidRPr="00FA0B06">
        <w:rPr>
          <w:lang w:val="en-AU"/>
        </w:rPr>
        <w:t xml:space="preserve"> </w:t>
      </w:r>
      <w:r w:rsidR="00FA0B06" w:rsidRPr="00E573E1">
        <w:rPr>
          <w:lang w:val="en-AU"/>
        </w:rPr>
        <w:t>sample pack</w:t>
      </w:r>
      <w:r w:rsidR="00485252" w:rsidRPr="00E573E1">
        <w:rPr>
          <w:lang w:val="en-AU"/>
        </w:rPr>
        <w:t xml:space="preserve">) </w:t>
      </w:r>
      <w:r w:rsidRPr="00E573E1">
        <w:rPr>
          <w:lang w:val="en-AU"/>
        </w:rPr>
        <w:t>after removal from the foil pouch.</w:t>
      </w:r>
    </w:p>
    <w:p w14:paraId="6C063043" w14:textId="77777777" w:rsidR="001A3992" w:rsidRPr="00E573E1" w:rsidRDefault="001A3992" w:rsidP="00C11150">
      <w:pPr>
        <w:pStyle w:val="Heading2"/>
        <w:rPr>
          <w:lang w:val="en-AU"/>
        </w:rPr>
      </w:pPr>
      <w:r w:rsidRPr="00E573E1">
        <w:rPr>
          <w:lang w:val="en-AU"/>
        </w:rPr>
        <w:t>N</w:t>
      </w:r>
      <w:r w:rsidR="00795D99" w:rsidRPr="00E573E1">
        <w:rPr>
          <w:lang w:val="en-AU"/>
        </w:rPr>
        <w:t>ature and contents of container</w:t>
      </w:r>
    </w:p>
    <w:p w14:paraId="26C22E5E" w14:textId="6D407D8D" w:rsidR="0026243D" w:rsidRPr="00E573E1" w:rsidRDefault="00DF5D88" w:rsidP="00C11150">
      <w:pPr>
        <w:pStyle w:val="Paragraph"/>
        <w:rPr>
          <w:lang w:val="en-AU"/>
        </w:rPr>
      </w:pPr>
      <w:r w:rsidRPr="00E573E1">
        <w:rPr>
          <w:lang w:val="en-AU"/>
        </w:rPr>
        <w:t xml:space="preserve">BREZTRI AEROSPHERE </w:t>
      </w:r>
      <w:r w:rsidR="00AA2E11" w:rsidRPr="00E573E1">
        <w:rPr>
          <w:lang w:val="en-AU"/>
        </w:rPr>
        <w:t>160/</w:t>
      </w:r>
      <w:r w:rsidR="0026243D" w:rsidRPr="00E573E1">
        <w:rPr>
          <w:lang w:val="en-AU"/>
        </w:rPr>
        <w:t xml:space="preserve">7.2/5 </w:t>
      </w:r>
      <w:proofErr w:type="spellStart"/>
      <w:r w:rsidR="0026243D" w:rsidRPr="00E573E1">
        <w:rPr>
          <w:lang w:val="en-AU"/>
        </w:rPr>
        <w:t>pMDI</w:t>
      </w:r>
      <w:proofErr w:type="spellEnd"/>
      <w:r w:rsidR="0026243D" w:rsidRPr="00E573E1">
        <w:rPr>
          <w:lang w:val="en-AU"/>
        </w:rPr>
        <w:t xml:space="preserve"> consists </w:t>
      </w:r>
      <w:r w:rsidR="00AA2E11" w:rsidRPr="00E573E1">
        <w:rPr>
          <w:lang w:val="en-AU"/>
        </w:rPr>
        <w:t xml:space="preserve">of an </w:t>
      </w:r>
      <w:proofErr w:type="gramStart"/>
      <w:r w:rsidR="00AA2E11" w:rsidRPr="00E573E1">
        <w:rPr>
          <w:lang w:val="en-AU"/>
        </w:rPr>
        <w:t>internally-</w:t>
      </w:r>
      <w:r w:rsidR="0026243D" w:rsidRPr="00E573E1">
        <w:rPr>
          <w:lang w:val="en-AU"/>
        </w:rPr>
        <w:t>coated</w:t>
      </w:r>
      <w:proofErr w:type="gramEnd"/>
      <w:r w:rsidR="0026243D" w:rsidRPr="00E573E1">
        <w:rPr>
          <w:lang w:val="en-AU"/>
        </w:rPr>
        <w:t xml:space="preserve"> aluminium can</w:t>
      </w:r>
      <w:r w:rsidR="00AA2E11" w:rsidRPr="00E573E1">
        <w:rPr>
          <w:lang w:val="en-AU"/>
        </w:rPr>
        <w:t xml:space="preserve">ister, sealed </w:t>
      </w:r>
      <w:r w:rsidR="0026243D" w:rsidRPr="00E573E1">
        <w:rPr>
          <w:lang w:val="en-AU"/>
        </w:rPr>
        <w:t xml:space="preserve">with a metering valve, </w:t>
      </w:r>
      <w:r w:rsidR="00AA2E11" w:rsidRPr="00E573E1">
        <w:rPr>
          <w:lang w:val="en-AU"/>
        </w:rPr>
        <w:t xml:space="preserve">fitted with an attached dose indicator device and fitted into a </w:t>
      </w:r>
      <w:r w:rsidR="0026243D" w:rsidRPr="00E573E1">
        <w:rPr>
          <w:lang w:val="en-AU"/>
        </w:rPr>
        <w:t>white plastic actuator (body)</w:t>
      </w:r>
      <w:r w:rsidR="00AA2E11" w:rsidRPr="00E573E1">
        <w:rPr>
          <w:lang w:val="en-AU"/>
        </w:rPr>
        <w:t xml:space="preserve"> with a grey </w:t>
      </w:r>
      <w:r w:rsidR="0026243D" w:rsidRPr="00E573E1">
        <w:rPr>
          <w:lang w:val="en-AU"/>
        </w:rPr>
        <w:t>cap (dust cover). Each inhaler is individually wrapped in a foil-laminate pouch with a desiccant sachet and packed in a carton.</w:t>
      </w:r>
    </w:p>
    <w:p w14:paraId="260CB668" w14:textId="6F50BE1B" w:rsidR="00E74B37" w:rsidRPr="00E573E1" w:rsidRDefault="00B11797" w:rsidP="00C11150">
      <w:pPr>
        <w:pStyle w:val="Paragraph"/>
        <w:rPr>
          <w:lang w:val="en-AU"/>
        </w:rPr>
      </w:pPr>
      <w:r>
        <w:rPr>
          <w:lang w:val="en-AU"/>
        </w:rPr>
        <w:t>T</w:t>
      </w:r>
      <w:r w:rsidR="00794EDC">
        <w:rPr>
          <w:lang w:val="en-AU"/>
        </w:rPr>
        <w:t>wo</w:t>
      </w:r>
      <w:r w:rsidR="00F97A01" w:rsidRPr="00E573E1">
        <w:rPr>
          <w:lang w:val="en-AU"/>
        </w:rPr>
        <w:t xml:space="preserve"> </w:t>
      </w:r>
      <w:r w:rsidR="0026243D" w:rsidRPr="00E573E1">
        <w:rPr>
          <w:lang w:val="en-AU"/>
        </w:rPr>
        <w:t>pack sizes are registered</w:t>
      </w:r>
      <w:r w:rsidR="00C76F45" w:rsidRPr="00E573E1">
        <w:rPr>
          <w:lang w:val="en-AU"/>
        </w:rPr>
        <w:t>*</w:t>
      </w:r>
      <w:r w:rsidR="00E74B37" w:rsidRPr="00E573E1">
        <w:rPr>
          <w:lang w:val="en-AU"/>
        </w:rPr>
        <w:t>:</w:t>
      </w:r>
    </w:p>
    <w:p w14:paraId="10E1575A" w14:textId="0799F6BE" w:rsidR="00E74B37" w:rsidRPr="00E573E1" w:rsidRDefault="0026243D" w:rsidP="00C11150">
      <w:pPr>
        <w:pStyle w:val="ListBullet"/>
        <w:rPr>
          <w:lang w:val="en-AU"/>
        </w:rPr>
      </w:pPr>
      <w:r w:rsidRPr="00E573E1">
        <w:rPr>
          <w:lang w:val="en-AU"/>
        </w:rPr>
        <w:t>120 actuations</w:t>
      </w:r>
    </w:p>
    <w:p w14:paraId="0279A41E" w14:textId="427054AB" w:rsidR="0026243D" w:rsidRPr="00E573E1" w:rsidRDefault="0026243D" w:rsidP="00C11150">
      <w:pPr>
        <w:pStyle w:val="ListBullet"/>
        <w:rPr>
          <w:lang w:val="en-AU"/>
        </w:rPr>
      </w:pPr>
      <w:r w:rsidRPr="00E573E1">
        <w:rPr>
          <w:lang w:val="en-AU"/>
        </w:rPr>
        <w:t>28 actuations</w:t>
      </w:r>
      <w:r w:rsidR="00B3504B" w:rsidRPr="00E573E1">
        <w:rPr>
          <w:lang w:val="en-AU"/>
        </w:rPr>
        <w:t xml:space="preserve"> (sample pack</w:t>
      </w:r>
      <w:r w:rsidRPr="00E573E1">
        <w:rPr>
          <w:lang w:val="en-AU"/>
        </w:rPr>
        <w:t>)</w:t>
      </w:r>
    </w:p>
    <w:p w14:paraId="6B4E2A22" w14:textId="77777777" w:rsidR="00E74B37" w:rsidRPr="00E573E1" w:rsidRDefault="00E74B37" w:rsidP="00C11150">
      <w:pPr>
        <w:pStyle w:val="Paragraph"/>
        <w:spacing w:after="0"/>
        <w:rPr>
          <w:lang w:val="en-AU"/>
        </w:rPr>
      </w:pPr>
    </w:p>
    <w:p w14:paraId="0D9B695C" w14:textId="6B4B0D51" w:rsidR="004C7F1B" w:rsidRPr="00794EDC" w:rsidRDefault="0026243D" w:rsidP="00C11150">
      <w:pPr>
        <w:pStyle w:val="Paragraph"/>
        <w:rPr>
          <w:lang w:val="en-AU"/>
        </w:rPr>
      </w:pPr>
      <w:bookmarkStart w:id="33" w:name="_Hlk505769417"/>
      <w:r w:rsidRPr="00794EDC">
        <w:rPr>
          <w:lang w:val="en-AU"/>
        </w:rPr>
        <w:t>*not all pack sizes may be available in Australia</w:t>
      </w:r>
      <w:bookmarkEnd w:id="33"/>
    </w:p>
    <w:p w14:paraId="1E25A26D" w14:textId="77777777" w:rsidR="001A3992" w:rsidRPr="00E573E1" w:rsidRDefault="001A3992" w:rsidP="00C11150">
      <w:pPr>
        <w:pStyle w:val="Heading2"/>
        <w:rPr>
          <w:lang w:val="en-AU"/>
        </w:rPr>
      </w:pPr>
      <w:r w:rsidRPr="00E573E1">
        <w:rPr>
          <w:lang w:val="en-AU"/>
        </w:rPr>
        <w:t>S</w:t>
      </w:r>
      <w:r w:rsidR="00795D99" w:rsidRPr="00E573E1">
        <w:rPr>
          <w:lang w:val="en-AU"/>
        </w:rPr>
        <w:t>pecial precautions for disposal</w:t>
      </w:r>
    </w:p>
    <w:p w14:paraId="166E5DB3" w14:textId="227B19CE" w:rsidR="006A727B" w:rsidRPr="00E573E1" w:rsidRDefault="0026243D" w:rsidP="00C11150">
      <w:pPr>
        <w:pStyle w:val="Paragraph"/>
        <w:rPr>
          <w:lang w:val="en-AU"/>
        </w:rPr>
      </w:pPr>
      <w:r w:rsidRPr="00E573E1">
        <w:rPr>
          <w:lang w:val="en-AU"/>
        </w:rPr>
        <w:t xml:space="preserve">Always be sure to dispose of your used inhaler responsibly since some of the medicine may remain inside it.  Please ask your pharmacist what to do with any medicine that is left over. The canister in your inhaler contains pressurised liquid.  The canister should not be broken, </w:t>
      </w:r>
      <w:proofErr w:type="gramStart"/>
      <w:r w:rsidRPr="00E573E1">
        <w:rPr>
          <w:lang w:val="en-AU"/>
        </w:rPr>
        <w:t>punctured</w:t>
      </w:r>
      <w:proofErr w:type="gramEnd"/>
      <w:r w:rsidRPr="00E573E1">
        <w:rPr>
          <w:lang w:val="en-AU"/>
        </w:rPr>
        <w:t xml:space="preserve"> or burnt, even when it seems empty.  Do not use or store near heat or open flames.  </w:t>
      </w:r>
      <w:bookmarkStart w:id="34" w:name="_Hlk63678241"/>
      <w:r w:rsidRPr="00E573E1">
        <w:rPr>
          <w:lang w:val="en-AU"/>
        </w:rPr>
        <w:t>Do not expose to temperatures above 50°C</w:t>
      </w:r>
      <w:r w:rsidR="00B11797">
        <w:rPr>
          <w:lang w:val="en-AU"/>
        </w:rPr>
        <w:t xml:space="preserve"> and do not freeze</w:t>
      </w:r>
      <w:r w:rsidRPr="00E573E1">
        <w:rPr>
          <w:lang w:val="en-AU"/>
        </w:rPr>
        <w:t>.</w:t>
      </w:r>
      <w:r w:rsidR="00B11797">
        <w:rPr>
          <w:lang w:val="en-AU"/>
        </w:rPr>
        <w:t xml:space="preserve">  If exposed to </w:t>
      </w:r>
      <w:r w:rsidR="00103DF3">
        <w:rPr>
          <w:lang w:val="en-AU"/>
        </w:rPr>
        <w:t>freezing</w:t>
      </w:r>
      <w:r w:rsidR="00B11797">
        <w:rPr>
          <w:lang w:val="en-AU"/>
        </w:rPr>
        <w:t xml:space="preserve"> temperature</w:t>
      </w:r>
      <w:r w:rsidR="00664406">
        <w:rPr>
          <w:lang w:val="en-AU"/>
        </w:rPr>
        <w:t>s</w:t>
      </w:r>
      <w:r w:rsidR="00B11797">
        <w:rPr>
          <w:lang w:val="en-AU"/>
        </w:rPr>
        <w:t>, the inhaler should be equilibrated for 1 hour at room temperature prior to taking a dose.</w:t>
      </w:r>
      <w:bookmarkEnd w:id="34"/>
    </w:p>
    <w:p w14:paraId="230D4684" w14:textId="77777777" w:rsidR="001A3992" w:rsidRPr="00E573E1" w:rsidRDefault="001A3992" w:rsidP="00C11150">
      <w:pPr>
        <w:pStyle w:val="Heading2"/>
        <w:rPr>
          <w:lang w:val="en-AU"/>
        </w:rPr>
      </w:pPr>
      <w:r w:rsidRPr="00E573E1">
        <w:rPr>
          <w:lang w:val="en-AU"/>
        </w:rPr>
        <w:lastRenderedPageBreak/>
        <w:t>Physicochemical properties</w:t>
      </w:r>
    </w:p>
    <w:p w14:paraId="613AB762" w14:textId="77777777" w:rsidR="0026243D" w:rsidRPr="00E573E1" w:rsidRDefault="0026243D" w:rsidP="00C11150">
      <w:pPr>
        <w:pStyle w:val="Heading3Unnumbered"/>
        <w:rPr>
          <w:lang w:val="en-AU"/>
        </w:rPr>
      </w:pPr>
      <w:r w:rsidRPr="00E573E1">
        <w:rPr>
          <w:lang w:val="en-AU"/>
        </w:rPr>
        <w:t>Chemical structure</w:t>
      </w:r>
    </w:p>
    <w:tbl>
      <w:tblPr>
        <w:tblW w:w="9639" w:type="dxa"/>
        <w:tblLayout w:type="fixed"/>
        <w:tblLook w:val="0000" w:firstRow="0" w:lastRow="0" w:firstColumn="0" w:lastColumn="0" w:noHBand="0" w:noVBand="0"/>
        <w:tblDescription w:val="&lt;&lt;Please Add a Table Title Here&gt;&gt;"/>
      </w:tblPr>
      <w:tblGrid>
        <w:gridCol w:w="2410"/>
        <w:gridCol w:w="7229"/>
      </w:tblGrid>
      <w:tr w:rsidR="0026243D" w:rsidRPr="00E573E1" w14:paraId="1FC74487" w14:textId="77777777" w:rsidTr="00681680">
        <w:trPr>
          <w:cantSplit/>
        </w:trPr>
        <w:tc>
          <w:tcPr>
            <w:tcW w:w="2410" w:type="dxa"/>
            <w:shd w:val="clear" w:color="auto" w:fill="auto"/>
          </w:tcPr>
          <w:p w14:paraId="249A0F75" w14:textId="58DC1537" w:rsidR="0026243D" w:rsidRPr="00E573E1" w:rsidRDefault="00681680" w:rsidP="00C11150">
            <w:pPr>
              <w:pStyle w:val="TableHead"/>
              <w:jc w:val="left"/>
              <w:rPr>
                <w:lang w:val="en-AU"/>
              </w:rPr>
            </w:pPr>
            <w:r w:rsidRPr="00E573E1">
              <w:rPr>
                <w:lang w:val="en-AU"/>
              </w:rPr>
              <w:t>Budesonide</w:t>
            </w:r>
          </w:p>
        </w:tc>
        <w:tc>
          <w:tcPr>
            <w:tcW w:w="7229" w:type="dxa"/>
            <w:shd w:val="clear" w:color="auto" w:fill="auto"/>
          </w:tcPr>
          <w:p w14:paraId="30129942" w14:textId="77777777" w:rsidR="0026243D" w:rsidRPr="00E573E1" w:rsidRDefault="00681680" w:rsidP="00C11150">
            <w:pPr>
              <w:pStyle w:val="TableLeft"/>
              <w:rPr>
                <w:lang w:val="en-AU"/>
              </w:rPr>
            </w:pPr>
            <w:r w:rsidRPr="00E573E1">
              <w:rPr>
                <w:noProof/>
                <w:lang w:val="en-AU"/>
              </w:rPr>
              <w:drawing>
                <wp:inline distT="0" distB="0" distL="0" distR="0" wp14:anchorId="30BDA1E3" wp14:editId="513131A2">
                  <wp:extent cx="2876550" cy="14305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8728" cy="1451483"/>
                          </a:xfrm>
                          <a:prstGeom prst="rect">
                            <a:avLst/>
                          </a:prstGeom>
                          <a:noFill/>
                        </pic:spPr>
                      </pic:pic>
                    </a:graphicData>
                  </a:graphic>
                </wp:inline>
              </w:drawing>
            </w:r>
          </w:p>
          <w:p w14:paraId="3A5EC93F" w14:textId="77777777" w:rsidR="00681680" w:rsidRPr="00E573E1" w:rsidRDefault="00681680" w:rsidP="00C11150">
            <w:pPr>
              <w:pStyle w:val="TableLeft"/>
              <w:rPr>
                <w:lang w:val="en-AU"/>
              </w:rPr>
            </w:pPr>
          </w:p>
          <w:p w14:paraId="6BEA1F36" w14:textId="519E20D7" w:rsidR="00681680" w:rsidRPr="00E573E1" w:rsidRDefault="00681680" w:rsidP="00C11150">
            <w:pPr>
              <w:pStyle w:val="TableLeft"/>
              <w:rPr>
                <w:lang w:val="en-AU"/>
              </w:rPr>
            </w:pPr>
            <w:r w:rsidRPr="00E573E1">
              <w:rPr>
                <w:lang w:val="en-AU"/>
              </w:rPr>
              <w:t>16α, 17α-22 R, S-propylmethylenedioxypregna-1, 4-diene-1β, 21-diol-3, 20-dione</w:t>
            </w:r>
          </w:p>
          <w:p w14:paraId="454FC1B6" w14:textId="15BC17CF" w:rsidR="00681680" w:rsidRPr="00E573E1" w:rsidRDefault="00681680" w:rsidP="00C11150">
            <w:pPr>
              <w:pStyle w:val="TableLeft"/>
              <w:rPr>
                <w:lang w:val="en-AU"/>
              </w:rPr>
            </w:pPr>
          </w:p>
        </w:tc>
      </w:tr>
      <w:tr w:rsidR="0026243D" w:rsidRPr="00E573E1" w14:paraId="4D71B55F" w14:textId="77777777" w:rsidTr="00681680">
        <w:trPr>
          <w:cantSplit/>
        </w:trPr>
        <w:tc>
          <w:tcPr>
            <w:tcW w:w="2410" w:type="dxa"/>
            <w:shd w:val="clear" w:color="auto" w:fill="auto"/>
          </w:tcPr>
          <w:p w14:paraId="26D71132" w14:textId="138A9110" w:rsidR="0026243D" w:rsidRPr="00E573E1" w:rsidRDefault="0026243D" w:rsidP="00C11150">
            <w:pPr>
              <w:pStyle w:val="TableHead"/>
              <w:jc w:val="left"/>
              <w:rPr>
                <w:lang w:val="en-AU"/>
              </w:rPr>
            </w:pPr>
            <w:proofErr w:type="spellStart"/>
            <w:r w:rsidRPr="00E573E1">
              <w:rPr>
                <w:lang w:val="en-AU"/>
              </w:rPr>
              <w:t>Glycopyrronium</w:t>
            </w:r>
            <w:proofErr w:type="spellEnd"/>
            <w:r w:rsidRPr="00E573E1">
              <w:rPr>
                <w:lang w:val="en-AU"/>
              </w:rPr>
              <w:t xml:space="preserve"> (as </w:t>
            </w:r>
            <w:proofErr w:type="spellStart"/>
            <w:r w:rsidRPr="00E573E1">
              <w:rPr>
                <w:lang w:val="en-AU"/>
              </w:rPr>
              <w:t>glycopyrronium</w:t>
            </w:r>
            <w:proofErr w:type="spellEnd"/>
            <w:r w:rsidRPr="00E573E1">
              <w:rPr>
                <w:lang w:val="en-AU"/>
              </w:rPr>
              <w:t xml:space="preserve"> bromide (glycopyrrolate))</w:t>
            </w:r>
          </w:p>
        </w:tc>
        <w:tc>
          <w:tcPr>
            <w:tcW w:w="7229" w:type="dxa"/>
            <w:shd w:val="clear" w:color="auto" w:fill="auto"/>
          </w:tcPr>
          <w:p w14:paraId="1A7ED8EA" w14:textId="77777777" w:rsidR="0026243D" w:rsidRPr="00E573E1" w:rsidRDefault="0026243D" w:rsidP="00C11150">
            <w:pPr>
              <w:pStyle w:val="TableLeft"/>
              <w:rPr>
                <w:lang w:val="en-AU"/>
              </w:rPr>
            </w:pPr>
            <w:r w:rsidRPr="00E573E1">
              <w:rPr>
                <w:noProof/>
                <w:lang w:val="en-AU" w:eastAsia="en-GB"/>
              </w:rPr>
              <w:drawing>
                <wp:inline distT="0" distB="0" distL="0" distR="0" wp14:anchorId="2E8168A2" wp14:editId="4C68A581">
                  <wp:extent cx="2533650" cy="12385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73738" cy="1258130"/>
                          </a:xfrm>
                          <a:prstGeom prst="rect">
                            <a:avLst/>
                          </a:prstGeom>
                        </pic:spPr>
                      </pic:pic>
                    </a:graphicData>
                  </a:graphic>
                </wp:inline>
              </w:drawing>
            </w:r>
          </w:p>
          <w:p w14:paraId="08A691E2" w14:textId="77777777" w:rsidR="00681680" w:rsidRPr="00E573E1" w:rsidRDefault="00681680" w:rsidP="00C11150">
            <w:pPr>
              <w:pStyle w:val="TableLeft"/>
              <w:rPr>
                <w:lang w:val="en-AU"/>
              </w:rPr>
            </w:pPr>
          </w:p>
          <w:p w14:paraId="46936BDE" w14:textId="615B5A5D" w:rsidR="0026243D" w:rsidRPr="00E573E1" w:rsidRDefault="0026243D" w:rsidP="00C11150">
            <w:pPr>
              <w:pStyle w:val="TableLeft"/>
              <w:rPr>
                <w:lang w:val="en-AU"/>
              </w:rPr>
            </w:pPr>
            <w:r w:rsidRPr="00E573E1">
              <w:rPr>
                <w:lang w:val="en-AU"/>
              </w:rPr>
              <w:t>3[(</w:t>
            </w:r>
            <w:proofErr w:type="spellStart"/>
            <w:r w:rsidRPr="00E573E1">
              <w:rPr>
                <w:lang w:val="en-AU"/>
              </w:rPr>
              <w:t>cyclopentylhydroxyphenylacetyl</w:t>
            </w:r>
            <w:proofErr w:type="spellEnd"/>
            <w:r w:rsidRPr="00E573E1">
              <w:rPr>
                <w:lang w:val="en-AU"/>
              </w:rPr>
              <w:t>) oxy]-1,1-dimethyl pyrrolidinium bromide.</w:t>
            </w:r>
          </w:p>
          <w:p w14:paraId="6A189DFC" w14:textId="0FBC519B" w:rsidR="00681680" w:rsidRPr="00E573E1" w:rsidRDefault="00681680" w:rsidP="00C11150">
            <w:pPr>
              <w:pStyle w:val="TableLeft"/>
              <w:rPr>
                <w:lang w:val="en-AU"/>
              </w:rPr>
            </w:pPr>
          </w:p>
        </w:tc>
      </w:tr>
      <w:tr w:rsidR="0026243D" w:rsidRPr="00E573E1" w14:paraId="3365C148" w14:textId="77777777" w:rsidTr="00681680">
        <w:trPr>
          <w:cantSplit/>
        </w:trPr>
        <w:tc>
          <w:tcPr>
            <w:tcW w:w="2410" w:type="dxa"/>
            <w:shd w:val="clear" w:color="auto" w:fill="auto"/>
          </w:tcPr>
          <w:p w14:paraId="1C019E51" w14:textId="7B5F326B" w:rsidR="0026243D" w:rsidRPr="00E573E1" w:rsidRDefault="0026243D" w:rsidP="00C11150">
            <w:pPr>
              <w:pStyle w:val="TableHead"/>
              <w:jc w:val="left"/>
              <w:rPr>
                <w:noProof/>
                <w:lang w:val="en-AU" w:eastAsia="en-GB"/>
              </w:rPr>
            </w:pPr>
            <w:r w:rsidRPr="00E573E1">
              <w:rPr>
                <w:lang w:val="en-AU"/>
              </w:rPr>
              <w:t>Formoterol (</w:t>
            </w:r>
            <w:proofErr w:type="spellStart"/>
            <w:r w:rsidRPr="00E573E1">
              <w:rPr>
                <w:lang w:val="en-AU"/>
              </w:rPr>
              <w:t>eformoterol</w:t>
            </w:r>
            <w:proofErr w:type="spellEnd"/>
            <w:r w:rsidRPr="00E573E1">
              <w:rPr>
                <w:lang w:val="en-AU"/>
              </w:rPr>
              <w:t>) fumarate dihydrate</w:t>
            </w:r>
          </w:p>
        </w:tc>
        <w:tc>
          <w:tcPr>
            <w:tcW w:w="7229" w:type="dxa"/>
            <w:shd w:val="clear" w:color="auto" w:fill="auto"/>
          </w:tcPr>
          <w:p w14:paraId="0B0D1173" w14:textId="77777777" w:rsidR="0026243D" w:rsidRPr="00E573E1" w:rsidRDefault="0026243D" w:rsidP="00C11150">
            <w:pPr>
              <w:pStyle w:val="TableLeft"/>
              <w:rPr>
                <w:lang w:val="en-AU"/>
              </w:rPr>
            </w:pPr>
            <w:r w:rsidRPr="00E573E1">
              <w:rPr>
                <w:noProof/>
                <w:lang w:val="en-AU" w:eastAsia="en-GB"/>
              </w:rPr>
              <w:drawing>
                <wp:inline distT="0" distB="0" distL="0" distR="0" wp14:anchorId="6A1CE5D1" wp14:editId="4438F1C9">
                  <wp:extent cx="3848100" cy="1381541"/>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939206" cy="1414250"/>
                          </a:xfrm>
                          <a:prstGeom prst="rect">
                            <a:avLst/>
                          </a:prstGeom>
                          <a:noFill/>
                          <a:ln w="9525">
                            <a:noFill/>
                            <a:miter lim="800000"/>
                            <a:headEnd/>
                            <a:tailEnd/>
                          </a:ln>
                        </pic:spPr>
                      </pic:pic>
                    </a:graphicData>
                  </a:graphic>
                </wp:inline>
              </w:drawing>
            </w:r>
          </w:p>
          <w:p w14:paraId="55E19706" w14:textId="77777777" w:rsidR="00681680" w:rsidRPr="00E573E1" w:rsidRDefault="00681680" w:rsidP="00C11150">
            <w:pPr>
              <w:pStyle w:val="TableLeft"/>
              <w:rPr>
                <w:lang w:val="en-AU"/>
              </w:rPr>
            </w:pPr>
          </w:p>
          <w:p w14:paraId="0523399C" w14:textId="79373462" w:rsidR="0026243D" w:rsidRPr="00E573E1" w:rsidRDefault="0026243D" w:rsidP="00C11150">
            <w:pPr>
              <w:pStyle w:val="TableLeft"/>
              <w:rPr>
                <w:noProof/>
                <w:lang w:val="en-AU" w:eastAsia="en-GB"/>
              </w:rPr>
            </w:pPr>
            <w:r w:rsidRPr="00E573E1">
              <w:rPr>
                <w:lang w:val="en-AU"/>
              </w:rPr>
              <w:t>(R*R</w:t>
            </w:r>
            <w:proofErr w:type="gramStart"/>
            <w:r w:rsidRPr="00E573E1">
              <w:rPr>
                <w:lang w:val="en-AU"/>
              </w:rPr>
              <w:t>*)-(</w:t>
            </w:r>
            <w:proofErr w:type="gramEnd"/>
            <w:r w:rsidRPr="00E573E1">
              <w:rPr>
                <w:lang w:val="en-AU"/>
              </w:rPr>
              <w:t>±)-N-[2-hydroxy-5-[1-hydroxy-2-[[2-(4-methoxyphenyl)-1-methylethyl]amino]ethyl]phenyl]formamide, (E)-2-butendioate(2:1), dihydrate.</w:t>
            </w:r>
          </w:p>
        </w:tc>
      </w:tr>
    </w:tbl>
    <w:p w14:paraId="1E47DBC6" w14:textId="77777777" w:rsidR="0026243D" w:rsidRPr="00E573E1" w:rsidRDefault="0026243D" w:rsidP="00C11150">
      <w:pPr>
        <w:pStyle w:val="Paragraph"/>
        <w:rPr>
          <w:lang w:val="en-AU"/>
        </w:rPr>
      </w:pPr>
    </w:p>
    <w:p w14:paraId="45C701BD" w14:textId="77777777" w:rsidR="0026243D" w:rsidRPr="00E573E1" w:rsidRDefault="0026243D" w:rsidP="00C11150">
      <w:pPr>
        <w:pStyle w:val="Heading3Unnumbered"/>
        <w:rPr>
          <w:lang w:val="en-AU"/>
        </w:rPr>
      </w:pPr>
      <w:r w:rsidRPr="00E573E1">
        <w:rPr>
          <w:lang w:val="en-AU"/>
        </w:rPr>
        <w:t>CAS number</w:t>
      </w:r>
    </w:p>
    <w:tbl>
      <w:tblPr>
        <w:tblW w:w="9639" w:type="dxa"/>
        <w:tblLayout w:type="fixed"/>
        <w:tblLook w:val="0000" w:firstRow="0" w:lastRow="0" w:firstColumn="0" w:lastColumn="0" w:noHBand="0" w:noVBand="0"/>
        <w:tblDescription w:val="&lt;&lt;Please Add a Table Title Here&gt;&gt;"/>
      </w:tblPr>
      <w:tblGrid>
        <w:gridCol w:w="5670"/>
        <w:gridCol w:w="3969"/>
      </w:tblGrid>
      <w:tr w:rsidR="0026243D" w:rsidRPr="00E573E1" w14:paraId="4FF1F805" w14:textId="77777777" w:rsidTr="00681680">
        <w:trPr>
          <w:cantSplit/>
          <w:tblHeader/>
        </w:trPr>
        <w:tc>
          <w:tcPr>
            <w:tcW w:w="5670" w:type="dxa"/>
            <w:shd w:val="clear" w:color="auto" w:fill="auto"/>
          </w:tcPr>
          <w:p w14:paraId="7E9A7C15" w14:textId="765A5A23" w:rsidR="0026243D" w:rsidRPr="00E573E1" w:rsidRDefault="00681680" w:rsidP="00C11150">
            <w:pPr>
              <w:pStyle w:val="TableHead"/>
              <w:jc w:val="left"/>
              <w:rPr>
                <w:lang w:val="en-AU"/>
              </w:rPr>
            </w:pPr>
            <w:r w:rsidRPr="00E573E1">
              <w:rPr>
                <w:lang w:val="en-AU"/>
              </w:rPr>
              <w:t>Budesonide</w:t>
            </w:r>
          </w:p>
        </w:tc>
        <w:tc>
          <w:tcPr>
            <w:tcW w:w="3969" w:type="dxa"/>
            <w:shd w:val="clear" w:color="auto" w:fill="auto"/>
          </w:tcPr>
          <w:p w14:paraId="07973C53" w14:textId="5D46F15A" w:rsidR="0026243D" w:rsidRPr="00E573E1" w:rsidRDefault="00681680" w:rsidP="00C11150">
            <w:pPr>
              <w:pStyle w:val="TableLeft"/>
              <w:rPr>
                <w:lang w:val="en-AU"/>
              </w:rPr>
            </w:pPr>
            <w:r w:rsidRPr="00E573E1">
              <w:rPr>
                <w:lang w:val="en-AU"/>
              </w:rPr>
              <w:t>51333-22-3</w:t>
            </w:r>
          </w:p>
        </w:tc>
      </w:tr>
      <w:tr w:rsidR="00681680" w:rsidRPr="00E573E1" w14:paraId="6832C874" w14:textId="77777777" w:rsidTr="00681680">
        <w:trPr>
          <w:cantSplit/>
        </w:trPr>
        <w:tc>
          <w:tcPr>
            <w:tcW w:w="5670" w:type="dxa"/>
            <w:shd w:val="clear" w:color="auto" w:fill="auto"/>
          </w:tcPr>
          <w:p w14:paraId="10C4B6AE" w14:textId="3F06EF4F" w:rsidR="00681680" w:rsidRPr="00E573E1" w:rsidRDefault="00681680" w:rsidP="00C11150">
            <w:pPr>
              <w:pStyle w:val="TableHead"/>
              <w:jc w:val="left"/>
              <w:rPr>
                <w:lang w:val="en-AU"/>
              </w:rPr>
            </w:pPr>
            <w:proofErr w:type="spellStart"/>
            <w:r w:rsidRPr="00E573E1">
              <w:rPr>
                <w:lang w:val="en-AU"/>
              </w:rPr>
              <w:t>Glycopyrronium</w:t>
            </w:r>
            <w:proofErr w:type="spellEnd"/>
            <w:r w:rsidRPr="00E573E1">
              <w:rPr>
                <w:lang w:val="en-AU"/>
              </w:rPr>
              <w:t xml:space="preserve"> (as </w:t>
            </w:r>
            <w:proofErr w:type="spellStart"/>
            <w:r w:rsidRPr="00E573E1">
              <w:rPr>
                <w:lang w:val="en-AU"/>
              </w:rPr>
              <w:t>glycopyrronium</w:t>
            </w:r>
            <w:proofErr w:type="spellEnd"/>
            <w:r w:rsidRPr="00E573E1">
              <w:rPr>
                <w:lang w:val="en-AU"/>
              </w:rPr>
              <w:t xml:space="preserve"> bromide (glycopyrrolate))</w:t>
            </w:r>
          </w:p>
        </w:tc>
        <w:tc>
          <w:tcPr>
            <w:tcW w:w="3969" w:type="dxa"/>
            <w:shd w:val="clear" w:color="auto" w:fill="auto"/>
          </w:tcPr>
          <w:p w14:paraId="65A0E309" w14:textId="2D03ED35" w:rsidR="00681680" w:rsidRPr="00E573E1" w:rsidRDefault="00681680" w:rsidP="00C11150">
            <w:pPr>
              <w:pStyle w:val="TableLeft"/>
              <w:rPr>
                <w:lang w:val="en-AU"/>
              </w:rPr>
            </w:pPr>
            <w:r w:rsidRPr="00E573E1">
              <w:rPr>
                <w:lang w:val="en-AU"/>
              </w:rPr>
              <w:t>596-51-0</w:t>
            </w:r>
          </w:p>
        </w:tc>
      </w:tr>
      <w:tr w:rsidR="00681680" w:rsidRPr="00E573E1" w14:paraId="7F94A1A3" w14:textId="77777777" w:rsidTr="00681680">
        <w:trPr>
          <w:cantSplit/>
        </w:trPr>
        <w:tc>
          <w:tcPr>
            <w:tcW w:w="5670" w:type="dxa"/>
            <w:shd w:val="clear" w:color="auto" w:fill="auto"/>
          </w:tcPr>
          <w:p w14:paraId="7DD672F3" w14:textId="67F585A4" w:rsidR="00681680" w:rsidRPr="00E573E1" w:rsidRDefault="00681680" w:rsidP="00C11150">
            <w:pPr>
              <w:pStyle w:val="TableHead"/>
              <w:jc w:val="left"/>
              <w:rPr>
                <w:lang w:val="en-AU"/>
              </w:rPr>
            </w:pPr>
            <w:r w:rsidRPr="00E573E1">
              <w:rPr>
                <w:lang w:val="en-AU"/>
              </w:rPr>
              <w:t>Formoterol (</w:t>
            </w:r>
            <w:proofErr w:type="spellStart"/>
            <w:r w:rsidRPr="00E573E1">
              <w:rPr>
                <w:lang w:val="en-AU"/>
              </w:rPr>
              <w:t>eformoterol</w:t>
            </w:r>
            <w:proofErr w:type="spellEnd"/>
            <w:r w:rsidRPr="00E573E1">
              <w:rPr>
                <w:lang w:val="en-AU"/>
              </w:rPr>
              <w:t>) fumarate dihydrate</w:t>
            </w:r>
          </w:p>
        </w:tc>
        <w:tc>
          <w:tcPr>
            <w:tcW w:w="3969" w:type="dxa"/>
            <w:shd w:val="clear" w:color="auto" w:fill="auto"/>
          </w:tcPr>
          <w:p w14:paraId="2704D60E" w14:textId="29ABD0E6" w:rsidR="00681680" w:rsidRPr="00E573E1" w:rsidRDefault="00681680" w:rsidP="00C11150">
            <w:pPr>
              <w:pStyle w:val="TableLeft"/>
              <w:rPr>
                <w:lang w:val="en-AU"/>
              </w:rPr>
            </w:pPr>
            <w:r w:rsidRPr="00E573E1">
              <w:rPr>
                <w:lang w:val="en-AU"/>
              </w:rPr>
              <w:t>183814-30-4</w:t>
            </w:r>
          </w:p>
        </w:tc>
      </w:tr>
    </w:tbl>
    <w:p w14:paraId="430EF899" w14:textId="77777777" w:rsidR="001A3992" w:rsidRPr="00E573E1" w:rsidRDefault="001A3992" w:rsidP="00C11150">
      <w:pPr>
        <w:pStyle w:val="Heading1"/>
        <w:rPr>
          <w:lang w:val="en-AU"/>
        </w:rPr>
      </w:pPr>
      <w:r w:rsidRPr="00E573E1">
        <w:rPr>
          <w:lang w:val="en-AU"/>
        </w:rPr>
        <w:t>Medicine schedule (Poisons Standard)</w:t>
      </w:r>
    </w:p>
    <w:p w14:paraId="013472C8" w14:textId="10573533" w:rsidR="0041004D" w:rsidRPr="00E573E1" w:rsidRDefault="0041004D" w:rsidP="00C11150">
      <w:pPr>
        <w:pStyle w:val="Paragraph"/>
        <w:rPr>
          <w:lang w:val="en-AU"/>
        </w:rPr>
      </w:pPr>
      <w:r w:rsidRPr="00E573E1">
        <w:rPr>
          <w:lang w:val="en-AU"/>
        </w:rPr>
        <w:t>Prescription only medicine (Schedule 4)</w:t>
      </w:r>
    </w:p>
    <w:p w14:paraId="5424233E" w14:textId="77777777" w:rsidR="00285173" w:rsidRPr="00E573E1" w:rsidRDefault="001A3992" w:rsidP="00C11150">
      <w:pPr>
        <w:pStyle w:val="Heading1"/>
        <w:rPr>
          <w:lang w:val="en-AU"/>
        </w:rPr>
      </w:pPr>
      <w:r w:rsidRPr="00E573E1">
        <w:rPr>
          <w:lang w:val="en-AU"/>
        </w:rPr>
        <w:lastRenderedPageBreak/>
        <w:t>Sponsor</w:t>
      </w:r>
    </w:p>
    <w:p w14:paraId="4BFA914D" w14:textId="77777777" w:rsidR="0041004D" w:rsidRPr="00E573E1" w:rsidRDefault="0041004D" w:rsidP="00C11150">
      <w:pPr>
        <w:pStyle w:val="Paragraph"/>
        <w:rPr>
          <w:lang w:val="en-AU"/>
        </w:rPr>
      </w:pPr>
      <w:r w:rsidRPr="00E573E1">
        <w:rPr>
          <w:lang w:val="en-AU"/>
        </w:rPr>
        <w:t>AstraZeneca Pty Ltd</w:t>
      </w:r>
      <w:r w:rsidRPr="00E573E1">
        <w:rPr>
          <w:lang w:val="en-AU"/>
        </w:rPr>
        <w:br/>
        <w:t>ABN 54 009 682 311</w:t>
      </w:r>
      <w:r w:rsidRPr="00E573E1">
        <w:rPr>
          <w:lang w:val="en-AU"/>
        </w:rPr>
        <w:br/>
        <w:t>66 Talavera Road</w:t>
      </w:r>
      <w:r w:rsidRPr="00E573E1">
        <w:rPr>
          <w:lang w:val="en-AU"/>
        </w:rPr>
        <w:br/>
        <w:t>MACQUARIE PARK NSW 2113</w:t>
      </w:r>
    </w:p>
    <w:p w14:paraId="66A51621" w14:textId="77777777" w:rsidR="0041004D" w:rsidRPr="00E573E1" w:rsidRDefault="0041004D" w:rsidP="00C11150">
      <w:pPr>
        <w:pStyle w:val="Paragraph"/>
        <w:rPr>
          <w:lang w:val="en-AU"/>
        </w:rPr>
      </w:pPr>
      <w:r w:rsidRPr="00E573E1">
        <w:rPr>
          <w:lang w:val="en-AU"/>
        </w:rPr>
        <w:t>Telephone: 1800 805 342</w:t>
      </w:r>
    </w:p>
    <w:p w14:paraId="664EE40D" w14:textId="77777777" w:rsidR="00285173" w:rsidRPr="00E573E1" w:rsidRDefault="00285173" w:rsidP="00C11150">
      <w:pPr>
        <w:pStyle w:val="Heading1"/>
        <w:rPr>
          <w:lang w:val="en-AU"/>
        </w:rPr>
      </w:pPr>
      <w:r w:rsidRPr="00E573E1">
        <w:rPr>
          <w:lang w:val="en-AU"/>
        </w:rPr>
        <w:t xml:space="preserve">Date of first </w:t>
      </w:r>
      <w:r w:rsidR="00795D99" w:rsidRPr="00E573E1">
        <w:rPr>
          <w:lang w:val="en-AU"/>
        </w:rPr>
        <w:t>approval</w:t>
      </w:r>
    </w:p>
    <w:p w14:paraId="52234E0F" w14:textId="27080ACD" w:rsidR="00E00336" w:rsidRPr="00E573E1" w:rsidRDefault="005A6238" w:rsidP="00C11150">
      <w:pPr>
        <w:pStyle w:val="Paragraph"/>
        <w:rPr>
          <w:lang w:val="en-AU"/>
        </w:rPr>
      </w:pPr>
      <w:r>
        <w:rPr>
          <w:lang w:val="en-AU"/>
        </w:rPr>
        <w:t>19 July 2021</w:t>
      </w:r>
    </w:p>
    <w:p w14:paraId="2F7673C9" w14:textId="77777777" w:rsidR="00285173" w:rsidRPr="00E573E1" w:rsidRDefault="00285173" w:rsidP="00C11150">
      <w:pPr>
        <w:pStyle w:val="Heading1"/>
        <w:rPr>
          <w:lang w:val="en-AU"/>
        </w:rPr>
      </w:pPr>
      <w:r w:rsidRPr="00E573E1">
        <w:rPr>
          <w:lang w:val="en-AU"/>
        </w:rPr>
        <w:t>Date o</w:t>
      </w:r>
      <w:r w:rsidR="00795D99" w:rsidRPr="00E573E1">
        <w:rPr>
          <w:lang w:val="en-AU"/>
        </w:rPr>
        <w:t>f revision</w:t>
      </w:r>
    </w:p>
    <w:p w14:paraId="5CB2616A" w14:textId="5CEAAB78" w:rsidR="00513B1A" w:rsidRPr="00E573E1" w:rsidRDefault="001812B5" w:rsidP="00C11150">
      <w:pPr>
        <w:pStyle w:val="Paragraph"/>
        <w:rPr>
          <w:lang w:val="en-AU"/>
        </w:rPr>
      </w:pPr>
      <w:r w:rsidRPr="00E573E1">
        <w:rPr>
          <w:lang w:val="en-AU"/>
        </w:rPr>
        <w:t>Not applicable.</w:t>
      </w:r>
    </w:p>
    <w:p w14:paraId="42500449" w14:textId="77777777" w:rsidR="00285173" w:rsidRPr="00E573E1" w:rsidRDefault="00285173" w:rsidP="00C11150">
      <w:pPr>
        <w:pStyle w:val="Heading2Unnumbered"/>
        <w:rPr>
          <w:lang w:val="en-AU"/>
        </w:rPr>
      </w:pPr>
      <w:r w:rsidRPr="00E573E1">
        <w:rPr>
          <w:lang w:val="en-AU"/>
        </w:rPr>
        <w:t>Summary table of changes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129"/>
        <w:gridCol w:w="8509"/>
      </w:tblGrid>
      <w:tr w:rsidR="008A35FB" w:rsidRPr="00E573E1" w14:paraId="2E6B5FF2" w14:textId="77777777" w:rsidTr="008A35FB">
        <w:trPr>
          <w:cantSplit/>
          <w:tblHeader/>
        </w:trPr>
        <w:tc>
          <w:tcPr>
            <w:tcW w:w="1129" w:type="dxa"/>
            <w:shd w:val="clear" w:color="auto" w:fill="auto"/>
          </w:tcPr>
          <w:p w14:paraId="12C14A20" w14:textId="77777777" w:rsidR="008A35FB" w:rsidRPr="00E573E1" w:rsidRDefault="008A35FB" w:rsidP="00C11150">
            <w:pPr>
              <w:pStyle w:val="TableHead"/>
              <w:jc w:val="left"/>
              <w:rPr>
                <w:lang w:val="en-AU"/>
              </w:rPr>
            </w:pPr>
            <w:r w:rsidRPr="00E573E1">
              <w:rPr>
                <w:lang w:val="en-AU"/>
              </w:rPr>
              <w:t>Section changed</w:t>
            </w:r>
          </w:p>
        </w:tc>
        <w:tc>
          <w:tcPr>
            <w:tcW w:w="8509" w:type="dxa"/>
            <w:shd w:val="clear" w:color="auto" w:fill="auto"/>
          </w:tcPr>
          <w:p w14:paraId="1C456CCB" w14:textId="77777777" w:rsidR="008A35FB" w:rsidRPr="00E573E1" w:rsidRDefault="008A35FB" w:rsidP="00C11150">
            <w:pPr>
              <w:pStyle w:val="TableHead"/>
              <w:jc w:val="left"/>
              <w:rPr>
                <w:lang w:val="en-AU"/>
              </w:rPr>
            </w:pPr>
            <w:r w:rsidRPr="00E573E1">
              <w:rPr>
                <w:lang w:val="en-AU"/>
              </w:rPr>
              <w:t>Summary of new information</w:t>
            </w:r>
          </w:p>
        </w:tc>
      </w:tr>
      <w:tr w:rsidR="001812B5" w:rsidRPr="00E573E1" w14:paraId="494D487D" w14:textId="77777777" w:rsidTr="00257099">
        <w:trPr>
          <w:cantSplit/>
        </w:trPr>
        <w:tc>
          <w:tcPr>
            <w:tcW w:w="1129" w:type="dxa"/>
            <w:shd w:val="clear" w:color="auto" w:fill="auto"/>
          </w:tcPr>
          <w:p w14:paraId="684C833B" w14:textId="7284C9E9" w:rsidR="001812B5" w:rsidRPr="00E573E1" w:rsidRDefault="001812B5" w:rsidP="00C11150">
            <w:pPr>
              <w:pStyle w:val="TableLeft"/>
              <w:rPr>
                <w:lang w:val="en-AU"/>
              </w:rPr>
            </w:pPr>
            <w:r w:rsidRPr="00E573E1">
              <w:rPr>
                <w:lang w:val="en-AU"/>
              </w:rPr>
              <w:t>N/A</w:t>
            </w:r>
          </w:p>
        </w:tc>
        <w:tc>
          <w:tcPr>
            <w:tcW w:w="8509" w:type="dxa"/>
            <w:shd w:val="clear" w:color="auto" w:fill="auto"/>
          </w:tcPr>
          <w:p w14:paraId="5A5350BD" w14:textId="7D8FEA35" w:rsidR="001812B5" w:rsidRPr="00E573E1" w:rsidRDefault="001812B5" w:rsidP="00C11150">
            <w:pPr>
              <w:pStyle w:val="TableLeft"/>
              <w:rPr>
                <w:lang w:val="en-AU"/>
              </w:rPr>
            </w:pPr>
            <w:r w:rsidRPr="00E573E1">
              <w:rPr>
                <w:lang w:val="en-AU"/>
              </w:rPr>
              <w:t>New product</w:t>
            </w:r>
          </w:p>
        </w:tc>
      </w:tr>
    </w:tbl>
    <w:p w14:paraId="5CBDC5FD" w14:textId="77777777" w:rsidR="00513B1A" w:rsidRPr="00E573E1" w:rsidRDefault="00513B1A" w:rsidP="00C11150">
      <w:pPr>
        <w:pStyle w:val="Paragraph"/>
        <w:rPr>
          <w:lang w:val="en-AU"/>
        </w:rPr>
      </w:pPr>
    </w:p>
    <w:p w14:paraId="776157BE" w14:textId="27F5EE14" w:rsidR="00513B1A" w:rsidRPr="00E573E1" w:rsidRDefault="008076D3" w:rsidP="00C11150">
      <w:pPr>
        <w:pStyle w:val="Paragraph"/>
        <w:rPr>
          <w:sz w:val="20"/>
          <w:szCs w:val="20"/>
          <w:lang w:val="en-AU"/>
        </w:rPr>
      </w:pPr>
      <w:r w:rsidRPr="00E573E1">
        <w:rPr>
          <w:sz w:val="20"/>
          <w:szCs w:val="20"/>
          <w:lang w:val="en-AU"/>
        </w:rPr>
        <w:t>BREZTRI</w:t>
      </w:r>
      <w:r w:rsidR="001F2D8D" w:rsidRPr="00E573E1">
        <w:rPr>
          <w:sz w:val="20"/>
          <w:szCs w:val="20"/>
          <w:lang w:val="en-AU"/>
        </w:rPr>
        <w:t xml:space="preserve">, </w:t>
      </w:r>
      <w:r w:rsidRPr="00E573E1">
        <w:rPr>
          <w:sz w:val="20"/>
          <w:szCs w:val="20"/>
          <w:lang w:val="en-AU"/>
        </w:rPr>
        <w:t>AEROSPHERE</w:t>
      </w:r>
      <w:r w:rsidR="001F2D8D" w:rsidRPr="00E573E1">
        <w:rPr>
          <w:sz w:val="20"/>
          <w:szCs w:val="20"/>
          <w:lang w:val="en-AU"/>
        </w:rPr>
        <w:t xml:space="preserve">, and </w:t>
      </w:r>
      <w:proofErr w:type="spellStart"/>
      <w:r w:rsidR="006E1B77">
        <w:rPr>
          <w:sz w:val="20"/>
          <w:szCs w:val="20"/>
          <w:lang w:val="en-AU"/>
        </w:rPr>
        <w:t>Turbulaher</w:t>
      </w:r>
      <w:proofErr w:type="spellEnd"/>
      <w:r w:rsidRPr="00E573E1">
        <w:rPr>
          <w:sz w:val="20"/>
          <w:szCs w:val="20"/>
          <w:lang w:val="en-AU"/>
        </w:rPr>
        <w:t xml:space="preserve"> are </w:t>
      </w:r>
      <w:r w:rsidR="003B064C" w:rsidRPr="00E573E1">
        <w:rPr>
          <w:sz w:val="20"/>
          <w:szCs w:val="20"/>
          <w:lang w:val="en-AU"/>
        </w:rPr>
        <w:t xml:space="preserve">registered </w:t>
      </w:r>
      <w:proofErr w:type="spellStart"/>
      <w:proofErr w:type="gramStart"/>
      <w:r w:rsidR="00513B1A" w:rsidRPr="00E573E1">
        <w:rPr>
          <w:sz w:val="20"/>
          <w:szCs w:val="20"/>
          <w:lang w:val="en-AU"/>
        </w:rPr>
        <w:t>trade mark</w:t>
      </w:r>
      <w:r w:rsidRPr="00E573E1">
        <w:rPr>
          <w:sz w:val="20"/>
          <w:szCs w:val="20"/>
          <w:lang w:val="en-AU"/>
        </w:rPr>
        <w:t>s</w:t>
      </w:r>
      <w:proofErr w:type="spellEnd"/>
      <w:proofErr w:type="gramEnd"/>
      <w:r w:rsidR="00513B1A" w:rsidRPr="00E573E1">
        <w:rPr>
          <w:sz w:val="20"/>
          <w:szCs w:val="20"/>
          <w:lang w:val="en-AU"/>
        </w:rPr>
        <w:t xml:space="preserve"> of the AstraZeneca group of companies</w:t>
      </w:r>
      <w:r w:rsidR="00A73D09" w:rsidRPr="00E573E1">
        <w:rPr>
          <w:sz w:val="20"/>
          <w:szCs w:val="20"/>
          <w:lang w:val="en-AU"/>
        </w:rPr>
        <w:t>.</w:t>
      </w:r>
    </w:p>
    <w:p w14:paraId="6C70163F" w14:textId="2A920D62" w:rsidR="00513B1A" w:rsidRPr="00E573E1" w:rsidRDefault="00513B1A" w:rsidP="00C11150">
      <w:pPr>
        <w:pStyle w:val="Paragraph"/>
        <w:rPr>
          <w:sz w:val="20"/>
          <w:szCs w:val="20"/>
          <w:lang w:val="en-AU"/>
        </w:rPr>
      </w:pPr>
      <w:r w:rsidRPr="00E573E1">
        <w:rPr>
          <w:sz w:val="20"/>
          <w:szCs w:val="20"/>
          <w:vertAlign w:val="superscript"/>
          <w:lang w:val="en-AU"/>
        </w:rPr>
        <w:t>©</w:t>
      </w:r>
      <w:r w:rsidRPr="00E573E1">
        <w:rPr>
          <w:sz w:val="20"/>
          <w:szCs w:val="20"/>
          <w:lang w:val="en-AU"/>
        </w:rPr>
        <w:t xml:space="preserve"> AstraZeneca </w:t>
      </w:r>
      <w:r w:rsidR="008076D3" w:rsidRPr="00E573E1">
        <w:rPr>
          <w:sz w:val="20"/>
          <w:szCs w:val="20"/>
          <w:lang w:val="en-AU"/>
        </w:rPr>
        <w:t>202</w:t>
      </w:r>
      <w:r w:rsidR="005F20BB" w:rsidRPr="00E573E1">
        <w:rPr>
          <w:sz w:val="20"/>
          <w:szCs w:val="20"/>
          <w:lang w:val="en-AU"/>
        </w:rPr>
        <w:t>1</w:t>
      </w:r>
    </w:p>
    <w:p w14:paraId="23126367" w14:textId="798ED134" w:rsidR="008A35FB" w:rsidRPr="00E573E1" w:rsidRDefault="00861B4E" w:rsidP="00C11150">
      <w:pPr>
        <w:pStyle w:val="Paragraph"/>
        <w:rPr>
          <w:sz w:val="20"/>
          <w:szCs w:val="20"/>
          <w:lang w:val="en-AU"/>
        </w:rPr>
      </w:pPr>
      <w:r w:rsidRPr="00794EDC">
        <w:rPr>
          <w:sz w:val="20"/>
          <w:szCs w:val="20"/>
          <w:lang w:val="en-AU"/>
        </w:rPr>
        <w:t>Doc ID-</w:t>
      </w:r>
      <w:r w:rsidR="00CE6B1A">
        <w:rPr>
          <w:sz w:val="20"/>
          <w:szCs w:val="20"/>
          <w:lang w:val="en-AU"/>
        </w:rPr>
        <w:t>004626741</w:t>
      </w:r>
      <w:r w:rsidR="005A6238">
        <w:rPr>
          <w:sz w:val="20"/>
          <w:szCs w:val="20"/>
          <w:lang w:val="en-AU"/>
        </w:rPr>
        <w:t xml:space="preserve"> V1.0</w:t>
      </w:r>
    </w:p>
    <w:sectPr w:rsidR="008A35FB" w:rsidRPr="00E573E1" w:rsidSect="0080644B">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5492C" w14:textId="77777777" w:rsidR="008C6F8C" w:rsidRDefault="008C6F8C" w:rsidP="001A3992">
      <w:pPr>
        <w:spacing w:after="0" w:line="240" w:lineRule="auto"/>
      </w:pPr>
      <w:r>
        <w:separator/>
      </w:r>
    </w:p>
  </w:endnote>
  <w:endnote w:type="continuationSeparator" w:id="0">
    <w:p w14:paraId="1FDE4674" w14:textId="77777777" w:rsidR="008C6F8C" w:rsidRDefault="008C6F8C"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Yu Gothic"/>
    <w:panose1 w:val="00000000000000000000"/>
    <w:charset w:val="00"/>
    <w:family w:val="roman"/>
    <w:notTrueType/>
    <w:pitch w:val="default"/>
    <w:sig w:usb0="00000001" w:usb1="08070000" w:usb2="00000010" w:usb3="00000000" w:csb0="0002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BEC02" w14:textId="77777777" w:rsidR="00C11150" w:rsidRDefault="00C11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704C0" w14:textId="77777777" w:rsidR="00696220" w:rsidRDefault="00696220" w:rsidP="00C85696">
    <w:pPr>
      <w:pStyle w:val="Footer"/>
      <w:jc w:val="center"/>
    </w:pPr>
    <w:r w:rsidRPr="00136256">
      <w:fldChar w:fldCharType="begin"/>
    </w:r>
    <w:r w:rsidRPr="00136256">
      <w:instrText xml:space="preserve"> PAGE </w:instrText>
    </w:r>
    <w:r w:rsidRPr="00136256">
      <w:fldChar w:fldCharType="separate"/>
    </w:r>
    <w:r>
      <w:rPr>
        <w:noProof/>
      </w:rPr>
      <w:t>1</w:t>
    </w:r>
    <w:r w:rsidRPr="00136256">
      <w:fldChar w:fldCharType="end"/>
    </w:r>
    <w:r w:rsidRPr="00136256">
      <w:t xml:space="preserve"> </w:t>
    </w:r>
    <w:r>
      <w:t xml:space="preserve">of </w:t>
    </w:r>
    <w:r>
      <w:fldChar w:fldCharType="begin"/>
    </w:r>
    <w:r>
      <w:instrText xml:space="preserve"> NUMPAGES </w:instrText>
    </w:r>
    <w:r>
      <w:fldChar w:fldCharType="separate"/>
    </w:r>
    <w:r>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48A6D" w14:textId="77777777" w:rsidR="00C11150" w:rsidRDefault="00C11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D1D2D" w14:textId="77777777" w:rsidR="008C6F8C" w:rsidRDefault="008C6F8C" w:rsidP="001A3992">
      <w:pPr>
        <w:spacing w:after="0" w:line="240" w:lineRule="auto"/>
      </w:pPr>
      <w:r>
        <w:separator/>
      </w:r>
    </w:p>
  </w:footnote>
  <w:footnote w:type="continuationSeparator" w:id="0">
    <w:p w14:paraId="5D87E40F" w14:textId="77777777" w:rsidR="008C6F8C" w:rsidRDefault="008C6F8C"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92A8D" w14:textId="77777777" w:rsidR="00C11150" w:rsidRDefault="00C11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9039"/>
    </w:tblGrid>
    <w:tr w:rsidR="00C11150" w:rsidRPr="000B2145" w14:paraId="2A8DB250" w14:textId="77777777" w:rsidTr="00117944">
      <w:trPr>
        <w:trHeight w:val="1012"/>
      </w:trPr>
      <w:tc>
        <w:tcPr>
          <w:tcW w:w="9039" w:type="dxa"/>
          <w:shd w:val="clear" w:color="auto" w:fill="E4F2E0"/>
        </w:tcPr>
        <w:p w14:paraId="56C3A494" w14:textId="77777777" w:rsidR="00C11150" w:rsidRPr="000E4791" w:rsidRDefault="00C11150" w:rsidP="00C11150">
          <w:pPr>
            <w:pStyle w:val="Footer"/>
            <w:rPr>
              <w:b/>
              <w:sz w:val="18"/>
              <w:szCs w:val="18"/>
            </w:rPr>
          </w:pPr>
          <w:bookmarkStart w:id="35" w:name="_Hlk80611440"/>
          <w:r w:rsidRPr="000E4791">
            <w:rPr>
              <w:b/>
              <w:sz w:val="18"/>
              <w:szCs w:val="18"/>
            </w:rPr>
            <w:t xml:space="preserve">Attachment </w:t>
          </w:r>
          <w:proofErr w:type="spellStart"/>
          <w:r w:rsidRPr="007C6A98">
            <w:rPr>
              <w:b/>
              <w:sz w:val="18"/>
              <w:szCs w:val="18"/>
            </w:rPr>
            <w:t>AusPAR</w:t>
          </w:r>
          <w:proofErr w:type="spellEnd"/>
          <w:r w:rsidRPr="007C6A98">
            <w:rPr>
              <w:b/>
              <w:sz w:val="18"/>
              <w:szCs w:val="18"/>
            </w:rPr>
            <w:t xml:space="preserve"> - </w:t>
          </w:r>
          <w:proofErr w:type="spellStart"/>
          <w:r w:rsidRPr="007C6A98">
            <w:rPr>
              <w:b/>
              <w:sz w:val="18"/>
              <w:szCs w:val="18"/>
            </w:rPr>
            <w:t>Breztri</w:t>
          </w:r>
          <w:proofErr w:type="spellEnd"/>
          <w:r w:rsidRPr="007C6A98">
            <w:rPr>
              <w:b/>
              <w:sz w:val="18"/>
              <w:szCs w:val="18"/>
            </w:rPr>
            <w:t xml:space="preserve"> Aerosphere - budesonide/</w:t>
          </w:r>
          <w:proofErr w:type="spellStart"/>
          <w:r w:rsidRPr="007C6A98">
            <w:rPr>
              <w:b/>
              <w:sz w:val="18"/>
              <w:szCs w:val="18"/>
            </w:rPr>
            <w:t>glycopyrronium</w:t>
          </w:r>
          <w:proofErr w:type="spellEnd"/>
          <w:r w:rsidRPr="007C6A98">
            <w:rPr>
              <w:b/>
              <w:sz w:val="18"/>
              <w:szCs w:val="18"/>
            </w:rPr>
            <w:t>/formoterol - AstraZeneca Pty Ltd - PM 2020-02915-1-5</w:t>
          </w:r>
          <w:r>
            <w:rPr>
              <w:b/>
              <w:sz w:val="18"/>
              <w:szCs w:val="18"/>
            </w:rPr>
            <w:t xml:space="preserve"> </w:t>
          </w:r>
          <w:r w:rsidRPr="007C6A98">
            <w:rPr>
              <w:b/>
              <w:sz w:val="18"/>
              <w:szCs w:val="18"/>
            </w:rPr>
            <w:t>Final 14 April 2022</w:t>
          </w:r>
          <w:r w:rsidRPr="000E4791">
            <w:rPr>
              <w:b/>
            </w:rPr>
            <w:t>.</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35"/>
  </w:tbl>
  <w:p w14:paraId="01527417" w14:textId="77777777" w:rsidR="00C11150" w:rsidRDefault="00C111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BC15C" w14:textId="77777777" w:rsidR="00C11150" w:rsidRDefault="00C11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D107B"/>
    <w:multiLevelType w:val="multilevel"/>
    <w:tmpl w:val="241253C8"/>
    <w:name w:val="ListBullet"/>
    <w:lvl w:ilvl="0">
      <w:start w:val="1"/>
      <w:numFmt w:val="bullet"/>
      <w:pStyle w:val="ListBullet"/>
      <w:lvlText w:val=""/>
      <w:lvlJc w:val="left"/>
      <w:pPr>
        <w:ind w:left="567" w:hanging="425"/>
      </w:pPr>
      <w:rPr>
        <w:rFonts w:ascii="Symbol" w:hAnsi="Symbol" w:hint="default"/>
        <w:b w:val="0"/>
        <w:i w:val="0"/>
        <w:caps w:val="0"/>
        <w:sz w:val="24"/>
        <w:u w:val="none"/>
        <w:vertAlign w:val="baseline"/>
      </w:rPr>
    </w:lvl>
    <w:lvl w:ilvl="1">
      <w:start w:val="1"/>
      <w:numFmt w:val="bullet"/>
      <w:pStyle w:val="ListBullet2"/>
      <w:lvlText w:val=""/>
      <w:lvlJc w:val="left"/>
      <w:pPr>
        <w:ind w:left="992" w:hanging="425"/>
      </w:pPr>
      <w:rPr>
        <w:rFonts w:ascii="Symbol" w:hAnsi="Symbol" w:hint="default"/>
        <w:color w:val="auto"/>
      </w:rPr>
    </w:lvl>
    <w:lvl w:ilvl="2">
      <w:start w:val="1"/>
      <w:numFmt w:val="bullet"/>
      <w:pStyle w:val="ListBullet3"/>
      <w:lvlText w:val="o"/>
      <w:lvlJc w:val="left"/>
      <w:pPr>
        <w:ind w:left="1417" w:hanging="425"/>
      </w:pPr>
      <w:rPr>
        <w:rFonts w:ascii="Courier New" w:hAnsi="Courier New" w:hint="default"/>
      </w:rPr>
    </w:lvl>
    <w:lvl w:ilvl="3">
      <w:start w:val="1"/>
      <w:numFmt w:val="bullet"/>
      <w:pStyle w:val="ListBullet4"/>
      <w:lvlText w:val=""/>
      <w:lvlJc w:val="left"/>
      <w:pPr>
        <w:ind w:left="1842" w:hanging="425"/>
      </w:pPr>
      <w:rPr>
        <w:rFonts w:ascii="Symbol" w:hAnsi="Symbol" w:hint="default"/>
      </w:rPr>
    </w:lvl>
    <w:lvl w:ilvl="4">
      <w:start w:val="1"/>
      <w:numFmt w:val="none"/>
      <w:lvlText w:val=""/>
      <w:lvlJc w:val="left"/>
      <w:pPr>
        <w:ind w:left="2267" w:hanging="425"/>
      </w:pPr>
      <w:rPr>
        <w:rFonts w:hint="default"/>
      </w:rPr>
    </w:lvl>
    <w:lvl w:ilvl="5">
      <w:start w:val="1"/>
      <w:numFmt w:val="none"/>
      <w:lvlText w:val=""/>
      <w:lvlJc w:val="left"/>
      <w:pPr>
        <w:ind w:left="2692" w:hanging="425"/>
      </w:pPr>
      <w:rPr>
        <w:rFonts w:hint="default"/>
      </w:rPr>
    </w:lvl>
    <w:lvl w:ilvl="6">
      <w:start w:val="1"/>
      <w:numFmt w:val="none"/>
      <w:lvlText w:val=""/>
      <w:lvlJc w:val="left"/>
      <w:pPr>
        <w:ind w:left="3117" w:hanging="425"/>
      </w:pPr>
      <w:rPr>
        <w:rFonts w:hint="default"/>
      </w:rPr>
    </w:lvl>
    <w:lvl w:ilvl="7">
      <w:start w:val="1"/>
      <w:numFmt w:val="none"/>
      <w:lvlText w:val=""/>
      <w:lvlJc w:val="left"/>
      <w:pPr>
        <w:ind w:left="3542" w:hanging="425"/>
      </w:pPr>
      <w:rPr>
        <w:rFonts w:hint="default"/>
      </w:rPr>
    </w:lvl>
    <w:lvl w:ilvl="8">
      <w:start w:val="1"/>
      <w:numFmt w:val="none"/>
      <w:lvlText w:val=""/>
      <w:lvlJc w:val="left"/>
      <w:pPr>
        <w:ind w:left="3967" w:hanging="425"/>
      </w:pPr>
      <w:rPr>
        <w:rFonts w:hint="default"/>
      </w:rPr>
    </w:lvl>
  </w:abstractNum>
  <w:abstractNum w:abstractNumId="1" w15:restartNumberingAfterBreak="0">
    <w:nsid w:val="062556DB"/>
    <w:multiLevelType w:val="multilevel"/>
    <w:tmpl w:val="C6DA3D6A"/>
    <w:name w:val="ListNumber"/>
    <w:lvl w:ilvl="0">
      <w:start w:val="1"/>
      <w:numFmt w:val="decimal"/>
      <w:pStyle w:val="ListNumber"/>
      <w:lvlText w:val="%1"/>
      <w:lvlJc w:val="left"/>
      <w:pPr>
        <w:ind w:left="425" w:hanging="425"/>
      </w:pPr>
      <w:rPr>
        <w:rFonts w:hint="default"/>
        <w:b w:val="0"/>
        <w:i w:val="0"/>
        <w:caps w:val="0"/>
        <w:sz w:val="24"/>
        <w:u w:val="none"/>
        <w:vertAlign w:val="baseline"/>
      </w:rPr>
    </w:lvl>
    <w:lvl w:ilvl="1">
      <w:start w:val="1"/>
      <w:numFmt w:val="lowerLetter"/>
      <w:pStyle w:val="ListNumber2"/>
      <w:lvlText w:val="(%2)"/>
      <w:lvlJc w:val="left"/>
      <w:pPr>
        <w:ind w:left="850" w:hanging="425"/>
      </w:pPr>
      <w:rPr>
        <w:rFonts w:ascii="Times New Roman" w:hAnsi="Times New Roman" w:hint="default"/>
      </w:rPr>
    </w:lvl>
    <w:lvl w:ilvl="2">
      <w:start w:val="1"/>
      <w:numFmt w:val="lowerRoman"/>
      <w:pStyle w:val="ListNumber3"/>
      <w:lvlText w:val="(%3)"/>
      <w:lvlJc w:val="left"/>
      <w:pPr>
        <w:ind w:left="1275" w:hanging="425"/>
      </w:pPr>
      <w:rPr>
        <w:rFonts w:ascii="Times New Roman" w:hAnsi="Times New Roman"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 w15:restartNumberingAfterBreak="0">
    <w:nsid w:val="126562D4"/>
    <w:multiLevelType w:val="multilevel"/>
    <w:tmpl w:val="786C40EC"/>
    <w:name w:val="TableFootnotes"/>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3" w15:restartNumberingAfterBreak="0">
    <w:nsid w:val="12A441C1"/>
    <w:multiLevelType w:val="singleLevel"/>
    <w:tmpl w:val="1FA422F0"/>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4" w15:restartNumberingAfterBreak="0">
    <w:nsid w:val="15AE6FEE"/>
    <w:multiLevelType w:val="multilevel"/>
    <w:tmpl w:val="01940AA0"/>
    <w:name w:val="ListBulletSmall1"/>
    <w:lvl w:ilvl="0">
      <w:start w:val="1"/>
      <w:numFmt w:val="bullet"/>
      <w:pStyle w:val="ListBulletSmall"/>
      <w:lvlText w:val="•"/>
      <w:lvlJc w:val="left"/>
      <w:pPr>
        <w:ind w:left="425" w:hanging="425"/>
      </w:pPr>
      <w:rPr>
        <w:rFonts w:ascii="Times New Roman" w:hAnsi="Times New Roman" w:cs="Times New Roman" w:hint="default"/>
        <w:b w:val="0"/>
        <w:i w:val="0"/>
        <w:caps w:val="0"/>
        <w:sz w:val="20"/>
        <w:u w:val="none"/>
        <w:vertAlign w:val="baseline"/>
      </w:rPr>
    </w:lvl>
    <w:lvl w:ilvl="1">
      <w:start w:val="1"/>
      <w:numFmt w:val="bullet"/>
      <w:pStyle w:val="ListBulletSmall2"/>
      <w:lvlText w:val=""/>
      <w:lvlJc w:val="left"/>
      <w:pPr>
        <w:ind w:left="850" w:hanging="425"/>
      </w:pPr>
      <w:rPr>
        <w:rFonts w:ascii="Symbol" w:hAnsi="Symbol"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bullet"/>
      <w:lvlText w:val="o"/>
      <w:lvlJc w:val="left"/>
      <w:pPr>
        <w:tabs>
          <w:tab w:val="num" w:pos="2060"/>
        </w:tabs>
        <w:ind w:left="2125" w:hanging="425"/>
      </w:pPr>
      <w:rPr>
        <w:rFonts w:ascii="Courier New" w:hAnsi="Courier New" w:cs="Courier New" w:hint="default"/>
      </w:rPr>
    </w:lvl>
    <w:lvl w:ilvl="5">
      <w:start w:val="1"/>
      <w:numFmt w:val="bullet"/>
      <w:lvlText w:val=""/>
      <w:lvlJc w:val="left"/>
      <w:pPr>
        <w:tabs>
          <w:tab w:val="num" w:pos="2485"/>
        </w:tabs>
        <w:ind w:left="2550" w:hanging="425"/>
      </w:pPr>
      <w:rPr>
        <w:rFonts w:ascii="Wingdings" w:hAnsi="Wingdings" w:hint="default"/>
      </w:rPr>
    </w:lvl>
    <w:lvl w:ilvl="6">
      <w:start w:val="1"/>
      <w:numFmt w:val="bullet"/>
      <w:lvlText w:val=""/>
      <w:lvlJc w:val="left"/>
      <w:pPr>
        <w:tabs>
          <w:tab w:val="num" w:pos="2910"/>
        </w:tabs>
        <w:ind w:left="2975" w:hanging="425"/>
      </w:pPr>
      <w:rPr>
        <w:rFonts w:ascii="Symbol" w:hAnsi="Symbol" w:hint="default"/>
      </w:rPr>
    </w:lvl>
    <w:lvl w:ilvl="7">
      <w:start w:val="1"/>
      <w:numFmt w:val="bullet"/>
      <w:lvlText w:val="o"/>
      <w:lvlJc w:val="left"/>
      <w:pPr>
        <w:tabs>
          <w:tab w:val="num" w:pos="3335"/>
        </w:tabs>
        <w:ind w:left="3400" w:hanging="425"/>
      </w:pPr>
      <w:rPr>
        <w:rFonts w:ascii="Courier New" w:hAnsi="Courier New" w:cs="Courier New" w:hint="default"/>
      </w:rPr>
    </w:lvl>
    <w:lvl w:ilvl="8">
      <w:start w:val="1"/>
      <w:numFmt w:val="bullet"/>
      <w:lvlText w:val=""/>
      <w:lvlJc w:val="left"/>
      <w:pPr>
        <w:tabs>
          <w:tab w:val="num" w:pos="3760"/>
        </w:tabs>
        <w:ind w:left="3825" w:hanging="425"/>
      </w:pPr>
      <w:rPr>
        <w:rFonts w:ascii="Wingdings" w:hAnsi="Wingdings" w:hint="default"/>
      </w:rPr>
    </w:lvl>
  </w:abstractNum>
  <w:abstractNum w:abstractNumId="5" w15:restartNumberingAfterBreak="0">
    <w:nsid w:val="29A7271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32913332"/>
    <w:multiLevelType w:val="multilevel"/>
    <w:tmpl w:val="969A274A"/>
    <w:name w:val="HousestyleHeadings"/>
    <w:lvl w:ilvl="0">
      <w:start w:val="1"/>
      <w:numFmt w:val="decimal"/>
      <w:pStyle w:val="Heading1"/>
      <w:lvlText w:val="%1"/>
      <w:lvlJc w:val="left"/>
      <w:pPr>
        <w:tabs>
          <w:tab w:val="num" w:pos="1134"/>
        </w:tabs>
        <w:ind w:left="1134" w:hanging="1134"/>
      </w:pPr>
      <w:rPr>
        <w:rFonts w:ascii="Times New Roman" w:hAnsi="Times New Roman" w:hint="default"/>
      </w:rPr>
    </w:lvl>
    <w:lvl w:ilvl="1">
      <w:start w:val="1"/>
      <w:numFmt w:val="decimal"/>
      <w:pStyle w:val="Heading2"/>
      <w:lvlText w:val="%1.%2"/>
      <w:lvlJc w:val="left"/>
      <w:pPr>
        <w:tabs>
          <w:tab w:val="num" w:pos="1418"/>
        </w:tabs>
        <w:ind w:left="1418" w:hanging="1134"/>
      </w:pPr>
      <w:rPr>
        <w:rFonts w:ascii="Times New Roman" w:hAnsi="Times New Roman" w:hint="default"/>
      </w:rPr>
    </w:lvl>
    <w:lvl w:ilvl="2">
      <w:start w:val="1"/>
      <w:numFmt w:val="decimal"/>
      <w:pStyle w:val="Heading3"/>
      <w:lvlText w:val="%1.%2.%3"/>
      <w:lvlJc w:val="left"/>
      <w:pPr>
        <w:tabs>
          <w:tab w:val="num" w:pos="1134"/>
        </w:tabs>
        <w:ind w:left="1134" w:hanging="1134"/>
      </w:pPr>
      <w:rPr>
        <w:rFonts w:ascii="Times New Roman" w:hAnsi="Times New Roman" w:hint="default"/>
      </w:rPr>
    </w:lvl>
    <w:lvl w:ilvl="3">
      <w:start w:val="1"/>
      <w:numFmt w:val="decimal"/>
      <w:pStyle w:val="Heading4"/>
      <w:lvlText w:val="%1.%2.%3.%4"/>
      <w:lvlJc w:val="left"/>
      <w:pPr>
        <w:tabs>
          <w:tab w:val="num" w:pos="1134"/>
        </w:tabs>
        <w:ind w:left="1134" w:hanging="1134"/>
      </w:pPr>
      <w:rPr>
        <w:rFonts w:ascii="Times New Roman" w:hAnsi="Times New Roman" w:hint="default"/>
      </w:rPr>
    </w:lvl>
    <w:lvl w:ilvl="4">
      <w:start w:val="1"/>
      <w:numFmt w:val="decimal"/>
      <w:pStyle w:val="Heading5"/>
      <w:lvlText w:val="%1.%2.%3.%4.%5"/>
      <w:lvlJc w:val="left"/>
      <w:pPr>
        <w:tabs>
          <w:tab w:val="num" w:pos="1134"/>
        </w:tabs>
        <w:ind w:left="1134" w:hanging="1134"/>
      </w:pPr>
      <w:rPr>
        <w:rFonts w:ascii="Times New Roman" w:hAnsi="Times New Roman" w:hint="default"/>
      </w:rPr>
    </w:lvl>
    <w:lvl w:ilvl="5">
      <w:start w:val="1"/>
      <w:numFmt w:val="decimal"/>
      <w:pStyle w:val="Heading6"/>
      <w:lvlText w:val="%1.%2.%3.%4.%5.%6"/>
      <w:lvlJc w:val="left"/>
      <w:pPr>
        <w:tabs>
          <w:tab w:val="num" w:pos="1134"/>
        </w:tabs>
        <w:ind w:left="1134" w:hanging="1134"/>
      </w:pPr>
      <w:rPr>
        <w:rFonts w:ascii="Times New Roman" w:hAnsi="Times New Roman" w:hint="default"/>
      </w:rPr>
    </w:lvl>
    <w:lvl w:ilvl="6">
      <w:start w:val="1"/>
      <w:numFmt w:val="decimal"/>
      <w:pStyle w:val="Heading7"/>
      <w:lvlText w:val="%1.%2.%3.%4.%5.%6.%7"/>
      <w:lvlJc w:val="left"/>
      <w:pPr>
        <w:tabs>
          <w:tab w:val="num" w:pos="1134"/>
        </w:tabs>
        <w:ind w:left="1134" w:hanging="1134"/>
      </w:pPr>
      <w:rPr>
        <w:rFonts w:ascii="Times New Roman" w:hAnsi="Times New Roman" w:hint="default"/>
      </w:rPr>
    </w:lvl>
    <w:lvl w:ilvl="7">
      <w:start w:val="1"/>
      <w:numFmt w:val="decimal"/>
      <w:pStyle w:val="Heading8"/>
      <w:lvlText w:val="%1.%2.%3.%4.%5.%6.%7.%8"/>
      <w:lvlJc w:val="left"/>
      <w:pPr>
        <w:tabs>
          <w:tab w:val="num" w:pos="1134"/>
        </w:tabs>
        <w:ind w:left="1134" w:hanging="1134"/>
      </w:pPr>
      <w:rPr>
        <w:rFonts w:ascii="Times New Roman" w:hAnsi="Times New Roman" w:hint="default"/>
      </w:rPr>
    </w:lvl>
    <w:lvl w:ilvl="8">
      <w:start w:val="1"/>
      <w:numFmt w:val="none"/>
      <w:pStyle w:val="Heading9"/>
      <w:suff w:val="nothing"/>
      <w:lvlText w:val=""/>
      <w:lvlJc w:val="left"/>
      <w:pPr>
        <w:ind w:left="0" w:firstLine="0"/>
      </w:pPr>
      <w:rPr>
        <w:rFonts w:hint="default"/>
      </w:rPr>
    </w:lvl>
  </w:abstractNum>
  <w:abstractNum w:abstractNumId="7" w15:restartNumberingAfterBreak="0">
    <w:nsid w:val="3A9E7E4D"/>
    <w:multiLevelType w:val="multilevel"/>
    <w:tmpl w:val="3C1EDB96"/>
    <w:name w:val="Appendix Alpha"/>
    <w:lvl w:ilvl="0">
      <w:start w:val="1"/>
      <w:numFmt w:val="upperLetter"/>
      <w:pStyle w:val="AppendixAlpha"/>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pStyle w:val="AppendixAlphaSub1"/>
      <w:lvlText w:val="%1 %2"/>
      <w:lvlJc w:val="left"/>
      <w:pPr>
        <w:tabs>
          <w:tab w:val="num" w:pos="1134"/>
        </w:tabs>
        <w:ind w:left="1134" w:hanging="1134"/>
      </w:pPr>
      <w:rPr>
        <w:rFonts w:ascii="Times New Roman Bold" w:hAnsi="Times New Roman Bold" w:hint="default"/>
        <w:b/>
        <w:i w:val="0"/>
        <w:sz w:val="26"/>
      </w:rPr>
    </w:lvl>
    <w:lvl w:ilvl="2">
      <w:start w:val="1"/>
      <w:numFmt w:val="decimal"/>
      <w:pStyle w:val="AppendixAlphaSub2"/>
      <w:lvlText w:val="%1 %2.%3"/>
      <w:lvlJc w:val="left"/>
      <w:pPr>
        <w:tabs>
          <w:tab w:val="num" w:pos="1134"/>
        </w:tabs>
        <w:ind w:left="1134" w:hanging="1134"/>
      </w:pPr>
      <w:rPr>
        <w:rFonts w:ascii="Times New Roman Bold" w:hAnsi="Times New Roman Bold" w:hint="default"/>
        <w:b/>
        <w:i w:val="0"/>
        <w:sz w:val="24"/>
      </w:rPr>
    </w:lvl>
    <w:lvl w:ilvl="3">
      <w:start w:val="1"/>
      <w:numFmt w:val="decimal"/>
      <w:pStyle w:val="AppendixAlphaSub3"/>
      <w:lvlText w:val="%1 %2.%3.%4"/>
      <w:lvlJc w:val="left"/>
      <w:pPr>
        <w:tabs>
          <w:tab w:val="num" w:pos="1134"/>
        </w:tabs>
        <w:ind w:left="1134" w:hanging="1134"/>
      </w:pPr>
      <w:rPr>
        <w:rFonts w:ascii="Times New Roman Bold" w:hAnsi="Times New Roman Bold" w:hint="default"/>
        <w:b/>
        <w:i w:val="0"/>
        <w:sz w:val="24"/>
      </w:rPr>
    </w:lvl>
    <w:lvl w:ilvl="4">
      <w:start w:val="1"/>
      <w:numFmt w:val="decimal"/>
      <w:pStyle w:val="AppendixAlphaSub4"/>
      <w:lvlText w:val="%1 %2.%3.%4.%5"/>
      <w:lvlJc w:val="left"/>
      <w:pPr>
        <w:tabs>
          <w:tab w:val="num" w:pos="1134"/>
        </w:tabs>
        <w:ind w:left="1134" w:hanging="1134"/>
      </w:pPr>
      <w:rPr>
        <w:rFonts w:ascii="Times New Roman Bold" w:hAnsi="Times New Roman Bold" w:hint="default"/>
        <w:b/>
        <w:i/>
        <w:sz w:val="24"/>
      </w:rPr>
    </w:lvl>
    <w:lvl w:ilvl="5">
      <w:start w:val="1"/>
      <w:numFmt w:val="none"/>
      <w:lvlText w:val=""/>
      <w:lvlJc w:val="left"/>
      <w:pPr>
        <w:tabs>
          <w:tab w:val="num" w:pos="1985"/>
        </w:tabs>
        <w:ind w:left="992" w:hanging="992"/>
      </w:pPr>
      <w:rPr>
        <w:rFonts w:hint="default"/>
      </w:rPr>
    </w:lvl>
    <w:lvl w:ilvl="6">
      <w:start w:val="1"/>
      <w:numFmt w:val="none"/>
      <w:lvlText w:val=""/>
      <w:lvlJc w:val="left"/>
      <w:pPr>
        <w:tabs>
          <w:tab w:val="num" w:pos="1985"/>
        </w:tabs>
        <w:ind w:left="992" w:hanging="992"/>
      </w:pPr>
      <w:rPr>
        <w:rFonts w:hint="default"/>
      </w:rPr>
    </w:lvl>
    <w:lvl w:ilvl="7">
      <w:start w:val="1"/>
      <w:numFmt w:val="none"/>
      <w:lvlText w:val=""/>
      <w:lvlJc w:val="left"/>
      <w:pPr>
        <w:tabs>
          <w:tab w:val="num" w:pos="1985"/>
        </w:tabs>
        <w:ind w:left="992" w:hanging="992"/>
      </w:pPr>
      <w:rPr>
        <w:rFonts w:hint="default"/>
      </w:rPr>
    </w:lvl>
    <w:lvl w:ilvl="8">
      <w:start w:val="1"/>
      <w:numFmt w:val="none"/>
      <w:lvlText w:val=""/>
      <w:lvlJc w:val="left"/>
      <w:pPr>
        <w:tabs>
          <w:tab w:val="num" w:pos="1985"/>
        </w:tabs>
        <w:ind w:left="992" w:hanging="992"/>
      </w:pPr>
      <w:rPr>
        <w:rFonts w:hint="default"/>
      </w:rPr>
    </w:lvl>
  </w:abstractNum>
  <w:abstractNum w:abstractNumId="8" w15:restartNumberingAfterBreak="0">
    <w:nsid w:val="47E3142E"/>
    <w:multiLevelType w:val="singleLevel"/>
    <w:tmpl w:val="9900FDD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9" w15:restartNumberingAfterBreak="0">
    <w:nsid w:val="4E386DB4"/>
    <w:multiLevelType w:val="hybridMultilevel"/>
    <w:tmpl w:val="56CE8488"/>
    <w:lvl w:ilvl="0" w:tplc="DA9E9E88">
      <w:numFmt w:val="bullet"/>
      <w:lvlText w:val="-"/>
      <w:lvlJc w:val="left"/>
      <w:pPr>
        <w:ind w:left="720" w:hanging="360"/>
      </w:pPr>
      <w:rPr>
        <w:rFonts w:ascii="Times New Roman" w:eastAsia="Times New Roman" w:hAnsi="Times New Roman"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6F4F4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C4645E7"/>
    <w:multiLevelType w:val="hybridMultilevel"/>
    <w:tmpl w:val="E61ECC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62BE70C3"/>
    <w:multiLevelType w:val="multilevel"/>
    <w:tmpl w:val="AD763C14"/>
    <w:name w:val="AppendixNum"/>
    <w:lvl w:ilvl="0">
      <w:start w:val="1"/>
      <w:numFmt w:val="decimal"/>
      <w:pStyle w:val="AppendixNumeric"/>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lvlText w:val="App %1-%2"/>
      <w:lvlJc w:val="left"/>
      <w:pPr>
        <w:tabs>
          <w:tab w:val="num" w:pos="1134"/>
        </w:tabs>
        <w:ind w:left="1134" w:hanging="1134"/>
      </w:pPr>
      <w:rPr>
        <w:rFonts w:ascii="Times New Roman Bold" w:hAnsi="Times New Roman Bold" w:hint="default"/>
        <w:b/>
        <w:i w:val="0"/>
        <w:sz w:val="28"/>
      </w:rPr>
    </w:lvl>
    <w:lvl w:ilvl="2">
      <w:start w:val="1"/>
      <w:numFmt w:val="decimal"/>
      <w:lvlText w:val="App %1-%3.%2"/>
      <w:lvlJc w:val="left"/>
      <w:pPr>
        <w:tabs>
          <w:tab w:val="num" w:pos="1134"/>
        </w:tabs>
        <w:ind w:left="1134" w:hanging="1134"/>
      </w:pPr>
      <w:rPr>
        <w:rFonts w:ascii="Times New Roman Bold" w:hAnsi="Times New Roman Bold" w:hint="default"/>
        <w:b/>
        <w:i w:val="0"/>
        <w:sz w:val="26"/>
      </w:rPr>
    </w:lvl>
    <w:lvl w:ilvl="3">
      <w:start w:val="1"/>
      <w:numFmt w:val="decimal"/>
      <w:lvlText w:val="App %1-%2.%3.%4"/>
      <w:lvlJc w:val="left"/>
      <w:pPr>
        <w:tabs>
          <w:tab w:val="num" w:pos="1134"/>
        </w:tabs>
        <w:ind w:left="1134" w:hanging="1134"/>
      </w:pPr>
      <w:rPr>
        <w:rFonts w:ascii="Times New Roman Bold" w:hAnsi="Times New Roman Bold" w:hint="default"/>
        <w:b/>
        <w:i w:val="0"/>
        <w:sz w:val="24"/>
      </w:rPr>
    </w:lvl>
    <w:lvl w:ilvl="4">
      <w:start w:val="1"/>
      <w:numFmt w:val="decimal"/>
      <w:lvlText w:val="App %1-%2.%3.%4.%5"/>
      <w:lvlJc w:val="left"/>
      <w:pPr>
        <w:tabs>
          <w:tab w:val="num" w:pos="1134"/>
        </w:tabs>
        <w:ind w:left="1134" w:hanging="1134"/>
      </w:pPr>
      <w:rPr>
        <w:rFonts w:ascii="Times New Roman Bold" w:hAnsi="Times New Roman Bold" w:hint="default"/>
        <w:b/>
        <w:i/>
        <w:sz w:val="24"/>
      </w:rPr>
    </w:lvl>
    <w:lvl w:ilvl="5">
      <w:start w:val="1"/>
      <w:numFmt w:val="none"/>
      <w:lvlText w:val=""/>
      <w:lvlJc w:val="left"/>
      <w:pPr>
        <w:ind w:left="1985" w:hanging="1985"/>
      </w:pPr>
      <w:rPr>
        <w:rFonts w:hint="default"/>
      </w:rPr>
    </w:lvl>
    <w:lvl w:ilvl="6">
      <w:start w:val="1"/>
      <w:numFmt w:val="none"/>
      <w:lvlText w:val=""/>
      <w:lvlJc w:val="left"/>
      <w:pPr>
        <w:ind w:left="1985" w:hanging="1985"/>
      </w:pPr>
      <w:rPr>
        <w:rFonts w:hint="default"/>
      </w:rPr>
    </w:lvl>
    <w:lvl w:ilvl="7">
      <w:start w:val="1"/>
      <w:numFmt w:val="none"/>
      <w:lvlText w:val=""/>
      <w:lvlJc w:val="left"/>
      <w:pPr>
        <w:ind w:left="1985" w:hanging="1985"/>
      </w:pPr>
      <w:rPr>
        <w:rFonts w:hint="default"/>
      </w:rPr>
    </w:lvl>
    <w:lvl w:ilvl="8">
      <w:start w:val="1"/>
      <w:numFmt w:val="none"/>
      <w:lvlText w:val=""/>
      <w:lvlJc w:val="right"/>
      <w:pPr>
        <w:ind w:left="1985" w:hanging="1985"/>
      </w:pPr>
      <w:rPr>
        <w:rFonts w:hint="default"/>
      </w:rPr>
    </w:lvl>
  </w:abstractNum>
  <w:abstractNum w:abstractNumId="13" w15:restartNumberingAfterBreak="0">
    <w:nsid w:val="74C030A5"/>
    <w:multiLevelType w:val="multilevel"/>
    <w:tmpl w:val="99C4946C"/>
    <w:name w:val="ListNumberSmall"/>
    <w:lvl w:ilvl="0">
      <w:start w:val="1"/>
      <w:numFmt w:val="decimal"/>
      <w:pStyle w:val="ListNumberSmall"/>
      <w:lvlText w:val="%1"/>
      <w:lvlJc w:val="left"/>
      <w:pPr>
        <w:tabs>
          <w:tab w:val="num" w:pos="425"/>
        </w:tabs>
        <w:ind w:left="425" w:hanging="425"/>
      </w:pPr>
      <w:rPr>
        <w:rFonts w:ascii="Times New Roman" w:hAnsi="Times New Roman" w:hint="default"/>
        <w:sz w:val="20"/>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tabs>
          <w:tab w:val="num" w:pos="1276"/>
        </w:tabs>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C9D7603"/>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7"/>
  </w:num>
  <w:num w:numId="3">
    <w:abstractNumId w:val="6"/>
  </w:num>
  <w:num w:numId="4">
    <w:abstractNumId w:val="3"/>
  </w:num>
  <w:num w:numId="5">
    <w:abstractNumId w:val="8"/>
  </w:num>
  <w:num w:numId="6">
    <w:abstractNumId w:val="0"/>
  </w:num>
  <w:num w:numId="7">
    <w:abstractNumId w:val="4"/>
  </w:num>
  <w:num w:numId="8">
    <w:abstractNumId w:val="10"/>
  </w:num>
  <w:num w:numId="9">
    <w:abstractNumId w:val="14"/>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F10"/>
    <w:rsid w:val="0000346A"/>
    <w:rsid w:val="0000664D"/>
    <w:rsid w:val="00007C4B"/>
    <w:rsid w:val="00015B27"/>
    <w:rsid w:val="0002173D"/>
    <w:rsid w:val="00022731"/>
    <w:rsid w:val="000231AE"/>
    <w:rsid w:val="000243C4"/>
    <w:rsid w:val="0002799A"/>
    <w:rsid w:val="000305B9"/>
    <w:rsid w:val="00032786"/>
    <w:rsid w:val="00032B3D"/>
    <w:rsid w:val="0003556F"/>
    <w:rsid w:val="000378E5"/>
    <w:rsid w:val="00040A9E"/>
    <w:rsid w:val="0004214B"/>
    <w:rsid w:val="00042302"/>
    <w:rsid w:val="00043104"/>
    <w:rsid w:val="000432A2"/>
    <w:rsid w:val="0004349F"/>
    <w:rsid w:val="00062AE5"/>
    <w:rsid w:val="00063EE1"/>
    <w:rsid w:val="00070815"/>
    <w:rsid w:val="00071521"/>
    <w:rsid w:val="0007232E"/>
    <w:rsid w:val="00074E6D"/>
    <w:rsid w:val="00075891"/>
    <w:rsid w:val="00081E2C"/>
    <w:rsid w:val="00084CB2"/>
    <w:rsid w:val="00086C72"/>
    <w:rsid w:val="0009106C"/>
    <w:rsid w:val="0009282C"/>
    <w:rsid w:val="00093935"/>
    <w:rsid w:val="000952AB"/>
    <w:rsid w:val="00097391"/>
    <w:rsid w:val="00097E40"/>
    <w:rsid w:val="000A16EB"/>
    <w:rsid w:val="000A602E"/>
    <w:rsid w:val="000B2CF0"/>
    <w:rsid w:val="000B736F"/>
    <w:rsid w:val="000B7E25"/>
    <w:rsid w:val="000C0B44"/>
    <w:rsid w:val="000C47AC"/>
    <w:rsid w:val="000C6FB8"/>
    <w:rsid w:val="000D0340"/>
    <w:rsid w:val="000D4D9D"/>
    <w:rsid w:val="000E1E43"/>
    <w:rsid w:val="000E3E63"/>
    <w:rsid w:val="000E5E58"/>
    <w:rsid w:val="000E68EF"/>
    <w:rsid w:val="000E7FC8"/>
    <w:rsid w:val="001000E5"/>
    <w:rsid w:val="00100360"/>
    <w:rsid w:val="001020B7"/>
    <w:rsid w:val="0010268A"/>
    <w:rsid w:val="00103DF3"/>
    <w:rsid w:val="0011334D"/>
    <w:rsid w:val="00113AD0"/>
    <w:rsid w:val="001150B4"/>
    <w:rsid w:val="00124769"/>
    <w:rsid w:val="001250F7"/>
    <w:rsid w:val="001267E0"/>
    <w:rsid w:val="00126B53"/>
    <w:rsid w:val="001272EB"/>
    <w:rsid w:val="00127E8B"/>
    <w:rsid w:val="0013233A"/>
    <w:rsid w:val="00133E95"/>
    <w:rsid w:val="00135DD9"/>
    <w:rsid w:val="00142314"/>
    <w:rsid w:val="001425C4"/>
    <w:rsid w:val="00147619"/>
    <w:rsid w:val="00153004"/>
    <w:rsid w:val="00154FD5"/>
    <w:rsid w:val="001603EB"/>
    <w:rsid w:val="001638CA"/>
    <w:rsid w:val="001662F1"/>
    <w:rsid w:val="00166916"/>
    <w:rsid w:val="001677D7"/>
    <w:rsid w:val="00167EF2"/>
    <w:rsid w:val="00172FF5"/>
    <w:rsid w:val="00173C9B"/>
    <w:rsid w:val="001740ED"/>
    <w:rsid w:val="00174B6C"/>
    <w:rsid w:val="0017729E"/>
    <w:rsid w:val="001778B5"/>
    <w:rsid w:val="00177B7C"/>
    <w:rsid w:val="001812B5"/>
    <w:rsid w:val="001834F1"/>
    <w:rsid w:val="0018364D"/>
    <w:rsid w:val="00187B3A"/>
    <w:rsid w:val="00191B22"/>
    <w:rsid w:val="001A233C"/>
    <w:rsid w:val="001A3992"/>
    <w:rsid w:val="001A55F3"/>
    <w:rsid w:val="001A5821"/>
    <w:rsid w:val="001A623B"/>
    <w:rsid w:val="001B0A02"/>
    <w:rsid w:val="001B114A"/>
    <w:rsid w:val="001B22DA"/>
    <w:rsid w:val="001B2435"/>
    <w:rsid w:val="001B5834"/>
    <w:rsid w:val="001B5B19"/>
    <w:rsid w:val="001C1318"/>
    <w:rsid w:val="001C394C"/>
    <w:rsid w:val="001C6AF0"/>
    <w:rsid w:val="001D2FAC"/>
    <w:rsid w:val="001D3273"/>
    <w:rsid w:val="001D3AF3"/>
    <w:rsid w:val="001D7640"/>
    <w:rsid w:val="001E676B"/>
    <w:rsid w:val="001F144A"/>
    <w:rsid w:val="001F2D8D"/>
    <w:rsid w:val="001F66B2"/>
    <w:rsid w:val="001F6775"/>
    <w:rsid w:val="001F6C6A"/>
    <w:rsid w:val="00200D52"/>
    <w:rsid w:val="00201F59"/>
    <w:rsid w:val="0020241C"/>
    <w:rsid w:val="00202C5A"/>
    <w:rsid w:val="00203DB2"/>
    <w:rsid w:val="002044CB"/>
    <w:rsid w:val="00205D26"/>
    <w:rsid w:val="00212871"/>
    <w:rsid w:val="00213204"/>
    <w:rsid w:val="002136F6"/>
    <w:rsid w:val="002238D0"/>
    <w:rsid w:val="0022593B"/>
    <w:rsid w:val="00232207"/>
    <w:rsid w:val="002335CD"/>
    <w:rsid w:val="002371BE"/>
    <w:rsid w:val="00237F06"/>
    <w:rsid w:val="00240CA8"/>
    <w:rsid w:val="00240F94"/>
    <w:rsid w:val="00245815"/>
    <w:rsid w:val="00246A16"/>
    <w:rsid w:val="00257099"/>
    <w:rsid w:val="0026243D"/>
    <w:rsid w:val="00262CFB"/>
    <w:rsid w:val="0026491B"/>
    <w:rsid w:val="00266725"/>
    <w:rsid w:val="00266941"/>
    <w:rsid w:val="00272E90"/>
    <w:rsid w:val="00273341"/>
    <w:rsid w:val="00275B09"/>
    <w:rsid w:val="00277746"/>
    <w:rsid w:val="002803FC"/>
    <w:rsid w:val="00282D4F"/>
    <w:rsid w:val="00284902"/>
    <w:rsid w:val="00285173"/>
    <w:rsid w:val="0028674C"/>
    <w:rsid w:val="00286FD5"/>
    <w:rsid w:val="00287611"/>
    <w:rsid w:val="0029250C"/>
    <w:rsid w:val="002A09D6"/>
    <w:rsid w:val="002A768E"/>
    <w:rsid w:val="002B1ECD"/>
    <w:rsid w:val="002B328D"/>
    <w:rsid w:val="002B3EE5"/>
    <w:rsid w:val="002B4593"/>
    <w:rsid w:val="002C08D1"/>
    <w:rsid w:val="002C7518"/>
    <w:rsid w:val="002D1062"/>
    <w:rsid w:val="002D2425"/>
    <w:rsid w:val="002D3489"/>
    <w:rsid w:val="002D36F7"/>
    <w:rsid w:val="002D489E"/>
    <w:rsid w:val="002D5015"/>
    <w:rsid w:val="002D5823"/>
    <w:rsid w:val="002D5BB3"/>
    <w:rsid w:val="002D5EB9"/>
    <w:rsid w:val="002E277D"/>
    <w:rsid w:val="002E2FF6"/>
    <w:rsid w:val="002E3D09"/>
    <w:rsid w:val="002F2057"/>
    <w:rsid w:val="00300115"/>
    <w:rsid w:val="00301200"/>
    <w:rsid w:val="00310D06"/>
    <w:rsid w:val="00313039"/>
    <w:rsid w:val="003144C1"/>
    <w:rsid w:val="00315013"/>
    <w:rsid w:val="0031640C"/>
    <w:rsid w:val="003179FD"/>
    <w:rsid w:val="0032110B"/>
    <w:rsid w:val="00327650"/>
    <w:rsid w:val="0032779A"/>
    <w:rsid w:val="00331781"/>
    <w:rsid w:val="003318BA"/>
    <w:rsid w:val="00335E38"/>
    <w:rsid w:val="003360A6"/>
    <w:rsid w:val="003374DC"/>
    <w:rsid w:val="00344182"/>
    <w:rsid w:val="003526F1"/>
    <w:rsid w:val="0035480E"/>
    <w:rsid w:val="0035549A"/>
    <w:rsid w:val="00355637"/>
    <w:rsid w:val="0035698E"/>
    <w:rsid w:val="00361BD9"/>
    <w:rsid w:val="00362F10"/>
    <w:rsid w:val="003647DE"/>
    <w:rsid w:val="00366C6D"/>
    <w:rsid w:val="00367192"/>
    <w:rsid w:val="00374E0A"/>
    <w:rsid w:val="00375DF3"/>
    <w:rsid w:val="00376554"/>
    <w:rsid w:val="00376D26"/>
    <w:rsid w:val="00377337"/>
    <w:rsid w:val="003828AC"/>
    <w:rsid w:val="00384B20"/>
    <w:rsid w:val="00386A4A"/>
    <w:rsid w:val="003876F2"/>
    <w:rsid w:val="003901ED"/>
    <w:rsid w:val="00393C82"/>
    <w:rsid w:val="00393D02"/>
    <w:rsid w:val="003A04F8"/>
    <w:rsid w:val="003A0DC4"/>
    <w:rsid w:val="003A3FEF"/>
    <w:rsid w:val="003A7AD7"/>
    <w:rsid w:val="003B064C"/>
    <w:rsid w:val="003B3654"/>
    <w:rsid w:val="003B5CA3"/>
    <w:rsid w:val="003B5CE7"/>
    <w:rsid w:val="003B7CFF"/>
    <w:rsid w:val="003C4F11"/>
    <w:rsid w:val="003C5425"/>
    <w:rsid w:val="003C5CAF"/>
    <w:rsid w:val="003C5D8A"/>
    <w:rsid w:val="003C6A59"/>
    <w:rsid w:val="003C6B67"/>
    <w:rsid w:val="003C6DB1"/>
    <w:rsid w:val="003E21C8"/>
    <w:rsid w:val="003E3719"/>
    <w:rsid w:val="003E4E05"/>
    <w:rsid w:val="003E574D"/>
    <w:rsid w:val="003E69FE"/>
    <w:rsid w:val="003F0FC7"/>
    <w:rsid w:val="003F4019"/>
    <w:rsid w:val="004016CA"/>
    <w:rsid w:val="004023AF"/>
    <w:rsid w:val="00403E6C"/>
    <w:rsid w:val="00406CD5"/>
    <w:rsid w:val="00406E1D"/>
    <w:rsid w:val="0041004D"/>
    <w:rsid w:val="004101FA"/>
    <w:rsid w:val="00431ACD"/>
    <w:rsid w:val="00434007"/>
    <w:rsid w:val="00437032"/>
    <w:rsid w:val="00437C26"/>
    <w:rsid w:val="00446EDD"/>
    <w:rsid w:val="00451311"/>
    <w:rsid w:val="0045763E"/>
    <w:rsid w:val="00461BFB"/>
    <w:rsid w:val="004637BB"/>
    <w:rsid w:val="00464B75"/>
    <w:rsid w:val="004656A2"/>
    <w:rsid w:val="00466E4B"/>
    <w:rsid w:val="00470B61"/>
    <w:rsid w:val="00470DC2"/>
    <w:rsid w:val="0048048B"/>
    <w:rsid w:val="00485252"/>
    <w:rsid w:val="00490D6F"/>
    <w:rsid w:val="00491ABA"/>
    <w:rsid w:val="00493F57"/>
    <w:rsid w:val="00496783"/>
    <w:rsid w:val="004A06B8"/>
    <w:rsid w:val="004B104B"/>
    <w:rsid w:val="004B39BD"/>
    <w:rsid w:val="004B6B19"/>
    <w:rsid w:val="004B75C8"/>
    <w:rsid w:val="004B788B"/>
    <w:rsid w:val="004C300D"/>
    <w:rsid w:val="004C3106"/>
    <w:rsid w:val="004C7F1B"/>
    <w:rsid w:val="004D1584"/>
    <w:rsid w:val="004D3700"/>
    <w:rsid w:val="004D4FA1"/>
    <w:rsid w:val="004D59A2"/>
    <w:rsid w:val="004D6FC6"/>
    <w:rsid w:val="004D79B7"/>
    <w:rsid w:val="004E11E7"/>
    <w:rsid w:val="004F38E4"/>
    <w:rsid w:val="004F3D02"/>
    <w:rsid w:val="004F6D0B"/>
    <w:rsid w:val="004F7097"/>
    <w:rsid w:val="00500C97"/>
    <w:rsid w:val="00502838"/>
    <w:rsid w:val="00503468"/>
    <w:rsid w:val="00513B1A"/>
    <w:rsid w:val="005162A0"/>
    <w:rsid w:val="00521897"/>
    <w:rsid w:val="005259F1"/>
    <w:rsid w:val="005261BB"/>
    <w:rsid w:val="0053059F"/>
    <w:rsid w:val="0053325C"/>
    <w:rsid w:val="00534711"/>
    <w:rsid w:val="00536B7D"/>
    <w:rsid w:val="005414BF"/>
    <w:rsid w:val="00547AD6"/>
    <w:rsid w:val="00550A1C"/>
    <w:rsid w:val="00564528"/>
    <w:rsid w:val="00567153"/>
    <w:rsid w:val="00570770"/>
    <w:rsid w:val="005736EA"/>
    <w:rsid w:val="005774CB"/>
    <w:rsid w:val="00584159"/>
    <w:rsid w:val="005906E0"/>
    <w:rsid w:val="005917E1"/>
    <w:rsid w:val="00591EAF"/>
    <w:rsid w:val="00592EDF"/>
    <w:rsid w:val="005A104B"/>
    <w:rsid w:val="005A1746"/>
    <w:rsid w:val="005A6238"/>
    <w:rsid w:val="005A75AD"/>
    <w:rsid w:val="005B2EAA"/>
    <w:rsid w:val="005B53C5"/>
    <w:rsid w:val="005C2DEA"/>
    <w:rsid w:val="005C38B9"/>
    <w:rsid w:val="005D43FB"/>
    <w:rsid w:val="005D4F11"/>
    <w:rsid w:val="005D689E"/>
    <w:rsid w:val="005E079B"/>
    <w:rsid w:val="005E0877"/>
    <w:rsid w:val="005E0A88"/>
    <w:rsid w:val="005E0B9E"/>
    <w:rsid w:val="005E4566"/>
    <w:rsid w:val="005F166F"/>
    <w:rsid w:val="005F20BB"/>
    <w:rsid w:val="005F7F06"/>
    <w:rsid w:val="00600311"/>
    <w:rsid w:val="006015D9"/>
    <w:rsid w:val="006018AE"/>
    <w:rsid w:val="0060197D"/>
    <w:rsid w:val="00601B36"/>
    <w:rsid w:val="006103D7"/>
    <w:rsid w:val="00613DBE"/>
    <w:rsid w:val="00622AF0"/>
    <w:rsid w:val="00623568"/>
    <w:rsid w:val="00626B6B"/>
    <w:rsid w:val="006277B5"/>
    <w:rsid w:val="00641142"/>
    <w:rsid w:val="00642462"/>
    <w:rsid w:val="00642749"/>
    <w:rsid w:val="00644C01"/>
    <w:rsid w:val="00645854"/>
    <w:rsid w:val="006470FC"/>
    <w:rsid w:val="006474F2"/>
    <w:rsid w:val="00650161"/>
    <w:rsid w:val="006571C1"/>
    <w:rsid w:val="00661771"/>
    <w:rsid w:val="00664406"/>
    <w:rsid w:val="00665636"/>
    <w:rsid w:val="00666C04"/>
    <w:rsid w:val="00677979"/>
    <w:rsid w:val="00677F7A"/>
    <w:rsid w:val="00681381"/>
    <w:rsid w:val="00681680"/>
    <w:rsid w:val="006843C9"/>
    <w:rsid w:val="00685686"/>
    <w:rsid w:val="006873B0"/>
    <w:rsid w:val="006875D2"/>
    <w:rsid w:val="006879E5"/>
    <w:rsid w:val="00690EF2"/>
    <w:rsid w:val="00696220"/>
    <w:rsid w:val="006A09E1"/>
    <w:rsid w:val="006A360A"/>
    <w:rsid w:val="006A7212"/>
    <w:rsid w:val="006A727B"/>
    <w:rsid w:val="006B2D50"/>
    <w:rsid w:val="006C177D"/>
    <w:rsid w:val="006C5699"/>
    <w:rsid w:val="006C7844"/>
    <w:rsid w:val="006C79A5"/>
    <w:rsid w:val="006D7911"/>
    <w:rsid w:val="006E0B9E"/>
    <w:rsid w:val="006E1B77"/>
    <w:rsid w:val="006E293D"/>
    <w:rsid w:val="006E49AC"/>
    <w:rsid w:val="006E4B00"/>
    <w:rsid w:val="006E4C1E"/>
    <w:rsid w:val="006F1725"/>
    <w:rsid w:val="006F1B80"/>
    <w:rsid w:val="006F582D"/>
    <w:rsid w:val="006F6B5B"/>
    <w:rsid w:val="006F6EAE"/>
    <w:rsid w:val="007014A1"/>
    <w:rsid w:val="00705CDF"/>
    <w:rsid w:val="00706716"/>
    <w:rsid w:val="00716299"/>
    <w:rsid w:val="0071761F"/>
    <w:rsid w:val="007223BF"/>
    <w:rsid w:val="007228AC"/>
    <w:rsid w:val="00726A16"/>
    <w:rsid w:val="0073291D"/>
    <w:rsid w:val="007403BD"/>
    <w:rsid w:val="00740529"/>
    <w:rsid w:val="00743765"/>
    <w:rsid w:val="007449AF"/>
    <w:rsid w:val="007461B2"/>
    <w:rsid w:val="0074639C"/>
    <w:rsid w:val="00767BF1"/>
    <w:rsid w:val="0077005B"/>
    <w:rsid w:val="007706C9"/>
    <w:rsid w:val="00770D80"/>
    <w:rsid w:val="00771312"/>
    <w:rsid w:val="007716DF"/>
    <w:rsid w:val="0077288E"/>
    <w:rsid w:val="007751A7"/>
    <w:rsid w:val="0077687C"/>
    <w:rsid w:val="00776D89"/>
    <w:rsid w:val="00790298"/>
    <w:rsid w:val="0079059E"/>
    <w:rsid w:val="0079425D"/>
    <w:rsid w:val="00794C3C"/>
    <w:rsid w:val="00794EDC"/>
    <w:rsid w:val="00795D99"/>
    <w:rsid w:val="0079624F"/>
    <w:rsid w:val="007974B2"/>
    <w:rsid w:val="007A02C2"/>
    <w:rsid w:val="007A2548"/>
    <w:rsid w:val="007A3D6E"/>
    <w:rsid w:val="007A3E13"/>
    <w:rsid w:val="007A6207"/>
    <w:rsid w:val="007B0112"/>
    <w:rsid w:val="007B2237"/>
    <w:rsid w:val="007B528F"/>
    <w:rsid w:val="007C1FB1"/>
    <w:rsid w:val="007C66C8"/>
    <w:rsid w:val="007C6D32"/>
    <w:rsid w:val="007C6DBC"/>
    <w:rsid w:val="007D17FE"/>
    <w:rsid w:val="007D6E58"/>
    <w:rsid w:val="007E06B7"/>
    <w:rsid w:val="007E3E8F"/>
    <w:rsid w:val="007F026E"/>
    <w:rsid w:val="007F1EEE"/>
    <w:rsid w:val="007F4079"/>
    <w:rsid w:val="007F414E"/>
    <w:rsid w:val="007F4AED"/>
    <w:rsid w:val="008016CA"/>
    <w:rsid w:val="0080644B"/>
    <w:rsid w:val="0080646B"/>
    <w:rsid w:val="00806C54"/>
    <w:rsid w:val="008076D3"/>
    <w:rsid w:val="00812EF7"/>
    <w:rsid w:val="00813B21"/>
    <w:rsid w:val="00814D5A"/>
    <w:rsid w:val="00827B72"/>
    <w:rsid w:val="008332F6"/>
    <w:rsid w:val="008355C7"/>
    <w:rsid w:val="00837812"/>
    <w:rsid w:val="00841795"/>
    <w:rsid w:val="00841FD1"/>
    <w:rsid w:val="00842B27"/>
    <w:rsid w:val="00844E04"/>
    <w:rsid w:val="00845EA4"/>
    <w:rsid w:val="00851EFE"/>
    <w:rsid w:val="0085523A"/>
    <w:rsid w:val="00857C06"/>
    <w:rsid w:val="00861B4E"/>
    <w:rsid w:val="0086513A"/>
    <w:rsid w:val="00865235"/>
    <w:rsid w:val="0086608B"/>
    <w:rsid w:val="00866D40"/>
    <w:rsid w:val="00880303"/>
    <w:rsid w:val="00881EA6"/>
    <w:rsid w:val="00886BB4"/>
    <w:rsid w:val="008929E8"/>
    <w:rsid w:val="00894EBA"/>
    <w:rsid w:val="008958C0"/>
    <w:rsid w:val="0089799C"/>
    <w:rsid w:val="008A353C"/>
    <w:rsid w:val="008A35FB"/>
    <w:rsid w:val="008A5EB7"/>
    <w:rsid w:val="008A76E4"/>
    <w:rsid w:val="008B0073"/>
    <w:rsid w:val="008C023B"/>
    <w:rsid w:val="008C55E5"/>
    <w:rsid w:val="008C6F8C"/>
    <w:rsid w:val="008D1783"/>
    <w:rsid w:val="008D2565"/>
    <w:rsid w:val="008E32A1"/>
    <w:rsid w:val="008E7764"/>
    <w:rsid w:val="00903988"/>
    <w:rsid w:val="00903BED"/>
    <w:rsid w:val="009041DC"/>
    <w:rsid w:val="00904F88"/>
    <w:rsid w:val="00905FDD"/>
    <w:rsid w:val="00905FE6"/>
    <w:rsid w:val="00906923"/>
    <w:rsid w:val="0090711F"/>
    <w:rsid w:val="00910862"/>
    <w:rsid w:val="00917FAA"/>
    <w:rsid w:val="0092168E"/>
    <w:rsid w:val="009222F1"/>
    <w:rsid w:val="009249F4"/>
    <w:rsid w:val="009264DF"/>
    <w:rsid w:val="00930488"/>
    <w:rsid w:val="00936605"/>
    <w:rsid w:val="00937108"/>
    <w:rsid w:val="0093749A"/>
    <w:rsid w:val="00940ADD"/>
    <w:rsid w:val="009527DA"/>
    <w:rsid w:val="00960CD5"/>
    <w:rsid w:val="00960F91"/>
    <w:rsid w:val="00961A3D"/>
    <w:rsid w:val="00963165"/>
    <w:rsid w:val="00966710"/>
    <w:rsid w:val="00967C5B"/>
    <w:rsid w:val="00970574"/>
    <w:rsid w:val="009723F7"/>
    <w:rsid w:val="00973972"/>
    <w:rsid w:val="0098041A"/>
    <w:rsid w:val="00981CA5"/>
    <w:rsid w:val="0098429C"/>
    <w:rsid w:val="00984B4B"/>
    <w:rsid w:val="00985D46"/>
    <w:rsid w:val="00986EEB"/>
    <w:rsid w:val="00987C39"/>
    <w:rsid w:val="009915FD"/>
    <w:rsid w:val="0099314F"/>
    <w:rsid w:val="009A0489"/>
    <w:rsid w:val="009A11C5"/>
    <w:rsid w:val="009A1F5E"/>
    <w:rsid w:val="009A3750"/>
    <w:rsid w:val="009B0368"/>
    <w:rsid w:val="009B33FB"/>
    <w:rsid w:val="009B484C"/>
    <w:rsid w:val="009C0A82"/>
    <w:rsid w:val="009D2BA4"/>
    <w:rsid w:val="009D378D"/>
    <w:rsid w:val="009D4DF3"/>
    <w:rsid w:val="009D66D8"/>
    <w:rsid w:val="009E47A1"/>
    <w:rsid w:val="009E7849"/>
    <w:rsid w:val="009F0387"/>
    <w:rsid w:val="009F07EF"/>
    <w:rsid w:val="009F6A93"/>
    <w:rsid w:val="00A00868"/>
    <w:rsid w:val="00A0686B"/>
    <w:rsid w:val="00A14576"/>
    <w:rsid w:val="00A14838"/>
    <w:rsid w:val="00A1519F"/>
    <w:rsid w:val="00A25258"/>
    <w:rsid w:val="00A32AD6"/>
    <w:rsid w:val="00A32E10"/>
    <w:rsid w:val="00A32E19"/>
    <w:rsid w:val="00A33B32"/>
    <w:rsid w:val="00A41C43"/>
    <w:rsid w:val="00A43B55"/>
    <w:rsid w:val="00A51936"/>
    <w:rsid w:val="00A54468"/>
    <w:rsid w:val="00A562F4"/>
    <w:rsid w:val="00A5675A"/>
    <w:rsid w:val="00A573C3"/>
    <w:rsid w:val="00A608BE"/>
    <w:rsid w:val="00A62958"/>
    <w:rsid w:val="00A63DC8"/>
    <w:rsid w:val="00A63E10"/>
    <w:rsid w:val="00A65CEB"/>
    <w:rsid w:val="00A736DF"/>
    <w:rsid w:val="00A73D09"/>
    <w:rsid w:val="00A75D55"/>
    <w:rsid w:val="00A76741"/>
    <w:rsid w:val="00A81F7A"/>
    <w:rsid w:val="00A82148"/>
    <w:rsid w:val="00A8426F"/>
    <w:rsid w:val="00A84621"/>
    <w:rsid w:val="00A86635"/>
    <w:rsid w:val="00A90DB6"/>
    <w:rsid w:val="00A9453D"/>
    <w:rsid w:val="00A97C83"/>
    <w:rsid w:val="00AA0B20"/>
    <w:rsid w:val="00AA2E11"/>
    <w:rsid w:val="00AA43C4"/>
    <w:rsid w:val="00AA4D27"/>
    <w:rsid w:val="00AA67B3"/>
    <w:rsid w:val="00AB0279"/>
    <w:rsid w:val="00AB07EC"/>
    <w:rsid w:val="00AB18AD"/>
    <w:rsid w:val="00AB39D7"/>
    <w:rsid w:val="00AB4491"/>
    <w:rsid w:val="00AB610A"/>
    <w:rsid w:val="00AB7C7C"/>
    <w:rsid w:val="00AC1CD8"/>
    <w:rsid w:val="00AC4341"/>
    <w:rsid w:val="00AC4807"/>
    <w:rsid w:val="00AC6417"/>
    <w:rsid w:val="00AC677C"/>
    <w:rsid w:val="00AC6B57"/>
    <w:rsid w:val="00AC78C3"/>
    <w:rsid w:val="00AD3B3A"/>
    <w:rsid w:val="00AE3CB6"/>
    <w:rsid w:val="00AF1FEA"/>
    <w:rsid w:val="00AF2599"/>
    <w:rsid w:val="00AF4835"/>
    <w:rsid w:val="00AF5CA1"/>
    <w:rsid w:val="00AF7EBD"/>
    <w:rsid w:val="00B0141F"/>
    <w:rsid w:val="00B05EB9"/>
    <w:rsid w:val="00B11797"/>
    <w:rsid w:val="00B14C54"/>
    <w:rsid w:val="00B17026"/>
    <w:rsid w:val="00B242CE"/>
    <w:rsid w:val="00B24719"/>
    <w:rsid w:val="00B25BBE"/>
    <w:rsid w:val="00B265F9"/>
    <w:rsid w:val="00B26B3A"/>
    <w:rsid w:val="00B27165"/>
    <w:rsid w:val="00B31504"/>
    <w:rsid w:val="00B3504B"/>
    <w:rsid w:val="00B36255"/>
    <w:rsid w:val="00B3687C"/>
    <w:rsid w:val="00B4718C"/>
    <w:rsid w:val="00B52E82"/>
    <w:rsid w:val="00B62600"/>
    <w:rsid w:val="00B636EB"/>
    <w:rsid w:val="00B66786"/>
    <w:rsid w:val="00B70092"/>
    <w:rsid w:val="00B72D2F"/>
    <w:rsid w:val="00B732F6"/>
    <w:rsid w:val="00B801F3"/>
    <w:rsid w:val="00B807BD"/>
    <w:rsid w:val="00B8168F"/>
    <w:rsid w:val="00B90921"/>
    <w:rsid w:val="00B94E67"/>
    <w:rsid w:val="00B9672C"/>
    <w:rsid w:val="00BA3475"/>
    <w:rsid w:val="00BA505F"/>
    <w:rsid w:val="00BB4FE5"/>
    <w:rsid w:val="00BB56D0"/>
    <w:rsid w:val="00BB5EDB"/>
    <w:rsid w:val="00BC74F9"/>
    <w:rsid w:val="00BC7FA8"/>
    <w:rsid w:val="00BE2717"/>
    <w:rsid w:val="00BE2A26"/>
    <w:rsid w:val="00BE2BA0"/>
    <w:rsid w:val="00BE6C88"/>
    <w:rsid w:val="00BE71C4"/>
    <w:rsid w:val="00BE7232"/>
    <w:rsid w:val="00BF33CE"/>
    <w:rsid w:val="00BF3E20"/>
    <w:rsid w:val="00BF7D7B"/>
    <w:rsid w:val="00C01DA9"/>
    <w:rsid w:val="00C077BF"/>
    <w:rsid w:val="00C10414"/>
    <w:rsid w:val="00C11150"/>
    <w:rsid w:val="00C11DAB"/>
    <w:rsid w:val="00C1707F"/>
    <w:rsid w:val="00C21F49"/>
    <w:rsid w:val="00C22700"/>
    <w:rsid w:val="00C24D2E"/>
    <w:rsid w:val="00C2509D"/>
    <w:rsid w:val="00C2565D"/>
    <w:rsid w:val="00C267E7"/>
    <w:rsid w:val="00C26DED"/>
    <w:rsid w:val="00C279FB"/>
    <w:rsid w:val="00C33E02"/>
    <w:rsid w:val="00C35FC4"/>
    <w:rsid w:val="00C37F02"/>
    <w:rsid w:val="00C45381"/>
    <w:rsid w:val="00C456C0"/>
    <w:rsid w:val="00C46162"/>
    <w:rsid w:val="00C4617D"/>
    <w:rsid w:val="00C576B1"/>
    <w:rsid w:val="00C60463"/>
    <w:rsid w:val="00C608DE"/>
    <w:rsid w:val="00C62FB9"/>
    <w:rsid w:val="00C70CAB"/>
    <w:rsid w:val="00C70EF9"/>
    <w:rsid w:val="00C72993"/>
    <w:rsid w:val="00C72F7C"/>
    <w:rsid w:val="00C72FB3"/>
    <w:rsid w:val="00C731A4"/>
    <w:rsid w:val="00C748C1"/>
    <w:rsid w:val="00C7681E"/>
    <w:rsid w:val="00C76F1B"/>
    <w:rsid w:val="00C76F45"/>
    <w:rsid w:val="00C77754"/>
    <w:rsid w:val="00C77EE8"/>
    <w:rsid w:val="00C85696"/>
    <w:rsid w:val="00C85970"/>
    <w:rsid w:val="00C8787F"/>
    <w:rsid w:val="00C9059D"/>
    <w:rsid w:val="00C97FFA"/>
    <w:rsid w:val="00CA1725"/>
    <w:rsid w:val="00CA280F"/>
    <w:rsid w:val="00CA4654"/>
    <w:rsid w:val="00CA6E70"/>
    <w:rsid w:val="00CB012C"/>
    <w:rsid w:val="00CB1E31"/>
    <w:rsid w:val="00CB26AA"/>
    <w:rsid w:val="00CB2C8A"/>
    <w:rsid w:val="00CB4F69"/>
    <w:rsid w:val="00CB6D40"/>
    <w:rsid w:val="00CB7FB5"/>
    <w:rsid w:val="00CC03A6"/>
    <w:rsid w:val="00CC2D60"/>
    <w:rsid w:val="00CC479F"/>
    <w:rsid w:val="00CC4F76"/>
    <w:rsid w:val="00CC6BAC"/>
    <w:rsid w:val="00CD48B2"/>
    <w:rsid w:val="00CE38E2"/>
    <w:rsid w:val="00CE3904"/>
    <w:rsid w:val="00CE6B1A"/>
    <w:rsid w:val="00CF1940"/>
    <w:rsid w:val="00CF3DE5"/>
    <w:rsid w:val="00CF40F6"/>
    <w:rsid w:val="00D02597"/>
    <w:rsid w:val="00D043BE"/>
    <w:rsid w:val="00D06633"/>
    <w:rsid w:val="00D109F3"/>
    <w:rsid w:val="00D13FF5"/>
    <w:rsid w:val="00D24E2F"/>
    <w:rsid w:val="00D26277"/>
    <w:rsid w:val="00D3311D"/>
    <w:rsid w:val="00D347D7"/>
    <w:rsid w:val="00D3607E"/>
    <w:rsid w:val="00D41784"/>
    <w:rsid w:val="00D433A3"/>
    <w:rsid w:val="00D46D98"/>
    <w:rsid w:val="00D46EFE"/>
    <w:rsid w:val="00D47441"/>
    <w:rsid w:val="00D529A1"/>
    <w:rsid w:val="00D65478"/>
    <w:rsid w:val="00D67281"/>
    <w:rsid w:val="00D73884"/>
    <w:rsid w:val="00D762B8"/>
    <w:rsid w:val="00D77BA6"/>
    <w:rsid w:val="00D80793"/>
    <w:rsid w:val="00D8132E"/>
    <w:rsid w:val="00D81FA6"/>
    <w:rsid w:val="00D84326"/>
    <w:rsid w:val="00D87298"/>
    <w:rsid w:val="00D922AD"/>
    <w:rsid w:val="00D9367A"/>
    <w:rsid w:val="00D93E08"/>
    <w:rsid w:val="00D93F5D"/>
    <w:rsid w:val="00D97F1D"/>
    <w:rsid w:val="00DA4033"/>
    <w:rsid w:val="00DA4F25"/>
    <w:rsid w:val="00DB10DA"/>
    <w:rsid w:val="00DB2AD7"/>
    <w:rsid w:val="00DB2E65"/>
    <w:rsid w:val="00DB50D9"/>
    <w:rsid w:val="00DB52C5"/>
    <w:rsid w:val="00DC2D0B"/>
    <w:rsid w:val="00DC650F"/>
    <w:rsid w:val="00DD241E"/>
    <w:rsid w:val="00DD756A"/>
    <w:rsid w:val="00DE20B7"/>
    <w:rsid w:val="00DE2EBA"/>
    <w:rsid w:val="00DF0002"/>
    <w:rsid w:val="00DF1B38"/>
    <w:rsid w:val="00DF3302"/>
    <w:rsid w:val="00DF5D88"/>
    <w:rsid w:val="00DF7A57"/>
    <w:rsid w:val="00E0025C"/>
    <w:rsid w:val="00E00336"/>
    <w:rsid w:val="00E00580"/>
    <w:rsid w:val="00E01028"/>
    <w:rsid w:val="00E0143A"/>
    <w:rsid w:val="00E02A9A"/>
    <w:rsid w:val="00E11216"/>
    <w:rsid w:val="00E11A83"/>
    <w:rsid w:val="00E21FF5"/>
    <w:rsid w:val="00E250FE"/>
    <w:rsid w:val="00E27311"/>
    <w:rsid w:val="00E34431"/>
    <w:rsid w:val="00E37A60"/>
    <w:rsid w:val="00E42E75"/>
    <w:rsid w:val="00E45826"/>
    <w:rsid w:val="00E46C1E"/>
    <w:rsid w:val="00E4793A"/>
    <w:rsid w:val="00E50E9C"/>
    <w:rsid w:val="00E530CE"/>
    <w:rsid w:val="00E54562"/>
    <w:rsid w:val="00E56158"/>
    <w:rsid w:val="00E56D0A"/>
    <w:rsid w:val="00E56FBA"/>
    <w:rsid w:val="00E573E1"/>
    <w:rsid w:val="00E66290"/>
    <w:rsid w:val="00E7079F"/>
    <w:rsid w:val="00E73B83"/>
    <w:rsid w:val="00E74691"/>
    <w:rsid w:val="00E74A56"/>
    <w:rsid w:val="00E74B37"/>
    <w:rsid w:val="00E80CCD"/>
    <w:rsid w:val="00E84DEC"/>
    <w:rsid w:val="00E9018C"/>
    <w:rsid w:val="00E91DAA"/>
    <w:rsid w:val="00EA094C"/>
    <w:rsid w:val="00EA14C0"/>
    <w:rsid w:val="00EB0018"/>
    <w:rsid w:val="00EB11E8"/>
    <w:rsid w:val="00EB1468"/>
    <w:rsid w:val="00EB3F67"/>
    <w:rsid w:val="00EB5217"/>
    <w:rsid w:val="00EC01DC"/>
    <w:rsid w:val="00EC225E"/>
    <w:rsid w:val="00EC33B9"/>
    <w:rsid w:val="00EC5AFE"/>
    <w:rsid w:val="00EC60F8"/>
    <w:rsid w:val="00EC6FD9"/>
    <w:rsid w:val="00ED0877"/>
    <w:rsid w:val="00ED27EC"/>
    <w:rsid w:val="00ED54FD"/>
    <w:rsid w:val="00ED5AE7"/>
    <w:rsid w:val="00ED71FC"/>
    <w:rsid w:val="00EE3AC8"/>
    <w:rsid w:val="00EE4A6C"/>
    <w:rsid w:val="00EE4D7D"/>
    <w:rsid w:val="00EE5CFF"/>
    <w:rsid w:val="00EF5731"/>
    <w:rsid w:val="00EF69AE"/>
    <w:rsid w:val="00F00E47"/>
    <w:rsid w:val="00F02A45"/>
    <w:rsid w:val="00F03116"/>
    <w:rsid w:val="00F055E9"/>
    <w:rsid w:val="00F06F31"/>
    <w:rsid w:val="00F06FBA"/>
    <w:rsid w:val="00F075DF"/>
    <w:rsid w:val="00F1363F"/>
    <w:rsid w:val="00F1560B"/>
    <w:rsid w:val="00F17854"/>
    <w:rsid w:val="00F20A74"/>
    <w:rsid w:val="00F36832"/>
    <w:rsid w:val="00F419D4"/>
    <w:rsid w:val="00F43A0E"/>
    <w:rsid w:val="00F4658E"/>
    <w:rsid w:val="00F46F02"/>
    <w:rsid w:val="00F50B1D"/>
    <w:rsid w:val="00F60B0E"/>
    <w:rsid w:val="00F67503"/>
    <w:rsid w:val="00F77829"/>
    <w:rsid w:val="00F8013F"/>
    <w:rsid w:val="00F80DBD"/>
    <w:rsid w:val="00F823C2"/>
    <w:rsid w:val="00F83D42"/>
    <w:rsid w:val="00F8425B"/>
    <w:rsid w:val="00F849D4"/>
    <w:rsid w:val="00F84ED1"/>
    <w:rsid w:val="00F872A7"/>
    <w:rsid w:val="00F913F9"/>
    <w:rsid w:val="00F91F50"/>
    <w:rsid w:val="00F9678A"/>
    <w:rsid w:val="00F97A01"/>
    <w:rsid w:val="00FA0B06"/>
    <w:rsid w:val="00FA0E1C"/>
    <w:rsid w:val="00FB0326"/>
    <w:rsid w:val="00FB1E52"/>
    <w:rsid w:val="00FB1F0F"/>
    <w:rsid w:val="00FB2A55"/>
    <w:rsid w:val="00FB7AF6"/>
    <w:rsid w:val="00FC157D"/>
    <w:rsid w:val="00FC2978"/>
    <w:rsid w:val="00FC31BB"/>
    <w:rsid w:val="00FC3D6B"/>
    <w:rsid w:val="00FC5384"/>
    <w:rsid w:val="00FC6AE3"/>
    <w:rsid w:val="00FD4E6C"/>
    <w:rsid w:val="00FD5A60"/>
    <w:rsid w:val="00FE07C4"/>
    <w:rsid w:val="00FE4285"/>
    <w:rsid w:val="00FE7EAD"/>
    <w:rsid w:val="00FF05D5"/>
    <w:rsid w:val="00FF07C4"/>
    <w:rsid w:val="00FF230B"/>
    <w:rsid w:val="00FF2B3C"/>
    <w:rsid w:val="00FF4808"/>
    <w:rsid w:val="00FF4E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F9ABB"/>
  <w15:docId w15:val="{636684C1-16F4-4B98-AFC8-95DD3128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8" w:unhideWhenUsed="1" w:qFormat="1"/>
    <w:lsdException w:name="heading 6" w:semiHidden="1" w:uiPriority="8" w:unhideWhenUsed="1" w:qFormat="1"/>
    <w:lsdException w:name="heading 7" w:semiHidden="1" w:unhideWhenUsed="1" w:qFormat="1"/>
    <w:lsdException w:name="heading 8" w:semiHidden="1"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9" w:unhideWhenUsed="1"/>
    <w:lsdException w:name="footer" w:semiHidden="1" w:uiPriority="0" w:unhideWhenUsed="1"/>
    <w:lsdException w:name="index heading" w:semiHidden="1" w:unhideWhenUsed="1"/>
    <w:lsdException w:name="caption" w:semiHidden="1" w:uiPriority="49" w:unhideWhenUsed="1" w:qFormat="1"/>
    <w:lsdException w:name="table of figures" w:semiHidden="1" w:uiPriority="40" w:unhideWhenUsed="1"/>
    <w:lsdException w:name="envelope address" w:semiHidden="1" w:uiPriority="69" w:unhideWhenUsed="1"/>
    <w:lsdException w:name="envelope return" w:semiHidden="1" w:uiPriority="69" w:unhideWhenUsed="1"/>
    <w:lsdException w:name="footnote reference" w:semiHidden="1" w:unhideWhenUsed="1"/>
    <w:lsdException w:name="annotation reference" w:semiHidden="1" w:uiPriority="6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iPriority="9" w:unhideWhenUsed="1" w:qFormat="1"/>
    <w:lsdException w:name="List Number 3" w:semiHidden="1" w:uiPriority="9" w:unhideWhenUsed="1" w:qFormat="1"/>
    <w:lsdException w:name="List Number 4" w:semiHidden="1" w:unhideWhenUsed="1"/>
    <w:lsdException w:name="List Number 5" w:semiHidden="1" w:unhideWhenUsed="1"/>
    <w:lsdException w:name="Title" w:uiPriority="25" w:qFormat="1"/>
    <w:lsdException w:name="Closing" w:semiHidden="1" w:uiPriority="69" w:unhideWhenUsed="1"/>
    <w:lsdException w:name="Signature" w:semiHidden="1" w:uiPriority="49" w:unhideWhenUsed="1"/>
    <w:lsdException w:name="Default Paragraph Font" w:semiHidden="1" w:uiPriority="1" w:unhideWhenUsed="1"/>
    <w:lsdException w:name="Body Text" w:semiHidden="1" w:uiPriority="69" w:unhideWhenUsed="1"/>
    <w:lsdException w:name="Body Text Indent" w:semiHidden="1" w:uiPriority="6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49" w:unhideWhenUsed="1"/>
    <w:lsdException w:name="Date" w:semiHidden="1" w:uiPriority="69" w:unhideWhenUsed="1"/>
    <w:lsdException w:name="Body Text First Indent" w:semiHidden="1" w:uiPriority="69" w:unhideWhenUsed="1"/>
    <w:lsdException w:name="Body Text First Indent 2" w:semiHidden="1" w:uiPriority="69" w:unhideWhenUsed="1"/>
    <w:lsdException w:name="Note Heading" w:semiHidden="1" w:unhideWhenUsed="1"/>
    <w:lsdException w:name="Body Text 2" w:semiHidden="1" w:uiPriority="69" w:unhideWhenUsed="1"/>
    <w:lsdException w:name="Body Text 3" w:semiHidden="1" w:uiPriority="69" w:unhideWhenUsed="1"/>
    <w:lsdException w:name="Body Text Indent 2" w:semiHidden="1" w:uiPriority="69" w:unhideWhenUsed="1"/>
    <w:lsdException w:name="Body Text Indent 3" w:semiHidden="1" w:uiPriority="69"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69" w:qFormat="1"/>
    <w:lsdException w:name="Document Map" w:semiHidden="1" w:uiPriority="69" w:unhideWhenUsed="1"/>
    <w:lsdException w:name="Plain Text" w:semiHidden="1" w:uiPriority="49" w:unhideWhenUsed="1"/>
    <w:lsdException w:name="E-mail Signature" w:semiHidden="1" w:uiPriority="6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6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69"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B7CFF"/>
    <w:pPr>
      <w:spacing w:after="240"/>
    </w:pPr>
    <w:rPr>
      <w:rFonts w:ascii="Times New Roman" w:eastAsia="Times New Roman" w:hAnsi="Times New Roman" w:cs="Times New Roman"/>
      <w:sz w:val="24"/>
      <w:szCs w:val="24"/>
      <w:lang w:val="en-GB"/>
    </w:rPr>
  </w:style>
  <w:style w:type="paragraph" w:styleId="Heading1">
    <w:name w:val="heading 1"/>
    <w:next w:val="Paragraph"/>
    <w:link w:val="Heading1Char"/>
    <w:uiPriority w:val="4"/>
    <w:qFormat/>
    <w:rsid w:val="003B7CFF"/>
    <w:pPr>
      <w:keepNext/>
      <w:keepLines/>
      <w:numPr>
        <w:numId w:val="3"/>
      </w:numPr>
      <w:spacing w:before="240" w:after="240" w:line="240" w:lineRule="auto"/>
      <w:outlineLvl w:val="0"/>
    </w:pPr>
    <w:rPr>
      <w:rFonts w:ascii="Times New Roman" w:eastAsia="Times New Roman" w:hAnsi="Times New Roman" w:cs="Arial"/>
      <w:b/>
      <w:bCs/>
      <w:caps/>
      <w:kern w:val="32"/>
      <w:sz w:val="28"/>
      <w:szCs w:val="28"/>
      <w:lang w:val="en-GB"/>
    </w:rPr>
  </w:style>
  <w:style w:type="paragraph" w:styleId="Heading2">
    <w:name w:val="heading 2"/>
    <w:next w:val="Paragraph"/>
    <w:link w:val="Heading2Char"/>
    <w:uiPriority w:val="4"/>
    <w:qFormat/>
    <w:rsid w:val="00705CDF"/>
    <w:pPr>
      <w:keepNext/>
      <w:keepLines/>
      <w:numPr>
        <w:ilvl w:val="1"/>
        <w:numId w:val="3"/>
      </w:numPr>
      <w:tabs>
        <w:tab w:val="clear" w:pos="1418"/>
        <w:tab w:val="num" w:pos="1134"/>
      </w:tabs>
      <w:spacing w:before="60" w:after="120" w:line="240" w:lineRule="auto"/>
      <w:ind w:left="1134"/>
      <w:outlineLvl w:val="1"/>
    </w:pPr>
    <w:rPr>
      <w:rFonts w:ascii="Times New Roman Bold" w:eastAsia="Times New Roman" w:hAnsi="Times New Roman Bold" w:cs="Arial"/>
      <w:b/>
      <w:bCs/>
      <w:iCs/>
      <w:caps/>
      <w:sz w:val="24"/>
      <w:szCs w:val="26"/>
      <w:lang w:val="en-GB"/>
    </w:rPr>
  </w:style>
  <w:style w:type="paragraph" w:styleId="Heading3">
    <w:name w:val="heading 3"/>
    <w:next w:val="Paragraph"/>
    <w:link w:val="Heading3Char"/>
    <w:uiPriority w:val="4"/>
    <w:qFormat/>
    <w:rsid w:val="003B7CFF"/>
    <w:pPr>
      <w:keepNext/>
      <w:keepLines/>
      <w:numPr>
        <w:ilvl w:val="2"/>
        <w:numId w:val="3"/>
      </w:numPr>
      <w:spacing w:before="60" w:after="120" w:line="240" w:lineRule="auto"/>
      <w:outlineLvl w:val="2"/>
    </w:pPr>
    <w:rPr>
      <w:rFonts w:ascii="Times New Roman" w:eastAsia="Times New Roman" w:hAnsi="Times New Roman" w:cs="Arial"/>
      <w:b/>
      <w:bCs/>
      <w:sz w:val="26"/>
      <w:szCs w:val="24"/>
      <w:lang w:val="en-GB"/>
    </w:rPr>
  </w:style>
  <w:style w:type="paragraph" w:styleId="Heading4">
    <w:name w:val="heading 4"/>
    <w:next w:val="Paragraph"/>
    <w:link w:val="Heading4Char"/>
    <w:uiPriority w:val="4"/>
    <w:qFormat/>
    <w:rsid w:val="003B7CFF"/>
    <w:pPr>
      <w:keepNext/>
      <w:keepLines/>
      <w:numPr>
        <w:ilvl w:val="3"/>
        <w:numId w:val="3"/>
      </w:numPr>
      <w:spacing w:before="60" w:after="60" w:line="240" w:lineRule="auto"/>
      <w:outlineLvl w:val="3"/>
    </w:pPr>
    <w:rPr>
      <w:rFonts w:ascii="Times New Roman" w:eastAsia="Times New Roman" w:hAnsi="Times New Roman" w:cs="Times New Roman"/>
      <w:b/>
      <w:bCs/>
      <w:sz w:val="24"/>
      <w:lang w:val="en-GB"/>
    </w:rPr>
  </w:style>
  <w:style w:type="paragraph" w:styleId="Heading5">
    <w:name w:val="heading 5"/>
    <w:next w:val="Paragraph"/>
    <w:link w:val="Heading5Char"/>
    <w:uiPriority w:val="8"/>
    <w:qFormat/>
    <w:rsid w:val="003B7CFF"/>
    <w:pPr>
      <w:keepNext/>
      <w:keepLines/>
      <w:numPr>
        <w:ilvl w:val="4"/>
        <w:numId w:val="3"/>
      </w:numPr>
      <w:tabs>
        <w:tab w:val="left" w:pos="1440"/>
      </w:tabs>
      <w:spacing w:before="60" w:after="60" w:line="240" w:lineRule="auto"/>
      <w:outlineLvl w:val="4"/>
    </w:pPr>
    <w:rPr>
      <w:rFonts w:ascii="Times New Roman Bold" w:eastAsia="Times New Roman" w:hAnsi="Times New Roman Bold" w:cs="Arial"/>
      <w:b/>
      <w:bCs/>
      <w:iCs/>
      <w:lang w:val="en-US"/>
    </w:rPr>
  </w:style>
  <w:style w:type="paragraph" w:styleId="Heading6">
    <w:name w:val="heading 6"/>
    <w:next w:val="Paragraph"/>
    <w:link w:val="Heading6Char"/>
    <w:uiPriority w:val="8"/>
    <w:qFormat/>
    <w:rsid w:val="003B7CFF"/>
    <w:pPr>
      <w:keepNext/>
      <w:keepLines/>
      <w:numPr>
        <w:ilvl w:val="5"/>
        <w:numId w:val="3"/>
      </w:numPr>
      <w:tabs>
        <w:tab w:val="left" w:pos="1680"/>
      </w:tabs>
      <w:spacing w:before="60" w:after="60" w:line="240" w:lineRule="auto"/>
      <w:outlineLvl w:val="5"/>
    </w:pPr>
    <w:rPr>
      <w:rFonts w:ascii="Times New Roman" w:eastAsia="Times New Roman" w:hAnsi="Times New Roman" w:cs="Arial"/>
      <w:b/>
      <w:bCs/>
      <w:i/>
      <w:lang w:val="en-US"/>
    </w:rPr>
  </w:style>
  <w:style w:type="paragraph" w:styleId="Heading7">
    <w:name w:val="heading 7"/>
    <w:next w:val="Paragraph"/>
    <w:link w:val="Heading7Char"/>
    <w:uiPriority w:val="99"/>
    <w:semiHidden/>
    <w:qFormat/>
    <w:rsid w:val="003B7CFF"/>
    <w:pPr>
      <w:keepNext/>
      <w:keepLines/>
      <w:numPr>
        <w:ilvl w:val="6"/>
        <w:numId w:val="3"/>
      </w:numPr>
      <w:tabs>
        <w:tab w:val="left" w:pos="1920"/>
      </w:tabs>
      <w:spacing w:after="240" w:line="240" w:lineRule="auto"/>
      <w:outlineLvl w:val="6"/>
    </w:pPr>
    <w:rPr>
      <w:rFonts w:ascii="Times New Roman" w:eastAsia="Times New Roman" w:hAnsi="Times New Roman" w:cs="Arial"/>
      <w:i/>
      <w:sz w:val="24"/>
      <w:szCs w:val="24"/>
      <w:lang w:val="en-US"/>
    </w:rPr>
  </w:style>
  <w:style w:type="paragraph" w:styleId="Heading8">
    <w:name w:val="heading 8"/>
    <w:next w:val="Paragraph"/>
    <w:link w:val="Heading8Char"/>
    <w:uiPriority w:val="99"/>
    <w:semiHidden/>
    <w:qFormat/>
    <w:rsid w:val="003B7CFF"/>
    <w:pPr>
      <w:keepNext/>
      <w:keepLines/>
      <w:numPr>
        <w:ilvl w:val="7"/>
        <w:numId w:val="3"/>
      </w:numPr>
      <w:tabs>
        <w:tab w:val="left" w:pos="2160"/>
      </w:tabs>
      <w:spacing w:after="240" w:line="240" w:lineRule="auto"/>
      <w:outlineLvl w:val="7"/>
    </w:pPr>
    <w:rPr>
      <w:rFonts w:ascii="Times New Roman" w:eastAsia="Times New Roman" w:hAnsi="Times New Roman" w:cs="Arial"/>
      <w:i/>
      <w:iCs/>
      <w:sz w:val="24"/>
      <w:szCs w:val="24"/>
      <w:lang w:val="en-US"/>
    </w:rPr>
  </w:style>
  <w:style w:type="paragraph" w:styleId="Heading9">
    <w:name w:val="heading 9"/>
    <w:aliases w:val="-References"/>
    <w:next w:val="Paragraph"/>
    <w:link w:val="Heading9Char"/>
    <w:uiPriority w:val="7"/>
    <w:qFormat/>
    <w:rsid w:val="003B7CFF"/>
    <w:pPr>
      <w:keepNext/>
      <w:keepLines/>
      <w:numPr>
        <w:ilvl w:val="8"/>
        <w:numId w:val="3"/>
      </w:numPr>
      <w:spacing w:before="120" w:after="0" w:line="240" w:lineRule="auto"/>
      <w:outlineLvl w:val="8"/>
    </w:pPr>
    <w:rPr>
      <w:rFonts w:ascii="Times New Roman" w:eastAsia="Times New Roman" w:hAnsi="Times New Roman" w:cs="Arial"/>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3B7CFF"/>
    <w:rPr>
      <w:rFonts w:ascii="Times New Roman" w:eastAsia="Times New Roman" w:hAnsi="Times New Roman" w:cs="Arial"/>
      <w:b/>
      <w:bCs/>
      <w:caps/>
      <w:kern w:val="32"/>
      <w:sz w:val="28"/>
      <w:szCs w:val="28"/>
      <w:lang w:val="en-GB"/>
    </w:rPr>
  </w:style>
  <w:style w:type="character" w:customStyle="1" w:styleId="Heading2Char">
    <w:name w:val="Heading 2 Char"/>
    <w:basedOn w:val="DefaultParagraphFont"/>
    <w:link w:val="Heading2"/>
    <w:uiPriority w:val="4"/>
    <w:rsid w:val="00705CDF"/>
    <w:rPr>
      <w:rFonts w:ascii="Times New Roman Bold" w:eastAsia="Times New Roman" w:hAnsi="Times New Roman Bold" w:cs="Arial"/>
      <w:b/>
      <w:bCs/>
      <w:iCs/>
      <w:caps/>
      <w:sz w:val="24"/>
      <w:szCs w:val="26"/>
      <w:lang w:val="en-GB"/>
    </w:rPr>
  </w:style>
  <w:style w:type="character" w:customStyle="1" w:styleId="Heading3Char">
    <w:name w:val="Heading 3 Char"/>
    <w:basedOn w:val="DefaultParagraphFont"/>
    <w:link w:val="Heading3"/>
    <w:uiPriority w:val="4"/>
    <w:rsid w:val="003B7CFF"/>
    <w:rPr>
      <w:rFonts w:ascii="Times New Roman" w:eastAsia="Times New Roman" w:hAnsi="Times New Roman" w:cs="Arial"/>
      <w:b/>
      <w:bCs/>
      <w:sz w:val="26"/>
      <w:szCs w:val="24"/>
      <w:lang w:val="en-GB"/>
    </w:rPr>
  </w:style>
  <w:style w:type="character" w:customStyle="1" w:styleId="Heading4Char">
    <w:name w:val="Heading 4 Char"/>
    <w:basedOn w:val="DefaultParagraphFont"/>
    <w:link w:val="Heading4"/>
    <w:uiPriority w:val="4"/>
    <w:rsid w:val="003B7CFF"/>
    <w:rPr>
      <w:rFonts w:ascii="Times New Roman" w:eastAsia="Times New Roman" w:hAnsi="Times New Roman" w:cs="Times New Roman"/>
      <w:b/>
      <w:bCs/>
      <w:sz w:val="24"/>
      <w:lang w:val="en-GB"/>
    </w:rPr>
  </w:style>
  <w:style w:type="character" w:customStyle="1" w:styleId="Heading5Char">
    <w:name w:val="Heading 5 Char"/>
    <w:basedOn w:val="DefaultParagraphFont"/>
    <w:link w:val="Heading5"/>
    <w:uiPriority w:val="8"/>
    <w:rsid w:val="003B7CFF"/>
    <w:rPr>
      <w:rFonts w:ascii="Times New Roman Bold" w:eastAsia="Times New Roman" w:hAnsi="Times New Roman Bold" w:cs="Arial"/>
      <w:b/>
      <w:bCs/>
      <w:iCs/>
      <w:lang w:val="en-US"/>
    </w:rPr>
  </w:style>
  <w:style w:type="character" w:customStyle="1" w:styleId="Heading6Char">
    <w:name w:val="Heading 6 Char"/>
    <w:basedOn w:val="DefaultParagraphFont"/>
    <w:link w:val="Heading6"/>
    <w:uiPriority w:val="8"/>
    <w:rsid w:val="003B7CFF"/>
    <w:rPr>
      <w:rFonts w:ascii="Times New Roman" w:eastAsia="Times New Roman" w:hAnsi="Times New Roman" w:cs="Arial"/>
      <w:b/>
      <w:bCs/>
      <w:i/>
      <w:lang w:val="en-US"/>
    </w:rPr>
  </w:style>
  <w:style w:type="character" w:customStyle="1" w:styleId="Heading7Char">
    <w:name w:val="Heading 7 Char"/>
    <w:basedOn w:val="DefaultParagraphFont"/>
    <w:link w:val="Heading7"/>
    <w:uiPriority w:val="99"/>
    <w:semiHidden/>
    <w:rsid w:val="003B7CFF"/>
    <w:rPr>
      <w:rFonts w:ascii="Times New Roman" w:eastAsia="Times New Roman" w:hAnsi="Times New Roman" w:cs="Arial"/>
      <w:i/>
      <w:sz w:val="24"/>
      <w:szCs w:val="24"/>
      <w:lang w:val="en-US"/>
    </w:rPr>
  </w:style>
  <w:style w:type="character" w:customStyle="1" w:styleId="Heading8Char">
    <w:name w:val="Heading 8 Char"/>
    <w:basedOn w:val="DefaultParagraphFont"/>
    <w:link w:val="Heading8"/>
    <w:uiPriority w:val="99"/>
    <w:semiHidden/>
    <w:rsid w:val="003B7CFF"/>
    <w:rPr>
      <w:rFonts w:ascii="Times New Roman" w:eastAsia="Times New Roman" w:hAnsi="Times New Roman" w:cs="Arial"/>
      <w:i/>
      <w:iCs/>
      <w:sz w:val="24"/>
      <w:szCs w:val="24"/>
      <w:lang w:val="en-US"/>
    </w:rPr>
  </w:style>
  <w:style w:type="character" w:customStyle="1" w:styleId="Heading9Char">
    <w:name w:val="Heading 9 Char"/>
    <w:aliases w:val="-References Char"/>
    <w:basedOn w:val="DefaultParagraphFont"/>
    <w:link w:val="Heading9"/>
    <w:uiPriority w:val="7"/>
    <w:rsid w:val="003B7CFF"/>
    <w:rPr>
      <w:rFonts w:ascii="Times New Roman" w:eastAsia="Times New Roman" w:hAnsi="Times New Roman" w:cs="Arial"/>
      <w:b/>
      <w:szCs w:val="24"/>
      <w:lang w:val="en-GB"/>
    </w:rPr>
  </w:style>
  <w:style w:type="paragraph" w:styleId="ListParagraph">
    <w:name w:val="List Paragraph"/>
    <w:basedOn w:val="Normal"/>
    <w:uiPriority w:val="34"/>
    <w:qFormat/>
    <w:rsid w:val="003B7CFF"/>
    <w:pPr>
      <w:contextualSpacing/>
    </w:pPr>
  </w:style>
  <w:style w:type="character" w:styleId="CommentReference">
    <w:name w:val="annotation reference"/>
    <w:uiPriority w:val="69"/>
    <w:semiHidden/>
    <w:rsid w:val="003B7CFF"/>
    <w:rPr>
      <w:sz w:val="16"/>
      <w:szCs w:val="16"/>
    </w:rPr>
  </w:style>
  <w:style w:type="paragraph" w:styleId="CommentText">
    <w:name w:val="annotation text"/>
    <w:basedOn w:val="Normal"/>
    <w:link w:val="CommentTextChar"/>
    <w:uiPriority w:val="99"/>
    <w:semiHidden/>
    <w:rsid w:val="003B7CFF"/>
    <w:rPr>
      <w:sz w:val="20"/>
      <w:szCs w:val="20"/>
    </w:rPr>
  </w:style>
  <w:style w:type="character" w:customStyle="1" w:styleId="CommentTextChar">
    <w:name w:val="Comment Text Char"/>
    <w:basedOn w:val="DefaultParagraphFont"/>
    <w:link w:val="CommentText"/>
    <w:uiPriority w:val="99"/>
    <w:semiHidden/>
    <w:rsid w:val="003B7CFF"/>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rsid w:val="003B7CFF"/>
    <w:rPr>
      <w:sz w:val="20"/>
      <w:szCs w:val="20"/>
    </w:rPr>
  </w:style>
  <w:style w:type="character" w:customStyle="1" w:styleId="FootnoteTextChar">
    <w:name w:val="Footnote Text Char"/>
    <w:basedOn w:val="DefaultParagraphFont"/>
    <w:link w:val="FootnoteText"/>
    <w:uiPriority w:val="99"/>
    <w:rsid w:val="003B7CFF"/>
    <w:rPr>
      <w:rFonts w:ascii="Times New Roman" w:eastAsia="Times New Roman" w:hAnsi="Times New Roman" w:cs="Times New Roman"/>
      <w:sz w:val="20"/>
      <w:szCs w:val="20"/>
      <w:lang w:val="en-GB"/>
    </w:rPr>
  </w:style>
  <w:style w:type="character" w:styleId="FootnoteReference">
    <w:name w:val="footnote reference"/>
    <w:uiPriority w:val="99"/>
    <w:rsid w:val="003B7CFF"/>
    <w:rPr>
      <w:vertAlign w:val="superscript"/>
    </w:rPr>
  </w:style>
  <w:style w:type="paragraph" w:styleId="ListBullet">
    <w:name w:val="List Bullet"/>
    <w:uiPriority w:val="9"/>
    <w:qFormat/>
    <w:rsid w:val="003B7CFF"/>
    <w:pPr>
      <w:numPr>
        <w:numId w:val="6"/>
      </w:numPr>
      <w:spacing w:before="60" w:after="60" w:line="240" w:lineRule="auto"/>
    </w:pPr>
    <w:rPr>
      <w:rFonts w:ascii="Times New Roman" w:eastAsia="Times New Roman" w:hAnsi="Times New Roman" w:cs="Times New Roman"/>
      <w:sz w:val="24"/>
      <w:szCs w:val="20"/>
      <w:lang w:val="en-GB"/>
    </w:rPr>
  </w:style>
  <w:style w:type="character" w:styleId="Hyperlink">
    <w:name w:val="Hyperlink"/>
    <w:uiPriority w:val="99"/>
    <w:rsid w:val="003B7CFF"/>
    <w:rPr>
      <w:color w:val="0000FF"/>
      <w:u w:val="non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Header"/>
    <w:link w:val="FooterChar"/>
    <w:rsid w:val="003B7CFF"/>
  </w:style>
  <w:style w:type="character" w:customStyle="1" w:styleId="FooterChar">
    <w:name w:val="Footer Char"/>
    <w:basedOn w:val="DefaultParagraphFont"/>
    <w:link w:val="Footer"/>
    <w:rsid w:val="003B7C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69"/>
    <w:semiHidden/>
    <w:rsid w:val="003B7CFF"/>
    <w:rPr>
      <w:rFonts w:ascii="Arial Narrow" w:hAnsi="Arial Narrow" w:cs="Tahoma"/>
      <w:sz w:val="18"/>
      <w:szCs w:val="16"/>
    </w:rPr>
  </w:style>
  <w:style w:type="character" w:customStyle="1" w:styleId="BalloonTextChar">
    <w:name w:val="Balloon Text Char"/>
    <w:basedOn w:val="DefaultParagraphFont"/>
    <w:link w:val="BalloonText"/>
    <w:uiPriority w:val="69"/>
    <w:semiHidden/>
    <w:rsid w:val="003B7CFF"/>
    <w:rPr>
      <w:rFonts w:ascii="Arial Narrow" w:eastAsia="Times New Roman" w:hAnsi="Arial Narrow" w:cs="Tahoma"/>
      <w:sz w:val="18"/>
      <w:szCs w:val="16"/>
      <w:lang w:val="en-GB"/>
    </w:rPr>
  </w:style>
  <w:style w:type="paragraph" w:customStyle="1" w:styleId="AppendixNumeric">
    <w:name w:val="Appendix Numeric"/>
    <w:next w:val="Paragraph"/>
    <w:uiPriority w:val="20"/>
    <w:qFormat/>
    <w:rsid w:val="003B7CFF"/>
    <w:pPr>
      <w:pageBreakBefore/>
      <w:numPr>
        <w:numId w:val="1"/>
      </w:numPr>
      <w:spacing w:after="160" w:line="240" w:lineRule="auto"/>
    </w:pPr>
    <w:rPr>
      <w:rFonts w:ascii="Times New Roman" w:eastAsia="Times New Roman" w:hAnsi="Times New Roman" w:cs="Arial"/>
      <w:b/>
      <w:iCs/>
      <w:snapToGrid w:val="0"/>
      <w:sz w:val="28"/>
      <w:szCs w:val="26"/>
      <w:lang w:val="sv-SE"/>
    </w:rPr>
  </w:style>
  <w:style w:type="paragraph" w:customStyle="1" w:styleId="AppendixAlpha">
    <w:name w:val="Appendix Alpha"/>
    <w:basedOn w:val="AppendixNumeric"/>
    <w:next w:val="Paragraph"/>
    <w:uiPriority w:val="21"/>
    <w:qFormat/>
    <w:rsid w:val="003B7CFF"/>
    <w:pPr>
      <w:keepNext/>
      <w:keepLines/>
      <w:numPr>
        <w:numId w:val="2"/>
      </w:numPr>
    </w:pPr>
  </w:style>
  <w:style w:type="table" w:styleId="PlainTable1">
    <w:name w:val="Plain Table 1"/>
    <w:basedOn w:val="TableNormal"/>
    <w:uiPriority w:val="41"/>
    <w:rsid w:val="00EE3A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E3A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pproval">
    <w:name w:val="Approval"/>
    <w:basedOn w:val="Paragraph"/>
    <w:uiPriority w:val="24"/>
    <w:rsid w:val="003B7CFF"/>
  </w:style>
  <w:style w:type="paragraph" w:styleId="BodyText">
    <w:name w:val="Body Text"/>
    <w:basedOn w:val="Normal"/>
    <w:link w:val="BodyTextChar"/>
    <w:uiPriority w:val="69"/>
    <w:semiHidden/>
    <w:rsid w:val="003B7CFF"/>
    <w:pPr>
      <w:spacing w:after="120"/>
    </w:pPr>
  </w:style>
  <w:style w:type="character" w:customStyle="1" w:styleId="BodyTextChar">
    <w:name w:val="Body Text Char"/>
    <w:basedOn w:val="DefaultParagraphFont"/>
    <w:link w:val="BodyText"/>
    <w:uiPriority w:val="69"/>
    <w:semiHidden/>
    <w:rsid w:val="003B7CFF"/>
    <w:rPr>
      <w:rFonts w:ascii="Times New Roman" w:eastAsia="Times New Roman" w:hAnsi="Times New Roman" w:cs="Times New Roman"/>
      <w:sz w:val="24"/>
      <w:szCs w:val="24"/>
      <w:lang w:val="en-GB"/>
    </w:rPr>
  </w:style>
  <w:style w:type="paragraph" w:styleId="BodyText2">
    <w:name w:val="Body Text 2"/>
    <w:basedOn w:val="Normal"/>
    <w:link w:val="BodyText2Char"/>
    <w:uiPriority w:val="69"/>
    <w:semiHidden/>
    <w:rsid w:val="003B7CFF"/>
    <w:pPr>
      <w:spacing w:after="120" w:line="480" w:lineRule="auto"/>
    </w:pPr>
  </w:style>
  <w:style w:type="character" w:customStyle="1" w:styleId="BodyText2Char">
    <w:name w:val="Body Text 2 Char"/>
    <w:basedOn w:val="DefaultParagraphFont"/>
    <w:link w:val="BodyText2"/>
    <w:uiPriority w:val="69"/>
    <w:semiHidden/>
    <w:rsid w:val="003B7CFF"/>
    <w:rPr>
      <w:rFonts w:ascii="Times New Roman" w:eastAsia="Times New Roman" w:hAnsi="Times New Roman" w:cs="Times New Roman"/>
      <w:sz w:val="24"/>
      <w:szCs w:val="24"/>
      <w:lang w:val="en-GB"/>
    </w:rPr>
  </w:style>
  <w:style w:type="paragraph" w:styleId="BodyText3">
    <w:name w:val="Body Text 3"/>
    <w:basedOn w:val="Normal"/>
    <w:link w:val="BodyText3Char"/>
    <w:uiPriority w:val="69"/>
    <w:semiHidden/>
    <w:rsid w:val="003B7CFF"/>
    <w:pPr>
      <w:spacing w:after="120"/>
    </w:pPr>
    <w:rPr>
      <w:sz w:val="16"/>
      <w:szCs w:val="16"/>
    </w:rPr>
  </w:style>
  <w:style w:type="character" w:customStyle="1" w:styleId="BodyText3Char">
    <w:name w:val="Body Text 3 Char"/>
    <w:basedOn w:val="DefaultParagraphFont"/>
    <w:link w:val="BodyText3"/>
    <w:uiPriority w:val="69"/>
    <w:semiHidden/>
    <w:rsid w:val="003B7CFF"/>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69"/>
    <w:semiHidden/>
    <w:rsid w:val="003B7CFF"/>
    <w:pPr>
      <w:ind w:firstLine="210"/>
    </w:pPr>
  </w:style>
  <w:style w:type="character" w:customStyle="1" w:styleId="BodyTextFirstIndentChar">
    <w:name w:val="Body Text First Indent Char"/>
    <w:basedOn w:val="BodyTextChar"/>
    <w:link w:val="BodyTextFirstIndent"/>
    <w:uiPriority w:val="69"/>
    <w:semiHidden/>
    <w:rsid w:val="003B7CFF"/>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69"/>
    <w:semiHidden/>
    <w:rsid w:val="003B7CFF"/>
    <w:pPr>
      <w:spacing w:after="120"/>
      <w:ind w:left="360"/>
    </w:pPr>
  </w:style>
  <w:style w:type="character" w:customStyle="1" w:styleId="BodyTextIndentChar">
    <w:name w:val="Body Text Indent Char"/>
    <w:basedOn w:val="DefaultParagraphFont"/>
    <w:link w:val="BodyTextIndent"/>
    <w:uiPriority w:val="69"/>
    <w:semiHidden/>
    <w:rsid w:val="003B7CFF"/>
    <w:rPr>
      <w:rFonts w:ascii="Times New Roman" w:eastAsia="Times New Roman" w:hAnsi="Times New Roman" w:cs="Times New Roman"/>
      <w:sz w:val="24"/>
      <w:szCs w:val="24"/>
      <w:lang w:val="en-GB"/>
    </w:rPr>
  </w:style>
  <w:style w:type="paragraph" w:styleId="BodyTextFirstIndent2">
    <w:name w:val="Body Text First Indent 2"/>
    <w:basedOn w:val="BodyTextIndent"/>
    <w:link w:val="BodyTextFirstIndent2Char"/>
    <w:uiPriority w:val="69"/>
    <w:semiHidden/>
    <w:rsid w:val="003B7CFF"/>
    <w:pPr>
      <w:ind w:firstLine="210"/>
    </w:pPr>
  </w:style>
  <w:style w:type="character" w:customStyle="1" w:styleId="BodyTextFirstIndent2Char">
    <w:name w:val="Body Text First Indent 2 Char"/>
    <w:basedOn w:val="BodyTextIndentChar"/>
    <w:link w:val="BodyTextFirstIndent2"/>
    <w:uiPriority w:val="69"/>
    <w:semiHidden/>
    <w:rsid w:val="003B7CFF"/>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69"/>
    <w:semiHidden/>
    <w:rsid w:val="003B7CFF"/>
    <w:pPr>
      <w:spacing w:after="120" w:line="480" w:lineRule="auto"/>
      <w:ind w:left="360"/>
    </w:pPr>
  </w:style>
  <w:style w:type="character" w:customStyle="1" w:styleId="BodyTextIndent2Char">
    <w:name w:val="Body Text Indent 2 Char"/>
    <w:basedOn w:val="DefaultParagraphFont"/>
    <w:link w:val="BodyTextIndent2"/>
    <w:uiPriority w:val="69"/>
    <w:semiHidden/>
    <w:rsid w:val="003B7CFF"/>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69"/>
    <w:semiHidden/>
    <w:rsid w:val="003B7CFF"/>
    <w:pPr>
      <w:spacing w:after="120"/>
      <w:ind w:left="360"/>
    </w:pPr>
    <w:rPr>
      <w:sz w:val="16"/>
      <w:szCs w:val="16"/>
    </w:rPr>
  </w:style>
  <w:style w:type="character" w:customStyle="1" w:styleId="BodyTextIndent3Char">
    <w:name w:val="Body Text Indent 3 Char"/>
    <w:basedOn w:val="DefaultParagraphFont"/>
    <w:link w:val="BodyTextIndent3"/>
    <w:uiPriority w:val="69"/>
    <w:semiHidden/>
    <w:rsid w:val="003B7CFF"/>
    <w:rPr>
      <w:rFonts w:ascii="Times New Roman" w:eastAsia="Times New Roman" w:hAnsi="Times New Roman" w:cs="Times New Roman"/>
      <w:sz w:val="16"/>
      <w:szCs w:val="16"/>
      <w:lang w:val="en-GB"/>
    </w:rPr>
  </w:style>
  <w:style w:type="numbering" w:styleId="111111">
    <w:name w:val="Outline List 2"/>
    <w:basedOn w:val="NoList"/>
    <w:uiPriority w:val="99"/>
    <w:semiHidden/>
    <w:unhideWhenUsed/>
    <w:rsid w:val="003B7CFF"/>
    <w:pPr>
      <w:numPr>
        <w:numId w:val="8"/>
      </w:numPr>
    </w:pPr>
  </w:style>
  <w:style w:type="numbering" w:styleId="1ai">
    <w:name w:val="Outline List 1"/>
    <w:basedOn w:val="NoList"/>
    <w:uiPriority w:val="99"/>
    <w:semiHidden/>
    <w:unhideWhenUsed/>
    <w:rsid w:val="003B7CFF"/>
    <w:pPr>
      <w:numPr>
        <w:numId w:val="9"/>
      </w:numPr>
    </w:pPr>
  </w:style>
  <w:style w:type="numbering" w:styleId="ArticleSection">
    <w:name w:val="Outline List 3"/>
    <w:basedOn w:val="NoList"/>
    <w:uiPriority w:val="99"/>
    <w:semiHidden/>
    <w:unhideWhenUsed/>
    <w:rsid w:val="003B7CFF"/>
    <w:pPr>
      <w:numPr>
        <w:numId w:val="10"/>
      </w:numPr>
    </w:pPr>
  </w:style>
  <w:style w:type="paragraph" w:styleId="Closing">
    <w:name w:val="Closing"/>
    <w:basedOn w:val="Normal"/>
    <w:link w:val="ClosingChar"/>
    <w:uiPriority w:val="69"/>
    <w:semiHidden/>
    <w:rsid w:val="003B7CFF"/>
    <w:pPr>
      <w:ind w:left="4320"/>
    </w:pPr>
  </w:style>
  <w:style w:type="character" w:customStyle="1" w:styleId="ClosingChar">
    <w:name w:val="Closing Char"/>
    <w:basedOn w:val="DefaultParagraphFont"/>
    <w:link w:val="Closing"/>
    <w:uiPriority w:val="69"/>
    <w:semiHidden/>
    <w:rsid w:val="003B7CF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69"/>
    <w:semiHidden/>
    <w:rsid w:val="003B7CFF"/>
    <w:rPr>
      <w:b/>
      <w:bCs/>
    </w:rPr>
  </w:style>
  <w:style w:type="character" w:customStyle="1" w:styleId="CommentSubjectChar">
    <w:name w:val="Comment Subject Char"/>
    <w:basedOn w:val="CommentTextChar"/>
    <w:link w:val="CommentSubject"/>
    <w:uiPriority w:val="69"/>
    <w:semiHidden/>
    <w:rsid w:val="003B7CFF"/>
    <w:rPr>
      <w:rFonts w:ascii="Times New Roman" w:eastAsia="Times New Roman" w:hAnsi="Times New Roman" w:cs="Times New Roman"/>
      <w:b/>
      <w:bCs/>
      <w:sz w:val="20"/>
      <w:szCs w:val="20"/>
      <w:lang w:val="en-GB"/>
    </w:rPr>
  </w:style>
  <w:style w:type="paragraph" w:customStyle="1" w:styleId="Confidentiality">
    <w:name w:val="Confidentiality"/>
    <w:uiPriority w:val="24"/>
    <w:rsid w:val="003B7CFF"/>
    <w:pPr>
      <w:spacing w:after="0" w:line="240" w:lineRule="auto"/>
    </w:pPr>
    <w:rPr>
      <w:rFonts w:ascii="Times New Roman" w:eastAsia="Times New Roman" w:hAnsi="Times New Roman" w:cs="Times New Roman"/>
      <w:sz w:val="24"/>
      <w:szCs w:val="20"/>
      <w:lang w:val="en-GB"/>
    </w:rPr>
  </w:style>
  <w:style w:type="paragraph" w:styleId="Date">
    <w:name w:val="Date"/>
    <w:basedOn w:val="Normal"/>
    <w:next w:val="Normal"/>
    <w:link w:val="DateChar"/>
    <w:uiPriority w:val="69"/>
    <w:semiHidden/>
    <w:rsid w:val="003B7CFF"/>
  </w:style>
  <w:style w:type="character" w:customStyle="1" w:styleId="DateChar">
    <w:name w:val="Date Char"/>
    <w:basedOn w:val="DefaultParagraphFont"/>
    <w:link w:val="Date"/>
    <w:uiPriority w:val="69"/>
    <w:semiHidden/>
    <w:rsid w:val="003B7CFF"/>
    <w:rPr>
      <w:rFonts w:ascii="Times New Roman" w:eastAsia="Times New Roman" w:hAnsi="Times New Roman" w:cs="Times New Roman"/>
      <w:sz w:val="24"/>
      <w:szCs w:val="24"/>
      <w:lang w:val="en-GB"/>
    </w:rPr>
  </w:style>
  <w:style w:type="paragraph" w:styleId="DocumentMap">
    <w:name w:val="Document Map"/>
    <w:basedOn w:val="Normal"/>
    <w:link w:val="DocumentMapChar"/>
    <w:uiPriority w:val="69"/>
    <w:semiHidden/>
    <w:rsid w:val="003B7CFF"/>
    <w:pPr>
      <w:shd w:val="clear" w:color="auto" w:fill="000080"/>
    </w:pPr>
    <w:rPr>
      <w:rFonts w:ascii="Tahoma" w:hAnsi="Tahoma" w:cs="Tahoma"/>
    </w:rPr>
  </w:style>
  <w:style w:type="character" w:customStyle="1" w:styleId="DocumentMapChar">
    <w:name w:val="Document Map Char"/>
    <w:basedOn w:val="DefaultParagraphFont"/>
    <w:link w:val="DocumentMap"/>
    <w:uiPriority w:val="69"/>
    <w:semiHidden/>
    <w:rsid w:val="003B7CFF"/>
    <w:rPr>
      <w:rFonts w:ascii="Tahoma" w:eastAsia="Times New Roman" w:hAnsi="Tahoma" w:cs="Tahoma"/>
      <w:sz w:val="24"/>
      <w:szCs w:val="24"/>
      <w:shd w:val="clear" w:color="auto" w:fill="000080"/>
      <w:lang w:val="en-GB"/>
    </w:rPr>
  </w:style>
  <w:style w:type="paragraph" w:styleId="E-mailSignature">
    <w:name w:val="E-mail Signature"/>
    <w:basedOn w:val="Normal"/>
    <w:link w:val="E-mailSignatureChar"/>
    <w:uiPriority w:val="69"/>
    <w:semiHidden/>
    <w:rsid w:val="003B7CFF"/>
  </w:style>
  <w:style w:type="character" w:customStyle="1" w:styleId="E-mailSignatureChar">
    <w:name w:val="E-mail Signature Char"/>
    <w:basedOn w:val="DefaultParagraphFont"/>
    <w:link w:val="E-mailSignature"/>
    <w:uiPriority w:val="69"/>
    <w:semiHidden/>
    <w:rsid w:val="003B7CFF"/>
    <w:rPr>
      <w:rFonts w:ascii="Times New Roman" w:eastAsia="Times New Roman" w:hAnsi="Times New Roman" w:cs="Times New Roman"/>
      <w:sz w:val="24"/>
      <w:szCs w:val="24"/>
      <w:lang w:val="en-GB"/>
    </w:rPr>
  </w:style>
  <w:style w:type="character" w:styleId="Emphasis">
    <w:name w:val="Emphasis"/>
    <w:uiPriority w:val="69"/>
    <w:qFormat/>
    <w:rsid w:val="003B7CFF"/>
    <w:rPr>
      <w:i/>
      <w:iCs/>
    </w:rPr>
  </w:style>
  <w:style w:type="character" w:styleId="EndnoteReference">
    <w:name w:val="endnote reference"/>
    <w:uiPriority w:val="99"/>
    <w:semiHidden/>
    <w:rsid w:val="003B7CFF"/>
    <w:rPr>
      <w:vertAlign w:val="superscript"/>
    </w:rPr>
  </w:style>
  <w:style w:type="paragraph" w:styleId="EndnoteText">
    <w:name w:val="endnote text"/>
    <w:basedOn w:val="Normal"/>
    <w:link w:val="EndnoteTextChar"/>
    <w:uiPriority w:val="99"/>
    <w:semiHidden/>
    <w:rsid w:val="003B7CFF"/>
    <w:rPr>
      <w:sz w:val="20"/>
      <w:szCs w:val="20"/>
    </w:rPr>
  </w:style>
  <w:style w:type="character" w:customStyle="1" w:styleId="EndnoteTextChar">
    <w:name w:val="Endnote Text Char"/>
    <w:basedOn w:val="DefaultParagraphFont"/>
    <w:link w:val="EndnoteText"/>
    <w:uiPriority w:val="99"/>
    <w:semiHidden/>
    <w:rsid w:val="003B7CFF"/>
    <w:rPr>
      <w:rFonts w:ascii="Times New Roman" w:eastAsia="Times New Roman" w:hAnsi="Times New Roman" w:cs="Times New Roman"/>
      <w:sz w:val="20"/>
      <w:szCs w:val="20"/>
      <w:lang w:val="en-GB"/>
    </w:rPr>
  </w:style>
  <w:style w:type="paragraph" w:styleId="EnvelopeAddress">
    <w:name w:val="envelope address"/>
    <w:basedOn w:val="Normal"/>
    <w:uiPriority w:val="69"/>
    <w:semiHidden/>
    <w:rsid w:val="003B7CF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69"/>
    <w:semiHidden/>
    <w:rsid w:val="003B7CFF"/>
    <w:rPr>
      <w:rFonts w:ascii="Arial" w:hAnsi="Arial" w:cs="Arial"/>
      <w:sz w:val="20"/>
      <w:szCs w:val="20"/>
    </w:rPr>
  </w:style>
  <w:style w:type="paragraph" w:customStyle="1" w:styleId="Equation">
    <w:name w:val="Equation"/>
    <w:next w:val="Paragraph"/>
    <w:uiPriority w:val="19"/>
    <w:rsid w:val="003B7CFF"/>
    <w:pPr>
      <w:keepLines/>
      <w:spacing w:after="120" w:line="240" w:lineRule="auto"/>
      <w:jc w:val="center"/>
    </w:pPr>
    <w:rPr>
      <w:rFonts w:ascii="Times New Roman" w:eastAsia="Times New Roman" w:hAnsi="Times New Roman" w:cs="Times New Roman"/>
      <w:color w:val="000000"/>
      <w:sz w:val="24"/>
      <w:szCs w:val="24"/>
      <w:lang w:val="en-US"/>
    </w:rPr>
  </w:style>
  <w:style w:type="paragraph" w:customStyle="1" w:styleId="EquationTitle">
    <w:name w:val="Equation Title"/>
    <w:next w:val="Equation"/>
    <w:uiPriority w:val="19"/>
    <w:rsid w:val="003B7CFF"/>
    <w:pPr>
      <w:keepNext/>
      <w:keepLines/>
      <w:spacing w:after="120" w:line="240" w:lineRule="auto"/>
      <w:ind w:left="1134" w:hanging="1134"/>
    </w:pPr>
    <w:rPr>
      <w:rFonts w:ascii="Times New Roman" w:eastAsia="Times New Roman" w:hAnsi="Times New Roman" w:cs="Times New Roman"/>
      <w:b/>
      <w:color w:val="000000"/>
      <w:sz w:val="24"/>
      <w:szCs w:val="24"/>
      <w:lang w:val="en-US"/>
    </w:rPr>
  </w:style>
  <w:style w:type="paragraph" w:customStyle="1" w:styleId="Figure">
    <w:name w:val="Figure"/>
    <w:next w:val="Paragraph"/>
    <w:uiPriority w:val="17"/>
    <w:rsid w:val="003B7CFF"/>
    <w:pPr>
      <w:spacing w:after="240" w:line="240" w:lineRule="auto"/>
      <w:jc w:val="center"/>
    </w:pPr>
    <w:rPr>
      <w:rFonts w:ascii="Times New Roman" w:eastAsia="Times New Roman" w:hAnsi="Times New Roman" w:cs="Times New Roman"/>
      <w:sz w:val="24"/>
      <w:szCs w:val="20"/>
      <w:lang w:val="en-GB"/>
    </w:rPr>
  </w:style>
  <w:style w:type="paragraph" w:customStyle="1" w:styleId="FigureEndofTextTitle">
    <w:name w:val="Figure End of Text Title"/>
    <w:next w:val="Figure"/>
    <w:uiPriority w:val="18"/>
    <w:rsid w:val="003B7CFF"/>
    <w:pPr>
      <w:spacing w:after="120" w:line="240" w:lineRule="auto"/>
    </w:pPr>
    <w:rPr>
      <w:rFonts w:ascii="Times New Roman" w:eastAsia="Times New Roman" w:hAnsi="Times New Roman" w:cs="Arial"/>
      <w:b/>
      <w:bCs/>
      <w:iCs/>
      <w:sz w:val="24"/>
      <w:szCs w:val="48"/>
      <w:lang w:val="en-GB"/>
    </w:rPr>
  </w:style>
  <w:style w:type="paragraph" w:customStyle="1" w:styleId="TableTitle">
    <w:name w:val="Table Title"/>
    <w:next w:val="Paragraph"/>
    <w:uiPriority w:val="10"/>
    <w:qFormat/>
    <w:rsid w:val="003B7CFF"/>
    <w:pPr>
      <w:keepNext/>
      <w:keepLines/>
      <w:tabs>
        <w:tab w:val="left" w:pos="1701"/>
      </w:tabs>
      <w:spacing w:after="120" w:line="240" w:lineRule="auto"/>
      <w:ind w:left="1701" w:hanging="1701"/>
    </w:pPr>
    <w:rPr>
      <w:rFonts w:ascii="Times New Roman" w:eastAsia="Times New Roman" w:hAnsi="Times New Roman" w:cs="Times New Roman"/>
      <w:b/>
      <w:color w:val="000000"/>
      <w:sz w:val="24"/>
      <w:szCs w:val="24"/>
      <w:lang w:val="en-GB"/>
    </w:rPr>
  </w:style>
  <w:style w:type="paragraph" w:customStyle="1" w:styleId="FigureTitle">
    <w:name w:val="Figure Title"/>
    <w:basedOn w:val="TableTitle"/>
    <w:next w:val="Figure"/>
    <w:uiPriority w:val="17"/>
    <w:qFormat/>
    <w:rsid w:val="003B7CFF"/>
  </w:style>
  <w:style w:type="paragraph" w:customStyle="1" w:styleId="FigureSummaryTitle">
    <w:name w:val="Figure Summary Title"/>
    <w:basedOn w:val="FigureTitle"/>
    <w:next w:val="Paragraph"/>
    <w:uiPriority w:val="99"/>
    <w:semiHidden/>
    <w:rsid w:val="003B7CFF"/>
  </w:style>
  <w:style w:type="character" w:styleId="FollowedHyperlink">
    <w:name w:val="FollowedHyperlink"/>
    <w:uiPriority w:val="99"/>
    <w:semiHidden/>
    <w:rsid w:val="003B7CFF"/>
    <w:rPr>
      <w:color w:val="800080"/>
      <w:u w:val="single"/>
    </w:rPr>
  </w:style>
  <w:style w:type="paragraph" w:styleId="Header">
    <w:name w:val="header"/>
    <w:link w:val="HeaderChar"/>
    <w:uiPriority w:val="29"/>
    <w:rsid w:val="003B7CFF"/>
    <w:pPr>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29"/>
    <w:rsid w:val="003B7CFF"/>
    <w:rPr>
      <w:rFonts w:ascii="Times New Roman" w:eastAsia="Times New Roman" w:hAnsi="Times New Roman" w:cs="Times New Roman"/>
      <w:sz w:val="20"/>
      <w:szCs w:val="20"/>
      <w:lang w:val="en-GB"/>
    </w:rPr>
  </w:style>
  <w:style w:type="paragraph" w:customStyle="1" w:styleId="Heading1NoTOC">
    <w:name w:val="Heading 1 No TOC"/>
    <w:basedOn w:val="Heading1"/>
    <w:next w:val="Paragraph"/>
    <w:uiPriority w:val="6"/>
    <w:qFormat/>
    <w:rsid w:val="003B7CFF"/>
    <w:pPr>
      <w:numPr>
        <w:numId w:val="0"/>
      </w:numPr>
      <w:outlineLvl w:val="9"/>
    </w:pPr>
    <w:rPr>
      <w:rFonts w:ascii="Times New Roman Bold" w:hAnsi="Times New Roman Bold"/>
      <w:bCs w:val="0"/>
      <w:szCs w:val="48"/>
    </w:rPr>
  </w:style>
  <w:style w:type="paragraph" w:customStyle="1" w:styleId="Heading1Unnumbered">
    <w:name w:val="Heading 1 Unnumbered"/>
    <w:basedOn w:val="Heading1"/>
    <w:next w:val="Paragraph"/>
    <w:uiPriority w:val="5"/>
    <w:qFormat/>
    <w:rsid w:val="00ED27EC"/>
    <w:pPr>
      <w:numPr>
        <w:numId w:val="0"/>
      </w:numPr>
      <w:tabs>
        <w:tab w:val="left" w:pos="0"/>
        <w:tab w:val="left" w:pos="1134"/>
      </w:tabs>
      <w:jc w:val="center"/>
      <w:outlineLvl w:val="4"/>
    </w:pPr>
    <w:rPr>
      <w:szCs w:val="48"/>
    </w:rPr>
  </w:style>
  <w:style w:type="paragraph" w:customStyle="1" w:styleId="Heading2NoTOC">
    <w:name w:val="Heading 2 No TOC"/>
    <w:basedOn w:val="Heading2"/>
    <w:next w:val="Paragraph"/>
    <w:uiPriority w:val="6"/>
    <w:qFormat/>
    <w:rsid w:val="003B7CFF"/>
    <w:pPr>
      <w:numPr>
        <w:ilvl w:val="0"/>
        <w:numId w:val="0"/>
      </w:numPr>
      <w:outlineLvl w:val="9"/>
    </w:pPr>
  </w:style>
  <w:style w:type="paragraph" w:customStyle="1" w:styleId="Heading2Unnumbered">
    <w:name w:val="Heading 2 Unnumbered"/>
    <w:basedOn w:val="Heading2"/>
    <w:next w:val="Paragraph"/>
    <w:uiPriority w:val="5"/>
    <w:qFormat/>
    <w:rsid w:val="003B7CFF"/>
    <w:pPr>
      <w:numPr>
        <w:ilvl w:val="0"/>
        <w:numId w:val="0"/>
      </w:numPr>
      <w:tabs>
        <w:tab w:val="left" w:pos="1134"/>
      </w:tabs>
      <w:outlineLvl w:val="5"/>
    </w:pPr>
  </w:style>
  <w:style w:type="paragraph" w:customStyle="1" w:styleId="Heading3NoTOC">
    <w:name w:val="Heading 3 No TOC"/>
    <w:basedOn w:val="Heading3"/>
    <w:next w:val="Paragraph"/>
    <w:uiPriority w:val="6"/>
    <w:qFormat/>
    <w:rsid w:val="003B7CFF"/>
    <w:pPr>
      <w:numPr>
        <w:ilvl w:val="0"/>
        <w:numId w:val="0"/>
      </w:numPr>
      <w:outlineLvl w:val="9"/>
    </w:pPr>
    <w:rPr>
      <w:sz w:val="24"/>
      <w:u w:val="single"/>
    </w:rPr>
  </w:style>
  <w:style w:type="paragraph" w:customStyle="1" w:styleId="Heading3Unnumbered">
    <w:name w:val="Heading 3 Unnumbered"/>
    <w:basedOn w:val="Heading3"/>
    <w:next w:val="Paragraph"/>
    <w:uiPriority w:val="5"/>
    <w:qFormat/>
    <w:rsid w:val="00EC60F8"/>
    <w:pPr>
      <w:numPr>
        <w:ilvl w:val="0"/>
        <w:numId w:val="0"/>
      </w:numPr>
      <w:tabs>
        <w:tab w:val="left" w:pos="1134"/>
      </w:tabs>
      <w:outlineLvl w:val="5"/>
    </w:pPr>
    <w:rPr>
      <w:sz w:val="24"/>
    </w:rPr>
  </w:style>
  <w:style w:type="paragraph" w:customStyle="1" w:styleId="Heading4NoTOC">
    <w:name w:val="Heading 4 No TOC"/>
    <w:basedOn w:val="Heading4"/>
    <w:next w:val="Paragraph"/>
    <w:uiPriority w:val="6"/>
    <w:qFormat/>
    <w:rsid w:val="003B7CFF"/>
    <w:pPr>
      <w:numPr>
        <w:ilvl w:val="0"/>
        <w:numId w:val="0"/>
      </w:numPr>
      <w:outlineLvl w:val="9"/>
    </w:pPr>
    <w:rPr>
      <w:b w:val="0"/>
      <w:u w:val="single"/>
    </w:rPr>
  </w:style>
  <w:style w:type="paragraph" w:customStyle="1" w:styleId="Heading4Unnumbered">
    <w:name w:val="Heading 4 Unnumbered"/>
    <w:basedOn w:val="Heading4"/>
    <w:next w:val="Paragraph"/>
    <w:uiPriority w:val="5"/>
    <w:qFormat/>
    <w:rsid w:val="003B7CFF"/>
    <w:pPr>
      <w:numPr>
        <w:ilvl w:val="0"/>
        <w:numId w:val="0"/>
      </w:numPr>
      <w:tabs>
        <w:tab w:val="left" w:pos="1134"/>
      </w:tabs>
      <w:outlineLvl w:val="6"/>
    </w:pPr>
    <w:rPr>
      <w:i/>
    </w:rPr>
  </w:style>
  <w:style w:type="paragraph" w:styleId="Bibliography">
    <w:name w:val="Bibliography"/>
    <w:basedOn w:val="Normal"/>
    <w:next w:val="Normal"/>
    <w:uiPriority w:val="37"/>
    <w:semiHidden/>
    <w:unhideWhenUsed/>
    <w:rsid w:val="003B7CFF"/>
  </w:style>
  <w:style w:type="paragraph" w:styleId="BlockText">
    <w:name w:val="Block Text"/>
    <w:basedOn w:val="Normal"/>
    <w:uiPriority w:val="99"/>
    <w:semiHidden/>
    <w:unhideWhenUsed/>
    <w:rsid w:val="003B7CF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Caption">
    <w:name w:val="caption"/>
    <w:basedOn w:val="TableTitle"/>
    <w:next w:val="Normal"/>
    <w:uiPriority w:val="49"/>
    <w:unhideWhenUsed/>
    <w:qFormat/>
    <w:rsid w:val="003B7CFF"/>
    <w:pPr>
      <w:spacing w:after="0"/>
    </w:pPr>
    <w:rPr>
      <w:rFonts w:ascii="Times New Roman Bold" w:hAnsi="Times New Roman Bold"/>
      <w:iCs/>
      <w:color w:val="auto"/>
      <w:szCs w:val="18"/>
    </w:rPr>
  </w:style>
  <w:style w:type="character" w:styleId="HTMLAcronym">
    <w:name w:val="HTML Acronym"/>
    <w:basedOn w:val="DefaultParagraphFont"/>
    <w:uiPriority w:val="99"/>
    <w:semiHidden/>
    <w:rsid w:val="003B7CFF"/>
  </w:style>
  <w:style w:type="paragraph" w:styleId="HTMLAddress">
    <w:name w:val="HTML Address"/>
    <w:basedOn w:val="Normal"/>
    <w:link w:val="HTMLAddressChar"/>
    <w:uiPriority w:val="99"/>
    <w:semiHidden/>
    <w:rsid w:val="003B7CFF"/>
    <w:rPr>
      <w:i/>
      <w:iCs/>
    </w:rPr>
  </w:style>
  <w:style w:type="character" w:customStyle="1" w:styleId="HTMLAddressChar">
    <w:name w:val="HTML Address Char"/>
    <w:basedOn w:val="DefaultParagraphFont"/>
    <w:link w:val="HTMLAddress"/>
    <w:uiPriority w:val="99"/>
    <w:semiHidden/>
    <w:rsid w:val="003B7CFF"/>
    <w:rPr>
      <w:rFonts w:ascii="Times New Roman" w:eastAsia="Times New Roman" w:hAnsi="Times New Roman" w:cs="Times New Roman"/>
      <w:i/>
      <w:iCs/>
      <w:sz w:val="24"/>
      <w:szCs w:val="24"/>
      <w:lang w:val="en-GB"/>
    </w:rPr>
  </w:style>
  <w:style w:type="character" w:styleId="HTMLCite">
    <w:name w:val="HTML Cite"/>
    <w:uiPriority w:val="99"/>
    <w:semiHidden/>
    <w:rsid w:val="003B7CFF"/>
    <w:rPr>
      <w:i/>
      <w:iCs/>
    </w:rPr>
  </w:style>
  <w:style w:type="character" w:styleId="HTMLCode">
    <w:name w:val="HTML Code"/>
    <w:uiPriority w:val="99"/>
    <w:semiHidden/>
    <w:rsid w:val="003B7CFF"/>
    <w:rPr>
      <w:rFonts w:ascii="Courier New" w:hAnsi="Courier New" w:cs="Courier New"/>
      <w:sz w:val="20"/>
      <w:szCs w:val="20"/>
    </w:rPr>
  </w:style>
  <w:style w:type="character" w:styleId="HTMLDefinition">
    <w:name w:val="HTML Definition"/>
    <w:uiPriority w:val="99"/>
    <w:semiHidden/>
    <w:rsid w:val="003B7CFF"/>
    <w:rPr>
      <w:i/>
      <w:iCs/>
    </w:rPr>
  </w:style>
  <w:style w:type="character" w:styleId="HTMLKeyboard">
    <w:name w:val="HTML Keyboard"/>
    <w:uiPriority w:val="99"/>
    <w:semiHidden/>
    <w:rsid w:val="003B7CFF"/>
    <w:rPr>
      <w:rFonts w:ascii="Courier New" w:hAnsi="Courier New" w:cs="Courier New"/>
      <w:sz w:val="20"/>
      <w:szCs w:val="20"/>
    </w:rPr>
  </w:style>
  <w:style w:type="paragraph" w:styleId="HTMLPreformatted">
    <w:name w:val="HTML Preformatted"/>
    <w:basedOn w:val="Normal"/>
    <w:link w:val="HTMLPreformattedChar"/>
    <w:uiPriority w:val="99"/>
    <w:semiHidden/>
    <w:rsid w:val="003B7CF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B7CFF"/>
    <w:rPr>
      <w:rFonts w:ascii="Courier New" w:eastAsia="Times New Roman" w:hAnsi="Courier New" w:cs="Courier New"/>
      <w:sz w:val="20"/>
      <w:szCs w:val="20"/>
      <w:lang w:val="en-GB"/>
    </w:rPr>
  </w:style>
  <w:style w:type="character" w:styleId="HTMLSample">
    <w:name w:val="HTML Sample"/>
    <w:uiPriority w:val="99"/>
    <w:semiHidden/>
    <w:rsid w:val="003B7CFF"/>
    <w:rPr>
      <w:rFonts w:ascii="Courier New" w:hAnsi="Courier New" w:cs="Courier New"/>
    </w:rPr>
  </w:style>
  <w:style w:type="character" w:styleId="HTMLTypewriter">
    <w:name w:val="HTML Typewriter"/>
    <w:uiPriority w:val="99"/>
    <w:semiHidden/>
    <w:rsid w:val="003B7CFF"/>
    <w:rPr>
      <w:rFonts w:ascii="Courier New" w:hAnsi="Courier New" w:cs="Courier New"/>
      <w:sz w:val="20"/>
      <w:szCs w:val="20"/>
    </w:rPr>
  </w:style>
  <w:style w:type="character" w:styleId="HTMLVariable">
    <w:name w:val="HTML Variable"/>
    <w:uiPriority w:val="99"/>
    <w:semiHidden/>
    <w:rsid w:val="003B7CFF"/>
    <w:rPr>
      <w:i/>
      <w:iCs/>
    </w:rPr>
  </w:style>
  <w:style w:type="paragraph" w:styleId="Index1">
    <w:name w:val="index 1"/>
    <w:basedOn w:val="Normal"/>
    <w:next w:val="Normal"/>
    <w:uiPriority w:val="99"/>
    <w:semiHidden/>
    <w:rsid w:val="003B7CFF"/>
    <w:pPr>
      <w:ind w:left="240" w:hanging="240"/>
    </w:pPr>
  </w:style>
  <w:style w:type="paragraph" w:styleId="Index2">
    <w:name w:val="index 2"/>
    <w:basedOn w:val="Normal"/>
    <w:next w:val="Normal"/>
    <w:uiPriority w:val="99"/>
    <w:semiHidden/>
    <w:rsid w:val="003B7CFF"/>
    <w:pPr>
      <w:ind w:left="480" w:hanging="240"/>
    </w:pPr>
  </w:style>
  <w:style w:type="paragraph" w:styleId="Index3">
    <w:name w:val="index 3"/>
    <w:basedOn w:val="Normal"/>
    <w:next w:val="Normal"/>
    <w:uiPriority w:val="99"/>
    <w:semiHidden/>
    <w:rsid w:val="003B7CFF"/>
    <w:pPr>
      <w:ind w:left="720" w:hanging="240"/>
    </w:pPr>
  </w:style>
  <w:style w:type="paragraph" w:styleId="Index4">
    <w:name w:val="index 4"/>
    <w:basedOn w:val="Normal"/>
    <w:next w:val="Normal"/>
    <w:uiPriority w:val="99"/>
    <w:semiHidden/>
    <w:rsid w:val="003B7CFF"/>
    <w:pPr>
      <w:ind w:left="960" w:hanging="240"/>
    </w:pPr>
  </w:style>
  <w:style w:type="paragraph" w:styleId="Index5">
    <w:name w:val="index 5"/>
    <w:basedOn w:val="Normal"/>
    <w:next w:val="Normal"/>
    <w:uiPriority w:val="99"/>
    <w:semiHidden/>
    <w:rsid w:val="003B7CFF"/>
    <w:pPr>
      <w:ind w:left="1200" w:hanging="240"/>
    </w:pPr>
  </w:style>
  <w:style w:type="paragraph" w:styleId="Index6">
    <w:name w:val="index 6"/>
    <w:basedOn w:val="Normal"/>
    <w:next w:val="Normal"/>
    <w:uiPriority w:val="99"/>
    <w:semiHidden/>
    <w:rsid w:val="003B7CFF"/>
    <w:pPr>
      <w:ind w:left="1440" w:hanging="240"/>
    </w:pPr>
  </w:style>
  <w:style w:type="paragraph" w:styleId="Index7">
    <w:name w:val="index 7"/>
    <w:basedOn w:val="Normal"/>
    <w:next w:val="Normal"/>
    <w:uiPriority w:val="99"/>
    <w:semiHidden/>
    <w:rsid w:val="003B7CFF"/>
    <w:pPr>
      <w:ind w:left="1680" w:hanging="240"/>
    </w:pPr>
  </w:style>
  <w:style w:type="paragraph" w:styleId="Index8">
    <w:name w:val="index 8"/>
    <w:basedOn w:val="Normal"/>
    <w:next w:val="Normal"/>
    <w:uiPriority w:val="99"/>
    <w:semiHidden/>
    <w:rsid w:val="003B7CFF"/>
    <w:pPr>
      <w:ind w:left="1920" w:hanging="240"/>
    </w:pPr>
  </w:style>
  <w:style w:type="paragraph" w:styleId="Index9">
    <w:name w:val="index 9"/>
    <w:basedOn w:val="Normal"/>
    <w:next w:val="Normal"/>
    <w:uiPriority w:val="99"/>
    <w:semiHidden/>
    <w:rsid w:val="003B7CFF"/>
    <w:pPr>
      <w:ind w:left="2160" w:hanging="240"/>
    </w:pPr>
  </w:style>
  <w:style w:type="paragraph" w:styleId="IndexHeading">
    <w:name w:val="index heading"/>
    <w:basedOn w:val="Normal"/>
    <w:next w:val="Index1"/>
    <w:uiPriority w:val="99"/>
    <w:semiHidden/>
    <w:rsid w:val="003B7CFF"/>
    <w:rPr>
      <w:rFonts w:ascii="Arial" w:hAnsi="Arial" w:cs="Arial"/>
      <w:b/>
      <w:bCs/>
    </w:rPr>
  </w:style>
  <w:style w:type="character" w:customStyle="1" w:styleId="Instructions">
    <w:name w:val="Instructions"/>
    <w:uiPriority w:val="22"/>
    <w:qFormat/>
    <w:rsid w:val="003B7CFF"/>
    <w:rPr>
      <w:i/>
      <w:vanish/>
      <w:color w:val="008080"/>
    </w:rPr>
  </w:style>
  <w:style w:type="character" w:styleId="LineNumber">
    <w:name w:val="line number"/>
    <w:basedOn w:val="DefaultParagraphFont"/>
    <w:uiPriority w:val="99"/>
    <w:semiHidden/>
    <w:rsid w:val="003B7CFF"/>
  </w:style>
  <w:style w:type="paragraph" w:styleId="List">
    <w:name w:val="List"/>
    <w:basedOn w:val="Normal"/>
    <w:uiPriority w:val="99"/>
    <w:semiHidden/>
    <w:rsid w:val="003B7CFF"/>
    <w:pPr>
      <w:ind w:left="360" w:hanging="360"/>
    </w:pPr>
  </w:style>
  <w:style w:type="paragraph" w:styleId="List2">
    <w:name w:val="List 2"/>
    <w:basedOn w:val="Normal"/>
    <w:uiPriority w:val="99"/>
    <w:semiHidden/>
    <w:rsid w:val="003B7CFF"/>
    <w:pPr>
      <w:ind w:left="720" w:hanging="360"/>
    </w:pPr>
  </w:style>
  <w:style w:type="paragraph" w:styleId="List3">
    <w:name w:val="List 3"/>
    <w:basedOn w:val="Normal"/>
    <w:uiPriority w:val="99"/>
    <w:semiHidden/>
    <w:rsid w:val="003B7CFF"/>
    <w:pPr>
      <w:ind w:left="1080" w:hanging="360"/>
    </w:pPr>
  </w:style>
  <w:style w:type="paragraph" w:styleId="List4">
    <w:name w:val="List 4"/>
    <w:basedOn w:val="Normal"/>
    <w:uiPriority w:val="99"/>
    <w:semiHidden/>
    <w:rsid w:val="003B7CFF"/>
    <w:pPr>
      <w:ind w:left="1440" w:hanging="360"/>
    </w:pPr>
  </w:style>
  <w:style w:type="paragraph" w:styleId="List5">
    <w:name w:val="List 5"/>
    <w:basedOn w:val="Normal"/>
    <w:uiPriority w:val="99"/>
    <w:semiHidden/>
    <w:rsid w:val="003B7CFF"/>
    <w:pPr>
      <w:ind w:left="1800" w:hanging="360"/>
    </w:pPr>
  </w:style>
  <w:style w:type="paragraph" w:styleId="ListBullet2">
    <w:name w:val="List Bullet 2"/>
    <w:basedOn w:val="Normal"/>
    <w:uiPriority w:val="9"/>
    <w:qFormat/>
    <w:rsid w:val="003B7CFF"/>
    <w:pPr>
      <w:numPr>
        <w:ilvl w:val="1"/>
        <w:numId w:val="6"/>
      </w:numPr>
      <w:spacing w:before="60" w:after="60"/>
    </w:pPr>
  </w:style>
  <w:style w:type="paragraph" w:styleId="ListBullet3">
    <w:name w:val="List Bullet 3"/>
    <w:basedOn w:val="Normal"/>
    <w:uiPriority w:val="9"/>
    <w:qFormat/>
    <w:rsid w:val="003B7CFF"/>
    <w:pPr>
      <w:numPr>
        <w:ilvl w:val="2"/>
        <w:numId w:val="6"/>
      </w:numPr>
      <w:spacing w:before="60" w:after="60"/>
    </w:pPr>
  </w:style>
  <w:style w:type="paragraph" w:styleId="ListBullet4">
    <w:name w:val="List Bullet 4"/>
    <w:basedOn w:val="Normal"/>
    <w:uiPriority w:val="99"/>
    <w:semiHidden/>
    <w:rsid w:val="003B7CFF"/>
    <w:pPr>
      <w:numPr>
        <w:ilvl w:val="3"/>
        <w:numId w:val="6"/>
      </w:numPr>
      <w:spacing w:before="60" w:after="60"/>
    </w:pPr>
  </w:style>
  <w:style w:type="paragraph" w:styleId="ListBullet5">
    <w:name w:val="List Bullet 5"/>
    <w:basedOn w:val="Normal"/>
    <w:uiPriority w:val="99"/>
    <w:semiHidden/>
    <w:rsid w:val="003B7CFF"/>
    <w:pPr>
      <w:tabs>
        <w:tab w:val="num" w:pos="1800"/>
      </w:tabs>
      <w:spacing w:after="60"/>
      <w:ind w:left="1797" w:hanging="357"/>
    </w:pPr>
  </w:style>
  <w:style w:type="paragraph" w:customStyle="1" w:styleId="ListBulletSmall">
    <w:name w:val="List Bullet Small"/>
    <w:basedOn w:val="ListBullet"/>
    <w:uiPriority w:val="9"/>
    <w:qFormat/>
    <w:rsid w:val="003B7CFF"/>
    <w:pPr>
      <w:numPr>
        <w:numId w:val="7"/>
      </w:numPr>
      <w:spacing w:before="40" w:after="40"/>
    </w:pPr>
    <w:rPr>
      <w:sz w:val="20"/>
      <w:szCs w:val="48"/>
    </w:rPr>
  </w:style>
  <w:style w:type="paragraph" w:customStyle="1" w:styleId="ListBulletSmall2">
    <w:name w:val="List Bullet Small 2"/>
    <w:basedOn w:val="ListBullet2"/>
    <w:uiPriority w:val="9"/>
    <w:qFormat/>
    <w:rsid w:val="003B7CFF"/>
    <w:pPr>
      <w:numPr>
        <w:numId w:val="7"/>
      </w:numPr>
      <w:spacing w:before="40" w:after="40"/>
    </w:pPr>
    <w:rPr>
      <w:sz w:val="20"/>
      <w:szCs w:val="48"/>
    </w:rPr>
  </w:style>
  <w:style w:type="paragraph" w:styleId="ListContinue">
    <w:name w:val="List Continue"/>
    <w:basedOn w:val="Normal"/>
    <w:uiPriority w:val="99"/>
    <w:semiHidden/>
    <w:rsid w:val="003B7CFF"/>
    <w:pPr>
      <w:spacing w:after="120"/>
      <w:ind w:left="360"/>
    </w:pPr>
  </w:style>
  <w:style w:type="paragraph" w:styleId="ListContinue2">
    <w:name w:val="List Continue 2"/>
    <w:basedOn w:val="Normal"/>
    <w:uiPriority w:val="99"/>
    <w:semiHidden/>
    <w:rsid w:val="003B7CFF"/>
    <w:pPr>
      <w:spacing w:after="120"/>
      <w:ind w:left="720"/>
    </w:pPr>
  </w:style>
  <w:style w:type="paragraph" w:styleId="ListContinue3">
    <w:name w:val="List Continue 3"/>
    <w:basedOn w:val="Normal"/>
    <w:uiPriority w:val="99"/>
    <w:semiHidden/>
    <w:rsid w:val="003B7CFF"/>
    <w:pPr>
      <w:spacing w:after="120"/>
      <w:ind w:left="1080"/>
    </w:pPr>
  </w:style>
  <w:style w:type="paragraph" w:styleId="ListContinue4">
    <w:name w:val="List Continue 4"/>
    <w:basedOn w:val="Normal"/>
    <w:uiPriority w:val="99"/>
    <w:semiHidden/>
    <w:rsid w:val="003B7CFF"/>
    <w:pPr>
      <w:spacing w:after="120"/>
      <w:ind w:left="1440"/>
    </w:pPr>
  </w:style>
  <w:style w:type="paragraph" w:styleId="ListContinue5">
    <w:name w:val="List Continue 5"/>
    <w:basedOn w:val="Normal"/>
    <w:uiPriority w:val="99"/>
    <w:semiHidden/>
    <w:rsid w:val="003B7CFF"/>
    <w:pPr>
      <w:spacing w:after="120"/>
      <w:ind w:left="1800"/>
    </w:pPr>
  </w:style>
  <w:style w:type="paragraph" w:customStyle="1" w:styleId="ListEnd">
    <w:name w:val="List End"/>
    <w:next w:val="Paragraph"/>
    <w:uiPriority w:val="10"/>
    <w:qFormat/>
    <w:rsid w:val="003B7CFF"/>
    <w:pPr>
      <w:spacing w:after="0" w:line="240" w:lineRule="auto"/>
    </w:pPr>
    <w:rPr>
      <w:rFonts w:ascii="Times New Roman" w:eastAsia="Times New Roman" w:hAnsi="Times New Roman" w:cs="Times New Roman"/>
      <w:sz w:val="24"/>
      <w:szCs w:val="20"/>
      <w:lang w:val="en-GB"/>
    </w:rPr>
  </w:style>
  <w:style w:type="paragraph" w:customStyle="1" w:styleId="ListHyphen">
    <w:name w:val="List Hyphen"/>
    <w:uiPriority w:val="99"/>
    <w:semiHidden/>
    <w:rsid w:val="003B7CFF"/>
    <w:pPr>
      <w:numPr>
        <w:numId w:val="4"/>
      </w:numPr>
      <w:spacing w:after="0" w:line="240" w:lineRule="auto"/>
    </w:pPr>
    <w:rPr>
      <w:rFonts w:ascii="Times New Roman" w:eastAsia="Times New Roman" w:hAnsi="Times New Roman" w:cs="Times New Roman"/>
      <w:sz w:val="24"/>
      <w:szCs w:val="20"/>
      <w:lang w:val="en-US"/>
    </w:rPr>
  </w:style>
  <w:style w:type="paragraph" w:styleId="ListNumber">
    <w:name w:val="List Number"/>
    <w:basedOn w:val="Normal"/>
    <w:uiPriority w:val="9"/>
    <w:qFormat/>
    <w:rsid w:val="003B7CFF"/>
    <w:pPr>
      <w:numPr>
        <w:numId w:val="11"/>
      </w:numPr>
      <w:spacing w:before="60" w:after="60"/>
    </w:pPr>
  </w:style>
  <w:style w:type="paragraph" w:styleId="ListNumber2">
    <w:name w:val="List Number 2"/>
    <w:basedOn w:val="ListNumber"/>
    <w:uiPriority w:val="9"/>
    <w:qFormat/>
    <w:rsid w:val="003B7CFF"/>
    <w:pPr>
      <w:numPr>
        <w:ilvl w:val="1"/>
      </w:numPr>
    </w:pPr>
  </w:style>
  <w:style w:type="paragraph" w:styleId="ListNumber3">
    <w:name w:val="List Number 3"/>
    <w:basedOn w:val="ListNumber"/>
    <w:uiPriority w:val="9"/>
    <w:qFormat/>
    <w:rsid w:val="003B7CFF"/>
    <w:pPr>
      <w:numPr>
        <w:ilvl w:val="2"/>
      </w:numPr>
    </w:pPr>
  </w:style>
  <w:style w:type="paragraph" w:styleId="ListNumber4">
    <w:name w:val="List Number 4"/>
    <w:basedOn w:val="Normal"/>
    <w:uiPriority w:val="99"/>
    <w:semiHidden/>
    <w:rsid w:val="003B7CFF"/>
    <w:pPr>
      <w:tabs>
        <w:tab w:val="num" w:pos="1440"/>
      </w:tabs>
      <w:spacing w:after="60"/>
      <w:ind w:left="1434" w:hanging="357"/>
    </w:pPr>
  </w:style>
  <w:style w:type="paragraph" w:styleId="ListNumber5">
    <w:name w:val="List Number 5"/>
    <w:basedOn w:val="Normal"/>
    <w:uiPriority w:val="99"/>
    <w:semiHidden/>
    <w:rsid w:val="003B7CFF"/>
    <w:pPr>
      <w:tabs>
        <w:tab w:val="num" w:pos="1800"/>
      </w:tabs>
      <w:spacing w:after="60"/>
      <w:ind w:left="1797" w:hanging="357"/>
    </w:pPr>
  </w:style>
  <w:style w:type="paragraph" w:styleId="MacroText">
    <w:name w:val="macro"/>
    <w:link w:val="MacroTextChar"/>
    <w:uiPriority w:val="99"/>
    <w:semiHidden/>
    <w:rsid w:val="003B7C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uiPriority w:val="99"/>
    <w:semiHidden/>
    <w:rsid w:val="003B7CFF"/>
    <w:rPr>
      <w:rFonts w:ascii="Courier New" w:eastAsia="Times New Roman" w:hAnsi="Courier New" w:cs="Courier New"/>
      <w:sz w:val="20"/>
      <w:szCs w:val="20"/>
      <w:lang w:val="en-US"/>
    </w:rPr>
  </w:style>
  <w:style w:type="paragraph" w:styleId="MessageHeader">
    <w:name w:val="Message Header"/>
    <w:basedOn w:val="Normal"/>
    <w:link w:val="MessageHeaderChar"/>
    <w:uiPriority w:val="99"/>
    <w:semiHidden/>
    <w:rsid w:val="003B7CF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3B7CFF"/>
    <w:rPr>
      <w:rFonts w:ascii="Arial" w:eastAsia="Times New Roman" w:hAnsi="Arial" w:cs="Arial"/>
      <w:sz w:val="24"/>
      <w:szCs w:val="24"/>
      <w:shd w:val="pct20" w:color="auto" w:fill="auto"/>
      <w:lang w:val="en-GB"/>
    </w:rPr>
  </w:style>
  <w:style w:type="paragraph" w:styleId="NormalWeb">
    <w:name w:val="Normal (Web)"/>
    <w:basedOn w:val="Normal"/>
    <w:uiPriority w:val="99"/>
    <w:rsid w:val="003B7CFF"/>
  </w:style>
  <w:style w:type="paragraph" w:styleId="NormalIndent">
    <w:name w:val="Normal Indent"/>
    <w:basedOn w:val="Normal"/>
    <w:uiPriority w:val="99"/>
    <w:semiHidden/>
    <w:rsid w:val="003B7CFF"/>
    <w:pPr>
      <w:ind w:left="720"/>
    </w:pPr>
  </w:style>
  <w:style w:type="paragraph" w:styleId="NoteHeading">
    <w:name w:val="Note Heading"/>
    <w:basedOn w:val="Normal"/>
    <w:next w:val="Normal"/>
    <w:link w:val="NoteHeadingChar"/>
    <w:uiPriority w:val="99"/>
    <w:semiHidden/>
    <w:rsid w:val="003B7CFF"/>
  </w:style>
  <w:style w:type="character" w:customStyle="1" w:styleId="NoteHeadingChar">
    <w:name w:val="Note Heading Char"/>
    <w:basedOn w:val="DefaultParagraphFont"/>
    <w:link w:val="NoteHeading"/>
    <w:uiPriority w:val="99"/>
    <w:semiHidden/>
    <w:rsid w:val="003B7CFF"/>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rsid w:val="003B7CFF"/>
  </w:style>
  <w:style w:type="character" w:styleId="PlaceholderText">
    <w:name w:val="Placeholder Text"/>
    <w:basedOn w:val="DefaultParagraphFont"/>
    <w:uiPriority w:val="99"/>
    <w:semiHidden/>
    <w:rsid w:val="003B7CFF"/>
    <w:rPr>
      <w:color w:val="808080"/>
    </w:rPr>
  </w:style>
  <w:style w:type="paragraph" w:styleId="PlainText">
    <w:name w:val="Plain Text"/>
    <w:basedOn w:val="Normal"/>
    <w:link w:val="PlainTextChar"/>
    <w:uiPriority w:val="49"/>
    <w:semiHidden/>
    <w:rsid w:val="003B7CFF"/>
    <w:rPr>
      <w:rFonts w:ascii="Courier New" w:hAnsi="Courier New" w:cs="Courier New"/>
      <w:sz w:val="20"/>
      <w:szCs w:val="20"/>
    </w:rPr>
  </w:style>
  <w:style w:type="character" w:customStyle="1" w:styleId="PlainTextChar">
    <w:name w:val="Plain Text Char"/>
    <w:basedOn w:val="DefaultParagraphFont"/>
    <w:link w:val="PlainText"/>
    <w:uiPriority w:val="49"/>
    <w:semiHidden/>
    <w:rsid w:val="003B7CFF"/>
    <w:rPr>
      <w:rFonts w:ascii="Courier New" w:eastAsia="Times New Roman" w:hAnsi="Courier New" w:cs="Courier New"/>
      <w:sz w:val="20"/>
      <w:szCs w:val="20"/>
      <w:lang w:val="en-GB"/>
    </w:rPr>
  </w:style>
  <w:style w:type="paragraph" w:customStyle="1" w:styleId="References">
    <w:name w:val="References"/>
    <w:uiPriority w:val="24"/>
    <w:rsid w:val="003B7CFF"/>
    <w:pPr>
      <w:numPr>
        <w:numId w:val="5"/>
      </w:numPr>
      <w:tabs>
        <w:tab w:val="clear" w:pos="360"/>
        <w:tab w:val="left" w:pos="425"/>
      </w:tabs>
      <w:spacing w:after="240" w:line="240" w:lineRule="auto"/>
      <w:ind w:left="425" w:hanging="425"/>
    </w:pPr>
    <w:rPr>
      <w:rFonts w:ascii="Times New Roman" w:eastAsia="Times New Roman" w:hAnsi="Times New Roman" w:cs="Arial"/>
      <w:bCs/>
      <w:kern w:val="32"/>
      <w:sz w:val="24"/>
      <w:szCs w:val="24"/>
      <w:lang w:val="en-GB"/>
    </w:rPr>
  </w:style>
  <w:style w:type="paragraph" w:styleId="Salutation">
    <w:name w:val="Salutation"/>
    <w:basedOn w:val="Normal"/>
    <w:next w:val="Normal"/>
    <w:link w:val="SalutationChar"/>
    <w:uiPriority w:val="49"/>
    <w:semiHidden/>
    <w:rsid w:val="003B7CFF"/>
  </w:style>
  <w:style w:type="character" w:customStyle="1" w:styleId="SalutationChar">
    <w:name w:val="Salutation Char"/>
    <w:basedOn w:val="DefaultParagraphFont"/>
    <w:link w:val="Salutation"/>
    <w:uiPriority w:val="49"/>
    <w:semiHidden/>
    <w:rsid w:val="003B7CFF"/>
    <w:rPr>
      <w:rFonts w:ascii="Times New Roman" w:eastAsia="Times New Roman" w:hAnsi="Times New Roman" w:cs="Times New Roman"/>
      <w:sz w:val="24"/>
      <w:szCs w:val="24"/>
      <w:lang w:val="en-GB"/>
    </w:rPr>
  </w:style>
  <w:style w:type="paragraph" w:customStyle="1" w:styleId="Sequence">
    <w:name w:val="Sequence"/>
    <w:basedOn w:val="Normal"/>
    <w:next w:val="Paragraph"/>
    <w:uiPriority w:val="24"/>
    <w:rsid w:val="003B7CFF"/>
    <w:pPr>
      <w:keepNext/>
      <w:spacing w:after="0" w:line="240" w:lineRule="auto"/>
    </w:pPr>
    <w:rPr>
      <w:rFonts w:ascii="Courier New" w:hAnsi="Courier New"/>
      <w:sz w:val="20"/>
    </w:rPr>
  </w:style>
  <w:style w:type="paragraph" w:styleId="Signature">
    <w:name w:val="Signature"/>
    <w:basedOn w:val="Normal"/>
    <w:link w:val="SignatureChar"/>
    <w:uiPriority w:val="49"/>
    <w:semiHidden/>
    <w:rsid w:val="003B7CFF"/>
    <w:pPr>
      <w:ind w:left="4320"/>
    </w:pPr>
  </w:style>
  <w:style w:type="character" w:customStyle="1" w:styleId="SignatureChar">
    <w:name w:val="Signature Char"/>
    <w:basedOn w:val="DefaultParagraphFont"/>
    <w:link w:val="Signature"/>
    <w:uiPriority w:val="49"/>
    <w:semiHidden/>
    <w:rsid w:val="003B7CFF"/>
    <w:rPr>
      <w:rFonts w:ascii="Times New Roman" w:eastAsia="Times New Roman" w:hAnsi="Times New Roman" w:cs="Times New Roman"/>
      <w:sz w:val="24"/>
      <w:szCs w:val="24"/>
      <w:lang w:val="en-GB"/>
    </w:rPr>
  </w:style>
  <w:style w:type="character" w:styleId="Strong">
    <w:name w:val="Strong"/>
    <w:uiPriority w:val="49"/>
    <w:qFormat/>
    <w:rsid w:val="003B7CFF"/>
    <w:rPr>
      <w:b/>
      <w:bCs/>
    </w:rPr>
  </w:style>
  <w:style w:type="paragraph" w:styleId="Subtitle">
    <w:name w:val="Subtitle"/>
    <w:basedOn w:val="Normal"/>
    <w:next w:val="Normal"/>
    <w:link w:val="SubtitleChar"/>
    <w:uiPriority w:val="99"/>
    <w:rsid w:val="003B7C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B7CFF"/>
    <w:rPr>
      <w:rFonts w:eastAsiaTheme="minorEastAsia"/>
      <w:color w:val="5A5A5A" w:themeColor="text1" w:themeTint="A5"/>
      <w:spacing w:val="15"/>
      <w:lang w:val="en-GB"/>
    </w:rPr>
  </w:style>
  <w:style w:type="table" w:styleId="TableGridLight">
    <w:name w:val="Grid Table Light"/>
    <w:basedOn w:val="TableNormal"/>
    <w:uiPriority w:val="40"/>
    <w:rsid w:val="00EE3A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unhideWhenUsed/>
    <w:rsid w:val="00EE3AC8"/>
    <w:pPr>
      <w:spacing w:before="120"/>
    </w:pPr>
    <w:rPr>
      <w:rFonts w:asciiTheme="majorHAnsi" w:eastAsiaTheme="majorEastAsia" w:hAnsiTheme="majorHAnsi" w:cstheme="majorBidi"/>
      <w:b/>
      <w:bCs/>
    </w:rPr>
  </w:style>
  <w:style w:type="character" w:styleId="UnresolvedMention">
    <w:name w:val="Unresolved Mention"/>
    <w:basedOn w:val="DefaultParagraphFont"/>
    <w:uiPriority w:val="99"/>
    <w:semiHidden/>
    <w:unhideWhenUsed/>
    <w:rsid w:val="00EE3AC8"/>
    <w:rPr>
      <w:color w:val="808080"/>
      <w:shd w:val="clear" w:color="auto" w:fill="E6E6E6"/>
    </w:rPr>
  </w:style>
  <w:style w:type="paragraph" w:customStyle="1" w:styleId="TableCenter">
    <w:name w:val="Table Center"/>
    <w:basedOn w:val="Normal"/>
    <w:uiPriority w:val="12"/>
    <w:qFormat/>
    <w:rsid w:val="00C85970"/>
    <w:pPr>
      <w:spacing w:before="40" w:after="40" w:line="240" w:lineRule="auto"/>
      <w:jc w:val="center"/>
    </w:pPr>
    <w:rPr>
      <w:sz w:val="20"/>
    </w:rPr>
  </w:style>
  <w:style w:type="paragraph" w:customStyle="1" w:styleId="TableEndofTextTitle">
    <w:name w:val="Table End of Text Title"/>
    <w:next w:val="Paragraph"/>
    <w:uiPriority w:val="11"/>
    <w:qFormat/>
    <w:rsid w:val="003B7CFF"/>
    <w:pPr>
      <w:spacing w:after="120" w:line="240" w:lineRule="auto"/>
    </w:pPr>
    <w:rPr>
      <w:rFonts w:ascii="Times New Roman" w:eastAsia="Times New Roman" w:hAnsi="Times New Roman" w:cs="Times New Roman"/>
      <w:b/>
      <w:sz w:val="24"/>
      <w:szCs w:val="24"/>
      <w:lang w:val="en-GB"/>
    </w:rPr>
  </w:style>
  <w:style w:type="paragraph" w:customStyle="1" w:styleId="TableFixedWidth">
    <w:name w:val="Table Fixed Width"/>
    <w:uiPriority w:val="15"/>
    <w:qFormat/>
    <w:rsid w:val="003B7CFF"/>
    <w:pPr>
      <w:spacing w:after="0" w:line="240" w:lineRule="auto"/>
    </w:pPr>
    <w:rPr>
      <w:rFonts w:ascii="Courier New" w:eastAsia="Times New Roman" w:hAnsi="Courier New" w:cs="Times New Roman"/>
      <w:sz w:val="20"/>
      <w:szCs w:val="20"/>
      <w:lang w:val="en-GB"/>
    </w:rPr>
  </w:style>
  <w:style w:type="paragraph" w:styleId="NoSpacing">
    <w:name w:val="No Spacing"/>
    <w:uiPriority w:val="1"/>
    <w:qFormat/>
    <w:rsid w:val="003B7CFF"/>
    <w:pPr>
      <w:spacing w:after="0" w:line="240" w:lineRule="auto"/>
    </w:pPr>
    <w:rPr>
      <w:rFonts w:ascii="Times New Roman" w:eastAsia="Times New Roman" w:hAnsi="Times New Roman" w:cs="Times New Roman"/>
      <w:sz w:val="24"/>
      <w:szCs w:val="24"/>
      <w:lang w:val="en-GB"/>
    </w:rPr>
  </w:style>
  <w:style w:type="paragraph" w:customStyle="1" w:styleId="TableFootnoteInfo">
    <w:name w:val="Table Footnote Info"/>
    <w:basedOn w:val="Normal"/>
    <w:uiPriority w:val="14"/>
    <w:qFormat/>
    <w:rsid w:val="00DF3302"/>
    <w:pPr>
      <w:keepLines/>
      <w:spacing w:before="40" w:after="40" w:line="240" w:lineRule="auto"/>
    </w:pPr>
    <w:rPr>
      <w:sz w:val="18"/>
      <w:szCs w:val="48"/>
    </w:rPr>
  </w:style>
  <w:style w:type="paragraph" w:customStyle="1" w:styleId="TableFootnoteLetter">
    <w:name w:val="Table Footnote Letter"/>
    <w:basedOn w:val="Normal"/>
    <w:uiPriority w:val="13"/>
    <w:rsid w:val="00DF3302"/>
    <w:pPr>
      <w:keepLines/>
      <w:numPr>
        <w:numId w:val="17"/>
      </w:numPr>
      <w:spacing w:before="40" w:after="40" w:line="240" w:lineRule="auto"/>
    </w:pPr>
    <w:rPr>
      <w:sz w:val="18"/>
      <w:szCs w:val="20"/>
    </w:rPr>
  </w:style>
  <w:style w:type="paragraph" w:styleId="IntenseQuote">
    <w:name w:val="Intense Quote"/>
    <w:basedOn w:val="Normal"/>
    <w:next w:val="Normal"/>
    <w:link w:val="IntenseQuoteChar"/>
    <w:uiPriority w:val="30"/>
    <w:qFormat/>
    <w:rsid w:val="003B7C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7CFF"/>
    <w:rPr>
      <w:rFonts w:ascii="Times New Roman" w:eastAsia="Times New Roman" w:hAnsi="Times New Roman" w:cs="Times New Roman"/>
      <w:i/>
      <w:iCs/>
      <w:color w:val="4F81BD" w:themeColor="accent1"/>
      <w:sz w:val="24"/>
      <w:szCs w:val="24"/>
      <w:lang w:val="en-GB"/>
    </w:rPr>
  </w:style>
  <w:style w:type="table" w:styleId="LightList">
    <w:name w:val="Light List"/>
    <w:basedOn w:val="TableNormal"/>
    <w:uiPriority w:val="61"/>
    <w:rsid w:val="003B7CFF"/>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Head">
    <w:name w:val="Table Head"/>
    <w:basedOn w:val="TableText"/>
    <w:uiPriority w:val="11"/>
    <w:qFormat/>
    <w:rsid w:val="003B7CFF"/>
    <w:rPr>
      <w:b/>
      <w:szCs w:val="48"/>
    </w:rPr>
  </w:style>
  <w:style w:type="paragraph" w:customStyle="1" w:styleId="TableLeft">
    <w:name w:val="Table Left"/>
    <w:uiPriority w:val="12"/>
    <w:qFormat/>
    <w:rsid w:val="00C85970"/>
    <w:pPr>
      <w:spacing w:before="40" w:after="40" w:line="240" w:lineRule="auto"/>
    </w:pPr>
    <w:rPr>
      <w:rFonts w:ascii="Times New Roman" w:eastAsia="Times New Roman" w:hAnsi="Times New Roman" w:cs="Arial"/>
      <w:bCs/>
      <w:kern w:val="32"/>
      <w:sz w:val="20"/>
      <w:szCs w:val="24"/>
      <w:lang w:val="en-GB"/>
    </w:rPr>
  </w:style>
  <w:style w:type="paragraph" w:styleId="TableofFigures">
    <w:name w:val="table of figures"/>
    <w:basedOn w:val="Normal"/>
    <w:next w:val="Paragraph"/>
    <w:uiPriority w:val="40"/>
    <w:rsid w:val="003B7CFF"/>
    <w:pPr>
      <w:tabs>
        <w:tab w:val="left" w:pos="1701"/>
        <w:tab w:val="right" w:leader="dot" w:pos="9000"/>
      </w:tabs>
      <w:spacing w:before="60" w:after="0"/>
      <w:ind w:left="1701" w:right="357" w:hanging="1701"/>
    </w:pPr>
  </w:style>
  <w:style w:type="table" w:styleId="TableGrid">
    <w:name w:val="Table Grid"/>
    <w:basedOn w:val="TableNormal"/>
    <w:uiPriority w:val="59"/>
    <w:rsid w:val="003B7CFF"/>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Continued">
    <w:name w:val="Table Title Continued"/>
    <w:basedOn w:val="Normal"/>
    <w:uiPriority w:val="10"/>
    <w:qFormat/>
    <w:rsid w:val="003B7CFF"/>
    <w:pPr>
      <w:spacing w:after="120"/>
    </w:pPr>
    <w:rPr>
      <w:b/>
    </w:rPr>
  </w:style>
  <w:style w:type="paragraph" w:styleId="Title">
    <w:name w:val="Title"/>
    <w:link w:val="TitleChar"/>
    <w:uiPriority w:val="25"/>
    <w:rsid w:val="003B7CFF"/>
    <w:pPr>
      <w:spacing w:before="240" w:after="240" w:line="240" w:lineRule="auto"/>
      <w:jc w:val="center"/>
    </w:pPr>
    <w:rPr>
      <w:rFonts w:ascii="Times New Roman" w:eastAsia="Times New Roman" w:hAnsi="Times New Roman" w:cs="Arial"/>
      <w:b/>
      <w:bCs/>
      <w:kern w:val="28"/>
      <w:sz w:val="32"/>
      <w:szCs w:val="32"/>
      <w:lang w:val="en-GB"/>
    </w:rPr>
  </w:style>
  <w:style w:type="character" w:customStyle="1" w:styleId="TitleChar">
    <w:name w:val="Title Char"/>
    <w:basedOn w:val="DefaultParagraphFont"/>
    <w:link w:val="Title"/>
    <w:uiPriority w:val="25"/>
    <w:rsid w:val="003B7CFF"/>
    <w:rPr>
      <w:rFonts w:ascii="Times New Roman" w:eastAsia="Times New Roman" w:hAnsi="Times New Roman" w:cs="Arial"/>
      <w:b/>
      <w:bCs/>
      <w:kern w:val="28"/>
      <w:sz w:val="32"/>
      <w:szCs w:val="32"/>
      <w:lang w:val="en-GB"/>
    </w:rPr>
  </w:style>
  <w:style w:type="paragraph" w:styleId="TOC1">
    <w:name w:val="toc 1"/>
    <w:next w:val="Paragraph"/>
    <w:uiPriority w:val="39"/>
    <w:rsid w:val="003B7CFF"/>
    <w:pPr>
      <w:tabs>
        <w:tab w:val="left" w:pos="1134"/>
        <w:tab w:val="right" w:leader="dot" w:pos="9000"/>
      </w:tabs>
      <w:spacing w:before="120" w:after="0" w:line="240" w:lineRule="auto"/>
      <w:ind w:left="1134" w:right="357" w:hanging="1134"/>
    </w:pPr>
    <w:rPr>
      <w:rFonts w:ascii="Times New Roman" w:eastAsia="Times New Roman" w:hAnsi="Times New Roman" w:cs="Times New Roman"/>
      <w:caps/>
      <w:sz w:val="24"/>
      <w:szCs w:val="20"/>
      <w:lang w:val="en-GB"/>
    </w:rPr>
  </w:style>
  <w:style w:type="paragraph" w:styleId="TOC2">
    <w:name w:val="toc 2"/>
    <w:basedOn w:val="TOC1"/>
    <w:next w:val="Paragraph"/>
    <w:uiPriority w:val="39"/>
    <w:rsid w:val="003B7CFF"/>
    <w:pPr>
      <w:spacing w:before="60"/>
    </w:pPr>
    <w:rPr>
      <w:caps w:val="0"/>
      <w:szCs w:val="24"/>
    </w:rPr>
  </w:style>
  <w:style w:type="paragraph" w:styleId="TOC3">
    <w:name w:val="toc 3"/>
    <w:basedOn w:val="TOC1"/>
    <w:next w:val="Paragraph"/>
    <w:uiPriority w:val="39"/>
    <w:rsid w:val="003B7CFF"/>
    <w:pPr>
      <w:spacing w:before="0"/>
    </w:pPr>
    <w:rPr>
      <w:caps w:val="0"/>
      <w:szCs w:val="24"/>
    </w:rPr>
  </w:style>
  <w:style w:type="paragraph" w:styleId="TOC4">
    <w:name w:val="toc 4"/>
    <w:basedOn w:val="Normal"/>
    <w:next w:val="Paragraph"/>
    <w:uiPriority w:val="39"/>
    <w:rsid w:val="003B7CFF"/>
    <w:pPr>
      <w:tabs>
        <w:tab w:val="left" w:pos="1134"/>
        <w:tab w:val="right" w:leader="dot" w:pos="9000"/>
      </w:tabs>
      <w:spacing w:after="0" w:line="240" w:lineRule="auto"/>
      <w:ind w:left="1134" w:right="357" w:hanging="1134"/>
    </w:pPr>
  </w:style>
  <w:style w:type="paragraph" w:styleId="TOC5">
    <w:name w:val="toc 5"/>
    <w:basedOn w:val="TOC1"/>
    <w:next w:val="Normal"/>
    <w:uiPriority w:val="39"/>
    <w:rsid w:val="003B7CFF"/>
    <w:pPr>
      <w:tabs>
        <w:tab w:val="clear" w:pos="1134"/>
      </w:tabs>
      <w:ind w:left="0" w:firstLine="0"/>
    </w:pPr>
    <w:rPr>
      <w:noProof/>
    </w:rPr>
  </w:style>
  <w:style w:type="paragraph" w:styleId="TOC6">
    <w:name w:val="toc 6"/>
    <w:basedOn w:val="TOC2"/>
    <w:next w:val="Normal"/>
    <w:uiPriority w:val="39"/>
    <w:rsid w:val="003B7CFF"/>
    <w:pPr>
      <w:tabs>
        <w:tab w:val="clear" w:pos="1134"/>
      </w:tabs>
      <w:ind w:left="0" w:firstLine="0"/>
    </w:pPr>
    <w:rPr>
      <w:noProof/>
    </w:rPr>
  </w:style>
  <w:style w:type="paragraph" w:styleId="TOC7">
    <w:name w:val="toc 7"/>
    <w:basedOn w:val="Normal"/>
    <w:next w:val="Normal"/>
    <w:uiPriority w:val="39"/>
    <w:rsid w:val="003B7CFF"/>
    <w:pPr>
      <w:tabs>
        <w:tab w:val="right" w:leader="dot" w:pos="9000"/>
      </w:tabs>
      <w:spacing w:after="0" w:line="240" w:lineRule="auto"/>
      <w:ind w:right="357"/>
    </w:pPr>
    <w:rPr>
      <w:noProof/>
    </w:rPr>
  </w:style>
  <w:style w:type="paragraph" w:styleId="TOC8">
    <w:name w:val="toc 8"/>
    <w:basedOn w:val="TOC7"/>
    <w:next w:val="Normal"/>
    <w:uiPriority w:val="39"/>
    <w:rsid w:val="003B7CFF"/>
    <w:rPr>
      <w:i/>
    </w:rPr>
  </w:style>
  <w:style w:type="paragraph" w:styleId="TOC9">
    <w:name w:val="toc 9"/>
    <w:basedOn w:val="Normal"/>
    <w:next w:val="Normal"/>
    <w:uiPriority w:val="39"/>
    <w:rsid w:val="003B7CFF"/>
    <w:pPr>
      <w:tabs>
        <w:tab w:val="left" w:pos="1134"/>
        <w:tab w:val="right" w:leader="dot" w:pos="9000"/>
      </w:tabs>
      <w:ind w:left="1134" w:right="360" w:hanging="1134"/>
    </w:pPr>
  </w:style>
  <w:style w:type="paragraph" w:styleId="TOCHeading">
    <w:name w:val="TOC Heading"/>
    <w:basedOn w:val="TOCTitle"/>
    <w:next w:val="Normal"/>
    <w:uiPriority w:val="39"/>
    <w:rsid w:val="003B7CFF"/>
    <w:pPr>
      <w:spacing w:after="0"/>
    </w:pPr>
    <w:rPr>
      <w:rFonts w:asciiTheme="majorHAnsi" w:eastAsiaTheme="majorEastAsia" w:hAnsiTheme="majorHAnsi" w:cstheme="majorBidi"/>
      <w:bCs w:val="0"/>
      <w:caps w:val="0"/>
      <w:kern w:val="0"/>
      <w:szCs w:val="32"/>
    </w:rPr>
  </w:style>
  <w:style w:type="paragraph" w:customStyle="1" w:styleId="TOCSection">
    <w:name w:val="TOC Section"/>
    <w:basedOn w:val="Heading1"/>
    <w:uiPriority w:val="25"/>
    <w:rsid w:val="003B7CFF"/>
    <w:pPr>
      <w:numPr>
        <w:numId w:val="0"/>
      </w:numPr>
      <w:tabs>
        <w:tab w:val="left" w:pos="0"/>
        <w:tab w:val="left" w:pos="480"/>
      </w:tabs>
      <w:spacing w:after="120"/>
      <w:outlineLvl w:val="9"/>
    </w:pPr>
  </w:style>
  <w:style w:type="paragraph" w:customStyle="1" w:styleId="TOCTitle">
    <w:name w:val="TOC Title"/>
    <w:basedOn w:val="Title"/>
    <w:next w:val="TOC1"/>
    <w:uiPriority w:val="25"/>
    <w:rsid w:val="003B7CFF"/>
    <w:pPr>
      <w:pageBreakBefore/>
      <w:jc w:val="left"/>
    </w:pPr>
    <w:rPr>
      <w:caps/>
      <w:sz w:val="28"/>
      <w:szCs w:val="28"/>
    </w:rPr>
  </w:style>
  <w:style w:type="character" w:customStyle="1" w:styleId="UserTips">
    <w:name w:val="User Tips"/>
    <w:uiPriority w:val="22"/>
    <w:rsid w:val="003B7CFF"/>
    <w:rPr>
      <w:i/>
      <w:vanish/>
      <w:color w:val="FF0000"/>
    </w:rPr>
  </w:style>
  <w:style w:type="paragraph" w:customStyle="1" w:styleId="AppendixAlphaSub1">
    <w:name w:val="Appendix Alpha Sub 1"/>
    <w:basedOn w:val="AppendixAlpha"/>
    <w:next w:val="Paragraph"/>
    <w:uiPriority w:val="21"/>
    <w:qFormat/>
    <w:rsid w:val="003B7CFF"/>
    <w:pPr>
      <w:pageBreakBefore w:val="0"/>
      <w:numPr>
        <w:ilvl w:val="1"/>
      </w:numPr>
      <w:spacing w:before="120"/>
    </w:pPr>
  </w:style>
  <w:style w:type="paragraph" w:styleId="Quote">
    <w:name w:val="Quote"/>
    <w:basedOn w:val="Normal"/>
    <w:next w:val="Normal"/>
    <w:link w:val="QuoteChar"/>
    <w:uiPriority w:val="29"/>
    <w:qFormat/>
    <w:rsid w:val="003B7C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7CFF"/>
    <w:rPr>
      <w:rFonts w:ascii="Times New Roman" w:eastAsia="Times New Roman" w:hAnsi="Times New Roman" w:cs="Times New Roman"/>
      <w:i/>
      <w:iCs/>
      <w:color w:val="404040" w:themeColor="text1" w:themeTint="BF"/>
      <w:sz w:val="24"/>
      <w:szCs w:val="24"/>
      <w:lang w:val="en-GB"/>
    </w:rPr>
  </w:style>
  <w:style w:type="paragraph" w:customStyle="1" w:styleId="AppendixAlphaSub2">
    <w:name w:val="Appendix Alpha Sub 2"/>
    <w:basedOn w:val="AppendixAlphaSub1"/>
    <w:next w:val="Paragraph"/>
    <w:uiPriority w:val="21"/>
    <w:unhideWhenUsed/>
    <w:qFormat/>
    <w:rsid w:val="003B7CFF"/>
    <w:pPr>
      <w:numPr>
        <w:ilvl w:val="2"/>
      </w:numPr>
    </w:pPr>
    <w:rPr>
      <w:sz w:val="26"/>
    </w:rPr>
  </w:style>
  <w:style w:type="paragraph" w:customStyle="1" w:styleId="AppendixAlphaSub3">
    <w:name w:val="Appendix Alpha Sub 3"/>
    <w:basedOn w:val="AppendixAlphaSub1"/>
    <w:next w:val="Paragraph"/>
    <w:uiPriority w:val="21"/>
    <w:unhideWhenUsed/>
    <w:qFormat/>
    <w:rsid w:val="003B7CFF"/>
    <w:pPr>
      <w:numPr>
        <w:ilvl w:val="3"/>
      </w:numPr>
    </w:pPr>
    <w:rPr>
      <w:sz w:val="24"/>
    </w:rPr>
  </w:style>
  <w:style w:type="paragraph" w:customStyle="1" w:styleId="AppendixAlphaSub4">
    <w:name w:val="Appendix Alpha Sub 4"/>
    <w:basedOn w:val="AppendixAlphaSub1"/>
    <w:next w:val="Paragraph"/>
    <w:uiPriority w:val="21"/>
    <w:unhideWhenUsed/>
    <w:qFormat/>
    <w:rsid w:val="003B7CFF"/>
    <w:pPr>
      <w:numPr>
        <w:ilvl w:val="4"/>
      </w:numPr>
      <w:spacing w:after="60"/>
    </w:pPr>
    <w:rPr>
      <w:i/>
      <w:sz w:val="24"/>
    </w:rPr>
  </w:style>
  <w:style w:type="paragraph" w:customStyle="1" w:styleId="ListNumberSmall">
    <w:name w:val="List Number Small"/>
    <w:basedOn w:val="ListBulletSmall"/>
    <w:uiPriority w:val="9"/>
    <w:qFormat/>
    <w:rsid w:val="003B7CFF"/>
    <w:pPr>
      <w:numPr>
        <w:numId w:val="12"/>
      </w:numPr>
      <w:tabs>
        <w:tab w:val="left" w:pos="425"/>
      </w:tabs>
    </w:pPr>
  </w:style>
  <w:style w:type="paragraph" w:customStyle="1" w:styleId="TableHidden">
    <w:name w:val="Table Hidden"/>
    <w:basedOn w:val="Paragraph"/>
    <w:uiPriority w:val="23"/>
    <w:qFormat/>
    <w:rsid w:val="003B7CFF"/>
    <w:rPr>
      <w:vanish/>
    </w:rPr>
  </w:style>
  <w:style w:type="paragraph" w:customStyle="1" w:styleId="FigureTitleContinued">
    <w:name w:val="Figure Title Continued"/>
    <w:basedOn w:val="FigureTitle"/>
    <w:uiPriority w:val="17"/>
    <w:qFormat/>
    <w:rsid w:val="003B7CFF"/>
    <w:rPr>
      <w:lang w:val="sv-SE"/>
    </w:rPr>
  </w:style>
  <w:style w:type="paragraph" w:customStyle="1" w:styleId="Z-LineL1">
    <w:name w:val="Z-Line L 1"/>
    <w:basedOn w:val="Normal"/>
    <w:uiPriority w:val="42"/>
    <w:rsid w:val="003B7CFF"/>
    <w:pPr>
      <w:spacing w:before="60" w:after="0" w:line="240" w:lineRule="auto"/>
    </w:pPr>
    <w:rPr>
      <w:sz w:val="20"/>
      <w:szCs w:val="20"/>
    </w:rPr>
  </w:style>
  <w:style w:type="paragraph" w:customStyle="1" w:styleId="Z-LineL2">
    <w:name w:val="Z-Line L 2"/>
    <w:basedOn w:val="Normal"/>
    <w:uiPriority w:val="42"/>
    <w:rsid w:val="003B7CFF"/>
    <w:pPr>
      <w:spacing w:before="60" w:after="0" w:line="240" w:lineRule="auto"/>
    </w:pPr>
    <w:rPr>
      <w:sz w:val="20"/>
      <w:szCs w:val="20"/>
    </w:rPr>
  </w:style>
  <w:style w:type="paragraph" w:customStyle="1" w:styleId="Z-LineL3">
    <w:name w:val="Z-Line L 3"/>
    <w:basedOn w:val="Normal"/>
    <w:uiPriority w:val="42"/>
    <w:rsid w:val="003B7CFF"/>
    <w:pPr>
      <w:spacing w:before="60" w:after="0" w:line="240" w:lineRule="auto"/>
    </w:pPr>
    <w:rPr>
      <w:sz w:val="20"/>
      <w:szCs w:val="20"/>
    </w:rPr>
  </w:style>
  <w:style w:type="paragraph" w:customStyle="1" w:styleId="Z-LineL4">
    <w:name w:val="Z-Line L 4"/>
    <w:basedOn w:val="Normal"/>
    <w:uiPriority w:val="42"/>
    <w:rsid w:val="003B7CFF"/>
    <w:pPr>
      <w:spacing w:before="60" w:after="0" w:line="240" w:lineRule="auto"/>
    </w:pPr>
    <w:rPr>
      <w:sz w:val="20"/>
      <w:szCs w:val="20"/>
    </w:rPr>
  </w:style>
  <w:style w:type="paragraph" w:customStyle="1" w:styleId="Z-LineR1">
    <w:name w:val="Z-Line R 1"/>
    <w:basedOn w:val="Normal"/>
    <w:uiPriority w:val="42"/>
    <w:rsid w:val="003B7CFF"/>
    <w:pPr>
      <w:spacing w:before="60" w:after="0" w:line="240" w:lineRule="auto"/>
    </w:pPr>
    <w:rPr>
      <w:sz w:val="20"/>
      <w:szCs w:val="20"/>
    </w:rPr>
  </w:style>
  <w:style w:type="paragraph" w:customStyle="1" w:styleId="Z-LineR2">
    <w:name w:val="Z-Line R 2"/>
    <w:basedOn w:val="Normal"/>
    <w:uiPriority w:val="42"/>
    <w:rsid w:val="003B7CFF"/>
    <w:pPr>
      <w:spacing w:before="60" w:after="0" w:line="240" w:lineRule="auto"/>
    </w:pPr>
    <w:rPr>
      <w:sz w:val="20"/>
      <w:szCs w:val="20"/>
    </w:rPr>
  </w:style>
  <w:style w:type="paragraph" w:customStyle="1" w:styleId="Z-LineR3">
    <w:name w:val="Z-Line R 3"/>
    <w:basedOn w:val="Normal"/>
    <w:uiPriority w:val="42"/>
    <w:rsid w:val="003B7CFF"/>
    <w:pPr>
      <w:spacing w:before="60" w:after="0" w:line="240" w:lineRule="auto"/>
    </w:pPr>
    <w:rPr>
      <w:sz w:val="20"/>
      <w:szCs w:val="20"/>
    </w:rPr>
  </w:style>
  <w:style w:type="paragraph" w:customStyle="1" w:styleId="Z-LineR4">
    <w:name w:val="Z-Line R 4"/>
    <w:basedOn w:val="Normal"/>
    <w:uiPriority w:val="42"/>
    <w:rsid w:val="003B7CFF"/>
    <w:pPr>
      <w:spacing w:after="60" w:line="240" w:lineRule="auto"/>
    </w:pPr>
    <w:rPr>
      <w:sz w:val="20"/>
      <w:szCs w:val="20"/>
    </w:rPr>
  </w:style>
  <w:style w:type="paragraph" w:customStyle="1" w:styleId="Z-DocumentName">
    <w:name w:val="Z-Document Name"/>
    <w:basedOn w:val="Z-LineL1"/>
    <w:uiPriority w:val="42"/>
    <w:qFormat/>
    <w:rsid w:val="003B7CFF"/>
    <w:rPr>
      <w:b/>
    </w:rPr>
  </w:style>
  <w:style w:type="character" w:styleId="BookTitle">
    <w:name w:val="Book Title"/>
    <w:basedOn w:val="DefaultParagraphFont"/>
    <w:uiPriority w:val="33"/>
    <w:qFormat/>
    <w:rsid w:val="00EE3AC8"/>
    <w:rPr>
      <w:b/>
      <w:bCs/>
      <w:i/>
      <w:iCs/>
      <w:spacing w:val="5"/>
    </w:rPr>
  </w:style>
  <w:style w:type="table" w:styleId="ColorfulGrid">
    <w:name w:val="Colorful Grid"/>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E3A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E3AC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E3AC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E3AC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E3AC8"/>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3AC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3AC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E3A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E3AC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E3AC8"/>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E3AC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E3AC8"/>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E3AC8"/>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E3AC8"/>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E3AC8"/>
    <w:rPr>
      <w:color w:val="2B579A"/>
      <w:shd w:val="clear" w:color="auto" w:fill="E6E6E6"/>
    </w:rPr>
  </w:style>
  <w:style w:type="character" w:styleId="IntenseEmphasis">
    <w:name w:val="Intense Emphasis"/>
    <w:basedOn w:val="DefaultParagraphFont"/>
    <w:uiPriority w:val="21"/>
    <w:qFormat/>
    <w:rsid w:val="00EE3AC8"/>
    <w:rPr>
      <w:i/>
      <w:iCs/>
      <w:color w:val="4F81BD" w:themeColor="accent1"/>
    </w:rPr>
  </w:style>
  <w:style w:type="character" w:styleId="IntenseReference">
    <w:name w:val="Intense Reference"/>
    <w:basedOn w:val="DefaultParagraphFont"/>
    <w:uiPriority w:val="32"/>
    <w:qFormat/>
    <w:rsid w:val="00EE3AC8"/>
    <w:rPr>
      <w:b/>
      <w:bCs/>
      <w:smallCaps/>
      <w:color w:val="4F81BD" w:themeColor="accent1"/>
      <w:spacing w:val="5"/>
    </w:rPr>
  </w:style>
  <w:style w:type="table" w:styleId="LightGrid-Accent1">
    <w:name w:val="Light Grid Accent 1"/>
    <w:basedOn w:val="TableNormal"/>
    <w:uiPriority w:val="62"/>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1">
    <w:name w:val="Light List Accent 1"/>
    <w:basedOn w:val="TableNormal"/>
    <w:uiPriority w:val="61"/>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E3A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E3AC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E3AC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E3AC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E3AC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E3AC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E3AC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E3A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E3AC8"/>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E3AC8"/>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E3AC8"/>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E3AC8"/>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E3AC8"/>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E3AC8"/>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E3A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E3AC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E3AC8"/>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E3AC8"/>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E3AC8"/>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E3AC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E3AC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E3A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E3AC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E3AC8"/>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E3AC8"/>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E3AC8"/>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E3AC8"/>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E3AC8"/>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E3A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E3AC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E3AC8"/>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E3AC8"/>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E3AC8"/>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E3AC8"/>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E3AC8"/>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E3AC8"/>
    <w:rPr>
      <w:color w:val="2B579A"/>
      <w:shd w:val="clear" w:color="auto" w:fill="E6E6E6"/>
    </w:rPr>
  </w:style>
  <w:style w:type="table" w:styleId="PlainTable3">
    <w:name w:val="Plain Table 3"/>
    <w:basedOn w:val="TableNormal"/>
    <w:uiPriority w:val="43"/>
    <w:rsid w:val="00EE3A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E3A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E3A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EE3AC8"/>
    <w:rPr>
      <w:u w:val="dotted"/>
    </w:rPr>
  </w:style>
  <w:style w:type="character" w:styleId="SubtleEmphasis">
    <w:name w:val="Subtle Emphasis"/>
    <w:basedOn w:val="DefaultParagraphFont"/>
    <w:uiPriority w:val="19"/>
    <w:qFormat/>
    <w:rsid w:val="00EE3AC8"/>
    <w:rPr>
      <w:i/>
      <w:iCs/>
      <w:color w:val="404040" w:themeColor="text1" w:themeTint="BF"/>
    </w:rPr>
  </w:style>
  <w:style w:type="character" w:styleId="SubtleReference">
    <w:name w:val="Subtle Reference"/>
    <w:basedOn w:val="DefaultParagraphFont"/>
    <w:uiPriority w:val="31"/>
    <w:qFormat/>
    <w:rsid w:val="00EE3AC8"/>
    <w:rPr>
      <w:smallCaps/>
      <w:color w:val="5A5A5A" w:themeColor="text1" w:themeTint="A5"/>
    </w:rPr>
  </w:style>
  <w:style w:type="paragraph" w:customStyle="1" w:styleId="Paragraph">
    <w:name w:val="Paragraph"/>
    <w:link w:val="ParagraphChar"/>
    <w:qFormat/>
    <w:rsid w:val="00F913F9"/>
    <w:pPr>
      <w:spacing w:after="240" w:line="240" w:lineRule="auto"/>
    </w:pPr>
    <w:rPr>
      <w:rFonts w:ascii="Times New Roman" w:eastAsia="Times New Roman" w:hAnsi="Times New Roman" w:cs="Times New Roman"/>
      <w:sz w:val="24"/>
      <w:szCs w:val="24"/>
      <w:lang w:val="en-GB"/>
    </w:rPr>
  </w:style>
  <w:style w:type="character" w:customStyle="1" w:styleId="ParagraphChar">
    <w:name w:val="Paragraph Char"/>
    <w:basedOn w:val="DefaultParagraphFont"/>
    <w:link w:val="Paragraph"/>
    <w:rsid w:val="00F913F9"/>
    <w:rPr>
      <w:rFonts w:ascii="Times New Roman" w:eastAsia="Times New Roman" w:hAnsi="Times New Roman" w:cs="Times New Roman"/>
      <w:sz w:val="24"/>
      <w:szCs w:val="24"/>
      <w:lang w:val="en-GB"/>
    </w:rPr>
  </w:style>
  <w:style w:type="table" w:styleId="Table3Deffects1">
    <w:name w:val="Table 3D effects 1"/>
    <w:basedOn w:val="TableNormal"/>
    <w:semiHidden/>
    <w:rsid w:val="003B7CFF"/>
    <w:pPr>
      <w:spacing w:after="0" w:line="240" w:lineRule="auto"/>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7CFF"/>
    <w:pPr>
      <w:spacing w:after="0" w:line="240" w:lineRule="auto"/>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7CFF"/>
    <w:pPr>
      <w:spacing w:after="0" w:line="240" w:lineRule="auto"/>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Text">
    <w:name w:val="Table Text"/>
    <w:semiHidden/>
    <w:rsid w:val="003B7CFF"/>
    <w:pPr>
      <w:spacing w:before="40" w:after="40" w:line="240" w:lineRule="auto"/>
      <w:jc w:val="center"/>
    </w:pPr>
    <w:rPr>
      <w:rFonts w:ascii="Times New Roman" w:eastAsia="Times New Roman" w:hAnsi="Times New Roman" w:cs="Times New Roman"/>
      <w:sz w:val="20"/>
      <w:szCs w:val="20"/>
      <w:lang w:val="en-GB"/>
    </w:rPr>
  </w:style>
  <w:style w:type="table" w:styleId="TableGrid1">
    <w:name w:val="Table Grid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B7CFF"/>
    <w:pPr>
      <w:ind w:left="240" w:hanging="240"/>
    </w:pPr>
  </w:style>
  <w:style w:type="table" w:styleId="TableProfessional">
    <w:name w:val="Table Professional"/>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
    <w:name w:val="Table Row Head"/>
    <w:basedOn w:val="TableText"/>
    <w:semiHidden/>
    <w:rsid w:val="003B7CFF"/>
    <w:pPr>
      <w:tabs>
        <w:tab w:val="left" w:pos="360"/>
      </w:tabs>
      <w:jc w:val="left"/>
    </w:pPr>
  </w:style>
  <w:style w:type="table" w:styleId="TableSimple1">
    <w:name w:val="Table Simp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SummaryHead">
    <w:name w:val="Table Summary Head"/>
    <w:basedOn w:val="TableText"/>
    <w:semiHidden/>
    <w:rsid w:val="003B7CFF"/>
  </w:style>
  <w:style w:type="paragraph" w:customStyle="1" w:styleId="TableSummaryTitle">
    <w:name w:val="Table Summary Title"/>
    <w:basedOn w:val="TableTitle"/>
    <w:next w:val="TableHead"/>
    <w:semiHidden/>
    <w:rsid w:val="003B7CFF"/>
    <w:pPr>
      <w:pageBreakBefore/>
    </w:pPr>
  </w:style>
  <w:style w:type="table" w:styleId="TableTheme">
    <w:name w:val="Table Theme"/>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5unnumbered">
    <w:name w:val="Heading 5 unnumbered"/>
    <w:basedOn w:val="Heading4Unnumbered"/>
    <w:uiPriority w:val="99"/>
    <w:qFormat/>
    <w:rsid w:val="002C7518"/>
    <w:rPr>
      <w:b w:val="0"/>
    </w:rPr>
  </w:style>
  <w:style w:type="paragraph" w:customStyle="1" w:styleId="A-FigureTitle">
    <w:name w:val="A-Figure Title"/>
    <w:next w:val="Normal"/>
    <w:link w:val="A-FigureTitleChar"/>
    <w:rsid w:val="004D3700"/>
    <w:pPr>
      <w:keepNext/>
      <w:tabs>
        <w:tab w:val="left" w:pos="1800"/>
      </w:tabs>
      <w:spacing w:after="120" w:line="280" w:lineRule="atLeast"/>
      <w:ind w:left="1800" w:hanging="1800"/>
    </w:pPr>
    <w:rPr>
      <w:rFonts w:ascii="Times New Roman" w:eastAsia="Times New Roman" w:hAnsi="Times New Roman" w:cs="Times New Roman"/>
      <w:b/>
      <w:sz w:val="24"/>
      <w:szCs w:val="20"/>
      <w:lang w:val="en-GB"/>
    </w:rPr>
  </w:style>
  <w:style w:type="character" w:customStyle="1" w:styleId="A-FigureTitleChar">
    <w:name w:val="A-Figure Title Char"/>
    <w:link w:val="A-FigureTitle"/>
    <w:locked/>
    <w:rsid w:val="004D3700"/>
    <w:rPr>
      <w:rFonts w:ascii="Times New Roman" w:eastAsia="Times New Roman" w:hAnsi="Times New Roman" w:cs="Times New Roman"/>
      <w:b/>
      <w:sz w:val="24"/>
      <w:szCs w:val="20"/>
      <w:lang w:val="en-GB"/>
    </w:rPr>
  </w:style>
  <w:style w:type="paragraph" w:customStyle="1" w:styleId="A-TableText">
    <w:name w:val="A-Table Text"/>
    <w:qFormat/>
    <w:rsid w:val="003360A6"/>
    <w:pPr>
      <w:spacing w:before="60" w:after="6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43198">
      <w:bodyDiv w:val="1"/>
      <w:marLeft w:val="0"/>
      <w:marRight w:val="0"/>
      <w:marTop w:val="0"/>
      <w:marBottom w:val="0"/>
      <w:divBdr>
        <w:top w:val="none" w:sz="0" w:space="0" w:color="auto"/>
        <w:left w:val="none" w:sz="0" w:space="0" w:color="auto"/>
        <w:bottom w:val="none" w:sz="0" w:space="0" w:color="auto"/>
        <w:right w:val="none" w:sz="0" w:space="0" w:color="auto"/>
      </w:divBdr>
    </w:div>
    <w:div w:id="66927230">
      <w:bodyDiv w:val="1"/>
      <w:marLeft w:val="0"/>
      <w:marRight w:val="0"/>
      <w:marTop w:val="0"/>
      <w:marBottom w:val="0"/>
      <w:divBdr>
        <w:top w:val="none" w:sz="0" w:space="0" w:color="auto"/>
        <w:left w:val="none" w:sz="0" w:space="0" w:color="auto"/>
        <w:bottom w:val="none" w:sz="0" w:space="0" w:color="auto"/>
        <w:right w:val="none" w:sz="0" w:space="0" w:color="auto"/>
      </w:divBdr>
    </w:div>
    <w:div w:id="106895397">
      <w:bodyDiv w:val="1"/>
      <w:marLeft w:val="0"/>
      <w:marRight w:val="0"/>
      <w:marTop w:val="0"/>
      <w:marBottom w:val="0"/>
      <w:divBdr>
        <w:top w:val="none" w:sz="0" w:space="0" w:color="auto"/>
        <w:left w:val="none" w:sz="0" w:space="0" w:color="auto"/>
        <w:bottom w:val="none" w:sz="0" w:space="0" w:color="auto"/>
        <w:right w:val="none" w:sz="0" w:space="0" w:color="auto"/>
      </w:divBdr>
    </w:div>
    <w:div w:id="116460765">
      <w:bodyDiv w:val="1"/>
      <w:marLeft w:val="0"/>
      <w:marRight w:val="0"/>
      <w:marTop w:val="0"/>
      <w:marBottom w:val="0"/>
      <w:divBdr>
        <w:top w:val="none" w:sz="0" w:space="0" w:color="auto"/>
        <w:left w:val="none" w:sz="0" w:space="0" w:color="auto"/>
        <w:bottom w:val="none" w:sz="0" w:space="0" w:color="auto"/>
        <w:right w:val="none" w:sz="0" w:space="0" w:color="auto"/>
      </w:divBdr>
    </w:div>
    <w:div w:id="290325810">
      <w:bodyDiv w:val="1"/>
      <w:marLeft w:val="0"/>
      <w:marRight w:val="0"/>
      <w:marTop w:val="0"/>
      <w:marBottom w:val="0"/>
      <w:divBdr>
        <w:top w:val="none" w:sz="0" w:space="0" w:color="auto"/>
        <w:left w:val="none" w:sz="0" w:space="0" w:color="auto"/>
        <w:bottom w:val="none" w:sz="0" w:space="0" w:color="auto"/>
        <w:right w:val="none" w:sz="0" w:space="0" w:color="auto"/>
      </w:divBdr>
    </w:div>
    <w:div w:id="412047348">
      <w:bodyDiv w:val="1"/>
      <w:marLeft w:val="0"/>
      <w:marRight w:val="0"/>
      <w:marTop w:val="0"/>
      <w:marBottom w:val="0"/>
      <w:divBdr>
        <w:top w:val="none" w:sz="0" w:space="0" w:color="auto"/>
        <w:left w:val="none" w:sz="0" w:space="0" w:color="auto"/>
        <w:bottom w:val="none" w:sz="0" w:space="0" w:color="auto"/>
        <w:right w:val="none" w:sz="0" w:space="0" w:color="auto"/>
      </w:divBdr>
    </w:div>
    <w:div w:id="428935166">
      <w:bodyDiv w:val="1"/>
      <w:marLeft w:val="0"/>
      <w:marRight w:val="0"/>
      <w:marTop w:val="0"/>
      <w:marBottom w:val="0"/>
      <w:divBdr>
        <w:top w:val="none" w:sz="0" w:space="0" w:color="auto"/>
        <w:left w:val="none" w:sz="0" w:space="0" w:color="auto"/>
        <w:bottom w:val="none" w:sz="0" w:space="0" w:color="auto"/>
        <w:right w:val="none" w:sz="0" w:space="0" w:color="auto"/>
      </w:divBdr>
    </w:div>
    <w:div w:id="499927585">
      <w:bodyDiv w:val="1"/>
      <w:marLeft w:val="0"/>
      <w:marRight w:val="0"/>
      <w:marTop w:val="0"/>
      <w:marBottom w:val="0"/>
      <w:divBdr>
        <w:top w:val="none" w:sz="0" w:space="0" w:color="auto"/>
        <w:left w:val="none" w:sz="0" w:space="0" w:color="auto"/>
        <w:bottom w:val="none" w:sz="0" w:space="0" w:color="auto"/>
        <w:right w:val="none" w:sz="0" w:space="0" w:color="auto"/>
      </w:divBdr>
    </w:div>
    <w:div w:id="618805416">
      <w:bodyDiv w:val="1"/>
      <w:marLeft w:val="0"/>
      <w:marRight w:val="0"/>
      <w:marTop w:val="0"/>
      <w:marBottom w:val="0"/>
      <w:divBdr>
        <w:top w:val="none" w:sz="0" w:space="0" w:color="auto"/>
        <w:left w:val="none" w:sz="0" w:space="0" w:color="auto"/>
        <w:bottom w:val="none" w:sz="0" w:space="0" w:color="auto"/>
        <w:right w:val="none" w:sz="0" w:space="0" w:color="auto"/>
      </w:divBdr>
    </w:div>
    <w:div w:id="624893836">
      <w:bodyDiv w:val="1"/>
      <w:marLeft w:val="0"/>
      <w:marRight w:val="0"/>
      <w:marTop w:val="0"/>
      <w:marBottom w:val="0"/>
      <w:divBdr>
        <w:top w:val="none" w:sz="0" w:space="0" w:color="auto"/>
        <w:left w:val="none" w:sz="0" w:space="0" w:color="auto"/>
        <w:bottom w:val="none" w:sz="0" w:space="0" w:color="auto"/>
        <w:right w:val="none" w:sz="0" w:space="0" w:color="auto"/>
      </w:divBdr>
    </w:div>
    <w:div w:id="801388221">
      <w:bodyDiv w:val="1"/>
      <w:marLeft w:val="0"/>
      <w:marRight w:val="0"/>
      <w:marTop w:val="0"/>
      <w:marBottom w:val="0"/>
      <w:divBdr>
        <w:top w:val="none" w:sz="0" w:space="0" w:color="auto"/>
        <w:left w:val="none" w:sz="0" w:space="0" w:color="auto"/>
        <w:bottom w:val="none" w:sz="0" w:space="0" w:color="auto"/>
        <w:right w:val="none" w:sz="0" w:space="0" w:color="auto"/>
      </w:divBdr>
    </w:div>
    <w:div w:id="827987917">
      <w:bodyDiv w:val="1"/>
      <w:marLeft w:val="0"/>
      <w:marRight w:val="0"/>
      <w:marTop w:val="0"/>
      <w:marBottom w:val="0"/>
      <w:divBdr>
        <w:top w:val="none" w:sz="0" w:space="0" w:color="auto"/>
        <w:left w:val="none" w:sz="0" w:space="0" w:color="auto"/>
        <w:bottom w:val="none" w:sz="0" w:space="0" w:color="auto"/>
        <w:right w:val="none" w:sz="0" w:space="0" w:color="auto"/>
      </w:divBdr>
    </w:div>
    <w:div w:id="835807785">
      <w:bodyDiv w:val="1"/>
      <w:marLeft w:val="0"/>
      <w:marRight w:val="0"/>
      <w:marTop w:val="0"/>
      <w:marBottom w:val="0"/>
      <w:divBdr>
        <w:top w:val="none" w:sz="0" w:space="0" w:color="auto"/>
        <w:left w:val="none" w:sz="0" w:space="0" w:color="auto"/>
        <w:bottom w:val="none" w:sz="0" w:space="0" w:color="auto"/>
        <w:right w:val="none" w:sz="0" w:space="0" w:color="auto"/>
      </w:divBdr>
    </w:div>
    <w:div w:id="846869698">
      <w:bodyDiv w:val="1"/>
      <w:marLeft w:val="0"/>
      <w:marRight w:val="0"/>
      <w:marTop w:val="0"/>
      <w:marBottom w:val="0"/>
      <w:divBdr>
        <w:top w:val="none" w:sz="0" w:space="0" w:color="auto"/>
        <w:left w:val="none" w:sz="0" w:space="0" w:color="auto"/>
        <w:bottom w:val="none" w:sz="0" w:space="0" w:color="auto"/>
        <w:right w:val="none" w:sz="0" w:space="0" w:color="auto"/>
      </w:divBdr>
    </w:div>
    <w:div w:id="896278253">
      <w:bodyDiv w:val="1"/>
      <w:marLeft w:val="0"/>
      <w:marRight w:val="0"/>
      <w:marTop w:val="0"/>
      <w:marBottom w:val="0"/>
      <w:divBdr>
        <w:top w:val="none" w:sz="0" w:space="0" w:color="auto"/>
        <w:left w:val="none" w:sz="0" w:space="0" w:color="auto"/>
        <w:bottom w:val="none" w:sz="0" w:space="0" w:color="auto"/>
        <w:right w:val="none" w:sz="0" w:space="0" w:color="auto"/>
      </w:divBdr>
    </w:div>
    <w:div w:id="949628256">
      <w:bodyDiv w:val="1"/>
      <w:marLeft w:val="0"/>
      <w:marRight w:val="0"/>
      <w:marTop w:val="0"/>
      <w:marBottom w:val="0"/>
      <w:divBdr>
        <w:top w:val="none" w:sz="0" w:space="0" w:color="auto"/>
        <w:left w:val="none" w:sz="0" w:space="0" w:color="auto"/>
        <w:bottom w:val="none" w:sz="0" w:space="0" w:color="auto"/>
        <w:right w:val="none" w:sz="0" w:space="0" w:color="auto"/>
      </w:divBdr>
    </w:div>
    <w:div w:id="956840498">
      <w:bodyDiv w:val="1"/>
      <w:marLeft w:val="0"/>
      <w:marRight w:val="0"/>
      <w:marTop w:val="0"/>
      <w:marBottom w:val="0"/>
      <w:divBdr>
        <w:top w:val="none" w:sz="0" w:space="0" w:color="auto"/>
        <w:left w:val="none" w:sz="0" w:space="0" w:color="auto"/>
        <w:bottom w:val="none" w:sz="0" w:space="0" w:color="auto"/>
        <w:right w:val="none" w:sz="0" w:space="0" w:color="auto"/>
      </w:divBdr>
    </w:div>
    <w:div w:id="965701038">
      <w:bodyDiv w:val="1"/>
      <w:marLeft w:val="0"/>
      <w:marRight w:val="0"/>
      <w:marTop w:val="0"/>
      <w:marBottom w:val="0"/>
      <w:divBdr>
        <w:top w:val="none" w:sz="0" w:space="0" w:color="auto"/>
        <w:left w:val="none" w:sz="0" w:space="0" w:color="auto"/>
        <w:bottom w:val="none" w:sz="0" w:space="0" w:color="auto"/>
        <w:right w:val="none" w:sz="0" w:space="0" w:color="auto"/>
      </w:divBdr>
    </w:div>
    <w:div w:id="996422406">
      <w:bodyDiv w:val="1"/>
      <w:marLeft w:val="0"/>
      <w:marRight w:val="0"/>
      <w:marTop w:val="0"/>
      <w:marBottom w:val="0"/>
      <w:divBdr>
        <w:top w:val="none" w:sz="0" w:space="0" w:color="auto"/>
        <w:left w:val="none" w:sz="0" w:space="0" w:color="auto"/>
        <w:bottom w:val="none" w:sz="0" w:space="0" w:color="auto"/>
        <w:right w:val="none" w:sz="0" w:space="0" w:color="auto"/>
      </w:divBdr>
    </w:div>
    <w:div w:id="1143087393">
      <w:bodyDiv w:val="1"/>
      <w:marLeft w:val="0"/>
      <w:marRight w:val="0"/>
      <w:marTop w:val="0"/>
      <w:marBottom w:val="0"/>
      <w:divBdr>
        <w:top w:val="none" w:sz="0" w:space="0" w:color="auto"/>
        <w:left w:val="none" w:sz="0" w:space="0" w:color="auto"/>
        <w:bottom w:val="none" w:sz="0" w:space="0" w:color="auto"/>
        <w:right w:val="none" w:sz="0" w:space="0" w:color="auto"/>
      </w:divBdr>
    </w:div>
    <w:div w:id="1156729796">
      <w:bodyDiv w:val="1"/>
      <w:marLeft w:val="0"/>
      <w:marRight w:val="0"/>
      <w:marTop w:val="0"/>
      <w:marBottom w:val="0"/>
      <w:divBdr>
        <w:top w:val="none" w:sz="0" w:space="0" w:color="auto"/>
        <w:left w:val="none" w:sz="0" w:space="0" w:color="auto"/>
        <w:bottom w:val="none" w:sz="0" w:space="0" w:color="auto"/>
        <w:right w:val="none" w:sz="0" w:space="0" w:color="auto"/>
      </w:divBdr>
    </w:div>
    <w:div w:id="1193765299">
      <w:bodyDiv w:val="1"/>
      <w:marLeft w:val="0"/>
      <w:marRight w:val="0"/>
      <w:marTop w:val="0"/>
      <w:marBottom w:val="0"/>
      <w:divBdr>
        <w:top w:val="none" w:sz="0" w:space="0" w:color="auto"/>
        <w:left w:val="none" w:sz="0" w:space="0" w:color="auto"/>
        <w:bottom w:val="none" w:sz="0" w:space="0" w:color="auto"/>
        <w:right w:val="none" w:sz="0" w:space="0" w:color="auto"/>
      </w:divBdr>
    </w:div>
    <w:div w:id="1199508651">
      <w:bodyDiv w:val="1"/>
      <w:marLeft w:val="0"/>
      <w:marRight w:val="0"/>
      <w:marTop w:val="0"/>
      <w:marBottom w:val="0"/>
      <w:divBdr>
        <w:top w:val="none" w:sz="0" w:space="0" w:color="auto"/>
        <w:left w:val="none" w:sz="0" w:space="0" w:color="auto"/>
        <w:bottom w:val="none" w:sz="0" w:space="0" w:color="auto"/>
        <w:right w:val="none" w:sz="0" w:space="0" w:color="auto"/>
      </w:divBdr>
    </w:div>
    <w:div w:id="1210385297">
      <w:bodyDiv w:val="1"/>
      <w:marLeft w:val="0"/>
      <w:marRight w:val="0"/>
      <w:marTop w:val="0"/>
      <w:marBottom w:val="0"/>
      <w:divBdr>
        <w:top w:val="none" w:sz="0" w:space="0" w:color="auto"/>
        <w:left w:val="none" w:sz="0" w:space="0" w:color="auto"/>
        <w:bottom w:val="none" w:sz="0" w:space="0" w:color="auto"/>
        <w:right w:val="none" w:sz="0" w:space="0" w:color="auto"/>
      </w:divBdr>
    </w:div>
    <w:div w:id="1221407537">
      <w:bodyDiv w:val="1"/>
      <w:marLeft w:val="0"/>
      <w:marRight w:val="0"/>
      <w:marTop w:val="0"/>
      <w:marBottom w:val="0"/>
      <w:divBdr>
        <w:top w:val="none" w:sz="0" w:space="0" w:color="auto"/>
        <w:left w:val="none" w:sz="0" w:space="0" w:color="auto"/>
        <w:bottom w:val="none" w:sz="0" w:space="0" w:color="auto"/>
        <w:right w:val="none" w:sz="0" w:space="0" w:color="auto"/>
      </w:divBdr>
    </w:div>
    <w:div w:id="1247348944">
      <w:bodyDiv w:val="1"/>
      <w:marLeft w:val="0"/>
      <w:marRight w:val="0"/>
      <w:marTop w:val="0"/>
      <w:marBottom w:val="0"/>
      <w:divBdr>
        <w:top w:val="none" w:sz="0" w:space="0" w:color="auto"/>
        <w:left w:val="none" w:sz="0" w:space="0" w:color="auto"/>
        <w:bottom w:val="none" w:sz="0" w:space="0" w:color="auto"/>
        <w:right w:val="none" w:sz="0" w:space="0" w:color="auto"/>
      </w:divBdr>
    </w:div>
    <w:div w:id="1292714203">
      <w:bodyDiv w:val="1"/>
      <w:marLeft w:val="0"/>
      <w:marRight w:val="0"/>
      <w:marTop w:val="0"/>
      <w:marBottom w:val="0"/>
      <w:divBdr>
        <w:top w:val="none" w:sz="0" w:space="0" w:color="auto"/>
        <w:left w:val="none" w:sz="0" w:space="0" w:color="auto"/>
        <w:bottom w:val="none" w:sz="0" w:space="0" w:color="auto"/>
        <w:right w:val="none" w:sz="0" w:space="0" w:color="auto"/>
      </w:divBdr>
    </w:div>
    <w:div w:id="1340889065">
      <w:bodyDiv w:val="1"/>
      <w:marLeft w:val="0"/>
      <w:marRight w:val="0"/>
      <w:marTop w:val="0"/>
      <w:marBottom w:val="0"/>
      <w:divBdr>
        <w:top w:val="none" w:sz="0" w:space="0" w:color="auto"/>
        <w:left w:val="none" w:sz="0" w:space="0" w:color="auto"/>
        <w:bottom w:val="none" w:sz="0" w:space="0" w:color="auto"/>
        <w:right w:val="none" w:sz="0" w:space="0" w:color="auto"/>
      </w:divBdr>
    </w:div>
    <w:div w:id="1435242859">
      <w:bodyDiv w:val="1"/>
      <w:marLeft w:val="0"/>
      <w:marRight w:val="0"/>
      <w:marTop w:val="0"/>
      <w:marBottom w:val="0"/>
      <w:divBdr>
        <w:top w:val="none" w:sz="0" w:space="0" w:color="auto"/>
        <w:left w:val="none" w:sz="0" w:space="0" w:color="auto"/>
        <w:bottom w:val="none" w:sz="0" w:space="0" w:color="auto"/>
        <w:right w:val="none" w:sz="0" w:space="0" w:color="auto"/>
      </w:divBdr>
    </w:div>
    <w:div w:id="1440447677">
      <w:bodyDiv w:val="1"/>
      <w:marLeft w:val="0"/>
      <w:marRight w:val="0"/>
      <w:marTop w:val="0"/>
      <w:marBottom w:val="0"/>
      <w:divBdr>
        <w:top w:val="none" w:sz="0" w:space="0" w:color="auto"/>
        <w:left w:val="none" w:sz="0" w:space="0" w:color="auto"/>
        <w:bottom w:val="none" w:sz="0" w:space="0" w:color="auto"/>
        <w:right w:val="none" w:sz="0" w:space="0" w:color="auto"/>
      </w:divBdr>
    </w:div>
    <w:div w:id="1449544535">
      <w:bodyDiv w:val="1"/>
      <w:marLeft w:val="0"/>
      <w:marRight w:val="0"/>
      <w:marTop w:val="0"/>
      <w:marBottom w:val="0"/>
      <w:divBdr>
        <w:top w:val="none" w:sz="0" w:space="0" w:color="auto"/>
        <w:left w:val="none" w:sz="0" w:space="0" w:color="auto"/>
        <w:bottom w:val="none" w:sz="0" w:space="0" w:color="auto"/>
        <w:right w:val="none" w:sz="0" w:space="0" w:color="auto"/>
      </w:divBdr>
    </w:div>
    <w:div w:id="1485393849">
      <w:bodyDiv w:val="1"/>
      <w:marLeft w:val="0"/>
      <w:marRight w:val="0"/>
      <w:marTop w:val="0"/>
      <w:marBottom w:val="0"/>
      <w:divBdr>
        <w:top w:val="none" w:sz="0" w:space="0" w:color="auto"/>
        <w:left w:val="none" w:sz="0" w:space="0" w:color="auto"/>
        <w:bottom w:val="none" w:sz="0" w:space="0" w:color="auto"/>
        <w:right w:val="none" w:sz="0" w:space="0" w:color="auto"/>
      </w:divBdr>
    </w:div>
    <w:div w:id="1529872546">
      <w:bodyDiv w:val="1"/>
      <w:marLeft w:val="0"/>
      <w:marRight w:val="0"/>
      <w:marTop w:val="0"/>
      <w:marBottom w:val="0"/>
      <w:divBdr>
        <w:top w:val="none" w:sz="0" w:space="0" w:color="auto"/>
        <w:left w:val="none" w:sz="0" w:space="0" w:color="auto"/>
        <w:bottom w:val="none" w:sz="0" w:space="0" w:color="auto"/>
        <w:right w:val="none" w:sz="0" w:space="0" w:color="auto"/>
      </w:divBdr>
    </w:div>
    <w:div w:id="1552382018">
      <w:bodyDiv w:val="1"/>
      <w:marLeft w:val="0"/>
      <w:marRight w:val="0"/>
      <w:marTop w:val="0"/>
      <w:marBottom w:val="0"/>
      <w:divBdr>
        <w:top w:val="none" w:sz="0" w:space="0" w:color="auto"/>
        <w:left w:val="none" w:sz="0" w:space="0" w:color="auto"/>
        <w:bottom w:val="none" w:sz="0" w:space="0" w:color="auto"/>
        <w:right w:val="none" w:sz="0" w:space="0" w:color="auto"/>
      </w:divBdr>
    </w:div>
    <w:div w:id="1601447491">
      <w:bodyDiv w:val="1"/>
      <w:marLeft w:val="0"/>
      <w:marRight w:val="0"/>
      <w:marTop w:val="0"/>
      <w:marBottom w:val="0"/>
      <w:divBdr>
        <w:top w:val="none" w:sz="0" w:space="0" w:color="auto"/>
        <w:left w:val="none" w:sz="0" w:space="0" w:color="auto"/>
        <w:bottom w:val="none" w:sz="0" w:space="0" w:color="auto"/>
        <w:right w:val="none" w:sz="0" w:space="0" w:color="auto"/>
      </w:divBdr>
    </w:div>
    <w:div w:id="1606426754">
      <w:bodyDiv w:val="1"/>
      <w:marLeft w:val="0"/>
      <w:marRight w:val="0"/>
      <w:marTop w:val="0"/>
      <w:marBottom w:val="0"/>
      <w:divBdr>
        <w:top w:val="none" w:sz="0" w:space="0" w:color="auto"/>
        <w:left w:val="none" w:sz="0" w:space="0" w:color="auto"/>
        <w:bottom w:val="none" w:sz="0" w:space="0" w:color="auto"/>
        <w:right w:val="none" w:sz="0" w:space="0" w:color="auto"/>
      </w:divBdr>
    </w:div>
    <w:div w:id="1686469836">
      <w:bodyDiv w:val="1"/>
      <w:marLeft w:val="0"/>
      <w:marRight w:val="0"/>
      <w:marTop w:val="0"/>
      <w:marBottom w:val="0"/>
      <w:divBdr>
        <w:top w:val="none" w:sz="0" w:space="0" w:color="auto"/>
        <w:left w:val="none" w:sz="0" w:space="0" w:color="auto"/>
        <w:bottom w:val="none" w:sz="0" w:space="0" w:color="auto"/>
        <w:right w:val="none" w:sz="0" w:space="0" w:color="auto"/>
      </w:divBdr>
    </w:div>
    <w:div w:id="1786149057">
      <w:bodyDiv w:val="1"/>
      <w:marLeft w:val="0"/>
      <w:marRight w:val="0"/>
      <w:marTop w:val="0"/>
      <w:marBottom w:val="0"/>
      <w:divBdr>
        <w:top w:val="none" w:sz="0" w:space="0" w:color="auto"/>
        <w:left w:val="none" w:sz="0" w:space="0" w:color="auto"/>
        <w:bottom w:val="none" w:sz="0" w:space="0" w:color="auto"/>
        <w:right w:val="none" w:sz="0" w:space="0" w:color="auto"/>
      </w:divBdr>
    </w:div>
    <w:div w:id="1796294306">
      <w:bodyDiv w:val="1"/>
      <w:marLeft w:val="0"/>
      <w:marRight w:val="0"/>
      <w:marTop w:val="0"/>
      <w:marBottom w:val="0"/>
      <w:divBdr>
        <w:top w:val="none" w:sz="0" w:space="0" w:color="auto"/>
        <w:left w:val="none" w:sz="0" w:space="0" w:color="auto"/>
        <w:bottom w:val="none" w:sz="0" w:space="0" w:color="auto"/>
        <w:right w:val="none" w:sz="0" w:space="0" w:color="auto"/>
      </w:divBdr>
    </w:div>
    <w:div w:id="1815441088">
      <w:bodyDiv w:val="1"/>
      <w:marLeft w:val="0"/>
      <w:marRight w:val="0"/>
      <w:marTop w:val="0"/>
      <w:marBottom w:val="0"/>
      <w:divBdr>
        <w:top w:val="none" w:sz="0" w:space="0" w:color="auto"/>
        <w:left w:val="none" w:sz="0" w:space="0" w:color="auto"/>
        <w:bottom w:val="none" w:sz="0" w:space="0" w:color="auto"/>
        <w:right w:val="none" w:sz="0" w:space="0" w:color="auto"/>
      </w:divBdr>
    </w:div>
    <w:div w:id="1922984411">
      <w:bodyDiv w:val="1"/>
      <w:marLeft w:val="0"/>
      <w:marRight w:val="0"/>
      <w:marTop w:val="0"/>
      <w:marBottom w:val="0"/>
      <w:divBdr>
        <w:top w:val="none" w:sz="0" w:space="0" w:color="auto"/>
        <w:left w:val="none" w:sz="0" w:space="0" w:color="auto"/>
        <w:bottom w:val="none" w:sz="0" w:space="0" w:color="auto"/>
        <w:right w:val="none" w:sz="0" w:space="0" w:color="auto"/>
      </w:divBdr>
    </w:div>
    <w:div w:id="1925262419">
      <w:bodyDiv w:val="1"/>
      <w:marLeft w:val="0"/>
      <w:marRight w:val="0"/>
      <w:marTop w:val="0"/>
      <w:marBottom w:val="0"/>
      <w:divBdr>
        <w:top w:val="none" w:sz="0" w:space="0" w:color="auto"/>
        <w:left w:val="none" w:sz="0" w:space="0" w:color="auto"/>
        <w:bottom w:val="none" w:sz="0" w:space="0" w:color="auto"/>
        <w:right w:val="none" w:sz="0" w:space="0" w:color="auto"/>
      </w:divBdr>
    </w:div>
    <w:div w:id="1962878357">
      <w:bodyDiv w:val="1"/>
      <w:marLeft w:val="0"/>
      <w:marRight w:val="0"/>
      <w:marTop w:val="0"/>
      <w:marBottom w:val="0"/>
      <w:divBdr>
        <w:top w:val="none" w:sz="0" w:space="0" w:color="auto"/>
        <w:left w:val="none" w:sz="0" w:space="0" w:color="auto"/>
        <w:bottom w:val="none" w:sz="0" w:space="0" w:color="auto"/>
        <w:right w:val="none" w:sz="0" w:space="0" w:color="auto"/>
      </w:divBdr>
    </w:div>
    <w:div w:id="1991710062">
      <w:bodyDiv w:val="1"/>
      <w:marLeft w:val="0"/>
      <w:marRight w:val="0"/>
      <w:marTop w:val="0"/>
      <w:marBottom w:val="0"/>
      <w:divBdr>
        <w:top w:val="none" w:sz="0" w:space="0" w:color="auto"/>
        <w:left w:val="none" w:sz="0" w:space="0" w:color="auto"/>
        <w:bottom w:val="none" w:sz="0" w:space="0" w:color="auto"/>
        <w:right w:val="none" w:sz="0" w:space="0" w:color="auto"/>
      </w:divBdr>
    </w:div>
    <w:div w:id="1993874325">
      <w:bodyDiv w:val="1"/>
      <w:marLeft w:val="0"/>
      <w:marRight w:val="0"/>
      <w:marTop w:val="0"/>
      <w:marBottom w:val="0"/>
      <w:divBdr>
        <w:top w:val="none" w:sz="0" w:space="0" w:color="auto"/>
        <w:left w:val="none" w:sz="0" w:space="0" w:color="auto"/>
        <w:bottom w:val="none" w:sz="0" w:space="0" w:color="auto"/>
        <w:right w:val="none" w:sz="0" w:space="0" w:color="auto"/>
      </w:divBdr>
    </w:div>
    <w:div w:id="2040467986">
      <w:bodyDiv w:val="1"/>
      <w:marLeft w:val="0"/>
      <w:marRight w:val="0"/>
      <w:marTop w:val="0"/>
      <w:marBottom w:val="0"/>
      <w:divBdr>
        <w:top w:val="none" w:sz="0" w:space="0" w:color="auto"/>
        <w:left w:val="none" w:sz="0" w:space="0" w:color="auto"/>
        <w:bottom w:val="none" w:sz="0" w:space="0" w:color="auto"/>
        <w:right w:val="none" w:sz="0" w:space="0" w:color="auto"/>
      </w:divBdr>
    </w:div>
    <w:div w:id="2053529570">
      <w:bodyDiv w:val="1"/>
      <w:marLeft w:val="0"/>
      <w:marRight w:val="0"/>
      <w:marTop w:val="0"/>
      <w:marBottom w:val="0"/>
      <w:divBdr>
        <w:top w:val="none" w:sz="0" w:space="0" w:color="auto"/>
        <w:left w:val="none" w:sz="0" w:space="0" w:color="auto"/>
        <w:bottom w:val="none" w:sz="0" w:space="0" w:color="auto"/>
        <w:right w:val="none" w:sz="0" w:space="0" w:color="auto"/>
      </w:divBdr>
    </w:div>
    <w:div w:id="21109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ee89e71-04cd-405e-9ca3-99e020c1694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07171C3C3F9E4D805C4117DEED1D10" ma:contentTypeVersion="13" ma:contentTypeDescription="Create a new document." ma:contentTypeScope="" ma:versionID="296b96a3527e03b5b851cbb8f15ccd6d">
  <xsd:schema xmlns:xsd="http://www.w3.org/2001/XMLSchema" xmlns:xs="http://www.w3.org/2001/XMLSchema" xmlns:p="http://schemas.microsoft.com/office/2006/metadata/properties" xmlns:ns3="44a56295-c29e-4898-8136-a54736c65b82" xmlns:ns4="f7dc428a-ffff-48f4-8438-5ca8b44440bd" xmlns:ns5="15fc84b2-c736-47ec-b16d-0bf3e0aecea2" targetNamespace="http://schemas.microsoft.com/office/2006/metadata/properties" ma:root="true" ma:fieldsID="4fe0a447116fc0c0ae6bc55c3511778f" ns3:_="" ns4:_="" ns5:_="">
    <xsd:import namespace="44a56295-c29e-4898-8136-a54736c65b82"/>
    <xsd:import namespace="f7dc428a-ffff-48f4-8438-5ca8b44440bd"/>
    <xsd:import namespace="15fc84b2-c736-47ec-b16d-0bf3e0aecea2"/>
    <xsd:element name="properties">
      <xsd:complexType>
        <xsd:sequence>
          <xsd:element name="documentManagement">
            <xsd:complexType>
              <xsd:all>
                <xsd:element ref="ns3:Descriptions" minOccurs="0"/>
                <xsd:element ref="ns3:Keyword"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5:SharedWithUsers" minOccurs="0"/>
                <xsd:element ref="ns5:SharedWithDetails" minOccurs="0"/>
                <xsd:element ref="ns5: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dc428a-ffff-48f4-8438-5ca8b44440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c84b2-c736-47ec-b16d-0bf3e0aece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Props1.xml><?xml version="1.0" encoding="utf-8"?>
<ds:datastoreItem xmlns:ds="http://schemas.openxmlformats.org/officeDocument/2006/customXml" ds:itemID="{EC868BE8-2476-4D3F-9647-375520CFD716}">
  <ds:schemaRefs>
    <ds:schemaRef ds:uri="http://schemas.microsoft.com/sharepoint/v3/contenttype/forms"/>
  </ds:schemaRefs>
</ds:datastoreItem>
</file>

<file path=customXml/itemProps2.xml><?xml version="1.0" encoding="utf-8"?>
<ds:datastoreItem xmlns:ds="http://schemas.openxmlformats.org/officeDocument/2006/customXml" ds:itemID="{D48425E3-239E-4183-85EF-50CB44EA44FC}">
  <ds:schemaRefs>
    <ds:schemaRef ds:uri="Microsoft.SharePoint.Taxonomy.ContentTypeSync"/>
  </ds:schemaRefs>
</ds:datastoreItem>
</file>

<file path=customXml/itemProps3.xml><?xml version="1.0" encoding="utf-8"?>
<ds:datastoreItem xmlns:ds="http://schemas.openxmlformats.org/officeDocument/2006/customXml" ds:itemID="{0F25C00E-7EFA-4926-A2F4-0941D894938B}">
  <ds:schemaRefs>
    <ds:schemaRef ds:uri="http://schemas.openxmlformats.org/officeDocument/2006/bibliography"/>
  </ds:schemaRefs>
</ds:datastoreItem>
</file>

<file path=customXml/itemProps4.xml><?xml version="1.0" encoding="utf-8"?>
<ds:datastoreItem xmlns:ds="http://schemas.openxmlformats.org/officeDocument/2006/customXml" ds:itemID="{B0447C50-82A1-469E-A5EF-66F95E20B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f7dc428a-ffff-48f4-8438-5ca8b44440bd"/>
    <ds:schemaRef ds:uri="15fc84b2-c736-47ec-b16d-0bf3e0aec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DE122C-6554-4693-B926-E9CFD6A767B2}">
  <ds:schemaRefs>
    <ds:schemaRef ds:uri="http://schemas.microsoft.com/office/2006/metadata/properties"/>
    <ds:schemaRef ds:uri="http://schemas.microsoft.com/office/infopath/2007/PartnerControls"/>
    <ds:schemaRef ds:uri="44a56295-c29e-4898-8136-a54736c65b82"/>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8510</Words>
  <Characters>47233</Characters>
  <Application>Microsoft Office Word</Application>
  <DocSecurity>0</DocSecurity>
  <Lines>944</Lines>
  <Paragraphs>480</Paragraphs>
  <ScaleCrop>false</ScaleCrop>
  <HeadingPairs>
    <vt:vector size="2" baseType="variant">
      <vt:variant>
        <vt:lpstr>Title</vt:lpstr>
      </vt:variant>
      <vt:variant>
        <vt:i4>1</vt:i4>
      </vt:variant>
    </vt:vector>
  </HeadingPairs>
  <TitlesOfParts>
    <vt:vector size="1" baseType="lpstr">
      <vt:lpstr/>
    </vt:vector>
  </TitlesOfParts>
  <Company>AstraZeneca Pty Ltd</Company>
  <LinksUpToDate>false</LinksUpToDate>
  <CharactersWithSpaces>55263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Budesonide / glycopyrronium / formoterol</dc:title>
  <dc:subject>prescription medicines</dc:subject>
  <dc:creator>AstraZeneca Pty Ltd</dc:creator>
  <cp:lastPrinted>2021-07-14T01:43:00Z</cp:lastPrinted>
  <dcterms:created xsi:type="dcterms:W3CDTF">2022-04-20T03:32:00Z</dcterms:created>
  <dcterms:modified xsi:type="dcterms:W3CDTF">2022-04-20T03:39:00Z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ingCaptions">
    <vt:lpwstr>No</vt:lpwstr>
  </property>
  <property fmtid="{D5CDD505-2E9C-101B-9397-08002B2CF9AE}" pid="3" name="Prefix">
    <vt:lpwstr/>
  </property>
  <property fmtid="{D5CDD505-2E9C-101B-9397-08002B2CF9AE}" pid="4" name="ANGEL_Document_ID">
    <vt:lpwstr>ANGEL_DocID</vt:lpwstr>
  </property>
  <property fmtid="{D5CDD505-2E9C-101B-9397-08002B2CF9AE}" pid="5" name="ANGEL_Document_Status">
    <vt:lpwstr>ANGEL_Status </vt:lpwstr>
  </property>
  <property fmtid="{D5CDD505-2E9C-101B-9397-08002B2CF9AE}" pid="6" name="ANGEL_PPN">
    <vt:lpwstr>ANGEL_PPN</vt:lpwstr>
  </property>
  <property fmtid="{D5CDD505-2E9C-101B-9397-08002B2CF9AE}" pid="7" name="ANGEL_Product">
    <vt:lpwstr>ProductName</vt:lpwstr>
  </property>
  <property fmtid="{D5CDD505-2E9C-101B-9397-08002B2CF9AE}" pid="8" name="ANGEL_Study_Code">
    <vt:lpwstr>StudyCode</vt:lpwstr>
  </property>
  <property fmtid="{D5CDD505-2E9C-101B-9397-08002B2CF9AE}" pid="9" name="ANGEL_DosageForm">
    <vt:lpwstr>DosageForm</vt:lpwstr>
  </property>
  <property fmtid="{D5CDD505-2E9C-101B-9397-08002B2CF9AE}" pid="10" name="ANGEL_Version">
    <vt:lpwstr>ANGEL_Version</vt:lpwstr>
  </property>
  <property fmtid="{D5CDD505-2E9C-101B-9397-08002B2CF9AE}" pid="11" name="ANGEL_DocumentName">
    <vt:lpwstr>ANGEL_DocumentName</vt:lpwstr>
  </property>
  <property fmtid="{D5CDD505-2E9C-101B-9397-08002B2CF9AE}" pid="12" name="ContentTypeId">
    <vt:lpwstr>0x0101009B07171C3C3F9E4D805C4117DEED1D10</vt:lpwstr>
  </property>
</Properties>
</file>