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B3D9576" w14:textId="77777777" w:rsidTr="00BF1190">
        <w:trPr>
          <w:trHeight w:val="1863"/>
        </w:trPr>
        <w:tc>
          <w:tcPr>
            <w:tcW w:w="3652" w:type="dxa"/>
            <w:tcBorders>
              <w:top w:val="nil"/>
              <w:left w:val="nil"/>
              <w:bottom w:val="nil"/>
              <w:right w:val="nil"/>
            </w:tcBorders>
          </w:tcPr>
          <w:p w14:paraId="48DFC2B6" w14:textId="5FCDC569" w:rsidR="008E7846" w:rsidRPr="00096AA7" w:rsidRDefault="004158E6" w:rsidP="00096AA7">
            <w:pPr>
              <w:rPr>
                <w:rFonts w:ascii="Arial" w:hAnsi="Arial" w:cs="Arial"/>
                <w:b/>
                <w:color w:val="002C47"/>
                <w:sz w:val="36"/>
                <w:szCs w:val="36"/>
              </w:rPr>
            </w:pPr>
            <w:r>
              <w:rPr>
                <w:rFonts w:ascii="Arial" w:hAnsi="Arial" w:cs="Arial"/>
                <w:b/>
                <w:color w:val="002C47"/>
                <w:sz w:val="36"/>
                <w:szCs w:val="36"/>
              </w:rPr>
              <w:t xml:space="preserve">April </w:t>
            </w:r>
            <w:r w:rsidR="00607704">
              <w:rPr>
                <w:rFonts w:ascii="Arial" w:hAnsi="Arial" w:cs="Arial"/>
                <w:b/>
                <w:color w:val="002C47"/>
                <w:sz w:val="36"/>
                <w:szCs w:val="36"/>
              </w:rPr>
              <w:t>202</w:t>
            </w:r>
            <w:r w:rsidR="007D4B85">
              <w:rPr>
                <w:rFonts w:ascii="Arial" w:hAnsi="Arial" w:cs="Arial"/>
                <w:b/>
                <w:color w:val="002C47"/>
                <w:sz w:val="36"/>
                <w:szCs w:val="36"/>
              </w:rPr>
              <w:t>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2267DCC" w14:textId="77777777" w:rsidTr="0032583B">
        <w:trPr>
          <w:trHeight w:val="868"/>
        </w:trPr>
        <w:tc>
          <w:tcPr>
            <w:tcW w:w="9079" w:type="dxa"/>
          </w:tcPr>
          <w:p w14:paraId="149BA570" w14:textId="4E23674E" w:rsidR="0032583B" w:rsidRPr="00A964D1" w:rsidRDefault="0032583B" w:rsidP="00460036">
            <w:pPr>
              <w:pStyle w:val="Title"/>
              <w:rPr>
                <w:color w:val="FFFFFF" w:themeColor="background1"/>
              </w:rPr>
            </w:pPr>
            <w:r w:rsidRPr="00A964D1">
              <w:rPr>
                <w:color w:val="FFFFFF" w:themeColor="background1"/>
              </w:rPr>
              <w:t>Australian Public Assessment Report for</w:t>
            </w:r>
            <w:r w:rsidR="000F6365">
              <w:t xml:space="preserve"> </w:t>
            </w:r>
            <w:r w:rsidR="000F6365">
              <w:rPr>
                <w:color w:val="FFFFFF" w:themeColor="background1"/>
              </w:rPr>
              <w:t>B</w:t>
            </w:r>
            <w:r w:rsidR="000F6365" w:rsidRPr="000F6365">
              <w:rPr>
                <w:color w:val="FFFFFF" w:themeColor="background1"/>
              </w:rPr>
              <w:t>udesonide</w:t>
            </w:r>
            <w:r w:rsidR="005E76EA">
              <w:rPr>
                <w:color w:val="FFFFFF" w:themeColor="background1"/>
              </w:rPr>
              <w:t xml:space="preserve"> /</w:t>
            </w:r>
            <w:r w:rsidR="00CA3565">
              <w:rPr>
                <w:color w:val="FFFFFF" w:themeColor="background1"/>
              </w:rPr>
              <w:t xml:space="preserve"> </w:t>
            </w:r>
            <w:r w:rsidR="007D4B85">
              <w:rPr>
                <w:color w:val="FFFFFF" w:themeColor="background1"/>
              </w:rPr>
              <w:t>g</w:t>
            </w:r>
            <w:r w:rsidR="000F6365" w:rsidRPr="000F6365">
              <w:rPr>
                <w:color w:val="FFFFFF" w:themeColor="background1"/>
              </w:rPr>
              <w:t>lycopyrronium</w:t>
            </w:r>
            <w:r w:rsidR="005E76EA">
              <w:rPr>
                <w:color w:val="FFFFFF" w:themeColor="background1"/>
              </w:rPr>
              <w:t xml:space="preserve"> / </w:t>
            </w:r>
            <w:r w:rsidR="007D4B85">
              <w:rPr>
                <w:color w:val="FFFFFF" w:themeColor="background1"/>
              </w:rPr>
              <w:t>f</w:t>
            </w:r>
            <w:r w:rsidR="000F6365" w:rsidRPr="000F6365">
              <w:rPr>
                <w:color w:val="FFFFFF" w:themeColor="background1"/>
              </w:rPr>
              <w:t>ormoterol</w:t>
            </w:r>
          </w:p>
        </w:tc>
      </w:tr>
      <w:tr w:rsidR="0032583B" w:rsidRPr="00B64760" w14:paraId="79FE1893" w14:textId="77777777" w:rsidTr="0032583B">
        <w:tc>
          <w:tcPr>
            <w:tcW w:w="9079" w:type="dxa"/>
          </w:tcPr>
          <w:p w14:paraId="09B4D939" w14:textId="19CB3F86" w:rsidR="0032583B" w:rsidRPr="008E7846" w:rsidRDefault="0032583B" w:rsidP="00460036">
            <w:pPr>
              <w:pStyle w:val="Subtitle"/>
              <w:rPr>
                <w:color w:val="FFFFFF" w:themeColor="background1"/>
              </w:rPr>
            </w:pPr>
            <w:r w:rsidRPr="008E7846">
              <w:rPr>
                <w:color w:val="FFFFFF" w:themeColor="background1"/>
              </w:rPr>
              <w:t>Proprietary Product Name:</w:t>
            </w:r>
            <w:r w:rsidR="000F6365">
              <w:t xml:space="preserve"> </w:t>
            </w:r>
            <w:r w:rsidR="000F6365" w:rsidRPr="000F6365">
              <w:rPr>
                <w:color w:val="FFFFFF" w:themeColor="background1"/>
              </w:rPr>
              <w:t>Breztri Aerosphere</w:t>
            </w:r>
          </w:p>
        </w:tc>
      </w:tr>
      <w:tr w:rsidR="0032583B" w:rsidRPr="00B64760" w14:paraId="715A180D" w14:textId="77777777" w:rsidTr="0032583B">
        <w:trPr>
          <w:trHeight w:val="486"/>
        </w:trPr>
        <w:tc>
          <w:tcPr>
            <w:tcW w:w="9079" w:type="dxa"/>
          </w:tcPr>
          <w:p w14:paraId="2401BA70" w14:textId="7177BE45" w:rsidR="0032583B" w:rsidRPr="008E7846" w:rsidRDefault="00460036" w:rsidP="0032583B">
            <w:pPr>
              <w:pStyle w:val="Subtitle"/>
              <w:rPr>
                <w:color w:val="FFFFFF" w:themeColor="background1"/>
              </w:rPr>
            </w:pPr>
            <w:r>
              <w:rPr>
                <w:color w:val="FFFFFF" w:themeColor="background1"/>
              </w:rPr>
              <w:t>Sponsor:</w:t>
            </w:r>
            <w:r w:rsidR="00607704">
              <w:t xml:space="preserve"> </w:t>
            </w:r>
            <w:r w:rsidR="00607704" w:rsidRPr="00607704">
              <w:rPr>
                <w:color w:val="FFFFFF" w:themeColor="background1"/>
              </w:rPr>
              <w:t>AstraZeneca Pty Ltd</w:t>
            </w:r>
          </w:p>
        </w:tc>
      </w:tr>
    </w:tbl>
    <w:p w14:paraId="2859A1DC" w14:textId="77777777" w:rsidR="008E7846" w:rsidRPr="0085156D" w:rsidRDefault="008E7846" w:rsidP="0085156D">
      <w:r w:rsidRPr="0085156D">
        <w:br w:type="page"/>
      </w:r>
    </w:p>
    <w:p w14:paraId="11A34792" w14:textId="77777777" w:rsidR="008E7846" w:rsidRPr="001F6CBA" w:rsidRDefault="008E7846" w:rsidP="008E7846">
      <w:pPr>
        <w:pStyle w:val="NonTOCHeading2"/>
      </w:pPr>
      <w:r w:rsidRPr="001F6CBA">
        <w:lastRenderedPageBreak/>
        <w:t>About the Therapeutic Goods Administration (TGA)</w:t>
      </w:r>
    </w:p>
    <w:p w14:paraId="3FFD6CE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848A579"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160109F2"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0E74D79"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0493FC85" w14:textId="2FB7695E"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3C4B1A76" w14:textId="77777777" w:rsidR="008E7846" w:rsidRDefault="008E7846" w:rsidP="00875A6B">
      <w:pPr>
        <w:pStyle w:val="NonTOCHeading2"/>
      </w:pPr>
      <w:r>
        <w:t xml:space="preserve">About </w:t>
      </w:r>
      <w:proofErr w:type="spellStart"/>
      <w:r>
        <w:t>AusPARs</w:t>
      </w:r>
      <w:proofErr w:type="spellEnd"/>
    </w:p>
    <w:p w14:paraId="2842F7C9"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C28A879"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2ED3E441" w14:textId="77777777" w:rsidR="008E7846" w:rsidRDefault="008E7846" w:rsidP="008E7846">
      <w:pPr>
        <w:pStyle w:val="ListBullet"/>
        <w:numPr>
          <w:ilvl w:val="0"/>
          <w:numId w:val="3"/>
        </w:numPr>
        <w:ind w:left="357" w:hanging="357"/>
      </w:pPr>
      <w:r>
        <w:t xml:space="preserve">An AusPAR is prepared for submissions that relate to new chemical entities, generic medicines, major </w:t>
      </w:r>
      <w:proofErr w:type="gramStart"/>
      <w:r>
        <w:t>variations</w:t>
      </w:r>
      <w:proofErr w:type="gramEnd"/>
      <w:r>
        <w:t xml:space="preserve"> and extensions of indications.</w:t>
      </w:r>
    </w:p>
    <w:p w14:paraId="11E8513B"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8810014"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7ECC939" w14:textId="77777777" w:rsidR="00924482" w:rsidRPr="00DF1D7F" w:rsidRDefault="00924482" w:rsidP="00F54B65">
      <w:pPr>
        <w:pStyle w:val="LegalSubheading"/>
        <w:spacing w:before="3120"/>
      </w:pPr>
      <w:r w:rsidRPr="00DF1D7F">
        <w:t>Copyright</w:t>
      </w:r>
    </w:p>
    <w:p w14:paraId="41F04DE6" w14:textId="2A521570"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7D4B85">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3" w:history="1">
        <w:r w:rsidRPr="00191B3B">
          <w:rPr>
            <w:rStyle w:val="Hyperlink"/>
            <w:rFonts w:cs="Arial"/>
            <w:lang w:val="en-GB"/>
          </w:rPr>
          <w:t>tga.copyright@tga.gov.au</w:t>
        </w:r>
      </w:hyperlink>
      <w:r w:rsidRPr="00191B3B">
        <w:rPr>
          <w:rFonts w:cs="Arial"/>
        </w:rPr>
        <w:t>&gt;.</w:t>
      </w:r>
    </w:p>
    <w:p w14:paraId="3AE94141" w14:textId="77777777" w:rsidR="00924482" w:rsidRDefault="00924482" w:rsidP="00924482">
      <w:pPr>
        <w:pStyle w:val="LegalCopy"/>
        <w:sectPr w:rsidR="00924482" w:rsidSect="003D1E62">
          <w:headerReference w:type="even" r:id="rId14"/>
          <w:headerReference w:type="default" r:id="rId15"/>
          <w:footerReference w:type="even" r:id="rId16"/>
          <w:footerReference w:type="default" r:id="rId17"/>
          <w:headerReference w:type="first" r:id="rId18"/>
          <w:footerReference w:type="first" r:id="rId19"/>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1792625" w14:textId="77777777" w:rsidR="0089635C" w:rsidRPr="0089635C" w:rsidRDefault="0089635C" w:rsidP="0010788A">
          <w:pPr>
            <w:pStyle w:val="Contents"/>
          </w:pPr>
          <w:r w:rsidRPr="0010788A">
            <w:t>Contents</w:t>
          </w:r>
        </w:p>
        <w:p w14:paraId="562BBD55" w14:textId="7DDEE72A" w:rsidR="001108B3"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1345648" w:history="1">
            <w:r w:rsidR="001108B3" w:rsidRPr="006D1E7F">
              <w:rPr>
                <w:rStyle w:val="Hyperlink"/>
                <w:noProof/>
              </w:rPr>
              <w:t>List of abbreviations</w:t>
            </w:r>
            <w:r w:rsidR="001108B3">
              <w:rPr>
                <w:noProof/>
                <w:webHidden/>
              </w:rPr>
              <w:tab/>
            </w:r>
            <w:r w:rsidR="001108B3">
              <w:rPr>
                <w:noProof/>
                <w:webHidden/>
              </w:rPr>
              <w:fldChar w:fldCharType="begin"/>
            </w:r>
            <w:r w:rsidR="001108B3">
              <w:rPr>
                <w:noProof/>
                <w:webHidden/>
              </w:rPr>
              <w:instrText xml:space="preserve"> PAGEREF _Toc101345648 \h </w:instrText>
            </w:r>
            <w:r w:rsidR="001108B3">
              <w:rPr>
                <w:noProof/>
                <w:webHidden/>
              </w:rPr>
            </w:r>
            <w:r w:rsidR="001108B3">
              <w:rPr>
                <w:noProof/>
                <w:webHidden/>
              </w:rPr>
              <w:fldChar w:fldCharType="separate"/>
            </w:r>
            <w:r w:rsidR="001108B3">
              <w:rPr>
                <w:noProof/>
                <w:webHidden/>
              </w:rPr>
              <w:t>4</w:t>
            </w:r>
            <w:r w:rsidR="001108B3">
              <w:rPr>
                <w:noProof/>
                <w:webHidden/>
              </w:rPr>
              <w:fldChar w:fldCharType="end"/>
            </w:r>
          </w:hyperlink>
        </w:p>
        <w:p w14:paraId="670B3FA4" w14:textId="15AAAC1B" w:rsidR="001108B3" w:rsidRDefault="001108B3">
          <w:pPr>
            <w:pStyle w:val="TOC1"/>
            <w:rPr>
              <w:rFonts w:asciiTheme="minorHAnsi" w:eastAsiaTheme="minorEastAsia" w:hAnsiTheme="minorHAnsi" w:cstheme="minorBidi"/>
              <w:b w:val="0"/>
              <w:noProof/>
              <w:sz w:val="22"/>
              <w:lang w:eastAsia="en-AU"/>
            </w:rPr>
          </w:pPr>
          <w:hyperlink w:anchor="_Toc101345649" w:history="1">
            <w:r w:rsidRPr="006D1E7F">
              <w:rPr>
                <w:rStyle w:val="Hyperlink"/>
                <w:noProof/>
              </w:rPr>
              <w:t>I. Introduction to product submission</w:t>
            </w:r>
            <w:r>
              <w:rPr>
                <w:noProof/>
                <w:webHidden/>
              </w:rPr>
              <w:tab/>
            </w:r>
            <w:r>
              <w:rPr>
                <w:noProof/>
                <w:webHidden/>
              </w:rPr>
              <w:fldChar w:fldCharType="begin"/>
            </w:r>
            <w:r>
              <w:rPr>
                <w:noProof/>
                <w:webHidden/>
              </w:rPr>
              <w:instrText xml:space="preserve"> PAGEREF _Toc101345649 \h </w:instrText>
            </w:r>
            <w:r>
              <w:rPr>
                <w:noProof/>
                <w:webHidden/>
              </w:rPr>
            </w:r>
            <w:r>
              <w:rPr>
                <w:noProof/>
                <w:webHidden/>
              </w:rPr>
              <w:fldChar w:fldCharType="separate"/>
            </w:r>
            <w:r>
              <w:rPr>
                <w:noProof/>
                <w:webHidden/>
              </w:rPr>
              <w:t>7</w:t>
            </w:r>
            <w:r>
              <w:rPr>
                <w:noProof/>
                <w:webHidden/>
              </w:rPr>
              <w:fldChar w:fldCharType="end"/>
            </w:r>
          </w:hyperlink>
        </w:p>
        <w:p w14:paraId="359567A5" w14:textId="1F0B7B49" w:rsidR="001108B3" w:rsidRDefault="001108B3">
          <w:pPr>
            <w:pStyle w:val="TOC2"/>
            <w:rPr>
              <w:rFonts w:asciiTheme="minorHAnsi" w:eastAsiaTheme="minorEastAsia" w:hAnsiTheme="minorHAnsi" w:cstheme="minorBidi"/>
              <w:b w:val="0"/>
              <w:noProof/>
              <w:sz w:val="22"/>
              <w:lang w:eastAsia="en-AU"/>
            </w:rPr>
          </w:pPr>
          <w:hyperlink w:anchor="_Toc101345650" w:history="1">
            <w:r w:rsidRPr="006D1E7F">
              <w:rPr>
                <w:rStyle w:val="Hyperlink"/>
                <w:noProof/>
                <w:lang w:eastAsia="en-AU"/>
              </w:rPr>
              <w:t>Submission details</w:t>
            </w:r>
            <w:r>
              <w:rPr>
                <w:noProof/>
                <w:webHidden/>
              </w:rPr>
              <w:tab/>
            </w:r>
            <w:r>
              <w:rPr>
                <w:noProof/>
                <w:webHidden/>
              </w:rPr>
              <w:fldChar w:fldCharType="begin"/>
            </w:r>
            <w:r>
              <w:rPr>
                <w:noProof/>
                <w:webHidden/>
              </w:rPr>
              <w:instrText xml:space="preserve"> PAGEREF _Toc101345650 \h </w:instrText>
            </w:r>
            <w:r>
              <w:rPr>
                <w:noProof/>
                <w:webHidden/>
              </w:rPr>
            </w:r>
            <w:r>
              <w:rPr>
                <w:noProof/>
                <w:webHidden/>
              </w:rPr>
              <w:fldChar w:fldCharType="separate"/>
            </w:r>
            <w:r>
              <w:rPr>
                <w:noProof/>
                <w:webHidden/>
              </w:rPr>
              <w:t>7</w:t>
            </w:r>
            <w:r>
              <w:rPr>
                <w:noProof/>
                <w:webHidden/>
              </w:rPr>
              <w:fldChar w:fldCharType="end"/>
            </w:r>
          </w:hyperlink>
        </w:p>
        <w:p w14:paraId="3FB60274" w14:textId="4A1E3876" w:rsidR="001108B3" w:rsidRDefault="001108B3">
          <w:pPr>
            <w:pStyle w:val="TOC2"/>
            <w:rPr>
              <w:rFonts w:asciiTheme="minorHAnsi" w:eastAsiaTheme="minorEastAsia" w:hAnsiTheme="minorHAnsi" w:cstheme="minorBidi"/>
              <w:b w:val="0"/>
              <w:noProof/>
              <w:sz w:val="22"/>
              <w:lang w:eastAsia="en-AU"/>
            </w:rPr>
          </w:pPr>
          <w:hyperlink w:anchor="_Toc101345651" w:history="1">
            <w:r w:rsidRPr="006D1E7F">
              <w:rPr>
                <w:rStyle w:val="Hyperlink"/>
                <w:noProof/>
              </w:rPr>
              <w:t>Product background</w:t>
            </w:r>
            <w:r>
              <w:rPr>
                <w:noProof/>
                <w:webHidden/>
              </w:rPr>
              <w:tab/>
            </w:r>
            <w:r>
              <w:rPr>
                <w:noProof/>
                <w:webHidden/>
              </w:rPr>
              <w:fldChar w:fldCharType="begin"/>
            </w:r>
            <w:r>
              <w:rPr>
                <w:noProof/>
                <w:webHidden/>
              </w:rPr>
              <w:instrText xml:space="preserve"> PAGEREF _Toc101345651 \h </w:instrText>
            </w:r>
            <w:r>
              <w:rPr>
                <w:noProof/>
                <w:webHidden/>
              </w:rPr>
            </w:r>
            <w:r>
              <w:rPr>
                <w:noProof/>
                <w:webHidden/>
              </w:rPr>
              <w:fldChar w:fldCharType="separate"/>
            </w:r>
            <w:r>
              <w:rPr>
                <w:noProof/>
                <w:webHidden/>
              </w:rPr>
              <w:t>8</w:t>
            </w:r>
            <w:r>
              <w:rPr>
                <w:noProof/>
                <w:webHidden/>
              </w:rPr>
              <w:fldChar w:fldCharType="end"/>
            </w:r>
          </w:hyperlink>
        </w:p>
        <w:p w14:paraId="4488E9FE" w14:textId="3A17A130" w:rsidR="001108B3" w:rsidRDefault="001108B3">
          <w:pPr>
            <w:pStyle w:val="TOC2"/>
            <w:rPr>
              <w:rFonts w:asciiTheme="minorHAnsi" w:eastAsiaTheme="minorEastAsia" w:hAnsiTheme="minorHAnsi" w:cstheme="minorBidi"/>
              <w:b w:val="0"/>
              <w:noProof/>
              <w:sz w:val="22"/>
              <w:lang w:eastAsia="en-AU"/>
            </w:rPr>
          </w:pPr>
          <w:hyperlink w:anchor="_Toc101345652" w:history="1">
            <w:r w:rsidRPr="006D1E7F">
              <w:rPr>
                <w:rStyle w:val="Hyperlink"/>
                <w:noProof/>
              </w:rPr>
              <w:t>Regulatory status</w:t>
            </w:r>
            <w:r>
              <w:rPr>
                <w:noProof/>
                <w:webHidden/>
              </w:rPr>
              <w:tab/>
            </w:r>
            <w:r>
              <w:rPr>
                <w:noProof/>
                <w:webHidden/>
              </w:rPr>
              <w:fldChar w:fldCharType="begin"/>
            </w:r>
            <w:r>
              <w:rPr>
                <w:noProof/>
                <w:webHidden/>
              </w:rPr>
              <w:instrText xml:space="preserve"> PAGEREF _Toc101345652 \h </w:instrText>
            </w:r>
            <w:r>
              <w:rPr>
                <w:noProof/>
                <w:webHidden/>
              </w:rPr>
            </w:r>
            <w:r>
              <w:rPr>
                <w:noProof/>
                <w:webHidden/>
              </w:rPr>
              <w:fldChar w:fldCharType="separate"/>
            </w:r>
            <w:r>
              <w:rPr>
                <w:noProof/>
                <w:webHidden/>
              </w:rPr>
              <w:t>10</w:t>
            </w:r>
            <w:r>
              <w:rPr>
                <w:noProof/>
                <w:webHidden/>
              </w:rPr>
              <w:fldChar w:fldCharType="end"/>
            </w:r>
          </w:hyperlink>
        </w:p>
        <w:p w14:paraId="5385848C" w14:textId="40DA9B07" w:rsidR="001108B3" w:rsidRDefault="001108B3">
          <w:pPr>
            <w:pStyle w:val="TOC2"/>
            <w:rPr>
              <w:rFonts w:asciiTheme="minorHAnsi" w:eastAsiaTheme="minorEastAsia" w:hAnsiTheme="minorHAnsi" w:cstheme="minorBidi"/>
              <w:b w:val="0"/>
              <w:noProof/>
              <w:sz w:val="22"/>
              <w:lang w:eastAsia="en-AU"/>
            </w:rPr>
          </w:pPr>
          <w:hyperlink w:anchor="_Toc101345653" w:history="1">
            <w:r w:rsidRPr="006D1E7F">
              <w:rPr>
                <w:rStyle w:val="Hyperlink"/>
                <w:noProof/>
              </w:rPr>
              <w:t>Product Information</w:t>
            </w:r>
            <w:r>
              <w:rPr>
                <w:noProof/>
                <w:webHidden/>
              </w:rPr>
              <w:tab/>
            </w:r>
            <w:r>
              <w:rPr>
                <w:noProof/>
                <w:webHidden/>
              </w:rPr>
              <w:fldChar w:fldCharType="begin"/>
            </w:r>
            <w:r>
              <w:rPr>
                <w:noProof/>
                <w:webHidden/>
              </w:rPr>
              <w:instrText xml:space="preserve"> PAGEREF _Toc101345653 \h </w:instrText>
            </w:r>
            <w:r>
              <w:rPr>
                <w:noProof/>
                <w:webHidden/>
              </w:rPr>
            </w:r>
            <w:r>
              <w:rPr>
                <w:noProof/>
                <w:webHidden/>
              </w:rPr>
              <w:fldChar w:fldCharType="separate"/>
            </w:r>
            <w:r>
              <w:rPr>
                <w:noProof/>
                <w:webHidden/>
              </w:rPr>
              <w:t>11</w:t>
            </w:r>
            <w:r>
              <w:rPr>
                <w:noProof/>
                <w:webHidden/>
              </w:rPr>
              <w:fldChar w:fldCharType="end"/>
            </w:r>
          </w:hyperlink>
        </w:p>
        <w:p w14:paraId="443ACF71" w14:textId="0C4AE8C2" w:rsidR="001108B3" w:rsidRDefault="001108B3">
          <w:pPr>
            <w:pStyle w:val="TOC1"/>
            <w:rPr>
              <w:rFonts w:asciiTheme="minorHAnsi" w:eastAsiaTheme="minorEastAsia" w:hAnsiTheme="minorHAnsi" w:cstheme="minorBidi"/>
              <w:b w:val="0"/>
              <w:noProof/>
              <w:sz w:val="22"/>
              <w:lang w:eastAsia="en-AU"/>
            </w:rPr>
          </w:pPr>
          <w:hyperlink w:anchor="_Toc101345654" w:history="1">
            <w:r w:rsidRPr="006D1E7F">
              <w:rPr>
                <w:rStyle w:val="Hyperlink"/>
                <w:noProof/>
              </w:rPr>
              <w:t>II. Registration timeline</w:t>
            </w:r>
            <w:r>
              <w:rPr>
                <w:noProof/>
                <w:webHidden/>
              </w:rPr>
              <w:tab/>
            </w:r>
            <w:r>
              <w:rPr>
                <w:noProof/>
                <w:webHidden/>
              </w:rPr>
              <w:fldChar w:fldCharType="begin"/>
            </w:r>
            <w:r>
              <w:rPr>
                <w:noProof/>
                <w:webHidden/>
              </w:rPr>
              <w:instrText xml:space="preserve"> PAGEREF _Toc101345654 \h </w:instrText>
            </w:r>
            <w:r>
              <w:rPr>
                <w:noProof/>
                <w:webHidden/>
              </w:rPr>
            </w:r>
            <w:r>
              <w:rPr>
                <w:noProof/>
                <w:webHidden/>
              </w:rPr>
              <w:fldChar w:fldCharType="separate"/>
            </w:r>
            <w:r>
              <w:rPr>
                <w:noProof/>
                <w:webHidden/>
              </w:rPr>
              <w:t>11</w:t>
            </w:r>
            <w:r>
              <w:rPr>
                <w:noProof/>
                <w:webHidden/>
              </w:rPr>
              <w:fldChar w:fldCharType="end"/>
            </w:r>
          </w:hyperlink>
        </w:p>
        <w:p w14:paraId="1F350110" w14:textId="5BE28EA0" w:rsidR="001108B3" w:rsidRDefault="001108B3">
          <w:pPr>
            <w:pStyle w:val="TOC1"/>
            <w:rPr>
              <w:rFonts w:asciiTheme="minorHAnsi" w:eastAsiaTheme="minorEastAsia" w:hAnsiTheme="minorHAnsi" w:cstheme="minorBidi"/>
              <w:b w:val="0"/>
              <w:noProof/>
              <w:sz w:val="22"/>
              <w:lang w:eastAsia="en-AU"/>
            </w:rPr>
          </w:pPr>
          <w:hyperlink w:anchor="_Toc101345655" w:history="1">
            <w:r w:rsidRPr="006D1E7F">
              <w:rPr>
                <w:rStyle w:val="Hyperlink"/>
                <w:noProof/>
              </w:rPr>
              <w:t>III. Submission overview and risk/benefit assessment</w:t>
            </w:r>
            <w:r>
              <w:rPr>
                <w:noProof/>
                <w:webHidden/>
              </w:rPr>
              <w:tab/>
            </w:r>
            <w:r>
              <w:rPr>
                <w:noProof/>
                <w:webHidden/>
              </w:rPr>
              <w:fldChar w:fldCharType="begin"/>
            </w:r>
            <w:r>
              <w:rPr>
                <w:noProof/>
                <w:webHidden/>
              </w:rPr>
              <w:instrText xml:space="preserve"> PAGEREF _Toc101345655 \h </w:instrText>
            </w:r>
            <w:r>
              <w:rPr>
                <w:noProof/>
                <w:webHidden/>
              </w:rPr>
            </w:r>
            <w:r>
              <w:rPr>
                <w:noProof/>
                <w:webHidden/>
              </w:rPr>
              <w:fldChar w:fldCharType="separate"/>
            </w:r>
            <w:r>
              <w:rPr>
                <w:noProof/>
                <w:webHidden/>
              </w:rPr>
              <w:t>12</w:t>
            </w:r>
            <w:r>
              <w:rPr>
                <w:noProof/>
                <w:webHidden/>
              </w:rPr>
              <w:fldChar w:fldCharType="end"/>
            </w:r>
          </w:hyperlink>
        </w:p>
        <w:p w14:paraId="4F768293" w14:textId="048EE593" w:rsidR="001108B3" w:rsidRDefault="001108B3">
          <w:pPr>
            <w:pStyle w:val="TOC2"/>
            <w:rPr>
              <w:rFonts w:asciiTheme="minorHAnsi" w:eastAsiaTheme="minorEastAsia" w:hAnsiTheme="minorHAnsi" w:cstheme="minorBidi"/>
              <w:b w:val="0"/>
              <w:noProof/>
              <w:sz w:val="22"/>
              <w:lang w:eastAsia="en-AU"/>
            </w:rPr>
          </w:pPr>
          <w:hyperlink w:anchor="_Toc101345656" w:history="1">
            <w:r w:rsidRPr="006D1E7F">
              <w:rPr>
                <w:rStyle w:val="Hyperlink"/>
                <w:noProof/>
              </w:rPr>
              <w:t>Quality</w:t>
            </w:r>
            <w:r>
              <w:rPr>
                <w:noProof/>
                <w:webHidden/>
              </w:rPr>
              <w:tab/>
            </w:r>
            <w:r>
              <w:rPr>
                <w:noProof/>
                <w:webHidden/>
              </w:rPr>
              <w:fldChar w:fldCharType="begin"/>
            </w:r>
            <w:r>
              <w:rPr>
                <w:noProof/>
                <w:webHidden/>
              </w:rPr>
              <w:instrText xml:space="preserve"> PAGEREF _Toc101345656 \h </w:instrText>
            </w:r>
            <w:r>
              <w:rPr>
                <w:noProof/>
                <w:webHidden/>
              </w:rPr>
            </w:r>
            <w:r>
              <w:rPr>
                <w:noProof/>
                <w:webHidden/>
              </w:rPr>
              <w:fldChar w:fldCharType="separate"/>
            </w:r>
            <w:r>
              <w:rPr>
                <w:noProof/>
                <w:webHidden/>
              </w:rPr>
              <w:t>12</w:t>
            </w:r>
            <w:r>
              <w:rPr>
                <w:noProof/>
                <w:webHidden/>
              </w:rPr>
              <w:fldChar w:fldCharType="end"/>
            </w:r>
          </w:hyperlink>
        </w:p>
        <w:p w14:paraId="107C3159" w14:textId="0EAA9DE3" w:rsidR="001108B3" w:rsidRDefault="001108B3">
          <w:pPr>
            <w:pStyle w:val="TOC2"/>
            <w:rPr>
              <w:rFonts w:asciiTheme="minorHAnsi" w:eastAsiaTheme="minorEastAsia" w:hAnsiTheme="minorHAnsi" w:cstheme="minorBidi"/>
              <w:b w:val="0"/>
              <w:noProof/>
              <w:sz w:val="22"/>
              <w:lang w:eastAsia="en-AU"/>
            </w:rPr>
          </w:pPr>
          <w:hyperlink w:anchor="_Toc101345657" w:history="1">
            <w:r w:rsidRPr="006D1E7F">
              <w:rPr>
                <w:rStyle w:val="Hyperlink"/>
                <w:noProof/>
              </w:rPr>
              <w:t>Nonclinical</w:t>
            </w:r>
            <w:r>
              <w:rPr>
                <w:noProof/>
                <w:webHidden/>
              </w:rPr>
              <w:tab/>
            </w:r>
            <w:r>
              <w:rPr>
                <w:noProof/>
                <w:webHidden/>
              </w:rPr>
              <w:fldChar w:fldCharType="begin"/>
            </w:r>
            <w:r>
              <w:rPr>
                <w:noProof/>
                <w:webHidden/>
              </w:rPr>
              <w:instrText xml:space="preserve"> PAGEREF _Toc101345657 \h </w:instrText>
            </w:r>
            <w:r>
              <w:rPr>
                <w:noProof/>
                <w:webHidden/>
              </w:rPr>
            </w:r>
            <w:r>
              <w:rPr>
                <w:noProof/>
                <w:webHidden/>
              </w:rPr>
              <w:fldChar w:fldCharType="separate"/>
            </w:r>
            <w:r>
              <w:rPr>
                <w:noProof/>
                <w:webHidden/>
              </w:rPr>
              <w:t>13</w:t>
            </w:r>
            <w:r>
              <w:rPr>
                <w:noProof/>
                <w:webHidden/>
              </w:rPr>
              <w:fldChar w:fldCharType="end"/>
            </w:r>
          </w:hyperlink>
        </w:p>
        <w:p w14:paraId="077DE50C" w14:textId="1FC4CA48" w:rsidR="001108B3" w:rsidRDefault="001108B3">
          <w:pPr>
            <w:pStyle w:val="TOC2"/>
            <w:rPr>
              <w:rFonts w:asciiTheme="minorHAnsi" w:eastAsiaTheme="minorEastAsia" w:hAnsiTheme="minorHAnsi" w:cstheme="minorBidi"/>
              <w:b w:val="0"/>
              <w:noProof/>
              <w:sz w:val="22"/>
              <w:lang w:eastAsia="en-AU"/>
            </w:rPr>
          </w:pPr>
          <w:hyperlink w:anchor="_Toc101345658" w:history="1">
            <w:r w:rsidRPr="006D1E7F">
              <w:rPr>
                <w:rStyle w:val="Hyperlink"/>
                <w:noProof/>
              </w:rPr>
              <w:t>Clinical</w:t>
            </w:r>
            <w:r>
              <w:rPr>
                <w:noProof/>
                <w:webHidden/>
              </w:rPr>
              <w:tab/>
            </w:r>
            <w:r>
              <w:rPr>
                <w:noProof/>
                <w:webHidden/>
              </w:rPr>
              <w:fldChar w:fldCharType="begin"/>
            </w:r>
            <w:r>
              <w:rPr>
                <w:noProof/>
                <w:webHidden/>
              </w:rPr>
              <w:instrText xml:space="preserve"> PAGEREF _Toc101345658 \h </w:instrText>
            </w:r>
            <w:r>
              <w:rPr>
                <w:noProof/>
                <w:webHidden/>
              </w:rPr>
            </w:r>
            <w:r>
              <w:rPr>
                <w:noProof/>
                <w:webHidden/>
              </w:rPr>
              <w:fldChar w:fldCharType="separate"/>
            </w:r>
            <w:r>
              <w:rPr>
                <w:noProof/>
                <w:webHidden/>
              </w:rPr>
              <w:t>14</w:t>
            </w:r>
            <w:r>
              <w:rPr>
                <w:noProof/>
                <w:webHidden/>
              </w:rPr>
              <w:fldChar w:fldCharType="end"/>
            </w:r>
          </w:hyperlink>
        </w:p>
        <w:p w14:paraId="03C8BC4E" w14:textId="5A90934E" w:rsidR="001108B3" w:rsidRDefault="001108B3">
          <w:pPr>
            <w:pStyle w:val="TOC2"/>
            <w:rPr>
              <w:rFonts w:asciiTheme="minorHAnsi" w:eastAsiaTheme="minorEastAsia" w:hAnsiTheme="minorHAnsi" w:cstheme="minorBidi"/>
              <w:b w:val="0"/>
              <w:noProof/>
              <w:sz w:val="22"/>
              <w:lang w:eastAsia="en-AU"/>
            </w:rPr>
          </w:pPr>
          <w:hyperlink w:anchor="_Toc101345659" w:history="1">
            <w:r w:rsidRPr="006D1E7F">
              <w:rPr>
                <w:rStyle w:val="Hyperlink"/>
                <w:noProof/>
                <w:lang w:eastAsia="en-AU"/>
              </w:rPr>
              <w:t>Risk management plan</w:t>
            </w:r>
            <w:r>
              <w:rPr>
                <w:noProof/>
                <w:webHidden/>
              </w:rPr>
              <w:tab/>
            </w:r>
            <w:r>
              <w:rPr>
                <w:noProof/>
                <w:webHidden/>
              </w:rPr>
              <w:fldChar w:fldCharType="begin"/>
            </w:r>
            <w:r>
              <w:rPr>
                <w:noProof/>
                <w:webHidden/>
              </w:rPr>
              <w:instrText xml:space="preserve"> PAGEREF _Toc101345659 \h </w:instrText>
            </w:r>
            <w:r>
              <w:rPr>
                <w:noProof/>
                <w:webHidden/>
              </w:rPr>
            </w:r>
            <w:r>
              <w:rPr>
                <w:noProof/>
                <w:webHidden/>
              </w:rPr>
              <w:fldChar w:fldCharType="separate"/>
            </w:r>
            <w:r>
              <w:rPr>
                <w:noProof/>
                <w:webHidden/>
              </w:rPr>
              <w:t>39</w:t>
            </w:r>
            <w:r>
              <w:rPr>
                <w:noProof/>
                <w:webHidden/>
              </w:rPr>
              <w:fldChar w:fldCharType="end"/>
            </w:r>
          </w:hyperlink>
        </w:p>
        <w:p w14:paraId="46EC9FA1" w14:textId="60FEB6C5" w:rsidR="001108B3" w:rsidRDefault="001108B3">
          <w:pPr>
            <w:pStyle w:val="TOC2"/>
            <w:rPr>
              <w:rFonts w:asciiTheme="minorHAnsi" w:eastAsiaTheme="minorEastAsia" w:hAnsiTheme="minorHAnsi" w:cstheme="minorBidi"/>
              <w:b w:val="0"/>
              <w:noProof/>
              <w:sz w:val="22"/>
              <w:lang w:eastAsia="en-AU"/>
            </w:rPr>
          </w:pPr>
          <w:hyperlink w:anchor="_Toc101345660" w:history="1">
            <w:r w:rsidRPr="006D1E7F">
              <w:rPr>
                <w:rStyle w:val="Hyperlink"/>
                <w:noProof/>
              </w:rPr>
              <w:t>Risk-benefit analysis</w:t>
            </w:r>
            <w:r>
              <w:rPr>
                <w:noProof/>
                <w:webHidden/>
              </w:rPr>
              <w:tab/>
            </w:r>
            <w:r>
              <w:rPr>
                <w:noProof/>
                <w:webHidden/>
              </w:rPr>
              <w:fldChar w:fldCharType="begin"/>
            </w:r>
            <w:r>
              <w:rPr>
                <w:noProof/>
                <w:webHidden/>
              </w:rPr>
              <w:instrText xml:space="preserve"> PAGEREF _Toc101345660 \h </w:instrText>
            </w:r>
            <w:r>
              <w:rPr>
                <w:noProof/>
                <w:webHidden/>
              </w:rPr>
            </w:r>
            <w:r>
              <w:rPr>
                <w:noProof/>
                <w:webHidden/>
              </w:rPr>
              <w:fldChar w:fldCharType="separate"/>
            </w:r>
            <w:r>
              <w:rPr>
                <w:noProof/>
                <w:webHidden/>
              </w:rPr>
              <w:t>39</w:t>
            </w:r>
            <w:r>
              <w:rPr>
                <w:noProof/>
                <w:webHidden/>
              </w:rPr>
              <w:fldChar w:fldCharType="end"/>
            </w:r>
          </w:hyperlink>
        </w:p>
        <w:p w14:paraId="7EB4AC2A" w14:textId="32F6F387" w:rsidR="001108B3" w:rsidRDefault="001108B3">
          <w:pPr>
            <w:pStyle w:val="TOC2"/>
            <w:rPr>
              <w:rFonts w:asciiTheme="minorHAnsi" w:eastAsiaTheme="minorEastAsia" w:hAnsiTheme="minorHAnsi" w:cstheme="minorBidi"/>
              <w:b w:val="0"/>
              <w:noProof/>
              <w:sz w:val="22"/>
              <w:lang w:eastAsia="en-AU"/>
            </w:rPr>
          </w:pPr>
          <w:hyperlink w:anchor="_Toc101345661" w:history="1">
            <w:r w:rsidRPr="006D1E7F">
              <w:rPr>
                <w:rStyle w:val="Hyperlink"/>
                <w:noProof/>
              </w:rPr>
              <w:t>Outcome</w:t>
            </w:r>
            <w:r>
              <w:rPr>
                <w:noProof/>
                <w:webHidden/>
              </w:rPr>
              <w:tab/>
            </w:r>
            <w:r>
              <w:rPr>
                <w:noProof/>
                <w:webHidden/>
              </w:rPr>
              <w:fldChar w:fldCharType="begin"/>
            </w:r>
            <w:r>
              <w:rPr>
                <w:noProof/>
                <w:webHidden/>
              </w:rPr>
              <w:instrText xml:space="preserve"> PAGEREF _Toc101345661 \h </w:instrText>
            </w:r>
            <w:r>
              <w:rPr>
                <w:noProof/>
                <w:webHidden/>
              </w:rPr>
            </w:r>
            <w:r>
              <w:rPr>
                <w:noProof/>
                <w:webHidden/>
              </w:rPr>
              <w:fldChar w:fldCharType="separate"/>
            </w:r>
            <w:r>
              <w:rPr>
                <w:noProof/>
                <w:webHidden/>
              </w:rPr>
              <w:t>46</w:t>
            </w:r>
            <w:r>
              <w:rPr>
                <w:noProof/>
                <w:webHidden/>
              </w:rPr>
              <w:fldChar w:fldCharType="end"/>
            </w:r>
          </w:hyperlink>
        </w:p>
        <w:p w14:paraId="743DCECD" w14:textId="0F31FE0C" w:rsidR="001108B3" w:rsidRDefault="001108B3">
          <w:pPr>
            <w:pStyle w:val="TOC1"/>
            <w:rPr>
              <w:rFonts w:asciiTheme="minorHAnsi" w:eastAsiaTheme="minorEastAsia" w:hAnsiTheme="minorHAnsi" w:cstheme="minorBidi"/>
              <w:b w:val="0"/>
              <w:noProof/>
              <w:sz w:val="22"/>
              <w:lang w:eastAsia="en-AU"/>
            </w:rPr>
          </w:pPr>
          <w:hyperlink w:anchor="_Toc101345662" w:history="1">
            <w:r w:rsidRPr="006D1E7F">
              <w:rPr>
                <w:rStyle w:val="Hyperlink"/>
                <w:noProof/>
              </w:rPr>
              <w:t>Attachment 1. Product Information</w:t>
            </w:r>
            <w:r>
              <w:rPr>
                <w:noProof/>
                <w:webHidden/>
              </w:rPr>
              <w:tab/>
            </w:r>
            <w:r>
              <w:rPr>
                <w:noProof/>
                <w:webHidden/>
              </w:rPr>
              <w:fldChar w:fldCharType="begin"/>
            </w:r>
            <w:r>
              <w:rPr>
                <w:noProof/>
                <w:webHidden/>
              </w:rPr>
              <w:instrText xml:space="preserve"> PAGEREF _Toc101345662 \h </w:instrText>
            </w:r>
            <w:r>
              <w:rPr>
                <w:noProof/>
                <w:webHidden/>
              </w:rPr>
            </w:r>
            <w:r>
              <w:rPr>
                <w:noProof/>
                <w:webHidden/>
              </w:rPr>
              <w:fldChar w:fldCharType="separate"/>
            </w:r>
            <w:r>
              <w:rPr>
                <w:noProof/>
                <w:webHidden/>
              </w:rPr>
              <w:t>47</w:t>
            </w:r>
            <w:r>
              <w:rPr>
                <w:noProof/>
                <w:webHidden/>
              </w:rPr>
              <w:fldChar w:fldCharType="end"/>
            </w:r>
          </w:hyperlink>
        </w:p>
        <w:p w14:paraId="4E951123" w14:textId="02337EF2" w:rsidR="003A7F6C" w:rsidRPr="00B811C6" w:rsidRDefault="00C525A2" w:rsidP="00BB6AC0">
          <w:pPr>
            <w:pStyle w:val="TOC2"/>
            <w:ind w:left="0"/>
          </w:pPr>
          <w:r>
            <w:fldChar w:fldCharType="end"/>
          </w:r>
        </w:p>
      </w:sdtContent>
    </w:sdt>
    <w:bookmarkStart w:id="2" w:name="_Toc314842482" w:displacedByCustomXml="prev"/>
    <w:p w14:paraId="47BF49E6" w14:textId="77777777" w:rsidR="00FD119B" w:rsidRDefault="00FD119B">
      <w:pPr>
        <w:spacing w:before="0" w:after="200" w:line="0" w:lineRule="auto"/>
      </w:pPr>
      <w:r>
        <w:br w:type="page"/>
      </w:r>
    </w:p>
    <w:p w14:paraId="1082E2C3" w14:textId="36BA2ADE" w:rsidR="00FD119B" w:rsidRDefault="00324E45" w:rsidP="004F0C4A">
      <w:pPr>
        <w:pStyle w:val="Heading2"/>
      </w:pPr>
      <w:bookmarkStart w:id="3" w:name="_Toc351716269"/>
      <w:bookmarkStart w:id="4" w:name="_Toc351718881"/>
      <w:bookmarkStart w:id="5" w:name="_Toc355338616"/>
      <w:bookmarkStart w:id="6" w:name="_Toc356306144"/>
      <w:bookmarkStart w:id="7" w:name="_Toc101345648"/>
      <w:r>
        <w:lastRenderedPageBreak/>
        <w:t>List of</w:t>
      </w:r>
      <w:r w:rsidR="00FD119B" w:rsidRPr="00FD119B">
        <w:t xml:space="preserve"> abbreviations</w:t>
      </w:r>
      <w:bookmarkEnd w:id="3"/>
      <w:bookmarkEnd w:id="4"/>
      <w:bookmarkEnd w:id="5"/>
      <w:bookmarkEnd w:id="6"/>
      <w:bookmarkEnd w:id="7"/>
    </w:p>
    <w:tbl>
      <w:tblPr>
        <w:tblStyle w:val="TableTGAblue"/>
        <w:tblW w:w="8730" w:type="dxa"/>
        <w:tblLook w:val="04A0" w:firstRow="1" w:lastRow="0" w:firstColumn="1" w:lastColumn="0" w:noHBand="0" w:noVBand="1"/>
      </w:tblPr>
      <w:tblGrid>
        <w:gridCol w:w="1890"/>
        <w:gridCol w:w="6840"/>
      </w:tblGrid>
      <w:tr w:rsidR="00FD119B" w:rsidRPr="00FD119B" w14:paraId="7C32CA09" w14:textId="77777777" w:rsidTr="002552DB">
        <w:trPr>
          <w:cnfStyle w:val="100000000000" w:firstRow="1" w:lastRow="0" w:firstColumn="0" w:lastColumn="0" w:oddVBand="0" w:evenVBand="0" w:oddHBand="0" w:evenHBand="0" w:firstRowFirstColumn="0" w:firstRowLastColumn="0" w:lastRowFirstColumn="0" w:lastRowLastColumn="0"/>
        </w:trPr>
        <w:tc>
          <w:tcPr>
            <w:tcW w:w="0" w:type="dxa"/>
            <w:tcBorders>
              <w:top w:val="single" w:sz="4" w:space="0" w:color="auto"/>
              <w:left w:val="single" w:sz="4" w:space="0" w:color="auto"/>
              <w:bottom w:val="single" w:sz="4" w:space="0" w:color="auto"/>
              <w:right w:val="single" w:sz="4" w:space="0" w:color="auto"/>
            </w:tcBorders>
          </w:tcPr>
          <w:p w14:paraId="6694B322" w14:textId="77777777" w:rsidR="00FD119B" w:rsidRPr="00FD119B" w:rsidRDefault="00FD119B" w:rsidP="004621FA">
            <w:pPr>
              <w:rPr>
                <w:lang w:eastAsia="en-US"/>
              </w:rPr>
            </w:pPr>
            <w:r w:rsidRPr="00FD119B">
              <w:rPr>
                <w:lang w:eastAsia="en-US"/>
              </w:rPr>
              <w:t>Abbreviation</w:t>
            </w:r>
          </w:p>
        </w:tc>
        <w:tc>
          <w:tcPr>
            <w:tcW w:w="6840" w:type="dxa"/>
            <w:tcBorders>
              <w:top w:val="single" w:sz="4" w:space="0" w:color="auto"/>
              <w:left w:val="single" w:sz="4" w:space="0" w:color="auto"/>
              <w:bottom w:val="single" w:sz="4" w:space="0" w:color="auto"/>
              <w:right w:val="single" w:sz="4" w:space="0" w:color="auto"/>
            </w:tcBorders>
          </w:tcPr>
          <w:p w14:paraId="71A90507" w14:textId="77777777" w:rsidR="00FD119B" w:rsidRPr="00FD119B" w:rsidRDefault="00FD119B" w:rsidP="004621FA">
            <w:pPr>
              <w:rPr>
                <w:lang w:eastAsia="en-US"/>
              </w:rPr>
            </w:pPr>
            <w:r w:rsidRPr="00FD119B">
              <w:rPr>
                <w:lang w:eastAsia="en-US"/>
              </w:rPr>
              <w:t>Meaning</w:t>
            </w:r>
          </w:p>
        </w:tc>
      </w:tr>
      <w:tr w:rsidR="00460036" w:rsidRPr="00FD119B" w14:paraId="557242DF" w14:textId="77777777" w:rsidTr="002552DB">
        <w:tc>
          <w:tcPr>
            <w:tcW w:w="0" w:type="dxa"/>
            <w:tcBorders>
              <w:top w:val="single" w:sz="4" w:space="0" w:color="auto"/>
            </w:tcBorders>
          </w:tcPr>
          <w:p w14:paraId="437DBC12" w14:textId="77777777" w:rsidR="00460036" w:rsidRPr="00135F1C" w:rsidRDefault="00460036" w:rsidP="00135F1C">
            <w:pPr>
              <w:rPr>
                <w:szCs w:val="22"/>
              </w:rPr>
            </w:pPr>
            <w:r w:rsidRPr="00135F1C">
              <w:rPr>
                <w:szCs w:val="22"/>
              </w:rPr>
              <w:t>ACM</w:t>
            </w:r>
          </w:p>
        </w:tc>
        <w:tc>
          <w:tcPr>
            <w:tcW w:w="6840" w:type="dxa"/>
            <w:tcBorders>
              <w:top w:val="single" w:sz="4" w:space="0" w:color="auto"/>
            </w:tcBorders>
          </w:tcPr>
          <w:p w14:paraId="49A4E1AB" w14:textId="77777777" w:rsidR="00460036" w:rsidRPr="00135F1C" w:rsidRDefault="00460036" w:rsidP="00135F1C">
            <w:pPr>
              <w:rPr>
                <w:szCs w:val="22"/>
              </w:rPr>
            </w:pPr>
            <w:r w:rsidRPr="00135F1C">
              <w:rPr>
                <w:szCs w:val="22"/>
              </w:rPr>
              <w:t>Advisory Committee on Medicines</w:t>
            </w:r>
          </w:p>
        </w:tc>
      </w:tr>
      <w:tr w:rsidR="00DB1EB2" w:rsidRPr="00FD119B" w14:paraId="705759CE" w14:textId="77777777" w:rsidTr="002614CE">
        <w:tc>
          <w:tcPr>
            <w:tcW w:w="1890" w:type="dxa"/>
            <w:tcBorders>
              <w:top w:val="single" w:sz="4" w:space="0" w:color="auto"/>
            </w:tcBorders>
          </w:tcPr>
          <w:p w14:paraId="1F764932" w14:textId="64279D86" w:rsidR="00DB1EB2" w:rsidRPr="00135F1C" w:rsidRDefault="00DB1EB2" w:rsidP="00135F1C">
            <w:r w:rsidRPr="00CD72FD">
              <w:t>ADR</w:t>
            </w:r>
          </w:p>
        </w:tc>
        <w:tc>
          <w:tcPr>
            <w:tcW w:w="6840" w:type="dxa"/>
            <w:tcBorders>
              <w:top w:val="single" w:sz="4" w:space="0" w:color="auto"/>
            </w:tcBorders>
          </w:tcPr>
          <w:p w14:paraId="17E2BC1D" w14:textId="02361B5E" w:rsidR="00DB1EB2" w:rsidRPr="00135F1C" w:rsidRDefault="00DB1EB2" w:rsidP="00135F1C">
            <w:r>
              <w:t>A</w:t>
            </w:r>
            <w:r w:rsidRPr="00DB1EB2">
              <w:t>dverse drug reaction</w:t>
            </w:r>
          </w:p>
        </w:tc>
      </w:tr>
      <w:tr w:rsidR="0041185C" w:rsidRPr="00FD119B" w14:paraId="1F6A83E1" w14:textId="77777777" w:rsidTr="002614CE">
        <w:tc>
          <w:tcPr>
            <w:tcW w:w="1890" w:type="dxa"/>
            <w:tcBorders>
              <w:top w:val="single" w:sz="4" w:space="0" w:color="auto"/>
            </w:tcBorders>
          </w:tcPr>
          <w:p w14:paraId="4614469F" w14:textId="26861313" w:rsidR="0041185C" w:rsidRPr="00135F1C" w:rsidRDefault="0041185C" w:rsidP="00135F1C">
            <w:r>
              <w:t>AE</w:t>
            </w:r>
          </w:p>
        </w:tc>
        <w:tc>
          <w:tcPr>
            <w:tcW w:w="6840" w:type="dxa"/>
            <w:tcBorders>
              <w:top w:val="single" w:sz="4" w:space="0" w:color="auto"/>
            </w:tcBorders>
          </w:tcPr>
          <w:p w14:paraId="12E612C3" w14:textId="0F78FC52" w:rsidR="0041185C" w:rsidRPr="00135F1C" w:rsidRDefault="0041185C" w:rsidP="00135F1C">
            <w:r>
              <w:t>Adverse event</w:t>
            </w:r>
          </w:p>
        </w:tc>
      </w:tr>
      <w:tr w:rsidR="00460036" w:rsidRPr="00FD119B" w14:paraId="1D804EA6" w14:textId="77777777" w:rsidTr="002552DB">
        <w:tc>
          <w:tcPr>
            <w:tcW w:w="0" w:type="dxa"/>
          </w:tcPr>
          <w:p w14:paraId="1B7C587B" w14:textId="77777777" w:rsidR="00460036" w:rsidRPr="00135F1C" w:rsidRDefault="00460036" w:rsidP="00135F1C">
            <w:pPr>
              <w:rPr>
                <w:szCs w:val="22"/>
              </w:rPr>
            </w:pPr>
            <w:r w:rsidRPr="00135F1C">
              <w:rPr>
                <w:szCs w:val="22"/>
              </w:rPr>
              <w:t>ARTG</w:t>
            </w:r>
          </w:p>
        </w:tc>
        <w:tc>
          <w:tcPr>
            <w:tcW w:w="6840" w:type="dxa"/>
          </w:tcPr>
          <w:p w14:paraId="0C5B16A4" w14:textId="77777777" w:rsidR="00460036" w:rsidRPr="00135F1C" w:rsidRDefault="00460036" w:rsidP="00135F1C">
            <w:pPr>
              <w:rPr>
                <w:szCs w:val="22"/>
              </w:rPr>
            </w:pPr>
            <w:r w:rsidRPr="00135F1C">
              <w:rPr>
                <w:szCs w:val="22"/>
              </w:rPr>
              <w:t>Australian Register of Therapeutic Goods</w:t>
            </w:r>
          </w:p>
        </w:tc>
      </w:tr>
      <w:tr w:rsidR="00142CA2" w:rsidRPr="00FD119B" w14:paraId="2D5ACC30" w14:textId="77777777" w:rsidTr="002552DB">
        <w:tc>
          <w:tcPr>
            <w:tcW w:w="0" w:type="dxa"/>
          </w:tcPr>
          <w:p w14:paraId="7DD70223" w14:textId="5DA7B56A" w:rsidR="00142CA2" w:rsidRPr="00135F1C" w:rsidRDefault="00142CA2" w:rsidP="00142CA2">
            <w:pPr>
              <w:rPr>
                <w:szCs w:val="22"/>
              </w:rPr>
            </w:pPr>
            <w:r>
              <w:rPr>
                <w:szCs w:val="22"/>
              </w:rPr>
              <w:t>AESI</w:t>
            </w:r>
          </w:p>
        </w:tc>
        <w:tc>
          <w:tcPr>
            <w:tcW w:w="6840" w:type="dxa"/>
          </w:tcPr>
          <w:p w14:paraId="3C79F28C" w14:textId="05E77FE6" w:rsidR="00142CA2" w:rsidRPr="00135F1C" w:rsidRDefault="00142CA2" w:rsidP="00142CA2">
            <w:pPr>
              <w:rPr>
                <w:szCs w:val="22"/>
              </w:rPr>
            </w:pPr>
            <w:bookmarkStart w:id="8" w:name="_Hlk95469309"/>
            <w:r>
              <w:rPr>
                <w:szCs w:val="22"/>
              </w:rPr>
              <w:t>Adverse event of special interest</w:t>
            </w:r>
            <w:bookmarkEnd w:id="8"/>
          </w:p>
        </w:tc>
      </w:tr>
      <w:tr w:rsidR="00142CA2" w:rsidRPr="00FD119B" w14:paraId="5F72E25E" w14:textId="77777777" w:rsidTr="002552DB">
        <w:tc>
          <w:tcPr>
            <w:tcW w:w="0" w:type="dxa"/>
          </w:tcPr>
          <w:p w14:paraId="42E3FAE7" w14:textId="3DCB3F38" w:rsidR="00142CA2" w:rsidRPr="00135F1C" w:rsidRDefault="00142CA2" w:rsidP="00142CA2">
            <w:pPr>
              <w:rPr>
                <w:szCs w:val="22"/>
              </w:rPr>
            </w:pPr>
            <w:r>
              <w:rPr>
                <w:szCs w:val="22"/>
              </w:rPr>
              <w:t>ATS</w:t>
            </w:r>
          </w:p>
        </w:tc>
        <w:tc>
          <w:tcPr>
            <w:tcW w:w="6840" w:type="dxa"/>
          </w:tcPr>
          <w:p w14:paraId="3F1D3B25" w14:textId="7BC07626" w:rsidR="00142CA2" w:rsidRPr="00135F1C" w:rsidRDefault="00142CA2" w:rsidP="00142CA2">
            <w:pPr>
              <w:rPr>
                <w:szCs w:val="22"/>
              </w:rPr>
            </w:pPr>
            <w:r>
              <w:rPr>
                <w:szCs w:val="22"/>
              </w:rPr>
              <w:t>American Thoracic Society</w:t>
            </w:r>
            <w:r w:rsidR="008E020F">
              <w:rPr>
                <w:szCs w:val="22"/>
              </w:rPr>
              <w:t xml:space="preserve"> (United States of America)</w:t>
            </w:r>
          </w:p>
        </w:tc>
      </w:tr>
      <w:tr w:rsidR="00142CA2" w:rsidRPr="00FD119B" w14:paraId="45D83E78" w14:textId="77777777" w:rsidTr="002552DB">
        <w:tc>
          <w:tcPr>
            <w:tcW w:w="0" w:type="dxa"/>
          </w:tcPr>
          <w:p w14:paraId="73ADBE46" w14:textId="2B30E418" w:rsidR="00142CA2" w:rsidRPr="00135F1C" w:rsidRDefault="00142CA2" w:rsidP="00142CA2">
            <w:pPr>
              <w:rPr>
                <w:szCs w:val="22"/>
              </w:rPr>
            </w:pPr>
            <w:r>
              <w:rPr>
                <w:szCs w:val="22"/>
              </w:rPr>
              <w:t>AUC</w:t>
            </w:r>
          </w:p>
        </w:tc>
        <w:tc>
          <w:tcPr>
            <w:tcW w:w="6840" w:type="dxa"/>
          </w:tcPr>
          <w:p w14:paraId="6B69686E" w14:textId="37FCDE1B" w:rsidR="00142CA2" w:rsidRPr="00135F1C" w:rsidRDefault="00142CA2" w:rsidP="00142CA2">
            <w:pPr>
              <w:rPr>
                <w:szCs w:val="22"/>
              </w:rPr>
            </w:pPr>
            <w:r>
              <w:rPr>
                <w:szCs w:val="22"/>
              </w:rPr>
              <w:t xml:space="preserve">Area under the </w:t>
            </w:r>
            <w:r w:rsidR="008E020F" w:rsidRPr="008E020F">
              <w:rPr>
                <w:szCs w:val="22"/>
              </w:rPr>
              <w:t xml:space="preserve">concentration time </w:t>
            </w:r>
            <w:r>
              <w:rPr>
                <w:szCs w:val="22"/>
              </w:rPr>
              <w:t>curve</w:t>
            </w:r>
          </w:p>
        </w:tc>
      </w:tr>
      <w:tr w:rsidR="00142CA2" w:rsidRPr="00FD119B" w14:paraId="2FB6104F" w14:textId="77777777" w:rsidTr="002552DB">
        <w:tc>
          <w:tcPr>
            <w:tcW w:w="0" w:type="dxa"/>
          </w:tcPr>
          <w:p w14:paraId="0840AAAA" w14:textId="69C7D067" w:rsidR="00142CA2" w:rsidRPr="00135F1C" w:rsidRDefault="00142CA2" w:rsidP="00142CA2">
            <w:pPr>
              <w:rPr>
                <w:szCs w:val="22"/>
              </w:rPr>
            </w:pPr>
            <w:r>
              <w:rPr>
                <w:szCs w:val="22"/>
              </w:rPr>
              <w:t>AUC</w:t>
            </w:r>
            <w:r w:rsidRPr="00A93867">
              <w:rPr>
                <w:szCs w:val="22"/>
                <w:vertAlign w:val="subscript"/>
              </w:rPr>
              <w:t>0-4</w:t>
            </w:r>
            <w:r w:rsidR="004158E6">
              <w:rPr>
                <w:szCs w:val="22"/>
                <w:vertAlign w:val="subscript"/>
              </w:rPr>
              <w:t>h</w:t>
            </w:r>
          </w:p>
        </w:tc>
        <w:tc>
          <w:tcPr>
            <w:tcW w:w="6840" w:type="dxa"/>
          </w:tcPr>
          <w:p w14:paraId="33DFE738" w14:textId="453B018D" w:rsidR="00142CA2" w:rsidRPr="00135F1C" w:rsidRDefault="00142CA2" w:rsidP="00142CA2">
            <w:pPr>
              <w:rPr>
                <w:szCs w:val="22"/>
              </w:rPr>
            </w:pPr>
            <w:bookmarkStart w:id="9" w:name="_Hlk97300492"/>
            <w:r>
              <w:rPr>
                <w:szCs w:val="22"/>
              </w:rPr>
              <w:t xml:space="preserve">Area under the concentration time curve from </w:t>
            </w:r>
            <w:r w:rsidR="007D4B85">
              <w:rPr>
                <w:szCs w:val="22"/>
              </w:rPr>
              <w:t xml:space="preserve">time </w:t>
            </w:r>
            <w:r>
              <w:rPr>
                <w:szCs w:val="22"/>
              </w:rPr>
              <w:t>0 to 4 hours</w:t>
            </w:r>
            <w:bookmarkEnd w:id="9"/>
          </w:p>
        </w:tc>
      </w:tr>
      <w:tr w:rsidR="00142CA2" w:rsidRPr="00FD119B" w14:paraId="69BED2A5" w14:textId="77777777" w:rsidTr="002552DB">
        <w:tc>
          <w:tcPr>
            <w:tcW w:w="0" w:type="dxa"/>
          </w:tcPr>
          <w:p w14:paraId="0AE3206F" w14:textId="51ED14BF" w:rsidR="00142CA2" w:rsidRPr="00135F1C" w:rsidRDefault="00142CA2" w:rsidP="00142CA2">
            <w:pPr>
              <w:rPr>
                <w:szCs w:val="22"/>
              </w:rPr>
            </w:pPr>
            <w:r>
              <w:rPr>
                <w:szCs w:val="22"/>
              </w:rPr>
              <w:t>AUC</w:t>
            </w:r>
            <w:r w:rsidRPr="00A93867">
              <w:rPr>
                <w:szCs w:val="22"/>
                <w:vertAlign w:val="subscript"/>
              </w:rPr>
              <w:t>0-12</w:t>
            </w:r>
            <w:r w:rsidR="004158E6">
              <w:rPr>
                <w:szCs w:val="22"/>
                <w:vertAlign w:val="subscript"/>
              </w:rPr>
              <w:t>h</w:t>
            </w:r>
          </w:p>
        </w:tc>
        <w:tc>
          <w:tcPr>
            <w:tcW w:w="6840" w:type="dxa"/>
          </w:tcPr>
          <w:p w14:paraId="465FF174" w14:textId="2BA73D46" w:rsidR="00142CA2" w:rsidRPr="00135F1C" w:rsidRDefault="00142CA2" w:rsidP="00142CA2">
            <w:pPr>
              <w:rPr>
                <w:szCs w:val="22"/>
              </w:rPr>
            </w:pPr>
            <w:r>
              <w:rPr>
                <w:szCs w:val="22"/>
              </w:rPr>
              <w:t xml:space="preserve">Area under the concentration time curve from </w:t>
            </w:r>
            <w:r w:rsidR="007D4B85">
              <w:rPr>
                <w:szCs w:val="22"/>
              </w:rPr>
              <w:t xml:space="preserve">time </w:t>
            </w:r>
            <w:r>
              <w:rPr>
                <w:szCs w:val="22"/>
              </w:rPr>
              <w:t>0 to 12</w:t>
            </w:r>
            <w:r w:rsidR="008E020F">
              <w:rPr>
                <w:szCs w:val="22"/>
              </w:rPr>
              <w:t> </w:t>
            </w:r>
            <w:r>
              <w:rPr>
                <w:szCs w:val="22"/>
              </w:rPr>
              <w:t>hours</w:t>
            </w:r>
          </w:p>
        </w:tc>
      </w:tr>
      <w:tr w:rsidR="00142CA2" w:rsidRPr="00FD119B" w14:paraId="25E0132F" w14:textId="08415236" w:rsidTr="002552DB">
        <w:tc>
          <w:tcPr>
            <w:tcW w:w="0" w:type="dxa"/>
          </w:tcPr>
          <w:p w14:paraId="21E55463" w14:textId="7F183B38" w:rsidR="00142CA2" w:rsidRPr="00135F1C" w:rsidRDefault="00142CA2" w:rsidP="00142CA2">
            <w:pPr>
              <w:rPr>
                <w:szCs w:val="22"/>
              </w:rPr>
            </w:pPr>
            <w:r>
              <w:rPr>
                <w:szCs w:val="22"/>
              </w:rPr>
              <w:t>BFF</w:t>
            </w:r>
          </w:p>
        </w:tc>
        <w:tc>
          <w:tcPr>
            <w:tcW w:w="6840" w:type="dxa"/>
          </w:tcPr>
          <w:p w14:paraId="75E323C4" w14:textId="49E68045" w:rsidR="00142CA2" w:rsidRPr="00135F1C" w:rsidRDefault="00142CA2" w:rsidP="00142CA2">
            <w:pPr>
              <w:rPr>
                <w:szCs w:val="22"/>
              </w:rPr>
            </w:pPr>
            <w:bookmarkStart w:id="10" w:name="_Hlk95404927"/>
            <w:r>
              <w:rPr>
                <w:szCs w:val="22"/>
              </w:rPr>
              <w:t xml:space="preserve">Budesonide </w:t>
            </w:r>
            <w:r w:rsidR="006329D8">
              <w:rPr>
                <w:szCs w:val="22"/>
              </w:rPr>
              <w:t xml:space="preserve">/ </w:t>
            </w:r>
            <w:r>
              <w:rPr>
                <w:szCs w:val="22"/>
              </w:rPr>
              <w:t>formoterol fumarate</w:t>
            </w:r>
            <w:bookmarkEnd w:id="10"/>
          </w:p>
        </w:tc>
      </w:tr>
      <w:tr w:rsidR="00142CA2" w:rsidRPr="00FD119B" w14:paraId="3C5B280D" w14:textId="77777777" w:rsidTr="002552DB">
        <w:tc>
          <w:tcPr>
            <w:tcW w:w="0" w:type="dxa"/>
          </w:tcPr>
          <w:p w14:paraId="63F73752" w14:textId="4CD7C40F" w:rsidR="00142CA2" w:rsidRPr="00135F1C" w:rsidRDefault="00142CA2" w:rsidP="00142CA2">
            <w:pPr>
              <w:rPr>
                <w:szCs w:val="22"/>
              </w:rPr>
            </w:pPr>
            <w:r>
              <w:rPr>
                <w:szCs w:val="22"/>
              </w:rPr>
              <w:t>BGF</w:t>
            </w:r>
          </w:p>
        </w:tc>
        <w:tc>
          <w:tcPr>
            <w:tcW w:w="6840" w:type="dxa"/>
          </w:tcPr>
          <w:p w14:paraId="1E123A81" w14:textId="14FD340D" w:rsidR="00142CA2" w:rsidRPr="00135F1C" w:rsidRDefault="00142CA2" w:rsidP="00142CA2">
            <w:pPr>
              <w:rPr>
                <w:szCs w:val="22"/>
              </w:rPr>
            </w:pPr>
            <w:bookmarkStart w:id="11" w:name="_Hlk97026518"/>
            <w:r>
              <w:rPr>
                <w:szCs w:val="22"/>
              </w:rPr>
              <w:t>Budesonide</w:t>
            </w:r>
            <w:r w:rsidR="001579B2">
              <w:rPr>
                <w:szCs w:val="22"/>
              </w:rPr>
              <w:t xml:space="preserve"> /</w:t>
            </w:r>
            <w:r>
              <w:rPr>
                <w:szCs w:val="22"/>
              </w:rPr>
              <w:t xml:space="preserve"> glycopyrronium </w:t>
            </w:r>
            <w:r w:rsidR="001579B2">
              <w:rPr>
                <w:szCs w:val="22"/>
              </w:rPr>
              <w:t xml:space="preserve">/ </w:t>
            </w:r>
            <w:r>
              <w:rPr>
                <w:szCs w:val="22"/>
              </w:rPr>
              <w:t>formoterol fumarate</w:t>
            </w:r>
            <w:bookmarkEnd w:id="11"/>
          </w:p>
        </w:tc>
      </w:tr>
      <w:tr w:rsidR="0084323A" w:rsidRPr="00FD119B" w14:paraId="6AE59F47" w14:textId="77777777" w:rsidTr="002552DB">
        <w:tc>
          <w:tcPr>
            <w:tcW w:w="0" w:type="dxa"/>
          </w:tcPr>
          <w:p w14:paraId="7D6F34BA" w14:textId="50C2A4F2" w:rsidR="0084323A" w:rsidRPr="00135F1C" w:rsidRDefault="0084323A" w:rsidP="0084323A">
            <w:pPr>
              <w:rPr>
                <w:szCs w:val="22"/>
              </w:rPr>
            </w:pPr>
            <w:r>
              <w:rPr>
                <w:szCs w:val="22"/>
              </w:rPr>
              <w:t>BMD</w:t>
            </w:r>
          </w:p>
        </w:tc>
        <w:tc>
          <w:tcPr>
            <w:tcW w:w="6840" w:type="dxa"/>
          </w:tcPr>
          <w:p w14:paraId="2E46BDA1" w14:textId="563ECA07" w:rsidR="0084323A" w:rsidRPr="00135F1C" w:rsidRDefault="0084323A" w:rsidP="0084323A">
            <w:pPr>
              <w:rPr>
                <w:szCs w:val="22"/>
              </w:rPr>
            </w:pPr>
            <w:bookmarkStart w:id="12" w:name="_Hlk95384908"/>
            <w:r>
              <w:rPr>
                <w:szCs w:val="22"/>
              </w:rPr>
              <w:t>Bone mineral density</w:t>
            </w:r>
            <w:bookmarkEnd w:id="12"/>
          </w:p>
        </w:tc>
      </w:tr>
      <w:tr w:rsidR="00495D24" w:rsidRPr="00FD119B" w14:paraId="6F1D1417" w14:textId="77777777" w:rsidTr="002614CE">
        <w:tc>
          <w:tcPr>
            <w:tcW w:w="1890" w:type="dxa"/>
          </w:tcPr>
          <w:p w14:paraId="39F43600" w14:textId="45E8E9CE" w:rsidR="00495D24" w:rsidRDefault="00495D24" w:rsidP="0084323A">
            <w:r>
              <w:t>CAT</w:t>
            </w:r>
          </w:p>
        </w:tc>
        <w:tc>
          <w:tcPr>
            <w:tcW w:w="6840" w:type="dxa"/>
          </w:tcPr>
          <w:p w14:paraId="68C88181" w14:textId="0BD1ED83" w:rsidR="00495D24" w:rsidRDefault="00495D24" w:rsidP="0084323A">
            <w:r w:rsidRPr="00BA3F5B">
              <w:t xml:space="preserve">Chronic </w:t>
            </w:r>
            <w:r>
              <w:t>o</w:t>
            </w:r>
            <w:r w:rsidRPr="00BA3F5B">
              <w:t xml:space="preserve">bstructive </w:t>
            </w:r>
            <w:r>
              <w:t>p</w:t>
            </w:r>
            <w:r w:rsidRPr="00BA3F5B">
              <w:t xml:space="preserve">ulmonary </w:t>
            </w:r>
            <w:r>
              <w:t>d</w:t>
            </w:r>
            <w:r w:rsidRPr="00BA3F5B">
              <w:t xml:space="preserve">isease </w:t>
            </w:r>
            <w:r>
              <w:t>(COPD) assessment test</w:t>
            </w:r>
          </w:p>
        </w:tc>
      </w:tr>
      <w:tr w:rsidR="00F66460" w:rsidRPr="00FD119B" w14:paraId="3B6E2253" w14:textId="77777777" w:rsidTr="002552DB">
        <w:tc>
          <w:tcPr>
            <w:tcW w:w="0" w:type="dxa"/>
          </w:tcPr>
          <w:p w14:paraId="73532E74" w14:textId="7078EBED" w:rsidR="00F66460" w:rsidRDefault="00F66460" w:rsidP="0084323A">
            <w:r w:rsidRPr="00E061A2">
              <w:t>CD8</w:t>
            </w:r>
            <w:r>
              <w:t>+</w:t>
            </w:r>
          </w:p>
        </w:tc>
        <w:tc>
          <w:tcPr>
            <w:tcW w:w="6840" w:type="dxa"/>
          </w:tcPr>
          <w:p w14:paraId="592A00D0" w14:textId="0BC0C760" w:rsidR="00F66460" w:rsidRDefault="00F66460" w:rsidP="0084323A">
            <w:r>
              <w:t>C</w:t>
            </w:r>
            <w:r w:rsidRPr="00F66460">
              <w:t>luster of differentiation 8</w:t>
            </w:r>
            <w:r>
              <w:t xml:space="preserve"> positive</w:t>
            </w:r>
          </w:p>
        </w:tc>
      </w:tr>
      <w:tr w:rsidR="002614CE" w:rsidRPr="00FD119B" w14:paraId="4A69BD64" w14:textId="77777777" w:rsidTr="002614CE">
        <w:tc>
          <w:tcPr>
            <w:tcW w:w="1890" w:type="dxa"/>
          </w:tcPr>
          <w:p w14:paraId="3C162DC1" w14:textId="3CF57E6B" w:rsidR="002614CE" w:rsidRPr="00E061A2" w:rsidRDefault="002614CE" w:rsidP="0084323A">
            <w:r w:rsidRPr="008E3FD6">
              <w:t>CHMP</w:t>
            </w:r>
          </w:p>
        </w:tc>
        <w:tc>
          <w:tcPr>
            <w:tcW w:w="6840" w:type="dxa"/>
          </w:tcPr>
          <w:p w14:paraId="39E612BD" w14:textId="1FFBC895" w:rsidR="002614CE" w:rsidRDefault="002614CE" w:rsidP="0084323A">
            <w:r w:rsidRPr="008E3FD6">
              <w:t>Committee for Medicinal Products for Human Use (</w:t>
            </w:r>
            <w:r>
              <w:t>European</w:t>
            </w:r>
            <w:r w:rsidR="004158E6">
              <w:t> </w:t>
            </w:r>
            <w:r>
              <w:t>Union</w:t>
            </w:r>
            <w:r w:rsidRPr="008E3FD6">
              <w:t>)</w:t>
            </w:r>
          </w:p>
        </w:tc>
      </w:tr>
      <w:tr w:rsidR="00244AB8" w:rsidRPr="00FD119B" w14:paraId="5039E9F3" w14:textId="77777777" w:rsidTr="002614CE">
        <w:tc>
          <w:tcPr>
            <w:tcW w:w="1890" w:type="dxa"/>
          </w:tcPr>
          <w:p w14:paraId="6D970A6D" w14:textId="384FFEAF" w:rsidR="00244AB8" w:rsidRPr="008E3FD6" w:rsidRDefault="00244AB8" w:rsidP="0084323A">
            <w:r>
              <w:t>CI</w:t>
            </w:r>
          </w:p>
        </w:tc>
        <w:tc>
          <w:tcPr>
            <w:tcW w:w="6840" w:type="dxa"/>
          </w:tcPr>
          <w:p w14:paraId="5677E285" w14:textId="649763E7" w:rsidR="00244AB8" w:rsidRPr="008E3FD6" w:rsidRDefault="00244AB8" w:rsidP="0084323A">
            <w:r>
              <w:t>Confidence interval</w:t>
            </w:r>
          </w:p>
        </w:tc>
      </w:tr>
      <w:tr w:rsidR="0084323A" w:rsidRPr="00FD119B" w14:paraId="412D7526" w14:textId="77777777" w:rsidTr="002552DB">
        <w:tc>
          <w:tcPr>
            <w:tcW w:w="0" w:type="dxa"/>
          </w:tcPr>
          <w:p w14:paraId="71FC2B33" w14:textId="41D960E2" w:rsidR="0084323A" w:rsidRPr="00135F1C" w:rsidRDefault="0084323A" w:rsidP="0084323A">
            <w:pPr>
              <w:rPr>
                <w:szCs w:val="22"/>
              </w:rPr>
            </w:pPr>
            <w:r>
              <w:rPr>
                <w:szCs w:val="22"/>
              </w:rPr>
              <w:t>CL/F</w:t>
            </w:r>
          </w:p>
        </w:tc>
        <w:tc>
          <w:tcPr>
            <w:tcW w:w="6840" w:type="dxa"/>
          </w:tcPr>
          <w:p w14:paraId="72123FFB" w14:textId="4B669EFC" w:rsidR="0084323A" w:rsidRPr="00135F1C" w:rsidRDefault="0084323A" w:rsidP="0084323A">
            <w:pPr>
              <w:rPr>
                <w:szCs w:val="22"/>
              </w:rPr>
            </w:pPr>
            <w:r>
              <w:rPr>
                <w:szCs w:val="22"/>
              </w:rPr>
              <w:t>Apparent clearance</w:t>
            </w:r>
          </w:p>
        </w:tc>
      </w:tr>
      <w:tr w:rsidR="0084323A" w:rsidRPr="00FD119B" w14:paraId="449F805D" w14:textId="77777777" w:rsidTr="002552DB">
        <w:tc>
          <w:tcPr>
            <w:tcW w:w="0" w:type="dxa"/>
          </w:tcPr>
          <w:p w14:paraId="7D5DA26F" w14:textId="3AEDFE11" w:rsidR="0084323A" w:rsidRPr="00135F1C" w:rsidRDefault="0084323A" w:rsidP="0084323A">
            <w:pPr>
              <w:rPr>
                <w:szCs w:val="22"/>
              </w:rPr>
            </w:pPr>
            <w:proofErr w:type="spellStart"/>
            <w:r>
              <w:rPr>
                <w:szCs w:val="22"/>
              </w:rPr>
              <w:t>C</w:t>
            </w:r>
            <w:r w:rsidRPr="00A93867">
              <w:rPr>
                <w:szCs w:val="22"/>
                <w:vertAlign w:val="subscript"/>
              </w:rPr>
              <w:t>max</w:t>
            </w:r>
            <w:proofErr w:type="spellEnd"/>
          </w:p>
        </w:tc>
        <w:tc>
          <w:tcPr>
            <w:tcW w:w="6840" w:type="dxa"/>
          </w:tcPr>
          <w:p w14:paraId="0C2D659A" w14:textId="5738A7D1" w:rsidR="0084323A" w:rsidRPr="00135F1C" w:rsidRDefault="0084323A" w:rsidP="0084323A">
            <w:pPr>
              <w:rPr>
                <w:szCs w:val="22"/>
              </w:rPr>
            </w:pPr>
            <w:r>
              <w:rPr>
                <w:szCs w:val="22"/>
              </w:rPr>
              <w:t>Maximum plasma concentration</w:t>
            </w:r>
          </w:p>
        </w:tc>
      </w:tr>
      <w:tr w:rsidR="0084323A" w:rsidRPr="00FD119B" w14:paraId="053B9D8D" w14:textId="77777777" w:rsidTr="002552DB">
        <w:tc>
          <w:tcPr>
            <w:tcW w:w="0" w:type="dxa"/>
          </w:tcPr>
          <w:p w14:paraId="080D33B6" w14:textId="338AEE5E" w:rsidR="0084323A" w:rsidRPr="00135F1C" w:rsidRDefault="0084323A" w:rsidP="0084323A">
            <w:pPr>
              <w:rPr>
                <w:szCs w:val="22"/>
              </w:rPr>
            </w:pPr>
            <w:r>
              <w:rPr>
                <w:szCs w:val="22"/>
              </w:rPr>
              <w:t>COPD</w:t>
            </w:r>
          </w:p>
        </w:tc>
        <w:tc>
          <w:tcPr>
            <w:tcW w:w="6840" w:type="dxa"/>
          </w:tcPr>
          <w:p w14:paraId="7D857DE4" w14:textId="73E76622" w:rsidR="0084323A" w:rsidRPr="00135F1C" w:rsidRDefault="0084323A" w:rsidP="0084323A">
            <w:pPr>
              <w:rPr>
                <w:szCs w:val="22"/>
              </w:rPr>
            </w:pPr>
            <w:bookmarkStart w:id="13" w:name="_Hlk95401053"/>
            <w:r>
              <w:rPr>
                <w:szCs w:val="22"/>
              </w:rPr>
              <w:t>Chronic obstructive pulmonary disease</w:t>
            </w:r>
            <w:bookmarkEnd w:id="13"/>
          </w:p>
        </w:tc>
      </w:tr>
      <w:tr w:rsidR="0084323A" w:rsidRPr="00FD119B" w14:paraId="1A88D4E8" w14:textId="77777777" w:rsidTr="002552DB">
        <w:tc>
          <w:tcPr>
            <w:tcW w:w="0" w:type="dxa"/>
          </w:tcPr>
          <w:p w14:paraId="25FC7C9D" w14:textId="0F462C54" w:rsidR="0084323A" w:rsidRPr="00135F1C" w:rsidRDefault="0084323A" w:rsidP="0084323A">
            <w:pPr>
              <w:rPr>
                <w:szCs w:val="22"/>
              </w:rPr>
            </w:pPr>
            <w:r>
              <w:rPr>
                <w:szCs w:val="22"/>
              </w:rPr>
              <w:t>DAE</w:t>
            </w:r>
          </w:p>
        </w:tc>
        <w:tc>
          <w:tcPr>
            <w:tcW w:w="6840" w:type="dxa"/>
          </w:tcPr>
          <w:p w14:paraId="62456036" w14:textId="121F3D4E" w:rsidR="0084323A" w:rsidRPr="00135F1C" w:rsidRDefault="0084323A" w:rsidP="0084323A">
            <w:pPr>
              <w:rPr>
                <w:szCs w:val="22"/>
              </w:rPr>
            </w:pPr>
            <w:bookmarkStart w:id="14" w:name="_Hlk97044954"/>
            <w:r>
              <w:rPr>
                <w:szCs w:val="22"/>
              </w:rPr>
              <w:t>Adverse event leading to discontinuation</w:t>
            </w:r>
            <w:bookmarkEnd w:id="14"/>
          </w:p>
        </w:tc>
      </w:tr>
      <w:tr w:rsidR="0084323A" w:rsidRPr="00FD119B" w14:paraId="11209897" w14:textId="77777777" w:rsidTr="002552DB">
        <w:tc>
          <w:tcPr>
            <w:tcW w:w="0" w:type="dxa"/>
          </w:tcPr>
          <w:p w14:paraId="549C0380" w14:textId="537F81F2" w:rsidR="0084323A" w:rsidRPr="00135F1C" w:rsidRDefault="0084323A" w:rsidP="0084323A">
            <w:pPr>
              <w:rPr>
                <w:szCs w:val="22"/>
              </w:rPr>
            </w:pPr>
            <w:r>
              <w:rPr>
                <w:szCs w:val="22"/>
              </w:rPr>
              <w:t>eGFR</w:t>
            </w:r>
          </w:p>
        </w:tc>
        <w:tc>
          <w:tcPr>
            <w:tcW w:w="6840" w:type="dxa"/>
          </w:tcPr>
          <w:p w14:paraId="003F22A4" w14:textId="5DA90BFC" w:rsidR="0084323A" w:rsidRPr="00135F1C" w:rsidRDefault="0084323A" w:rsidP="0084323A">
            <w:pPr>
              <w:rPr>
                <w:szCs w:val="22"/>
              </w:rPr>
            </w:pPr>
            <w:r>
              <w:rPr>
                <w:szCs w:val="22"/>
              </w:rPr>
              <w:t>Estimated glomerular filtration rate</w:t>
            </w:r>
          </w:p>
        </w:tc>
      </w:tr>
      <w:tr w:rsidR="002614CE" w:rsidRPr="00FD119B" w14:paraId="5EAF7236" w14:textId="77777777" w:rsidTr="002614CE">
        <w:tc>
          <w:tcPr>
            <w:tcW w:w="1890" w:type="dxa"/>
          </w:tcPr>
          <w:p w14:paraId="5DD6178B" w14:textId="31C2ECC9" w:rsidR="002614CE" w:rsidRDefault="002614CE" w:rsidP="0084323A">
            <w:r w:rsidRPr="008E3FD6">
              <w:t>EMA</w:t>
            </w:r>
          </w:p>
        </w:tc>
        <w:tc>
          <w:tcPr>
            <w:tcW w:w="6840" w:type="dxa"/>
          </w:tcPr>
          <w:p w14:paraId="79522056" w14:textId="2B362BB2" w:rsidR="002614CE" w:rsidRDefault="002614CE" w:rsidP="0084323A">
            <w:r w:rsidRPr="008E3FD6">
              <w:t>European Medicines Agency (</w:t>
            </w:r>
            <w:r>
              <w:t>European Union</w:t>
            </w:r>
            <w:r w:rsidRPr="008E3FD6">
              <w:t>)</w:t>
            </w:r>
          </w:p>
        </w:tc>
      </w:tr>
      <w:tr w:rsidR="002614CE" w:rsidRPr="00FD119B" w14:paraId="19AE1C9A" w14:textId="77777777" w:rsidTr="002552DB">
        <w:tc>
          <w:tcPr>
            <w:tcW w:w="0" w:type="dxa"/>
          </w:tcPr>
          <w:p w14:paraId="17E3FED1" w14:textId="3D12FC59" w:rsidR="002614CE" w:rsidRDefault="002614CE" w:rsidP="0084323A">
            <w:r>
              <w:t>EU</w:t>
            </w:r>
          </w:p>
        </w:tc>
        <w:tc>
          <w:tcPr>
            <w:tcW w:w="6840" w:type="dxa"/>
          </w:tcPr>
          <w:p w14:paraId="20B34D6D" w14:textId="6A8E556F" w:rsidR="002614CE" w:rsidRDefault="002614CE" w:rsidP="0084323A">
            <w:r>
              <w:t>European Union</w:t>
            </w:r>
          </w:p>
        </w:tc>
      </w:tr>
      <w:tr w:rsidR="0084323A" w:rsidRPr="00FD119B" w14:paraId="3BBE2BD8" w14:textId="77777777" w:rsidTr="002552DB">
        <w:tc>
          <w:tcPr>
            <w:tcW w:w="0" w:type="dxa"/>
          </w:tcPr>
          <w:p w14:paraId="17C46876" w14:textId="393DB20A" w:rsidR="0084323A" w:rsidRPr="00135F1C" w:rsidRDefault="0084323A" w:rsidP="0084323A">
            <w:pPr>
              <w:rPr>
                <w:szCs w:val="22"/>
              </w:rPr>
            </w:pPr>
            <w:r>
              <w:rPr>
                <w:szCs w:val="22"/>
              </w:rPr>
              <w:t>EXACT</w:t>
            </w:r>
          </w:p>
        </w:tc>
        <w:tc>
          <w:tcPr>
            <w:tcW w:w="6840" w:type="dxa"/>
          </w:tcPr>
          <w:p w14:paraId="64E83821" w14:textId="5872C54D" w:rsidR="0084323A" w:rsidRPr="00135F1C" w:rsidRDefault="0084323A" w:rsidP="0084323A">
            <w:pPr>
              <w:rPr>
                <w:szCs w:val="22"/>
              </w:rPr>
            </w:pPr>
            <w:r>
              <w:rPr>
                <w:szCs w:val="22"/>
              </w:rPr>
              <w:t xml:space="preserve">Exacerbations of </w:t>
            </w:r>
            <w:r w:rsidR="0041185C">
              <w:rPr>
                <w:szCs w:val="22"/>
              </w:rPr>
              <w:t>c</w:t>
            </w:r>
            <w:r w:rsidR="0041185C" w:rsidRPr="0041185C">
              <w:rPr>
                <w:szCs w:val="22"/>
              </w:rPr>
              <w:t xml:space="preserve">hronic obstructive pulmonary </w:t>
            </w:r>
            <w:r w:rsidR="008E020F">
              <w:rPr>
                <w:szCs w:val="22"/>
              </w:rPr>
              <w:t>d</w:t>
            </w:r>
            <w:r>
              <w:rPr>
                <w:szCs w:val="22"/>
              </w:rPr>
              <w:t xml:space="preserve">isease </w:t>
            </w:r>
            <w:r w:rsidR="0041185C">
              <w:rPr>
                <w:szCs w:val="22"/>
              </w:rPr>
              <w:t xml:space="preserve">(COPD) </w:t>
            </w:r>
            <w:r w:rsidR="008E020F">
              <w:rPr>
                <w:szCs w:val="22"/>
              </w:rPr>
              <w:t>t</w:t>
            </w:r>
            <w:r>
              <w:rPr>
                <w:szCs w:val="22"/>
              </w:rPr>
              <w:t>ool</w:t>
            </w:r>
          </w:p>
        </w:tc>
      </w:tr>
      <w:tr w:rsidR="0084323A" w:rsidRPr="00FD119B" w14:paraId="6BF33BD9" w14:textId="77777777" w:rsidTr="002552DB">
        <w:tc>
          <w:tcPr>
            <w:tcW w:w="0" w:type="dxa"/>
          </w:tcPr>
          <w:p w14:paraId="3632959D" w14:textId="46081242" w:rsidR="0084323A" w:rsidRPr="00135F1C" w:rsidRDefault="0084323A" w:rsidP="0084323A">
            <w:pPr>
              <w:rPr>
                <w:szCs w:val="22"/>
              </w:rPr>
            </w:pPr>
            <w:r>
              <w:rPr>
                <w:szCs w:val="22"/>
              </w:rPr>
              <w:lastRenderedPageBreak/>
              <w:t>FEV</w:t>
            </w:r>
            <w:r w:rsidRPr="00A61DA6">
              <w:rPr>
                <w:szCs w:val="22"/>
                <w:vertAlign w:val="subscript"/>
              </w:rPr>
              <w:t>1</w:t>
            </w:r>
          </w:p>
        </w:tc>
        <w:tc>
          <w:tcPr>
            <w:tcW w:w="6840" w:type="dxa"/>
          </w:tcPr>
          <w:p w14:paraId="4DA271C4" w14:textId="3EB14E69" w:rsidR="0084323A" w:rsidRPr="00135F1C" w:rsidRDefault="0084323A" w:rsidP="0084323A">
            <w:pPr>
              <w:rPr>
                <w:szCs w:val="22"/>
              </w:rPr>
            </w:pPr>
            <w:r>
              <w:rPr>
                <w:szCs w:val="22"/>
              </w:rPr>
              <w:t xml:space="preserve">Forced expiratory volume in </w:t>
            </w:r>
            <w:r w:rsidR="005B192F">
              <w:rPr>
                <w:szCs w:val="22"/>
              </w:rPr>
              <w:t xml:space="preserve">one </w:t>
            </w:r>
            <w:r>
              <w:rPr>
                <w:szCs w:val="22"/>
              </w:rPr>
              <w:t>second</w:t>
            </w:r>
          </w:p>
        </w:tc>
      </w:tr>
      <w:tr w:rsidR="0084323A" w:rsidRPr="00FD119B" w14:paraId="3339E72E" w14:textId="77777777" w:rsidTr="002552DB">
        <w:tc>
          <w:tcPr>
            <w:tcW w:w="0" w:type="dxa"/>
          </w:tcPr>
          <w:p w14:paraId="2ABE6F28" w14:textId="3319E338" w:rsidR="0084323A" w:rsidRPr="00135F1C" w:rsidRDefault="0084323A" w:rsidP="0084323A">
            <w:pPr>
              <w:rPr>
                <w:szCs w:val="22"/>
              </w:rPr>
            </w:pPr>
            <w:r>
              <w:rPr>
                <w:szCs w:val="22"/>
              </w:rPr>
              <w:t>FVC</w:t>
            </w:r>
          </w:p>
        </w:tc>
        <w:tc>
          <w:tcPr>
            <w:tcW w:w="6840" w:type="dxa"/>
          </w:tcPr>
          <w:p w14:paraId="66BB1C4F" w14:textId="032EA35B" w:rsidR="0084323A" w:rsidRPr="00135F1C" w:rsidRDefault="0084323A" w:rsidP="0084323A">
            <w:pPr>
              <w:rPr>
                <w:szCs w:val="22"/>
              </w:rPr>
            </w:pPr>
            <w:r>
              <w:rPr>
                <w:szCs w:val="22"/>
              </w:rPr>
              <w:t>Forced vital capacity</w:t>
            </w:r>
          </w:p>
        </w:tc>
      </w:tr>
      <w:tr w:rsidR="0084323A" w:rsidRPr="00FD119B" w14:paraId="1DB55537" w14:textId="77777777" w:rsidTr="002552DB">
        <w:tc>
          <w:tcPr>
            <w:tcW w:w="0" w:type="dxa"/>
          </w:tcPr>
          <w:p w14:paraId="0CD34AE0" w14:textId="3FC3671B" w:rsidR="0084323A" w:rsidRPr="00135F1C" w:rsidRDefault="0084323A" w:rsidP="0084323A">
            <w:pPr>
              <w:rPr>
                <w:szCs w:val="22"/>
              </w:rPr>
            </w:pPr>
            <w:r>
              <w:rPr>
                <w:szCs w:val="22"/>
              </w:rPr>
              <w:t>FEF</w:t>
            </w:r>
            <w:r w:rsidRPr="003009A7">
              <w:rPr>
                <w:szCs w:val="22"/>
                <w:vertAlign w:val="subscript"/>
              </w:rPr>
              <w:t>25-75</w:t>
            </w:r>
            <w:r w:rsidR="004158E6">
              <w:rPr>
                <w:szCs w:val="22"/>
                <w:vertAlign w:val="subscript"/>
              </w:rPr>
              <w:t>%</w:t>
            </w:r>
          </w:p>
        </w:tc>
        <w:tc>
          <w:tcPr>
            <w:tcW w:w="6840" w:type="dxa"/>
          </w:tcPr>
          <w:p w14:paraId="20EC20DC" w14:textId="791F8462" w:rsidR="0084323A" w:rsidRPr="00135F1C" w:rsidRDefault="0084323A" w:rsidP="0084323A">
            <w:pPr>
              <w:rPr>
                <w:szCs w:val="22"/>
              </w:rPr>
            </w:pPr>
            <w:r>
              <w:rPr>
                <w:szCs w:val="22"/>
              </w:rPr>
              <w:t xml:space="preserve">Forced expiratory flow between 25% and 75% of </w:t>
            </w:r>
            <w:r w:rsidR="008F7FF4">
              <w:rPr>
                <w:szCs w:val="22"/>
              </w:rPr>
              <w:t>f</w:t>
            </w:r>
            <w:r w:rsidR="008F7FF4" w:rsidRPr="008F7FF4">
              <w:rPr>
                <w:szCs w:val="22"/>
              </w:rPr>
              <w:t>orced vital capacity</w:t>
            </w:r>
          </w:p>
        </w:tc>
      </w:tr>
      <w:tr w:rsidR="00056140" w:rsidRPr="00FD119B" w14:paraId="6F6445C2" w14:textId="77777777" w:rsidTr="004E7E61">
        <w:tc>
          <w:tcPr>
            <w:tcW w:w="0" w:type="dxa"/>
          </w:tcPr>
          <w:p w14:paraId="05EDC983" w14:textId="09E6B7DB" w:rsidR="00056140" w:rsidRDefault="00056140" w:rsidP="0084323A">
            <w:proofErr w:type="spellStart"/>
            <w:r w:rsidRPr="00056140">
              <w:t>F</w:t>
            </w:r>
            <w:r w:rsidRPr="002552DB">
              <w:rPr>
                <w:vertAlign w:val="subscript"/>
              </w:rPr>
              <w:t>rel</w:t>
            </w:r>
            <w:proofErr w:type="spellEnd"/>
          </w:p>
        </w:tc>
        <w:tc>
          <w:tcPr>
            <w:tcW w:w="6840" w:type="dxa"/>
          </w:tcPr>
          <w:p w14:paraId="0E585FEA" w14:textId="6798B7E2" w:rsidR="00056140" w:rsidRDefault="00056140" w:rsidP="0084323A">
            <w:r>
              <w:t>R</w:t>
            </w:r>
            <w:r w:rsidRPr="00056140">
              <w:t>elative bioavailability</w:t>
            </w:r>
          </w:p>
        </w:tc>
      </w:tr>
      <w:tr w:rsidR="0084323A" w:rsidRPr="00FD119B" w14:paraId="14524C13" w14:textId="56E5FA5C" w:rsidTr="002552DB">
        <w:tc>
          <w:tcPr>
            <w:tcW w:w="0" w:type="dxa"/>
          </w:tcPr>
          <w:p w14:paraId="74615825" w14:textId="64DF0FCC" w:rsidR="0084323A" w:rsidRPr="00135F1C" w:rsidRDefault="0084323A" w:rsidP="0084323A">
            <w:pPr>
              <w:rPr>
                <w:szCs w:val="22"/>
              </w:rPr>
            </w:pPr>
            <w:bookmarkStart w:id="15" w:name="_Hlk95404828"/>
            <w:r>
              <w:rPr>
                <w:szCs w:val="22"/>
              </w:rPr>
              <w:t>GFF</w:t>
            </w:r>
          </w:p>
        </w:tc>
        <w:tc>
          <w:tcPr>
            <w:tcW w:w="6840" w:type="dxa"/>
          </w:tcPr>
          <w:p w14:paraId="557F6BAA" w14:textId="03A6618D" w:rsidR="0084323A" w:rsidRPr="00135F1C" w:rsidRDefault="0084323A" w:rsidP="0084323A">
            <w:pPr>
              <w:rPr>
                <w:szCs w:val="22"/>
              </w:rPr>
            </w:pPr>
            <w:r>
              <w:rPr>
                <w:szCs w:val="22"/>
              </w:rPr>
              <w:t>Glycopyrronium</w:t>
            </w:r>
            <w:r w:rsidR="00EC053D">
              <w:rPr>
                <w:szCs w:val="22"/>
              </w:rPr>
              <w:t xml:space="preserve"> / </w:t>
            </w:r>
            <w:r>
              <w:rPr>
                <w:szCs w:val="22"/>
              </w:rPr>
              <w:t>formoterol fumarate</w:t>
            </w:r>
          </w:p>
        </w:tc>
      </w:tr>
      <w:bookmarkEnd w:id="15"/>
      <w:tr w:rsidR="0084323A" w:rsidRPr="00FD119B" w14:paraId="386AF67D" w14:textId="77777777" w:rsidTr="002552DB">
        <w:tc>
          <w:tcPr>
            <w:tcW w:w="0" w:type="dxa"/>
          </w:tcPr>
          <w:p w14:paraId="06BC3C6A" w14:textId="20F8FE38" w:rsidR="0084323A" w:rsidRPr="00135F1C" w:rsidRDefault="0084323A" w:rsidP="0084323A">
            <w:pPr>
              <w:rPr>
                <w:szCs w:val="22"/>
              </w:rPr>
            </w:pPr>
            <w:r>
              <w:rPr>
                <w:szCs w:val="22"/>
              </w:rPr>
              <w:t>GOLD</w:t>
            </w:r>
          </w:p>
        </w:tc>
        <w:tc>
          <w:tcPr>
            <w:tcW w:w="6840" w:type="dxa"/>
          </w:tcPr>
          <w:p w14:paraId="7E665F82" w14:textId="0B3D7354" w:rsidR="0084323A" w:rsidRPr="00135F1C" w:rsidRDefault="0084323A" w:rsidP="0084323A">
            <w:pPr>
              <w:rPr>
                <w:szCs w:val="22"/>
              </w:rPr>
            </w:pPr>
            <w:r>
              <w:rPr>
                <w:szCs w:val="22"/>
              </w:rPr>
              <w:t>Global Initiative for Chronic Obstructive Lung Disease</w:t>
            </w:r>
          </w:p>
        </w:tc>
      </w:tr>
      <w:tr w:rsidR="00366E53" w:rsidRPr="00FD119B" w14:paraId="09A7A210" w14:textId="77777777" w:rsidTr="002552DB">
        <w:tc>
          <w:tcPr>
            <w:tcW w:w="0" w:type="dxa"/>
          </w:tcPr>
          <w:p w14:paraId="27F5C276" w14:textId="5B9C134D" w:rsidR="00366E53" w:rsidRDefault="00366E53" w:rsidP="0084323A">
            <w:r w:rsidRPr="00366E53">
              <w:t>ICS</w:t>
            </w:r>
          </w:p>
        </w:tc>
        <w:tc>
          <w:tcPr>
            <w:tcW w:w="6840" w:type="dxa"/>
          </w:tcPr>
          <w:p w14:paraId="1A31F599" w14:textId="194AB29B" w:rsidR="00366E53" w:rsidRDefault="00366E53" w:rsidP="0084323A">
            <w:r w:rsidRPr="00366E53">
              <w:t>Inhaled corticosteroid</w:t>
            </w:r>
          </w:p>
        </w:tc>
      </w:tr>
      <w:tr w:rsidR="00D6265D" w:rsidRPr="00FD119B" w14:paraId="613234BE" w14:textId="77777777" w:rsidTr="004E7E61">
        <w:tc>
          <w:tcPr>
            <w:tcW w:w="0" w:type="dxa"/>
          </w:tcPr>
          <w:p w14:paraId="6C915D1A" w14:textId="52BF4B04" w:rsidR="00D6265D" w:rsidRPr="00366E53" w:rsidRDefault="00D6265D" w:rsidP="0084323A">
            <w:r>
              <w:t>k</w:t>
            </w:r>
            <w:r w:rsidRPr="001B08C3">
              <w:rPr>
                <w:vertAlign w:val="subscript"/>
              </w:rPr>
              <w:t>a</w:t>
            </w:r>
          </w:p>
        </w:tc>
        <w:tc>
          <w:tcPr>
            <w:tcW w:w="6840" w:type="dxa"/>
          </w:tcPr>
          <w:p w14:paraId="1FAD94CD" w14:textId="02DB668F" w:rsidR="00D6265D" w:rsidRPr="00366E53" w:rsidRDefault="00D6265D" w:rsidP="0084323A">
            <w:r>
              <w:t>A</w:t>
            </w:r>
            <w:r w:rsidRPr="007C57FA">
              <w:t>bsorption rate constant</w:t>
            </w:r>
          </w:p>
        </w:tc>
      </w:tr>
      <w:tr w:rsidR="00AA6AE9" w:rsidRPr="00FD119B" w14:paraId="14914115" w14:textId="77777777" w:rsidTr="002552DB">
        <w:tc>
          <w:tcPr>
            <w:tcW w:w="0" w:type="dxa"/>
          </w:tcPr>
          <w:p w14:paraId="1DB4090D" w14:textId="4F7E0DD8" w:rsidR="00AA6AE9" w:rsidRPr="00135F1C" w:rsidRDefault="00AA6AE9" w:rsidP="00AA6AE9">
            <w:pPr>
              <w:rPr>
                <w:szCs w:val="22"/>
              </w:rPr>
            </w:pPr>
            <w:r>
              <w:rPr>
                <w:szCs w:val="22"/>
              </w:rPr>
              <w:t>LABA</w:t>
            </w:r>
          </w:p>
        </w:tc>
        <w:tc>
          <w:tcPr>
            <w:tcW w:w="6840" w:type="dxa"/>
          </w:tcPr>
          <w:p w14:paraId="1ECC0966" w14:textId="61B299CE" w:rsidR="00AA6AE9" w:rsidRPr="00135F1C" w:rsidRDefault="00AA6AE9" w:rsidP="00AA6AE9">
            <w:pPr>
              <w:rPr>
                <w:szCs w:val="22"/>
              </w:rPr>
            </w:pPr>
            <w:r>
              <w:rPr>
                <w:szCs w:val="22"/>
              </w:rPr>
              <w:t xml:space="preserve">Long-acting </w:t>
            </w:r>
            <w:r w:rsidR="004158E6">
              <w:rPr>
                <w:szCs w:val="22"/>
              </w:rPr>
              <w:t>beta-2 (</w:t>
            </w:r>
            <w:r w:rsidR="009E41B2" w:rsidRPr="009E41B2">
              <w:rPr>
                <w:i/>
                <w:iCs/>
                <w:szCs w:val="22"/>
              </w:rPr>
              <w:t>β</w:t>
            </w:r>
            <w:r w:rsidRPr="00C77DB8">
              <w:rPr>
                <w:szCs w:val="22"/>
                <w:vertAlign w:val="subscript"/>
              </w:rPr>
              <w:t>2</w:t>
            </w:r>
            <w:r w:rsidR="004158E6">
              <w:rPr>
                <w:szCs w:val="22"/>
              </w:rPr>
              <w:t xml:space="preserve">) </w:t>
            </w:r>
            <w:r>
              <w:rPr>
                <w:szCs w:val="22"/>
              </w:rPr>
              <w:t>agonist</w:t>
            </w:r>
          </w:p>
        </w:tc>
      </w:tr>
      <w:tr w:rsidR="00AA6AE9" w:rsidRPr="00FD119B" w14:paraId="56EDB6F4" w14:textId="77777777" w:rsidTr="002552DB">
        <w:tc>
          <w:tcPr>
            <w:tcW w:w="0" w:type="dxa"/>
          </w:tcPr>
          <w:p w14:paraId="31363AE1" w14:textId="5E500AE5" w:rsidR="00AA6AE9" w:rsidRPr="00135F1C" w:rsidRDefault="00AA6AE9" w:rsidP="00AA6AE9">
            <w:pPr>
              <w:rPr>
                <w:szCs w:val="22"/>
              </w:rPr>
            </w:pPr>
            <w:r>
              <w:rPr>
                <w:szCs w:val="22"/>
              </w:rPr>
              <w:t>LAMA</w:t>
            </w:r>
          </w:p>
        </w:tc>
        <w:tc>
          <w:tcPr>
            <w:tcW w:w="6840" w:type="dxa"/>
          </w:tcPr>
          <w:p w14:paraId="087DA348" w14:textId="082716C2" w:rsidR="00AA6AE9" w:rsidRPr="00135F1C" w:rsidRDefault="00AA6AE9">
            <w:pPr>
              <w:rPr>
                <w:szCs w:val="22"/>
              </w:rPr>
            </w:pPr>
            <w:r>
              <w:rPr>
                <w:szCs w:val="22"/>
              </w:rPr>
              <w:t xml:space="preserve">Long-acting muscarinic </w:t>
            </w:r>
            <w:r w:rsidR="00746719">
              <w:rPr>
                <w:szCs w:val="22"/>
              </w:rPr>
              <w:t>antagonist</w:t>
            </w:r>
          </w:p>
        </w:tc>
      </w:tr>
      <w:tr w:rsidR="00AA6AE9" w:rsidRPr="00FD119B" w14:paraId="4A8E953E" w14:textId="77777777" w:rsidTr="002552DB">
        <w:tc>
          <w:tcPr>
            <w:tcW w:w="0" w:type="dxa"/>
          </w:tcPr>
          <w:p w14:paraId="0585B675" w14:textId="17730A92" w:rsidR="00AA6AE9" w:rsidRPr="00135F1C" w:rsidRDefault="00AA6AE9" w:rsidP="00AA6AE9">
            <w:pPr>
              <w:rPr>
                <w:szCs w:val="22"/>
              </w:rPr>
            </w:pPr>
            <w:r>
              <w:rPr>
                <w:szCs w:val="22"/>
              </w:rPr>
              <w:t>LOCS III</w:t>
            </w:r>
            <w:r w:rsidR="003E6418">
              <w:rPr>
                <w:szCs w:val="22"/>
              </w:rPr>
              <w:t xml:space="preserve"> (P)</w:t>
            </w:r>
          </w:p>
        </w:tc>
        <w:tc>
          <w:tcPr>
            <w:tcW w:w="6840" w:type="dxa"/>
          </w:tcPr>
          <w:p w14:paraId="75B56272" w14:textId="75BA10A8" w:rsidR="003E6418" w:rsidRPr="00135F1C" w:rsidRDefault="00AA6AE9">
            <w:pPr>
              <w:rPr>
                <w:szCs w:val="22"/>
              </w:rPr>
            </w:pPr>
            <w:bookmarkStart w:id="16" w:name="_Hlk95471022"/>
            <w:r>
              <w:rPr>
                <w:szCs w:val="22"/>
              </w:rPr>
              <w:t xml:space="preserve">Lens </w:t>
            </w:r>
            <w:r w:rsidR="00EE1466">
              <w:rPr>
                <w:szCs w:val="22"/>
              </w:rPr>
              <w:t>o</w:t>
            </w:r>
            <w:r>
              <w:rPr>
                <w:szCs w:val="22"/>
              </w:rPr>
              <w:t xml:space="preserve">pacities </w:t>
            </w:r>
            <w:r w:rsidR="00EE1466">
              <w:rPr>
                <w:szCs w:val="22"/>
              </w:rPr>
              <w:t>c</w:t>
            </w:r>
            <w:r>
              <w:rPr>
                <w:szCs w:val="22"/>
              </w:rPr>
              <w:t xml:space="preserve">lassification </w:t>
            </w:r>
            <w:r w:rsidR="00EE1466">
              <w:rPr>
                <w:szCs w:val="22"/>
              </w:rPr>
              <w:t>s</w:t>
            </w:r>
            <w:r>
              <w:rPr>
                <w:szCs w:val="22"/>
              </w:rPr>
              <w:t>ystem III</w:t>
            </w:r>
            <w:r w:rsidR="003E6418">
              <w:rPr>
                <w:szCs w:val="22"/>
              </w:rPr>
              <w:t xml:space="preserve"> </w:t>
            </w:r>
            <w:bookmarkEnd w:id="16"/>
            <w:r w:rsidR="003E6418">
              <w:rPr>
                <w:szCs w:val="22"/>
              </w:rPr>
              <w:t>(</w:t>
            </w:r>
            <w:r w:rsidR="003E6418">
              <w:t>posterior subcapsular cataract)</w:t>
            </w:r>
          </w:p>
        </w:tc>
      </w:tr>
      <w:tr w:rsidR="00B7474A" w:rsidRPr="00FD119B" w14:paraId="75B1F759" w14:textId="77777777" w:rsidTr="002552DB">
        <w:tc>
          <w:tcPr>
            <w:tcW w:w="0" w:type="dxa"/>
          </w:tcPr>
          <w:p w14:paraId="1C896E8E" w14:textId="0263E849" w:rsidR="00B7474A" w:rsidRDefault="00B7474A" w:rsidP="00AA6AE9">
            <w:r>
              <w:t>MDI</w:t>
            </w:r>
          </w:p>
        </w:tc>
        <w:tc>
          <w:tcPr>
            <w:tcW w:w="6840" w:type="dxa"/>
          </w:tcPr>
          <w:p w14:paraId="5F630B36" w14:textId="3730709D" w:rsidR="00B7474A" w:rsidRDefault="00B7474A" w:rsidP="00AA6AE9">
            <w:bookmarkStart w:id="17" w:name="_Hlk96939172"/>
            <w:r>
              <w:t>M</w:t>
            </w:r>
            <w:r w:rsidRPr="00B7474A">
              <w:t>etered dose inhaler</w:t>
            </w:r>
            <w:bookmarkEnd w:id="17"/>
          </w:p>
        </w:tc>
      </w:tr>
      <w:tr w:rsidR="001428F9" w:rsidRPr="00FD119B" w14:paraId="78A60E3D" w14:textId="77777777" w:rsidTr="002552DB">
        <w:tc>
          <w:tcPr>
            <w:tcW w:w="0" w:type="dxa"/>
          </w:tcPr>
          <w:p w14:paraId="1DB81D4E" w14:textId="7E1DE4BB" w:rsidR="001428F9" w:rsidRPr="00135F1C" w:rsidRDefault="001428F9" w:rsidP="001428F9">
            <w:pPr>
              <w:rPr>
                <w:szCs w:val="22"/>
              </w:rPr>
            </w:pPr>
            <w:r>
              <w:rPr>
                <w:szCs w:val="22"/>
              </w:rPr>
              <w:t>mITT</w:t>
            </w:r>
          </w:p>
        </w:tc>
        <w:tc>
          <w:tcPr>
            <w:tcW w:w="6840" w:type="dxa"/>
          </w:tcPr>
          <w:p w14:paraId="3B48F32E" w14:textId="328149BD" w:rsidR="001428F9" w:rsidRPr="00135F1C" w:rsidRDefault="001428F9" w:rsidP="001428F9">
            <w:pPr>
              <w:rPr>
                <w:szCs w:val="22"/>
              </w:rPr>
            </w:pPr>
            <w:r>
              <w:rPr>
                <w:szCs w:val="22"/>
              </w:rPr>
              <w:t>Modified intent</w:t>
            </w:r>
            <w:r w:rsidR="005031A6">
              <w:rPr>
                <w:szCs w:val="22"/>
              </w:rPr>
              <w:t>ion</w:t>
            </w:r>
            <w:r w:rsidR="006B21B2">
              <w:rPr>
                <w:szCs w:val="22"/>
              </w:rPr>
              <w:t>-</w:t>
            </w:r>
            <w:r>
              <w:rPr>
                <w:szCs w:val="22"/>
              </w:rPr>
              <w:t>to</w:t>
            </w:r>
            <w:r w:rsidR="006B21B2">
              <w:rPr>
                <w:szCs w:val="22"/>
              </w:rPr>
              <w:t>-</w:t>
            </w:r>
            <w:r>
              <w:rPr>
                <w:szCs w:val="22"/>
              </w:rPr>
              <w:t>treat</w:t>
            </w:r>
          </w:p>
        </w:tc>
      </w:tr>
      <w:tr w:rsidR="002614CE" w:rsidRPr="00FD119B" w14:paraId="5C43C71E" w14:textId="77777777" w:rsidTr="002614CE">
        <w:tc>
          <w:tcPr>
            <w:tcW w:w="1890" w:type="dxa"/>
          </w:tcPr>
          <w:p w14:paraId="1A55FCEF" w14:textId="65AA2A94" w:rsidR="002614CE" w:rsidRDefault="002614CE" w:rsidP="001428F9">
            <w:r>
              <w:t>PD</w:t>
            </w:r>
          </w:p>
        </w:tc>
        <w:tc>
          <w:tcPr>
            <w:tcW w:w="6840" w:type="dxa"/>
          </w:tcPr>
          <w:p w14:paraId="6FD512EB" w14:textId="38EA80AA" w:rsidR="002614CE" w:rsidRDefault="002614CE" w:rsidP="001428F9">
            <w:r>
              <w:t>Pharmacodynamic(s)</w:t>
            </w:r>
          </w:p>
        </w:tc>
      </w:tr>
      <w:tr w:rsidR="001428F9" w:rsidRPr="00FD119B" w14:paraId="179CD722" w14:textId="77777777" w:rsidTr="002552DB">
        <w:tc>
          <w:tcPr>
            <w:tcW w:w="0" w:type="dxa"/>
          </w:tcPr>
          <w:p w14:paraId="0762A239" w14:textId="3F286AD0" w:rsidR="001428F9" w:rsidRPr="00135F1C" w:rsidRDefault="001428F9" w:rsidP="001428F9">
            <w:pPr>
              <w:rPr>
                <w:szCs w:val="22"/>
              </w:rPr>
            </w:pPr>
            <w:r>
              <w:rPr>
                <w:szCs w:val="22"/>
              </w:rPr>
              <w:t>PEFR</w:t>
            </w:r>
          </w:p>
        </w:tc>
        <w:tc>
          <w:tcPr>
            <w:tcW w:w="6840" w:type="dxa"/>
          </w:tcPr>
          <w:p w14:paraId="6DF62957" w14:textId="0C967B57" w:rsidR="001428F9" w:rsidRPr="00135F1C" w:rsidRDefault="001428F9" w:rsidP="001428F9">
            <w:pPr>
              <w:rPr>
                <w:szCs w:val="22"/>
              </w:rPr>
            </w:pPr>
            <w:r>
              <w:rPr>
                <w:szCs w:val="22"/>
              </w:rPr>
              <w:t>Peak expiratory flow rate</w:t>
            </w:r>
          </w:p>
        </w:tc>
      </w:tr>
      <w:tr w:rsidR="002614CE" w:rsidRPr="00FD119B" w14:paraId="6DC61593" w14:textId="77777777" w:rsidTr="002614CE">
        <w:tc>
          <w:tcPr>
            <w:tcW w:w="1890" w:type="dxa"/>
          </w:tcPr>
          <w:p w14:paraId="77B19C9F" w14:textId="3D6665A9" w:rsidR="002614CE" w:rsidRDefault="002614CE" w:rsidP="001428F9">
            <w:r w:rsidRPr="00940A89">
              <w:t>PI</w:t>
            </w:r>
          </w:p>
        </w:tc>
        <w:tc>
          <w:tcPr>
            <w:tcW w:w="6840" w:type="dxa"/>
          </w:tcPr>
          <w:p w14:paraId="73D281AF" w14:textId="75CF36CA" w:rsidR="002614CE" w:rsidRDefault="002614CE" w:rsidP="001428F9">
            <w:r w:rsidRPr="00940A89">
              <w:t>Product Information</w:t>
            </w:r>
          </w:p>
        </w:tc>
      </w:tr>
      <w:tr w:rsidR="002614CE" w:rsidRPr="00FD119B" w14:paraId="321D01DC" w14:textId="77777777" w:rsidTr="002614CE">
        <w:tc>
          <w:tcPr>
            <w:tcW w:w="1890" w:type="dxa"/>
          </w:tcPr>
          <w:p w14:paraId="1292A68D" w14:textId="0011ADD0" w:rsidR="002614CE" w:rsidRPr="00940A89" w:rsidRDefault="002614CE" w:rsidP="001428F9">
            <w:r>
              <w:t>PK</w:t>
            </w:r>
          </w:p>
        </w:tc>
        <w:tc>
          <w:tcPr>
            <w:tcW w:w="6840" w:type="dxa"/>
          </w:tcPr>
          <w:p w14:paraId="1F0C3369" w14:textId="270839E0" w:rsidR="002614CE" w:rsidRPr="00940A89" w:rsidRDefault="002614CE" w:rsidP="001428F9">
            <w:r w:rsidRPr="00EC1452">
              <w:t>Pharmacokinetic</w:t>
            </w:r>
            <w:r>
              <w:t>(s)</w:t>
            </w:r>
          </w:p>
        </w:tc>
      </w:tr>
      <w:tr w:rsidR="002614CE" w:rsidRPr="00FD119B" w14:paraId="17248782" w14:textId="77777777" w:rsidTr="002614CE">
        <w:tc>
          <w:tcPr>
            <w:tcW w:w="1890" w:type="dxa"/>
          </w:tcPr>
          <w:p w14:paraId="2C40E400" w14:textId="655FC17A" w:rsidR="002614CE" w:rsidRDefault="002614CE" w:rsidP="001428F9">
            <w:proofErr w:type="spellStart"/>
            <w:r>
              <w:t>popPK</w:t>
            </w:r>
            <w:proofErr w:type="spellEnd"/>
          </w:p>
        </w:tc>
        <w:tc>
          <w:tcPr>
            <w:tcW w:w="6840" w:type="dxa"/>
          </w:tcPr>
          <w:p w14:paraId="5077988F" w14:textId="0F4C3E41" w:rsidR="002614CE" w:rsidRPr="00EC1452" w:rsidRDefault="002614CE" w:rsidP="001428F9">
            <w:r>
              <w:t>Population pharmacokinetic(s)</w:t>
            </w:r>
          </w:p>
        </w:tc>
      </w:tr>
      <w:tr w:rsidR="006B2F08" w:rsidRPr="00FD119B" w14:paraId="75C52FE9" w14:textId="77777777" w:rsidTr="002614CE">
        <w:tc>
          <w:tcPr>
            <w:tcW w:w="1890" w:type="dxa"/>
          </w:tcPr>
          <w:p w14:paraId="2162E693" w14:textId="6C9BFC1D" w:rsidR="006B2F08" w:rsidRDefault="006B2F08" w:rsidP="001428F9">
            <w:r w:rsidRPr="006B2F08">
              <w:t>Q/F</w:t>
            </w:r>
          </w:p>
        </w:tc>
        <w:tc>
          <w:tcPr>
            <w:tcW w:w="6840" w:type="dxa"/>
          </w:tcPr>
          <w:p w14:paraId="6A345C48" w14:textId="29768F59" w:rsidR="006B2F08" w:rsidRDefault="006B2F08" w:rsidP="001428F9">
            <w:r>
              <w:t>A</w:t>
            </w:r>
            <w:r w:rsidRPr="006B2F08">
              <w:t>pparent inter-compartmental clearance</w:t>
            </w:r>
          </w:p>
        </w:tc>
      </w:tr>
      <w:tr w:rsidR="00783442" w:rsidRPr="00FD119B" w14:paraId="41F63370" w14:textId="77777777" w:rsidTr="002614CE">
        <w:tc>
          <w:tcPr>
            <w:tcW w:w="1890" w:type="dxa"/>
          </w:tcPr>
          <w:p w14:paraId="4CCCCF6E" w14:textId="46D726AC" w:rsidR="00783442" w:rsidRPr="006B2F08" w:rsidRDefault="00783442" w:rsidP="001428F9">
            <w:r w:rsidRPr="00783442">
              <w:t>Q</w:t>
            </w:r>
            <w:r w:rsidRPr="002552DB">
              <w:rPr>
                <w:vertAlign w:val="subscript"/>
              </w:rPr>
              <w:t>p1</w:t>
            </w:r>
            <w:r w:rsidRPr="00783442">
              <w:t>/F</w:t>
            </w:r>
          </w:p>
        </w:tc>
        <w:tc>
          <w:tcPr>
            <w:tcW w:w="6840" w:type="dxa"/>
          </w:tcPr>
          <w:p w14:paraId="683E880C" w14:textId="35C3F215" w:rsidR="00783442" w:rsidRDefault="00783442" w:rsidP="001428F9">
            <w:r>
              <w:t>F</w:t>
            </w:r>
            <w:r w:rsidRPr="00783442">
              <w:t>low rate to and from shallow peripheral compartmen</w:t>
            </w:r>
            <w:r>
              <w:t>t</w:t>
            </w:r>
          </w:p>
        </w:tc>
      </w:tr>
      <w:tr w:rsidR="00783442" w:rsidRPr="00FD119B" w14:paraId="3A5D80FC" w14:textId="77777777" w:rsidTr="002614CE">
        <w:tc>
          <w:tcPr>
            <w:tcW w:w="1890" w:type="dxa"/>
          </w:tcPr>
          <w:p w14:paraId="1C730407" w14:textId="04CC28E2" w:rsidR="00783442" w:rsidRPr="00783442" w:rsidRDefault="00783442" w:rsidP="001428F9">
            <w:r>
              <w:t>Q</w:t>
            </w:r>
            <w:r w:rsidRPr="00BD071C">
              <w:rPr>
                <w:vertAlign w:val="subscript"/>
              </w:rPr>
              <w:t>p2</w:t>
            </w:r>
            <w:r>
              <w:t>/F</w:t>
            </w:r>
          </w:p>
        </w:tc>
        <w:tc>
          <w:tcPr>
            <w:tcW w:w="6840" w:type="dxa"/>
          </w:tcPr>
          <w:p w14:paraId="036E5272" w14:textId="404467A8" w:rsidR="00783442" w:rsidRDefault="00783442" w:rsidP="001428F9">
            <w:r>
              <w:t>F</w:t>
            </w:r>
            <w:r w:rsidRPr="00FC4D54">
              <w:t>low rate to and from deep peripheral compartment</w:t>
            </w:r>
          </w:p>
        </w:tc>
      </w:tr>
      <w:tr w:rsidR="001428F9" w:rsidRPr="00FD119B" w14:paraId="44EBB227" w14:textId="77777777" w:rsidTr="002552DB">
        <w:tc>
          <w:tcPr>
            <w:tcW w:w="0" w:type="dxa"/>
          </w:tcPr>
          <w:p w14:paraId="7930751F" w14:textId="040680EA" w:rsidR="001428F9" w:rsidRPr="00135F1C" w:rsidRDefault="001428F9" w:rsidP="001428F9">
            <w:pPr>
              <w:rPr>
                <w:szCs w:val="22"/>
              </w:rPr>
            </w:pPr>
            <w:r>
              <w:rPr>
                <w:szCs w:val="22"/>
              </w:rPr>
              <w:t>SABA</w:t>
            </w:r>
          </w:p>
        </w:tc>
        <w:tc>
          <w:tcPr>
            <w:tcW w:w="6840" w:type="dxa"/>
          </w:tcPr>
          <w:p w14:paraId="530A159B" w14:textId="26CACFC3" w:rsidR="001428F9" w:rsidRPr="00135F1C" w:rsidRDefault="001428F9" w:rsidP="001428F9">
            <w:pPr>
              <w:rPr>
                <w:szCs w:val="22"/>
              </w:rPr>
            </w:pPr>
            <w:r>
              <w:rPr>
                <w:szCs w:val="22"/>
              </w:rPr>
              <w:t xml:space="preserve">Short acting </w:t>
            </w:r>
            <w:r w:rsidR="004158E6">
              <w:rPr>
                <w:szCs w:val="22"/>
              </w:rPr>
              <w:t>beta-2 (</w:t>
            </w:r>
            <w:r w:rsidR="009E41B2" w:rsidRPr="009E41B2">
              <w:rPr>
                <w:i/>
                <w:iCs/>
                <w:szCs w:val="22"/>
              </w:rPr>
              <w:t>β</w:t>
            </w:r>
            <w:r w:rsidRPr="00C77DB8">
              <w:rPr>
                <w:szCs w:val="22"/>
                <w:vertAlign w:val="subscript"/>
              </w:rPr>
              <w:t>2</w:t>
            </w:r>
            <w:r w:rsidR="004158E6">
              <w:rPr>
                <w:szCs w:val="22"/>
              </w:rPr>
              <w:t xml:space="preserve">) </w:t>
            </w:r>
            <w:r>
              <w:rPr>
                <w:szCs w:val="22"/>
              </w:rPr>
              <w:t>agonist</w:t>
            </w:r>
          </w:p>
        </w:tc>
      </w:tr>
      <w:tr w:rsidR="004E7E61" w:rsidRPr="00FD119B" w14:paraId="2F08DAA4" w14:textId="77777777" w:rsidTr="004E7E61">
        <w:tc>
          <w:tcPr>
            <w:tcW w:w="1890" w:type="dxa"/>
          </w:tcPr>
          <w:p w14:paraId="7C6EFA1E" w14:textId="53488D66" w:rsidR="004E7E61" w:rsidRDefault="004E7E61" w:rsidP="001428F9">
            <w:r w:rsidRPr="004E7E61">
              <w:t>SAE</w:t>
            </w:r>
          </w:p>
        </w:tc>
        <w:tc>
          <w:tcPr>
            <w:tcW w:w="6840" w:type="dxa"/>
          </w:tcPr>
          <w:p w14:paraId="487E4423" w14:textId="55285A1E" w:rsidR="004E7E61" w:rsidRDefault="004E7E61" w:rsidP="001428F9">
            <w:r>
              <w:t>S</w:t>
            </w:r>
            <w:r w:rsidRPr="004E7E61">
              <w:t>erious adverse event</w:t>
            </w:r>
          </w:p>
        </w:tc>
      </w:tr>
      <w:tr w:rsidR="001428F9" w:rsidRPr="00FD119B" w14:paraId="113AE796" w14:textId="77777777" w:rsidTr="002552DB">
        <w:tc>
          <w:tcPr>
            <w:tcW w:w="0" w:type="dxa"/>
          </w:tcPr>
          <w:p w14:paraId="4736A5AC" w14:textId="09CCE7F8" w:rsidR="001428F9" w:rsidRPr="00135F1C" w:rsidRDefault="001428F9" w:rsidP="001428F9">
            <w:pPr>
              <w:rPr>
                <w:szCs w:val="22"/>
              </w:rPr>
            </w:pPr>
            <w:r>
              <w:rPr>
                <w:szCs w:val="22"/>
              </w:rPr>
              <w:t>SAMA</w:t>
            </w:r>
          </w:p>
        </w:tc>
        <w:tc>
          <w:tcPr>
            <w:tcW w:w="6840" w:type="dxa"/>
          </w:tcPr>
          <w:p w14:paraId="167E9586" w14:textId="75B42651" w:rsidR="001428F9" w:rsidRPr="00135F1C" w:rsidRDefault="001428F9" w:rsidP="001428F9">
            <w:pPr>
              <w:rPr>
                <w:szCs w:val="22"/>
              </w:rPr>
            </w:pPr>
            <w:r>
              <w:rPr>
                <w:szCs w:val="22"/>
              </w:rPr>
              <w:t>Short</w:t>
            </w:r>
            <w:r w:rsidR="00746719">
              <w:rPr>
                <w:szCs w:val="22"/>
              </w:rPr>
              <w:noBreakHyphen/>
            </w:r>
            <w:r>
              <w:rPr>
                <w:szCs w:val="22"/>
              </w:rPr>
              <w:t>acting muscarinic antagonist</w:t>
            </w:r>
          </w:p>
        </w:tc>
      </w:tr>
      <w:tr w:rsidR="00B66845" w:rsidRPr="00FD119B" w14:paraId="48A1C77E" w14:textId="77777777" w:rsidTr="002614CE">
        <w:tc>
          <w:tcPr>
            <w:tcW w:w="1890" w:type="dxa"/>
          </w:tcPr>
          <w:p w14:paraId="42243990" w14:textId="7202409A" w:rsidR="00B66845" w:rsidRDefault="00B66845" w:rsidP="001428F9">
            <w:r w:rsidRPr="00CD72FD">
              <w:t>TEAE</w:t>
            </w:r>
          </w:p>
        </w:tc>
        <w:tc>
          <w:tcPr>
            <w:tcW w:w="6840" w:type="dxa"/>
          </w:tcPr>
          <w:p w14:paraId="02C131D7" w14:textId="1483E1C7" w:rsidR="00B66845" w:rsidRDefault="00B66845" w:rsidP="001428F9">
            <w:r>
              <w:t>T</w:t>
            </w:r>
            <w:r w:rsidRPr="00244361">
              <w:t>reatment emergent adverse event</w:t>
            </w:r>
          </w:p>
        </w:tc>
      </w:tr>
      <w:tr w:rsidR="002614CE" w:rsidRPr="00FD119B" w14:paraId="0F16F152" w14:textId="77777777" w:rsidTr="002552DB">
        <w:tc>
          <w:tcPr>
            <w:tcW w:w="0" w:type="dxa"/>
          </w:tcPr>
          <w:p w14:paraId="7649625B" w14:textId="205FD90F" w:rsidR="002614CE" w:rsidRDefault="002614CE" w:rsidP="001428F9">
            <w:r>
              <w:lastRenderedPageBreak/>
              <w:t>US(A)</w:t>
            </w:r>
          </w:p>
        </w:tc>
        <w:tc>
          <w:tcPr>
            <w:tcW w:w="6840" w:type="dxa"/>
          </w:tcPr>
          <w:p w14:paraId="784F23A2" w14:textId="421B76DB" w:rsidR="002614CE" w:rsidRDefault="002614CE" w:rsidP="001428F9">
            <w:r>
              <w:t>United States of (America)</w:t>
            </w:r>
          </w:p>
        </w:tc>
      </w:tr>
      <w:tr w:rsidR="006B2F08" w:rsidRPr="00FD119B" w14:paraId="1DD4D2E9" w14:textId="77777777" w:rsidTr="004E7E61">
        <w:tc>
          <w:tcPr>
            <w:tcW w:w="0" w:type="dxa"/>
          </w:tcPr>
          <w:p w14:paraId="31000572" w14:textId="7EC48F20" w:rsidR="006B2F08" w:rsidRDefault="006B2F08" w:rsidP="001428F9">
            <w:proofErr w:type="spellStart"/>
            <w:r>
              <w:t>V</w:t>
            </w:r>
            <w:r w:rsidRPr="001B08C3">
              <w:rPr>
                <w:vertAlign w:val="subscript"/>
              </w:rPr>
              <w:t>c</w:t>
            </w:r>
            <w:proofErr w:type="spellEnd"/>
            <w:r>
              <w:t>/F</w:t>
            </w:r>
          </w:p>
        </w:tc>
        <w:tc>
          <w:tcPr>
            <w:tcW w:w="6840" w:type="dxa"/>
          </w:tcPr>
          <w:p w14:paraId="68DDBE27" w14:textId="2AB641C0" w:rsidR="006B2F08" w:rsidRDefault="006B2F08" w:rsidP="001428F9">
            <w:r>
              <w:t>A</w:t>
            </w:r>
            <w:r w:rsidRPr="006B2F08">
              <w:t xml:space="preserve">pparent </w:t>
            </w:r>
            <w:r>
              <w:t>v</w:t>
            </w:r>
            <w:r w:rsidRPr="006B2F08">
              <w:t>olume of distribution of central compartment</w:t>
            </w:r>
          </w:p>
        </w:tc>
      </w:tr>
      <w:tr w:rsidR="006B2F08" w:rsidRPr="00FD119B" w14:paraId="51AF64DA" w14:textId="77777777" w:rsidTr="004E7E61">
        <w:tc>
          <w:tcPr>
            <w:tcW w:w="0" w:type="dxa"/>
          </w:tcPr>
          <w:p w14:paraId="27DD97F2" w14:textId="5BF921B7" w:rsidR="006B2F08" w:rsidRDefault="006B2F08" w:rsidP="001428F9">
            <w:proofErr w:type="spellStart"/>
            <w:r>
              <w:t>V</w:t>
            </w:r>
            <w:r w:rsidRPr="001B08C3">
              <w:rPr>
                <w:vertAlign w:val="subscript"/>
              </w:rPr>
              <w:t>p</w:t>
            </w:r>
            <w:proofErr w:type="spellEnd"/>
            <w:r>
              <w:t>/F</w:t>
            </w:r>
          </w:p>
        </w:tc>
        <w:tc>
          <w:tcPr>
            <w:tcW w:w="6840" w:type="dxa"/>
          </w:tcPr>
          <w:p w14:paraId="7B1AE425" w14:textId="02371E0C" w:rsidR="006B2F08" w:rsidRDefault="006B2F08" w:rsidP="001428F9">
            <w:r>
              <w:t>A</w:t>
            </w:r>
            <w:r w:rsidRPr="006B2F08">
              <w:t xml:space="preserve">pparent </w:t>
            </w:r>
            <w:r>
              <w:t>v</w:t>
            </w:r>
            <w:r w:rsidRPr="006B2F08">
              <w:t>olume of distribution of peripheral compartment</w:t>
            </w:r>
          </w:p>
        </w:tc>
      </w:tr>
    </w:tbl>
    <w:p w14:paraId="279B9FB7" w14:textId="77777777" w:rsidR="00FD119B" w:rsidRDefault="00FD119B" w:rsidP="00FD119B"/>
    <w:p w14:paraId="184AE85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53C8685D" w14:textId="77777777" w:rsidR="008E7846" w:rsidRDefault="00F53C07" w:rsidP="008E7846">
      <w:pPr>
        <w:pStyle w:val="Heading2"/>
      </w:pPr>
      <w:bookmarkStart w:id="18" w:name="_Toc101345649"/>
      <w:r>
        <w:lastRenderedPageBreak/>
        <w:t>I.</w:t>
      </w:r>
      <w:r w:rsidR="008E7846">
        <w:t xml:space="preserve"> Introduction to product submission</w:t>
      </w:r>
      <w:bookmarkEnd w:id="0"/>
      <w:bookmarkEnd w:id="2"/>
      <w:bookmarkEnd w:id="18"/>
    </w:p>
    <w:p w14:paraId="4A58A0FC" w14:textId="77777777" w:rsidR="008E7846" w:rsidRDefault="008E7846" w:rsidP="008E7846">
      <w:pPr>
        <w:pStyle w:val="Heading3"/>
        <w:rPr>
          <w:lang w:eastAsia="en-AU"/>
        </w:rPr>
      </w:pPr>
      <w:bookmarkStart w:id="19" w:name="_Toc247691502"/>
      <w:bookmarkStart w:id="20" w:name="_Toc314842483"/>
      <w:bookmarkStart w:id="21" w:name="_Toc101345650"/>
      <w:r>
        <w:rPr>
          <w:lang w:eastAsia="en-AU"/>
        </w:rPr>
        <w:t>Submission details</w:t>
      </w:r>
      <w:bookmarkEnd w:id="19"/>
      <w:bookmarkEnd w:id="20"/>
      <w:bookmarkEnd w:id="21"/>
    </w:p>
    <w:tbl>
      <w:tblPr>
        <w:tblW w:w="9214" w:type="dxa"/>
        <w:tblInd w:w="108" w:type="dxa"/>
        <w:tblLook w:val="01E0" w:firstRow="1" w:lastRow="1" w:firstColumn="1" w:lastColumn="1" w:noHBand="0" w:noVBand="0"/>
      </w:tblPr>
      <w:tblGrid>
        <w:gridCol w:w="2907"/>
        <w:gridCol w:w="6307"/>
      </w:tblGrid>
      <w:tr w:rsidR="008E7846" w:rsidRPr="003D1E62" w14:paraId="26A94D4B" w14:textId="77777777" w:rsidTr="003735BC">
        <w:tc>
          <w:tcPr>
            <w:tcW w:w="2907" w:type="dxa"/>
          </w:tcPr>
          <w:p w14:paraId="4524BE49"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DA4CF16" w14:textId="0F49B292" w:rsidR="008E7846" w:rsidRPr="003D1E62" w:rsidRDefault="007F3AC6" w:rsidP="001B5C90">
            <w:bookmarkStart w:id="22" w:name="_Hlk95393710"/>
            <w:r>
              <w:t>N</w:t>
            </w:r>
            <w:r w:rsidRPr="007F3AC6">
              <w:t>ew fixed dose combination</w:t>
            </w:r>
            <w:bookmarkEnd w:id="22"/>
          </w:p>
        </w:tc>
      </w:tr>
      <w:tr w:rsidR="00460036" w:rsidRPr="003D1E62" w14:paraId="1C892089" w14:textId="77777777" w:rsidTr="003735BC">
        <w:tc>
          <w:tcPr>
            <w:tcW w:w="2907" w:type="dxa"/>
          </w:tcPr>
          <w:p w14:paraId="480708F7" w14:textId="7475016D" w:rsidR="00460036" w:rsidRPr="003D1E62" w:rsidRDefault="00460036" w:rsidP="003D1E62">
            <w:pPr>
              <w:rPr>
                <w:i/>
              </w:rPr>
            </w:pPr>
            <w:r w:rsidRPr="00460036">
              <w:rPr>
                <w:i/>
              </w:rPr>
              <w:t>Product name:</w:t>
            </w:r>
          </w:p>
        </w:tc>
        <w:tc>
          <w:tcPr>
            <w:tcW w:w="6307" w:type="dxa"/>
          </w:tcPr>
          <w:p w14:paraId="50EFD9F3" w14:textId="3799A20F" w:rsidR="00460036" w:rsidRPr="003D1E62" w:rsidRDefault="00BF4F21" w:rsidP="001B5C90">
            <w:r w:rsidRPr="00BF4F21">
              <w:t>Breztri Aerosphere</w:t>
            </w:r>
          </w:p>
        </w:tc>
      </w:tr>
      <w:tr w:rsidR="00460036" w:rsidRPr="003D1E62" w14:paraId="62B72D42" w14:textId="77777777" w:rsidTr="003735BC">
        <w:tc>
          <w:tcPr>
            <w:tcW w:w="2907" w:type="dxa"/>
          </w:tcPr>
          <w:p w14:paraId="53B1F8C4" w14:textId="04E27F97" w:rsidR="00460036" w:rsidRPr="003D1E62" w:rsidRDefault="00460036" w:rsidP="003D1E62">
            <w:pPr>
              <w:rPr>
                <w:i/>
              </w:rPr>
            </w:pPr>
            <w:r w:rsidRPr="00460036">
              <w:rPr>
                <w:i/>
              </w:rPr>
              <w:t>Active ingredients:</w:t>
            </w:r>
          </w:p>
        </w:tc>
        <w:tc>
          <w:tcPr>
            <w:tcW w:w="6307" w:type="dxa"/>
          </w:tcPr>
          <w:p w14:paraId="6DA15E9A" w14:textId="130E44FD" w:rsidR="00460036" w:rsidRPr="003D1E62" w:rsidRDefault="00BF4F21" w:rsidP="00A55441">
            <w:r>
              <w:t>B</w:t>
            </w:r>
            <w:r w:rsidRPr="00BF4F21">
              <w:t>udesonide</w:t>
            </w:r>
            <w:r w:rsidR="008C3D86">
              <w:t xml:space="preserve"> </w:t>
            </w:r>
            <w:r w:rsidRPr="00BF4F21">
              <w:t>/</w:t>
            </w:r>
            <w:r w:rsidR="00D97EC3">
              <w:t xml:space="preserve"> </w:t>
            </w:r>
            <w:r w:rsidR="008C3D86">
              <w:t>g</w:t>
            </w:r>
            <w:r w:rsidRPr="00BF4F21">
              <w:t>lycopyrronium</w:t>
            </w:r>
            <w:r w:rsidR="008C3D86">
              <w:t xml:space="preserve"> </w:t>
            </w:r>
            <w:r w:rsidRPr="00BF4F21">
              <w:t>/</w:t>
            </w:r>
            <w:r w:rsidR="00D97EC3">
              <w:t xml:space="preserve"> </w:t>
            </w:r>
            <w:r w:rsidR="007F3AC6" w:rsidRPr="007F3AC6">
              <w:t>formoterol fumarate</w:t>
            </w:r>
            <w:r w:rsidR="00A55441">
              <w:t xml:space="preserve"> dihydrate</w:t>
            </w:r>
          </w:p>
        </w:tc>
      </w:tr>
      <w:tr w:rsidR="008E7846" w:rsidRPr="003D1E62" w14:paraId="5581955B" w14:textId="77777777" w:rsidTr="003735BC">
        <w:tc>
          <w:tcPr>
            <w:tcW w:w="2907" w:type="dxa"/>
          </w:tcPr>
          <w:p w14:paraId="28502BCC" w14:textId="77777777" w:rsidR="008E7846" w:rsidRPr="003D1E62" w:rsidRDefault="008E7846" w:rsidP="003D1E62">
            <w:r w:rsidRPr="003D1E62">
              <w:rPr>
                <w:i/>
              </w:rPr>
              <w:t>Decision</w:t>
            </w:r>
            <w:r w:rsidRPr="003D1E62">
              <w:t>:</w:t>
            </w:r>
          </w:p>
        </w:tc>
        <w:tc>
          <w:tcPr>
            <w:tcW w:w="6307" w:type="dxa"/>
          </w:tcPr>
          <w:p w14:paraId="26ACFD63" w14:textId="51BE1A31" w:rsidR="008E7846" w:rsidRPr="003D1E62" w:rsidRDefault="00460036" w:rsidP="001B5C90">
            <w:r w:rsidRPr="00460036">
              <w:t>Approved</w:t>
            </w:r>
          </w:p>
        </w:tc>
      </w:tr>
      <w:tr w:rsidR="008E7846" w:rsidRPr="003D1E62" w14:paraId="4329BE4C" w14:textId="77777777" w:rsidTr="003735BC">
        <w:tc>
          <w:tcPr>
            <w:tcW w:w="2907" w:type="dxa"/>
          </w:tcPr>
          <w:p w14:paraId="674BAE7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D7095A5" w14:textId="79397F59" w:rsidR="008E7846" w:rsidRPr="003D1E62" w:rsidRDefault="00C558B7" w:rsidP="001B5C90">
            <w:r w:rsidRPr="00C558B7">
              <w:t>16 July 2021</w:t>
            </w:r>
          </w:p>
        </w:tc>
      </w:tr>
      <w:tr w:rsidR="00ED2922" w:rsidRPr="003D1E62" w14:paraId="3EEDCD42" w14:textId="77777777" w:rsidTr="003735BC">
        <w:tc>
          <w:tcPr>
            <w:tcW w:w="2907" w:type="dxa"/>
          </w:tcPr>
          <w:p w14:paraId="33763DE8" w14:textId="77777777" w:rsidR="00ED2922" w:rsidRPr="00441C3F" w:rsidRDefault="00ED2922" w:rsidP="001B5C90">
            <w:pPr>
              <w:rPr>
                <w:i/>
              </w:rPr>
            </w:pPr>
            <w:r w:rsidRPr="00441C3F">
              <w:rPr>
                <w:i/>
              </w:rPr>
              <w:t>Date of entry onto ARTG</w:t>
            </w:r>
            <w:r w:rsidR="00500337">
              <w:rPr>
                <w:i/>
              </w:rPr>
              <w:t>:</w:t>
            </w:r>
          </w:p>
        </w:tc>
        <w:tc>
          <w:tcPr>
            <w:tcW w:w="6307" w:type="dxa"/>
          </w:tcPr>
          <w:p w14:paraId="5A31AE05" w14:textId="4926F7F4" w:rsidR="00ED2922" w:rsidRPr="00441C3F" w:rsidRDefault="008D0413" w:rsidP="00D153D8">
            <w:pPr>
              <w:rPr>
                <w:i/>
              </w:rPr>
            </w:pPr>
            <w:r>
              <w:t>19 July 2021</w:t>
            </w:r>
          </w:p>
        </w:tc>
      </w:tr>
      <w:tr w:rsidR="00500337" w:rsidRPr="003D1E62" w14:paraId="78FB8364" w14:textId="77777777" w:rsidTr="003735BC">
        <w:tc>
          <w:tcPr>
            <w:tcW w:w="2907" w:type="dxa"/>
          </w:tcPr>
          <w:p w14:paraId="43E835D7" w14:textId="00457C48" w:rsidR="00500337" w:rsidRPr="00441C3F" w:rsidRDefault="00500337" w:rsidP="001B5C90">
            <w:pPr>
              <w:rPr>
                <w:i/>
              </w:rPr>
            </w:pPr>
            <w:r>
              <w:rPr>
                <w:i/>
              </w:rPr>
              <w:t>ARTG number:</w:t>
            </w:r>
          </w:p>
        </w:tc>
        <w:tc>
          <w:tcPr>
            <w:tcW w:w="6307" w:type="dxa"/>
          </w:tcPr>
          <w:p w14:paraId="3E666347" w14:textId="5DB1E41F" w:rsidR="00500337" w:rsidRPr="00441C3F" w:rsidRDefault="008D0413" w:rsidP="00EC463D">
            <w:r w:rsidRPr="008D0413">
              <w:t>339070</w:t>
            </w:r>
          </w:p>
        </w:tc>
      </w:tr>
      <w:tr w:rsidR="003735BC" w:rsidRPr="003D1E62" w14:paraId="38E7C1DD" w14:textId="77777777" w:rsidTr="003735BC">
        <w:tc>
          <w:tcPr>
            <w:tcW w:w="2907" w:type="dxa"/>
          </w:tcPr>
          <w:p w14:paraId="63EC830B"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29E7B3C1" w14:textId="4560D7AE" w:rsidR="003735BC" w:rsidRPr="00487162" w:rsidRDefault="003735BC" w:rsidP="003735BC">
            <w:r>
              <w:t>No</w:t>
            </w:r>
          </w:p>
        </w:tc>
      </w:tr>
      <w:tr w:rsidR="008E7846" w:rsidRPr="00487162" w14:paraId="7C8C4B49" w14:textId="77777777" w:rsidTr="00BF1190">
        <w:tc>
          <w:tcPr>
            <w:tcW w:w="2907" w:type="dxa"/>
          </w:tcPr>
          <w:p w14:paraId="137B64A3"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F91D55C" w14:textId="77777777" w:rsidR="008E7846" w:rsidRDefault="00607704" w:rsidP="00E45619">
            <w:r w:rsidRPr="00607704">
              <w:t>AstraZeneca Pty Ltd</w:t>
            </w:r>
          </w:p>
          <w:p w14:paraId="04A0FF9D" w14:textId="77777777" w:rsidR="00607704" w:rsidRDefault="00607704" w:rsidP="00607704">
            <w:r>
              <w:t>66 Talavera Road</w:t>
            </w:r>
          </w:p>
          <w:p w14:paraId="7FD07E5A" w14:textId="1C9446FC" w:rsidR="00607704" w:rsidRPr="00487162" w:rsidRDefault="00607704" w:rsidP="00607704">
            <w:r>
              <w:t>Macquarie Park NSW 2113</w:t>
            </w:r>
          </w:p>
        </w:tc>
      </w:tr>
      <w:tr w:rsidR="008E7846" w:rsidRPr="00487162" w14:paraId="246C9A91" w14:textId="77777777" w:rsidTr="00BF1190">
        <w:tc>
          <w:tcPr>
            <w:tcW w:w="2907" w:type="dxa"/>
          </w:tcPr>
          <w:p w14:paraId="2D3134D2" w14:textId="77D39E47" w:rsidR="008E7846" w:rsidRPr="00487162" w:rsidRDefault="001B5C90" w:rsidP="00E45619">
            <w:pPr>
              <w:rPr>
                <w:i/>
              </w:rPr>
            </w:pPr>
            <w:r>
              <w:rPr>
                <w:i/>
              </w:rPr>
              <w:t>Dose form:</w:t>
            </w:r>
          </w:p>
        </w:tc>
        <w:tc>
          <w:tcPr>
            <w:tcW w:w="6307" w:type="dxa"/>
          </w:tcPr>
          <w:p w14:paraId="53C41529" w14:textId="38323CCA" w:rsidR="008E7846" w:rsidRPr="00487162" w:rsidRDefault="00C8316E" w:rsidP="00E45619">
            <w:r>
              <w:t>P</w:t>
            </w:r>
            <w:r w:rsidRPr="00C8316E">
              <w:t>ressurised</w:t>
            </w:r>
            <w:r>
              <w:t xml:space="preserve"> i</w:t>
            </w:r>
            <w:r w:rsidRPr="00C8316E">
              <w:t>nhalation</w:t>
            </w:r>
          </w:p>
        </w:tc>
      </w:tr>
      <w:tr w:rsidR="008E7846" w:rsidRPr="00487162" w14:paraId="7D799C47" w14:textId="77777777" w:rsidTr="00BF1190">
        <w:tc>
          <w:tcPr>
            <w:tcW w:w="2907" w:type="dxa"/>
          </w:tcPr>
          <w:p w14:paraId="757269E4" w14:textId="2521EBE8" w:rsidR="008E7846" w:rsidRPr="00487162" w:rsidRDefault="00324E45" w:rsidP="00E45619">
            <w:pPr>
              <w:rPr>
                <w:i/>
              </w:rPr>
            </w:pPr>
            <w:r>
              <w:rPr>
                <w:i/>
              </w:rPr>
              <w:t>Strengths:</w:t>
            </w:r>
          </w:p>
        </w:tc>
        <w:tc>
          <w:tcPr>
            <w:tcW w:w="6307" w:type="dxa"/>
          </w:tcPr>
          <w:p w14:paraId="41553907" w14:textId="3D7C3868" w:rsidR="008E7846" w:rsidRPr="00487162" w:rsidRDefault="009165B4" w:rsidP="00A55441">
            <w:bookmarkStart w:id="23" w:name="_Hlk95404588"/>
            <w:r>
              <w:t>160 µg b</w:t>
            </w:r>
            <w:r w:rsidR="00732E6E" w:rsidRPr="00732E6E">
              <w:t>udesonide</w:t>
            </w:r>
            <w:r w:rsidR="00732E6E">
              <w:t xml:space="preserve">, </w:t>
            </w:r>
            <w:r>
              <w:t xml:space="preserve">7.2 µg </w:t>
            </w:r>
            <w:r w:rsidR="00FF2496">
              <w:t xml:space="preserve">glycopyrronium </w:t>
            </w:r>
            <w:r w:rsidR="00732E6E">
              <w:t xml:space="preserve">and </w:t>
            </w:r>
            <w:r>
              <w:t xml:space="preserve">5 µg </w:t>
            </w:r>
            <w:r w:rsidR="00A55441">
              <w:t>formoterol fumarate dihydrate</w:t>
            </w:r>
            <w:bookmarkEnd w:id="23"/>
          </w:p>
        </w:tc>
      </w:tr>
      <w:tr w:rsidR="008E7846" w:rsidRPr="00487162" w14:paraId="1C5156B1" w14:textId="77777777" w:rsidTr="00BF1190">
        <w:tc>
          <w:tcPr>
            <w:tcW w:w="2907" w:type="dxa"/>
          </w:tcPr>
          <w:p w14:paraId="3D6D4EB9" w14:textId="2163EAC4" w:rsidR="008E7846" w:rsidRPr="00487162" w:rsidRDefault="008E7846" w:rsidP="00E45619">
            <w:pPr>
              <w:rPr>
                <w:i/>
              </w:rPr>
            </w:pPr>
            <w:r w:rsidRPr="00487162">
              <w:rPr>
                <w:i/>
              </w:rPr>
              <w:t>Container:</w:t>
            </w:r>
          </w:p>
        </w:tc>
        <w:tc>
          <w:tcPr>
            <w:tcW w:w="6307" w:type="dxa"/>
          </w:tcPr>
          <w:p w14:paraId="2571DDA9" w14:textId="6D5F268B" w:rsidR="008E7846" w:rsidRPr="00487162" w:rsidRDefault="00C71CE5" w:rsidP="00E45619">
            <w:r w:rsidRPr="00C71CE5">
              <w:t xml:space="preserve">Aerosol </w:t>
            </w:r>
            <w:r w:rsidR="00A2033B">
              <w:t>c</w:t>
            </w:r>
            <w:r w:rsidRPr="00C71CE5">
              <w:t>an</w:t>
            </w:r>
          </w:p>
        </w:tc>
      </w:tr>
      <w:tr w:rsidR="008E7846" w:rsidRPr="00487162" w14:paraId="5F178568" w14:textId="77777777" w:rsidTr="00BF1190">
        <w:tc>
          <w:tcPr>
            <w:tcW w:w="2907" w:type="dxa"/>
          </w:tcPr>
          <w:p w14:paraId="777783E9" w14:textId="4AF3D600" w:rsidR="008E7846" w:rsidRPr="00487162" w:rsidRDefault="008E7846" w:rsidP="00E45619">
            <w:pPr>
              <w:rPr>
                <w:i/>
              </w:rPr>
            </w:pPr>
            <w:r w:rsidRPr="00487162">
              <w:rPr>
                <w:i/>
              </w:rPr>
              <w:t>Pack sizes:</w:t>
            </w:r>
          </w:p>
        </w:tc>
        <w:tc>
          <w:tcPr>
            <w:tcW w:w="6307" w:type="dxa"/>
          </w:tcPr>
          <w:p w14:paraId="3F0C8A04" w14:textId="0765A388" w:rsidR="008E7846" w:rsidRPr="00487162" w:rsidRDefault="00C71CE5" w:rsidP="00E45619">
            <w:r>
              <w:t>28 and 120</w:t>
            </w:r>
            <w:r w:rsidRPr="00C71CE5">
              <w:t xml:space="preserve"> actuations</w:t>
            </w:r>
          </w:p>
        </w:tc>
      </w:tr>
      <w:tr w:rsidR="008E7846" w:rsidRPr="00487162" w14:paraId="73E45313" w14:textId="77777777" w:rsidTr="00BF1190">
        <w:tc>
          <w:tcPr>
            <w:tcW w:w="2907" w:type="dxa"/>
          </w:tcPr>
          <w:p w14:paraId="2465CB56"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17C35DD" w14:textId="613F509A" w:rsidR="007943E0" w:rsidRPr="007943E0" w:rsidRDefault="007943E0" w:rsidP="007943E0">
            <w:pPr>
              <w:rPr>
                <w:i/>
                <w:iCs/>
              </w:rPr>
            </w:pPr>
            <w:r w:rsidRPr="007943E0">
              <w:rPr>
                <w:i/>
                <w:iCs/>
              </w:rPr>
              <w:t>Maintenance treatment to prevent exacerbations and relieve</w:t>
            </w:r>
            <w:r>
              <w:rPr>
                <w:i/>
                <w:iCs/>
              </w:rPr>
              <w:t xml:space="preserve"> </w:t>
            </w:r>
            <w:r w:rsidRPr="007943E0">
              <w:rPr>
                <w:i/>
                <w:iCs/>
              </w:rPr>
              <w:t>symptoms in adults with</w:t>
            </w:r>
            <w:r>
              <w:rPr>
                <w:i/>
                <w:iCs/>
              </w:rPr>
              <w:t xml:space="preserve"> </w:t>
            </w:r>
            <w:r w:rsidRPr="007943E0">
              <w:rPr>
                <w:i/>
                <w:iCs/>
              </w:rPr>
              <w:t>moderate, severe, or very severe chronic obstructive pulmonary disease (COPD) who require</w:t>
            </w:r>
            <w:r>
              <w:rPr>
                <w:i/>
                <w:iCs/>
              </w:rPr>
              <w:t xml:space="preserve"> </w:t>
            </w:r>
            <w:r w:rsidRPr="007943E0">
              <w:rPr>
                <w:i/>
                <w:iCs/>
              </w:rPr>
              <w:t>treatment with a combination of an inhaled corticosteroid (ICS), a long</w:t>
            </w:r>
            <w:r w:rsidR="00980D26">
              <w:rPr>
                <w:i/>
                <w:iCs/>
              </w:rPr>
              <w:noBreakHyphen/>
            </w:r>
            <w:r w:rsidRPr="007943E0">
              <w:rPr>
                <w:i/>
                <w:iCs/>
              </w:rPr>
              <w:t xml:space="preserve">acting </w:t>
            </w:r>
            <w:r w:rsidR="009E41B2" w:rsidRPr="009E41B2">
              <w:rPr>
                <w:i/>
                <w:iCs/>
              </w:rPr>
              <w:t>β</w:t>
            </w:r>
            <w:r w:rsidRPr="007943E0">
              <w:rPr>
                <w:i/>
                <w:iCs/>
              </w:rPr>
              <w:t>2-agonist</w:t>
            </w:r>
            <w:r w:rsidR="00D97A00">
              <w:rPr>
                <w:i/>
                <w:iCs/>
              </w:rPr>
              <w:t xml:space="preserve"> </w:t>
            </w:r>
            <w:r w:rsidRPr="007943E0">
              <w:rPr>
                <w:i/>
                <w:iCs/>
              </w:rPr>
              <w:t>(LABA), and a long-acting muscarinic antagonist (LAMA).</w:t>
            </w:r>
          </w:p>
          <w:p w14:paraId="703672F0" w14:textId="7DA95681" w:rsidR="008E7846" w:rsidRPr="00487162" w:rsidRDefault="00D97A00" w:rsidP="007943E0">
            <w:pPr>
              <w:rPr>
                <w:rFonts w:eastAsia="MS Mincho"/>
                <w:lang w:eastAsia="ja-JP"/>
              </w:rPr>
            </w:pPr>
            <w:r w:rsidRPr="007943E0">
              <w:rPr>
                <w:i/>
                <w:iCs/>
              </w:rPr>
              <w:t xml:space="preserve">Breztri Aerosphere </w:t>
            </w:r>
            <w:r w:rsidR="007943E0" w:rsidRPr="007943E0">
              <w:rPr>
                <w:i/>
                <w:iCs/>
              </w:rPr>
              <w:t>160/7.2/5 is not indicated for the initiation of therapy in COPD</w:t>
            </w:r>
            <w:r w:rsidR="00BE5372">
              <w:rPr>
                <w:i/>
                <w:iCs/>
              </w:rPr>
              <w:t>.</w:t>
            </w:r>
          </w:p>
        </w:tc>
      </w:tr>
      <w:tr w:rsidR="008E7846" w:rsidRPr="00487162" w14:paraId="05384BB3" w14:textId="77777777" w:rsidTr="00BF1190">
        <w:tc>
          <w:tcPr>
            <w:tcW w:w="2907" w:type="dxa"/>
          </w:tcPr>
          <w:p w14:paraId="195403B4" w14:textId="550406A0" w:rsidR="008E7846" w:rsidRPr="00487162" w:rsidRDefault="008E7846" w:rsidP="00E45619">
            <w:pPr>
              <w:rPr>
                <w:i/>
              </w:rPr>
            </w:pPr>
            <w:r w:rsidRPr="00487162">
              <w:rPr>
                <w:i/>
              </w:rPr>
              <w:t>Route of administration:</w:t>
            </w:r>
          </w:p>
        </w:tc>
        <w:tc>
          <w:tcPr>
            <w:tcW w:w="6307" w:type="dxa"/>
          </w:tcPr>
          <w:p w14:paraId="471ED759" w14:textId="60CD55A0" w:rsidR="008E7846" w:rsidRPr="00487162" w:rsidRDefault="008A0642" w:rsidP="00E45619">
            <w:r w:rsidRPr="008A0642">
              <w:t>Inhalation</w:t>
            </w:r>
          </w:p>
        </w:tc>
      </w:tr>
      <w:tr w:rsidR="008E7846" w:rsidRPr="00487162" w14:paraId="536E4547" w14:textId="77777777" w:rsidTr="00BF1190">
        <w:tc>
          <w:tcPr>
            <w:tcW w:w="2907" w:type="dxa"/>
          </w:tcPr>
          <w:p w14:paraId="5BBCC7C0" w14:textId="77777777" w:rsidR="008E7846" w:rsidRPr="00487162" w:rsidRDefault="008E7846" w:rsidP="00E45619">
            <w:pPr>
              <w:rPr>
                <w:i/>
              </w:rPr>
            </w:pPr>
            <w:r w:rsidRPr="00487162">
              <w:rPr>
                <w:i/>
              </w:rPr>
              <w:t>Dosage:</w:t>
            </w:r>
          </w:p>
        </w:tc>
        <w:tc>
          <w:tcPr>
            <w:tcW w:w="6307" w:type="dxa"/>
          </w:tcPr>
          <w:p w14:paraId="0EAF4607" w14:textId="77777777" w:rsidR="002B0391" w:rsidRDefault="008A0642" w:rsidP="008A0642">
            <w:r>
              <w:t>The recommended dose is two actuations twice daily (two actuations in the morning and two</w:t>
            </w:r>
            <w:r w:rsidR="007D1600">
              <w:t xml:space="preserve"> </w:t>
            </w:r>
            <w:r>
              <w:t>actuations in the evening).</w:t>
            </w:r>
            <w:r w:rsidR="007D1600">
              <w:t xml:space="preserve"> </w:t>
            </w:r>
            <w:r>
              <w:lastRenderedPageBreak/>
              <w:t>Patients should be advised not to take more than two actuations twice daily</w:t>
            </w:r>
            <w:r w:rsidR="002B0391">
              <w:t>.</w:t>
            </w:r>
          </w:p>
          <w:p w14:paraId="075B44E2" w14:textId="6C478467" w:rsidR="00460036" w:rsidRPr="00487162" w:rsidRDefault="00460036" w:rsidP="008A0642">
            <w:r w:rsidRPr="00460036">
              <w:t>For further information regarding dosage, refer to the Product Information.</w:t>
            </w:r>
          </w:p>
        </w:tc>
      </w:tr>
      <w:tr w:rsidR="00460036" w:rsidRPr="00487162" w14:paraId="0B35DADC" w14:textId="77777777" w:rsidTr="00BF1190">
        <w:tc>
          <w:tcPr>
            <w:tcW w:w="2907" w:type="dxa"/>
          </w:tcPr>
          <w:p w14:paraId="486490F4" w14:textId="77777777" w:rsidR="00460036" w:rsidRPr="00487162" w:rsidRDefault="00460036" w:rsidP="00E45619">
            <w:pPr>
              <w:rPr>
                <w:i/>
              </w:rPr>
            </w:pPr>
            <w:r w:rsidRPr="00460036">
              <w:rPr>
                <w:i/>
              </w:rPr>
              <w:lastRenderedPageBreak/>
              <w:t>Pregnancy category</w:t>
            </w:r>
            <w:r>
              <w:rPr>
                <w:i/>
              </w:rPr>
              <w:t>:</w:t>
            </w:r>
          </w:p>
        </w:tc>
        <w:tc>
          <w:tcPr>
            <w:tcW w:w="6307" w:type="dxa"/>
          </w:tcPr>
          <w:p w14:paraId="5519CA83" w14:textId="5D4512F5" w:rsidR="00460036" w:rsidRDefault="00AC1AFC" w:rsidP="00460036">
            <w:pPr>
              <w:pStyle w:val="Instructions"/>
              <w:rPr>
                <w:i w:val="0"/>
                <w:iCs/>
                <w:color w:val="auto"/>
              </w:rPr>
            </w:pPr>
            <w:r w:rsidRPr="00AC1AFC">
              <w:rPr>
                <w:i w:val="0"/>
                <w:iCs/>
                <w:color w:val="auto"/>
              </w:rPr>
              <w:t>B3</w:t>
            </w:r>
          </w:p>
          <w:p w14:paraId="56204B33" w14:textId="77777777" w:rsidR="0086759B" w:rsidRDefault="0086759B" w:rsidP="0086759B">
            <w:r>
              <w:t>Drugs which have been taken by only a limited number of pregnant women and women of childbearing age, without an increase in the frequency of malformation or other direct or indirect harmful effects on the human fetus having been observed.</w:t>
            </w:r>
          </w:p>
          <w:p w14:paraId="3DF538D1" w14:textId="2FF1BA5F" w:rsidR="0086759B" w:rsidRPr="0086759B" w:rsidRDefault="0086759B" w:rsidP="0086759B">
            <w:r>
              <w:t>Studies in animals have shown evidence of an increased occurrence of fetal damage, the significance of which is considered uncertain in humans.</w:t>
            </w:r>
          </w:p>
          <w:p w14:paraId="13B11315" w14:textId="5792160D"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C19CF50" w14:textId="77777777" w:rsidR="008E7846" w:rsidRDefault="008E7846" w:rsidP="008E7846">
      <w:pPr>
        <w:pStyle w:val="Heading3"/>
      </w:pPr>
      <w:bookmarkStart w:id="24" w:name="_Toc247691503"/>
      <w:bookmarkStart w:id="25" w:name="_Toc314842484"/>
      <w:bookmarkStart w:id="26" w:name="_Toc101345651"/>
      <w:r>
        <w:t>Product background</w:t>
      </w:r>
      <w:bookmarkEnd w:id="24"/>
      <w:bookmarkEnd w:id="25"/>
      <w:bookmarkEnd w:id="26"/>
    </w:p>
    <w:p w14:paraId="7532FC09" w14:textId="167997AA" w:rsidR="008E7846" w:rsidRDefault="00250271" w:rsidP="00940A89">
      <w:r w:rsidRPr="00250271">
        <w:t xml:space="preserve">This AusPAR describes the application by </w:t>
      </w:r>
      <w:r w:rsidR="00F71CE9" w:rsidRPr="00F71CE9">
        <w:t xml:space="preserve">AstraZeneca Pty Ltd </w:t>
      </w:r>
      <w:r w:rsidRPr="00250271">
        <w:t xml:space="preserve">(the sponsor) to register </w:t>
      </w:r>
      <w:r w:rsidR="00FB71F9" w:rsidRPr="00FB71F9">
        <w:t>Breztri Aerosphere</w:t>
      </w:r>
      <w:r w:rsidRPr="00250271">
        <w:t xml:space="preserve"> (</w:t>
      </w:r>
      <w:r w:rsidR="00FB71F9" w:rsidRPr="00FB71F9">
        <w:t>budesonide</w:t>
      </w:r>
      <w:r w:rsidR="00BE7529">
        <w:t xml:space="preserve"> </w:t>
      </w:r>
      <w:r w:rsidR="00FB71F9" w:rsidRPr="00FB71F9">
        <w:t>/</w:t>
      </w:r>
      <w:r w:rsidR="00BE7529">
        <w:t xml:space="preserve"> </w:t>
      </w:r>
      <w:r w:rsidR="00FB71F9" w:rsidRPr="00FB71F9">
        <w:t>glycopyrronium</w:t>
      </w:r>
      <w:r w:rsidR="00BE7529">
        <w:t xml:space="preserve"> </w:t>
      </w:r>
      <w:r w:rsidR="00FB71F9" w:rsidRPr="00FB71F9">
        <w:t>/</w:t>
      </w:r>
      <w:r w:rsidR="00BE7529">
        <w:t xml:space="preserve"> </w:t>
      </w:r>
      <w:r w:rsidR="00FB71F9" w:rsidRPr="00FB71F9">
        <w:t>formoterol</w:t>
      </w:r>
      <w:r w:rsidR="00FD5237">
        <w:t xml:space="preserve"> </w:t>
      </w:r>
      <w:r w:rsidR="00FD5237" w:rsidRPr="007F3AC6">
        <w:t>fumarate</w:t>
      </w:r>
      <w:r w:rsidR="00FD5237">
        <w:t xml:space="preserve"> dihydrate</w:t>
      </w:r>
      <w:r w:rsidRPr="00250271">
        <w:t xml:space="preserve">) </w:t>
      </w:r>
      <w:r w:rsidR="009165B4" w:rsidRPr="009165B4">
        <w:t>160</w:t>
      </w:r>
      <w:r w:rsidR="009165B4">
        <w:t> </w:t>
      </w:r>
      <w:r w:rsidR="009165B4" w:rsidRPr="009165B4">
        <w:t>µg</w:t>
      </w:r>
      <w:r w:rsidR="009165B4">
        <w:t>/</w:t>
      </w:r>
      <w:r w:rsidR="009165B4" w:rsidRPr="009165B4">
        <w:t>7.2</w:t>
      </w:r>
      <w:r w:rsidR="009165B4">
        <w:t> </w:t>
      </w:r>
      <w:r w:rsidR="009165B4" w:rsidRPr="009165B4">
        <w:t>µg</w:t>
      </w:r>
      <w:r w:rsidR="009165B4">
        <w:t>/</w:t>
      </w:r>
      <w:r w:rsidR="009165B4" w:rsidRPr="009165B4">
        <w:t>5</w:t>
      </w:r>
      <w:r w:rsidR="009165B4">
        <w:t> </w:t>
      </w:r>
      <w:r w:rsidR="009165B4" w:rsidRPr="009165B4">
        <w:t>µg</w:t>
      </w:r>
      <w:r w:rsidR="00F66460">
        <w:t xml:space="preserve"> (respectively)</w:t>
      </w:r>
      <w:r w:rsidRPr="00250271">
        <w:t xml:space="preserve">, </w:t>
      </w:r>
      <w:r w:rsidR="00663EF6">
        <w:t>inhalation</w:t>
      </w:r>
      <w:r w:rsidRPr="00250271">
        <w:t xml:space="preserve"> for the following proposed indication</w:t>
      </w:r>
      <w:r w:rsidR="00CF5DAD">
        <w:t>:</w:t>
      </w:r>
    </w:p>
    <w:p w14:paraId="0FA40AB2" w14:textId="74295111" w:rsidR="009165B4" w:rsidRPr="0021719A" w:rsidRDefault="009165B4" w:rsidP="004621FA">
      <w:pPr>
        <w:ind w:left="720"/>
        <w:rPr>
          <w:iCs/>
        </w:rPr>
      </w:pPr>
      <w:r w:rsidRPr="004621FA">
        <w:rPr>
          <w:i/>
          <w:iCs/>
        </w:rPr>
        <w:t>Maintenance treatment to prevent exacerbations and relieve symptoms in adults with COPD who require treatment with LAMA+LABA+ICS</w:t>
      </w:r>
    </w:p>
    <w:p w14:paraId="11567132" w14:textId="05462971" w:rsidR="00115A5D" w:rsidRPr="00115A5D" w:rsidRDefault="00D86235">
      <w:r w:rsidRPr="00E061A2">
        <w:t xml:space="preserve">Chronic obstructive pulmonary disease </w:t>
      </w:r>
      <w:r>
        <w:t>(</w:t>
      </w:r>
      <w:r w:rsidRPr="00115A5D">
        <w:t>COPD</w:t>
      </w:r>
      <w:r>
        <w:t>)</w:t>
      </w:r>
      <w:r w:rsidRPr="00E061A2">
        <w:t xml:space="preserve"> is a disease state characterised by progressive airflow obstruction due to chronic bronchitis or emphysema which may be partially reversible. </w:t>
      </w:r>
      <w:r>
        <w:t>It</w:t>
      </w:r>
      <w:r w:rsidR="00115A5D" w:rsidRPr="00115A5D">
        <w:t xml:space="preserve"> was the </w:t>
      </w:r>
      <w:r w:rsidR="00115A5D">
        <w:t>fifth</w:t>
      </w:r>
      <w:r w:rsidR="00115A5D" w:rsidRPr="004621FA">
        <w:t xml:space="preserve"> </w:t>
      </w:r>
      <w:r w:rsidR="00115A5D" w:rsidRPr="00115A5D">
        <w:t>leading cause of death in Australia in 2017.</w:t>
      </w:r>
      <w:r w:rsidR="00B32610">
        <w:t xml:space="preserve"> </w:t>
      </w:r>
      <w:r w:rsidR="00115A5D" w:rsidRPr="00115A5D">
        <w:t>About 1 in 20 Australians aged 45 years and over had COPD in 2017</w:t>
      </w:r>
      <w:r w:rsidR="00115A5D">
        <w:t xml:space="preserve"> to 201</w:t>
      </w:r>
      <w:r w:rsidR="00115A5D" w:rsidRPr="00115A5D">
        <w:t>8, according to self</w:t>
      </w:r>
      <w:r w:rsidR="00802EF5">
        <w:noBreakHyphen/>
      </w:r>
      <w:r w:rsidR="00115A5D" w:rsidRPr="00115A5D">
        <w:t>reported survey data.</w:t>
      </w:r>
      <w:r w:rsidR="00802EF5">
        <w:rPr>
          <w:rStyle w:val="FootnoteReference"/>
        </w:rPr>
        <w:footnoteReference w:id="2"/>
      </w:r>
      <w:r w:rsidR="00115A5D" w:rsidRPr="00115A5D">
        <w:t xml:space="preserve"> In 2015, in Australia, COPD was the third leading specific cause of total disease burden. The prevalence of COPD increases with age, mostly occurring in people aged 45 years and over</w:t>
      </w:r>
      <w:r w:rsidR="00115A5D">
        <w:t xml:space="preserve">. </w:t>
      </w:r>
      <w:r w:rsidR="00115A5D" w:rsidRPr="00115A5D">
        <w:t>COPD can interrupt daily activity, sleep patterns and the ability to exercise. People with COPD rate their health worse than people without the condition and report higher levels of psychological distress.</w:t>
      </w:r>
      <w:r w:rsidR="00115A5D">
        <w:t xml:space="preserve"> </w:t>
      </w:r>
      <w:r w:rsidR="00115A5D" w:rsidRPr="00115A5D">
        <w:t xml:space="preserve">COPD is commonly associated with other chronic diseases including heart disease, lung cancer, stroke, </w:t>
      </w:r>
      <w:proofErr w:type="gramStart"/>
      <w:r w:rsidR="00115A5D" w:rsidRPr="00115A5D">
        <w:t>pneumonia</w:t>
      </w:r>
      <w:proofErr w:type="gramEnd"/>
      <w:r w:rsidR="00115A5D" w:rsidRPr="00115A5D">
        <w:t xml:space="preserve"> and depression.</w:t>
      </w:r>
    </w:p>
    <w:p w14:paraId="1B2ACF79" w14:textId="6FB0813B" w:rsidR="00250271" w:rsidRDefault="00E061A2" w:rsidP="00250271">
      <w:r w:rsidRPr="00E061A2">
        <w:t xml:space="preserve">The pathogenesis of COPD is usually related to smoking which activates airway epithelial cells, alveolar macrophages, </w:t>
      </w:r>
      <w:r w:rsidR="00F66460" w:rsidRPr="00F66460">
        <w:t>cluster of differentiation 8</w:t>
      </w:r>
      <w:r w:rsidR="00F66460">
        <w:t xml:space="preserve"> positive (</w:t>
      </w:r>
      <w:r w:rsidRPr="00E061A2">
        <w:t>CD8+</w:t>
      </w:r>
      <w:r w:rsidR="00F66460">
        <w:t>)</w:t>
      </w:r>
      <w:r w:rsidRPr="00E061A2">
        <w:t xml:space="preserve"> lymphocytes and neutrophils leading to inflammation and fibrosis. The main mediators are </w:t>
      </w:r>
      <w:r w:rsidR="00F66460" w:rsidRPr="00F66460">
        <w:t>interleukin</w:t>
      </w:r>
      <w:r w:rsidR="00F66460">
        <w:t>-</w:t>
      </w:r>
      <w:r w:rsidR="00F66460" w:rsidRPr="00F66460">
        <w:t>4</w:t>
      </w:r>
      <w:r w:rsidRPr="00E061A2">
        <w:t xml:space="preserve">, </w:t>
      </w:r>
      <w:r w:rsidR="00F66460" w:rsidRPr="00F66460">
        <w:t>leukotriene</w:t>
      </w:r>
      <w:r w:rsidR="00F66460">
        <w:t>-</w:t>
      </w:r>
      <w:r w:rsidR="00F66460" w:rsidRPr="00F66460">
        <w:t>B4</w:t>
      </w:r>
      <w:r w:rsidRPr="00E061A2">
        <w:t xml:space="preserve">, </w:t>
      </w:r>
      <w:r w:rsidR="00F66460">
        <w:t>t</w:t>
      </w:r>
      <w:r w:rsidR="00F66460" w:rsidRPr="00F66460">
        <w:t>umo</w:t>
      </w:r>
      <w:r w:rsidR="00F66460">
        <w:t>u</w:t>
      </w:r>
      <w:r w:rsidR="00F66460" w:rsidRPr="00F66460">
        <w:t>r necrosis factor</w:t>
      </w:r>
      <w:r w:rsidR="00746719">
        <w:t xml:space="preserve"> alpha</w:t>
      </w:r>
      <w:r w:rsidRPr="00E061A2">
        <w:t xml:space="preserve"> and matrix metalloproteinases. This process and the inhibition of protease inhibitors enable proteases to destroy the alveolar walls</w:t>
      </w:r>
      <w:r w:rsidR="007258A7">
        <w:t>,</w:t>
      </w:r>
      <w:r w:rsidRPr="00E061A2">
        <w:t xml:space="preserve"> </w:t>
      </w:r>
      <w:r w:rsidRPr="00E061A2">
        <w:lastRenderedPageBreak/>
        <w:t xml:space="preserve">which combined with abnormal wall repair and remodelling is </w:t>
      </w:r>
      <w:r w:rsidR="007258A7">
        <w:t xml:space="preserve">a </w:t>
      </w:r>
      <w:r w:rsidRPr="00E061A2">
        <w:t>characteristic of emphysema.</w:t>
      </w:r>
    </w:p>
    <w:p w14:paraId="16CCD7E2" w14:textId="64189433" w:rsidR="00821B22" w:rsidRDefault="00821B22" w:rsidP="00821B22">
      <w:r>
        <w:t>Pharmacological treatments for preventing COPD exacerbations and improving</w:t>
      </w:r>
      <w:r w:rsidR="00B101D5">
        <w:t xml:space="preserve"> </w:t>
      </w:r>
      <w:r>
        <w:t>respiratory function include:</w:t>
      </w:r>
    </w:p>
    <w:p w14:paraId="4B82AF46" w14:textId="790B1597" w:rsidR="00821B22" w:rsidRDefault="00821B22" w:rsidP="009720BA">
      <w:pPr>
        <w:pStyle w:val="ListBullet"/>
      </w:pPr>
      <w:r>
        <w:t>Long-acting muscarinic antagonists (LAMA)</w:t>
      </w:r>
      <w:r w:rsidR="00587AD3">
        <w:t xml:space="preserve"> which</w:t>
      </w:r>
      <w:r w:rsidR="0032759B" w:rsidRPr="0032759B">
        <w:t xml:space="preserve"> include aclidinium, glycopyrronium, tiotropium and umeclidinium. These appear to have similar efficacy and reduce the rate of moderate to severe exacerbations and provide improvements in spirometry compared to placebo.</w:t>
      </w:r>
    </w:p>
    <w:p w14:paraId="6F8AF6C7" w14:textId="6D1BE234" w:rsidR="00821B22" w:rsidRDefault="00821B22" w:rsidP="009720BA">
      <w:pPr>
        <w:pStyle w:val="ListBullet"/>
      </w:pPr>
      <w:r>
        <w:t xml:space="preserve">Long-acting </w:t>
      </w:r>
      <w:r w:rsidR="00746719">
        <w:t>beta-2 (</w:t>
      </w:r>
      <w:r w:rsidR="009E41B2" w:rsidRPr="009E41B2">
        <w:rPr>
          <w:i/>
          <w:iCs/>
        </w:rPr>
        <w:t>β</w:t>
      </w:r>
      <w:r w:rsidRPr="00B101D5">
        <w:rPr>
          <w:vertAlign w:val="subscript"/>
        </w:rPr>
        <w:t>2</w:t>
      </w:r>
      <w:r w:rsidR="00746719">
        <w:t xml:space="preserve">) </w:t>
      </w:r>
      <w:r>
        <w:t>agonists (LABA)</w:t>
      </w:r>
      <w:r w:rsidR="00587AD3">
        <w:t xml:space="preserve"> which </w:t>
      </w:r>
      <w:r w:rsidR="0032759B" w:rsidRPr="0032759B">
        <w:t xml:space="preserve">include salmeterol, formoterol, vilanterol, and </w:t>
      </w:r>
      <w:proofErr w:type="spellStart"/>
      <w:r w:rsidR="0032759B" w:rsidRPr="0032759B">
        <w:t>olodaterol</w:t>
      </w:r>
      <w:proofErr w:type="spellEnd"/>
      <w:r w:rsidR="0032759B" w:rsidRPr="0032759B">
        <w:t xml:space="preserve">. </w:t>
      </w:r>
      <w:r w:rsidR="00746719">
        <w:t xml:space="preserve">Long-acting muscarinic antagonists </w:t>
      </w:r>
      <w:r w:rsidR="0032759B" w:rsidRPr="0032759B">
        <w:t>(as monotherapy) have a lower risk of acute exacerbations and a lower risk of adverse effects compared with LABAs.</w:t>
      </w:r>
    </w:p>
    <w:p w14:paraId="412A3524" w14:textId="61C1C7F2" w:rsidR="00821B22" w:rsidRDefault="00821B22" w:rsidP="009720BA">
      <w:pPr>
        <w:pStyle w:val="ListBullet"/>
      </w:pPr>
      <w:r>
        <w:t>Inhaled corticosteroids (ICS)</w:t>
      </w:r>
      <w:r w:rsidR="00587AD3">
        <w:t xml:space="preserve"> which </w:t>
      </w:r>
      <w:r w:rsidR="0032759B" w:rsidRPr="0032759B">
        <w:t>includ</w:t>
      </w:r>
      <w:r w:rsidR="00587AD3">
        <w:t>e</w:t>
      </w:r>
      <w:r w:rsidR="0032759B" w:rsidRPr="0032759B">
        <w:t xml:space="preserve"> fluticasone and budesonide. </w:t>
      </w:r>
      <w:r w:rsidR="00746719">
        <w:t xml:space="preserve">Inhaled corticosteroids </w:t>
      </w:r>
      <w:r w:rsidR="0032759B" w:rsidRPr="0032759B">
        <w:t xml:space="preserve">decrease the exacerbation </w:t>
      </w:r>
      <w:proofErr w:type="gramStart"/>
      <w:r w:rsidR="0032759B" w:rsidRPr="0032759B">
        <w:t>rate, but</w:t>
      </w:r>
      <w:proofErr w:type="gramEnd"/>
      <w:r w:rsidR="0032759B" w:rsidRPr="0032759B">
        <w:t xml:space="preserve"> increases the risk of pneumonia (without increasing pneumonia mortality or the overall mortality rate).</w:t>
      </w:r>
    </w:p>
    <w:p w14:paraId="5644AA4C" w14:textId="1A48B05C" w:rsidR="00821B22" w:rsidRDefault="00D86235" w:rsidP="00D86235">
      <w:pPr>
        <w:pStyle w:val="ListBullet"/>
      </w:pPr>
      <w:r>
        <w:t>Long-acting muscarinic antagonist</w:t>
      </w:r>
      <w:r w:rsidR="00746719">
        <w:t xml:space="preserve"> and long-acting beta-2 agonist (LAMA/</w:t>
      </w:r>
      <w:r w:rsidR="00821B22">
        <w:t>LABA</w:t>
      </w:r>
      <w:r w:rsidR="00746719">
        <w:t>)</w:t>
      </w:r>
      <w:r w:rsidR="00821B22">
        <w:t xml:space="preserve"> combination treatments usually have greater efficacy than their individual components in monotherapy. </w:t>
      </w:r>
      <w:r w:rsidR="002E79D3">
        <w:t xml:space="preserve">These </w:t>
      </w:r>
      <w:r w:rsidR="00821B22">
        <w:t>LAMA/LABA combinations may have some advantages over LABA/ICS combinations (specifically a small reduction in the rate of exacerbations).</w:t>
      </w:r>
    </w:p>
    <w:p w14:paraId="662C2D92" w14:textId="32DD67D2" w:rsidR="0032759B" w:rsidRDefault="0032759B" w:rsidP="008A4AE2">
      <w:r w:rsidRPr="0032759B">
        <w:t xml:space="preserve">Triple therapy in a single inhaler </w:t>
      </w:r>
      <w:proofErr w:type="gramStart"/>
      <w:r w:rsidRPr="0032759B">
        <w:t>is considered to be</w:t>
      </w:r>
      <w:proofErr w:type="gramEnd"/>
      <w:r w:rsidRPr="0032759B">
        <w:t xml:space="preserve"> promising, but still under evaluation. </w:t>
      </w:r>
      <w:proofErr w:type="spellStart"/>
      <w:r w:rsidR="004C1219" w:rsidRPr="0032759B">
        <w:t>Trelegy</w:t>
      </w:r>
      <w:proofErr w:type="spellEnd"/>
      <w:r w:rsidR="004C1219" w:rsidRPr="0032759B">
        <w:t xml:space="preserve"> Ellipta</w:t>
      </w:r>
      <w:r w:rsidR="00980D26">
        <w:t>;</w:t>
      </w:r>
      <w:r w:rsidR="00980D26">
        <w:rPr>
          <w:rStyle w:val="FootnoteReference"/>
        </w:rPr>
        <w:footnoteReference w:id="3"/>
      </w:r>
      <w:r w:rsidR="004C1219" w:rsidRPr="0032759B">
        <w:t xml:space="preserve"> 100/62.5/25 </w:t>
      </w:r>
      <w:r w:rsidR="00C40C9C">
        <w:t>µg</w:t>
      </w:r>
      <w:r w:rsidR="00BE7529">
        <w:t xml:space="preserve"> strength </w:t>
      </w:r>
      <w:r w:rsidR="004C1219" w:rsidRPr="0032759B">
        <w:t>(fluticasone furoate</w:t>
      </w:r>
      <w:r w:rsidR="00BE7529">
        <w:t xml:space="preserve"> </w:t>
      </w:r>
      <w:r w:rsidR="004C1219" w:rsidRPr="0032759B">
        <w:t>/ umeclidinium</w:t>
      </w:r>
      <w:r w:rsidR="00BE7529">
        <w:t xml:space="preserve"> </w:t>
      </w:r>
      <w:r w:rsidR="004C1219" w:rsidRPr="0032759B">
        <w:t>/ vilanterol)</w:t>
      </w:r>
      <w:r w:rsidR="004C1219">
        <w:t xml:space="preserve"> is currently</w:t>
      </w:r>
      <w:r w:rsidRPr="0032759B">
        <w:t xml:space="preserve"> approved</w:t>
      </w:r>
      <w:r w:rsidR="004C1219">
        <w:t xml:space="preserve"> in Australia. It is a</w:t>
      </w:r>
      <w:r w:rsidR="00C75F8A">
        <w:t>n</w:t>
      </w:r>
      <w:r w:rsidRPr="0032759B">
        <w:t xml:space="preserve"> ICS/LABA/LAMA triple therapy in a single inhaler for use in COPD</w:t>
      </w:r>
    </w:p>
    <w:p w14:paraId="79824D91" w14:textId="5471AA50" w:rsidR="00587AD3" w:rsidRDefault="00587AD3" w:rsidP="00587AD3">
      <w:r>
        <w:t xml:space="preserve">In general, oral inhalation via </w:t>
      </w:r>
      <w:r w:rsidR="00F82CDE">
        <w:t>m</w:t>
      </w:r>
      <w:r w:rsidR="00F82CDE" w:rsidRPr="00F82CDE">
        <w:t xml:space="preserve">etered dose inhaler </w:t>
      </w:r>
      <w:r w:rsidR="00F82CDE">
        <w:t>(</w:t>
      </w:r>
      <w:r>
        <w:t>MDI</w:t>
      </w:r>
      <w:r w:rsidR="00F82CDE">
        <w:t>)</w:t>
      </w:r>
      <w:r>
        <w:t xml:space="preserve"> remains a mainstay of COPD therapy worldwide, providing a proven, compact, and convenient delivery system, which is well understood by patients, physicians, and regulatory authorities. Following the introduction of the first MDI more than 50 years ago, MDIs have become the most widely used delivery system for treatment of lung diseases, including COPD and asthma</w:t>
      </w:r>
      <w:r w:rsidR="00021F7B">
        <w:t>.</w:t>
      </w:r>
      <w:r w:rsidR="00021F7B">
        <w:rPr>
          <w:rStyle w:val="FootnoteReference"/>
        </w:rPr>
        <w:footnoteReference w:id="4"/>
      </w:r>
    </w:p>
    <w:p w14:paraId="25596299" w14:textId="72E4AB11" w:rsidR="00587AD3" w:rsidRDefault="00587AD3" w:rsidP="00587AD3">
      <w:r>
        <w:t>Using the same device type for all inhaled drugs (maintenance and rescue) may facilitate patient teaching, provide a level of continuity for the patient, and decrease the risk for confusion among devices</w:t>
      </w:r>
      <w:r w:rsidR="004C40E4">
        <w:t>.</w:t>
      </w:r>
      <w:r w:rsidR="004C40E4">
        <w:rPr>
          <w:rStyle w:val="FootnoteReference"/>
        </w:rPr>
        <w:footnoteReference w:id="5"/>
      </w:r>
      <w:r>
        <w:t xml:space="preserve"> Patients tend to be satisfied with their current inhalers and familiarity with the device may also have relevance related to patient satisfaction</w:t>
      </w:r>
      <w:r w:rsidR="00B94B47">
        <w:t>.</w:t>
      </w:r>
      <w:r w:rsidR="00B94B47">
        <w:rPr>
          <w:rStyle w:val="FootnoteReference"/>
        </w:rPr>
        <w:footnoteReference w:id="6"/>
      </w:r>
      <w:r>
        <w:t xml:space="preserve"> Satisfaction is also linked to treatment outcomes, as there is a statistically significant association between patient</w:t>
      </w:r>
      <w:r w:rsidR="00C61098">
        <w:t xml:space="preserve"> </w:t>
      </w:r>
      <w:r>
        <w:t>reported overall satisfaction with their maintenance inhaler and treatment compliance</w:t>
      </w:r>
      <w:r w:rsidR="007F74B2">
        <w:t>.</w:t>
      </w:r>
      <w:r w:rsidR="007F74B2">
        <w:rPr>
          <w:rStyle w:val="FootnoteReference"/>
        </w:rPr>
        <w:footnoteReference w:id="7"/>
      </w:r>
    </w:p>
    <w:p w14:paraId="78CC64FC" w14:textId="46CF8C84" w:rsidR="00E0791C" w:rsidRDefault="008A4AE2" w:rsidP="008A4AE2">
      <w:r>
        <w:t xml:space="preserve">Breztri Aerosphere contains budesonide, a </w:t>
      </w:r>
      <w:proofErr w:type="spellStart"/>
      <w:r>
        <w:t>glucocorticosteroid</w:t>
      </w:r>
      <w:proofErr w:type="spellEnd"/>
      <w:r>
        <w:t>, and two bronchodilators:</w:t>
      </w:r>
      <w:r w:rsidR="00296819">
        <w:t xml:space="preserve"> </w:t>
      </w:r>
      <w:r>
        <w:t>glycopyrronium, a LAMA (anticholinergic) and formoterol, a LABA</w:t>
      </w:r>
      <w:r w:rsidR="00E0791C">
        <w:t>.</w:t>
      </w:r>
    </w:p>
    <w:p w14:paraId="544AFFD9" w14:textId="2136543A" w:rsidR="00E0791C" w:rsidRDefault="008A4AE2" w:rsidP="008A4AE2">
      <w:r>
        <w:t>The combination of these substances with different mechanisms of action results in increased</w:t>
      </w:r>
      <w:r w:rsidR="00296819">
        <w:t xml:space="preserve"> </w:t>
      </w:r>
      <w:r>
        <w:t>efficacy compared to use with any of the dual component therapies. Budesonide, when inhaled, has a rapid (within hours) and dose dependent anti-inflammatory action</w:t>
      </w:r>
      <w:r w:rsidR="00553291">
        <w:t xml:space="preserve"> </w:t>
      </w:r>
      <w:r>
        <w:t xml:space="preserve">in </w:t>
      </w:r>
      <w:r>
        <w:lastRenderedPageBreak/>
        <w:t>the airways, resulting in reduced symptoms and fewer COPD exacerbations. Inhaled budesonide</w:t>
      </w:r>
      <w:r w:rsidR="0034501F">
        <w:t xml:space="preserve"> </w:t>
      </w:r>
      <w:r>
        <w:t>has less severe adverse effects than systemic corticosteroids</w:t>
      </w:r>
      <w:r w:rsidR="00E0791C">
        <w:t>.</w:t>
      </w:r>
    </w:p>
    <w:p w14:paraId="3972A858" w14:textId="4983ABD4" w:rsidR="008A4AE2" w:rsidRDefault="008A4AE2" w:rsidP="008A4AE2">
      <w:r>
        <w:t>Glycopyrronium has a rapid onset of action and works by blocking the bronchoconstrictor activity</w:t>
      </w:r>
      <w:r w:rsidR="0034501F">
        <w:t xml:space="preserve"> </w:t>
      </w:r>
      <w:r>
        <w:t>of acetylcholine on airway smooth muscle cells. Bronchodilation is chiefly induced through</w:t>
      </w:r>
      <w:r w:rsidR="0034501F">
        <w:t xml:space="preserve"> </w:t>
      </w:r>
      <w:r>
        <w:t xml:space="preserve">inhibition of the </w:t>
      </w:r>
      <w:r w:rsidR="002614CE" w:rsidRPr="002614CE">
        <w:t xml:space="preserve">muscarinic </w:t>
      </w:r>
      <w:r>
        <w:t>M</w:t>
      </w:r>
      <w:r w:rsidRPr="0034501F">
        <w:rPr>
          <w:vertAlign w:val="subscript"/>
        </w:rPr>
        <w:t>3</w:t>
      </w:r>
      <w:r>
        <w:t xml:space="preserve"> receptor at the smooth muscle. Glycopyrronium shows 4</w:t>
      </w:r>
      <w:r w:rsidR="0034501F">
        <w:noBreakHyphen/>
      </w:r>
      <w:r>
        <w:t xml:space="preserve"> to 5</w:t>
      </w:r>
      <w:r w:rsidR="00483193">
        <w:noBreakHyphen/>
      </w:r>
      <w:r>
        <w:t>fold higher</w:t>
      </w:r>
      <w:r w:rsidR="00483193">
        <w:t xml:space="preserve"> </w:t>
      </w:r>
      <w:r>
        <w:t>affinity for human M</w:t>
      </w:r>
      <w:r w:rsidRPr="00483193">
        <w:rPr>
          <w:vertAlign w:val="subscript"/>
        </w:rPr>
        <w:t>3</w:t>
      </w:r>
      <w:r>
        <w:t xml:space="preserve"> and M</w:t>
      </w:r>
      <w:r w:rsidRPr="00483193">
        <w:rPr>
          <w:vertAlign w:val="subscript"/>
        </w:rPr>
        <w:t>1</w:t>
      </w:r>
      <w:r>
        <w:t xml:space="preserve"> receptors than for the M</w:t>
      </w:r>
      <w:r w:rsidRPr="00483193">
        <w:rPr>
          <w:vertAlign w:val="subscript"/>
        </w:rPr>
        <w:t>2</w:t>
      </w:r>
      <w:r>
        <w:t xml:space="preserve"> receptor subtype.</w:t>
      </w:r>
      <w:r w:rsidR="00C779C1">
        <w:t xml:space="preserve"> </w:t>
      </w:r>
      <w:r>
        <w:t>Formoterol has a rapid onset of action. Bronchodilation is induced by causing direct relaxation of</w:t>
      </w:r>
      <w:r w:rsidR="00483193">
        <w:t xml:space="preserve"> </w:t>
      </w:r>
      <w:r>
        <w:t xml:space="preserve">airway smooth muscle </w:t>
      </w:r>
      <w:proofErr w:type="gramStart"/>
      <w:r>
        <w:t>as a consequence of</w:t>
      </w:r>
      <w:proofErr w:type="gramEnd"/>
      <w:r>
        <w:t xml:space="preserve"> the increase in cyclic </w:t>
      </w:r>
      <w:r w:rsidR="00E960B5" w:rsidRPr="00E960B5">
        <w:t>adenosine monophosphate</w:t>
      </w:r>
      <w:r w:rsidR="00E960B5" w:rsidRPr="00E960B5" w:rsidDel="00E960B5">
        <w:t xml:space="preserve"> </w:t>
      </w:r>
      <w:r>
        <w:t>through activation of</w:t>
      </w:r>
      <w:r w:rsidR="00483193">
        <w:t xml:space="preserve"> </w:t>
      </w:r>
      <w:r>
        <w:t>adenylate cyclase.</w:t>
      </w:r>
    </w:p>
    <w:p w14:paraId="33A08B1B" w14:textId="79F6D27C" w:rsidR="00B229E1" w:rsidRDefault="008A4AE2" w:rsidP="008A4AE2">
      <w:proofErr w:type="gramStart"/>
      <w:r>
        <w:t>As a consequence of</w:t>
      </w:r>
      <w:proofErr w:type="gramEnd"/>
      <w:r>
        <w:t xml:space="preserve"> the differential density of muscarinic receptors and </w:t>
      </w:r>
      <w:r w:rsidR="009E41B2" w:rsidRPr="009E41B2">
        <w:rPr>
          <w:i/>
          <w:iCs/>
        </w:rPr>
        <w:t>β</w:t>
      </w:r>
      <w:r w:rsidRPr="00483193">
        <w:rPr>
          <w:vertAlign w:val="subscript"/>
        </w:rPr>
        <w:t>2</w:t>
      </w:r>
      <w:r>
        <w:t>-adrenoceptors in the</w:t>
      </w:r>
      <w:r w:rsidR="00483193">
        <w:t xml:space="preserve"> </w:t>
      </w:r>
      <w:r>
        <w:t>central and peripheral airways of the lung, muscarinic antagonists are more effective in relaxing</w:t>
      </w:r>
      <w:r w:rsidR="00932B69">
        <w:t xml:space="preserve"> </w:t>
      </w:r>
      <w:r>
        <w:t xml:space="preserve">central airways and </w:t>
      </w:r>
      <w:r w:rsidR="009E41B2" w:rsidRPr="009E41B2">
        <w:rPr>
          <w:i/>
          <w:iCs/>
        </w:rPr>
        <w:t>β</w:t>
      </w:r>
      <w:r w:rsidRPr="00932B69">
        <w:rPr>
          <w:vertAlign w:val="subscript"/>
        </w:rPr>
        <w:t>2</w:t>
      </w:r>
      <w:r>
        <w:t>-adrenergic agonists are more effective in relaxing peripheral airways;</w:t>
      </w:r>
      <w:r w:rsidR="00932B69">
        <w:t xml:space="preserve"> </w:t>
      </w:r>
      <w:r>
        <w:t>relaxation of both central and peripheral airways with combination treatment may contribute to its</w:t>
      </w:r>
      <w:r w:rsidR="00932B69">
        <w:t xml:space="preserve"> </w:t>
      </w:r>
      <w:r>
        <w:t>beneficial effects on lung function.</w:t>
      </w:r>
    </w:p>
    <w:p w14:paraId="5B31C090" w14:textId="77777777" w:rsidR="008E7846" w:rsidRPr="003F31A2" w:rsidRDefault="00386150" w:rsidP="008E7846">
      <w:pPr>
        <w:pStyle w:val="Heading3"/>
      </w:pPr>
      <w:bookmarkStart w:id="27" w:name="_Toc314842485"/>
      <w:bookmarkStart w:id="28" w:name="_Toc247691504"/>
      <w:bookmarkStart w:id="29" w:name="_Toc101345652"/>
      <w:r>
        <w:t>Regulatory s</w:t>
      </w:r>
      <w:r w:rsidR="008E7846">
        <w:t>tatus</w:t>
      </w:r>
      <w:bookmarkEnd w:id="27"/>
      <w:bookmarkEnd w:id="28"/>
      <w:bookmarkEnd w:id="29"/>
    </w:p>
    <w:p w14:paraId="1EB543CF" w14:textId="5B63B935" w:rsidR="00940A89" w:rsidRDefault="00006FAB" w:rsidP="00940A89">
      <w:bookmarkStart w:id="30" w:name="_Toc247691505"/>
      <w:bookmarkStart w:id="31" w:name="_Toc314842486"/>
      <w:r w:rsidRPr="00006FAB">
        <w:t xml:space="preserve">This product is considered a new </w:t>
      </w:r>
      <w:r w:rsidR="002E3C79">
        <w:t>fixed dose combination</w:t>
      </w:r>
      <w:r w:rsidRPr="00006FAB">
        <w:t xml:space="preserve"> for Australian regulatory purposes.</w:t>
      </w:r>
    </w:p>
    <w:p w14:paraId="2211C4E7" w14:textId="72A6A799" w:rsidR="002B0391" w:rsidRDefault="00006FAB" w:rsidP="00006FAB">
      <w:r>
        <w:t>At the time the TGA considered this application, similar application</w:t>
      </w:r>
      <w:r w:rsidR="00491F34">
        <w:t>s</w:t>
      </w:r>
      <w:r>
        <w:t xml:space="preserve"> had been approved</w:t>
      </w:r>
      <w:r w:rsidR="00502B62">
        <w:t xml:space="preserve"> </w:t>
      </w:r>
      <w:r>
        <w:t xml:space="preserve">in </w:t>
      </w:r>
      <w:r w:rsidR="00491F34">
        <w:t xml:space="preserve">the European Union (EU) on 9 December 2020, the United </w:t>
      </w:r>
      <w:r w:rsidR="002614CE">
        <w:t>S</w:t>
      </w:r>
      <w:r w:rsidR="00491F34">
        <w:t>tates of America (USA) on 23</w:t>
      </w:r>
      <w:r w:rsidR="002E3C79">
        <w:t> </w:t>
      </w:r>
      <w:r w:rsidR="00491F34">
        <w:t xml:space="preserve">July 2020, and Japan on </w:t>
      </w:r>
      <w:r w:rsidR="00491F34" w:rsidRPr="00491F34">
        <w:t>18 Jun</w:t>
      </w:r>
      <w:r w:rsidR="00491F34">
        <w:t>e</w:t>
      </w:r>
      <w:r w:rsidR="00491F34" w:rsidRPr="00491F34">
        <w:t xml:space="preserve"> 2019</w:t>
      </w:r>
      <w:r w:rsidR="00491F34">
        <w:t xml:space="preserve">. A similar application was under consideration in Canada (submitted on </w:t>
      </w:r>
      <w:r w:rsidR="00491F34" w:rsidRPr="00491F34">
        <w:t>30 July 2020</w:t>
      </w:r>
      <w:r w:rsidR="00491F34">
        <w:t>).</w:t>
      </w:r>
    </w:p>
    <w:p w14:paraId="61B426B1" w14:textId="5EBCA9B5" w:rsidR="00324E45" w:rsidRPr="00F0146F" w:rsidRDefault="00324E45" w:rsidP="00324E45">
      <w:pPr>
        <w:pStyle w:val="TableTitle"/>
      </w:pPr>
      <w:r>
        <w:t xml:space="preserve">Table </w:t>
      </w:r>
      <w:r w:rsidR="001108B3">
        <w:fldChar w:fldCharType="begin"/>
      </w:r>
      <w:r w:rsidR="001108B3">
        <w:instrText xml:space="preserve"> SEQ Table \* ARABIC </w:instrText>
      </w:r>
      <w:r w:rsidR="001108B3">
        <w:fldChar w:fldCharType="separate"/>
      </w:r>
      <w:r w:rsidR="00E53BA0">
        <w:rPr>
          <w:noProof/>
        </w:rPr>
        <w:t>1</w:t>
      </w:r>
      <w:r w:rsidR="001108B3">
        <w:rPr>
          <w:noProof/>
        </w:rPr>
        <w:fldChar w:fldCharType="end"/>
      </w:r>
      <w:bookmarkStart w:id="32" w:name="_Hlk95393997"/>
      <w:r>
        <w:t>: International regulatory status</w:t>
      </w:r>
      <w:bookmarkEnd w:id="32"/>
    </w:p>
    <w:tbl>
      <w:tblPr>
        <w:tblStyle w:val="TableTGAblue"/>
        <w:tblW w:w="8815" w:type="dxa"/>
        <w:tblLayout w:type="fixed"/>
        <w:tblLook w:val="04A0" w:firstRow="1" w:lastRow="0" w:firstColumn="1" w:lastColumn="0" w:noHBand="0" w:noVBand="1"/>
      </w:tblPr>
      <w:tblGrid>
        <w:gridCol w:w="1255"/>
        <w:gridCol w:w="2070"/>
        <w:gridCol w:w="1348"/>
        <w:gridCol w:w="4142"/>
      </w:tblGrid>
      <w:tr w:rsidR="004675E8" w14:paraId="067400AF" w14:textId="77777777" w:rsidTr="00261765">
        <w:trPr>
          <w:cnfStyle w:val="100000000000" w:firstRow="1" w:lastRow="0" w:firstColumn="0" w:lastColumn="0" w:oddVBand="0" w:evenVBand="0" w:oddHBand="0" w:evenHBand="0" w:firstRowFirstColumn="0" w:firstRowLastColumn="0" w:lastRowFirstColumn="0" w:lastRowLastColumn="0"/>
        </w:trPr>
        <w:tc>
          <w:tcPr>
            <w:tcW w:w="1255" w:type="dxa"/>
            <w:tcBorders>
              <w:top w:val="single" w:sz="4" w:space="0" w:color="auto"/>
              <w:left w:val="single" w:sz="4" w:space="0" w:color="auto"/>
              <w:bottom w:val="single" w:sz="4" w:space="0" w:color="auto"/>
              <w:right w:val="single" w:sz="4" w:space="0" w:color="auto"/>
            </w:tcBorders>
          </w:tcPr>
          <w:p w14:paraId="573D3661" w14:textId="77777777" w:rsidR="00006FAB" w:rsidRDefault="00006FAB">
            <w:pPr>
              <w:ind w:left="0" w:right="0"/>
            </w:pPr>
            <w:r>
              <w:t>Region</w:t>
            </w:r>
          </w:p>
        </w:tc>
        <w:tc>
          <w:tcPr>
            <w:tcW w:w="2070" w:type="dxa"/>
            <w:tcBorders>
              <w:top w:val="single" w:sz="4" w:space="0" w:color="auto"/>
              <w:left w:val="single" w:sz="4" w:space="0" w:color="auto"/>
              <w:bottom w:val="single" w:sz="4" w:space="0" w:color="auto"/>
              <w:right w:val="single" w:sz="4" w:space="0" w:color="auto"/>
            </w:tcBorders>
          </w:tcPr>
          <w:p w14:paraId="625C1E86" w14:textId="77777777" w:rsidR="00006FAB" w:rsidRDefault="00006FAB">
            <w:pPr>
              <w:ind w:left="0" w:right="0"/>
            </w:pPr>
            <w:r>
              <w:t>Submission date</w:t>
            </w:r>
          </w:p>
        </w:tc>
        <w:tc>
          <w:tcPr>
            <w:tcW w:w="1348" w:type="dxa"/>
            <w:tcBorders>
              <w:top w:val="single" w:sz="4" w:space="0" w:color="auto"/>
              <w:left w:val="single" w:sz="4" w:space="0" w:color="auto"/>
              <w:bottom w:val="single" w:sz="4" w:space="0" w:color="auto"/>
              <w:right w:val="single" w:sz="4" w:space="0" w:color="auto"/>
            </w:tcBorders>
          </w:tcPr>
          <w:p w14:paraId="030BDB1E" w14:textId="77777777" w:rsidR="00006FAB" w:rsidRDefault="00006FAB">
            <w:pPr>
              <w:ind w:left="0" w:right="0"/>
            </w:pPr>
            <w:r>
              <w:t>Status</w:t>
            </w:r>
          </w:p>
        </w:tc>
        <w:tc>
          <w:tcPr>
            <w:tcW w:w="4142" w:type="dxa"/>
            <w:tcBorders>
              <w:top w:val="single" w:sz="4" w:space="0" w:color="auto"/>
              <w:left w:val="single" w:sz="4" w:space="0" w:color="auto"/>
              <w:bottom w:val="single" w:sz="4" w:space="0" w:color="auto"/>
              <w:right w:val="single" w:sz="4" w:space="0" w:color="auto"/>
            </w:tcBorders>
          </w:tcPr>
          <w:p w14:paraId="78E1B89B" w14:textId="77777777" w:rsidR="00006FAB" w:rsidRDefault="00006FAB">
            <w:pPr>
              <w:ind w:left="0" w:right="0"/>
            </w:pPr>
            <w:r>
              <w:t>Approved indications</w:t>
            </w:r>
          </w:p>
        </w:tc>
      </w:tr>
      <w:tr w:rsidR="004675E8" w14:paraId="085CDFF8" w14:textId="77777777" w:rsidTr="00261765">
        <w:tc>
          <w:tcPr>
            <w:tcW w:w="1255" w:type="dxa"/>
            <w:tcBorders>
              <w:top w:val="single" w:sz="4" w:space="0" w:color="auto"/>
            </w:tcBorders>
          </w:tcPr>
          <w:p w14:paraId="22695BF8" w14:textId="7E789C4D" w:rsidR="00A51F57" w:rsidRDefault="00491F34" w:rsidP="00B32610">
            <w:pPr>
              <w:ind w:left="0" w:right="0"/>
            </w:pPr>
            <w:r w:rsidRPr="00491F34">
              <w:t>European Union</w:t>
            </w:r>
          </w:p>
        </w:tc>
        <w:tc>
          <w:tcPr>
            <w:tcW w:w="2070" w:type="dxa"/>
            <w:tcBorders>
              <w:top w:val="single" w:sz="4" w:space="0" w:color="auto"/>
            </w:tcBorders>
          </w:tcPr>
          <w:p w14:paraId="3EF9FA6E" w14:textId="741142C3" w:rsidR="00A51F57" w:rsidRDefault="00491F34" w:rsidP="00B32610">
            <w:pPr>
              <w:ind w:left="0" w:right="0"/>
            </w:pPr>
            <w:r w:rsidRPr="00491F34">
              <w:t>22 Nov</w:t>
            </w:r>
            <w:r>
              <w:t>ember</w:t>
            </w:r>
            <w:r w:rsidRPr="00491F34">
              <w:t xml:space="preserve"> 2018</w:t>
            </w:r>
          </w:p>
        </w:tc>
        <w:tc>
          <w:tcPr>
            <w:tcW w:w="1348" w:type="dxa"/>
            <w:tcBorders>
              <w:top w:val="single" w:sz="4" w:space="0" w:color="auto"/>
            </w:tcBorders>
          </w:tcPr>
          <w:p w14:paraId="170936CA" w14:textId="5722ACC8" w:rsidR="00A51F57" w:rsidRDefault="00491F34" w:rsidP="00B32610">
            <w:pPr>
              <w:ind w:left="0" w:right="0"/>
            </w:pPr>
            <w:r>
              <w:t>9 December</w:t>
            </w:r>
            <w:r w:rsidR="002E3C79">
              <w:t xml:space="preserve"> </w:t>
            </w:r>
            <w:r>
              <w:t>2020</w:t>
            </w:r>
          </w:p>
        </w:tc>
        <w:tc>
          <w:tcPr>
            <w:tcW w:w="4142" w:type="dxa"/>
            <w:tcBorders>
              <w:top w:val="single" w:sz="4" w:space="0" w:color="auto"/>
            </w:tcBorders>
          </w:tcPr>
          <w:p w14:paraId="57879B47" w14:textId="2E6DB486" w:rsidR="00A51F57" w:rsidRPr="002552DB" w:rsidRDefault="00491F34" w:rsidP="00B32610">
            <w:pPr>
              <w:ind w:left="0" w:right="0"/>
              <w:rPr>
                <w:i/>
                <w:iCs/>
              </w:rPr>
            </w:pPr>
            <w:proofErr w:type="spellStart"/>
            <w:r w:rsidRPr="002552DB">
              <w:rPr>
                <w:i/>
                <w:iCs/>
              </w:rPr>
              <w:t>Trixeo</w:t>
            </w:r>
            <w:proofErr w:type="spellEnd"/>
            <w:r w:rsidRPr="002552DB">
              <w:rPr>
                <w:i/>
                <w:iCs/>
              </w:rPr>
              <w:t xml:space="preserve"> Aerosphere is indicated as a maintenance treatment in adult patients with moderate to severe chronic obstructive pulmonary disease (COPD) who are not adequately treated by a combination of an inhaled corticosteroid and a long-acting beta2</w:t>
            </w:r>
            <w:r w:rsidR="00A935EC">
              <w:rPr>
                <w:i/>
                <w:iCs/>
              </w:rPr>
              <w:noBreakHyphen/>
            </w:r>
            <w:r w:rsidRPr="002552DB">
              <w:rPr>
                <w:i/>
                <w:iCs/>
              </w:rPr>
              <w:t xml:space="preserve">agonist or combination of a long-acting beta2-agonist and a long-acting muscarinic antagonist (for effects on symptoms control and prevention of exacerbations see </w:t>
            </w:r>
            <w:r w:rsidR="00A935EC">
              <w:rPr>
                <w:i/>
                <w:iCs/>
              </w:rPr>
              <w:t>S</w:t>
            </w:r>
            <w:r w:rsidRPr="002552DB">
              <w:rPr>
                <w:i/>
                <w:iCs/>
              </w:rPr>
              <w:t>ection 5.1).</w:t>
            </w:r>
          </w:p>
        </w:tc>
      </w:tr>
      <w:tr w:rsidR="00491F34" w14:paraId="438B74E3" w14:textId="77777777" w:rsidTr="00261765">
        <w:tc>
          <w:tcPr>
            <w:tcW w:w="1255" w:type="dxa"/>
            <w:tcBorders>
              <w:top w:val="single" w:sz="4" w:space="0" w:color="auto"/>
            </w:tcBorders>
          </w:tcPr>
          <w:p w14:paraId="0E67285D" w14:textId="3F986800" w:rsidR="00491F34" w:rsidRPr="00491F34" w:rsidRDefault="00491F34" w:rsidP="00B32610">
            <w:pPr>
              <w:ind w:left="0" w:right="0"/>
            </w:pPr>
            <w:r>
              <w:t xml:space="preserve">United </w:t>
            </w:r>
            <w:r w:rsidR="002E79D3">
              <w:t>S</w:t>
            </w:r>
            <w:r>
              <w:t>tates of America</w:t>
            </w:r>
          </w:p>
        </w:tc>
        <w:tc>
          <w:tcPr>
            <w:tcW w:w="2070" w:type="dxa"/>
            <w:tcBorders>
              <w:top w:val="single" w:sz="4" w:space="0" w:color="auto"/>
            </w:tcBorders>
          </w:tcPr>
          <w:p w14:paraId="26844051" w14:textId="27C85776" w:rsidR="00491F34" w:rsidRPr="00491F34" w:rsidRDefault="00491F34" w:rsidP="00B32610">
            <w:pPr>
              <w:ind w:left="0" w:right="0"/>
            </w:pPr>
            <w:r w:rsidRPr="00534B20">
              <w:t>23 Jan</w:t>
            </w:r>
            <w:r>
              <w:t>uary</w:t>
            </w:r>
            <w:r w:rsidRPr="00534B20">
              <w:t xml:space="preserve"> 2020</w:t>
            </w:r>
          </w:p>
        </w:tc>
        <w:tc>
          <w:tcPr>
            <w:tcW w:w="1348" w:type="dxa"/>
            <w:tcBorders>
              <w:top w:val="single" w:sz="4" w:space="0" w:color="auto"/>
            </w:tcBorders>
          </w:tcPr>
          <w:p w14:paraId="3AA436AC" w14:textId="3ECB5B0A" w:rsidR="00491F34" w:rsidRDefault="00491F34" w:rsidP="00B32610">
            <w:pPr>
              <w:ind w:left="0" w:right="0"/>
            </w:pPr>
            <w:r w:rsidRPr="00534B20">
              <w:t>23 Jul</w:t>
            </w:r>
            <w:r>
              <w:t>y</w:t>
            </w:r>
            <w:r w:rsidR="002E79D3">
              <w:t xml:space="preserve"> </w:t>
            </w:r>
            <w:r w:rsidRPr="00534B20">
              <w:t>2020</w:t>
            </w:r>
          </w:p>
        </w:tc>
        <w:tc>
          <w:tcPr>
            <w:tcW w:w="4142" w:type="dxa"/>
            <w:tcBorders>
              <w:top w:val="single" w:sz="4" w:space="0" w:color="auto"/>
            </w:tcBorders>
          </w:tcPr>
          <w:p w14:paraId="24E647EB" w14:textId="77777777" w:rsidR="00491F34" w:rsidRPr="004621FA" w:rsidRDefault="00491F34" w:rsidP="00B32610">
            <w:pPr>
              <w:ind w:left="0" w:right="0"/>
              <w:rPr>
                <w:i/>
                <w:iCs/>
              </w:rPr>
            </w:pPr>
            <w:r w:rsidRPr="004621FA">
              <w:rPr>
                <w:i/>
                <w:iCs/>
              </w:rPr>
              <w:t>Breztri Aerosphere is indicated for the maintenance treatment of patients with chronic obstructive pulmonary disease (COPD).</w:t>
            </w:r>
          </w:p>
          <w:p w14:paraId="48D236C1" w14:textId="7E5409D6" w:rsidR="00491F34" w:rsidRDefault="00491F34" w:rsidP="00B32610">
            <w:pPr>
              <w:ind w:left="0" w:right="0"/>
            </w:pPr>
            <w:r w:rsidRPr="004621FA">
              <w:rPr>
                <w:i/>
                <w:iCs/>
              </w:rPr>
              <w:t xml:space="preserve">Limitations of </w:t>
            </w:r>
            <w:r w:rsidR="00A935EC">
              <w:rPr>
                <w:i/>
                <w:iCs/>
              </w:rPr>
              <w:t>u</w:t>
            </w:r>
            <w:r w:rsidRPr="004621FA">
              <w:rPr>
                <w:i/>
                <w:iCs/>
              </w:rPr>
              <w:t xml:space="preserve">se: Breztri Aerosphere is not indicated for the relief of acute bronchospasm or for the treatment of asthma </w:t>
            </w:r>
            <w:r w:rsidR="00E960B5">
              <w:rPr>
                <w:i/>
                <w:iCs/>
              </w:rPr>
              <w:t>(</w:t>
            </w:r>
            <w:r w:rsidRPr="004621FA">
              <w:rPr>
                <w:i/>
                <w:iCs/>
              </w:rPr>
              <w:t xml:space="preserve">see Warnings and </w:t>
            </w:r>
            <w:r w:rsidR="00A935EC">
              <w:rPr>
                <w:i/>
                <w:iCs/>
              </w:rPr>
              <w:t>p</w:t>
            </w:r>
            <w:r w:rsidRPr="004621FA">
              <w:rPr>
                <w:i/>
                <w:iCs/>
              </w:rPr>
              <w:t>recautions (5.1, 5.2)</w:t>
            </w:r>
            <w:r w:rsidR="00E960B5">
              <w:rPr>
                <w:i/>
                <w:iCs/>
              </w:rPr>
              <w:t>)</w:t>
            </w:r>
            <w:r w:rsidRPr="004621FA">
              <w:rPr>
                <w:i/>
                <w:iCs/>
              </w:rPr>
              <w:t>.</w:t>
            </w:r>
          </w:p>
        </w:tc>
      </w:tr>
      <w:tr w:rsidR="003B3305" w14:paraId="1BFFCF2B" w14:textId="77777777" w:rsidTr="00261765">
        <w:tc>
          <w:tcPr>
            <w:tcW w:w="1255" w:type="dxa"/>
            <w:tcBorders>
              <w:top w:val="single" w:sz="4" w:space="0" w:color="auto"/>
            </w:tcBorders>
          </w:tcPr>
          <w:p w14:paraId="149F93BC" w14:textId="561E3D63" w:rsidR="003B3305" w:rsidRDefault="003B3305" w:rsidP="00B32610">
            <w:pPr>
              <w:ind w:left="0" w:right="0"/>
            </w:pPr>
            <w:r w:rsidRPr="004F38E2">
              <w:lastRenderedPageBreak/>
              <w:t>Canada</w:t>
            </w:r>
          </w:p>
        </w:tc>
        <w:tc>
          <w:tcPr>
            <w:tcW w:w="2070" w:type="dxa"/>
            <w:tcBorders>
              <w:top w:val="single" w:sz="4" w:space="0" w:color="auto"/>
            </w:tcBorders>
          </w:tcPr>
          <w:p w14:paraId="48F35F0D" w14:textId="6125F593" w:rsidR="003B3305" w:rsidRPr="00534B20" w:rsidRDefault="003B3305" w:rsidP="00B32610">
            <w:pPr>
              <w:ind w:left="0" w:right="0"/>
            </w:pPr>
            <w:r w:rsidRPr="004F38E2">
              <w:t>30 July 2020</w:t>
            </w:r>
          </w:p>
        </w:tc>
        <w:tc>
          <w:tcPr>
            <w:tcW w:w="1348" w:type="dxa"/>
            <w:tcBorders>
              <w:top w:val="single" w:sz="4" w:space="0" w:color="auto"/>
            </w:tcBorders>
          </w:tcPr>
          <w:p w14:paraId="3B9241B3" w14:textId="084AF6DA" w:rsidR="003B3305" w:rsidRPr="00534B20" w:rsidRDefault="003B3305" w:rsidP="00B32610">
            <w:pPr>
              <w:ind w:left="0" w:right="0"/>
            </w:pPr>
            <w:r w:rsidRPr="00006FAB">
              <w:t>Under consideration</w:t>
            </w:r>
          </w:p>
        </w:tc>
        <w:tc>
          <w:tcPr>
            <w:tcW w:w="4142" w:type="dxa"/>
            <w:tcBorders>
              <w:top w:val="single" w:sz="4" w:space="0" w:color="auto"/>
            </w:tcBorders>
          </w:tcPr>
          <w:p w14:paraId="74EF50E8" w14:textId="3EECB2A2" w:rsidR="003B3305" w:rsidRPr="003B3305" w:rsidRDefault="003B3305" w:rsidP="00B32610">
            <w:pPr>
              <w:ind w:left="0" w:right="0"/>
              <w:rPr>
                <w:i/>
                <w:iCs/>
              </w:rPr>
            </w:pPr>
            <w:r>
              <w:t>Under consideration</w:t>
            </w:r>
          </w:p>
        </w:tc>
      </w:tr>
      <w:tr w:rsidR="003B3305" w14:paraId="10463EB4" w14:textId="77777777" w:rsidTr="00261765">
        <w:tc>
          <w:tcPr>
            <w:tcW w:w="1255" w:type="dxa"/>
            <w:tcBorders>
              <w:top w:val="single" w:sz="4" w:space="0" w:color="auto"/>
            </w:tcBorders>
          </w:tcPr>
          <w:p w14:paraId="2B4AF30C" w14:textId="2E390E7B" w:rsidR="003B3305" w:rsidRDefault="003B3305">
            <w:pPr>
              <w:ind w:left="0" w:right="0"/>
            </w:pPr>
            <w:r>
              <w:t xml:space="preserve">Japan </w:t>
            </w:r>
          </w:p>
        </w:tc>
        <w:tc>
          <w:tcPr>
            <w:tcW w:w="2070" w:type="dxa"/>
            <w:tcBorders>
              <w:top w:val="single" w:sz="4" w:space="0" w:color="auto"/>
            </w:tcBorders>
          </w:tcPr>
          <w:p w14:paraId="755AD30C" w14:textId="231B9297" w:rsidR="003B3305" w:rsidRDefault="003B3305">
            <w:pPr>
              <w:ind w:left="0" w:right="0"/>
            </w:pPr>
            <w:r w:rsidRPr="00A51F57">
              <w:t>4 Sep</w:t>
            </w:r>
            <w:r>
              <w:t>tember</w:t>
            </w:r>
            <w:r w:rsidRPr="00A51F57">
              <w:t xml:space="preserve"> 2018</w:t>
            </w:r>
          </w:p>
        </w:tc>
        <w:tc>
          <w:tcPr>
            <w:tcW w:w="1348" w:type="dxa"/>
            <w:tcBorders>
              <w:top w:val="single" w:sz="4" w:space="0" w:color="auto"/>
            </w:tcBorders>
          </w:tcPr>
          <w:p w14:paraId="385F5C56" w14:textId="63CDF10A" w:rsidR="003B3305" w:rsidRDefault="003B3305">
            <w:pPr>
              <w:ind w:left="0" w:right="0"/>
            </w:pPr>
            <w:r>
              <w:t>18 June 2019</w:t>
            </w:r>
          </w:p>
        </w:tc>
        <w:tc>
          <w:tcPr>
            <w:tcW w:w="4142" w:type="dxa"/>
            <w:tcBorders>
              <w:top w:val="single" w:sz="4" w:space="0" w:color="auto"/>
            </w:tcBorders>
          </w:tcPr>
          <w:p w14:paraId="3D661527" w14:textId="7239F11F" w:rsidR="003B3305" w:rsidRPr="004621FA" w:rsidRDefault="003B3305" w:rsidP="00B32610">
            <w:pPr>
              <w:ind w:left="0" w:right="0"/>
              <w:rPr>
                <w:i/>
                <w:iCs/>
              </w:rPr>
            </w:pPr>
            <w:r w:rsidRPr="004621FA">
              <w:rPr>
                <w:i/>
                <w:iCs/>
              </w:rPr>
              <w:t xml:space="preserve">Breztri Aerosphere is indicated for relief from various symptoms of chronic obstructive pulmonary disease (chronic bronchitis, pulmonary emphysema) (when a combination of an inhaled corticosteroid, a </w:t>
            </w:r>
            <w:proofErr w:type="gramStart"/>
            <w:r w:rsidRPr="004621FA">
              <w:rPr>
                <w:i/>
                <w:iCs/>
              </w:rPr>
              <w:t>long acting</w:t>
            </w:r>
            <w:proofErr w:type="gramEnd"/>
            <w:r w:rsidRPr="004621FA">
              <w:rPr>
                <w:i/>
                <w:iCs/>
              </w:rPr>
              <w:t xml:space="preserve"> inhaled anticholinergic agent and a long acting inhaled </w:t>
            </w:r>
            <w:r w:rsidRPr="003B3305">
              <w:rPr>
                <w:i/>
                <w:iCs/>
              </w:rPr>
              <w:t>β</w:t>
            </w:r>
            <w:r w:rsidRPr="004621FA">
              <w:rPr>
                <w:i/>
                <w:iCs/>
                <w:vertAlign w:val="subscript"/>
              </w:rPr>
              <w:t>2</w:t>
            </w:r>
            <w:r w:rsidRPr="004621FA">
              <w:rPr>
                <w:i/>
                <w:iCs/>
              </w:rPr>
              <w:t xml:space="preserve"> agonist is necessary)</w:t>
            </w:r>
            <w:r>
              <w:rPr>
                <w:i/>
                <w:iCs/>
              </w:rPr>
              <w:t>.</w:t>
            </w:r>
          </w:p>
        </w:tc>
      </w:tr>
    </w:tbl>
    <w:p w14:paraId="59CDF9FD" w14:textId="77777777" w:rsidR="008E7846" w:rsidRDefault="008E7846" w:rsidP="00940A89">
      <w:pPr>
        <w:pStyle w:val="Heading3"/>
      </w:pPr>
      <w:bookmarkStart w:id="33" w:name="_Toc101345653"/>
      <w:r>
        <w:t>Product Information</w:t>
      </w:r>
      <w:bookmarkEnd w:id="30"/>
      <w:bookmarkEnd w:id="31"/>
      <w:bookmarkEnd w:id="33"/>
    </w:p>
    <w:p w14:paraId="4DFC3B25" w14:textId="3CC6B976" w:rsidR="00940A89" w:rsidRDefault="006136D7" w:rsidP="00940A89">
      <w:bookmarkStart w:id="34" w:name="_Toc247691506"/>
      <w:bookmarkStart w:id="3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20" w:history="1">
        <w:r w:rsidR="00441C3F" w:rsidRPr="00441C3F">
          <w:rPr>
            <w:rStyle w:val="Hyperlink"/>
          </w:rPr>
          <w:t>https://www.tga.gov.au/product-information-pi</w:t>
        </w:r>
      </w:hyperlink>
      <w:r w:rsidR="00441C3F">
        <w:t>&gt;</w:t>
      </w:r>
      <w:r w:rsidR="00940A89" w:rsidRPr="00940A89">
        <w:t>.</w:t>
      </w:r>
    </w:p>
    <w:p w14:paraId="26D01820" w14:textId="77777777" w:rsidR="00500337" w:rsidRDefault="00500337" w:rsidP="00500337">
      <w:pPr>
        <w:pStyle w:val="Heading2"/>
      </w:pPr>
      <w:bookmarkStart w:id="36" w:name="_Toc504480011"/>
      <w:bookmarkStart w:id="37" w:name="_Toc101345654"/>
      <w:r>
        <w:t>II. Registration timeline</w:t>
      </w:r>
      <w:bookmarkEnd w:id="36"/>
      <w:bookmarkEnd w:id="37"/>
    </w:p>
    <w:p w14:paraId="183A5DD7"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AusPAR.</w:t>
      </w:r>
    </w:p>
    <w:p w14:paraId="28D1DBC3" w14:textId="064F9E66" w:rsidR="006A58A8" w:rsidRPr="006A58A8" w:rsidRDefault="00B17FF5" w:rsidP="00B17FF5">
      <w:pPr>
        <w:pStyle w:val="TableTitle"/>
      </w:pPr>
      <w:r>
        <w:t xml:space="preserve">Table </w:t>
      </w:r>
      <w:r w:rsidR="001108B3">
        <w:fldChar w:fldCharType="begin"/>
      </w:r>
      <w:r w:rsidR="001108B3">
        <w:instrText xml:space="preserve"> SEQ Table \* ARABIC </w:instrText>
      </w:r>
      <w:r w:rsidR="001108B3">
        <w:fldChar w:fldCharType="separate"/>
      </w:r>
      <w:r w:rsidR="00E53BA0">
        <w:rPr>
          <w:noProof/>
        </w:rPr>
        <w:t>2</w:t>
      </w:r>
      <w:r w:rsidR="001108B3">
        <w:rPr>
          <w:noProof/>
        </w:rPr>
        <w:fldChar w:fldCharType="end"/>
      </w:r>
      <w:r w:rsidR="00006FAB">
        <w:t>:</w:t>
      </w:r>
      <w:r w:rsidR="006A58A8" w:rsidRPr="006A58A8">
        <w:t xml:space="preserve"> Timeline for Submission </w:t>
      </w:r>
      <w:r w:rsidR="00A55018" w:rsidRPr="00A55018">
        <w:t>PM-2020-02915-1-5</w:t>
      </w:r>
    </w:p>
    <w:tbl>
      <w:tblPr>
        <w:tblStyle w:val="TableTGAblue"/>
        <w:tblW w:w="0" w:type="auto"/>
        <w:tblLook w:val="04A0" w:firstRow="1" w:lastRow="0" w:firstColumn="1" w:lastColumn="0" w:noHBand="0" w:noVBand="1"/>
      </w:tblPr>
      <w:tblGrid>
        <w:gridCol w:w="6091"/>
        <w:gridCol w:w="2403"/>
      </w:tblGrid>
      <w:tr w:rsidR="00500337" w14:paraId="3FB199A4" w14:textId="77777777" w:rsidTr="00261765">
        <w:trPr>
          <w:cnfStyle w:val="100000000000" w:firstRow="1" w:lastRow="0" w:firstColumn="0" w:lastColumn="0" w:oddVBand="0" w:evenVBand="0" w:oddHBand="0" w:evenHBand="0" w:firstRowFirstColumn="0" w:firstRowLastColumn="0" w:lastRowFirstColumn="0" w:lastRowLastColumn="0"/>
          <w:cantSplit/>
        </w:trPr>
        <w:tc>
          <w:tcPr>
            <w:tcW w:w="6091" w:type="dxa"/>
            <w:tcBorders>
              <w:top w:val="single" w:sz="4" w:space="0" w:color="auto"/>
              <w:left w:val="single" w:sz="4" w:space="0" w:color="auto"/>
              <w:bottom w:val="single" w:sz="4" w:space="0" w:color="auto"/>
              <w:right w:val="single" w:sz="4" w:space="0" w:color="auto"/>
            </w:tcBorders>
          </w:tcPr>
          <w:p w14:paraId="1719B2B3" w14:textId="77777777" w:rsidR="00500337" w:rsidRDefault="00500337" w:rsidP="00500337">
            <w:pPr>
              <w:ind w:left="0" w:right="0"/>
            </w:pPr>
            <w:r>
              <w:t>Description</w:t>
            </w:r>
          </w:p>
        </w:tc>
        <w:tc>
          <w:tcPr>
            <w:tcW w:w="2403" w:type="dxa"/>
            <w:tcBorders>
              <w:top w:val="single" w:sz="4" w:space="0" w:color="auto"/>
              <w:left w:val="single" w:sz="4" w:space="0" w:color="auto"/>
              <w:bottom w:val="single" w:sz="4" w:space="0" w:color="auto"/>
              <w:right w:val="single" w:sz="4" w:space="0" w:color="auto"/>
            </w:tcBorders>
          </w:tcPr>
          <w:p w14:paraId="4FE92EB4" w14:textId="77777777" w:rsidR="00500337" w:rsidRDefault="00500337" w:rsidP="00500337">
            <w:pPr>
              <w:ind w:left="0" w:right="0"/>
            </w:pPr>
            <w:r>
              <w:t>Date</w:t>
            </w:r>
          </w:p>
        </w:tc>
      </w:tr>
      <w:tr w:rsidR="00500337" w14:paraId="79C49E28" w14:textId="77777777" w:rsidTr="00261765">
        <w:tc>
          <w:tcPr>
            <w:tcW w:w="6091" w:type="dxa"/>
            <w:tcBorders>
              <w:top w:val="single" w:sz="4" w:space="0" w:color="auto"/>
            </w:tcBorders>
          </w:tcPr>
          <w:p w14:paraId="1B5FF1C9" w14:textId="77777777" w:rsidR="00500337" w:rsidRDefault="00500337" w:rsidP="00500337">
            <w:pPr>
              <w:ind w:left="0" w:right="0"/>
            </w:pPr>
            <w:r>
              <w:t>Submission dossier accepted and first round evaluation commenced</w:t>
            </w:r>
          </w:p>
        </w:tc>
        <w:tc>
          <w:tcPr>
            <w:tcW w:w="2403" w:type="dxa"/>
            <w:tcBorders>
              <w:top w:val="single" w:sz="4" w:space="0" w:color="auto"/>
            </w:tcBorders>
          </w:tcPr>
          <w:p w14:paraId="4ACB7141" w14:textId="782C0493" w:rsidR="00500337" w:rsidRDefault="00990D69" w:rsidP="00500337">
            <w:pPr>
              <w:ind w:left="0" w:right="0"/>
            </w:pPr>
            <w:r>
              <w:t>31 July 2020</w:t>
            </w:r>
          </w:p>
        </w:tc>
      </w:tr>
      <w:tr w:rsidR="00500337" w14:paraId="3E168093" w14:textId="77777777" w:rsidTr="00261765">
        <w:tc>
          <w:tcPr>
            <w:tcW w:w="6091" w:type="dxa"/>
          </w:tcPr>
          <w:p w14:paraId="06F452AE" w14:textId="77777777" w:rsidR="00500337" w:rsidRDefault="00500337" w:rsidP="00500337">
            <w:pPr>
              <w:ind w:left="0" w:right="0"/>
            </w:pPr>
            <w:r>
              <w:t>First round evaluation completed</w:t>
            </w:r>
          </w:p>
        </w:tc>
        <w:tc>
          <w:tcPr>
            <w:tcW w:w="2403" w:type="dxa"/>
          </w:tcPr>
          <w:p w14:paraId="66149149" w14:textId="4E384C0C" w:rsidR="00500337" w:rsidRDefault="00990D69" w:rsidP="00500337">
            <w:pPr>
              <w:ind w:left="0" w:right="0"/>
            </w:pPr>
            <w:r>
              <w:t>22 January 2021</w:t>
            </w:r>
          </w:p>
        </w:tc>
      </w:tr>
      <w:tr w:rsidR="00500337" w14:paraId="605BF956" w14:textId="77777777" w:rsidTr="00261765">
        <w:tc>
          <w:tcPr>
            <w:tcW w:w="6091" w:type="dxa"/>
          </w:tcPr>
          <w:p w14:paraId="004F6631" w14:textId="77777777" w:rsidR="00500337" w:rsidRDefault="00500337" w:rsidP="00500337">
            <w:pPr>
              <w:ind w:left="0" w:right="0"/>
            </w:pPr>
            <w:r>
              <w:t>Sponsor provides responses on questions raised in first round evaluation</w:t>
            </w:r>
          </w:p>
        </w:tc>
        <w:tc>
          <w:tcPr>
            <w:tcW w:w="2403" w:type="dxa"/>
          </w:tcPr>
          <w:p w14:paraId="011010AA" w14:textId="5A9C4540" w:rsidR="00500337" w:rsidRDefault="00A61899" w:rsidP="00500337">
            <w:pPr>
              <w:ind w:left="0" w:right="0"/>
            </w:pPr>
            <w:r>
              <w:t>23 March 2021</w:t>
            </w:r>
          </w:p>
        </w:tc>
      </w:tr>
      <w:tr w:rsidR="00500337" w14:paraId="149F088A" w14:textId="77777777" w:rsidTr="00261765">
        <w:tc>
          <w:tcPr>
            <w:tcW w:w="6091" w:type="dxa"/>
          </w:tcPr>
          <w:p w14:paraId="43794D91" w14:textId="77777777" w:rsidR="00500337" w:rsidRDefault="00500337" w:rsidP="00500337">
            <w:pPr>
              <w:ind w:left="0" w:right="0"/>
            </w:pPr>
            <w:r>
              <w:t>Second round evaluation completed</w:t>
            </w:r>
          </w:p>
        </w:tc>
        <w:tc>
          <w:tcPr>
            <w:tcW w:w="2403" w:type="dxa"/>
          </w:tcPr>
          <w:p w14:paraId="1FA1935D" w14:textId="6D70E89A" w:rsidR="00500337" w:rsidRDefault="00A61899" w:rsidP="00500337">
            <w:pPr>
              <w:ind w:left="0" w:right="0"/>
            </w:pPr>
            <w:r>
              <w:t>22 April 2021</w:t>
            </w:r>
          </w:p>
        </w:tc>
      </w:tr>
      <w:tr w:rsidR="00500337" w14:paraId="4AAA923F" w14:textId="77777777" w:rsidTr="00261765">
        <w:tc>
          <w:tcPr>
            <w:tcW w:w="6091" w:type="dxa"/>
          </w:tcPr>
          <w:p w14:paraId="341760FD" w14:textId="0E1910D4" w:rsidR="00500337" w:rsidRDefault="00324E45" w:rsidP="00500337">
            <w:pPr>
              <w:ind w:left="0" w:right="0"/>
            </w:pPr>
            <w:r>
              <w:t xml:space="preserve">Delegate’s Overall benefit-risk assessment </w:t>
            </w:r>
            <w:r w:rsidRPr="0089729C">
              <w:rPr>
                <w:color w:val="auto"/>
              </w:rPr>
              <w:t>and request for Advisory Committee advice</w:t>
            </w:r>
          </w:p>
        </w:tc>
        <w:tc>
          <w:tcPr>
            <w:tcW w:w="2403" w:type="dxa"/>
          </w:tcPr>
          <w:p w14:paraId="7FF08EFE" w14:textId="6DA604E8" w:rsidR="00500337" w:rsidRDefault="00193F0B" w:rsidP="00500337">
            <w:pPr>
              <w:ind w:left="0" w:right="0"/>
            </w:pPr>
            <w:r w:rsidRPr="00193F0B">
              <w:t>6 May 2021</w:t>
            </w:r>
          </w:p>
        </w:tc>
      </w:tr>
      <w:tr w:rsidR="00500337" w14:paraId="7FE99F20" w14:textId="77777777" w:rsidTr="00261765">
        <w:tc>
          <w:tcPr>
            <w:tcW w:w="6091" w:type="dxa"/>
          </w:tcPr>
          <w:p w14:paraId="0CB94AFD" w14:textId="77777777" w:rsidR="00500337" w:rsidRDefault="00500337" w:rsidP="00500337">
            <w:pPr>
              <w:ind w:left="0" w:right="0"/>
            </w:pPr>
            <w:r>
              <w:t>Sponsor’s pre-Advisory Committee response</w:t>
            </w:r>
          </w:p>
        </w:tc>
        <w:tc>
          <w:tcPr>
            <w:tcW w:w="2403" w:type="dxa"/>
          </w:tcPr>
          <w:p w14:paraId="3B7E860E" w14:textId="6019B734" w:rsidR="00500337" w:rsidRDefault="00230DD7" w:rsidP="00500337">
            <w:pPr>
              <w:ind w:left="0" w:right="0"/>
            </w:pPr>
            <w:r w:rsidRPr="00230DD7">
              <w:t>20 May 2021</w:t>
            </w:r>
          </w:p>
        </w:tc>
      </w:tr>
      <w:tr w:rsidR="00500337" w14:paraId="4BABC31B" w14:textId="77777777" w:rsidTr="00261765">
        <w:tc>
          <w:tcPr>
            <w:tcW w:w="6091" w:type="dxa"/>
          </w:tcPr>
          <w:p w14:paraId="408A78E0" w14:textId="77777777" w:rsidR="00500337" w:rsidRDefault="00500337" w:rsidP="00500337">
            <w:pPr>
              <w:ind w:left="0" w:right="0"/>
            </w:pPr>
            <w:r>
              <w:t>Advisory Committee meeting</w:t>
            </w:r>
          </w:p>
        </w:tc>
        <w:tc>
          <w:tcPr>
            <w:tcW w:w="2403" w:type="dxa"/>
          </w:tcPr>
          <w:p w14:paraId="1B4BF2BB" w14:textId="125EAF83" w:rsidR="00500337" w:rsidRDefault="0089729C" w:rsidP="00500337">
            <w:pPr>
              <w:ind w:left="0" w:right="0"/>
            </w:pPr>
            <w:r w:rsidRPr="0089729C">
              <w:t>3</w:t>
            </w:r>
            <w:r>
              <w:t xml:space="preserve"> and </w:t>
            </w:r>
            <w:r w:rsidRPr="0089729C">
              <w:t>4 June 2021</w:t>
            </w:r>
          </w:p>
        </w:tc>
      </w:tr>
      <w:tr w:rsidR="00500337" w14:paraId="76D4FA6B" w14:textId="77777777" w:rsidTr="00261765">
        <w:tc>
          <w:tcPr>
            <w:tcW w:w="6091" w:type="dxa"/>
          </w:tcPr>
          <w:p w14:paraId="1768AE1D" w14:textId="77777777" w:rsidR="00500337" w:rsidRDefault="00500337" w:rsidP="00500337">
            <w:pPr>
              <w:ind w:left="0" w:right="0"/>
            </w:pPr>
            <w:r>
              <w:t>Registration decision (Outcome)</w:t>
            </w:r>
          </w:p>
        </w:tc>
        <w:tc>
          <w:tcPr>
            <w:tcW w:w="2403" w:type="dxa"/>
          </w:tcPr>
          <w:p w14:paraId="25EC5711" w14:textId="1651196B" w:rsidR="00500337" w:rsidRDefault="00450989" w:rsidP="00500337">
            <w:pPr>
              <w:ind w:left="0" w:right="0"/>
            </w:pPr>
            <w:r>
              <w:t>16 July 2021</w:t>
            </w:r>
          </w:p>
        </w:tc>
      </w:tr>
      <w:tr w:rsidR="00500337" w14:paraId="75378E93" w14:textId="77777777" w:rsidTr="00261765">
        <w:tc>
          <w:tcPr>
            <w:tcW w:w="6091" w:type="dxa"/>
          </w:tcPr>
          <w:p w14:paraId="6397D381" w14:textId="77777777" w:rsidR="00500337" w:rsidRDefault="00500337" w:rsidP="00500337">
            <w:pPr>
              <w:ind w:left="0" w:right="0"/>
            </w:pPr>
            <w:r>
              <w:t xml:space="preserve">Completion of administrative activities and registration on </w:t>
            </w:r>
            <w:r w:rsidR="00006FAB">
              <w:t xml:space="preserve">the </w:t>
            </w:r>
            <w:r>
              <w:t>ARTG</w:t>
            </w:r>
          </w:p>
        </w:tc>
        <w:tc>
          <w:tcPr>
            <w:tcW w:w="2403" w:type="dxa"/>
          </w:tcPr>
          <w:p w14:paraId="5299E6C9" w14:textId="7079125D" w:rsidR="00500337" w:rsidRDefault="00450989" w:rsidP="00500337">
            <w:pPr>
              <w:ind w:left="0" w:right="0"/>
            </w:pPr>
            <w:r>
              <w:t>19 July 2021</w:t>
            </w:r>
          </w:p>
        </w:tc>
      </w:tr>
      <w:tr w:rsidR="00500337" w14:paraId="4CA9E2BA" w14:textId="77777777" w:rsidTr="00261765">
        <w:tc>
          <w:tcPr>
            <w:tcW w:w="6091" w:type="dxa"/>
          </w:tcPr>
          <w:p w14:paraId="6F658A45" w14:textId="77777777" w:rsidR="00500337" w:rsidRDefault="00500337" w:rsidP="00500337">
            <w:pPr>
              <w:ind w:left="0" w:right="0"/>
            </w:pPr>
            <w:r>
              <w:lastRenderedPageBreak/>
              <w:t>Number of working days from submission dossier acceptance to registration decision*</w:t>
            </w:r>
          </w:p>
        </w:tc>
        <w:tc>
          <w:tcPr>
            <w:tcW w:w="2403" w:type="dxa"/>
          </w:tcPr>
          <w:p w14:paraId="2576766C" w14:textId="527D0A2A" w:rsidR="00500337" w:rsidRDefault="00A61899" w:rsidP="00500337">
            <w:pPr>
              <w:ind w:left="0" w:right="0"/>
            </w:pPr>
            <w:r>
              <w:t>196</w:t>
            </w:r>
          </w:p>
        </w:tc>
      </w:tr>
    </w:tbl>
    <w:p w14:paraId="2C6BDD14"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575E3302" w14:textId="77777777" w:rsidR="008E7846" w:rsidRPr="00792A32" w:rsidRDefault="00456765" w:rsidP="008E7846">
      <w:pPr>
        <w:pStyle w:val="Heading2"/>
      </w:pPr>
      <w:bookmarkStart w:id="38" w:name="_Toc196046504"/>
      <w:bookmarkStart w:id="39" w:name="_Toc247691527"/>
      <w:bookmarkStart w:id="40" w:name="_Toc314842510"/>
      <w:bookmarkStart w:id="41" w:name="_Toc163441390"/>
      <w:bookmarkStart w:id="42" w:name="_Toc101345655"/>
      <w:bookmarkEnd w:id="1"/>
      <w:bookmarkEnd w:id="34"/>
      <w:bookmarkEnd w:id="35"/>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8"/>
      <w:bookmarkEnd w:id="39"/>
      <w:bookmarkEnd w:id="40"/>
      <w:bookmarkEnd w:id="42"/>
    </w:p>
    <w:p w14:paraId="0D9C909C" w14:textId="297A4594" w:rsidR="008E3FD6" w:rsidRDefault="00006FAB" w:rsidP="00006FAB">
      <w:bookmarkStart w:id="43" w:name="_Toc247691528"/>
      <w:r>
        <w:t>The submission was summarised in the following Delegate’s overview and recommendations.</w:t>
      </w:r>
    </w:p>
    <w:p w14:paraId="068B6CB1" w14:textId="1F5F1184" w:rsidR="008E3FD6" w:rsidRDefault="008E3FD6" w:rsidP="00006FAB">
      <w:r w:rsidRPr="008E3FD6">
        <w:t xml:space="preserve">Relevant guideline or guidance document referred to by the Delegate </w:t>
      </w:r>
      <w:r>
        <w:t>is given below:</w:t>
      </w:r>
    </w:p>
    <w:p w14:paraId="759E6796" w14:textId="359DB5CF" w:rsidR="008E3FD6" w:rsidRDefault="008E3FD6" w:rsidP="004621FA">
      <w:pPr>
        <w:pStyle w:val="ListBullet"/>
      </w:pPr>
      <w:r w:rsidRPr="008E3FD6">
        <w:t>European Medicines Agency (EMA), Committee for Medicinal Products for Human Use (CHMP), Guideline on Clinical Investigation of Medicinal Products in the Treatment of Chronic Obstructive Pulmonary Disease (COPD)</w:t>
      </w:r>
      <w:r>
        <w:t xml:space="preserve">, </w:t>
      </w:r>
      <w:r w:rsidRPr="008E3FD6">
        <w:t>EMA/CHMP/483572/2012</w:t>
      </w:r>
      <w:r>
        <w:t>, 21 June 2012.</w:t>
      </w:r>
    </w:p>
    <w:p w14:paraId="53511619" w14:textId="77777777" w:rsidR="008E7846" w:rsidRDefault="008E7846" w:rsidP="008E7846">
      <w:pPr>
        <w:pStyle w:val="Heading3"/>
      </w:pPr>
      <w:bookmarkStart w:id="44" w:name="_Toc314842511"/>
      <w:bookmarkStart w:id="45" w:name="_Toc101345656"/>
      <w:r>
        <w:t>Quality</w:t>
      </w:r>
      <w:bookmarkEnd w:id="43"/>
      <w:bookmarkEnd w:id="44"/>
      <w:bookmarkEnd w:id="45"/>
    </w:p>
    <w:p w14:paraId="77FBDFC9" w14:textId="2D422D73" w:rsidR="00077F04" w:rsidRDefault="00214B8F" w:rsidP="00214B8F">
      <w:r>
        <w:t xml:space="preserve">Breztri Aerosphere is a fixed dose combination </w:t>
      </w:r>
      <w:r w:rsidR="00077F04" w:rsidRPr="00077F04">
        <w:t xml:space="preserve">actuation </w:t>
      </w:r>
      <w:r>
        <w:t>pressurised MDI, formulated as a white suspension</w:t>
      </w:r>
      <w:r w:rsidR="00077F04">
        <w:t xml:space="preserve">. </w:t>
      </w:r>
      <w:r w:rsidR="00077F04" w:rsidRPr="00077F04">
        <w:t>Each actuation contains a delivered dose of 160 µg budesonide, 7.2 µg glycopyrronium (as bromide) and 5 µg formoterol (</w:t>
      </w:r>
      <w:proofErr w:type="spellStart"/>
      <w:r w:rsidR="00077F04" w:rsidRPr="00077F04">
        <w:t>eformoterol</w:t>
      </w:r>
      <w:proofErr w:type="spellEnd"/>
      <w:r w:rsidR="00077F04" w:rsidRPr="00077F04">
        <w:t>) fumarate dihydrate.</w:t>
      </w:r>
      <w:r w:rsidR="00077F04">
        <w:t xml:space="preserve"> The chemical structure of </w:t>
      </w:r>
      <w:r w:rsidR="00D11659">
        <w:t xml:space="preserve">the three </w:t>
      </w:r>
      <w:r w:rsidR="00077F04">
        <w:t xml:space="preserve">active ingredients for </w:t>
      </w:r>
      <w:r w:rsidR="00077F04" w:rsidRPr="00077F04">
        <w:t>Breztri Aerosphere</w:t>
      </w:r>
      <w:r w:rsidR="00077F04">
        <w:t xml:space="preserve"> are presented in</w:t>
      </w:r>
      <w:r w:rsidR="00D11659">
        <w:t xml:space="preserve"> </w:t>
      </w:r>
      <w:r w:rsidR="00D11659">
        <w:fldChar w:fldCharType="begin"/>
      </w:r>
      <w:r w:rsidR="00D11659">
        <w:instrText xml:space="preserve"> REF _Ref96068294 \h </w:instrText>
      </w:r>
      <w:r w:rsidR="00D11659">
        <w:fldChar w:fldCharType="separate"/>
      </w:r>
      <w:r w:rsidR="00E53BA0">
        <w:t xml:space="preserve">Figure </w:t>
      </w:r>
      <w:r w:rsidR="00E53BA0">
        <w:rPr>
          <w:noProof/>
        </w:rPr>
        <w:t>1</w:t>
      </w:r>
      <w:r w:rsidR="00D11659">
        <w:fldChar w:fldCharType="end"/>
      </w:r>
      <w:r w:rsidR="00D11659">
        <w:t xml:space="preserve">, </w:t>
      </w:r>
      <w:r w:rsidR="00D11659">
        <w:fldChar w:fldCharType="begin"/>
      </w:r>
      <w:r w:rsidR="00D11659">
        <w:instrText xml:space="preserve"> REF _Ref96068299 \h </w:instrText>
      </w:r>
      <w:r w:rsidR="00D11659">
        <w:fldChar w:fldCharType="separate"/>
      </w:r>
      <w:r w:rsidR="00E53BA0">
        <w:t xml:space="preserve">Figure </w:t>
      </w:r>
      <w:r w:rsidR="00E53BA0">
        <w:rPr>
          <w:noProof/>
        </w:rPr>
        <w:t>2</w:t>
      </w:r>
      <w:r w:rsidR="00D11659">
        <w:fldChar w:fldCharType="end"/>
      </w:r>
      <w:r w:rsidR="00A65686">
        <w:t xml:space="preserve"> and</w:t>
      </w:r>
      <w:r w:rsidR="00D11659">
        <w:t xml:space="preserve"> </w:t>
      </w:r>
      <w:r w:rsidR="00D11659">
        <w:fldChar w:fldCharType="begin"/>
      </w:r>
      <w:r w:rsidR="00D11659">
        <w:instrText xml:space="preserve"> REF _Ref96068300 \h </w:instrText>
      </w:r>
      <w:r w:rsidR="00D11659">
        <w:fldChar w:fldCharType="separate"/>
      </w:r>
      <w:r w:rsidR="00E53BA0">
        <w:t xml:space="preserve">Figure </w:t>
      </w:r>
      <w:r w:rsidR="00E53BA0">
        <w:rPr>
          <w:noProof/>
        </w:rPr>
        <w:t>3</w:t>
      </w:r>
      <w:r w:rsidR="00D11659">
        <w:fldChar w:fldCharType="end"/>
      </w:r>
      <w:r w:rsidR="00077F04">
        <w:t>.</w:t>
      </w:r>
    </w:p>
    <w:p w14:paraId="501B3219" w14:textId="769C14CE" w:rsidR="00077F04" w:rsidRPr="00080617" w:rsidRDefault="00077F04" w:rsidP="004621FA">
      <w:pPr>
        <w:pStyle w:val="FigureTitle"/>
      </w:pPr>
      <w:bookmarkStart w:id="46" w:name="_Ref96068294"/>
      <w:r>
        <w:t xml:space="preserve">Figure </w:t>
      </w:r>
      <w:r w:rsidR="001108B3">
        <w:fldChar w:fldCharType="begin"/>
      </w:r>
      <w:r w:rsidR="001108B3">
        <w:instrText xml:space="preserve"> SEQ Figure \* ARABIC </w:instrText>
      </w:r>
      <w:r w:rsidR="001108B3">
        <w:fldChar w:fldCharType="separate"/>
      </w:r>
      <w:r w:rsidR="00E53BA0">
        <w:rPr>
          <w:noProof/>
        </w:rPr>
        <w:t>1</w:t>
      </w:r>
      <w:r w:rsidR="001108B3">
        <w:rPr>
          <w:noProof/>
        </w:rPr>
        <w:fldChar w:fldCharType="end"/>
      </w:r>
      <w:bookmarkEnd w:id="46"/>
      <w:r>
        <w:t xml:space="preserve">: Chemical structure of </w:t>
      </w:r>
      <w:proofErr w:type="spellStart"/>
      <w:r>
        <w:t>m</w:t>
      </w:r>
      <w:r w:rsidRPr="00077F04">
        <w:t>icronised</w:t>
      </w:r>
      <w:proofErr w:type="spellEnd"/>
      <w:r w:rsidRPr="00077F04">
        <w:t xml:space="preserve"> </w:t>
      </w:r>
      <w:r w:rsidRPr="00080617">
        <w:t>budesonide</w:t>
      </w:r>
    </w:p>
    <w:p w14:paraId="72EB3615" w14:textId="00F3AC0A" w:rsidR="00077F04" w:rsidRDefault="00077F04" w:rsidP="00077F04">
      <w:r w:rsidRPr="00D01FC0">
        <w:rPr>
          <w:noProof/>
          <w:sz w:val="20"/>
          <w:lang w:val="en-GB" w:eastAsia="en-GB"/>
        </w:rPr>
        <w:drawing>
          <wp:inline distT="0" distB="0" distL="0" distR="0" wp14:anchorId="36149EC1" wp14:editId="7684220A">
            <wp:extent cx="2221230" cy="1089660"/>
            <wp:effectExtent l="0" t="0" r="7620" b="0"/>
            <wp:docPr id="19" name="Picture 19" descr="Figure 1: Chemical structure of micronised budeso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 Chemical structure of micronised budeson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1230" cy="1089660"/>
                    </a:xfrm>
                    <a:prstGeom prst="rect">
                      <a:avLst/>
                    </a:prstGeom>
                    <a:noFill/>
                    <a:ln>
                      <a:noFill/>
                    </a:ln>
                  </pic:spPr>
                </pic:pic>
              </a:graphicData>
            </a:graphic>
          </wp:inline>
        </w:drawing>
      </w:r>
    </w:p>
    <w:p w14:paraId="0BF9A7D3" w14:textId="3D6E758C" w:rsidR="00077F04" w:rsidRDefault="00077F04" w:rsidP="004621FA">
      <w:pPr>
        <w:pStyle w:val="FigureTitle"/>
      </w:pPr>
      <w:bookmarkStart w:id="47" w:name="_Ref96068299"/>
      <w:r>
        <w:t xml:space="preserve">Figure </w:t>
      </w:r>
      <w:r w:rsidR="001108B3">
        <w:fldChar w:fldCharType="begin"/>
      </w:r>
      <w:r w:rsidR="001108B3">
        <w:instrText xml:space="preserve"> SEQ Figure \* ARABIC </w:instrText>
      </w:r>
      <w:r w:rsidR="001108B3">
        <w:fldChar w:fldCharType="separate"/>
      </w:r>
      <w:r w:rsidR="00E53BA0">
        <w:rPr>
          <w:noProof/>
        </w:rPr>
        <w:t>2</w:t>
      </w:r>
      <w:r w:rsidR="001108B3">
        <w:rPr>
          <w:noProof/>
        </w:rPr>
        <w:fldChar w:fldCharType="end"/>
      </w:r>
      <w:bookmarkEnd w:id="47"/>
      <w:r>
        <w:t xml:space="preserve">: Chemical structure of </w:t>
      </w:r>
      <w:proofErr w:type="spellStart"/>
      <w:r>
        <w:t>m</w:t>
      </w:r>
      <w:r w:rsidRPr="00080617">
        <w:t>icronised</w:t>
      </w:r>
      <w:proofErr w:type="spellEnd"/>
      <w:r w:rsidRPr="00080617">
        <w:t xml:space="preserve"> </w:t>
      </w:r>
      <w:proofErr w:type="spellStart"/>
      <w:r w:rsidRPr="00080617">
        <w:t>glycopyrronium</w:t>
      </w:r>
      <w:proofErr w:type="spellEnd"/>
      <w:r w:rsidRPr="00080617">
        <w:t xml:space="preserve"> bromide</w:t>
      </w:r>
    </w:p>
    <w:p w14:paraId="03A7F890" w14:textId="30C45081" w:rsidR="00077F04" w:rsidRPr="00080617" w:rsidRDefault="00802EF5" w:rsidP="00261765">
      <w:r>
        <w:rPr>
          <w:noProof/>
          <w:lang w:val="en-GB" w:eastAsia="en-GB"/>
        </w:rPr>
        <w:drawing>
          <wp:inline distT="0" distB="0" distL="0" distR="0" wp14:anchorId="0ACFA666" wp14:editId="1829FB73">
            <wp:extent cx="3258645" cy="1200150"/>
            <wp:effectExtent l="0" t="0" r="0" b="0"/>
            <wp:docPr id="2" name="Picture 2" descr="Figure 2: Chemical structure of micronised glycopyrron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Chemical structure of micronised glycopyrronium bromide"/>
                    <pic:cNvPicPr/>
                  </pic:nvPicPr>
                  <pic:blipFill>
                    <a:blip r:embed="rId22"/>
                    <a:stretch>
                      <a:fillRect/>
                    </a:stretch>
                  </pic:blipFill>
                  <pic:spPr>
                    <a:xfrm>
                      <a:off x="0" y="0"/>
                      <a:ext cx="3270823" cy="1204635"/>
                    </a:xfrm>
                    <a:prstGeom prst="rect">
                      <a:avLst/>
                    </a:prstGeom>
                  </pic:spPr>
                </pic:pic>
              </a:graphicData>
            </a:graphic>
          </wp:inline>
        </w:drawing>
      </w:r>
    </w:p>
    <w:p w14:paraId="4D878D21" w14:textId="7CC88DE8" w:rsidR="00077F04" w:rsidRPr="00080617" w:rsidRDefault="00077F04" w:rsidP="004621FA">
      <w:pPr>
        <w:pStyle w:val="FigureTitle"/>
      </w:pPr>
      <w:bookmarkStart w:id="48" w:name="_Ref96068300"/>
      <w:r>
        <w:t xml:space="preserve">Figure </w:t>
      </w:r>
      <w:r w:rsidR="001108B3">
        <w:fldChar w:fldCharType="begin"/>
      </w:r>
      <w:r w:rsidR="001108B3">
        <w:instrText xml:space="preserve"> SEQ Fig</w:instrText>
      </w:r>
      <w:r w:rsidR="001108B3">
        <w:instrText xml:space="preserve">ure \* ARABIC </w:instrText>
      </w:r>
      <w:r w:rsidR="001108B3">
        <w:fldChar w:fldCharType="separate"/>
      </w:r>
      <w:r w:rsidR="00E53BA0">
        <w:rPr>
          <w:noProof/>
        </w:rPr>
        <w:t>3</w:t>
      </w:r>
      <w:r w:rsidR="001108B3">
        <w:rPr>
          <w:noProof/>
        </w:rPr>
        <w:fldChar w:fldCharType="end"/>
      </w:r>
      <w:bookmarkEnd w:id="48"/>
      <w:r>
        <w:t xml:space="preserve">: </w:t>
      </w:r>
      <w:r w:rsidRPr="00077F04">
        <w:t xml:space="preserve">Chemical structure of </w:t>
      </w:r>
      <w:proofErr w:type="spellStart"/>
      <w:r>
        <w:t>m</w:t>
      </w:r>
      <w:r w:rsidRPr="00080617">
        <w:t>icronised</w:t>
      </w:r>
      <w:proofErr w:type="spellEnd"/>
      <w:r w:rsidRPr="00080617">
        <w:t xml:space="preserve"> formoterol fumarate dihydrate</w:t>
      </w:r>
    </w:p>
    <w:p w14:paraId="1F1BB601" w14:textId="39D035D8" w:rsidR="00077F04" w:rsidRDefault="00077F04" w:rsidP="00077F04">
      <w:r w:rsidRPr="00FA7EE0">
        <w:rPr>
          <w:noProof/>
          <w:lang w:val="en-GB" w:eastAsia="en-GB"/>
        </w:rPr>
        <w:drawing>
          <wp:inline distT="0" distB="0" distL="0" distR="0" wp14:anchorId="0C12EFD6" wp14:editId="33B1875B">
            <wp:extent cx="3344545" cy="1235710"/>
            <wp:effectExtent l="0" t="0" r="8255" b="2540"/>
            <wp:docPr id="22" name="Picture 22" descr="Figure 3: Chemical structure of micronised formoterol fumarate di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3: Chemical structure of micronised formoterol fumarate dihydr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4545" cy="1235710"/>
                    </a:xfrm>
                    <a:prstGeom prst="rect">
                      <a:avLst/>
                    </a:prstGeom>
                    <a:noFill/>
                    <a:ln>
                      <a:noFill/>
                    </a:ln>
                  </pic:spPr>
                </pic:pic>
              </a:graphicData>
            </a:graphic>
          </wp:inline>
        </w:drawing>
      </w:r>
    </w:p>
    <w:p w14:paraId="1F5EC260" w14:textId="765128AC" w:rsidR="00214B8F" w:rsidRDefault="00077F04" w:rsidP="00214B8F">
      <w:r w:rsidRPr="00077F04">
        <w:lastRenderedPageBreak/>
        <w:t>Breztri Aerosphere contains the same quantities of glycopyrronium (as bromide) and formoterol fumarate dihydrate, the same excipients</w:t>
      </w:r>
      <w:r>
        <w:t>, and the same delivery device</w:t>
      </w:r>
      <w:r w:rsidRPr="00077F04">
        <w:t xml:space="preserve"> as those in </w:t>
      </w:r>
      <w:proofErr w:type="spellStart"/>
      <w:r w:rsidRPr="00077F04">
        <w:t>Bevespi</w:t>
      </w:r>
      <w:proofErr w:type="spellEnd"/>
      <w:r w:rsidRPr="00077F04">
        <w:t xml:space="preserve"> Aerosphere</w:t>
      </w:r>
      <w:r w:rsidR="00495D24">
        <w:t>;</w:t>
      </w:r>
      <w:r w:rsidR="00495D24">
        <w:rPr>
          <w:rStyle w:val="FootnoteReference"/>
        </w:rPr>
        <w:footnoteReference w:id="8"/>
      </w:r>
      <w:r w:rsidRPr="00077F04">
        <w:t xml:space="preserve"> </w:t>
      </w:r>
      <w:r w:rsidR="00B7474A">
        <w:t>p</w:t>
      </w:r>
      <w:r w:rsidR="00B7474A" w:rsidRPr="00B7474A">
        <w:t xml:space="preserve">ressurised </w:t>
      </w:r>
      <w:r w:rsidRPr="00077F04">
        <w:t>MDI</w:t>
      </w:r>
      <w:r>
        <w:t xml:space="preserve">. </w:t>
      </w:r>
      <w:proofErr w:type="spellStart"/>
      <w:r w:rsidRPr="00077F04">
        <w:t>Bevespi</w:t>
      </w:r>
      <w:proofErr w:type="spellEnd"/>
      <w:r w:rsidRPr="00077F04">
        <w:t xml:space="preserve"> Aerosphere</w:t>
      </w:r>
      <w:r>
        <w:t xml:space="preserve"> is currently approved in Australia for the treatment of COPD</w:t>
      </w:r>
      <w:r w:rsidRPr="00077F04">
        <w:t>. The main difference is the addition of budesonide in Breztri Aerosphere.</w:t>
      </w:r>
    </w:p>
    <w:p w14:paraId="7B5064E8" w14:textId="5EA0C2C0" w:rsidR="00077F04" w:rsidRDefault="00077F04" w:rsidP="00214B8F">
      <w:r>
        <w:t>The proposed pack sizes for this product are 28 (containing 5.9 g of the bulk suspension) and 120 actuations (containing 10.</w:t>
      </w:r>
      <w:r w:rsidR="00FE636D">
        <w:t>7</w:t>
      </w:r>
      <w:r>
        <w:t xml:space="preserve"> g </w:t>
      </w:r>
      <w:r w:rsidR="00FE636D">
        <w:t xml:space="preserve">of </w:t>
      </w:r>
      <w:r>
        <w:t xml:space="preserve">the bulk suspension). These pack sizes are acceptable being in line with those for </w:t>
      </w:r>
      <w:proofErr w:type="spellStart"/>
      <w:r>
        <w:t>Bevespi</w:t>
      </w:r>
      <w:proofErr w:type="spellEnd"/>
      <w:r>
        <w:t xml:space="preserve"> Aerosphere.</w:t>
      </w:r>
    </w:p>
    <w:p w14:paraId="7CC0E8B2" w14:textId="109EF197" w:rsidR="00077F04" w:rsidRDefault="00214B8F" w:rsidP="00214B8F">
      <w:r>
        <w:t xml:space="preserve">The filled inhaler is individually wrapped in a </w:t>
      </w:r>
      <w:r w:rsidR="009B34A9">
        <w:t xml:space="preserve">four </w:t>
      </w:r>
      <w:r>
        <w:t>layers foil laminate pouch containing desiccant sachet to protect from moisture, and then packaged in a carton</w:t>
      </w:r>
      <w:r w:rsidR="002B0391">
        <w:t>.</w:t>
      </w:r>
    </w:p>
    <w:p w14:paraId="5C45FBAD" w14:textId="585C3B61" w:rsidR="00E0791C" w:rsidRDefault="00214B8F" w:rsidP="00214B8F">
      <w:r>
        <w:t xml:space="preserve">The proposed </w:t>
      </w:r>
      <w:r w:rsidR="00B7474A">
        <w:t xml:space="preserve">pressurised </w:t>
      </w:r>
      <w:r>
        <w:t xml:space="preserve">MDI used for the proposed product comprised of a coated aluminium can </w:t>
      </w:r>
      <w:r w:rsidR="00077F04">
        <w:t>fit</w:t>
      </w:r>
      <w:r>
        <w:t xml:space="preserve"> with a metering valve (collectively considered as a canister), a white actuator (or mouthpiece), </w:t>
      </w:r>
      <w:r w:rsidR="00077F04">
        <w:t xml:space="preserve">and </w:t>
      </w:r>
      <w:r>
        <w:t>a grey actuator dust cap and a can</w:t>
      </w:r>
      <w:r w:rsidR="00CA02D4">
        <w:t xml:space="preserve"> </w:t>
      </w:r>
      <w:r>
        <w:t>top dose indicator</w:t>
      </w:r>
      <w:r w:rsidR="00E0791C">
        <w:t>.</w:t>
      </w:r>
    </w:p>
    <w:p w14:paraId="39C9D555" w14:textId="05BEAC20" w:rsidR="00214B8F" w:rsidRDefault="00077F04" w:rsidP="00214B8F">
      <w:r w:rsidRPr="00077F04">
        <w:t>The recommended dose in adults (18 years and over) is 2 actuations twice daily (</w:t>
      </w:r>
      <w:r w:rsidR="002E79D3">
        <w:t>2</w:t>
      </w:r>
      <w:r w:rsidR="002E79D3" w:rsidRPr="00077F04">
        <w:t xml:space="preserve"> </w:t>
      </w:r>
      <w:r w:rsidRPr="00077F04">
        <w:t xml:space="preserve">in the morning and </w:t>
      </w:r>
      <w:r w:rsidR="002E79D3">
        <w:t>2</w:t>
      </w:r>
      <w:r w:rsidR="002E79D3" w:rsidRPr="00077F04">
        <w:t xml:space="preserve"> </w:t>
      </w:r>
      <w:r w:rsidRPr="00077F04">
        <w:t>in the evening). The maximum daily dose is 4 actuations.</w:t>
      </w:r>
    </w:p>
    <w:p w14:paraId="540D707C" w14:textId="2CC8E9C4" w:rsidR="002B0391" w:rsidRDefault="00D35A63" w:rsidP="00D35A63">
      <w:r>
        <w:t xml:space="preserve">The release and </w:t>
      </w:r>
      <w:proofErr w:type="gramStart"/>
      <w:r>
        <w:t>shelf</w:t>
      </w:r>
      <w:r w:rsidR="00CA02D4">
        <w:t xml:space="preserve"> </w:t>
      </w:r>
      <w:r>
        <w:t>life</w:t>
      </w:r>
      <w:proofErr w:type="gramEnd"/>
      <w:r>
        <w:t xml:space="preserve"> finished product specifications are sufficient to ensure the quality of the finished product at release and throughout the shelf</w:t>
      </w:r>
      <w:r w:rsidR="00CA02D4">
        <w:t xml:space="preserve"> </w:t>
      </w:r>
      <w:r>
        <w:t>life</w:t>
      </w:r>
      <w:r w:rsidR="002B0391">
        <w:t>.</w:t>
      </w:r>
    </w:p>
    <w:p w14:paraId="3A62FDC1" w14:textId="258C5F65" w:rsidR="00D35A63" w:rsidRDefault="00D35A63" w:rsidP="00D35A63">
      <w:r>
        <w:t>The stability data support the shelf</w:t>
      </w:r>
      <w:r w:rsidR="00CA02D4">
        <w:t xml:space="preserve"> </w:t>
      </w:r>
      <w:r>
        <w:t>life of the proposed product</w:t>
      </w:r>
      <w:r w:rsidR="00057811">
        <w:t xml:space="preserve">, which is </w:t>
      </w:r>
      <w:r>
        <w:t>18 months, stored below 30°C</w:t>
      </w:r>
      <w:r w:rsidR="0005518B">
        <w:t xml:space="preserve"> </w:t>
      </w:r>
      <w:r>
        <w:t>for the unopened finished product packaged inside the pouch. The in</w:t>
      </w:r>
      <w:r w:rsidR="008E0403">
        <w:noBreakHyphen/>
      </w:r>
      <w:r>
        <w:t>use shelf</w:t>
      </w:r>
      <w:r w:rsidR="003E1047">
        <w:t xml:space="preserve"> </w:t>
      </w:r>
      <w:r>
        <w:t xml:space="preserve">life </w:t>
      </w:r>
      <w:r w:rsidR="005E17EA">
        <w:t xml:space="preserve">for the </w:t>
      </w:r>
      <w:proofErr w:type="gramStart"/>
      <w:r w:rsidR="005E17EA">
        <w:t>28 actuation</w:t>
      </w:r>
      <w:proofErr w:type="gramEnd"/>
      <w:r w:rsidR="005E17EA">
        <w:t xml:space="preserve"> product </w:t>
      </w:r>
      <w:r>
        <w:t xml:space="preserve">is </w:t>
      </w:r>
      <w:r w:rsidR="002E79D3">
        <w:t xml:space="preserve">3 </w:t>
      </w:r>
      <w:r>
        <w:t>weeks from the date of removal of the inhaler from the foil pouch</w:t>
      </w:r>
      <w:r w:rsidR="005E17EA">
        <w:t xml:space="preserve"> and the in-use shelf life for the 120 actuation product is 3</w:t>
      </w:r>
      <w:r w:rsidR="002E79D3">
        <w:t> </w:t>
      </w:r>
      <w:r w:rsidR="005E17EA">
        <w:t>months from the date of removal of the inhaler from the foil pouch</w:t>
      </w:r>
      <w:r>
        <w:t>.</w:t>
      </w:r>
    </w:p>
    <w:p w14:paraId="364E5787" w14:textId="125A20C6" w:rsidR="00581E64" w:rsidRDefault="00581E64" w:rsidP="00581E64">
      <w:r>
        <w:t>The chemistry and quality control aspects are considered acceptable</w:t>
      </w:r>
      <w:r w:rsidR="00E0791C">
        <w:t>.</w:t>
      </w:r>
      <w:r w:rsidR="00267EE6">
        <w:t xml:space="preserve"> </w:t>
      </w:r>
      <w:r>
        <w:t>Approval is recommended from a pharmaceutical chemistry perspective.</w:t>
      </w:r>
    </w:p>
    <w:p w14:paraId="55C9FE06" w14:textId="77777777" w:rsidR="008E7846" w:rsidRPr="007614C6" w:rsidRDefault="008E7846">
      <w:pPr>
        <w:pStyle w:val="Heading3"/>
      </w:pPr>
      <w:bookmarkStart w:id="49" w:name="_Toc314842512"/>
      <w:bookmarkStart w:id="50" w:name="_Toc101345657"/>
      <w:r w:rsidRPr="007614C6">
        <w:t>Nonclinical</w:t>
      </w:r>
      <w:bookmarkEnd w:id="49"/>
      <w:bookmarkEnd w:id="50"/>
    </w:p>
    <w:p w14:paraId="3F359FAF" w14:textId="39A7D1D3" w:rsidR="00A15CCA" w:rsidRPr="00EC1452" w:rsidRDefault="003168CA" w:rsidP="00EC1452">
      <w:r w:rsidRPr="00EC1452">
        <w:t>The nonclinical data</w:t>
      </w:r>
      <w:r w:rsidR="00A15CCA" w:rsidRPr="00EC1452">
        <w:t xml:space="preserve"> was of adequate quality and scope. All pivotal safety</w:t>
      </w:r>
      <w:r w:rsidR="00211D6F" w:rsidRPr="00EC1452">
        <w:t xml:space="preserve"> </w:t>
      </w:r>
      <w:r w:rsidR="00A15CCA" w:rsidRPr="00EC1452">
        <w:t xml:space="preserve">related studies were performed according to </w:t>
      </w:r>
      <w:r w:rsidR="00BC695D" w:rsidRPr="00EC1452">
        <w:t>Good Laboratory Practice</w:t>
      </w:r>
      <w:r w:rsidR="00A15CCA" w:rsidRPr="00EC1452">
        <w:t>.</w:t>
      </w:r>
      <w:r w:rsidR="00267EE6">
        <w:rPr>
          <w:rStyle w:val="FootnoteReference"/>
        </w:rPr>
        <w:footnoteReference w:id="9"/>
      </w:r>
    </w:p>
    <w:p w14:paraId="073BDC7C" w14:textId="32263917" w:rsidR="00A15CCA" w:rsidRPr="00EC1452" w:rsidRDefault="00A15CCA" w:rsidP="00EC1452">
      <w:r w:rsidRPr="00EC1452">
        <w:t xml:space="preserve">No pharmacology studies with the triple combination were submitted. This is acceptable, with the use of these </w:t>
      </w:r>
      <w:proofErr w:type="gramStart"/>
      <w:r w:rsidRPr="00EC1452">
        <w:t>particular agents</w:t>
      </w:r>
      <w:proofErr w:type="gramEnd"/>
      <w:r w:rsidRPr="00EC1452">
        <w:t xml:space="preserve"> in the treatment of COPD, and the combination of pharmacological classes, not novel.</w:t>
      </w:r>
    </w:p>
    <w:p w14:paraId="1E8647B5" w14:textId="7A46C99A" w:rsidR="00A15CCA" w:rsidRPr="00EC1452" w:rsidRDefault="00A15CCA" w:rsidP="00EC1452">
      <w:r w:rsidRPr="00EC1452">
        <w:t>The three agents are metabolised by distinct pathways, and no obvious or meaningful pharmacokinetic</w:t>
      </w:r>
      <w:r w:rsidR="00163790">
        <w:t xml:space="preserve"> (PK)</w:t>
      </w:r>
      <w:r w:rsidRPr="00EC1452">
        <w:t xml:space="preserve"> interaction was apparent in rats or dogs, nor reported to occur in patients.</w:t>
      </w:r>
    </w:p>
    <w:p w14:paraId="2079A93F" w14:textId="7629536E" w:rsidR="00A15CCA" w:rsidRPr="00EC1452" w:rsidRDefault="00A15CCA" w:rsidP="00EC1452">
      <w:r w:rsidRPr="00EC1452">
        <w:t>Repeat</w:t>
      </w:r>
      <w:r w:rsidR="001579B2">
        <w:t xml:space="preserve"> </w:t>
      </w:r>
      <w:r w:rsidRPr="00EC1452">
        <w:t xml:space="preserve">dose toxicity study with the triple combination by the inhalational route comprising a pivotal </w:t>
      </w:r>
      <w:r w:rsidR="00211D6F" w:rsidRPr="00EC1452">
        <w:t>three-month</w:t>
      </w:r>
      <w:r w:rsidRPr="00EC1452">
        <w:t xml:space="preserve"> study in dogs and shorter (</w:t>
      </w:r>
      <w:r w:rsidR="00C845CA" w:rsidRPr="00EC1452">
        <w:t>two</w:t>
      </w:r>
      <w:r w:rsidR="00211D6F" w:rsidRPr="00EC1452">
        <w:t>-</w:t>
      </w:r>
      <w:r w:rsidRPr="00EC1452">
        <w:t>week) studies in rats and dogs</w:t>
      </w:r>
      <w:r w:rsidR="00211D6F" w:rsidRPr="00EC1452">
        <w:t>, and it</w:t>
      </w:r>
      <w:r w:rsidRPr="00EC1452">
        <w:t xml:space="preserve"> revealed no novel or notable exacerbation of toxicity.</w:t>
      </w:r>
    </w:p>
    <w:p w14:paraId="765E9C17" w14:textId="2A72A39D" w:rsidR="00A15CCA" w:rsidRPr="00EC1452" w:rsidRDefault="00A15CCA" w:rsidP="00EC1452">
      <w:r w:rsidRPr="00EC1452">
        <w:t>A newly submitted carcinogenicity study with (single</w:t>
      </w:r>
      <w:r w:rsidR="00885D95" w:rsidRPr="00EC1452">
        <w:t xml:space="preserve"> </w:t>
      </w:r>
      <w:r w:rsidRPr="00EC1452">
        <w:t xml:space="preserve">agent) glycopyrronium bromide, involving inhalational administration to mice for </w:t>
      </w:r>
      <w:r w:rsidR="00885D95" w:rsidRPr="00EC1452">
        <w:t xml:space="preserve">two </w:t>
      </w:r>
      <w:r w:rsidRPr="00EC1452">
        <w:t>years at doses up to 1440</w:t>
      </w:r>
      <w:r w:rsidR="001579B2">
        <w:t> </w:t>
      </w:r>
      <w:proofErr w:type="spellStart"/>
      <w:r w:rsidR="00522100" w:rsidRPr="004621FA">
        <w:t>μ</w:t>
      </w:r>
      <w:r w:rsidRPr="00EC1452">
        <w:t>g</w:t>
      </w:r>
      <w:proofErr w:type="spellEnd"/>
      <w:r w:rsidRPr="00EC1452">
        <w:t xml:space="preserve">/kg/day, showed no </w:t>
      </w:r>
      <w:r w:rsidR="00211D6F" w:rsidRPr="00EC1452">
        <w:t>tumorigenicity</w:t>
      </w:r>
      <w:r w:rsidRPr="00EC1452">
        <w:t xml:space="preserve">, </w:t>
      </w:r>
      <w:r w:rsidR="00211D6F" w:rsidRPr="00EC1452">
        <w:t xml:space="preserve">was </w:t>
      </w:r>
      <w:r w:rsidRPr="00EC1452">
        <w:t>consistent with numerous existing studies.</w:t>
      </w:r>
    </w:p>
    <w:p w14:paraId="26972621" w14:textId="3805A3C2" w:rsidR="00A15CCA" w:rsidRPr="00EC1452" w:rsidRDefault="00A15CCA" w:rsidP="00EC1452">
      <w:r w:rsidRPr="00EC1452">
        <w:t>No adverse effects on reproduction or development were observed for the excipient distearoylphosphatidylcholine in a set of newly submitted studies.</w:t>
      </w:r>
    </w:p>
    <w:p w14:paraId="0F9E7890" w14:textId="4B68166E" w:rsidR="00A15CCA" w:rsidRPr="00EC1452" w:rsidRDefault="00A15CCA" w:rsidP="00EC1452">
      <w:r w:rsidRPr="00EC1452">
        <w:lastRenderedPageBreak/>
        <w:t>Pregnancy Category B3,</w:t>
      </w:r>
      <w:r w:rsidR="00211D6F" w:rsidRPr="001B08C3">
        <w:rPr>
          <w:vertAlign w:val="superscript"/>
        </w:rPr>
        <w:footnoteReference w:id="10"/>
      </w:r>
      <w:r w:rsidRPr="00EC1452">
        <w:t xml:space="preserve"> as proposed by the sponsor, is considered appropriate.</w:t>
      </w:r>
    </w:p>
    <w:p w14:paraId="4D83E51C" w14:textId="4582BB7E" w:rsidR="00A15CCA" w:rsidRPr="00EC1452" w:rsidRDefault="00A15CCA" w:rsidP="00EC1452">
      <w:r w:rsidRPr="00EC1452">
        <w:t xml:space="preserve">There are no nonclinical objections to the registration of </w:t>
      </w:r>
      <w:r w:rsidR="00417284" w:rsidRPr="00EC1452">
        <w:t>Breztri Aerosphere</w:t>
      </w:r>
      <w:r w:rsidRPr="00EC1452">
        <w:t>.</w:t>
      </w:r>
    </w:p>
    <w:p w14:paraId="48D312D8" w14:textId="77777777" w:rsidR="008E7846" w:rsidRDefault="008E7846" w:rsidP="008E7846">
      <w:pPr>
        <w:pStyle w:val="Heading3"/>
      </w:pPr>
      <w:bookmarkStart w:id="51" w:name="_Toc247691530"/>
      <w:bookmarkStart w:id="52" w:name="_Toc314842513"/>
      <w:bookmarkStart w:id="53" w:name="_Toc101345658"/>
      <w:r>
        <w:t>Clinical</w:t>
      </w:r>
      <w:bookmarkEnd w:id="51"/>
      <w:bookmarkEnd w:id="52"/>
      <w:bookmarkEnd w:id="53"/>
    </w:p>
    <w:p w14:paraId="0E804E4C" w14:textId="66339B71" w:rsidR="00163790" w:rsidRDefault="00163790" w:rsidP="00163790">
      <w:bookmarkStart w:id="54" w:name="_Toc314842514"/>
      <w:r>
        <w:t>The clinical dossier consisted of the following studies:</w:t>
      </w:r>
    </w:p>
    <w:p w14:paraId="6B48679D" w14:textId="269A446D" w:rsidR="00163790" w:rsidRDefault="002E79D3" w:rsidP="00163790">
      <w:pPr>
        <w:pStyle w:val="ListBullet"/>
      </w:pPr>
      <w:r>
        <w:t>P</w:t>
      </w:r>
      <w:r w:rsidR="00163790">
        <w:t>harmacokinetic (PK) and pharmacodynamic (PD) studies</w:t>
      </w:r>
    </w:p>
    <w:p w14:paraId="53BBE01B" w14:textId="073FDD99" w:rsidR="00163790" w:rsidRDefault="00163790" w:rsidP="00163790">
      <w:pPr>
        <w:pStyle w:val="ListBullet2"/>
      </w:pPr>
      <w:r>
        <w:t xml:space="preserve">Six </w:t>
      </w:r>
      <w:r w:rsidR="00E5608B">
        <w:t xml:space="preserve">Phase I </w:t>
      </w:r>
      <w:r>
        <w:t>PK studies</w:t>
      </w:r>
      <w:r w:rsidR="00E5608B">
        <w:t xml:space="preserve">: </w:t>
      </w:r>
      <w:r>
        <w:t xml:space="preserve">five in volunteers (Studies PT010001, PT010002, PT010003, PT010010 and PT010011) and one </w:t>
      </w:r>
      <w:r w:rsidR="002E79D3">
        <w:t xml:space="preserve">study </w:t>
      </w:r>
      <w:r>
        <w:t>in COPD patients (Study</w:t>
      </w:r>
      <w:r w:rsidR="002E79D3">
        <w:t> </w:t>
      </w:r>
      <w:r>
        <w:t>PT010018)</w:t>
      </w:r>
    </w:p>
    <w:p w14:paraId="69913F34" w14:textId="11A8423F" w:rsidR="00163790" w:rsidRDefault="00163790" w:rsidP="00163790">
      <w:pPr>
        <w:pStyle w:val="ListBullet2"/>
      </w:pPr>
      <w:r>
        <w:t xml:space="preserve">A </w:t>
      </w:r>
      <w:r w:rsidR="00E5608B" w:rsidRPr="00E5608B">
        <w:t xml:space="preserve">Phase I </w:t>
      </w:r>
      <w:r>
        <w:t>study of pulmonary deposition: Study D5980C00007</w:t>
      </w:r>
    </w:p>
    <w:p w14:paraId="04328E1A" w14:textId="2EC5E27E" w:rsidR="00163790" w:rsidRDefault="00163790" w:rsidP="00163790">
      <w:pPr>
        <w:pStyle w:val="ListBullet2"/>
      </w:pPr>
      <w:r>
        <w:t>A population pharmacokinetic (</w:t>
      </w:r>
      <w:proofErr w:type="spellStart"/>
      <w:r>
        <w:t>popPK</w:t>
      </w:r>
      <w:proofErr w:type="spellEnd"/>
      <w:r>
        <w:t>) analysis</w:t>
      </w:r>
      <w:r w:rsidR="00E5608B">
        <w:t xml:space="preserve"> based on Studies PT0010801, PT003006, PT003013, PT0031002, PT005003, PT0050801, PT009001, PT010006, </w:t>
      </w:r>
      <w:r w:rsidR="002E79D3">
        <w:t xml:space="preserve">and </w:t>
      </w:r>
      <w:r w:rsidR="00E5608B">
        <w:t>PT010018</w:t>
      </w:r>
      <w:r>
        <w:t>.</w:t>
      </w:r>
    </w:p>
    <w:p w14:paraId="2282379D" w14:textId="5B62872C" w:rsidR="00163790" w:rsidRDefault="00163790" w:rsidP="00163790">
      <w:pPr>
        <w:pStyle w:val="ListBullet"/>
      </w:pPr>
      <w:r>
        <w:t>efficacy and safety studies</w:t>
      </w:r>
    </w:p>
    <w:p w14:paraId="789C5667" w14:textId="08D89A55" w:rsidR="00163790" w:rsidRDefault="00163790" w:rsidP="00163790">
      <w:pPr>
        <w:pStyle w:val="ListBullet2"/>
      </w:pPr>
      <w:r>
        <w:t>Two pivotal Phase III efficacy and safety studies: Study PT010005 (</w:t>
      </w:r>
      <w:r w:rsidR="00755494">
        <w:t xml:space="preserve">also known as </w:t>
      </w:r>
      <w:r>
        <w:t>the ETHOS trial) and Study PT010006 (</w:t>
      </w:r>
      <w:r w:rsidR="00755494">
        <w:t xml:space="preserve">also known as </w:t>
      </w:r>
      <w:r>
        <w:t>the KRONOS trial)</w:t>
      </w:r>
    </w:p>
    <w:p w14:paraId="20AB9B7D" w14:textId="40F93A13" w:rsidR="00163790" w:rsidRDefault="00163790" w:rsidP="00163790">
      <w:pPr>
        <w:pStyle w:val="ListBullet2"/>
      </w:pPr>
      <w:r>
        <w:t>Two</w:t>
      </w:r>
      <w:r w:rsidR="00755494">
        <w:t xml:space="preserve"> Phase III</w:t>
      </w:r>
      <w:r>
        <w:t xml:space="preserve"> follow</w:t>
      </w:r>
      <w:r>
        <w:noBreakHyphen/>
        <w:t>on studies from Study PT010006: Studies PT010007 and PT010008.</w:t>
      </w:r>
    </w:p>
    <w:p w14:paraId="6AEFA271" w14:textId="6D38911B" w:rsidR="002D6E96" w:rsidRDefault="002D6E96" w:rsidP="002D6E96">
      <w:r>
        <w:t xml:space="preserve">The dossier represented a full development program for </w:t>
      </w:r>
      <w:r w:rsidR="00E5277F">
        <w:t xml:space="preserve">Breztri Aerosphere </w:t>
      </w:r>
      <w:r w:rsidR="00DD4451">
        <w:t>b</w:t>
      </w:r>
      <w:r w:rsidR="00DD4451" w:rsidRPr="00DD4451">
        <w:t xml:space="preserve">udesonide / glycopyrronium / formoterol fumarate </w:t>
      </w:r>
      <w:r w:rsidR="00DD4451">
        <w:t>(BGF) </w:t>
      </w:r>
      <w:r w:rsidR="0005166F" w:rsidRPr="0005166F">
        <w:t>160</w:t>
      </w:r>
      <w:r w:rsidR="00DD4451">
        <w:t>/</w:t>
      </w:r>
      <w:r w:rsidR="0005166F" w:rsidRPr="0005166F">
        <w:t>7.2</w:t>
      </w:r>
      <w:r w:rsidR="00DD4451">
        <w:t>/</w:t>
      </w:r>
      <w:r w:rsidR="0005166F" w:rsidRPr="0005166F">
        <w:t>5</w:t>
      </w:r>
      <w:r w:rsidR="00B7474A">
        <w:t> </w:t>
      </w:r>
      <w:r w:rsidR="0005166F" w:rsidRPr="0005166F">
        <w:t>µg</w:t>
      </w:r>
      <w:r w:rsidR="0005166F">
        <w:t>.</w:t>
      </w:r>
      <w:r>
        <w:t xml:space="preserve"> There are no paediatric data due to the nature of the indication</w:t>
      </w:r>
      <w:r w:rsidR="00163790">
        <w:t xml:space="preserve"> and </w:t>
      </w:r>
      <w:r>
        <w:t xml:space="preserve">disease. The three active </w:t>
      </w:r>
      <w:r w:rsidR="0005166F">
        <w:t xml:space="preserve">ingredients </w:t>
      </w:r>
      <w:r>
        <w:t xml:space="preserve">are all currently registered in Australia, either individually or in other combination products. Hence, with respect to the </w:t>
      </w:r>
      <w:proofErr w:type="gramStart"/>
      <w:r>
        <w:t>aforementioned settings</w:t>
      </w:r>
      <w:proofErr w:type="gramEnd"/>
      <w:r>
        <w:t xml:space="preserve">, their efficacy, safety, PK, and PD profile have been previously characterised. This dossier focussed on the profile of </w:t>
      </w:r>
      <w:r w:rsidR="00DD4451">
        <w:t>f</w:t>
      </w:r>
      <w:r w:rsidR="00DD4451" w:rsidRPr="00896B84">
        <w:t>ixed</w:t>
      </w:r>
      <w:r w:rsidR="00DD4451">
        <w:t xml:space="preserve"> </w:t>
      </w:r>
      <w:r w:rsidR="00DD4451" w:rsidRPr="00896B84">
        <w:t>dose combination</w:t>
      </w:r>
      <w:r w:rsidR="00DD4451">
        <w:t xml:space="preserve"> of </w:t>
      </w:r>
      <w:r>
        <w:t xml:space="preserve">BGF </w:t>
      </w:r>
      <w:r w:rsidR="00DD4451" w:rsidRPr="00DD4451">
        <w:t>metered dose inhaler</w:t>
      </w:r>
      <w:r>
        <w:t>.</w:t>
      </w:r>
    </w:p>
    <w:p w14:paraId="4E7963E6" w14:textId="6CC745AA" w:rsidR="002D6E96" w:rsidRPr="00382A5C" w:rsidRDefault="002D6E96" w:rsidP="002552DB">
      <w:pPr>
        <w:pStyle w:val="Heading4"/>
      </w:pPr>
      <w:r w:rsidRPr="00382A5C">
        <w:t>Pharmacokinetics and pharmacodynamics</w:t>
      </w:r>
    </w:p>
    <w:p w14:paraId="21FA598E" w14:textId="0094F8CF" w:rsidR="002D6E96" w:rsidRDefault="002D6E96" w:rsidP="002D6E96">
      <w:r>
        <w:t>Studies were conducted to assess the PK of budesonide,</w:t>
      </w:r>
      <w:r w:rsidR="00776580">
        <w:t xml:space="preserve"> </w:t>
      </w:r>
      <w:r>
        <w:t>glycopyrronium, and formoterol when delivered by BGF MDI.</w:t>
      </w:r>
    </w:p>
    <w:p w14:paraId="6C21AE22" w14:textId="79038C56" w:rsidR="002D6E96" w:rsidRDefault="002D6E96" w:rsidP="002552DB">
      <w:r w:rsidRPr="001B08C3">
        <w:t>Study PT010001</w:t>
      </w:r>
      <w:r w:rsidR="00EC1452">
        <w:t xml:space="preserve"> is a </w:t>
      </w:r>
      <w:r>
        <w:t xml:space="preserve">Phase </w:t>
      </w:r>
      <w:r w:rsidR="001F3369">
        <w:t>I</w:t>
      </w:r>
      <w:r>
        <w:t>, single</w:t>
      </w:r>
      <w:r w:rsidR="001F3369">
        <w:t xml:space="preserve"> </w:t>
      </w:r>
      <w:r>
        <w:t>centre, double</w:t>
      </w:r>
      <w:r w:rsidR="001F3369">
        <w:t xml:space="preserve"> </w:t>
      </w:r>
      <w:r>
        <w:t>blind (within device), single dose, four</w:t>
      </w:r>
      <w:r w:rsidR="00412392">
        <w:t xml:space="preserve"> </w:t>
      </w:r>
      <w:r>
        <w:t>period, six treatment crossover study evaluating the safety and PK of three doses of BGF, one dose of</w:t>
      </w:r>
      <w:r w:rsidR="00DF7718">
        <w:t xml:space="preserve"> </w:t>
      </w:r>
      <w:r w:rsidR="00DF7718" w:rsidRPr="00DF7718">
        <w:t>Budesonide</w:t>
      </w:r>
      <w:r w:rsidR="00255519">
        <w:t xml:space="preserve"> /</w:t>
      </w:r>
      <w:r w:rsidR="00DF7718" w:rsidRPr="00DF7718">
        <w:t xml:space="preserve"> formoterol fumarate</w:t>
      </w:r>
      <w:r>
        <w:t>, and two doses of budesonide aerosol in 84</w:t>
      </w:r>
      <w:r w:rsidR="000228F7">
        <w:t> </w:t>
      </w:r>
      <w:r>
        <w:t>healthy volunteers in November and December 2013.</w:t>
      </w:r>
      <w:r w:rsidR="00627E06">
        <w:t xml:space="preserve"> </w:t>
      </w:r>
      <w:r>
        <w:t>The study demonstrated dose proportionality for budesonide (with slight increase in exposure when combined with glycopyrronium). It demonstrated bioequivalence for glycopyrronium and budesonide, but not for formoterol (BGF with approx</w:t>
      </w:r>
      <w:r w:rsidR="000228F7">
        <w:t>imately</w:t>
      </w:r>
      <w:r>
        <w:t xml:space="preserve"> 35% higher </w:t>
      </w:r>
      <w:r w:rsidR="009963A2">
        <w:t>a</w:t>
      </w:r>
      <w:r w:rsidR="009963A2" w:rsidRPr="009963A2">
        <w:t xml:space="preserve">rea under the concentration time curve from time 0 to 12 hours </w:t>
      </w:r>
      <w:r w:rsidR="009963A2">
        <w:t>(</w:t>
      </w:r>
      <w:r>
        <w:t>AUC</w:t>
      </w:r>
      <w:r w:rsidRPr="001B08C3">
        <w:rPr>
          <w:vertAlign w:val="subscript"/>
        </w:rPr>
        <w:t>0-12</w:t>
      </w:r>
      <w:r w:rsidR="000228F7">
        <w:rPr>
          <w:vertAlign w:val="subscript"/>
        </w:rPr>
        <w:t>h</w:t>
      </w:r>
      <w:r w:rsidR="009963A2">
        <w:t>)</w:t>
      </w:r>
      <w:r>
        <w:t xml:space="preserve"> and 20% higher </w:t>
      </w:r>
      <w:r w:rsidR="002614CE">
        <w:t>m</w:t>
      </w:r>
      <w:r w:rsidR="002614CE" w:rsidRPr="002614CE">
        <w:t xml:space="preserve">aximum plasma concentration </w:t>
      </w:r>
      <w:r w:rsidR="002614CE">
        <w:t>(</w:t>
      </w:r>
      <w:proofErr w:type="spellStart"/>
      <w:r>
        <w:t>C</w:t>
      </w:r>
      <w:r w:rsidRPr="001B08C3">
        <w:rPr>
          <w:vertAlign w:val="subscript"/>
        </w:rPr>
        <w:t>max</w:t>
      </w:r>
      <w:proofErr w:type="spellEnd"/>
      <w:r w:rsidR="009963A2">
        <w:t>)</w:t>
      </w:r>
      <w:r>
        <w:t xml:space="preserve"> </w:t>
      </w:r>
      <w:r w:rsidR="009963A2">
        <w:t xml:space="preserve">are </w:t>
      </w:r>
      <w:r>
        <w:t>not considered clinically relevant).</w:t>
      </w:r>
    </w:p>
    <w:p w14:paraId="35CAB3BB" w14:textId="113421FB" w:rsidR="002D6E96" w:rsidRDefault="002D6E96" w:rsidP="002552DB">
      <w:r w:rsidRPr="00EC1452">
        <w:t>Study PT010002</w:t>
      </w:r>
      <w:r w:rsidR="00EC1452" w:rsidRPr="00EC1452">
        <w:t xml:space="preserve"> is a</w:t>
      </w:r>
      <w:r w:rsidR="00EC1452">
        <w:t xml:space="preserve"> </w:t>
      </w:r>
      <w:r>
        <w:t xml:space="preserve">Phase </w:t>
      </w:r>
      <w:r w:rsidR="001F3369">
        <w:t>I</w:t>
      </w:r>
      <w:r>
        <w:t>, single</w:t>
      </w:r>
      <w:r w:rsidR="001F3369">
        <w:t xml:space="preserve"> </w:t>
      </w:r>
      <w:r>
        <w:t>centre, randomised, double</w:t>
      </w:r>
      <w:r w:rsidR="001F3369">
        <w:t xml:space="preserve"> </w:t>
      </w:r>
      <w:r>
        <w:t>blind, single</w:t>
      </w:r>
      <w:r w:rsidR="001F3369">
        <w:t xml:space="preserve"> </w:t>
      </w:r>
      <w:r>
        <w:t>dose, three</w:t>
      </w:r>
      <w:r w:rsidR="00412392">
        <w:t xml:space="preserve"> </w:t>
      </w:r>
      <w:r>
        <w:t>period, three</w:t>
      </w:r>
      <w:r w:rsidR="00412392">
        <w:t xml:space="preserve"> </w:t>
      </w:r>
      <w:r>
        <w:t xml:space="preserve">treatment, crossover study to evaluate the safety and PK of single doses of </w:t>
      </w:r>
      <w:r>
        <w:lastRenderedPageBreak/>
        <w:t xml:space="preserve">BGF MDI, </w:t>
      </w:r>
      <w:r w:rsidR="006329D8">
        <w:t>b</w:t>
      </w:r>
      <w:r w:rsidR="006329D8" w:rsidRPr="006329D8">
        <w:t xml:space="preserve">udesonide / formoterol fumarate </w:t>
      </w:r>
      <w:r w:rsidR="006329D8">
        <w:t>(</w:t>
      </w:r>
      <w:r>
        <w:t>BFF</w:t>
      </w:r>
      <w:r w:rsidR="006329D8">
        <w:t>)</w:t>
      </w:r>
      <w:r>
        <w:t xml:space="preserve"> MDI and Symbicort</w:t>
      </w:r>
      <w:r w:rsidR="000521C3">
        <w:t xml:space="preserve"> </w:t>
      </w:r>
      <w:r w:rsidR="000521C3" w:rsidRPr="000521C3">
        <w:t>Turbuhaler</w:t>
      </w:r>
      <w:r>
        <w:t>,</w:t>
      </w:r>
      <w:r w:rsidR="0041185C">
        <w:rPr>
          <w:rStyle w:val="FootnoteReference"/>
        </w:rPr>
        <w:footnoteReference w:id="11"/>
      </w:r>
      <w:r>
        <w:t xml:space="preserve"> conducted in 72 healthy volunteers (aged 18 to </w:t>
      </w:r>
      <w:r w:rsidR="00734771">
        <w:t>55 years</w:t>
      </w:r>
      <w:r>
        <w:t>) from June to September 2014.</w:t>
      </w:r>
      <w:r w:rsidR="00627E06">
        <w:t xml:space="preserve"> </w:t>
      </w:r>
      <w:r>
        <w:t xml:space="preserve">The study demonstrated bioequivalence for budesonide and formoterol in the presence and absence of glycopyrronium for BGF MDI compared with BFF MDI, but there was less relative exposure in the </w:t>
      </w:r>
      <w:r w:rsidR="00DD4451">
        <w:t xml:space="preserve">Symbicort </w:t>
      </w:r>
      <w:r w:rsidR="00DD4451" w:rsidRPr="000521C3">
        <w:t>Turbuhaler</w:t>
      </w:r>
      <w:r w:rsidR="00DD4451" w:rsidDel="00DD4451">
        <w:t xml:space="preserve"> </w:t>
      </w:r>
      <w:r>
        <w:t>group.</w:t>
      </w:r>
    </w:p>
    <w:p w14:paraId="36902160" w14:textId="30E11A73" w:rsidR="002D6E96" w:rsidRDefault="002D6E96" w:rsidP="009C2634">
      <w:r w:rsidRPr="001B08C3">
        <w:t>Study PT010003</w:t>
      </w:r>
      <w:r w:rsidR="00EC1452">
        <w:t xml:space="preserve"> is a</w:t>
      </w:r>
      <w:r w:rsidRPr="00EC1452">
        <w:t xml:space="preserve"> Phase</w:t>
      </w:r>
      <w:r>
        <w:t xml:space="preserve"> </w:t>
      </w:r>
      <w:r w:rsidR="00E9082C">
        <w:t>I</w:t>
      </w:r>
      <w:r>
        <w:t>, single</w:t>
      </w:r>
      <w:r w:rsidR="00EC1452">
        <w:t xml:space="preserve"> </w:t>
      </w:r>
      <w:r>
        <w:t>centre, randomised, double</w:t>
      </w:r>
      <w:r w:rsidR="00E9082C">
        <w:t xml:space="preserve"> </w:t>
      </w:r>
      <w:r>
        <w:t>blind, placebo controlled, two</w:t>
      </w:r>
      <w:r w:rsidR="00E9082C">
        <w:t xml:space="preserve"> </w:t>
      </w:r>
      <w:r>
        <w:t xml:space="preserve">period, ascending dose, crossover study to assess the safety and PK of two doses of BGF MDI in 20 healthy adult male and female </w:t>
      </w:r>
      <w:proofErr w:type="gramStart"/>
      <w:r>
        <w:t>first</w:t>
      </w:r>
      <w:r w:rsidR="00492E1D">
        <w:t xml:space="preserve"> </w:t>
      </w:r>
      <w:r>
        <w:t>generation</w:t>
      </w:r>
      <w:proofErr w:type="gramEnd"/>
      <w:r>
        <w:t xml:space="preserve"> Japanese volunteers (aged 18 to 55 </w:t>
      </w:r>
      <w:r w:rsidR="0013498F">
        <w:t>years</w:t>
      </w:r>
      <w:r>
        <w:t>) conducted from September to October 2014.</w:t>
      </w:r>
      <w:r w:rsidR="00627E06">
        <w:t xml:space="preserve"> </w:t>
      </w:r>
      <w:r>
        <w:t xml:space="preserve">The study provided support for the budesonide dose in general and for a Japanese population. There was some accumulation of </w:t>
      </w:r>
      <w:proofErr w:type="spellStart"/>
      <w:r>
        <w:t>glycopyrronium</w:t>
      </w:r>
      <w:proofErr w:type="spellEnd"/>
      <w:r>
        <w:t xml:space="preserve"> (</w:t>
      </w:r>
      <w:r w:rsidR="00850380">
        <w:t xml:space="preserve">see </w:t>
      </w:r>
      <w:r w:rsidR="005A0A86">
        <w:fldChar w:fldCharType="begin"/>
      </w:r>
      <w:r w:rsidR="005A0A86">
        <w:instrText xml:space="preserve"> REF _Ref89956861 \h </w:instrText>
      </w:r>
      <w:r w:rsidR="005A0A86">
        <w:fldChar w:fldCharType="separate"/>
      </w:r>
      <w:r w:rsidR="00E53BA0">
        <w:t xml:space="preserve">Table </w:t>
      </w:r>
      <w:r w:rsidR="00E53BA0">
        <w:rPr>
          <w:noProof/>
        </w:rPr>
        <w:t>3</w:t>
      </w:r>
      <w:r w:rsidR="005A0A86">
        <w:fldChar w:fldCharType="end"/>
      </w:r>
      <w:r w:rsidR="00850380">
        <w:t xml:space="preserve"> below</w:t>
      </w:r>
      <w:r>
        <w:t>).</w:t>
      </w:r>
    </w:p>
    <w:p w14:paraId="75AC8AD1" w14:textId="3A3B7D17" w:rsidR="00797420" w:rsidRDefault="0050166C" w:rsidP="00977375">
      <w:pPr>
        <w:pStyle w:val="TableTitle"/>
      </w:pPr>
      <w:bookmarkStart w:id="55" w:name="_Ref89956861"/>
      <w:r>
        <w:t xml:space="preserve">Table </w:t>
      </w:r>
      <w:r w:rsidR="001108B3">
        <w:fldChar w:fldCharType="begin"/>
      </w:r>
      <w:r w:rsidR="001108B3">
        <w:instrText xml:space="preserve"> SEQ Table \* ARABIC </w:instrText>
      </w:r>
      <w:r w:rsidR="001108B3">
        <w:fldChar w:fldCharType="separate"/>
      </w:r>
      <w:r w:rsidR="00E53BA0">
        <w:rPr>
          <w:noProof/>
        </w:rPr>
        <w:t>3</w:t>
      </w:r>
      <w:r w:rsidR="001108B3">
        <w:rPr>
          <w:noProof/>
        </w:rPr>
        <w:fldChar w:fldCharType="end"/>
      </w:r>
      <w:bookmarkEnd w:id="55"/>
      <w:r>
        <w:t xml:space="preserve">: </w:t>
      </w:r>
      <w:r w:rsidR="00850380" w:rsidRPr="001B08C3">
        <w:t>Stud</w:t>
      </w:r>
      <w:r w:rsidR="00382A5C">
        <w:t>ies</w:t>
      </w:r>
      <w:r w:rsidR="00850380" w:rsidRPr="001B08C3">
        <w:t xml:space="preserve"> PT010003</w:t>
      </w:r>
      <w:r w:rsidR="00382A5C">
        <w:t xml:space="preserve">, </w:t>
      </w:r>
      <w:r w:rsidR="00382A5C" w:rsidRPr="00382A5C">
        <w:t>PT010018</w:t>
      </w:r>
      <w:r w:rsidR="00382A5C">
        <w:t xml:space="preserve"> and </w:t>
      </w:r>
      <w:r w:rsidR="00382A5C" w:rsidRPr="00382A5C">
        <w:t>PT010010</w:t>
      </w:r>
      <w:r w:rsidR="00850380">
        <w:t xml:space="preserve"> </w:t>
      </w:r>
      <w:r w:rsidRPr="0050166C">
        <w:t xml:space="preserve">Geometric </w:t>
      </w:r>
      <w:r>
        <w:t>m</w:t>
      </w:r>
      <w:r w:rsidRPr="0050166C">
        <w:t>ean (%</w:t>
      </w:r>
      <w:r w:rsidR="00382A5C">
        <w:t xml:space="preserve"> </w:t>
      </w:r>
      <w:r w:rsidR="00382A5C" w:rsidRPr="00382A5C">
        <w:t>coefficient of variation</w:t>
      </w:r>
      <w:r w:rsidRPr="0050166C">
        <w:t xml:space="preserve">) </w:t>
      </w:r>
      <w:r>
        <w:t>a</w:t>
      </w:r>
      <w:r w:rsidRPr="0050166C">
        <w:t xml:space="preserve">ccumulation </w:t>
      </w:r>
      <w:r>
        <w:t>r</w:t>
      </w:r>
      <w:r w:rsidRPr="0050166C">
        <w:t xml:space="preserve">atios for </w:t>
      </w:r>
      <w:r>
        <w:t>b</w:t>
      </w:r>
      <w:r w:rsidRPr="0050166C">
        <w:t>udesonide</w:t>
      </w:r>
      <w:r w:rsidR="00850380">
        <w:t xml:space="preserve"> /</w:t>
      </w:r>
      <w:r w:rsidRPr="0050166C">
        <w:t xml:space="preserve"> </w:t>
      </w:r>
      <w:r>
        <w:t>g</w:t>
      </w:r>
      <w:r w:rsidRPr="0050166C">
        <w:t>lycopyrronium</w:t>
      </w:r>
      <w:r w:rsidR="00850380">
        <w:t xml:space="preserve"> /</w:t>
      </w:r>
      <w:r w:rsidRPr="0050166C">
        <w:t xml:space="preserve"> </w:t>
      </w:r>
      <w:r>
        <w:t>f</w:t>
      </w:r>
      <w:r w:rsidRPr="0050166C">
        <w:t xml:space="preserve">ormoterol in </w:t>
      </w:r>
      <w:r>
        <w:t>s</w:t>
      </w:r>
      <w:r w:rsidRPr="0050166C">
        <w:t xml:space="preserve">ubjects with </w:t>
      </w:r>
      <w:r w:rsidR="00382A5C">
        <w:t>c</w:t>
      </w:r>
      <w:r w:rsidR="00382A5C" w:rsidRPr="00382A5C">
        <w:t>hronic obstructive pulmonary disease</w:t>
      </w:r>
      <w:r w:rsidR="00382A5C" w:rsidRPr="00382A5C" w:rsidDel="00382A5C">
        <w:t xml:space="preserve"> </w:t>
      </w:r>
      <w:r w:rsidRPr="0050166C">
        <w:t xml:space="preserve">and Asian </w:t>
      </w:r>
      <w:r>
        <w:t>h</w:t>
      </w:r>
      <w:r w:rsidRPr="0050166C">
        <w:t xml:space="preserve">ealthy </w:t>
      </w:r>
      <w:r>
        <w:t>v</w:t>
      </w:r>
      <w:r w:rsidRPr="0050166C">
        <w:t>olunteers</w:t>
      </w:r>
    </w:p>
    <w:p w14:paraId="6F624C89" w14:textId="28DF4E36" w:rsidR="00584B67" w:rsidRDefault="00584B67" w:rsidP="00261765">
      <w:r>
        <w:rPr>
          <w:noProof/>
          <w:lang w:val="en-GB" w:eastAsia="en-GB"/>
        </w:rPr>
        <w:drawing>
          <wp:inline distT="0" distB="0" distL="0" distR="0" wp14:anchorId="19C83434" wp14:editId="30B764CF">
            <wp:extent cx="5400040" cy="2426970"/>
            <wp:effectExtent l="0" t="0" r="0" b="0"/>
            <wp:docPr id="1" name="Picture 1" descr="Table 3: Studies PT010003, PT010018 and PT010010 Geometric mean (% coefficient of variation) accumulation ratios for budesonide / glycopyrronium / formoterol in subjects with chronic obstructive pulmonary disease and Asian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3: Studies PT010003, PT010018 and PT010010 Geometric mean (% coefficient of variation) accumulation ratios for budesonide / glycopyrronium / formoterol in subjects with chronic obstructive pulmonary disease and Asian healthy volunteers"/>
                    <pic:cNvPicPr/>
                  </pic:nvPicPr>
                  <pic:blipFill>
                    <a:blip r:embed="rId24">
                      <a:extLst>
                        <a:ext uri="{28A0092B-C50C-407E-A947-70E740481C1C}">
                          <a14:useLocalDpi xmlns:a14="http://schemas.microsoft.com/office/drawing/2010/main" val="0"/>
                        </a:ext>
                      </a:extLst>
                    </a:blip>
                    <a:stretch>
                      <a:fillRect/>
                    </a:stretch>
                  </pic:blipFill>
                  <pic:spPr>
                    <a:xfrm>
                      <a:off x="0" y="0"/>
                      <a:ext cx="5400040" cy="2426970"/>
                    </a:xfrm>
                    <a:prstGeom prst="rect">
                      <a:avLst/>
                    </a:prstGeom>
                  </pic:spPr>
                </pic:pic>
              </a:graphicData>
            </a:graphic>
          </wp:inline>
        </w:drawing>
      </w:r>
    </w:p>
    <w:p w14:paraId="2382CD1C" w14:textId="1840CD06" w:rsidR="004E03C1" w:rsidRDefault="00850380">
      <w:pPr>
        <w:pStyle w:val="TableDescription"/>
      </w:pPr>
      <w:r>
        <w:t>AUC</w:t>
      </w:r>
      <w:r w:rsidRPr="001B08C3">
        <w:rPr>
          <w:vertAlign w:val="subscript"/>
        </w:rPr>
        <w:t>0-12</w:t>
      </w:r>
      <w:r w:rsidR="0044736B" w:rsidRPr="002552DB">
        <w:t xml:space="preserve"> =</w:t>
      </w:r>
      <w:r>
        <w:t xml:space="preserve"> a</w:t>
      </w:r>
      <w:r w:rsidRPr="00DA3FBA">
        <w:t>rea under the concentration time curve from time 0 to 12 hours</w:t>
      </w:r>
      <w:r>
        <w:t>; BGF = b</w:t>
      </w:r>
      <w:r w:rsidRPr="004E03C1">
        <w:t>udesonide</w:t>
      </w:r>
      <w:r>
        <w:t xml:space="preserve"> / </w:t>
      </w:r>
      <w:r w:rsidRPr="004E03C1">
        <w:t xml:space="preserve">glycopyrronium </w:t>
      </w:r>
      <w:r>
        <w:t xml:space="preserve">/ </w:t>
      </w:r>
      <w:r w:rsidRPr="004E03C1">
        <w:t>formoterol fumarate</w:t>
      </w:r>
      <w:r w:rsidR="00FE30D2">
        <w:t>;</w:t>
      </w:r>
      <w:r>
        <w:t xml:space="preserve"> </w:t>
      </w:r>
      <w:proofErr w:type="spellStart"/>
      <w:r>
        <w:t>C</w:t>
      </w:r>
      <w:r w:rsidRPr="001B08C3">
        <w:rPr>
          <w:vertAlign w:val="subscript"/>
        </w:rPr>
        <w:t>max</w:t>
      </w:r>
      <w:proofErr w:type="spellEnd"/>
      <w:r>
        <w:t>:</w:t>
      </w:r>
      <w:r w:rsidRPr="00DA3FBA">
        <w:t xml:space="preserve"> </w:t>
      </w:r>
      <w:r>
        <w:t>m</w:t>
      </w:r>
      <w:r w:rsidRPr="00DA3FBA">
        <w:t>aximum plasma concentration</w:t>
      </w:r>
      <w:r>
        <w:t xml:space="preserve">; </w:t>
      </w:r>
      <w:r w:rsidR="00AB1D69">
        <w:t>COPD</w:t>
      </w:r>
      <w:r>
        <w:t xml:space="preserve"> =</w:t>
      </w:r>
      <w:r w:rsidR="00AB1D69">
        <w:t xml:space="preserve"> c</w:t>
      </w:r>
      <w:r w:rsidR="00AB1D69" w:rsidRPr="00AB1D69">
        <w:t>hronic obstructive pulmonary disease</w:t>
      </w:r>
      <w:r>
        <w:t xml:space="preserve">; </w:t>
      </w:r>
      <w:r w:rsidR="001F448C">
        <w:t>HV</w:t>
      </w:r>
      <w:r>
        <w:t xml:space="preserve"> =</w:t>
      </w:r>
      <w:r w:rsidR="001F448C">
        <w:t xml:space="preserve"> </w:t>
      </w:r>
      <w:r w:rsidR="00C424D8">
        <w:t>healthy volunteer</w:t>
      </w:r>
      <w:r>
        <w:t xml:space="preserve">; </w:t>
      </w:r>
      <w:r w:rsidR="004E03C1">
        <w:t>MDI: metered dose inhaler</w:t>
      </w:r>
      <w:r>
        <w:t>;</w:t>
      </w:r>
      <w:r w:rsidR="004E03C1">
        <w:t xml:space="preserve"> </w:t>
      </w:r>
      <w:proofErr w:type="spellStart"/>
      <w:r>
        <w:t>R</w:t>
      </w:r>
      <w:r w:rsidRPr="00BA64C1">
        <w:rPr>
          <w:vertAlign w:val="subscript"/>
        </w:rPr>
        <w:t>ac</w:t>
      </w:r>
      <w:proofErr w:type="spellEnd"/>
      <w:r w:rsidRPr="001B08C3">
        <w:t xml:space="preserve"> </w:t>
      </w:r>
      <w:r>
        <w:rPr>
          <w:vertAlign w:val="subscript"/>
        </w:rPr>
        <w:t>=</w:t>
      </w:r>
      <w:r>
        <w:t xml:space="preserve"> accumulation ratio.</w:t>
      </w:r>
    </w:p>
    <w:p w14:paraId="106FD271" w14:textId="34BF226C" w:rsidR="00E5277F" w:rsidRDefault="00E5277F" w:rsidP="009C2634">
      <w:r w:rsidRPr="001B08C3">
        <w:t>Study PT010010</w:t>
      </w:r>
      <w:r w:rsidR="00EC1452">
        <w:t xml:space="preserve"> is a</w:t>
      </w:r>
      <w:r>
        <w:t xml:space="preserve"> Phase </w:t>
      </w:r>
      <w:r w:rsidR="00DC09C6">
        <w:t>I</w:t>
      </w:r>
      <w:r>
        <w:t>, single</w:t>
      </w:r>
      <w:r w:rsidR="00EC1452">
        <w:t xml:space="preserve"> </w:t>
      </w:r>
      <w:r>
        <w:t>centre, randomised, double</w:t>
      </w:r>
      <w:r w:rsidR="00DC09C6">
        <w:t xml:space="preserve"> </w:t>
      </w:r>
      <w:r>
        <w:t>blind, parallel group study to assess the PK and safety of two doses of BGF MDI and a single dose of BFF MDI in 96</w:t>
      </w:r>
      <w:r w:rsidR="000228F7">
        <w:t> </w:t>
      </w:r>
      <w:r>
        <w:t xml:space="preserve">healthy Chinese adult volunteers (aged 18 to </w:t>
      </w:r>
      <w:r w:rsidR="0003281E">
        <w:t>45 years</w:t>
      </w:r>
      <w:r>
        <w:t>) following a single administration and after twice daily administration for 7 days. The study was conducted from April to September 2017.</w:t>
      </w:r>
      <w:r w:rsidR="00627E06">
        <w:t xml:space="preserve"> </w:t>
      </w:r>
      <w:r>
        <w:t>There was some accumulation of glycopyrronium and formoterol over the 7 days (</w:t>
      </w:r>
      <w:r w:rsidR="00627E06">
        <w:t xml:space="preserve">see </w:t>
      </w:r>
      <w:r w:rsidR="008068F2">
        <w:fldChar w:fldCharType="begin"/>
      </w:r>
      <w:r w:rsidR="008068F2">
        <w:instrText xml:space="preserve"> REF _Ref89956861 \h </w:instrText>
      </w:r>
      <w:r w:rsidR="008068F2">
        <w:fldChar w:fldCharType="separate"/>
      </w:r>
      <w:r w:rsidR="00E53BA0">
        <w:t xml:space="preserve">Table </w:t>
      </w:r>
      <w:r w:rsidR="00E53BA0">
        <w:rPr>
          <w:noProof/>
        </w:rPr>
        <w:t>3</w:t>
      </w:r>
      <w:r w:rsidR="008068F2">
        <w:fldChar w:fldCharType="end"/>
      </w:r>
      <w:r w:rsidR="00627E06">
        <w:t xml:space="preserve"> above</w:t>
      </w:r>
      <w:r>
        <w:t>), but no effect of budesonide on glycopyrronium or formoterol exposure.</w:t>
      </w:r>
    </w:p>
    <w:p w14:paraId="0247A05F" w14:textId="2B9C0CFE" w:rsidR="00E5277F" w:rsidRDefault="00E5277F" w:rsidP="002552DB">
      <w:r w:rsidRPr="001B08C3">
        <w:t>Study PT010011</w:t>
      </w:r>
      <w:r w:rsidR="00EC1452" w:rsidRPr="001B08C3">
        <w:t xml:space="preserve"> is</w:t>
      </w:r>
      <w:r w:rsidR="00DC09C6">
        <w:t xml:space="preserve"> a</w:t>
      </w:r>
      <w:r w:rsidR="00EC1452">
        <w:rPr>
          <w:i/>
          <w:iCs/>
        </w:rPr>
        <w:t xml:space="preserve"> </w:t>
      </w:r>
      <w:r>
        <w:t xml:space="preserve">Phase </w:t>
      </w:r>
      <w:r w:rsidR="00EC1452">
        <w:t>I</w:t>
      </w:r>
      <w:r>
        <w:t>, single</w:t>
      </w:r>
      <w:r w:rsidR="00EC1452">
        <w:t xml:space="preserve"> </w:t>
      </w:r>
      <w:r>
        <w:t>centre, randomised, open</w:t>
      </w:r>
      <w:r w:rsidR="00EC1452">
        <w:t xml:space="preserve"> </w:t>
      </w:r>
      <w:r>
        <w:t>label, single dose, four</w:t>
      </w:r>
      <w:r w:rsidR="00627E06">
        <w:t xml:space="preserve"> </w:t>
      </w:r>
      <w:r>
        <w:t>period, four</w:t>
      </w:r>
      <w:r w:rsidR="00627E06">
        <w:t xml:space="preserve"> </w:t>
      </w:r>
      <w:r>
        <w:t>regimen, crossover study in healthy adult male or female volunteers (aged 18</w:t>
      </w:r>
      <w:r w:rsidR="00627E06">
        <w:t> </w:t>
      </w:r>
      <w:r>
        <w:t xml:space="preserve">to </w:t>
      </w:r>
      <w:r w:rsidR="00B905F1">
        <w:t>40 years</w:t>
      </w:r>
      <w:r>
        <w:t>) to assess the relative bioavailability of BGF MDI (320/28.8/9.6</w:t>
      </w:r>
      <w:r w:rsidR="00627E06">
        <w:t> </w:t>
      </w:r>
      <w:r w:rsidR="00627E06" w:rsidRPr="00407F30">
        <w:t>µ</w:t>
      </w:r>
      <w:r>
        <w:t>g) with and without a spacer, and with and without oral charcoal. The study was conducted in the US</w:t>
      </w:r>
      <w:r w:rsidR="000228F7">
        <w:t>A</w:t>
      </w:r>
      <w:r>
        <w:t xml:space="preserve"> from October to December 2017.</w:t>
      </w:r>
      <w:r w:rsidR="00627E06">
        <w:t xml:space="preserve"> </w:t>
      </w:r>
      <w:r>
        <w:t>Exposure to all three drugs was increased in the presence of a spacer device and decreased in the presence of charcoal. The study demonstrated better drug delivery to the respiratory tract, and less to the oropharynx, when used with a spacer device.</w:t>
      </w:r>
    </w:p>
    <w:p w14:paraId="7BCA1180" w14:textId="622FBC29" w:rsidR="00E5277F" w:rsidRDefault="00E5277F" w:rsidP="009C2634">
      <w:r w:rsidRPr="001B08C3">
        <w:lastRenderedPageBreak/>
        <w:t>Study PT010018</w:t>
      </w:r>
      <w:r w:rsidR="00EC1452" w:rsidRPr="00EC1452">
        <w:t xml:space="preserve"> is</w:t>
      </w:r>
      <w:r w:rsidR="00EC1452">
        <w:t xml:space="preserve"> a </w:t>
      </w:r>
      <w:r>
        <w:t xml:space="preserve">Phase </w:t>
      </w:r>
      <w:r w:rsidR="00EC1452">
        <w:t>I</w:t>
      </w:r>
      <w:r>
        <w:t>, single</w:t>
      </w:r>
      <w:r w:rsidR="005B7A3C">
        <w:t xml:space="preserve"> </w:t>
      </w:r>
      <w:r>
        <w:t>centre, open</w:t>
      </w:r>
      <w:r w:rsidR="005B7A3C">
        <w:t xml:space="preserve"> </w:t>
      </w:r>
      <w:r>
        <w:t xml:space="preserve">label study to assess the PK and safety of BGF MDI (320/14.4/9.6 </w:t>
      </w:r>
      <w:proofErr w:type="spellStart"/>
      <w:r w:rsidR="00522100" w:rsidRPr="002552DB">
        <w:t>μ</w:t>
      </w:r>
      <w:r w:rsidRPr="00864779">
        <w:t>g</w:t>
      </w:r>
      <w:proofErr w:type="spellEnd"/>
      <w:r>
        <w:t>) after single and after chronic administration for 7 days in 30</w:t>
      </w:r>
      <w:r w:rsidR="000228F7">
        <w:t> </w:t>
      </w:r>
      <w:r>
        <w:t xml:space="preserve">male or female adult patients (aged 40 to </w:t>
      </w:r>
      <w:r w:rsidR="003241EB">
        <w:t>80 years</w:t>
      </w:r>
      <w:r>
        <w:t>) with moderate to severe COPD. The study was conducted from August to December 2017.</w:t>
      </w:r>
      <w:r w:rsidR="00627E06">
        <w:t xml:space="preserve"> </w:t>
      </w:r>
      <w:r>
        <w:t xml:space="preserve">The study did not indicate significant accumulation of budesonide, but some accumulation of formoterol and </w:t>
      </w:r>
      <w:proofErr w:type="spellStart"/>
      <w:r>
        <w:t>glycopyrronium</w:t>
      </w:r>
      <w:proofErr w:type="spellEnd"/>
      <w:r>
        <w:t xml:space="preserve"> (</w:t>
      </w:r>
      <w:r w:rsidR="00627E06">
        <w:t xml:space="preserve">see </w:t>
      </w:r>
      <w:r w:rsidR="008068F2">
        <w:fldChar w:fldCharType="begin"/>
      </w:r>
      <w:r w:rsidR="008068F2">
        <w:instrText xml:space="preserve"> REF _Ref89956861 \h </w:instrText>
      </w:r>
      <w:r w:rsidR="008068F2">
        <w:fldChar w:fldCharType="separate"/>
      </w:r>
      <w:r w:rsidR="00E53BA0">
        <w:t xml:space="preserve">Table </w:t>
      </w:r>
      <w:r w:rsidR="00E53BA0">
        <w:rPr>
          <w:noProof/>
        </w:rPr>
        <w:t>3</w:t>
      </w:r>
      <w:r w:rsidR="008068F2">
        <w:fldChar w:fldCharType="end"/>
      </w:r>
      <w:r w:rsidR="00627E06">
        <w:t xml:space="preserve"> above</w:t>
      </w:r>
      <w:r>
        <w:t>).</w:t>
      </w:r>
    </w:p>
    <w:p w14:paraId="4988153E" w14:textId="2805D83E" w:rsidR="00E5277F" w:rsidRDefault="00E5277F" w:rsidP="002552DB">
      <w:r w:rsidRPr="001B08C3">
        <w:t>Study D5980C00007</w:t>
      </w:r>
      <w:r w:rsidR="00EC1452">
        <w:t xml:space="preserve"> is a</w:t>
      </w:r>
      <w:r w:rsidR="009E43B8" w:rsidRPr="00EC1452">
        <w:t xml:space="preserve"> </w:t>
      </w:r>
      <w:r w:rsidR="00E5608B" w:rsidRPr="00E5608B">
        <w:t xml:space="preserve">Phase I </w:t>
      </w:r>
      <w:r w:rsidRPr="00EC1452">
        <w:t>single</w:t>
      </w:r>
      <w:r w:rsidR="00EC1452">
        <w:t xml:space="preserve"> </w:t>
      </w:r>
      <w:r>
        <w:t xml:space="preserve">centre, randomised, </w:t>
      </w:r>
      <w:r w:rsidR="00627E06">
        <w:t xml:space="preserve">two </w:t>
      </w:r>
      <w:r>
        <w:t>period, single</w:t>
      </w:r>
      <w:r w:rsidR="00DC09C6">
        <w:t xml:space="preserve"> </w:t>
      </w:r>
      <w:r>
        <w:t xml:space="preserve">dose, crossover study to assess the pulmonary deposition of radiolabelled </w:t>
      </w:r>
      <w:r w:rsidR="003042F0">
        <w:t>BGF</w:t>
      </w:r>
      <w:r w:rsidR="001579B2" w:rsidDel="001579B2">
        <w:t xml:space="preserve"> </w:t>
      </w:r>
      <w:r>
        <w:t xml:space="preserve">MDI after a </w:t>
      </w:r>
      <w:r w:rsidR="000228F7">
        <w:t>3 </w:t>
      </w:r>
      <w:r>
        <w:t>second and a 10</w:t>
      </w:r>
      <w:r w:rsidR="00A55816">
        <w:t xml:space="preserve"> </w:t>
      </w:r>
      <w:r>
        <w:t>second breath</w:t>
      </w:r>
      <w:r w:rsidR="000E69F0">
        <w:t xml:space="preserve"> </w:t>
      </w:r>
      <w:r>
        <w:t>hold in 10</w:t>
      </w:r>
      <w:r w:rsidR="00627E06">
        <w:t> </w:t>
      </w:r>
      <w:r>
        <w:t>healthy male adults (aged 28 to 50 years, ≥</w:t>
      </w:r>
      <w:r w:rsidR="000228F7">
        <w:t> </w:t>
      </w:r>
      <w:r>
        <w:t>50</w:t>
      </w:r>
      <w:r w:rsidR="000228F7">
        <w:t> </w:t>
      </w:r>
      <w:r>
        <w:t xml:space="preserve">kg and with a </w:t>
      </w:r>
      <w:r w:rsidR="00377B1D">
        <w:t>body mass index</w:t>
      </w:r>
      <w:r>
        <w:t xml:space="preserve"> of 18 to 30 kg/m</w:t>
      </w:r>
      <w:r w:rsidRPr="001B08C3">
        <w:rPr>
          <w:vertAlign w:val="superscript"/>
        </w:rPr>
        <w:t>2</w:t>
      </w:r>
      <w:r>
        <w:t xml:space="preserve">) conducted in the </w:t>
      </w:r>
      <w:r w:rsidR="00E9082C">
        <w:t>U</w:t>
      </w:r>
      <w:r w:rsidR="00C96D5F">
        <w:t xml:space="preserve">nited </w:t>
      </w:r>
      <w:r w:rsidR="00E9082C">
        <w:t>K</w:t>
      </w:r>
      <w:r w:rsidR="00C96D5F">
        <w:t xml:space="preserve">ingdom </w:t>
      </w:r>
      <w:r>
        <w:t>from September to October 2018.</w:t>
      </w:r>
      <w:r w:rsidR="00627E06">
        <w:t xml:space="preserve"> </w:t>
      </w:r>
      <w:r>
        <w:t xml:space="preserve">The study demonstrated greater delivery of drug to the respiratory tract and less to the gastrointestinal tract, with a 10 second breath hold, compared to a </w:t>
      </w:r>
      <w:r w:rsidR="000228F7">
        <w:t xml:space="preserve">3 </w:t>
      </w:r>
      <w:r>
        <w:t>second breath hold. Regional airway deposition was not affected by the length of the breath hold.</w:t>
      </w:r>
    </w:p>
    <w:p w14:paraId="04A3BDCC" w14:textId="7C555B19" w:rsidR="00E5277F" w:rsidRDefault="00627E06" w:rsidP="00E5277F">
      <w:r>
        <w:t xml:space="preserve">The </w:t>
      </w:r>
      <w:r w:rsidR="00E5277F" w:rsidRPr="001B08C3">
        <w:t>PK results from efficacy Study PT010006</w:t>
      </w:r>
      <w:r w:rsidR="00EC1452">
        <w:t xml:space="preserve"> s</w:t>
      </w:r>
      <w:r w:rsidR="00C96DC6" w:rsidRPr="00EC1452">
        <w:t>howed</w:t>
      </w:r>
      <w:r w:rsidR="00C96DC6">
        <w:t xml:space="preserve"> </w:t>
      </w:r>
      <w:r w:rsidR="00E5277F">
        <w:t>a comparable, but not bioequivalent, steady</w:t>
      </w:r>
      <w:r w:rsidR="00F930A1">
        <w:t xml:space="preserve"> </w:t>
      </w:r>
      <w:r w:rsidR="00E5277F">
        <w:t>state PK profile between the with products during chronic administration in COPD patients.</w:t>
      </w:r>
    </w:p>
    <w:p w14:paraId="18B4FF86" w14:textId="765BE5DD" w:rsidR="00E5277F" w:rsidRPr="00802EF5" w:rsidRDefault="00E5277F" w:rsidP="002552DB">
      <w:pPr>
        <w:pStyle w:val="Heading5"/>
      </w:pPr>
      <w:r w:rsidRPr="00BA326D">
        <w:t xml:space="preserve">Population </w:t>
      </w:r>
      <w:r w:rsidR="00EC1452" w:rsidRPr="00BA326D">
        <w:t xml:space="preserve">pharmacokinetic </w:t>
      </w:r>
      <w:r w:rsidRPr="00802EF5">
        <w:t>data</w:t>
      </w:r>
    </w:p>
    <w:p w14:paraId="72BB64EF" w14:textId="034584FD" w:rsidR="00E5277F" w:rsidRDefault="00E5277F" w:rsidP="00E5277F">
      <w:r>
        <w:t xml:space="preserve">A </w:t>
      </w:r>
      <w:proofErr w:type="spellStart"/>
      <w:r w:rsidR="00EC1452">
        <w:t>popPK</w:t>
      </w:r>
      <w:proofErr w:type="spellEnd"/>
      <w:r w:rsidR="00EC1452">
        <w:t xml:space="preserve"> </w:t>
      </w:r>
      <w:r>
        <w:t>analysis was conducted based on Studies</w:t>
      </w:r>
      <w:r w:rsidR="00A55816">
        <w:t xml:space="preserve"> </w:t>
      </w:r>
      <w:r>
        <w:t>PT0010801, PT003006, PT003013, PT0031002, PT005003, PT0050801, PT009001, PT010006</w:t>
      </w:r>
      <w:r w:rsidR="00791DC9">
        <w:t xml:space="preserve"> and</w:t>
      </w:r>
      <w:r>
        <w:t xml:space="preserve"> PT010018 (not all investigated </w:t>
      </w:r>
      <w:r w:rsidR="003042F0">
        <w:t>BGF</w:t>
      </w:r>
      <w:r>
        <w:t>). The methodology was deemed adequate</w:t>
      </w:r>
      <w:r w:rsidR="00244AB8">
        <w:t>.</w:t>
      </w:r>
    </w:p>
    <w:p w14:paraId="1A1C19F1" w14:textId="189F7CF8" w:rsidR="00E5277F" w:rsidRDefault="00E5277F" w:rsidP="00E5277F">
      <w:r>
        <w:t xml:space="preserve">Summary of results (references to studies not investigating </w:t>
      </w:r>
      <w:r w:rsidR="003042F0">
        <w:t>BGF</w:t>
      </w:r>
      <w:r w:rsidR="001579B2" w:rsidDel="001579B2">
        <w:t xml:space="preserve"> </w:t>
      </w:r>
      <w:r>
        <w:t>were omitted):</w:t>
      </w:r>
    </w:p>
    <w:p w14:paraId="431BE26E" w14:textId="3E9128F8" w:rsidR="00E5277F" w:rsidRDefault="00E5277F" w:rsidP="00DB4F25">
      <w:pPr>
        <w:pStyle w:val="ListBullet"/>
      </w:pPr>
      <w:r>
        <w:t>Budesonide covariate effects (in the simulations, none of the covariates had a significant impact on exposure):</w:t>
      </w:r>
    </w:p>
    <w:p w14:paraId="1FCA726D" w14:textId="25563FEC" w:rsidR="00E5277F" w:rsidRDefault="00E5277F" w:rsidP="00FD3AAE">
      <w:pPr>
        <w:pStyle w:val="ListBullet2"/>
      </w:pPr>
      <w:r>
        <w:t xml:space="preserve">Body weight on </w:t>
      </w:r>
      <w:r w:rsidR="00D1603C" w:rsidRPr="00D1603C">
        <w:t>flow rate to and from shallow peripheral compartment</w:t>
      </w:r>
      <w:r w:rsidR="00D1603C">
        <w:t xml:space="preserve"> (</w:t>
      </w:r>
      <w:r>
        <w:t>Q</w:t>
      </w:r>
      <w:r w:rsidRPr="002552DB">
        <w:rPr>
          <w:vertAlign w:val="subscript"/>
        </w:rPr>
        <w:t>p1</w:t>
      </w:r>
      <w:r>
        <w:t>/F</w:t>
      </w:r>
      <w:r w:rsidR="00D1603C">
        <w:t>)</w:t>
      </w:r>
      <w:r>
        <w:t xml:space="preserve"> and </w:t>
      </w:r>
      <w:r w:rsidR="00FC4D54" w:rsidRPr="00FC4D54">
        <w:t>flow rate to and from deep peripheral compartment</w:t>
      </w:r>
      <w:r w:rsidR="00FC4D54">
        <w:t xml:space="preserve"> (</w:t>
      </w:r>
      <w:r>
        <w:t>Q</w:t>
      </w:r>
      <w:r w:rsidRPr="002552DB">
        <w:rPr>
          <w:vertAlign w:val="subscript"/>
        </w:rPr>
        <w:t>p2</w:t>
      </w:r>
      <w:r>
        <w:t>/F</w:t>
      </w:r>
      <w:r w:rsidR="00FC4D54">
        <w:t>)</w:t>
      </w:r>
      <w:r>
        <w:t xml:space="preserve"> (increasing with increasing body weight)</w:t>
      </w:r>
    </w:p>
    <w:p w14:paraId="3494789E" w14:textId="04EDE62B" w:rsidR="00E5277F" w:rsidRDefault="00E5277F" w:rsidP="00FD3AAE">
      <w:pPr>
        <w:pStyle w:val="ListBullet2"/>
      </w:pPr>
      <w:r>
        <w:t xml:space="preserve">Age on </w:t>
      </w:r>
      <w:r w:rsidR="001B45CD">
        <w:t>a</w:t>
      </w:r>
      <w:r w:rsidR="001B45CD" w:rsidRPr="001B45CD">
        <w:t xml:space="preserve">pparent clearance </w:t>
      </w:r>
      <w:r w:rsidR="001B45CD">
        <w:t>(</w:t>
      </w:r>
      <w:r>
        <w:t>CL/F</w:t>
      </w:r>
      <w:r w:rsidR="001B45CD">
        <w:t>)</w:t>
      </w:r>
      <w:r>
        <w:t xml:space="preserve"> (decreasing with increasing age)</w:t>
      </w:r>
    </w:p>
    <w:p w14:paraId="69BEC777" w14:textId="3989F350" w:rsidR="00E5277F" w:rsidRDefault="00E5277F" w:rsidP="00FD3AAE">
      <w:pPr>
        <w:pStyle w:val="ListBullet"/>
      </w:pPr>
      <w:r>
        <w:t>Glycopyrronium covariate effects (the simulations indicate a significant effect for renal function represented by</w:t>
      </w:r>
      <w:r w:rsidR="000B6FB6">
        <w:t xml:space="preserve"> the e</w:t>
      </w:r>
      <w:r w:rsidR="000B6FB6" w:rsidRPr="000B6FB6">
        <w:t>stimated glomerular filtration rate</w:t>
      </w:r>
      <w:r>
        <w:t xml:space="preserve"> </w:t>
      </w:r>
      <w:r w:rsidR="000B6FB6">
        <w:t>(</w:t>
      </w:r>
      <w:r>
        <w:t>eGFR) on exposure)</w:t>
      </w:r>
    </w:p>
    <w:p w14:paraId="01CEBA60" w14:textId="1986BF01" w:rsidR="00E5277F" w:rsidRDefault="00E5277F" w:rsidP="00FD3AAE">
      <w:pPr>
        <w:pStyle w:val="ListBullet2"/>
      </w:pPr>
      <w:r>
        <w:t>Absolute eGFR on CL/F (increasing with increasing absolute eGFR)</w:t>
      </w:r>
    </w:p>
    <w:p w14:paraId="72D0B53C" w14:textId="7717BE3F" w:rsidR="00E5277F" w:rsidRDefault="00E5277F" w:rsidP="00FD3AAE">
      <w:pPr>
        <w:pStyle w:val="ListBullet2"/>
      </w:pPr>
      <w:r>
        <w:t xml:space="preserve">Body weight on </w:t>
      </w:r>
      <w:r w:rsidR="006B2F08">
        <w:t>a</w:t>
      </w:r>
      <w:r w:rsidR="006B2F08" w:rsidRPr="006B2F08">
        <w:t xml:space="preserve">pparent </w:t>
      </w:r>
      <w:r w:rsidR="006B2F08">
        <w:t>v</w:t>
      </w:r>
      <w:r w:rsidR="006B2F08" w:rsidRPr="006B2F08">
        <w:t xml:space="preserve">olume of distribution of central compartment </w:t>
      </w:r>
      <w:r w:rsidR="006B2F08">
        <w:t>(</w:t>
      </w:r>
      <w:proofErr w:type="spellStart"/>
      <w:r>
        <w:t>V</w:t>
      </w:r>
      <w:r w:rsidRPr="001B08C3">
        <w:rPr>
          <w:vertAlign w:val="subscript"/>
        </w:rPr>
        <w:t>c</w:t>
      </w:r>
      <w:proofErr w:type="spellEnd"/>
      <w:r>
        <w:t>/F</w:t>
      </w:r>
      <w:r w:rsidR="006B2F08">
        <w:t>)</w:t>
      </w:r>
      <w:r>
        <w:t xml:space="preserve">, </w:t>
      </w:r>
      <w:r w:rsidR="006B2F08">
        <w:t>a</w:t>
      </w:r>
      <w:r w:rsidR="006B2F08" w:rsidRPr="006B2F08">
        <w:t xml:space="preserve">pparent </w:t>
      </w:r>
      <w:r w:rsidR="006B2F08">
        <w:t>i</w:t>
      </w:r>
      <w:r w:rsidR="006B2F08" w:rsidRPr="006B2F08">
        <w:t>nter-compartmental clearance</w:t>
      </w:r>
      <w:r w:rsidR="006B2F08">
        <w:t xml:space="preserve"> (</w:t>
      </w:r>
      <w:r>
        <w:t>Q/F</w:t>
      </w:r>
      <w:r w:rsidR="006B2F08">
        <w:t>)</w:t>
      </w:r>
      <w:r>
        <w:t xml:space="preserve">, and </w:t>
      </w:r>
      <w:r w:rsidR="006B2F08">
        <w:t>a</w:t>
      </w:r>
      <w:r w:rsidR="006B2F08" w:rsidRPr="006B2F08">
        <w:t xml:space="preserve">pparent </w:t>
      </w:r>
      <w:r w:rsidR="006B2F08">
        <w:t>v</w:t>
      </w:r>
      <w:r w:rsidR="006B2F08" w:rsidRPr="006B2F08">
        <w:t>olume of distribution of peripheral compartment</w:t>
      </w:r>
      <w:r w:rsidR="006B2F08">
        <w:t xml:space="preserve"> (</w:t>
      </w:r>
      <w:proofErr w:type="spellStart"/>
      <w:r>
        <w:t>V</w:t>
      </w:r>
      <w:r w:rsidRPr="001B08C3">
        <w:rPr>
          <w:vertAlign w:val="subscript"/>
        </w:rPr>
        <w:t>p</w:t>
      </w:r>
      <w:proofErr w:type="spellEnd"/>
      <w:r>
        <w:t>/F</w:t>
      </w:r>
      <w:r w:rsidR="006B2F08">
        <w:t>)</w:t>
      </w:r>
      <w:r>
        <w:t xml:space="preserve"> (increasing with increasing body weight)</w:t>
      </w:r>
    </w:p>
    <w:p w14:paraId="4BC5C020" w14:textId="7C4806E5" w:rsidR="00E5277F" w:rsidRDefault="00E5277F" w:rsidP="00FD3AAE">
      <w:pPr>
        <w:pStyle w:val="ListBullet2"/>
      </w:pPr>
      <w:r>
        <w:t xml:space="preserve">Smoking status on </w:t>
      </w:r>
      <w:r w:rsidR="007C57FA">
        <w:t>a</w:t>
      </w:r>
      <w:r w:rsidR="007C57FA" w:rsidRPr="007C57FA">
        <w:t>bsorption rate constant</w:t>
      </w:r>
      <w:r w:rsidR="007C57FA">
        <w:t xml:space="preserve"> </w:t>
      </w:r>
      <w:r w:rsidR="00D6265D">
        <w:t>(</w:t>
      </w:r>
      <w:r>
        <w:t>k</w:t>
      </w:r>
      <w:r w:rsidRPr="001B08C3">
        <w:rPr>
          <w:vertAlign w:val="subscript"/>
        </w:rPr>
        <w:t>a</w:t>
      </w:r>
      <w:r w:rsidR="00D6265D">
        <w:t xml:space="preserve">) </w:t>
      </w:r>
      <w:r>
        <w:t xml:space="preserve">(higher for current </w:t>
      </w:r>
      <w:proofErr w:type="gramStart"/>
      <w:r>
        <w:t>smokers</w:t>
      </w:r>
      <w:proofErr w:type="gramEnd"/>
      <w:r>
        <w:t xml:space="preserve"> relative former smokers) and on </w:t>
      </w:r>
      <w:r w:rsidR="00056140">
        <w:t>r</w:t>
      </w:r>
      <w:r w:rsidR="00056140" w:rsidRPr="00056140">
        <w:t>elative bioavailability</w:t>
      </w:r>
      <w:r w:rsidR="00056140">
        <w:t xml:space="preserve"> (</w:t>
      </w:r>
      <w:proofErr w:type="spellStart"/>
      <w:r>
        <w:t>F</w:t>
      </w:r>
      <w:r w:rsidRPr="001B08C3">
        <w:rPr>
          <w:vertAlign w:val="subscript"/>
        </w:rPr>
        <w:t>rel</w:t>
      </w:r>
      <w:proofErr w:type="spellEnd"/>
      <w:r w:rsidR="00056140">
        <w:t>)</w:t>
      </w:r>
      <w:r>
        <w:t xml:space="preserve"> (lower for current smokers relative former smokers)</w:t>
      </w:r>
    </w:p>
    <w:p w14:paraId="7C6869CE" w14:textId="0B765E1C" w:rsidR="00E5277F" w:rsidRDefault="00E5277F" w:rsidP="00FD3AAE">
      <w:pPr>
        <w:pStyle w:val="ListBullet2"/>
      </w:pPr>
      <w:r>
        <w:t xml:space="preserve">Use of </w:t>
      </w:r>
      <w:proofErr w:type="spellStart"/>
      <w:r>
        <w:t>AeroChamber</w:t>
      </w:r>
      <w:proofErr w:type="spellEnd"/>
      <w:r>
        <w:t xml:space="preserve"> on </w:t>
      </w:r>
      <w:proofErr w:type="spellStart"/>
      <w:r>
        <w:t>F</w:t>
      </w:r>
      <w:r w:rsidRPr="001B08C3">
        <w:rPr>
          <w:vertAlign w:val="subscript"/>
        </w:rPr>
        <w:t>rel</w:t>
      </w:r>
      <w:proofErr w:type="spellEnd"/>
      <w:r>
        <w:t xml:space="preserve"> (higher with </w:t>
      </w:r>
      <w:proofErr w:type="spellStart"/>
      <w:r>
        <w:t>AeroChamber</w:t>
      </w:r>
      <w:proofErr w:type="spellEnd"/>
      <w:r>
        <w:t xml:space="preserve"> than without)</w:t>
      </w:r>
    </w:p>
    <w:p w14:paraId="4CB01067" w14:textId="5B91EE15" w:rsidR="00E5277F" w:rsidRDefault="00E5277F" w:rsidP="00FD3AAE">
      <w:pPr>
        <w:pStyle w:val="ListBullet"/>
      </w:pPr>
      <w:r>
        <w:t>Formoterol covariate effects (the simulations indicate clinically significant covariate effects for body weight and for smokers)</w:t>
      </w:r>
    </w:p>
    <w:p w14:paraId="19720FF8" w14:textId="0762481E" w:rsidR="00E5277F" w:rsidRDefault="00E5277F" w:rsidP="00FD3AAE">
      <w:pPr>
        <w:pStyle w:val="ListBullet2"/>
      </w:pPr>
      <w:r>
        <w:t xml:space="preserve">Body weight on CL/F and </w:t>
      </w:r>
      <w:proofErr w:type="spellStart"/>
      <w:r>
        <w:t>V</w:t>
      </w:r>
      <w:r w:rsidRPr="001B08C3">
        <w:rPr>
          <w:vertAlign w:val="subscript"/>
        </w:rPr>
        <w:t>c</w:t>
      </w:r>
      <w:proofErr w:type="spellEnd"/>
      <w:r>
        <w:t>/F (increasing with increasing body weight)</w:t>
      </w:r>
    </w:p>
    <w:p w14:paraId="47DB5AAF" w14:textId="5CCEEE7F" w:rsidR="00E5277F" w:rsidRDefault="00E5277F" w:rsidP="00FD3AAE">
      <w:pPr>
        <w:pStyle w:val="ListBullet2"/>
      </w:pPr>
      <w:r>
        <w:t>Smoking status on k</w:t>
      </w:r>
      <w:r w:rsidRPr="001B08C3">
        <w:rPr>
          <w:vertAlign w:val="subscript"/>
        </w:rPr>
        <w:t>a</w:t>
      </w:r>
      <w:r>
        <w:t xml:space="preserve"> (lower for current </w:t>
      </w:r>
      <w:proofErr w:type="gramStart"/>
      <w:r>
        <w:t>smokers</w:t>
      </w:r>
      <w:proofErr w:type="gramEnd"/>
      <w:r>
        <w:t xml:space="preserve"> relative former smokers) and on CL/F (higher for current smokers relative former smokers)</w:t>
      </w:r>
    </w:p>
    <w:p w14:paraId="4532D140" w14:textId="048CFD83" w:rsidR="00E5277F" w:rsidRDefault="00E5277F" w:rsidP="00FD3AAE">
      <w:pPr>
        <w:pStyle w:val="ListBullet2"/>
      </w:pPr>
      <w:r>
        <w:t xml:space="preserve">Formulation effects for BFF MDI, </w:t>
      </w:r>
      <w:r w:rsidR="00EC053D">
        <w:t>g</w:t>
      </w:r>
      <w:r w:rsidR="00EC053D" w:rsidRPr="00EC053D">
        <w:t xml:space="preserve">lycopyrronium / formoterol fumarate </w:t>
      </w:r>
      <w:r w:rsidR="00EC053D">
        <w:t>(</w:t>
      </w:r>
      <w:r>
        <w:t>GFF</w:t>
      </w:r>
      <w:r w:rsidR="00EC053D">
        <w:t>)</w:t>
      </w:r>
      <w:r>
        <w:t xml:space="preserve"> MDI, and FF MDI on </w:t>
      </w:r>
      <w:proofErr w:type="spellStart"/>
      <w:r>
        <w:t>F</w:t>
      </w:r>
      <w:r w:rsidRPr="001B08C3">
        <w:rPr>
          <w:vertAlign w:val="subscript"/>
        </w:rPr>
        <w:t>rel</w:t>
      </w:r>
      <w:proofErr w:type="spellEnd"/>
      <w:r>
        <w:t xml:space="preserve"> (higher </w:t>
      </w:r>
      <w:proofErr w:type="spellStart"/>
      <w:r>
        <w:t>F</w:t>
      </w:r>
      <w:r w:rsidRPr="001B08C3">
        <w:rPr>
          <w:vertAlign w:val="subscript"/>
        </w:rPr>
        <w:t>rel</w:t>
      </w:r>
      <w:proofErr w:type="spellEnd"/>
      <w:r>
        <w:t xml:space="preserve"> compared with BGF MDI)</w:t>
      </w:r>
    </w:p>
    <w:p w14:paraId="499270BF" w14:textId="0357920D" w:rsidR="00E5277F" w:rsidRPr="00BA326D" w:rsidRDefault="00E5277F" w:rsidP="002552DB">
      <w:pPr>
        <w:pStyle w:val="Heading4"/>
      </w:pPr>
      <w:r w:rsidRPr="00BA326D">
        <w:lastRenderedPageBreak/>
        <w:t>Efficacy</w:t>
      </w:r>
    </w:p>
    <w:p w14:paraId="11FC29D4" w14:textId="3DD0E44B" w:rsidR="00E5277F" w:rsidRDefault="00E5277F" w:rsidP="00E5277F">
      <w:r>
        <w:t>Four studies provided efficacy data for BGF MDI:</w:t>
      </w:r>
    </w:p>
    <w:p w14:paraId="11DD66B6" w14:textId="1D0B95CF" w:rsidR="00E5277F" w:rsidRDefault="00376112" w:rsidP="0050207C">
      <w:pPr>
        <w:pStyle w:val="ListBullet"/>
      </w:pPr>
      <w:r>
        <w:t>Two p</w:t>
      </w:r>
      <w:r w:rsidR="00E5277F">
        <w:t>ivotal</w:t>
      </w:r>
      <w:r>
        <w:t xml:space="preserve"> stud</w:t>
      </w:r>
      <w:r w:rsidR="00791DC9">
        <w:t>ies</w:t>
      </w:r>
      <w:r w:rsidR="00E5277F">
        <w:t xml:space="preserve">: Study PT010005 (52 weeks), </w:t>
      </w:r>
      <w:bookmarkStart w:id="56" w:name="_Hlk96941673"/>
      <w:r w:rsidR="00791DC9">
        <w:t xml:space="preserve">and </w:t>
      </w:r>
      <w:r w:rsidR="00E5277F">
        <w:t xml:space="preserve">Study PT010006 </w:t>
      </w:r>
      <w:bookmarkEnd w:id="56"/>
      <w:r w:rsidR="00E5277F">
        <w:t>(24 weeks)</w:t>
      </w:r>
    </w:p>
    <w:p w14:paraId="75BA0C89" w14:textId="5D73715F" w:rsidR="00E5277F" w:rsidRDefault="00376112" w:rsidP="0050207C">
      <w:pPr>
        <w:pStyle w:val="ListBullet"/>
      </w:pPr>
      <w:r>
        <w:t>Two s</w:t>
      </w:r>
      <w:r w:rsidR="00E5277F">
        <w:t>upportive</w:t>
      </w:r>
      <w:r>
        <w:t xml:space="preserve"> studies (</w:t>
      </w:r>
      <w:r w:rsidR="00791DC9">
        <w:t xml:space="preserve">both </w:t>
      </w:r>
      <w:r>
        <w:t>extension</w:t>
      </w:r>
      <w:r w:rsidR="00791DC9">
        <w:t>s</w:t>
      </w:r>
      <w:r>
        <w:t xml:space="preserve"> of Study PT010006)</w:t>
      </w:r>
      <w:r w:rsidR="00E5277F">
        <w:t>: Study PT10007 and Study PT010008</w:t>
      </w:r>
      <w:r>
        <w:t xml:space="preserve"> (</w:t>
      </w:r>
      <w:r w:rsidR="00E5277F">
        <w:t>28 weeks)</w:t>
      </w:r>
    </w:p>
    <w:p w14:paraId="7D7FDB5A" w14:textId="00574929" w:rsidR="00E5277F" w:rsidRDefault="00E5277F" w:rsidP="00E5277F">
      <w:r>
        <w:t>Five additional studies (support</w:t>
      </w:r>
      <w:r w:rsidR="00791DC9">
        <w:t>ive</w:t>
      </w:r>
      <w:r>
        <w:t xml:space="preserve"> for </w:t>
      </w:r>
      <w:r w:rsidR="00791DC9">
        <w:t xml:space="preserve">the </w:t>
      </w:r>
      <w:r>
        <w:t>budesonide</w:t>
      </w:r>
      <w:r w:rsidR="00791DC9">
        <w:t xml:space="preserve"> component</w:t>
      </w:r>
      <w:r>
        <w:t xml:space="preserve">) and an analysis of pooled </w:t>
      </w:r>
      <w:proofErr w:type="spellStart"/>
      <w:r>
        <w:t>Bevespi</w:t>
      </w:r>
      <w:proofErr w:type="spellEnd"/>
      <w:r>
        <w:t xml:space="preserve"> Aerosphere studies (support</w:t>
      </w:r>
      <w:r w:rsidR="00791DC9">
        <w:t>ive</w:t>
      </w:r>
      <w:r>
        <w:t xml:space="preserve"> for </w:t>
      </w:r>
      <w:r w:rsidR="00791DC9">
        <w:t xml:space="preserve">the </w:t>
      </w:r>
      <w:r>
        <w:t>glycopyrronium</w:t>
      </w:r>
      <w:r w:rsidR="00791DC9">
        <w:t xml:space="preserve"> component</w:t>
      </w:r>
      <w:r>
        <w:t xml:space="preserve">) did not provide efficacy data for </w:t>
      </w:r>
      <w:r w:rsidR="003042F0">
        <w:t>BGF</w:t>
      </w:r>
      <w:r w:rsidR="001579B2" w:rsidDel="001579B2">
        <w:t xml:space="preserve"> </w:t>
      </w:r>
      <w:r>
        <w:t>MDI, but background data for the dual therapy fixed dose MDI products</w:t>
      </w:r>
      <w:r w:rsidR="00376112">
        <w:t xml:space="preserve"> (from </w:t>
      </w:r>
      <w:r w:rsidR="00CC09FC">
        <w:t>Studies </w:t>
      </w:r>
      <w:r>
        <w:t>PT009002, PT003006, PT003007, PT003014 and PT009003</w:t>
      </w:r>
      <w:r w:rsidR="00376112">
        <w:t>)</w:t>
      </w:r>
      <w:r>
        <w:t>. These studies do not contribute to the efficacy assessment for</w:t>
      </w:r>
      <w:r w:rsidR="001A4331">
        <w:t xml:space="preserve"> the</w:t>
      </w:r>
      <w:r>
        <w:t xml:space="preserve"> </w:t>
      </w:r>
      <w:r w:rsidR="003042F0">
        <w:t>BGF</w:t>
      </w:r>
      <w:r w:rsidR="001579B2" w:rsidDel="001579B2">
        <w:t xml:space="preserve"> </w:t>
      </w:r>
      <w:r>
        <w:t>MDI.</w:t>
      </w:r>
    </w:p>
    <w:p w14:paraId="2D0F0801" w14:textId="75BE6962" w:rsidR="00E5277F" w:rsidRPr="00382A5C" w:rsidRDefault="00E5277F" w:rsidP="002552DB">
      <w:pPr>
        <w:pStyle w:val="Heading5"/>
      </w:pPr>
      <w:r w:rsidRPr="00BA326D">
        <w:t xml:space="preserve">Study PT010005 </w:t>
      </w:r>
      <w:r w:rsidRPr="00802EF5">
        <w:t>(</w:t>
      </w:r>
      <w:r w:rsidR="00CC09FC" w:rsidRPr="00802EF5">
        <w:t xml:space="preserve">the </w:t>
      </w:r>
      <w:r w:rsidRPr="00802EF5">
        <w:t>ETHOS</w:t>
      </w:r>
      <w:r w:rsidR="00CC09FC" w:rsidRPr="00802EF5">
        <w:t xml:space="preserve"> trial</w:t>
      </w:r>
      <w:r w:rsidRPr="00382A5C">
        <w:t>)</w:t>
      </w:r>
    </w:p>
    <w:p w14:paraId="34B2CF07" w14:textId="52AF4C1A" w:rsidR="00E5277F" w:rsidRPr="00382A5C" w:rsidRDefault="00CC3D66" w:rsidP="002552DB">
      <w:pPr>
        <w:pStyle w:val="Heading6"/>
      </w:pPr>
      <w:r w:rsidRPr="00382A5C">
        <w:t>Study d</w:t>
      </w:r>
      <w:r w:rsidR="00E5277F" w:rsidRPr="00382A5C">
        <w:t>esign</w:t>
      </w:r>
    </w:p>
    <w:p w14:paraId="4ABD1004" w14:textId="67C04656" w:rsidR="00E5277F" w:rsidRDefault="00376112" w:rsidP="00E5277F">
      <w:r w:rsidRPr="00376112">
        <w:t xml:space="preserve">Study PT010005 </w:t>
      </w:r>
      <w:r>
        <w:t xml:space="preserve">is </w:t>
      </w:r>
      <w:r w:rsidR="0083040D">
        <w:t xml:space="preserve">a </w:t>
      </w:r>
      <w:r w:rsidR="00E5277F">
        <w:t xml:space="preserve">Phase </w:t>
      </w:r>
      <w:r w:rsidR="00A96121">
        <w:t>III</w:t>
      </w:r>
      <w:r w:rsidR="00E5277F">
        <w:t>, randomised, double</w:t>
      </w:r>
      <w:r w:rsidR="00DC09C6">
        <w:t xml:space="preserve"> </w:t>
      </w:r>
      <w:r w:rsidR="00E5277F">
        <w:t>blind, multi-centre (748 centres), parallel</w:t>
      </w:r>
      <w:r w:rsidR="00DC09C6">
        <w:t xml:space="preserve"> </w:t>
      </w:r>
      <w:r w:rsidR="00E5277F">
        <w:t>group, actively controlled study to assess the efficacy and safety of</w:t>
      </w:r>
      <w:r w:rsidR="00A55419">
        <w:t xml:space="preserve"> </w:t>
      </w:r>
      <w:r w:rsidR="00E5277F">
        <w:t>budesonide</w:t>
      </w:r>
      <w:r w:rsidR="00DC09C6">
        <w:t xml:space="preserve"> </w:t>
      </w:r>
      <w:r w:rsidR="00E5277F">
        <w:t>/</w:t>
      </w:r>
      <w:r w:rsidR="00A55419">
        <w:t xml:space="preserve"> </w:t>
      </w:r>
      <w:r w:rsidR="00E5277F">
        <w:t>glycopyrronium/</w:t>
      </w:r>
      <w:r w:rsidR="00A55419">
        <w:t xml:space="preserve"> </w:t>
      </w:r>
      <w:r w:rsidR="00E5277F">
        <w:t xml:space="preserve">formoterol </w:t>
      </w:r>
      <w:r w:rsidR="001579B2">
        <w:t>f</w:t>
      </w:r>
      <w:r w:rsidR="001579B2" w:rsidRPr="00896B84">
        <w:t>ixed</w:t>
      </w:r>
      <w:r w:rsidR="001579B2">
        <w:t xml:space="preserve"> </w:t>
      </w:r>
      <w:r w:rsidR="001579B2" w:rsidRPr="00896B84">
        <w:t>dose combination</w:t>
      </w:r>
      <w:r w:rsidR="001579B2" w:rsidDel="001579B2">
        <w:t xml:space="preserve"> </w:t>
      </w:r>
      <w:r w:rsidR="00E5277F">
        <w:t>MDI over a 52</w:t>
      </w:r>
      <w:r>
        <w:t>-</w:t>
      </w:r>
      <w:r w:rsidR="00E5277F">
        <w:t>week treatment period in 8572 adult patients (aged 40</w:t>
      </w:r>
      <w:r w:rsidR="00DC09C6">
        <w:t xml:space="preserve"> to </w:t>
      </w:r>
      <w:r w:rsidR="005B5B53">
        <w:t>81 years</w:t>
      </w:r>
      <w:r w:rsidR="00E5277F">
        <w:t>) with moderate to very severe COPD between July 2015 to July 2019.</w:t>
      </w:r>
    </w:p>
    <w:p w14:paraId="521C4670" w14:textId="37E48B62" w:rsidR="00E5277F" w:rsidRDefault="00E5277F" w:rsidP="00E5277F">
      <w:r>
        <w:t>Patients needed to have a history of moderate or severe COPD exacerbations in the 12</w:t>
      </w:r>
      <w:r w:rsidR="00BF7E9F">
        <w:t> </w:t>
      </w:r>
      <w:r>
        <w:t xml:space="preserve">months prior to </w:t>
      </w:r>
      <w:r w:rsidR="00A85D28">
        <w:t xml:space="preserve">screening </w:t>
      </w:r>
      <w:r w:rsidR="00F8741E">
        <w:t xml:space="preserve">visit </w:t>
      </w:r>
      <w:r>
        <w:t>and remained symptomatic (</w:t>
      </w:r>
      <w:r w:rsidR="00BA3F5B" w:rsidRPr="00BA3F5B">
        <w:t>C</w:t>
      </w:r>
      <w:r w:rsidR="00495D24">
        <w:t>OPD</w:t>
      </w:r>
      <w:r w:rsidR="00BA3F5B" w:rsidRPr="00BA3F5B">
        <w:t xml:space="preserve"> </w:t>
      </w:r>
      <w:r w:rsidR="00495D24">
        <w:t>a</w:t>
      </w:r>
      <w:r>
        <w:t xml:space="preserve">ssessment </w:t>
      </w:r>
      <w:r w:rsidR="00495D24">
        <w:t>t</w:t>
      </w:r>
      <w:r>
        <w:t xml:space="preserve">est </w:t>
      </w:r>
      <w:r w:rsidR="00D65604">
        <w:t>(</w:t>
      </w:r>
      <w:r>
        <w:t>CAT</w:t>
      </w:r>
      <w:r w:rsidR="00D65604">
        <w:t xml:space="preserve">) </w:t>
      </w:r>
      <w:r w:rsidR="00417557">
        <w:t xml:space="preserve">score </w:t>
      </w:r>
      <w:r>
        <w:t>≥</w:t>
      </w:r>
      <w:r w:rsidR="00A55816">
        <w:t xml:space="preserve"> </w:t>
      </w:r>
      <w:r>
        <w:t xml:space="preserve">10) while receiving </w:t>
      </w:r>
      <w:r w:rsidR="0055686B">
        <w:t xml:space="preserve">two </w:t>
      </w:r>
      <w:r>
        <w:t>or more inhaled COPD maintenance treatments. Subjects were required to be current or former smokers with a history of at least 10 pack</w:t>
      </w:r>
      <w:r w:rsidR="0055686B">
        <w:t xml:space="preserve"> </w:t>
      </w:r>
      <w:r>
        <w:t>years of cigarette smoking.</w:t>
      </w:r>
    </w:p>
    <w:p w14:paraId="21C7207D" w14:textId="2F9E5ECC" w:rsidR="00E5277F" w:rsidRDefault="00E5277F" w:rsidP="00E5277F">
      <w:r>
        <w:t>The primary efficacy outcome measure was</w:t>
      </w:r>
      <w:r w:rsidR="00953B66">
        <w:t xml:space="preserve"> the</w:t>
      </w:r>
      <w:r>
        <w:t xml:space="preserve"> rate of moderate or severe exacerbations (per year) analysed using negative binomial regression. Treatments were compared adjusting for baseline post</w:t>
      </w:r>
      <w:r w:rsidR="001A4331">
        <w:noBreakHyphen/>
      </w:r>
      <w:r>
        <w:t xml:space="preserve">bronchodilator percent predicted </w:t>
      </w:r>
      <w:r w:rsidR="00B16EEB">
        <w:t>f</w:t>
      </w:r>
      <w:r w:rsidR="003669B9" w:rsidRPr="003669B9">
        <w:t xml:space="preserve">orced expiratory volume in one second </w:t>
      </w:r>
      <w:r w:rsidR="003669B9">
        <w:t>(</w:t>
      </w:r>
      <w:r>
        <w:t>FEV</w:t>
      </w:r>
      <w:r w:rsidRPr="00A61DA6">
        <w:rPr>
          <w:vertAlign w:val="subscript"/>
        </w:rPr>
        <w:t>1</w:t>
      </w:r>
      <w:r w:rsidR="003669B9">
        <w:t>)</w:t>
      </w:r>
      <w:r>
        <w:t xml:space="preserve"> and log baseline blood eosinophil count as continuous covariates, and baseline COPD exacerbation history (1, ≥</w:t>
      </w:r>
      <w:r w:rsidR="00DC09C6">
        <w:t xml:space="preserve"> </w:t>
      </w:r>
      <w:r>
        <w:t xml:space="preserve">2), region, and ICS use at screening </w:t>
      </w:r>
      <w:r w:rsidR="00F8741E">
        <w:t xml:space="preserve">visit </w:t>
      </w:r>
      <w:r>
        <w:t>(</w:t>
      </w:r>
      <w:r w:rsidR="00DC09C6">
        <w:t>y</w:t>
      </w:r>
      <w:r>
        <w:t>es</w:t>
      </w:r>
      <w:r w:rsidR="00407F30">
        <w:t xml:space="preserve"> or </w:t>
      </w:r>
      <w:r w:rsidR="00DC09C6">
        <w:t>n</w:t>
      </w:r>
      <w:r>
        <w:t>o) as categorical covariates. The logarithm of time at risk of experiencing an exacerbation was used as an offset variable in the model.</w:t>
      </w:r>
    </w:p>
    <w:p w14:paraId="6F36212A" w14:textId="14954C07" w:rsidR="00E5277F" w:rsidRDefault="00E5277F" w:rsidP="00E5277F">
      <w:r>
        <w:t xml:space="preserve">The primary efficacy outcome measures of the </w:t>
      </w:r>
      <w:r w:rsidR="00D9212F">
        <w:t>p</w:t>
      </w:r>
      <w:r w:rsidR="00D9212F" w:rsidRPr="00D9212F">
        <w:t>ulmonary function test</w:t>
      </w:r>
      <w:r>
        <w:t xml:space="preserve"> sub</w:t>
      </w:r>
      <w:r w:rsidR="00407F30">
        <w:t>-</w:t>
      </w:r>
      <w:r>
        <w:t xml:space="preserve">study </w:t>
      </w:r>
      <w:proofErr w:type="gramStart"/>
      <w:r>
        <w:t>was</w:t>
      </w:r>
      <w:proofErr w:type="gramEnd"/>
      <w:r>
        <w:t>:</w:t>
      </w:r>
    </w:p>
    <w:p w14:paraId="0AA34C96" w14:textId="3E92689B" w:rsidR="00E5277F" w:rsidRDefault="00407F30" w:rsidP="00D9212F">
      <w:pPr>
        <w:pStyle w:val="ListBullet"/>
      </w:pPr>
      <w:r>
        <w:t>c</w:t>
      </w:r>
      <w:r w:rsidR="00E5277F">
        <w:t xml:space="preserve">hange from </w:t>
      </w:r>
      <w:r w:rsidR="00CC3D66">
        <w:t>B</w:t>
      </w:r>
      <w:r w:rsidR="00E5277F">
        <w:t>aseline in morning pre</w:t>
      </w:r>
      <w:r>
        <w:t>-</w:t>
      </w:r>
      <w:r w:rsidR="00E5277F">
        <w:t>dose trough FEV</w:t>
      </w:r>
      <w:r w:rsidR="00E5277F" w:rsidRPr="00A61DA6">
        <w:rPr>
          <w:vertAlign w:val="subscript"/>
        </w:rPr>
        <w:t>1</w:t>
      </w:r>
      <w:r w:rsidR="00E5277F">
        <w:t xml:space="preserve"> over 24 weeks; and</w:t>
      </w:r>
    </w:p>
    <w:p w14:paraId="35BDC194" w14:textId="4CC528CB" w:rsidR="00E5277F" w:rsidRDefault="00E5277F" w:rsidP="00D9212F">
      <w:pPr>
        <w:pStyle w:val="ListBullet"/>
      </w:pPr>
      <w:r>
        <w:t>FEV</w:t>
      </w:r>
      <w:r w:rsidRPr="00A61DA6">
        <w:rPr>
          <w:vertAlign w:val="subscript"/>
        </w:rPr>
        <w:t>1</w:t>
      </w:r>
      <w:r>
        <w:t xml:space="preserve"> AUC</w:t>
      </w:r>
      <w:r w:rsidRPr="001B08C3">
        <w:rPr>
          <w:vertAlign w:val="subscript"/>
        </w:rPr>
        <w:t>0-4</w:t>
      </w:r>
      <w:r>
        <w:t xml:space="preserve"> over 24 weeks</w:t>
      </w:r>
    </w:p>
    <w:p w14:paraId="753C93C0" w14:textId="661A2AC6" w:rsidR="00E24614" w:rsidRDefault="00E5277F" w:rsidP="00E24614">
      <w:r>
        <w:t xml:space="preserve">The population was randomised 1:1:1:1 </w:t>
      </w:r>
      <w:r w:rsidR="001A4331">
        <w:t>receive the following twice daily via MDI:</w:t>
      </w:r>
      <w:r>
        <w:t xml:space="preserve"> </w:t>
      </w:r>
      <w:r w:rsidR="00234238">
        <w:t>BG</w:t>
      </w:r>
      <w:r w:rsidR="00EC053D">
        <w:t>F</w:t>
      </w:r>
      <w:r w:rsidR="001A4331">
        <w:t> </w:t>
      </w:r>
      <w:r w:rsidR="00174322">
        <w:t>32</w:t>
      </w:r>
      <w:r w:rsidR="00174322" w:rsidRPr="00174322">
        <w:t>0</w:t>
      </w:r>
      <w:r w:rsidR="00EC053D">
        <w:t>/</w:t>
      </w:r>
      <w:r w:rsidR="00174322">
        <w:t>14.4</w:t>
      </w:r>
      <w:r w:rsidR="00EC053D">
        <w:t>/</w:t>
      </w:r>
      <w:r w:rsidR="00174322">
        <w:t>9.6</w:t>
      </w:r>
      <w:r w:rsidR="00067FD6">
        <w:t> </w:t>
      </w:r>
      <w:r w:rsidR="00174322" w:rsidRPr="00174322">
        <w:t>µg</w:t>
      </w:r>
      <w:r>
        <w:t xml:space="preserve">, </w:t>
      </w:r>
      <w:bookmarkStart w:id="57" w:name="_Hlk95405981"/>
      <w:r w:rsidR="00EC053D">
        <w:t>BGF</w:t>
      </w:r>
      <w:r w:rsidR="00EC053D" w:rsidRPr="00591999">
        <w:t xml:space="preserve"> </w:t>
      </w:r>
      <w:r w:rsidR="00591999" w:rsidRPr="00591999">
        <w:t>160</w:t>
      </w:r>
      <w:r w:rsidR="00EC053D">
        <w:t>/</w:t>
      </w:r>
      <w:r w:rsidR="00591999">
        <w:t>14.4</w:t>
      </w:r>
      <w:r w:rsidR="00067FD6">
        <w:t> </w:t>
      </w:r>
      <w:r w:rsidR="00EC053D">
        <w:t>/</w:t>
      </w:r>
      <w:r w:rsidR="00591999">
        <w:t>9.6</w:t>
      </w:r>
      <w:r w:rsidR="00067FD6">
        <w:t> </w:t>
      </w:r>
      <w:r w:rsidR="00591999" w:rsidRPr="00591999">
        <w:t>µg</w:t>
      </w:r>
      <w:bookmarkEnd w:id="57"/>
      <w:r>
        <w:t xml:space="preserve">, </w:t>
      </w:r>
      <w:r w:rsidR="00EC053D">
        <w:t xml:space="preserve">GFF </w:t>
      </w:r>
      <w:r w:rsidR="00DC319C">
        <w:t>14.4</w:t>
      </w:r>
      <w:r w:rsidR="00EC053D">
        <w:t>/</w:t>
      </w:r>
      <w:r w:rsidR="00CE0F17">
        <w:t>9.6</w:t>
      </w:r>
      <w:r w:rsidR="00067FD6">
        <w:t> </w:t>
      </w:r>
      <w:r w:rsidR="00CE0F17" w:rsidRPr="00591999">
        <w:t>µg</w:t>
      </w:r>
      <w:r>
        <w:t xml:space="preserve">, or </w:t>
      </w:r>
      <w:r w:rsidR="00EC053D">
        <w:t xml:space="preserve">BFF </w:t>
      </w:r>
      <w:r w:rsidR="00CE0F17">
        <w:t>32</w:t>
      </w:r>
      <w:r w:rsidR="00CE0F17" w:rsidRPr="00174322">
        <w:t>0</w:t>
      </w:r>
      <w:r w:rsidR="00EC053D">
        <w:t>/</w:t>
      </w:r>
      <w:r w:rsidR="00067FD6">
        <w:t>9.6 </w:t>
      </w:r>
      <w:r w:rsidR="00067FD6" w:rsidRPr="00174322">
        <w:t>µg</w:t>
      </w:r>
      <w:r>
        <w:t>. All comparisons were for</w:t>
      </w:r>
      <w:r w:rsidR="00E24614">
        <w:t xml:space="preserve"> superiority, except for </w:t>
      </w:r>
      <w:r w:rsidR="00EC053D">
        <w:t xml:space="preserve">BGF </w:t>
      </w:r>
      <w:r w:rsidR="003870F6" w:rsidRPr="003870F6">
        <w:t>160</w:t>
      </w:r>
      <w:r w:rsidR="00EC053D">
        <w:t>/</w:t>
      </w:r>
      <w:r w:rsidR="003870F6" w:rsidRPr="003870F6">
        <w:t>14.4</w:t>
      </w:r>
      <w:r w:rsidR="00EC053D">
        <w:t>/</w:t>
      </w:r>
      <w:r w:rsidR="003870F6" w:rsidRPr="003870F6">
        <w:t>9.6</w:t>
      </w:r>
      <w:r w:rsidR="003870F6">
        <w:t> </w:t>
      </w:r>
      <w:r w:rsidR="003870F6" w:rsidRPr="003870F6">
        <w:t>µg</w:t>
      </w:r>
      <w:r w:rsidR="003870F6">
        <w:t xml:space="preserve"> </w:t>
      </w:r>
      <w:r w:rsidR="008A1BC0">
        <w:t>versus</w:t>
      </w:r>
      <w:r w:rsidR="00E24614">
        <w:t xml:space="preserve"> </w:t>
      </w:r>
      <w:r w:rsidR="00EC053D">
        <w:t xml:space="preserve">BFF </w:t>
      </w:r>
      <w:r w:rsidR="00E24614">
        <w:t>(non</w:t>
      </w:r>
      <w:r w:rsidR="00495D24">
        <w:noBreakHyphen/>
      </w:r>
      <w:r w:rsidR="00E24614">
        <w:t>inferiority, then superiority). Multiplicity was addressed by using a hierarchical approach to hypothesis testing.</w:t>
      </w:r>
    </w:p>
    <w:p w14:paraId="07B281FB" w14:textId="4E1D9425" w:rsidR="00E5277F" w:rsidRDefault="00E24614" w:rsidP="00E24614">
      <w:r>
        <w:t>The treatment duration was 52 weeks</w:t>
      </w:r>
      <w:r w:rsidR="009B7EAA">
        <w:t xml:space="preserve"> (</w:t>
      </w:r>
      <w:r w:rsidR="00EC053D">
        <w:t>s</w:t>
      </w:r>
      <w:r w:rsidR="009B7EAA">
        <w:t xml:space="preserve">tudy design schema is depicted in </w:t>
      </w:r>
      <w:r w:rsidR="009B7EAA">
        <w:fldChar w:fldCharType="begin"/>
      </w:r>
      <w:r w:rsidR="009B7EAA">
        <w:instrText xml:space="preserve"> REF _Ref89956518 \h </w:instrText>
      </w:r>
      <w:r w:rsidR="009B7EAA">
        <w:fldChar w:fldCharType="separate"/>
      </w:r>
      <w:r w:rsidR="00E53BA0">
        <w:t xml:space="preserve">Figure </w:t>
      </w:r>
      <w:r w:rsidR="00E53BA0">
        <w:rPr>
          <w:noProof/>
        </w:rPr>
        <w:t>4</w:t>
      </w:r>
      <w:r w:rsidR="009B7EAA">
        <w:fldChar w:fldCharType="end"/>
      </w:r>
      <w:r w:rsidR="00EC053D">
        <w:t xml:space="preserve"> below</w:t>
      </w:r>
      <w:r w:rsidR="009B7EAA">
        <w:t>)</w:t>
      </w:r>
      <w:r>
        <w:t xml:space="preserve">. Where study drug was interrupted during hospitalisation for a severe COPD exacerbation, restarting was possible after the event. Patients were vaccinated with pneumococcal vaccine annual influenza vaccine as per local guidelines. Prohibited medications were: LAMAs, </w:t>
      </w:r>
      <w:r w:rsidR="00244AB8">
        <w:t>s</w:t>
      </w:r>
      <w:r w:rsidR="00244AB8" w:rsidRPr="00244AB8">
        <w:t>hort acting muscarinic antagonist</w:t>
      </w:r>
      <w:r w:rsidR="00495D24">
        <w:t>s</w:t>
      </w:r>
      <w:r w:rsidR="00244AB8" w:rsidRPr="00244AB8">
        <w:t xml:space="preserve"> </w:t>
      </w:r>
      <w:r w:rsidR="00244AB8">
        <w:t>(</w:t>
      </w:r>
      <w:r>
        <w:t>SAMA</w:t>
      </w:r>
      <w:r w:rsidR="00495D24">
        <w:t>s</w:t>
      </w:r>
      <w:r w:rsidR="00244AB8">
        <w:t>)</w:t>
      </w:r>
      <w:r>
        <w:t xml:space="preserve">, LABAs, </w:t>
      </w:r>
      <w:r w:rsidR="001579B2">
        <w:t>f</w:t>
      </w:r>
      <w:r w:rsidR="001579B2" w:rsidRPr="00896B84">
        <w:t>ixed</w:t>
      </w:r>
      <w:r w:rsidR="001579B2">
        <w:t xml:space="preserve"> </w:t>
      </w:r>
      <w:r w:rsidR="001579B2" w:rsidRPr="00896B84">
        <w:t>dose combination</w:t>
      </w:r>
      <w:r w:rsidR="001579B2" w:rsidDel="001579B2">
        <w:t xml:space="preserve"> </w:t>
      </w:r>
      <w:r>
        <w:t xml:space="preserve">of LABA/LAMA, </w:t>
      </w:r>
      <w:r w:rsidR="001579B2">
        <w:t>f</w:t>
      </w:r>
      <w:r w:rsidR="001579B2" w:rsidRPr="00896B84">
        <w:t>ixed</w:t>
      </w:r>
      <w:r w:rsidR="001579B2">
        <w:t xml:space="preserve"> </w:t>
      </w:r>
      <w:r w:rsidR="001579B2" w:rsidRPr="00896B84">
        <w:t>dose combination</w:t>
      </w:r>
      <w:r w:rsidR="001579B2" w:rsidDel="001579B2">
        <w:t xml:space="preserve"> </w:t>
      </w:r>
      <w:r>
        <w:t xml:space="preserve">of LABA/ICS, </w:t>
      </w:r>
      <w:r w:rsidR="001579B2">
        <w:t>f</w:t>
      </w:r>
      <w:r w:rsidR="001579B2" w:rsidRPr="00896B84">
        <w:t>ixed</w:t>
      </w:r>
      <w:r w:rsidR="001579B2">
        <w:t xml:space="preserve"> </w:t>
      </w:r>
      <w:r w:rsidR="001579B2" w:rsidRPr="00896B84">
        <w:t>dose combination</w:t>
      </w:r>
      <w:r w:rsidR="001579B2" w:rsidDel="001579B2">
        <w:t xml:space="preserve"> </w:t>
      </w:r>
      <w:r>
        <w:t xml:space="preserve">of </w:t>
      </w:r>
      <w:r w:rsidR="00EC053D">
        <w:t>s</w:t>
      </w:r>
      <w:r w:rsidR="00EC053D" w:rsidRPr="00EC053D">
        <w:t xml:space="preserve">hort acting </w:t>
      </w:r>
      <w:r w:rsidR="001A4331">
        <w:t>beta-2 (</w:t>
      </w:r>
      <w:r w:rsidR="00EC053D" w:rsidRPr="00EC053D">
        <w:t>β</w:t>
      </w:r>
      <w:r w:rsidR="00EC053D" w:rsidRPr="00B32610">
        <w:rPr>
          <w:vertAlign w:val="subscript"/>
        </w:rPr>
        <w:t>2</w:t>
      </w:r>
      <w:r w:rsidR="001A4331">
        <w:t xml:space="preserve">) </w:t>
      </w:r>
      <w:r w:rsidR="00EC053D" w:rsidRPr="00EC053D">
        <w:t>agonist</w:t>
      </w:r>
      <w:r w:rsidR="00EC053D">
        <w:t>s</w:t>
      </w:r>
      <w:r w:rsidR="00EC053D" w:rsidRPr="00EC053D">
        <w:t xml:space="preserve"> </w:t>
      </w:r>
      <w:r w:rsidR="00EC053D">
        <w:t>(</w:t>
      </w:r>
      <w:r>
        <w:t>SABAs</w:t>
      </w:r>
      <w:r w:rsidR="00EC053D">
        <w:t>)/</w:t>
      </w:r>
      <w:r>
        <w:t xml:space="preserve">SAMAs, SABAs, oral </w:t>
      </w:r>
      <w:r w:rsidR="001A4331">
        <w:t>beta</w:t>
      </w:r>
      <w:r w:rsidR="00EC053D">
        <w:noBreakHyphen/>
      </w:r>
      <w:r>
        <w:t>agonists and theophylline.</w:t>
      </w:r>
    </w:p>
    <w:p w14:paraId="452B4E68" w14:textId="09387C3A" w:rsidR="00E33972" w:rsidRDefault="00E33972" w:rsidP="00E33972">
      <w:pPr>
        <w:pStyle w:val="FigureTitle"/>
      </w:pPr>
      <w:bookmarkStart w:id="58" w:name="_Ref89956518"/>
      <w:r>
        <w:lastRenderedPageBreak/>
        <w:t xml:space="preserve">Figure </w:t>
      </w:r>
      <w:r w:rsidR="001108B3">
        <w:fldChar w:fldCharType="begin"/>
      </w:r>
      <w:r w:rsidR="001108B3">
        <w:instrText xml:space="preserve"> SEQ Figure \* ARABIC </w:instrText>
      </w:r>
      <w:r w:rsidR="001108B3">
        <w:fldChar w:fldCharType="separate"/>
      </w:r>
      <w:r w:rsidR="00E53BA0">
        <w:rPr>
          <w:noProof/>
        </w:rPr>
        <w:t>4</w:t>
      </w:r>
      <w:r w:rsidR="001108B3">
        <w:rPr>
          <w:noProof/>
        </w:rPr>
        <w:fldChar w:fldCharType="end"/>
      </w:r>
      <w:bookmarkEnd w:id="58"/>
      <w:r>
        <w:t xml:space="preserve">: </w:t>
      </w:r>
      <w:r w:rsidRPr="00E33972">
        <w:t>Study PT010005 Study design</w:t>
      </w:r>
    </w:p>
    <w:p w14:paraId="304AB6D2" w14:textId="54CF65AA" w:rsidR="00570B13" w:rsidRDefault="00570B13" w:rsidP="00E24614">
      <w:r w:rsidRPr="00570B13">
        <w:rPr>
          <w:noProof/>
          <w:lang w:val="en-GB" w:eastAsia="en-GB"/>
        </w:rPr>
        <w:drawing>
          <wp:inline distT="0" distB="0" distL="0" distR="0" wp14:anchorId="5D04F3D6" wp14:editId="26EA3E1F">
            <wp:extent cx="4245997" cy="2092950"/>
            <wp:effectExtent l="0" t="0" r="2540" b="3175"/>
            <wp:docPr id="3" name="Picture 3" descr="Figure 4: Study PT010005 Study design&#10;&#10;Study PT010005 was designed to assess the efficacy and safety of BGF MDI 320/14.4/9.6 μg and 160/14.4/9.6 μg relative to BFF MDI 320/9.6 μg and GFF MDI 14.4/9.6 μg over a 52-week treatment period in subjects with moderate to very severe COPD who had a history of moderate or severe COPD exacerbations in the 12 months prior to screening period and who remained symptomatic while receiving 2 or more inhaled COPD maintenance treatments.&#10;Subjects who successfully completed the screening period were randomised in a 1:1:1:1 scheme. Approximately 2100 subjects were randomised to each treatment group.&#10;Randomisation was stratified by exacerbation history, post-bronchodilator FEV1, blood eosinophil count, and country. &#10;Following randomisation, subjects entered the treatment period and underwent a one year treatment period and a 14 days follow up post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 Study PT010005 Study design&#10;&#10;Study PT010005 was designed to assess the efficacy and safety of BGF MDI 320/14.4/9.6 μg and 160/14.4/9.6 μg relative to BFF MDI 320/9.6 μg and GFF MDI 14.4/9.6 μg over a 52-week treatment period in subjects with moderate to very severe COPD who had a history of moderate or severe COPD exacerbations in the 12 months prior to screening period and who remained symptomatic while receiving 2 or more inhaled COPD maintenance treatments.&#10;Subjects who successfully completed the screening period were randomised in a 1:1:1:1 scheme. Approximately 2100 subjects were randomised to each treatment group.&#10;Randomisation was stratified by exacerbation history, post-bronchodilator FEV1, blood eosinophil count, and country. &#10;Following randomisation, subjects entered the treatment period and underwent a one year treatment period and a 14 days follow up post treatment perio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08" b="10619"/>
                    <a:stretch/>
                  </pic:blipFill>
                  <pic:spPr bwMode="auto">
                    <a:xfrm>
                      <a:off x="0" y="0"/>
                      <a:ext cx="4261801" cy="2100740"/>
                    </a:xfrm>
                    <a:prstGeom prst="rect">
                      <a:avLst/>
                    </a:prstGeom>
                    <a:noFill/>
                    <a:ln>
                      <a:noFill/>
                    </a:ln>
                    <a:extLst>
                      <a:ext uri="{53640926-AAD7-44D8-BBD7-CCE9431645EC}">
                        <a14:shadowObscured xmlns:a14="http://schemas.microsoft.com/office/drawing/2010/main"/>
                      </a:ext>
                    </a:extLst>
                  </pic:spPr>
                </pic:pic>
              </a:graphicData>
            </a:graphic>
          </wp:inline>
        </w:drawing>
      </w:r>
    </w:p>
    <w:p w14:paraId="1841A49B" w14:textId="3DAACD82" w:rsidR="00F8741E" w:rsidRPr="00787317" w:rsidRDefault="00FE30D2" w:rsidP="00261765">
      <w:pPr>
        <w:pStyle w:val="FigureDescription"/>
      </w:pPr>
      <w:r w:rsidRPr="00787317">
        <w:t>BD</w:t>
      </w:r>
      <w:r>
        <w:t xml:space="preserve"> =</w:t>
      </w:r>
      <w:r w:rsidRPr="00787317">
        <w:t xml:space="preserve"> </w:t>
      </w:r>
      <w:r>
        <w:t>b</w:t>
      </w:r>
      <w:r w:rsidRPr="00787317">
        <w:t>ronchodilator</w:t>
      </w:r>
      <w:r>
        <w:t xml:space="preserve">; </w:t>
      </w:r>
      <w:r w:rsidR="006302C6">
        <w:t>BFF =</w:t>
      </w:r>
      <w:r w:rsidR="006302C6" w:rsidRPr="006302C6">
        <w:t xml:space="preserve"> </w:t>
      </w:r>
      <w:r w:rsidR="006302C6">
        <w:t>b</w:t>
      </w:r>
      <w:r w:rsidR="006302C6" w:rsidRPr="006302C6">
        <w:t>udesonide / formoterol fumarate</w:t>
      </w:r>
      <w:r w:rsidR="006302C6">
        <w:t xml:space="preserve">; </w:t>
      </w:r>
      <w:r>
        <w:t>BGF = b</w:t>
      </w:r>
      <w:r w:rsidRPr="004E03C1">
        <w:t>udesonide</w:t>
      </w:r>
      <w:r>
        <w:t xml:space="preserve"> / </w:t>
      </w:r>
      <w:r w:rsidRPr="004E03C1">
        <w:t xml:space="preserve">glycopyrronium </w:t>
      </w:r>
      <w:r>
        <w:t xml:space="preserve">/ </w:t>
      </w:r>
      <w:r w:rsidRPr="004E03C1">
        <w:t>formoterol fumarate</w:t>
      </w:r>
      <w:r>
        <w:t xml:space="preserve">; </w:t>
      </w:r>
      <w:r w:rsidR="00542987">
        <w:t>GFF =</w:t>
      </w:r>
      <w:r w:rsidR="006302C6">
        <w:t xml:space="preserve"> g</w:t>
      </w:r>
      <w:r w:rsidR="006302C6" w:rsidRPr="006302C6">
        <w:t>lycopyrronium / formoterol fumarate</w:t>
      </w:r>
      <w:r w:rsidR="006302C6">
        <w:t xml:space="preserve">; </w:t>
      </w:r>
      <w:r w:rsidR="00BB480B" w:rsidRPr="00787317">
        <w:t>V</w:t>
      </w:r>
      <w:r w:rsidR="00EC053D">
        <w:t xml:space="preserve"> = </w:t>
      </w:r>
      <w:r w:rsidR="00F8741E">
        <w:t>V</w:t>
      </w:r>
      <w:r w:rsidR="00BB480B" w:rsidRPr="00787317">
        <w:t>isit</w:t>
      </w:r>
      <w:r w:rsidR="00F8741E">
        <w:t>.</w:t>
      </w:r>
    </w:p>
    <w:p w14:paraId="2FB2CFE1" w14:textId="4CC1A35C" w:rsidR="00023DC6" w:rsidRDefault="00023DC6" w:rsidP="00B32610">
      <w:pPr>
        <w:pStyle w:val="Heading6"/>
      </w:pPr>
      <w:r>
        <w:t>Baseline characteristics</w:t>
      </w:r>
    </w:p>
    <w:p w14:paraId="3BFEFE65" w14:textId="409E442E" w:rsidR="00912E47" w:rsidRDefault="00234238" w:rsidP="00B32610">
      <w:r w:rsidRPr="00023DC6">
        <w:t xml:space="preserve">There were </w:t>
      </w:r>
      <w:r w:rsidR="00912E47" w:rsidRPr="00023DC6">
        <w:t>16,033 subjects screened</w:t>
      </w:r>
      <w:r w:rsidRPr="00023DC6">
        <w:t>,</w:t>
      </w:r>
      <w:r w:rsidR="00912E47" w:rsidRPr="00023DC6">
        <w:t xml:space="preserve"> 8588 were randomised, 7187 (83.8%) completed the study, and 6654 (77.6%) completed 52</w:t>
      </w:r>
      <w:r w:rsidR="009B763E" w:rsidRPr="00023DC6">
        <w:t> </w:t>
      </w:r>
      <w:r w:rsidR="00912E47" w:rsidRPr="00023DC6">
        <w:t xml:space="preserve">weeks of treatment. </w:t>
      </w:r>
      <w:r w:rsidRPr="00023DC6">
        <w:t xml:space="preserve">Of these, </w:t>
      </w:r>
      <w:r w:rsidR="00912E47" w:rsidRPr="00023DC6">
        <w:t>59.7% were male, 40.3% female</w:t>
      </w:r>
      <w:r w:rsidRPr="00023DC6">
        <w:t>,</w:t>
      </w:r>
      <w:r w:rsidR="00912E47" w:rsidRPr="00023DC6">
        <w:t xml:space="preserve"> and the age range was 40 to 81 years. 84.9% were White, 7.7% Asian and 3.6% Black or African American patients. The mean (</w:t>
      </w:r>
      <w:r w:rsidR="009963A2" w:rsidRPr="00023DC6">
        <w:t>standard deviation</w:t>
      </w:r>
      <w:r w:rsidR="00912E47" w:rsidRPr="00023DC6">
        <w:t xml:space="preserve">) </w:t>
      </w:r>
      <w:r w:rsidR="009963A2" w:rsidRPr="00023DC6">
        <w:t>body mass index</w:t>
      </w:r>
      <w:r w:rsidR="00912E47" w:rsidRPr="00023DC6">
        <w:t xml:space="preserve"> was 27.4 (6.2) kg/m</w:t>
      </w:r>
      <w:r w:rsidR="00912E47" w:rsidRPr="00B32610">
        <w:rPr>
          <w:vertAlign w:val="superscript"/>
        </w:rPr>
        <w:t>2</w:t>
      </w:r>
      <w:r w:rsidR="00912E47" w:rsidRPr="00023DC6">
        <w:t>. The treatment groups were similar in baseline demographic characteristics and baseline disease characteristics. 28.5% had moderate baseline COPD severity (</w:t>
      </w:r>
      <w:r w:rsidR="00F8741E" w:rsidRPr="00023DC6">
        <w:t>Global Initiative for Chronic Obstructive Lung Disease (</w:t>
      </w:r>
      <w:r w:rsidR="00912E47" w:rsidRPr="00023DC6">
        <w:t>GOLD</w:t>
      </w:r>
      <w:r w:rsidR="00F8741E" w:rsidRPr="00023DC6">
        <w:t>)</w:t>
      </w:r>
      <w:r w:rsidR="00912E47" w:rsidRPr="00023DC6">
        <w:t xml:space="preserve"> 2), 60.5% severe (GOLD 3), and 10.9% very severe (GOLD 4).</w:t>
      </w:r>
    </w:p>
    <w:p w14:paraId="12AA636B" w14:textId="4380DCA0" w:rsidR="00023DC6" w:rsidRPr="00B32610" w:rsidRDefault="00023DC6" w:rsidP="00B32610">
      <w:pPr>
        <w:pStyle w:val="Heading6"/>
      </w:pPr>
      <w:r w:rsidRPr="00BA326D">
        <w:t>Primary endpoint results</w:t>
      </w:r>
    </w:p>
    <w:p w14:paraId="64B60306" w14:textId="479FD21E" w:rsidR="00912E47" w:rsidRDefault="00D235EF" w:rsidP="00D235EF">
      <w:pPr>
        <w:pStyle w:val="TableTitle"/>
      </w:pPr>
      <w:bookmarkStart w:id="59" w:name="_Ref89957301"/>
      <w:r>
        <w:t xml:space="preserve">Table </w:t>
      </w:r>
      <w:r w:rsidR="001108B3">
        <w:fldChar w:fldCharType="begin"/>
      </w:r>
      <w:r w:rsidR="001108B3">
        <w:instrText xml:space="preserve"> SEQ Table \* ARABIC </w:instrText>
      </w:r>
      <w:r w:rsidR="001108B3">
        <w:fldChar w:fldCharType="separate"/>
      </w:r>
      <w:r w:rsidR="00E53BA0">
        <w:rPr>
          <w:noProof/>
        </w:rPr>
        <w:t>4</w:t>
      </w:r>
      <w:r w:rsidR="001108B3">
        <w:rPr>
          <w:noProof/>
        </w:rPr>
        <w:fldChar w:fldCharType="end"/>
      </w:r>
      <w:bookmarkEnd w:id="59"/>
      <w:r>
        <w:t xml:space="preserve">: </w:t>
      </w:r>
      <w:r w:rsidR="00912E47">
        <w:t xml:space="preserve">Study PT010005 Rates of </w:t>
      </w:r>
      <w:r w:rsidR="00382A5C" w:rsidRPr="00382A5C">
        <w:t>chronic obstructive pulmonary disease</w:t>
      </w:r>
      <w:r w:rsidR="00382A5C" w:rsidRPr="00382A5C" w:rsidDel="00382A5C">
        <w:t xml:space="preserve"> </w:t>
      </w:r>
      <w:r w:rsidR="00912E47">
        <w:t>exacerbations over 52 weeks</w:t>
      </w:r>
      <w:r w:rsidR="00FB0B3C">
        <w:t xml:space="preserve"> </w:t>
      </w:r>
      <w:r w:rsidR="009B763E">
        <w:t>(</w:t>
      </w:r>
      <w:bookmarkStart w:id="60" w:name="_Hlk95457408"/>
      <w:r w:rsidR="009B763E">
        <w:t>m</w:t>
      </w:r>
      <w:r w:rsidR="005031A6" w:rsidRPr="005031A6">
        <w:t>odified intention</w:t>
      </w:r>
      <w:r w:rsidR="00041E90">
        <w:t>-</w:t>
      </w:r>
      <w:r w:rsidR="005031A6" w:rsidRPr="005031A6">
        <w:t>to</w:t>
      </w:r>
      <w:r w:rsidR="00041E90">
        <w:t>-</w:t>
      </w:r>
      <w:r w:rsidR="005031A6" w:rsidRPr="005031A6">
        <w:t>treat</w:t>
      </w:r>
      <w:r w:rsidR="00B10E7B">
        <w:t>;</w:t>
      </w:r>
      <w:r w:rsidR="00B10E7B">
        <w:rPr>
          <w:rStyle w:val="FootnoteReference"/>
        </w:rPr>
        <w:footnoteReference w:id="12"/>
      </w:r>
      <w:bookmarkEnd w:id="60"/>
      <w:r w:rsidR="00912E47">
        <w:t xml:space="preserve"> population</w:t>
      </w:r>
      <w:r w:rsidR="009B763E">
        <w:t>)</w:t>
      </w:r>
    </w:p>
    <w:p w14:paraId="2D036178" w14:textId="3CEE2C9C" w:rsidR="009B47A8" w:rsidRDefault="009B47A8" w:rsidP="00261765">
      <w:r>
        <w:rPr>
          <w:noProof/>
          <w:lang w:val="en-GB" w:eastAsia="en-GB"/>
        </w:rPr>
        <w:drawing>
          <wp:inline distT="0" distB="0" distL="0" distR="0" wp14:anchorId="18323B75" wp14:editId="7A794F80">
            <wp:extent cx="5400040" cy="1816735"/>
            <wp:effectExtent l="0" t="0" r="0" b="0"/>
            <wp:docPr id="16" name="Picture 16" descr="Table 4: Study PT010005 Rates of chronic obstructive pulmonary disease exacerbations over 52 weeks (modified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4: Study PT010005 Rates of chronic obstructive pulmonary disease exacerbations over 52 weeks (modified intention-to-treat population)"/>
                    <pic:cNvPicPr/>
                  </pic:nvPicPr>
                  <pic:blipFill>
                    <a:blip r:embed="rId26">
                      <a:extLst>
                        <a:ext uri="{28A0092B-C50C-407E-A947-70E740481C1C}">
                          <a14:useLocalDpi xmlns:a14="http://schemas.microsoft.com/office/drawing/2010/main" val="0"/>
                        </a:ext>
                      </a:extLst>
                    </a:blip>
                    <a:stretch>
                      <a:fillRect/>
                    </a:stretch>
                  </pic:blipFill>
                  <pic:spPr>
                    <a:xfrm>
                      <a:off x="0" y="0"/>
                      <a:ext cx="5400040" cy="1816735"/>
                    </a:xfrm>
                    <a:prstGeom prst="rect">
                      <a:avLst/>
                    </a:prstGeom>
                  </pic:spPr>
                </pic:pic>
              </a:graphicData>
            </a:graphic>
          </wp:inline>
        </w:drawing>
      </w:r>
    </w:p>
    <w:p w14:paraId="607B0E4B" w14:textId="77777777" w:rsidR="00261765" w:rsidRDefault="006302C6" w:rsidP="00F8741E">
      <w:pPr>
        <w:pStyle w:val="TableDescription"/>
      </w:pPr>
      <w:r w:rsidRPr="006302C6">
        <w:t xml:space="preserve">BFF = budesonide / formoterol fumarate; </w:t>
      </w:r>
      <w:r w:rsidR="00AC459A" w:rsidRPr="006302C6">
        <w:t>CI</w:t>
      </w:r>
      <w:r w:rsidR="00E536B8" w:rsidRPr="002A146E">
        <w:t xml:space="preserve"> =</w:t>
      </w:r>
      <w:r w:rsidR="00AC459A" w:rsidRPr="00F8741E">
        <w:t xml:space="preserve"> </w:t>
      </w:r>
      <w:r w:rsidR="00E536B8" w:rsidRPr="00F8741E">
        <w:t>confidence interval</w:t>
      </w:r>
      <w:r w:rsidRPr="00F8741E">
        <w:t xml:space="preserve">; </w:t>
      </w:r>
      <w:r w:rsidR="00E536B8" w:rsidRPr="00F8741E">
        <w:t>MDI =</w:t>
      </w:r>
      <w:r w:rsidR="00542987" w:rsidRPr="00F8741E">
        <w:t xml:space="preserve"> metered dose inhaler</w:t>
      </w:r>
      <w:r w:rsidRPr="00F8741E">
        <w:t xml:space="preserve">; N/A = not applicable; </w:t>
      </w:r>
      <w:r w:rsidR="00E536B8" w:rsidRPr="00F8741E">
        <w:t>vs. = versus</w:t>
      </w:r>
      <w:r w:rsidRPr="00F8741E">
        <w:t>.</w:t>
      </w:r>
    </w:p>
    <w:p w14:paraId="3305019D" w14:textId="77777777" w:rsidR="00261765" w:rsidRDefault="0021780A" w:rsidP="00F8741E">
      <w:pPr>
        <w:pStyle w:val="TableDescription"/>
      </w:pPr>
      <w:r w:rsidRPr="00F8741E">
        <w:t>^ Aerosphere</w:t>
      </w:r>
    </w:p>
    <w:p w14:paraId="28B2D40F" w14:textId="46D34B85" w:rsidR="0021780A" w:rsidRPr="00F8741E" w:rsidRDefault="0021780A" w:rsidP="00F8741E">
      <w:pPr>
        <w:pStyle w:val="TableDescription"/>
      </w:pPr>
      <w:r w:rsidRPr="002552DB">
        <w:t>a</w:t>
      </w:r>
      <w:r w:rsidR="00940740">
        <w:t>.</w:t>
      </w:r>
      <w:r w:rsidRPr="00F8741E">
        <w:t xml:space="preserve"> </w:t>
      </w:r>
      <w:r w:rsidR="00E6509E" w:rsidRPr="00F8741E">
        <w:t xml:space="preserve">Moderate exacerbation </w:t>
      </w:r>
      <w:r w:rsidR="00E536B8" w:rsidRPr="00F8741E">
        <w:t>-</w:t>
      </w:r>
      <w:r w:rsidR="00E6509E" w:rsidRPr="00F8741E">
        <w:t xml:space="preserve"> systemic corticosteroids and/or antibiotics for at least three days</w:t>
      </w:r>
    </w:p>
    <w:p w14:paraId="5DFFB426" w14:textId="35F41BDE" w:rsidR="00E6509E" w:rsidRPr="00F8741E" w:rsidRDefault="00E6509E" w:rsidP="00F8741E">
      <w:pPr>
        <w:pStyle w:val="TableDescription"/>
      </w:pPr>
      <w:r w:rsidRPr="002552DB">
        <w:t>b</w:t>
      </w:r>
      <w:r w:rsidR="00940740">
        <w:t>.</w:t>
      </w:r>
      <w:r w:rsidRPr="00F8741E">
        <w:t xml:space="preserve"> Severe exacerbation </w:t>
      </w:r>
      <w:r w:rsidR="00E536B8" w:rsidRPr="00F8741E">
        <w:t>-</w:t>
      </w:r>
      <w:r w:rsidRPr="00F8741E">
        <w:t xml:space="preserve"> inpatient </w:t>
      </w:r>
      <w:r w:rsidR="00E536B8" w:rsidRPr="00F8741E">
        <w:t>chronic obstructive pulmonary disease (</w:t>
      </w:r>
      <w:r w:rsidRPr="00F8741E">
        <w:t>COPD</w:t>
      </w:r>
      <w:r w:rsidR="00E536B8" w:rsidRPr="00F8741E">
        <w:t>)</w:t>
      </w:r>
      <w:r w:rsidRPr="00F8741E">
        <w:t xml:space="preserve"> related hospitalisation or COPD related death</w:t>
      </w:r>
    </w:p>
    <w:p w14:paraId="5852A4AC" w14:textId="2FA0CD50" w:rsidR="00957108" w:rsidRDefault="00957108" w:rsidP="003443BC">
      <w:pPr>
        <w:pStyle w:val="TableTitle"/>
      </w:pPr>
      <w:bookmarkStart w:id="61" w:name="_Ref97543938"/>
      <w:r>
        <w:lastRenderedPageBreak/>
        <w:t xml:space="preserve">Table </w:t>
      </w:r>
      <w:r w:rsidR="001108B3">
        <w:fldChar w:fldCharType="begin"/>
      </w:r>
      <w:r w:rsidR="001108B3">
        <w:instrText xml:space="preserve"> SEQ Table \* ARABIC </w:instrText>
      </w:r>
      <w:r w:rsidR="001108B3">
        <w:fldChar w:fldCharType="separate"/>
      </w:r>
      <w:r w:rsidR="00E53BA0">
        <w:rPr>
          <w:noProof/>
        </w:rPr>
        <w:t>5</w:t>
      </w:r>
      <w:r w:rsidR="001108B3">
        <w:rPr>
          <w:noProof/>
        </w:rPr>
        <w:fldChar w:fldCharType="end"/>
      </w:r>
      <w:bookmarkEnd w:id="61"/>
      <w:r>
        <w:t xml:space="preserve">: </w:t>
      </w:r>
      <w:r w:rsidRPr="008554D2">
        <w:t xml:space="preserve">Study PT010005 </w:t>
      </w:r>
      <w:r w:rsidR="003443BC">
        <w:t>Overview of results of primary and secondary efficacy</w:t>
      </w:r>
      <w:r w:rsidR="004103AE">
        <w:t xml:space="preserve"> </w:t>
      </w:r>
      <w:r w:rsidR="003443BC">
        <w:t xml:space="preserve">endpoints </w:t>
      </w:r>
      <w:r>
        <w:t>(m</w:t>
      </w:r>
      <w:r w:rsidRPr="00644A94">
        <w:t>odified intention</w:t>
      </w:r>
      <w:r>
        <w:t>-</w:t>
      </w:r>
      <w:r w:rsidRPr="00644A94">
        <w:t>to</w:t>
      </w:r>
      <w:r>
        <w:t>-</w:t>
      </w:r>
      <w:r w:rsidRPr="00644A94">
        <w:t>treat</w:t>
      </w:r>
      <w:r w:rsidRPr="008554D2">
        <w:t xml:space="preserve"> </w:t>
      </w:r>
      <w:r>
        <w:t>p</w:t>
      </w:r>
      <w:r w:rsidRPr="008554D2">
        <w:t>opulation</w:t>
      </w:r>
      <w:r>
        <w:t>)</w:t>
      </w:r>
    </w:p>
    <w:p w14:paraId="75843EF6" w14:textId="0436359A" w:rsidR="00957108" w:rsidRDefault="00957108" w:rsidP="00957108">
      <w:r>
        <w:rPr>
          <w:noProof/>
          <w:lang w:val="en-GB" w:eastAsia="en-GB"/>
        </w:rPr>
        <w:drawing>
          <wp:inline distT="0" distB="0" distL="0" distR="0" wp14:anchorId="67C3B79C" wp14:editId="6A755261">
            <wp:extent cx="5400040" cy="5815330"/>
            <wp:effectExtent l="0" t="0" r="0" b="0"/>
            <wp:docPr id="4" name="Picture 4" descr="Table 5: Study PT010005 Overview of results of primary and secondary efficacy endpoints (modified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5: Study PT010005 Overview of results of primary and secondary efficacy endpoints (modified intention-to-treat population)"/>
                    <pic:cNvPicPr/>
                  </pic:nvPicPr>
                  <pic:blipFill>
                    <a:blip r:embed="rId27">
                      <a:extLst>
                        <a:ext uri="{28A0092B-C50C-407E-A947-70E740481C1C}">
                          <a14:useLocalDpi xmlns:a14="http://schemas.microsoft.com/office/drawing/2010/main" val="0"/>
                        </a:ext>
                      </a:extLst>
                    </a:blip>
                    <a:stretch>
                      <a:fillRect/>
                    </a:stretch>
                  </pic:blipFill>
                  <pic:spPr>
                    <a:xfrm>
                      <a:off x="0" y="0"/>
                      <a:ext cx="5400040" cy="5815330"/>
                    </a:xfrm>
                    <a:prstGeom prst="rect">
                      <a:avLst/>
                    </a:prstGeom>
                  </pic:spPr>
                </pic:pic>
              </a:graphicData>
            </a:graphic>
          </wp:inline>
        </w:drawing>
      </w:r>
    </w:p>
    <w:p w14:paraId="5723D22D" w14:textId="77777777" w:rsidR="008E7751" w:rsidRDefault="008E7751" w:rsidP="008E7751">
      <w:pPr>
        <w:pStyle w:val="TableTitle"/>
      </w:pPr>
      <w:r>
        <w:br w:type="page"/>
      </w:r>
    </w:p>
    <w:p w14:paraId="12DA0150" w14:textId="17F1C99C" w:rsidR="008E7751" w:rsidRPr="008E7751" w:rsidRDefault="008E7751">
      <w:pPr>
        <w:pStyle w:val="TableTitle"/>
      </w:pPr>
      <w:r w:rsidRPr="001A3994">
        <w:lastRenderedPageBreak/>
        <w:fldChar w:fldCharType="begin"/>
      </w:r>
      <w:r w:rsidRPr="008E7751">
        <w:instrText xml:space="preserve"> REF _Ref97543938 \h </w:instrText>
      </w:r>
      <w:r>
        <w:instrText xml:space="preserve"> \* MERGEFORMAT </w:instrText>
      </w:r>
      <w:r w:rsidRPr="001A3994">
        <w:fldChar w:fldCharType="separate"/>
      </w:r>
      <w:r w:rsidR="00E53BA0">
        <w:t>Table 5</w:t>
      </w:r>
      <w:r w:rsidRPr="001A3994">
        <w:fldChar w:fldCharType="end"/>
      </w:r>
      <w:r w:rsidRPr="008E7751">
        <w:t xml:space="preserve"> continued: Study PT010005 Overview of results of primary and secondary efficacy endpoints (modified intention-to-treat population)</w:t>
      </w:r>
    </w:p>
    <w:p w14:paraId="6D705375" w14:textId="77777777" w:rsidR="00957108" w:rsidRDefault="00957108" w:rsidP="00957108">
      <w:r>
        <w:rPr>
          <w:noProof/>
          <w:lang w:val="en-GB" w:eastAsia="en-GB"/>
        </w:rPr>
        <w:drawing>
          <wp:inline distT="0" distB="0" distL="0" distR="0" wp14:anchorId="58210EF5" wp14:editId="792F9C25">
            <wp:extent cx="4579952" cy="6186259"/>
            <wp:effectExtent l="0" t="0" r="0" b="5080"/>
            <wp:docPr id="10" name="Picture 10" descr="Table 5 continued: Study PT010005 Overview of results of primary and secondary efficacy endpoints (modified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5 continued: Study PT010005 Overview of results of primary and secondary efficacy endpoints (modified intention-to-treat population)"/>
                    <pic:cNvPicPr/>
                  </pic:nvPicPr>
                  <pic:blipFill>
                    <a:blip r:embed="rId28">
                      <a:extLst>
                        <a:ext uri="{28A0092B-C50C-407E-A947-70E740481C1C}">
                          <a14:useLocalDpi xmlns:a14="http://schemas.microsoft.com/office/drawing/2010/main" val="0"/>
                        </a:ext>
                      </a:extLst>
                    </a:blip>
                    <a:stretch>
                      <a:fillRect/>
                    </a:stretch>
                  </pic:blipFill>
                  <pic:spPr>
                    <a:xfrm>
                      <a:off x="0" y="0"/>
                      <a:ext cx="4635067" cy="6260704"/>
                    </a:xfrm>
                    <a:prstGeom prst="rect">
                      <a:avLst/>
                    </a:prstGeom>
                  </pic:spPr>
                </pic:pic>
              </a:graphicData>
            </a:graphic>
          </wp:inline>
        </w:drawing>
      </w:r>
    </w:p>
    <w:p w14:paraId="093EA585" w14:textId="0D1E2C38" w:rsidR="00957108" w:rsidRDefault="00957108" w:rsidP="00957108">
      <w:pPr>
        <w:pStyle w:val="TableDescription"/>
      </w:pPr>
      <w:r>
        <w:t>AUC</w:t>
      </w:r>
      <w:r w:rsidRPr="004016CF">
        <w:rPr>
          <w:vertAlign w:val="subscript"/>
        </w:rPr>
        <w:t>0-4</w:t>
      </w:r>
      <w:r>
        <w:t xml:space="preserve"> =</w:t>
      </w:r>
      <w:r w:rsidRPr="006302C6">
        <w:t xml:space="preserve"> </w:t>
      </w:r>
      <w:r>
        <w:t>a</w:t>
      </w:r>
      <w:r w:rsidRPr="006302C6">
        <w:t>rea under the concentration time curve from time 0 to 4 hours</w:t>
      </w:r>
      <w:r>
        <w:t>; BFF =</w:t>
      </w:r>
      <w:r w:rsidRPr="006302C6">
        <w:t xml:space="preserve"> </w:t>
      </w:r>
      <w:r>
        <w:t>b</w:t>
      </w:r>
      <w:r w:rsidRPr="006302C6">
        <w:t>udesonide / formoterol fumarate</w:t>
      </w:r>
      <w:r>
        <w:t>; BGF = b</w:t>
      </w:r>
      <w:r w:rsidRPr="004E03C1">
        <w:t>udesonide</w:t>
      </w:r>
      <w:r>
        <w:t xml:space="preserve"> / </w:t>
      </w:r>
      <w:r w:rsidRPr="004E03C1">
        <w:t xml:space="preserve">glycopyrronium </w:t>
      </w:r>
      <w:r>
        <w:t xml:space="preserve">/ </w:t>
      </w:r>
      <w:r w:rsidRPr="004E03C1">
        <w:t>formoterol fumarate</w:t>
      </w:r>
      <w:r>
        <w:t xml:space="preserve">; </w:t>
      </w:r>
      <w:r w:rsidRPr="00E536B8">
        <w:t>CI</w:t>
      </w:r>
      <w:r>
        <w:t xml:space="preserve"> =</w:t>
      </w:r>
      <w:r w:rsidRPr="00E536B8">
        <w:t xml:space="preserve"> confidence interval</w:t>
      </w:r>
      <w:r>
        <w:t>; EXACT =</w:t>
      </w:r>
      <w:r w:rsidRPr="006302C6">
        <w:t xml:space="preserve"> </w:t>
      </w:r>
      <w:r>
        <w:t>e</w:t>
      </w:r>
      <w:r w:rsidRPr="006302C6">
        <w:t>xacerbations of chronic obstructive pulmonary disease (COPD) tool</w:t>
      </w:r>
      <w:r>
        <w:t>; FEV</w:t>
      </w:r>
      <w:r w:rsidRPr="001F41C2">
        <w:rPr>
          <w:vertAlign w:val="subscript"/>
        </w:rPr>
        <w:t>1</w:t>
      </w:r>
      <w:r>
        <w:t xml:space="preserve"> =</w:t>
      </w:r>
      <w:r w:rsidRPr="006302C6">
        <w:t xml:space="preserve"> </w:t>
      </w:r>
      <w:r>
        <w:t>f</w:t>
      </w:r>
      <w:r w:rsidRPr="006302C6">
        <w:t>orced expiratory volume in one second</w:t>
      </w:r>
      <w:r>
        <w:t>; GFF = g</w:t>
      </w:r>
      <w:r w:rsidRPr="006302C6">
        <w:t>lycopyrronium / formoterol fumarate</w:t>
      </w:r>
      <w:r>
        <w:t>; HFA =</w:t>
      </w:r>
      <w:r w:rsidRPr="002A146E">
        <w:t xml:space="preserve"> </w:t>
      </w:r>
      <w:r>
        <w:t>h</w:t>
      </w:r>
      <w:r w:rsidRPr="002A146E">
        <w:t>ydrofluoroalkane</w:t>
      </w:r>
      <w:r>
        <w:t>; ITT =</w:t>
      </w:r>
      <w:r w:rsidRPr="00542987">
        <w:t xml:space="preserve"> </w:t>
      </w:r>
      <w:r>
        <w:t>intention-to-treat; LS =</w:t>
      </w:r>
      <w:r w:rsidRPr="00542987">
        <w:t xml:space="preserve"> least square</w:t>
      </w:r>
      <w:r>
        <w:t>; MDI = m</w:t>
      </w:r>
      <w:r w:rsidRPr="00542987">
        <w:t>etered dose inhaler</w:t>
      </w:r>
      <w:r>
        <w:t>; mITT = modified intention-to-treat; PFT = p</w:t>
      </w:r>
      <w:r w:rsidRPr="00C2129C">
        <w:t>ulmonary function test</w:t>
      </w:r>
      <w:r>
        <w:t xml:space="preserve">; RVU = </w:t>
      </w:r>
      <w:r w:rsidRPr="00C2129C">
        <w:t xml:space="preserve">rescue </w:t>
      </w:r>
      <w:r w:rsidR="00622F41" w:rsidRPr="00C2129C">
        <w:t>Ventolin</w:t>
      </w:r>
      <w:r w:rsidRPr="00C2129C">
        <w:t xml:space="preserve"> user</w:t>
      </w:r>
      <w:r>
        <w:t>; SE = standard error; SGRQ =</w:t>
      </w:r>
      <w:r w:rsidRPr="002A146E">
        <w:t xml:space="preserve"> St. George’s Respiratory Questionnaire</w:t>
      </w:r>
      <w:r>
        <w:t>; TDI =</w:t>
      </w:r>
      <w:r w:rsidRPr="002A146E">
        <w:t xml:space="preserve"> transition </w:t>
      </w:r>
      <w:r w:rsidR="00622F41" w:rsidRPr="002A146E">
        <w:t>dyspnoea</w:t>
      </w:r>
      <w:r w:rsidRPr="002A146E">
        <w:t xml:space="preserve"> index</w:t>
      </w:r>
      <w:r>
        <w:t>; vs. = versus.</w:t>
      </w:r>
    </w:p>
    <w:p w14:paraId="43609617" w14:textId="77777777" w:rsidR="00957108" w:rsidRDefault="00957108" w:rsidP="00957108">
      <w:pPr>
        <w:pStyle w:val="TableDescription"/>
      </w:pPr>
      <w:r w:rsidRPr="00E536B8">
        <w:t xml:space="preserve">* </w:t>
      </w:r>
      <w:r>
        <w:t>S</w:t>
      </w:r>
      <w:r w:rsidRPr="00E536B8">
        <w:t>tatistically significant</w:t>
      </w:r>
    </w:p>
    <w:p w14:paraId="6B6AC1BA" w14:textId="77777777" w:rsidR="00957108" w:rsidRDefault="00957108" w:rsidP="00957108">
      <w:pPr>
        <w:pStyle w:val="TableDescription"/>
      </w:pPr>
      <w:r w:rsidRPr="00E536B8">
        <w:t xml:space="preserve"># </w:t>
      </w:r>
      <w:r>
        <w:t>N</w:t>
      </w:r>
      <w:r w:rsidRPr="00E536B8">
        <w:t>ominally significant (</w:t>
      </w:r>
      <w:r>
        <w:t>t</w:t>
      </w:r>
      <w:r w:rsidRPr="00E536B8">
        <w:t xml:space="preserve">hat is p &lt; 0.046 but not statistically significant due to procedure for </w:t>
      </w:r>
      <w:r>
        <w:t>c</w:t>
      </w:r>
      <w:r w:rsidRPr="005936D8">
        <w:t xml:space="preserve">ontrol of Type I </w:t>
      </w:r>
      <w:r>
        <w:t>e</w:t>
      </w:r>
      <w:r w:rsidRPr="005936D8">
        <w:t>rror</w:t>
      </w:r>
      <w:r w:rsidRPr="00E536B8">
        <w:t>)</w:t>
      </w:r>
    </w:p>
    <w:p w14:paraId="7996E072" w14:textId="1CD8B8BF" w:rsidR="00957108" w:rsidRPr="00E536B8" w:rsidRDefault="00957108" w:rsidP="00957108">
      <w:pPr>
        <w:pStyle w:val="TableDescription"/>
      </w:pPr>
      <w:r w:rsidRPr="00E536B8">
        <w:t>§ p &lt; 0.046 but not included in Type I error control.</w:t>
      </w:r>
    </w:p>
    <w:p w14:paraId="2C2D7A90" w14:textId="40362E6D" w:rsidR="00957108" w:rsidRPr="00E536B8" w:rsidRDefault="00957108" w:rsidP="00957108">
      <w:pPr>
        <w:pStyle w:val="TableDescription"/>
      </w:pPr>
      <w:r w:rsidRPr="005936D8">
        <w:t>a</w:t>
      </w:r>
      <w:r>
        <w:t>.</w:t>
      </w:r>
      <w:r w:rsidRPr="00E536B8">
        <w:t xml:space="preserve"> The </w:t>
      </w:r>
      <w:r>
        <w:t>n</w:t>
      </w:r>
      <w:r w:rsidRPr="00940740">
        <w:t>on-inferior</w:t>
      </w:r>
      <w:r>
        <w:t>ity</w:t>
      </w:r>
      <w:r w:rsidRPr="00E536B8">
        <w:t xml:space="preserve"> margin for the rate of severe COPD exacerbations was 1.1 and the 95% CI for the comparison of BGF MDI </w:t>
      </w:r>
      <w:r w:rsidR="00072973">
        <w:t>(</w:t>
      </w:r>
      <w:r w:rsidRPr="00E536B8">
        <w:t xml:space="preserve">160/14.4/9.6 </w:t>
      </w:r>
      <w:r w:rsidRPr="005936D8">
        <w:t>µ</w:t>
      </w:r>
      <w:r w:rsidRPr="00E536B8">
        <w:t>g</w:t>
      </w:r>
      <w:r w:rsidR="00072973">
        <w:t>)</w:t>
      </w:r>
      <w:r w:rsidRPr="00E536B8">
        <w:t xml:space="preserve"> to BFF MDI using the </w:t>
      </w:r>
      <w:r>
        <w:t>per-protocol</w:t>
      </w:r>
      <w:r w:rsidRPr="00E536B8">
        <w:t xml:space="preserve"> estimated was (0.68, 1.00).</w:t>
      </w:r>
    </w:p>
    <w:p w14:paraId="4E642A07" w14:textId="08B0268E" w:rsidR="00BC07DB" w:rsidRDefault="00BC07DB" w:rsidP="00BC07DB">
      <w:r w:rsidRPr="00BC07DB">
        <w:lastRenderedPageBreak/>
        <w:t xml:space="preserve">The rate of moderate or severe exacerbations (per year) was 1.08 for BGF MDI (320/14.4/9.6 </w:t>
      </w:r>
      <w:proofErr w:type="spellStart"/>
      <w:r w:rsidR="00522100" w:rsidRPr="002552DB">
        <w:t>μ</w:t>
      </w:r>
      <w:r w:rsidRPr="00366E53">
        <w:t>g</w:t>
      </w:r>
      <w:proofErr w:type="spellEnd"/>
      <w:r w:rsidR="00072973">
        <w:t xml:space="preserve">, </w:t>
      </w:r>
      <w:r w:rsidRPr="00BC07DB">
        <w:t xml:space="preserve">shown as </w:t>
      </w:r>
      <w:proofErr w:type="spellStart"/>
      <w:r w:rsidR="006C03D1" w:rsidRPr="00BC07DB">
        <w:t>Breztri</w:t>
      </w:r>
      <w:proofErr w:type="spellEnd"/>
      <w:r w:rsidRPr="00BC07DB">
        <w:t xml:space="preserve"> 160/7.2/5 in </w:t>
      </w:r>
      <w:r w:rsidR="001B4257">
        <w:fldChar w:fldCharType="begin"/>
      </w:r>
      <w:r w:rsidR="001B4257">
        <w:instrText xml:space="preserve"> REF _Ref89957301 \h </w:instrText>
      </w:r>
      <w:r w:rsidR="001B4257">
        <w:fldChar w:fldCharType="separate"/>
      </w:r>
      <w:r w:rsidR="00E53BA0">
        <w:t xml:space="preserve">Table </w:t>
      </w:r>
      <w:r w:rsidR="00E53BA0">
        <w:rPr>
          <w:noProof/>
        </w:rPr>
        <w:t>4</w:t>
      </w:r>
      <w:r w:rsidR="001B4257">
        <w:fldChar w:fldCharType="end"/>
      </w:r>
      <w:r w:rsidR="009B763E">
        <w:t xml:space="preserve"> above</w:t>
      </w:r>
      <w:r w:rsidRPr="00BC07DB">
        <w:t xml:space="preserve">), 1.42 for GFF MDI (shown as </w:t>
      </w:r>
      <w:proofErr w:type="spellStart"/>
      <w:r w:rsidR="009B763E" w:rsidRPr="00BC07DB">
        <w:t>Bevespi</w:t>
      </w:r>
      <w:proofErr w:type="spellEnd"/>
      <w:r w:rsidR="009B763E" w:rsidRPr="00BC07DB">
        <w:t xml:space="preserve"> </w:t>
      </w:r>
      <w:r w:rsidRPr="00BC07DB">
        <w:t>7.2/5</w:t>
      </w:r>
      <w:r w:rsidR="009B763E">
        <w:t xml:space="preserve"> in </w:t>
      </w:r>
      <w:r w:rsidR="009B763E">
        <w:fldChar w:fldCharType="begin"/>
      </w:r>
      <w:r w:rsidR="009B763E">
        <w:instrText xml:space="preserve"> REF _Ref89957301 \h </w:instrText>
      </w:r>
      <w:r w:rsidR="009B763E">
        <w:fldChar w:fldCharType="separate"/>
      </w:r>
      <w:r w:rsidR="00E53BA0">
        <w:t xml:space="preserve">Table </w:t>
      </w:r>
      <w:r w:rsidR="00E53BA0">
        <w:rPr>
          <w:noProof/>
        </w:rPr>
        <w:t>4</w:t>
      </w:r>
      <w:r w:rsidR="009B763E">
        <w:fldChar w:fldCharType="end"/>
      </w:r>
      <w:r w:rsidR="009B763E">
        <w:t xml:space="preserve"> above</w:t>
      </w:r>
      <w:r w:rsidRPr="00BC07DB">
        <w:t>) and 1.24 for BFF MDI. The main efficacy outcomes are summarised in</w:t>
      </w:r>
      <w:r>
        <w:t xml:space="preserve"> </w:t>
      </w:r>
      <w:r w:rsidR="001B4257">
        <w:fldChar w:fldCharType="begin"/>
      </w:r>
      <w:r w:rsidR="001B4257">
        <w:instrText xml:space="preserve"> REF _Ref89957301 \h </w:instrText>
      </w:r>
      <w:r w:rsidR="001B4257">
        <w:fldChar w:fldCharType="separate"/>
      </w:r>
      <w:r w:rsidR="00E53BA0">
        <w:t xml:space="preserve">Table </w:t>
      </w:r>
      <w:r w:rsidR="00E53BA0">
        <w:rPr>
          <w:noProof/>
        </w:rPr>
        <w:t>4</w:t>
      </w:r>
      <w:r w:rsidR="001B4257">
        <w:fldChar w:fldCharType="end"/>
      </w:r>
      <w:r>
        <w:t xml:space="preserve"> and </w:t>
      </w:r>
      <w:r w:rsidR="00422DA7">
        <w:fldChar w:fldCharType="begin"/>
      </w:r>
      <w:r w:rsidR="00422DA7">
        <w:instrText xml:space="preserve"> REF _Ref97543938 \h </w:instrText>
      </w:r>
      <w:r w:rsidR="00422DA7">
        <w:fldChar w:fldCharType="separate"/>
      </w:r>
      <w:r w:rsidR="00E53BA0">
        <w:t xml:space="preserve">Table </w:t>
      </w:r>
      <w:r w:rsidR="00E53BA0">
        <w:rPr>
          <w:noProof/>
        </w:rPr>
        <w:t>5</w:t>
      </w:r>
      <w:r w:rsidR="00422DA7">
        <w:fldChar w:fldCharType="end"/>
      </w:r>
      <w:r>
        <w:t xml:space="preserve"> (results for BGF MDI (160/14.4/9.6 </w:t>
      </w:r>
      <w:proofErr w:type="spellStart"/>
      <w:r w:rsidR="00522100" w:rsidRPr="002552DB">
        <w:t>μ</w:t>
      </w:r>
      <w:r w:rsidRPr="00366E53">
        <w:t>g</w:t>
      </w:r>
      <w:proofErr w:type="spellEnd"/>
      <w:r>
        <w:t>) are not shown in this section, but in</w:t>
      </w:r>
      <w:r w:rsidR="00056140">
        <w:t xml:space="preserve"> </w:t>
      </w:r>
      <w:r w:rsidR="00422DA7">
        <w:fldChar w:fldCharType="begin"/>
      </w:r>
      <w:r w:rsidR="00422DA7">
        <w:instrText xml:space="preserve"> REF _Ref97543938 \h </w:instrText>
      </w:r>
      <w:r w:rsidR="00422DA7">
        <w:fldChar w:fldCharType="separate"/>
      </w:r>
      <w:r w:rsidR="00E53BA0">
        <w:t xml:space="preserve">Table </w:t>
      </w:r>
      <w:r w:rsidR="00E53BA0">
        <w:rPr>
          <w:noProof/>
        </w:rPr>
        <w:t>5</w:t>
      </w:r>
      <w:r w:rsidR="00422DA7">
        <w:fldChar w:fldCharType="end"/>
      </w:r>
      <w:r w:rsidR="00ED2BFD">
        <w:t>)</w:t>
      </w:r>
      <w:r>
        <w:t>:</w:t>
      </w:r>
    </w:p>
    <w:p w14:paraId="73AD29A7" w14:textId="100AD3CD" w:rsidR="00BC07DB" w:rsidRDefault="00BC07DB" w:rsidP="00A275EA">
      <w:pPr>
        <w:pStyle w:val="ListBullet"/>
      </w:pPr>
      <w:r>
        <w:t xml:space="preserve">Using BGF MDI (320/14.4/9.6 </w:t>
      </w:r>
      <w:proofErr w:type="spellStart"/>
      <w:r w:rsidR="00522100" w:rsidRPr="002552DB">
        <w:t>μ</w:t>
      </w:r>
      <w:r w:rsidRPr="00366E53">
        <w:t>g</w:t>
      </w:r>
      <w:proofErr w:type="spellEnd"/>
      <w:r>
        <w:t>) (n</w:t>
      </w:r>
      <w:r w:rsidR="009B763E">
        <w:t xml:space="preserve"> </w:t>
      </w:r>
      <w:r>
        <w:t>=</w:t>
      </w:r>
      <w:r w:rsidR="009B763E">
        <w:t xml:space="preserve"> </w:t>
      </w:r>
      <w:r>
        <w:t xml:space="preserve">2137) as the reference, the rate ratio (95% </w:t>
      </w:r>
      <w:r w:rsidR="00DB169B">
        <w:t>confidence interval (</w:t>
      </w:r>
      <w:r>
        <w:t>CI</w:t>
      </w:r>
      <w:r w:rsidR="00DB169B">
        <w:t>)</w:t>
      </w:r>
      <w:r>
        <w:t>) was</w:t>
      </w:r>
      <w:r w:rsidR="005B6FD5">
        <w:t>:</w:t>
      </w:r>
    </w:p>
    <w:p w14:paraId="5523E713" w14:textId="130FA6A7" w:rsidR="00BC07DB" w:rsidRPr="00366E53" w:rsidRDefault="00BC07DB" w:rsidP="00366E53">
      <w:pPr>
        <w:pStyle w:val="ListBullet2"/>
      </w:pPr>
      <w:r w:rsidRPr="00366E53">
        <w:t>0.76 (0.69</w:t>
      </w:r>
      <w:r w:rsidR="0083040D" w:rsidRPr="00366E53">
        <w:t>,</w:t>
      </w:r>
      <w:r w:rsidR="0083040D" w:rsidRPr="0083040D">
        <w:t xml:space="preserve"> </w:t>
      </w:r>
      <w:r w:rsidRPr="0083040D">
        <w:t>0.83) for GFF MDI (n</w:t>
      </w:r>
      <w:r w:rsidR="0083040D" w:rsidRPr="0083040D">
        <w:t xml:space="preserve"> </w:t>
      </w:r>
      <w:r w:rsidRPr="0083040D">
        <w:t>=</w:t>
      </w:r>
      <w:r w:rsidR="0083040D" w:rsidRPr="0083040D">
        <w:t xml:space="preserve"> </w:t>
      </w:r>
      <w:r w:rsidRPr="0083040D">
        <w:t>2120) (</w:t>
      </w:r>
      <w:r w:rsidR="00C60C01" w:rsidRPr="0083040D">
        <w:t>superior</w:t>
      </w:r>
      <w:r w:rsidRPr="00366E53">
        <w:t>)</w:t>
      </w:r>
    </w:p>
    <w:p w14:paraId="5D64A409" w14:textId="5A791674" w:rsidR="00BC07DB" w:rsidRPr="0083040D" w:rsidRDefault="00BC07DB">
      <w:pPr>
        <w:pStyle w:val="ListBullet2"/>
      </w:pPr>
      <w:r w:rsidRPr="0083040D">
        <w:t>0.87 (0.79</w:t>
      </w:r>
      <w:r w:rsidR="0083040D" w:rsidRPr="0083040D">
        <w:t xml:space="preserve">, </w:t>
      </w:r>
      <w:r w:rsidRPr="0083040D">
        <w:t>0.95) for BFF MDI (n</w:t>
      </w:r>
      <w:r w:rsidR="0083040D" w:rsidRPr="0083040D">
        <w:t xml:space="preserve"> </w:t>
      </w:r>
      <w:r w:rsidRPr="0083040D">
        <w:t>= 2131) (</w:t>
      </w:r>
      <w:r w:rsidR="00C60C01" w:rsidRPr="0083040D">
        <w:t>superior</w:t>
      </w:r>
      <w:r w:rsidRPr="0083040D">
        <w:t>)</w:t>
      </w:r>
    </w:p>
    <w:p w14:paraId="78F5C8D4" w14:textId="77777777" w:rsidR="00BC07DB" w:rsidRDefault="00BC07DB" w:rsidP="00BC07DB">
      <w:r>
        <w:t>There were no clear subgroup effects for the primary efficacy outcome measure. Efficacy may be greater in patients with higher baseline severity.</w:t>
      </w:r>
    </w:p>
    <w:p w14:paraId="08266BDF" w14:textId="499E725A" w:rsidR="00BC07DB" w:rsidRDefault="00BC07DB" w:rsidP="00B32610">
      <w:pPr>
        <w:pStyle w:val="Heading6"/>
      </w:pPr>
      <w:r>
        <w:t xml:space="preserve">Results of the </w:t>
      </w:r>
      <w:r w:rsidR="0083040D">
        <w:t>p</w:t>
      </w:r>
      <w:r w:rsidR="0083040D" w:rsidRPr="0083040D">
        <w:t>ulmonary function test</w:t>
      </w:r>
      <w:r w:rsidR="0083040D" w:rsidRPr="0083040D" w:rsidDel="0083040D">
        <w:t xml:space="preserve"> </w:t>
      </w:r>
      <w:r>
        <w:t>sub</w:t>
      </w:r>
      <w:r w:rsidR="00407F30">
        <w:t>-</w:t>
      </w:r>
      <w:r>
        <w:t>study over 24 weeks</w:t>
      </w:r>
    </w:p>
    <w:p w14:paraId="11A442AE" w14:textId="6FF46D32" w:rsidR="00F95987" w:rsidRDefault="0083040D" w:rsidP="002552DB">
      <w:pPr>
        <w:pStyle w:val="Heading7"/>
      </w:pPr>
      <w:r w:rsidRPr="002552DB">
        <w:rPr>
          <w:sz w:val="22"/>
          <w:szCs w:val="28"/>
        </w:rPr>
        <w:t>Forced expiratory volume in one second</w:t>
      </w:r>
      <w:r w:rsidR="003A0031">
        <w:rPr>
          <w:sz w:val="22"/>
          <w:szCs w:val="28"/>
        </w:rPr>
        <w:t xml:space="preserve"> a</w:t>
      </w:r>
      <w:r w:rsidR="003A0031" w:rsidRPr="003A0031">
        <w:rPr>
          <w:sz w:val="22"/>
          <w:szCs w:val="28"/>
        </w:rPr>
        <w:t>rea under the concentration time curve from time 0 to 4 hours</w:t>
      </w:r>
    </w:p>
    <w:p w14:paraId="4505116B" w14:textId="2C572532" w:rsidR="00BC07DB" w:rsidRDefault="00600CE6" w:rsidP="00BC07DB">
      <w:r>
        <w:t xml:space="preserve">There </w:t>
      </w:r>
      <w:r w:rsidR="00BC07DB">
        <w:t xml:space="preserve">were greater improvements for </w:t>
      </w:r>
      <w:r w:rsidR="0082377B">
        <w:t xml:space="preserve">the </w:t>
      </w:r>
      <w:r w:rsidR="0083040D">
        <w:t xml:space="preserve">BGF </w:t>
      </w:r>
      <w:r w:rsidR="00F82CDE">
        <w:t>MDI</w:t>
      </w:r>
      <w:r w:rsidR="0082377B">
        <w:t xml:space="preserve"> </w:t>
      </w:r>
      <w:r w:rsidR="00072973">
        <w:t>(32</w:t>
      </w:r>
      <w:r w:rsidR="00072973" w:rsidRPr="00174322">
        <w:t>0</w:t>
      </w:r>
      <w:r w:rsidR="00072973">
        <w:t>/14.4/9.6 </w:t>
      </w:r>
      <w:r w:rsidR="00072973" w:rsidRPr="00174322">
        <w:t>µg</w:t>
      </w:r>
      <w:r w:rsidR="00072973">
        <w:t xml:space="preserve">; </w:t>
      </w:r>
      <w:r w:rsidR="00BC07DB">
        <w:t xml:space="preserve">shown as </w:t>
      </w:r>
      <w:r>
        <w:t>Breztri</w:t>
      </w:r>
      <w:r w:rsidR="00BC07DB">
        <w:t xml:space="preserve"> 160/7.2/5) compared to GFF MDI (shown as </w:t>
      </w:r>
      <w:proofErr w:type="spellStart"/>
      <w:r>
        <w:t>Bevespi</w:t>
      </w:r>
      <w:proofErr w:type="spellEnd"/>
      <w:r>
        <w:t xml:space="preserve"> </w:t>
      </w:r>
      <w:r w:rsidR="00BC07DB">
        <w:t>7.2/5) (n</w:t>
      </w:r>
      <w:r w:rsidR="0083040D">
        <w:t xml:space="preserve"> </w:t>
      </w:r>
      <w:r w:rsidR="00BC07DB">
        <w:t>=</w:t>
      </w:r>
      <w:r>
        <w:t xml:space="preserve"> </w:t>
      </w:r>
      <w:r w:rsidR="00BC07DB">
        <w:t>779) and BFF MDI (n</w:t>
      </w:r>
      <w:r w:rsidR="00ED2BFD">
        <w:t xml:space="preserve"> </w:t>
      </w:r>
      <w:r w:rsidR="00BC07DB">
        <w:t>=</w:t>
      </w:r>
      <w:r>
        <w:t xml:space="preserve"> </w:t>
      </w:r>
      <w:r w:rsidR="00BC07DB">
        <w:t>755) (</w:t>
      </w:r>
      <w:r w:rsidR="0083040D">
        <w:t xml:space="preserve">in </w:t>
      </w:r>
      <w:r w:rsidR="00BD0E22">
        <w:fldChar w:fldCharType="begin"/>
      </w:r>
      <w:r w:rsidR="00BD0E22">
        <w:instrText xml:space="preserve"> REF _Ref89957344 \h </w:instrText>
      </w:r>
      <w:r w:rsidR="00BD0E22">
        <w:fldChar w:fldCharType="separate"/>
      </w:r>
      <w:r w:rsidR="00E53BA0">
        <w:t xml:space="preserve">Table </w:t>
      </w:r>
      <w:r w:rsidR="00E53BA0">
        <w:rPr>
          <w:noProof/>
        </w:rPr>
        <w:t>6</w:t>
      </w:r>
      <w:r w:rsidR="00BD0E22">
        <w:fldChar w:fldCharType="end"/>
      </w:r>
      <w:r w:rsidR="0083040D">
        <w:t xml:space="preserve"> below</w:t>
      </w:r>
      <w:r w:rsidR="00BC07DB">
        <w:t>).</w:t>
      </w:r>
    </w:p>
    <w:p w14:paraId="6E7A13AE" w14:textId="61F40A3A" w:rsidR="00BC07DB" w:rsidRDefault="00BC07DB" w:rsidP="00261765">
      <w:pPr>
        <w:pStyle w:val="ListBullet"/>
        <w:ind w:right="-427"/>
      </w:pPr>
      <w:r>
        <w:t xml:space="preserve">The </w:t>
      </w:r>
      <w:r w:rsidR="00AC5857">
        <w:t>l</w:t>
      </w:r>
      <w:r w:rsidR="00AC5857" w:rsidRPr="00AC5857">
        <w:t xml:space="preserve">east square </w:t>
      </w:r>
      <w:r w:rsidR="00040D7C">
        <w:t xml:space="preserve">(LS) </w:t>
      </w:r>
      <w:r w:rsidR="00AC5857" w:rsidRPr="00AC5857">
        <w:t>mean</w:t>
      </w:r>
      <w:r>
        <w:t xml:space="preserve"> (95% CI) difference in change of FEV</w:t>
      </w:r>
      <w:r w:rsidRPr="00855C1F">
        <w:rPr>
          <w:vertAlign w:val="subscript"/>
        </w:rPr>
        <w:t>1</w:t>
      </w:r>
      <w:r>
        <w:t xml:space="preserve"> AUC</w:t>
      </w:r>
      <w:r w:rsidRPr="00ED0058">
        <w:rPr>
          <w:vertAlign w:val="subscript"/>
        </w:rPr>
        <w:t>0-4</w:t>
      </w:r>
      <w:r w:rsidR="00023DC6">
        <w:rPr>
          <w:vertAlign w:val="subscript"/>
        </w:rPr>
        <w:t>h</w:t>
      </w:r>
      <w:r>
        <w:t xml:space="preserve"> at Week</w:t>
      </w:r>
      <w:r w:rsidR="0083040D">
        <w:t> </w:t>
      </w:r>
      <w:r>
        <w:t>24 was:</w:t>
      </w:r>
    </w:p>
    <w:p w14:paraId="5C51E3EF" w14:textId="7308833B" w:rsidR="00BC07DB" w:rsidRDefault="00BC07DB" w:rsidP="00A275EA">
      <w:pPr>
        <w:pStyle w:val="ListBullet2"/>
      </w:pPr>
      <w:r>
        <w:t>49 (31</w:t>
      </w:r>
      <w:r w:rsidR="0083040D">
        <w:t>,</w:t>
      </w:r>
      <w:r>
        <w:t xml:space="preserve"> 66) mL compared to GFF MDI (</w:t>
      </w:r>
      <w:r w:rsidR="00C60C01">
        <w:t>superior</w:t>
      </w:r>
      <w:r>
        <w:t>)</w:t>
      </w:r>
    </w:p>
    <w:p w14:paraId="4CA22D0D" w14:textId="289F748F" w:rsidR="00BC07DB" w:rsidRDefault="00BC07DB" w:rsidP="00A275EA">
      <w:pPr>
        <w:pStyle w:val="ListBullet2"/>
      </w:pPr>
      <w:r>
        <w:t>99 (82</w:t>
      </w:r>
      <w:r w:rsidR="0083040D">
        <w:t>,</w:t>
      </w:r>
      <w:r>
        <w:t xml:space="preserve"> 117) mL compared to BFF MDI (</w:t>
      </w:r>
      <w:r w:rsidR="00C60C01">
        <w:t>superior</w:t>
      </w:r>
      <w:r>
        <w:t>)</w:t>
      </w:r>
    </w:p>
    <w:p w14:paraId="1A18C629" w14:textId="2BB1FF08" w:rsidR="00F95987" w:rsidRPr="00BA326D" w:rsidRDefault="00BC07DB" w:rsidP="002552DB">
      <w:pPr>
        <w:pStyle w:val="Heading7"/>
        <w:rPr>
          <w:szCs w:val="28"/>
        </w:rPr>
      </w:pPr>
      <w:r w:rsidRPr="002552DB">
        <w:rPr>
          <w:sz w:val="22"/>
          <w:szCs w:val="28"/>
        </w:rPr>
        <w:t>Morning pre</w:t>
      </w:r>
      <w:r w:rsidR="00407F30" w:rsidRPr="002552DB">
        <w:rPr>
          <w:sz w:val="22"/>
          <w:szCs w:val="28"/>
        </w:rPr>
        <w:t>-</w:t>
      </w:r>
      <w:r w:rsidRPr="002552DB">
        <w:rPr>
          <w:sz w:val="22"/>
          <w:szCs w:val="28"/>
        </w:rPr>
        <w:t xml:space="preserve">dose trough </w:t>
      </w:r>
      <w:r w:rsidR="003A0031" w:rsidRPr="003A0031">
        <w:rPr>
          <w:sz w:val="22"/>
          <w:szCs w:val="28"/>
        </w:rPr>
        <w:t>forced expiratory volume in one second</w:t>
      </w:r>
    </w:p>
    <w:p w14:paraId="04A734C7" w14:textId="7BA08D7F" w:rsidR="00BC07DB" w:rsidRDefault="00351EDB" w:rsidP="00261765">
      <w:pPr>
        <w:ind w:right="-285"/>
      </w:pPr>
      <w:r>
        <w:t xml:space="preserve">There </w:t>
      </w:r>
      <w:r w:rsidR="00BC07DB">
        <w:t xml:space="preserve">were greater improvements for BGF MDI (320/14.4/9.6 </w:t>
      </w:r>
      <w:proofErr w:type="spellStart"/>
      <w:r w:rsidR="00522100" w:rsidRPr="00522100">
        <w:rPr>
          <w:i/>
          <w:iCs/>
        </w:rPr>
        <w:t>μ</w:t>
      </w:r>
      <w:r w:rsidR="00BC07DB">
        <w:t>g</w:t>
      </w:r>
      <w:proofErr w:type="spellEnd"/>
      <w:r w:rsidR="00072973">
        <w:t xml:space="preserve">; </w:t>
      </w:r>
      <w:r w:rsidR="00BC07DB">
        <w:t xml:space="preserve">shown as </w:t>
      </w:r>
      <w:proofErr w:type="spellStart"/>
      <w:r>
        <w:t>Breztri</w:t>
      </w:r>
      <w:proofErr w:type="spellEnd"/>
      <w:r>
        <w:t xml:space="preserve"> </w:t>
      </w:r>
      <w:r w:rsidR="00BC07DB">
        <w:t xml:space="preserve">160/7.2/5) compared to GFF MDI (shown as </w:t>
      </w:r>
      <w:proofErr w:type="spellStart"/>
      <w:r>
        <w:t>Bevespi</w:t>
      </w:r>
      <w:proofErr w:type="spellEnd"/>
      <w:r>
        <w:t xml:space="preserve"> </w:t>
      </w:r>
      <w:r w:rsidR="00BC07DB">
        <w:t>7.2/5) and BFF MDI (</w:t>
      </w:r>
      <w:r w:rsidR="0083040D">
        <w:t xml:space="preserve">in </w:t>
      </w:r>
      <w:r w:rsidR="00BD0E22">
        <w:fldChar w:fldCharType="begin"/>
      </w:r>
      <w:r w:rsidR="00BD0E22">
        <w:instrText xml:space="preserve"> REF _Ref89957344 \h </w:instrText>
      </w:r>
      <w:r w:rsidR="00BD0E22">
        <w:fldChar w:fldCharType="separate"/>
      </w:r>
      <w:r w:rsidR="00E53BA0">
        <w:t xml:space="preserve">Table </w:t>
      </w:r>
      <w:r w:rsidR="00E53BA0">
        <w:rPr>
          <w:noProof/>
        </w:rPr>
        <w:t>6</w:t>
      </w:r>
      <w:r w:rsidR="00BD0E22">
        <w:fldChar w:fldCharType="end"/>
      </w:r>
      <w:r w:rsidR="0083040D">
        <w:t xml:space="preserve"> below</w:t>
      </w:r>
      <w:r w:rsidR="00BC07DB">
        <w:t>).</w:t>
      </w:r>
    </w:p>
    <w:p w14:paraId="1DA05CBC" w14:textId="6CD3A3AA" w:rsidR="00BC07DB" w:rsidRDefault="00BC07DB" w:rsidP="00A275EA">
      <w:pPr>
        <w:pStyle w:val="ListBullet"/>
      </w:pPr>
      <w:r>
        <w:t>The LSM (95% CI) difference in change of morning pre</w:t>
      </w:r>
      <w:r w:rsidR="00407F30">
        <w:t>-</w:t>
      </w:r>
      <w:r>
        <w:t>dose FEV</w:t>
      </w:r>
      <w:r w:rsidRPr="00855C1F">
        <w:rPr>
          <w:vertAlign w:val="subscript"/>
        </w:rPr>
        <w:t>1</w:t>
      </w:r>
      <w:r>
        <w:t xml:space="preserve"> at Week 24 was:</w:t>
      </w:r>
    </w:p>
    <w:p w14:paraId="2C1252BE" w14:textId="652C5095" w:rsidR="00BC07DB" w:rsidRDefault="00BC07DB" w:rsidP="00A275EA">
      <w:pPr>
        <w:pStyle w:val="ListBullet2"/>
      </w:pPr>
      <w:r>
        <w:t>43 (25</w:t>
      </w:r>
      <w:r w:rsidR="0083040D">
        <w:t>,</w:t>
      </w:r>
      <w:r>
        <w:t xml:space="preserve"> 60) mL compared to GFF MDI (</w:t>
      </w:r>
      <w:r w:rsidR="00C60C01">
        <w:t>superior</w:t>
      </w:r>
      <w:r>
        <w:t>)</w:t>
      </w:r>
    </w:p>
    <w:p w14:paraId="4F9AC9FA" w14:textId="701C4D53" w:rsidR="00BC07DB" w:rsidRDefault="00BC07DB" w:rsidP="00BC07DB">
      <w:pPr>
        <w:pStyle w:val="ListBullet2"/>
      </w:pPr>
      <w:r>
        <w:t>76 (58</w:t>
      </w:r>
      <w:r w:rsidR="0083040D">
        <w:t>,</w:t>
      </w:r>
      <w:r>
        <w:t xml:space="preserve"> 94) mL compared to BFF MDI (</w:t>
      </w:r>
      <w:r w:rsidR="00C60C01">
        <w:t>superior</w:t>
      </w:r>
      <w:r>
        <w:t>)</w:t>
      </w:r>
    </w:p>
    <w:p w14:paraId="00F9906C" w14:textId="647A329B" w:rsidR="008554D2" w:rsidRDefault="00047D52" w:rsidP="00047D52">
      <w:pPr>
        <w:pStyle w:val="TableTitle"/>
      </w:pPr>
      <w:bookmarkStart w:id="62" w:name="_Ref89957344"/>
      <w:r>
        <w:t xml:space="preserve">Table </w:t>
      </w:r>
      <w:r w:rsidR="001108B3">
        <w:fldChar w:fldCharType="begin"/>
      </w:r>
      <w:r w:rsidR="001108B3">
        <w:instrText xml:space="preserve"> SEQ Table \* ARABIC </w:instrText>
      </w:r>
      <w:r w:rsidR="001108B3">
        <w:fldChar w:fldCharType="separate"/>
      </w:r>
      <w:r w:rsidR="00E53BA0">
        <w:rPr>
          <w:noProof/>
        </w:rPr>
        <w:t>6</w:t>
      </w:r>
      <w:r w:rsidR="001108B3">
        <w:rPr>
          <w:noProof/>
        </w:rPr>
        <w:fldChar w:fldCharType="end"/>
      </w:r>
      <w:bookmarkEnd w:id="62"/>
      <w:r>
        <w:t xml:space="preserve">: </w:t>
      </w:r>
      <w:r w:rsidR="008554D2">
        <w:t>Stud</w:t>
      </w:r>
      <w:r w:rsidR="00080E5D">
        <w:t>ies</w:t>
      </w:r>
      <w:r w:rsidR="008554D2">
        <w:t xml:space="preserve"> PT010005 and</w:t>
      </w:r>
      <w:r w:rsidR="00080E5D">
        <w:t xml:space="preserve"> </w:t>
      </w:r>
      <w:r w:rsidR="008554D2">
        <w:t>PT010006 Lung function test outcomes (</w:t>
      </w:r>
      <w:r w:rsidR="00080E5D">
        <w:t>m</w:t>
      </w:r>
      <w:r w:rsidR="00476439" w:rsidRPr="00476439">
        <w:t>odified intention</w:t>
      </w:r>
      <w:r w:rsidR="00080E5D">
        <w:t>-</w:t>
      </w:r>
      <w:r w:rsidR="00476439" w:rsidRPr="00476439">
        <w:t>to</w:t>
      </w:r>
      <w:r w:rsidR="00080E5D">
        <w:t>-</w:t>
      </w:r>
      <w:r w:rsidR="00476439" w:rsidRPr="00476439">
        <w:t>treat</w:t>
      </w:r>
      <w:r w:rsidR="008554D2">
        <w:t xml:space="preserve"> population)</w:t>
      </w:r>
    </w:p>
    <w:p w14:paraId="0BA7D6C3" w14:textId="77777777" w:rsidR="00C10F30" w:rsidRDefault="00C549E8" w:rsidP="00261765">
      <w:r>
        <w:rPr>
          <w:noProof/>
          <w:lang w:val="en-GB" w:eastAsia="en-GB"/>
        </w:rPr>
        <w:drawing>
          <wp:inline distT="0" distB="0" distL="0" distR="0" wp14:anchorId="7A79B448" wp14:editId="784788CB">
            <wp:extent cx="5334332" cy="1423284"/>
            <wp:effectExtent l="0" t="0" r="0" b="5715"/>
            <wp:docPr id="20" name="Picture 20" descr="Table 6: Studies PT010005 and PT010006 Lung function test outcomes (modified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6: Studies PT010005 and PT010006 Lung function test outcomes (modified intention-to-treat population)"/>
                    <pic:cNvPicPr/>
                  </pic:nvPicPr>
                  <pic:blipFill>
                    <a:blip r:embed="rId29">
                      <a:extLst>
                        <a:ext uri="{28A0092B-C50C-407E-A947-70E740481C1C}">
                          <a14:useLocalDpi xmlns:a14="http://schemas.microsoft.com/office/drawing/2010/main" val="0"/>
                        </a:ext>
                      </a:extLst>
                    </a:blip>
                    <a:stretch>
                      <a:fillRect/>
                    </a:stretch>
                  </pic:blipFill>
                  <pic:spPr>
                    <a:xfrm>
                      <a:off x="0" y="0"/>
                      <a:ext cx="5628249" cy="1501706"/>
                    </a:xfrm>
                    <a:prstGeom prst="rect">
                      <a:avLst/>
                    </a:prstGeom>
                  </pic:spPr>
                </pic:pic>
              </a:graphicData>
            </a:graphic>
          </wp:inline>
        </w:drawing>
      </w:r>
    </w:p>
    <w:p w14:paraId="2112F1D5" w14:textId="3E8452E8" w:rsidR="00542987" w:rsidRDefault="00C2129C" w:rsidP="00542987">
      <w:pPr>
        <w:pStyle w:val="TableDescription"/>
      </w:pPr>
      <w:r>
        <w:t>AUC</w:t>
      </w:r>
      <w:r w:rsidRPr="00BF6A1C">
        <w:rPr>
          <w:vertAlign w:val="subscript"/>
        </w:rPr>
        <w:t>0-4</w:t>
      </w:r>
      <w:r>
        <w:t xml:space="preserve"> =</w:t>
      </w:r>
      <w:r w:rsidRPr="006302C6">
        <w:t xml:space="preserve"> </w:t>
      </w:r>
      <w:r>
        <w:t>a</w:t>
      </w:r>
      <w:r w:rsidRPr="006302C6">
        <w:t>rea under the concentration time curve from time 0 to 4 hours</w:t>
      </w:r>
      <w:r>
        <w:t>; BFF =</w:t>
      </w:r>
      <w:r w:rsidRPr="006302C6">
        <w:t xml:space="preserve"> </w:t>
      </w:r>
      <w:r>
        <w:t>b</w:t>
      </w:r>
      <w:r w:rsidRPr="006302C6">
        <w:t>udesonide / formoterol fumarate</w:t>
      </w:r>
      <w:r>
        <w:t xml:space="preserve">; </w:t>
      </w:r>
      <w:r w:rsidRPr="00E536B8">
        <w:t>CI</w:t>
      </w:r>
      <w:r>
        <w:t xml:space="preserve"> =</w:t>
      </w:r>
      <w:r w:rsidRPr="00E536B8">
        <w:t xml:space="preserve"> confidence interval</w:t>
      </w:r>
      <w:r>
        <w:t xml:space="preserve">; </w:t>
      </w:r>
      <w:r w:rsidR="00C10F30">
        <w:t>ETOHS =</w:t>
      </w:r>
      <w:r>
        <w:t xml:space="preserve"> the ETOHS trial; FEV</w:t>
      </w:r>
      <w:r w:rsidRPr="00BF6A1C">
        <w:rPr>
          <w:vertAlign w:val="subscript"/>
        </w:rPr>
        <w:t>1</w:t>
      </w:r>
      <w:r>
        <w:t xml:space="preserve"> =</w:t>
      </w:r>
      <w:r w:rsidRPr="006302C6">
        <w:t xml:space="preserve"> </w:t>
      </w:r>
      <w:r>
        <w:t>f</w:t>
      </w:r>
      <w:r w:rsidRPr="006302C6">
        <w:t>orced expiratory volume in one second</w:t>
      </w:r>
      <w:r>
        <w:t xml:space="preserve">; </w:t>
      </w:r>
      <w:r w:rsidR="00C10F30">
        <w:t>KORONOS =</w:t>
      </w:r>
      <w:r>
        <w:t xml:space="preserve"> the KORONOS trial; </w:t>
      </w:r>
      <w:r w:rsidR="00940740" w:rsidRPr="00E536B8">
        <w:t>LSM</w:t>
      </w:r>
      <w:r w:rsidR="00940740">
        <w:t xml:space="preserve"> = l</w:t>
      </w:r>
      <w:r w:rsidR="00940740" w:rsidRPr="00E536B8">
        <w:t>east square mean</w:t>
      </w:r>
      <w:r w:rsidR="00940740">
        <w:t xml:space="preserve">; </w:t>
      </w:r>
      <w:r>
        <w:t>MDI = m</w:t>
      </w:r>
      <w:r w:rsidRPr="00542987">
        <w:t>etered dose inhaler</w:t>
      </w:r>
      <w:r>
        <w:t xml:space="preserve">; </w:t>
      </w:r>
      <w:r w:rsidR="00542987">
        <w:t>vs. = versus</w:t>
      </w:r>
      <w:r>
        <w:t>.</w:t>
      </w:r>
    </w:p>
    <w:p w14:paraId="5F6E77CF" w14:textId="61EE03AE" w:rsidR="00A61DA6" w:rsidRPr="0029306E" w:rsidRDefault="00685D91">
      <w:pPr>
        <w:pStyle w:val="TableDescription"/>
      </w:pPr>
      <w:r w:rsidRPr="0029306E">
        <w:t>^ Aerosphere</w:t>
      </w:r>
      <w:r w:rsidR="00261765">
        <w:br/>
      </w:r>
      <w:r w:rsidR="00490500" w:rsidRPr="00E536B8">
        <w:t xml:space="preserve">^^ Symbicort </w:t>
      </w:r>
      <w:proofErr w:type="spellStart"/>
      <w:r w:rsidR="00490500" w:rsidRPr="00E536B8">
        <w:t>Turbuhaler</w:t>
      </w:r>
      <w:proofErr w:type="spellEnd"/>
      <w:r w:rsidR="00490500" w:rsidRPr="00E536B8">
        <w:t xml:space="preserve"> (open label)</w:t>
      </w:r>
      <w:r w:rsidR="00261765">
        <w:br/>
      </w:r>
      <w:r w:rsidR="00490500" w:rsidRPr="00E536B8">
        <w:t xml:space="preserve">* </w:t>
      </w:r>
      <w:r w:rsidR="00940740">
        <w:t>U</w:t>
      </w:r>
      <w:r w:rsidR="00490500" w:rsidRPr="00E536B8">
        <w:t>nadjusted p-value</w:t>
      </w:r>
      <w:r w:rsidR="00261765">
        <w:br/>
      </w:r>
      <w:r w:rsidR="00855C1F" w:rsidRPr="002552DB">
        <w:t>a</w:t>
      </w:r>
      <w:r w:rsidR="00940740">
        <w:t>.</w:t>
      </w:r>
      <w:r w:rsidR="00855C1F" w:rsidRPr="00E536B8">
        <w:t xml:space="preserve"> </w:t>
      </w:r>
      <w:r w:rsidR="00940740">
        <w:t xml:space="preserve">The </w:t>
      </w:r>
      <w:r w:rsidR="00855C1F" w:rsidRPr="00E536B8">
        <w:t xml:space="preserve">KRONOS </w:t>
      </w:r>
      <w:r w:rsidR="00940740">
        <w:t xml:space="preserve">trial </w:t>
      </w:r>
      <w:r w:rsidR="00855C1F" w:rsidRPr="00E536B8">
        <w:t>coprimary endpoint</w:t>
      </w:r>
      <w:r w:rsidR="0029306E" w:rsidRPr="00E536B8">
        <w:t xml:space="preserve">; </w:t>
      </w:r>
      <w:r w:rsidR="00940740">
        <w:t xml:space="preserve">the </w:t>
      </w:r>
      <w:r w:rsidR="0029306E" w:rsidRPr="00E536B8">
        <w:t xml:space="preserve">ETHOS </w:t>
      </w:r>
      <w:r w:rsidR="00940740">
        <w:t xml:space="preserve">trial </w:t>
      </w:r>
      <w:r w:rsidR="0029306E" w:rsidRPr="00E536B8">
        <w:t>secondary endpoint</w:t>
      </w:r>
      <w:r w:rsidR="00261765">
        <w:br/>
      </w:r>
      <w:r w:rsidR="0029306E" w:rsidRPr="002552DB">
        <w:t>b</w:t>
      </w:r>
      <w:r w:rsidR="00940740">
        <w:t>.</w:t>
      </w:r>
      <w:r w:rsidR="0029306E" w:rsidRPr="00E536B8">
        <w:t xml:space="preserve"> Secondary endpoint both studies</w:t>
      </w:r>
    </w:p>
    <w:p w14:paraId="4D72AA96" w14:textId="18F96A6E" w:rsidR="00844431" w:rsidRPr="00382A5C" w:rsidRDefault="00844431" w:rsidP="002552DB">
      <w:pPr>
        <w:pStyle w:val="Heading5"/>
      </w:pPr>
      <w:r w:rsidRPr="00BA326D">
        <w:lastRenderedPageBreak/>
        <w:t>Study PT010006 (</w:t>
      </w:r>
      <w:r w:rsidR="00940740">
        <w:t xml:space="preserve">the </w:t>
      </w:r>
      <w:r w:rsidRPr="00BA326D">
        <w:t>KRONOS</w:t>
      </w:r>
      <w:r w:rsidR="00940740">
        <w:t xml:space="preserve"> trial</w:t>
      </w:r>
      <w:r w:rsidRPr="00BA326D">
        <w:t>)</w:t>
      </w:r>
    </w:p>
    <w:p w14:paraId="43072518" w14:textId="3374C1EC" w:rsidR="00844431" w:rsidRPr="00382A5C" w:rsidRDefault="0083040D" w:rsidP="002552DB">
      <w:pPr>
        <w:pStyle w:val="Heading6"/>
      </w:pPr>
      <w:r w:rsidRPr="00382A5C">
        <w:t>Study d</w:t>
      </w:r>
      <w:r w:rsidR="00844431" w:rsidRPr="00382A5C">
        <w:t>esign</w:t>
      </w:r>
    </w:p>
    <w:p w14:paraId="43097072" w14:textId="5E95CD92" w:rsidR="00047D52" w:rsidRDefault="0083040D" w:rsidP="00844431">
      <w:r w:rsidRPr="0083040D">
        <w:t xml:space="preserve">Study PT010006 </w:t>
      </w:r>
      <w:r>
        <w:t>is a</w:t>
      </w:r>
      <w:r w:rsidR="00844431">
        <w:t xml:space="preserve"> Phase </w:t>
      </w:r>
      <w:r w:rsidR="00AB1CAD">
        <w:t>III</w:t>
      </w:r>
      <w:r w:rsidR="00844431">
        <w:t>, randomised, double</w:t>
      </w:r>
      <w:r>
        <w:t xml:space="preserve"> </w:t>
      </w:r>
      <w:r w:rsidR="00844431">
        <w:t xml:space="preserve">blind, multi-centre (215 centres in </w:t>
      </w:r>
      <w:r>
        <w:t xml:space="preserve">the </w:t>
      </w:r>
      <w:r w:rsidR="00844431">
        <w:t>US, Canada, Japan, China), parallel</w:t>
      </w:r>
      <w:r>
        <w:t xml:space="preserve"> </w:t>
      </w:r>
      <w:r w:rsidR="00844431">
        <w:t xml:space="preserve">group, actively controlled study to assess the efficacy and safety of </w:t>
      </w:r>
      <w:r w:rsidR="008315BB">
        <w:t>BGF</w:t>
      </w:r>
      <w:r w:rsidR="00844431">
        <w:t xml:space="preserve"> </w:t>
      </w:r>
      <w:r w:rsidR="001579B2">
        <w:t>f</w:t>
      </w:r>
      <w:r w:rsidR="001579B2" w:rsidRPr="00896B84">
        <w:t>ixed</w:t>
      </w:r>
      <w:r w:rsidR="001579B2">
        <w:t xml:space="preserve"> </w:t>
      </w:r>
      <w:r w:rsidR="001579B2" w:rsidRPr="00896B84">
        <w:t>dose combination</w:t>
      </w:r>
      <w:r w:rsidR="001579B2" w:rsidDel="001579B2">
        <w:t xml:space="preserve"> </w:t>
      </w:r>
      <w:r w:rsidR="00844431">
        <w:t>MDI over a 24-week treatment period in 1899</w:t>
      </w:r>
      <w:r w:rsidR="0013499F">
        <w:t> </w:t>
      </w:r>
      <w:r w:rsidR="00844431">
        <w:t xml:space="preserve">adult patients (aged 40 to </w:t>
      </w:r>
      <w:r w:rsidR="00E72873">
        <w:t>80 years</w:t>
      </w:r>
      <w:r w:rsidR="00844431">
        <w:t>) with moderate to very severe COPD between August 2015 to January 2018.</w:t>
      </w:r>
    </w:p>
    <w:p w14:paraId="1C7F5311" w14:textId="51260511" w:rsidR="00844431" w:rsidRDefault="00844431" w:rsidP="00844431">
      <w:r>
        <w:t xml:space="preserve">Patients needed to be symptomatic (CAT </w:t>
      </w:r>
      <w:r w:rsidR="0083040D">
        <w:t xml:space="preserve">score </w:t>
      </w:r>
      <w:r>
        <w:t>≥</w:t>
      </w:r>
      <w:r w:rsidR="0083040D">
        <w:t xml:space="preserve"> </w:t>
      </w:r>
      <w:r>
        <w:t xml:space="preserve">10) while receiving </w:t>
      </w:r>
      <w:r w:rsidR="00F23D30">
        <w:t xml:space="preserve">two </w:t>
      </w:r>
      <w:r>
        <w:t>or more inhaled COPD maintenance treatments. Subjects were required to be current or former smokers with a history of at least 10 pack</w:t>
      </w:r>
      <w:r w:rsidR="00BE4EC9">
        <w:t xml:space="preserve"> </w:t>
      </w:r>
      <w:r>
        <w:t>years of cigarette smoking.</w:t>
      </w:r>
    </w:p>
    <w:p w14:paraId="5BA28239" w14:textId="3EBCE6C0" w:rsidR="00844431" w:rsidRDefault="00844431" w:rsidP="00844431">
      <w:r>
        <w:t xml:space="preserve">The primary efficacy outcome measure was (comparing BGF MDI </w:t>
      </w:r>
      <w:r w:rsidR="00BE4EC9">
        <w:t xml:space="preserve">versus </w:t>
      </w:r>
      <w:r>
        <w:t>BFF MDI</w:t>
      </w:r>
      <w:r w:rsidR="00C60C01">
        <w:t>,</w:t>
      </w:r>
      <w:r>
        <w:t xml:space="preserve"> and BGF MDI </w:t>
      </w:r>
      <w:r w:rsidR="00BE4EC9">
        <w:t xml:space="preserve">versus </w:t>
      </w:r>
      <w:r>
        <w:t xml:space="preserve">Symbicort </w:t>
      </w:r>
      <w:r w:rsidR="000521C3" w:rsidRPr="000521C3">
        <w:t>Turbuhaler</w:t>
      </w:r>
      <w:r>
        <w:t>):</w:t>
      </w:r>
    </w:p>
    <w:p w14:paraId="046AB6C0" w14:textId="6FED3741" w:rsidR="00844431" w:rsidRDefault="00844431" w:rsidP="00BE4EC9">
      <w:pPr>
        <w:pStyle w:val="ListBullet"/>
      </w:pPr>
      <w:r>
        <w:t xml:space="preserve">Change from </w:t>
      </w:r>
      <w:r w:rsidR="00C60C01">
        <w:t>B</w:t>
      </w:r>
      <w:r>
        <w:t>aseline in morning pre</w:t>
      </w:r>
      <w:r w:rsidR="00407F30">
        <w:t>-</w:t>
      </w:r>
      <w:r>
        <w:t>dose trough FEV</w:t>
      </w:r>
      <w:r w:rsidRPr="001B08C3">
        <w:rPr>
          <w:vertAlign w:val="subscript"/>
        </w:rPr>
        <w:t>1</w:t>
      </w:r>
      <w:r>
        <w:t xml:space="preserve"> over 24 weeks</w:t>
      </w:r>
    </w:p>
    <w:p w14:paraId="0CF1A8C3" w14:textId="7A6D9AD7" w:rsidR="00844431" w:rsidRDefault="00844431" w:rsidP="00BE4EC9">
      <w:pPr>
        <w:pStyle w:val="ListBullet"/>
      </w:pPr>
      <w:r>
        <w:t>FEV</w:t>
      </w:r>
      <w:r w:rsidRPr="001B08C3">
        <w:rPr>
          <w:vertAlign w:val="subscript"/>
        </w:rPr>
        <w:t>1</w:t>
      </w:r>
      <w:r>
        <w:t xml:space="preserve"> AUC</w:t>
      </w:r>
      <w:r w:rsidRPr="001B08C3">
        <w:rPr>
          <w:vertAlign w:val="subscript"/>
        </w:rPr>
        <w:t>0-4</w:t>
      </w:r>
      <w:r>
        <w:t xml:space="preserve"> over 24 weeks (comparison to </w:t>
      </w:r>
      <w:r w:rsidR="00EC053D">
        <w:t>GFF</w:t>
      </w:r>
      <w:r>
        <w:t xml:space="preserve"> MDI was not a primary endpoint for </w:t>
      </w:r>
      <w:r w:rsidR="00C60C01">
        <w:t xml:space="preserve">the </w:t>
      </w:r>
      <w:r>
        <w:t>EU/Canada)</w:t>
      </w:r>
    </w:p>
    <w:p w14:paraId="1ECCE5D5" w14:textId="084E8990" w:rsidR="00844431" w:rsidRDefault="00844431" w:rsidP="00844431">
      <w:r>
        <w:t xml:space="preserve">The population was randomised 2:2:1:1 (stratified by reversibility and disease severity) to </w:t>
      </w:r>
      <w:r w:rsidR="0013499F">
        <w:t xml:space="preserve">receive the following </w:t>
      </w:r>
      <w:r>
        <w:t xml:space="preserve">twice daily </w:t>
      </w:r>
      <w:r w:rsidR="0013499F">
        <w:t xml:space="preserve">via </w:t>
      </w:r>
      <w:r>
        <w:t>MDI</w:t>
      </w:r>
      <w:r w:rsidR="0013499F">
        <w:t xml:space="preserve">: </w:t>
      </w:r>
      <w:r>
        <w:t xml:space="preserve">BGF 320/14.4/9.6 </w:t>
      </w:r>
      <w:proofErr w:type="spellStart"/>
      <w:r w:rsidR="00522100" w:rsidRPr="002552DB">
        <w:t>μ</w:t>
      </w:r>
      <w:r w:rsidRPr="00366E53">
        <w:t>g</w:t>
      </w:r>
      <w:proofErr w:type="spellEnd"/>
      <w:r>
        <w:t xml:space="preserve">, GFF 14.4/9.6 </w:t>
      </w:r>
      <w:proofErr w:type="spellStart"/>
      <w:r w:rsidR="00522100" w:rsidRPr="002552DB">
        <w:t>μ</w:t>
      </w:r>
      <w:r w:rsidRPr="00366E53">
        <w:t>g</w:t>
      </w:r>
      <w:proofErr w:type="spellEnd"/>
      <w:r>
        <w:t>, BFF</w:t>
      </w:r>
      <w:r w:rsidR="0013499F">
        <w:t> </w:t>
      </w:r>
      <w:r>
        <w:t xml:space="preserve">320/9.6 </w:t>
      </w:r>
      <w:proofErr w:type="spellStart"/>
      <w:r w:rsidR="00522100" w:rsidRPr="002552DB">
        <w:t>μ</w:t>
      </w:r>
      <w:r w:rsidRPr="00366E53">
        <w:t>g</w:t>
      </w:r>
      <w:proofErr w:type="spellEnd"/>
      <w:r>
        <w:t xml:space="preserve">, or Symbicort </w:t>
      </w:r>
      <w:proofErr w:type="spellStart"/>
      <w:r>
        <w:t>Turbuhaler</w:t>
      </w:r>
      <w:proofErr w:type="spellEnd"/>
      <w:r>
        <w:t xml:space="preserve"> (BFF 400/12 </w:t>
      </w:r>
      <w:proofErr w:type="spellStart"/>
      <w:r w:rsidR="00522100" w:rsidRPr="002552DB">
        <w:t>μ</w:t>
      </w:r>
      <w:r w:rsidRPr="00366E53">
        <w:t>g</w:t>
      </w:r>
      <w:proofErr w:type="spellEnd"/>
      <w:r>
        <w:t xml:space="preserve">). Symbicort </w:t>
      </w:r>
      <w:bookmarkStart w:id="63" w:name="_Hlk97025966"/>
      <w:r w:rsidR="000521C3" w:rsidRPr="000521C3">
        <w:t>Turbuhaler</w:t>
      </w:r>
      <w:bookmarkEnd w:id="63"/>
      <w:r w:rsidR="000521C3">
        <w:t xml:space="preserve"> </w:t>
      </w:r>
      <w:r>
        <w:t>was presented open</w:t>
      </w:r>
      <w:r w:rsidR="00E43E90">
        <w:t xml:space="preserve"> </w:t>
      </w:r>
      <w:r>
        <w:t>label, and all others double</w:t>
      </w:r>
      <w:r w:rsidR="00E43E90">
        <w:t xml:space="preserve"> </w:t>
      </w:r>
      <w:r>
        <w:t>blind in identical packaging.</w:t>
      </w:r>
    </w:p>
    <w:p w14:paraId="3599CF2E" w14:textId="225961A7" w:rsidR="00844431" w:rsidRDefault="00844431" w:rsidP="00844431">
      <w:r>
        <w:t xml:space="preserve">All comparisons were for superiority except for the comparison of BFF MDI to Symbicort </w:t>
      </w:r>
      <w:r w:rsidR="000521C3" w:rsidRPr="00A62B3E">
        <w:t>Turbuhaler</w:t>
      </w:r>
      <w:r>
        <w:t>, which was for non-inferiority and used a margin of -50 mL for the lower bound of a 2-sided 95% CI for the treatment difference.</w:t>
      </w:r>
    </w:p>
    <w:p w14:paraId="1C8BCB35" w14:textId="0D247F2D" w:rsidR="00844431" w:rsidRDefault="00844431" w:rsidP="00844431">
      <w:r>
        <w:t>The treatment duration was 24 weeks</w:t>
      </w:r>
      <w:r w:rsidR="00076B65">
        <w:t xml:space="preserve"> (Study design schema is depicted in </w:t>
      </w:r>
      <w:r w:rsidR="00610229">
        <w:fldChar w:fldCharType="begin"/>
      </w:r>
      <w:r w:rsidR="00610229">
        <w:instrText xml:space="preserve"> REF _Ref89956626 \h </w:instrText>
      </w:r>
      <w:r w:rsidR="00610229">
        <w:fldChar w:fldCharType="separate"/>
      </w:r>
      <w:r w:rsidR="00E53BA0">
        <w:t xml:space="preserve">Figure </w:t>
      </w:r>
      <w:r w:rsidR="00E53BA0">
        <w:rPr>
          <w:noProof/>
        </w:rPr>
        <w:t>5</w:t>
      </w:r>
      <w:r w:rsidR="00610229">
        <w:fldChar w:fldCharType="end"/>
      </w:r>
      <w:r w:rsidR="00610229">
        <w:t>)</w:t>
      </w:r>
      <w:r>
        <w:t xml:space="preserve">. Patients were vaccinated with pneumococcal vaccine annual influenza vaccine as per local guidelines. Prohibited medications were LAMAs, SAMA, LABAs, </w:t>
      </w:r>
      <w:r w:rsidR="001579B2">
        <w:t>f</w:t>
      </w:r>
      <w:r w:rsidR="001579B2" w:rsidRPr="00896B84">
        <w:t>ixed</w:t>
      </w:r>
      <w:r w:rsidR="001579B2">
        <w:t xml:space="preserve"> </w:t>
      </w:r>
      <w:r w:rsidR="001579B2" w:rsidRPr="00896B84">
        <w:t>dose combination</w:t>
      </w:r>
      <w:r w:rsidR="001579B2" w:rsidDel="001579B2">
        <w:t xml:space="preserve"> </w:t>
      </w:r>
      <w:r>
        <w:t xml:space="preserve">of LABA/LAMA, </w:t>
      </w:r>
      <w:r w:rsidR="001579B2">
        <w:t>f</w:t>
      </w:r>
      <w:r w:rsidR="001579B2" w:rsidRPr="00896B84">
        <w:t>ixed</w:t>
      </w:r>
      <w:r w:rsidR="001579B2">
        <w:t xml:space="preserve"> </w:t>
      </w:r>
      <w:r w:rsidR="001579B2" w:rsidRPr="00896B84">
        <w:t>dose combination</w:t>
      </w:r>
      <w:r w:rsidR="001579B2" w:rsidDel="001579B2">
        <w:t xml:space="preserve"> </w:t>
      </w:r>
      <w:r>
        <w:t xml:space="preserve">of LABA/ICS, </w:t>
      </w:r>
      <w:r w:rsidR="001579B2">
        <w:t>f</w:t>
      </w:r>
      <w:r w:rsidR="001579B2" w:rsidRPr="00896B84">
        <w:t>ixed</w:t>
      </w:r>
      <w:r w:rsidR="001579B2">
        <w:t xml:space="preserve"> </w:t>
      </w:r>
      <w:r w:rsidR="001579B2" w:rsidRPr="00896B84">
        <w:t>dose combination</w:t>
      </w:r>
      <w:r w:rsidR="001579B2" w:rsidDel="001579B2">
        <w:t xml:space="preserve"> </w:t>
      </w:r>
      <w:r>
        <w:t xml:space="preserve">of SABAs and SAMAs, SABAs, oral </w:t>
      </w:r>
      <w:r w:rsidR="0013499F">
        <w:t>beta</w:t>
      </w:r>
      <w:r>
        <w:t>-agonists and theophylline.</w:t>
      </w:r>
    </w:p>
    <w:p w14:paraId="46612E53" w14:textId="0365A50B" w:rsidR="00E43E90" w:rsidRDefault="001B0555" w:rsidP="00BF7E9F">
      <w:pPr>
        <w:pStyle w:val="FigureTitle"/>
      </w:pPr>
      <w:bookmarkStart w:id="64" w:name="_Ref89956626"/>
      <w:r>
        <w:t xml:space="preserve">Figure </w:t>
      </w:r>
      <w:r w:rsidR="001108B3">
        <w:fldChar w:fldCharType="begin"/>
      </w:r>
      <w:r w:rsidR="001108B3">
        <w:instrText xml:space="preserve"> SEQ Figure \* ARABIC </w:instrText>
      </w:r>
      <w:r w:rsidR="001108B3">
        <w:fldChar w:fldCharType="separate"/>
      </w:r>
      <w:r w:rsidR="00E53BA0">
        <w:rPr>
          <w:noProof/>
        </w:rPr>
        <w:t>5</w:t>
      </w:r>
      <w:r w:rsidR="001108B3">
        <w:rPr>
          <w:noProof/>
        </w:rPr>
        <w:fldChar w:fldCharType="end"/>
      </w:r>
      <w:bookmarkEnd w:id="64"/>
      <w:r>
        <w:t xml:space="preserve">: </w:t>
      </w:r>
      <w:r w:rsidRPr="001B0555">
        <w:t>Study PT010006 Study design</w:t>
      </w:r>
    </w:p>
    <w:p w14:paraId="2BE8B9A0" w14:textId="601CF921" w:rsidR="005D0730" w:rsidRDefault="005D0730" w:rsidP="00261765">
      <w:r>
        <w:rPr>
          <w:noProof/>
          <w:lang w:val="en-GB" w:eastAsia="en-GB"/>
        </w:rPr>
        <w:drawing>
          <wp:inline distT="0" distB="0" distL="0" distR="0" wp14:anchorId="6642B430" wp14:editId="5D53F9A2">
            <wp:extent cx="4816928" cy="2515305"/>
            <wp:effectExtent l="0" t="0" r="3175" b="0"/>
            <wp:docPr id="33" name="Picture 33" descr="Figure 5: Study PT010006 Study design&#10;&#10;Study PT010006 was designed to assess the efficacy and safety of BGF MDI, GFF MDI, BFF MDI, compared with Symbicort Turbuhaler as an active control in subjects with moderate to very severe COPD over 24 weeks.&#10;Subjects were randomised in a 2:2:1:1 scheme. Approximately 600 subjects each were randomised to the BGF MDI and GFF MDI treatment groups, and 300 subjects each were randomised to the BFF MDI and Symbicort Turbuhaler treatment groups.&#10;At screening visit, subjects must have met spirometry criteria for COPD. &#10;Subjects participating at study centres in Japan were invited to participate in a 28-week safety&#10;extension study, Study PT010007.&#10;In total, each completed subject attended 10 scheduled visits in this study for a maximum of 30 weeks.&#10;For subjects who remained on treatment throughout the study, a follow-up telephone call was performed at least 14 days after the last study drug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5: Study PT010006 Study design&#10;&#10;Study PT010006 was designed to assess the efficacy and safety of BGF MDI, GFF MDI, BFF MDI, compared with Symbicort Turbuhaler as an active control in subjects with moderate to very severe COPD over 24 weeks.&#10;Subjects were randomised in a 2:2:1:1 scheme. Approximately 600 subjects each were randomised to the BGF MDI and GFF MDI treatment groups, and 300 subjects each were randomised to the BFF MDI and Symbicort Turbuhaler treatment groups.&#10;At screening visit, subjects must have met spirometry criteria for COPD. &#10;Subjects participating at study centres in Japan were invited to participate in a 28-week safety&#10;extension study, Study PT010007.&#10;In total, each completed subject attended 10 scheduled visits in this study for a maximum of 30 weeks.&#10;For subjects who remained on treatment throughout the study, a follow-up telephone call was performed at least 14 days after the last study drug dose."/>
                    <pic:cNvPicPr/>
                  </pic:nvPicPr>
                  <pic:blipFill rotWithShape="1">
                    <a:blip r:embed="rId30">
                      <a:extLst>
                        <a:ext uri="{28A0092B-C50C-407E-A947-70E740481C1C}">
                          <a14:useLocalDpi xmlns:a14="http://schemas.microsoft.com/office/drawing/2010/main" val="0"/>
                        </a:ext>
                      </a:extLst>
                    </a:blip>
                    <a:srcRect t="4679" b="2031"/>
                    <a:stretch/>
                  </pic:blipFill>
                  <pic:spPr bwMode="auto">
                    <a:xfrm>
                      <a:off x="0" y="0"/>
                      <a:ext cx="4838177" cy="2526401"/>
                    </a:xfrm>
                    <a:prstGeom prst="rect">
                      <a:avLst/>
                    </a:prstGeom>
                    <a:ln>
                      <a:noFill/>
                    </a:ln>
                    <a:extLst>
                      <a:ext uri="{53640926-AAD7-44D8-BBD7-CCE9431645EC}">
                        <a14:shadowObscured xmlns:a14="http://schemas.microsoft.com/office/drawing/2010/main"/>
                      </a:ext>
                    </a:extLst>
                  </pic:spPr>
                </pic:pic>
              </a:graphicData>
            </a:graphic>
          </wp:inline>
        </w:drawing>
      </w:r>
    </w:p>
    <w:p w14:paraId="2379E31C" w14:textId="073C535A" w:rsidR="00C10F30" w:rsidRDefault="00C2129C" w:rsidP="002552DB">
      <w:pPr>
        <w:pStyle w:val="FigureDescription"/>
      </w:pPr>
      <w:r>
        <w:t>BFF =</w:t>
      </w:r>
      <w:r w:rsidRPr="006302C6">
        <w:t xml:space="preserve"> </w:t>
      </w:r>
      <w:r>
        <w:t>b</w:t>
      </w:r>
      <w:r w:rsidRPr="006302C6">
        <w:t>udesonide / formoterol fumarate</w:t>
      </w:r>
      <w:r>
        <w:t xml:space="preserve">; </w:t>
      </w:r>
      <w:r w:rsidR="00542987">
        <w:t>BGF = b</w:t>
      </w:r>
      <w:r w:rsidR="00542987" w:rsidRPr="004E03C1">
        <w:t>udesonide</w:t>
      </w:r>
      <w:r w:rsidR="00542987">
        <w:t xml:space="preserve"> / </w:t>
      </w:r>
      <w:r w:rsidR="00542987" w:rsidRPr="004E03C1">
        <w:t xml:space="preserve">glycopyrronium </w:t>
      </w:r>
      <w:r w:rsidR="00542987">
        <w:t xml:space="preserve">/ </w:t>
      </w:r>
      <w:r w:rsidR="00542987" w:rsidRPr="004E03C1">
        <w:t>formoterol fumarate</w:t>
      </w:r>
      <w:r w:rsidR="00542987">
        <w:t>;</w:t>
      </w:r>
      <w:r>
        <w:t xml:space="preserve"> GFF = g</w:t>
      </w:r>
      <w:r w:rsidRPr="006302C6">
        <w:t>lycopyrronium / formoterol fumarate</w:t>
      </w:r>
      <w:r>
        <w:t xml:space="preserve">; </w:t>
      </w:r>
      <w:r w:rsidR="00542987">
        <w:t>MDI = m</w:t>
      </w:r>
      <w:r w:rsidR="00542987" w:rsidRPr="00542987">
        <w:t>etered dose inhaler</w:t>
      </w:r>
      <w:r>
        <w:t xml:space="preserve">; </w:t>
      </w:r>
      <w:r w:rsidR="00542987" w:rsidRPr="00BF6A1C">
        <w:t>N =</w:t>
      </w:r>
      <w:r w:rsidR="00542987">
        <w:t xml:space="preserve"> population size</w:t>
      </w:r>
      <w:r>
        <w:t>; TBH = t</w:t>
      </w:r>
      <w:r w:rsidRPr="006302C6">
        <w:t>urbuhaler</w:t>
      </w:r>
      <w:r>
        <w:t xml:space="preserve">; </w:t>
      </w:r>
      <w:r w:rsidR="00C10F30">
        <w:t>V =</w:t>
      </w:r>
      <w:r w:rsidR="006302C6">
        <w:t xml:space="preserve"> Visit</w:t>
      </w:r>
      <w:r>
        <w:t>.</w:t>
      </w:r>
    </w:p>
    <w:p w14:paraId="74212566" w14:textId="4309094D" w:rsidR="001240C0" w:rsidRPr="002552DB" w:rsidRDefault="0013499F" w:rsidP="002552DB">
      <w:pPr>
        <w:pStyle w:val="Heading6"/>
        <w:rPr>
          <w:i w:val="0"/>
        </w:rPr>
      </w:pPr>
      <w:r>
        <w:lastRenderedPageBreak/>
        <w:t>Baseline characteristics</w:t>
      </w:r>
    </w:p>
    <w:p w14:paraId="36A4B77C" w14:textId="417DD059" w:rsidR="001240C0" w:rsidRDefault="00C60C01" w:rsidP="001240C0">
      <w:r>
        <w:t xml:space="preserve">There were </w:t>
      </w:r>
      <w:r w:rsidR="001240C0">
        <w:t xml:space="preserve">3047 patients screened, 1902 randomised, 1899 treated and 1689 (88.9%) completed 24 weeks of treatment. There were 71.2% males, 28.8% females and the age range </w:t>
      </w:r>
      <w:proofErr w:type="gramStart"/>
      <w:r w:rsidR="001240C0">
        <w:t>was</w:t>
      </w:r>
      <w:proofErr w:type="gramEnd"/>
      <w:r w:rsidR="001240C0">
        <w:t xml:space="preserve"> 40 to 80 years. 1050 (55.4%) patients were aged ≥</w:t>
      </w:r>
      <w:r>
        <w:t xml:space="preserve"> </w:t>
      </w:r>
      <w:r w:rsidR="001240C0">
        <w:t xml:space="preserve">65 years. 50.1% were </w:t>
      </w:r>
      <w:r w:rsidR="00F37CD9">
        <w:t>white</w:t>
      </w:r>
      <w:r w:rsidR="001240C0">
        <w:t>, and 44.9% Asian patients. Baseline disease characteristics, and severity and duration of COPD were similar for all treatment groups. The population had less severe COPD compared to Study PT010005</w:t>
      </w:r>
      <w:r>
        <w:t xml:space="preserve">, which </w:t>
      </w:r>
      <w:r w:rsidR="001240C0">
        <w:t xml:space="preserve">49.1% </w:t>
      </w:r>
      <w:r>
        <w:t xml:space="preserve">were </w:t>
      </w:r>
      <w:r w:rsidR="001240C0">
        <w:t xml:space="preserve">with moderate baseline COPD severity (GOLD 2), 42.9% </w:t>
      </w:r>
      <w:r>
        <w:t xml:space="preserve">were </w:t>
      </w:r>
      <w:r w:rsidR="001240C0">
        <w:t>severe (GOLD 3), and 7.9%</w:t>
      </w:r>
      <w:r>
        <w:t xml:space="preserve"> were</w:t>
      </w:r>
      <w:r w:rsidR="001240C0">
        <w:t xml:space="preserve"> very severe (GOLD 4). </w:t>
      </w:r>
      <w:r>
        <w:t>The m</w:t>
      </w:r>
      <w:r w:rsidR="001240C0">
        <w:t>edian (range) disease duration was 6.9 (0.1 to 41.1) years. 3.9% were treated with oxygen during the study. Mean (</w:t>
      </w:r>
      <w:r w:rsidR="009963A2">
        <w:t>standard deviation</w:t>
      </w:r>
      <w:r w:rsidR="001240C0">
        <w:t>) compliance with study treatment was 95.2% (9.0) and was similar for all the treatment groups.</w:t>
      </w:r>
    </w:p>
    <w:p w14:paraId="681FEC95" w14:textId="77777777" w:rsidR="001240C0" w:rsidRPr="001B08C3" w:rsidRDefault="001240C0" w:rsidP="002552DB">
      <w:pPr>
        <w:pStyle w:val="Heading6"/>
      </w:pPr>
      <w:r w:rsidRPr="001B08C3">
        <w:t>Primary endpoint results</w:t>
      </w:r>
    </w:p>
    <w:p w14:paraId="631FA3A7" w14:textId="3802062B" w:rsidR="001240C0" w:rsidRDefault="00C60C01" w:rsidP="001240C0">
      <w:r>
        <w:t xml:space="preserve">The </w:t>
      </w:r>
      <w:r w:rsidR="001240C0">
        <w:t>BGF MDI was superior to BFF MDI and to GFF MDI, except for the FEV</w:t>
      </w:r>
      <w:r w:rsidR="001240C0" w:rsidRPr="001B08C3">
        <w:rPr>
          <w:vertAlign w:val="subscript"/>
        </w:rPr>
        <w:t>1</w:t>
      </w:r>
      <w:r w:rsidR="001240C0">
        <w:t xml:space="preserve"> AUC</w:t>
      </w:r>
      <w:r w:rsidR="001240C0" w:rsidRPr="001B08C3">
        <w:rPr>
          <w:vertAlign w:val="subscript"/>
        </w:rPr>
        <w:t>0-4</w:t>
      </w:r>
      <w:r w:rsidR="0013499F">
        <w:rPr>
          <w:vertAlign w:val="subscript"/>
        </w:rPr>
        <w:t>h</w:t>
      </w:r>
      <w:r w:rsidR="001240C0">
        <w:t xml:space="preserve"> endpoint for GFF MDI (comparison to GFF MDI was not a primary endpoint for </w:t>
      </w:r>
      <w:r>
        <w:t xml:space="preserve">the </w:t>
      </w:r>
      <w:r w:rsidR="001240C0">
        <w:t>EU/Canada) (</w:t>
      </w:r>
      <w:r w:rsidR="002D74AF">
        <w:fldChar w:fldCharType="begin"/>
      </w:r>
      <w:r w:rsidR="002D74AF">
        <w:instrText xml:space="preserve"> REF _Ref89957344 \h </w:instrText>
      </w:r>
      <w:r w:rsidR="002D74AF">
        <w:fldChar w:fldCharType="separate"/>
      </w:r>
      <w:r w:rsidR="00E53BA0">
        <w:t xml:space="preserve">Table </w:t>
      </w:r>
      <w:r w:rsidR="00E53BA0">
        <w:rPr>
          <w:noProof/>
        </w:rPr>
        <w:t>6</w:t>
      </w:r>
      <w:r w:rsidR="002D74AF">
        <w:fldChar w:fldCharType="end"/>
      </w:r>
      <w:r>
        <w:t xml:space="preserve"> </w:t>
      </w:r>
      <w:r w:rsidR="001240C0">
        <w:t xml:space="preserve">and </w:t>
      </w:r>
      <w:r w:rsidR="001C3A5C">
        <w:fldChar w:fldCharType="begin"/>
      </w:r>
      <w:r w:rsidR="001C3A5C">
        <w:instrText xml:space="preserve"> REF _Ref89957797 \h </w:instrText>
      </w:r>
      <w:r w:rsidR="001C3A5C">
        <w:fldChar w:fldCharType="separate"/>
      </w:r>
      <w:r w:rsidR="00E53BA0">
        <w:t xml:space="preserve">Table </w:t>
      </w:r>
      <w:r w:rsidR="00E53BA0">
        <w:rPr>
          <w:noProof/>
        </w:rPr>
        <w:t>7</w:t>
      </w:r>
      <w:r w:rsidR="001C3A5C">
        <w:fldChar w:fldCharType="end"/>
      </w:r>
      <w:r w:rsidR="001240C0">
        <w:t>).</w:t>
      </w:r>
    </w:p>
    <w:p w14:paraId="17911A5F" w14:textId="1E81ACC8" w:rsidR="00F95987" w:rsidRPr="003A0031" w:rsidRDefault="003A0031" w:rsidP="002552DB">
      <w:pPr>
        <w:pStyle w:val="Heading7"/>
        <w:rPr>
          <w:sz w:val="22"/>
          <w:szCs w:val="28"/>
        </w:rPr>
      </w:pPr>
      <w:r>
        <w:rPr>
          <w:sz w:val="22"/>
          <w:szCs w:val="36"/>
        </w:rPr>
        <w:t>F</w:t>
      </w:r>
      <w:r w:rsidRPr="003A0031">
        <w:rPr>
          <w:sz w:val="22"/>
          <w:szCs w:val="36"/>
        </w:rPr>
        <w:t xml:space="preserve">orced expiratory volume in one second </w:t>
      </w:r>
      <w:r>
        <w:rPr>
          <w:sz w:val="22"/>
          <w:szCs w:val="36"/>
        </w:rPr>
        <w:t>a</w:t>
      </w:r>
      <w:r w:rsidRPr="003A0031">
        <w:rPr>
          <w:sz w:val="22"/>
          <w:szCs w:val="36"/>
        </w:rPr>
        <w:t>rea under the concentration time curve from time 0 to 4 hours</w:t>
      </w:r>
    </w:p>
    <w:p w14:paraId="3A1E503F" w14:textId="222A03C7" w:rsidR="001240C0" w:rsidRDefault="00F95987" w:rsidP="002552DB">
      <w:r>
        <w:t>T</w:t>
      </w:r>
      <w:r w:rsidR="001240C0">
        <w:t>he LSM (95% CI) difference in change of FEV</w:t>
      </w:r>
      <w:r w:rsidR="001240C0" w:rsidRPr="001B08C3">
        <w:rPr>
          <w:vertAlign w:val="subscript"/>
        </w:rPr>
        <w:t>1</w:t>
      </w:r>
      <w:r w:rsidR="001240C0">
        <w:t xml:space="preserve"> AUC</w:t>
      </w:r>
      <w:r w:rsidR="001240C0" w:rsidRPr="001B08C3">
        <w:rPr>
          <w:vertAlign w:val="subscript"/>
        </w:rPr>
        <w:t>0-4</w:t>
      </w:r>
      <w:r w:rsidR="001240C0">
        <w:t xml:space="preserve"> at Week 24 was:</w:t>
      </w:r>
    </w:p>
    <w:p w14:paraId="37F94FB6" w14:textId="62A428A7" w:rsidR="001240C0" w:rsidRDefault="001240C0" w:rsidP="00FF311E">
      <w:pPr>
        <w:pStyle w:val="ListBullet2"/>
      </w:pPr>
      <w:r>
        <w:t>16 (-6</w:t>
      </w:r>
      <w:r w:rsidR="00C60C01">
        <w:t>,</w:t>
      </w:r>
      <w:r>
        <w:t xml:space="preserve"> 38) mL (p = 0.1448) compared to GFF MDI (</w:t>
      </w:r>
      <w:r w:rsidR="00C60C01">
        <w:t>s</w:t>
      </w:r>
      <w:r>
        <w:t>uperiority not shown)</w:t>
      </w:r>
    </w:p>
    <w:p w14:paraId="7273D640" w14:textId="4EB87505" w:rsidR="001240C0" w:rsidRDefault="001240C0" w:rsidP="00FF311E">
      <w:pPr>
        <w:pStyle w:val="ListBullet2"/>
      </w:pPr>
      <w:r>
        <w:t>104 (77</w:t>
      </w:r>
      <w:r w:rsidR="00036DA7">
        <w:t>,</w:t>
      </w:r>
      <w:r>
        <w:t xml:space="preserve"> 131) mL (p &lt;</w:t>
      </w:r>
      <w:r w:rsidR="00036DA7">
        <w:t xml:space="preserve"> </w:t>
      </w:r>
      <w:r>
        <w:t>0.0001) compared to BFF MDI (</w:t>
      </w:r>
      <w:r w:rsidR="00C60C01">
        <w:t>superior</w:t>
      </w:r>
      <w:r>
        <w:t>)</w:t>
      </w:r>
    </w:p>
    <w:p w14:paraId="60EF4CFC" w14:textId="156E1F4E" w:rsidR="001240C0" w:rsidRDefault="001240C0" w:rsidP="00FF311E">
      <w:pPr>
        <w:pStyle w:val="ListBullet2"/>
      </w:pPr>
      <w:r>
        <w:t>91 (64</w:t>
      </w:r>
      <w:r w:rsidR="00036DA7">
        <w:t>,</w:t>
      </w:r>
      <w:r>
        <w:t xml:space="preserve"> 117) mL (p &lt;</w:t>
      </w:r>
      <w:r w:rsidR="00036DA7">
        <w:t xml:space="preserve"> </w:t>
      </w:r>
      <w:r>
        <w:t xml:space="preserve">0.0001) compared to Symbicort </w:t>
      </w:r>
      <w:r w:rsidR="000521C3" w:rsidRPr="00A62B3E">
        <w:t>Turbuhaler</w:t>
      </w:r>
      <w:r w:rsidR="000521C3">
        <w:t xml:space="preserve"> </w:t>
      </w:r>
      <w:r>
        <w:t>(</w:t>
      </w:r>
      <w:r w:rsidR="00C60C01">
        <w:t>superior</w:t>
      </w:r>
      <w:r>
        <w:t>)</w:t>
      </w:r>
    </w:p>
    <w:p w14:paraId="39FF4202" w14:textId="48F42797" w:rsidR="00F95987" w:rsidRPr="003A0031" w:rsidRDefault="001240C0" w:rsidP="002552DB">
      <w:pPr>
        <w:pStyle w:val="Heading7"/>
        <w:rPr>
          <w:sz w:val="22"/>
          <w:szCs w:val="28"/>
        </w:rPr>
      </w:pPr>
      <w:r w:rsidRPr="003A0031">
        <w:rPr>
          <w:sz w:val="22"/>
          <w:szCs w:val="36"/>
        </w:rPr>
        <w:t xml:space="preserve">Morning pre-dose trough </w:t>
      </w:r>
      <w:r w:rsidR="003A0031" w:rsidRPr="003A0031">
        <w:rPr>
          <w:sz w:val="22"/>
          <w:szCs w:val="36"/>
        </w:rPr>
        <w:t>forced expiratory volume in one second</w:t>
      </w:r>
    </w:p>
    <w:p w14:paraId="7C524B0C" w14:textId="6B1A6D73" w:rsidR="001240C0" w:rsidRDefault="00F95987" w:rsidP="002552DB">
      <w:r>
        <w:t>T</w:t>
      </w:r>
      <w:r w:rsidR="001240C0">
        <w:t>he LSM (95% CI) difference in change of morning pre</w:t>
      </w:r>
      <w:r w:rsidR="00407F30">
        <w:t>-</w:t>
      </w:r>
      <w:r w:rsidR="001240C0">
        <w:t>dose FEV1 at Week 24 was:</w:t>
      </w:r>
    </w:p>
    <w:p w14:paraId="7C15F3BB" w14:textId="6FE5D2BB" w:rsidR="001240C0" w:rsidRDefault="001240C0" w:rsidP="001F2594">
      <w:pPr>
        <w:pStyle w:val="ListBullet2"/>
      </w:pPr>
      <w:r>
        <w:t>22 (4</w:t>
      </w:r>
      <w:r w:rsidR="00B53AAA">
        <w:t>,</w:t>
      </w:r>
      <w:r>
        <w:t xml:space="preserve"> 39) mL (p = 0.0139) compared to GFF MDI (</w:t>
      </w:r>
      <w:r w:rsidR="00F83400">
        <w:t>superior</w:t>
      </w:r>
      <w:r>
        <w:t>)</w:t>
      </w:r>
    </w:p>
    <w:p w14:paraId="71344E2F" w14:textId="5ED236CF" w:rsidR="001240C0" w:rsidRDefault="001240C0" w:rsidP="001F2594">
      <w:pPr>
        <w:pStyle w:val="ListBullet2"/>
      </w:pPr>
      <w:r>
        <w:t>74 (52</w:t>
      </w:r>
      <w:r w:rsidR="00B53AAA">
        <w:t>,</w:t>
      </w:r>
      <w:r>
        <w:t xml:space="preserve"> 95) mL (p &lt;</w:t>
      </w:r>
      <w:r w:rsidR="00B53AAA">
        <w:t xml:space="preserve"> </w:t>
      </w:r>
      <w:r>
        <w:t>0.0001) compared to BFF MDI (</w:t>
      </w:r>
      <w:r w:rsidR="00F83400">
        <w:t>superior</w:t>
      </w:r>
      <w:r>
        <w:t>)</w:t>
      </w:r>
    </w:p>
    <w:p w14:paraId="7EA847A6" w14:textId="6E47602E" w:rsidR="001240C0" w:rsidRDefault="001240C0" w:rsidP="001F2594">
      <w:pPr>
        <w:pStyle w:val="ListBullet2"/>
      </w:pPr>
      <w:r>
        <w:t>59 (38</w:t>
      </w:r>
      <w:r w:rsidR="00B53AAA">
        <w:t>,</w:t>
      </w:r>
      <w:r>
        <w:t xml:space="preserve"> 80) mL (p &lt;</w:t>
      </w:r>
      <w:r w:rsidR="00B53AAA">
        <w:t xml:space="preserve"> </w:t>
      </w:r>
      <w:r>
        <w:t>0.0001) compared to Symbicort</w:t>
      </w:r>
      <w:r w:rsidR="000521C3">
        <w:t xml:space="preserve"> </w:t>
      </w:r>
      <w:r w:rsidR="000521C3" w:rsidRPr="00A62B3E">
        <w:t>Turbuhaler</w:t>
      </w:r>
      <w:r w:rsidR="000521C3">
        <w:t xml:space="preserve"> </w:t>
      </w:r>
      <w:r>
        <w:t>(</w:t>
      </w:r>
      <w:r w:rsidR="00F83400">
        <w:t>superior</w:t>
      </w:r>
      <w:r>
        <w:t>)</w:t>
      </w:r>
    </w:p>
    <w:p w14:paraId="52CC1B70" w14:textId="0BFDB5CB" w:rsidR="00E37D70" w:rsidRDefault="00E37D70" w:rsidP="00E37D70">
      <w:pPr>
        <w:pStyle w:val="ListBullet"/>
        <w:numPr>
          <w:ilvl w:val="0"/>
          <w:numId w:val="0"/>
        </w:numPr>
        <w:ind w:left="360" w:hanging="360"/>
      </w:pPr>
      <w:r>
        <w:t>There were no subgroup effects for either of the primary efficacy outcome measures.</w:t>
      </w:r>
    </w:p>
    <w:p w14:paraId="27021BCA" w14:textId="49F79D00" w:rsidR="00E37D70" w:rsidRDefault="00E37D70" w:rsidP="004103AE">
      <w:pPr>
        <w:pStyle w:val="TableTitle"/>
      </w:pPr>
      <w:bookmarkStart w:id="65" w:name="_Ref89957797"/>
      <w:r>
        <w:lastRenderedPageBreak/>
        <w:t xml:space="preserve">Table </w:t>
      </w:r>
      <w:r w:rsidR="001108B3">
        <w:fldChar w:fldCharType="begin"/>
      </w:r>
      <w:r w:rsidR="001108B3">
        <w:instrText xml:space="preserve"> SEQ Table \* ARABIC </w:instrText>
      </w:r>
      <w:r w:rsidR="001108B3">
        <w:fldChar w:fldCharType="separate"/>
      </w:r>
      <w:r w:rsidR="00E53BA0">
        <w:rPr>
          <w:noProof/>
        </w:rPr>
        <w:t>7</w:t>
      </w:r>
      <w:r w:rsidR="001108B3">
        <w:rPr>
          <w:noProof/>
        </w:rPr>
        <w:fldChar w:fldCharType="end"/>
      </w:r>
      <w:bookmarkEnd w:id="65"/>
      <w:r>
        <w:t xml:space="preserve">: </w:t>
      </w:r>
      <w:r w:rsidRPr="006A09B8">
        <w:t xml:space="preserve">Study PT010006 </w:t>
      </w:r>
      <w:r w:rsidR="004103AE">
        <w:t>Overview of results of primary and secondary efficacy endpoints</w:t>
      </w:r>
      <w:r w:rsidR="004103AE" w:rsidRPr="006A09B8">
        <w:t xml:space="preserve"> </w:t>
      </w:r>
      <w:r w:rsidR="004103AE">
        <w:t>(m</w:t>
      </w:r>
      <w:r w:rsidR="004103AE" w:rsidRPr="00476439">
        <w:t xml:space="preserve">odified </w:t>
      </w:r>
      <w:r w:rsidR="00E31D34" w:rsidRPr="00476439">
        <w:t>intention</w:t>
      </w:r>
      <w:r w:rsidR="00041E90">
        <w:t>-</w:t>
      </w:r>
      <w:r w:rsidR="00E31D34" w:rsidRPr="00476439">
        <w:t>to</w:t>
      </w:r>
      <w:r w:rsidR="00041E90">
        <w:t>-</w:t>
      </w:r>
      <w:r w:rsidR="00E31D34" w:rsidRPr="00476439">
        <w:t>treat</w:t>
      </w:r>
      <w:r w:rsidRPr="006A09B8">
        <w:t xml:space="preserve"> </w:t>
      </w:r>
      <w:r w:rsidR="00F64FBF">
        <w:t>p</w:t>
      </w:r>
      <w:r w:rsidRPr="006A09B8">
        <w:t>opulation</w:t>
      </w:r>
      <w:r w:rsidR="00957108">
        <w:t>)</w:t>
      </w:r>
    </w:p>
    <w:p w14:paraId="39BED49F" w14:textId="77777777" w:rsidR="00E53BA0" w:rsidRDefault="00E37D70" w:rsidP="00261765">
      <w:r>
        <w:rPr>
          <w:noProof/>
          <w:lang w:val="en-GB" w:eastAsia="en-GB"/>
        </w:rPr>
        <w:drawing>
          <wp:inline distT="0" distB="0" distL="0" distR="0" wp14:anchorId="0C572186" wp14:editId="3EA1526E">
            <wp:extent cx="5090297" cy="6156960"/>
            <wp:effectExtent l="0" t="0" r="0" b="0"/>
            <wp:docPr id="5" name="Picture 5" descr="Table 7: Study PT010006 Overview of results of primary and secondary efficacy endpoints (modified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7: Study PT010006 Overview of results of primary and secondary efficacy endpoints (modified intention-to-treat population)"/>
                    <pic:cNvPicPr/>
                  </pic:nvPicPr>
                  <pic:blipFill>
                    <a:blip r:embed="rId31">
                      <a:extLst>
                        <a:ext uri="{28A0092B-C50C-407E-A947-70E740481C1C}">
                          <a14:useLocalDpi xmlns:a14="http://schemas.microsoft.com/office/drawing/2010/main" val="0"/>
                        </a:ext>
                      </a:extLst>
                    </a:blip>
                    <a:stretch>
                      <a:fillRect/>
                    </a:stretch>
                  </pic:blipFill>
                  <pic:spPr>
                    <a:xfrm>
                      <a:off x="0" y="0"/>
                      <a:ext cx="5097517" cy="6165693"/>
                    </a:xfrm>
                    <a:prstGeom prst="rect">
                      <a:avLst/>
                    </a:prstGeom>
                  </pic:spPr>
                </pic:pic>
              </a:graphicData>
            </a:graphic>
          </wp:inline>
        </w:drawing>
      </w:r>
    </w:p>
    <w:p w14:paraId="47566DDD" w14:textId="06E27C15" w:rsidR="00622F41" w:rsidRDefault="00622F41" w:rsidP="00622F41">
      <w:pPr>
        <w:pStyle w:val="TableTitle"/>
      </w:pPr>
      <w:r>
        <w:br w:type="page"/>
      </w:r>
    </w:p>
    <w:p w14:paraId="59B20315" w14:textId="480B8345" w:rsidR="00622F41" w:rsidRPr="001A3994" w:rsidRDefault="00622F41" w:rsidP="002552DB">
      <w:pPr>
        <w:pStyle w:val="TableTitle"/>
      </w:pPr>
      <w:r w:rsidRPr="001A3994">
        <w:lastRenderedPageBreak/>
        <w:fldChar w:fldCharType="begin"/>
      </w:r>
      <w:r w:rsidRPr="005C148E">
        <w:instrText xml:space="preserve"> REF _Ref89957797 \h </w:instrText>
      </w:r>
      <w:r>
        <w:instrText xml:space="preserve"> \* MERGEFORMAT </w:instrText>
      </w:r>
      <w:r w:rsidRPr="001A3994">
        <w:fldChar w:fldCharType="separate"/>
      </w:r>
      <w:r w:rsidR="00E53BA0">
        <w:t>Table 7</w:t>
      </w:r>
      <w:r w:rsidRPr="001A3994">
        <w:fldChar w:fldCharType="end"/>
      </w:r>
      <w:r w:rsidRPr="00783442">
        <w:t xml:space="preserve"> continued: </w:t>
      </w:r>
      <w:r w:rsidRPr="00622F41">
        <w:t>Study PT010006 Overview of results of primary and secondary efficacy endpoints (modified intention-to-treat population)</w:t>
      </w:r>
    </w:p>
    <w:p w14:paraId="3F72DBA1" w14:textId="501DE054" w:rsidR="006278A9" w:rsidRDefault="006278A9" w:rsidP="001240C0">
      <w:pPr>
        <w:rPr>
          <w:noProof/>
        </w:rPr>
      </w:pPr>
      <w:r>
        <w:rPr>
          <w:noProof/>
          <w:lang w:val="en-GB" w:eastAsia="en-GB"/>
        </w:rPr>
        <w:drawing>
          <wp:inline distT="0" distB="0" distL="0" distR="0" wp14:anchorId="46527B29" wp14:editId="5ECE6395">
            <wp:extent cx="5092474" cy="8082280"/>
            <wp:effectExtent l="0" t="0" r="0" b="0"/>
            <wp:docPr id="40" name="Picture 40" descr="Table 7 continued: Study PT010006 Overview of results of primary and secondary efficacy endpoints (modified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7 continued: Study PT010006 Overview of results of primary and secondary efficacy endpoints (modified intention-to-treat popul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4965" cy="8086234"/>
                    </a:xfrm>
                    <a:prstGeom prst="rect">
                      <a:avLst/>
                    </a:prstGeom>
                    <a:noFill/>
                    <a:ln>
                      <a:noFill/>
                    </a:ln>
                  </pic:spPr>
                </pic:pic>
              </a:graphicData>
            </a:graphic>
          </wp:inline>
        </w:drawing>
      </w:r>
    </w:p>
    <w:p w14:paraId="3283A18E" w14:textId="61890A57" w:rsidR="00542987" w:rsidRDefault="00C2129C">
      <w:pPr>
        <w:pStyle w:val="TableDescription"/>
      </w:pPr>
      <w:r>
        <w:t>AUC</w:t>
      </w:r>
      <w:r w:rsidRPr="00BF6A1C">
        <w:rPr>
          <w:vertAlign w:val="subscript"/>
        </w:rPr>
        <w:t>0-4</w:t>
      </w:r>
      <w:r>
        <w:t xml:space="preserve"> =</w:t>
      </w:r>
      <w:r w:rsidRPr="006302C6">
        <w:t xml:space="preserve"> </w:t>
      </w:r>
      <w:r>
        <w:t>a</w:t>
      </w:r>
      <w:r w:rsidRPr="006302C6">
        <w:t>rea under the concentration time curve from time 0 to 4 hours</w:t>
      </w:r>
      <w:r>
        <w:t>; BFF =</w:t>
      </w:r>
      <w:r w:rsidRPr="006302C6">
        <w:t xml:space="preserve"> </w:t>
      </w:r>
      <w:r>
        <w:t>b</w:t>
      </w:r>
      <w:r w:rsidRPr="006302C6">
        <w:t>udesonide / formoterol fumarate</w:t>
      </w:r>
      <w:r>
        <w:t>; BGF = b</w:t>
      </w:r>
      <w:r w:rsidRPr="004E03C1">
        <w:t>udesonide</w:t>
      </w:r>
      <w:r>
        <w:t xml:space="preserve"> / </w:t>
      </w:r>
      <w:r w:rsidRPr="004E03C1">
        <w:t xml:space="preserve">glycopyrronium </w:t>
      </w:r>
      <w:r>
        <w:t xml:space="preserve">/ </w:t>
      </w:r>
      <w:r w:rsidRPr="004E03C1">
        <w:t>formoterol fumarate</w:t>
      </w:r>
      <w:r>
        <w:t xml:space="preserve">; </w:t>
      </w:r>
      <w:r w:rsidRPr="00E536B8">
        <w:t>CI</w:t>
      </w:r>
      <w:r>
        <w:t xml:space="preserve"> =</w:t>
      </w:r>
      <w:r w:rsidRPr="00E536B8">
        <w:t xml:space="preserve"> confidence interval</w:t>
      </w:r>
      <w:r>
        <w:t xml:space="preserve">; CID = </w:t>
      </w:r>
      <w:r>
        <w:lastRenderedPageBreak/>
        <w:t>c</w:t>
      </w:r>
      <w:r w:rsidRPr="002A146E">
        <w:t>linically important deterioration</w:t>
      </w:r>
      <w:r>
        <w:t>; COPD = c</w:t>
      </w:r>
      <w:r w:rsidRPr="00AB1D69">
        <w:t>hronic obstructive pulmonary disease</w:t>
      </w:r>
      <w:r>
        <w:t>; EU = European Union; FEV</w:t>
      </w:r>
      <w:r w:rsidRPr="00BF6A1C">
        <w:rPr>
          <w:vertAlign w:val="subscript"/>
        </w:rPr>
        <w:t>1</w:t>
      </w:r>
      <w:r>
        <w:t xml:space="preserve"> =</w:t>
      </w:r>
      <w:r w:rsidRPr="006302C6">
        <w:t xml:space="preserve"> </w:t>
      </w:r>
      <w:r>
        <w:t>f</w:t>
      </w:r>
      <w:r w:rsidRPr="006302C6">
        <w:t>orced expiratory volume in one second</w:t>
      </w:r>
      <w:r>
        <w:t xml:space="preserve">; </w:t>
      </w:r>
      <w:r w:rsidR="006302C6">
        <w:t>GFF = g</w:t>
      </w:r>
      <w:r w:rsidR="006302C6" w:rsidRPr="006302C6">
        <w:t>lycopyrronium / formoterol fumarate</w:t>
      </w:r>
      <w:r>
        <w:t>; HFA =</w:t>
      </w:r>
      <w:r w:rsidRPr="002A146E">
        <w:t xml:space="preserve"> </w:t>
      </w:r>
      <w:r>
        <w:t>h</w:t>
      </w:r>
      <w:r w:rsidRPr="002A146E">
        <w:t>ydrofluoroalkane</w:t>
      </w:r>
      <w:r>
        <w:t xml:space="preserve">; LSM = </w:t>
      </w:r>
      <w:r w:rsidRPr="00542987">
        <w:t>least square</w:t>
      </w:r>
      <w:r>
        <w:t xml:space="preserve"> mean; MDI = m</w:t>
      </w:r>
      <w:r w:rsidRPr="00542987">
        <w:t>etered dose inhaler</w:t>
      </w:r>
      <w:r>
        <w:t xml:space="preserve">; mITT = modified intention-to-treat; RS = </w:t>
      </w:r>
      <w:r w:rsidRPr="002A146E">
        <w:t>respiratory symptom</w:t>
      </w:r>
      <w:r>
        <w:t>; SD = standard deviation; SE = standard error; SGRQ =</w:t>
      </w:r>
      <w:r w:rsidRPr="002A146E">
        <w:t xml:space="preserve"> St. George’s Respiratory Questionnaire</w:t>
      </w:r>
      <w:r>
        <w:t>; TBH = t</w:t>
      </w:r>
      <w:r w:rsidRPr="006302C6">
        <w:t>urbuhaler</w:t>
      </w:r>
      <w:r>
        <w:t>; TDI =</w:t>
      </w:r>
      <w:r w:rsidRPr="002A146E">
        <w:t xml:space="preserve"> transition </w:t>
      </w:r>
      <w:r w:rsidR="00622F41" w:rsidRPr="002A146E">
        <w:t>dyspnoea</w:t>
      </w:r>
      <w:r w:rsidRPr="002A146E">
        <w:t xml:space="preserve"> index</w:t>
      </w:r>
      <w:r>
        <w:t xml:space="preserve">; </w:t>
      </w:r>
      <w:r w:rsidR="00542987">
        <w:t>vs. = versus</w:t>
      </w:r>
      <w:r>
        <w:t>.</w:t>
      </w:r>
    </w:p>
    <w:p w14:paraId="319FE9EA" w14:textId="60533814" w:rsidR="00940740" w:rsidRDefault="00B32DA3">
      <w:pPr>
        <w:pStyle w:val="TableDescription"/>
      </w:pPr>
      <w:r w:rsidRPr="00E536B8">
        <w:t xml:space="preserve">* </w:t>
      </w:r>
      <w:r w:rsidR="00940740">
        <w:t>S</w:t>
      </w:r>
      <w:r w:rsidRPr="00E536B8">
        <w:t>tatistically significant</w:t>
      </w:r>
    </w:p>
    <w:p w14:paraId="0FBF5BB0" w14:textId="1616700F" w:rsidR="00940740" w:rsidRDefault="00B32DA3">
      <w:pPr>
        <w:pStyle w:val="TableDescription"/>
      </w:pPr>
      <w:r w:rsidRPr="00E536B8">
        <w:t xml:space="preserve"># </w:t>
      </w:r>
      <w:r w:rsidR="00940740">
        <w:t>N</w:t>
      </w:r>
      <w:r w:rsidRPr="00E536B8">
        <w:t>ominally significant (</w:t>
      </w:r>
      <w:r w:rsidR="00940740">
        <w:t>t</w:t>
      </w:r>
      <w:r w:rsidRPr="00E536B8">
        <w:t xml:space="preserve">hat is p &lt; 0.05 but not statistically significant due to procedure </w:t>
      </w:r>
      <w:r w:rsidR="00A9141B" w:rsidRPr="00E536B8">
        <w:t>to</w:t>
      </w:r>
      <w:r w:rsidRPr="00E536B8">
        <w:t xml:space="preserve"> </w:t>
      </w:r>
      <w:r w:rsidR="00A9141B" w:rsidRPr="00E536B8">
        <w:t>c</w:t>
      </w:r>
      <w:r w:rsidRPr="00E536B8">
        <w:t>ontrol Type</w:t>
      </w:r>
      <w:r w:rsidR="00940740">
        <w:t> </w:t>
      </w:r>
      <w:r w:rsidRPr="00E536B8">
        <w:t xml:space="preserve">I </w:t>
      </w:r>
      <w:r w:rsidR="00940740">
        <w:t>e</w:t>
      </w:r>
      <w:r w:rsidRPr="00E536B8">
        <w:t>rror)</w:t>
      </w:r>
    </w:p>
    <w:p w14:paraId="5579F936" w14:textId="0FF84125" w:rsidR="00B32DA3" w:rsidRPr="00E536B8" w:rsidRDefault="00A41086">
      <w:pPr>
        <w:pStyle w:val="TableDescription"/>
      </w:pPr>
      <w:r w:rsidRPr="00E536B8">
        <w:t>‡</w:t>
      </w:r>
      <w:r w:rsidR="00B32DA3" w:rsidRPr="00E536B8">
        <w:t xml:space="preserve"> </w:t>
      </w:r>
      <w:r w:rsidR="00940740">
        <w:t>N</w:t>
      </w:r>
      <w:r w:rsidR="00917208" w:rsidRPr="00E536B8">
        <w:t>on</w:t>
      </w:r>
      <w:r w:rsidR="00940740">
        <w:t>-</w:t>
      </w:r>
      <w:r w:rsidR="00917208" w:rsidRPr="00E536B8">
        <w:t xml:space="preserve">inferior to Symbicort </w:t>
      </w:r>
      <w:r w:rsidR="000521C3" w:rsidRPr="00E536B8">
        <w:t>Turbuhaler</w:t>
      </w:r>
      <w:r w:rsidR="00B32DA3" w:rsidRPr="00E536B8">
        <w:t>.</w:t>
      </w:r>
    </w:p>
    <w:p w14:paraId="3C12A0F3" w14:textId="547AF069" w:rsidR="004A5850" w:rsidRPr="00E536B8" w:rsidRDefault="00917208">
      <w:pPr>
        <w:pStyle w:val="TableDescription"/>
      </w:pPr>
      <w:r w:rsidRPr="00E536B8">
        <w:t xml:space="preserve">The non-inferiority margins for BFF MDI versus Symbicort </w:t>
      </w:r>
      <w:r w:rsidR="000521C3" w:rsidRPr="00E536B8">
        <w:t>Turbuhaler</w:t>
      </w:r>
      <w:r w:rsidR="000521C3" w:rsidRPr="00E536B8" w:rsidDel="00EE1466">
        <w:t xml:space="preserve"> </w:t>
      </w:r>
      <w:r w:rsidR="0027032F" w:rsidRPr="00E536B8">
        <w:t xml:space="preserve">were as follows: change from </w:t>
      </w:r>
      <w:r w:rsidR="00940740">
        <w:t>B</w:t>
      </w:r>
      <w:r w:rsidR="0027032F" w:rsidRPr="00E536B8">
        <w:t>aseline morning pre</w:t>
      </w:r>
      <w:r w:rsidR="00407F30" w:rsidRPr="00E536B8">
        <w:t>-</w:t>
      </w:r>
      <w:r w:rsidR="0027032F" w:rsidRPr="00E536B8">
        <w:t>dose trough FEV</w:t>
      </w:r>
      <w:r w:rsidR="0027032F" w:rsidRPr="00F8741E">
        <w:rPr>
          <w:vertAlign w:val="subscript"/>
        </w:rPr>
        <w:t>1</w:t>
      </w:r>
      <w:r w:rsidR="0027032F" w:rsidRPr="00E536B8">
        <w:t xml:space="preserve"> (-50 mL), </w:t>
      </w:r>
      <w:r w:rsidR="009A0BF2" w:rsidRPr="00E536B8">
        <w:t>FEV</w:t>
      </w:r>
      <w:r w:rsidR="009A0BF2" w:rsidRPr="00F8741E">
        <w:rPr>
          <w:vertAlign w:val="subscript"/>
        </w:rPr>
        <w:t>1</w:t>
      </w:r>
      <w:r w:rsidR="009A0BF2" w:rsidRPr="00E536B8">
        <w:t xml:space="preserve"> AUC</w:t>
      </w:r>
      <w:r w:rsidR="009A0BF2" w:rsidRPr="00F8741E">
        <w:rPr>
          <w:vertAlign w:val="subscript"/>
        </w:rPr>
        <w:t>0-4</w:t>
      </w:r>
      <w:r w:rsidR="009A0BF2" w:rsidRPr="00F8741E">
        <w:t xml:space="preserve"> </w:t>
      </w:r>
      <w:r w:rsidR="009A0BF2" w:rsidRPr="00E536B8">
        <w:t xml:space="preserve">(-75 mL), TDI focal score (-0.75), peak change from </w:t>
      </w:r>
      <w:r w:rsidR="00940740">
        <w:t>B</w:t>
      </w:r>
      <w:r w:rsidR="009A0BF2" w:rsidRPr="00E536B8">
        <w:t>aseline in FEV</w:t>
      </w:r>
      <w:r w:rsidR="009A0BF2" w:rsidRPr="00F8741E">
        <w:rPr>
          <w:vertAlign w:val="subscript"/>
        </w:rPr>
        <w:t>1</w:t>
      </w:r>
      <w:r w:rsidR="009A0BF2" w:rsidRPr="00E536B8">
        <w:t xml:space="preserve"> (-75 mL), SGRQ total score (3 units), </w:t>
      </w:r>
      <w:r w:rsidR="004A5850" w:rsidRPr="00E536B8">
        <w:t>rescue</w:t>
      </w:r>
      <w:r w:rsidR="009A0BF2" w:rsidRPr="00E536B8">
        <w:t xml:space="preserve"> Ventolin HFA use (0.75</w:t>
      </w:r>
      <w:r w:rsidR="00F8741E">
        <w:t> </w:t>
      </w:r>
      <w:r w:rsidR="009A0BF2" w:rsidRPr="00E536B8">
        <w:t>puff/da</w:t>
      </w:r>
      <w:r w:rsidR="004A5850" w:rsidRPr="00E536B8">
        <w:t>y</w:t>
      </w:r>
      <w:r w:rsidR="009A0BF2" w:rsidRPr="00E536B8">
        <w:t xml:space="preserve">), </w:t>
      </w:r>
      <w:r w:rsidR="004A5850" w:rsidRPr="00E536B8">
        <w:t>RS-</w:t>
      </w:r>
      <w:r w:rsidR="00F8741E">
        <w:t>t</w:t>
      </w:r>
      <w:r w:rsidR="004A5850" w:rsidRPr="00E536B8">
        <w:t>otal score (-1.5), and time to CID (1.1).</w:t>
      </w:r>
    </w:p>
    <w:p w14:paraId="2FA1333F" w14:textId="2EDA0342" w:rsidR="00357046" w:rsidRPr="00E536B8" w:rsidRDefault="004A5850">
      <w:pPr>
        <w:pStyle w:val="TableDescription"/>
      </w:pPr>
      <w:r w:rsidRPr="002552DB">
        <w:t>a</w:t>
      </w:r>
      <w:r w:rsidR="00940740">
        <w:t>.</w:t>
      </w:r>
      <w:r w:rsidRPr="00E536B8">
        <w:t xml:space="preserve"> The BFF MDI versus Symbicort </w:t>
      </w:r>
      <w:r w:rsidR="000521C3" w:rsidRPr="00E536B8">
        <w:t>Turbuhaler</w:t>
      </w:r>
      <w:r w:rsidR="000521C3" w:rsidRPr="00E536B8" w:rsidDel="00EE1466">
        <w:t xml:space="preserve"> </w:t>
      </w:r>
      <w:r w:rsidRPr="00E536B8">
        <w:t>comparison</w:t>
      </w:r>
      <w:r w:rsidR="00162098" w:rsidRPr="00E536B8">
        <w:t xml:space="preserve"> was for non-inferiority using the PP </w:t>
      </w:r>
      <w:proofErr w:type="spellStart"/>
      <w:r w:rsidR="00F8741E">
        <w:t>e</w:t>
      </w:r>
      <w:r w:rsidR="00162098" w:rsidRPr="00E536B8">
        <w:t>stimand</w:t>
      </w:r>
      <w:proofErr w:type="spellEnd"/>
      <w:r w:rsidR="00357046" w:rsidRPr="00E536B8">
        <w:t xml:space="preserve">, while all other comparisons were for superiority using the </w:t>
      </w:r>
      <w:proofErr w:type="spellStart"/>
      <w:r w:rsidR="00F8741E">
        <w:t>e</w:t>
      </w:r>
      <w:r w:rsidR="00357046" w:rsidRPr="00E536B8">
        <w:t>stimand</w:t>
      </w:r>
      <w:proofErr w:type="spellEnd"/>
      <w:r w:rsidR="00357046" w:rsidRPr="00E536B8">
        <w:t xml:space="preserve"> noted.</w:t>
      </w:r>
    </w:p>
    <w:p w14:paraId="245F62C5" w14:textId="7CBBB724" w:rsidR="00E562F2" w:rsidRPr="00E536B8" w:rsidRDefault="00357046">
      <w:pPr>
        <w:pStyle w:val="TableDescription"/>
      </w:pPr>
      <w:r w:rsidRPr="002552DB">
        <w:t>b</w:t>
      </w:r>
      <w:r w:rsidR="00940740">
        <w:t>.</w:t>
      </w:r>
      <w:r w:rsidRPr="00E536B8">
        <w:t xml:space="preserve"> </w:t>
      </w:r>
      <w:r w:rsidR="00BF2534" w:rsidRPr="00E536B8">
        <w:t xml:space="preserve">The </w:t>
      </w:r>
      <w:r w:rsidR="008F346E" w:rsidRPr="00E536B8">
        <w:t xml:space="preserve">comparison of BGF MDI versus </w:t>
      </w:r>
      <w:r w:rsidR="00EC053D" w:rsidRPr="00E536B8">
        <w:t>GFF</w:t>
      </w:r>
      <w:r w:rsidR="008F346E" w:rsidRPr="00E536B8">
        <w:t xml:space="preserve"> MDI for FEV</w:t>
      </w:r>
      <w:r w:rsidR="008F346E" w:rsidRPr="00F8741E">
        <w:rPr>
          <w:vertAlign w:val="subscript"/>
        </w:rPr>
        <w:t>1</w:t>
      </w:r>
      <w:r w:rsidR="008F346E" w:rsidRPr="00E536B8">
        <w:t xml:space="preserve"> AUC</w:t>
      </w:r>
      <w:r w:rsidR="008F346E" w:rsidRPr="00F8741E">
        <w:rPr>
          <w:vertAlign w:val="subscript"/>
        </w:rPr>
        <w:t>0-4</w:t>
      </w:r>
      <w:r w:rsidR="00E562F2" w:rsidRPr="00F8741E">
        <w:t xml:space="preserve"> </w:t>
      </w:r>
      <w:r w:rsidR="00E562F2" w:rsidRPr="00E536B8">
        <w:t>over 24 weeks was not an efficacy endpoint for the EU/Canada approach and is provided only for completeness.</w:t>
      </w:r>
    </w:p>
    <w:p w14:paraId="68C77356" w14:textId="246FA7E8" w:rsidR="00E562F2" w:rsidRPr="00E536B8" w:rsidRDefault="00E562F2">
      <w:pPr>
        <w:pStyle w:val="TableDescription"/>
      </w:pPr>
      <w:r w:rsidRPr="002552DB">
        <w:t>c</w:t>
      </w:r>
      <w:r w:rsidR="00940740">
        <w:t>.</w:t>
      </w:r>
      <w:r w:rsidRPr="00E536B8">
        <w:t xml:space="preserve"> This comparison is a </w:t>
      </w:r>
      <w:r w:rsidR="00BF2534" w:rsidRPr="00E536B8">
        <w:t>secondary</w:t>
      </w:r>
      <w:r w:rsidRPr="00E536B8">
        <w:t xml:space="preserve"> efficacy endpoint.</w:t>
      </w:r>
    </w:p>
    <w:p w14:paraId="62CD0C05" w14:textId="6DDAFC3B" w:rsidR="00BF2534" w:rsidRPr="00E536B8" w:rsidRDefault="00E562F2">
      <w:pPr>
        <w:pStyle w:val="TableDescription"/>
      </w:pPr>
      <w:r w:rsidRPr="002552DB">
        <w:t>d</w:t>
      </w:r>
      <w:r w:rsidR="00940740">
        <w:t>.</w:t>
      </w:r>
      <w:r w:rsidRPr="00E536B8">
        <w:t xml:space="preserve"> Assessed using the </w:t>
      </w:r>
      <w:r w:rsidR="00F8741E">
        <w:t>e</w:t>
      </w:r>
      <w:r w:rsidRPr="00E536B8">
        <w:t xml:space="preserve">fficacy </w:t>
      </w:r>
      <w:proofErr w:type="spellStart"/>
      <w:r w:rsidR="00F8741E">
        <w:t>e</w:t>
      </w:r>
      <w:r w:rsidRPr="00E536B8">
        <w:t>stimand</w:t>
      </w:r>
      <w:proofErr w:type="spellEnd"/>
      <w:r w:rsidRPr="00E536B8">
        <w:t xml:space="preserve"> restricted to subjects in the </w:t>
      </w:r>
      <w:r w:rsidR="0036092A" w:rsidRPr="00E536B8">
        <w:t xml:space="preserve">rescue </w:t>
      </w:r>
      <w:r w:rsidR="0041185C" w:rsidRPr="00E536B8">
        <w:t>V</w:t>
      </w:r>
      <w:r w:rsidR="0036092A" w:rsidRPr="00E536B8">
        <w:t>entolin use</w:t>
      </w:r>
      <w:r w:rsidR="00BF2534" w:rsidRPr="00E536B8">
        <w:t xml:space="preserve"> </w:t>
      </w:r>
      <w:r w:rsidR="00F8741E">
        <w:t>p</w:t>
      </w:r>
      <w:r w:rsidR="00BF2534" w:rsidRPr="00E536B8">
        <w:t>opulation.</w:t>
      </w:r>
    </w:p>
    <w:p w14:paraId="1C22D0F7" w14:textId="050B6450" w:rsidR="00EA2B19" w:rsidRDefault="00BF2534">
      <w:pPr>
        <w:pStyle w:val="TableDescription"/>
      </w:pPr>
      <w:r w:rsidRPr="002552DB">
        <w:t>e</w:t>
      </w:r>
      <w:r w:rsidR="00940740">
        <w:t>.</w:t>
      </w:r>
      <w:r w:rsidRPr="00E536B8">
        <w:t xml:space="preserve"> Time to onset of action on Day 1 was analysed by treatment groups only.</w:t>
      </w:r>
    </w:p>
    <w:p w14:paraId="5549F4F3" w14:textId="77777777" w:rsidR="00F95987" w:rsidRDefault="001240C0" w:rsidP="00F95987">
      <w:pPr>
        <w:pStyle w:val="Heading6"/>
      </w:pPr>
      <w:r w:rsidRPr="00E37D70">
        <w:t>Secondary endpoint results</w:t>
      </w:r>
    </w:p>
    <w:p w14:paraId="3CC4C1F6" w14:textId="1A6BD7DF" w:rsidR="001240C0" w:rsidRPr="00BA326D" w:rsidRDefault="00F95987" w:rsidP="002552DB">
      <w:pPr>
        <w:pStyle w:val="Heading7"/>
        <w:rPr>
          <w:szCs w:val="28"/>
        </w:rPr>
      </w:pPr>
      <w:r>
        <w:rPr>
          <w:sz w:val="22"/>
          <w:szCs w:val="28"/>
        </w:rPr>
        <w:t>R</w:t>
      </w:r>
      <w:r w:rsidR="001240C0" w:rsidRPr="002552DB">
        <w:rPr>
          <w:sz w:val="22"/>
          <w:szCs w:val="28"/>
        </w:rPr>
        <w:t>ate of moderate or severe exacerbations</w:t>
      </w:r>
    </w:p>
    <w:p w14:paraId="6351BE66" w14:textId="3693B30D" w:rsidR="001240C0" w:rsidRDefault="001240C0" w:rsidP="001240C0">
      <w:r>
        <w:t xml:space="preserve">The adjusted rate of moderate or severe exacerbations (annualised) was 0.46 for </w:t>
      </w:r>
      <w:r w:rsidR="00DA5540">
        <w:t xml:space="preserve">the </w:t>
      </w:r>
      <w:r w:rsidR="00B53AAA">
        <w:t xml:space="preserve">BGF </w:t>
      </w:r>
      <w:r w:rsidR="00072973">
        <w:t>MDI (</w:t>
      </w:r>
      <w:r w:rsidR="00B53AAA" w:rsidRPr="00677027">
        <w:t>320</w:t>
      </w:r>
      <w:r w:rsidR="00B53AAA">
        <w:t>/</w:t>
      </w:r>
      <w:r w:rsidR="00B53AAA" w:rsidRPr="00677027">
        <w:t>14.4</w:t>
      </w:r>
      <w:r w:rsidR="00B53AAA">
        <w:t>/</w:t>
      </w:r>
      <w:r w:rsidR="00B53AAA" w:rsidRPr="00677027">
        <w:t>9.6</w:t>
      </w:r>
      <w:r w:rsidR="00B53AAA">
        <w:t> </w:t>
      </w:r>
      <w:r w:rsidR="00B53AAA" w:rsidRPr="00677027">
        <w:t>µg</w:t>
      </w:r>
      <w:r w:rsidR="00072973">
        <w:t xml:space="preserve">; </w:t>
      </w:r>
      <w:r w:rsidR="00C06AA6" w:rsidRPr="00C06AA6">
        <w:t xml:space="preserve">shown as </w:t>
      </w:r>
      <w:proofErr w:type="spellStart"/>
      <w:r w:rsidR="00C06AA6">
        <w:t>Breztri</w:t>
      </w:r>
      <w:proofErr w:type="spellEnd"/>
      <w:r w:rsidR="00C06AA6">
        <w:t xml:space="preserve"> </w:t>
      </w:r>
      <w:r>
        <w:t>160/7.2/5</w:t>
      </w:r>
      <w:r w:rsidR="00E46688">
        <w:t xml:space="preserve"> in </w:t>
      </w:r>
      <w:r w:rsidR="00E46688">
        <w:fldChar w:fldCharType="begin"/>
      </w:r>
      <w:r w:rsidR="00E46688">
        <w:instrText xml:space="preserve"> REF _Ref89957819 \h </w:instrText>
      </w:r>
      <w:r w:rsidR="00E46688">
        <w:fldChar w:fldCharType="separate"/>
      </w:r>
      <w:r w:rsidR="00E53BA0">
        <w:t xml:space="preserve">Table </w:t>
      </w:r>
      <w:r w:rsidR="00E53BA0">
        <w:rPr>
          <w:noProof/>
        </w:rPr>
        <w:t>8</w:t>
      </w:r>
      <w:r w:rsidR="00E46688">
        <w:fldChar w:fldCharType="end"/>
      </w:r>
      <w:r>
        <w:t xml:space="preserve">), 0.95 for </w:t>
      </w:r>
      <w:r w:rsidR="00DA5540">
        <w:t xml:space="preserve">the </w:t>
      </w:r>
      <w:r w:rsidR="00B53AAA">
        <w:t xml:space="preserve">GFF </w:t>
      </w:r>
      <w:r w:rsidR="00F82CDE">
        <w:t>MDI</w:t>
      </w:r>
      <w:r w:rsidR="00DA5540">
        <w:t xml:space="preserve"> </w:t>
      </w:r>
      <w:r>
        <w:t>(</w:t>
      </w:r>
      <w:r w:rsidR="00864779">
        <w:t>7.2/5 </w:t>
      </w:r>
      <w:r w:rsidR="00864779" w:rsidRPr="00677027">
        <w:t>µg</w:t>
      </w:r>
      <w:r>
        <w:t xml:space="preserve">), 0.56 for </w:t>
      </w:r>
      <w:r w:rsidR="0070720A">
        <w:t xml:space="preserve">the </w:t>
      </w:r>
      <w:r>
        <w:t>BFF MDI</w:t>
      </w:r>
      <w:r w:rsidR="0070720A">
        <w:t xml:space="preserve"> (160/5 </w:t>
      </w:r>
      <w:r w:rsidR="0070720A" w:rsidRPr="00677027">
        <w:t>µg</w:t>
      </w:r>
      <w:r w:rsidR="0070720A">
        <w:t>)</w:t>
      </w:r>
      <w:r>
        <w:t>, and 0.55 for Symbicort</w:t>
      </w:r>
      <w:r w:rsidR="000521C3">
        <w:t xml:space="preserve"> </w:t>
      </w:r>
      <w:r w:rsidR="000521C3" w:rsidRPr="00A62B3E">
        <w:t>Turbuhaler</w:t>
      </w:r>
      <w:r w:rsidR="008A060B">
        <w:t xml:space="preserve"> (</w:t>
      </w:r>
      <w:r w:rsidR="0070720A">
        <w:t>200/6 </w:t>
      </w:r>
      <w:r w:rsidR="0070720A" w:rsidRPr="00677027">
        <w:t>µg</w:t>
      </w:r>
      <w:r w:rsidR="0070720A">
        <w:t xml:space="preserve">; </w:t>
      </w:r>
      <w:r w:rsidR="008A060B">
        <w:t>shown as BFF 200/6)</w:t>
      </w:r>
      <w:r>
        <w:t>. The main efficacy outcomes are summarised in</w:t>
      </w:r>
      <w:r w:rsidR="00E47D66">
        <w:t xml:space="preserve"> </w:t>
      </w:r>
      <w:r w:rsidR="001C3A5C">
        <w:fldChar w:fldCharType="begin"/>
      </w:r>
      <w:r w:rsidR="001C3A5C">
        <w:instrText xml:space="preserve"> REF _Ref89957301 \h </w:instrText>
      </w:r>
      <w:r w:rsidR="001C3A5C">
        <w:fldChar w:fldCharType="separate"/>
      </w:r>
      <w:r w:rsidR="00E53BA0">
        <w:t xml:space="preserve">Table </w:t>
      </w:r>
      <w:r w:rsidR="00E53BA0">
        <w:rPr>
          <w:noProof/>
        </w:rPr>
        <w:t>4</w:t>
      </w:r>
      <w:r w:rsidR="001C3A5C">
        <w:fldChar w:fldCharType="end"/>
      </w:r>
      <w:r w:rsidR="00B53AAA">
        <w:t>,</w:t>
      </w:r>
      <w:r w:rsidR="001C3A5C">
        <w:t xml:space="preserve"> </w:t>
      </w:r>
      <w:r w:rsidR="001C3A5C">
        <w:fldChar w:fldCharType="begin"/>
      </w:r>
      <w:r w:rsidR="001C3A5C">
        <w:instrText xml:space="preserve"> REF _Ref89957797 \h </w:instrText>
      </w:r>
      <w:r w:rsidR="001C3A5C">
        <w:fldChar w:fldCharType="separate"/>
      </w:r>
      <w:r w:rsidR="00E53BA0">
        <w:t xml:space="preserve">Table </w:t>
      </w:r>
      <w:r w:rsidR="00E53BA0">
        <w:rPr>
          <w:noProof/>
        </w:rPr>
        <w:t>7</w:t>
      </w:r>
      <w:r w:rsidR="001C3A5C">
        <w:fldChar w:fldCharType="end"/>
      </w:r>
      <w:r w:rsidR="00AB5BF5">
        <w:t xml:space="preserve"> and</w:t>
      </w:r>
      <w:r w:rsidR="001C3A5C">
        <w:t xml:space="preserve"> </w:t>
      </w:r>
      <w:r w:rsidR="00B53AAA">
        <w:fldChar w:fldCharType="begin"/>
      </w:r>
      <w:r w:rsidR="00B53AAA">
        <w:instrText xml:space="preserve"> REF _Ref89957819 \h </w:instrText>
      </w:r>
      <w:r w:rsidR="00B53AAA">
        <w:fldChar w:fldCharType="separate"/>
      </w:r>
      <w:r w:rsidR="00E53BA0">
        <w:t xml:space="preserve">Table </w:t>
      </w:r>
      <w:r w:rsidR="00E53BA0">
        <w:rPr>
          <w:noProof/>
        </w:rPr>
        <w:t>8</w:t>
      </w:r>
      <w:r w:rsidR="00B53AAA">
        <w:fldChar w:fldCharType="end"/>
      </w:r>
      <w:r w:rsidR="00B53AAA">
        <w:t>.</w:t>
      </w:r>
    </w:p>
    <w:p w14:paraId="52024C8F" w14:textId="572B90CB" w:rsidR="001240C0" w:rsidRDefault="001240C0" w:rsidP="00756C5F">
      <w:pPr>
        <w:pStyle w:val="ListBullet"/>
      </w:pPr>
      <w:r>
        <w:t xml:space="preserve">Using </w:t>
      </w:r>
      <w:r w:rsidR="00072973">
        <w:t>BGF MDI (320/14.4/9.6 µg)</w:t>
      </w:r>
      <w:r w:rsidR="00B53AAA" w:rsidRPr="00B53AAA">
        <w:t xml:space="preserve"> </w:t>
      </w:r>
      <w:r>
        <w:t>as the reference, the rate ratio (95% CI) was:</w:t>
      </w:r>
    </w:p>
    <w:p w14:paraId="3D3FED4E" w14:textId="3D5EA9D1" w:rsidR="001240C0" w:rsidRDefault="001240C0" w:rsidP="00756C5F">
      <w:pPr>
        <w:pStyle w:val="ListBullet2"/>
      </w:pPr>
      <w:r>
        <w:t>0.48 (0.37</w:t>
      </w:r>
      <w:r w:rsidR="00040D7C">
        <w:t xml:space="preserve">, </w:t>
      </w:r>
      <w:r>
        <w:t>0.64) for GFF MDI (</w:t>
      </w:r>
      <w:r w:rsidR="00F83400">
        <w:t>superior</w:t>
      </w:r>
      <w:r>
        <w:t>)</w:t>
      </w:r>
    </w:p>
    <w:p w14:paraId="587F9DA1" w14:textId="73A58A3E" w:rsidR="001240C0" w:rsidRDefault="001240C0" w:rsidP="00756C5F">
      <w:pPr>
        <w:pStyle w:val="ListBullet2"/>
      </w:pPr>
      <w:r>
        <w:t>0.56 (0.58</w:t>
      </w:r>
      <w:r w:rsidR="00040D7C">
        <w:t xml:space="preserve">, </w:t>
      </w:r>
      <w:r>
        <w:t>1.17) for BFF MDI (</w:t>
      </w:r>
      <w:r w:rsidR="00F83400">
        <w:t>superiority</w:t>
      </w:r>
      <w:r>
        <w:t xml:space="preserve"> not shown)</w:t>
      </w:r>
    </w:p>
    <w:p w14:paraId="32CF1097" w14:textId="30B56C21" w:rsidR="001240C0" w:rsidRDefault="001240C0" w:rsidP="00756C5F">
      <w:pPr>
        <w:pStyle w:val="ListBullet2"/>
      </w:pPr>
      <w:r>
        <w:t>0.83 (0.59</w:t>
      </w:r>
      <w:r w:rsidR="00040D7C">
        <w:t xml:space="preserve">, </w:t>
      </w:r>
      <w:r>
        <w:t xml:space="preserve">1.18) for Symbicort </w:t>
      </w:r>
      <w:r w:rsidR="000521C3" w:rsidRPr="00A62B3E">
        <w:t>Turbuhaler</w:t>
      </w:r>
      <w:r w:rsidR="000521C3">
        <w:t xml:space="preserve"> </w:t>
      </w:r>
      <w:r>
        <w:t>(</w:t>
      </w:r>
      <w:r w:rsidR="00F83400">
        <w:t>superiority</w:t>
      </w:r>
      <w:r>
        <w:t xml:space="preserve"> not shown)</w:t>
      </w:r>
    </w:p>
    <w:p w14:paraId="018C83FD" w14:textId="60F5504A" w:rsidR="00AE67B3" w:rsidRDefault="00AE67B3" w:rsidP="00B32610">
      <w:pPr>
        <w:pStyle w:val="TableTitle"/>
        <w:rPr>
          <w:b w:val="0"/>
          <w:bCs/>
        </w:rPr>
      </w:pPr>
      <w:bookmarkStart w:id="66" w:name="_Ref89957819"/>
      <w:r>
        <w:t xml:space="preserve">Table </w:t>
      </w:r>
      <w:r w:rsidR="001108B3">
        <w:fldChar w:fldCharType="begin"/>
      </w:r>
      <w:r w:rsidR="001108B3">
        <w:instrText xml:space="preserve"> SEQ Table \* ARABIC </w:instrText>
      </w:r>
      <w:r w:rsidR="001108B3">
        <w:fldChar w:fldCharType="separate"/>
      </w:r>
      <w:r w:rsidR="00E53BA0">
        <w:rPr>
          <w:noProof/>
        </w:rPr>
        <w:t>8</w:t>
      </w:r>
      <w:r w:rsidR="001108B3">
        <w:rPr>
          <w:noProof/>
        </w:rPr>
        <w:fldChar w:fldCharType="end"/>
      </w:r>
      <w:bookmarkEnd w:id="66"/>
      <w:r>
        <w:t xml:space="preserve">: Study PT010006 </w:t>
      </w:r>
      <w:r w:rsidR="00056A38">
        <w:t>R</w:t>
      </w:r>
      <w:r w:rsidR="00056A38" w:rsidRPr="00056A38">
        <w:t xml:space="preserve">ate of </w:t>
      </w:r>
      <w:r w:rsidR="000E0FD2">
        <w:t>c</w:t>
      </w:r>
      <w:r w:rsidR="00936ADC" w:rsidRPr="00936ADC">
        <w:t xml:space="preserve">hronic obstructive pulmonary disease </w:t>
      </w:r>
      <w:r w:rsidR="00056A38" w:rsidRPr="00056A38">
        <w:t>exacerbations</w:t>
      </w:r>
      <w:r w:rsidR="00E31D34" w:rsidRPr="00E31D34">
        <w:t xml:space="preserve"> </w:t>
      </w:r>
      <w:r w:rsidR="00957108">
        <w:t>(</w:t>
      </w:r>
      <w:r w:rsidR="00E31D34">
        <w:t>m</w:t>
      </w:r>
      <w:r w:rsidR="00E31D34" w:rsidRPr="00476439">
        <w:t>odified intention</w:t>
      </w:r>
      <w:r w:rsidR="00041E90">
        <w:t>-</w:t>
      </w:r>
      <w:r w:rsidR="00E31D34" w:rsidRPr="00476439">
        <w:t>to</w:t>
      </w:r>
      <w:r w:rsidR="00041E90">
        <w:t>-</w:t>
      </w:r>
      <w:r w:rsidR="00E31D34" w:rsidRPr="00476439">
        <w:t>treat</w:t>
      </w:r>
      <w:r>
        <w:t xml:space="preserve"> </w:t>
      </w:r>
      <w:r w:rsidR="00382A5C">
        <w:t>p</w:t>
      </w:r>
      <w:r>
        <w:t>opulation</w:t>
      </w:r>
      <w:r w:rsidR="00957108">
        <w:t>)</w:t>
      </w:r>
    </w:p>
    <w:p w14:paraId="66508E87" w14:textId="389B4109" w:rsidR="008A060B" w:rsidRPr="00E1569C" w:rsidRDefault="008A060B" w:rsidP="00261765">
      <w:pPr>
        <w:rPr>
          <w:b/>
          <w:bCs/>
        </w:rPr>
      </w:pPr>
      <w:r>
        <w:rPr>
          <w:noProof/>
          <w:lang w:val="en-GB" w:eastAsia="en-GB"/>
        </w:rPr>
        <w:drawing>
          <wp:inline distT="0" distB="0" distL="0" distR="0" wp14:anchorId="371AD774" wp14:editId="2A42DF19">
            <wp:extent cx="5400040" cy="2116455"/>
            <wp:effectExtent l="0" t="0" r="0" b="0"/>
            <wp:docPr id="6" name="Picture 6" descr="Table 8: Study PT010006 Rate of chronic obstructive pulmonary disease exacerbations (modified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8: Study PT010006 Rate of chronic obstructive pulmonary disease exacerbations (modified intention-to-treat population)"/>
                    <pic:cNvPicPr/>
                  </pic:nvPicPr>
                  <pic:blipFill>
                    <a:blip r:embed="rId33"/>
                    <a:stretch>
                      <a:fillRect/>
                    </a:stretch>
                  </pic:blipFill>
                  <pic:spPr>
                    <a:xfrm>
                      <a:off x="0" y="0"/>
                      <a:ext cx="5400040" cy="2116455"/>
                    </a:xfrm>
                    <a:prstGeom prst="rect">
                      <a:avLst/>
                    </a:prstGeom>
                  </pic:spPr>
                </pic:pic>
              </a:graphicData>
            </a:graphic>
          </wp:inline>
        </w:drawing>
      </w:r>
    </w:p>
    <w:p w14:paraId="1EA39F4C" w14:textId="629D21EA" w:rsidR="004B0E91" w:rsidRDefault="00D94ADB" w:rsidP="00261765">
      <w:pPr>
        <w:pStyle w:val="TableDescription"/>
      </w:pPr>
      <w:r>
        <w:t>BFF =</w:t>
      </w:r>
      <w:r w:rsidRPr="006302C6">
        <w:t xml:space="preserve"> </w:t>
      </w:r>
      <w:r>
        <w:t>b</w:t>
      </w:r>
      <w:r w:rsidRPr="006302C6">
        <w:t>udesonide / formoterol fumarate</w:t>
      </w:r>
      <w:r>
        <w:t xml:space="preserve">; </w:t>
      </w:r>
      <w:r w:rsidR="00C2129C" w:rsidRPr="00E536B8">
        <w:t>CI</w:t>
      </w:r>
      <w:r w:rsidR="00C2129C">
        <w:t xml:space="preserve"> = c</w:t>
      </w:r>
      <w:r w:rsidR="00C2129C" w:rsidRPr="00E536B8">
        <w:t>onfidence intervals</w:t>
      </w:r>
      <w:r w:rsidR="00C2129C">
        <w:t xml:space="preserve">; </w:t>
      </w:r>
      <w:r w:rsidR="0070720A">
        <w:t xml:space="preserve">GFF = </w:t>
      </w:r>
      <w:r w:rsidR="0070720A" w:rsidRPr="008A060B">
        <w:t>glycopyrronium / formoterol fumarate</w:t>
      </w:r>
      <w:r w:rsidR="0070720A">
        <w:t xml:space="preserve">; MDI = </w:t>
      </w:r>
      <w:r w:rsidR="0070720A" w:rsidRPr="008A060B">
        <w:t>metered dose inhaler</w:t>
      </w:r>
      <w:r w:rsidR="0070720A">
        <w:t xml:space="preserve">; </w:t>
      </w:r>
      <w:r w:rsidR="004B0E91">
        <w:t>N/A =</w:t>
      </w:r>
      <w:r w:rsidR="00C2129C">
        <w:t xml:space="preserve"> not applicable.</w:t>
      </w:r>
    </w:p>
    <w:p w14:paraId="5AD18E60" w14:textId="26A1487E" w:rsidR="00F8741E" w:rsidRDefault="00AE67B3">
      <w:pPr>
        <w:pStyle w:val="TableDescription"/>
      </w:pPr>
      <w:r w:rsidRPr="00E536B8">
        <w:lastRenderedPageBreak/>
        <w:t>^ Aerosphere</w:t>
      </w:r>
    </w:p>
    <w:p w14:paraId="099BC403" w14:textId="1466C4D2" w:rsidR="00940740" w:rsidRDefault="00AE67B3">
      <w:pPr>
        <w:pStyle w:val="TableDescription"/>
      </w:pPr>
      <w:r w:rsidRPr="00E536B8">
        <w:t>^^ Turbuhaler (open label)</w:t>
      </w:r>
    </w:p>
    <w:p w14:paraId="06B02255" w14:textId="459964DC" w:rsidR="00AE67B3" w:rsidRPr="00E536B8" w:rsidRDefault="00AE67B3">
      <w:pPr>
        <w:pStyle w:val="TableDescription"/>
      </w:pPr>
      <w:r w:rsidRPr="00E536B8">
        <w:t>* Unadjusted p-value</w:t>
      </w:r>
    </w:p>
    <w:p w14:paraId="2E21CACF" w14:textId="28BF2B15" w:rsidR="00AE67B3" w:rsidRPr="00E536B8" w:rsidRDefault="00AE67B3">
      <w:pPr>
        <w:pStyle w:val="TableDescription"/>
      </w:pPr>
      <w:r w:rsidRPr="002552DB">
        <w:t>a</w:t>
      </w:r>
      <w:r w:rsidR="00940740">
        <w:t>.</w:t>
      </w:r>
      <w:r w:rsidRPr="00E536B8">
        <w:t xml:space="preserve"> Moderate exacerbation </w:t>
      </w:r>
      <w:r w:rsidR="00F8741E">
        <w:t>-</w:t>
      </w:r>
      <w:r w:rsidRPr="00E536B8">
        <w:t xml:space="preserve"> systemic corticosteroids and/or antibiotics for at least 3 days</w:t>
      </w:r>
    </w:p>
    <w:p w14:paraId="541E24AF" w14:textId="48E49254" w:rsidR="00AE67B3" w:rsidRPr="00E536B8" w:rsidRDefault="00AE67B3">
      <w:pPr>
        <w:pStyle w:val="TableDescription"/>
      </w:pPr>
      <w:r w:rsidRPr="002552DB">
        <w:t>b</w:t>
      </w:r>
      <w:r w:rsidR="00940740">
        <w:t>.</w:t>
      </w:r>
      <w:r w:rsidRPr="00E536B8">
        <w:t xml:space="preserve"> Severe exacerbation </w:t>
      </w:r>
      <w:r w:rsidR="00F8741E">
        <w:t>-</w:t>
      </w:r>
      <w:r w:rsidRPr="00E536B8">
        <w:t xml:space="preserve"> inpatient </w:t>
      </w:r>
      <w:r w:rsidR="00367912" w:rsidRPr="00E536B8">
        <w:t>chronic obstructive pulmonary disease (</w:t>
      </w:r>
      <w:r w:rsidRPr="00E536B8">
        <w:t>COPD</w:t>
      </w:r>
      <w:r w:rsidR="00367912" w:rsidRPr="00E536B8">
        <w:t>)</w:t>
      </w:r>
      <w:r w:rsidRPr="00E536B8">
        <w:t xml:space="preserve"> related hospitalisation or COPD related death</w:t>
      </w:r>
    </w:p>
    <w:p w14:paraId="61FDC9FE" w14:textId="03CE8838" w:rsidR="00914211" w:rsidRPr="002E67BD" w:rsidRDefault="00914211" w:rsidP="002552DB">
      <w:pPr>
        <w:pStyle w:val="Heading5"/>
      </w:pPr>
      <w:r w:rsidRPr="002E67BD">
        <w:t>Study PT010007</w:t>
      </w:r>
    </w:p>
    <w:p w14:paraId="603B0657" w14:textId="18257275" w:rsidR="00914211" w:rsidRDefault="00914211" w:rsidP="00914211">
      <w:r>
        <w:t>Study PT010007 was an extension study of Study PT010006 to primarily assess long</w:t>
      </w:r>
      <w:r w:rsidR="002E67BD">
        <w:t xml:space="preserve"> </w:t>
      </w:r>
      <w:r>
        <w:t>term safety and tolerability in 347 Japanese patients with efficacy as a secondary objective between August 2016 to June 2018 at 75 centres in Japan.</w:t>
      </w:r>
    </w:p>
    <w:p w14:paraId="536F151D" w14:textId="5413482D" w:rsidR="00914211" w:rsidRDefault="00914211" w:rsidP="00914211">
      <w:r>
        <w:t>Patients remained in their PT010006 treatment groups and were blinded to treatment allocation, except for open</w:t>
      </w:r>
      <w:r w:rsidR="00C0061A">
        <w:t xml:space="preserve"> </w:t>
      </w:r>
      <w:r>
        <w:t>label Symbicort</w:t>
      </w:r>
      <w:r w:rsidR="000521C3">
        <w:t xml:space="preserve"> </w:t>
      </w:r>
      <w:r w:rsidR="000521C3" w:rsidRPr="00A62B3E">
        <w:t>Turbuhaler</w:t>
      </w:r>
      <w:r>
        <w:t>.</w:t>
      </w:r>
    </w:p>
    <w:p w14:paraId="505C78C3" w14:textId="6CFA3AAC" w:rsidR="00914211" w:rsidRDefault="00914211" w:rsidP="00914211">
      <w:r>
        <w:t>The efficacy outcome measures were FEV</w:t>
      </w:r>
      <w:r w:rsidRPr="001B08C3">
        <w:rPr>
          <w:vertAlign w:val="subscript"/>
        </w:rPr>
        <w:t>1</w:t>
      </w:r>
      <w:r>
        <w:t xml:space="preserve">, </w:t>
      </w:r>
      <w:r w:rsidR="009963A2">
        <w:t>f</w:t>
      </w:r>
      <w:r w:rsidR="009963A2" w:rsidRPr="009963A2">
        <w:t xml:space="preserve">orced vital capacity </w:t>
      </w:r>
      <w:r w:rsidR="009963A2">
        <w:t>(</w:t>
      </w:r>
      <w:r>
        <w:t>FVC</w:t>
      </w:r>
      <w:r w:rsidR="009963A2">
        <w:t>)</w:t>
      </w:r>
      <w:r>
        <w:t xml:space="preserve">, </w:t>
      </w:r>
      <w:r w:rsidR="009963A2">
        <w:t>p</w:t>
      </w:r>
      <w:r w:rsidR="009963A2" w:rsidRPr="009963A2">
        <w:t xml:space="preserve">eak expiratory flow rate </w:t>
      </w:r>
      <w:r w:rsidR="009963A2">
        <w:t>(</w:t>
      </w:r>
      <w:r>
        <w:t>PEFR</w:t>
      </w:r>
      <w:r w:rsidR="009963A2">
        <w:t>)</w:t>
      </w:r>
      <w:r>
        <w:t xml:space="preserve">, </w:t>
      </w:r>
      <w:r w:rsidR="009963A2">
        <w:t>f</w:t>
      </w:r>
      <w:r w:rsidR="009963A2" w:rsidRPr="009963A2">
        <w:t xml:space="preserve">orced expiratory flow between 25% and 75% of forced vital capacity </w:t>
      </w:r>
      <w:r w:rsidR="009963A2">
        <w:t>(</w:t>
      </w:r>
      <w:r>
        <w:t>FEF</w:t>
      </w:r>
      <w:r w:rsidRPr="001B08C3">
        <w:rPr>
          <w:vertAlign w:val="subscript"/>
        </w:rPr>
        <w:t>25-75</w:t>
      </w:r>
      <w:r w:rsidR="00681C14">
        <w:rPr>
          <w:vertAlign w:val="subscript"/>
        </w:rPr>
        <w:t>%</w:t>
      </w:r>
      <w:r w:rsidR="009963A2">
        <w:t>)</w:t>
      </w:r>
      <w:r>
        <w:t>, COPD exacerbations, Ventolin</w:t>
      </w:r>
      <w:r w:rsidR="0041185C">
        <w:t>;</w:t>
      </w:r>
      <w:r w:rsidR="00244AB8">
        <w:rPr>
          <w:rStyle w:val="FootnoteReference"/>
        </w:rPr>
        <w:footnoteReference w:id="13"/>
      </w:r>
      <w:r>
        <w:t xml:space="preserve"> rescue, </w:t>
      </w:r>
      <w:r w:rsidR="0041185C">
        <w:t>e</w:t>
      </w:r>
      <w:r w:rsidR="0041185C" w:rsidRPr="0041185C">
        <w:t xml:space="preserve">xacerbations of </w:t>
      </w:r>
      <w:r w:rsidR="0041185C">
        <w:t>COPD</w:t>
      </w:r>
      <w:r w:rsidR="0041185C" w:rsidRPr="0041185C">
        <w:t xml:space="preserve"> tool </w:t>
      </w:r>
      <w:r w:rsidR="0041185C">
        <w:t>(</w:t>
      </w:r>
      <w:r>
        <w:t>EXACT</w:t>
      </w:r>
      <w:r w:rsidR="0041185C">
        <w:t>)</w:t>
      </w:r>
      <w:r>
        <w:t xml:space="preserve"> total score and </w:t>
      </w:r>
      <w:r w:rsidR="000B4121" w:rsidRPr="000B4121">
        <w:t>EXACT-</w:t>
      </w:r>
      <w:r w:rsidR="0041185C" w:rsidRPr="000B4121">
        <w:t>respiratory symptoms</w:t>
      </w:r>
      <w:r>
        <w:t xml:space="preserve"> total score and sub</w:t>
      </w:r>
      <w:r w:rsidR="00040D7C">
        <w:t>-</w:t>
      </w:r>
      <w:r>
        <w:t xml:space="preserve">scores. The safety outcome measures were </w:t>
      </w:r>
      <w:r w:rsidR="009B3FAF">
        <w:t>adverse events (</w:t>
      </w:r>
      <w:r>
        <w:t>AEs</w:t>
      </w:r>
      <w:r w:rsidR="009B3FAF">
        <w:t>)</w:t>
      </w:r>
      <w:r>
        <w:t xml:space="preserve">, </w:t>
      </w:r>
      <w:r w:rsidR="009B3FAF">
        <w:t>e</w:t>
      </w:r>
      <w:r w:rsidR="00853CB4" w:rsidRPr="00853CB4">
        <w:t>lectrocardiogram</w:t>
      </w:r>
      <w:r w:rsidR="009B3FAF">
        <w:t>s</w:t>
      </w:r>
      <w:r>
        <w:t>, clinical laboratory tests and vital signs.</w:t>
      </w:r>
    </w:p>
    <w:p w14:paraId="47A16BDA" w14:textId="7BC99CEB" w:rsidR="00914211" w:rsidRDefault="00040D7C" w:rsidP="00914211">
      <w:r>
        <w:t xml:space="preserve">In Study PT010007, there were </w:t>
      </w:r>
      <w:r w:rsidR="00914211">
        <w:t>347 patients enrolled and treated</w:t>
      </w:r>
      <w:r>
        <w:t>. Of which,</w:t>
      </w:r>
      <w:r w:rsidR="00914211">
        <w:t xml:space="preserve"> 116 </w:t>
      </w:r>
      <w:r>
        <w:t xml:space="preserve">patients were </w:t>
      </w:r>
      <w:r w:rsidR="00914211">
        <w:t xml:space="preserve">in the BFG MDI </w:t>
      </w:r>
      <w:r w:rsidR="00864779">
        <w:t xml:space="preserve">(320/14.4/9.6 </w:t>
      </w:r>
      <w:proofErr w:type="spellStart"/>
      <w:r w:rsidR="00864779" w:rsidRPr="00B32610">
        <w:rPr>
          <w:iCs/>
        </w:rPr>
        <w:t>μ</w:t>
      </w:r>
      <w:r w:rsidR="00864779">
        <w:t>g</w:t>
      </w:r>
      <w:proofErr w:type="spellEnd"/>
      <w:r w:rsidR="00864779">
        <w:t xml:space="preserve">) </w:t>
      </w:r>
      <w:r w:rsidR="00914211">
        <w:t xml:space="preserve">group, 111 </w:t>
      </w:r>
      <w:r>
        <w:t xml:space="preserve">in the </w:t>
      </w:r>
      <w:r w:rsidR="00914211">
        <w:t>GFF MDI</w:t>
      </w:r>
      <w:r>
        <w:t xml:space="preserve"> group</w:t>
      </w:r>
      <w:r w:rsidR="00914211">
        <w:t xml:space="preserve">, 58 </w:t>
      </w:r>
      <w:r>
        <w:t xml:space="preserve">in the </w:t>
      </w:r>
      <w:r w:rsidR="00914211">
        <w:t>BFF</w:t>
      </w:r>
      <w:r w:rsidR="00681C14">
        <w:t> </w:t>
      </w:r>
      <w:r w:rsidR="00914211">
        <w:t xml:space="preserve">MDI </w:t>
      </w:r>
      <w:r>
        <w:t xml:space="preserve">group </w:t>
      </w:r>
      <w:r w:rsidR="00914211">
        <w:t xml:space="preserve">and 62 </w:t>
      </w:r>
      <w:r>
        <w:t xml:space="preserve">in the </w:t>
      </w:r>
      <w:r w:rsidR="00914211">
        <w:t>Symbicort</w:t>
      </w:r>
      <w:r>
        <w:t xml:space="preserve"> </w:t>
      </w:r>
      <w:r w:rsidR="000521C3" w:rsidRPr="00A62B3E">
        <w:t>Turbuhaler</w:t>
      </w:r>
      <w:r w:rsidR="000521C3">
        <w:t xml:space="preserve"> </w:t>
      </w:r>
      <w:r>
        <w:t>group</w:t>
      </w:r>
      <w:r w:rsidR="00914211">
        <w:t xml:space="preserve">. 94.2% were males and 5.8% females (range 45 to 80 years). All patients were Japanese. The treatment groups were similar in demographic, </w:t>
      </w:r>
      <w:proofErr w:type="gramStart"/>
      <w:r>
        <w:t>B</w:t>
      </w:r>
      <w:r w:rsidR="00914211">
        <w:t>aseline</w:t>
      </w:r>
      <w:proofErr w:type="gramEnd"/>
      <w:r w:rsidR="00914211">
        <w:t xml:space="preserve"> and disease characteristics.</w:t>
      </w:r>
    </w:p>
    <w:p w14:paraId="16B36A1B" w14:textId="77777777" w:rsidR="00914211" w:rsidRDefault="00914211" w:rsidP="00914211">
      <w:r>
        <w:t>The efficacy data were presented as summary statistics, and no formal hypothesis tests were performed. There was no significant difference between the groups regarding Ventolin rescue use.</w:t>
      </w:r>
    </w:p>
    <w:p w14:paraId="23E65685" w14:textId="77777777" w:rsidR="00F95987" w:rsidRPr="00BA326D" w:rsidRDefault="00914211" w:rsidP="002552DB">
      <w:pPr>
        <w:pStyle w:val="Heading6"/>
      </w:pPr>
      <w:r w:rsidRPr="00802EF5">
        <w:t>Morning pre</w:t>
      </w:r>
      <w:r w:rsidR="00407F30" w:rsidRPr="00802EF5">
        <w:t>-</w:t>
      </w:r>
      <w:r w:rsidRPr="00382A5C">
        <w:t>dose FEV</w:t>
      </w:r>
      <w:r w:rsidRPr="00382A5C">
        <w:rPr>
          <w:vertAlign w:val="subscript"/>
        </w:rPr>
        <w:t>1</w:t>
      </w:r>
    </w:p>
    <w:p w14:paraId="7BFA5476" w14:textId="3FC3EA52" w:rsidR="00914211" w:rsidRPr="00F95987" w:rsidRDefault="00F95987" w:rsidP="002552DB">
      <w:r w:rsidRPr="00F95987">
        <w:t>T</w:t>
      </w:r>
      <w:r w:rsidR="00914211" w:rsidRPr="00F95987">
        <w:t xml:space="preserve">he LS mean (95% CI) change from </w:t>
      </w:r>
      <w:r w:rsidR="00040D7C" w:rsidRPr="00F95987">
        <w:t>B</w:t>
      </w:r>
      <w:r w:rsidR="00914211" w:rsidRPr="00F95987">
        <w:t>aseline over 52 weeks in morning, pre</w:t>
      </w:r>
      <w:r w:rsidR="00407F30" w:rsidRPr="00F95987">
        <w:t>-</w:t>
      </w:r>
      <w:r w:rsidR="00914211" w:rsidRPr="00F95987">
        <w:t>dose FEV</w:t>
      </w:r>
      <w:r w:rsidR="00914211" w:rsidRPr="00F95987">
        <w:rPr>
          <w:vertAlign w:val="subscript"/>
        </w:rPr>
        <w:t>1</w:t>
      </w:r>
      <w:r w:rsidR="00914211" w:rsidRPr="00F95987">
        <w:t xml:space="preserve"> was 117 (93</w:t>
      </w:r>
      <w:r w:rsidR="00040D7C" w:rsidRPr="00F95987">
        <w:t>,</w:t>
      </w:r>
      <w:r w:rsidR="00914211" w:rsidRPr="00F95987">
        <w:t xml:space="preserve"> 141) mL for </w:t>
      </w:r>
      <w:r w:rsidR="00040D7C" w:rsidRPr="00F95987">
        <w:t xml:space="preserve">the </w:t>
      </w:r>
      <w:r w:rsidR="00914211" w:rsidRPr="00F95987">
        <w:t>BGF</w:t>
      </w:r>
      <w:r w:rsidR="00040D7C" w:rsidRPr="00F95987">
        <w:t xml:space="preserve"> group</w:t>
      </w:r>
      <w:r w:rsidR="00914211" w:rsidRPr="00F95987">
        <w:t>, 85 (61</w:t>
      </w:r>
      <w:r w:rsidR="00040D7C" w:rsidRPr="00F95987">
        <w:t>,</w:t>
      </w:r>
      <w:r w:rsidR="00914211" w:rsidRPr="00F95987">
        <w:t xml:space="preserve"> 110) mL for </w:t>
      </w:r>
      <w:r w:rsidR="00040D7C" w:rsidRPr="00F95987">
        <w:t xml:space="preserve">the </w:t>
      </w:r>
      <w:r w:rsidR="00914211" w:rsidRPr="00F95987">
        <w:t>GFF</w:t>
      </w:r>
      <w:r w:rsidR="00040D7C" w:rsidRPr="00F95987">
        <w:t xml:space="preserve"> group</w:t>
      </w:r>
      <w:r w:rsidR="00914211" w:rsidRPr="00F95987">
        <w:t>, 54</w:t>
      </w:r>
      <w:r w:rsidR="00681C14">
        <w:t> </w:t>
      </w:r>
      <w:r w:rsidR="00914211" w:rsidRPr="00F95987">
        <w:t>(20</w:t>
      </w:r>
      <w:r w:rsidR="00040D7C" w:rsidRPr="00F95987">
        <w:t>,</w:t>
      </w:r>
      <w:r w:rsidR="00681C14">
        <w:t> </w:t>
      </w:r>
      <w:r w:rsidR="00914211" w:rsidRPr="00F95987">
        <w:t>87)</w:t>
      </w:r>
      <w:r w:rsidR="00681C14">
        <w:t> </w:t>
      </w:r>
      <w:r w:rsidR="00914211" w:rsidRPr="00F95987">
        <w:t xml:space="preserve">mL for </w:t>
      </w:r>
      <w:r w:rsidR="00040D7C" w:rsidRPr="00F95987">
        <w:t xml:space="preserve">the </w:t>
      </w:r>
      <w:r w:rsidR="00914211" w:rsidRPr="00F95987">
        <w:t xml:space="preserve">BFF </w:t>
      </w:r>
      <w:r w:rsidR="00040D7C" w:rsidRPr="00F95987">
        <w:t xml:space="preserve">group </w:t>
      </w:r>
      <w:r w:rsidR="00914211" w:rsidRPr="00F95987">
        <w:t>and 81 (47</w:t>
      </w:r>
      <w:r w:rsidR="00040D7C" w:rsidRPr="00F95987">
        <w:t xml:space="preserve">, </w:t>
      </w:r>
      <w:r w:rsidR="00914211" w:rsidRPr="00F95987">
        <w:t xml:space="preserve">114) mL for </w:t>
      </w:r>
      <w:r w:rsidR="00040D7C" w:rsidRPr="00F95987">
        <w:t xml:space="preserve">the </w:t>
      </w:r>
      <w:r w:rsidR="00914211" w:rsidRPr="00F95987">
        <w:t>Symbicort</w:t>
      </w:r>
      <w:r w:rsidR="00040D7C" w:rsidRPr="00F95987">
        <w:t xml:space="preserve"> </w:t>
      </w:r>
      <w:r w:rsidR="000521C3" w:rsidRPr="00F95987">
        <w:t xml:space="preserve">Turbuhaler </w:t>
      </w:r>
      <w:r w:rsidR="00040D7C" w:rsidRPr="00F95987">
        <w:t>group</w:t>
      </w:r>
      <w:r w:rsidR="00914211" w:rsidRPr="00F95987">
        <w:t>.</w:t>
      </w:r>
    </w:p>
    <w:p w14:paraId="63EE87BE" w14:textId="00232F68" w:rsidR="00F95987" w:rsidRPr="00BA326D" w:rsidRDefault="0041185C" w:rsidP="002552DB">
      <w:pPr>
        <w:pStyle w:val="Heading6"/>
      </w:pPr>
      <w:r w:rsidRPr="0041185C">
        <w:t>Chronic obstructive pulmonary disease</w:t>
      </w:r>
      <w:r w:rsidRPr="00802EF5">
        <w:t xml:space="preserve"> </w:t>
      </w:r>
      <w:r w:rsidR="00914211" w:rsidRPr="00802EF5">
        <w:t>exacerbations (moderate or severe)</w:t>
      </w:r>
    </w:p>
    <w:p w14:paraId="4D873E15" w14:textId="4E7A76A8" w:rsidR="00914211" w:rsidRPr="00F95987" w:rsidRDefault="00F95987" w:rsidP="002552DB">
      <w:r>
        <w:t>T</w:t>
      </w:r>
      <w:r w:rsidR="00914211" w:rsidRPr="00F95987">
        <w:t>he rate was 0.37/year for BGF, 0.81/year for GFF, 0.26/year for BFF, and 0.31/year for Symbicort</w:t>
      </w:r>
      <w:r w:rsidR="00040D7C" w:rsidRPr="00F95987">
        <w:t xml:space="preserve"> </w:t>
      </w:r>
      <w:r w:rsidR="000521C3" w:rsidRPr="00F95987">
        <w:t xml:space="preserve">Turbuhaler </w:t>
      </w:r>
      <w:r w:rsidR="00040D7C" w:rsidRPr="00F95987">
        <w:t>group</w:t>
      </w:r>
      <w:r w:rsidR="00914211" w:rsidRPr="00F95987">
        <w:t>.</w:t>
      </w:r>
    </w:p>
    <w:p w14:paraId="690FA240" w14:textId="2F7D214C" w:rsidR="00F95987" w:rsidRPr="00BA326D" w:rsidRDefault="009963A2" w:rsidP="002552DB">
      <w:pPr>
        <w:pStyle w:val="Heading6"/>
      </w:pPr>
      <w:r w:rsidRPr="009963A2">
        <w:t>Respiratory symptoms</w:t>
      </w:r>
      <w:r>
        <w:t xml:space="preserve"> </w:t>
      </w:r>
      <w:r w:rsidRPr="00802EF5">
        <w:t>total score</w:t>
      </w:r>
    </w:p>
    <w:p w14:paraId="58659859" w14:textId="1C31F757" w:rsidR="00914211" w:rsidRPr="00F95987" w:rsidRDefault="00F95987" w:rsidP="002552DB">
      <w:r w:rsidRPr="00F95987">
        <w:t>T</w:t>
      </w:r>
      <w:r w:rsidR="00914211" w:rsidRPr="00F95987">
        <w:t>he mean (</w:t>
      </w:r>
      <w:r w:rsidR="009963A2">
        <w:t>standard deviation</w:t>
      </w:r>
      <w:r w:rsidR="00914211" w:rsidRPr="00F95987">
        <w:t xml:space="preserve">) change from </w:t>
      </w:r>
      <w:r w:rsidR="001012F6">
        <w:t>B</w:t>
      </w:r>
      <w:r w:rsidR="00914211" w:rsidRPr="00F95987">
        <w:t xml:space="preserve">aseline over 52 weeks was -0.9 (3.9) in the BFG MDI </w:t>
      </w:r>
      <w:r w:rsidR="00864779">
        <w:t>(</w:t>
      </w:r>
      <w:r w:rsidR="00864779" w:rsidRPr="00F95987">
        <w:t xml:space="preserve">320/14.4/9.6 </w:t>
      </w:r>
      <w:proofErr w:type="spellStart"/>
      <w:r w:rsidR="00864779" w:rsidRPr="006A378C">
        <w:t>μ</w:t>
      </w:r>
      <w:r w:rsidR="00864779" w:rsidRPr="00F95987">
        <w:t>g</w:t>
      </w:r>
      <w:proofErr w:type="spellEnd"/>
      <w:r w:rsidR="00864779">
        <w:t>)</w:t>
      </w:r>
      <w:r w:rsidR="00864779" w:rsidRPr="00F95987">
        <w:t xml:space="preserve"> </w:t>
      </w:r>
      <w:r w:rsidR="00914211" w:rsidRPr="00F95987">
        <w:t>group, -0.2 (3.1) in the GFF MDI</w:t>
      </w:r>
      <w:r w:rsidR="00040D7C" w:rsidRPr="00F95987">
        <w:t xml:space="preserve"> group</w:t>
      </w:r>
      <w:r w:rsidR="00914211" w:rsidRPr="00F95987">
        <w:t xml:space="preserve">, </w:t>
      </w:r>
      <w:r>
        <w:noBreakHyphen/>
      </w:r>
      <w:r w:rsidR="00914211" w:rsidRPr="00F95987">
        <w:t xml:space="preserve">0.6 (4.2) in the BFF MDI </w:t>
      </w:r>
      <w:r w:rsidR="00040D7C" w:rsidRPr="00F95987">
        <w:t xml:space="preserve">group </w:t>
      </w:r>
      <w:r w:rsidR="00914211" w:rsidRPr="00F95987">
        <w:t xml:space="preserve">and </w:t>
      </w:r>
      <w:r>
        <w:noBreakHyphen/>
      </w:r>
      <w:r w:rsidR="00914211" w:rsidRPr="00F95987">
        <w:t>0.3 (3.1) in the Symbicort</w:t>
      </w:r>
      <w:r w:rsidR="00040D7C" w:rsidRPr="00F95987">
        <w:t xml:space="preserve"> </w:t>
      </w:r>
      <w:r w:rsidR="000521C3" w:rsidRPr="00F95987">
        <w:t xml:space="preserve">Turbuhaler </w:t>
      </w:r>
      <w:r w:rsidR="00040D7C" w:rsidRPr="00F95987">
        <w:t>group</w:t>
      </w:r>
      <w:r w:rsidR="00914211" w:rsidRPr="00F95987">
        <w:t>.</w:t>
      </w:r>
    </w:p>
    <w:p w14:paraId="44905CF4" w14:textId="43EA7E00" w:rsidR="00F95987" w:rsidRPr="00BA326D" w:rsidRDefault="00914211" w:rsidP="002552DB">
      <w:pPr>
        <w:pStyle w:val="Heading6"/>
      </w:pPr>
      <w:r w:rsidRPr="00802EF5">
        <w:t xml:space="preserve">Morning pre-dose </w:t>
      </w:r>
      <w:r w:rsidR="009963A2">
        <w:t>f</w:t>
      </w:r>
      <w:r w:rsidR="009963A2" w:rsidRPr="009963A2">
        <w:t>orced vital capacity</w:t>
      </w:r>
    </w:p>
    <w:p w14:paraId="4C927DAD" w14:textId="516DBC07" w:rsidR="00914211" w:rsidRPr="00F95987" w:rsidRDefault="00F95987" w:rsidP="002552DB">
      <w:r>
        <w:t>T</w:t>
      </w:r>
      <w:r w:rsidR="00914211" w:rsidRPr="00F95987">
        <w:t xml:space="preserve">he LS mean (95% CI) change from </w:t>
      </w:r>
      <w:r w:rsidR="00040D7C" w:rsidRPr="00F95987">
        <w:t>B</w:t>
      </w:r>
      <w:r w:rsidR="00914211" w:rsidRPr="00F95987">
        <w:t>aseline over 52 weeks was 150 (106 to 194) mL for</w:t>
      </w:r>
      <w:r w:rsidR="00040D7C" w:rsidRPr="00F95987">
        <w:t xml:space="preserve"> the</w:t>
      </w:r>
      <w:r w:rsidR="00914211" w:rsidRPr="00F95987">
        <w:t xml:space="preserve"> BFG</w:t>
      </w:r>
      <w:r w:rsidR="00040D7C" w:rsidRPr="00F95987">
        <w:t xml:space="preserve"> group</w:t>
      </w:r>
      <w:r w:rsidR="00914211" w:rsidRPr="00F95987">
        <w:t xml:space="preserve">, 141 (96 to 185) mL for </w:t>
      </w:r>
      <w:r w:rsidR="00040D7C" w:rsidRPr="00F95987">
        <w:t xml:space="preserve">the </w:t>
      </w:r>
      <w:r w:rsidR="00914211" w:rsidRPr="00F95987">
        <w:t>GFF</w:t>
      </w:r>
      <w:r w:rsidR="00040D7C" w:rsidRPr="00F95987">
        <w:t xml:space="preserve"> group</w:t>
      </w:r>
      <w:r w:rsidR="00914211" w:rsidRPr="00F95987">
        <w:t xml:space="preserve">, 10 (-51 to 72) mL for </w:t>
      </w:r>
      <w:r w:rsidR="00040D7C" w:rsidRPr="00F95987">
        <w:t xml:space="preserve">the </w:t>
      </w:r>
      <w:r w:rsidR="00914211" w:rsidRPr="00F95987">
        <w:t xml:space="preserve">BFF </w:t>
      </w:r>
      <w:r w:rsidR="00040D7C" w:rsidRPr="00F95987">
        <w:t xml:space="preserve">group </w:t>
      </w:r>
      <w:r w:rsidR="00914211" w:rsidRPr="00F95987">
        <w:t>and 90 (29 to 151) mL for Symbicort</w:t>
      </w:r>
      <w:r w:rsidR="00040D7C" w:rsidRPr="00F95987">
        <w:t xml:space="preserve"> </w:t>
      </w:r>
      <w:r w:rsidR="000521C3" w:rsidRPr="00F95987">
        <w:t xml:space="preserve">Turbuhaler </w:t>
      </w:r>
      <w:r w:rsidR="00040D7C" w:rsidRPr="00F95987">
        <w:t>group</w:t>
      </w:r>
      <w:r w:rsidR="00914211" w:rsidRPr="00F95987">
        <w:t>.</w:t>
      </w:r>
    </w:p>
    <w:p w14:paraId="7D364B43" w14:textId="79D340FD" w:rsidR="00F95987" w:rsidRPr="00BA326D" w:rsidRDefault="00914211" w:rsidP="002552DB">
      <w:pPr>
        <w:pStyle w:val="Heading6"/>
      </w:pPr>
      <w:r w:rsidRPr="00802EF5">
        <w:lastRenderedPageBreak/>
        <w:t>Morning pre</w:t>
      </w:r>
      <w:r w:rsidR="00407F30" w:rsidRPr="00802EF5">
        <w:t>-</w:t>
      </w:r>
      <w:r w:rsidRPr="00802EF5">
        <w:t xml:space="preserve">dose </w:t>
      </w:r>
      <w:r w:rsidR="009963A2">
        <w:t>p</w:t>
      </w:r>
      <w:r w:rsidR="009963A2" w:rsidRPr="009963A2">
        <w:t>eak expiratory flow rate</w:t>
      </w:r>
    </w:p>
    <w:p w14:paraId="2AEC2C8B" w14:textId="5773BAC8" w:rsidR="00914211" w:rsidRPr="00F95987" w:rsidRDefault="00F95987" w:rsidP="002552DB">
      <w:r>
        <w:t>T</w:t>
      </w:r>
      <w:r w:rsidR="00914211" w:rsidRPr="00F95987">
        <w:t xml:space="preserve">he LS mean (95% CI) change from </w:t>
      </w:r>
      <w:r w:rsidR="00040D7C" w:rsidRPr="00F95987">
        <w:t>B</w:t>
      </w:r>
      <w:r w:rsidR="00914211" w:rsidRPr="00F95987">
        <w:t>aseline over 52</w:t>
      </w:r>
      <w:r w:rsidR="00040D7C" w:rsidRPr="00F95987">
        <w:t> </w:t>
      </w:r>
      <w:r w:rsidR="00914211" w:rsidRPr="00F95987">
        <w:t>weeks was 24.140</w:t>
      </w:r>
      <w:r w:rsidR="00681C14">
        <w:t> </w:t>
      </w:r>
      <w:r w:rsidR="00914211" w:rsidRPr="00F95987">
        <w:t>(19.163</w:t>
      </w:r>
      <w:r w:rsidR="00040D7C" w:rsidRPr="00F95987">
        <w:t>,</w:t>
      </w:r>
      <w:r w:rsidR="00681C14">
        <w:t> </w:t>
      </w:r>
      <w:r w:rsidR="00914211" w:rsidRPr="00F95987">
        <w:t>29.116)</w:t>
      </w:r>
      <w:r w:rsidR="00681C14">
        <w:t> </w:t>
      </w:r>
      <w:r w:rsidR="00914211" w:rsidRPr="00F95987">
        <w:t>L/min for BGF, 15.260 (10.218</w:t>
      </w:r>
      <w:r w:rsidR="00040D7C" w:rsidRPr="00F95987">
        <w:t>,</w:t>
      </w:r>
      <w:r w:rsidR="00914211" w:rsidRPr="00F95987">
        <w:t xml:space="preserve"> 20.302) L/min for GFF, 9.572</w:t>
      </w:r>
      <w:r w:rsidR="00681C14">
        <w:t> </w:t>
      </w:r>
      <w:r w:rsidR="00914211" w:rsidRPr="00F95987">
        <w:t>(2.598</w:t>
      </w:r>
      <w:r w:rsidR="00040D7C" w:rsidRPr="00F95987">
        <w:t>,</w:t>
      </w:r>
      <w:r w:rsidR="00914211" w:rsidRPr="00F95987">
        <w:t xml:space="preserve"> 16.546) L/min for BFF, and 11.900 (4.859</w:t>
      </w:r>
      <w:r w:rsidR="00040D7C" w:rsidRPr="00F95987">
        <w:t>,</w:t>
      </w:r>
      <w:r w:rsidR="00914211" w:rsidRPr="00F95987">
        <w:t xml:space="preserve"> 18.740) L/min for Symbicort</w:t>
      </w:r>
      <w:r w:rsidR="000521C3" w:rsidRPr="00F95987">
        <w:t xml:space="preserve"> Turbuhaler</w:t>
      </w:r>
      <w:r w:rsidR="00914211" w:rsidRPr="00F95987">
        <w:t>.</w:t>
      </w:r>
    </w:p>
    <w:p w14:paraId="2FDD3CA6" w14:textId="095DBEF0" w:rsidR="00F95987" w:rsidRPr="00BA326D" w:rsidRDefault="00914211" w:rsidP="002552DB">
      <w:pPr>
        <w:pStyle w:val="Heading6"/>
      </w:pPr>
      <w:r w:rsidRPr="00802EF5">
        <w:t>Morning pre</w:t>
      </w:r>
      <w:r w:rsidR="00407F30" w:rsidRPr="00802EF5">
        <w:t>-</w:t>
      </w:r>
      <w:r w:rsidRPr="00802EF5">
        <w:t xml:space="preserve">dose </w:t>
      </w:r>
      <w:r w:rsidR="009963A2">
        <w:t>f</w:t>
      </w:r>
      <w:r w:rsidR="009963A2" w:rsidRPr="009963A2">
        <w:t>orced expiratory flow between 25% and 75% of forced vital capacity</w:t>
      </w:r>
    </w:p>
    <w:p w14:paraId="41758A0B" w14:textId="379B7032" w:rsidR="00914211" w:rsidRPr="00F95987" w:rsidRDefault="00F95987" w:rsidP="002552DB">
      <w:r>
        <w:t>T</w:t>
      </w:r>
      <w:r w:rsidR="00914211" w:rsidRPr="00F95987">
        <w:t xml:space="preserve">he LS mean (95% CI) change from </w:t>
      </w:r>
      <w:r w:rsidR="00DD48B0" w:rsidRPr="00F95987">
        <w:t>B</w:t>
      </w:r>
      <w:r w:rsidR="00914211" w:rsidRPr="00F95987">
        <w:t>aseline over 52 weeks in morning, was 0.055</w:t>
      </w:r>
      <w:r w:rsidR="00681C14">
        <w:t> </w:t>
      </w:r>
      <w:r w:rsidR="00914211" w:rsidRPr="00F95987">
        <w:t>(0.040</w:t>
      </w:r>
      <w:r w:rsidR="00DD48B0" w:rsidRPr="00F95987">
        <w:t>,</w:t>
      </w:r>
      <w:r w:rsidR="00681C14">
        <w:t> </w:t>
      </w:r>
      <w:r w:rsidR="00914211" w:rsidRPr="00F95987">
        <w:t>0.070) L/s for BGF, 0.037 (0.021</w:t>
      </w:r>
      <w:r w:rsidR="00DD48B0" w:rsidRPr="00F95987">
        <w:t>,</w:t>
      </w:r>
      <w:r w:rsidR="00914211" w:rsidRPr="00F95987">
        <w:t xml:space="preserve"> 0.053) L/s for GFF, 0.023 (0.001</w:t>
      </w:r>
      <w:r w:rsidR="00DD48B0" w:rsidRPr="00F95987">
        <w:t>,</w:t>
      </w:r>
      <w:r w:rsidR="00914211" w:rsidRPr="00F95987">
        <w:t xml:space="preserve"> 0.045) L/s for BFF, and 0.022 (0.001</w:t>
      </w:r>
      <w:r w:rsidR="00DD48B0" w:rsidRPr="00F95987">
        <w:t>,</w:t>
      </w:r>
      <w:r w:rsidR="00914211" w:rsidRPr="00F95987">
        <w:t xml:space="preserve"> 0.044) L/s for Symbicort</w:t>
      </w:r>
      <w:r w:rsidR="000521C3" w:rsidRPr="00F95987">
        <w:t xml:space="preserve"> Turbuhaler</w:t>
      </w:r>
      <w:r w:rsidR="00914211" w:rsidRPr="00F95987">
        <w:t>.</w:t>
      </w:r>
    </w:p>
    <w:p w14:paraId="553D8EA7" w14:textId="08C5B12E" w:rsidR="00914211" w:rsidRPr="00573C16" w:rsidRDefault="00914211" w:rsidP="002552DB">
      <w:pPr>
        <w:pStyle w:val="Heading5"/>
      </w:pPr>
      <w:r w:rsidRPr="00573C16">
        <w:t>Study PT010008</w:t>
      </w:r>
    </w:p>
    <w:p w14:paraId="35968186" w14:textId="13EFED21" w:rsidR="00914211" w:rsidRDefault="00914211" w:rsidP="00914211">
      <w:r>
        <w:t>Study PT010008 was a sub</w:t>
      </w:r>
      <w:r w:rsidR="00407F30">
        <w:t>-</w:t>
      </w:r>
      <w:r>
        <w:t>study of Study PT010006 (primarily for safety, but with efficacy as a secondary objective), which continued treatment for an additional 28 weeks, and was conducted at 71 centres in the US</w:t>
      </w:r>
      <w:r w:rsidR="00681C14">
        <w:t>A</w:t>
      </w:r>
      <w:r>
        <w:t xml:space="preserve"> from September 2015 to September 2017. Only BGF, GFF and BFF, but not Symbicort </w:t>
      </w:r>
      <w:r w:rsidR="000521C3" w:rsidRPr="00A62B3E">
        <w:t>Turbuhaler</w:t>
      </w:r>
      <w:r w:rsidR="000521C3">
        <w:t xml:space="preserve"> </w:t>
      </w:r>
      <w:r>
        <w:t>groups were included. The study was primarily designed to examine treatment effect on bone mineral density</w:t>
      </w:r>
      <w:r w:rsidR="003E6418">
        <w:t xml:space="preserve"> (BMD)</w:t>
      </w:r>
      <w:r>
        <w:t xml:space="preserve"> and ophthalmologic effects (more details </w:t>
      </w:r>
      <w:r w:rsidR="00DD48B0">
        <w:t xml:space="preserve">can be found </w:t>
      </w:r>
      <w:r>
        <w:t>in the Safety section</w:t>
      </w:r>
      <w:r w:rsidR="00DD48B0">
        <w:t xml:space="preserve"> of this AusPAR</w:t>
      </w:r>
      <w:r>
        <w:t>).</w:t>
      </w:r>
    </w:p>
    <w:p w14:paraId="69F3B7E3" w14:textId="2DFBDB42" w:rsidR="00914211" w:rsidRDefault="00DD48B0" w:rsidP="00914211">
      <w:r>
        <w:t xml:space="preserve">There were </w:t>
      </w:r>
      <w:r w:rsidR="00914211">
        <w:t xml:space="preserve">378 patients included in </w:t>
      </w:r>
      <w:r>
        <w:t xml:space="preserve">the safety population of Study </w:t>
      </w:r>
      <w:r w:rsidR="00914211">
        <w:t>PT010008</w:t>
      </w:r>
      <w:r>
        <w:t xml:space="preserve">. Of which, </w:t>
      </w:r>
      <w:r w:rsidR="00914211">
        <w:t xml:space="preserve">377 </w:t>
      </w:r>
      <w:r>
        <w:t xml:space="preserve">were </w:t>
      </w:r>
      <w:r w:rsidR="00914211">
        <w:t>treated after 24 weeks</w:t>
      </w:r>
      <w:r>
        <w:t>,</w:t>
      </w:r>
      <w:r w:rsidR="00914211">
        <w:t xml:space="preserve"> and 337 (89.2%) </w:t>
      </w:r>
      <w:r>
        <w:t xml:space="preserve">were </w:t>
      </w:r>
      <w:r w:rsidR="00914211">
        <w:t>completed 52 weeks of treatment. 323 (70.8%) patients were in the BMD population and 311 (68.2%) in the ophthalmologic population. There were 53.1% males</w:t>
      </w:r>
      <w:r>
        <w:t xml:space="preserve"> in the studied population</w:t>
      </w:r>
      <w:r w:rsidR="00914211">
        <w:t>.</w:t>
      </w:r>
    </w:p>
    <w:p w14:paraId="45E260DF" w14:textId="3217391C" w:rsidR="00914211" w:rsidRDefault="00914211" w:rsidP="00914211">
      <w:r>
        <w:t xml:space="preserve">The efficacy outcome measures were Ventolin rescue use, rate of COPD exacerbations, and change from </w:t>
      </w:r>
      <w:r w:rsidR="00DD48B0">
        <w:t>B</w:t>
      </w:r>
      <w:r>
        <w:t>aseline in EXACT scores.</w:t>
      </w:r>
    </w:p>
    <w:p w14:paraId="178AFCC4" w14:textId="612BF08D" w:rsidR="00914211" w:rsidRDefault="00914211" w:rsidP="00914211">
      <w:r>
        <w:t xml:space="preserve">There appeared to be no significant difference between the groups in the change from </w:t>
      </w:r>
      <w:r w:rsidR="00DD48B0">
        <w:t>B</w:t>
      </w:r>
      <w:r>
        <w:t>aseline in Ventolin rescue use</w:t>
      </w:r>
      <w:r w:rsidR="00366E53">
        <w:t>. The</w:t>
      </w:r>
      <w:r>
        <w:t xml:space="preserve"> mean (</w:t>
      </w:r>
      <w:r w:rsidR="009963A2">
        <w:t>standard deviation</w:t>
      </w:r>
      <w:r>
        <w:t xml:space="preserve">) change from </w:t>
      </w:r>
      <w:r w:rsidR="00366E53">
        <w:t>B</w:t>
      </w:r>
      <w:r>
        <w:t>aseline</w:t>
      </w:r>
      <w:r w:rsidR="00366E53">
        <w:t xml:space="preserve"> is</w:t>
      </w:r>
      <w:r>
        <w:t xml:space="preserve"> </w:t>
      </w:r>
      <w:r w:rsidR="00681C14">
        <w:noBreakHyphen/>
      </w:r>
      <w:r>
        <w:t xml:space="preserve">0.5 (1.7) puffs/day for BGF MDI (320/14.4/9.6 </w:t>
      </w:r>
      <w:proofErr w:type="spellStart"/>
      <w:r w:rsidR="00522100" w:rsidRPr="002552DB">
        <w:t>μ</w:t>
      </w:r>
      <w:r w:rsidRPr="00366E53">
        <w:t>g</w:t>
      </w:r>
      <w:proofErr w:type="spellEnd"/>
      <w:r>
        <w:t xml:space="preserve">), -0.3 (2.0) puffs/day for GFF MDI and -0.8 (2.0) puffs/day for BFF MDI. The rate of moderate or severe COPD exacerbations was 0.59/year for BGF MDI (320/14.4/9.6 </w:t>
      </w:r>
      <w:proofErr w:type="spellStart"/>
      <w:r w:rsidR="00522100" w:rsidRPr="002552DB">
        <w:t>μ</w:t>
      </w:r>
      <w:r w:rsidRPr="00366E53">
        <w:t>g</w:t>
      </w:r>
      <w:proofErr w:type="spellEnd"/>
      <w:r>
        <w:t xml:space="preserve">), 0.81/year for GFF MDI and 0.72/year for BFF MDI. The rate of severe COPD exacerbations was 0.07/year for BGF MDI (320/14.4/9.6 </w:t>
      </w:r>
      <w:proofErr w:type="spellStart"/>
      <w:r w:rsidR="00522100" w:rsidRPr="002552DB">
        <w:t>μ</w:t>
      </w:r>
      <w:r w:rsidRPr="00366E53">
        <w:t>g</w:t>
      </w:r>
      <w:proofErr w:type="spellEnd"/>
      <w:r>
        <w:t>), 0.10/year for GFF MDI and 0.40/year for BFF MDI. There appeared to be no significant difference between the groups in EXACT scores</w:t>
      </w:r>
      <w:r w:rsidR="00366E53">
        <w:t>. The</w:t>
      </w:r>
      <w:r>
        <w:t xml:space="preserve"> mean (</w:t>
      </w:r>
      <w:r w:rsidR="009963A2">
        <w:t>standard deviation</w:t>
      </w:r>
      <w:r>
        <w:t xml:space="preserve">) change from </w:t>
      </w:r>
      <w:r w:rsidR="00366E53">
        <w:t>B</w:t>
      </w:r>
      <w:r>
        <w:t xml:space="preserve">aseline </w:t>
      </w:r>
      <w:r w:rsidR="00366E53">
        <w:t xml:space="preserve">is </w:t>
      </w:r>
      <w:r w:rsidR="00366E53">
        <w:noBreakHyphen/>
      </w:r>
      <w:r>
        <w:t>1.0</w:t>
      </w:r>
      <w:r w:rsidR="00366E53">
        <w:t> </w:t>
      </w:r>
      <w:r>
        <w:t xml:space="preserve">(3.1) for </w:t>
      </w:r>
      <w:r w:rsidR="00C764B1">
        <w:t xml:space="preserve">the </w:t>
      </w:r>
      <w:r w:rsidR="00366E53">
        <w:t xml:space="preserve">BGF </w:t>
      </w:r>
      <w:r w:rsidR="00072973">
        <w:t>MDI (</w:t>
      </w:r>
      <w:r w:rsidR="00366E53" w:rsidRPr="00677027">
        <w:t>320</w:t>
      </w:r>
      <w:r w:rsidR="00366E53">
        <w:t>/</w:t>
      </w:r>
      <w:r w:rsidR="00366E53" w:rsidRPr="00677027">
        <w:t>14.4</w:t>
      </w:r>
      <w:r w:rsidR="00366E53">
        <w:t>/</w:t>
      </w:r>
      <w:r w:rsidR="00366E53" w:rsidRPr="00677027">
        <w:t>9.6</w:t>
      </w:r>
      <w:r w:rsidR="00366E53">
        <w:t> </w:t>
      </w:r>
      <w:r w:rsidR="00366E53" w:rsidRPr="00677027">
        <w:t>µg</w:t>
      </w:r>
      <w:proofErr w:type="gramStart"/>
      <w:r w:rsidR="00072973">
        <w:t>)</w:t>
      </w:r>
      <w:r w:rsidR="00366E53" w:rsidDel="00F82CDE">
        <w:t xml:space="preserve"> </w:t>
      </w:r>
      <w:r>
        <w:t>,</w:t>
      </w:r>
      <w:proofErr w:type="gramEnd"/>
      <w:r>
        <w:t xml:space="preserve"> -0.7 (3.1) for GFF MDI and -1.0 (3.4) for BFF MDI.</w:t>
      </w:r>
    </w:p>
    <w:p w14:paraId="3D1DB502" w14:textId="6703D647" w:rsidR="00CD72FD" w:rsidRPr="00382A5C" w:rsidRDefault="00CD72FD" w:rsidP="002552DB">
      <w:pPr>
        <w:pStyle w:val="Heading4"/>
      </w:pPr>
      <w:r w:rsidRPr="00BA326D">
        <w:t>Safety</w:t>
      </w:r>
    </w:p>
    <w:p w14:paraId="60C82DD4" w14:textId="54F6B114" w:rsidR="00E0791C" w:rsidRDefault="00CD72FD" w:rsidP="00CD72FD">
      <w:r w:rsidRPr="00CD72FD">
        <w:t>The majority of the 24</w:t>
      </w:r>
      <w:r w:rsidR="001B3B04">
        <w:noBreakHyphen/>
      </w:r>
      <w:r w:rsidR="00CC2695">
        <w:t>W</w:t>
      </w:r>
      <w:r w:rsidRPr="00CD72FD">
        <w:t>eek and 52</w:t>
      </w:r>
      <w:r w:rsidR="001B3B04">
        <w:noBreakHyphen/>
      </w:r>
      <w:r w:rsidR="00CC2695">
        <w:t>W</w:t>
      </w:r>
      <w:r w:rsidRPr="00CD72FD">
        <w:t>eek safety data are derived from the randomised Study PT010005</w:t>
      </w:r>
      <w:r w:rsidR="00E0791C">
        <w:t>.</w:t>
      </w:r>
    </w:p>
    <w:p w14:paraId="58001D2B" w14:textId="16F41D0B" w:rsidR="00CD72FD" w:rsidRPr="00382A5C" w:rsidRDefault="00CD72FD" w:rsidP="002552DB">
      <w:pPr>
        <w:pStyle w:val="Heading5"/>
      </w:pPr>
      <w:r w:rsidRPr="00BA326D">
        <w:t>Exposure</w:t>
      </w:r>
    </w:p>
    <w:p w14:paraId="176BCDA5" w14:textId="5A1F4815" w:rsidR="00CD72FD" w:rsidRPr="00CD72FD" w:rsidRDefault="00CD72FD" w:rsidP="00CD72FD">
      <w:r w:rsidRPr="00CD72FD">
        <w:t xml:space="preserve">The </w:t>
      </w:r>
      <w:r w:rsidR="00FD54A2" w:rsidRPr="00CD72FD">
        <w:t xml:space="preserve">integrated summary of safety included </w:t>
      </w:r>
      <w:r w:rsidRPr="00CD72FD">
        <w:t>data from Stud</w:t>
      </w:r>
      <w:r w:rsidR="00FD54A2">
        <w:t>ies</w:t>
      </w:r>
      <w:r w:rsidRPr="00CD72FD">
        <w:t xml:space="preserve"> PT010005,</w:t>
      </w:r>
      <w:r w:rsidR="00FD54A2">
        <w:t xml:space="preserve"> </w:t>
      </w:r>
      <w:r w:rsidRPr="00CD72FD">
        <w:t>PT010006, PT010007 and PT010008</w:t>
      </w:r>
      <w:r w:rsidR="00FD54A2">
        <w:t>.</w:t>
      </w:r>
    </w:p>
    <w:p w14:paraId="317E9E48" w14:textId="6EFB3DC1" w:rsidR="00F13552" w:rsidRDefault="00CD72FD" w:rsidP="002552DB">
      <w:pPr>
        <w:pStyle w:val="Heading6"/>
      </w:pPr>
      <w:r w:rsidRPr="00BA326D">
        <w:t>Overall</w:t>
      </w:r>
      <w:r w:rsidR="00681C14">
        <w:t xml:space="preserve"> exposure</w:t>
      </w:r>
    </w:p>
    <w:p w14:paraId="01E0B3D0" w14:textId="6DB82883" w:rsidR="00E0791C" w:rsidRPr="00855AB8" w:rsidRDefault="00F13552">
      <w:r>
        <w:t>T</w:t>
      </w:r>
      <w:r w:rsidR="00CD72FD" w:rsidRPr="00855AB8">
        <w:t>here were 10425 patients included in this analysis</w:t>
      </w:r>
      <w:r w:rsidR="00FD54A2" w:rsidRPr="00855AB8">
        <w:t>. Of which,</w:t>
      </w:r>
      <w:r w:rsidR="00CD72FD" w:rsidRPr="00855AB8">
        <w:t xml:space="preserve"> 2783 </w:t>
      </w:r>
      <w:r w:rsidR="00BC3934" w:rsidRPr="00855AB8">
        <w:t xml:space="preserve">patients were </w:t>
      </w:r>
      <w:r w:rsidR="00CD72FD" w:rsidRPr="00855AB8">
        <w:t xml:space="preserve">treated with </w:t>
      </w:r>
      <w:r w:rsidR="00BA326D">
        <w:t xml:space="preserve">the </w:t>
      </w:r>
      <w:bookmarkStart w:id="67" w:name="_Hlk96958514"/>
      <w:r w:rsidR="00366E53" w:rsidRPr="00855AB8">
        <w:t xml:space="preserve">BGF </w:t>
      </w:r>
      <w:r w:rsidR="00072973" w:rsidRPr="00855AB8">
        <w:t>MDI</w:t>
      </w:r>
      <w:r w:rsidR="00072973">
        <w:t xml:space="preserve"> (</w:t>
      </w:r>
      <w:r w:rsidR="00366E53" w:rsidRPr="00855AB8">
        <w:t>320/14.4/9.6 µg</w:t>
      </w:r>
      <w:proofErr w:type="gramStart"/>
      <w:r w:rsidR="00072973">
        <w:t>)</w:t>
      </w:r>
      <w:r w:rsidR="00366E53" w:rsidRPr="00855AB8" w:rsidDel="00F82CDE">
        <w:t xml:space="preserve"> </w:t>
      </w:r>
      <w:bookmarkEnd w:id="67"/>
      <w:r w:rsidR="00CD72FD" w:rsidRPr="00855AB8">
        <w:t>,</w:t>
      </w:r>
      <w:proofErr w:type="gramEnd"/>
      <w:r w:rsidR="00CD72FD" w:rsidRPr="00855AB8">
        <w:t xml:space="preserve"> 2124 with </w:t>
      </w:r>
      <w:r w:rsidR="00BA326D">
        <w:t xml:space="preserve">the </w:t>
      </w:r>
      <w:r w:rsidR="00FD54A2" w:rsidRPr="00855AB8">
        <w:t xml:space="preserve">BGF </w:t>
      </w:r>
      <w:r w:rsidR="00F82CDE" w:rsidRPr="00855AB8">
        <w:t>MDI</w:t>
      </w:r>
      <w:r w:rsidR="00864779">
        <w:t xml:space="preserve"> (</w:t>
      </w:r>
      <w:r w:rsidR="00864779" w:rsidRPr="00855AB8">
        <w:t>160/14.4/9.6 µg</w:t>
      </w:r>
      <w:r w:rsidR="00864779">
        <w:t>)</w:t>
      </w:r>
      <w:r w:rsidR="00CD72FD" w:rsidRPr="00855AB8">
        <w:t>, 2750</w:t>
      </w:r>
      <w:r w:rsidR="00681C14">
        <w:t> </w:t>
      </w:r>
      <w:r w:rsidR="00CD72FD" w:rsidRPr="00855AB8">
        <w:t xml:space="preserve">with </w:t>
      </w:r>
      <w:r w:rsidR="00BA326D">
        <w:t xml:space="preserve">the </w:t>
      </w:r>
      <w:r w:rsidR="00CD72FD" w:rsidRPr="00855AB8">
        <w:t xml:space="preserve">GFF MDI, 2450 with </w:t>
      </w:r>
      <w:r w:rsidR="00BA326D">
        <w:t xml:space="preserve">the </w:t>
      </w:r>
      <w:r w:rsidR="00CD72FD" w:rsidRPr="00855AB8">
        <w:t xml:space="preserve">BFF MDI and 318 with Symbicort </w:t>
      </w:r>
      <w:r w:rsidR="000521C3" w:rsidRPr="00A62B3E">
        <w:t>Turbuhaler</w:t>
      </w:r>
      <w:r w:rsidR="00E0791C" w:rsidRPr="00855AB8">
        <w:t>.</w:t>
      </w:r>
    </w:p>
    <w:p w14:paraId="1F5CE851" w14:textId="4744A99A" w:rsidR="00F13552" w:rsidRDefault="00F13552" w:rsidP="002552DB">
      <w:pPr>
        <w:pStyle w:val="Heading6"/>
      </w:pPr>
      <w:r>
        <w:t>P</w:t>
      </w:r>
      <w:r w:rsidR="00CD72FD" w:rsidRPr="00BA326D">
        <w:t>atients who completed 24</w:t>
      </w:r>
      <w:r w:rsidR="00067C44" w:rsidRPr="00BA326D">
        <w:t> </w:t>
      </w:r>
      <w:r w:rsidR="00CD72FD" w:rsidRPr="00BA326D">
        <w:t>weeks of treatment</w:t>
      </w:r>
    </w:p>
    <w:p w14:paraId="6155216A" w14:textId="4CF71AE2" w:rsidR="00E0791C" w:rsidRPr="00855AB8" w:rsidRDefault="00BA326D">
      <w:r>
        <w:t xml:space="preserve">There were </w:t>
      </w:r>
      <w:r w:rsidR="00CD72FD" w:rsidRPr="00855AB8">
        <w:t xml:space="preserve">2465 (88.6%) </w:t>
      </w:r>
      <w:r>
        <w:t xml:space="preserve">patients </w:t>
      </w:r>
      <w:r w:rsidR="00CD72FD" w:rsidRPr="00855AB8">
        <w:t xml:space="preserve">for </w:t>
      </w:r>
      <w:r>
        <w:t xml:space="preserve">the </w:t>
      </w:r>
      <w:r w:rsidR="00072973">
        <w:t>BGF MDI (320/14.4/9.6 µg)</w:t>
      </w:r>
      <w:r w:rsidR="00CD72FD" w:rsidRPr="00855AB8">
        <w:t xml:space="preserve">, 1900 (89.5%) for </w:t>
      </w:r>
      <w:r>
        <w:t xml:space="preserve">the </w:t>
      </w:r>
      <w:r w:rsidR="00FD54A2" w:rsidRPr="00855AB8">
        <w:t>BGF MDI</w:t>
      </w:r>
      <w:r w:rsidR="00864779">
        <w:t xml:space="preserve"> (</w:t>
      </w:r>
      <w:r w:rsidR="00864779" w:rsidRPr="00855AB8">
        <w:t>160/14.4/9.6 µg</w:t>
      </w:r>
      <w:r w:rsidR="00864779">
        <w:t>)</w:t>
      </w:r>
      <w:r w:rsidR="00CD72FD" w:rsidRPr="00855AB8">
        <w:t xml:space="preserve">, 2270 (82.5%) for </w:t>
      </w:r>
      <w:r>
        <w:t xml:space="preserve">the </w:t>
      </w:r>
      <w:r w:rsidR="00CD72FD" w:rsidRPr="00855AB8">
        <w:t xml:space="preserve">GFF MDI, 2099 (85.7%) for </w:t>
      </w:r>
      <w:r>
        <w:t xml:space="preserve">the </w:t>
      </w:r>
      <w:r w:rsidR="00CD72FD" w:rsidRPr="00855AB8">
        <w:lastRenderedPageBreak/>
        <w:t>BFF</w:t>
      </w:r>
      <w:r w:rsidR="00681C14">
        <w:t> </w:t>
      </w:r>
      <w:r w:rsidR="00CD72FD" w:rsidRPr="00855AB8">
        <w:t xml:space="preserve">MDI and 278 (87.4%) for Symbicort </w:t>
      </w:r>
      <w:r w:rsidR="000521C3" w:rsidRPr="00A62B3E">
        <w:t>Turbuhaler</w:t>
      </w:r>
      <w:r w:rsidR="00CD72FD" w:rsidRPr="00855AB8">
        <w:t xml:space="preserve">. Not </w:t>
      </w:r>
      <w:proofErr w:type="gramStart"/>
      <w:r w:rsidR="00CD72FD" w:rsidRPr="00855AB8">
        <w:t>all of</w:t>
      </w:r>
      <w:proofErr w:type="gramEnd"/>
      <w:r w:rsidR="00CD72FD" w:rsidRPr="00855AB8">
        <w:t xml:space="preserve"> the patients were eligible to enter into a further 28 weeks of treatment</w:t>
      </w:r>
      <w:r w:rsidR="00E0791C" w:rsidRPr="00855AB8">
        <w:t>.</w:t>
      </w:r>
    </w:p>
    <w:p w14:paraId="6450B106" w14:textId="4AFA5C0D" w:rsidR="00F13552" w:rsidRPr="00382A5C" w:rsidRDefault="00F13552" w:rsidP="002552DB">
      <w:pPr>
        <w:pStyle w:val="Heading6"/>
      </w:pPr>
      <w:r w:rsidRPr="00382A5C">
        <w:t>P</w:t>
      </w:r>
      <w:r w:rsidR="00CD72FD" w:rsidRPr="00382A5C">
        <w:t>atients who completed 52 weeks of treatment</w:t>
      </w:r>
    </w:p>
    <w:p w14:paraId="5EB0DB60" w14:textId="419513AA" w:rsidR="00E0791C" w:rsidRPr="00855AB8" w:rsidRDefault="00BA326D">
      <w:r>
        <w:t xml:space="preserve">There were </w:t>
      </w:r>
      <w:r w:rsidR="00CD72FD" w:rsidRPr="00855AB8">
        <w:t>1961</w:t>
      </w:r>
      <w:r w:rsidR="00855AB8">
        <w:t xml:space="preserve"> </w:t>
      </w:r>
      <w:r>
        <w:t>patients</w:t>
      </w:r>
      <w:r w:rsidR="00CD72FD" w:rsidRPr="00855AB8">
        <w:t xml:space="preserve"> for </w:t>
      </w:r>
      <w:r>
        <w:t xml:space="preserve">the </w:t>
      </w:r>
      <w:r w:rsidR="00072973">
        <w:t>BGF MDI (320/14.4/9.6 µg)</w:t>
      </w:r>
      <w:r w:rsidR="00CD72FD" w:rsidRPr="00855AB8">
        <w:t xml:space="preserve">, 1712 for </w:t>
      </w:r>
      <w:r>
        <w:t xml:space="preserve">the </w:t>
      </w:r>
      <w:r w:rsidR="00BC3934" w:rsidRPr="00855AB8">
        <w:t>BGF MDI</w:t>
      </w:r>
      <w:r w:rsidR="00864779">
        <w:t xml:space="preserve"> (</w:t>
      </w:r>
      <w:r w:rsidR="00864779" w:rsidRPr="00855AB8">
        <w:t>160/14.4/9.6 µg</w:t>
      </w:r>
      <w:r w:rsidR="00864779">
        <w:t>)</w:t>
      </w:r>
      <w:r w:rsidR="00CD72FD" w:rsidRPr="00855AB8">
        <w:t>, 1913 for</w:t>
      </w:r>
      <w:r w:rsidR="00855AB8">
        <w:t xml:space="preserve"> </w:t>
      </w:r>
      <w:r>
        <w:t xml:space="preserve">the </w:t>
      </w:r>
      <w:r w:rsidR="00CD72FD" w:rsidRPr="00855AB8">
        <w:t xml:space="preserve">GFF MDI, 1765 for </w:t>
      </w:r>
      <w:r>
        <w:t xml:space="preserve">the </w:t>
      </w:r>
      <w:r w:rsidR="00CD72FD" w:rsidRPr="00855AB8">
        <w:t xml:space="preserve">BFF MDI and 54 for Symbicort </w:t>
      </w:r>
      <w:r w:rsidR="000521C3" w:rsidRPr="00A62B3E">
        <w:t>Turbuhaler</w:t>
      </w:r>
      <w:r w:rsidR="00E0791C" w:rsidRPr="00855AB8">
        <w:t>.</w:t>
      </w:r>
    </w:p>
    <w:p w14:paraId="0F7E0CB7" w14:textId="628050BC" w:rsidR="00FD54A2" w:rsidRPr="00382A5C" w:rsidRDefault="00CD72FD" w:rsidP="002552DB">
      <w:pPr>
        <w:pStyle w:val="Heading6"/>
      </w:pPr>
      <w:r w:rsidRPr="00BA326D">
        <w:t>Demographics</w:t>
      </w:r>
    </w:p>
    <w:p w14:paraId="5E1365A2" w14:textId="2A77EC05" w:rsidR="00CD72FD" w:rsidRPr="00CD72FD" w:rsidRDefault="00BA326D">
      <w:r>
        <w:t xml:space="preserve">Of all participants, </w:t>
      </w:r>
      <w:r w:rsidR="00CD72FD" w:rsidRPr="00BC3934">
        <w:t>6443 (61.8%) were males, 2982 (38.2%) females. The age range was 40 to 81 years. 4934 (47.3%) were patients aged &lt;</w:t>
      </w:r>
      <w:r w:rsidR="00B61091" w:rsidRPr="00FD54A2">
        <w:t> </w:t>
      </w:r>
      <w:r w:rsidR="00CD72FD" w:rsidRPr="00FD54A2">
        <w:t>65 years, 4366 (41.9%) aged ≥</w:t>
      </w:r>
      <w:r w:rsidR="00B61091" w:rsidRPr="00FD54A2">
        <w:t> </w:t>
      </w:r>
      <w:r w:rsidR="00CD72FD" w:rsidRPr="00FD54A2">
        <w:t>65 years and &lt;</w:t>
      </w:r>
      <w:r w:rsidR="00B61091" w:rsidRPr="00FD54A2">
        <w:t> </w:t>
      </w:r>
      <w:r w:rsidR="00CD72FD" w:rsidRPr="00FD54A2">
        <w:t>75 years, and 1125 (10.8%) aged ≥</w:t>
      </w:r>
      <w:r w:rsidR="00B61091" w:rsidRPr="00FD54A2">
        <w:t> </w:t>
      </w:r>
      <w:r w:rsidR="00CD72FD" w:rsidRPr="00FD54A2">
        <w:t xml:space="preserve">75 years. Of the patients treated with </w:t>
      </w:r>
      <w:r w:rsidR="00B61091" w:rsidRPr="00FD54A2">
        <w:t xml:space="preserve">the </w:t>
      </w:r>
      <w:r w:rsidR="00072973">
        <w:t>BGF</w:t>
      </w:r>
      <w:r w:rsidR="00681C14">
        <w:t> </w:t>
      </w:r>
      <w:r w:rsidR="00072973">
        <w:t>MDI (320/14.4/9.6 µg)</w:t>
      </w:r>
      <w:r w:rsidR="00CD72FD" w:rsidRPr="00FD54A2">
        <w:t xml:space="preserve">, there were 1725 (62.0%) males, 1058 (38.0%) females and the age range </w:t>
      </w:r>
      <w:proofErr w:type="gramStart"/>
      <w:r w:rsidR="00CD72FD" w:rsidRPr="00FD54A2">
        <w:t>was</w:t>
      </w:r>
      <w:proofErr w:type="gramEnd"/>
      <w:r w:rsidR="00CD72FD" w:rsidRPr="00FD54A2">
        <w:t xml:space="preserve"> 40 to 81 years. 1336 (48.0%) were patients aged &lt;</w:t>
      </w:r>
      <w:r w:rsidR="00996606" w:rsidRPr="00FD54A2">
        <w:t> </w:t>
      </w:r>
      <w:r w:rsidR="00CD72FD" w:rsidRPr="00FD54A2">
        <w:t>65 years, 1144</w:t>
      </w:r>
      <w:r w:rsidR="00681C14">
        <w:t> </w:t>
      </w:r>
      <w:r w:rsidR="00CD72FD" w:rsidRPr="00FD54A2">
        <w:t>(41.1%) aged ≥</w:t>
      </w:r>
      <w:r w:rsidR="00996606" w:rsidRPr="00FD54A2">
        <w:t> </w:t>
      </w:r>
      <w:r w:rsidR="00CD72FD" w:rsidRPr="00FD54A2">
        <w:t>65 years and &lt;</w:t>
      </w:r>
      <w:r w:rsidR="00996606" w:rsidRPr="00FD54A2">
        <w:t> </w:t>
      </w:r>
      <w:r w:rsidR="00CD72FD" w:rsidRPr="00FD54A2">
        <w:t>75 years, and 303 (10.9%) aged ≥</w:t>
      </w:r>
      <w:r w:rsidR="00996606" w:rsidRPr="00FD54A2">
        <w:t> </w:t>
      </w:r>
      <w:r w:rsidR="00CD72FD" w:rsidRPr="00FD54A2">
        <w:t>75 years</w:t>
      </w:r>
      <w:r w:rsidR="00E0791C" w:rsidRPr="00FD54A2">
        <w:t>.</w:t>
      </w:r>
    </w:p>
    <w:p w14:paraId="292EDA9C" w14:textId="0368E6A7" w:rsidR="00CD72FD" w:rsidRPr="00CD72FD" w:rsidRDefault="00CD72FD" w:rsidP="002552DB">
      <w:pPr>
        <w:pStyle w:val="Heading5"/>
      </w:pPr>
      <w:r w:rsidRPr="00CD72FD">
        <w:t>Adverse event</w:t>
      </w:r>
    </w:p>
    <w:p w14:paraId="706CE23F" w14:textId="7F7E0991" w:rsidR="00E0791C" w:rsidRDefault="00CD72FD" w:rsidP="00CD72FD">
      <w:r w:rsidRPr="00CD72FD">
        <w:t xml:space="preserve">The overall rates of </w:t>
      </w:r>
      <w:bookmarkStart w:id="68" w:name="_Hlk95460561"/>
      <w:r w:rsidR="00244361" w:rsidRPr="00244361">
        <w:t xml:space="preserve">treatment emergent adverse events </w:t>
      </w:r>
      <w:bookmarkEnd w:id="68"/>
      <w:r w:rsidR="00244361">
        <w:t>(</w:t>
      </w:r>
      <w:r w:rsidRPr="00CD72FD">
        <w:t>TEAEs</w:t>
      </w:r>
      <w:r w:rsidR="00244361">
        <w:t>)</w:t>
      </w:r>
      <w:r w:rsidRPr="00CD72FD">
        <w:t xml:space="preserve"> were similar for BFG MDI, GFF MDI, BFF MDI and Symbicort</w:t>
      </w:r>
      <w:r w:rsidR="000521C3">
        <w:t xml:space="preserve"> </w:t>
      </w:r>
      <w:r w:rsidR="000521C3" w:rsidRPr="00A62B3E">
        <w:t>Turbuhaler</w:t>
      </w:r>
      <w:r w:rsidR="00E0791C">
        <w:t>.</w:t>
      </w:r>
    </w:p>
    <w:p w14:paraId="3F728248" w14:textId="43EB07F3" w:rsidR="00F13552" w:rsidRDefault="00CD72FD" w:rsidP="002552DB">
      <w:pPr>
        <w:pStyle w:val="Heading6"/>
      </w:pPr>
      <w:r w:rsidRPr="00CD72FD">
        <w:t>24</w:t>
      </w:r>
      <w:r w:rsidR="00B66845">
        <w:t>-</w:t>
      </w:r>
      <w:r w:rsidR="00B66845" w:rsidRPr="00CD72FD">
        <w:t>week safety population</w:t>
      </w:r>
    </w:p>
    <w:p w14:paraId="673116D5" w14:textId="007A46A4" w:rsidR="00CD72FD" w:rsidRDefault="00CD72FD" w:rsidP="00CD72FD">
      <w:r w:rsidRPr="00CD72FD">
        <w:t xml:space="preserve">The most frequent TEAEs were in the </w:t>
      </w:r>
      <w:r w:rsidR="00772C7F">
        <w:t>S</w:t>
      </w:r>
      <w:r w:rsidR="0067583F" w:rsidRPr="0067583F">
        <w:t xml:space="preserve">ystem </w:t>
      </w:r>
      <w:r w:rsidR="00772C7F">
        <w:t>O</w:t>
      </w:r>
      <w:r w:rsidR="0067583F" w:rsidRPr="0067583F">
        <w:t xml:space="preserve">rgan </w:t>
      </w:r>
      <w:r w:rsidR="00772C7F">
        <w:t>C</w:t>
      </w:r>
      <w:r w:rsidR="0067583F" w:rsidRPr="0067583F">
        <w:t>lasses</w:t>
      </w:r>
      <w:r w:rsidRPr="00CD72FD">
        <w:t xml:space="preserve"> of infections and infestations (25.7%), respiratory, and thoracic and mediastinal disorders (14.2%). By </w:t>
      </w:r>
      <w:r w:rsidR="00F13552">
        <w:t>Preferred Term</w:t>
      </w:r>
      <w:r w:rsidRPr="00CD72FD">
        <w:t>, the most frequent TEAEs were nasopharyngitis (7.1%), COPD (5.5%), and upper respiratory tract infection (4.3%)</w:t>
      </w:r>
      <w:r w:rsidR="002F207E">
        <w:t xml:space="preserve"> </w:t>
      </w:r>
      <w:r w:rsidR="00B66845" w:rsidRPr="00CD72FD">
        <w:t>(</w:t>
      </w:r>
      <w:r w:rsidR="002F207E">
        <w:t xml:space="preserve">see </w:t>
      </w:r>
      <w:r w:rsidR="00B66845">
        <w:fldChar w:fldCharType="begin"/>
      </w:r>
      <w:r w:rsidR="00B66845">
        <w:instrText xml:space="preserve"> REF _Ref95460686 \h  \* MERGEFORMAT </w:instrText>
      </w:r>
      <w:r w:rsidR="00B66845">
        <w:fldChar w:fldCharType="separate"/>
      </w:r>
      <w:r w:rsidR="00E53BA0">
        <w:t xml:space="preserve">Table </w:t>
      </w:r>
      <w:r w:rsidR="00E53BA0">
        <w:rPr>
          <w:noProof/>
        </w:rPr>
        <w:t>9</w:t>
      </w:r>
      <w:r w:rsidR="00B66845">
        <w:fldChar w:fldCharType="end"/>
      </w:r>
      <w:r w:rsidR="002F207E">
        <w:t xml:space="preserve"> below</w:t>
      </w:r>
      <w:r w:rsidR="00B66845" w:rsidRPr="00CD72FD">
        <w:t>)</w:t>
      </w:r>
      <w:r w:rsidRPr="00CD72FD">
        <w:t>.</w:t>
      </w:r>
    </w:p>
    <w:p w14:paraId="5FC0EAB7" w14:textId="2E700F9B" w:rsidR="003D5B74" w:rsidRDefault="007A3FA0" w:rsidP="00EA43BD">
      <w:pPr>
        <w:pStyle w:val="TableTitle"/>
      </w:pPr>
      <w:bookmarkStart w:id="69" w:name="_Ref95460686"/>
      <w:r>
        <w:t xml:space="preserve">Table </w:t>
      </w:r>
      <w:r w:rsidR="001108B3">
        <w:fldChar w:fldCharType="begin"/>
      </w:r>
      <w:r w:rsidR="001108B3">
        <w:instrText xml:space="preserve"> SEQ Table \* ARABIC </w:instrText>
      </w:r>
      <w:r w:rsidR="001108B3">
        <w:fldChar w:fldCharType="separate"/>
      </w:r>
      <w:r w:rsidR="00E53BA0">
        <w:rPr>
          <w:noProof/>
        </w:rPr>
        <w:t>9</w:t>
      </w:r>
      <w:r w:rsidR="001108B3">
        <w:rPr>
          <w:noProof/>
        </w:rPr>
        <w:fldChar w:fldCharType="end"/>
      </w:r>
      <w:bookmarkEnd w:id="69"/>
      <w:r w:rsidR="00080E5D">
        <w:rPr>
          <w:noProof/>
        </w:rPr>
        <w:t>:</w:t>
      </w:r>
      <w:r>
        <w:t xml:space="preserve"> </w:t>
      </w:r>
      <w:r w:rsidR="00080E5D" w:rsidRPr="00080E5D">
        <w:t>Stud</w:t>
      </w:r>
      <w:r w:rsidR="00080E5D">
        <w:t>ies</w:t>
      </w:r>
      <w:r w:rsidR="00080E5D" w:rsidRPr="00080E5D">
        <w:t xml:space="preserve"> PT010005 and PT010006</w:t>
      </w:r>
      <w:r w:rsidRPr="007A3FA0">
        <w:t xml:space="preserve"> </w:t>
      </w:r>
      <w:bookmarkStart w:id="70" w:name="_Hlk95464003"/>
      <w:r w:rsidR="00E92454">
        <w:t>T</w:t>
      </w:r>
      <w:r w:rsidR="00E92454" w:rsidRPr="00E92454">
        <w:t>reatment emergent adverse events</w:t>
      </w:r>
      <w:bookmarkEnd w:id="70"/>
      <w:r w:rsidRPr="007A3FA0">
        <w:t xml:space="preserve"> </w:t>
      </w:r>
      <w:r w:rsidR="00E92454">
        <w:t>o</w:t>
      </w:r>
      <w:r w:rsidRPr="007A3FA0">
        <w:t>ccurring in ≥</w:t>
      </w:r>
      <w:r>
        <w:t> </w:t>
      </w:r>
      <w:r w:rsidRPr="007A3FA0">
        <w:t xml:space="preserve">2% of </w:t>
      </w:r>
      <w:r w:rsidR="00E92454">
        <w:t>s</w:t>
      </w:r>
      <w:r w:rsidRPr="007A3FA0">
        <w:t xml:space="preserve">ubjects in </w:t>
      </w:r>
      <w:r w:rsidR="00E92454">
        <w:t>a</w:t>
      </w:r>
      <w:r w:rsidRPr="007A3FA0">
        <w:t xml:space="preserve">ny </w:t>
      </w:r>
      <w:r w:rsidR="00E92454">
        <w:t>t</w:t>
      </w:r>
      <w:r w:rsidRPr="007A3FA0">
        <w:t xml:space="preserve">reatment </w:t>
      </w:r>
      <w:r w:rsidR="00E92454">
        <w:t>g</w:t>
      </w:r>
      <w:r w:rsidRPr="007A3FA0">
        <w:t>roup (24</w:t>
      </w:r>
      <w:r w:rsidR="00080E5D">
        <w:t>-w</w:t>
      </w:r>
      <w:r w:rsidRPr="007A3FA0">
        <w:t xml:space="preserve">eek </w:t>
      </w:r>
      <w:r w:rsidR="00E92454">
        <w:t>s</w:t>
      </w:r>
      <w:r w:rsidRPr="007A3FA0">
        <w:t xml:space="preserve">afety </w:t>
      </w:r>
      <w:r w:rsidR="00E92454">
        <w:t>p</w:t>
      </w:r>
      <w:r w:rsidRPr="007A3FA0">
        <w:t>opulation)</w:t>
      </w:r>
    </w:p>
    <w:p w14:paraId="5239ACF2" w14:textId="4FAAF7E4" w:rsidR="003D5B74" w:rsidRDefault="003D5B74" w:rsidP="00CD72FD">
      <w:r>
        <w:rPr>
          <w:noProof/>
          <w:lang w:val="en-GB" w:eastAsia="en-GB"/>
        </w:rPr>
        <w:drawing>
          <wp:inline distT="0" distB="0" distL="0" distR="0" wp14:anchorId="46030F31" wp14:editId="551E5F74">
            <wp:extent cx="5400040" cy="3238500"/>
            <wp:effectExtent l="0" t="0" r="0" b="0"/>
            <wp:docPr id="23" name="Picture 23" descr="Table 9: Studies PT010005 and PT010006 Treatment emergent adverse events occurring in ≥ 2% of subjects in any treatment group (24-week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9: Studies PT010005 and PT010006 Treatment emergent adverse events occurring in ≥ 2% of subjects in any treatment group (24-week safety population)"/>
                    <pic:cNvPicPr/>
                  </pic:nvPicPr>
                  <pic:blipFill rotWithShape="1">
                    <a:blip r:embed="rId34">
                      <a:extLst>
                        <a:ext uri="{28A0092B-C50C-407E-A947-70E740481C1C}">
                          <a14:useLocalDpi xmlns:a14="http://schemas.microsoft.com/office/drawing/2010/main" val="0"/>
                        </a:ext>
                      </a:extLst>
                    </a:blip>
                    <a:srcRect b="410"/>
                    <a:stretch/>
                  </pic:blipFill>
                  <pic:spPr bwMode="auto">
                    <a:xfrm>
                      <a:off x="0" y="0"/>
                      <a:ext cx="5400040" cy="3238500"/>
                    </a:xfrm>
                    <a:prstGeom prst="rect">
                      <a:avLst/>
                    </a:prstGeom>
                    <a:ln>
                      <a:noFill/>
                    </a:ln>
                    <a:extLst>
                      <a:ext uri="{53640926-AAD7-44D8-BBD7-CCE9431645EC}">
                        <a14:shadowObscured xmlns:a14="http://schemas.microsoft.com/office/drawing/2010/main"/>
                      </a:ext>
                    </a:extLst>
                  </pic:spPr>
                </pic:pic>
              </a:graphicData>
            </a:graphic>
          </wp:inline>
        </w:drawing>
      </w:r>
    </w:p>
    <w:p w14:paraId="44C5630D" w14:textId="39641E3A" w:rsidR="004B0E91" w:rsidRDefault="00D94ADB" w:rsidP="00261765">
      <w:pPr>
        <w:pStyle w:val="TableDescription"/>
      </w:pPr>
      <w:r>
        <w:t>BFF =</w:t>
      </w:r>
      <w:r w:rsidRPr="006302C6">
        <w:t xml:space="preserve"> </w:t>
      </w:r>
      <w:r>
        <w:t>b</w:t>
      </w:r>
      <w:r w:rsidRPr="006302C6">
        <w:t>udesonide / formoterol fumarate</w:t>
      </w:r>
      <w:r>
        <w:t xml:space="preserve">; </w:t>
      </w:r>
      <w:r w:rsidR="00542987">
        <w:t>BGF = b</w:t>
      </w:r>
      <w:r w:rsidR="00542987" w:rsidRPr="004E03C1">
        <w:t>udesonide</w:t>
      </w:r>
      <w:r w:rsidR="00542987">
        <w:t xml:space="preserve"> / </w:t>
      </w:r>
      <w:r w:rsidR="00542987" w:rsidRPr="004E03C1">
        <w:t xml:space="preserve">glycopyrronium </w:t>
      </w:r>
      <w:r w:rsidR="00542987">
        <w:t xml:space="preserve">/ </w:t>
      </w:r>
      <w:r w:rsidR="00542987" w:rsidRPr="004E03C1">
        <w:t>formoterol fumarate</w:t>
      </w:r>
      <w:r>
        <w:t>; GFF = g</w:t>
      </w:r>
      <w:r w:rsidRPr="006302C6">
        <w:t>lycopyrronium / formoterol fumarate</w:t>
      </w:r>
      <w:r>
        <w:t xml:space="preserve">; </w:t>
      </w:r>
      <w:r w:rsidR="00542987">
        <w:t>MDI = m</w:t>
      </w:r>
      <w:r w:rsidR="00542987" w:rsidRPr="00542987">
        <w:t>etered dose inhaler</w:t>
      </w:r>
      <w:r>
        <w:t xml:space="preserve">; </w:t>
      </w:r>
      <w:r w:rsidR="00542987" w:rsidRPr="00BF6A1C">
        <w:t>N =</w:t>
      </w:r>
      <w:r w:rsidR="00542987">
        <w:t xml:space="preserve"> population size</w:t>
      </w:r>
      <w:r>
        <w:t xml:space="preserve">; </w:t>
      </w:r>
      <w:r w:rsidR="004B0E91">
        <w:t xml:space="preserve">n = </w:t>
      </w:r>
      <w:r w:rsidR="006302C6" w:rsidRPr="006302C6">
        <w:t>sample size</w:t>
      </w:r>
      <w:r>
        <w:t xml:space="preserve">; </w:t>
      </w:r>
      <w:r w:rsidR="004B0E91">
        <w:t>SOC =</w:t>
      </w:r>
      <w:r w:rsidRPr="00D94ADB">
        <w:t xml:space="preserve"> System Organ Class</w:t>
      </w:r>
      <w:r>
        <w:t xml:space="preserve">; </w:t>
      </w:r>
      <w:r w:rsidR="006302C6">
        <w:t>TBH = t</w:t>
      </w:r>
      <w:r w:rsidR="006302C6" w:rsidRPr="006302C6">
        <w:t>urbuhaler</w:t>
      </w:r>
      <w:r>
        <w:t>; TEAE =</w:t>
      </w:r>
      <w:r w:rsidRPr="00D94ADB">
        <w:t xml:space="preserve"> </w:t>
      </w:r>
      <w:r>
        <w:t>t</w:t>
      </w:r>
      <w:r w:rsidRPr="00E92454">
        <w:t>reatment emergent adverse event</w:t>
      </w:r>
      <w:r>
        <w:t>.</w:t>
      </w:r>
    </w:p>
    <w:p w14:paraId="6CF4B7CC" w14:textId="3EDC313F" w:rsidR="000B1552" w:rsidRPr="00E536B8" w:rsidRDefault="0047179C">
      <w:pPr>
        <w:pStyle w:val="TableDescription"/>
      </w:pPr>
      <w:r w:rsidRPr="00E536B8">
        <w:t>The 24</w:t>
      </w:r>
      <w:r w:rsidR="00080E5D">
        <w:t>-w</w:t>
      </w:r>
      <w:r w:rsidRPr="00E536B8">
        <w:t>eek safety population included data through 24 weeks from Study PT010005 and Study</w:t>
      </w:r>
      <w:r w:rsidR="00F8741E">
        <w:t> </w:t>
      </w:r>
      <w:r w:rsidRPr="00E536B8">
        <w:t>PT010006.</w:t>
      </w:r>
    </w:p>
    <w:p w14:paraId="1049AE61" w14:textId="02ECA435" w:rsidR="0047179C" w:rsidRPr="00E536B8" w:rsidRDefault="0047179C">
      <w:pPr>
        <w:pStyle w:val="TableDescription"/>
      </w:pPr>
      <w:r w:rsidRPr="00E536B8">
        <w:lastRenderedPageBreak/>
        <w:t xml:space="preserve">Adverse events </w:t>
      </w:r>
      <w:r w:rsidR="00F8741E">
        <w:t xml:space="preserve">(AEs) </w:t>
      </w:r>
      <w:r w:rsidR="00524DD4" w:rsidRPr="00E536B8">
        <w:t xml:space="preserve">are presented by those occurring in </w:t>
      </w:r>
      <w:r w:rsidR="0068163E" w:rsidRPr="00E536B8">
        <w:t>≥ </w:t>
      </w:r>
      <w:r w:rsidR="00524DD4" w:rsidRPr="00E536B8">
        <w:t>2%</w:t>
      </w:r>
      <w:r w:rsidR="00F8741E">
        <w:t xml:space="preserve"> </w:t>
      </w:r>
      <w:r w:rsidR="00524DD4" w:rsidRPr="00E536B8">
        <w:t xml:space="preserve">of subjects in any treatment group by </w:t>
      </w:r>
      <w:r w:rsidR="00F8741E">
        <w:t>P</w:t>
      </w:r>
      <w:r w:rsidR="00524DD4" w:rsidRPr="00E536B8">
        <w:t xml:space="preserve">referred </w:t>
      </w:r>
      <w:r w:rsidR="00F8741E">
        <w:t>T</w:t>
      </w:r>
      <w:r w:rsidR="00524DD4" w:rsidRPr="00E536B8">
        <w:t>erm, and the</w:t>
      </w:r>
      <w:r w:rsidR="0068163E" w:rsidRPr="00E536B8">
        <w:t xml:space="preserve"> </w:t>
      </w:r>
      <w:r w:rsidR="00524DD4" w:rsidRPr="00E536B8">
        <w:t xml:space="preserve">table is sorted </w:t>
      </w:r>
      <w:r w:rsidR="0068163E" w:rsidRPr="00E536B8">
        <w:t>by descending SOC frequency across all subjects.</w:t>
      </w:r>
    </w:p>
    <w:p w14:paraId="2DC86053" w14:textId="3503B641" w:rsidR="007B3EE2" w:rsidRPr="00E536B8" w:rsidRDefault="007B3EE2">
      <w:pPr>
        <w:pStyle w:val="TableDescription"/>
      </w:pPr>
      <w:r w:rsidRPr="00E536B8">
        <w:t xml:space="preserve">In Study PT010005 and Study PT010006, TEAEs </w:t>
      </w:r>
      <w:r w:rsidR="009E2F1B" w:rsidRPr="00E536B8">
        <w:t xml:space="preserve">of </w:t>
      </w:r>
      <w:r w:rsidR="006E6316" w:rsidRPr="00E536B8">
        <w:t>chronic obstructive pulmonary disease (</w:t>
      </w:r>
      <w:r w:rsidR="009E2F1B" w:rsidRPr="00E536B8">
        <w:t>COPD</w:t>
      </w:r>
      <w:r w:rsidR="006E6316" w:rsidRPr="00E536B8">
        <w:t>)</w:t>
      </w:r>
      <w:r w:rsidR="009E2F1B" w:rsidRPr="00E536B8">
        <w:t xml:space="preserve"> were expected and thus were not to be captured as AEs unless they met the definition of </w:t>
      </w:r>
      <w:r w:rsidR="00D427D9" w:rsidRPr="00E536B8">
        <w:t>serious adverse events (</w:t>
      </w:r>
      <w:r w:rsidR="009E2F1B" w:rsidRPr="00E536B8">
        <w:t>SAE</w:t>
      </w:r>
      <w:r w:rsidR="00D427D9" w:rsidRPr="00E536B8">
        <w:t>)</w:t>
      </w:r>
      <w:r w:rsidR="00E35DAD" w:rsidRPr="00E536B8">
        <w:t xml:space="preserve">, however two nonserious TEAEs of COPD (per investigator assessment) were reported in two subjects (one subject each in </w:t>
      </w:r>
      <w:r w:rsidR="002070E4" w:rsidRPr="00E536B8">
        <w:t>the metered dose inhaler of 320</w:t>
      </w:r>
      <w:r w:rsidR="00F8741E">
        <w:t> </w:t>
      </w:r>
      <w:r w:rsidR="002070E4" w:rsidRPr="00E536B8">
        <w:t>µg budesonide, 14.4</w:t>
      </w:r>
      <w:r w:rsidR="00F8741E">
        <w:t> </w:t>
      </w:r>
      <w:r w:rsidR="002070E4" w:rsidRPr="00E536B8">
        <w:t>µg glycopyrronium and 9.6</w:t>
      </w:r>
      <w:r w:rsidR="00F8741E">
        <w:t> </w:t>
      </w:r>
      <w:r w:rsidR="002070E4" w:rsidRPr="00E536B8">
        <w:t xml:space="preserve">µg formoterol fumarate </w:t>
      </w:r>
      <w:r w:rsidR="00DC254B" w:rsidRPr="00E536B8">
        <w:t>and BFF MDI groups) in Study</w:t>
      </w:r>
      <w:r w:rsidR="00F8741E">
        <w:t> </w:t>
      </w:r>
      <w:r w:rsidR="00DC254B" w:rsidRPr="00E536B8">
        <w:t>PT010005 and are not included in Study</w:t>
      </w:r>
      <w:r w:rsidR="00F8741E">
        <w:t> </w:t>
      </w:r>
      <w:r w:rsidR="00DC254B" w:rsidRPr="00E536B8">
        <w:t>PT010005</w:t>
      </w:r>
      <w:r w:rsidR="002070E4" w:rsidRPr="00E536B8">
        <w:t>.</w:t>
      </w:r>
    </w:p>
    <w:p w14:paraId="2F6EC858" w14:textId="001A9C2D" w:rsidR="00E0791C" w:rsidRDefault="00CD72FD" w:rsidP="00CD72FD">
      <w:r w:rsidRPr="00CD72FD">
        <w:t xml:space="preserve">There were higher rates of dysphonia and oral candidiasis in the patients treated with the combinations that contained budesonide. However, the rates for these conditions in the BGF MDI group were low. Dysphonia was reported in 49 (1.8%) patients for </w:t>
      </w:r>
      <w:r w:rsidR="007D7134" w:rsidRPr="007D7134">
        <w:t xml:space="preserve">the </w:t>
      </w:r>
      <w:r w:rsidR="00072973">
        <w:t>BGF MDI (320/14.4/9.6 µg)</w:t>
      </w:r>
      <w:r w:rsidRPr="00CD72FD">
        <w:t xml:space="preserve">, 17 (0.8%) for </w:t>
      </w:r>
      <w:r w:rsidR="004A43B3" w:rsidRPr="007D7134">
        <w:t xml:space="preserve">the </w:t>
      </w:r>
      <w:r w:rsidR="00BC3934">
        <w:t>BGF MDI</w:t>
      </w:r>
      <w:r w:rsidR="00864779">
        <w:t xml:space="preserve"> (160/14.4/9.6 µg)</w:t>
      </w:r>
      <w:r w:rsidRPr="00CD72FD">
        <w:t xml:space="preserve">, 12 (0.4%) for GFF MDI, 42 (1.7%) for BFF MDI and 6 (1.9%) for Symbicort </w:t>
      </w:r>
      <w:r w:rsidR="000521C3" w:rsidRPr="00A62B3E">
        <w:t>Turbuhaler</w:t>
      </w:r>
      <w:r w:rsidRPr="00CD72FD">
        <w:t xml:space="preserve">. Oral candidiasis was reported in 48 (1.7%) patients for </w:t>
      </w:r>
      <w:r w:rsidR="004A43B3" w:rsidRPr="007D7134">
        <w:t xml:space="preserve">the </w:t>
      </w:r>
      <w:r w:rsidR="00072973">
        <w:t>BGF MDI (320/14.4/9.6 µg)</w:t>
      </w:r>
      <w:r w:rsidRPr="00CD72FD">
        <w:t xml:space="preserve">, 32 (1.5%) </w:t>
      </w:r>
      <w:r w:rsidR="004A43B3" w:rsidRPr="00CD72FD">
        <w:t xml:space="preserve">for </w:t>
      </w:r>
      <w:r w:rsidR="004A43B3" w:rsidRPr="007D7134">
        <w:t xml:space="preserve">the </w:t>
      </w:r>
      <w:r w:rsidR="00BC3934">
        <w:t>BGF 160/14.4/9.6 µg MDI</w:t>
      </w:r>
      <w:r w:rsidRPr="00CD72FD">
        <w:t xml:space="preserve">, 21 (0.8%) for GFF MDI, 45 (1.8%) for BFF MDI and 5 (1.6%) for Symbicort </w:t>
      </w:r>
      <w:r w:rsidR="000521C3" w:rsidRPr="00A62B3E">
        <w:t>Turbuhaler</w:t>
      </w:r>
      <w:r w:rsidR="00E0791C">
        <w:t>.</w:t>
      </w:r>
    </w:p>
    <w:p w14:paraId="3066A0BB" w14:textId="5E525D0C" w:rsidR="00E0791C" w:rsidRDefault="00CD72FD" w:rsidP="00CD72FD">
      <w:r w:rsidRPr="00CD72FD">
        <w:t xml:space="preserve">Although it might be expected that pneumonia would be more common with budesonide, the data did not confirm this. Pneumonia was reported in 58 (2.1%) patients </w:t>
      </w:r>
      <w:r w:rsidR="00B1427D" w:rsidRPr="00CD72FD">
        <w:t xml:space="preserve">for </w:t>
      </w:r>
      <w:r w:rsidR="00B1427D" w:rsidRPr="007D7134">
        <w:t xml:space="preserve">the </w:t>
      </w:r>
      <w:r w:rsidR="00072973">
        <w:t>BGF MDI (320/14.4/9.6 µg)</w:t>
      </w:r>
      <w:r w:rsidRPr="00CD72FD">
        <w:t xml:space="preserve"> group, 46 (2.2%) </w:t>
      </w:r>
      <w:r w:rsidR="00B1427D" w:rsidRPr="00CD72FD">
        <w:t xml:space="preserve">for </w:t>
      </w:r>
      <w:r w:rsidR="00B1427D" w:rsidRPr="007D7134">
        <w:t xml:space="preserve">the </w:t>
      </w:r>
      <w:r w:rsidR="00BC3934">
        <w:t>BGF MDI</w:t>
      </w:r>
      <w:r w:rsidR="00864779">
        <w:t xml:space="preserve"> (160/14.4/9.6 µg)</w:t>
      </w:r>
      <w:r w:rsidRPr="00CD72FD">
        <w:t xml:space="preserve">, 46 (1.7%) for GFF MDI, 60 (2.4%) for BFF MDI and 4 (1.3%) for Symbicort </w:t>
      </w:r>
      <w:r w:rsidR="000521C3" w:rsidRPr="00A62B3E">
        <w:t>Turbuhaler</w:t>
      </w:r>
      <w:r w:rsidR="00E0791C">
        <w:t>.</w:t>
      </w:r>
    </w:p>
    <w:p w14:paraId="72476FC7" w14:textId="6924A5C0" w:rsidR="00F13552" w:rsidRDefault="00CD72FD" w:rsidP="002552DB">
      <w:pPr>
        <w:pStyle w:val="Heading6"/>
      </w:pPr>
      <w:r w:rsidRPr="00CD72FD">
        <w:t>52</w:t>
      </w:r>
      <w:r w:rsidR="002F207E">
        <w:t>-w</w:t>
      </w:r>
      <w:r w:rsidRPr="00CD72FD">
        <w:t xml:space="preserve">eek </w:t>
      </w:r>
      <w:r w:rsidR="00B1427D">
        <w:t>s</w:t>
      </w:r>
      <w:r w:rsidRPr="00CD72FD">
        <w:t xml:space="preserve">afety </w:t>
      </w:r>
      <w:r w:rsidR="00B1427D">
        <w:t>p</w:t>
      </w:r>
      <w:r w:rsidRPr="00CD72FD">
        <w:t>opulation</w:t>
      </w:r>
    </w:p>
    <w:p w14:paraId="7E892BBB" w14:textId="751CF90D" w:rsidR="00CD72FD" w:rsidRDefault="00CD72FD" w:rsidP="00CD72FD">
      <w:r w:rsidRPr="00CD72FD">
        <w:t xml:space="preserve">The most frequent TEAEs were in the </w:t>
      </w:r>
      <w:r w:rsidR="002F207E" w:rsidRPr="002F207E">
        <w:t xml:space="preserve">System Organ Classes </w:t>
      </w:r>
      <w:r w:rsidRPr="00CD72FD">
        <w:t xml:space="preserve">of infections and infestations (37.5%), and respiratory, </w:t>
      </w:r>
      <w:proofErr w:type="gramStart"/>
      <w:r w:rsidRPr="00CD72FD">
        <w:t>thoracic</w:t>
      </w:r>
      <w:proofErr w:type="gramEnd"/>
      <w:r w:rsidRPr="00CD72FD">
        <w:t xml:space="preserve"> and mediastinal disorders (21.9%). By </w:t>
      </w:r>
      <w:r w:rsidR="00F8741E">
        <w:t>P</w:t>
      </w:r>
      <w:r w:rsidRPr="00CD72FD">
        <w:t xml:space="preserve">referred </w:t>
      </w:r>
      <w:r w:rsidR="00F8741E">
        <w:t>T</w:t>
      </w:r>
      <w:r w:rsidRPr="00CD72FD">
        <w:t>erm, the most frequent TEAEs were nasopharyngitis (11.3%), COPD (9.9%), and upper respiratory tract infection (5.7%)</w:t>
      </w:r>
      <w:r w:rsidR="002F207E">
        <w:t xml:space="preserve"> </w:t>
      </w:r>
      <w:r w:rsidR="002F207E" w:rsidRPr="00CD72FD">
        <w:t>(</w:t>
      </w:r>
      <w:r w:rsidR="002F207E">
        <w:t xml:space="preserve">see </w:t>
      </w:r>
      <w:r w:rsidR="002F207E">
        <w:fldChar w:fldCharType="begin"/>
      </w:r>
      <w:r w:rsidR="002F207E">
        <w:instrText xml:space="preserve"> REF _Ref95465296 \h  \* MERGEFORMAT </w:instrText>
      </w:r>
      <w:r w:rsidR="002F207E">
        <w:fldChar w:fldCharType="separate"/>
      </w:r>
      <w:r w:rsidR="00E53BA0">
        <w:t xml:space="preserve">Table </w:t>
      </w:r>
      <w:r w:rsidR="00E53BA0">
        <w:rPr>
          <w:noProof/>
        </w:rPr>
        <w:t>10</w:t>
      </w:r>
      <w:r w:rsidR="002F207E">
        <w:fldChar w:fldCharType="end"/>
      </w:r>
      <w:r w:rsidR="002F207E">
        <w:t xml:space="preserve"> below</w:t>
      </w:r>
      <w:r w:rsidR="002F207E" w:rsidRPr="00CD72FD">
        <w:t>)</w:t>
      </w:r>
    </w:p>
    <w:p w14:paraId="42697865" w14:textId="6CDC7797" w:rsidR="00B1427D" w:rsidRDefault="00C424D7" w:rsidP="00EA43BD">
      <w:pPr>
        <w:pStyle w:val="TableTitle"/>
      </w:pPr>
      <w:bookmarkStart w:id="71" w:name="_Ref95465296"/>
      <w:r>
        <w:lastRenderedPageBreak/>
        <w:t xml:space="preserve">Table </w:t>
      </w:r>
      <w:r w:rsidR="001108B3">
        <w:fldChar w:fldCharType="begin"/>
      </w:r>
      <w:r w:rsidR="001108B3">
        <w:instrText xml:space="preserve"> SEQ Table \* ARABIC </w:instrText>
      </w:r>
      <w:r w:rsidR="001108B3">
        <w:fldChar w:fldCharType="separate"/>
      </w:r>
      <w:r w:rsidR="00E53BA0">
        <w:rPr>
          <w:noProof/>
        </w:rPr>
        <w:t>10</w:t>
      </w:r>
      <w:r w:rsidR="001108B3">
        <w:rPr>
          <w:noProof/>
        </w:rPr>
        <w:fldChar w:fldCharType="end"/>
      </w:r>
      <w:bookmarkEnd w:id="71"/>
      <w:r w:rsidR="00080E5D">
        <w:rPr>
          <w:noProof/>
        </w:rPr>
        <w:t>:</w:t>
      </w:r>
      <w:r w:rsidRPr="00C424D7">
        <w:t xml:space="preserve"> </w:t>
      </w:r>
      <w:r w:rsidR="00080E5D" w:rsidRPr="00080E5D">
        <w:t>Stud</w:t>
      </w:r>
      <w:r w:rsidR="00080E5D">
        <w:t xml:space="preserve">ies </w:t>
      </w:r>
      <w:r w:rsidR="00080E5D" w:rsidRPr="00080E5D">
        <w:t>PT010005, Study PT010007</w:t>
      </w:r>
      <w:r w:rsidR="00080E5D">
        <w:t xml:space="preserve"> and </w:t>
      </w:r>
      <w:r w:rsidR="00080E5D" w:rsidRPr="00080E5D">
        <w:t>PT010008</w:t>
      </w:r>
      <w:r w:rsidRPr="00C424D7">
        <w:t xml:space="preserve"> </w:t>
      </w:r>
      <w:r w:rsidR="004C6F48" w:rsidRPr="004C6F48">
        <w:t>Treatment emergent adverse events</w:t>
      </w:r>
      <w:r w:rsidRPr="00C424D7">
        <w:t xml:space="preserve"> </w:t>
      </w:r>
      <w:r w:rsidR="00382A5C">
        <w:t>o</w:t>
      </w:r>
      <w:r w:rsidRPr="00C424D7">
        <w:t>ccurring in ≥</w:t>
      </w:r>
      <w:r w:rsidR="00590C5B">
        <w:t xml:space="preserve"> </w:t>
      </w:r>
      <w:r w:rsidRPr="00C424D7">
        <w:t xml:space="preserve">2% of </w:t>
      </w:r>
      <w:r w:rsidR="004C6F48">
        <w:t>s</w:t>
      </w:r>
      <w:r w:rsidRPr="00C424D7">
        <w:t xml:space="preserve">ubjects in </w:t>
      </w:r>
      <w:r w:rsidR="004C6F48">
        <w:t>a</w:t>
      </w:r>
      <w:r w:rsidRPr="00C424D7">
        <w:t xml:space="preserve">ny </w:t>
      </w:r>
      <w:r w:rsidR="004C6F48">
        <w:t>t</w:t>
      </w:r>
      <w:r w:rsidRPr="00C424D7">
        <w:t xml:space="preserve">reatment </w:t>
      </w:r>
      <w:r w:rsidR="004C6F48">
        <w:t>g</w:t>
      </w:r>
      <w:r w:rsidRPr="00C424D7">
        <w:t>roup (52</w:t>
      </w:r>
      <w:r w:rsidR="00F8741E">
        <w:t>-w</w:t>
      </w:r>
      <w:r w:rsidRPr="00C424D7">
        <w:t xml:space="preserve">eek </w:t>
      </w:r>
      <w:r w:rsidR="004C6F48">
        <w:t>s</w:t>
      </w:r>
      <w:r w:rsidRPr="00C424D7">
        <w:t xml:space="preserve">afety </w:t>
      </w:r>
      <w:r w:rsidR="004C6F48">
        <w:t>p</w:t>
      </w:r>
      <w:r w:rsidRPr="00C424D7">
        <w:t>opulation)</w:t>
      </w:r>
    </w:p>
    <w:p w14:paraId="3C037724" w14:textId="1380E17B" w:rsidR="00622F41" w:rsidRDefault="00622F41" w:rsidP="00261765">
      <w:r>
        <w:rPr>
          <w:noProof/>
          <w:lang w:val="en-GB" w:eastAsia="en-GB"/>
        </w:rPr>
        <w:drawing>
          <wp:inline distT="0" distB="0" distL="0" distR="0" wp14:anchorId="2B2E1C4E" wp14:editId="06456FF2">
            <wp:extent cx="5392420" cy="6758305"/>
            <wp:effectExtent l="0" t="0" r="0" b="4445"/>
            <wp:docPr id="41" name="Picture 41" descr="Table 10: Studies PT010005, Study PT010007 and PT010008 Treatment emergent adverse events occurring in ≥ 2% of subjects in any treatment group (52-week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 10: Studies PT010005, Study PT010007 and PT010008 Treatment emergent adverse events occurring in ≥ 2% of subjects in any treatment group (52-week safety popul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2420" cy="6758305"/>
                    </a:xfrm>
                    <a:prstGeom prst="rect">
                      <a:avLst/>
                    </a:prstGeom>
                    <a:noFill/>
                    <a:ln>
                      <a:noFill/>
                    </a:ln>
                  </pic:spPr>
                </pic:pic>
              </a:graphicData>
            </a:graphic>
          </wp:inline>
        </w:drawing>
      </w:r>
    </w:p>
    <w:p w14:paraId="05DFE38F" w14:textId="77777777" w:rsidR="00E81E9C" w:rsidRDefault="00E81E9C" w:rsidP="00EA43BD">
      <w:pPr>
        <w:pStyle w:val="TableTitle"/>
      </w:pPr>
      <w:r>
        <w:br w:type="page"/>
      </w:r>
    </w:p>
    <w:p w14:paraId="5256DBA3" w14:textId="3CB51BE8" w:rsidR="00E81E9C" w:rsidRDefault="00E81E9C" w:rsidP="00EA43BD">
      <w:pPr>
        <w:pStyle w:val="TableTitle"/>
      </w:pPr>
      <w:r>
        <w:lastRenderedPageBreak/>
        <w:fldChar w:fldCharType="begin"/>
      </w:r>
      <w:r>
        <w:instrText xml:space="preserve"> REF _Ref95465296 \h </w:instrText>
      </w:r>
      <w:r>
        <w:fldChar w:fldCharType="separate"/>
      </w:r>
      <w:r w:rsidR="00E53BA0">
        <w:t xml:space="preserve">Table </w:t>
      </w:r>
      <w:r w:rsidR="00E53BA0">
        <w:rPr>
          <w:noProof/>
        </w:rPr>
        <w:t>10</w:t>
      </w:r>
      <w:r>
        <w:fldChar w:fldCharType="end"/>
      </w:r>
      <w:r>
        <w:t xml:space="preserve"> continued: </w:t>
      </w:r>
      <w:r w:rsidRPr="00E81E9C">
        <w:t>Studies PT010005, Study PT010007 and PT010008 Treatment emergent adverse events occurring in ≥ 2% of subjects in any treatment group (52</w:t>
      </w:r>
      <w:r w:rsidR="00681C14">
        <w:noBreakHyphen/>
      </w:r>
      <w:r w:rsidRPr="00E81E9C">
        <w:t>week safety population)</w:t>
      </w:r>
    </w:p>
    <w:p w14:paraId="4737405F" w14:textId="514C934F" w:rsidR="00FC11BD" w:rsidRDefault="007E37B1" w:rsidP="00261765">
      <w:r>
        <w:rPr>
          <w:noProof/>
          <w:lang w:val="en-GB" w:eastAsia="en-GB"/>
        </w:rPr>
        <w:drawing>
          <wp:inline distT="0" distB="0" distL="0" distR="0" wp14:anchorId="5E683596" wp14:editId="7FB7A80B">
            <wp:extent cx="5125990" cy="6146358"/>
            <wp:effectExtent l="0" t="0" r="0" b="6985"/>
            <wp:docPr id="39" name="Picture 39" descr="Table 10 continued: Studies PT010005, Study PT010007 and PT010008 Treatment emergent adverse events occurring in ≥ 2% of subjects in any treatment group (52 week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10 continued: Studies PT010005, Study PT010007 and PT010008 Treatment emergent adverse events occurring in ≥ 2% of subjects in any treatment group (52 week safety popul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33569" cy="6155446"/>
                    </a:xfrm>
                    <a:prstGeom prst="rect">
                      <a:avLst/>
                    </a:prstGeom>
                    <a:noFill/>
                    <a:ln>
                      <a:noFill/>
                    </a:ln>
                  </pic:spPr>
                </pic:pic>
              </a:graphicData>
            </a:graphic>
          </wp:inline>
        </w:drawing>
      </w:r>
    </w:p>
    <w:p w14:paraId="1333DD06" w14:textId="24D41270" w:rsidR="004B0E91" w:rsidRDefault="006302C6" w:rsidP="00261765">
      <w:pPr>
        <w:pStyle w:val="TableDescription"/>
      </w:pPr>
      <w:r>
        <w:t>BFF =</w:t>
      </w:r>
      <w:r w:rsidRPr="006302C6">
        <w:t xml:space="preserve"> </w:t>
      </w:r>
      <w:r>
        <w:t>b</w:t>
      </w:r>
      <w:r w:rsidRPr="006302C6">
        <w:t>udesonide / formoterol fumarate</w:t>
      </w:r>
      <w:r w:rsidR="00D94ADB">
        <w:t xml:space="preserve">; </w:t>
      </w:r>
      <w:r w:rsidR="00542987">
        <w:t>BGF = b</w:t>
      </w:r>
      <w:r w:rsidR="00542987" w:rsidRPr="004E03C1">
        <w:t>udesonide</w:t>
      </w:r>
      <w:r w:rsidR="00542987">
        <w:t xml:space="preserve"> / </w:t>
      </w:r>
      <w:r w:rsidR="00542987" w:rsidRPr="004E03C1">
        <w:t xml:space="preserve">glycopyrronium </w:t>
      </w:r>
      <w:r w:rsidR="00542987">
        <w:t xml:space="preserve">/ </w:t>
      </w:r>
      <w:r w:rsidR="00542987" w:rsidRPr="004E03C1">
        <w:t>formoterol fumarate</w:t>
      </w:r>
      <w:r w:rsidR="00D94ADB">
        <w:t xml:space="preserve">; </w:t>
      </w:r>
      <w:r>
        <w:t>GFF = g</w:t>
      </w:r>
      <w:r w:rsidRPr="006302C6">
        <w:t>lycopyrronium / formoterol fumarate</w:t>
      </w:r>
      <w:r w:rsidR="00D94ADB">
        <w:t xml:space="preserve">; </w:t>
      </w:r>
      <w:r w:rsidR="00542987">
        <w:t>MDI = m</w:t>
      </w:r>
      <w:r w:rsidR="00542987" w:rsidRPr="00542987">
        <w:t>etered dose inhaler</w:t>
      </w:r>
      <w:r w:rsidR="00D94ADB">
        <w:t xml:space="preserve">; </w:t>
      </w:r>
      <w:r w:rsidR="00542987" w:rsidRPr="00BF6A1C">
        <w:t>N =</w:t>
      </w:r>
      <w:r w:rsidR="00542987">
        <w:t xml:space="preserve"> population size</w:t>
      </w:r>
      <w:r w:rsidR="00D94ADB">
        <w:t xml:space="preserve">; </w:t>
      </w:r>
      <w:r>
        <w:t xml:space="preserve">n = </w:t>
      </w:r>
      <w:r w:rsidRPr="006302C6">
        <w:t>sample size</w:t>
      </w:r>
      <w:r w:rsidR="00D94ADB">
        <w:t xml:space="preserve">; </w:t>
      </w:r>
      <w:r w:rsidR="004B0E91">
        <w:t>SOC =</w:t>
      </w:r>
      <w:r w:rsidR="00D94ADB" w:rsidRPr="00D94ADB">
        <w:t xml:space="preserve"> System Organ Class</w:t>
      </w:r>
      <w:r w:rsidR="00D94ADB">
        <w:t xml:space="preserve">; </w:t>
      </w:r>
      <w:r>
        <w:t>TBH = t</w:t>
      </w:r>
      <w:r w:rsidRPr="006302C6">
        <w:t>urbuhaler</w:t>
      </w:r>
      <w:r w:rsidR="00D94ADB">
        <w:t xml:space="preserve">; </w:t>
      </w:r>
      <w:r w:rsidR="004B0E91">
        <w:t>TEAE =</w:t>
      </w:r>
      <w:r w:rsidR="00D94ADB" w:rsidRPr="00D94ADB">
        <w:t xml:space="preserve"> </w:t>
      </w:r>
      <w:r w:rsidR="00D94ADB">
        <w:t>t</w:t>
      </w:r>
      <w:r w:rsidR="00D94ADB" w:rsidRPr="00D94ADB">
        <w:t>reatment emergent adverse event</w:t>
      </w:r>
      <w:r w:rsidR="00D94ADB">
        <w:t>.</w:t>
      </w:r>
    </w:p>
    <w:p w14:paraId="270A9547" w14:textId="79C43C5C" w:rsidR="00887592" w:rsidRPr="00E536B8" w:rsidRDefault="00887592" w:rsidP="00261765">
      <w:pPr>
        <w:pStyle w:val="TableDescription"/>
      </w:pPr>
      <w:r w:rsidRPr="00E536B8">
        <w:t>The 52</w:t>
      </w:r>
      <w:r w:rsidR="00F8741E">
        <w:t>-w</w:t>
      </w:r>
      <w:r w:rsidRPr="00E536B8">
        <w:t>eek safety population included data through 52 weeks from Study PT010005, Study</w:t>
      </w:r>
      <w:r w:rsidR="00F8741E">
        <w:t> </w:t>
      </w:r>
      <w:r w:rsidRPr="00E536B8">
        <w:t>PT010007 (including applicable 24</w:t>
      </w:r>
      <w:r w:rsidR="00F8741E">
        <w:t>-</w:t>
      </w:r>
      <w:r w:rsidRPr="00E536B8">
        <w:t>week data from Study PT010006), and Study PT010008 (including applicable 24</w:t>
      </w:r>
      <w:r w:rsidR="00F8741E">
        <w:t>-</w:t>
      </w:r>
      <w:r w:rsidRPr="00E536B8">
        <w:t>week data from Study PT010006).</w:t>
      </w:r>
    </w:p>
    <w:p w14:paraId="10D666AD" w14:textId="2B0F8427" w:rsidR="00887592" w:rsidRPr="00E536B8" w:rsidRDefault="00887592" w:rsidP="00261765">
      <w:pPr>
        <w:pStyle w:val="TableDescription"/>
      </w:pPr>
      <w:r w:rsidRPr="00E536B8">
        <w:t xml:space="preserve">Adverse events </w:t>
      </w:r>
      <w:r w:rsidR="00E92784">
        <w:t xml:space="preserve">(AEs) </w:t>
      </w:r>
      <w:r w:rsidRPr="00E536B8">
        <w:t>are presented by those occurring in ≥</w:t>
      </w:r>
      <w:r w:rsidR="00E2561C" w:rsidRPr="00E536B8">
        <w:t> </w:t>
      </w:r>
      <w:r w:rsidRPr="00E536B8">
        <w:t>2% of subjects in a</w:t>
      </w:r>
      <w:r w:rsidR="00E2561C" w:rsidRPr="00E536B8">
        <w:t>n</w:t>
      </w:r>
      <w:r w:rsidRPr="00E536B8">
        <w:t xml:space="preserve">y treatment group by </w:t>
      </w:r>
      <w:r w:rsidR="00F8741E">
        <w:t>P</w:t>
      </w:r>
      <w:r w:rsidRPr="00E536B8">
        <w:t xml:space="preserve">referred </w:t>
      </w:r>
      <w:r w:rsidR="00F8741E">
        <w:t>T</w:t>
      </w:r>
      <w:r w:rsidRPr="00E536B8">
        <w:t>e</w:t>
      </w:r>
      <w:r w:rsidR="00E2561C" w:rsidRPr="00E536B8">
        <w:t>rm</w:t>
      </w:r>
      <w:r w:rsidRPr="00E536B8">
        <w:t xml:space="preserve">, and the table is sorted by descending </w:t>
      </w:r>
      <w:r w:rsidR="00E2561C" w:rsidRPr="00E536B8">
        <w:t>m system organ class (</w:t>
      </w:r>
      <w:r w:rsidRPr="00E536B8">
        <w:t>SOC</w:t>
      </w:r>
      <w:r w:rsidR="00E2561C" w:rsidRPr="00E536B8">
        <w:t xml:space="preserve">) </w:t>
      </w:r>
      <w:r w:rsidRPr="00E536B8">
        <w:t xml:space="preserve">frequency across </w:t>
      </w:r>
      <w:r w:rsidR="00E2561C" w:rsidRPr="00E536B8">
        <w:t>a</w:t>
      </w:r>
      <w:r w:rsidRPr="00E536B8">
        <w:t xml:space="preserve">ll </w:t>
      </w:r>
      <w:r w:rsidR="00E2561C" w:rsidRPr="00E536B8">
        <w:t>s</w:t>
      </w:r>
      <w:r w:rsidRPr="00E536B8">
        <w:t>ubjects.</w:t>
      </w:r>
    </w:p>
    <w:p w14:paraId="75F0BBF5" w14:textId="4F4EC269" w:rsidR="00887592" w:rsidRPr="00E536B8" w:rsidRDefault="00887592">
      <w:pPr>
        <w:pStyle w:val="TableDescription"/>
      </w:pPr>
      <w:r w:rsidRPr="00E536B8">
        <w:t>In Stud</w:t>
      </w:r>
      <w:r w:rsidR="00E92784">
        <w:t>ies</w:t>
      </w:r>
      <w:r w:rsidRPr="00E536B8">
        <w:t xml:space="preserve"> PT</w:t>
      </w:r>
      <w:r w:rsidR="00080E5D">
        <w:t>01</w:t>
      </w:r>
      <w:r w:rsidRPr="00E536B8">
        <w:t>0005, PT</w:t>
      </w:r>
      <w:r w:rsidR="00080E5D">
        <w:t>01</w:t>
      </w:r>
      <w:r w:rsidRPr="00E536B8">
        <w:t>0007, and PT</w:t>
      </w:r>
      <w:r w:rsidR="00080E5D">
        <w:t>01</w:t>
      </w:r>
      <w:r w:rsidRPr="00E536B8">
        <w:t xml:space="preserve">0008, TEAEs of </w:t>
      </w:r>
      <w:r w:rsidR="00E92784" w:rsidRPr="00E92784">
        <w:t xml:space="preserve">chronic obstructive pulmonary disease </w:t>
      </w:r>
      <w:r w:rsidR="00E92784">
        <w:t>(</w:t>
      </w:r>
      <w:r w:rsidRPr="00E536B8">
        <w:t>COPD</w:t>
      </w:r>
      <w:r w:rsidR="00E92784">
        <w:t>)</w:t>
      </w:r>
      <w:r w:rsidRPr="00E536B8">
        <w:t xml:space="preserve"> were expected </w:t>
      </w:r>
      <w:r w:rsidR="00B610F5" w:rsidRPr="00E536B8">
        <w:t>and</w:t>
      </w:r>
      <w:r w:rsidRPr="00E536B8">
        <w:t xml:space="preserve"> thus were not to be captured as AEs</w:t>
      </w:r>
      <w:r w:rsidRPr="002552DB">
        <w:t xml:space="preserve"> </w:t>
      </w:r>
      <w:r w:rsidRPr="00E536B8">
        <w:t>unless they met the</w:t>
      </w:r>
      <w:r w:rsidR="00531869" w:rsidRPr="00E536B8">
        <w:t xml:space="preserve"> </w:t>
      </w:r>
      <w:r w:rsidR="00B610F5" w:rsidRPr="00E536B8">
        <w:t>definition</w:t>
      </w:r>
      <w:r w:rsidRPr="00E536B8">
        <w:t xml:space="preserve"> of </w:t>
      </w:r>
      <w:r w:rsidR="00D427D9" w:rsidRPr="00E536B8">
        <w:t>serious adverse events (</w:t>
      </w:r>
      <w:r w:rsidRPr="00E536B8">
        <w:t>SAE</w:t>
      </w:r>
      <w:r w:rsidR="00D427D9" w:rsidRPr="00E536B8">
        <w:t>)</w:t>
      </w:r>
      <w:r w:rsidR="00531869" w:rsidRPr="00E536B8">
        <w:t>.</w:t>
      </w:r>
    </w:p>
    <w:p w14:paraId="72AFCB14" w14:textId="67C6AFFF" w:rsidR="00E0791C" w:rsidRDefault="00CD72FD" w:rsidP="00CD72FD">
      <w:r w:rsidRPr="00CD72FD">
        <w:lastRenderedPageBreak/>
        <w:t>For the TEAEs known to be associated with ICS</w:t>
      </w:r>
      <w:r w:rsidR="00407F30">
        <w:t xml:space="preserve"> </w:t>
      </w:r>
      <w:r w:rsidRPr="00CD72FD">
        <w:t xml:space="preserve">containing treatments, the AE rates of oral candidiasis and dysphonia were highest in </w:t>
      </w:r>
      <w:r w:rsidR="00D14530" w:rsidRPr="007D7134">
        <w:t xml:space="preserve">the </w:t>
      </w:r>
      <w:r w:rsidR="00072973">
        <w:t>BGF MDI (320/14.4/9.6 µg)</w:t>
      </w:r>
      <w:r w:rsidRPr="00CD72FD">
        <w:t xml:space="preserve">, </w:t>
      </w:r>
      <w:r w:rsidR="00D14530" w:rsidRPr="007D7134">
        <w:t xml:space="preserve">the </w:t>
      </w:r>
      <w:r w:rsidR="00BC3934">
        <w:t xml:space="preserve">BGF </w:t>
      </w:r>
      <w:r w:rsidR="00864779">
        <w:t>MDI (</w:t>
      </w:r>
      <w:r w:rsidR="00BC3934">
        <w:t>160/14.4/9.6 µg</w:t>
      </w:r>
      <w:r w:rsidR="00864779">
        <w:t>)</w:t>
      </w:r>
      <w:r w:rsidRPr="00CD72FD">
        <w:t>, and BFF MDI treatment groups (44.0, 28.6, and 40.1 events per 1000</w:t>
      </w:r>
      <w:r w:rsidR="002F207E">
        <w:t> </w:t>
      </w:r>
      <w:r w:rsidRPr="00CD72FD">
        <w:t>person</w:t>
      </w:r>
      <w:r w:rsidR="002F207E">
        <w:t xml:space="preserve"> </w:t>
      </w:r>
      <w:r w:rsidRPr="00CD72FD">
        <w:t>years, respectively, and 24.8, 14.3, and 23.4 events per 1000 person</w:t>
      </w:r>
      <w:r w:rsidR="002F207E">
        <w:t xml:space="preserve"> </w:t>
      </w:r>
      <w:r w:rsidRPr="00CD72FD">
        <w:t>years,</w:t>
      </w:r>
      <w:r w:rsidRPr="00CD72FD">
        <w:rPr>
          <w:rFonts w:eastAsiaTheme="minorHAnsi" w:cs="Cambria"/>
          <w:color w:val="000000"/>
        </w:rPr>
        <w:t xml:space="preserve"> </w:t>
      </w:r>
      <w:r w:rsidRPr="00CD72FD">
        <w:t>respectively) and lowest in the non-ICS containing GFF MDI treatment group (14.7 and 4.9</w:t>
      </w:r>
      <w:r w:rsidR="00681C14">
        <w:t> </w:t>
      </w:r>
      <w:r w:rsidRPr="00CD72FD">
        <w:t>events per 1000 person</w:t>
      </w:r>
      <w:r w:rsidR="002F207E">
        <w:t xml:space="preserve"> </w:t>
      </w:r>
      <w:r w:rsidRPr="00CD72FD">
        <w:t>years, respectively)</w:t>
      </w:r>
      <w:r w:rsidR="00E0791C">
        <w:t>.</w:t>
      </w:r>
    </w:p>
    <w:p w14:paraId="0314BFC8" w14:textId="5338B3EC" w:rsidR="00CD72FD" w:rsidRPr="00CD72FD" w:rsidRDefault="00CD72FD" w:rsidP="002552DB">
      <w:pPr>
        <w:pStyle w:val="Heading5"/>
      </w:pPr>
      <w:r w:rsidRPr="00CD72FD">
        <w:t>Treatment related adverse event (adverse drug reaction)</w:t>
      </w:r>
    </w:p>
    <w:p w14:paraId="3B6178ED" w14:textId="7E9CA667" w:rsidR="00F13552" w:rsidRDefault="00CD72FD" w:rsidP="002552DB">
      <w:pPr>
        <w:pStyle w:val="Heading6"/>
      </w:pPr>
      <w:r w:rsidRPr="00CD72FD">
        <w:t>24</w:t>
      </w:r>
      <w:r w:rsidR="002F207E">
        <w:t>-w</w:t>
      </w:r>
      <w:r w:rsidRPr="00CD72FD">
        <w:t xml:space="preserve">eek </w:t>
      </w:r>
      <w:r w:rsidR="00072FE5">
        <w:t>s</w:t>
      </w:r>
      <w:r w:rsidRPr="00CD72FD">
        <w:t xml:space="preserve">afety </w:t>
      </w:r>
      <w:r w:rsidR="00072FE5">
        <w:t>p</w:t>
      </w:r>
      <w:r w:rsidRPr="00CD72FD">
        <w:t>opulation</w:t>
      </w:r>
    </w:p>
    <w:p w14:paraId="4E0E0444" w14:textId="0E61BD03" w:rsidR="00CD72FD" w:rsidRDefault="00DB1EB2" w:rsidP="00CD72FD">
      <w:r>
        <w:t xml:space="preserve">There were </w:t>
      </w:r>
      <w:r w:rsidR="00CD72FD" w:rsidRPr="00CD72FD">
        <w:t>911 subjects (8.7%) reported TEAEs considered drug</w:t>
      </w:r>
      <w:r>
        <w:t xml:space="preserve"> </w:t>
      </w:r>
      <w:r w:rsidR="00CD72FD" w:rsidRPr="00CD72FD">
        <w:t xml:space="preserve">related by the </w:t>
      </w:r>
      <w:r>
        <w:t>i</w:t>
      </w:r>
      <w:r w:rsidR="00CD72FD" w:rsidRPr="00CD72FD">
        <w:t xml:space="preserve">nvestigator with the incidence highest in </w:t>
      </w:r>
      <w:r w:rsidR="00F41643" w:rsidRPr="007D7134">
        <w:t xml:space="preserve">the </w:t>
      </w:r>
      <w:r w:rsidR="00072973">
        <w:t>BGF MDI (320/14.4/9.6 µg)</w:t>
      </w:r>
      <w:r w:rsidR="00CD72FD" w:rsidRPr="00CD72FD">
        <w:t xml:space="preserve"> group (10.0%) and lowest in the </w:t>
      </w:r>
      <w:r w:rsidR="00BC3934">
        <w:t>BGF MDI</w:t>
      </w:r>
      <w:r w:rsidR="00CD72FD" w:rsidRPr="00CD72FD">
        <w:t xml:space="preserve"> </w:t>
      </w:r>
      <w:r w:rsidR="00864779">
        <w:t xml:space="preserve">(160/14.4/9.6 µg) </w:t>
      </w:r>
      <w:r w:rsidR="00CD72FD" w:rsidRPr="00CD72FD">
        <w:t>group (7.3%)</w:t>
      </w:r>
      <w:r>
        <w:t xml:space="preserve"> </w:t>
      </w:r>
      <w:r w:rsidR="002F207E" w:rsidRPr="00CD72FD">
        <w:t>(</w:t>
      </w:r>
      <w:r>
        <w:t xml:space="preserve">see </w:t>
      </w:r>
      <w:r w:rsidR="002F207E">
        <w:fldChar w:fldCharType="begin"/>
      </w:r>
      <w:r w:rsidR="002F207E">
        <w:instrText xml:space="preserve"> REF _Ref95465914 \h  \* MERGEFORMAT </w:instrText>
      </w:r>
      <w:r w:rsidR="002F207E">
        <w:fldChar w:fldCharType="separate"/>
      </w:r>
      <w:r w:rsidR="00E53BA0">
        <w:t xml:space="preserve">Table </w:t>
      </w:r>
      <w:r w:rsidR="00E53BA0">
        <w:rPr>
          <w:noProof/>
        </w:rPr>
        <w:t>11</w:t>
      </w:r>
      <w:r w:rsidR="002F207E">
        <w:fldChar w:fldCharType="end"/>
      </w:r>
      <w:r>
        <w:t xml:space="preserve"> below</w:t>
      </w:r>
      <w:r w:rsidR="002F207E" w:rsidRPr="00CD72FD">
        <w:t>)</w:t>
      </w:r>
    </w:p>
    <w:p w14:paraId="60257A03" w14:textId="67C9A21B" w:rsidR="00072FE5" w:rsidRDefault="00072FE5" w:rsidP="00072FE5">
      <w:pPr>
        <w:pStyle w:val="TableTitle"/>
      </w:pPr>
      <w:bookmarkStart w:id="72" w:name="_Ref95465914"/>
      <w:r>
        <w:t xml:space="preserve">Table </w:t>
      </w:r>
      <w:r w:rsidR="001108B3">
        <w:fldChar w:fldCharType="begin"/>
      </w:r>
      <w:r w:rsidR="001108B3">
        <w:instrText xml:space="preserve"> SEQ Table \* ARABIC </w:instrText>
      </w:r>
      <w:r w:rsidR="001108B3">
        <w:fldChar w:fldCharType="separate"/>
      </w:r>
      <w:r w:rsidR="00E53BA0">
        <w:rPr>
          <w:noProof/>
        </w:rPr>
        <w:t>11</w:t>
      </w:r>
      <w:r w:rsidR="001108B3">
        <w:rPr>
          <w:noProof/>
        </w:rPr>
        <w:fldChar w:fldCharType="end"/>
      </w:r>
      <w:bookmarkEnd w:id="72"/>
      <w:r w:rsidR="00080E5D">
        <w:rPr>
          <w:noProof/>
        </w:rPr>
        <w:t>:</w:t>
      </w:r>
      <w:r>
        <w:t xml:space="preserve"> </w:t>
      </w:r>
      <w:r w:rsidR="00080E5D" w:rsidRPr="00080E5D">
        <w:t>Stud</w:t>
      </w:r>
      <w:r w:rsidR="00080E5D">
        <w:t>ies</w:t>
      </w:r>
      <w:r w:rsidR="00080E5D" w:rsidRPr="00080E5D">
        <w:t xml:space="preserve"> PT010005 and PT010006</w:t>
      </w:r>
      <w:r>
        <w:t xml:space="preserve"> </w:t>
      </w:r>
      <w:r w:rsidRPr="004C6F48">
        <w:t>Treatment emergent adverse events</w:t>
      </w:r>
      <w:r w:rsidRPr="00C424D7">
        <w:t xml:space="preserve"> </w:t>
      </w:r>
      <w:r w:rsidR="00C1199B">
        <w:t>s</w:t>
      </w:r>
      <w:r>
        <w:t xml:space="preserve">uspected to be </w:t>
      </w:r>
      <w:r w:rsidR="00C1199B">
        <w:t>d</w:t>
      </w:r>
      <w:r>
        <w:t>rug</w:t>
      </w:r>
      <w:r w:rsidR="00080E5D">
        <w:t xml:space="preserve"> </w:t>
      </w:r>
      <w:r w:rsidR="00C1199B">
        <w:t>r</w:t>
      </w:r>
      <w:r>
        <w:t xml:space="preserve">elated </w:t>
      </w:r>
      <w:r w:rsidR="00C1199B">
        <w:t>o</w:t>
      </w:r>
      <w:r>
        <w:t>ccurring in</w:t>
      </w:r>
      <w:r w:rsidR="00C1199B">
        <w:t xml:space="preserve"> </w:t>
      </w:r>
      <w:r>
        <w:t>≥</w:t>
      </w:r>
      <w:r w:rsidR="00C1199B">
        <w:t> </w:t>
      </w:r>
      <w:r>
        <w:t xml:space="preserve">0.5% of </w:t>
      </w:r>
      <w:r w:rsidR="00C1199B">
        <w:t>s</w:t>
      </w:r>
      <w:r>
        <w:t xml:space="preserve">ubjects in </w:t>
      </w:r>
      <w:r w:rsidR="00C1199B">
        <w:t>a</w:t>
      </w:r>
      <w:r>
        <w:t xml:space="preserve">ny </w:t>
      </w:r>
      <w:r w:rsidR="00C1199B">
        <w:t>t</w:t>
      </w:r>
      <w:r>
        <w:t xml:space="preserve">reatment </w:t>
      </w:r>
      <w:r w:rsidR="00C1199B">
        <w:t>g</w:t>
      </w:r>
      <w:r>
        <w:t>roup (24</w:t>
      </w:r>
      <w:r w:rsidR="00F8741E">
        <w:noBreakHyphen/>
      </w:r>
      <w:r w:rsidR="00382A5C">
        <w:t>w</w:t>
      </w:r>
      <w:r>
        <w:t xml:space="preserve">eek </w:t>
      </w:r>
      <w:r w:rsidR="00C1199B">
        <w:t>s</w:t>
      </w:r>
      <w:r>
        <w:t xml:space="preserve">afety </w:t>
      </w:r>
      <w:r w:rsidR="00C1199B">
        <w:t>p</w:t>
      </w:r>
      <w:r>
        <w:t>opulation)</w:t>
      </w:r>
    </w:p>
    <w:p w14:paraId="2517C391" w14:textId="4E8DD68E" w:rsidR="00C1199B" w:rsidRDefault="00D76855" w:rsidP="00261765">
      <w:r>
        <w:rPr>
          <w:noProof/>
          <w:lang w:val="en-GB" w:eastAsia="en-GB"/>
        </w:rPr>
        <w:drawing>
          <wp:inline distT="0" distB="0" distL="0" distR="0" wp14:anchorId="326CE6EB" wp14:editId="74205114">
            <wp:extent cx="5400040" cy="2419985"/>
            <wp:effectExtent l="0" t="0" r="0" b="0"/>
            <wp:docPr id="27" name="Picture 27" descr="Table 11: Studies PT010005 and PT010006 Treatment emergent adverse events suspected to be drug related occurring in ≥ 0.5% of subjects in any treatment group (24 week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11: Studies PT010005 and PT010006 Treatment emergent adverse events suspected to be drug related occurring in ≥ 0.5% of subjects in any treatment group (24 week safety population)"/>
                    <pic:cNvPicPr/>
                  </pic:nvPicPr>
                  <pic:blipFill>
                    <a:blip r:embed="rId37">
                      <a:extLst>
                        <a:ext uri="{28A0092B-C50C-407E-A947-70E740481C1C}">
                          <a14:useLocalDpi xmlns:a14="http://schemas.microsoft.com/office/drawing/2010/main" val="0"/>
                        </a:ext>
                      </a:extLst>
                    </a:blip>
                    <a:stretch>
                      <a:fillRect/>
                    </a:stretch>
                  </pic:blipFill>
                  <pic:spPr>
                    <a:xfrm>
                      <a:off x="0" y="0"/>
                      <a:ext cx="5400040" cy="2419985"/>
                    </a:xfrm>
                    <a:prstGeom prst="rect">
                      <a:avLst/>
                    </a:prstGeom>
                  </pic:spPr>
                </pic:pic>
              </a:graphicData>
            </a:graphic>
          </wp:inline>
        </w:drawing>
      </w:r>
    </w:p>
    <w:p w14:paraId="63784782" w14:textId="6F947978" w:rsidR="004B0E91" w:rsidRDefault="006302C6" w:rsidP="00261765">
      <w:pPr>
        <w:pStyle w:val="TableDescription"/>
      </w:pPr>
      <w:r>
        <w:t>BFF =</w:t>
      </w:r>
      <w:r w:rsidRPr="006302C6">
        <w:t xml:space="preserve"> </w:t>
      </w:r>
      <w:r>
        <w:t>b</w:t>
      </w:r>
      <w:r w:rsidRPr="006302C6">
        <w:t>udesonide / formoterol fumarate</w:t>
      </w:r>
      <w:r w:rsidR="00D94ADB">
        <w:t xml:space="preserve">; </w:t>
      </w:r>
      <w:r w:rsidR="00542987">
        <w:t>BGF = b</w:t>
      </w:r>
      <w:r w:rsidR="00542987" w:rsidRPr="004E03C1">
        <w:t>udesonide</w:t>
      </w:r>
      <w:r w:rsidR="00542987">
        <w:t xml:space="preserve"> / </w:t>
      </w:r>
      <w:r w:rsidR="00542987" w:rsidRPr="004E03C1">
        <w:t xml:space="preserve">glycopyrronium </w:t>
      </w:r>
      <w:r w:rsidR="00542987">
        <w:t xml:space="preserve">/ </w:t>
      </w:r>
      <w:r w:rsidR="00542987" w:rsidRPr="004E03C1">
        <w:t>formoterol fumarate</w:t>
      </w:r>
      <w:r w:rsidR="00D94ADB">
        <w:t xml:space="preserve">; </w:t>
      </w:r>
      <w:r>
        <w:t>GFF = g</w:t>
      </w:r>
      <w:r w:rsidRPr="006302C6">
        <w:t>lycopyrronium / formoterol fumarate</w:t>
      </w:r>
      <w:r w:rsidR="00D94ADB">
        <w:t xml:space="preserve">; </w:t>
      </w:r>
      <w:r w:rsidR="00542987">
        <w:t>MDI = m</w:t>
      </w:r>
      <w:r w:rsidR="00542987" w:rsidRPr="00542987">
        <w:t>etered dose inhaler</w:t>
      </w:r>
      <w:r w:rsidR="00D94ADB">
        <w:t xml:space="preserve">; </w:t>
      </w:r>
      <w:r w:rsidR="00542987" w:rsidRPr="00BF6A1C">
        <w:t>N =</w:t>
      </w:r>
      <w:r w:rsidR="00542987">
        <w:t xml:space="preserve"> population size</w:t>
      </w:r>
      <w:r w:rsidR="00D94ADB">
        <w:t xml:space="preserve">; </w:t>
      </w:r>
      <w:r>
        <w:t xml:space="preserve">n = </w:t>
      </w:r>
      <w:r w:rsidRPr="006302C6">
        <w:t>sample size</w:t>
      </w:r>
      <w:r w:rsidR="00D94ADB">
        <w:t xml:space="preserve">; </w:t>
      </w:r>
      <w:r>
        <w:t>TBH = t</w:t>
      </w:r>
      <w:r w:rsidRPr="006302C6">
        <w:t>urbuhaler</w:t>
      </w:r>
      <w:r w:rsidR="00D94ADB">
        <w:t xml:space="preserve">; </w:t>
      </w:r>
      <w:r w:rsidR="004B0E91">
        <w:t>TEAE =</w:t>
      </w:r>
      <w:r w:rsidR="00D94ADB" w:rsidRPr="00D94ADB">
        <w:t xml:space="preserve"> </w:t>
      </w:r>
      <w:r w:rsidR="00D94ADB">
        <w:t>t</w:t>
      </w:r>
      <w:r w:rsidR="00D94ADB" w:rsidRPr="00D94ADB">
        <w:t>reatment emergent adverse event</w:t>
      </w:r>
      <w:r w:rsidR="00D94ADB">
        <w:t>.</w:t>
      </w:r>
    </w:p>
    <w:p w14:paraId="1F730D4C" w14:textId="09A97F52" w:rsidR="00E675EA" w:rsidRPr="00E536B8" w:rsidRDefault="00E675EA" w:rsidP="00261765">
      <w:pPr>
        <w:pStyle w:val="TableDescription"/>
      </w:pPr>
      <w:r w:rsidRPr="00E536B8">
        <w:t>The 24</w:t>
      </w:r>
      <w:r w:rsidR="00F8741E">
        <w:t>-w</w:t>
      </w:r>
      <w:r w:rsidRPr="00E536B8">
        <w:t>eek safety population included data through 24 weeks from Study PT010005 and Study</w:t>
      </w:r>
      <w:r w:rsidR="00F8741E">
        <w:t> </w:t>
      </w:r>
      <w:r w:rsidRPr="00E536B8">
        <w:t>PT010006.</w:t>
      </w:r>
    </w:p>
    <w:p w14:paraId="7E241217" w14:textId="46860FEE" w:rsidR="00072FE5" w:rsidRPr="00E536B8" w:rsidRDefault="00E675EA" w:rsidP="00261765">
      <w:pPr>
        <w:pStyle w:val="TableDescription"/>
      </w:pPr>
      <w:r w:rsidRPr="00E536B8">
        <w:t>Suspected to be drug</w:t>
      </w:r>
      <w:r w:rsidR="00080E5D">
        <w:t xml:space="preserve"> </w:t>
      </w:r>
      <w:r w:rsidRPr="00E536B8">
        <w:t>related</w:t>
      </w:r>
      <w:r w:rsidR="00E92784">
        <w:t xml:space="preserve"> </w:t>
      </w:r>
      <w:r w:rsidRPr="00E536B8">
        <w:t>=</w:t>
      </w:r>
      <w:r w:rsidR="00E92784">
        <w:t xml:space="preserve"> </w:t>
      </w:r>
      <w:r w:rsidRPr="00E536B8">
        <w:t>possibly</w:t>
      </w:r>
      <w:r w:rsidR="0013545F" w:rsidRPr="00E536B8">
        <w:t>,</w:t>
      </w:r>
      <w:r w:rsidRPr="00E536B8">
        <w:t xml:space="preserve"> probably</w:t>
      </w:r>
      <w:r w:rsidR="0013545F" w:rsidRPr="00E536B8">
        <w:t>,</w:t>
      </w:r>
      <w:r w:rsidRPr="00E536B8">
        <w:t xml:space="preserve"> or </w:t>
      </w:r>
      <w:proofErr w:type="gramStart"/>
      <w:r w:rsidRPr="00E536B8">
        <w:t>definitely per</w:t>
      </w:r>
      <w:proofErr w:type="gramEnd"/>
      <w:r w:rsidRPr="00E536B8">
        <w:t xml:space="preserve"> the </w:t>
      </w:r>
      <w:r w:rsidR="0013545F" w:rsidRPr="00E536B8">
        <w:t>i</w:t>
      </w:r>
      <w:r w:rsidRPr="00E536B8">
        <w:t>nvestigator.</w:t>
      </w:r>
    </w:p>
    <w:p w14:paraId="75A20AEC" w14:textId="30ED4A2C" w:rsidR="0013545F" w:rsidRPr="00F8741E" w:rsidRDefault="0013545F" w:rsidP="00261765">
      <w:pPr>
        <w:pStyle w:val="TableDescription"/>
      </w:pPr>
      <w:r w:rsidRPr="006302C6">
        <w:t xml:space="preserve">Adverse events are presented by those occurring in </w:t>
      </w:r>
      <w:r w:rsidR="007E0697" w:rsidRPr="006302C6">
        <w:t>≤ </w:t>
      </w:r>
      <w:r w:rsidRPr="006302C6">
        <w:t xml:space="preserve">0.5% of subjects in any treatment group by </w:t>
      </w:r>
      <w:r w:rsidR="00F8741E">
        <w:t>P</w:t>
      </w:r>
      <w:r w:rsidRPr="006302C6">
        <w:t>refe</w:t>
      </w:r>
      <w:r w:rsidR="007E0697" w:rsidRPr="006302C6">
        <w:t>r</w:t>
      </w:r>
      <w:r w:rsidRPr="006302C6">
        <w:t xml:space="preserve">red </w:t>
      </w:r>
      <w:r w:rsidR="00F8741E">
        <w:t>T</w:t>
      </w:r>
      <w:r w:rsidRPr="006302C6">
        <w:t>e</w:t>
      </w:r>
      <w:r w:rsidR="007E0697" w:rsidRPr="006302C6">
        <w:t>rm</w:t>
      </w:r>
      <w:r w:rsidR="00E92784">
        <w:t xml:space="preserve"> (PT)</w:t>
      </w:r>
      <w:r w:rsidRPr="006302C6">
        <w:t xml:space="preserve">. and the table </w:t>
      </w:r>
      <w:r w:rsidRPr="002552DB">
        <w:t xml:space="preserve">is </w:t>
      </w:r>
      <w:r w:rsidR="007E0697" w:rsidRPr="006302C6">
        <w:t>sorted</w:t>
      </w:r>
      <w:r w:rsidRPr="006302C6">
        <w:t xml:space="preserve"> by descending </w:t>
      </w:r>
      <w:r w:rsidR="00F8741E">
        <w:t>PT</w:t>
      </w:r>
      <w:r w:rsidR="00E92784">
        <w:t xml:space="preserve"> </w:t>
      </w:r>
      <w:r w:rsidRPr="006302C6">
        <w:t>freque</w:t>
      </w:r>
      <w:r w:rsidRPr="002A146E">
        <w:t xml:space="preserve">ncy across </w:t>
      </w:r>
      <w:r w:rsidR="007E0697" w:rsidRPr="00940740">
        <w:t>a</w:t>
      </w:r>
      <w:r w:rsidRPr="00F8741E">
        <w:t xml:space="preserve">ll </w:t>
      </w:r>
      <w:r w:rsidR="007E0697" w:rsidRPr="00F8741E">
        <w:t>s</w:t>
      </w:r>
      <w:r w:rsidRPr="00F8741E">
        <w:t>ubjects</w:t>
      </w:r>
      <w:r w:rsidR="007E0697" w:rsidRPr="00F8741E">
        <w:t>.</w:t>
      </w:r>
    </w:p>
    <w:p w14:paraId="7DA1403A" w14:textId="7B34F495" w:rsidR="00E0791C" w:rsidRDefault="00CD72FD" w:rsidP="00CD72FD">
      <w:r w:rsidRPr="00CD72FD">
        <w:t xml:space="preserve">By </w:t>
      </w:r>
      <w:r w:rsidR="00DB1EB2">
        <w:t>Preferred Term</w:t>
      </w:r>
      <w:r w:rsidRPr="00CD72FD">
        <w:t xml:space="preserve">, the most frequent </w:t>
      </w:r>
      <w:r w:rsidR="00DB1EB2" w:rsidRPr="00DB1EB2">
        <w:t xml:space="preserve">adverse drug reactions </w:t>
      </w:r>
      <w:r w:rsidR="00DB1EB2">
        <w:t>(</w:t>
      </w:r>
      <w:r w:rsidRPr="00CD72FD">
        <w:t>ADRs</w:t>
      </w:r>
      <w:r w:rsidR="00DB1EB2">
        <w:t>)</w:t>
      </w:r>
      <w:r w:rsidRPr="00CD72FD">
        <w:t xml:space="preserve"> were oral candidiasis (1.0%), dysphonia (0.9%), and dyspnoea (0.6%). The ADR incidence was generally similar across the treatment groups, </w:t>
      </w:r>
      <w:proofErr w:type="gramStart"/>
      <w:r w:rsidRPr="00CD72FD">
        <w:t>with the exception of</w:t>
      </w:r>
      <w:proofErr w:type="gramEnd"/>
      <w:r w:rsidRPr="00CD72FD">
        <w:t xml:space="preserve"> oral candidiasis and dysphonia, which were most frequent in the </w:t>
      </w:r>
      <w:r w:rsidR="00072973">
        <w:t>BGF MDI (320/14.4/9.6 µg)</w:t>
      </w:r>
      <w:r w:rsidR="008A1AF5" w:rsidRPr="00CD72FD">
        <w:t xml:space="preserve"> </w:t>
      </w:r>
      <w:r w:rsidRPr="00CD72FD">
        <w:t>group (1.4% and 1.5%, respectively) and least frequent in the GFF MDI group (0.5% and 0.3%, respectively)</w:t>
      </w:r>
      <w:r w:rsidR="00E0791C">
        <w:t>.</w:t>
      </w:r>
    </w:p>
    <w:p w14:paraId="6F28FB9C" w14:textId="7EA92827" w:rsidR="00F13552" w:rsidRDefault="00CD72FD" w:rsidP="002552DB">
      <w:pPr>
        <w:pStyle w:val="Heading6"/>
      </w:pPr>
      <w:r w:rsidRPr="00CD72FD">
        <w:t>52</w:t>
      </w:r>
      <w:r w:rsidR="00DB1EB2">
        <w:t>-w</w:t>
      </w:r>
      <w:r w:rsidRPr="00CD72FD">
        <w:t xml:space="preserve">eek </w:t>
      </w:r>
      <w:r w:rsidR="008A1AF5">
        <w:t>s</w:t>
      </w:r>
      <w:r w:rsidRPr="00CD72FD">
        <w:t xml:space="preserve">afety </w:t>
      </w:r>
      <w:r w:rsidR="008A1AF5">
        <w:t>p</w:t>
      </w:r>
      <w:r w:rsidRPr="00CD72FD">
        <w:t>opulation</w:t>
      </w:r>
    </w:p>
    <w:p w14:paraId="7E86A56C" w14:textId="356F5D65" w:rsidR="00CD72FD" w:rsidRDefault="00DB1EB2" w:rsidP="00CD72FD">
      <w:r>
        <w:t xml:space="preserve">There were </w:t>
      </w:r>
      <w:r w:rsidR="00CD72FD" w:rsidRPr="00CD72FD">
        <w:t>949 subjects (10.1%) reported TEAEs considered drug</w:t>
      </w:r>
      <w:r w:rsidR="0016788A">
        <w:t xml:space="preserve"> </w:t>
      </w:r>
      <w:r w:rsidR="00CD72FD" w:rsidRPr="00CD72FD">
        <w:t xml:space="preserve">related by the </w:t>
      </w:r>
      <w:r w:rsidR="0016788A">
        <w:t>i</w:t>
      </w:r>
      <w:r w:rsidR="00CD72FD" w:rsidRPr="00CD72FD">
        <w:t xml:space="preserve">nvestigator with the incidence highest in </w:t>
      </w:r>
      <w:r w:rsidR="008A1AF5" w:rsidRPr="007D7134">
        <w:t xml:space="preserve">the </w:t>
      </w:r>
      <w:r w:rsidR="00072973">
        <w:t>BGF MDI (320/14.4/9.6 µg)</w:t>
      </w:r>
      <w:r w:rsidR="00CD72FD" w:rsidRPr="00CD72FD">
        <w:t xml:space="preserve"> and BFF MDI treatment groups (11.7% and 11.0%, respectively) and lowest in the GFF MDI treatment group (8.0%)</w:t>
      </w:r>
      <w:r w:rsidR="0016788A">
        <w:t xml:space="preserve"> </w:t>
      </w:r>
      <w:r w:rsidR="0016788A" w:rsidRPr="00CD72FD">
        <w:t>(</w:t>
      </w:r>
      <w:r w:rsidR="0016788A">
        <w:t xml:space="preserve">see </w:t>
      </w:r>
      <w:r w:rsidR="0016788A">
        <w:fldChar w:fldCharType="begin"/>
      </w:r>
      <w:r w:rsidR="0016788A">
        <w:instrText xml:space="preserve"> REF _Ref95466183 \h  \* MERGEFORMAT </w:instrText>
      </w:r>
      <w:r w:rsidR="0016788A">
        <w:fldChar w:fldCharType="separate"/>
      </w:r>
      <w:r w:rsidR="00E53BA0">
        <w:t xml:space="preserve">Table </w:t>
      </w:r>
      <w:r w:rsidR="00E53BA0">
        <w:rPr>
          <w:noProof/>
        </w:rPr>
        <w:t>12</w:t>
      </w:r>
      <w:r w:rsidR="0016788A">
        <w:fldChar w:fldCharType="end"/>
      </w:r>
      <w:r w:rsidR="0016788A">
        <w:t xml:space="preserve"> below</w:t>
      </w:r>
      <w:r w:rsidR="0016788A" w:rsidRPr="00CD72FD">
        <w:t>)</w:t>
      </w:r>
      <w:r w:rsidR="00CD72FD" w:rsidRPr="00CD72FD">
        <w:t>.</w:t>
      </w:r>
    </w:p>
    <w:p w14:paraId="1D503880" w14:textId="0D659318" w:rsidR="008D5207" w:rsidRDefault="008D5207" w:rsidP="008D5207">
      <w:pPr>
        <w:pStyle w:val="TableTitle"/>
      </w:pPr>
      <w:bookmarkStart w:id="73" w:name="_Ref95466183"/>
      <w:r>
        <w:lastRenderedPageBreak/>
        <w:t xml:space="preserve">Table </w:t>
      </w:r>
      <w:r w:rsidR="001108B3">
        <w:fldChar w:fldCharType="begin"/>
      </w:r>
      <w:r w:rsidR="001108B3">
        <w:instrText xml:space="preserve"> SEQ Table \</w:instrText>
      </w:r>
      <w:r w:rsidR="001108B3">
        <w:instrText xml:space="preserve">* ARABIC </w:instrText>
      </w:r>
      <w:r w:rsidR="001108B3">
        <w:fldChar w:fldCharType="separate"/>
      </w:r>
      <w:r w:rsidR="00E53BA0">
        <w:rPr>
          <w:noProof/>
        </w:rPr>
        <w:t>12</w:t>
      </w:r>
      <w:r w:rsidR="001108B3">
        <w:rPr>
          <w:noProof/>
        </w:rPr>
        <w:fldChar w:fldCharType="end"/>
      </w:r>
      <w:bookmarkEnd w:id="73"/>
      <w:r w:rsidR="00080E5D">
        <w:t>:</w:t>
      </w:r>
      <w:r w:rsidRPr="008D5207">
        <w:t xml:space="preserve"> </w:t>
      </w:r>
      <w:r w:rsidR="00080E5D" w:rsidRPr="00080E5D">
        <w:t>Stud</w:t>
      </w:r>
      <w:r w:rsidR="00080E5D">
        <w:t>ies</w:t>
      </w:r>
      <w:r w:rsidR="00080E5D" w:rsidRPr="00080E5D">
        <w:t xml:space="preserve"> PT010005, PT010007 and PT010008 </w:t>
      </w:r>
      <w:r w:rsidRPr="004C6F48">
        <w:t xml:space="preserve">Treatment emergent adverse events </w:t>
      </w:r>
      <w:r>
        <w:t>suspected to be drug</w:t>
      </w:r>
      <w:r w:rsidR="00080E5D">
        <w:t xml:space="preserve"> </w:t>
      </w:r>
      <w:r>
        <w:t>related occurring in</w:t>
      </w:r>
      <w:r w:rsidR="007D6F71">
        <w:t xml:space="preserve"> </w:t>
      </w:r>
      <w:r>
        <w:t>≥ 0.5% of subjects in any treatment group (52</w:t>
      </w:r>
      <w:r w:rsidR="00F8741E">
        <w:t>-w</w:t>
      </w:r>
      <w:r>
        <w:t>eek safety population)</w:t>
      </w:r>
    </w:p>
    <w:p w14:paraId="412DB70D" w14:textId="11B57379" w:rsidR="007D6F71" w:rsidRDefault="007D6F71" w:rsidP="00261765">
      <w:r>
        <w:rPr>
          <w:noProof/>
          <w:lang w:val="en-GB" w:eastAsia="en-GB"/>
        </w:rPr>
        <w:drawing>
          <wp:inline distT="0" distB="0" distL="0" distR="0" wp14:anchorId="4693D510" wp14:editId="0D3EA7AC">
            <wp:extent cx="5400040" cy="2200275"/>
            <wp:effectExtent l="0" t="0" r="0" b="9525"/>
            <wp:docPr id="28" name="Picture 28" descr="Table 12: Studies PT010005, PT010007 and PT010008 Treatment emergent adverse events suspected to be drug related occurring in ≥ 0.5% of subjects in any treatment group (52-week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12: Studies PT010005, PT010007 and PT010008 Treatment emergent adverse events suspected to be drug related occurring in ≥ 0.5% of subjects in any treatment group (52-week safety population)"/>
                    <pic:cNvPicPr/>
                  </pic:nvPicPr>
                  <pic:blipFill>
                    <a:blip r:embed="rId38">
                      <a:extLst>
                        <a:ext uri="{28A0092B-C50C-407E-A947-70E740481C1C}">
                          <a14:useLocalDpi xmlns:a14="http://schemas.microsoft.com/office/drawing/2010/main" val="0"/>
                        </a:ext>
                      </a:extLst>
                    </a:blip>
                    <a:stretch>
                      <a:fillRect/>
                    </a:stretch>
                  </pic:blipFill>
                  <pic:spPr>
                    <a:xfrm>
                      <a:off x="0" y="0"/>
                      <a:ext cx="5400040" cy="2200275"/>
                    </a:xfrm>
                    <a:prstGeom prst="rect">
                      <a:avLst/>
                    </a:prstGeom>
                  </pic:spPr>
                </pic:pic>
              </a:graphicData>
            </a:graphic>
          </wp:inline>
        </w:drawing>
      </w:r>
    </w:p>
    <w:p w14:paraId="153E1EBA" w14:textId="53BE2F3F" w:rsidR="004B0E91" w:rsidRDefault="006302C6" w:rsidP="00261765">
      <w:pPr>
        <w:pStyle w:val="TableDescription"/>
      </w:pPr>
      <w:r>
        <w:t>BFF =</w:t>
      </w:r>
      <w:r w:rsidRPr="006302C6">
        <w:t xml:space="preserve"> </w:t>
      </w:r>
      <w:r>
        <w:t>b</w:t>
      </w:r>
      <w:r w:rsidRPr="006302C6">
        <w:t>udesonide / formoterol fumarate</w:t>
      </w:r>
      <w:r w:rsidR="00D94ADB">
        <w:t xml:space="preserve">; </w:t>
      </w:r>
      <w:r w:rsidR="00542987">
        <w:t>BGF = b</w:t>
      </w:r>
      <w:r w:rsidR="00542987" w:rsidRPr="004E03C1">
        <w:t>udesonide</w:t>
      </w:r>
      <w:r w:rsidR="00542987">
        <w:t xml:space="preserve"> / </w:t>
      </w:r>
      <w:r w:rsidR="00542987" w:rsidRPr="004E03C1">
        <w:t xml:space="preserve">glycopyrronium </w:t>
      </w:r>
      <w:r w:rsidR="00542987">
        <w:t xml:space="preserve">/ </w:t>
      </w:r>
      <w:r w:rsidR="00542987" w:rsidRPr="004E03C1">
        <w:t>formoterol fumarate</w:t>
      </w:r>
      <w:r w:rsidR="00D94ADB">
        <w:t xml:space="preserve">; </w:t>
      </w:r>
      <w:r>
        <w:t>GFF = g</w:t>
      </w:r>
      <w:r w:rsidRPr="006302C6">
        <w:t>lycopyrronium / formoterol fumarate</w:t>
      </w:r>
      <w:r w:rsidR="00D94ADB">
        <w:t xml:space="preserve">; </w:t>
      </w:r>
      <w:r w:rsidR="00542987">
        <w:t>MDI = m</w:t>
      </w:r>
      <w:r w:rsidR="00542987" w:rsidRPr="00542987">
        <w:t>etered dose inhaler</w:t>
      </w:r>
      <w:r w:rsidR="00D94ADB">
        <w:t xml:space="preserve">; </w:t>
      </w:r>
      <w:r w:rsidR="00542987" w:rsidRPr="00BF6A1C">
        <w:t>N =</w:t>
      </w:r>
      <w:r w:rsidR="00542987">
        <w:t xml:space="preserve"> population size</w:t>
      </w:r>
      <w:r w:rsidR="00D94ADB">
        <w:t xml:space="preserve">; </w:t>
      </w:r>
      <w:r>
        <w:t xml:space="preserve">n = </w:t>
      </w:r>
      <w:r w:rsidRPr="006302C6">
        <w:t>sample size</w:t>
      </w:r>
      <w:r w:rsidR="00D94ADB">
        <w:t xml:space="preserve">; </w:t>
      </w:r>
      <w:r>
        <w:t>TBH = t</w:t>
      </w:r>
      <w:r w:rsidRPr="006302C6">
        <w:t>urbuhaler</w:t>
      </w:r>
      <w:r w:rsidR="00D94ADB">
        <w:t xml:space="preserve">; </w:t>
      </w:r>
      <w:r w:rsidR="004B0E91">
        <w:t>TEAE =</w:t>
      </w:r>
      <w:r w:rsidR="00D94ADB" w:rsidRPr="00D94ADB">
        <w:t xml:space="preserve"> </w:t>
      </w:r>
      <w:r w:rsidR="00D94ADB">
        <w:t>t</w:t>
      </w:r>
      <w:r w:rsidR="00D94ADB" w:rsidRPr="00D94ADB">
        <w:t>reatment emergent adverse event</w:t>
      </w:r>
      <w:r w:rsidR="00D94ADB">
        <w:t>.</w:t>
      </w:r>
    </w:p>
    <w:p w14:paraId="17FB2A05" w14:textId="00D5AA06" w:rsidR="00EC2152" w:rsidRPr="00E536B8" w:rsidRDefault="00EC2152" w:rsidP="00261765">
      <w:pPr>
        <w:pStyle w:val="TableDescription"/>
      </w:pPr>
      <w:r w:rsidRPr="00E536B8">
        <w:t>The 52</w:t>
      </w:r>
      <w:r w:rsidR="00F8741E">
        <w:t>-w</w:t>
      </w:r>
      <w:r w:rsidRPr="00E536B8">
        <w:t>eek safety population included data through 52 weeks from Study PT010005, Study PT</w:t>
      </w:r>
      <w:r w:rsidR="00080E5D">
        <w:t>01</w:t>
      </w:r>
      <w:r w:rsidRPr="00E536B8">
        <w:t>0007 (including applicable 24</w:t>
      </w:r>
      <w:r w:rsidR="00F8741E">
        <w:t>-</w:t>
      </w:r>
      <w:r w:rsidRPr="00E536B8">
        <w:t>week data from Study</w:t>
      </w:r>
      <w:r w:rsidR="00D94ADB">
        <w:t xml:space="preserve"> </w:t>
      </w:r>
      <w:r w:rsidRPr="00E536B8">
        <w:t>PT0</w:t>
      </w:r>
      <w:r w:rsidR="00B55A6A" w:rsidRPr="00E536B8">
        <w:t>1</w:t>
      </w:r>
      <w:r w:rsidRPr="00E536B8">
        <w:t>0006), and Study PT0</w:t>
      </w:r>
      <w:r w:rsidR="00B55A6A" w:rsidRPr="00E536B8">
        <w:t>1</w:t>
      </w:r>
      <w:r w:rsidRPr="00E536B8">
        <w:t>0008 (including applicable 24</w:t>
      </w:r>
      <w:r w:rsidR="00F8741E">
        <w:t>-</w:t>
      </w:r>
      <w:r w:rsidRPr="00E536B8">
        <w:t>week data from Study PT0</w:t>
      </w:r>
      <w:r w:rsidR="00B55A6A" w:rsidRPr="00E536B8">
        <w:t>1</w:t>
      </w:r>
      <w:r w:rsidRPr="00E536B8">
        <w:t>0006).</w:t>
      </w:r>
    </w:p>
    <w:p w14:paraId="1987C27B" w14:textId="1FE85BA8" w:rsidR="00EC2152" w:rsidRPr="00E536B8" w:rsidRDefault="00EC2152" w:rsidP="00261765">
      <w:pPr>
        <w:pStyle w:val="TableDescription"/>
      </w:pPr>
      <w:r w:rsidRPr="00E536B8">
        <w:t>Suspected to be d</w:t>
      </w:r>
      <w:r w:rsidR="00B55A6A" w:rsidRPr="00E536B8">
        <w:t>ru</w:t>
      </w:r>
      <w:r w:rsidRPr="00E536B8">
        <w:t>g</w:t>
      </w:r>
      <w:r w:rsidR="00080E5D">
        <w:t xml:space="preserve"> </w:t>
      </w:r>
      <w:r w:rsidRPr="00E536B8">
        <w:t>related</w:t>
      </w:r>
      <w:r w:rsidR="00F8741E">
        <w:t xml:space="preserve"> </w:t>
      </w:r>
      <w:r w:rsidRPr="00E536B8">
        <w:t>=</w:t>
      </w:r>
      <w:r w:rsidR="00F8741E">
        <w:t xml:space="preserve"> </w:t>
      </w:r>
      <w:r w:rsidRPr="00E536B8">
        <w:t xml:space="preserve">possibly, probably, or </w:t>
      </w:r>
      <w:proofErr w:type="gramStart"/>
      <w:r w:rsidRPr="00E536B8">
        <w:t>definitely per</w:t>
      </w:r>
      <w:proofErr w:type="gramEnd"/>
      <w:r w:rsidRPr="00E536B8">
        <w:t xml:space="preserve"> the </w:t>
      </w:r>
      <w:r w:rsidR="00B55A6A" w:rsidRPr="00E536B8">
        <w:t>i</w:t>
      </w:r>
      <w:r w:rsidRPr="00E536B8">
        <w:t>nvestigator.</w:t>
      </w:r>
    </w:p>
    <w:p w14:paraId="791B9CE1" w14:textId="08BCDD46" w:rsidR="00EC2152" w:rsidRPr="00E536B8" w:rsidRDefault="00EC2152" w:rsidP="00261765">
      <w:pPr>
        <w:pStyle w:val="TableDescription"/>
      </w:pPr>
      <w:r w:rsidRPr="00E536B8">
        <w:t xml:space="preserve">Adverse events are presented by those occurring in </w:t>
      </w:r>
      <w:r w:rsidR="00B55A6A" w:rsidRPr="00E536B8">
        <w:t>≤</w:t>
      </w:r>
      <w:r w:rsidR="00135320" w:rsidRPr="00E536B8">
        <w:t> </w:t>
      </w:r>
      <w:r w:rsidRPr="00E536B8">
        <w:t xml:space="preserve">0.5% of subjects in any </w:t>
      </w:r>
      <w:r w:rsidR="00135320" w:rsidRPr="00E536B8">
        <w:t>treatment</w:t>
      </w:r>
      <w:r w:rsidRPr="00E536B8">
        <w:t xml:space="preserve"> group by </w:t>
      </w:r>
      <w:r w:rsidR="00F8741E">
        <w:t>P</w:t>
      </w:r>
      <w:r w:rsidRPr="00E536B8">
        <w:t xml:space="preserve">referred </w:t>
      </w:r>
      <w:r w:rsidR="00F8741E">
        <w:t>T</w:t>
      </w:r>
      <w:r w:rsidRPr="00E536B8">
        <w:t>erm</w:t>
      </w:r>
      <w:r w:rsidR="00E92784">
        <w:t xml:space="preserve"> (PT)</w:t>
      </w:r>
      <w:r w:rsidRPr="00E536B8">
        <w:t xml:space="preserve">, and the table is sorted by descending </w:t>
      </w:r>
      <w:r w:rsidR="00F8741E">
        <w:t>PT</w:t>
      </w:r>
      <w:r w:rsidR="00E92784">
        <w:t xml:space="preserve"> </w:t>
      </w:r>
      <w:r w:rsidRPr="00E536B8">
        <w:t xml:space="preserve">frequency across </w:t>
      </w:r>
      <w:r w:rsidR="00135320" w:rsidRPr="00E536B8">
        <w:t>a</w:t>
      </w:r>
      <w:r w:rsidRPr="00E536B8">
        <w:t xml:space="preserve">ll </w:t>
      </w:r>
      <w:r w:rsidR="00135320" w:rsidRPr="00E536B8">
        <w:t>s</w:t>
      </w:r>
      <w:r w:rsidRPr="00E536B8">
        <w:t>ubjects.</w:t>
      </w:r>
    </w:p>
    <w:p w14:paraId="0E85222A" w14:textId="6AB94F20" w:rsidR="00CD72FD" w:rsidRPr="00CD72FD" w:rsidRDefault="00CD72FD" w:rsidP="00CD72FD">
      <w:r w:rsidRPr="00CD72FD">
        <w:t>By P</w:t>
      </w:r>
      <w:r w:rsidR="00DB1EB2">
        <w:t>referred Term</w:t>
      </w:r>
      <w:r w:rsidRPr="00CD72FD">
        <w:t xml:space="preserve">, the most frequent ADRs were oral candidiasis (1.4%), dysphonia (1.0%), and COPD (0.7%). The ADR incidence was generally similar across the treatment groups, </w:t>
      </w:r>
      <w:proofErr w:type="gramStart"/>
      <w:r w:rsidRPr="00CD72FD">
        <w:t>with the exception of</w:t>
      </w:r>
      <w:proofErr w:type="gramEnd"/>
      <w:r w:rsidRPr="00CD72FD">
        <w:t xml:space="preserve"> oral candidiasis and dysphonia, which were most frequent in </w:t>
      </w:r>
      <w:r w:rsidR="00C448C6" w:rsidRPr="007D7134">
        <w:t xml:space="preserve">the </w:t>
      </w:r>
      <w:r w:rsidR="00072973">
        <w:t>BGF MDI (320/14.4/9.6 µg)</w:t>
      </w:r>
      <w:r w:rsidR="00C448C6" w:rsidRPr="00CD72FD">
        <w:t xml:space="preserve"> </w:t>
      </w:r>
      <w:r w:rsidRPr="00CD72FD">
        <w:t>group (2.3% and 1.7%, respectively) and least frequent in the GFF MDI group (0.7% and 0.2%, respectively).</w:t>
      </w:r>
    </w:p>
    <w:p w14:paraId="247C5789" w14:textId="621D717D" w:rsidR="00CD72FD" w:rsidRPr="00CD72FD" w:rsidRDefault="00CD72FD" w:rsidP="002552DB">
      <w:pPr>
        <w:pStyle w:val="Heading5"/>
      </w:pPr>
      <w:r w:rsidRPr="00CD72FD">
        <w:t>Deaths</w:t>
      </w:r>
    </w:p>
    <w:p w14:paraId="7AAF015D" w14:textId="7E2EF9A9" w:rsidR="00E0791C" w:rsidRDefault="00CD72FD" w:rsidP="00CD72FD">
      <w:r w:rsidRPr="00CD72FD">
        <w:t>In the combined data, death rates were lower in the treatments that contained budesonide compared to GFF MDI. In Study PT010005 the time to death (all</w:t>
      </w:r>
      <w:r w:rsidR="0016788A">
        <w:t>-</w:t>
      </w:r>
      <w:r w:rsidRPr="00CD72FD">
        <w:t xml:space="preserve">cause) was longest for </w:t>
      </w:r>
      <w:r w:rsidR="00BD4B68" w:rsidRPr="007D7134">
        <w:t xml:space="preserve">the </w:t>
      </w:r>
      <w:r w:rsidR="00072973">
        <w:t>BGF MDI (320/14.4/9.6 µg)</w:t>
      </w:r>
      <w:r w:rsidRPr="00CD72FD">
        <w:t>, but this was not statistically significant in comparison with GFF MDI after correction for Type 1 error (</w:t>
      </w:r>
      <w:r w:rsidR="0016788A">
        <w:t xml:space="preserve">see </w:t>
      </w:r>
      <w:r w:rsidR="00422DA7">
        <w:fldChar w:fldCharType="begin"/>
      </w:r>
      <w:r w:rsidR="00422DA7">
        <w:instrText xml:space="preserve"> REF _Ref97543938 \h </w:instrText>
      </w:r>
      <w:r w:rsidR="00422DA7">
        <w:fldChar w:fldCharType="separate"/>
      </w:r>
      <w:r w:rsidR="00E53BA0">
        <w:t xml:space="preserve">Table </w:t>
      </w:r>
      <w:r w:rsidR="00E53BA0">
        <w:rPr>
          <w:noProof/>
        </w:rPr>
        <w:t>5</w:t>
      </w:r>
      <w:r w:rsidR="00422DA7">
        <w:fldChar w:fldCharType="end"/>
      </w:r>
      <w:r w:rsidRPr="00CD72FD">
        <w:t>)</w:t>
      </w:r>
      <w:r w:rsidR="00E0791C">
        <w:t>.</w:t>
      </w:r>
    </w:p>
    <w:p w14:paraId="44D6663C" w14:textId="01F47F13" w:rsidR="00CD72FD" w:rsidRPr="00CD72FD" w:rsidRDefault="00CD72FD" w:rsidP="002552DB">
      <w:pPr>
        <w:pStyle w:val="Heading5"/>
      </w:pPr>
      <w:r w:rsidRPr="00CD72FD">
        <w:t>Serious adverse events</w:t>
      </w:r>
    </w:p>
    <w:p w14:paraId="325354A3" w14:textId="0582BB4A" w:rsidR="00E0791C" w:rsidRDefault="00CD72FD" w:rsidP="00CD72FD">
      <w:r w:rsidRPr="00CD72FD">
        <w:t xml:space="preserve">The rates of </w:t>
      </w:r>
      <w:r w:rsidR="004E7E61">
        <w:t>serious adverse events (</w:t>
      </w:r>
      <w:r w:rsidRPr="00CD72FD">
        <w:t>SAEs</w:t>
      </w:r>
      <w:r w:rsidR="004E7E61">
        <w:t>)</w:t>
      </w:r>
      <w:r w:rsidRPr="00CD72FD">
        <w:t xml:space="preserve"> were similar for </w:t>
      </w:r>
      <w:r w:rsidR="00681C14">
        <w:t xml:space="preserve">the </w:t>
      </w:r>
      <w:r w:rsidRPr="00CD72FD">
        <w:t>BGF MDI, GFF MDI, BFF MDI and Symbicort</w:t>
      </w:r>
      <w:r w:rsidR="000521C3">
        <w:t xml:space="preserve"> </w:t>
      </w:r>
      <w:r w:rsidR="000521C3" w:rsidRPr="00A62B3E">
        <w:t>Turbuhaler</w:t>
      </w:r>
      <w:r w:rsidR="00E0791C">
        <w:t>.</w:t>
      </w:r>
    </w:p>
    <w:p w14:paraId="1CFEEE48" w14:textId="1BBBB59A" w:rsidR="00CD72FD" w:rsidRPr="00CD72FD" w:rsidRDefault="00CD72FD" w:rsidP="002552DB">
      <w:pPr>
        <w:pStyle w:val="Heading5"/>
      </w:pPr>
      <w:r w:rsidRPr="00CD72FD">
        <w:t>Discontinuations</w:t>
      </w:r>
    </w:p>
    <w:p w14:paraId="234A9914" w14:textId="7ABB5230" w:rsidR="00E0791C" w:rsidRDefault="00CD72FD" w:rsidP="00CD72FD">
      <w:r w:rsidRPr="00CD72FD">
        <w:t xml:space="preserve">The rates of </w:t>
      </w:r>
      <w:r w:rsidR="00681C14">
        <w:t xml:space="preserve">discontinuations due to </w:t>
      </w:r>
      <w:r w:rsidR="0016788A">
        <w:t>a</w:t>
      </w:r>
      <w:r w:rsidR="0016788A" w:rsidRPr="0016788A">
        <w:t>dverse event</w:t>
      </w:r>
      <w:r w:rsidR="00681C14">
        <w:t xml:space="preserve">s </w:t>
      </w:r>
      <w:r w:rsidRPr="00CD72FD">
        <w:t xml:space="preserve">(DAE) were lower in the BGF MDI compared to </w:t>
      </w:r>
      <w:r w:rsidR="0016788A">
        <w:t xml:space="preserve">the </w:t>
      </w:r>
      <w:r w:rsidRPr="00CD72FD">
        <w:t>GFF MDI</w:t>
      </w:r>
      <w:r w:rsidR="0016788A" w:rsidRPr="0016788A">
        <w:t xml:space="preserve"> </w:t>
      </w:r>
      <w:r w:rsidR="0016788A" w:rsidRPr="00CD72FD">
        <w:t>group</w:t>
      </w:r>
      <w:r w:rsidRPr="00CD72FD">
        <w:t>. In Study PT010006</w:t>
      </w:r>
      <w:r w:rsidR="0016788A">
        <w:t>,</w:t>
      </w:r>
      <w:r w:rsidRPr="00CD72FD">
        <w:t xml:space="preserve"> three (0.5%) patients in </w:t>
      </w:r>
      <w:r w:rsidR="00BD4B68" w:rsidRPr="007D7134">
        <w:t xml:space="preserve">the </w:t>
      </w:r>
      <w:r w:rsidR="00072973">
        <w:t>BGF MDI (320/14.4/9.6 µg)</w:t>
      </w:r>
      <w:r w:rsidRPr="00CD72FD">
        <w:t xml:space="preserve"> group discontinued because of dysphonia</w:t>
      </w:r>
      <w:r w:rsidR="00E0791C">
        <w:t>.</w:t>
      </w:r>
    </w:p>
    <w:p w14:paraId="7C735000" w14:textId="2D8BA3C0" w:rsidR="00CD72FD" w:rsidRPr="00CD72FD" w:rsidRDefault="00CD72FD" w:rsidP="002552DB">
      <w:pPr>
        <w:pStyle w:val="Heading5"/>
      </w:pPr>
      <w:r w:rsidRPr="00CD72FD">
        <w:t>Adverse events of special interest</w:t>
      </w:r>
    </w:p>
    <w:p w14:paraId="6235D944" w14:textId="6D4D6FDD" w:rsidR="00F13552" w:rsidRDefault="00CD72FD" w:rsidP="002552DB">
      <w:pPr>
        <w:pStyle w:val="Heading6"/>
      </w:pPr>
      <w:r w:rsidRPr="00CD72FD">
        <w:t>24</w:t>
      </w:r>
      <w:r w:rsidR="0016788A">
        <w:t>-w</w:t>
      </w:r>
      <w:r w:rsidRPr="00CD72FD">
        <w:t xml:space="preserve">eek </w:t>
      </w:r>
      <w:r w:rsidR="00BD4B68">
        <w:t>s</w:t>
      </w:r>
      <w:r w:rsidRPr="00CD72FD">
        <w:t xml:space="preserve">afety </w:t>
      </w:r>
      <w:r w:rsidR="00BD4B68">
        <w:t>p</w:t>
      </w:r>
      <w:r w:rsidRPr="00CD72FD">
        <w:t>opulation</w:t>
      </w:r>
    </w:p>
    <w:p w14:paraId="6ED11419" w14:textId="1E1A10A2" w:rsidR="00CD72FD" w:rsidRPr="00CD72FD" w:rsidRDefault="00CD72FD" w:rsidP="00CD72FD">
      <w:r w:rsidRPr="00CD72FD">
        <w:t xml:space="preserve">The incidence of </w:t>
      </w:r>
      <w:r w:rsidR="00C267A7">
        <w:t>a</w:t>
      </w:r>
      <w:r w:rsidR="00C267A7" w:rsidRPr="00C267A7">
        <w:t xml:space="preserve">dverse event of special interest </w:t>
      </w:r>
      <w:r w:rsidR="00C267A7">
        <w:t>(</w:t>
      </w:r>
      <w:r w:rsidRPr="00CD72FD">
        <w:t>AESIs</w:t>
      </w:r>
      <w:r w:rsidR="00C267A7">
        <w:t>)</w:t>
      </w:r>
      <w:r w:rsidRPr="00CD72FD">
        <w:t xml:space="preserve"> was </w:t>
      </w:r>
      <w:r w:rsidR="0058180B">
        <w:t xml:space="preserve">less than </w:t>
      </w:r>
      <w:r w:rsidRPr="00CD72FD">
        <w:t xml:space="preserve">3% for any individual medical concept, and most frequent for </w:t>
      </w:r>
      <w:r w:rsidR="00564316">
        <w:t>c</w:t>
      </w:r>
      <w:r w:rsidRPr="00CD72FD">
        <w:t xml:space="preserve">ardiovascular condition (2.8%), </w:t>
      </w:r>
      <w:r w:rsidR="00564316">
        <w:t>p</w:t>
      </w:r>
      <w:r w:rsidRPr="00CD72FD">
        <w:t xml:space="preserve">neumonia (2.4%), and </w:t>
      </w:r>
      <w:r w:rsidR="00564316">
        <w:t>l</w:t>
      </w:r>
      <w:r w:rsidRPr="00CD72FD">
        <w:t>ower respiratory tract infections other than pneumonia (2.3%)</w:t>
      </w:r>
      <w:r w:rsidR="0016788A">
        <w:t xml:space="preserve"> </w:t>
      </w:r>
      <w:r w:rsidR="0016788A" w:rsidRPr="00CD72FD">
        <w:lastRenderedPageBreak/>
        <w:t>(</w:t>
      </w:r>
      <w:r w:rsidR="0058180B">
        <w:t xml:space="preserve">see </w:t>
      </w:r>
      <w:r w:rsidR="0016788A">
        <w:fldChar w:fldCharType="begin"/>
      </w:r>
      <w:r w:rsidR="0016788A">
        <w:instrText xml:space="preserve"> REF _Ref95469609 \h  \* MERGEFORMAT </w:instrText>
      </w:r>
      <w:r w:rsidR="0016788A">
        <w:fldChar w:fldCharType="separate"/>
      </w:r>
      <w:r w:rsidR="00E53BA0">
        <w:t xml:space="preserve">Table </w:t>
      </w:r>
      <w:r w:rsidR="00E53BA0">
        <w:rPr>
          <w:noProof/>
        </w:rPr>
        <w:t>13</w:t>
      </w:r>
      <w:r w:rsidR="0016788A">
        <w:fldChar w:fldCharType="end"/>
      </w:r>
      <w:r w:rsidR="0058180B">
        <w:t xml:space="preserve"> below</w:t>
      </w:r>
      <w:r w:rsidR="0016788A" w:rsidRPr="00CD72FD">
        <w:t>)</w:t>
      </w:r>
      <w:r w:rsidRPr="00CD72FD">
        <w:t>. The incidence was generally similar across the treatment groups, except</w:t>
      </w:r>
      <w:r w:rsidR="0058180B">
        <w:t xml:space="preserve"> the following</w:t>
      </w:r>
      <w:r w:rsidRPr="00CD72FD">
        <w:t>:</w:t>
      </w:r>
    </w:p>
    <w:p w14:paraId="03E4CB2F" w14:textId="7F4CEFDF" w:rsidR="00E0791C" w:rsidRPr="00F13552" w:rsidRDefault="0058180B" w:rsidP="002552DB">
      <w:pPr>
        <w:pStyle w:val="ListBullet"/>
      </w:pPr>
      <w:r w:rsidRPr="0058180B">
        <w:t>c</w:t>
      </w:r>
      <w:r w:rsidR="00CD72FD" w:rsidRPr="0058180B">
        <w:t>ardiovascular condition</w:t>
      </w:r>
      <w:r w:rsidR="00CD72FD" w:rsidRPr="00F13552">
        <w:t xml:space="preserve"> </w:t>
      </w:r>
      <w:r>
        <w:t xml:space="preserve">has been </w:t>
      </w:r>
      <w:r w:rsidR="00CD72FD" w:rsidRPr="00F13552">
        <w:t>most frequent</w:t>
      </w:r>
      <w:r>
        <w:t>ly</w:t>
      </w:r>
      <w:r w:rsidR="00CD72FD" w:rsidRPr="00F13552">
        <w:t xml:space="preserve"> </w:t>
      </w:r>
      <w:r>
        <w:t xml:space="preserve">reported </w:t>
      </w:r>
      <w:r w:rsidR="00CD72FD" w:rsidRPr="00F13552">
        <w:t xml:space="preserve">in the GFF MDI treatment group (3.7%) and least frequently reported in </w:t>
      </w:r>
      <w:r w:rsidR="00A63A58" w:rsidRPr="00F13552">
        <w:t xml:space="preserve">the </w:t>
      </w:r>
      <w:r w:rsidR="00072973">
        <w:t>BGF MDI (320/14.4/9.6 µg)</w:t>
      </w:r>
      <w:r w:rsidR="00CD72FD" w:rsidRPr="00F13552">
        <w:t xml:space="preserve">, </w:t>
      </w:r>
      <w:r w:rsidR="00A63A58" w:rsidRPr="00F13552">
        <w:t xml:space="preserve">the </w:t>
      </w:r>
      <w:r w:rsidR="00BC3934" w:rsidRPr="00F13552">
        <w:t>BGF</w:t>
      </w:r>
      <w:r w:rsidR="00681C14">
        <w:t> </w:t>
      </w:r>
      <w:r w:rsidR="00864779" w:rsidRPr="00F13552">
        <w:t xml:space="preserve">MDI </w:t>
      </w:r>
      <w:r w:rsidR="00864779">
        <w:t>(</w:t>
      </w:r>
      <w:r w:rsidR="00BC3934" w:rsidRPr="00F13552">
        <w:t>160/14.4/9.6</w:t>
      </w:r>
      <w:r>
        <w:t> </w:t>
      </w:r>
      <w:r w:rsidR="00BC3934" w:rsidRPr="00F13552">
        <w:t>µg</w:t>
      </w:r>
      <w:r w:rsidR="00864779">
        <w:t>)</w:t>
      </w:r>
      <w:r w:rsidR="00CD72FD" w:rsidRPr="00F13552">
        <w:t xml:space="preserve">, and </w:t>
      </w:r>
      <w:r>
        <w:t xml:space="preserve">the </w:t>
      </w:r>
      <w:r w:rsidR="00CD72FD" w:rsidRPr="00F13552">
        <w:t>BFF MDI groups (2.5%, 2.6%, and 2.3%, respectively)</w:t>
      </w:r>
      <w:r w:rsidR="00E0791C" w:rsidRPr="00F13552">
        <w:t>.</w:t>
      </w:r>
    </w:p>
    <w:p w14:paraId="788B00AA" w14:textId="0139E63E" w:rsidR="00E0791C" w:rsidRPr="00F13552" w:rsidRDefault="0058180B" w:rsidP="002552DB">
      <w:pPr>
        <w:pStyle w:val="ListBullet"/>
      </w:pPr>
      <w:r>
        <w:t>c</w:t>
      </w:r>
      <w:r w:rsidR="00CD72FD" w:rsidRPr="0058180B">
        <w:t>andidiasis</w:t>
      </w:r>
      <w:r w:rsidR="00CD72FD" w:rsidRPr="00F13552">
        <w:t xml:space="preserve"> </w:t>
      </w:r>
      <w:r>
        <w:t xml:space="preserve">has been </w:t>
      </w:r>
      <w:r w:rsidR="00CD72FD" w:rsidRPr="00F13552">
        <w:t>most frequent</w:t>
      </w:r>
      <w:r>
        <w:t>ly</w:t>
      </w:r>
      <w:r w:rsidR="00CD72FD" w:rsidRPr="00F13552">
        <w:t xml:space="preserve"> </w:t>
      </w:r>
      <w:r>
        <w:t xml:space="preserve">reported </w:t>
      </w:r>
      <w:r w:rsidR="00CD72FD" w:rsidRPr="00F13552">
        <w:t xml:space="preserve">in </w:t>
      </w:r>
      <w:r w:rsidR="00A63A58" w:rsidRPr="00F13552">
        <w:t xml:space="preserve">the </w:t>
      </w:r>
      <w:r w:rsidR="00072973">
        <w:t>BGF MDI (320/14.4/9.6 µg)</w:t>
      </w:r>
      <w:r w:rsidR="00CD72FD" w:rsidRPr="00F13552">
        <w:t xml:space="preserve">, </w:t>
      </w:r>
      <w:r w:rsidR="00A63A58" w:rsidRPr="00F13552">
        <w:t xml:space="preserve">the </w:t>
      </w:r>
      <w:r w:rsidR="00BC3934" w:rsidRPr="00F13552">
        <w:t xml:space="preserve">BGF </w:t>
      </w:r>
      <w:r w:rsidR="00864779" w:rsidRPr="00F13552">
        <w:t xml:space="preserve">MDI </w:t>
      </w:r>
      <w:r w:rsidR="00864779">
        <w:t>(</w:t>
      </w:r>
      <w:r w:rsidR="00BC3934" w:rsidRPr="00F13552">
        <w:t>160/14.4/9.6 µg</w:t>
      </w:r>
      <w:r w:rsidR="00864779">
        <w:t>)</w:t>
      </w:r>
      <w:r w:rsidR="00CD72FD" w:rsidRPr="00F13552">
        <w:t xml:space="preserve">, and </w:t>
      </w:r>
      <w:r>
        <w:t xml:space="preserve">the </w:t>
      </w:r>
      <w:r w:rsidR="00CD72FD" w:rsidRPr="00F13552">
        <w:t>BFF MDI treatment groups (2.0%, 1.7%, and 2.2%, respectively) and least frequently reported in the GFF MDI treatment group (0.8%)</w:t>
      </w:r>
      <w:r w:rsidR="00E0791C" w:rsidRPr="00F13552">
        <w:t>.</w:t>
      </w:r>
    </w:p>
    <w:p w14:paraId="3990C0EC" w14:textId="1BD4CDAF" w:rsidR="00CD72FD" w:rsidRDefault="0058180B" w:rsidP="00F13552">
      <w:pPr>
        <w:pStyle w:val="ListBullet"/>
      </w:pPr>
      <w:r>
        <w:t>d</w:t>
      </w:r>
      <w:r w:rsidR="00CD72FD" w:rsidRPr="0058180B">
        <w:t>ysphonia or aphonia</w:t>
      </w:r>
      <w:r>
        <w:t xml:space="preserve"> has been </w:t>
      </w:r>
      <w:r w:rsidR="00CD72FD" w:rsidRPr="00F13552">
        <w:t xml:space="preserve">most </w:t>
      </w:r>
      <w:r w:rsidRPr="00F13552">
        <w:t>frequent</w:t>
      </w:r>
      <w:r>
        <w:t xml:space="preserve">ly reported </w:t>
      </w:r>
      <w:r w:rsidR="00CD72FD" w:rsidRPr="00F13552">
        <w:t xml:space="preserve">in </w:t>
      </w:r>
      <w:r w:rsidR="00883E4C" w:rsidRPr="00F13552">
        <w:t xml:space="preserve">the </w:t>
      </w:r>
      <w:r w:rsidR="00072973">
        <w:t>BGF MDI (320/14.4/9.6 µg)</w:t>
      </w:r>
      <w:r w:rsidR="00CD72FD" w:rsidRPr="00F13552">
        <w:t xml:space="preserve"> and BFF MDI treatment groups (1.8% and 1.7%, respectively) and least frequently reported in the </w:t>
      </w:r>
      <w:r w:rsidR="00BC3934" w:rsidRPr="00F13552">
        <w:t xml:space="preserve">BGF </w:t>
      </w:r>
      <w:r w:rsidR="00864779" w:rsidRPr="00F13552">
        <w:t xml:space="preserve">MDI </w:t>
      </w:r>
      <w:r w:rsidR="00864779">
        <w:t>(</w:t>
      </w:r>
      <w:r w:rsidR="00BC3934" w:rsidRPr="00F13552">
        <w:t>160/14.4/9.6 µg</w:t>
      </w:r>
      <w:r w:rsidR="00864779">
        <w:t>)</w:t>
      </w:r>
      <w:r w:rsidR="00BC3934" w:rsidRPr="00F13552">
        <w:t xml:space="preserve"> </w:t>
      </w:r>
      <w:r w:rsidR="00CD72FD" w:rsidRPr="00F13552">
        <w:t xml:space="preserve">and </w:t>
      </w:r>
      <w:r>
        <w:t xml:space="preserve">the </w:t>
      </w:r>
      <w:r w:rsidR="00CD72FD" w:rsidRPr="00F13552">
        <w:t>GFF MDI treatment groups (0.8% and 0.4%, respectively).</w:t>
      </w:r>
    </w:p>
    <w:p w14:paraId="132B84E6" w14:textId="695A1DCC" w:rsidR="00F13552" w:rsidRPr="00F13552" w:rsidRDefault="0058180B" w:rsidP="002552DB">
      <w:pPr>
        <w:pStyle w:val="ListBullet"/>
      </w:pPr>
      <w:r>
        <w:t>p</w:t>
      </w:r>
      <w:r w:rsidR="00F13552" w:rsidRPr="0058180B">
        <w:t>neumonia</w:t>
      </w:r>
      <w:r>
        <w:t xml:space="preserve"> has been </w:t>
      </w:r>
      <w:r w:rsidR="00F13552">
        <w:t xml:space="preserve">most </w:t>
      </w:r>
      <w:r>
        <w:t>frequently reported</w:t>
      </w:r>
      <w:r w:rsidR="00F13552">
        <w:t xml:space="preserve"> in </w:t>
      </w:r>
      <w:r w:rsidR="00F13552" w:rsidRPr="007D7134">
        <w:t xml:space="preserve">the </w:t>
      </w:r>
      <w:r w:rsidR="00072973">
        <w:t>BGF MDI (320/14.4/9.6 µg)</w:t>
      </w:r>
      <w:r w:rsidR="00F13552">
        <w:t xml:space="preserve">, </w:t>
      </w:r>
      <w:r w:rsidR="00F13552" w:rsidRPr="007D7134">
        <w:t xml:space="preserve">the </w:t>
      </w:r>
      <w:r w:rsidR="00F13552">
        <w:t xml:space="preserve">BGF </w:t>
      </w:r>
      <w:r w:rsidR="00864779">
        <w:t>MDI (</w:t>
      </w:r>
      <w:r w:rsidR="00F13552">
        <w:t>160/14.4/9.6 µg</w:t>
      </w:r>
      <w:r w:rsidR="00864779">
        <w:t>)</w:t>
      </w:r>
      <w:r w:rsidR="00F13552">
        <w:t xml:space="preserve">, and </w:t>
      </w:r>
      <w:r>
        <w:t xml:space="preserve">the </w:t>
      </w:r>
      <w:r w:rsidR="00F13552">
        <w:t>BFF MDI treatment groups (2.5%, 2.5%, and 2.7%, respectively) and least frequently reported in the GFF MDI treatment group (1.8%).</w:t>
      </w:r>
    </w:p>
    <w:p w14:paraId="54603FD9" w14:textId="3369FD41" w:rsidR="00CC2CCD" w:rsidRDefault="00CC2CCD" w:rsidP="00CC2CCD">
      <w:pPr>
        <w:pStyle w:val="TableTitle"/>
      </w:pPr>
      <w:bookmarkStart w:id="74" w:name="_Ref95469609"/>
      <w:r>
        <w:t xml:space="preserve">Table </w:t>
      </w:r>
      <w:r w:rsidR="001108B3">
        <w:fldChar w:fldCharType="begin"/>
      </w:r>
      <w:r w:rsidR="001108B3">
        <w:instrText xml:space="preserve"> SEQ Table \* ARABIC </w:instrText>
      </w:r>
      <w:r w:rsidR="001108B3">
        <w:fldChar w:fldCharType="separate"/>
      </w:r>
      <w:r w:rsidR="00E53BA0">
        <w:rPr>
          <w:noProof/>
        </w:rPr>
        <w:t>13</w:t>
      </w:r>
      <w:r w:rsidR="001108B3">
        <w:rPr>
          <w:noProof/>
        </w:rPr>
        <w:fldChar w:fldCharType="end"/>
      </w:r>
      <w:bookmarkEnd w:id="74"/>
      <w:r w:rsidR="00080E5D">
        <w:rPr>
          <w:noProof/>
        </w:rPr>
        <w:t>:</w:t>
      </w:r>
      <w:r w:rsidRPr="00CC2CCD">
        <w:t xml:space="preserve"> </w:t>
      </w:r>
      <w:r w:rsidR="00080E5D" w:rsidRPr="00080E5D">
        <w:t>Stud</w:t>
      </w:r>
      <w:r w:rsidR="00080E5D">
        <w:t>ies</w:t>
      </w:r>
      <w:r w:rsidR="00080E5D" w:rsidRPr="00080E5D">
        <w:t xml:space="preserve"> PT010005 </w:t>
      </w:r>
      <w:r w:rsidR="00080E5D">
        <w:t xml:space="preserve">and </w:t>
      </w:r>
      <w:r w:rsidR="00080E5D" w:rsidRPr="00080E5D">
        <w:t>PT010006</w:t>
      </w:r>
      <w:r>
        <w:t xml:space="preserve"> </w:t>
      </w:r>
      <w:r w:rsidR="00114AFB">
        <w:t>A</w:t>
      </w:r>
      <w:r w:rsidR="00114AFB" w:rsidRPr="00114AFB">
        <w:t>dverse event of special interest</w:t>
      </w:r>
      <w:r w:rsidR="0058180B">
        <w:t>s</w:t>
      </w:r>
      <w:r>
        <w:t xml:space="preserve"> by </w:t>
      </w:r>
      <w:r w:rsidR="00883E4C">
        <w:t>m</w:t>
      </w:r>
      <w:r>
        <w:t xml:space="preserve">edical </w:t>
      </w:r>
      <w:r w:rsidR="00883E4C">
        <w:t>c</w:t>
      </w:r>
      <w:r>
        <w:t>oncept (24</w:t>
      </w:r>
      <w:r w:rsidR="00080E5D">
        <w:t>-w</w:t>
      </w:r>
      <w:r>
        <w:t xml:space="preserve">eek </w:t>
      </w:r>
      <w:r w:rsidR="00883E4C">
        <w:t>s</w:t>
      </w:r>
      <w:r>
        <w:t>afety</w:t>
      </w:r>
      <w:r w:rsidR="00883E4C">
        <w:t xml:space="preserve"> p</w:t>
      </w:r>
      <w:r>
        <w:t>opulation)</w:t>
      </w:r>
    </w:p>
    <w:p w14:paraId="5F8C4118" w14:textId="0B4D8398" w:rsidR="00C267A7" w:rsidRDefault="00C267A7" w:rsidP="00261765">
      <w:r>
        <w:rPr>
          <w:noProof/>
          <w:lang w:val="en-GB" w:eastAsia="en-GB"/>
        </w:rPr>
        <w:drawing>
          <wp:inline distT="0" distB="0" distL="0" distR="0" wp14:anchorId="2256E44A" wp14:editId="3CE6A669">
            <wp:extent cx="5400040" cy="1809750"/>
            <wp:effectExtent l="0" t="0" r="0" b="0"/>
            <wp:docPr id="29" name="Picture 29" descr="Table 13: Studies PT010005 and PT010006 Adverse event of special interests by medical concept (24-week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13: Studies PT010005 and PT010006 Adverse event of special interests by medical concept (24-week safety population)"/>
                    <pic:cNvPicPr/>
                  </pic:nvPicPr>
                  <pic:blipFill rotWithShape="1">
                    <a:blip r:embed="rId39">
                      <a:extLst>
                        <a:ext uri="{28A0092B-C50C-407E-A947-70E740481C1C}">
                          <a14:useLocalDpi xmlns:a14="http://schemas.microsoft.com/office/drawing/2010/main" val="0"/>
                        </a:ext>
                      </a:extLst>
                    </a:blip>
                    <a:srcRect b="697"/>
                    <a:stretch/>
                  </pic:blipFill>
                  <pic:spPr bwMode="auto">
                    <a:xfrm>
                      <a:off x="0" y="0"/>
                      <a:ext cx="5400040" cy="1809750"/>
                    </a:xfrm>
                    <a:prstGeom prst="rect">
                      <a:avLst/>
                    </a:prstGeom>
                    <a:ln>
                      <a:noFill/>
                    </a:ln>
                    <a:extLst>
                      <a:ext uri="{53640926-AAD7-44D8-BBD7-CCE9431645EC}">
                        <a14:shadowObscured xmlns:a14="http://schemas.microsoft.com/office/drawing/2010/main"/>
                      </a:ext>
                    </a:extLst>
                  </pic:spPr>
                </pic:pic>
              </a:graphicData>
            </a:graphic>
          </wp:inline>
        </w:drawing>
      </w:r>
    </w:p>
    <w:p w14:paraId="6B640933" w14:textId="458C2B64" w:rsidR="004B0E91" w:rsidRDefault="006302C6" w:rsidP="00261765">
      <w:pPr>
        <w:pStyle w:val="TableDescription"/>
      </w:pPr>
      <w:r>
        <w:t>BFF =</w:t>
      </w:r>
      <w:r w:rsidRPr="006302C6">
        <w:t xml:space="preserve"> </w:t>
      </w:r>
      <w:r>
        <w:t>b</w:t>
      </w:r>
      <w:r w:rsidRPr="006302C6">
        <w:t>udesonide / formoterol fumarate</w:t>
      </w:r>
      <w:r w:rsidR="00D94ADB">
        <w:t xml:space="preserve">; </w:t>
      </w:r>
      <w:r w:rsidR="00542987">
        <w:t>BGF = b</w:t>
      </w:r>
      <w:r w:rsidR="00542987" w:rsidRPr="004E03C1">
        <w:t>udesonide</w:t>
      </w:r>
      <w:r w:rsidR="00542987">
        <w:t xml:space="preserve"> / </w:t>
      </w:r>
      <w:r w:rsidR="00542987" w:rsidRPr="004E03C1">
        <w:t xml:space="preserve">glycopyrronium </w:t>
      </w:r>
      <w:r w:rsidR="00542987">
        <w:t xml:space="preserve">/ </w:t>
      </w:r>
      <w:r w:rsidR="00542987" w:rsidRPr="004E03C1">
        <w:t>formoterol fumarate</w:t>
      </w:r>
      <w:r w:rsidR="00D94ADB">
        <w:t xml:space="preserve">; </w:t>
      </w:r>
      <w:r>
        <w:t>GFF = g</w:t>
      </w:r>
      <w:r w:rsidRPr="006302C6">
        <w:t>lycopyrronium / formoterol fumarate</w:t>
      </w:r>
      <w:r w:rsidR="00D94ADB">
        <w:t xml:space="preserve">; </w:t>
      </w:r>
      <w:r w:rsidR="00542987">
        <w:t>MDI = m</w:t>
      </w:r>
      <w:r w:rsidR="00542987" w:rsidRPr="00542987">
        <w:t>etered dose inhaler</w:t>
      </w:r>
      <w:r w:rsidR="00D94ADB">
        <w:t xml:space="preserve">; </w:t>
      </w:r>
      <w:r w:rsidR="00542987" w:rsidRPr="00BF6A1C">
        <w:t>N =</w:t>
      </w:r>
      <w:r w:rsidR="00542987">
        <w:t xml:space="preserve"> population size</w:t>
      </w:r>
      <w:r w:rsidR="00D94ADB">
        <w:t xml:space="preserve">; </w:t>
      </w:r>
      <w:r>
        <w:t xml:space="preserve">n = </w:t>
      </w:r>
      <w:r w:rsidRPr="006302C6">
        <w:t>sample size</w:t>
      </w:r>
      <w:r w:rsidR="00D94ADB">
        <w:t xml:space="preserve">; </w:t>
      </w:r>
      <w:r>
        <w:t>TBH = t</w:t>
      </w:r>
      <w:r w:rsidRPr="006302C6">
        <w:t>urbuhaler</w:t>
      </w:r>
      <w:r w:rsidR="00D94ADB">
        <w:t>.</w:t>
      </w:r>
    </w:p>
    <w:p w14:paraId="3601A8BE" w14:textId="1076B4FA" w:rsidR="00114AFB" w:rsidRPr="00E536B8" w:rsidRDefault="00114AFB" w:rsidP="00261765">
      <w:pPr>
        <w:pStyle w:val="TableDescription"/>
      </w:pPr>
      <w:r w:rsidRPr="00E536B8">
        <w:t>The 24</w:t>
      </w:r>
      <w:r w:rsidR="00F8741E">
        <w:t>-w</w:t>
      </w:r>
      <w:r w:rsidRPr="00E536B8">
        <w:t>eek safety population included data through 24 weeks from Study PT</w:t>
      </w:r>
      <w:r w:rsidR="00080E5D">
        <w:t>01</w:t>
      </w:r>
      <w:r w:rsidRPr="00E536B8">
        <w:t>0005 and Study</w:t>
      </w:r>
      <w:r w:rsidR="00F8741E">
        <w:t> </w:t>
      </w:r>
      <w:r w:rsidRPr="00E536B8">
        <w:t>PT010006.</w:t>
      </w:r>
    </w:p>
    <w:p w14:paraId="37BE1E6F" w14:textId="454E971B" w:rsidR="00C267A7" w:rsidRPr="00E536B8" w:rsidRDefault="00114AFB" w:rsidP="00261765">
      <w:pPr>
        <w:pStyle w:val="TableDescription"/>
      </w:pPr>
      <w:r w:rsidRPr="00E536B8">
        <w:t>Medical concepts are pre</w:t>
      </w:r>
      <w:r w:rsidR="00C1523B" w:rsidRPr="00E536B8">
        <w:t>s</w:t>
      </w:r>
      <w:r w:rsidRPr="00E536B8">
        <w:t>ented alphabetically.</w:t>
      </w:r>
    </w:p>
    <w:p w14:paraId="33122F37" w14:textId="557E8B26" w:rsidR="00F13552" w:rsidRDefault="00CD72FD" w:rsidP="002552DB">
      <w:pPr>
        <w:pStyle w:val="Heading6"/>
      </w:pPr>
      <w:r>
        <w:t>52</w:t>
      </w:r>
      <w:r w:rsidR="0058180B">
        <w:t>-w</w:t>
      </w:r>
      <w:r>
        <w:t xml:space="preserve">eek </w:t>
      </w:r>
      <w:r w:rsidR="00F91A01">
        <w:t>s</w:t>
      </w:r>
      <w:r>
        <w:t xml:space="preserve">afety </w:t>
      </w:r>
      <w:r w:rsidR="00F91A01">
        <w:t>p</w:t>
      </w:r>
      <w:r>
        <w:t>opulation</w:t>
      </w:r>
    </w:p>
    <w:p w14:paraId="2B552BEA" w14:textId="5CD4A537" w:rsidR="00CD72FD" w:rsidRDefault="00CD72FD" w:rsidP="00CD72FD">
      <w:r>
        <w:t xml:space="preserve">The overall incidence was </w:t>
      </w:r>
      <w:r w:rsidR="0058180B">
        <w:t xml:space="preserve">less than </w:t>
      </w:r>
      <w:r>
        <w:t xml:space="preserve">5.2% for any individual medical concept, and most frequent for </w:t>
      </w:r>
      <w:r w:rsidR="00ED3CB4">
        <w:t>c</w:t>
      </w:r>
      <w:r>
        <w:t xml:space="preserve">ardiovascular condition (5.1%), </w:t>
      </w:r>
      <w:r w:rsidR="00ED3CB4">
        <w:t>p</w:t>
      </w:r>
      <w:r>
        <w:t xml:space="preserve">neumonia (4.8%), and </w:t>
      </w:r>
      <w:r w:rsidR="00ED3CB4">
        <w:t>l</w:t>
      </w:r>
      <w:r>
        <w:t xml:space="preserve">ower </w:t>
      </w:r>
      <w:r w:rsidR="00ED3CB4">
        <w:t>r</w:t>
      </w:r>
      <w:r>
        <w:t>espiratory tract infections other than pneumonia (4.3%)</w:t>
      </w:r>
      <w:r w:rsidR="0058180B">
        <w:t xml:space="preserve"> (see </w:t>
      </w:r>
      <w:r w:rsidR="0058180B">
        <w:fldChar w:fldCharType="begin"/>
      </w:r>
      <w:r w:rsidR="0058180B">
        <w:instrText xml:space="preserve"> REF _Ref95470213 \h  \* MERGEFORMAT </w:instrText>
      </w:r>
      <w:r w:rsidR="0058180B">
        <w:fldChar w:fldCharType="separate"/>
      </w:r>
      <w:r w:rsidR="00E53BA0">
        <w:t xml:space="preserve">Table </w:t>
      </w:r>
      <w:r w:rsidR="00E53BA0">
        <w:rPr>
          <w:noProof/>
        </w:rPr>
        <w:t>14</w:t>
      </w:r>
      <w:r w:rsidR="0058180B">
        <w:fldChar w:fldCharType="end"/>
      </w:r>
      <w:r w:rsidR="0058180B">
        <w:t xml:space="preserve"> below)</w:t>
      </w:r>
      <w:r>
        <w:t>. The incidence of AESI medical concepts was generally similar across the treatment groups, except</w:t>
      </w:r>
      <w:r w:rsidR="0058180B">
        <w:t xml:space="preserve"> the following</w:t>
      </w:r>
      <w:r>
        <w:t>:</w:t>
      </w:r>
    </w:p>
    <w:p w14:paraId="7D828BF1" w14:textId="6ED4A1F2" w:rsidR="00CD72FD" w:rsidRDefault="0058180B" w:rsidP="002552DB">
      <w:pPr>
        <w:pStyle w:val="ListBullet"/>
      </w:pPr>
      <w:r>
        <w:t>c</w:t>
      </w:r>
      <w:r w:rsidR="00CD72FD">
        <w:t>ardiovascular condition</w:t>
      </w:r>
      <w:r>
        <w:t xml:space="preserve"> has been </w:t>
      </w:r>
      <w:r w:rsidR="00CD72FD">
        <w:t>most frequent</w:t>
      </w:r>
      <w:r>
        <w:t>ly reported</w:t>
      </w:r>
      <w:r w:rsidR="00CD72FD">
        <w:t xml:space="preserve"> in the GFF MDI treatment group (6.3%) and least frequent in </w:t>
      </w:r>
      <w:r w:rsidR="00D661FD" w:rsidRPr="007D7134">
        <w:t xml:space="preserve">the </w:t>
      </w:r>
      <w:r w:rsidR="00072973">
        <w:t>BGF MDI (320/14.4/9.6 µg)</w:t>
      </w:r>
      <w:r w:rsidR="00CD72FD">
        <w:t xml:space="preserve">, </w:t>
      </w:r>
      <w:r w:rsidR="00D661FD" w:rsidRPr="007D7134">
        <w:t xml:space="preserve">the </w:t>
      </w:r>
      <w:r w:rsidR="00BC3934">
        <w:t xml:space="preserve">BGF </w:t>
      </w:r>
      <w:r w:rsidR="00864779">
        <w:t>MDI (</w:t>
      </w:r>
      <w:r w:rsidR="00BC3934">
        <w:t>160/14.4/9.6 µg</w:t>
      </w:r>
      <w:r w:rsidR="00864779">
        <w:t>)</w:t>
      </w:r>
      <w:r w:rsidR="00CD72FD">
        <w:t xml:space="preserve">, and </w:t>
      </w:r>
      <w:r>
        <w:t xml:space="preserve">the </w:t>
      </w:r>
      <w:r w:rsidR="00CD72FD">
        <w:t>BFF MDI groups (4.4%, 5.2%, and 4.4%, respectively).</w:t>
      </w:r>
    </w:p>
    <w:p w14:paraId="143F97E3" w14:textId="6551FC9C" w:rsidR="00CD72FD" w:rsidRDefault="0058180B" w:rsidP="002552DB">
      <w:pPr>
        <w:pStyle w:val="ListBullet"/>
      </w:pPr>
      <w:r>
        <w:t>c</w:t>
      </w:r>
      <w:r w:rsidR="00CD72FD">
        <w:t xml:space="preserve">andidiasis and </w:t>
      </w:r>
      <w:r w:rsidR="00D661FD">
        <w:t>d</w:t>
      </w:r>
      <w:r w:rsidR="00CD72FD">
        <w:t xml:space="preserve">ysphonia or </w:t>
      </w:r>
      <w:r w:rsidR="00D661FD">
        <w:t>a</w:t>
      </w:r>
      <w:r w:rsidR="00CD72FD">
        <w:t>phonia</w:t>
      </w:r>
      <w:r>
        <w:t xml:space="preserve"> </w:t>
      </w:r>
      <w:proofErr w:type="gramStart"/>
      <w:r>
        <w:t>has</w:t>
      </w:r>
      <w:proofErr w:type="gramEnd"/>
      <w:r>
        <w:t xml:space="preserve"> been</w:t>
      </w:r>
      <w:r w:rsidR="00CD72FD">
        <w:t xml:space="preserve"> most </w:t>
      </w:r>
      <w:r>
        <w:t>frequently reported</w:t>
      </w:r>
      <w:r w:rsidR="00CD72FD">
        <w:t xml:space="preserve"> in </w:t>
      </w:r>
      <w:r w:rsidR="00D661FD" w:rsidRPr="007D7134">
        <w:t xml:space="preserve">the </w:t>
      </w:r>
      <w:r w:rsidR="00072973">
        <w:t>BGF MDI (320/14.4/9.6 µg)</w:t>
      </w:r>
      <w:r w:rsidR="00CD72FD">
        <w:t xml:space="preserve"> (3.4%, and 2.2%, respectively) and </w:t>
      </w:r>
      <w:r>
        <w:t xml:space="preserve">the </w:t>
      </w:r>
      <w:r w:rsidR="00CD72FD">
        <w:t>BFF MDI (3.2% and 2.0%, respectively) groups and least frequent reported in the GFF MDI (1.1% and 0.4%, respectively) group.</w:t>
      </w:r>
    </w:p>
    <w:p w14:paraId="66B29257" w14:textId="1C8472F8" w:rsidR="00CD72FD" w:rsidRDefault="0058180B" w:rsidP="002552DB">
      <w:pPr>
        <w:pStyle w:val="ListBullet"/>
      </w:pPr>
      <w:r>
        <w:lastRenderedPageBreak/>
        <w:t>p</w:t>
      </w:r>
      <w:r w:rsidR="00CD72FD">
        <w:t>neumonia</w:t>
      </w:r>
      <w:r>
        <w:t xml:space="preserve"> has been</w:t>
      </w:r>
      <w:r w:rsidR="00CD72FD">
        <w:t xml:space="preserve"> most frequent</w:t>
      </w:r>
      <w:r>
        <w:t>ly reported</w:t>
      </w:r>
      <w:r w:rsidR="00CD72FD">
        <w:t xml:space="preserve"> in </w:t>
      </w:r>
      <w:r w:rsidR="006C6C64" w:rsidRPr="007D7134">
        <w:t xml:space="preserve">the </w:t>
      </w:r>
      <w:r w:rsidR="00072973">
        <w:t>BGF MDI (320/14.4/9.6 µg)</w:t>
      </w:r>
      <w:r w:rsidR="00CD72FD">
        <w:t xml:space="preserve"> (5.6%) and </w:t>
      </w:r>
      <w:r>
        <w:t xml:space="preserve">the </w:t>
      </w:r>
      <w:r w:rsidR="00CD72FD">
        <w:t>BFF MDI (5.4%) groups and least frequently reported in the GFF MDI (3.4%) group.</w:t>
      </w:r>
    </w:p>
    <w:p w14:paraId="52DE1D4D" w14:textId="5BB943E2" w:rsidR="00F91A01" w:rsidRDefault="00F91A01" w:rsidP="00EA43BD">
      <w:pPr>
        <w:pStyle w:val="TableTitle"/>
        <w:rPr>
          <w:rFonts w:ascii="Cambria-Bold" w:eastAsiaTheme="minorHAnsi" w:hAnsi="Cambria-Bold" w:cs="Cambria-Bold"/>
          <w:bCs/>
        </w:rPr>
      </w:pPr>
      <w:bookmarkStart w:id="75" w:name="_Ref95470213"/>
      <w:r>
        <w:t xml:space="preserve">Table </w:t>
      </w:r>
      <w:r w:rsidR="001108B3">
        <w:fldChar w:fldCharType="begin"/>
      </w:r>
      <w:r w:rsidR="001108B3">
        <w:instrText xml:space="preserve"> SEQ Table \* ARABIC </w:instrText>
      </w:r>
      <w:r w:rsidR="001108B3">
        <w:fldChar w:fldCharType="separate"/>
      </w:r>
      <w:r w:rsidR="00E53BA0">
        <w:rPr>
          <w:noProof/>
        </w:rPr>
        <w:t>14</w:t>
      </w:r>
      <w:r w:rsidR="001108B3">
        <w:rPr>
          <w:noProof/>
        </w:rPr>
        <w:fldChar w:fldCharType="end"/>
      </w:r>
      <w:bookmarkEnd w:id="75"/>
      <w:r w:rsidR="00080E5D">
        <w:rPr>
          <w:rFonts w:ascii="Cambria-Bold" w:eastAsiaTheme="minorHAnsi" w:hAnsi="Cambria-Bold" w:cs="Cambria-Bold"/>
          <w:bCs/>
        </w:rPr>
        <w:t xml:space="preserve">: </w:t>
      </w:r>
      <w:bookmarkStart w:id="76" w:name="_Hlk97306488"/>
      <w:r w:rsidR="00080E5D" w:rsidRPr="00080E5D">
        <w:rPr>
          <w:rFonts w:ascii="Cambria-Bold" w:eastAsiaTheme="minorHAnsi" w:hAnsi="Cambria-Bold" w:cs="Cambria-Bold"/>
          <w:bCs/>
        </w:rPr>
        <w:t>Stud</w:t>
      </w:r>
      <w:r w:rsidR="00080E5D">
        <w:rPr>
          <w:rFonts w:ascii="Cambria-Bold" w:eastAsiaTheme="minorHAnsi" w:hAnsi="Cambria-Bold" w:cs="Cambria-Bold"/>
          <w:bCs/>
        </w:rPr>
        <w:t>ies</w:t>
      </w:r>
      <w:r w:rsidR="00080E5D" w:rsidRPr="00080E5D">
        <w:rPr>
          <w:rFonts w:ascii="Cambria-Bold" w:eastAsiaTheme="minorHAnsi" w:hAnsi="Cambria-Bold" w:cs="Cambria-Bold"/>
          <w:bCs/>
        </w:rPr>
        <w:t xml:space="preserve"> PT010005, PT010007 </w:t>
      </w:r>
      <w:r w:rsidR="00080E5D">
        <w:rPr>
          <w:rFonts w:ascii="Cambria-Bold" w:eastAsiaTheme="minorHAnsi" w:hAnsi="Cambria-Bold" w:cs="Cambria-Bold"/>
          <w:bCs/>
        </w:rPr>
        <w:t xml:space="preserve">and </w:t>
      </w:r>
      <w:r w:rsidR="00080E5D" w:rsidRPr="00080E5D">
        <w:rPr>
          <w:rFonts w:ascii="Cambria-Bold" w:eastAsiaTheme="minorHAnsi" w:hAnsi="Cambria-Bold" w:cs="Cambria-Bold"/>
          <w:bCs/>
        </w:rPr>
        <w:t>PT010008</w:t>
      </w:r>
      <w:r>
        <w:rPr>
          <w:rFonts w:ascii="Cambria-Bold" w:eastAsiaTheme="minorHAnsi" w:hAnsi="Cambria-Bold" w:cs="Cambria-Bold"/>
          <w:bCs/>
        </w:rPr>
        <w:t xml:space="preserve"> </w:t>
      </w:r>
      <w:bookmarkEnd w:id="76"/>
      <w:r w:rsidR="005905DE">
        <w:t>A</w:t>
      </w:r>
      <w:r w:rsidR="005905DE" w:rsidRPr="00114AFB">
        <w:t>dverse event of special interest</w:t>
      </w:r>
      <w:r w:rsidR="0058180B">
        <w:t>s</w:t>
      </w:r>
      <w:r w:rsidR="005905DE">
        <w:t xml:space="preserve"> </w:t>
      </w:r>
      <w:r>
        <w:rPr>
          <w:rFonts w:ascii="Cambria-Bold" w:eastAsiaTheme="minorHAnsi" w:hAnsi="Cambria-Bold" w:cs="Cambria-Bold"/>
          <w:bCs/>
        </w:rPr>
        <w:t xml:space="preserve">by </w:t>
      </w:r>
      <w:r w:rsidR="005905DE">
        <w:rPr>
          <w:rFonts w:ascii="Cambria-Bold" w:eastAsiaTheme="minorHAnsi" w:hAnsi="Cambria-Bold" w:cs="Cambria-Bold"/>
          <w:bCs/>
        </w:rPr>
        <w:t>m</w:t>
      </w:r>
      <w:r>
        <w:rPr>
          <w:rFonts w:ascii="Cambria-Bold" w:eastAsiaTheme="minorHAnsi" w:hAnsi="Cambria-Bold" w:cs="Cambria-Bold"/>
          <w:bCs/>
        </w:rPr>
        <w:t xml:space="preserve">edical </w:t>
      </w:r>
      <w:r w:rsidR="005905DE">
        <w:rPr>
          <w:rFonts w:ascii="Cambria-Bold" w:eastAsiaTheme="minorHAnsi" w:hAnsi="Cambria-Bold" w:cs="Cambria-Bold"/>
          <w:bCs/>
        </w:rPr>
        <w:t>c</w:t>
      </w:r>
      <w:r>
        <w:rPr>
          <w:rFonts w:ascii="Cambria-Bold" w:eastAsiaTheme="minorHAnsi" w:hAnsi="Cambria-Bold" w:cs="Cambria-Bold"/>
          <w:bCs/>
        </w:rPr>
        <w:t>oncept (52</w:t>
      </w:r>
      <w:r w:rsidR="00F8741E">
        <w:rPr>
          <w:rFonts w:ascii="Cambria-Bold" w:eastAsiaTheme="minorHAnsi" w:hAnsi="Cambria-Bold" w:cs="Cambria-Bold"/>
          <w:bCs/>
        </w:rPr>
        <w:t>-w</w:t>
      </w:r>
      <w:r>
        <w:rPr>
          <w:rFonts w:ascii="Cambria-Bold" w:eastAsiaTheme="minorHAnsi" w:hAnsi="Cambria-Bold" w:cs="Cambria-Bold"/>
          <w:bCs/>
        </w:rPr>
        <w:t xml:space="preserve">eek </w:t>
      </w:r>
      <w:r w:rsidR="005905DE">
        <w:rPr>
          <w:rFonts w:ascii="Cambria-Bold" w:eastAsiaTheme="minorHAnsi" w:hAnsi="Cambria-Bold" w:cs="Cambria-Bold"/>
          <w:bCs/>
        </w:rPr>
        <w:t>s</w:t>
      </w:r>
      <w:r>
        <w:rPr>
          <w:rFonts w:ascii="Cambria-Bold" w:eastAsiaTheme="minorHAnsi" w:hAnsi="Cambria-Bold" w:cs="Cambria-Bold"/>
          <w:bCs/>
        </w:rPr>
        <w:t>afety</w:t>
      </w:r>
      <w:r w:rsidR="005905DE">
        <w:rPr>
          <w:rFonts w:ascii="Cambria-Bold" w:eastAsiaTheme="minorHAnsi" w:hAnsi="Cambria-Bold" w:cs="Cambria-Bold"/>
          <w:bCs/>
        </w:rPr>
        <w:t xml:space="preserve"> p</w:t>
      </w:r>
      <w:r>
        <w:rPr>
          <w:rFonts w:ascii="Cambria-Bold" w:eastAsiaTheme="minorHAnsi" w:hAnsi="Cambria-Bold" w:cs="Cambria-Bold"/>
          <w:bCs/>
        </w:rPr>
        <w:t>opulation)</w:t>
      </w:r>
    </w:p>
    <w:p w14:paraId="75111689" w14:textId="65AA4FD1" w:rsidR="00055E95" w:rsidRDefault="00055E95" w:rsidP="00261765">
      <w:r>
        <w:rPr>
          <w:noProof/>
          <w:lang w:val="en-GB" w:eastAsia="en-GB"/>
        </w:rPr>
        <w:drawing>
          <wp:inline distT="0" distB="0" distL="0" distR="0" wp14:anchorId="23092CBA" wp14:editId="137D8BBC">
            <wp:extent cx="5389245" cy="4886960"/>
            <wp:effectExtent l="0" t="0" r="1905" b="8890"/>
            <wp:docPr id="34" name="Picture 34" descr="Table 14: Studies PT010005, PT010007 and PT010008 Adverse event of special interests by medical concept (52-week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 14: Studies PT010005, PT010007 and PT010008 Adverse event of special interests by medical concept (52-week safety popul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9245" cy="4886960"/>
                    </a:xfrm>
                    <a:prstGeom prst="rect">
                      <a:avLst/>
                    </a:prstGeom>
                    <a:noFill/>
                    <a:ln>
                      <a:noFill/>
                    </a:ln>
                  </pic:spPr>
                </pic:pic>
              </a:graphicData>
            </a:graphic>
          </wp:inline>
        </w:drawing>
      </w:r>
    </w:p>
    <w:p w14:paraId="6FBBFDA7" w14:textId="482AB4A1" w:rsidR="004B0E91" w:rsidRDefault="006302C6" w:rsidP="00261765">
      <w:pPr>
        <w:pStyle w:val="TableDescription"/>
      </w:pPr>
      <w:r>
        <w:t>BFF =</w:t>
      </w:r>
      <w:r w:rsidRPr="006302C6">
        <w:t xml:space="preserve"> </w:t>
      </w:r>
      <w:r>
        <w:t>b</w:t>
      </w:r>
      <w:r w:rsidRPr="006302C6">
        <w:t>udesonide / formoterol fumarate</w:t>
      </w:r>
      <w:r w:rsidR="00D94ADB">
        <w:t xml:space="preserve">; </w:t>
      </w:r>
      <w:r w:rsidR="00542987">
        <w:t>BGF = b</w:t>
      </w:r>
      <w:r w:rsidR="00542987" w:rsidRPr="004E03C1">
        <w:t>udesonide</w:t>
      </w:r>
      <w:r w:rsidR="00542987">
        <w:t xml:space="preserve"> / </w:t>
      </w:r>
      <w:r w:rsidR="00542987" w:rsidRPr="004E03C1">
        <w:t xml:space="preserve">glycopyrronium </w:t>
      </w:r>
      <w:r w:rsidR="00542987">
        <w:t xml:space="preserve">/ </w:t>
      </w:r>
      <w:r w:rsidR="00542987" w:rsidRPr="004E03C1">
        <w:t>formoterol fumarate</w:t>
      </w:r>
      <w:r w:rsidR="00D94ADB">
        <w:t xml:space="preserve">; </w:t>
      </w:r>
      <w:r>
        <w:t>GFF = g</w:t>
      </w:r>
      <w:r w:rsidRPr="006302C6">
        <w:t>lycopyrronium / formoterol fumarate</w:t>
      </w:r>
      <w:r w:rsidR="00D94ADB">
        <w:t xml:space="preserve">; </w:t>
      </w:r>
      <w:r w:rsidR="00542987">
        <w:t>MDI = m</w:t>
      </w:r>
      <w:r w:rsidR="00542987" w:rsidRPr="00542987">
        <w:t>etered dose inhaler</w:t>
      </w:r>
      <w:r w:rsidR="00D94ADB">
        <w:t xml:space="preserve">; </w:t>
      </w:r>
      <w:r w:rsidR="00542987" w:rsidRPr="00BF6A1C">
        <w:t>N =</w:t>
      </w:r>
      <w:r w:rsidR="00542987">
        <w:t xml:space="preserve"> population size</w:t>
      </w:r>
      <w:r w:rsidR="00D94ADB">
        <w:t xml:space="preserve">; </w:t>
      </w:r>
      <w:r>
        <w:t xml:space="preserve">n = </w:t>
      </w:r>
      <w:r w:rsidRPr="006302C6">
        <w:t>sample size</w:t>
      </w:r>
      <w:r w:rsidR="00D94ADB">
        <w:t xml:space="preserve">; </w:t>
      </w:r>
      <w:r>
        <w:t>TBH = t</w:t>
      </w:r>
      <w:r w:rsidRPr="006302C6">
        <w:t>urbuhaler</w:t>
      </w:r>
      <w:r w:rsidR="00D94ADB">
        <w:t>.</w:t>
      </w:r>
    </w:p>
    <w:p w14:paraId="5AE52E12" w14:textId="212A19FA" w:rsidR="00444167" w:rsidRPr="00E536B8" w:rsidRDefault="00444167" w:rsidP="00261765">
      <w:pPr>
        <w:pStyle w:val="TableDescription"/>
      </w:pPr>
      <w:r w:rsidRPr="002552DB">
        <w:t>The 52</w:t>
      </w:r>
      <w:r w:rsidR="00F8741E">
        <w:t>-w</w:t>
      </w:r>
      <w:r w:rsidRPr="002552DB">
        <w:t xml:space="preserve">eek </w:t>
      </w:r>
      <w:r w:rsidRPr="00E536B8">
        <w:t xml:space="preserve">safety </w:t>
      </w:r>
      <w:r w:rsidRPr="002552DB">
        <w:t xml:space="preserve">population </w:t>
      </w:r>
      <w:r w:rsidR="00246B97" w:rsidRPr="002552DB">
        <w:t>in</w:t>
      </w:r>
      <w:r w:rsidRPr="002552DB">
        <w:t>clu</w:t>
      </w:r>
      <w:r w:rsidRPr="00E536B8">
        <w:t xml:space="preserve">ded </w:t>
      </w:r>
      <w:r w:rsidRPr="002552DB">
        <w:t xml:space="preserve">data </w:t>
      </w:r>
      <w:r w:rsidRPr="00E536B8">
        <w:t xml:space="preserve">through </w:t>
      </w:r>
      <w:r w:rsidRPr="002552DB">
        <w:t xml:space="preserve">52 </w:t>
      </w:r>
      <w:r w:rsidRPr="00E536B8">
        <w:t xml:space="preserve">weeks </w:t>
      </w:r>
      <w:r w:rsidRPr="002552DB">
        <w:t xml:space="preserve">from </w:t>
      </w:r>
      <w:r w:rsidRPr="00E536B8">
        <w:t>S</w:t>
      </w:r>
      <w:r w:rsidRPr="002552DB">
        <w:t>tu</w:t>
      </w:r>
      <w:r w:rsidRPr="00E536B8">
        <w:t xml:space="preserve">dy </w:t>
      </w:r>
      <w:r w:rsidRPr="002552DB">
        <w:t xml:space="preserve">PT010005, </w:t>
      </w:r>
      <w:r w:rsidRPr="00E536B8">
        <w:t xml:space="preserve">Study </w:t>
      </w:r>
      <w:r w:rsidRPr="002552DB">
        <w:t>PT010007 (</w:t>
      </w:r>
      <w:r w:rsidR="00246B97" w:rsidRPr="002552DB">
        <w:t>including</w:t>
      </w:r>
      <w:r w:rsidRPr="002552DB">
        <w:t xml:space="preserve"> </w:t>
      </w:r>
      <w:r w:rsidRPr="00E536B8">
        <w:t>app</w:t>
      </w:r>
      <w:r w:rsidR="00246B97" w:rsidRPr="00E536B8">
        <w:t>li</w:t>
      </w:r>
      <w:r w:rsidRPr="00E536B8">
        <w:t xml:space="preserve">cable </w:t>
      </w:r>
      <w:r w:rsidRPr="002552DB">
        <w:t>24</w:t>
      </w:r>
      <w:r w:rsidR="00F8741E">
        <w:t>-</w:t>
      </w:r>
      <w:r w:rsidRPr="00E536B8">
        <w:t xml:space="preserve">week </w:t>
      </w:r>
      <w:r w:rsidRPr="002552DB">
        <w:t xml:space="preserve">data </w:t>
      </w:r>
      <w:r w:rsidRPr="00E536B8">
        <w:t>from S</w:t>
      </w:r>
      <w:r w:rsidRPr="002552DB">
        <w:t>tu</w:t>
      </w:r>
      <w:r w:rsidRPr="00E536B8">
        <w:t>dy</w:t>
      </w:r>
      <w:r w:rsidR="00246B97" w:rsidRPr="00E536B8">
        <w:t xml:space="preserve"> </w:t>
      </w:r>
      <w:r w:rsidRPr="002552DB">
        <w:t>PT</w:t>
      </w:r>
      <w:r w:rsidR="00F8741E">
        <w:t>01</w:t>
      </w:r>
      <w:r w:rsidRPr="002552DB">
        <w:t xml:space="preserve">0006), and </w:t>
      </w:r>
      <w:r w:rsidRPr="00E536B8">
        <w:t xml:space="preserve">Study </w:t>
      </w:r>
      <w:r w:rsidRPr="002552DB">
        <w:t xml:space="preserve">PT010008 (including </w:t>
      </w:r>
      <w:r w:rsidRPr="00E536B8">
        <w:t>ap</w:t>
      </w:r>
      <w:r w:rsidRPr="002552DB">
        <w:t>p</w:t>
      </w:r>
      <w:r w:rsidRPr="00E536B8">
        <w:t xml:space="preserve">licable </w:t>
      </w:r>
      <w:r w:rsidRPr="002552DB">
        <w:t>24</w:t>
      </w:r>
      <w:r w:rsidR="00F8741E">
        <w:t>-</w:t>
      </w:r>
      <w:r w:rsidRPr="00E536B8">
        <w:t>wee</w:t>
      </w:r>
      <w:r w:rsidRPr="002552DB">
        <w:t xml:space="preserve">k data from </w:t>
      </w:r>
      <w:r w:rsidRPr="00E536B8">
        <w:t>S</w:t>
      </w:r>
      <w:r w:rsidR="00246B97" w:rsidRPr="00E536B8">
        <w:t>tu</w:t>
      </w:r>
      <w:r w:rsidRPr="00E536B8">
        <w:t>d</w:t>
      </w:r>
      <w:r w:rsidRPr="002552DB">
        <w:t xml:space="preserve">y </w:t>
      </w:r>
      <w:r w:rsidRPr="00E536B8">
        <w:t>PT</w:t>
      </w:r>
      <w:r w:rsidR="00F8741E">
        <w:t>01</w:t>
      </w:r>
      <w:r w:rsidRPr="00E536B8">
        <w:t>0006).</w:t>
      </w:r>
    </w:p>
    <w:p w14:paraId="162B13BB" w14:textId="02CACBA6" w:rsidR="00444167" w:rsidRPr="002552DB" w:rsidRDefault="00444167" w:rsidP="00261765">
      <w:pPr>
        <w:pStyle w:val="TableDescription"/>
      </w:pPr>
      <w:r w:rsidRPr="002552DB">
        <w:t xml:space="preserve">Medical concepts </w:t>
      </w:r>
      <w:r w:rsidRPr="00E536B8">
        <w:t xml:space="preserve">are presented </w:t>
      </w:r>
      <w:r w:rsidRPr="002552DB">
        <w:t>alphabeticall</w:t>
      </w:r>
      <w:r w:rsidRPr="00E536B8">
        <w:t>y</w:t>
      </w:r>
      <w:r w:rsidRPr="002552DB">
        <w:t>.</w:t>
      </w:r>
    </w:p>
    <w:p w14:paraId="6BA4FA41" w14:textId="496356EC" w:rsidR="00CD72FD" w:rsidRDefault="00CD72FD" w:rsidP="00CD72FD">
      <w:r>
        <w:t xml:space="preserve">The overall incidences of </w:t>
      </w:r>
      <w:r w:rsidR="0052213C">
        <w:t>b</w:t>
      </w:r>
      <w:r>
        <w:t xml:space="preserve">one fracture (2.0%), </w:t>
      </w:r>
      <w:r w:rsidR="0052213C">
        <w:t>d</w:t>
      </w:r>
      <w:r>
        <w:t xml:space="preserve">iabetes mellitus (2.9%), </w:t>
      </w:r>
      <w:r w:rsidR="0052213C">
        <w:t>h</w:t>
      </w:r>
      <w:r>
        <w:t>ypokal</w:t>
      </w:r>
      <w:r w:rsidR="003E6418">
        <w:t>a</w:t>
      </w:r>
      <w:r>
        <w:t xml:space="preserve">emia (1.1%), </w:t>
      </w:r>
      <w:r w:rsidR="0052213C">
        <w:t>o</w:t>
      </w:r>
      <w:r>
        <w:t xml:space="preserve">cular effects (1.4%), and </w:t>
      </w:r>
      <w:r w:rsidR="0052213C">
        <w:t>o</w:t>
      </w:r>
      <w:r>
        <w:t>steoporosis and osteopenia (0.5%) were similar across the ICS- and non-ICS containing treatment groups. Hyperkalaemia and hyperglycaemia were not demonstrated to be significant risks in the clinical data. The data did not demonstrate any increase in cardiotoxicity for BGF MDI in comparison with GFF MDI and BFF MDI.</w:t>
      </w:r>
    </w:p>
    <w:p w14:paraId="332189F9" w14:textId="77CDE15B" w:rsidR="00CD72FD" w:rsidRDefault="003E6418" w:rsidP="00CD72FD">
      <w:r>
        <w:t xml:space="preserve">Study </w:t>
      </w:r>
      <w:r w:rsidR="00CD72FD">
        <w:t>PT010008 specifically investigated BMD and ophthalmologic endpoints:</w:t>
      </w:r>
    </w:p>
    <w:p w14:paraId="28B6E0C3" w14:textId="6634C99E" w:rsidR="00CD72FD" w:rsidRDefault="00CD72FD" w:rsidP="002552DB">
      <w:pPr>
        <w:pStyle w:val="ListBullet"/>
      </w:pPr>
      <w:r w:rsidRPr="002552DB">
        <w:rPr>
          <w:i/>
          <w:iCs/>
        </w:rPr>
        <w:t>Osteoporosis</w:t>
      </w:r>
      <w:r>
        <w:t>: The data for BMD do not exclude a risk of osteoporosis with BGF MDI. In Study</w:t>
      </w:r>
      <w:r w:rsidR="003E6418">
        <w:t> </w:t>
      </w:r>
      <w:r>
        <w:t xml:space="preserve">PT010008, there was no significant change from </w:t>
      </w:r>
      <w:r w:rsidR="003E6418">
        <w:t>B</w:t>
      </w:r>
      <w:r>
        <w:t xml:space="preserve">aseline in BMD at the spine over a 12-month treatment period for </w:t>
      </w:r>
      <w:r w:rsidR="0005106A" w:rsidRPr="007D7134">
        <w:t xml:space="preserve">the </w:t>
      </w:r>
      <w:r w:rsidR="00072973">
        <w:t>BGF MDI (320/14.4/9.6 µg)</w:t>
      </w:r>
      <w:r>
        <w:t xml:space="preserve"> </w:t>
      </w:r>
      <w:r w:rsidR="00072973">
        <w:t xml:space="preserve">group </w:t>
      </w:r>
      <w:r>
        <w:t xml:space="preserve">and no </w:t>
      </w:r>
      <w:r>
        <w:lastRenderedPageBreak/>
        <w:t xml:space="preserve">significant difference compared to </w:t>
      </w:r>
      <w:r w:rsidR="00072973">
        <w:t xml:space="preserve">the </w:t>
      </w:r>
      <w:r>
        <w:t>GFF MDI or BFF MDI</w:t>
      </w:r>
      <w:r w:rsidR="00072973">
        <w:t xml:space="preserve"> group</w:t>
      </w:r>
      <w:r>
        <w:t xml:space="preserve">. However, the change from </w:t>
      </w:r>
      <w:r w:rsidR="003E6418">
        <w:t>B</w:t>
      </w:r>
      <w:r>
        <w:t xml:space="preserve">aseline was statistically significant for </w:t>
      </w:r>
      <w:r w:rsidR="0005106A" w:rsidRPr="007D7134">
        <w:t xml:space="preserve">the </w:t>
      </w:r>
      <w:r w:rsidR="00072973">
        <w:t>BGF MDI (320/14.4/9.6 µg)</w:t>
      </w:r>
      <w:r>
        <w:t xml:space="preserve"> for BMD at the hip although there was no significant difference between treatment groups</w:t>
      </w:r>
      <w:r w:rsidR="003E6418">
        <w:t>, where the</w:t>
      </w:r>
      <w:r>
        <w:t xml:space="preserve"> LS mean (95% CI) </w:t>
      </w:r>
      <w:r w:rsidR="003E6418">
        <w:t>percentage</w:t>
      </w:r>
      <w:r>
        <w:t xml:space="preserve"> change from </w:t>
      </w:r>
      <w:r w:rsidR="003E6418">
        <w:t>B</w:t>
      </w:r>
      <w:r>
        <w:t>aseline</w:t>
      </w:r>
      <w:r w:rsidR="003E6418">
        <w:t xml:space="preserve"> is</w:t>
      </w:r>
      <w:r>
        <w:t xml:space="preserve"> -0.9</w:t>
      </w:r>
      <w:r w:rsidR="00681C14">
        <w:t> </w:t>
      </w:r>
      <w:r>
        <w:t>(</w:t>
      </w:r>
      <w:r w:rsidR="00681C14">
        <w:noBreakHyphen/>
      </w:r>
      <w:r>
        <w:t>1.4</w:t>
      </w:r>
      <w:r w:rsidR="003E6418">
        <w:t>,</w:t>
      </w:r>
      <w:r>
        <w:t xml:space="preserve"> </w:t>
      </w:r>
      <w:r w:rsidR="00681C14">
        <w:noBreakHyphen/>
      </w:r>
      <w:r>
        <w:t>0.</w:t>
      </w:r>
      <w:proofErr w:type="gramStart"/>
      <w:r>
        <w:t>3)%</w:t>
      </w:r>
      <w:proofErr w:type="gramEnd"/>
      <w:r>
        <w:t xml:space="preserve"> for </w:t>
      </w:r>
      <w:r w:rsidR="00F229DE" w:rsidRPr="007D7134">
        <w:t xml:space="preserve">the </w:t>
      </w:r>
      <w:r w:rsidR="00072973">
        <w:t>BGF MDI (320/14.4/9.6 µg)</w:t>
      </w:r>
      <w:r>
        <w:t>, -0.3 (-0.9</w:t>
      </w:r>
      <w:r w:rsidR="003E6418">
        <w:t>,</w:t>
      </w:r>
      <w:r>
        <w:t xml:space="preserve"> 0.2)% for </w:t>
      </w:r>
      <w:r w:rsidR="003E6418">
        <w:t xml:space="preserve">the </w:t>
      </w:r>
      <w:r>
        <w:t>GFF MDI and -1.1 (-1.9</w:t>
      </w:r>
      <w:r w:rsidR="003E6418">
        <w:t>,</w:t>
      </w:r>
      <w:r>
        <w:t xml:space="preserve"> -0.3)% for </w:t>
      </w:r>
      <w:r w:rsidR="003E6418">
        <w:t xml:space="preserve">the </w:t>
      </w:r>
      <w:r>
        <w:t>BFF MDI</w:t>
      </w:r>
      <w:r w:rsidR="00072973">
        <w:t xml:space="preserve"> group</w:t>
      </w:r>
      <w:r>
        <w:t>.</w:t>
      </w:r>
    </w:p>
    <w:p w14:paraId="0AD96160" w14:textId="2FC444BA" w:rsidR="00CD72FD" w:rsidRDefault="00CD72FD" w:rsidP="002552DB">
      <w:pPr>
        <w:pStyle w:val="ListBullet"/>
      </w:pPr>
      <w:r w:rsidRPr="002552DB">
        <w:rPr>
          <w:i/>
          <w:iCs/>
        </w:rPr>
        <w:t>Ocular corticosteroid toxicity</w:t>
      </w:r>
      <w:r>
        <w:t xml:space="preserve">: The primary ophthalmologic endpoint was the change from </w:t>
      </w:r>
      <w:r w:rsidR="003E6418">
        <w:t>B</w:t>
      </w:r>
      <w:r>
        <w:t xml:space="preserve">aseline in </w:t>
      </w:r>
      <w:bookmarkStart w:id="77" w:name="_Hlk95476008"/>
      <w:r w:rsidR="003E6418">
        <w:t>l</w:t>
      </w:r>
      <w:r>
        <w:t xml:space="preserve">ens </w:t>
      </w:r>
      <w:r w:rsidR="003E6418">
        <w:t>o</w:t>
      </w:r>
      <w:r>
        <w:t xml:space="preserve">pacities </w:t>
      </w:r>
      <w:r w:rsidR="003E6418">
        <w:t>c</w:t>
      </w:r>
      <w:r>
        <w:t xml:space="preserve">lassification </w:t>
      </w:r>
      <w:r w:rsidR="003E6418">
        <w:t>s</w:t>
      </w:r>
      <w:r>
        <w:t xml:space="preserve">ystem III </w:t>
      </w:r>
      <w:r w:rsidR="003E6418">
        <w:t>(</w:t>
      </w:r>
      <w:r>
        <w:t>posterior subcapsular cataract</w:t>
      </w:r>
      <w:r w:rsidR="003E6418">
        <w:t>)</w:t>
      </w:r>
      <w:r>
        <w:t xml:space="preserve"> </w:t>
      </w:r>
      <w:bookmarkEnd w:id="77"/>
      <w:r>
        <w:t xml:space="preserve">(LOCS III </w:t>
      </w:r>
      <w:r w:rsidR="003E6418">
        <w:t>(</w:t>
      </w:r>
      <w:r>
        <w:t>P</w:t>
      </w:r>
      <w:r w:rsidR="003E6418">
        <w:t>)</w:t>
      </w:r>
      <w:r>
        <w:t>) score at Week</w:t>
      </w:r>
      <w:r w:rsidR="003E6418">
        <w:t> </w:t>
      </w:r>
      <w:r>
        <w:t>52.</w:t>
      </w:r>
    </w:p>
    <w:p w14:paraId="50794CC2" w14:textId="0ED3C9DB" w:rsidR="00CD72FD" w:rsidRDefault="00CD72FD" w:rsidP="00CD72FD">
      <w:r>
        <w:t xml:space="preserve">Although there was no significant difference between BGF MDI and GFF MDI, there were significant increases from </w:t>
      </w:r>
      <w:r w:rsidR="00344D4F">
        <w:t>B</w:t>
      </w:r>
      <w:r>
        <w:t xml:space="preserve">aseline in </w:t>
      </w:r>
      <w:r w:rsidR="00344D4F" w:rsidRPr="00344D4F">
        <w:t xml:space="preserve">intraocular pressure </w:t>
      </w:r>
      <w:r>
        <w:t>and LOCS III measures in the BGF MDI groups (</w:t>
      </w:r>
      <w:r w:rsidR="00344D4F">
        <w:t>see</w:t>
      </w:r>
      <w:r w:rsidR="001012F6">
        <w:t xml:space="preserve"> </w:t>
      </w:r>
      <w:r w:rsidR="005B6FD5">
        <w:fldChar w:fldCharType="begin"/>
      </w:r>
      <w:r w:rsidR="005B6FD5">
        <w:instrText xml:space="preserve"> REF _Ref97733001 \h </w:instrText>
      </w:r>
      <w:r w:rsidR="005B6FD5">
        <w:fldChar w:fldCharType="separate"/>
      </w:r>
      <w:r w:rsidR="00E53BA0">
        <w:t xml:space="preserve">Table </w:t>
      </w:r>
      <w:r w:rsidR="00E53BA0">
        <w:rPr>
          <w:noProof/>
        </w:rPr>
        <w:t>15</w:t>
      </w:r>
      <w:r w:rsidR="005B6FD5">
        <w:fldChar w:fldCharType="end"/>
      </w:r>
      <w:r>
        <w:t xml:space="preserve">, </w:t>
      </w:r>
      <w:r w:rsidR="005B6FD5">
        <w:fldChar w:fldCharType="begin"/>
      </w:r>
      <w:r w:rsidR="005B6FD5">
        <w:instrText xml:space="preserve"> REF _Ref97733011 \h </w:instrText>
      </w:r>
      <w:r w:rsidR="005B6FD5">
        <w:fldChar w:fldCharType="separate"/>
      </w:r>
      <w:r w:rsidR="00E53BA0">
        <w:t xml:space="preserve">Table </w:t>
      </w:r>
      <w:r w:rsidR="00E53BA0">
        <w:rPr>
          <w:noProof/>
        </w:rPr>
        <w:t>16</w:t>
      </w:r>
      <w:r w:rsidR="005B6FD5">
        <w:fldChar w:fldCharType="end"/>
      </w:r>
      <w:r>
        <w:t>, and</w:t>
      </w:r>
      <w:r w:rsidR="005B6FD5">
        <w:t xml:space="preserve"> </w:t>
      </w:r>
      <w:r w:rsidR="005B6FD5">
        <w:fldChar w:fldCharType="begin"/>
      </w:r>
      <w:r w:rsidR="005B6FD5">
        <w:instrText xml:space="preserve"> REF _Ref97733024 \h </w:instrText>
      </w:r>
      <w:r w:rsidR="005B6FD5">
        <w:fldChar w:fldCharType="separate"/>
      </w:r>
      <w:r w:rsidR="00E53BA0">
        <w:t xml:space="preserve">Table </w:t>
      </w:r>
      <w:r w:rsidR="00E53BA0">
        <w:rPr>
          <w:noProof/>
        </w:rPr>
        <w:t>17</w:t>
      </w:r>
      <w:r w:rsidR="005B6FD5">
        <w:fldChar w:fldCharType="end"/>
      </w:r>
      <w:r>
        <w:t xml:space="preserve">), and cataract was reported as an AE in 6 (3.1%) patients in </w:t>
      </w:r>
      <w:r w:rsidR="00EC29F1">
        <w:t xml:space="preserve">the </w:t>
      </w:r>
      <w:r w:rsidR="00344D4F">
        <w:t xml:space="preserve">BGF </w:t>
      </w:r>
      <w:r w:rsidR="00072973">
        <w:t>MDI (</w:t>
      </w:r>
      <w:r w:rsidR="00344D4F">
        <w:t>32</w:t>
      </w:r>
      <w:r w:rsidR="00344D4F" w:rsidRPr="007D7134">
        <w:t>0</w:t>
      </w:r>
      <w:r w:rsidR="00344D4F">
        <w:t>/</w:t>
      </w:r>
      <w:r w:rsidR="00344D4F" w:rsidRPr="007D7134">
        <w:t>14.4</w:t>
      </w:r>
      <w:r w:rsidR="00344D4F">
        <w:t>/</w:t>
      </w:r>
      <w:r w:rsidR="00344D4F" w:rsidRPr="007D7134">
        <w:t>9.6</w:t>
      </w:r>
      <w:r w:rsidR="00344D4F">
        <w:t> </w:t>
      </w:r>
      <w:r w:rsidR="00344D4F" w:rsidRPr="007D7134">
        <w:t>µg</w:t>
      </w:r>
      <w:r w:rsidR="00072973">
        <w:t>)</w:t>
      </w:r>
      <w:r w:rsidR="00344D4F">
        <w:t xml:space="preserve"> </w:t>
      </w:r>
      <w:r>
        <w:t>group, none in the GFF MDI</w:t>
      </w:r>
      <w:r w:rsidR="00344D4F">
        <w:t xml:space="preserve"> group</w:t>
      </w:r>
      <w:r>
        <w:t xml:space="preserve"> and 2 (2.3%) in the BFF MDI</w:t>
      </w:r>
      <w:r w:rsidR="00344D4F">
        <w:t xml:space="preserve"> group</w:t>
      </w:r>
      <w:r>
        <w:t>.</w:t>
      </w:r>
    </w:p>
    <w:p w14:paraId="588280BF" w14:textId="337427E8" w:rsidR="00CD72FD" w:rsidRDefault="00CD72FD" w:rsidP="00CD72FD">
      <w:r>
        <w:t xml:space="preserve">This indicates there may be some ocular corticosteroid toxicity with BGF MDI, and in the opinion of the </w:t>
      </w:r>
      <w:r w:rsidR="00EC29F1">
        <w:t>c</w:t>
      </w:r>
      <w:r>
        <w:t xml:space="preserve">linical </w:t>
      </w:r>
      <w:r w:rsidR="00EC29F1">
        <w:t>e</w:t>
      </w:r>
      <w:r>
        <w:t xml:space="preserve">valuator it is an </w:t>
      </w:r>
      <w:r w:rsidR="00EC29F1">
        <w:t>i</w:t>
      </w:r>
      <w:r>
        <w:t xml:space="preserve">mportant </w:t>
      </w:r>
      <w:r w:rsidR="00EC29F1">
        <w:t>p</w:t>
      </w:r>
      <w:r>
        <w:t xml:space="preserve">otential </w:t>
      </w:r>
      <w:r w:rsidR="00EC29F1">
        <w:t>r</w:t>
      </w:r>
      <w:r>
        <w:t>isk.</w:t>
      </w:r>
    </w:p>
    <w:p w14:paraId="0ABCDE3B" w14:textId="16C1E447" w:rsidR="00957108" w:rsidRDefault="00957108" w:rsidP="00957108">
      <w:pPr>
        <w:pStyle w:val="TableTitle"/>
      </w:pPr>
      <w:bookmarkStart w:id="78" w:name="_Ref97733001"/>
      <w:r>
        <w:t xml:space="preserve">Table </w:t>
      </w:r>
      <w:r w:rsidR="001108B3">
        <w:fldChar w:fldCharType="begin"/>
      </w:r>
      <w:r w:rsidR="001108B3">
        <w:instrText xml:space="preserve"> SEQ Table \* ARABIC </w:instrText>
      </w:r>
      <w:r w:rsidR="001108B3">
        <w:fldChar w:fldCharType="separate"/>
      </w:r>
      <w:r w:rsidR="00E53BA0">
        <w:rPr>
          <w:noProof/>
        </w:rPr>
        <w:t>15</w:t>
      </w:r>
      <w:r w:rsidR="001108B3">
        <w:rPr>
          <w:noProof/>
        </w:rPr>
        <w:fldChar w:fldCharType="end"/>
      </w:r>
      <w:bookmarkEnd w:id="78"/>
      <w:r>
        <w:t xml:space="preserve">: Study </w:t>
      </w:r>
      <w:r w:rsidRPr="00E90AE4">
        <w:t xml:space="preserve">PT010008 Change </w:t>
      </w:r>
      <w:r>
        <w:t>f</w:t>
      </w:r>
      <w:r w:rsidRPr="00E90AE4">
        <w:t xml:space="preserve">rom </w:t>
      </w:r>
      <w:r>
        <w:t>B</w:t>
      </w:r>
      <w:r w:rsidRPr="00E90AE4">
        <w:t xml:space="preserve">aseline in </w:t>
      </w:r>
      <w:r w:rsidRPr="0070304D">
        <w:t xml:space="preserve">lens opacities classification system III </w:t>
      </w:r>
      <w:r>
        <w:t>(</w:t>
      </w:r>
      <w:r w:rsidRPr="0070304D">
        <w:t>posterior subcapsular cataract</w:t>
      </w:r>
      <w:r>
        <w:t>)</w:t>
      </w:r>
      <w:r w:rsidRPr="00E90AE4">
        <w:t xml:space="preserve"> </w:t>
      </w:r>
      <w:r>
        <w:t>s</w:t>
      </w:r>
      <w:r w:rsidRPr="00E90AE4">
        <w:t>core at Week 52 (</w:t>
      </w:r>
      <w:r>
        <w:t>o</w:t>
      </w:r>
      <w:r w:rsidRPr="00E90AE4">
        <w:t xml:space="preserve">phthalmologic </w:t>
      </w:r>
      <w:r>
        <w:t>p</w:t>
      </w:r>
      <w:r w:rsidRPr="00E90AE4">
        <w:t>opulation)</w:t>
      </w:r>
    </w:p>
    <w:p w14:paraId="0AA6418C" w14:textId="77777777" w:rsidR="00957108" w:rsidRDefault="00957108" w:rsidP="00261765">
      <w:r>
        <w:rPr>
          <w:noProof/>
          <w:lang w:val="en-GB" w:eastAsia="en-GB"/>
        </w:rPr>
        <w:drawing>
          <wp:inline distT="0" distB="0" distL="0" distR="0" wp14:anchorId="574D649D" wp14:editId="7365D840">
            <wp:extent cx="4467616" cy="2392342"/>
            <wp:effectExtent l="0" t="0" r="0" b="8255"/>
            <wp:docPr id="24" name="Picture 24" descr="Table 15: Study PT010008 Change from Baseline in lens opacities classification system III (posterior subcapsular cataract) score at Week 52 (ophthalmolog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15: Study PT010008 Change from Baseline in lens opacities classification system III (posterior subcapsular cataract) score at Week 52 (ophthalmologic population)"/>
                    <pic:cNvPicPr/>
                  </pic:nvPicPr>
                  <pic:blipFill rotWithShape="1">
                    <a:blip r:embed="rId41">
                      <a:extLst>
                        <a:ext uri="{28A0092B-C50C-407E-A947-70E740481C1C}">
                          <a14:useLocalDpi xmlns:a14="http://schemas.microsoft.com/office/drawing/2010/main" val="0"/>
                        </a:ext>
                      </a:extLst>
                    </a:blip>
                    <a:srcRect b="594"/>
                    <a:stretch/>
                  </pic:blipFill>
                  <pic:spPr bwMode="auto">
                    <a:xfrm>
                      <a:off x="0" y="0"/>
                      <a:ext cx="4491862" cy="2405326"/>
                    </a:xfrm>
                    <a:prstGeom prst="rect">
                      <a:avLst/>
                    </a:prstGeom>
                    <a:ln>
                      <a:noFill/>
                    </a:ln>
                    <a:extLst>
                      <a:ext uri="{53640926-AAD7-44D8-BBD7-CCE9431645EC}">
                        <a14:shadowObscured xmlns:a14="http://schemas.microsoft.com/office/drawing/2010/main"/>
                      </a:ext>
                    </a:extLst>
                  </pic:spPr>
                </pic:pic>
              </a:graphicData>
            </a:graphic>
          </wp:inline>
        </w:drawing>
      </w:r>
    </w:p>
    <w:p w14:paraId="272D4F9C" w14:textId="77777777" w:rsidR="00957108" w:rsidRDefault="00957108" w:rsidP="00261765">
      <w:pPr>
        <w:pStyle w:val="TableDescription"/>
      </w:pPr>
      <w:r>
        <w:t>BFF =</w:t>
      </w:r>
      <w:r w:rsidRPr="006302C6">
        <w:t xml:space="preserve"> </w:t>
      </w:r>
      <w:r>
        <w:t>b</w:t>
      </w:r>
      <w:r w:rsidRPr="006302C6">
        <w:t>udesonide / formoterol fumarate</w:t>
      </w:r>
      <w:r>
        <w:t>; BGF = b</w:t>
      </w:r>
      <w:r w:rsidRPr="004E03C1">
        <w:t>udesonide</w:t>
      </w:r>
      <w:r>
        <w:t xml:space="preserve"> / </w:t>
      </w:r>
      <w:r w:rsidRPr="004E03C1">
        <w:t xml:space="preserve">glycopyrronium </w:t>
      </w:r>
      <w:r>
        <w:t xml:space="preserve">/ </w:t>
      </w:r>
      <w:r w:rsidRPr="004E03C1">
        <w:t>formoterol fumarate</w:t>
      </w:r>
      <w:r>
        <w:t xml:space="preserve">; </w:t>
      </w:r>
      <w:r w:rsidRPr="00E536B8">
        <w:t>CI</w:t>
      </w:r>
      <w:r>
        <w:t xml:space="preserve"> =</w:t>
      </w:r>
      <w:r w:rsidRPr="00E536B8">
        <w:t xml:space="preserve"> confidence interval</w:t>
      </w:r>
      <w:r>
        <w:t xml:space="preserve">; LS = </w:t>
      </w:r>
      <w:r w:rsidRPr="00542987">
        <w:t>least square</w:t>
      </w:r>
      <w:r>
        <w:t>; MDI = m</w:t>
      </w:r>
      <w:r w:rsidRPr="00542987">
        <w:t>etered dose inhaler</w:t>
      </w:r>
      <w:r>
        <w:t xml:space="preserve">; </w:t>
      </w:r>
      <w:r w:rsidRPr="00BF6A1C">
        <w:t>N =</w:t>
      </w:r>
      <w:r>
        <w:t xml:space="preserve"> population size; NA = not applicable; SE = standard error.</w:t>
      </w:r>
    </w:p>
    <w:p w14:paraId="1053CC8C" w14:textId="77777777" w:rsidR="00957108" w:rsidRPr="00E536B8" w:rsidRDefault="00957108" w:rsidP="00261765">
      <w:pPr>
        <w:pStyle w:val="TableDescription"/>
      </w:pPr>
      <w:r w:rsidRPr="00E536B8">
        <w:t>The descriptive statistics were across eyes (irrespective of person) such that n = total number of eyes assessed.</w:t>
      </w:r>
    </w:p>
    <w:p w14:paraId="79DAC529" w14:textId="77777777" w:rsidR="00957108" w:rsidRPr="00E536B8" w:rsidRDefault="00957108" w:rsidP="00261765">
      <w:pPr>
        <w:pStyle w:val="TableDescription"/>
      </w:pPr>
      <w:r w:rsidRPr="00E536B8">
        <w:t>Baseline was assessed at screening</w:t>
      </w:r>
      <w:r>
        <w:t xml:space="preserve"> visit</w:t>
      </w:r>
      <w:r w:rsidRPr="00E536B8">
        <w:t>.</w:t>
      </w:r>
    </w:p>
    <w:p w14:paraId="58CABFD6" w14:textId="77777777" w:rsidR="00957108" w:rsidRPr="00E536B8" w:rsidRDefault="00957108" w:rsidP="00957108">
      <w:pPr>
        <w:pStyle w:val="TableDescription"/>
      </w:pPr>
      <w:r w:rsidRPr="00E536B8">
        <w:t xml:space="preserve">LS mean = least squares mean from the mixed model which included the following covariates: baseline </w:t>
      </w:r>
      <w:r>
        <w:t>l</w:t>
      </w:r>
      <w:r w:rsidRPr="00F8741E">
        <w:t>ens opacities classification system III (posterior subcapsular cataract)</w:t>
      </w:r>
      <w:r>
        <w:t xml:space="preserve"> (</w:t>
      </w:r>
      <w:r w:rsidRPr="00E536B8">
        <w:t>LOCS III (P)</w:t>
      </w:r>
      <w:r>
        <w:t>)</w:t>
      </w:r>
      <w:r w:rsidRPr="00E536B8">
        <w:t>, smoking pack years, and age as continuous covariates and treatment, visit, and the treatment by visit interaction as categorical covariates. Eye (within subject) was included as a random effect.</w:t>
      </w:r>
    </w:p>
    <w:p w14:paraId="752E5E03" w14:textId="68DD4E79" w:rsidR="00957108" w:rsidRDefault="00957108" w:rsidP="00957108">
      <w:pPr>
        <w:pStyle w:val="TableTitle"/>
      </w:pPr>
      <w:bookmarkStart w:id="79" w:name="_Ref97733011"/>
      <w:r>
        <w:lastRenderedPageBreak/>
        <w:t xml:space="preserve">Table </w:t>
      </w:r>
      <w:r w:rsidR="001108B3">
        <w:fldChar w:fldCharType="begin"/>
      </w:r>
      <w:r w:rsidR="001108B3">
        <w:instrText xml:space="preserve"> SEQ Table \* ARABIC </w:instrText>
      </w:r>
      <w:r w:rsidR="001108B3">
        <w:fldChar w:fldCharType="separate"/>
      </w:r>
      <w:r w:rsidR="00E53BA0">
        <w:rPr>
          <w:noProof/>
        </w:rPr>
        <w:t>16</w:t>
      </w:r>
      <w:r w:rsidR="001108B3">
        <w:rPr>
          <w:noProof/>
        </w:rPr>
        <w:fldChar w:fldCharType="end"/>
      </w:r>
      <w:bookmarkEnd w:id="79"/>
      <w:r>
        <w:t xml:space="preserve">: Study </w:t>
      </w:r>
      <w:r w:rsidRPr="00E90AE4">
        <w:t xml:space="preserve">PT010008 Proportion of </w:t>
      </w:r>
      <w:r>
        <w:t>s</w:t>
      </w:r>
      <w:r w:rsidRPr="00E90AE4">
        <w:t xml:space="preserve">ubjects </w:t>
      </w:r>
      <w:r>
        <w:t>w</w:t>
      </w:r>
      <w:r w:rsidRPr="00E90AE4">
        <w:t xml:space="preserve">ith </w:t>
      </w:r>
      <w:r w:rsidRPr="00E75207">
        <w:t xml:space="preserve">lens opacities classification system III </w:t>
      </w:r>
      <w:r>
        <w:t>g</w:t>
      </w:r>
      <w:r w:rsidRPr="00E90AE4">
        <w:t xml:space="preserve">rade </w:t>
      </w:r>
      <w:r>
        <w:t>i</w:t>
      </w:r>
      <w:r w:rsidRPr="00E90AE4">
        <w:t>ncreases of ≥</w:t>
      </w:r>
      <w:r>
        <w:t xml:space="preserve"> </w:t>
      </w:r>
      <w:r w:rsidRPr="00E90AE4">
        <w:t>0.5 (Class 1), ≥</w:t>
      </w:r>
      <w:r>
        <w:t xml:space="preserve"> </w:t>
      </w:r>
      <w:r w:rsidRPr="00E90AE4">
        <w:t>1.0 (Class 2), or ≥</w:t>
      </w:r>
      <w:r>
        <w:t xml:space="preserve"> </w:t>
      </w:r>
      <w:r w:rsidRPr="00E90AE4">
        <w:t xml:space="preserve">1.5 (Class 3) </w:t>
      </w:r>
      <w:r>
        <w:t>u</w:t>
      </w:r>
      <w:r w:rsidRPr="00E90AE4">
        <w:t>nits in P</w:t>
      </w:r>
      <w:r>
        <w:t>-s</w:t>
      </w:r>
      <w:r w:rsidRPr="00E90AE4">
        <w:t xml:space="preserve">core at Week 28, Week 52, and </w:t>
      </w:r>
      <w:r>
        <w:t>e</w:t>
      </w:r>
      <w:r w:rsidRPr="009F75EE">
        <w:t>nd of treatment</w:t>
      </w:r>
      <w:r w:rsidRPr="00E90AE4">
        <w:t xml:space="preserve"> (</w:t>
      </w:r>
      <w:r>
        <w:t>o</w:t>
      </w:r>
      <w:r w:rsidRPr="00E90AE4">
        <w:t xml:space="preserve">phthalmologic </w:t>
      </w:r>
      <w:r>
        <w:t>p</w:t>
      </w:r>
      <w:r w:rsidRPr="00E90AE4">
        <w:t>opulation)</w:t>
      </w:r>
    </w:p>
    <w:p w14:paraId="0ED9A12A" w14:textId="77777777" w:rsidR="00957108" w:rsidRDefault="00957108" w:rsidP="00261765">
      <w:r>
        <w:rPr>
          <w:noProof/>
          <w:lang w:val="en-GB" w:eastAsia="en-GB"/>
        </w:rPr>
        <w:drawing>
          <wp:inline distT="0" distB="0" distL="0" distR="0" wp14:anchorId="2A05D27C" wp14:editId="78FB75A0">
            <wp:extent cx="4770343" cy="2517731"/>
            <wp:effectExtent l="0" t="0" r="0" b="0"/>
            <wp:docPr id="35" name="Picture 35" descr="Table 16: Study PT010008 Proportion of subjects with lens opacities classification system III grade increases of ≥ 0.5 (Class 1), ≥ 1.0 (Class 2), or ≥ 1.5 (Class 3) units in P-score at Week 28, Week 52, and end of treatment (ophthalmolog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16: Study PT010008 Proportion of subjects with lens opacities classification system III grade increases of ≥ 0.5 (Class 1), ≥ 1.0 (Class 2), or ≥ 1.5 (Class 3) units in P-score at Week 28, Week 52, and end of treatment (ophthalmologic population)"/>
                    <pic:cNvPicPr/>
                  </pic:nvPicPr>
                  <pic:blipFill rotWithShape="1">
                    <a:blip r:embed="rId42">
                      <a:extLst>
                        <a:ext uri="{28A0092B-C50C-407E-A947-70E740481C1C}">
                          <a14:useLocalDpi xmlns:a14="http://schemas.microsoft.com/office/drawing/2010/main" val="0"/>
                        </a:ext>
                      </a:extLst>
                    </a:blip>
                    <a:srcRect b="635"/>
                    <a:stretch/>
                  </pic:blipFill>
                  <pic:spPr bwMode="auto">
                    <a:xfrm>
                      <a:off x="0" y="0"/>
                      <a:ext cx="4784793" cy="2525358"/>
                    </a:xfrm>
                    <a:prstGeom prst="rect">
                      <a:avLst/>
                    </a:prstGeom>
                    <a:ln>
                      <a:noFill/>
                    </a:ln>
                    <a:extLst>
                      <a:ext uri="{53640926-AAD7-44D8-BBD7-CCE9431645EC}">
                        <a14:shadowObscured xmlns:a14="http://schemas.microsoft.com/office/drawing/2010/main"/>
                      </a:ext>
                    </a:extLst>
                  </pic:spPr>
                </pic:pic>
              </a:graphicData>
            </a:graphic>
          </wp:inline>
        </w:drawing>
      </w:r>
    </w:p>
    <w:p w14:paraId="4E087657" w14:textId="77777777" w:rsidR="00957108" w:rsidRDefault="00957108" w:rsidP="00957108">
      <w:pPr>
        <w:pStyle w:val="TableDescription"/>
      </w:pPr>
      <w:r>
        <w:t>BFF =</w:t>
      </w:r>
      <w:r w:rsidRPr="006302C6">
        <w:t xml:space="preserve"> </w:t>
      </w:r>
      <w:r>
        <w:t>b</w:t>
      </w:r>
      <w:r w:rsidRPr="006302C6">
        <w:t>udesonide / formoterol fumarate</w:t>
      </w:r>
      <w:r>
        <w:t>; BGF = b</w:t>
      </w:r>
      <w:r w:rsidRPr="004E03C1">
        <w:t>udesonide</w:t>
      </w:r>
      <w:r>
        <w:t xml:space="preserve"> / </w:t>
      </w:r>
      <w:r w:rsidRPr="004E03C1">
        <w:t xml:space="preserve">glycopyrronium </w:t>
      </w:r>
      <w:r>
        <w:t xml:space="preserve">/ </w:t>
      </w:r>
      <w:r w:rsidRPr="004E03C1">
        <w:t>formoterol fumarate</w:t>
      </w:r>
      <w:r>
        <w:t xml:space="preserve">; </w:t>
      </w:r>
      <w:proofErr w:type="spellStart"/>
      <w:r>
        <w:t>EoT</w:t>
      </w:r>
      <w:proofErr w:type="spellEnd"/>
      <w:r>
        <w:t xml:space="preserve"> = end of treatment; GFF = g</w:t>
      </w:r>
      <w:r w:rsidRPr="006302C6">
        <w:t>lycopyrronium / formoterol fumarate</w:t>
      </w:r>
      <w:r>
        <w:t xml:space="preserve">; </w:t>
      </w:r>
      <w:r w:rsidRPr="00BF6A1C">
        <w:t>N =</w:t>
      </w:r>
      <w:r>
        <w:t xml:space="preserve"> population size; n = </w:t>
      </w:r>
      <w:r w:rsidRPr="006302C6">
        <w:t>sample size</w:t>
      </w:r>
      <w:r>
        <w:t>.</w:t>
      </w:r>
    </w:p>
    <w:p w14:paraId="35B0B648" w14:textId="181EC10B" w:rsidR="00957108" w:rsidRDefault="00957108" w:rsidP="00957108">
      <w:pPr>
        <w:pStyle w:val="TableTitle"/>
      </w:pPr>
      <w:bookmarkStart w:id="80" w:name="_Ref97733024"/>
      <w:r>
        <w:t xml:space="preserve">Table </w:t>
      </w:r>
      <w:r w:rsidR="001108B3">
        <w:fldChar w:fldCharType="begin"/>
      </w:r>
      <w:r w:rsidR="001108B3">
        <w:instrText xml:space="preserve"> SEQ Table \* ARABIC </w:instrText>
      </w:r>
      <w:r w:rsidR="001108B3">
        <w:fldChar w:fldCharType="separate"/>
      </w:r>
      <w:r w:rsidR="00E53BA0">
        <w:rPr>
          <w:noProof/>
        </w:rPr>
        <w:t>17</w:t>
      </w:r>
      <w:r w:rsidR="001108B3">
        <w:rPr>
          <w:noProof/>
        </w:rPr>
        <w:fldChar w:fldCharType="end"/>
      </w:r>
      <w:bookmarkEnd w:id="80"/>
      <w:r>
        <w:t xml:space="preserve">: Study </w:t>
      </w:r>
      <w:r w:rsidRPr="00E90AE4">
        <w:t xml:space="preserve">PT010008 Proportion of </w:t>
      </w:r>
      <w:r>
        <w:t>s</w:t>
      </w:r>
      <w:r w:rsidRPr="00E90AE4">
        <w:t xml:space="preserve">ubjects </w:t>
      </w:r>
      <w:r>
        <w:t>w</w:t>
      </w:r>
      <w:r w:rsidRPr="00E90AE4">
        <w:t xml:space="preserve">ith </w:t>
      </w:r>
      <w:r>
        <w:t>intraocular pressure</w:t>
      </w:r>
      <w:r w:rsidRPr="00E90AE4">
        <w:t xml:space="preserve"> ≥</w:t>
      </w:r>
      <w:r w:rsidR="00681C14">
        <w:t> </w:t>
      </w:r>
      <w:r w:rsidRPr="00E90AE4">
        <w:t>22</w:t>
      </w:r>
      <w:r>
        <w:t> </w:t>
      </w:r>
      <w:r w:rsidRPr="00E90AE4">
        <w:t xml:space="preserve">mmHg in </w:t>
      </w:r>
      <w:r>
        <w:t>e</w:t>
      </w:r>
      <w:r w:rsidRPr="00E90AE4">
        <w:t xml:space="preserve">ither </w:t>
      </w:r>
      <w:r>
        <w:t>e</w:t>
      </w:r>
      <w:r w:rsidRPr="00E90AE4">
        <w:t xml:space="preserve">ye and </w:t>
      </w:r>
      <w:r>
        <w:t>p</w:t>
      </w:r>
      <w:r w:rsidRPr="00E90AE4">
        <w:t xml:space="preserve">roportion of </w:t>
      </w:r>
      <w:r>
        <w:t>s</w:t>
      </w:r>
      <w:r w:rsidRPr="00E90AE4">
        <w:t xml:space="preserve">ubjects with an </w:t>
      </w:r>
      <w:r>
        <w:t>i</w:t>
      </w:r>
      <w:r w:rsidRPr="00E90AE4">
        <w:t xml:space="preserve">ncrease </w:t>
      </w:r>
      <w:r>
        <w:t>f</w:t>
      </w:r>
      <w:r w:rsidRPr="00E90AE4">
        <w:t xml:space="preserve">rom </w:t>
      </w:r>
      <w:r>
        <w:t>B</w:t>
      </w:r>
      <w:r w:rsidRPr="00E90AE4">
        <w:t>aseline ≥</w:t>
      </w:r>
      <w:r>
        <w:t> </w:t>
      </w:r>
      <w:r w:rsidRPr="00E90AE4">
        <w:t>7</w:t>
      </w:r>
      <w:r>
        <w:t> </w:t>
      </w:r>
      <w:r w:rsidRPr="00E90AE4">
        <w:t xml:space="preserve">mmHg in </w:t>
      </w:r>
      <w:r>
        <w:t>e</w:t>
      </w:r>
      <w:r w:rsidRPr="00E90AE4">
        <w:t xml:space="preserve">ither </w:t>
      </w:r>
      <w:r>
        <w:t>e</w:t>
      </w:r>
      <w:r w:rsidRPr="00E90AE4">
        <w:t xml:space="preserve">ye at Week 28, Week 52, and </w:t>
      </w:r>
      <w:r>
        <w:t>end of treatment</w:t>
      </w:r>
      <w:r w:rsidRPr="00E90AE4">
        <w:t xml:space="preserve"> (</w:t>
      </w:r>
      <w:r>
        <w:t>o</w:t>
      </w:r>
      <w:r w:rsidRPr="00E90AE4">
        <w:t xml:space="preserve">phthalmologic </w:t>
      </w:r>
      <w:r>
        <w:t>p</w:t>
      </w:r>
      <w:r w:rsidRPr="00E90AE4">
        <w:t>opulation)</w:t>
      </w:r>
    </w:p>
    <w:p w14:paraId="574DB75B" w14:textId="77777777" w:rsidR="00957108" w:rsidRDefault="00957108" w:rsidP="00261765">
      <w:r>
        <w:rPr>
          <w:noProof/>
          <w:lang w:val="en-GB" w:eastAsia="en-GB"/>
        </w:rPr>
        <w:drawing>
          <wp:inline distT="0" distB="0" distL="0" distR="0" wp14:anchorId="18029438" wp14:editId="148D806E">
            <wp:extent cx="4784942" cy="2320245"/>
            <wp:effectExtent l="0" t="0" r="0" b="4445"/>
            <wp:docPr id="36" name="Picture 36" descr="Table 17: Study PT010008 Proportion of subjects with intraocular pressure ≥ 22 mmHg in either eye and proportion of subjects with an increase from Baseline ≥ 7 mmHg in either eye at Week 28, Week 52, and end of treatment (ophthalmolog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 17: Study PT010008 Proportion of subjects with intraocular pressure ≥ 22 mmHg in either eye and proportion of subjects with an increase from Baseline ≥ 7 mmHg in either eye at Week 28, Week 52, and end of treatment (ophthalmologic population)"/>
                    <pic:cNvPicPr/>
                  </pic:nvPicPr>
                  <pic:blipFill rotWithShape="1">
                    <a:blip r:embed="rId43">
                      <a:extLst>
                        <a:ext uri="{28A0092B-C50C-407E-A947-70E740481C1C}">
                          <a14:useLocalDpi xmlns:a14="http://schemas.microsoft.com/office/drawing/2010/main" val="0"/>
                        </a:ext>
                      </a:extLst>
                    </a:blip>
                    <a:srcRect b="707"/>
                    <a:stretch/>
                  </pic:blipFill>
                  <pic:spPr bwMode="auto">
                    <a:xfrm>
                      <a:off x="0" y="0"/>
                      <a:ext cx="4801970" cy="2328502"/>
                    </a:xfrm>
                    <a:prstGeom prst="rect">
                      <a:avLst/>
                    </a:prstGeom>
                    <a:ln>
                      <a:noFill/>
                    </a:ln>
                    <a:extLst>
                      <a:ext uri="{53640926-AAD7-44D8-BBD7-CCE9431645EC}">
                        <a14:shadowObscured xmlns:a14="http://schemas.microsoft.com/office/drawing/2010/main"/>
                      </a:ext>
                    </a:extLst>
                  </pic:spPr>
                </pic:pic>
              </a:graphicData>
            </a:graphic>
          </wp:inline>
        </w:drawing>
      </w:r>
    </w:p>
    <w:p w14:paraId="0A2BCDD8" w14:textId="157AFFA7" w:rsidR="00957108" w:rsidRDefault="00957108" w:rsidP="002552DB">
      <w:pPr>
        <w:pStyle w:val="TableDescription"/>
      </w:pPr>
      <w:r>
        <w:t>BFF =</w:t>
      </w:r>
      <w:r w:rsidRPr="006302C6">
        <w:t xml:space="preserve"> </w:t>
      </w:r>
      <w:r>
        <w:t>b</w:t>
      </w:r>
      <w:r w:rsidRPr="006302C6">
        <w:t>udesonide / formoterol fumarate</w:t>
      </w:r>
      <w:r>
        <w:t>; BGF = b</w:t>
      </w:r>
      <w:r w:rsidRPr="004E03C1">
        <w:t>udesonide</w:t>
      </w:r>
      <w:r>
        <w:t xml:space="preserve"> / </w:t>
      </w:r>
      <w:r w:rsidRPr="004E03C1">
        <w:t xml:space="preserve">glycopyrronium </w:t>
      </w:r>
      <w:r>
        <w:t xml:space="preserve">/ </w:t>
      </w:r>
      <w:r w:rsidRPr="004E03C1">
        <w:t>formoterol fumarate</w:t>
      </w:r>
      <w:r>
        <w:t xml:space="preserve">; </w:t>
      </w:r>
      <w:proofErr w:type="spellStart"/>
      <w:r>
        <w:t>EoT</w:t>
      </w:r>
      <w:proofErr w:type="spellEnd"/>
      <w:r>
        <w:t xml:space="preserve"> = end of treatment; GFF = g</w:t>
      </w:r>
      <w:r w:rsidRPr="006302C6">
        <w:t>lycopyrronium / formoterol fumarate</w:t>
      </w:r>
      <w:r>
        <w:t xml:space="preserve">; IOP = </w:t>
      </w:r>
      <w:r w:rsidRPr="00C2129C">
        <w:t>intraocular pressure</w:t>
      </w:r>
      <w:r>
        <w:t xml:space="preserve">; </w:t>
      </w:r>
      <w:r w:rsidRPr="00BF6A1C">
        <w:t>N =</w:t>
      </w:r>
      <w:r>
        <w:t xml:space="preserve"> population size; n = </w:t>
      </w:r>
      <w:r w:rsidRPr="006302C6">
        <w:t>sample size</w:t>
      </w:r>
      <w:r>
        <w:t>.</w:t>
      </w:r>
    </w:p>
    <w:p w14:paraId="21920A29" w14:textId="77777777" w:rsidR="00CD72FD" w:rsidRPr="00EA43BD" w:rsidRDefault="00CD72FD" w:rsidP="002552DB">
      <w:pPr>
        <w:pStyle w:val="Heading5"/>
      </w:pPr>
      <w:r w:rsidRPr="00EA43BD">
        <w:t>Safety in special populations</w:t>
      </w:r>
    </w:p>
    <w:p w14:paraId="7D885545" w14:textId="77777777" w:rsidR="00AC6FFE" w:rsidRDefault="00CD72FD" w:rsidP="002552DB">
      <w:pPr>
        <w:pStyle w:val="Heading6"/>
      </w:pPr>
      <w:r>
        <w:t>Age</w:t>
      </w:r>
    </w:p>
    <w:p w14:paraId="4DFC2CBE" w14:textId="5F94016B" w:rsidR="00CD72FD" w:rsidRDefault="00CD72FD" w:rsidP="00CD72FD">
      <w:r>
        <w:t xml:space="preserve">The overall incidence of TEAEs was similar across all age subgroups. The </w:t>
      </w:r>
      <w:r w:rsidR="00411820">
        <w:t>s</w:t>
      </w:r>
      <w:r>
        <w:t>ponsor does not appear to have considered the potential contribution of glycopyrronium to anticholinergic burden. The target patient group for BGF MDI is in the older age groups,</w:t>
      </w:r>
      <w:r w:rsidRPr="00CD72FD">
        <w:t xml:space="preserve"> </w:t>
      </w:r>
      <w:proofErr w:type="gramStart"/>
      <w:r>
        <w:t>and also</w:t>
      </w:r>
      <w:proofErr w:type="gramEnd"/>
      <w:r>
        <w:t xml:space="preserve"> likely to be treated with multiple concomitant medications. Hence, in the opinion of the </w:t>
      </w:r>
      <w:r w:rsidR="00411820">
        <w:t>c</w:t>
      </w:r>
      <w:r>
        <w:t xml:space="preserve">linical </w:t>
      </w:r>
      <w:r w:rsidR="00411820">
        <w:t>e</w:t>
      </w:r>
      <w:r>
        <w:t>valuator, contribution to anticholinergic burden is missing information.</w:t>
      </w:r>
    </w:p>
    <w:p w14:paraId="5E4D54EE" w14:textId="77777777" w:rsidR="00CD72FD" w:rsidRPr="00EA43BD" w:rsidRDefault="00CD72FD" w:rsidP="002552DB">
      <w:pPr>
        <w:pStyle w:val="Heading5"/>
      </w:pPr>
      <w:r w:rsidRPr="00EA43BD">
        <w:lastRenderedPageBreak/>
        <w:t>Post-market experience</w:t>
      </w:r>
    </w:p>
    <w:p w14:paraId="5B086D31" w14:textId="491ADEC8" w:rsidR="00CD72FD" w:rsidRDefault="00CD72FD" w:rsidP="00CD72FD">
      <w:r>
        <w:t>No data available.</w:t>
      </w:r>
    </w:p>
    <w:p w14:paraId="4B9D8593" w14:textId="77777777" w:rsidR="008E7846" w:rsidRDefault="00386150" w:rsidP="007B6132">
      <w:pPr>
        <w:pStyle w:val="Heading3"/>
        <w:rPr>
          <w:lang w:eastAsia="en-AU"/>
        </w:rPr>
      </w:pPr>
      <w:bookmarkStart w:id="81" w:name="_Toc101345659"/>
      <w:r>
        <w:rPr>
          <w:lang w:eastAsia="en-AU"/>
        </w:rPr>
        <w:t>Risk m</w:t>
      </w:r>
      <w:r w:rsidR="008E7846">
        <w:rPr>
          <w:lang w:eastAsia="en-AU"/>
        </w:rPr>
        <w:t xml:space="preserve">anagement </w:t>
      </w:r>
      <w:r>
        <w:rPr>
          <w:lang w:eastAsia="en-AU"/>
        </w:rPr>
        <w:t>p</w:t>
      </w:r>
      <w:r w:rsidR="008E7846">
        <w:rPr>
          <w:lang w:eastAsia="en-AU"/>
        </w:rPr>
        <w:t>lan</w:t>
      </w:r>
      <w:bookmarkEnd w:id="54"/>
      <w:bookmarkEnd w:id="81"/>
    </w:p>
    <w:p w14:paraId="59FE46B4" w14:textId="77777777" w:rsidR="008E7846" w:rsidRDefault="007D53B6" w:rsidP="007D53B6">
      <w:r>
        <w:t>There was no requirement for a risk management plan evaluation for a submission of this type.</w:t>
      </w:r>
      <w:r>
        <w:rPr>
          <w:rStyle w:val="FootnoteReference"/>
        </w:rPr>
        <w:footnoteReference w:id="14"/>
      </w:r>
    </w:p>
    <w:p w14:paraId="0AEB431B" w14:textId="77777777" w:rsidR="008E7846" w:rsidRDefault="00AA0ED0" w:rsidP="008E7846">
      <w:pPr>
        <w:pStyle w:val="Heading3"/>
      </w:pPr>
      <w:bookmarkStart w:id="82" w:name="_Toc247691531"/>
      <w:bookmarkStart w:id="83" w:name="_Toc314842515"/>
      <w:bookmarkStart w:id="84" w:name="_Toc196046505"/>
      <w:bookmarkStart w:id="85" w:name="_Toc196046949"/>
      <w:bookmarkStart w:id="86" w:name="_Toc101345660"/>
      <w:r>
        <w:t>Risk-benefit a</w:t>
      </w:r>
      <w:r w:rsidR="008E7846">
        <w:t>nalysis</w:t>
      </w:r>
      <w:bookmarkEnd w:id="82"/>
      <w:bookmarkEnd w:id="83"/>
      <w:bookmarkEnd w:id="86"/>
    </w:p>
    <w:p w14:paraId="7E7A22DE" w14:textId="77777777" w:rsidR="00D23139" w:rsidRDefault="007D53B6" w:rsidP="00D23139">
      <w:pPr>
        <w:pStyle w:val="Heading4"/>
      </w:pPr>
      <w:r>
        <w:t>Delegate’s considerations</w:t>
      </w:r>
    </w:p>
    <w:p w14:paraId="494B88F2" w14:textId="7F87F925" w:rsidR="007B3EF5" w:rsidRPr="001361AB" w:rsidRDefault="007B3EF5" w:rsidP="002552DB">
      <w:pPr>
        <w:pStyle w:val="Heading5"/>
      </w:pPr>
      <w:r w:rsidRPr="001361AB">
        <w:t>Pharmacokinetics and pharmacodynamics</w:t>
      </w:r>
    </w:p>
    <w:p w14:paraId="71D18F31" w14:textId="50ECAF35" w:rsidR="007B3EF5" w:rsidRDefault="007B3EF5" w:rsidP="007B3EF5">
      <w:r>
        <w:t xml:space="preserve">The </w:t>
      </w:r>
      <w:r w:rsidR="00163790">
        <w:t xml:space="preserve">PK </w:t>
      </w:r>
      <w:r>
        <w:t xml:space="preserve">of the three actives in combination has been adequately studied. The actives did not influence each other’s bioavailability or PK when in combination. The </w:t>
      </w:r>
      <w:r w:rsidRPr="001B08C3">
        <w:rPr>
          <w:i/>
          <w:iCs/>
        </w:rPr>
        <w:t>in vitro</w:t>
      </w:r>
      <w:r>
        <w:t xml:space="preserve"> studies did not identify any potential interactions at the level of metabolism of the actives.</w:t>
      </w:r>
    </w:p>
    <w:p w14:paraId="0F6F3E7E" w14:textId="5E8F3E7C" w:rsidR="007B3EF5" w:rsidRDefault="007B3EF5" w:rsidP="007B3EF5">
      <w:r>
        <w:t xml:space="preserve">There was dose proportionality for all three actives in the dose range used in clinical practice. </w:t>
      </w:r>
      <w:r w:rsidR="00344D4F" w:rsidRPr="00344D4F">
        <w:t>Metered dose inhaler</w:t>
      </w:r>
      <w:r w:rsidR="00344D4F">
        <w:t>s</w:t>
      </w:r>
      <w:r>
        <w:t xml:space="preserve"> were more effective at delivering drug than dry powder inhalers.</w:t>
      </w:r>
    </w:p>
    <w:p w14:paraId="39BD2CA2" w14:textId="17C21235" w:rsidR="007B3EF5" w:rsidRDefault="007B3EF5" w:rsidP="007B3EF5">
      <w:proofErr w:type="gramStart"/>
      <w:r>
        <w:t>With regard to</w:t>
      </w:r>
      <w:proofErr w:type="gramEnd"/>
      <w:r>
        <w:t xml:space="preserve"> </w:t>
      </w:r>
      <w:r w:rsidR="00163790">
        <w:t>PD</w:t>
      </w:r>
      <w:r>
        <w:t>, each of the actives works by its own unique mechanism, and their PD</w:t>
      </w:r>
      <w:r w:rsidR="00681C14">
        <w:t> </w:t>
      </w:r>
      <w:r>
        <w:t>profile would not be expected to be different in the combination product.</w:t>
      </w:r>
    </w:p>
    <w:p w14:paraId="296619EC" w14:textId="2D9A7C27" w:rsidR="007B3EF5" w:rsidRDefault="007B3EF5" w:rsidP="007B3EF5">
      <w:r>
        <w:t>There was some accumulation of all the actives in patients in chronic dosing, but only be potentially clinically significant for glycopyrronium. It is noted that accumulation was much less pronounced in the target population compared to healthy volunteers (</w:t>
      </w:r>
      <w:r w:rsidR="00344D4F">
        <w:t xml:space="preserve">see </w:t>
      </w:r>
      <w:r w:rsidR="00167FD5">
        <w:fldChar w:fldCharType="begin"/>
      </w:r>
      <w:r w:rsidR="00167FD5">
        <w:instrText xml:space="preserve"> REF _Ref89958605 \h </w:instrText>
      </w:r>
      <w:r w:rsidR="00167FD5">
        <w:fldChar w:fldCharType="separate"/>
      </w:r>
      <w:r w:rsidR="00E53BA0">
        <w:t xml:space="preserve">Table </w:t>
      </w:r>
      <w:r w:rsidR="00E53BA0">
        <w:rPr>
          <w:noProof/>
        </w:rPr>
        <w:t>18</w:t>
      </w:r>
      <w:r w:rsidR="00167FD5">
        <w:fldChar w:fldCharType="end"/>
      </w:r>
      <w:r w:rsidR="00344D4F">
        <w:t xml:space="preserve"> below</w:t>
      </w:r>
      <w:r>
        <w:t>).</w:t>
      </w:r>
    </w:p>
    <w:p w14:paraId="03088BCC" w14:textId="4DB4F41E" w:rsidR="002772FA" w:rsidRDefault="002772FA" w:rsidP="002772FA">
      <w:pPr>
        <w:pStyle w:val="TableTitle"/>
      </w:pPr>
      <w:bookmarkStart w:id="87" w:name="_Ref89958605"/>
      <w:r>
        <w:t xml:space="preserve">Table </w:t>
      </w:r>
      <w:r w:rsidR="001108B3">
        <w:fldChar w:fldCharType="begin"/>
      </w:r>
      <w:r w:rsidR="001108B3">
        <w:instrText xml:space="preserve"> SEQ Table \* ARABIC </w:instrText>
      </w:r>
      <w:r w:rsidR="001108B3">
        <w:fldChar w:fldCharType="separate"/>
      </w:r>
      <w:r w:rsidR="00E53BA0">
        <w:rPr>
          <w:noProof/>
        </w:rPr>
        <w:t>18</w:t>
      </w:r>
      <w:r w:rsidR="001108B3">
        <w:rPr>
          <w:noProof/>
        </w:rPr>
        <w:fldChar w:fldCharType="end"/>
      </w:r>
      <w:bookmarkEnd w:id="87"/>
      <w:r>
        <w:t xml:space="preserve">: </w:t>
      </w:r>
      <w:r w:rsidR="00080E5D" w:rsidRPr="00080E5D">
        <w:t>Studies PT01000</w:t>
      </w:r>
      <w:r w:rsidR="00080E5D">
        <w:t>3</w:t>
      </w:r>
      <w:r w:rsidR="00080E5D" w:rsidRPr="00080E5D">
        <w:t>, PT0100</w:t>
      </w:r>
      <w:r w:rsidR="00080E5D">
        <w:t>10</w:t>
      </w:r>
      <w:r w:rsidR="00080E5D" w:rsidRPr="00080E5D">
        <w:t xml:space="preserve"> and PT0100</w:t>
      </w:r>
      <w:r w:rsidR="00080E5D">
        <w:t>1</w:t>
      </w:r>
      <w:r w:rsidR="00080E5D" w:rsidRPr="00080E5D">
        <w:t xml:space="preserve">8 </w:t>
      </w:r>
      <w:r w:rsidRPr="002772FA">
        <w:t>Geometric Mean (</w:t>
      </w:r>
      <w:r w:rsidR="007400EF">
        <w:t xml:space="preserve">percentage </w:t>
      </w:r>
      <w:r w:rsidR="00382A5C" w:rsidRPr="00382A5C">
        <w:t>coefficient of variation</w:t>
      </w:r>
      <w:r w:rsidRPr="002772FA">
        <w:t xml:space="preserve">) </w:t>
      </w:r>
      <w:r w:rsidR="00080E5D">
        <w:t>a</w:t>
      </w:r>
      <w:r w:rsidRPr="002772FA">
        <w:t xml:space="preserve">ccumulation </w:t>
      </w:r>
      <w:r w:rsidR="00080E5D">
        <w:t>r</w:t>
      </w:r>
      <w:r w:rsidRPr="002772FA">
        <w:t xml:space="preserve">atios for </w:t>
      </w:r>
      <w:r w:rsidR="00080E5D">
        <w:t>b</w:t>
      </w:r>
      <w:r w:rsidRPr="002772FA">
        <w:t xml:space="preserve">udesonide, </w:t>
      </w:r>
      <w:r w:rsidR="00080E5D">
        <w:t>g</w:t>
      </w:r>
      <w:r w:rsidRPr="002772FA">
        <w:t xml:space="preserve">lycopyrronium, and </w:t>
      </w:r>
      <w:r w:rsidR="00080E5D">
        <w:t>f</w:t>
      </w:r>
      <w:r w:rsidRPr="002772FA">
        <w:t xml:space="preserve">ormoterol in </w:t>
      </w:r>
      <w:r w:rsidR="00080E5D">
        <w:t>s</w:t>
      </w:r>
      <w:r w:rsidRPr="002772FA">
        <w:t xml:space="preserve">ubjects with </w:t>
      </w:r>
      <w:r w:rsidR="00080E5D" w:rsidRPr="00080E5D">
        <w:t>chronic obstructive pulmonary disease</w:t>
      </w:r>
      <w:r w:rsidR="00080E5D" w:rsidRPr="00080E5D" w:rsidDel="00080E5D">
        <w:t xml:space="preserve"> </w:t>
      </w:r>
      <w:r w:rsidRPr="002772FA">
        <w:t xml:space="preserve">and </w:t>
      </w:r>
      <w:r w:rsidR="003D2441">
        <w:t xml:space="preserve">healthy </w:t>
      </w:r>
      <w:r w:rsidRPr="002772FA">
        <w:t xml:space="preserve">Asian </w:t>
      </w:r>
      <w:r w:rsidR="00080E5D">
        <w:t>v</w:t>
      </w:r>
      <w:r w:rsidRPr="002772FA">
        <w:t>olunteers</w:t>
      </w:r>
    </w:p>
    <w:p w14:paraId="117DFF74" w14:textId="5ADB602A" w:rsidR="002772FA" w:rsidRDefault="00EA5454" w:rsidP="00261765">
      <w:r w:rsidRPr="00B24A8F">
        <w:rPr>
          <w:noProof/>
          <w:lang w:val="en-GB" w:eastAsia="en-GB"/>
        </w:rPr>
        <w:drawing>
          <wp:inline distT="0" distB="0" distL="0" distR="0" wp14:anchorId="0FCB4120" wp14:editId="5AF6CE3A">
            <wp:extent cx="4985359" cy="2255254"/>
            <wp:effectExtent l="0" t="0" r="6350" b="0"/>
            <wp:docPr id="9" name="Picture 9" descr="Table 18: Studies PT010003, PT010010 and PT010018 Geometric Mean (percentage coefficient of variation) accumulation ratios for budesonide, glycopyrronium, and formoterol in subjects with chronic obstructive pulmonary disease and healthy Asian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18: Studies PT010003, PT010010 and PT010018 Geometric Mean (percentage coefficient of variation) accumulation ratios for budesonide, glycopyrronium, and formoterol in subjects with chronic obstructive pulmonary disease and healthy Asian volunteers"/>
                    <pic:cNvPicPr/>
                  </pic:nvPicPr>
                  <pic:blipFill>
                    <a:blip r:embed="rId44">
                      <a:extLst>
                        <a:ext uri="{28A0092B-C50C-407E-A947-70E740481C1C}">
                          <a14:useLocalDpi xmlns:a14="http://schemas.microsoft.com/office/drawing/2010/main" val="0"/>
                        </a:ext>
                      </a:extLst>
                    </a:blip>
                    <a:stretch>
                      <a:fillRect/>
                    </a:stretch>
                  </pic:blipFill>
                  <pic:spPr>
                    <a:xfrm>
                      <a:off x="0" y="0"/>
                      <a:ext cx="4990583" cy="2257617"/>
                    </a:xfrm>
                    <a:prstGeom prst="rect">
                      <a:avLst/>
                    </a:prstGeom>
                  </pic:spPr>
                </pic:pic>
              </a:graphicData>
            </a:graphic>
          </wp:inline>
        </w:drawing>
      </w:r>
    </w:p>
    <w:p w14:paraId="42A58566" w14:textId="47C01176" w:rsidR="00542987" w:rsidRDefault="00D94ADB" w:rsidP="00542987">
      <w:pPr>
        <w:pStyle w:val="TableDescription"/>
      </w:pPr>
      <w:r>
        <w:t>AUC</w:t>
      </w:r>
      <w:r w:rsidRPr="001B08C3">
        <w:rPr>
          <w:vertAlign w:val="subscript"/>
        </w:rPr>
        <w:t>0-12</w:t>
      </w:r>
      <w:r w:rsidRPr="00BF6A1C">
        <w:t xml:space="preserve"> =</w:t>
      </w:r>
      <w:r>
        <w:t xml:space="preserve"> a</w:t>
      </w:r>
      <w:r w:rsidRPr="00DA3FBA">
        <w:t>rea under the concentration time curve from time 0 to 12 hours</w:t>
      </w:r>
      <w:r>
        <w:t xml:space="preserve"> BGF = b</w:t>
      </w:r>
      <w:r w:rsidRPr="004E03C1">
        <w:t>udesonide</w:t>
      </w:r>
      <w:r>
        <w:t xml:space="preserve"> / </w:t>
      </w:r>
      <w:r w:rsidRPr="004E03C1">
        <w:t xml:space="preserve">glycopyrronium </w:t>
      </w:r>
      <w:r>
        <w:t xml:space="preserve">/ </w:t>
      </w:r>
      <w:r w:rsidRPr="004E03C1">
        <w:t>formoterol fumarate</w:t>
      </w:r>
      <w:r>
        <w:t xml:space="preserve">; </w:t>
      </w:r>
      <w:proofErr w:type="spellStart"/>
      <w:r w:rsidRPr="006302C6">
        <w:t>C</w:t>
      </w:r>
      <w:r w:rsidRPr="00E2713D">
        <w:rPr>
          <w:vertAlign w:val="subscript"/>
        </w:rPr>
        <w:t>max</w:t>
      </w:r>
      <w:proofErr w:type="spellEnd"/>
      <w:r>
        <w:t xml:space="preserve"> = m</w:t>
      </w:r>
      <w:r w:rsidRPr="002A146E">
        <w:t>aximum plasma concentration</w:t>
      </w:r>
      <w:r>
        <w:t xml:space="preserve">; </w:t>
      </w:r>
      <w:r w:rsidR="006302C6">
        <w:t>COPD = c</w:t>
      </w:r>
      <w:r w:rsidR="006302C6" w:rsidRPr="00AB1D69">
        <w:t>hronic obstructive pulmonary disease</w:t>
      </w:r>
      <w:r>
        <w:t xml:space="preserve">; HV = healthy volunteer; </w:t>
      </w:r>
      <w:r w:rsidR="00542987">
        <w:t>MDI = m</w:t>
      </w:r>
      <w:r w:rsidR="00542987" w:rsidRPr="00542987">
        <w:t>etered dose inhaler</w:t>
      </w:r>
      <w:r>
        <w:t xml:space="preserve">; </w:t>
      </w:r>
      <w:proofErr w:type="spellStart"/>
      <w:r w:rsidR="00542987">
        <w:t>R</w:t>
      </w:r>
      <w:r w:rsidR="00542987" w:rsidRPr="00BA64C1">
        <w:rPr>
          <w:vertAlign w:val="subscript"/>
        </w:rPr>
        <w:t>ac</w:t>
      </w:r>
      <w:proofErr w:type="spellEnd"/>
      <w:r w:rsidR="00542987" w:rsidRPr="001B08C3">
        <w:t xml:space="preserve"> </w:t>
      </w:r>
      <w:r w:rsidR="00542987">
        <w:rPr>
          <w:vertAlign w:val="subscript"/>
        </w:rPr>
        <w:t>=</w:t>
      </w:r>
      <w:r w:rsidR="00542987">
        <w:t xml:space="preserve"> accumulation ratio</w:t>
      </w:r>
      <w:r>
        <w:t>.</w:t>
      </w:r>
    </w:p>
    <w:p w14:paraId="09113A5E" w14:textId="77777777" w:rsidR="00AC6FFE" w:rsidRPr="00BA326D" w:rsidRDefault="007B3EF5" w:rsidP="002552DB">
      <w:pPr>
        <w:pStyle w:val="Heading6"/>
      </w:pPr>
      <w:r w:rsidRPr="00BA326D">
        <w:lastRenderedPageBreak/>
        <w:t>Potential issue with glycopyrronium in renal impairment</w:t>
      </w:r>
    </w:p>
    <w:p w14:paraId="4CFD28C2" w14:textId="446B5238" w:rsidR="007B3EF5" w:rsidRDefault="007B3EF5" w:rsidP="007B3EF5">
      <w:r>
        <w:t xml:space="preserve">The </w:t>
      </w:r>
      <w:proofErr w:type="spellStart"/>
      <w:r>
        <w:t>popPK</w:t>
      </w:r>
      <w:proofErr w:type="spellEnd"/>
      <w:r>
        <w:t xml:space="preserve"> study indicated decreased clearance of glycopyrronium in patients with renal impairment. The </w:t>
      </w:r>
      <w:proofErr w:type="spellStart"/>
      <w:r>
        <w:t>popPK</w:t>
      </w:r>
      <w:proofErr w:type="spellEnd"/>
      <w:r>
        <w:t xml:space="preserve"> analysis indicated that renal function (eGFR) affected apparent clearance of glycopyrronium (increasing with increasing absolute eGFR) (</w:t>
      </w:r>
      <w:r w:rsidR="00344D4F">
        <w:t xml:space="preserve">see </w:t>
      </w:r>
      <w:r w:rsidR="00512287">
        <w:fldChar w:fldCharType="begin"/>
      </w:r>
      <w:r w:rsidR="00512287">
        <w:instrText xml:space="preserve"> REF _Ref89956682 \h </w:instrText>
      </w:r>
      <w:r w:rsidR="00512287">
        <w:fldChar w:fldCharType="separate"/>
      </w:r>
      <w:r w:rsidR="00E53BA0">
        <w:t>Figure</w:t>
      </w:r>
      <w:r w:rsidR="00E53BA0" w:rsidRPr="00084730">
        <w:t xml:space="preserve"> </w:t>
      </w:r>
      <w:r w:rsidR="00E53BA0">
        <w:rPr>
          <w:noProof/>
        </w:rPr>
        <w:t>6</w:t>
      </w:r>
      <w:r w:rsidR="00512287">
        <w:fldChar w:fldCharType="end"/>
      </w:r>
      <w:r>
        <w:t>). For example, compared to a patient with an eGFR of 90.0 mL/min/1.73 m</w:t>
      </w:r>
      <w:r w:rsidRPr="002552DB">
        <w:rPr>
          <w:vertAlign w:val="superscript"/>
        </w:rPr>
        <w:t>2</w:t>
      </w:r>
      <w:r>
        <w:t>, a patient with an eGFR of:</w:t>
      </w:r>
    </w:p>
    <w:p w14:paraId="271172E5" w14:textId="02B4F048" w:rsidR="007B3EF5" w:rsidRDefault="007B3EF5" w:rsidP="004C28BA">
      <w:pPr>
        <w:pStyle w:val="ListBullet"/>
      </w:pPr>
      <w:r>
        <w:t>63.7 mL/min/1.73 m</w:t>
      </w:r>
      <w:r w:rsidRPr="001B08C3">
        <w:rPr>
          <w:vertAlign w:val="superscript"/>
        </w:rPr>
        <w:t>2</w:t>
      </w:r>
      <w:r>
        <w:t xml:space="preserve"> was predicted to have </w:t>
      </w:r>
      <w:r w:rsidR="00344D4F">
        <w:t>a</w:t>
      </w:r>
      <w:r w:rsidR="00344D4F" w:rsidRPr="00344D4F">
        <w:t xml:space="preserve">rea under the concentration time curve </w:t>
      </w:r>
      <w:r w:rsidR="00344D4F">
        <w:t>(</w:t>
      </w:r>
      <w:r>
        <w:t>AUC</w:t>
      </w:r>
      <w:r w:rsidR="00344D4F">
        <w:t>)</w:t>
      </w:r>
      <w:r>
        <w:t xml:space="preserve"> increased by 29%.</w:t>
      </w:r>
    </w:p>
    <w:p w14:paraId="63717B8E" w14:textId="4C6A4EB0" w:rsidR="007B3EF5" w:rsidRDefault="007B3EF5" w:rsidP="004C28BA">
      <w:pPr>
        <w:pStyle w:val="ListBullet"/>
      </w:pPr>
      <w:r>
        <w:t>45.0 mL/min/1.73 m</w:t>
      </w:r>
      <w:r w:rsidRPr="001B08C3">
        <w:rPr>
          <w:vertAlign w:val="superscript"/>
        </w:rPr>
        <w:t>2</w:t>
      </w:r>
      <w:r>
        <w:t xml:space="preserve"> was predicted to have AUC increased by 68%.</w:t>
      </w:r>
    </w:p>
    <w:p w14:paraId="139DD18D" w14:textId="6094E228" w:rsidR="007B3EF5" w:rsidRDefault="007B3EF5" w:rsidP="007B3EF5">
      <w:r>
        <w:t xml:space="preserve">For patients with renal impairment, the use of a glycopyrronium-containing </w:t>
      </w:r>
      <w:r w:rsidR="001579B2">
        <w:t>f</w:t>
      </w:r>
      <w:r w:rsidR="001579B2" w:rsidRPr="00896B84">
        <w:t>ixed</w:t>
      </w:r>
      <w:r w:rsidR="001579B2">
        <w:t xml:space="preserve"> </w:t>
      </w:r>
      <w:r w:rsidR="001579B2" w:rsidRPr="00896B84">
        <w:t>dose combination</w:t>
      </w:r>
      <w:r w:rsidR="001579B2" w:rsidDel="001579B2">
        <w:t xml:space="preserve"> </w:t>
      </w:r>
      <w:r>
        <w:t>may not be appropriate.</w:t>
      </w:r>
    </w:p>
    <w:p w14:paraId="41F8C91F" w14:textId="77777777" w:rsidR="00E53BA0" w:rsidRDefault="00BB3668" w:rsidP="00BB3668">
      <w:pPr>
        <w:pStyle w:val="FigureTitle"/>
      </w:pPr>
      <w:bookmarkStart w:id="88" w:name="_Ref89956682"/>
      <w:r>
        <w:t>Figure</w:t>
      </w:r>
      <w:r w:rsidRPr="00084730">
        <w:rPr>
          <w:b w:val="0"/>
        </w:rPr>
        <w:t xml:space="preserve"> </w:t>
      </w:r>
      <w:r w:rsidR="00980D26" w:rsidRPr="002552DB">
        <w:fldChar w:fldCharType="begin"/>
      </w:r>
      <w:r w:rsidR="00980D26" w:rsidRPr="005C148E">
        <w:instrText xml:space="preserve"> SEQ Figure \* ARABIC </w:instrText>
      </w:r>
      <w:r w:rsidR="00980D26" w:rsidRPr="002552DB">
        <w:fldChar w:fldCharType="separate"/>
      </w:r>
      <w:r w:rsidR="00E53BA0">
        <w:rPr>
          <w:noProof/>
        </w:rPr>
        <w:t>6</w:t>
      </w:r>
      <w:r w:rsidR="00980D26" w:rsidRPr="002552DB">
        <w:fldChar w:fldCharType="end"/>
      </w:r>
      <w:bookmarkEnd w:id="88"/>
      <w:r w:rsidRPr="00084730">
        <w:rPr>
          <w:b w:val="0"/>
        </w:rPr>
        <w:t>:</w:t>
      </w:r>
      <w:r>
        <w:t xml:space="preserve"> </w:t>
      </w:r>
      <w:r w:rsidR="0092285D">
        <w:t xml:space="preserve">Studies </w:t>
      </w:r>
      <w:r w:rsidR="0092285D" w:rsidRPr="0092285D">
        <w:t>PT0010801, PT003006, PT003013, PT0031002, PT005003, PT0050801, PT009001, PT010006</w:t>
      </w:r>
      <w:r w:rsidR="0092285D">
        <w:t xml:space="preserve"> and </w:t>
      </w:r>
      <w:r w:rsidR="0092285D" w:rsidRPr="0092285D">
        <w:t xml:space="preserve">PT010018 </w:t>
      </w:r>
      <w:r w:rsidRPr="00BB3668">
        <w:t xml:space="preserve">Impact of identified covariates on </w:t>
      </w:r>
      <w:r w:rsidR="00645D8A" w:rsidRPr="00645D8A">
        <w:t>area under the concentration time curve</w:t>
      </w:r>
      <w:r w:rsidR="00645D8A" w:rsidRPr="00645D8A" w:rsidDel="00645D8A">
        <w:t xml:space="preserve"> </w:t>
      </w:r>
      <w:r w:rsidRPr="00BB3668">
        <w:t>at steady state for glycopyrronium (</w:t>
      </w:r>
      <w:r w:rsidR="00E74F8E" w:rsidRPr="00E74F8E">
        <w:t>the metered dose inhaler of 320</w:t>
      </w:r>
      <w:r w:rsidR="00645D8A">
        <w:t xml:space="preserve"> </w:t>
      </w:r>
      <w:r w:rsidR="00E74F8E" w:rsidRPr="00E74F8E">
        <w:t xml:space="preserve">µg budesonide, </w:t>
      </w:r>
      <w:r w:rsidR="00E74F8E">
        <w:t>18</w:t>
      </w:r>
      <w:r w:rsidR="00645D8A">
        <w:t> </w:t>
      </w:r>
      <w:r w:rsidR="00E74F8E" w:rsidRPr="00E74F8E">
        <w:t>µg glycopyrronium and 9.6</w:t>
      </w:r>
      <w:r w:rsidR="00645D8A">
        <w:t> </w:t>
      </w:r>
      <w:r w:rsidR="00E74F8E" w:rsidRPr="00E74F8E">
        <w:t xml:space="preserve">µg formoterol fumarate </w:t>
      </w:r>
      <w:r w:rsidRPr="00BB3668">
        <w:t>twice daily)</w:t>
      </w:r>
    </w:p>
    <w:p w14:paraId="662F727C" w14:textId="18F9CB4B" w:rsidR="007400EF" w:rsidRDefault="007400EF" w:rsidP="00261765">
      <w:r>
        <w:rPr>
          <w:noProof/>
          <w:lang w:val="en-GB" w:eastAsia="en-GB"/>
        </w:rPr>
        <w:drawing>
          <wp:inline distT="0" distB="0" distL="0" distR="0" wp14:anchorId="438791DC" wp14:editId="14B78202">
            <wp:extent cx="5400040" cy="3428365"/>
            <wp:effectExtent l="0" t="0" r="0" b="635"/>
            <wp:docPr id="42" name="Picture 42" descr="Figure 6: Studies PT0010801, PT003006, PT003013, PT0031002, PT005003, PT0050801, PT009001, PT010006 and PT010018 Impact of identified covariates on area under the concentration time curve at steady state for glycopyrronium (the metered dose inhaler of 320 µg budesonide, 18 µg glycopyrronium and 9.6 µg formoterol fumarate twic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6: Studies PT0010801, PT003006, PT003013, PT0031002, PT005003, PT0050801, PT009001, PT010006 and PT010018 Impact of identified covariates on area under the concentration time curve at steady state for glycopyrronium (the metered dose inhaler of 320 µg budesonide, 18 µg glycopyrronium and 9.6 µg formoterol fumarate twice daily)"/>
                    <pic:cNvPicPr/>
                  </pic:nvPicPr>
                  <pic:blipFill>
                    <a:blip r:embed="rId45"/>
                    <a:stretch>
                      <a:fillRect/>
                    </a:stretch>
                  </pic:blipFill>
                  <pic:spPr>
                    <a:xfrm>
                      <a:off x="0" y="0"/>
                      <a:ext cx="5400040" cy="3428365"/>
                    </a:xfrm>
                    <a:prstGeom prst="rect">
                      <a:avLst/>
                    </a:prstGeom>
                  </pic:spPr>
                </pic:pic>
              </a:graphicData>
            </a:graphic>
          </wp:inline>
        </w:drawing>
      </w:r>
    </w:p>
    <w:p w14:paraId="075380D1" w14:textId="34B1AECD" w:rsidR="00542987" w:rsidRDefault="00D94ADB" w:rsidP="00261765">
      <w:pPr>
        <w:pStyle w:val="FigureDescription"/>
      </w:pPr>
      <w:r>
        <w:t>AUC = a</w:t>
      </w:r>
      <w:r w:rsidRPr="002A146E">
        <w:t>rea under the concentration time curve</w:t>
      </w:r>
      <w:r>
        <w:t xml:space="preserve">; </w:t>
      </w:r>
      <w:r w:rsidR="00542987">
        <w:t>eGFR =</w:t>
      </w:r>
      <w:r w:rsidR="002A146E">
        <w:t xml:space="preserve"> e</w:t>
      </w:r>
      <w:r w:rsidR="002A146E" w:rsidRPr="002A146E">
        <w:t>stimated glomerular filtration rate</w:t>
      </w:r>
      <w:r>
        <w:t>.</w:t>
      </w:r>
    </w:p>
    <w:p w14:paraId="287CD555" w14:textId="5FDFF68F" w:rsidR="007B3EF5" w:rsidRPr="004C28BA" w:rsidRDefault="007B3EF5" w:rsidP="002552DB">
      <w:pPr>
        <w:pStyle w:val="Heading5"/>
      </w:pPr>
      <w:r w:rsidRPr="004C28BA">
        <w:t>Efficacy</w:t>
      </w:r>
    </w:p>
    <w:p w14:paraId="5810DFD1" w14:textId="2A6363C5" w:rsidR="007B3EF5" w:rsidRDefault="007B3EF5" w:rsidP="007B3EF5">
      <w:r>
        <w:t xml:space="preserve">The clinical trial program had two pivotal studies, Study PT010005 and Study PT010006, with </w:t>
      </w:r>
      <w:r w:rsidR="00344D4F">
        <w:t xml:space="preserve">Study PT010005 </w:t>
      </w:r>
      <w:r>
        <w:t>being more significant.</w:t>
      </w:r>
    </w:p>
    <w:p w14:paraId="093EFDE5" w14:textId="348B65D7" w:rsidR="007B3EF5" w:rsidRDefault="007B3EF5" w:rsidP="007B3EF5">
      <w:r>
        <w:t xml:space="preserve">Study PT010006 was not considered </w:t>
      </w:r>
      <w:r w:rsidR="006A74EA">
        <w:t>in</w:t>
      </w:r>
      <w:r>
        <w:t xml:space="preserve">sufficient to establish efficacy on its own. It has a pulmonary function primary endpoint (exacerbations measured as secondary objective), and its 24-week study period was rather short and not suited to measure seasonal variation in exacerbation rates (despite a subpopulation having an extended study period within the extension </w:t>
      </w:r>
      <w:r w:rsidR="00344D4F">
        <w:t>S</w:t>
      </w:r>
      <w:r>
        <w:t xml:space="preserve">tudies PT010007 and PT010008). Furthermore, </w:t>
      </w:r>
      <w:r w:rsidR="006A74EA">
        <w:t>it</w:t>
      </w:r>
      <w:r>
        <w:t xml:space="preserve"> did not show superior efficacy for the primary efficacy outcome measures for </w:t>
      </w:r>
      <w:r w:rsidR="007439A1" w:rsidRPr="007D7134">
        <w:t xml:space="preserve">the </w:t>
      </w:r>
      <w:r w:rsidR="00072973">
        <w:t>BGF MDI (320/14.4/9.6 µg)</w:t>
      </w:r>
      <w:r>
        <w:t xml:space="preserve"> in comparison with GFF (for FEV</w:t>
      </w:r>
      <w:r w:rsidRPr="0086667A">
        <w:rPr>
          <w:vertAlign w:val="subscript"/>
        </w:rPr>
        <w:t>1</w:t>
      </w:r>
      <w:r>
        <w:t xml:space="preserve"> AUC</w:t>
      </w:r>
      <w:r w:rsidRPr="0086667A">
        <w:rPr>
          <w:vertAlign w:val="subscript"/>
        </w:rPr>
        <w:t>0-4</w:t>
      </w:r>
      <w:r w:rsidR="003D2441">
        <w:rPr>
          <w:vertAlign w:val="subscript"/>
        </w:rPr>
        <w:t>h</w:t>
      </w:r>
      <w:r>
        <w:t xml:space="preserve">), </w:t>
      </w:r>
      <w:r w:rsidR="00D86235">
        <w:t>that is</w:t>
      </w:r>
      <w:r>
        <w:t xml:space="preserve"> whether the addition of budesonide to GFF conferred significant benefit.</w:t>
      </w:r>
    </w:p>
    <w:p w14:paraId="509EFB61" w14:textId="2EE73D25" w:rsidR="007B3EF5" w:rsidRDefault="007B3EF5" w:rsidP="007B3EF5">
      <w:r>
        <w:lastRenderedPageBreak/>
        <w:t>Study PT010005 appears to have addressed the concerns raised by PT010006 with its 52</w:t>
      </w:r>
      <w:r w:rsidR="00344D4F">
        <w:noBreakHyphen/>
      </w:r>
      <w:r>
        <w:t>week study period and exacerbation</w:t>
      </w:r>
      <w:r w:rsidR="00344D4F">
        <w:t xml:space="preserve"> </w:t>
      </w:r>
      <w:r>
        <w:t>based primary endpoint and has demonstrated the benefit of adding the ICS budesonide to the fixed</w:t>
      </w:r>
      <w:r w:rsidR="00970F08">
        <w:t xml:space="preserve"> </w:t>
      </w:r>
      <w:r>
        <w:t>dose LABA/LAMA treatment.</w:t>
      </w:r>
    </w:p>
    <w:p w14:paraId="7E1E931F" w14:textId="78218822" w:rsidR="007B3EF5" w:rsidRPr="00BA326D" w:rsidRDefault="007B3EF5" w:rsidP="002552DB">
      <w:pPr>
        <w:pStyle w:val="Heading6"/>
      </w:pPr>
      <w:r w:rsidRPr="00BA326D">
        <w:t>Study design</w:t>
      </w:r>
      <w:r w:rsidR="00344D4F">
        <w:t xml:space="preserve"> and </w:t>
      </w:r>
      <w:r w:rsidRPr="00BA326D">
        <w:t>conduct</w:t>
      </w:r>
    </w:p>
    <w:p w14:paraId="75FF1920" w14:textId="461561CD" w:rsidR="007B3EF5" w:rsidRDefault="007B3EF5" w:rsidP="007B3EF5">
      <w:r>
        <w:t>Overall, the pivotal studies were well designed and conducted. To enable a useful comparison of the ICS/LAMA/LABA (BGF), the comparators included a LAMA/LABA (GFF) combination, and a</w:t>
      </w:r>
      <w:r w:rsidR="003042F0">
        <w:t>n</w:t>
      </w:r>
      <w:r>
        <w:t xml:space="preserve"> ICS/LABA (BFF) combination. The doses of the comparator drugs were identical for each of the actives for </w:t>
      </w:r>
      <w:bookmarkStart w:id="89" w:name="_Hlk95475898"/>
      <w:r w:rsidR="000F11B2" w:rsidRPr="007D7134">
        <w:t xml:space="preserve">the </w:t>
      </w:r>
      <w:r w:rsidR="00072973">
        <w:t>BGF MDI (320/14.4/9.6 µg)</w:t>
      </w:r>
      <w:r w:rsidR="000F11B2">
        <w:t xml:space="preserve"> </w:t>
      </w:r>
      <w:bookmarkEnd w:id="89"/>
      <w:r>
        <w:t xml:space="preserve">dose level, and thus supporting the validity of the comparators. The devices and excipients were also identical. </w:t>
      </w:r>
      <w:r w:rsidR="003042F0" w:rsidRPr="003042F0">
        <w:t xml:space="preserve">Study PT010005 </w:t>
      </w:r>
      <w:r>
        <w:t xml:space="preserve">included </w:t>
      </w:r>
      <w:bookmarkStart w:id="90" w:name="_Hlk95475769"/>
      <w:r w:rsidR="003042F0">
        <w:t xml:space="preserve">BGF </w:t>
      </w:r>
      <w:r w:rsidR="000F11B2">
        <w:t>32</w:t>
      </w:r>
      <w:r w:rsidR="000F11B2" w:rsidRPr="007D7134">
        <w:t>0</w:t>
      </w:r>
      <w:r w:rsidR="003042F0">
        <w:t>/</w:t>
      </w:r>
      <w:r w:rsidR="000F11B2" w:rsidRPr="007D7134">
        <w:t>14.4</w:t>
      </w:r>
      <w:r w:rsidR="003042F0">
        <w:t>/</w:t>
      </w:r>
      <w:r w:rsidR="000F11B2" w:rsidRPr="007D7134">
        <w:t>9.6</w:t>
      </w:r>
      <w:r w:rsidR="000F11B2">
        <w:t> </w:t>
      </w:r>
      <w:r w:rsidR="000F11B2" w:rsidRPr="007D7134">
        <w:t xml:space="preserve">µg </w:t>
      </w:r>
      <w:bookmarkEnd w:id="90"/>
      <w:r>
        <w:t xml:space="preserve">and 160/14.4/9.6 </w:t>
      </w:r>
      <w:proofErr w:type="spellStart"/>
      <w:r w:rsidR="00522100" w:rsidRPr="002552DB">
        <w:t>μ</w:t>
      </w:r>
      <w:r w:rsidRPr="003042F0">
        <w:t>g</w:t>
      </w:r>
      <w:proofErr w:type="spellEnd"/>
      <w:r>
        <w:t xml:space="preserve"> groups. </w:t>
      </w:r>
      <w:r w:rsidR="003042F0" w:rsidRPr="003042F0">
        <w:t>Study PT010006</w:t>
      </w:r>
      <w:r>
        <w:t xml:space="preserve"> only tested a </w:t>
      </w:r>
      <w:r w:rsidR="003042F0">
        <w:t>BGF 32</w:t>
      </w:r>
      <w:r w:rsidR="003042F0" w:rsidRPr="007D7134">
        <w:t>0</w:t>
      </w:r>
      <w:r w:rsidR="003042F0">
        <w:t>/</w:t>
      </w:r>
      <w:r w:rsidR="003042F0" w:rsidRPr="007D7134">
        <w:t>14.4</w:t>
      </w:r>
      <w:r w:rsidR="003042F0">
        <w:t>/</w:t>
      </w:r>
      <w:r w:rsidR="003042F0" w:rsidRPr="007D7134">
        <w:t>9.6</w:t>
      </w:r>
      <w:r w:rsidR="003042F0">
        <w:t> </w:t>
      </w:r>
      <w:r w:rsidR="003042F0" w:rsidRPr="007D7134">
        <w:t xml:space="preserve">µg </w:t>
      </w:r>
      <w:r>
        <w:t>group.</w:t>
      </w:r>
    </w:p>
    <w:p w14:paraId="5673CD0C" w14:textId="1EFC4D60" w:rsidR="007B3EF5" w:rsidRDefault="007B3EF5" w:rsidP="007B3EF5">
      <w:r>
        <w:t xml:space="preserve">In </w:t>
      </w:r>
      <w:r w:rsidR="003042F0" w:rsidRPr="003042F0">
        <w:t>Study PT010005</w:t>
      </w:r>
      <w:r>
        <w:t>, the outcome measures were extensive, and included a mixture of respiratory function tests, survival analysis and patient reported outcomes. There were also sub</w:t>
      </w:r>
      <w:r w:rsidR="00407F30">
        <w:t>-</w:t>
      </w:r>
      <w:r>
        <w:t xml:space="preserve">study assessments of more detailed respiratory function testing and of cardiac safety. These outcomes were clinically relevant. In </w:t>
      </w:r>
      <w:r w:rsidR="003042F0">
        <w:t>Study PT010006</w:t>
      </w:r>
      <w:r>
        <w:t>, the outcome measures focused more on respiratory function rather than COPD exacerbations. However, the outcome measures were extensive, and included a mixture of respiratory function tests, survival analysis and patient reported outcomes.</w:t>
      </w:r>
    </w:p>
    <w:p w14:paraId="338E18E8" w14:textId="77777777" w:rsidR="007B3EF5" w:rsidRDefault="007B3EF5" w:rsidP="007B3EF5">
      <w:r>
        <w:t>The statistical methods were complex and used sophisticated models for the hypothesis tests. Overall, the statistical methods were reasonable, and included baseline severity measures as covariates.</w:t>
      </w:r>
    </w:p>
    <w:p w14:paraId="6D5E440F" w14:textId="77777777" w:rsidR="007B3EF5" w:rsidRDefault="007B3EF5" w:rsidP="007B3EF5">
      <w:r>
        <w:t>The study populations were balanced with respect to baseline demographic and disease characteristics, COPD severity and baseline efficacy outcome measures.</w:t>
      </w:r>
    </w:p>
    <w:p w14:paraId="5465F41A" w14:textId="77777777" w:rsidR="007B3EF5" w:rsidRPr="00BA326D" w:rsidRDefault="007B3EF5" w:rsidP="002552DB">
      <w:pPr>
        <w:pStyle w:val="Heading6"/>
      </w:pPr>
      <w:r w:rsidRPr="00BA326D">
        <w:t>Study results</w:t>
      </w:r>
    </w:p>
    <w:p w14:paraId="66525EA3" w14:textId="717113F6" w:rsidR="007B3EF5" w:rsidRDefault="007B3EF5" w:rsidP="007B3EF5">
      <w:r>
        <w:t xml:space="preserve">In Study PT010005, there was a clear benefit for </w:t>
      </w:r>
      <w:r w:rsidR="003042F0">
        <w:t>BGF</w:t>
      </w:r>
      <w:r w:rsidR="00255519" w:rsidDel="00255519">
        <w:t xml:space="preserve"> </w:t>
      </w:r>
      <w:r>
        <w:t xml:space="preserve">MDI at both budesonide dose levels in comparison with </w:t>
      </w:r>
      <w:r w:rsidR="00EC053D">
        <w:t>GFF</w:t>
      </w:r>
      <w:r>
        <w:t xml:space="preserve"> MDI and BGG MDI. There was no apparent difference in efficacy between the two dose levels of </w:t>
      </w:r>
      <w:r w:rsidR="003042F0">
        <w:t xml:space="preserve">BGF </w:t>
      </w:r>
      <w:r>
        <w:t>MDI studied. The study demonstrated benefit for clinical outcomes (time to exacerbation and time to death), for respiratory function outcomes (clinically and statistically significant, and maintained over time) and for patient reported outcomes (</w:t>
      </w:r>
      <w:r w:rsidR="004E7E61" w:rsidRPr="004E7E61">
        <w:t>St. George's Respiratory Questionnaire</w:t>
      </w:r>
      <w:r>
        <w:t xml:space="preserve">). However, the triple therapy did not reduce healthcare utilisation and did not alter the rate of decline in respiratory function, </w:t>
      </w:r>
      <w:r w:rsidR="00D86235">
        <w:t>that is</w:t>
      </w:r>
      <w:r>
        <w:t xml:space="preserve"> the natural history of the underlying condition.</w:t>
      </w:r>
    </w:p>
    <w:p w14:paraId="01058137" w14:textId="732FE7ED" w:rsidR="007B3EF5" w:rsidRDefault="007B3EF5" w:rsidP="007B3EF5">
      <w:r>
        <w:t>In Study PT010006, BGF MDI compared to GFF MDI did not deliver significant improvements in respiratory function (for FEV</w:t>
      </w:r>
      <w:r w:rsidRPr="0086667A">
        <w:rPr>
          <w:vertAlign w:val="subscript"/>
        </w:rPr>
        <w:t>1</w:t>
      </w:r>
      <w:r>
        <w:t xml:space="preserve"> AUC</w:t>
      </w:r>
      <w:r w:rsidRPr="0086667A">
        <w:rPr>
          <w:vertAlign w:val="subscript"/>
        </w:rPr>
        <w:t>0-4</w:t>
      </w:r>
      <w:r w:rsidR="003D2441">
        <w:rPr>
          <w:vertAlign w:val="subscript"/>
        </w:rPr>
        <w:t>h</w:t>
      </w:r>
      <w:r>
        <w:t>), but there were significant improvements in morning pre</w:t>
      </w:r>
      <w:r w:rsidR="00407F30">
        <w:t>-</w:t>
      </w:r>
      <w:r>
        <w:t>dose FEV</w:t>
      </w:r>
      <w:r w:rsidRPr="0086667A">
        <w:rPr>
          <w:vertAlign w:val="subscript"/>
        </w:rPr>
        <w:t>1</w:t>
      </w:r>
      <w:r>
        <w:t xml:space="preserve"> and FEV</w:t>
      </w:r>
      <w:r w:rsidRPr="0086667A">
        <w:rPr>
          <w:vertAlign w:val="subscript"/>
        </w:rPr>
        <w:t>1</w:t>
      </w:r>
      <w:r>
        <w:t xml:space="preserve"> AUC</w:t>
      </w:r>
      <w:r w:rsidRPr="0086667A">
        <w:rPr>
          <w:vertAlign w:val="subscript"/>
        </w:rPr>
        <w:t>0-4</w:t>
      </w:r>
      <w:r>
        <w:t xml:space="preserve"> compared to BFF MDI and Symbicort </w:t>
      </w:r>
      <w:r w:rsidR="000521C3" w:rsidRPr="00A62B3E">
        <w:t>Turbuhaler</w:t>
      </w:r>
      <w:r w:rsidR="000521C3">
        <w:t xml:space="preserve"> </w:t>
      </w:r>
      <w:r>
        <w:t>that persisted throughout the treatment period. These improvements were clinically and statistically significant. Conversely, there were fewer moderate or severe COPD exacerbations over 24 weeks for BGF MDI compared to GFF MDI, but no significant difference compared to BFF MDI or Symbicort</w:t>
      </w:r>
      <w:r w:rsidR="000521C3">
        <w:t xml:space="preserve"> </w:t>
      </w:r>
      <w:r w:rsidR="000521C3" w:rsidRPr="00A62B3E">
        <w:t>Turbuhaler</w:t>
      </w:r>
      <w:r>
        <w:t xml:space="preserve">. There were improvements in </w:t>
      </w:r>
      <w:r w:rsidR="00A01FB8">
        <w:t>the t</w:t>
      </w:r>
      <w:r w:rsidR="00A01FB8" w:rsidRPr="00A01FB8">
        <w:t xml:space="preserve">ransition </w:t>
      </w:r>
      <w:r w:rsidR="00A01FB8">
        <w:t>d</w:t>
      </w:r>
      <w:r w:rsidR="00A01FB8" w:rsidRPr="00A01FB8">
        <w:t xml:space="preserve">yspnoea </w:t>
      </w:r>
      <w:r w:rsidR="00A01FB8">
        <w:t>i</w:t>
      </w:r>
      <w:r w:rsidR="00A01FB8" w:rsidRPr="00A01FB8">
        <w:t xml:space="preserve">ndex </w:t>
      </w:r>
      <w:r>
        <w:t>focal score for BGF MDI relative to Symbicort</w:t>
      </w:r>
      <w:r w:rsidR="000521C3">
        <w:t xml:space="preserve"> </w:t>
      </w:r>
      <w:r w:rsidR="000521C3" w:rsidRPr="00A62B3E">
        <w:t>Turbuhaler</w:t>
      </w:r>
      <w:r>
        <w:t xml:space="preserve">. The improvement from </w:t>
      </w:r>
      <w:r w:rsidR="004E7E61">
        <w:t>B</w:t>
      </w:r>
      <w:r>
        <w:t xml:space="preserve">aseline in </w:t>
      </w:r>
      <w:r w:rsidR="004E7E61" w:rsidRPr="004E7E61">
        <w:t>St. George's Respiratory Questionnaire</w:t>
      </w:r>
      <w:r>
        <w:t xml:space="preserve"> total score was greater for BGF MDI than GFF MDI. There were no differences between the groups in Ventolin rescue or time to </w:t>
      </w:r>
      <w:proofErr w:type="gramStart"/>
      <w:r>
        <w:t>effect</w:t>
      </w:r>
      <w:proofErr w:type="gramEnd"/>
      <w:r>
        <w:t>.</w:t>
      </w:r>
    </w:p>
    <w:p w14:paraId="62A472E9" w14:textId="63E5BF1D" w:rsidR="007B3EF5" w:rsidRDefault="007B3EF5" w:rsidP="007B3EF5">
      <w:r>
        <w:t>Neither Study PT010005 nor Study PT010006 demonstrated any decrease in healthcare resource utilisation with BGF MDI.</w:t>
      </w:r>
    </w:p>
    <w:p w14:paraId="140F1870" w14:textId="0CFE2C1C" w:rsidR="007B3EF5" w:rsidRDefault="007B3EF5" w:rsidP="007B3EF5">
      <w:r>
        <w:t>The results of Study PT010007 and Study PT010008 (extension studies of Study</w:t>
      </w:r>
      <w:r w:rsidR="004E7E61">
        <w:t> </w:t>
      </w:r>
      <w:r>
        <w:t>PT010006</w:t>
      </w:r>
      <w:r w:rsidR="003042F0">
        <w:t>)</w:t>
      </w:r>
      <w:r>
        <w:t xml:space="preserve"> were generally supportive.</w:t>
      </w:r>
    </w:p>
    <w:p w14:paraId="22293D75" w14:textId="1A0A8255" w:rsidR="007B3EF5" w:rsidRDefault="007B3EF5" w:rsidP="002552DB">
      <w:pPr>
        <w:pStyle w:val="Heading5"/>
      </w:pPr>
      <w:r w:rsidRPr="0086667A">
        <w:lastRenderedPageBreak/>
        <w:t>Safety</w:t>
      </w:r>
    </w:p>
    <w:p w14:paraId="232770E5" w14:textId="6403194B" w:rsidR="007B3EF5" w:rsidRDefault="007B3EF5" w:rsidP="007B3EF5">
      <w:r>
        <w:t>The overall rates of TEAEs, SAEs and DAEs were similar for BGF MDI, GFF MDI, BFF MDI and Symbicort</w:t>
      </w:r>
      <w:r w:rsidR="000521C3">
        <w:t xml:space="preserve"> </w:t>
      </w:r>
      <w:r w:rsidR="000521C3" w:rsidRPr="00A62B3E">
        <w:t>Turbuhaler</w:t>
      </w:r>
      <w:r>
        <w:t>. The safety profile of BGF MDI was generally consistent with the known profile of its components. There were higher rates of dysphonia and oral candidiasis in the patients treated with the combinations that contained budesonide. However, the rates for these conditions in the BGF MDI group were low. The mortality rate was lower with BGF MDI than with GFF MDI. The data did not demonstrate any increase in cardiotoxicity for BGF MDI in comparison with GFF MDI and BFF MDI.</w:t>
      </w:r>
    </w:p>
    <w:p w14:paraId="3B22CE4B" w14:textId="60676DA7" w:rsidR="007B3EF5" w:rsidRDefault="007B3EF5" w:rsidP="007B3EF5">
      <w:r>
        <w:t xml:space="preserve">The AE profile of BGF MDI was generally consistent with the known side effect profile of ICS, </w:t>
      </w:r>
      <w:r w:rsidR="003D2441">
        <w:t>LABA</w:t>
      </w:r>
      <w:r>
        <w:t xml:space="preserve"> and anticholinergic inhalers used in the treatment of COPD. There were no new or unexpected clear safety signals identified. There was no clear evidence of an additive effect from combining the three treatments in one fixed dose combination inhaler or of a clinically significant cumulative effect over longer term treatment. However, some uncertainties remain:</w:t>
      </w:r>
    </w:p>
    <w:p w14:paraId="4150E990" w14:textId="077E85BE" w:rsidR="007B3EF5" w:rsidRDefault="007B3EF5" w:rsidP="00441132">
      <w:pPr>
        <w:pStyle w:val="ListBullet"/>
      </w:pPr>
      <w:r w:rsidRPr="00441132">
        <w:rPr>
          <w:i/>
          <w:iCs/>
        </w:rPr>
        <w:t>Osteoporosis</w:t>
      </w:r>
      <w:r>
        <w:t>: The data for BMD do not exclude a risk of osteoporosis with BGF MDI.</w:t>
      </w:r>
    </w:p>
    <w:p w14:paraId="581D1CBE" w14:textId="39D888B9" w:rsidR="007B3EF5" w:rsidRDefault="007B3EF5" w:rsidP="00441132">
      <w:pPr>
        <w:pStyle w:val="ListBullet"/>
      </w:pPr>
      <w:r w:rsidRPr="00441132">
        <w:rPr>
          <w:i/>
          <w:iCs/>
        </w:rPr>
        <w:t>Ocular corticosteroid toxicity</w:t>
      </w:r>
      <w:r>
        <w:t xml:space="preserve">: Although there was no significant difference between BGF MDI and GFF MDI, there were significant increases from </w:t>
      </w:r>
      <w:r w:rsidR="00864779">
        <w:t>B</w:t>
      </w:r>
      <w:r>
        <w:t xml:space="preserve">aseline in </w:t>
      </w:r>
      <w:r w:rsidR="00441132">
        <w:t>i</w:t>
      </w:r>
      <w:r w:rsidR="00441132" w:rsidRPr="00441132">
        <w:t>ntraocular pressure</w:t>
      </w:r>
      <w:r>
        <w:t xml:space="preserve"> and LOCS III measures in the BGF MDI groups (</w:t>
      </w:r>
      <w:r w:rsidR="00136695">
        <w:t xml:space="preserve">see </w:t>
      </w:r>
      <w:r w:rsidR="005B6FD5">
        <w:fldChar w:fldCharType="begin"/>
      </w:r>
      <w:r w:rsidR="005B6FD5">
        <w:instrText xml:space="preserve"> REF _Ref97733001 \h </w:instrText>
      </w:r>
      <w:r w:rsidR="005B6FD5">
        <w:fldChar w:fldCharType="separate"/>
      </w:r>
      <w:r w:rsidR="00E53BA0">
        <w:t xml:space="preserve">Table </w:t>
      </w:r>
      <w:r w:rsidR="00E53BA0">
        <w:rPr>
          <w:noProof/>
        </w:rPr>
        <w:t>15</w:t>
      </w:r>
      <w:r w:rsidR="005B6FD5">
        <w:fldChar w:fldCharType="end"/>
      </w:r>
      <w:r w:rsidR="005B6FD5">
        <w:t xml:space="preserve">, </w:t>
      </w:r>
      <w:r w:rsidR="005B6FD5">
        <w:fldChar w:fldCharType="begin"/>
      </w:r>
      <w:r w:rsidR="005B6FD5">
        <w:instrText xml:space="preserve"> REF _Ref97733011 \h </w:instrText>
      </w:r>
      <w:r w:rsidR="005B6FD5">
        <w:fldChar w:fldCharType="separate"/>
      </w:r>
      <w:r w:rsidR="00E53BA0">
        <w:t xml:space="preserve">Table </w:t>
      </w:r>
      <w:r w:rsidR="00E53BA0">
        <w:rPr>
          <w:noProof/>
        </w:rPr>
        <w:t>16</w:t>
      </w:r>
      <w:r w:rsidR="005B6FD5">
        <w:fldChar w:fldCharType="end"/>
      </w:r>
      <w:r>
        <w:t>, and</w:t>
      </w:r>
      <w:r w:rsidR="005B6FD5">
        <w:t xml:space="preserve"> </w:t>
      </w:r>
      <w:r w:rsidR="005B6FD5">
        <w:fldChar w:fldCharType="begin"/>
      </w:r>
      <w:r w:rsidR="005B6FD5">
        <w:instrText xml:space="preserve"> REF _Ref97733024 \h </w:instrText>
      </w:r>
      <w:r w:rsidR="005B6FD5">
        <w:fldChar w:fldCharType="separate"/>
      </w:r>
      <w:r w:rsidR="00E53BA0">
        <w:t xml:space="preserve">Table </w:t>
      </w:r>
      <w:r w:rsidR="00E53BA0">
        <w:rPr>
          <w:noProof/>
        </w:rPr>
        <w:t>17</w:t>
      </w:r>
      <w:r w:rsidR="005B6FD5">
        <w:fldChar w:fldCharType="end"/>
      </w:r>
      <w:r>
        <w:t xml:space="preserve">), and cataract was reported as an AE in 6 (3.1%) patients in </w:t>
      </w:r>
      <w:r w:rsidR="00F808E7" w:rsidRPr="00F808E7">
        <w:t xml:space="preserve">the </w:t>
      </w:r>
      <w:r w:rsidR="00072973">
        <w:t>BGF MDI (320/14.4/9.6</w:t>
      </w:r>
      <w:r w:rsidR="003D2441">
        <w:t> </w:t>
      </w:r>
      <w:r w:rsidR="00072973">
        <w:t>µg)</w:t>
      </w:r>
      <w:r>
        <w:t xml:space="preserve"> group, none in the GFF MDI and 2 (2.3%) in the BFF MDI. This indicates there may be some ocular corticosteroid toxicity with BGF MDI, and in the opinion of the </w:t>
      </w:r>
      <w:r w:rsidR="00E554BD">
        <w:t>c</w:t>
      </w:r>
      <w:r>
        <w:t xml:space="preserve">linical </w:t>
      </w:r>
      <w:r w:rsidR="00136695">
        <w:t>e</w:t>
      </w:r>
      <w:r>
        <w:t xml:space="preserve">valuator it is an </w:t>
      </w:r>
      <w:r w:rsidR="00E554BD">
        <w:t>i</w:t>
      </w:r>
      <w:r>
        <w:t xml:space="preserve">mportant </w:t>
      </w:r>
      <w:r w:rsidR="00E554BD">
        <w:t>p</w:t>
      </w:r>
      <w:r>
        <w:t xml:space="preserve">otential </w:t>
      </w:r>
      <w:r w:rsidR="00E554BD">
        <w:t>r</w:t>
      </w:r>
      <w:r>
        <w:t>isk.</w:t>
      </w:r>
    </w:p>
    <w:p w14:paraId="6FE48049" w14:textId="32032ACC" w:rsidR="007B3EF5" w:rsidRPr="000B6EF0" w:rsidRDefault="007B3EF5" w:rsidP="002552DB">
      <w:pPr>
        <w:pStyle w:val="Heading5"/>
      </w:pPr>
      <w:r w:rsidRPr="000B6EF0">
        <w:t>Deficiencies of the data</w:t>
      </w:r>
    </w:p>
    <w:p w14:paraId="04EB91B0" w14:textId="77777777" w:rsidR="00AC6FFE" w:rsidRDefault="007B3EF5" w:rsidP="002552DB">
      <w:pPr>
        <w:pStyle w:val="Heading6"/>
      </w:pPr>
      <w:r w:rsidRPr="007C0E9B">
        <w:t>Generalisability and COPD severity</w:t>
      </w:r>
    </w:p>
    <w:p w14:paraId="09022D65" w14:textId="6E793177" w:rsidR="007B3EF5" w:rsidRDefault="007B3EF5" w:rsidP="007B3EF5">
      <w:r>
        <w:t>Participants with mild or end</w:t>
      </w:r>
      <w:r w:rsidR="007C0E9B">
        <w:t xml:space="preserve"> </w:t>
      </w:r>
      <w:r>
        <w:t xml:space="preserve">stage COPD (oxygen dependent and with difficulty using treatments) were not included in the pivotal trials, and the proportion of participants with very severe COPD at </w:t>
      </w:r>
      <w:r w:rsidR="00136695">
        <w:t>B</w:t>
      </w:r>
      <w:r>
        <w:t xml:space="preserve">aseline was low compared to moderate or severe COPD (very severe: 10.9% in </w:t>
      </w:r>
      <w:r w:rsidR="003042F0" w:rsidRPr="003042F0">
        <w:t>Study PT010005</w:t>
      </w:r>
      <w:r>
        <w:t xml:space="preserve">, and 7.9% in </w:t>
      </w:r>
      <w:r w:rsidR="003042F0">
        <w:t>Study PT010006</w:t>
      </w:r>
      <w:r>
        <w:t>) (</w:t>
      </w:r>
      <w:r w:rsidR="00136695">
        <w:t xml:space="preserve">see </w:t>
      </w:r>
      <w:r w:rsidR="007D49B1">
        <w:fldChar w:fldCharType="begin"/>
      </w:r>
      <w:r w:rsidR="007D49B1">
        <w:instrText xml:space="preserve"> REF _Ref89957999 \h </w:instrText>
      </w:r>
      <w:r w:rsidR="007D49B1">
        <w:fldChar w:fldCharType="separate"/>
      </w:r>
      <w:r w:rsidR="00E53BA0">
        <w:t xml:space="preserve">Table </w:t>
      </w:r>
      <w:r w:rsidR="00E53BA0">
        <w:rPr>
          <w:noProof/>
        </w:rPr>
        <w:t>19</w:t>
      </w:r>
      <w:r w:rsidR="007D49B1">
        <w:fldChar w:fldCharType="end"/>
      </w:r>
      <w:r w:rsidR="00BF199C">
        <w:t xml:space="preserve"> </w:t>
      </w:r>
      <w:r>
        <w:t xml:space="preserve">and </w:t>
      </w:r>
      <w:r w:rsidR="007D49B1">
        <w:fldChar w:fldCharType="begin"/>
      </w:r>
      <w:r w:rsidR="007D49B1">
        <w:instrText xml:space="preserve"> REF _Ref89958010 \h </w:instrText>
      </w:r>
      <w:r w:rsidR="007D49B1">
        <w:fldChar w:fldCharType="separate"/>
      </w:r>
      <w:r w:rsidR="00E53BA0">
        <w:t xml:space="preserve">Table </w:t>
      </w:r>
      <w:r w:rsidR="00E53BA0">
        <w:rPr>
          <w:noProof/>
        </w:rPr>
        <w:t>20</w:t>
      </w:r>
      <w:r w:rsidR="007D49B1">
        <w:fldChar w:fldCharType="end"/>
      </w:r>
      <w:r>
        <w:t xml:space="preserve">). Originally, the </w:t>
      </w:r>
      <w:r w:rsidR="00B431FE">
        <w:t xml:space="preserve">clinical evaluator </w:t>
      </w:r>
      <w:r>
        <w:t xml:space="preserve">was unsatisfied </w:t>
      </w:r>
      <w:proofErr w:type="gramStart"/>
      <w:r>
        <w:t>with regard to</w:t>
      </w:r>
      <w:proofErr w:type="gramEnd"/>
      <w:r>
        <w:t xml:space="preserve"> the generalisability of the efficacy and safety data. This was mainly based on the large proportion of participant rejected from </w:t>
      </w:r>
      <w:r w:rsidR="003042F0" w:rsidRPr="003042F0">
        <w:t xml:space="preserve">Study </w:t>
      </w:r>
      <w:r>
        <w:t xml:space="preserve">PT010005 and </w:t>
      </w:r>
      <w:r w:rsidR="003042F0">
        <w:t xml:space="preserve">Study </w:t>
      </w:r>
      <w:r>
        <w:t>PT010006.</w:t>
      </w:r>
    </w:p>
    <w:p w14:paraId="339431A4" w14:textId="1757F295" w:rsidR="007B3EF5" w:rsidRDefault="007B3EF5" w:rsidP="00B431FE">
      <w:pPr>
        <w:pStyle w:val="ListBullet"/>
      </w:pPr>
      <w:r>
        <w:t xml:space="preserve">For </w:t>
      </w:r>
      <w:r w:rsidR="003042F0" w:rsidRPr="003042F0">
        <w:t>Study PT010005</w:t>
      </w:r>
      <w:r>
        <w:t>, 16,033 participants were screened and 7445 (46.4%) were rejected for randomisation</w:t>
      </w:r>
      <w:r w:rsidR="00136695">
        <w:t xml:space="preserve">. Of which, </w:t>
      </w:r>
      <w:r>
        <w:t xml:space="preserve">20.8% </w:t>
      </w:r>
      <w:r w:rsidR="00136695">
        <w:t xml:space="preserve">was </w:t>
      </w:r>
      <w:r>
        <w:t xml:space="preserve">due to of severity of disease, 2.5% </w:t>
      </w:r>
      <w:r w:rsidR="00136695">
        <w:t xml:space="preserve">was </w:t>
      </w:r>
      <w:r>
        <w:t>because of history of exacerbations. Hence approximately half of the rejections were due to disease characteristics.</w:t>
      </w:r>
    </w:p>
    <w:p w14:paraId="57413206" w14:textId="7C5359CF" w:rsidR="007B3EF5" w:rsidRDefault="007B3EF5" w:rsidP="00B431FE">
      <w:pPr>
        <w:pStyle w:val="ListBullet"/>
      </w:pPr>
      <w:r>
        <w:t xml:space="preserve">For </w:t>
      </w:r>
      <w:r w:rsidR="003042F0">
        <w:t>Study PT010006</w:t>
      </w:r>
      <w:r>
        <w:t>, 3047 participants were screened and 1145 (37.6%) were rejected for randomisation</w:t>
      </w:r>
      <w:r w:rsidR="00136695">
        <w:t>. Of which,</w:t>
      </w:r>
      <w:r>
        <w:t xml:space="preserve"> 14.6% </w:t>
      </w:r>
      <w:r w:rsidR="00136695">
        <w:t xml:space="preserve">was </w:t>
      </w:r>
      <w:r>
        <w:t xml:space="preserve">due to severity of disease, 7.7% </w:t>
      </w:r>
      <w:r w:rsidR="00136695">
        <w:t xml:space="preserve">was </w:t>
      </w:r>
      <w:r>
        <w:t xml:space="preserve">due to respiratory disease and 1.9% </w:t>
      </w:r>
      <w:r w:rsidR="00136695">
        <w:t xml:space="preserve">was </w:t>
      </w:r>
      <w:r>
        <w:t>due to cardiac disease.</w:t>
      </w:r>
    </w:p>
    <w:p w14:paraId="24C03420" w14:textId="514F65A3" w:rsidR="000D2390" w:rsidRDefault="000D2390" w:rsidP="00D91416">
      <w:pPr>
        <w:pStyle w:val="TableTitle"/>
      </w:pPr>
      <w:bookmarkStart w:id="91" w:name="_Ref89957999"/>
      <w:r>
        <w:lastRenderedPageBreak/>
        <w:t xml:space="preserve">Table </w:t>
      </w:r>
      <w:r w:rsidR="001108B3">
        <w:fldChar w:fldCharType="begin"/>
      </w:r>
      <w:r w:rsidR="001108B3">
        <w:instrText xml:space="preserve"> SEQ Table \* ARABIC </w:instrText>
      </w:r>
      <w:r w:rsidR="001108B3">
        <w:fldChar w:fldCharType="separate"/>
      </w:r>
      <w:r w:rsidR="00E53BA0">
        <w:rPr>
          <w:noProof/>
        </w:rPr>
        <w:t>19</w:t>
      </w:r>
      <w:r w:rsidR="001108B3">
        <w:rPr>
          <w:noProof/>
        </w:rPr>
        <w:fldChar w:fldCharType="end"/>
      </w:r>
      <w:bookmarkEnd w:id="91"/>
      <w:r>
        <w:t xml:space="preserve">: </w:t>
      </w:r>
      <w:r w:rsidRPr="000D2390">
        <w:t xml:space="preserve">Study PT010005 Severity and </w:t>
      </w:r>
      <w:r w:rsidR="00006046">
        <w:t>d</w:t>
      </w:r>
      <w:r w:rsidRPr="000D2390">
        <w:t xml:space="preserve">uration of </w:t>
      </w:r>
      <w:r w:rsidR="00006046">
        <w:t>c</w:t>
      </w:r>
      <w:r w:rsidR="00A300BF" w:rsidRPr="00A300BF">
        <w:t xml:space="preserve">hronic obstructive pulmonary disease </w:t>
      </w:r>
      <w:r w:rsidRPr="000D2390">
        <w:t>(</w:t>
      </w:r>
      <w:r w:rsidR="00C20F2F">
        <w:t>m</w:t>
      </w:r>
      <w:r w:rsidR="00C20F2F" w:rsidRPr="00A300BF">
        <w:t>odified intention-to-treat</w:t>
      </w:r>
      <w:r w:rsidR="00C20F2F" w:rsidRPr="000D2390">
        <w:t xml:space="preserve"> </w:t>
      </w:r>
      <w:r w:rsidR="00C20F2F">
        <w:t>p</w:t>
      </w:r>
      <w:r w:rsidRPr="000D2390">
        <w:t>opulation)</w:t>
      </w:r>
    </w:p>
    <w:p w14:paraId="43CD9FE7" w14:textId="05AB1E27" w:rsidR="000D2390" w:rsidRDefault="00963A73" w:rsidP="00D91416">
      <w:pPr>
        <w:spacing w:before="0" w:after="0" w:line="240" w:lineRule="auto"/>
      </w:pPr>
      <w:r w:rsidRPr="00D91416">
        <w:rPr>
          <w:noProof/>
          <w:lang w:val="en-GB" w:eastAsia="en-GB"/>
        </w:rPr>
        <w:drawing>
          <wp:inline distT="0" distB="0" distL="0" distR="0" wp14:anchorId="5683C314" wp14:editId="54C5AF40">
            <wp:extent cx="5005310" cy="2801655"/>
            <wp:effectExtent l="0" t="0" r="5080" b="0"/>
            <wp:docPr id="14" name="Picture 14" descr="Table 19: Study PT010005 Severity and duration of chronic obstructive pulmonary disease (modified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19: Study PT010005 Severity and duration of chronic obstructive pulmonary disease (modified intention-to-treat population)"/>
                    <pic:cNvPicPr/>
                  </pic:nvPicPr>
                  <pic:blipFill>
                    <a:blip r:embed="rId46">
                      <a:extLst>
                        <a:ext uri="{28A0092B-C50C-407E-A947-70E740481C1C}">
                          <a14:useLocalDpi xmlns:a14="http://schemas.microsoft.com/office/drawing/2010/main" val="0"/>
                        </a:ext>
                      </a:extLst>
                    </a:blip>
                    <a:stretch>
                      <a:fillRect/>
                    </a:stretch>
                  </pic:blipFill>
                  <pic:spPr>
                    <a:xfrm>
                      <a:off x="0" y="0"/>
                      <a:ext cx="5012944" cy="2805928"/>
                    </a:xfrm>
                    <a:prstGeom prst="rect">
                      <a:avLst/>
                    </a:prstGeom>
                  </pic:spPr>
                </pic:pic>
              </a:graphicData>
            </a:graphic>
          </wp:inline>
        </w:drawing>
      </w:r>
    </w:p>
    <w:p w14:paraId="70A8CD9C" w14:textId="535F2AE4" w:rsidR="006302C6" w:rsidRDefault="00D94ADB" w:rsidP="00940740">
      <w:pPr>
        <w:pStyle w:val="TableDescription"/>
      </w:pPr>
      <w:r>
        <w:t>BFF =</w:t>
      </w:r>
      <w:r w:rsidRPr="006302C6">
        <w:t xml:space="preserve"> </w:t>
      </w:r>
      <w:r>
        <w:t>b</w:t>
      </w:r>
      <w:r w:rsidRPr="006302C6">
        <w:t>udesonide / formoterol fumarate</w:t>
      </w:r>
      <w:r>
        <w:t xml:space="preserve">; </w:t>
      </w:r>
      <w:r w:rsidR="00542987">
        <w:t>BGF = b</w:t>
      </w:r>
      <w:r w:rsidR="00542987" w:rsidRPr="004E03C1">
        <w:t>udesonide</w:t>
      </w:r>
      <w:r w:rsidR="00542987">
        <w:t xml:space="preserve"> / </w:t>
      </w:r>
      <w:r w:rsidR="00542987" w:rsidRPr="004E03C1">
        <w:t xml:space="preserve">glycopyrronium </w:t>
      </w:r>
      <w:r w:rsidR="00542987">
        <w:t xml:space="preserve">/ </w:t>
      </w:r>
      <w:r w:rsidR="00542987" w:rsidRPr="004E03C1">
        <w:t>formoterol fumarate</w:t>
      </w:r>
      <w:r>
        <w:t>; COPD = c</w:t>
      </w:r>
      <w:r w:rsidRPr="00AB1D69">
        <w:t>hronic obstructive pulmonary disease</w:t>
      </w:r>
      <w:r>
        <w:t>; GOLD =</w:t>
      </w:r>
      <w:r w:rsidRPr="006302C6">
        <w:t xml:space="preserve"> Global Initiative for Chronic Obstructive Lung Disease</w:t>
      </w:r>
      <w:r>
        <w:t xml:space="preserve">; </w:t>
      </w:r>
      <w:r w:rsidR="006302C6">
        <w:t>GFF = g</w:t>
      </w:r>
      <w:r w:rsidR="006302C6" w:rsidRPr="006302C6">
        <w:t>lycopyrronium / formoterol fumarate</w:t>
      </w:r>
      <w:r>
        <w:t xml:space="preserve">; </w:t>
      </w:r>
      <w:r w:rsidR="006302C6" w:rsidRPr="00BF6A1C">
        <w:t>N =</w:t>
      </w:r>
      <w:r w:rsidR="006302C6">
        <w:t xml:space="preserve"> population size</w:t>
      </w:r>
      <w:r>
        <w:t xml:space="preserve">; </w:t>
      </w:r>
      <w:r w:rsidR="006302C6">
        <w:t xml:space="preserve">n = </w:t>
      </w:r>
      <w:r w:rsidR="006302C6" w:rsidRPr="006302C6">
        <w:t>sample size</w:t>
      </w:r>
      <w:r>
        <w:t>.</w:t>
      </w:r>
    </w:p>
    <w:p w14:paraId="2EBED2F2" w14:textId="16B008AF" w:rsidR="00963A73" w:rsidRPr="00E536B8" w:rsidRDefault="00DC24F6">
      <w:pPr>
        <w:pStyle w:val="TableDescription"/>
      </w:pPr>
      <w:r w:rsidRPr="00E536B8">
        <w:t xml:space="preserve">GOLD 1 (mild) = </w:t>
      </w:r>
      <w:r w:rsidR="00F8741E">
        <w:t>f</w:t>
      </w:r>
      <w:r w:rsidR="00F8741E" w:rsidRPr="00F8741E">
        <w:t xml:space="preserve">orced expiratory volume in one second </w:t>
      </w:r>
      <w:r w:rsidR="00F8741E">
        <w:t>(</w:t>
      </w:r>
      <w:r w:rsidRPr="00E536B8">
        <w:t>FEV</w:t>
      </w:r>
      <w:r w:rsidRPr="00F8741E">
        <w:rPr>
          <w:vertAlign w:val="subscript"/>
        </w:rPr>
        <w:t>1</w:t>
      </w:r>
      <w:r w:rsidR="00F8741E" w:rsidRPr="002552DB">
        <w:t>)</w:t>
      </w:r>
      <w:r w:rsidRPr="00E536B8">
        <w:t xml:space="preserve"> ≥ 80% predicted; GOLD 2 (moderate</w:t>
      </w:r>
      <w:r w:rsidR="00045136" w:rsidRPr="00E536B8">
        <w:t>)</w:t>
      </w:r>
      <w:r w:rsidRPr="00E536B8">
        <w:t xml:space="preserve"> = 50% </w:t>
      </w:r>
      <w:r w:rsidR="008F3F3A" w:rsidRPr="00E536B8">
        <w:t>≤ FEV</w:t>
      </w:r>
      <w:r w:rsidR="008F3F3A" w:rsidRPr="00F8741E">
        <w:rPr>
          <w:vertAlign w:val="subscript"/>
        </w:rPr>
        <w:t>1</w:t>
      </w:r>
      <w:r w:rsidR="008F3F3A" w:rsidRPr="002552DB">
        <w:t xml:space="preserve"> </w:t>
      </w:r>
      <w:r w:rsidR="008F3F3A" w:rsidRPr="00E536B8">
        <w:t>&lt; 80% predicted; GOLD 3 (severe) = 30% ≤ FEV</w:t>
      </w:r>
      <w:r w:rsidR="008F3F3A" w:rsidRPr="00F8741E">
        <w:rPr>
          <w:vertAlign w:val="subscript"/>
        </w:rPr>
        <w:t>1</w:t>
      </w:r>
      <w:r w:rsidR="008F3F3A" w:rsidRPr="00E536B8">
        <w:t xml:space="preserve"> &lt; 50% predicted; GOLD 4 (very severe) = FEV</w:t>
      </w:r>
      <w:r w:rsidR="008F3F3A" w:rsidRPr="00F8741E">
        <w:rPr>
          <w:vertAlign w:val="subscript"/>
        </w:rPr>
        <w:t>1</w:t>
      </w:r>
      <w:r w:rsidR="008F3F3A" w:rsidRPr="00E536B8">
        <w:t xml:space="preserve"> </w:t>
      </w:r>
      <w:r w:rsidR="00912165" w:rsidRPr="00E536B8">
        <w:t>&lt; 30% predicted.</w:t>
      </w:r>
    </w:p>
    <w:p w14:paraId="61C23761" w14:textId="623339FC" w:rsidR="00912165" w:rsidRPr="00E536B8" w:rsidRDefault="00912165">
      <w:pPr>
        <w:pStyle w:val="TableDescription"/>
      </w:pPr>
      <w:r w:rsidRPr="002552DB">
        <w:t>a</w:t>
      </w:r>
      <w:r w:rsidR="00940740">
        <w:t>.</w:t>
      </w:r>
      <w:r w:rsidRPr="00E536B8">
        <w:t xml:space="preserve"> Severity of COPD was based on the non-missing post Ventolin </w:t>
      </w:r>
      <w:r w:rsidR="00F8741E">
        <w:t>h</w:t>
      </w:r>
      <w:r w:rsidR="00F8741E" w:rsidRPr="002A146E">
        <w:t>ydrofluoroalkane</w:t>
      </w:r>
      <w:r w:rsidR="00F8741E" w:rsidRPr="00E536B8" w:rsidDel="00F8741E">
        <w:t xml:space="preserve"> </w:t>
      </w:r>
      <w:r w:rsidR="00F8741E">
        <w:t xml:space="preserve">(HFA) </w:t>
      </w:r>
      <w:r w:rsidRPr="00E536B8">
        <w:t>assessment of present predicted FEV</w:t>
      </w:r>
      <w:r w:rsidRPr="00F8741E">
        <w:rPr>
          <w:vertAlign w:val="subscript"/>
        </w:rPr>
        <w:t>1</w:t>
      </w:r>
      <w:r w:rsidRPr="00E536B8">
        <w:t xml:space="preserve"> at </w:t>
      </w:r>
      <w:r w:rsidR="00E92784">
        <w:t>S</w:t>
      </w:r>
      <w:r w:rsidR="00995113" w:rsidRPr="00E536B8">
        <w:t xml:space="preserve">creening Visit 2 (or if the assessment was missing, the non-missing post Atrovent HFA assessment at </w:t>
      </w:r>
      <w:r w:rsidR="00080E5D">
        <w:t>S</w:t>
      </w:r>
      <w:r w:rsidR="00995113" w:rsidRPr="00E536B8">
        <w:t>creening Visit 3).</w:t>
      </w:r>
    </w:p>
    <w:p w14:paraId="3302E641" w14:textId="73955FFD" w:rsidR="00995113" w:rsidRPr="00E536B8" w:rsidRDefault="00995113">
      <w:pPr>
        <w:pStyle w:val="TableDescription"/>
      </w:pPr>
      <w:r w:rsidRPr="002552DB">
        <w:t>b</w:t>
      </w:r>
      <w:r w:rsidR="00940740">
        <w:t>.</w:t>
      </w:r>
      <w:r w:rsidRPr="00E536B8">
        <w:t xml:space="preserve"> The duration of COPD was calculated relative to the start of study drug at Day 1 (Visit 4).</w:t>
      </w:r>
    </w:p>
    <w:p w14:paraId="31268A53" w14:textId="26EA693B" w:rsidR="000D2390" w:rsidRDefault="000D2390" w:rsidP="000D2390">
      <w:pPr>
        <w:pStyle w:val="TableTitle"/>
      </w:pPr>
      <w:bookmarkStart w:id="92" w:name="_Ref89958010"/>
      <w:r>
        <w:lastRenderedPageBreak/>
        <w:t xml:space="preserve">Table </w:t>
      </w:r>
      <w:r w:rsidR="001108B3">
        <w:fldChar w:fldCharType="begin"/>
      </w:r>
      <w:r w:rsidR="001108B3">
        <w:instrText xml:space="preserve"> SEQ Table \* ARABIC </w:instrText>
      </w:r>
      <w:r w:rsidR="001108B3">
        <w:fldChar w:fldCharType="separate"/>
      </w:r>
      <w:r w:rsidR="00E53BA0">
        <w:rPr>
          <w:noProof/>
        </w:rPr>
        <w:t>20</w:t>
      </w:r>
      <w:r w:rsidR="001108B3">
        <w:rPr>
          <w:noProof/>
        </w:rPr>
        <w:fldChar w:fldCharType="end"/>
      </w:r>
      <w:bookmarkEnd w:id="92"/>
      <w:r>
        <w:t xml:space="preserve">: </w:t>
      </w:r>
      <w:r w:rsidRPr="000D2390">
        <w:t xml:space="preserve">Study PT010006 Severity and </w:t>
      </w:r>
      <w:r w:rsidR="00006046">
        <w:t>d</w:t>
      </w:r>
      <w:r w:rsidRPr="000D2390">
        <w:t xml:space="preserve">uration of </w:t>
      </w:r>
      <w:r w:rsidR="00006046">
        <w:t>c</w:t>
      </w:r>
      <w:r w:rsidR="00006046" w:rsidRPr="00A300BF">
        <w:t xml:space="preserve">hronic obstructive pulmonary disease </w:t>
      </w:r>
      <w:r w:rsidRPr="000D2390">
        <w:t>(</w:t>
      </w:r>
      <w:r w:rsidR="00006046">
        <w:t>m</w:t>
      </w:r>
      <w:r w:rsidR="00006046" w:rsidRPr="00A300BF">
        <w:t xml:space="preserve">odified intention-to-treat </w:t>
      </w:r>
      <w:r w:rsidR="00006046">
        <w:t>p</w:t>
      </w:r>
      <w:r w:rsidRPr="000D2390">
        <w:t>opulation)</w:t>
      </w:r>
    </w:p>
    <w:p w14:paraId="3A0474FA" w14:textId="6BA9703F" w:rsidR="00963A73" w:rsidRDefault="00963A73" w:rsidP="00261765">
      <w:r>
        <w:rPr>
          <w:noProof/>
          <w:lang w:val="en-GB" w:eastAsia="en-GB"/>
        </w:rPr>
        <w:drawing>
          <wp:inline distT="0" distB="0" distL="0" distR="0" wp14:anchorId="4AC279B4" wp14:editId="05045D2E">
            <wp:extent cx="5058027" cy="3557392"/>
            <wp:effectExtent l="0" t="0" r="9525" b="5080"/>
            <wp:docPr id="15" name="Picture 15" descr="Table 20: Study PT010006 Severity and duration of chronic obstructive pulmonary disease (modified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20: Study PT010006 Severity and duration of chronic obstructive pulmonary disease (modified intention-to-treat population)"/>
                    <pic:cNvPicPr/>
                  </pic:nvPicPr>
                  <pic:blipFill>
                    <a:blip r:embed="rId47">
                      <a:extLst>
                        <a:ext uri="{28A0092B-C50C-407E-A947-70E740481C1C}">
                          <a14:useLocalDpi xmlns:a14="http://schemas.microsoft.com/office/drawing/2010/main" val="0"/>
                        </a:ext>
                      </a:extLst>
                    </a:blip>
                    <a:stretch>
                      <a:fillRect/>
                    </a:stretch>
                  </pic:blipFill>
                  <pic:spPr>
                    <a:xfrm>
                      <a:off x="0" y="0"/>
                      <a:ext cx="5062203" cy="3560329"/>
                    </a:xfrm>
                    <a:prstGeom prst="rect">
                      <a:avLst/>
                    </a:prstGeom>
                  </pic:spPr>
                </pic:pic>
              </a:graphicData>
            </a:graphic>
          </wp:inline>
        </w:drawing>
      </w:r>
    </w:p>
    <w:p w14:paraId="6EC1F5AA" w14:textId="1D0EA948" w:rsidR="006302C6" w:rsidRDefault="00D94ADB" w:rsidP="00261765">
      <w:pPr>
        <w:pStyle w:val="TableDescription"/>
      </w:pPr>
      <w:r>
        <w:t>BFF =</w:t>
      </w:r>
      <w:r w:rsidRPr="006302C6">
        <w:t xml:space="preserve"> </w:t>
      </w:r>
      <w:r>
        <w:t>b</w:t>
      </w:r>
      <w:r w:rsidRPr="006302C6">
        <w:t>udesonide / formoterol fumarate</w:t>
      </w:r>
      <w:r>
        <w:t xml:space="preserve">; </w:t>
      </w:r>
      <w:r w:rsidR="00542987">
        <w:t>BGF = b</w:t>
      </w:r>
      <w:r w:rsidR="00542987" w:rsidRPr="004E03C1">
        <w:t>udesonide</w:t>
      </w:r>
      <w:r w:rsidR="00542987">
        <w:t xml:space="preserve"> / </w:t>
      </w:r>
      <w:r w:rsidR="00542987" w:rsidRPr="004E03C1">
        <w:t xml:space="preserve">glycopyrronium </w:t>
      </w:r>
      <w:r w:rsidR="00542987">
        <w:t xml:space="preserve">/ </w:t>
      </w:r>
      <w:r w:rsidR="00542987" w:rsidRPr="004E03C1">
        <w:t>formoterol fumarate</w:t>
      </w:r>
      <w:r>
        <w:t>; COPD = c</w:t>
      </w:r>
      <w:r w:rsidRPr="00AB1D69">
        <w:t>hronic obstructive pulmonary disease</w:t>
      </w:r>
      <w:r>
        <w:t xml:space="preserve">; </w:t>
      </w:r>
      <w:r w:rsidR="006302C6">
        <w:t>GFF = g</w:t>
      </w:r>
      <w:r w:rsidR="006302C6" w:rsidRPr="006302C6">
        <w:t>lycopyrronium / formoterol fumarate</w:t>
      </w:r>
      <w:r>
        <w:t>; GOLD =</w:t>
      </w:r>
      <w:r w:rsidRPr="006302C6">
        <w:t xml:space="preserve"> Global Initiative for Chronic Obstructive Lung Disease</w:t>
      </w:r>
      <w:r>
        <w:t xml:space="preserve">; </w:t>
      </w:r>
      <w:r w:rsidR="00542987" w:rsidRPr="006302C6">
        <w:t>N =</w:t>
      </w:r>
      <w:r w:rsidR="00542987">
        <w:t xml:space="preserve"> population size</w:t>
      </w:r>
      <w:r>
        <w:t xml:space="preserve">; </w:t>
      </w:r>
      <w:r w:rsidR="00542987" w:rsidRPr="006302C6">
        <w:t>n =</w:t>
      </w:r>
      <w:r w:rsidR="006302C6">
        <w:t xml:space="preserve"> sample size</w:t>
      </w:r>
      <w:r>
        <w:t xml:space="preserve">; </w:t>
      </w:r>
      <w:r w:rsidRPr="00B114BD">
        <w:t>SD =</w:t>
      </w:r>
      <w:r w:rsidRPr="00542987">
        <w:t xml:space="preserve"> standard deviation</w:t>
      </w:r>
      <w:r>
        <w:t xml:space="preserve">; </w:t>
      </w:r>
      <w:r w:rsidR="006302C6">
        <w:t>TBH = t</w:t>
      </w:r>
      <w:r w:rsidR="006302C6" w:rsidRPr="006302C6">
        <w:t>urbuhaler</w:t>
      </w:r>
      <w:r>
        <w:t>.</w:t>
      </w:r>
    </w:p>
    <w:p w14:paraId="1CE57C11" w14:textId="41F7103A" w:rsidR="00357336" w:rsidRPr="00E536B8" w:rsidRDefault="00357336" w:rsidP="00261765">
      <w:pPr>
        <w:pStyle w:val="TableDescription"/>
      </w:pPr>
      <w:r w:rsidRPr="00E536B8">
        <w:t xml:space="preserve">In subjects with </w:t>
      </w:r>
      <w:r w:rsidR="00F8741E">
        <w:t>f</w:t>
      </w:r>
      <w:r w:rsidR="00F8741E" w:rsidRPr="00F8741E">
        <w:t xml:space="preserve">orced expiratory volume in one second </w:t>
      </w:r>
      <w:r w:rsidR="00F8741E">
        <w:t>(</w:t>
      </w:r>
      <w:r w:rsidR="00F8741E" w:rsidRPr="00E536B8">
        <w:t>FEV</w:t>
      </w:r>
      <w:r w:rsidR="00F8741E" w:rsidRPr="00F8741E">
        <w:rPr>
          <w:vertAlign w:val="subscript"/>
        </w:rPr>
        <w:t>1</w:t>
      </w:r>
      <w:r w:rsidR="00F8741E" w:rsidRPr="00BF6A1C">
        <w:t>)</w:t>
      </w:r>
      <w:r w:rsidRPr="00E536B8">
        <w:t>/</w:t>
      </w:r>
      <w:r w:rsidR="00F8741E">
        <w:t>f</w:t>
      </w:r>
      <w:r w:rsidR="00F8741E" w:rsidRPr="00F8741E">
        <w:t xml:space="preserve">orced vital capacity </w:t>
      </w:r>
      <w:r w:rsidR="00F8741E">
        <w:t>(</w:t>
      </w:r>
      <w:r w:rsidRPr="00E536B8">
        <w:t>FVC</w:t>
      </w:r>
      <w:r w:rsidR="00F8741E">
        <w:t>)</w:t>
      </w:r>
      <w:r w:rsidRPr="00E536B8">
        <w:t xml:space="preserve"> </w:t>
      </w:r>
      <w:r w:rsidR="006E5F4B" w:rsidRPr="00E536B8">
        <w:t xml:space="preserve">&lt; 0.70, </w:t>
      </w:r>
      <w:r w:rsidRPr="00E536B8">
        <w:t>GOLD</w:t>
      </w:r>
      <w:r w:rsidR="00F8741E">
        <w:t> </w:t>
      </w:r>
      <w:r w:rsidRPr="00E536B8">
        <w:t>1 (mild) = FEV</w:t>
      </w:r>
      <w:r w:rsidRPr="00F8741E">
        <w:rPr>
          <w:vertAlign w:val="subscript"/>
        </w:rPr>
        <w:t>1</w:t>
      </w:r>
      <w:r w:rsidRPr="00E536B8">
        <w:t xml:space="preserve"> ≥ 80% predicted; GOLD 2 (moderate</w:t>
      </w:r>
      <w:r w:rsidR="006E5F4B" w:rsidRPr="00E536B8">
        <w:t>)</w:t>
      </w:r>
      <w:r w:rsidRPr="00E536B8">
        <w:t xml:space="preserve"> = 50% ≤ FEV</w:t>
      </w:r>
      <w:r w:rsidRPr="00F8741E">
        <w:rPr>
          <w:vertAlign w:val="subscript"/>
        </w:rPr>
        <w:t>1</w:t>
      </w:r>
      <w:r w:rsidRPr="002552DB">
        <w:t xml:space="preserve"> </w:t>
      </w:r>
      <w:r w:rsidRPr="00E536B8">
        <w:t>&lt; 80% predicted; GOLD</w:t>
      </w:r>
      <w:r w:rsidR="00F8741E">
        <w:t> </w:t>
      </w:r>
      <w:r w:rsidRPr="00E536B8">
        <w:t>3 (severe) = 30% ≤ FEV</w:t>
      </w:r>
      <w:r w:rsidRPr="00F8741E">
        <w:rPr>
          <w:vertAlign w:val="subscript"/>
        </w:rPr>
        <w:t>1</w:t>
      </w:r>
      <w:r w:rsidRPr="00E536B8">
        <w:t xml:space="preserve"> &lt; 50% predicted; GOLD 4 (very severe) = FEV</w:t>
      </w:r>
      <w:r w:rsidRPr="00F8741E">
        <w:rPr>
          <w:vertAlign w:val="subscript"/>
        </w:rPr>
        <w:t>1</w:t>
      </w:r>
      <w:r w:rsidRPr="00E536B8">
        <w:t xml:space="preserve"> &lt; 30% predicted</w:t>
      </w:r>
      <w:r w:rsidR="001D2D17" w:rsidRPr="00E536B8">
        <w:t>. The GOLD severity and groups were based on GOLD 2017 guidelines</w:t>
      </w:r>
      <w:r w:rsidRPr="00E536B8">
        <w:t>.</w:t>
      </w:r>
      <w:r w:rsidR="005C148E">
        <w:rPr>
          <w:rStyle w:val="FootnoteReference"/>
        </w:rPr>
        <w:footnoteReference w:id="15"/>
      </w:r>
    </w:p>
    <w:p w14:paraId="2AD56055" w14:textId="45AC556E" w:rsidR="00357336" w:rsidRPr="00E536B8" w:rsidRDefault="00357336" w:rsidP="00261765">
      <w:pPr>
        <w:pStyle w:val="TableDescription"/>
      </w:pPr>
      <w:r w:rsidRPr="002552DB">
        <w:t>a</w:t>
      </w:r>
      <w:r w:rsidR="00940740">
        <w:t>.</w:t>
      </w:r>
      <w:r w:rsidRPr="00E536B8">
        <w:t xml:space="preserve"> Severity of COPD was based on the non-missing post Ventolin </w:t>
      </w:r>
      <w:r w:rsidR="00F8741E" w:rsidRPr="00F8741E">
        <w:t xml:space="preserve">hydrofluoroalkane (HFA) </w:t>
      </w:r>
      <w:r w:rsidRPr="00E536B8">
        <w:t xml:space="preserve">assessment at Screening Visit 2 (or if the assessment was missing, the non-missing post Atrovent HFA assessment at </w:t>
      </w:r>
      <w:r w:rsidR="00080E5D">
        <w:t>S</w:t>
      </w:r>
      <w:r w:rsidRPr="00E536B8">
        <w:t>creening Visit 3).</w:t>
      </w:r>
    </w:p>
    <w:p w14:paraId="5E441DF1" w14:textId="6FF0EEBC" w:rsidR="005E76A8" w:rsidRPr="00E536B8" w:rsidRDefault="00357336" w:rsidP="00261765">
      <w:pPr>
        <w:pStyle w:val="TableDescription"/>
      </w:pPr>
      <w:r w:rsidRPr="002552DB">
        <w:t>b</w:t>
      </w:r>
      <w:r w:rsidR="00940740">
        <w:t>.</w:t>
      </w:r>
      <w:r w:rsidRPr="00E536B8">
        <w:t xml:space="preserve"> The duration of COPD was calculated relative to the start of study drug at Day 1 (Visit 4).</w:t>
      </w:r>
    </w:p>
    <w:p w14:paraId="7B28FB06" w14:textId="4D53D932" w:rsidR="007B3EF5" w:rsidRDefault="007B3EF5" w:rsidP="007373A8">
      <w:r>
        <w:t>The exclusion criteria were extensive. Patients with comorbidities and complications appear to have been underrepresented in the study populations, and these patients might have lesser efficacy and/or greater vulnerability to adverse effects of treatment. However, the COPD population is usually characterised by comorbidity.</w:t>
      </w:r>
    </w:p>
    <w:p w14:paraId="39F7374E" w14:textId="7F5632D3" w:rsidR="00AB20AD" w:rsidRDefault="00136695" w:rsidP="007373A8">
      <w:r>
        <w:t>O</w:t>
      </w:r>
      <w:r w:rsidR="007B3EF5">
        <w:t xml:space="preserve">verall, the </w:t>
      </w:r>
      <w:r w:rsidR="001C2468">
        <w:t xml:space="preserve">clinical evaluator </w:t>
      </w:r>
      <w:r w:rsidR="007B3EF5">
        <w:t>was satisfied that the proportion of participants rejected from randomisation due to comorbidity is unlikely to impact on the generalisability of the</w:t>
      </w:r>
      <w:r w:rsidR="001C2468">
        <w:t xml:space="preserve"> </w:t>
      </w:r>
      <w:r w:rsidR="00AB20AD">
        <w:t>results to the Australian population. A significant proportion of the patients considered for treatment were not suitable for inclusion with the appropriate level of severity of COPD being the main consideration.</w:t>
      </w:r>
    </w:p>
    <w:p w14:paraId="5C118300" w14:textId="065A00B4" w:rsidR="00AB20AD" w:rsidRDefault="00AB20AD" w:rsidP="007373A8">
      <w:r>
        <w:t>To adequate</w:t>
      </w:r>
      <w:r w:rsidR="00136695">
        <w:t>ly</w:t>
      </w:r>
      <w:r>
        <w:t xml:space="preserve"> reflect the COPD patient population for which efficacy and safety have been demonstrated, the indication could be narrowed to include only patients with moderate to very severe COPD</w:t>
      </w:r>
      <w:r w:rsidR="00136695">
        <w:t>,</w:t>
      </w:r>
      <w:r>
        <w:t xml:space="preserve"> or even more narrow</w:t>
      </w:r>
      <w:r w:rsidR="00136695">
        <w:t xml:space="preserve"> (</w:t>
      </w:r>
      <w:r>
        <w:t>only patients with moderate to severe COPD</w:t>
      </w:r>
      <w:r w:rsidR="00136695">
        <w:t>)</w:t>
      </w:r>
      <w:r>
        <w:t>.</w:t>
      </w:r>
    </w:p>
    <w:p w14:paraId="3B0B7537" w14:textId="77777777" w:rsidR="00AC6FFE" w:rsidRDefault="00AB20AD" w:rsidP="002552DB">
      <w:pPr>
        <w:pStyle w:val="Heading6"/>
      </w:pPr>
      <w:r w:rsidRPr="00B43DAC">
        <w:lastRenderedPageBreak/>
        <w:t>Long term efficacy data</w:t>
      </w:r>
    </w:p>
    <w:p w14:paraId="26DB84C6" w14:textId="03DE2681" w:rsidR="00AB20AD" w:rsidRDefault="00AB20AD" w:rsidP="007373A8">
      <w:r>
        <w:t xml:space="preserve">Study PT010005 provided evidence of efficacy for 52 weeks of treatment, </w:t>
      </w:r>
      <w:r w:rsidR="00D86235">
        <w:t>that is</w:t>
      </w:r>
      <w:r>
        <w:t xml:space="preserve"> over a longer </w:t>
      </w:r>
      <w:proofErr w:type="gramStart"/>
      <w:r>
        <w:t>time</w:t>
      </w:r>
      <w:r w:rsidR="00136695">
        <w:t xml:space="preserve"> </w:t>
      </w:r>
      <w:r>
        <w:t>period</w:t>
      </w:r>
      <w:proofErr w:type="gramEnd"/>
      <w:r>
        <w:t xml:space="preserve"> compared to Study PT010006 which investigated 24 weeks of treatment. Study PT010007 and Study PT010008 (extension studies of Study PT010006) did not include formal hypothesis tests for long</w:t>
      </w:r>
      <w:r w:rsidR="00ED5E4E">
        <w:t xml:space="preserve"> </w:t>
      </w:r>
      <w:r>
        <w:t>term efficacy but provided supportive evidence.</w:t>
      </w:r>
    </w:p>
    <w:p w14:paraId="2EBF4C0D" w14:textId="77777777" w:rsidR="00AC6FFE" w:rsidRDefault="00AB20AD" w:rsidP="002552DB">
      <w:pPr>
        <w:pStyle w:val="Heading6"/>
      </w:pPr>
      <w:r w:rsidRPr="00B43DAC">
        <w:t>Treatment duration</w:t>
      </w:r>
    </w:p>
    <w:p w14:paraId="4E815760" w14:textId="67716D47" w:rsidR="00AB20AD" w:rsidRDefault="00AB20AD" w:rsidP="007373A8">
      <w:r>
        <w:t>Study PT010005 was a 52</w:t>
      </w:r>
      <w:r w:rsidR="00136695">
        <w:t>-</w:t>
      </w:r>
      <w:r>
        <w:t xml:space="preserve">week trial. In contrast, Study PT010006 had a treatment duration of 24 weeks, and only a smaller subset </w:t>
      </w:r>
      <w:r w:rsidR="00ED5E4E">
        <w:t>was</w:t>
      </w:r>
      <w:r>
        <w:t xml:space="preserve"> investigated for an additional 28</w:t>
      </w:r>
      <w:r w:rsidR="00136695">
        <w:t> </w:t>
      </w:r>
      <w:r>
        <w:t>weeks (for a total of 52 weeks), as part of its sub</w:t>
      </w:r>
      <w:r w:rsidR="00136695">
        <w:t>-</w:t>
      </w:r>
      <w:r>
        <w:t xml:space="preserve">studies </w:t>
      </w:r>
      <w:r w:rsidR="00136695">
        <w:t xml:space="preserve">(Studies </w:t>
      </w:r>
      <w:r>
        <w:t>PT010007 and PT010008</w:t>
      </w:r>
      <w:r w:rsidR="00136695">
        <w:t>)</w:t>
      </w:r>
      <w:r>
        <w:t>.</w:t>
      </w:r>
    </w:p>
    <w:p w14:paraId="4175D7E3" w14:textId="77777777" w:rsidR="00AC6FFE" w:rsidRDefault="00AB20AD" w:rsidP="002552DB">
      <w:pPr>
        <w:pStyle w:val="Heading6"/>
      </w:pPr>
      <w:r w:rsidRPr="00B43DAC">
        <w:t>Pregnancy and lactation</w:t>
      </w:r>
    </w:p>
    <w:p w14:paraId="5301E799" w14:textId="3D51F682" w:rsidR="00AB20AD" w:rsidRDefault="00AB20AD" w:rsidP="007373A8">
      <w:r>
        <w:t>No BGF</w:t>
      </w:r>
      <w:r w:rsidR="00136695">
        <w:t xml:space="preserve"> </w:t>
      </w:r>
      <w:r>
        <w:t>specific data were submitted.</w:t>
      </w:r>
    </w:p>
    <w:p w14:paraId="3D290475" w14:textId="77777777" w:rsidR="00AC6FFE" w:rsidRDefault="00AB20AD" w:rsidP="002552DB">
      <w:pPr>
        <w:pStyle w:val="Heading6"/>
      </w:pPr>
      <w:r w:rsidRPr="00B43DAC">
        <w:t>Hepatic impairment</w:t>
      </w:r>
    </w:p>
    <w:p w14:paraId="1A359EE2" w14:textId="73535121" w:rsidR="007B3EF5" w:rsidRPr="007B3EF5" w:rsidRDefault="00AB20AD" w:rsidP="007373A8">
      <w:r>
        <w:t>No BGF</w:t>
      </w:r>
      <w:r w:rsidR="00136695">
        <w:t xml:space="preserve"> </w:t>
      </w:r>
      <w:r>
        <w:t>specific data were submitted.</w:t>
      </w:r>
    </w:p>
    <w:p w14:paraId="31D06EF9" w14:textId="77777777" w:rsidR="00D23139" w:rsidRDefault="00D23139" w:rsidP="00D23139">
      <w:pPr>
        <w:pStyle w:val="Heading4"/>
      </w:pPr>
      <w:r w:rsidRPr="00D23139">
        <w:t>Proposed action</w:t>
      </w:r>
    </w:p>
    <w:p w14:paraId="31E7EEC6" w14:textId="5559310C" w:rsidR="002B0391" w:rsidRDefault="008611F2" w:rsidP="008611F2">
      <w:r>
        <w:t xml:space="preserve">For the populations of patients randomised and treated in the pivotal trials there was a favourable benefit risk profile for </w:t>
      </w:r>
      <w:r w:rsidR="003D2441">
        <w:t xml:space="preserve">the </w:t>
      </w:r>
      <w:r>
        <w:t xml:space="preserve">BGF MDI (320/14.4/9.6 </w:t>
      </w:r>
      <w:proofErr w:type="spellStart"/>
      <w:r w:rsidR="00522100" w:rsidRPr="002552DB">
        <w:t>μ</w:t>
      </w:r>
      <w:r>
        <w:t>g</w:t>
      </w:r>
      <w:proofErr w:type="spellEnd"/>
      <w:r>
        <w:t xml:space="preserve">) in comparison with </w:t>
      </w:r>
      <w:r w:rsidR="003D2441">
        <w:t xml:space="preserve">the </w:t>
      </w:r>
      <w:r>
        <w:t>GFF MDI and BFF MDI. The data demonstrated a benefit for the triple combination treatment in comparison with the dual combination treatments for patients with moderate to very severe COPD. Hence, the risk benefit profile appears to be favourable in patients with moderate to very severe COPD</w:t>
      </w:r>
      <w:r w:rsidR="002B0391">
        <w:t>.</w:t>
      </w:r>
    </w:p>
    <w:p w14:paraId="2DD307E3" w14:textId="5E5C669B" w:rsidR="008611F2" w:rsidRDefault="008611F2" w:rsidP="008611F2">
      <w:r>
        <w:t>The following indication is recommended instead of the sponsor proposed indication:</w:t>
      </w:r>
    </w:p>
    <w:p w14:paraId="428424C2" w14:textId="77777777" w:rsidR="002B0391" w:rsidRDefault="008611F2" w:rsidP="00284EB8">
      <w:pPr>
        <w:ind w:left="720"/>
        <w:rPr>
          <w:i/>
          <w:iCs/>
        </w:rPr>
      </w:pPr>
      <w:r>
        <w:rPr>
          <w:i/>
          <w:iCs/>
        </w:rPr>
        <w:t>Maintenance treatment to prevent exacerbations and relieve symptoms in adults with moderate, severe, or very severe chronic obstructive pulmonary disease (COPD) who require treatment with a combination of an inhaled corticosteroid, a long-acting beta2-agonist, and a long-acting muscarinic antagonist</w:t>
      </w:r>
      <w:r w:rsidR="002B0391">
        <w:rPr>
          <w:i/>
          <w:iCs/>
        </w:rPr>
        <w:t>.</w:t>
      </w:r>
    </w:p>
    <w:p w14:paraId="243E14D6" w14:textId="29BFEA16" w:rsidR="00456765" w:rsidRPr="00456765" w:rsidRDefault="00B26074" w:rsidP="00284EB8">
      <w:pPr>
        <w:ind w:left="720"/>
      </w:pPr>
      <w:r>
        <w:rPr>
          <w:i/>
          <w:iCs/>
        </w:rPr>
        <w:t xml:space="preserve">Breztri Aerosphere </w:t>
      </w:r>
      <w:r w:rsidR="008611F2">
        <w:rPr>
          <w:i/>
          <w:iCs/>
        </w:rPr>
        <w:t>160/7.2/5 is not indicated for the initiation of therapy in chronic obstructive pulmonary disease (COPD).</w:t>
      </w:r>
    </w:p>
    <w:p w14:paraId="0343DD3B"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6"/>
      </w:r>
    </w:p>
    <w:p w14:paraId="5D8AE4FE" w14:textId="77777777" w:rsidR="00744121" w:rsidRDefault="00744121" w:rsidP="00744121">
      <w:pPr>
        <w:rPr>
          <w:bCs/>
        </w:rPr>
      </w:pPr>
      <w:bookmarkStart w:id="93" w:name="_Toc247691532"/>
      <w:bookmarkStart w:id="94" w:name="_Toc314842516"/>
      <w:bookmarkEnd w:id="41"/>
      <w:bookmarkEnd w:id="84"/>
      <w:bookmarkEnd w:id="85"/>
      <w:r w:rsidRPr="00456765">
        <w:rPr>
          <w:bCs/>
        </w:rPr>
        <w:t>The Advisory Committee on Medicines (ACM), having considered the evaluations and the Delegate’s overview, as well as the sponsor’s response to these documents, advised the following</w:t>
      </w:r>
      <w:r>
        <w:rPr>
          <w:bCs/>
        </w:rPr>
        <w:t>.</w:t>
      </w:r>
    </w:p>
    <w:p w14:paraId="347FC5D5" w14:textId="77777777" w:rsidR="00744121" w:rsidRDefault="00744121" w:rsidP="00744121">
      <w:pPr>
        <w:pStyle w:val="Heading5"/>
      </w:pPr>
      <w:r>
        <w:t>Specific advice to the Delegate</w:t>
      </w:r>
    </w:p>
    <w:p w14:paraId="63A64F57" w14:textId="77777777" w:rsidR="00FB5837" w:rsidRPr="00501DD3" w:rsidRDefault="00FB5837" w:rsidP="00501DD3">
      <w:r w:rsidRPr="00501DD3">
        <w:t>The ACM advised the following in response to the Delegate’s specific request for advice:</w:t>
      </w:r>
    </w:p>
    <w:p w14:paraId="7E3EAC52" w14:textId="567B8A3A" w:rsidR="00FB5837" w:rsidRPr="00501DD3" w:rsidRDefault="00FB5837" w:rsidP="00501DD3">
      <w:pPr>
        <w:pStyle w:val="Numberbullet0"/>
        <w:rPr>
          <w:b/>
          <w:bCs/>
          <w:i/>
          <w:iCs/>
        </w:rPr>
      </w:pPr>
      <w:r w:rsidRPr="00501DD3">
        <w:rPr>
          <w:b/>
          <w:bCs/>
          <w:i/>
          <w:iCs/>
        </w:rPr>
        <w:t xml:space="preserve">Can the ACM comment on the proposed indication, </w:t>
      </w:r>
      <w:proofErr w:type="gramStart"/>
      <w:r w:rsidRPr="00501DD3">
        <w:rPr>
          <w:b/>
          <w:bCs/>
          <w:i/>
          <w:iCs/>
        </w:rPr>
        <w:t>in particular in</w:t>
      </w:r>
      <w:proofErr w:type="gramEnd"/>
      <w:r w:rsidRPr="00501DD3">
        <w:rPr>
          <w:b/>
          <w:bCs/>
          <w:i/>
          <w:iCs/>
        </w:rPr>
        <w:t xml:space="preserve"> the context of restricting the indication to patients with particular disease severity groups?</w:t>
      </w:r>
    </w:p>
    <w:p w14:paraId="4565BF53" w14:textId="29DA22C3" w:rsidR="00FB5837" w:rsidRPr="00501DD3" w:rsidRDefault="00FB5837" w:rsidP="00501DD3">
      <w:r w:rsidRPr="00501DD3">
        <w:t xml:space="preserve">The ACM were supportive of restricting the proposed indication based on disease severity groups. The ACM agreed that adults with moderate, severe, or very severe COPD should be </w:t>
      </w:r>
      <w:r w:rsidRPr="00501DD3">
        <w:lastRenderedPageBreak/>
        <w:t>included within the proposed indication, as these groups would likely benefit from treatment. The ACM did note that participants with mild or end</w:t>
      </w:r>
      <w:r w:rsidR="00A7140C">
        <w:t xml:space="preserve"> </w:t>
      </w:r>
      <w:r w:rsidRPr="00501DD3">
        <w:t>stage COPD (oxygen dependent and with difficulty using treatments) were not included in the pivotal studies. The ACM was of the view that there was limited evidence to support the inclusion of patients with mild COPD and advised that it should remain excluded from the proposed indication.</w:t>
      </w:r>
    </w:p>
    <w:p w14:paraId="6B699E9A" w14:textId="30745FA5" w:rsidR="00FB5837" w:rsidRPr="00501DD3" w:rsidRDefault="00FB5837" w:rsidP="00501DD3">
      <w:pPr>
        <w:pStyle w:val="Numberbullet0"/>
        <w:rPr>
          <w:b/>
          <w:bCs/>
          <w:i/>
          <w:iCs/>
        </w:rPr>
      </w:pPr>
      <w:r w:rsidRPr="00501DD3">
        <w:rPr>
          <w:b/>
          <w:bCs/>
          <w:i/>
          <w:iCs/>
        </w:rPr>
        <w:t>Can the ACM comment to the potential need to investigate ocular corticosteroid toxicity further, for example as part of a post</w:t>
      </w:r>
      <w:r w:rsidR="00A05241">
        <w:rPr>
          <w:b/>
          <w:bCs/>
          <w:i/>
          <w:iCs/>
        </w:rPr>
        <w:t xml:space="preserve"> </w:t>
      </w:r>
      <w:r w:rsidRPr="00501DD3">
        <w:rPr>
          <w:b/>
          <w:bCs/>
          <w:i/>
          <w:iCs/>
        </w:rPr>
        <w:t>market commitment?</w:t>
      </w:r>
    </w:p>
    <w:p w14:paraId="4DF676C6" w14:textId="77777777" w:rsidR="00FB5837" w:rsidRPr="00501DD3" w:rsidRDefault="00FB5837" w:rsidP="00501DD3">
      <w:r w:rsidRPr="00501DD3">
        <w:t>The ACM were of the view that glaucoma and cataracts may occur with long term use of ICS and recommended that the following (or similar) wording from the US Prescribing Information regarding glaucoma and referral to an ophthalmologist be included within the Australian PI:</w:t>
      </w:r>
    </w:p>
    <w:p w14:paraId="03377B73" w14:textId="5D705E84" w:rsidR="00FB5837" w:rsidRPr="00501DD3" w:rsidRDefault="00FB5837" w:rsidP="00B43DAC">
      <w:pPr>
        <w:ind w:left="720"/>
      </w:pPr>
      <w:r w:rsidRPr="00501DD3">
        <w:t>‘Worsening of narrow</w:t>
      </w:r>
      <w:r w:rsidR="00ED5C6A">
        <w:t xml:space="preserve"> </w:t>
      </w:r>
      <w:r w:rsidRPr="00501DD3">
        <w:t>angle glaucoma may occur. Use with caution in patients with narrow</w:t>
      </w:r>
      <w:r w:rsidR="00ED5C6A">
        <w:t xml:space="preserve"> </w:t>
      </w:r>
      <w:r w:rsidRPr="00501DD3">
        <w:t>angle glaucoma and instruct patients to contact a healthcare provider immediately if symptoms occur.</w:t>
      </w:r>
    </w:p>
    <w:p w14:paraId="0287A560" w14:textId="2F481B43" w:rsidR="00FB5837" w:rsidRPr="00501DD3" w:rsidRDefault="00FB5837" w:rsidP="00B43DAC">
      <w:pPr>
        <w:ind w:left="720"/>
      </w:pPr>
      <w:r w:rsidRPr="00501DD3">
        <w:t xml:space="preserve">Consider referral to an ophthalmologist in patients who develop ocular symptoms or use </w:t>
      </w:r>
      <w:r w:rsidR="009F5924" w:rsidRPr="00501DD3">
        <w:t xml:space="preserve">Breztri Aerosphere </w:t>
      </w:r>
      <w:r w:rsidRPr="00501DD3">
        <w:t>long term.’</w:t>
      </w:r>
    </w:p>
    <w:p w14:paraId="28E00901" w14:textId="77777777" w:rsidR="00FB5837" w:rsidRPr="00501DD3" w:rsidRDefault="00FB5837" w:rsidP="00501DD3">
      <w:r w:rsidRPr="00501DD3">
        <w:t>The ACM were of the view that additional pharmacovigilance or additional risk minimisation activities were not required for ocular corticosteroid toxicity at this stage.</w:t>
      </w:r>
    </w:p>
    <w:p w14:paraId="35C62D85" w14:textId="2B0AAB02" w:rsidR="00FB5837" w:rsidRPr="00501DD3" w:rsidRDefault="00FB5837" w:rsidP="00501DD3">
      <w:pPr>
        <w:pStyle w:val="Numberbullet0"/>
        <w:rPr>
          <w:b/>
          <w:bCs/>
          <w:i/>
          <w:iCs/>
        </w:rPr>
      </w:pPr>
      <w:r w:rsidRPr="00501DD3">
        <w:rPr>
          <w:b/>
          <w:bCs/>
          <w:i/>
          <w:iCs/>
        </w:rPr>
        <w:t xml:space="preserve">The committee is also requested to provide advice on any other issues that it thinks may be relevant to a decision on </w:t>
      </w:r>
      <w:proofErr w:type="gramStart"/>
      <w:r w:rsidRPr="00501DD3">
        <w:rPr>
          <w:b/>
          <w:bCs/>
          <w:i/>
          <w:iCs/>
        </w:rPr>
        <w:t>whether or not</w:t>
      </w:r>
      <w:proofErr w:type="gramEnd"/>
      <w:r w:rsidRPr="00501DD3">
        <w:rPr>
          <w:b/>
          <w:bCs/>
          <w:i/>
          <w:iCs/>
        </w:rPr>
        <w:t xml:space="preserve"> to approve this application.</w:t>
      </w:r>
    </w:p>
    <w:p w14:paraId="33E43CAD" w14:textId="5D2A3777" w:rsidR="00FB5837" w:rsidRPr="00501DD3" w:rsidRDefault="00FB5837" w:rsidP="00501DD3">
      <w:r w:rsidRPr="00501DD3">
        <w:t xml:space="preserve">The ACM noted that the trade name used for BGF within the EU differs from the proposed Australian tradename and were of the view that the current proposed Australian tradename </w:t>
      </w:r>
      <w:r w:rsidR="006924CD" w:rsidRPr="00501DD3">
        <w:t xml:space="preserve">Breztri Aerosphere </w:t>
      </w:r>
      <w:r w:rsidRPr="00501DD3">
        <w:t>may provide a promotional advantage.</w:t>
      </w:r>
    </w:p>
    <w:p w14:paraId="27E64DAE" w14:textId="5B8EE354" w:rsidR="00744121" w:rsidRDefault="00744121" w:rsidP="00744121">
      <w:pPr>
        <w:pStyle w:val="Heading5"/>
      </w:pPr>
      <w:r>
        <w:t>Conclusion</w:t>
      </w:r>
    </w:p>
    <w:p w14:paraId="711A4B56" w14:textId="77777777" w:rsidR="001C4166" w:rsidRDefault="001C4166" w:rsidP="001C4166">
      <w:r>
        <w:t>The ACM considered this product to have an overall positive benefit-risk profile for the indication:</w:t>
      </w:r>
    </w:p>
    <w:p w14:paraId="18C928F7" w14:textId="77777777" w:rsidR="001C4166" w:rsidRPr="001C4166" w:rsidRDefault="001C4166" w:rsidP="001C4166">
      <w:pPr>
        <w:ind w:left="720"/>
        <w:rPr>
          <w:i/>
          <w:iCs/>
        </w:rPr>
      </w:pPr>
      <w:r w:rsidRPr="001C4166">
        <w:rPr>
          <w:i/>
          <w:iCs/>
        </w:rPr>
        <w:t>Maintenance treatment to prevent exacerbations and relieve symptoms in adults with moderate, severe, or very severe chronic obstructive pulmonary disease (COPD) who require treatment with a combination of an inhaled corticosteroid, a long-acting beta2-agonist, and a long-acting muscarinic antagonist.</w:t>
      </w:r>
    </w:p>
    <w:p w14:paraId="6FF9737F" w14:textId="1E84041B" w:rsidR="00744121" w:rsidRPr="001C4166" w:rsidRDefault="00DE614E" w:rsidP="001C4166">
      <w:pPr>
        <w:ind w:left="720"/>
        <w:rPr>
          <w:i/>
          <w:iCs/>
        </w:rPr>
      </w:pPr>
      <w:r w:rsidRPr="001C4166">
        <w:rPr>
          <w:i/>
          <w:iCs/>
        </w:rPr>
        <w:t xml:space="preserve">Breztri Aerosphere </w:t>
      </w:r>
      <w:r w:rsidR="001C4166" w:rsidRPr="001C4166">
        <w:rPr>
          <w:i/>
          <w:iCs/>
        </w:rPr>
        <w:t>160/7.2/5 is not indicated for the initiation of therapy in chronic obstructive pulmonary disease (COPD)</w:t>
      </w:r>
      <w:r w:rsidR="00744121" w:rsidRPr="001C4166">
        <w:rPr>
          <w:i/>
          <w:iCs/>
        </w:rPr>
        <w:t>.</w:t>
      </w:r>
    </w:p>
    <w:p w14:paraId="14C6BB5C" w14:textId="04F87544" w:rsidR="008E7846" w:rsidRPr="002E238E" w:rsidRDefault="008E7846" w:rsidP="008E7846">
      <w:pPr>
        <w:pStyle w:val="Heading3"/>
      </w:pPr>
      <w:bookmarkStart w:id="95" w:name="_Toc101345661"/>
      <w:r>
        <w:t>Outcome</w:t>
      </w:r>
      <w:bookmarkEnd w:id="93"/>
      <w:bookmarkEnd w:id="94"/>
      <w:bookmarkEnd w:id="95"/>
    </w:p>
    <w:p w14:paraId="270E811B" w14:textId="0DD2ACB4" w:rsidR="00744121" w:rsidRDefault="00744121" w:rsidP="00744121">
      <w:bookmarkStart w:id="96" w:name="_Toc247691533"/>
      <w:bookmarkStart w:id="97" w:name="_Toc314842517"/>
      <w:r>
        <w:t xml:space="preserve">Based on a review of quality, </w:t>
      </w:r>
      <w:proofErr w:type="gramStart"/>
      <w:r>
        <w:t>safety</w:t>
      </w:r>
      <w:proofErr w:type="gramEnd"/>
      <w:r>
        <w:t xml:space="preserve"> and efficacy, the TGA approved the registration of </w:t>
      </w:r>
      <w:r w:rsidR="00D11046" w:rsidRPr="00D11046">
        <w:t xml:space="preserve">Breztri Aerosphere </w:t>
      </w:r>
      <w:r w:rsidRPr="00250271">
        <w:t>(</w:t>
      </w:r>
      <w:r w:rsidR="00D11046" w:rsidRPr="00D11046">
        <w:t>budesonide</w:t>
      </w:r>
      <w:r w:rsidR="00F66460">
        <w:t xml:space="preserve"> </w:t>
      </w:r>
      <w:r w:rsidR="00D11046" w:rsidRPr="00D11046">
        <w:t>/</w:t>
      </w:r>
      <w:r w:rsidR="00F66460">
        <w:t xml:space="preserve"> </w:t>
      </w:r>
      <w:r w:rsidR="00D11046" w:rsidRPr="00D11046">
        <w:t>glycopyrronium</w:t>
      </w:r>
      <w:r w:rsidR="00F66460">
        <w:t xml:space="preserve"> </w:t>
      </w:r>
      <w:r w:rsidR="00D11046" w:rsidRPr="00D11046">
        <w:t>/</w:t>
      </w:r>
      <w:r w:rsidR="00F66460">
        <w:t xml:space="preserve"> </w:t>
      </w:r>
      <w:r w:rsidR="00F66460" w:rsidRPr="00FB71F9">
        <w:t>formoterol</w:t>
      </w:r>
      <w:r w:rsidR="00F66460">
        <w:t xml:space="preserve"> </w:t>
      </w:r>
      <w:r w:rsidR="00F66460" w:rsidRPr="007F3AC6">
        <w:t>fumarate</w:t>
      </w:r>
      <w:r w:rsidR="00F66460">
        <w:t xml:space="preserve"> dihydrate</w:t>
      </w:r>
      <w:r w:rsidRPr="00250271">
        <w:t>)</w:t>
      </w:r>
      <w:r w:rsidR="00F66460">
        <w:t xml:space="preserve"> </w:t>
      </w:r>
      <w:r w:rsidR="00F66460" w:rsidRPr="009165B4">
        <w:t>160</w:t>
      </w:r>
      <w:r w:rsidR="00F66460">
        <w:t> </w:t>
      </w:r>
      <w:r w:rsidR="00F66460" w:rsidRPr="009165B4">
        <w:t>µg</w:t>
      </w:r>
      <w:r w:rsidR="00F66460">
        <w:t>/</w:t>
      </w:r>
      <w:r w:rsidR="00F66460" w:rsidRPr="009165B4">
        <w:t>7.2</w:t>
      </w:r>
      <w:r w:rsidR="00F66460">
        <w:t> </w:t>
      </w:r>
      <w:r w:rsidR="00F66460" w:rsidRPr="009165B4">
        <w:t>µg</w:t>
      </w:r>
      <w:r w:rsidR="00F66460">
        <w:t>/</w:t>
      </w:r>
      <w:r w:rsidR="00F66460" w:rsidRPr="009165B4">
        <w:t>5</w:t>
      </w:r>
      <w:r w:rsidR="00F66460">
        <w:t> </w:t>
      </w:r>
      <w:r w:rsidR="00F66460" w:rsidRPr="009165B4">
        <w:t>µg</w:t>
      </w:r>
      <w:r w:rsidR="00F66460">
        <w:t xml:space="preserve"> (respectively)</w:t>
      </w:r>
      <w:r w:rsidRPr="00250271">
        <w:t xml:space="preserve">, </w:t>
      </w:r>
      <w:r w:rsidR="00A2033B">
        <w:t>pressurised inhalation</w:t>
      </w:r>
      <w:r>
        <w:t xml:space="preserve">, </w:t>
      </w:r>
      <w:r w:rsidR="001C71C6">
        <w:t>a</w:t>
      </w:r>
      <w:r w:rsidR="001C71C6" w:rsidRPr="001C71C6">
        <w:t>erosol can</w:t>
      </w:r>
      <w:r>
        <w:t>, indicated for:</w:t>
      </w:r>
    </w:p>
    <w:p w14:paraId="667178AA" w14:textId="5A39B7AD" w:rsidR="001C71C6" w:rsidRPr="00A05370" w:rsidRDefault="001C71C6" w:rsidP="00A05370">
      <w:pPr>
        <w:ind w:left="720"/>
        <w:rPr>
          <w:i/>
          <w:iCs/>
        </w:rPr>
      </w:pPr>
      <w:r w:rsidRPr="00A05370">
        <w:rPr>
          <w:i/>
          <w:iCs/>
        </w:rPr>
        <w:t xml:space="preserve">Maintenance treatment to prevent exacerbations and relieve symptoms in adults with moderate, severe, or very severe chronic obstructive pulmonary disease (COPD) who require treatment with a combination of an inhaled corticosteroid (ICS), a long-acting </w:t>
      </w:r>
      <w:r w:rsidR="009E41B2" w:rsidRPr="009E41B2">
        <w:rPr>
          <w:i/>
          <w:iCs/>
        </w:rPr>
        <w:t>β</w:t>
      </w:r>
      <w:r w:rsidRPr="00A05370">
        <w:rPr>
          <w:i/>
          <w:iCs/>
        </w:rPr>
        <w:t>2-agonist (LABA), and a long-acting muscarinic antagonist (LAMA).</w:t>
      </w:r>
    </w:p>
    <w:p w14:paraId="477E583D" w14:textId="77777777" w:rsidR="002B0391" w:rsidRDefault="00A05370" w:rsidP="00A05370">
      <w:pPr>
        <w:ind w:left="720"/>
        <w:rPr>
          <w:i/>
          <w:iCs/>
        </w:rPr>
      </w:pPr>
      <w:r w:rsidRPr="00A05370">
        <w:rPr>
          <w:i/>
          <w:iCs/>
        </w:rPr>
        <w:t xml:space="preserve">Breztri Aerosphere </w:t>
      </w:r>
      <w:r w:rsidR="001C71C6" w:rsidRPr="00A05370">
        <w:rPr>
          <w:i/>
          <w:iCs/>
        </w:rPr>
        <w:t>160/7.2/5 is not indicated for the initiation of therapy in COPD</w:t>
      </w:r>
      <w:r w:rsidR="002B0391">
        <w:rPr>
          <w:i/>
          <w:iCs/>
        </w:rPr>
        <w:t>.</w:t>
      </w:r>
    </w:p>
    <w:p w14:paraId="1A54DD6C" w14:textId="63582488" w:rsidR="00D23139" w:rsidRPr="00D23139" w:rsidRDefault="00D23139" w:rsidP="00D23139">
      <w:pPr>
        <w:pStyle w:val="Heading4"/>
      </w:pPr>
      <w:r w:rsidRPr="00D23139">
        <w:lastRenderedPageBreak/>
        <w:t>Specific conditions of registration applying to these goods</w:t>
      </w:r>
    </w:p>
    <w:p w14:paraId="46705515" w14:textId="2494DF47" w:rsidR="005A0B38" w:rsidRPr="005A0B38" w:rsidRDefault="005A0B38" w:rsidP="002552DB">
      <w:pPr>
        <w:pStyle w:val="ListBullet"/>
      </w:pPr>
      <w:r w:rsidRPr="005A0B38">
        <w:t xml:space="preserve">This approval does not impose any requirement for the submission of </w:t>
      </w:r>
      <w:r w:rsidR="00AF5B4C">
        <w:t>p</w:t>
      </w:r>
      <w:r w:rsidRPr="005A0B38">
        <w:t xml:space="preserve">eriodic </w:t>
      </w:r>
      <w:r w:rsidR="00AF5B4C">
        <w:t>s</w:t>
      </w:r>
      <w:r w:rsidRPr="005A0B38">
        <w:t>afety</w:t>
      </w:r>
      <w:r>
        <w:t xml:space="preserve"> </w:t>
      </w:r>
      <w:r w:rsidR="00AF5B4C">
        <w:t>u</w:t>
      </w:r>
      <w:r w:rsidRPr="005A0B38">
        <w:t>pdate reports. You should note that it is a requirement that all existing requirements</w:t>
      </w:r>
      <w:r>
        <w:t xml:space="preserve"> </w:t>
      </w:r>
      <w:r w:rsidRPr="005A0B38">
        <w:t xml:space="preserve">for the submission of PSURs </w:t>
      </w:r>
      <w:proofErr w:type="gramStart"/>
      <w:r w:rsidRPr="005A0B38">
        <w:t>as a consequence of</w:t>
      </w:r>
      <w:proofErr w:type="gramEnd"/>
      <w:r w:rsidRPr="005A0B38">
        <w:t xml:space="preserve"> the initial registration or subsequent</w:t>
      </w:r>
      <w:r>
        <w:t xml:space="preserve"> </w:t>
      </w:r>
      <w:r w:rsidRPr="005A0B38">
        <w:t>changes must be completed.</w:t>
      </w:r>
    </w:p>
    <w:p w14:paraId="5CA1707B" w14:textId="25AD5CCF" w:rsidR="008E7846" w:rsidRDefault="00A80B5B" w:rsidP="00D23139">
      <w:pPr>
        <w:pStyle w:val="Heading2"/>
      </w:pPr>
      <w:bookmarkStart w:id="98" w:name="_Toc101345662"/>
      <w:r>
        <w:t xml:space="preserve">Attachment 1. </w:t>
      </w:r>
      <w:r w:rsidR="008E7846">
        <w:t xml:space="preserve">Product </w:t>
      </w:r>
      <w:r w:rsidR="00AA0ED0">
        <w:t>I</w:t>
      </w:r>
      <w:r w:rsidR="008E7846">
        <w:t>nformation</w:t>
      </w:r>
      <w:bookmarkEnd w:id="96"/>
      <w:bookmarkEnd w:id="97"/>
      <w:bookmarkEnd w:id="98"/>
    </w:p>
    <w:p w14:paraId="335C2DC1" w14:textId="220DB22D" w:rsidR="00C80137" w:rsidRPr="0060532B" w:rsidRDefault="006136D7" w:rsidP="0060532B">
      <w:pPr>
        <w:rPr>
          <w:color w:val="000000"/>
          <w:lang w:eastAsia="en-AU"/>
        </w:rPr>
        <w:sectPr w:rsidR="00C80137" w:rsidRPr="0060532B" w:rsidSect="00B452CE">
          <w:headerReference w:type="even" r:id="rId48"/>
          <w:headerReference w:type="default" r:id="rId49"/>
          <w:headerReference w:type="first" r:id="rId50"/>
          <w:footerReference w:type="first" r:id="rId51"/>
          <w:pgSz w:w="11906" w:h="16838" w:code="9"/>
          <w:pgMar w:top="834" w:right="1701" w:bottom="1191" w:left="1701" w:header="907" w:footer="216" w:gutter="0"/>
          <w:cols w:space="708"/>
          <w:docGrid w:linePitch="360"/>
        </w:sectPr>
      </w:pPr>
      <w:r w:rsidRPr="002B3624">
        <w:t xml:space="preserve">The </w:t>
      </w:r>
      <w:r>
        <w:t>PI</w:t>
      </w:r>
      <w:r w:rsidRPr="002B3624">
        <w:t xml:space="preserve"> for </w:t>
      </w:r>
      <w:r w:rsidR="002D5EDD" w:rsidRPr="00D3455B">
        <w:t>Breztri Aerosphere</w:t>
      </w:r>
      <w:r w:rsidR="002D5EDD"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52" w:history="1">
        <w:r w:rsidR="007C6B9B" w:rsidRPr="007C6B9B">
          <w:rPr>
            <w:rStyle w:val="Hyperlink"/>
          </w:rPr>
          <w:t>https://www.tga.gov.au/product-information-pi</w:t>
        </w:r>
      </w:hyperlink>
      <w:r w:rsidR="007C6B9B" w:rsidRPr="007C6B9B">
        <w:t xml:space="preserve">&gt;. </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CB090CB" w14:textId="77777777" w:rsidTr="00A05FA4">
        <w:trPr>
          <w:trHeight w:hRule="exact" w:val="704"/>
        </w:trPr>
        <w:tc>
          <w:tcPr>
            <w:tcW w:w="9175" w:type="dxa"/>
          </w:tcPr>
          <w:p w14:paraId="7254077F" w14:textId="77777777" w:rsidR="001C32CD" w:rsidRPr="00487162" w:rsidRDefault="001C32CD" w:rsidP="00A05FA4">
            <w:pPr>
              <w:pStyle w:val="TGASignoff"/>
            </w:pPr>
            <w:r w:rsidRPr="00487162">
              <w:lastRenderedPageBreak/>
              <w:t>Therapeutic Goods Administration</w:t>
            </w:r>
          </w:p>
        </w:tc>
      </w:tr>
      <w:tr w:rsidR="001C32CD" w:rsidRPr="004C239D" w14:paraId="78144F61" w14:textId="77777777" w:rsidTr="00A05FA4">
        <w:trPr>
          <w:trHeight w:val="1221"/>
        </w:trPr>
        <w:tc>
          <w:tcPr>
            <w:tcW w:w="9175" w:type="dxa"/>
            <w:tcMar>
              <w:top w:w="28" w:type="dxa"/>
            </w:tcMar>
          </w:tcPr>
          <w:p w14:paraId="3CAF86C0" w14:textId="77777777" w:rsidR="001C32CD" w:rsidRPr="00487162" w:rsidRDefault="001C32CD" w:rsidP="00A05FA4">
            <w:pPr>
              <w:pStyle w:val="Address"/>
            </w:pPr>
            <w:r w:rsidRPr="00487162">
              <w:t>PO Box 100 Woden ACT 2606 Australia</w:t>
            </w:r>
          </w:p>
          <w:p w14:paraId="34D146C6" w14:textId="027928A4" w:rsidR="001C32CD" w:rsidRPr="00487162" w:rsidRDefault="001C32CD" w:rsidP="00A05FA4">
            <w:pPr>
              <w:pStyle w:val="Address"/>
            </w:pPr>
            <w:r w:rsidRPr="00487162">
              <w:t xml:space="preserve">Email: </w:t>
            </w:r>
            <w:hyperlink r:id="rId53" w:history="1">
              <w:r w:rsidRPr="004C239D">
                <w:rPr>
                  <w:rStyle w:val="Hyperlink"/>
                </w:rPr>
                <w:t>info@tga.gov.au</w:t>
              </w:r>
            </w:hyperlink>
            <w:r w:rsidR="0005518B">
              <w:t xml:space="preserve"> </w:t>
            </w:r>
            <w:r w:rsidRPr="00487162">
              <w:t>Phone: 1800 020 653</w:t>
            </w:r>
            <w:r w:rsidR="0005518B">
              <w:t xml:space="preserve"> </w:t>
            </w:r>
            <w:r w:rsidRPr="00487162">
              <w:t>Fax: 02 6232 8605</w:t>
            </w:r>
          </w:p>
          <w:p w14:paraId="5B94D74B" w14:textId="7D18C935" w:rsidR="001C32CD" w:rsidRPr="004C239D" w:rsidRDefault="001108B3" w:rsidP="00A05FA4">
            <w:pPr>
              <w:pStyle w:val="Address"/>
              <w:spacing w:line="260" w:lineRule="atLeast"/>
              <w:rPr>
                <w:b/>
                <w:color w:val="0000FF"/>
                <w:u w:val="single"/>
              </w:rPr>
            </w:pPr>
            <w:hyperlink r:id="rId54" w:history="1">
              <w:r w:rsidR="007C6B9B" w:rsidRPr="007C6B9B">
                <w:rPr>
                  <w:rStyle w:val="Hyperlink"/>
                  <w:b/>
                </w:rPr>
                <w:t>https://www.tga.gov.au</w:t>
              </w:r>
            </w:hyperlink>
          </w:p>
        </w:tc>
      </w:tr>
    </w:tbl>
    <w:p w14:paraId="3E363519" w14:textId="77777777" w:rsidR="00774E1D" w:rsidRPr="008A5E0B" w:rsidRDefault="00774E1D" w:rsidP="004C239D"/>
    <w:sectPr w:rsidR="00774E1D" w:rsidRPr="008A5E0B" w:rsidSect="001C32CD">
      <w:headerReference w:type="even" r:id="rId55"/>
      <w:headerReference w:type="default" r:id="rId56"/>
      <w:footerReference w:type="default" r:id="rId57"/>
      <w:headerReference w:type="first" r:id="rId58"/>
      <w:footerReference w:type="first" r:id="rId5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54075" w14:textId="77777777" w:rsidR="00E53BA0" w:rsidRDefault="00E53BA0" w:rsidP="00C40A36">
      <w:pPr>
        <w:spacing w:after="0"/>
      </w:pPr>
      <w:r>
        <w:separator/>
      </w:r>
    </w:p>
  </w:endnote>
  <w:endnote w:type="continuationSeparator" w:id="0">
    <w:p w14:paraId="43D22316" w14:textId="77777777" w:rsidR="00E53BA0" w:rsidRDefault="00E53BA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D5DB2" w14:textId="77777777" w:rsidR="00E50779" w:rsidRDefault="00E50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53BA0" w:rsidRPr="00487162" w14:paraId="00FF2EE2" w14:textId="77777777" w:rsidTr="00DB750B">
      <w:trPr>
        <w:trHeight w:val="269"/>
      </w:trPr>
      <w:tc>
        <w:tcPr>
          <w:tcW w:w="7371" w:type="dxa"/>
          <w:tcMar>
            <w:top w:w="142" w:type="dxa"/>
            <w:bottom w:w="0" w:type="dxa"/>
          </w:tcMar>
        </w:tcPr>
        <w:p w14:paraId="43E1000B" w14:textId="1C8B1D3C" w:rsidR="00E53BA0" w:rsidRPr="00487162" w:rsidRDefault="00E53BA0" w:rsidP="00460036">
          <w:pPr>
            <w:pStyle w:val="Footer"/>
          </w:pPr>
          <w:r w:rsidRPr="00487162">
            <w:t>AusPA</w:t>
          </w:r>
          <w:r>
            <w:t xml:space="preserve">R - </w:t>
          </w:r>
          <w:r w:rsidRPr="00A55E74">
            <w:t xml:space="preserve">Breztri Aerosphere </w:t>
          </w:r>
          <w:r>
            <w:t>-</w:t>
          </w:r>
          <w:r w:rsidRPr="00460036">
            <w:t xml:space="preserve"> </w:t>
          </w:r>
          <w:r>
            <w:t>b</w:t>
          </w:r>
          <w:r w:rsidRPr="00A55E74">
            <w:t>udesonide/</w:t>
          </w:r>
          <w:r>
            <w:t>g</w:t>
          </w:r>
          <w:r w:rsidRPr="00A55E74">
            <w:t>lycopyrronium/</w:t>
          </w:r>
          <w:r>
            <w:t>f</w:t>
          </w:r>
          <w:r w:rsidRPr="00A55E74">
            <w:t xml:space="preserve">ormoterol </w:t>
          </w:r>
          <w:r>
            <w:t xml:space="preserve">- </w:t>
          </w:r>
          <w:r w:rsidRPr="00B97800">
            <w:t xml:space="preserve">AstraZeneca Pty Ltd </w:t>
          </w:r>
          <w:r w:rsidR="00E50779">
            <w:t>-</w:t>
          </w:r>
          <w:r>
            <w:t xml:space="preserve"> </w:t>
          </w:r>
          <w:r w:rsidRPr="00B97800">
            <w:t>PM</w:t>
          </w:r>
          <w:r>
            <w:noBreakHyphen/>
          </w:r>
          <w:r w:rsidRPr="00B97800">
            <w:t>2020-02915-1-5</w:t>
          </w:r>
          <w:r>
            <w:br/>
            <w:t>Final 14 April 2022</w:t>
          </w:r>
        </w:p>
      </w:tc>
      <w:tc>
        <w:tcPr>
          <w:tcW w:w="1490" w:type="dxa"/>
          <w:tcMar>
            <w:top w:w="142" w:type="dxa"/>
            <w:bottom w:w="0" w:type="dxa"/>
          </w:tcMar>
        </w:tcPr>
        <w:p w14:paraId="29CB8D79" w14:textId="6BF1970D" w:rsidR="00E53BA0" w:rsidRPr="00487162" w:rsidRDefault="00E53BA0" w:rsidP="00DB750B">
          <w:pPr>
            <w:pStyle w:val="Footer"/>
            <w:jc w:val="right"/>
          </w:pPr>
          <w:r w:rsidRPr="00487162">
            <w:t xml:space="preserve">Page </w:t>
          </w:r>
          <w:r>
            <w:fldChar w:fldCharType="begin"/>
          </w:r>
          <w:r>
            <w:instrText xml:space="preserve"> PAGE  \* Arabic </w:instrText>
          </w:r>
          <w:r>
            <w:fldChar w:fldCharType="separate"/>
          </w:r>
          <w:r>
            <w:rPr>
              <w:noProof/>
            </w:rPr>
            <w:t>48</w:t>
          </w:r>
          <w:r>
            <w:fldChar w:fldCharType="end"/>
          </w:r>
          <w:r w:rsidRPr="00487162">
            <w:t xml:space="preserve"> of </w:t>
          </w:r>
          <w:r w:rsidR="001108B3">
            <w:fldChar w:fldCharType="begin"/>
          </w:r>
          <w:r w:rsidR="001108B3">
            <w:instrText xml:space="preserve"> NUMPAGES  \* Arabic </w:instrText>
          </w:r>
          <w:r w:rsidR="001108B3">
            <w:fldChar w:fldCharType="separate"/>
          </w:r>
          <w:r>
            <w:rPr>
              <w:noProof/>
            </w:rPr>
            <w:t>49</w:t>
          </w:r>
          <w:r w:rsidR="001108B3">
            <w:rPr>
              <w:noProof/>
            </w:rPr>
            <w:fldChar w:fldCharType="end"/>
          </w:r>
        </w:p>
      </w:tc>
    </w:tr>
  </w:tbl>
  <w:p w14:paraId="58B631FF" w14:textId="77777777" w:rsidR="00E53BA0" w:rsidRDefault="00E53BA0"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A106E" w14:textId="77777777" w:rsidR="00E50779" w:rsidRDefault="00E507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53BA0" w:rsidRPr="00487162" w14:paraId="02DDBA26" w14:textId="77777777" w:rsidTr="00E45619">
      <w:trPr>
        <w:trHeight w:val="269"/>
      </w:trPr>
      <w:tc>
        <w:tcPr>
          <w:tcW w:w="4519" w:type="dxa"/>
          <w:tcBorders>
            <w:top w:val="single" w:sz="4" w:space="0" w:color="auto"/>
          </w:tcBorders>
          <w:tcMar>
            <w:top w:w="142" w:type="dxa"/>
            <w:bottom w:w="0" w:type="dxa"/>
          </w:tcMar>
        </w:tcPr>
        <w:p w14:paraId="5DBCBD1E" w14:textId="77777777" w:rsidR="00E53BA0" w:rsidRPr="00487162" w:rsidRDefault="00E53BA0" w:rsidP="00FE1DEE">
          <w:pPr>
            <w:pStyle w:val="Footer"/>
          </w:pPr>
          <w:r w:rsidRPr="00487162">
            <w:t>Document title, Part #, Section # - Section title</w:t>
          </w:r>
        </w:p>
        <w:p w14:paraId="2CB02208" w14:textId="77777777" w:rsidR="00E53BA0" w:rsidRPr="00487162" w:rsidRDefault="00E53BA0" w:rsidP="00FE1DEE">
          <w:pPr>
            <w:pStyle w:val="Footer"/>
          </w:pPr>
          <w:r w:rsidRPr="00487162">
            <w:t>V1.0 October 2010</w:t>
          </w:r>
        </w:p>
      </w:tc>
      <w:tc>
        <w:tcPr>
          <w:tcW w:w="4342" w:type="dxa"/>
          <w:tcBorders>
            <w:top w:val="single" w:sz="4" w:space="0" w:color="auto"/>
          </w:tcBorders>
          <w:tcMar>
            <w:top w:w="142" w:type="dxa"/>
            <w:bottom w:w="0" w:type="dxa"/>
          </w:tcMar>
        </w:tcPr>
        <w:p w14:paraId="7C166997" w14:textId="77777777" w:rsidR="00E53BA0" w:rsidRPr="00487162" w:rsidRDefault="00E53BA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1108B3">
            <w:fldChar w:fldCharType="begin"/>
          </w:r>
          <w:r w:rsidR="001108B3">
            <w:instrText xml:space="preserve"> NUMPAGES  </w:instrText>
          </w:r>
          <w:r w:rsidR="001108B3">
            <w:fldChar w:fldCharType="separate"/>
          </w:r>
          <w:r>
            <w:rPr>
              <w:noProof/>
            </w:rPr>
            <w:t>21</w:t>
          </w:r>
          <w:r w:rsidR="001108B3">
            <w:rPr>
              <w:noProof/>
            </w:rPr>
            <w:fldChar w:fldCharType="end"/>
          </w:r>
        </w:p>
      </w:tc>
    </w:tr>
  </w:tbl>
  <w:p w14:paraId="0F3AF3B0" w14:textId="77777777" w:rsidR="00E53BA0" w:rsidRDefault="00E53B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5ED25" w14:textId="77777777" w:rsidR="00E53BA0" w:rsidRPr="001C32CD" w:rsidRDefault="00E53BA0"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53BA0" w14:paraId="0B28A219" w14:textId="77777777" w:rsidTr="0010601F">
      <w:trPr>
        <w:trHeight w:val="108"/>
      </w:trPr>
      <w:tc>
        <w:tcPr>
          <w:tcW w:w="8875" w:type="dxa"/>
          <w:gridSpan w:val="2"/>
          <w:tcBorders>
            <w:bottom w:val="single" w:sz="4" w:space="0" w:color="auto"/>
          </w:tcBorders>
          <w:tcMar>
            <w:right w:w="284" w:type="dxa"/>
          </w:tcMar>
        </w:tcPr>
        <w:p w14:paraId="13A30E3F" w14:textId="77777777" w:rsidR="00E53BA0" w:rsidRDefault="00E53BA0" w:rsidP="006E08B3">
          <w:pPr>
            <w:pStyle w:val="Heading3"/>
          </w:pPr>
          <w:r>
            <w:t>Copyright</w:t>
          </w:r>
        </w:p>
        <w:p w14:paraId="716648E5" w14:textId="77777777" w:rsidR="00E53BA0" w:rsidRDefault="00E53BA0" w:rsidP="006E08B3">
          <w:r>
            <w:rPr>
              <w:rFonts w:cs="Arial"/>
            </w:rPr>
            <w:t>©</w:t>
          </w:r>
          <w:r>
            <w:t xml:space="preserve"> Commonwealth of Australia [add year]</w:t>
          </w:r>
        </w:p>
        <w:p w14:paraId="7C077A5D" w14:textId="77777777" w:rsidR="00E53BA0" w:rsidRDefault="00E53BA0" w:rsidP="006E08B3"/>
        <w:p w14:paraId="45EE47AF" w14:textId="4DA0D867" w:rsidR="00E53BA0" w:rsidRDefault="00E53BA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140CED4" w14:textId="77777777" w:rsidR="00E53BA0" w:rsidRDefault="00E53BA0" w:rsidP="006E08B3"/>
        <w:p w14:paraId="0E4B7515" w14:textId="77777777" w:rsidR="00E53BA0" w:rsidRDefault="00E53BA0" w:rsidP="006E08B3">
          <w:pPr>
            <w:pStyle w:val="Heading3"/>
          </w:pPr>
          <w:r>
            <w:t>Confidentiality</w:t>
          </w:r>
        </w:p>
        <w:p w14:paraId="7FD766D7" w14:textId="77777777" w:rsidR="00E53BA0" w:rsidRDefault="00E53BA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5913980" w14:textId="77777777" w:rsidR="00E53BA0" w:rsidRDefault="00E53BA0" w:rsidP="006E08B3"/>
        <w:p w14:paraId="2F578C7D" w14:textId="77777777" w:rsidR="00E53BA0" w:rsidRDefault="00E53BA0" w:rsidP="006E08B3">
          <w:r>
            <w:t>For submission made by individuals, all personal details, other than your name, will be removed from your submission before it is published on the TGA’s Internet site.</w:t>
          </w:r>
        </w:p>
        <w:p w14:paraId="4CB55899" w14:textId="77777777" w:rsidR="00E53BA0" w:rsidRDefault="00E53BA0" w:rsidP="006E08B3"/>
        <w:p w14:paraId="6414C078" w14:textId="77777777" w:rsidR="00E53BA0" w:rsidRDefault="00E53BA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53BA0" w14:paraId="3E2424AE" w14:textId="77777777" w:rsidTr="0010601F">
      <w:trPr>
        <w:trHeight w:val="417"/>
      </w:trPr>
      <w:tc>
        <w:tcPr>
          <w:tcW w:w="4519" w:type="dxa"/>
          <w:tcBorders>
            <w:top w:val="single" w:sz="4" w:space="0" w:color="auto"/>
          </w:tcBorders>
          <w:tcMar>
            <w:top w:w="142" w:type="dxa"/>
            <w:bottom w:w="0" w:type="dxa"/>
          </w:tcMar>
        </w:tcPr>
        <w:p w14:paraId="30DF5F24" w14:textId="77777777" w:rsidR="00E53BA0" w:rsidRDefault="00E53BA0" w:rsidP="006E08B3">
          <w:r>
            <w:t>Document title, Part #, Section # - Section title</w:t>
          </w:r>
        </w:p>
        <w:p w14:paraId="0451BB8D" w14:textId="77777777" w:rsidR="00E53BA0" w:rsidRDefault="00E53BA0" w:rsidP="006E08B3">
          <w:r>
            <w:t>V1.0 October 2010</w:t>
          </w:r>
        </w:p>
      </w:tc>
      <w:tc>
        <w:tcPr>
          <w:tcW w:w="4356" w:type="dxa"/>
          <w:tcBorders>
            <w:top w:val="single" w:sz="4" w:space="0" w:color="auto"/>
          </w:tcBorders>
          <w:tcMar>
            <w:top w:w="142" w:type="dxa"/>
            <w:bottom w:w="0" w:type="dxa"/>
          </w:tcMar>
        </w:tcPr>
        <w:p w14:paraId="4E94D109" w14:textId="7FFDC947" w:rsidR="00E53BA0" w:rsidRDefault="00E53BA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1108B3">
            <w:fldChar w:fldCharType="begin"/>
          </w:r>
          <w:r w:rsidR="001108B3">
            <w:instrText xml:space="preserve"> NUMPAGES  \* Arabic </w:instrText>
          </w:r>
          <w:r w:rsidR="001108B3">
            <w:fldChar w:fldCharType="separate"/>
          </w:r>
          <w:r>
            <w:rPr>
              <w:noProof/>
            </w:rPr>
            <w:t>21</w:t>
          </w:r>
          <w:r w:rsidR="001108B3">
            <w:rPr>
              <w:noProof/>
            </w:rPr>
            <w:fldChar w:fldCharType="end"/>
          </w:r>
          <w:r>
            <w:t xml:space="preserve"> </w:t>
          </w:r>
        </w:p>
      </w:tc>
    </w:tr>
  </w:tbl>
  <w:p w14:paraId="0B9FFBF5" w14:textId="77777777" w:rsidR="00E53BA0" w:rsidRDefault="00E53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5E11B" w14:textId="77777777" w:rsidR="00E53BA0" w:rsidRDefault="00E53BA0" w:rsidP="00C40A36">
      <w:pPr>
        <w:spacing w:after="0"/>
      </w:pPr>
      <w:r>
        <w:separator/>
      </w:r>
    </w:p>
  </w:footnote>
  <w:footnote w:type="continuationSeparator" w:id="0">
    <w:p w14:paraId="108F5A26" w14:textId="77777777" w:rsidR="00E53BA0" w:rsidRDefault="00E53BA0" w:rsidP="00C40A36">
      <w:pPr>
        <w:spacing w:after="0"/>
      </w:pPr>
      <w:r>
        <w:continuationSeparator/>
      </w:r>
    </w:p>
  </w:footnote>
  <w:footnote w:id="1">
    <w:p w14:paraId="69EEB466" w14:textId="77777777" w:rsidR="00E53BA0" w:rsidRDefault="00E53BA0">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F32B3D6" w14:textId="5C13961C" w:rsidR="00E53BA0" w:rsidRDefault="00E53BA0">
      <w:pPr>
        <w:pStyle w:val="FootnoteText"/>
      </w:pPr>
      <w:r>
        <w:rPr>
          <w:rStyle w:val="FootnoteReference"/>
        </w:rPr>
        <w:footnoteRef/>
      </w:r>
      <w:r>
        <w:t xml:space="preserve"> </w:t>
      </w:r>
      <w:proofErr w:type="gramStart"/>
      <w:r>
        <w:t xml:space="preserve">Australian Institute of Health and Welfare (AIHW) </w:t>
      </w:r>
      <w:r w:rsidRPr="00802EF5">
        <w:t>Chronic Obstructive Pulmonary Disease (COPD)</w:t>
      </w:r>
      <w:r>
        <w:t>,</w:t>
      </w:r>
      <w:proofErr w:type="gramEnd"/>
      <w:r>
        <w:t xml:space="preserve"> l</w:t>
      </w:r>
      <w:r w:rsidRPr="00802EF5">
        <w:t>ast updated</w:t>
      </w:r>
      <w:r>
        <w:t xml:space="preserve"> on</w:t>
      </w:r>
      <w:r w:rsidRPr="00802EF5">
        <w:t xml:space="preserve"> 25 Aug</w:t>
      </w:r>
      <w:r>
        <w:t>ust</w:t>
      </w:r>
      <w:r w:rsidRPr="00802EF5">
        <w:t xml:space="preserve"> 2020</w:t>
      </w:r>
      <w:r>
        <w:t xml:space="preserve">. Available at: </w:t>
      </w:r>
      <w:hyperlink r:id="rId1" w:history="1">
        <w:r w:rsidRPr="00D667B8">
          <w:rPr>
            <w:rStyle w:val="Hyperlink"/>
          </w:rPr>
          <w:t>https://www.aihw.gov.au/reports/chronic-respiratory-conditions/copd/contents/copd</w:t>
        </w:r>
      </w:hyperlink>
      <w:r>
        <w:t xml:space="preserve"> (accessed 3 March 2022).</w:t>
      </w:r>
    </w:p>
  </w:footnote>
  <w:footnote w:id="3">
    <w:p w14:paraId="355E76D5" w14:textId="7D34565C" w:rsidR="00E53BA0" w:rsidRDefault="00E53BA0">
      <w:pPr>
        <w:pStyle w:val="FootnoteText"/>
      </w:pPr>
      <w:r>
        <w:rPr>
          <w:rStyle w:val="FootnoteReference"/>
        </w:rPr>
        <w:footnoteRef/>
      </w:r>
      <w:r>
        <w:t xml:space="preserve"> </w:t>
      </w:r>
      <w:r w:rsidRPr="00980D26">
        <w:t>Trelegy Ellipta was first registered on the ARTG on 16</w:t>
      </w:r>
      <w:r>
        <w:t xml:space="preserve"> January </w:t>
      </w:r>
      <w:r w:rsidRPr="00980D26">
        <w:t>2018 (ARTG number: 284636</w:t>
      </w:r>
      <w:r>
        <w:t>).</w:t>
      </w:r>
    </w:p>
  </w:footnote>
  <w:footnote w:id="4">
    <w:p w14:paraId="5B94B009" w14:textId="05C11CE7" w:rsidR="00E53BA0" w:rsidRDefault="00E53BA0">
      <w:pPr>
        <w:pStyle w:val="FootnoteText"/>
      </w:pPr>
      <w:r>
        <w:rPr>
          <w:rStyle w:val="FootnoteReference"/>
        </w:rPr>
        <w:footnoteRef/>
      </w:r>
      <w:r>
        <w:t xml:space="preserve"> </w:t>
      </w:r>
      <w:r w:rsidRPr="00021F7B">
        <w:t>Stein</w:t>
      </w:r>
      <w:r>
        <w:t>,</w:t>
      </w:r>
      <w:r w:rsidRPr="00021F7B">
        <w:t xml:space="preserve"> A</w:t>
      </w:r>
      <w:r>
        <w:t xml:space="preserve">. et al. </w:t>
      </w:r>
      <w:r w:rsidRPr="00021F7B">
        <w:t>Effects of perinatal mental disorders on the fetus and child</w:t>
      </w:r>
      <w:r>
        <w:t>,</w:t>
      </w:r>
      <w:r w:rsidRPr="00021F7B">
        <w:t xml:space="preserve"> </w:t>
      </w:r>
      <w:r w:rsidRPr="00B43DAC">
        <w:rPr>
          <w:i/>
          <w:iCs/>
        </w:rPr>
        <w:t>Lancet</w:t>
      </w:r>
      <w:r>
        <w:t>,</w:t>
      </w:r>
      <w:r w:rsidRPr="00021F7B">
        <w:t xml:space="preserve"> 2014;</w:t>
      </w:r>
      <w:r>
        <w:t xml:space="preserve"> </w:t>
      </w:r>
      <w:r w:rsidRPr="00021F7B">
        <w:t>384:</w:t>
      </w:r>
      <w:r>
        <w:t xml:space="preserve"> </w:t>
      </w:r>
      <w:r w:rsidRPr="00021F7B">
        <w:t>1800-</w:t>
      </w:r>
      <w:r>
        <w:t>18</w:t>
      </w:r>
      <w:r w:rsidRPr="00021F7B">
        <w:t>19</w:t>
      </w:r>
    </w:p>
  </w:footnote>
  <w:footnote w:id="5">
    <w:p w14:paraId="78F41607" w14:textId="22D5A1BE" w:rsidR="00E53BA0" w:rsidRDefault="00E53BA0">
      <w:pPr>
        <w:pStyle w:val="FootnoteText"/>
      </w:pPr>
      <w:r>
        <w:rPr>
          <w:rStyle w:val="FootnoteReference"/>
        </w:rPr>
        <w:footnoteRef/>
      </w:r>
      <w:r>
        <w:t xml:space="preserve"> </w:t>
      </w:r>
      <w:r w:rsidRPr="004C40E4">
        <w:t xml:space="preserve">Dolovich, </w:t>
      </w:r>
      <w:r>
        <w:t xml:space="preserve">M. et al. </w:t>
      </w:r>
      <w:r w:rsidRPr="004C40E4">
        <w:t>Device selection and outcomes of aerosol therapy: Evidence-based guidelines: American College of Chest Physicians/American College of Asthma, Allergy, and Immunology</w:t>
      </w:r>
      <w:r>
        <w:t>,</w:t>
      </w:r>
      <w:r w:rsidRPr="004C40E4">
        <w:t xml:space="preserve"> </w:t>
      </w:r>
      <w:r w:rsidRPr="00B43DAC">
        <w:rPr>
          <w:i/>
          <w:iCs/>
        </w:rPr>
        <w:t>Chest</w:t>
      </w:r>
      <w:r>
        <w:t>,</w:t>
      </w:r>
      <w:r w:rsidRPr="004C40E4">
        <w:t xml:space="preserve"> 2005;</w:t>
      </w:r>
      <w:r>
        <w:t xml:space="preserve"> </w:t>
      </w:r>
      <w:r w:rsidRPr="004C40E4">
        <w:t>127:</w:t>
      </w:r>
      <w:r>
        <w:t xml:space="preserve"> </w:t>
      </w:r>
      <w:r w:rsidRPr="004C40E4">
        <w:t>335-</w:t>
      </w:r>
      <w:r>
        <w:t>3</w:t>
      </w:r>
      <w:r w:rsidRPr="004C40E4">
        <w:t>71</w:t>
      </w:r>
    </w:p>
  </w:footnote>
  <w:footnote w:id="6">
    <w:p w14:paraId="79B07610" w14:textId="0F88709C" w:rsidR="00E53BA0" w:rsidRDefault="00E53BA0">
      <w:pPr>
        <w:pStyle w:val="FootnoteText"/>
      </w:pPr>
      <w:r>
        <w:rPr>
          <w:rStyle w:val="FootnoteReference"/>
        </w:rPr>
        <w:footnoteRef/>
      </w:r>
      <w:r>
        <w:t xml:space="preserve"> </w:t>
      </w:r>
      <w:r w:rsidRPr="00B94B47">
        <w:t>Molimard</w:t>
      </w:r>
      <w:r>
        <w:t>,</w:t>
      </w:r>
      <w:r w:rsidRPr="00B94B47">
        <w:t xml:space="preserve"> M.</w:t>
      </w:r>
      <w:r>
        <w:t xml:space="preserve"> et al.</w:t>
      </w:r>
      <w:r w:rsidRPr="00B94B47">
        <w:t xml:space="preserve"> Inhaler devices for chronic obstructive pulmonary disease: insights from patients and healthcare practitioners</w:t>
      </w:r>
      <w:r>
        <w:t>,</w:t>
      </w:r>
      <w:r w:rsidRPr="00B94B47">
        <w:t xml:space="preserve"> </w:t>
      </w:r>
      <w:r w:rsidRPr="00B43DAC">
        <w:rPr>
          <w:i/>
          <w:iCs/>
        </w:rPr>
        <w:t>J Aerosol Med Pulm Drug Deliv</w:t>
      </w:r>
      <w:r w:rsidRPr="00B94B47">
        <w:t>. 2015;</w:t>
      </w:r>
      <w:r>
        <w:t xml:space="preserve"> </w:t>
      </w:r>
      <w:r w:rsidRPr="00B94B47">
        <w:t>28:</w:t>
      </w:r>
      <w:r>
        <w:t xml:space="preserve"> </w:t>
      </w:r>
      <w:r w:rsidRPr="00B94B47">
        <w:t>219-</w:t>
      </w:r>
      <w:r>
        <w:t>2</w:t>
      </w:r>
      <w:r w:rsidRPr="00B94B47">
        <w:t>28</w:t>
      </w:r>
      <w:r>
        <w:t>.</w:t>
      </w:r>
    </w:p>
  </w:footnote>
  <w:footnote w:id="7">
    <w:p w14:paraId="687FB829" w14:textId="2F443013" w:rsidR="00E53BA0" w:rsidRDefault="00E53BA0">
      <w:pPr>
        <w:pStyle w:val="FootnoteText"/>
      </w:pPr>
      <w:r>
        <w:rPr>
          <w:rStyle w:val="FootnoteReference"/>
        </w:rPr>
        <w:footnoteRef/>
      </w:r>
      <w:r>
        <w:t xml:space="preserve"> </w:t>
      </w:r>
      <w:r w:rsidRPr="007F74B2">
        <w:t>Chrystyn</w:t>
      </w:r>
      <w:r>
        <w:t>,</w:t>
      </w:r>
      <w:r w:rsidRPr="007F74B2">
        <w:t xml:space="preserve"> H. </w:t>
      </w:r>
      <w:r>
        <w:t xml:space="preserve">et al. </w:t>
      </w:r>
      <w:r w:rsidRPr="007F74B2">
        <w:t>Impact of patients' satisfaction with their inhalers on treatment compliance and health status in COPD</w:t>
      </w:r>
      <w:r>
        <w:t>,</w:t>
      </w:r>
      <w:r w:rsidRPr="007F74B2">
        <w:t xml:space="preserve"> </w:t>
      </w:r>
      <w:r w:rsidRPr="00B43DAC">
        <w:rPr>
          <w:i/>
          <w:iCs/>
        </w:rPr>
        <w:t>Respir Med</w:t>
      </w:r>
      <w:r>
        <w:t>,</w:t>
      </w:r>
      <w:r w:rsidRPr="007F74B2">
        <w:t xml:space="preserve"> 2014;</w:t>
      </w:r>
      <w:r>
        <w:t xml:space="preserve"> </w:t>
      </w:r>
      <w:r w:rsidRPr="007F74B2">
        <w:t>108:</w:t>
      </w:r>
      <w:r>
        <w:t xml:space="preserve"> </w:t>
      </w:r>
      <w:r w:rsidRPr="007F74B2">
        <w:t>358-</w:t>
      </w:r>
      <w:r>
        <w:t>3</w:t>
      </w:r>
      <w:r w:rsidRPr="007F74B2">
        <w:t>65</w:t>
      </w:r>
    </w:p>
  </w:footnote>
  <w:footnote w:id="8">
    <w:p w14:paraId="630168B2" w14:textId="5AA655C0" w:rsidR="00E53BA0" w:rsidRDefault="00E53BA0">
      <w:pPr>
        <w:pStyle w:val="FootnoteText"/>
      </w:pPr>
      <w:r>
        <w:rPr>
          <w:rStyle w:val="FootnoteReference"/>
        </w:rPr>
        <w:footnoteRef/>
      </w:r>
      <w:r>
        <w:t xml:space="preserve"> </w:t>
      </w:r>
      <w:r w:rsidRPr="00495D24">
        <w:t>Bevespi Aerosphere</w:t>
      </w:r>
      <w:r>
        <w:t xml:space="preserve"> </w:t>
      </w:r>
      <w:r w:rsidRPr="00495D24">
        <w:t>was first registered on the ARTG on 2</w:t>
      </w:r>
      <w:r>
        <w:t xml:space="preserve"> October </w:t>
      </w:r>
      <w:r w:rsidRPr="00495D24">
        <w:t>2018 (ARTG number: 291060).</w:t>
      </w:r>
    </w:p>
  </w:footnote>
  <w:footnote w:id="9">
    <w:p w14:paraId="0963D121" w14:textId="3EB0CED4" w:rsidR="00E53BA0" w:rsidRDefault="00E53BA0">
      <w:pPr>
        <w:pStyle w:val="FootnoteText"/>
      </w:pPr>
      <w:r>
        <w:rPr>
          <w:rStyle w:val="FootnoteReference"/>
        </w:rPr>
        <w:footnoteRef/>
      </w:r>
      <w:r>
        <w:t xml:space="preserve"> </w:t>
      </w:r>
      <w:r w:rsidRPr="002552DB">
        <w:rPr>
          <w:b/>
          <w:bCs/>
        </w:rPr>
        <w:t>Good Laboratory Practice</w:t>
      </w:r>
      <w:r w:rsidRPr="00267EE6">
        <w:t xml:space="preserve"> is a code of standards following the International Council on Harmonisation (ICH) relevant to testing of medicines in laboratories during drug development.</w:t>
      </w:r>
    </w:p>
  </w:footnote>
  <w:footnote w:id="10">
    <w:p w14:paraId="043E4EE3" w14:textId="3814EF06" w:rsidR="00E53BA0" w:rsidRDefault="00E53BA0" w:rsidP="00211D6F">
      <w:pPr>
        <w:pStyle w:val="FootnoteText"/>
      </w:pPr>
      <w:r>
        <w:rPr>
          <w:rStyle w:val="FootnoteReference"/>
        </w:rPr>
        <w:footnoteRef/>
      </w:r>
      <w:r>
        <w:t xml:space="preserve"> </w:t>
      </w:r>
      <w:r w:rsidRPr="00B43DAC">
        <w:rPr>
          <w:b/>
          <w:bCs/>
        </w:rPr>
        <w:t>Pregnancy Category B3</w:t>
      </w:r>
    </w:p>
    <w:p w14:paraId="65651821" w14:textId="77777777" w:rsidR="00E53BA0" w:rsidRDefault="00E53BA0" w:rsidP="00211D6F">
      <w:pPr>
        <w:pStyle w:val="FootnoteText"/>
      </w:pPr>
      <w:r>
        <w:t>Drugs which have been taken by only a limited number of pregnant women and women of childbearing age, without an increase in the frequency of malformation or other direct or indirect harmful effects on the human fetus having been observed.</w:t>
      </w:r>
    </w:p>
    <w:p w14:paraId="4CE7C8DB" w14:textId="725B96A2" w:rsidR="00E53BA0" w:rsidRDefault="00E53BA0" w:rsidP="00211D6F">
      <w:pPr>
        <w:pStyle w:val="FootnoteText"/>
      </w:pPr>
      <w:r>
        <w:t>Studies in animals have shown evidence of an increased occurrence of fetal damage, the significance of which is considered uncertain in humans.</w:t>
      </w:r>
    </w:p>
  </w:footnote>
  <w:footnote w:id="11">
    <w:p w14:paraId="045D1EFD" w14:textId="251C0FAB" w:rsidR="00E53BA0" w:rsidRDefault="00E53BA0">
      <w:pPr>
        <w:pStyle w:val="FootnoteText"/>
      </w:pPr>
      <w:r>
        <w:rPr>
          <w:rStyle w:val="FootnoteReference"/>
        </w:rPr>
        <w:footnoteRef/>
      </w:r>
      <w:r>
        <w:t xml:space="preserve"> </w:t>
      </w:r>
      <w:r w:rsidRPr="0041185C">
        <w:t xml:space="preserve">Symbicort Turbuhaler </w:t>
      </w:r>
      <w:r w:rsidRPr="00980D26">
        <w:t xml:space="preserve">was first registered on the ARTG on </w:t>
      </w:r>
      <w:r w:rsidRPr="0041185C">
        <w:t>5</w:t>
      </w:r>
      <w:r>
        <w:t xml:space="preserve"> May </w:t>
      </w:r>
      <w:r w:rsidRPr="0041185C">
        <w:t xml:space="preserve">2004 </w:t>
      </w:r>
      <w:r w:rsidRPr="00980D26">
        <w:t xml:space="preserve">(ARTG number: </w:t>
      </w:r>
      <w:r w:rsidRPr="0041185C">
        <w:t>80877</w:t>
      </w:r>
      <w:r>
        <w:t>).</w:t>
      </w:r>
    </w:p>
  </w:footnote>
  <w:footnote w:id="12">
    <w:p w14:paraId="6DB4B67F" w14:textId="0284B793" w:rsidR="00E53BA0" w:rsidRDefault="00E53BA0">
      <w:pPr>
        <w:pStyle w:val="FootnoteText"/>
      </w:pPr>
      <w:r>
        <w:rPr>
          <w:rStyle w:val="FootnoteReference"/>
        </w:rPr>
        <w:footnoteRef/>
      </w:r>
      <w:r>
        <w:t xml:space="preserve"> </w:t>
      </w:r>
      <w:r w:rsidRPr="00B10E7B">
        <w:t xml:space="preserve">The randomised clinical trials analysed by the </w:t>
      </w:r>
      <w:r w:rsidRPr="002552DB">
        <w:rPr>
          <w:b/>
          <w:bCs/>
        </w:rPr>
        <w:t>intention-to-treat (ITT)</w:t>
      </w:r>
      <w:r w:rsidRPr="00B10E7B">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 A </w:t>
      </w:r>
      <w:r w:rsidRPr="002552DB">
        <w:rPr>
          <w:b/>
          <w:bCs/>
        </w:rPr>
        <w:t>modified intention-to-treat analysis (mITT)</w:t>
      </w:r>
      <w:r w:rsidRPr="00B10E7B">
        <w:t xml:space="preserve"> may sometimes be conducted excluding </w:t>
      </w:r>
      <w:proofErr w:type="gramStart"/>
      <w:r w:rsidRPr="00B10E7B">
        <w:t>subjects</w:t>
      </w:r>
      <w:proofErr w:type="gramEnd"/>
      <w:r w:rsidRPr="00B10E7B">
        <w:t xml:space="preserve"> post-randomisation.</w:t>
      </w:r>
    </w:p>
  </w:footnote>
  <w:footnote w:id="13">
    <w:p w14:paraId="434096A9" w14:textId="6F151C4F" w:rsidR="00E53BA0" w:rsidRDefault="00E53BA0">
      <w:pPr>
        <w:pStyle w:val="FootnoteText"/>
      </w:pPr>
      <w:r>
        <w:rPr>
          <w:rStyle w:val="FootnoteReference"/>
        </w:rPr>
        <w:footnoteRef/>
      </w:r>
      <w:r>
        <w:t xml:space="preserve"> </w:t>
      </w:r>
      <w:r w:rsidRPr="00244AB8">
        <w:t>Ventolin</w:t>
      </w:r>
      <w:r>
        <w:t xml:space="preserve"> </w:t>
      </w:r>
      <w:r w:rsidRPr="00244AB8">
        <w:t>was first registered on the ARTG on 13</w:t>
      </w:r>
      <w:r>
        <w:t xml:space="preserve"> August </w:t>
      </w:r>
      <w:r w:rsidRPr="00244AB8">
        <w:t>1991</w:t>
      </w:r>
      <w:r>
        <w:t xml:space="preserve"> (</w:t>
      </w:r>
      <w:r w:rsidRPr="00244AB8">
        <w:t xml:space="preserve">ARTG number: </w:t>
      </w:r>
      <w:r>
        <w:t>12527</w:t>
      </w:r>
      <w:r w:rsidRPr="00244AB8">
        <w:t>).</w:t>
      </w:r>
    </w:p>
  </w:footnote>
  <w:footnote w:id="14">
    <w:p w14:paraId="15937935" w14:textId="77777777" w:rsidR="00E53BA0" w:rsidRDefault="00E53BA0">
      <w:pPr>
        <w:pStyle w:val="FootnoteText"/>
      </w:pPr>
      <w:r>
        <w:rPr>
          <w:rStyle w:val="FootnoteReference"/>
        </w:rPr>
        <w:footnoteRef/>
      </w:r>
      <w:r>
        <w:t xml:space="preserve"> </w:t>
      </w:r>
      <w:r w:rsidRPr="007D53B6">
        <w:t>The sponsor must still comply with routine product vigilance and risk minimisation requirements.</w:t>
      </w:r>
    </w:p>
  </w:footnote>
  <w:footnote w:id="15">
    <w:p w14:paraId="7F1D5B68" w14:textId="71059017" w:rsidR="00E53BA0" w:rsidRDefault="00E53BA0">
      <w:pPr>
        <w:pStyle w:val="FootnoteText"/>
      </w:pPr>
      <w:r>
        <w:rPr>
          <w:rStyle w:val="FootnoteReference"/>
        </w:rPr>
        <w:footnoteRef/>
      </w:r>
      <w:r>
        <w:t xml:space="preserve"> </w:t>
      </w:r>
      <w:r w:rsidRPr="005C148E">
        <w:t xml:space="preserve">Global Initiative for Chronic Obstructive Lung Disease </w:t>
      </w:r>
      <w:r>
        <w:t xml:space="preserve">(GOLD), </w:t>
      </w:r>
      <w:r w:rsidRPr="005C148E">
        <w:t xml:space="preserve">Global </w:t>
      </w:r>
      <w:r>
        <w:t xml:space="preserve">Strategy for the Diagnosis, Management, and Presentation of chronic Obstructive Pulmonary Disease, 2017 Report. Available at: </w:t>
      </w:r>
      <w:hyperlink r:id="rId2" w:history="1">
        <w:r w:rsidRPr="00941B78">
          <w:rPr>
            <w:rStyle w:val="Hyperlink"/>
          </w:rPr>
          <w:t>https://goldcopd.org/wp-content/uploads/2017/02/wms-GOLD-2017-FINAL.pdf</w:t>
        </w:r>
      </w:hyperlink>
      <w:r>
        <w:t>.</w:t>
      </w:r>
    </w:p>
  </w:footnote>
  <w:footnote w:id="16">
    <w:p w14:paraId="559D9515" w14:textId="77777777" w:rsidR="00E53BA0" w:rsidRPr="00456765" w:rsidRDefault="00E53BA0"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3"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83229" w14:textId="77777777" w:rsidR="00E50779" w:rsidRDefault="00E507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CAA8A" w14:textId="77777777" w:rsidR="00E53BA0" w:rsidRDefault="00E53BA0"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FEF08" w14:textId="77777777" w:rsidR="00E53BA0" w:rsidRDefault="00E53BA0">
    <w:pPr>
      <w:rPr>
        <w:noProof/>
        <w:lang w:eastAsia="en-AU"/>
      </w:rPr>
    </w:pPr>
    <w:r w:rsidRPr="00347824">
      <w:rPr>
        <w:noProof/>
        <w:lang w:val="en-GB" w:eastAsia="en-GB"/>
      </w:rPr>
      <w:drawing>
        <wp:anchor distT="0" distB="0" distL="114300" distR="114300" simplePos="0" relativeHeight="251659264" behindDoc="1" locked="0" layoutInCell="1" allowOverlap="1" wp14:anchorId="2A911B11" wp14:editId="1BC83039">
          <wp:simplePos x="0" y="0"/>
          <wp:positionH relativeFrom="column">
            <wp:posOffset>-1089660</wp:posOffset>
          </wp:positionH>
          <wp:positionV relativeFrom="paragraph">
            <wp:posOffset>-585470</wp:posOffset>
          </wp:positionV>
          <wp:extent cx="7572375" cy="10706100"/>
          <wp:effectExtent l="19050" t="0" r="0" b="0"/>
          <wp:wrapNone/>
          <wp:docPr id="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481D34F" w14:textId="77777777" w:rsidR="00E53BA0" w:rsidRDefault="00E53BA0"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90B40" w14:textId="77777777" w:rsidR="00E53BA0" w:rsidRDefault="00E53B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FC875" w14:textId="77777777" w:rsidR="00E53BA0" w:rsidRDefault="00E53BA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1E416" w14:textId="77777777" w:rsidR="00E53BA0" w:rsidRDefault="00E53BA0">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518A9" w14:textId="77777777" w:rsidR="00E53BA0" w:rsidRDefault="00E53B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EC334" w14:textId="77777777" w:rsidR="00E53BA0" w:rsidRDefault="00E53BA0"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46D4A" w14:textId="77777777" w:rsidR="00E53BA0" w:rsidRDefault="00E53BA0" w:rsidP="006E08B3">
    <w:r>
      <w:t>Therapeutic Goods Administration</w:t>
    </w:r>
  </w:p>
  <w:p w14:paraId="0B21A79F" w14:textId="77777777" w:rsidR="00E53BA0" w:rsidRDefault="00E53BA0"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2AD8E568"/>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AD1185"/>
    <w:multiLevelType w:val="hybridMultilevel"/>
    <w:tmpl w:val="C72681CC"/>
    <w:lvl w:ilvl="0" w:tplc="CF2445D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5F01C6"/>
    <w:multiLevelType w:val="hybridMultilevel"/>
    <w:tmpl w:val="947CF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E91E33"/>
    <w:multiLevelType w:val="hybridMultilevel"/>
    <w:tmpl w:val="927E8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901056"/>
    <w:multiLevelType w:val="hybridMultilevel"/>
    <w:tmpl w:val="F0FC9CF6"/>
    <w:lvl w:ilvl="0" w:tplc="CF2445D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9726AEB"/>
    <w:multiLevelType w:val="hybridMultilevel"/>
    <w:tmpl w:val="28465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5"/>
  </w:num>
  <w:num w:numId="29">
    <w:abstractNumId w:val="6"/>
  </w:num>
  <w:num w:numId="30">
    <w:abstractNumId w:val="8"/>
  </w:num>
  <w:num w:numId="31">
    <w:abstractNumId w:val="4"/>
  </w:num>
  <w:num w:numId="32">
    <w:abstractNumId w:val="13"/>
  </w:num>
  <w:num w:numId="33">
    <w:abstractNumId w:val="9"/>
  </w:num>
  <w:num w:numId="34">
    <w:abstractNumId w:val="16"/>
  </w:num>
  <w:num w:numId="35">
    <w:abstractNumId w:val="14"/>
  </w:num>
  <w:num w:numId="36">
    <w:abstractNumId w:val="10"/>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D27"/>
    <w:rsid w:val="000006DD"/>
    <w:rsid w:val="00002031"/>
    <w:rsid w:val="00004734"/>
    <w:rsid w:val="00006046"/>
    <w:rsid w:val="00006469"/>
    <w:rsid w:val="00006B22"/>
    <w:rsid w:val="00006FAB"/>
    <w:rsid w:val="00007BE8"/>
    <w:rsid w:val="0001276A"/>
    <w:rsid w:val="00021E8B"/>
    <w:rsid w:val="00021F7B"/>
    <w:rsid w:val="000228F7"/>
    <w:rsid w:val="000230E0"/>
    <w:rsid w:val="00023DC6"/>
    <w:rsid w:val="000246AE"/>
    <w:rsid w:val="00025C67"/>
    <w:rsid w:val="00025D5E"/>
    <w:rsid w:val="00027400"/>
    <w:rsid w:val="0003281E"/>
    <w:rsid w:val="000328F5"/>
    <w:rsid w:val="00036DA7"/>
    <w:rsid w:val="000370FE"/>
    <w:rsid w:val="00040157"/>
    <w:rsid w:val="00040D7C"/>
    <w:rsid w:val="00040DD5"/>
    <w:rsid w:val="00041E90"/>
    <w:rsid w:val="00044772"/>
    <w:rsid w:val="00045136"/>
    <w:rsid w:val="0004541C"/>
    <w:rsid w:val="00047D52"/>
    <w:rsid w:val="00050372"/>
    <w:rsid w:val="0005106A"/>
    <w:rsid w:val="0005166F"/>
    <w:rsid w:val="000521C3"/>
    <w:rsid w:val="0005518B"/>
    <w:rsid w:val="0005559E"/>
    <w:rsid w:val="00055E95"/>
    <w:rsid w:val="00056140"/>
    <w:rsid w:val="00056A38"/>
    <w:rsid w:val="00057811"/>
    <w:rsid w:val="000604D6"/>
    <w:rsid w:val="0006260F"/>
    <w:rsid w:val="00063B26"/>
    <w:rsid w:val="00067C44"/>
    <w:rsid w:val="00067FD6"/>
    <w:rsid w:val="00072973"/>
    <w:rsid w:val="00072CA5"/>
    <w:rsid w:val="00072FE5"/>
    <w:rsid w:val="000734D8"/>
    <w:rsid w:val="00074CBC"/>
    <w:rsid w:val="00076122"/>
    <w:rsid w:val="00076B65"/>
    <w:rsid w:val="00076EC3"/>
    <w:rsid w:val="00077775"/>
    <w:rsid w:val="00077F04"/>
    <w:rsid w:val="00080E5D"/>
    <w:rsid w:val="00081D2C"/>
    <w:rsid w:val="00084730"/>
    <w:rsid w:val="00090471"/>
    <w:rsid w:val="000949AB"/>
    <w:rsid w:val="00094F43"/>
    <w:rsid w:val="00096AA7"/>
    <w:rsid w:val="0009754C"/>
    <w:rsid w:val="000A14BB"/>
    <w:rsid w:val="000A21EB"/>
    <w:rsid w:val="000A3AED"/>
    <w:rsid w:val="000A43F3"/>
    <w:rsid w:val="000B1552"/>
    <w:rsid w:val="000B3532"/>
    <w:rsid w:val="000B3A75"/>
    <w:rsid w:val="000B4121"/>
    <w:rsid w:val="000B51F1"/>
    <w:rsid w:val="000B58A6"/>
    <w:rsid w:val="000B58CA"/>
    <w:rsid w:val="000B6EF0"/>
    <w:rsid w:val="000B6FB6"/>
    <w:rsid w:val="000C00C2"/>
    <w:rsid w:val="000C62B3"/>
    <w:rsid w:val="000C690F"/>
    <w:rsid w:val="000D1295"/>
    <w:rsid w:val="000D2390"/>
    <w:rsid w:val="000D391B"/>
    <w:rsid w:val="000D3D6D"/>
    <w:rsid w:val="000D4FC7"/>
    <w:rsid w:val="000E0B8D"/>
    <w:rsid w:val="000E0FD2"/>
    <w:rsid w:val="000E2356"/>
    <w:rsid w:val="000E48D4"/>
    <w:rsid w:val="000E6196"/>
    <w:rsid w:val="000E69F0"/>
    <w:rsid w:val="000F11B2"/>
    <w:rsid w:val="000F1DDD"/>
    <w:rsid w:val="000F4642"/>
    <w:rsid w:val="000F4869"/>
    <w:rsid w:val="000F5B42"/>
    <w:rsid w:val="000F6365"/>
    <w:rsid w:val="000F6E6F"/>
    <w:rsid w:val="001012F6"/>
    <w:rsid w:val="0010383B"/>
    <w:rsid w:val="0010601F"/>
    <w:rsid w:val="0010788A"/>
    <w:rsid w:val="00107A31"/>
    <w:rsid w:val="001108B3"/>
    <w:rsid w:val="00110EA5"/>
    <w:rsid w:val="00112F56"/>
    <w:rsid w:val="00112FDC"/>
    <w:rsid w:val="00114AFB"/>
    <w:rsid w:val="00115A5D"/>
    <w:rsid w:val="001177EC"/>
    <w:rsid w:val="00121B71"/>
    <w:rsid w:val="00122C2E"/>
    <w:rsid w:val="001240C0"/>
    <w:rsid w:val="00124ACD"/>
    <w:rsid w:val="00125318"/>
    <w:rsid w:val="001253F4"/>
    <w:rsid w:val="00127776"/>
    <w:rsid w:val="001305A2"/>
    <w:rsid w:val="00133238"/>
    <w:rsid w:val="00133930"/>
    <w:rsid w:val="00133A1B"/>
    <w:rsid w:val="0013498F"/>
    <w:rsid w:val="0013499F"/>
    <w:rsid w:val="00135320"/>
    <w:rsid w:val="0013545F"/>
    <w:rsid w:val="00135C98"/>
    <w:rsid w:val="00135F1C"/>
    <w:rsid w:val="001361AB"/>
    <w:rsid w:val="00136695"/>
    <w:rsid w:val="0014197B"/>
    <w:rsid w:val="001428F9"/>
    <w:rsid w:val="00142CA2"/>
    <w:rsid w:val="001447CD"/>
    <w:rsid w:val="0014572C"/>
    <w:rsid w:val="00147D1E"/>
    <w:rsid w:val="001516B1"/>
    <w:rsid w:val="00154EBB"/>
    <w:rsid w:val="00156316"/>
    <w:rsid w:val="001579B2"/>
    <w:rsid w:val="00161181"/>
    <w:rsid w:val="00162098"/>
    <w:rsid w:val="00162D14"/>
    <w:rsid w:val="00163780"/>
    <w:rsid w:val="00163790"/>
    <w:rsid w:val="00165389"/>
    <w:rsid w:val="00166468"/>
    <w:rsid w:val="0016784B"/>
    <w:rsid w:val="0016788A"/>
    <w:rsid w:val="00167FD5"/>
    <w:rsid w:val="0017095A"/>
    <w:rsid w:val="00174322"/>
    <w:rsid w:val="0017439F"/>
    <w:rsid w:val="00174F0C"/>
    <w:rsid w:val="0017693F"/>
    <w:rsid w:val="0018110E"/>
    <w:rsid w:val="00181684"/>
    <w:rsid w:val="001843C6"/>
    <w:rsid w:val="001850C0"/>
    <w:rsid w:val="001850E0"/>
    <w:rsid w:val="001905B9"/>
    <w:rsid w:val="001916F6"/>
    <w:rsid w:val="00191D88"/>
    <w:rsid w:val="0019276D"/>
    <w:rsid w:val="00193F0B"/>
    <w:rsid w:val="0019729D"/>
    <w:rsid w:val="001A03AF"/>
    <w:rsid w:val="001A0825"/>
    <w:rsid w:val="001A2158"/>
    <w:rsid w:val="001A3994"/>
    <w:rsid w:val="001A4331"/>
    <w:rsid w:val="001A4653"/>
    <w:rsid w:val="001A525F"/>
    <w:rsid w:val="001B0180"/>
    <w:rsid w:val="001B0555"/>
    <w:rsid w:val="001B074D"/>
    <w:rsid w:val="001B08C3"/>
    <w:rsid w:val="001B09F9"/>
    <w:rsid w:val="001B3B04"/>
    <w:rsid w:val="001B4257"/>
    <w:rsid w:val="001B45CD"/>
    <w:rsid w:val="001B5C90"/>
    <w:rsid w:val="001B6448"/>
    <w:rsid w:val="001C2468"/>
    <w:rsid w:val="001C25BC"/>
    <w:rsid w:val="001C32CD"/>
    <w:rsid w:val="001C3A5C"/>
    <w:rsid w:val="001C4166"/>
    <w:rsid w:val="001C71C6"/>
    <w:rsid w:val="001D2984"/>
    <w:rsid w:val="001D2D17"/>
    <w:rsid w:val="001E07CF"/>
    <w:rsid w:val="001E09A8"/>
    <w:rsid w:val="001E4EC5"/>
    <w:rsid w:val="001E59F1"/>
    <w:rsid w:val="001F1E0F"/>
    <w:rsid w:val="001F2594"/>
    <w:rsid w:val="001F2CEE"/>
    <w:rsid w:val="001F3369"/>
    <w:rsid w:val="001F33B9"/>
    <w:rsid w:val="001F448C"/>
    <w:rsid w:val="001F49EB"/>
    <w:rsid w:val="001F5893"/>
    <w:rsid w:val="001F6CBA"/>
    <w:rsid w:val="00201D4E"/>
    <w:rsid w:val="002070E4"/>
    <w:rsid w:val="002076C9"/>
    <w:rsid w:val="00211D6F"/>
    <w:rsid w:val="00214B8F"/>
    <w:rsid w:val="0021719A"/>
    <w:rsid w:val="0021780A"/>
    <w:rsid w:val="00220102"/>
    <w:rsid w:val="00220B8A"/>
    <w:rsid w:val="002257F3"/>
    <w:rsid w:val="00226E97"/>
    <w:rsid w:val="00227C62"/>
    <w:rsid w:val="00230DD7"/>
    <w:rsid w:val="00233456"/>
    <w:rsid w:val="002339A5"/>
    <w:rsid w:val="00234238"/>
    <w:rsid w:val="00234947"/>
    <w:rsid w:val="0024114A"/>
    <w:rsid w:val="00244361"/>
    <w:rsid w:val="00244AB8"/>
    <w:rsid w:val="00246B97"/>
    <w:rsid w:val="00250271"/>
    <w:rsid w:val="00250D52"/>
    <w:rsid w:val="002552DB"/>
    <w:rsid w:val="00255519"/>
    <w:rsid w:val="00256B44"/>
    <w:rsid w:val="00257848"/>
    <w:rsid w:val="002578E8"/>
    <w:rsid w:val="002614CE"/>
    <w:rsid w:val="00261765"/>
    <w:rsid w:val="002630D3"/>
    <w:rsid w:val="00267EE6"/>
    <w:rsid w:val="0027032F"/>
    <w:rsid w:val="0027084A"/>
    <w:rsid w:val="00272D6F"/>
    <w:rsid w:val="002772FA"/>
    <w:rsid w:val="00280265"/>
    <w:rsid w:val="002836AA"/>
    <w:rsid w:val="00284EB8"/>
    <w:rsid w:val="00286434"/>
    <w:rsid w:val="00286C59"/>
    <w:rsid w:val="00291957"/>
    <w:rsid w:val="0029306E"/>
    <w:rsid w:val="002942D1"/>
    <w:rsid w:val="0029501A"/>
    <w:rsid w:val="00296819"/>
    <w:rsid w:val="00297DB0"/>
    <w:rsid w:val="002A146E"/>
    <w:rsid w:val="002A3721"/>
    <w:rsid w:val="002A66C5"/>
    <w:rsid w:val="002B0391"/>
    <w:rsid w:val="002B1638"/>
    <w:rsid w:val="002B34D6"/>
    <w:rsid w:val="002B3624"/>
    <w:rsid w:val="002B4546"/>
    <w:rsid w:val="002C526E"/>
    <w:rsid w:val="002D0952"/>
    <w:rsid w:val="002D3E05"/>
    <w:rsid w:val="002D41F8"/>
    <w:rsid w:val="002D5EDD"/>
    <w:rsid w:val="002D6E96"/>
    <w:rsid w:val="002D74AF"/>
    <w:rsid w:val="002D767B"/>
    <w:rsid w:val="002E3C79"/>
    <w:rsid w:val="002E40B3"/>
    <w:rsid w:val="002E4C9A"/>
    <w:rsid w:val="002E67BD"/>
    <w:rsid w:val="002E79D3"/>
    <w:rsid w:val="002F11F8"/>
    <w:rsid w:val="002F207E"/>
    <w:rsid w:val="002F2626"/>
    <w:rsid w:val="002F3492"/>
    <w:rsid w:val="002F3F56"/>
    <w:rsid w:val="002F44B5"/>
    <w:rsid w:val="002F5122"/>
    <w:rsid w:val="002F554E"/>
    <w:rsid w:val="003009A7"/>
    <w:rsid w:val="00300EC2"/>
    <w:rsid w:val="003042F0"/>
    <w:rsid w:val="00304F64"/>
    <w:rsid w:val="00311AC0"/>
    <w:rsid w:val="00314F2C"/>
    <w:rsid w:val="003168CA"/>
    <w:rsid w:val="003176FC"/>
    <w:rsid w:val="003241EB"/>
    <w:rsid w:val="00324E45"/>
    <w:rsid w:val="0032583B"/>
    <w:rsid w:val="0032759B"/>
    <w:rsid w:val="00327883"/>
    <w:rsid w:val="00330B58"/>
    <w:rsid w:val="00335504"/>
    <w:rsid w:val="00337AE8"/>
    <w:rsid w:val="00337D3F"/>
    <w:rsid w:val="00340919"/>
    <w:rsid w:val="00340C18"/>
    <w:rsid w:val="003412F7"/>
    <w:rsid w:val="00343492"/>
    <w:rsid w:val="003442FD"/>
    <w:rsid w:val="003443BC"/>
    <w:rsid w:val="00344D4F"/>
    <w:rsid w:val="0034501F"/>
    <w:rsid w:val="00347824"/>
    <w:rsid w:val="00350233"/>
    <w:rsid w:val="00350567"/>
    <w:rsid w:val="00351EDB"/>
    <w:rsid w:val="003521E8"/>
    <w:rsid w:val="003540E5"/>
    <w:rsid w:val="00356072"/>
    <w:rsid w:val="00357046"/>
    <w:rsid w:val="00357336"/>
    <w:rsid w:val="0036092A"/>
    <w:rsid w:val="00364EC3"/>
    <w:rsid w:val="00365BA7"/>
    <w:rsid w:val="003669B9"/>
    <w:rsid w:val="00366E53"/>
    <w:rsid w:val="00367912"/>
    <w:rsid w:val="00370CE3"/>
    <w:rsid w:val="003728F3"/>
    <w:rsid w:val="003735BC"/>
    <w:rsid w:val="0037496E"/>
    <w:rsid w:val="003754CE"/>
    <w:rsid w:val="00376112"/>
    <w:rsid w:val="00377B1D"/>
    <w:rsid w:val="0038057A"/>
    <w:rsid w:val="003816F1"/>
    <w:rsid w:val="00382A5C"/>
    <w:rsid w:val="00383221"/>
    <w:rsid w:val="00386150"/>
    <w:rsid w:val="003870F6"/>
    <w:rsid w:val="003874CE"/>
    <w:rsid w:val="00390900"/>
    <w:rsid w:val="00390BEE"/>
    <w:rsid w:val="0039136D"/>
    <w:rsid w:val="003A0031"/>
    <w:rsid w:val="003A2C95"/>
    <w:rsid w:val="003A6B3D"/>
    <w:rsid w:val="003A7808"/>
    <w:rsid w:val="003A7F6C"/>
    <w:rsid w:val="003B1D25"/>
    <w:rsid w:val="003B302E"/>
    <w:rsid w:val="003B3305"/>
    <w:rsid w:val="003B4D60"/>
    <w:rsid w:val="003B7E39"/>
    <w:rsid w:val="003C220A"/>
    <w:rsid w:val="003C58DC"/>
    <w:rsid w:val="003D18AE"/>
    <w:rsid w:val="003D1E62"/>
    <w:rsid w:val="003D2441"/>
    <w:rsid w:val="003D3262"/>
    <w:rsid w:val="003D3286"/>
    <w:rsid w:val="003D54C8"/>
    <w:rsid w:val="003D5B74"/>
    <w:rsid w:val="003E0B99"/>
    <w:rsid w:val="003E1047"/>
    <w:rsid w:val="003E2486"/>
    <w:rsid w:val="003E3208"/>
    <w:rsid w:val="003E605B"/>
    <w:rsid w:val="003E6418"/>
    <w:rsid w:val="003E684D"/>
    <w:rsid w:val="003F0324"/>
    <w:rsid w:val="003F0B04"/>
    <w:rsid w:val="003F2054"/>
    <w:rsid w:val="003F2D26"/>
    <w:rsid w:val="003F4ED6"/>
    <w:rsid w:val="003F5322"/>
    <w:rsid w:val="003F6B01"/>
    <w:rsid w:val="0040134E"/>
    <w:rsid w:val="00402BB8"/>
    <w:rsid w:val="00403D97"/>
    <w:rsid w:val="00405997"/>
    <w:rsid w:val="00406DFF"/>
    <w:rsid w:val="00407F30"/>
    <w:rsid w:val="004103AE"/>
    <w:rsid w:val="00411820"/>
    <w:rsid w:val="0041185C"/>
    <w:rsid w:val="00412392"/>
    <w:rsid w:val="00412479"/>
    <w:rsid w:val="004158E6"/>
    <w:rsid w:val="00417284"/>
    <w:rsid w:val="00417557"/>
    <w:rsid w:val="00417642"/>
    <w:rsid w:val="00422DA7"/>
    <w:rsid w:val="0042531D"/>
    <w:rsid w:val="00432D58"/>
    <w:rsid w:val="004334C7"/>
    <w:rsid w:val="00433624"/>
    <w:rsid w:val="00440A2D"/>
    <w:rsid w:val="00441132"/>
    <w:rsid w:val="00441C3F"/>
    <w:rsid w:val="004423AA"/>
    <w:rsid w:val="00443D5B"/>
    <w:rsid w:val="00444167"/>
    <w:rsid w:val="00444D1A"/>
    <w:rsid w:val="0044736B"/>
    <w:rsid w:val="00450989"/>
    <w:rsid w:val="0045185F"/>
    <w:rsid w:val="0045186A"/>
    <w:rsid w:val="00452AE5"/>
    <w:rsid w:val="004564A7"/>
    <w:rsid w:val="00456765"/>
    <w:rsid w:val="00460036"/>
    <w:rsid w:val="004617BF"/>
    <w:rsid w:val="004621FA"/>
    <w:rsid w:val="00463658"/>
    <w:rsid w:val="004637A0"/>
    <w:rsid w:val="004675E8"/>
    <w:rsid w:val="0047179C"/>
    <w:rsid w:val="004722CC"/>
    <w:rsid w:val="0047289F"/>
    <w:rsid w:val="00475DB4"/>
    <w:rsid w:val="00476439"/>
    <w:rsid w:val="00480F66"/>
    <w:rsid w:val="00483193"/>
    <w:rsid w:val="004842CE"/>
    <w:rsid w:val="00485D0C"/>
    <w:rsid w:val="00486F5B"/>
    <w:rsid w:val="00490483"/>
    <w:rsid w:val="00490500"/>
    <w:rsid w:val="00491F34"/>
    <w:rsid w:val="00492D06"/>
    <w:rsid w:val="00492E1D"/>
    <w:rsid w:val="004936E4"/>
    <w:rsid w:val="00494E60"/>
    <w:rsid w:val="00495D24"/>
    <w:rsid w:val="00497487"/>
    <w:rsid w:val="004A2771"/>
    <w:rsid w:val="004A43B3"/>
    <w:rsid w:val="004A5850"/>
    <w:rsid w:val="004A6118"/>
    <w:rsid w:val="004A6189"/>
    <w:rsid w:val="004A7390"/>
    <w:rsid w:val="004B0BA5"/>
    <w:rsid w:val="004B0E91"/>
    <w:rsid w:val="004B7B76"/>
    <w:rsid w:val="004C1219"/>
    <w:rsid w:val="004C145E"/>
    <w:rsid w:val="004C239D"/>
    <w:rsid w:val="004C2717"/>
    <w:rsid w:val="004C28BA"/>
    <w:rsid w:val="004C2DCA"/>
    <w:rsid w:val="004C40E4"/>
    <w:rsid w:val="004C4FBE"/>
    <w:rsid w:val="004C61D2"/>
    <w:rsid w:val="004C6654"/>
    <w:rsid w:val="004C6F48"/>
    <w:rsid w:val="004D0FCA"/>
    <w:rsid w:val="004E03C1"/>
    <w:rsid w:val="004E3133"/>
    <w:rsid w:val="004E3C58"/>
    <w:rsid w:val="004E6B3D"/>
    <w:rsid w:val="004E7E61"/>
    <w:rsid w:val="004F0372"/>
    <w:rsid w:val="004F0C4A"/>
    <w:rsid w:val="004F0F38"/>
    <w:rsid w:val="004F1289"/>
    <w:rsid w:val="004F3FE1"/>
    <w:rsid w:val="004F47D6"/>
    <w:rsid w:val="00500337"/>
    <w:rsid w:val="0050166C"/>
    <w:rsid w:val="00501921"/>
    <w:rsid w:val="00501B44"/>
    <w:rsid w:val="00501DD3"/>
    <w:rsid w:val="0050207C"/>
    <w:rsid w:val="005024C9"/>
    <w:rsid w:val="00502B62"/>
    <w:rsid w:val="005031A6"/>
    <w:rsid w:val="0051015C"/>
    <w:rsid w:val="00512287"/>
    <w:rsid w:val="00512C7D"/>
    <w:rsid w:val="0051744E"/>
    <w:rsid w:val="00522100"/>
    <w:rsid w:val="0052213C"/>
    <w:rsid w:val="00524DD4"/>
    <w:rsid w:val="0052504A"/>
    <w:rsid w:val="005252B2"/>
    <w:rsid w:val="00530354"/>
    <w:rsid w:val="00531869"/>
    <w:rsid w:val="005346DE"/>
    <w:rsid w:val="00534B20"/>
    <w:rsid w:val="0053625B"/>
    <w:rsid w:val="00542987"/>
    <w:rsid w:val="005434C6"/>
    <w:rsid w:val="00543B39"/>
    <w:rsid w:val="00543FE8"/>
    <w:rsid w:val="00544ED2"/>
    <w:rsid w:val="00546154"/>
    <w:rsid w:val="00550096"/>
    <w:rsid w:val="00553291"/>
    <w:rsid w:val="0055520B"/>
    <w:rsid w:val="00555280"/>
    <w:rsid w:val="0055686B"/>
    <w:rsid w:val="00557FF9"/>
    <w:rsid w:val="005601BC"/>
    <w:rsid w:val="00562327"/>
    <w:rsid w:val="00563C82"/>
    <w:rsid w:val="00564316"/>
    <w:rsid w:val="00570B13"/>
    <w:rsid w:val="005711D5"/>
    <w:rsid w:val="0057329C"/>
    <w:rsid w:val="00573C16"/>
    <w:rsid w:val="00576378"/>
    <w:rsid w:val="00577130"/>
    <w:rsid w:val="00577945"/>
    <w:rsid w:val="00577E38"/>
    <w:rsid w:val="00577F9D"/>
    <w:rsid w:val="0058180B"/>
    <w:rsid w:val="00581E64"/>
    <w:rsid w:val="005826D2"/>
    <w:rsid w:val="00583167"/>
    <w:rsid w:val="00584B67"/>
    <w:rsid w:val="00584DC0"/>
    <w:rsid w:val="00585322"/>
    <w:rsid w:val="005857C6"/>
    <w:rsid w:val="0058591A"/>
    <w:rsid w:val="005873CB"/>
    <w:rsid w:val="00587AD3"/>
    <w:rsid w:val="005905DE"/>
    <w:rsid w:val="00590C5B"/>
    <w:rsid w:val="00591999"/>
    <w:rsid w:val="00592F6E"/>
    <w:rsid w:val="00593AD1"/>
    <w:rsid w:val="005A0A86"/>
    <w:rsid w:val="005A0B38"/>
    <w:rsid w:val="005A5201"/>
    <w:rsid w:val="005A68B6"/>
    <w:rsid w:val="005A7417"/>
    <w:rsid w:val="005B192F"/>
    <w:rsid w:val="005B5B53"/>
    <w:rsid w:val="005B6FD5"/>
    <w:rsid w:val="005B7A3C"/>
    <w:rsid w:val="005C148E"/>
    <w:rsid w:val="005C4BC1"/>
    <w:rsid w:val="005C4C0B"/>
    <w:rsid w:val="005C5570"/>
    <w:rsid w:val="005C5B66"/>
    <w:rsid w:val="005C79A4"/>
    <w:rsid w:val="005D0730"/>
    <w:rsid w:val="005D139F"/>
    <w:rsid w:val="005D355C"/>
    <w:rsid w:val="005D5442"/>
    <w:rsid w:val="005E17EA"/>
    <w:rsid w:val="005E50F3"/>
    <w:rsid w:val="005E76A8"/>
    <w:rsid w:val="005E76EA"/>
    <w:rsid w:val="005F202B"/>
    <w:rsid w:val="005F22B1"/>
    <w:rsid w:val="005F6D27"/>
    <w:rsid w:val="00600CE6"/>
    <w:rsid w:val="006012D3"/>
    <w:rsid w:val="006030CC"/>
    <w:rsid w:val="00603F32"/>
    <w:rsid w:val="00604317"/>
    <w:rsid w:val="0060532B"/>
    <w:rsid w:val="00605AD4"/>
    <w:rsid w:val="00607704"/>
    <w:rsid w:val="00610099"/>
    <w:rsid w:val="00610229"/>
    <w:rsid w:val="00613217"/>
    <w:rsid w:val="006136D7"/>
    <w:rsid w:val="00622F41"/>
    <w:rsid w:val="00625A6E"/>
    <w:rsid w:val="006278A9"/>
    <w:rsid w:val="00627E06"/>
    <w:rsid w:val="006302C6"/>
    <w:rsid w:val="00632398"/>
    <w:rsid w:val="006329D8"/>
    <w:rsid w:val="006403DB"/>
    <w:rsid w:val="00640842"/>
    <w:rsid w:val="00640FC3"/>
    <w:rsid w:val="00642020"/>
    <w:rsid w:val="0064270A"/>
    <w:rsid w:val="006430EE"/>
    <w:rsid w:val="00644A94"/>
    <w:rsid w:val="00645D8A"/>
    <w:rsid w:val="00647298"/>
    <w:rsid w:val="006479F5"/>
    <w:rsid w:val="0065337B"/>
    <w:rsid w:val="0065419D"/>
    <w:rsid w:val="00657833"/>
    <w:rsid w:val="006603BC"/>
    <w:rsid w:val="006604D8"/>
    <w:rsid w:val="00660957"/>
    <w:rsid w:val="00663EF6"/>
    <w:rsid w:val="00664A5B"/>
    <w:rsid w:val="0066735C"/>
    <w:rsid w:val="00671A31"/>
    <w:rsid w:val="006726E3"/>
    <w:rsid w:val="0067583F"/>
    <w:rsid w:val="006763D2"/>
    <w:rsid w:val="00677027"/>
    <w:rsid w:val="00680C08"/>
    <w:rsid w:val="0068163E"/>
    <w:rsid w:val="00681BF8"/>
    <w:rsid w:val="00681C14"/>
    <w:rsid w:val="00683FC0"/>
    <w:rsid w:val="00685D91"/>
    <w:rsid w:val="00685D9C"/>
    <w:rsid w:val="006908F5"/>
    <w:rsid w:val="006916A0"/>
    <w:rsid w:val="006924CD"/>
    <w:rsid w:val="006931B1"/>
    <w:rsid w:val="006A09B8"/>
    <w:rsid w:val="006A15C0"/>
    <w:rsid w:val="006A2F48"/>
    <w:rsid w:val="006A58A8"/>
    <w:rsid w:val="006A7412"/>
    <w:rsid w:val="006A74EA"/>
    <w:rsid w:val="006B1BF3"/>
    <w:rsid w:val="006B21B2"/>
    <w:rsid w:val="006B2F08"/>
    <w:rsid w:val="006C03D1"/>
    <w:rsid w:val="006C06E0"/>
    <w:rsid w:val="006C1113"/>
    <w:rsid w:val="006C3E2A"/>
    <w:rsid w:val="006C490C"/>
    <w:rsid w:val="006C642F"/>
    <w:rsid w:val="006C6C64"/>
    <w:rsid w:val="006C71CF"/>
    <w:rsid w:val="006D03E5"/>
    <w:rsid w:val="006D1658"/>
    <w:rsid w:val="006D5D3E"/>
    <w:rsid w:val="006D7097"/>
    <w:rsid w:val="006E08B3"/>
    <w:rsid w:val="006E5F4B"/>
    <w:rsid w:val="006E6316"/>
    <w:rsid w:val="006F13A7"/>
    <w:rsid w:val="006F17AC"/>
    <w:rsid w:val="006F25B8"/>
    <w:rsid w:val="006F572E"/>
    <w:rsid w:val="0070304D"/>
    <w:rsid w:val="007046D6"/>
    <w:rsid w:val="00705DB0"/>
    <w:rsid w:val="0070720A"/>
    <w:rsid w:val="00714509"/>
    <w:rsid w:val="00715103"/>
    <w:rsid w:val="00720BE5"/>
    <w:rsid w:val="00722B57"/>
    <w:rsid w:val="007258A7"/>
    <w:rsid w:val="00726E19"/>
    <w:rsid w:val="00730F8A"/>
    <w:rsid w:val="00732E6E"/>
    <w:rsid w:val="00734771"/>
    <w:rsid w:val="00735A8C"/>
    <w:rsid w:val="007372C4"/>
    <w:rsid w:val="007373A8"/>
    <w:rsid w:val="007400EF"/>
    <w:rsid w:val="0074253D"/>
    <w:rsid w:val="007439A1"/>
    <w:rsid w:val="00744121"/>
    <w:rsid w:val="0074429B"/>
    <w:rsid w:val="007449C0"/>
    <w:rsid w:val="007456C4"/>
    <w:rsid w:val="00746719"/>
    <w:rsid w:val="00755494"/>
    <w:rsid w:val="0075633F"/>
    <w:rsid w:val="0075689A"/>
    <w:rsid w:val="00756C5F"/>
    <w:rsid w:val="007614C6"/>
    <w:rsid w:val="007615BC"/>
    <w:rsid w:val="00762F05"/>
    <w:rsid w:val="0076512D"/>
    <w:rsid w:val="007652FF"/>
    <w:rsid w:val="00770CAC"/>
    <w:rsid w:val="00770EF1"/>
    <w:rsid w:val="00772C7F"/>
    <w:rsid w:val="00773EF7"/>
    <w:rsid w:val="00774E1D"/>
    <w:rsid w:val="00775633"/>
    <w:rsid w:val="00775FA3"/>
    <w:rsid w:val="00776580"/>
    <w:rsid w:val="007765D8"/>
    <w:rsid w:val="0077675A"/>
    <w:rsid w:val="00780355"/>
    <w:rsid w:val="007819FD"/>
    <w:rsid w:val="00783442"/>
    <w:rsid w:val="00785717"/>
    <w:rsid w:val="00785721"/>
    <w:rsid w:val="00787317"/>
    <w:rsid w:val="00791DC9"/>
    <w:rsid w:val="00793A59"/>
    <w:rsid w:val="007943E0"/>
    <w:rsid w:val="00797420"/>
    <w:rsid w:val="007A2AAF"/>
    <w:rsid w:val="007A3FA0"/>
    <w:rsid w:val="007A46F5"/>
    <w:rsid w:val="007A5242"/>
    <w:rsid w:val="007A6505"/>
    <w:rsid w:val="007A7FD8"/>
    <w:rsid w:val="007B3EE2"/>
    <w:rsid w:val="007B3EF5"/>
    <w:rsid w:val="007B6132"/>
    <w:rsid w:val="007B6E9F"/>
    <w:rsid w:val="007C0E9B"/>
    <w:rsid w:val="007C1216"/>
    <w:rsid w:val="007C1AF7"/>
    <w:rsid w:val="007C5284"/>
    <w:rsid w:val="007C57FA"/>
    <w:rsid w:val="007C6B9B"/>
    <w:rsid w:val="007D1600"/>
    <w:rsid w:val="007D4160"/>
    <w:rsid w:val="007D49B1"/>
    <w:rsid w:val="007D4B85"/>
    <w:rsid w:val="007D53B6"/>
    <w:rsid w:val="007D6F71"/>
    <w:rsid w:val="007D7134"/>
    <w:rsid w:val="007E0697"/>
    <w:rsid w:val="007E37B1"/>
    <w:rsid w:val="007E3C3E"/>
    <w:rsid w:val="007E63C6"/>
    <w:rsid w:val="007F3AC6"/>
    <w:rsid w:val="007F5873"/>
    <w:rsid w:val="007F74B2"/>
    <w:rsid w:val="00802EF5"/>
    <w:rsid w:val="008059AF"/>
    <w:rsid w:val="00805D27"/>
    <w:rsid w:val="008068F2"/>
    <w:rsid w:val="00806DCB"/>
    <w:rsid w:val="00811071"/>
    <w:rsid w:val="008119F0"/>
    <w:rsid w:val="00815962"/>
    <w:rsid w:val="00817AD3"/>
    <w:rsid w:val="008213D9"/>
    <w:rsid w:val="00821776"/>
    <w:rsid w:val="00821B22"/>
    <w:rsid w:val="0082377B"/>
    <w:rsid w:val="00823D77"/>
    <w:rsid w:val="008258AE"/>
    <w:rsid w:val="0083040D"/>
    <w:rsid w:val="0083049B"/>
    <w:rsid w:val="008315BB"/>
    <w:rsid w:val="008321F5"/>
    <w:rsid w:val="00832369"/>
    <w:rsid w:val="00834660"/>
    <w:rsid w:val="00836BC2"/>
    <w:rsid w:val="008430F1"/>
    <w:rsid w:val="0084323A"/>
    <w:rsid w:val="00844431"/>
    <w:rsid w:val="00850380"/>
    <w:rsid w:val="0085156D"/>
    <w:rsid w:val="00852B28"/>
    <w:rsid w:val="00853CB4"/>
    <w:rsid w:val="00854606"/>
    <w:rsid w:val="008554D2"/>
    <w:rsid w:val="00855AB8"/>
    <w:rsid w:val="00855C1F"/>
    <w:rsid w:val="0085641B"/>
    <w:rsid w:val="00856FE1"/>
    <w:rsid w:val="00857136"/>
    <w:rsid w:val="008611F2"/>
    <w:rsid w:val="00863C11"/>
    <w:rsid w:val="00864779"/>
    <w:rsid w:val="00866564"/>
    <w:rsid w:val="0086667A"/>
    <w:rsid w:val="0086759B"/>
    <w:rsid w:val="00873F5F"/>
    <w:rsid w:val="00875A6B"/>
    <w:rsid w:val="00883E4C"/>
    <w:rsid w:val="00885B11"/>
    <w:rsid w:val="00885D95"/>
    <w:rsid w:val="00886D15"/>
    <w:rsid w:val="008874F5"/>
    <w:rsid w:val="00887592"/>
    <w:rsid w:val="00887DD8"/>
    <w:rsid w:val="00891BA9"/>
    <w:rsid w:val="00896018"/>
    <w:rsid w:val="008960DD"/>
    <w:rsid w:val="0089635C"/>
    <w:rsid w:val="00896B84"/>
    <w:rsid w:val="0089729C"/>
    <w:rsid w:val="008A060B"/>
    <w:rsid w:val="008A0642"/>
    <w:rsid w:val="008A19BC"/>
    <w:rsid w:val="008A1AF5"/>
    <w:rsid w:val="008A1BC0"/>
    <w:rsid w:val="008A2B9D"/>
    <w:rsid w:val="008A3D9F"/>
    <w:rsid w:val="008A47FA"/>
    <w:rsid w:val="008A4AE2"/>
    <w:rsid w:val="008A5E0B"/>
    <w:rsid w:val="008A6D59"/>
    <w:rsid w:val="008B4B03"/>
    <w:rsid w:val="008B4F73"/>
    <w:rsid w:val="008B596F"/>
    <w:rsid w:val="008C060E"/>
    <w:rsid w:val="008C159F"/>
    <w:rsid w:val="008C1623"/>
    <w:rsid w:val="008C1850"/>
    <w:rsid w:val="008C3D86"/>
    <w:rsid w:val="008C51A9"/>
    <w:rsid w:val="008C74C1"/>
    <w:rsid w:val="008D0042"/>
    <w:rsid w:val="008D0413"/>
    <w:rsid w:val="008D519A"/>
    <w:rsid w:val="008D5207"/>
    <w:rsid w:val="008E020F"/>
    <w:rsid w:val="008E0403"/>
    <w:rsid w:val="008E3FD6"/>
    <w:rsid w:val="008E7751"/>
    <w:rsid w:val="008E7846"/>
    <w:rsid w:val="008F02E5"/>
    <w:rsid w:val="008F1CCC"/>
    <w:rsid w:val="008F2967"/>
    <w:rsid w:val="008F346E"/>
    <w:rsid w:val="008F3570"/>
    <w:rsid w:val="008F3F3A"/>
    <w:rsid w:val="008F6943"/>
    <w:rsid w:val="008F7FF4"/>
    <w:rsid w:val="00902A21"/>
    <w:rsid w:val="00912165"/>
    <w:rsid w:val="00912E47"/>
    <w:rsid w:val="00914211"/>
    <w:rsid w:val="0091523F"/>
    <w:rsid w:val="009165B4"/>
    <w:rsid w:val="00917208"/>
    <w:rsid w:val="00920330"/>
    <w:rsid w:val="009219D7"/>
    <w:rsid w:val="00921A83"/>
    <w:rsid w:val="0092285D"/>
    <w:rsid w:val="00922871"/>
    <w:rsid w:val="00922D53"/>
    <w:rsid w:val="00923B70"/>
    <w:rsid w:val="00924482"/>
    <w:rsid w:val="00925AE7"/>
    <w:rsid w:val="00930237"/>
    <w:rsid w:val="00932B69"/>
    <w:rsid w:val="00932DC4"/>
    <w:rsid w:val="009337E6"/>
    <w:rsid w:val="00936ADC"/>
    <w:rsid w:val="00937C17"/>
    <w:rsid w:val="00940740"/>
    <w:rsid w:val="00940A89"/>
    <w:rsid w:val="00941F77"/>
    <w:rsid w:val="00946EA5"/>
    <w:rsid w:val="009508C8"/>
    <w:rsid w:val="0095322D"/>
    <w:rsid w:val="009534E5"/>
    <w:rsid w:val="00953B66"/>
    <w:rsid w:val="009564F8"/>
    <w:rsid w:val="00957108"/>
    <w:rsid w:val="00957E46"/>
    <w:rsid w:val="00960520"/>
    <w:rsid w:val="00963A73"/>
    <w:rsid w:val="00963C08"/>
    <w:rsid w:val="00964969"/>
    <w:rsid w:val="009670BC"/>
    <w:rsid w:val="00967A23"/>
    <w:rsid w:val="00970F08"/>
    <w:rsid w:val="009720BA"/>
    <w:rsid w:val="009752A5"/>
    <w:rsid w:val="00977375"/>
    <w:rsid w:val="00980D26"/>
    <w:rsid w:val="0098585A"/>
    <w:rsid w:val="00990D69"/>
    <w:rsid w:val="00995113"/>
    <w:rsid w:val="009963A2"/>
    <w:rsid w:val="00996606"/>
    <w:rsid w:val="009A0BF2"/>
    <w:rsid w:val="009A4CED"/>
    <w:rsid w:val="009A690D"/>
    <w:rsid w:val="009B1D12"/>
    <w:rsid w:val="009B34A9"/>
    <w:rsid w:val="009B38E4"/>
    <w:rsid w:val="009B3FAF"/>
    <w:rsid w:val="009B416B"/>
    <w:rsid w:val="009B47A8"/>
    <w:rsid w:val="009B6823"/>
    <w:rsid w:val="009B763E"/>
    <w:rsid w:val="009B7EAA"/>
    <w:rsid w:val="009C2634"/>
    <w:rsid w:val="009C4BD5"/>
    <w:rsid w:val="009C7875"/>
    <w:rsid w:val="009D40D5"/>
    <w:rsid w:val="009D7B77"/>
    <w:rsid w:val="009E056C"/>
    <w:rsid w:val="009E0BB0"/>
    <w:rsid w:val="009E2F1B"/>
    <w:rsid w:val="009E3FBB"/>
    <w:rsid w:val="009E41B2"/>
    <w:rsid w:val="009E43B8"/>
    <w:rsid w:val="009F36EF"/>
    <w:rsid w:val="009F5924"/>
    <w:rsid w:val="009F7353"/>
    <w:rsid w:val="009F75EE"/>
    <w:rsid w:val="00A01FB8"/>
    <w:rsid w:val="00A04F85"/>
    <w:rsid w:val="00A05241"/>
    <w:rsid w:val="00A05370"/>
    <w:rsid w:val="00A05FA4"/>
    <w:rsid w:val="00A102E4"/>
    <w:rsid w:val="00A109BF"/>
    <w:rsid w:val="00A117DA"/>
    <w:rsid w:val="00A1219C"/>
    <w:rsid w:val="00A12C42"/>
    <w:rsid w:val="00A13418"/>
    <w:rsid w:val="00A14DF7"/>
    <w:rsid w:val="00A15CCA"/>
    <w:rsid w:val="00A168B8"/>
    <w:rsid w:val="00A17F9D"/>
    <w:rsid w:val="00A2033B"/>
    <w:rsid w:val="00A22D57"/>
    <w:rsid w:val="00A2462C"/>
    <w:rsid w:val="00A275EA"/>
    <w:rsid w:val="00A300BF"/>
    <w:rsid w:val="00A3246D"/>
    <w:rsid w:val="00A36FA7"/>
    <w:rsid w:val="00A41086"/>
    <w:rsid w:val="00A419FA"/>
    <w:rsid w:val="00A44DDB"/>
    <w:rsid w:val="00A46888"/>
    <w:rsid w:val="00A475B7"/>
    <w:rsid w:val="00A47AF7"/>
    <w:rsid w:val="00A47C3E"/>
    <w:rsid w:val="00A50226"/>
    <w:rsid w:val="00A50DC6"/>
    <w:rsid w:val="00A51F57"/>
    <w:rsid w:val="00A55018"/>
    <w:rsid w:val="00A55419"/>
    <w:rsid w:val="00A55441"/>
    <w:rsid w:val="00A55816"/>
    <w:rsid w:val="00A558E9"/>
    <w:rsid w:val="00A55E74"/>
    <w:rsid w:val="00A607B4"/>
    <w:rsid w:val="00A60BAD"/>
    <w:rsid w:val="00A61780"/>
    <w:rsid w:val="00A61899"/>
    <w:rsid w:val="00A61DA6"/>
    <w:rsid w:val="00A620B2"/>
    <w:rsid w:val="00A6292A"/>
    <w:rsid w:val="00A63A58"/>
    <w:rsid w:val="00A65686"/>
    <w:rsid w:val="00A66B64"/>
    <w:rsid w:val="00A7106D"/>
    <w:rsid w:val="00A7140C"/>
    <w:rsid w:val="00A73985"/>
    <w:rsid w:val="00A76EE2"/>
    <w:rsid w:val="00A77F87"/>
    <w:rsid w:val="00A80B5B"/>
    <w:rsid w:val="00A839A1"/>
    <w:rsid w:val="00A84E36"/>
    <w:rsid w:val="00A85D28"/>
    <w:rsid w:val="00A85F27"/>
    <w:rsid w:val="00A862CE"/>
    <w:rsid w:val="00A9141B"/>
    <w:rsid w:val="00A935EC"/>
    <w:rsid w:val="00A93867"/>
    <w:rsid w:val="00A96121"/>
    <w:rsid w:val="00A9637B"/>
    <w:rsid w:val="00A964D1"/>
    <w:rsid w:val="00A97D25"/>
    <w:rsid w:val="00AA0ED0"/>
    <w:rsid w:val="00AA3225"/>
    <w:rsid w:val="00AA5661"/>
    <w:rsid w:val="00AA6AE9"/>
    <w:rsid w:val="00AB1CAD"/>
    <w:rsid w:val="00AB1D69"/>
    <w:rsid w:val="00AB1FD0"/>
    <w:rsid w:val="00AB20AD"/>
    <w:rsid w:val="00AB465C"/>
    <w:rsid w:val="00AB4F1D"/>
    <w:rsid w:val="00AB5BF5"/>
    <w:rsid w:val="00AC1AFC"/>
    <w:rsid w:val="00AC2B40"/>
    <w:rsid w:val="00AC2BB2"/>
    <w:rsid w:val="00AC2C3C"/>
    <w:rsid w:val="00AC459A"/>
    <w:rsid w:val="00AC512D"/>
    <w:rsid w:val="00AC5857"/>
    <w:rsid w:val="00AC6FFE"/>
    <w:rsid w:val="00AD0083"/>
    <w:rsid w:val="00AD0CE8"/>
    <w:rsid w:val="00AD1FB6"/>
    <w:rsid w:val="00AD3935"/>
    <w:rsid w:val="00AD5337"/>
    <w:rsid w:val="00AE3C6F"/>
    <w:rsid w:val="00AE65EB"/>
    <w:rsid w:val="00AE67A7"/>
    <w:rsid w:val="00AE67B3"/>
    <w:rsid w:val="00AF1D94"/>
    <w:rsid w:val="00AF5740"/>
    <w:rsid w:val="00AF5B4C"/>
    <w:rsid w:val="00AF60C5"/>
    <w:rsid w:val="00B009C6"/>
    <w:rsid w:val="00B01548"/>
    <w:rsid w:val="00B034F3"/>
    <w:rsid w:val="00B05226"/>
    <w:rsid w:val="00B101D5"/>
    <w:rsid w:val="00B10D15"/>
    <w:rsid w:val="00B10E7B"/>
    <w:rsid w:val="00B12175"/>
    <w:rsid w:val="00B130C5"/>
    <w:rsid w:val="00B13EBD"/>
    <w:rsid w:val="00B1427D"/>
    <w:rsid w:val="00B16EEB"/>
    <w:rsid w:val="00B17FF5"/>
    <w:rsid w:val="00B21D29"/>
    <w:rsid w:val="00B229E1"/>
    <w:rsid w:val="00B22F63"/>
    <w:rsid w:val="00B24A8F"/>
    <w:rsid w:val="00B25034"/>
    <w:rsid w:val="00B26074"/>
    <w:rsid w:val="00B32610"/>
    <w:rsid w:val="00B32DA3"/>
    <w:rsid w:val="00B33588"/>
    <w:rsid w:val="00B33863"/>
    <w:rsid w:val="00B37D17"/>
    <w:rsid w:val="00B4175E"/>
    <w:rsid w:val="00B41C85"/>
    <w:rsid w:val="00B431FE"/>
    <w:rsid w:val="00B43DAC"/>
    <w:rsid w:val="00B452CE"/>
    <w:rsid w:val="00B50384"/>
    <w:rsid w:val="00B50C00"/>
    <w:rsid w:val="00B5233D"/>
    <w:rsid w:val="00B53AAA"/>
    <w:rsid w:val="00B54C25"/>
    <w:rsid w:val="00B55A6A"/>
    <w:rsid w:val="00B61091"/>
    <w:rsid w:val="00B610F5"/>
    <w:rsid w:val="00B66845"/>
    <w:rsid w:val="00B67623"/>
    <w:rsid w:val="00B67A5E"/>
    <w:rsid w:val="00B7474A"/>
    <w:rsid w:val="00B76B91"/>
    <w:rsid w:val="00B77EB1"/>
    <w:rsid w:val="00B811C6"/>
    <w:rsid w:val="00B82C7F"/>
    <w:rsid w:val="00B84CE1"/>
    <w:rsid w:val="00B855B0"/>
    <w:rsid w:val="00B8566B"/>
    <w:rsid w:val="00B9012A"/>
    <w:rsid w:val="00B905F1"/>
    <w:rsid w:val="00B90661"/>
    <w:rsid w:val="00B92E08"/>
    <w:rsid w:val="00B932A8"/>
    <w:rsid w:val="00B94682"/>
    <w:rsid w:val="00B94B47"/>
    <w:rsid w:val="00B97800"/>
    <w:rsid w:val="00BA326D"/>
    <w:rsid w:val="00BA3C4F"/>
    <w:rsid w:val="00BA3F5B"/>
    <w:rsid w:val="00BA64C1"/>
    <w:rsid w:val="00BA6D19"/>
    <w:rsid w:val="00BB3668"/>
    <w:rsid w:val="00BB480B"/>
    <w:rsid w:val="00BB6AC0"/>
    <w:rsid w:val="00BC07DB"/>
    <w:rsid w:val="00BC3934"/>
    <w:rsid w:val="00BC622A"/>
    <w:rsid w:val="00BC695D"/>
    <w:rsid w:val="00BD0E22"/>
    <w:rsid w:val="00BD1F85"/>
    <w:rsid w:val="00BD4B68"/>
    <w:rsid w:val="00BE0A78"/>
    <w:rsid w:val="00BE0F81"/>
    <w:rsid w:val="00BE3D39"/>
    <w:rsid w:val="00BE4EC9"/>
    <w:rsid w:val="00BE5372"/>
    <w:rsid w:val="00BE7529"/>
    <w:rsid w:val="00BE79F0"/>
    <w:rsid w:val="00BF046D"/>
    <w:rsid w:val="00BF1190"/>
    <w:rsid w:val="00BF199C"/>
    <w:rsid w:val="00BF2534"/>
    <w:rsid w:val="00BF3774"/>
    <w:rsid w:val="00BF41BF"/>
    <w:rsid w:val="00BF4F21"/>
    <w:rsid w:val="00BF5D04"/>
    <w:rsid w:val="00BF7E9F"/>
    <w:rsid w:val="00C0061A"/>
    <w:rsid w:val="00C009AA"/>
    <w:rsid w:val="00C041BB"/>
    <w:rsid w:val="00C06AA6"/>
    <w:rsid w:val="00C10F30"/>
    <w:rsid w:val="00C1164D"/>
    <w:rsid w:val="00C1199B"/>
    <w:rsid w:val="00C12315"/>
    <w:rsid w:val="00C1523B"/>
    <w:rsid w:val="00C16861"/>
    <w:rsid w:val="00C20F2F"/>
    <w:rsid w:val="00C2129C"/>
    <w:rsid w:val="00C25166"/>
    <w:rsid w:val="00C267A7"/>
    <w:rsid w:val="00C3387C"/>
    <w:rsid w:val="00C346AB"/>
    <w:rsid w:val="00C35B55"/>
    <w:rsid w:val="00C404A6"/>
    <w:rsid w:val="00C404AA"/>
    <w:rsid w:val="00C40A36"/>
    <w:rsid w:val="00C40C9C"/>
    <w:rsid w:val="00C4157C"/>
    <w:rsid w:val="00C424D7"/>
    <w:rsid w:val="00C424D8"/>
    <w:rsid w:val="00C44419"/>
    <w:rsid w:val="00C448C6"/>
    <w:rsid w:val="00C45E7B"/>
    <w:rsid w:val="00C46AA3"/>
    <w:rsid w:val="00C471B1"/>
    <w:rsid w:val="00C525A2"/>
    <w:rsid w:val="00C52E24"/>
    <w:rsid w:val="00C549E8"/>
    <w:rsid w:val="00C552DF"/>
    <w:rsid w:val="00C558B7"/>
    <w:rsid w:val="00C578D8"/>
    <w:rsid w:val="00C57C57"/>
    <w:rsid w:val="00C60C01"/>
    <w:rsid w:val="00C61098"/>
    <w:rsid w:val="00C6316B"/>
    <w:rsid w:val="00C634A9"/>
    <w:rsid w:val="00C63EC5"/>
    <w:rsid w:val="00C6409E"/>
    <w:rsid w:val="00C64586"/>
    <w:rsid w:val="00C70A36"/>
    <w:rsid w:val="00C70D53"/>
    <w:rsid w:val="00C71CE5"/>
    <w:rsid w:val="00C73D0B"/>
    <w:rsid w:val="00C73E3C"/>
    <w:rsid w:val="00C74F5C"/>
    <w:rsid w:val="00C75526"/>
    <w:rsid w:val="00C75D87"/>
    <w:rsid w:val="00C75F8A"/>
    <w:rsid w:val="00C764B1"/>
    <w:rsid w:val="00C772FF"/>
    <w:rsid w:val="00C779C1"/>
    <w:rsid w:val="00C77DB8"/>
    <w:rsid w:val="00C80137"/>
    <w:rsid w:val="00C801AF"/>
    <w:rsid w:val="00C80256"/>
    <w:rsid w:val="00C8047E"/>
    <w:rsid w:val="00C8316E"/>
    <w:rsid w:val="00C845CA"/>
    <w:rsid w:val="00C9392B"/>
    <w:rsid w:val="00C947BD"/>
    <w:rsid w:val="00C94CD4"/>
    <w:rsid w:val="00C96D5F"/>
    <w:rsid w:val="00C96DC6"/>
    <w:rsid w:val="00C9747E"/>
    <w:rsid w:val="00CA02D4"/>
    <w:rsid w:val="00CA3565"/>
    <w:rsid w:val="00CA3C6D"/>
    <w:rsid w:val="00CA76AB"/>
    <w:rsid w:val="00CA7D06"/>
    <w:rsid w:val="00CB6BC0"/>
    <w:rsid w:val="00CC09FC"/>
    <w:rsid w:val="00CC0A59"/>
    <w:rsid w:val="00CC1B7C"/>
    <w:rsid w:val="00CC2695"/>
    <w:rsid w:val="00CC2CCD"/>
    <w:rsid w:val="00CC31F5"/>
    <w:rsid w:val="00CC3D66"/>
    <w:rsid w:val="00CC727F"/>
    <w:rsid w:val="00CD2626"/>
    <w:rsid w:val="00CD72FD"/>
    <w:rsid w:val="00CE0F17"/>
    <w:rsid w:val="00CE42B3"/>
    <w:rsid w:val="00CE5AD2"/>
    <w:rsid w:val="00CF0E45"/>
    <w:rsid w:val="00CF15C3"/>
    <w:rsid w:val="00CF263E"/>
    <w:rsid w:val="00CF2B6F"/>
    <w:rsid w:val="00CF2F3E"/>
    <w:rsid w:val="00CF58B6"/>
    <w:rsid w:val="00CF5DAD"/>
    <w:rsid w:val="00D0062D"/>
    <w:rsid w:val="00D017ED"/>
    <w:rsid w:val="00D036F9"/>
    <w:rsid w:val="00D040D3"/>
    <w:rsid w:val="00D04C65"/>
    <w:rsid w:val="00D07622"/>
    <w:rsid w:val="00D11046"/>
    <w:rsid w:val="00D11659"/>
    <w:rsid w:val="00D12044"/>
    <w:rsid w:val="00D14530"/>
    <w:rsid w:val="00D14E9A"/>
    <w:rsid w:val="00D153D8"/>
    <w:rsid w:val="00D15E7E"/>
    <w:rsid w:val="00D1603C"/>
    <w:rsid w:val="00D201D2"/>
    <w:rsid w:val="00D21595"/>
    <w:rsid w:val="00D224FE"/>
    <w:rsid w:val="00D23139"/>
    <w:rsid w:val="00D235EF"/>
    <w:rsid w:val="00D32B89"/>
    <w:rsid w:val="00D3455B"/>
    <w:rsid w:val="00D35A63"/>
    <w:rsid w:val="00D425BB"/>
    <w:rsid w:val="00D427D9"/>
    <w:rsid w:val="00D447FC"/>
    <w:rsid w:val="00D453FA"/>
    <w:rsid w:val="00D5511D"/>
    <w:rsid w:val="00D611D4"/>
    <w:rsid w:val="00D6142A"/>
    <w:rsid w:val="00D61775"/>
    <w:rsid w:val="00D6265D"/>
    <w:rsid w:val="00D62821"/>
    <w:rsid w:val="00D6493E"/>
    <w:rsid w:val="00D6503A"/>
    <w:rsid w:val="00D65604"/>
    <w:rsid w:val="00D661FD"/>
    <w:rsid w:val="00D7195D"/>
    <w:rsid w:val="00D7301E"/>
    <w:rsid w:val="00D7675A"/>
    <w:rsid w:val="00D76855"/>
    <w:rsid w:val="00D8155D"/>
    <w:rsid w:val="00D83AE1"/>
    <w:rsid w:val="00D83BED"/>
    <w:rsid w:val="00D855D4"/>
    <w:rsid w:val="00D86235"/>
    <w:rsid w:val="00D902C9"/>
    <w:rsid w:val="00D908EF"/>
    <w:rsid w:val="00D91053"/>
    <w:rsid w:val="00D91416"/>
    <w:rsid w:val="00D9212F"/>
    <w:rsid w:val="00D93466"/>
    <w:rsid w:val="00D94ADB"/>
    <w:rsid w:val="00D97A00"/>
    <w:rsid w:val="00D97EC3"/>
    <w:rsid w:val="00DA1002"/>
    <w:rsid w:val="00DA1124"/>
    <w:rsid w:val="00DA2462"/>
    <w:rsid w:val="00DA3FBA"/>
    <w:rsid w:val="00DA5540"/>
    <w:rsid w:val="00DA64CB"/>
    <w:rsid w:val="00DA6559"/>
    <w:rsid w:val="00DA7908"/>
    <w:rsid w:val="00DB06B8"/>
    <w:rsid w:val="00DB169B"/>
    <w:rsid w:val="00DB16D3"/>
    <w:rsid w:val="00DB1EB2"/>
    <w:rsid w:val="00DB4F25"/>
    <w:rsid w:val="00DB5C6C"/>
    <w:rsid w:val="00DB6124"/>
    <w:rsid w:val="00DB750B"/>
    <w:rsid w:val="00DB75B7"/>
    <w:rsid w:val="00DB78EB"/>
    <w:rsid w:val="00DC09C6"/>
    <w:rsid w:val="00DC0A2F"/>
    <w:rsid w:val="00DC1948"/>
    <w:rsid w:val="00DC24F6"/>
    <w:rsid w:val="00DC254B"/>
    <w:rsid w:val="00DC319C"/>
    <w:rsid w:val="00DC411D"/>
    <w:rsid w:val="00DC4301"/>
    <w:rsid w:val="00DC5218"/>
    <w:rsid w:val="00DC6E02"/>
    <w:rsid w:val="00DD006E"/>
    <w:rsid w:val="00DD28CD"/>
    <w:rsid w:val="00DD4451"/>
    <w:rsid w:val="00DD48B0"/>
    <w:rsid w:val="00DD7206"/>
    <w:rsid w:val="00DE02AE"/>
    <w:rsid w:val="00DE39D1"/>
    <w:rsid w:val="00DE614E"/>
    <w:rsid w:val="00DF1D7F"/>
    <w:rsid w:val="00DF1F84"/>
    <w:rsid w:val="00DF4BE4"/>
    <w:rsid w:val="00DF719B"/>
    <w:rsid w:val="00DF7718"/>
    <w:rsid w:val="00E00B8B"/>
    <w:rsid w:val="00E00D4B"/>
    <w:rsid w:val="00E02382"/>
    <w:rsid w:val="00E02FB4"/>
    <w:rsid w:val="00E061A2"/>
    <w:rsid w:val="00E0791C"/>
    <w:rsid w:val="00E10A3F"/>
    <w:rsid w:val="00E12B71"/>
    <w:rsid w:val="00E13FC7"/>
    <w:rsid w:val="00E1569C"/>
    <w:rsid w:val="00E20571"/>
    <w:rsid w:val="00E235F7"/>
    <w:rsid w:val="00E23659"/>
    <w:rsid w:val="00E239D4"/>
    <w:rsid w:val="00E24614"/>
    <w:rsid w:val="00E2561C"/>
    <w:rsid w:val="00E26130"/>
    <w:rsid w:val="00E31B38"/>
    <w:rsid w:val="00E31D34"/>
    <w:rsid w:val="00E33185"/>
    <w:rsid w:val="00E33972"/>
    <w:rsid w:val="00E33D42"/>
    <w:rsid w:val="00E35341"/>
    <w:rsid w:val="00E35DAD"/>
    <w:rsid w:val="00E361AB"/>
    <w:rsid w:val="00E37D70"/>
    <w:rsid w:val="00E40B22"/>
    <w:rsid w:val="00E428E2"/>
    <w:rsid w:val="00E43E90"/>
    <w:rsid w:val="00E44ED1"/>
    <w:rsid w:val="00E45619"/>
    <w:rsid w:val="00E4588F"/>
    <w:rsid w:val="00E46688"/>
    <w:rsid w:val="00E46DA3"/>
    <w:rsid w:val="00E47A6C"/>
    <w:rsid w:val="00E47D66"/>
    <w:rsid w:val="00E50779"/>
    <w:rsid w:val="00E51BB1"/>
    <w:rsid w:val="00E5277F"/>
    <w:rsid w:val="00E536B8"/>
    <w:rsid w:val="00E53BA0"/>
    <w:rsid w:val="00E540D9"/>
    <w:rsid w:val="00E54F19"/>
    <w:rsid w:val="00E554BD"/>
    <w:rsid w:val="00E55CB0"/>
    <w:rsid w:val="00E5608B"/>
    <w:rsid w:val="00E562F2"/>
    <w:rsid w:val="00E624A5"/>
    <w:rsid w:val="00E64BA4"/>
    <w:rsid w:val="00E6509E"/>
    <w:rsid w:val="00E675EA"/>
    <w:rsid w:val="00E72873"/>
    <w:rsid w:val="00E7344E"/>
    <w:rsid w:val="00E73DCB"/>
    <w:rsid w:val="00E74F8E"/>
    <w:rsid w:val="00E75207"/>
    <w:rsid w:val="00E81E9C"/>
    <w:rsid w:val="00E82665"/>
    <w:rsid w:val="00E84420"/>
    <w:rsid w:val="00E87701"/>
    <w:rsid w:val="00E9082C"/>
    <w:rsid w:val="00E90AE4"/>
    <w:rsid w:val="00E92454"/>
    <w:rsid w:val="00E92784"/>
    <w:rsid w:val="00E948B1"/>
    <w:rsid w:val="00E960B5"/>
    <w:rsid w:val="00EA2B19"/>
    <w:rsid w:val="00EA43BD"/>
    <w:rsid w:val="00EA5454"/>
    <w:rsid w:val="00EB0798"/>
    <w:rsid w:val="00EB0B50"/>
    <w:rsid w:val="00EB40AD"/>
    <w:rsid w:val="00EB485C"/>
    <w:rsid w:val="00EB586E"/>
    <w:rsid w:val="00EB5FC8"/>
    <w:rsid w:val="00EB761D"/>
    <w:rsid w:val="00EC053D"/>
    <w:rsid w:val="00EC1452"/>
    <w:rsid w:val="00EC2152"/>
    <w:rsid w:val="00EC29F1"/>
    <w:rsid w:val="00EC2A39"/>
    <w:rsid w:val="00EC463D"/>
    <w:rsid w:val="00EC5EE9"/>
    <w:rsid w:val="00EC7A85"/>
    <w:rsid w:val="00ED0058"/>
    <w:rsid w:val="00ED2922"/>
    <w:rsid w:val="00ED2BFD"/>
    <w:rsid w:val="00ED3809"/>
    <w:rsid w:val="00ED3CAD"/>
    <w:rsid w:val="00ED3CB4"/>
    <w:rsid w:val="00ED58CC"/>
    <w:rsid w:val="00ED5A41"/>
    <w:rsid w:val="00ED5C6A"/>
    <w:rsid w:val="00ED5E4E"/>
    <w:rsid w:val="00EE1466"/>
    <w:rsid w:val="00EE1DE8"/>
    <w:rsid w:val="00EE27C2"/>
    <w:rsid w:val="00EF1C40"/>
    <w:rsid w:val="00EF4BAD"/>
    <w:rsid w:val="00EF59DC"/>
    <w:rsid w:val="00F00CDA"/>
    <w:rsid w:val="00F027CF"/>
    <w:rsid w:val="00F033EC"/>
    <w:rsid w:val="00F04F68"/>
    <w:rsid w:val="00F12670"/>
    <w:rsid w:val="00F13552"/>
    <w:rsid w:val="00F14B27"/>
    <w:rsid w:val="00F17F94"/>
    <w:rsid w:val="00F229DE"/>
    <w:rsid w:val="00F237BA"/>
    <w:rsid w:val="00F23D30"/>
    <w:rsid w:val="00F26E7E"/>
    <w:rsid w:val="00F3049B"/>
    <w:rsid w:val="00F3148D"/>
    <w:rsid w:val="00F325C5"/>
    <w:rsid w:val="00F32FE0"/>
    <w:rsid w:val="00F338E1"/>
    <w:rsid w:val="00F35298"/>
    <w:rsid w:val="00F37CD9"/>
    <w:rsid w:val="00F41643"/>
    <w:rsid w:val="00F4690E"/>
    <w:rsid w:val="00F469CD"/>
    <w:rsid w:val="00F47333"/>
    <w:rsid w:val="00F47E37"/>
    <w:rsid w:val="00F516EB"/>
    <w:rsid w:val="00F53C07"/>
    <w:rsid w:val="00F54B65"/>
    <w:rsid w:val="00F618C7"/>
    <w:rsid w:val="00F62A0B"/>
    <w:rsid w:val="00F63DBF"/>
    <w:rsid w:val="00F640B6"/>
    <w:rsid w:val="00F64FBF"/>
    <w:rsid w:val="00F66460"/>
    <w:rsid w:val="00F66DF2"/>
    <w:rsid w:val="00F6762F"/>
    <w:rsid w:val="00F71CE9"/>
    <w:rsid w:val="00F745C2"/>
    <w:rsid w:val="00F808E7"/>
    <w:rsid w:val="00F80E40"/>
    <w:rsid w:val="00F82CDE"/>
    <w:rsid w:val="00F83400"/>
    <w:rsid w:val="00F83BA9"/>
    <w:rsid w:val="00F83CC2"/>
    <w:rsid w:val="00F848D9"/>
    <w:rsid w:val="00F8741E"/>
    <w:rsid w:val="00F87FA6"/>
    <w:rsid w:val="00F91A01"/>
    <w:rsid w:val="00F930A1"/>
    <w:rsid w:val="00F942A2"/>
    <w:rsid w:val="00F958EB"/>
    <w:rsid w:val="00F95987"/>
    <w:rsid w:val="00FA5069"/>
    <w:rsid w:val="00FA5B82"/>
    <w:rsid w:val="00FA639E"/>
    <w:rsid w:val="00FB0B3C"/>
    <w:rsid w:val="00FB2809"/>
    <w:rsid w:val="00FB369D"/>
    <w:rsid w:val="00FB36BA"/>
    <w:rsid w:val="00FB4A57"/>
    <w:rsid w:val="00FB4CAE"/>
    <w:rsid w:val="00FB5837"/>
    <w:rsid w:val="00FB71F9"/>
    <w:rsid w:val="00FC0F09"/>
    <w:rsid w:val="00FC11BD"/>
    <w:rsid w:val="00FC1FCA"/>
    <w:rsid w:val="00FC246C"/>
    <w:rsid w:val="00FC25E4"/>
    <w:rsid w:val="00FC4D54"/>
    <w:rsid w:val="00FC4EF7"/>
    <w:rsid w:val="00FD0824"/>
    <w:rsid w:val="00FD119B"/>
    <w:rsid w:val="00FD1EDC"/>
    <w:rsid w:val="00FD3AAE"/>
    <w:rsid w:val="00FD4239"/>
    <w:rsid w:val="00FD4A58"/>
    <w:rsid w:val="00FD5237"/>
    <w:rsid w:val="00FD54A2"/>
    <w:rsid w:val="00FD5CCA"/>
    <w:rsid w:val="00FD61E6"/>
    <w:rsid w:val="00FE1DEE"/>
    <w:rsid w:val="00FE30D2"/>
    <w:rsid w:val="00FE636D"/>
    <w:rsid w:val="00FF2126"/>
    <w:rsid w:val="00FF2496"/>
    <w:rsid w:val="00FF311E"/>
    <w:rsid w:val="00FF5755"/>
    <w:rsid w:val="00FF69BE"/>
    <w:rsid w:val="00FF7B93"/>
    <w:rsid w:val="0777258E"/>
    <w:rsid w:val="1A2794ED"/>
    <w:rsid w:val="642C6594"/>
    <w:rsid w:val="70CFDFA5"/>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00E7AE"/>
  <w15:docId w15:val="{91FCABA7-E293-4D00-A325-B96224148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61765"/>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customStyle="1" w:styleId="Default">
    <w:name w:val="Default"/>
    <w:rsid w:val="008611F2"/>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6.xml"/><Relationship Id="rId55"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tga.gov.au/product-information-pi"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info@tga.gov.au" TargetMode="External"/><Relationship Id="rId58"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5.xml"/><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www.tga.gov.au/product-information-pi"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4.xml"/><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www.tga.gov.au"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committee/advisory-committee-medicines-acm" TargetMode="External"/><Relationship Id="rId2" Type="http://schemas.openxmlformats.org/officeDocument/2006/relationships/hyperlink" Target="https://goldcopd.org/wp-content/uploads/2017/02/wms-GOLD-2017-FINAL.pdf" TargetMode="External"/><Relationship Id="rId1" Type="http://schemas.openxmlformats.org/officeDocument/2006/relationships/hyperlink" Target="https://www.aihw.gov.au/reports/chronic-respiratory-conditions/copd/contents/cop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409B9037C4F04FB94F462B12E8CD20" ma:contentTypeVersion="8" ma:contentTypeDescription="Create a new document." ma:contentTypeScope="" ma:versionID="ae8a4836eae91afeb0ed4dbcbb16645d">
  <xsd:schema xmlns:xsd="http://www.w3.org/2001/XMLSchema" xmlns:xs="http://www.w3.org/2001/XMLSchema" xmlns:p="http://schemas.microsoft.com/office/2006/metadata/properties" xmlns:ns2="44a56295-c29e-4898-8136-a54736c65b82" xmlns:ns3="d6b7bcdb-fc55-433d-9f51-115af91e804e" xmlns:ns4="821B68D7-6A3D-4A6F-B6EA-4AE245E9730C" xmlns:ns5="53B90FBD-D331-42AF-BBF1-DB2FCE6E12D6" xmlns:ns6="53b90fbd-d331-42af-bbf1-db2fce6e12d6" xmlns:ns7="http://schemas.microsoft.com/sharepoint/v4" targetNamespace="http://schemas.microsoft.com/office/2006/metadata/properties" ma:root="true" ma:fieldsID="1066627d044d7ab607d1b3200592290c" ns2:_="" ns3:_="" ns4:_="" ns5:_="" ns6:_="" ns7:_="">
    <xsd:import namespace="44a56295-c29e-4898-8136-a54736c65b82"/>
    <xsd:import namespace="d6b7bcdb-fc55-433d-9f51-115af91e804e"/>
    <xsd:import namespace="821B68D7-6A3D-4A6F-B6EA-4AE245E9730C"/>
    <xsd:import namespace="53B90FBD-D331-42AF-BBF1-DB2FCE6E12D6"/>
    <xsd:import namespace="53b90fbd-d331-42af-bbf1-db2fce6e12d6"/>
    <xsd:import namespace="http://schemas.microsoft.com/sharepoint/v4"/>
    <xsd:element name="properties">
      <xsd:complexType>
        <xsd:sequence>
          <xsd:element name="documentManagement">
            <xsd:complexType>
              <xsd:all>
                <xsd:element ref="ns2:Descriptions" minOccurs="0"/>
                <xsd:element ref="ns2:Keyword" minOccurs="0"/>
                <xsd:element ref="ns3:SharedWithUsers" minOccurs="0"/>
                <xsd:element ref="ns3:SharedWithDetails" minOccurs="0"/>
                <xsd:element ref="ns4:Owner" minOccurs="0"/>
                <xsd:element ref="ns4:Region" minOccurs="0"/>
                <xsd:element ref="ns5:Year" minOccurs="0"/>
                <xsd:element ref="ns6:Project" minOccurs="0"/>
                <xsd:element ref="ns5:Product"/>
                <xsd:element ref="ns5:Category"/>
                <xsd:element ref="ns6:MediaServiceMetadata" minOccurs="0"/>
                <xsd:element ref="ns6:MediaServiceFastMetadata" minOccurs="0"/>
                <xsd:element ref="ns6:Indikation" minOccurs="0"/>
                <xsd:element ref="ns6:Formulation" minOccurs="0"/>
                <xsd:element ref="ns6:MediaServiceAutoKeyPoints" minOccurs="0"/>
                <xsd:element ref="ns6:MediaServiceKeyPoints" minOccurs="0"/>
                <xsd:element ref="ns7: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b7bcdb-fc55-433d-9f51-115af91e80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1B68D7-6A3D-4A6F-B6EA-4AE245E9730C" elementFormDefault="qualified">
    <xsd:import namespace="http://schemas.microsoft.com/office/2006/documentManagement/types"/>
    <xsd:import namespace="http://schemas.microsoft.com/office/infopath/2007/PartnerControls"/>
    <xsd:element name="Owner" ma:index="12" nillable="true" ma:displayName="Owner" ma:description="Owner of the content"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 ma:index="13" nillable="true" ma:displayName="Region/Country" ma:format="Dropdown" ma:internalName="Region">
      <xsd:simpleType>
        <xsd:union memberTypes="dms:Text">
          <xsd:simpleType>
            <xsd:restriction base="dms:Choice">
              <xsd:enumeration value="USA"/>
              <xsd:enumeration value="EU"/>
              <xsd:enumeration value="Japan"/>
              <xsd:enumeration value="China"/>
              <xsd:enumeration value="Australia"/>
              <xsd:enumeration value="Canada"/>
              <xsd:enumeration value="Brazil"/>
              <xsd:enumeration value="Mexico"/>
              <xsd:enumeration value="Russia"/>
              <xsd:enumeration value="Europe other"/>
              <xsd:enumeration value="LATAM other"/>
              <xsd:enumeration value="ASIAPAC other"/>
              <xsd:enumeration value="MEA other"/>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3B90FBD-D331-42AF-BBF1-DB2FCE6E12D6" elementFormDefault="qualified">
    <xsd:import namespace="http://schemas.microsoft.com/office/2006/documentManagement/types"/>
    <xsd:import namespace="http://schemas.microsoft.com/office/infopath/2007/PartnerControls"/>
    <xsd:element name="Year" ma:index="14" nillable="true" ma:displayName="Year" ma:default="2016" ma:internalName="Year">
      <xsd:simpleType>
        <xsd:restriction base="dms:Text">
          <xsd:maxLength value="4"/>
        </xsd:restriction>
      </xsd:simpleType>
    </xsd:element>
    <xsd:element name="Product" ma:index="16" ma:displayName="Product" ma:description="Type the product as &quot;Product&quot;-&quot;Indication&quot;-&quot;Formulation&quot;" ma:format="Dropdown" ma:internalName="Product">
      <xsd:simpleType>
        <xsd:union memberTypes="dms:Text">
          <xsd:simpleType>
            <xsd:restriction base="dms:Choice">
              <xsd:enumeration value="PT010 Product Approval Circular"/>
              <xsd:enumeration value="PT010 COPD"/>
              <xsd:enumeration value="PT010 ASTHMA"/>
              <xsd:enumeration value="Indication"/>
              <xsd:enumeration value="Formulation"/>
              <xsd:enumeration value="Reg Tech Handover Documents"/>
            </xsd:restriction>
          </xsd:simpleType>
        </xsd:union>
      </xsd:simpleType>
    </xsd:element>
    <xsd:element name="Category" ma:index="17" ma:displayName="Category" ma:format="Dropdown" ma:internalName="Category">
      <xsd:simpleType>
        <xsd:restriction base="dms:Choice">
          <xsd:enumeration value="Regulatory strategy"/>
          <xsd:enumeration value="Subm. Delivery plan"/>
          <xsd:enumeration value="Core doc"/>
          <xsd:enumeration value="Region specific doc"/>
          <xsd:enumeration value="Labeling related doc"/>
          <xsd:enumeration value="Maintenance"/>
        </xsd:restriction>
      </xsd:simpleType>
    </xsd:element>
  </xsd:schema>
  <xsd:schema xmlns:xsd="http://www.w3.org/2001/XMLSchema" xmlns:xs="http://www.w3.org/2001/XMLSchema" xmlns:dms="http://schemas.microsoft.com/office/2006/documentManagement/types" xmlns:pc="http://schemas.microsoft.com/office/infopath/2007/PartnerControls" targetNamespace="53b90fbd-d331-42af-bbf1-db2fce6e12d6" elementFormDefault="qualified">
    <xsd:import namespace="http://schemas.microsoft.com/office/2006/documentManagement/types"/>
    <xsd:import namespace="http://schemas.microsoft.com/office/infopath/2007/PartnerControls"/>
    <xsd:element name="Project" ma:index="15" nillable="true" ma:displayName="Project" ma:format="Dropdown" ma:internalName="Project">
      <xsd:simpleType>
        <xsd:restriction base="dms:Choice">
          <xsd:enumeration value="PT003"/>
          <xsd:enumeration value="PT009"/>
          <xsd:enumeration value="PT010"/>
        </xsd:restriction>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Indikation" ma:index="20" nillable="true" ma:displayName="Indication" ma:format="Dropdown" ma:internalName="Indikation">
      <xsd:simpleType>
        <xsd:restriction base="dms:Choice">
          <xsd:enumeration value="COPD"/>
          <xsd:enumeration value="Asthma"/>
        </xsd:restriction>
      </xsd:simpleType>
    </xsd:element>
    <xsd:element name="Formulation" ma:index="21" nillable="true" ma:displayName="Formulation" ma:format="Dropdown" ma:internalName="Formulation">
      <xsd:simpleType>
        <xsd:restriction base="dms:Choice">
          <xsd:enumeration value="Pressurised inhalation"/>
          <xsd:enumeration value="Suspension"/>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Formulation xmlns="53b90fbd-d331-42af-bbf1-db2fce6e12d6" xsi:nil="true"/>
    <Project xmlns="53b90fbd-d331-42af-bbf1-db2fce6e12d6" xsi:nil="true"/>
    <Product xmlns="53B90FBD-D331-42AF-BBF1-DB2FCE6E12D6">PT010 COPD</Product>
    <Category xmlns="53B90FBD-D331-42AF-BBF1-DB2FCE6E12D6">Region specific doc</Category>
    <IconOverlay xmlns="http://schemas.microsoft.com/sharepoint/v4" xsi:nil="true"/>
    <Region xmlns="821B68D7-6A3D-4A6F-B6EA-4AE245E9730C">Australia</Region>
    <Owner xmlns="821B68D7-6A3D-4A6F-B6EA-4AE245E9730C">
      <UserInfo>
        <DisplayName/>
        <AccountId xsi:nil="true"/>
        <AccountType/>
      </UserInfo>
    </Owner>
    <Indikation xmlns="53b90fbd-d331-42af-bbf1-db2fce6e12d6" xsi:nil="true"/>
    <Descriptions xmlns="44a56295-c29e-4898-8136-a54736c65b82" xsi:nil="true"/>
    <Year xmlns="53B90FBD-D331-42AF-BBF1-DB2FCE6E12D6">2022</Year>
  </documentManagement>
</p:properties>
</file>

<file path=customXml/item4.xml><?xml version="1.0" encoding="utf-8"?>
<?mso-contentType ?>
<SharedContentType xmlns="Microsoft.SharePoint.Taxonomy.ContentTypeSync" SourceId="1ee89e71-04cd-405e-9ca3-99e020c1694d"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197D1-CC88-4C13-8BB5-DF29E0767C56}">
  <ds:schemaRefs>
    <ds:schemaRef ds:uri="http://schemas.microsoft.com/sharepoint/v3/contenttype/forms"/>
  </ds:schemaRefs>
</ds:datastoreItem>
</file>

<file path=customXml/itemProps2.xml><?xml version="1.0" encoding="utf-8"?>
<ds:datastoreItem xmlns:ds="http://schemas.openxmlformats.org/officeDocument/2006/customXml" ds:itemID="{6D187CC0-A254-4F48-A27D-CF86BB4F8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d6b7bcdb-fc55-433d-9f51-115af91e804e"/>
    <ds:schemaRef ds:uri="821B68D7-6A3D-4A6F-B6EA-4AE245E9730C"/>
    <ds:schemaRef ds:uri="53B90FBD-D331-42AF-BBF1-DB2FCE6E12D6"/>
    <ds:schemaRef ds:uri="53b90fbd-d331-42af-bbf1-db2fce6e12d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C29552-326A-458E-9D78-6904EEBC392E}">
  <ds:schemaRefs>
    <ds:schemaRef ds:uri="http://purl.org/dc/elements/1.1/"/>
    <ds:schemaRef ds:uri="http://schemas.microsoft.com/office/2006/metadata/properties"/>
    <ds:schemaRef ds:uri="44a56295-c29e-4898-8136-a54736c65b82"/>
    <ds:schemaRef ds:uri="http://schemas.microsoft.com/office/infopath/2007/PartnerControls"/>
    <ds:schemaRef ds:uri="http://purl.org/dc/terms/"/>
    <ds:schemaRef ds:uri="http://purl.org/dc/dcmitype/"/>
    <ds:schemaRef ds:uri="53b90fbd-d331-42af-bbf1-db2fce6e12d6"/>
    <ds:schemaRef ds:uri="http://schemas.microsoft.com/office/2006/documentManagement/types"/>
    <ds:schemaRef ds:uri="http://schemas.openxmlformats.org/package/2006/metadata/core-properties"/>
    <ds:schemaRef ds:uri="53B90FBD-D331-42AF-BBF1-DB2FCE6E12D6"/>
    <ds:schemaRef ds:uri="http://schemas.microsoft.com/sharepoint/v4"/>
    <ds:schemaRef ds:uri="821B68D7-6A3D-4A6F-B6EA-4AE245E9730C"/>
    <ds:schemaRef ds:uri="d6b7bcdb-fc55-433d-9f51-115af91e804e"/>
    <ds:schemaRef ds:uri="http://www.w3.org/XML/1998/namespace"/>
  </ds:schemaRefs>
</ds:datastoreItem>
</file>

<file path=customXml/itemProps4.xml><?xml version="1.0" encoding="utf-8"?>
<ds:datastoreItem xmlns:ds="http://schemas.openxmlformats.org/officeDocument/2006/customXml" ds:itemID="{1DF94122-EFD0-4F20-AE0A-CDC068F50EB9}">
  <ds:schemaRefs>
    <ds:schemaRef ds:uri="Microsoft.SharePoint.Taxonomy.ContentTypeSync"/>
  </ds:schemaRefs>
</ds:datastoreItem>
</file>

<file path=customXml/itemProps5.xml><?xml version="1.0" encoding="utf-8"?>
<ds:datastoreItem xmlns:ds="http://schemas.openxmlformats.org/officeDocument/2006/customXml" ds:itemID="{FB58069C-F91D-4B87-A577-986B4E31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13407</Words>
  <Characters>76426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89654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Budesonide / glycopyrronium / formoterol</dc:title>
  <dc:subject>prescription medicines</dc:subject>
  <dc:creator>Therapeutic Goods Administration</dc:creator>
  <cp:keywords/>
  <cp:lastPrinted>2019-08-14T04:30:00Z</cp:lastPrinted>
  <dcterms:created xsi:type="dcterms:W3CDTF">2022-04-20T01:12:00Z</dcterms:created>
  <dcterms:modified xsi:type="dcterms:W3CDTF">2022-04-20T01:14:00Z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0x0101006B409B9037C4F04FB94F462B12E8CD20</vt:lpwstr>
  </property>
</Properties>
</file>