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4D" w:rsidRPr="00BB71BA" w:rsidRDefault="00FE214D" w:rsidP="007E6833">
      <w:pPr>
        <w:pStyle w:val="Title"/>
        <w:spacing w:line="480" w:lineRule="auto"/>
      </w:pPr>
      <w:r w:rsidRPr="00BB71BA">
        <w:t>CINRYZE™ PRODUCT INFORMATION</w:t>
      </w:r>
    </w:p>
    <w:p w:rsidR="00FE214D" w:rsidRPr="00BB71BA" w:rsidRDefault="00FE214D" w:rsidP="00A4686F">
      <w:pPr>
        <w:pStyle w:val="Heading2"/>
      </w:pPr>
      <w:r w:rsidRPr="007E6833">
        <w:t>NAME</w:t>
      </w:r>
      <w:r w:rsidRPr="00BB71BA">
        <w:t xml:space="preserve"> OF MEDICINE</w:t>
      </w:r>
    </w:p>
    <w:p w:rsidR="00FE214D" w:rsidRPr="00BB71BA" w:rsidRDefault="00FE214D" w:rsidP="007E6833">
      <w:pPr>
        <w:spacing w:line="480" w:lineRule="auto"/>
        <w:rPr>
          <w:rFonts w:cs="Arial"/>
        </w:rPr>
      </w:pPr>
      <w:r>
        <w:rPr>
          <w:rFonts w:cs="Arial"/>
        </w:rPr>
        <w:t>CINRYZE</w:t>
      </w:r>
      <w:r w:rsidRPr="00BB71BA">
        <w:rPr>
          <w:rFonts w:cs="Arial"/>
          <w:b/>
        </w:rPr>
        <w:t>™</w:t>
      </w:r>
      <w:r>
        <w:rPr>
          <w:rFonts w:cs="Arial"/>
          <w:b/>
        </w:rPr>
        <w:t>,</w:t>
      </w:r>
      <w:r w:rsidRPr="00BB71BA">
        <w:rPr>
          <w:rFonts w:cs="Arial"/>
          <w:b/>
        </w:rPr>
        <w:t xml:space="preserve"> </w:t>
      </w:r>
      <w:r>
        <w:rPr>
          <w:rFonts w:cs="Arial"/>
        </w:rPr>
        <w:t>C1 E</w:t>
      </w:r>
      <w:r w:rsidR="00625187">
        <w:rPr>
          <w:rFonts w:cs="Arial"/>
        </w:rPr>
        <w:t>s</w:t>
      </w:r>
      <w:r>
        <w:rPr>
          <w:rFonts w:cs="Arial"/>
        </w:rPr>
        <w:t>terase Inhibitor (</w:t>
      </w:r>
      <w:r w:rsidRPr="00BB71BA">
        <w:rPr>
          <w:rFonts w:cs="Arial"/>
        </w:rPr>
        <w:t>Human)</w:t>
      </w:r>
    </w:p>
    <w:p w:rsidR="00FE214D" w:rsidRPr="00BB71BA" w:rsidRDefault="00FE214D" w:rsidP="00A4686F">
      <w:pPr>
        <w:pStyle w:val="Heading2"/>
      </w:pPr>
      <w:r w:rsidRPr="007E6833">
        <w:t>DESCRIPTION</w:t>
      </w:r>
    </w:p>
    <w:p w:rsidR="00FE214D" w:rsidRPr="00BB71BA" w:rsidRDefault="00FE214D" w:rsidP="00D4624A">
      <w:r>
        <w:t>CINRYZE</w:t>
      </w:r>
      <w:r w:rsidRPr="00BB71BA">
        <w:t xml:space="preserve"> as a </w:t>
      </w:r>
      <w:r w:rsidRPr="00BB71BA">
        <w:rPr>
          <w:lang w:val="en-GB"/>
        </w:rPr>
        <w:t xml:space="preserve">single-use </w:t>
      </w:r>
      <w:r>
        <w:rPr>
          <w:lang w:val="en-GB"/>
        </w:rPr>
        <w:t xml:space="preserve">powder </w:t>
      </w:r>
      <w:r w:rsidRPr="00BB71BA">
        <w:rPr>
          <w:lang w:val="en-GB"/>
        </w:rPr>
        <w:t xml:space="preserve">vial contains 500 Units of C1 </w:t>
      </w:r>
      <w:r>
        <w:rPr>
          <w:lang w:val="en-GB"/>
        </w:rPr>
        <w:t xml:space="preserve">esterase </w:t>
      </w:r>
      <w:r w:rsidRPr="00BB71BA">
        <w:rPr>
          <w:lang w:val="en-GB"/>
        </w:rPr>
        <w:t>inhibitor (human) purified from the plasma of human donors</w:t>
      </w:r>
      <w:r w:rsidRPr="00BB71BA">
        <w:t xml:space="preserve">. One Unit is equivalent to the mean quantity of C1 </w:t>
      </w:r>
      <w:r>
        <w:t xml:space="preserve">esterase </w:t>
      </w:r>
      <w:r w:rsidRPr="00BB71BA">
        <w:t xml:space="preserve">inhibitor present in 1 ml of normal human plasma.  </w:t>
      </w:r>
    </w:p>
    <w:p w:rsidR="00FE214D" w:rsidRPr="00BB71BA" w:rsidRDefault="00FE214D" w:rsidP="007E6833">
      <w:pPr>
        <w:autoSpaceDE w:val="0"/>
        <w:autoSpaceDN w:val="0"/>
        <w:adjustRightInd w:val="0"/>
        <w:spacing w:after="240"/>
        <w:rPr>
          <w:rFonts w:cs="Arial"/>
        </w:rPr>
      </w:pPr>
      <w:r>
        <w:rPr>
          <w:rFonts w:cs="Arial"/>
        </w:rPr>
        <w:t xml:space="preserve">After reconstitution, </w:t>
      </w:r>
      <w:r w:rsidRPr="00BB71BA">
        <w:rPr>
          <w:rFonts w:cs="Arial"/>
        </w:rPr>
        <w:t>a single dose is 10</w:t>
      </w:r>
      <w:r>
        <w:rPr>
          <w:rFonts w:cs="Arial"/>
        </w:rPr>
        <w:t>00 Units/10</w:t>
      </w:r>
      <w:r w:rsidRPr="00BB71BA">
        <w:rPr>
          <w:rFonts w:cs="Arial"/>
        </w:rPr>
        <w:t xml:space="preserve"> ml with a concentration of 100 Units/ml.</w:t>
      </w:r>
    </w:p>
    <w:p w:rsidR="00807B25" w:rsidRDefault="00FE214D" w:rsidP="00D4624A">
      <w:r>
        <w:t>CINRYZE</w:t>
      </w:r>
      <w:r w:rsidRPr="00BB71BA">
        <w:t>, as a white powde</w:t>
      </w:r>
      <w:r>
        <w:t xml:space="preserve">r, contains the following </w:t>
      </w:r>
      <w:proofErr w:type="spellStart"/>
      <w:r>
        <w:t>excipi</w:t>
      </w:r>
      <w:r w:rsidRPr="00BB71BA">
        <w:t>ents</w:t>
      </w:r>
      <w:proofErr w:type="spellEnd"/>
      <w:r w:rsidRPr="00BB71BA">
        <w:t>.</w:t>
      </w:r>
    </w:p>
    <w:p w:rsidR="00FE214D" w:rsidRPr="00BB71BA" w:rsidRDefault="00FE214D" w:rsidP="00D4624A">
      <w:r w:rsidRPr="00BB71BA">
        <w:t>Sodium</w:t>
      </w:r>
      <w:r w:rsidRPr="00064FC4">
        <w:t xml:space="preserve"> </w:t>
      </w:r>
      <w:r w:rsidRPr="00BB71BA">
        <w:t>chloride</w:t>
      </w:r>
      <w:r>
        <w:t xml:space="preserve"> </w:t>
      </w:r>
      <w:r w:rsidR="00D4624A">
        <w:t>(21 mg)</w:t>
      </w:r>
    </w:p>
    <w:p w:rsidR="00FE214D" w:rsidRPr="00807B25" w:rsidRDefault="00FE214D" w:rsidP="00807B25">
      <w:r w:rsidRPr="00807B25">
        <w:t>Sucrose (103 mg)</w:t>
      </w:r>
    </w:p>
    <w:p w:rsidR="00FE214D" w:rsidRPr="00807B25" w:rsidRDefault="00FE214D" w:rsidP="00807B25">
      <w:r w:rsidRPr="00807B25">
        <w:t>Sodium citrate (13 mg)</w:t>
      </w:r>
    </w:p>
    <w:p w:rsidR="00FE214D" w:rsidRPr="00807B25" w:rsidRDefault="00FE214D" w:rsidP="00807B25">
      <w:proofErr w:type="spellStart"/>
      <w:r w:rsidRPr="00807B25">
        <w:t>Valine</w:t>
      </w:r>
      <w:proofErr w:type="spellEnd"/>
      <w:r w:rsidRPr="00807B25">
        <w:t xml:space="preserve"> (10 mg)</w:t>
      </w:r>
    </w:p>
    <w:p w:rsidR="00FE214D" w:rsidRPr="00807B25" w:rsidRDefault="00FE214D" w:rsidP="00807B25">
      <w:proofErr w:type="spellStart"/>
      <w:r w:rsidRPr="00807B25">
        <w:t>Alanine</w:t>
      </w:r>
      <w:proofErr w:type="spellEnd"/>
      <w:r w:rsidRPr="00807B25">
        <w:t xml:space="preserve"> (6 mg)</w:t>
      </w:r>
    </w:p>
    <w:p w:rsidR="00FE214D" w:rsidRPr="00807B25" w:rsidRDefault="00FE214D" w:rsidP="00807B25">
      <w:pPr>
        <w:spacing w:line="480" w:lineRule="auto"/>
      </w:pPr>
      <w:proofErr w:type="spellStart"/>
      <w:r w:rsidRPr="00807B25">
        <w:t>Threonine</w:t>
      </w:r>
      <w:proofErr w:type="spellEnd"/>
      <w:r w:rsidRPr="00807B25">
        <w:t xml:space="preserve"> (23 mg)</w:t>
      </w:r>
    </w:p>
    <w:p w:rsidR="00FE214D" w:rsidRPr="007E6833" w:rsidRDefault="00FE214D" w:rsidP="00A4686F">
      <w:pPr>
        <w:pStyle w:val="Heading2"/>
      </w:pPr>
      <w:r w:rsidRPr="007E6833">
        <w:t>PHARMACOLOGY</w:t>
      </w:r>
    </w:p>
    <w:p w:rsidR="00FE214D" w:rsidRPr="00BB71BA" w:rsidRDefault="00FE214D" w:rsidP="00D4624A">
      <w:pPr>
        <w:spacing w:after="240"/>
        <w:rPr>
          <w:noProof/>
        </w:rPr>
      </w:pPr>
      <w:r w:rsidRPr="00BB71BA">
        <w:rPr>
          <w:noProof/>
        </w:rPr>
        <w:t xml:space="preserve">Pharmacotherapeutic group: </w:t>
      </w:r>
      <w:r w:rsidRPr="00BC51A6">
        <w:rPr>
          <w:noProof/>
        </w:rPr>
        <w:t>Drugs used in hereditary angioedema, C1 inhibitor, plasma derived, ATC code: B06AC01.</w:t>
      </w:r>
    </w:p>
    <w:p w:rsidR="00FE214D" w:rsidRPr="00BB71BA" w:rsidRDefault="00FE214D" w:rsidP="00A4686F">
      <w:pPr>
        <w:pStyle w:val="Heading3"/>
        <w:rPr>
          <w:highlight w:val="yellow"/>
        </w:rPr>
      </w:pPr>
      <w:r w:rsidRPr="00BB71BA">
        <w:t>Mechanism of action</w:t>
      </w:r>
    </w:p>
    <w:p w:rsidR="00FE214D" w:rsidRPr="00BB71BA" w:rsidRDefault="00FE214D" w:rsidP="00D4624A">
      <w:pPr>
        <w:spacing w:after="240"/>
      </w:pPr>
      <w:r w:rsidRPr="00BB71BA">
        <w:t xml:space="preserve">C1 </w:t>
      </w:r>
      <w:r>
        <w:rPr>
          <w:lang w:val="en-GB"/>
        </w:rPr>
        <w:t xml:space="preserve">esterase </w:t>
      </w:r>
      <w:r w:rsidRPr="00BB71BA">
        <w:t xml:space="preserve">inhibitor is a member of the serine protease inhibitor, or </w:t>
      </w:r>
      <w:proofErr w:type="spellStart"/>
      <w:r w:rsidRPr="00BB71BA">
        <w:t>serpin</w:t>
      </w:r>
      <w:proofErr w:type="spellEnd"/>
      <w:r w:rsidRPr="00BB71BA">
        <w:t xml:space="preserve">, </w:t>
      </w:r>
      <w:proofErr w:type="spellStart"/>
      <w:r w:rsidRPr="00BB71BA">
        <w:t>superfamily</w:t>
      </w:r>
      <w:proofErr w:type="spellEnd"/>
      <w:r w:rsidRPr="00BB71BA">
        <w:t xml:space="preserve"> of proteins. The main function of </w:t>
      </w:r>
      <w:proofErr w:type="spellStart"/>
      <w:r w:rsidRPr="00BB71BA">
        <w:t>serpins</w:t>
      </w:r>
      <w:proofErr w:type="spellEnd"/>
      <w:r w:rsidRPr="00BB71BA">
        <w:t xml:space="preserve"> is to regulate the activity of serine proteases.  C1 </w:t>
      </w:r>
      <w:r>
        <w:rPr>
          <w:lang w:val="en-GB"/>
        </w:rPr>
        <w:t xml:space="preserve">esterase </w:t>
      </w:r>
      <w:r w:rsidRPr="00BB71BA">
        <w:t>inhibitor is a single chain glycoprotein found in plasma which, in its mature state, consists of 478 amino acids with an apparent molecular weight of 105 k</w:t>
      </w:r>
      <w:r>
        <w:rPr>
          <w:lang w:val="en-GB"/>
        </w:rPr>
        <w:t>D</w:t>
      </w:r>
      <w:r w:rsidR="007E6833">
        <w:t>.</w:t>
      </w:r>
    </w:p>
    <w:p w:rsidR="00064555" w:rsidRDefault="00FE214D">
      <w:pPr>
        <w:rPr>
          <w:rFonts w:cs="Arial"/>
          <w:lang w:val="en-US"/>
        </w:rPr>
      </w:pPr>
      <w:r w:rsidRPr="00BB71BA">
        <w:t xml:space="preserve">C1 </w:t>
      </w:r>
      <w:r>
        <w:rPr>
          <w:lang w:val="en-GB"/>
        </w:rPr>
        <w:t xml:space="preserve">esterase </w:t>
      </w:r>
      <w:r w:rsidRPr="00BB71BA">
        <w:t xml:space="preserve">inhibitor inhibits the complement system by binding C1r and C1s, two of the active enzyme subunits of the first component of the complement system (C1) in the classical pathway, as well as to mannose-binding </w:t>
      </w:r>
      <w:proofErr w:type="spellStart"/>
      <w:r w:rsidRPr="00BB71BA">
        <w:t>lectin</w:t>
      </w:r>
      <w:proofErr w:type="spellEnd"/>
      <w:r w:rsidRPr="00BB71BA">
        <w:t xml:space="preserve">-associated serine proteases in the </w:t>
      </w:r>
      <w:proofErr w:type="spellStart"/>
      <w:r w:rsidRPr="00BB71BA">
        <w:t>lectin</w:t>
      </w:r>
      <w:proofErr w:type="spellEnd"/>
      <w:r w:rsidRPr="00BB71BA">
        <w:t xml:space="preserve"> pathway.  The primary substrate of the activated C1 enzyme is C4; uninhibited C1 results in diminished C4 levels.  C1 is the most important inhibitor of contact activation and regulates the contact system and the intrinsic coagulation pathway by binding to and inactivating </w:t>
      </w:r>
      <w:proofErr w:type="spellStart"/>
      <w:r w:rsidRPr="00BB71BA">
        <w:t>kallikrein</w:t>
      </w:r>
      <w:proofErr w:type="spellEnd"/>
      <w:r w:rsidRPr="00BB71BA">
        <w:t xml:space="preserve"> and factor </w:t>
      </w:r>
      <w:proofErr w:type="spellStart"/>
      <w:r w:rsidRPr="00BB71BA">
        <w:t>XIIa</w:t>
      </w:r>
      <w:proofErr w:type="spellEnd"/>
      <w:r w:rsidRPr="00BB71BA">
        <w:t>.  Because these pathways are part of enzyme amplification cascades, without C1 </w:t>
      </w:r>
      <w:r>
        <w:rPr>
          <w:lang w:val="en-GB"/>
        </w:rPr>
        <w:t>esterase inhibitor</w:t>
      </w:r>
      <w:r w:rsidRPr="00BB71BA">
        <w:t xml:space="preserve">, spontaneous or </w:t>
      </w:r>
      <w:proofErr w:type="spellStart"/>
      <w:r w:rsidRPr="00BB71BA">
        <w:t>trigger</w:t>
      </w:r>
      <w:r w:rsidRPr="00BB71BA">
        <w:noBreakHyphen/>
        <w:t>induced</w:t>
      </w:r>
      <w:proofErr w:type="spellEnd"/>
      <w:r w:rsidRPr="00BB71BA">
        <w:t xml:space="preserve"> activation of these pathways can lead to unop</w:t>
      </w:r>
      <w:r w:rsidR="007E6833">
        <w:t>posed activation and swelling.</w:t>
      </w:r>
      <w:r w:rsidR="00064555">
        <w:rPr>
          <w:rFonts w:cs="Arial"/>
        </w:rPr>
        <w:br w:type="page"/>
      </w:r>
    </w:p>
    <w:p w:rsidR="00FE214D" w:rsidRPr="00BB71BA" w:rsidRDefault="00FE214D" w:rsidP="00A4686F">
      <w:pPr>
        <w:pStyle w:val="Heading3"/>
        <w:rPr>
          <w:highlight w:val="yellow"/>
        </w:rPr>
      </w:pPr>
      <w:proofErr w:type="spellStart"/>
      <w:r w:rsidRPr="00BB71BA">
        <w:lastRenderedPageBreak/>
        <w:t>Pharmacodynamic</w:t>
      </w:r>
      <w:proofErr w:type="spellEnd"/>
      <w:r w:rsidRPr="00BB71BA">
        <w:t xml:space="preserve"> effects</w:t>
      </w:r>
    </w:p>
    <w:p w:rsidR="007E6833" w:rsidRPr="007E6833" w:rsidRDefault="00FE214D" w:rsidP="00D4624A">
      <w:pPr>
        <w:spacing w:after="240"/>
        <w:rPr>
          <w:lang w:val="en-GB"/>
        </w:rPr>
      </w:pPr>
      <w:r w:rsidRPr="00BB71BA">
        <w:t xml:space="preserve">In </w:t>
      </w:r>
      <w:r>
        <w:t xml:space="preserve">a study of acute treatment of hereditary </w:t>
      </w:r>
      <w:proofErr w:type="spellStart"/>
      <w:r>
        <w:t>angioedema</w:t>
      </w:r>
      <w:proofErr w:type="spellEnd"/>
      <w:r>
        <w:t xml:space="preserve"> (HAE), </w:t>
      </w:r>
      <w:r w:rsidRPr="00BB71BA">
        <w:t xml:space="preserve">intravenous administration of </w:t>
      </w:r>
      <w:r>
        <w:t>CINRYZE</w:t>
      </w:r>
      <w:r w:rsidRPr="00BB71BA">
        <w:t xml:space="preserve"> resulted in a significant increase in systemic levels of antigenic and functional C1 </w:t>
      </w:r>
      <w:r>
        <w:t xml:space="preserve">esterase </w:t>
      </w:r>
      <w:r w:rsidRPr="00BB71BA">
        <w:t xml:space="preserve">inhibitor within 1 hour after administration. </w:t>
      </w:r>
      <w:r w:rsidRPr="00BB71BA">
        <w:rPr>
          <w:lang w:val="en-GB"/>
        </w:rPr>
        <w:t>Administration</w:t>
      </w:r>
      <w:r w:rsidRPr="00BB71BA">
        <w:t xml:space="preserve"> of C1 </w:t>
      </w:r>
      <w:r>
        <w:t xml:space="preserve">esterase </w:t>
      </w:r>
      <w:r w:rsidRPr="00BB71BA">
        <w:t>inhibitor</w:t>
      </w:r>
      <w:r w:rsidRPr="00BB71BA">
        <w:rPr>
          <w:lang w:val="en-GB"/>
        </w:rPr>
        <w:t xml:space="preserve"> increases serum levels of </w:t>
      </w:r>
      <w:r w:rsidRPr="00BB71BA">
        <w:t>C1 </w:t>
      </w:r>
      <w:r>
        <w:t xml:space="preserve">esterase </w:t>
      </w:r>
      <w:r w:rsidRPr="00BB71BA">
        <w:t xml:space="preserve">inhibitor </w:t>
      </w:r>
      <w:r w:rsidRPr="00BB71BA">
        <w:rPr>
          <w:lang w:val="en-GB"/>
        </w:rPr>
        <w:t xml:space="preserve">activity and temporarily restores the natural regulation of the contact, complement, and </w:t>
      </w:r>
      <w:proofErr w:type="spellStart"/>
      <w:r w:rsidRPr="00BB71BA">
        <w:rPr>
          <w:lang w:val="en-GB"/>
        </w:rPr>
        <w:t>fibrinolytic</w:t>
      </w:r>
      <w:proofErr w:type="spellEnd"/>
      <w:r w:rsidRPr="00BB71BA">
        <w:rPr>
          <w:lang w:val="en-GB"/>
        </w:rPr>
        <w:t xml:space="preserve"> systems thereby controlling the swelling or the propensity to swell.</w:t>
      </w:r>
    </w:p>
    <w:p w:rsidR="00FE214D" w:rsidRDefault="00FE214D" w:rsidP="00D4624A">
      <w:pPr>
        <w:spacing w:after="240"/>
      </w:pPr>
      <w:r w:rsidRPr="00BB71BA">
        <w:t xml:space="preserve">Low serum C4 levels often correlate with HAE attacks.  Treatment with </w:t>
      </w:r>
      <w:r>
        <w:t>CINRYZE</w:t>
      </w:r>
      <w:r w:rsidRPr="00BB71BA">
        <w:t xml:space="preserve"> resulted in elevation of C4 levels at 12 hours. There was a statistically significant (p=0.0017) difference in the changes in mean values from baseline between treatment groups at 12 hours, demonstrating the association of </w:t>
      </w:r>
      <w:r>
        <w:t>CINRYZE</w:t>
      </w:r>
      <w:r w:rsidRPr="00BB71BA">
        <w:t xml:space="preserve"> treatment with an increase in C4 activity (</w:t>
      </w:r>
      <w:r>
        <w:t>CINRYZE</w:t>
      </w:r>
      <w:r w:rsidRPr="00BB71BA">
        <w:t xml:space="preserve"> + 2.9 mg/dl versus placebo + 0.1 mg/dl).</w:t>
      </w:r>
    </w:p>
    <w:p w:rsidR="00FE214D" w:rsidRPr="009F1D63" w:rsidRDefault="00FE214D" w:rsidP="00D4624A">
      <w:pPr>
        <w:spacing w:after="240"/>
        <w:rPr>
          <w:lang w:val="en-US"/>
        </w:rPr>
      </w:pPr>
      <w:r w:rsidRPr="009F1D63">
        <w:rPr>
          <w:lang w:val="en-US"/>
        </w:rPr>
        <w:t xml:space="preserve">Complement C4 levels were also measured in a </w:t>
      </w:r>
      <w:proofErr w:type="spellStart"/>
      <w:r w:rsidRPr="009F1D63">
        <w:rPr>
          <w:lang w:val="en-US"/>
        </w:rPr>
        <w:t>randomised</w:t>
      </w:r>
      <w:proofErr w:type="spellEnd"/>
      <w:r w:rsidRPr="009F1D63">
        <w:rPr>
          <w:lang w:val="en-US"/>
        </w:rPr>
        <w:t xml:space="preserve">, parallel group, open-label pharmacokinetic study of </w:t>
      </w:r>
      <w:r>
        <w:rPr>
          <w:lang w:val="en-US"/>
        </w:rPr>
        <w:t>CINRYZE</w:t>
      </w:r>
      <w:r w:rsidRPr="009F1D63">
        <w:rPr>
          <w:lang w:val="en-US"/>
        </w:rPr>
        <w:t xml:space="preserve"> </w:t>
      </w:r>
      <w:r>
        <w:rPr>
          <w:lang w:val="en-US"/>
        </w:rPr>
        <w:t>in a</w:t>
      </w:r>
      <w:r w:rsidRPr="009F1D63">
        <w:rPr>
          <w:lang w:val="en-US"/>
        </w:rPr>
        <w:t>symptomatic HAE</w:t>
      </w:r>
      <w:r>
        <w:rPr>
          <w:lang w:val="en-US"/>
        </w:rPr>
        <w:t xml:space="preserve"> subjects</w:t>
      </w:r>
      <w:r w:rsidRPr="009F1D63">
        <w:rPr>
          <w:lang w:val="en-US"/>
        </w:rPr>
        <w:t>. The subjects received either a single intravenous dose of 1000 Units or a 1000 Units dose followed by a second dose o</w:t>
      </w:r>
      <w:r w:rsidR="007E6833">
        <w:rPr>
          <w:lang w:val="en-US"/>
        </w:rPr>
        <w:t>f 1000 Units 60 minutes later.</w:t>
      </w:r>
    </w:p>
    <w:p w:rsidR="00FE214D" w:rsidRPr="00BB71BA" w:rsidRDefault="00FE214D" w:rsidP="00D4624A">
      <w:pPr>
        <w:spacing w:after="240"/>
        <w:rPr>
          <w:color w:val="000000"/>
        </w:rPr>
      </w:pPr>
      <w:r w:rsidRPr="009F1D63">
        <w:rPr>
          <w:lang w:val="en-US"/>
        </w:rPr>
        <w:t xml:space="preserve">At baseline, mean C4 complement levels were 6.5 </w:t>
      </w:r>
      <w:r w:rsidRPr="009F1D63">
        <w:rPr>
          <w:lang w:val="en-US"/>
        </w:rPr>
        <w:sym w:font="Symbol" w:char="F0B1"/>
      </w:r>
      <w:r w:rsidRPr="009F1D63">
        <w:rPr>
          <w:lang w:val="en-US"/>
        </w:rPr>
        <w:t xml:space="preserve"> 5.39 and 8.5 </w:t>
      </w:r>
      <w:r w:rsidRPr="009F1D63">
        <w:rPr>
          <w:lang w:val="en-US"/>
        </w:rPr>
        <w:sym w:font="Symbol" w:char="F0B1"/>
      </w:r>
      <w:r w:rsidRPr="009F1D63">
        <w:rPr>
          <w:lang w:val="en-US"/>
        </w:rPr>
        <w:t xml:space="preserve"> 6.28 mg/</w:t>
      </w:r>
      <w:proofErr w:type="spellStart"/>
      <w:r w:rsidRPr="009F1D63">
        <w:rPr>
          <w:lang w:val="en-US"/>
        </w:rPr>
        <w:t>dL</w:t>
      </w:r>
      <w:proofErr w:type="spellEnd"/>
      <w:r w:rsidRPr="009F1D63">
        <w:rPr>
          <w:lang w:val="en-US"/>
        </w:rPr>
        <w:t xml:space="preserve"> in the single-dose and double-dose groups and increased to a maximum of 11.2 </w:t>
      </w:r>
      <w:r w:rsidRPr="009F1D63">
        <w:rPr>
          <w:lang w:val="en-US"/>
        </w:rPr>
        <w:sym w:font="Symbol" w:char="F0B1"/>
      </w:r>
      <w:r w:rsidRPr="009F1D63">
        <w:rPr>
          <w:lang w:val="en-US"/>
        </w:rPr>
        <w:t xml:space="preserve"> 6.2 and 16.5 </w:t>
      </w:r>
      <w:r w:rsidRPr="009F1D63">
        <w:rPr>
          <w:lang w:val="en-US"/>
        </w:rPr>
        <w:sym w:font="Symbol" w:char="F0B1"/>
      </w:r>
      <w:r w:rsidRPr="009F1D63">
        <w:rPr>
          <w:lang w:val="en-US"/>
        </w:rPr>
        <w:t xml:space="preserve"> 5.8 mg/</w:t>
      </w:r>
      <w:proofErr w:type="spellStart"/>
      <w:r w:rsidRPr="009F1D63">
        <w:rPr>
          <w:lang w:val="en-US"/>
        </w:rPr>
        <w:t>dL</w:t>
      </w:r>
      <w:proofErr w:type="spellEnd"/>
      <w:r w:rsidRPr="009F1D63">
        <w:rPr>
          <w:lang w:val="en-US"/>
        </w:rPr>
        <w:t>, respectively. The time to maximum complement C4 concentrations was approximately 48 hours after the start of infusion returning to</w:t>
      </w:r>
      <w:r w:rsidR="007E6833">
        <w:rPr>
          <w:lang w:val="en-US"/>
        </w:rPr>
        <w:t xml:space="preserve"> near baseline levels at day 7.</w:t>
      </w:r>
    </w:p>
    <w:p w:rsidR="00FE214D" w:rsidRPr="00BB71BA" w:rsidRDefault="00FE214D" w:rsidP="00064555">
      <w:pPr>
        <w:pStyle w:val="Heading3"/>
      </w:pPr>
      <w:r w:rsidRPr="00BB71BA">
        <w:t>Pharmacokinetics</w:t>
      </w:r>
    </w:p>
    <w:p w:rsidR="00FE214D" w:rsidRPr="00BB71BA" w:rsidRDefault="00FE214D" w:rsidP="00D4624A">
      <w:pPr>
        <w:rPr>
          <w:noProof/>
        </w:rPr>
      </w:pPr>
      <w:r>
        <w:rPr>
          <w:noProof/>
        </w:rPr>
        <w:t>In the open label study described above, t</w:t>
      </w:r>
      <w:r w:rsidRPr="00BB71BA">
        <w:rPr>
          <w:noProof/>
        </w:rPr>
        <w:t xml:space="preserve">he mean pharmacokinetic parameters for functional C1 </w:t>
      </w:r>
      <w:r>
        <w:rPr>
          <w:noProof/>
        </w:rPr>
        <w:t xml:space="preserve">esterase </w:t>
      </w:r>
      <w:r w:rsidRPr="00BB71BA">
        <w:rPr>
          <w:noProof/>
        </w:rPr>
        <w:t xml:space="preserve">inhibitor derived from baseline-corrected concentration data are presented in Table </w:t>
      </w:r>
      <w:r>
        <w:rPr>
          <w:noProof/>
        </w:rPr>
        <w:t>1</w:t>
      </w:r>
      <w:r w:rsidR="007E6833">
        <w:rPr>
          <w:noProof/>
        </w:rPr>
        <w:t>.</w:t>
      </w:r>
    </w:p>
    <w:p w:rsidR="00FE214D" w:rsidRPr="007E6833" w:rsidRDefault="00FE214D" w:rsidP="007E6833">
      <w:pPr>
        <w:pStyle w:val="TableTitle"/>
        <w:spacing w:after="240"/>
      </w:pPr>
      <w:r w:rsidRPr="00BB71BA">
        <w:lastRenderedPageBreak/>
        <w:t xml:space="preserve">Table </w:t>
      </w:r>
      <w:r>
        <w:t>1</w:t>
      </w:r>
      <w:r w:rsidRPr="00BB71BA">
        <w:t>. Mean pharmacokinetic parameters for functional C1</w:t>
      </w:r>
      <w:r>
        <w:t xml:space="preserve"> esterase</w:t>
      </w:r>
      <w:r w:rsidRPr="00BB71BA">
        <w:t xml:space="preserve"> inhibitor </w:t>
      </w:r>
      <w:r w:rsidRPr="007E6833">
        <w:t>following</w:t>
      </w:r>
      <w:r w:rsidRPr="00BB71BA">
        <w:t xml:space="preserve"> administration of </w:t>
      </w:r>
      <w:r>
        <w:t>CINRYZE</w:t>
      </w:r>
    </w:p>
    <w:tbl>
      <w:tblPr>
        <w:tblW w:w="5000" w:type="pct"/>
        <w:tblLook w:val="0000"/>
      </w:tblPr>
      <w:tblGrid>
        <w:gridCol w:w="2248"/>
        <w:gridCol w:w="430"/>
        <w:gridCol w:w="2875"/>
        <w:gridCol w:w="3303"/>
      </w:tblGrid>
      <w:tr w:rsidR="00FE214D" w:rsidRPr="00BB71BA" w:rsidTr="00407C25">
        <w:trPr>
          <w:cantSplit/>
          <w:trHeight w:val="288"/>
        </w:trPr>
        <w:tc>
          <w:tcPr>
            <w:tcW w:w="1269" w:type="pct"/>
            <w:tcBorders>
              <w:top w:val="single" w:sz="8" w:space="0" w:color="000000"/>
              <w:bottom w:val="single" w:sz="8" w:space="0" w:color="000000"/>
            </w:tcBorders>
          </w:tcPr>
          <w:p w:rsidR="00FE214D" w:rsidRPr="00BB71BA" w:rsidRDefault="00FE214D" w:rsidP="00407C25">
            <w:pPr>
              <w:keepNext/>
              <w:keepLines/>
              <w:outlineLvl w:val="0"/>
              <w:rPr>
                <w:rFonts w:cs="Arial"/>
                <w:noProof/>
              </w:rPr>
            </w:pPr>
            <w:r w:rsidRPr="00BB71BA">
              <w:rPr>
                <w:rFonts w:cs="Arial"/>
                <w:noProof/>
              </w:rPr>
              <w:t xml:space="preserve">Parameters </w:t>
            </w:r>
          </w:p>
        </w:tc>
        <w:tc>
          <w:tcPr>
            <w:tcW w:w="1866" w:type="pct"/>
            <w:gridSpan w:val="2"/>
            <w:tcBorders>
              <w:top w:val="single" w:sz="8" w:space="0" w:color="000000"/>
              <w:bottom w:val="single" w:sz="8" w:space="0" w:color="000000"/>
            </w:tcBorders>
          </w:tcPr>
          <w:p w:rsidR="00FE214D" w:rsidRPr="00BB71BA" w:rsidRDefault="00FE214D" w:rsidP="00407C25">
            <w:pPr>
              <w:keepNext/>
              <w:keepLines/>
              <w:jc w:val="center"/>
              <w:outlineLvl w:val="0"/>
              <w:rPr>
                <w:rFonts w:cs="Arial"/>
                <w:noProof/>
              </w:rPr>
            </w:pPr>
            <w:r w:rsidRPr="00BB71BA">
              <w:rPr>
                <w:rFonts w:cs="Arial"/>
                <w:noProof/>
              </w:rPr>
              <w:t>Single Dose</w:t>
            </w:r>
          </w:p>
          <w:p w:rsidR="00FE214D" w:rsidRPr="00BB71BA" w:rsidRDefault="00FE214D" w:rsidP="00407C25">
            <w:pPr>
              <w:keepNext/>
              <w:keepLines/>
              <w:jc w:val="center"/>
              <w:outlineLvl w:val="0"/>
              <w:rPr>
                <w:rFonts w:cs="Arial"/>
                <w:noProof/>
              </w:rPr>
            </w:pPr>
            <w:r w:rsidRPr="00BB71BA">
              <w:rPr>
                <w:rFonts w:cs="Arial"/>
                <w:noProof/>
              </w:rPr>
              <w:t xml:space="preserve">(1000 Units*) </w:t>
            </w:r>
          </w:p>
        </w:tc>
        <w:tc>
          <w:tcPr>
            <w:tcW w:w="1865" w:type="pct"/>
            <w:tcBorders>
              <w:top w:val="single" w:sz="8" w:space="0" w:color="000000"/>
              <w:bottom w:val="single" w:sz="8" w:space="0" w:color="000000"/>
            </w:tcBorders>
          </w:tcPr>
          <w:p w:rsidR="00FE214D" w:rsidRPr="00BB71BA" w:rsidRDefault="00FE214D" w:rsidP="00407C25">
            <w:pPr>
              <w:keepNext/>
              <w:keepLines/>
              <w:jc w:val="center"/>
              <w:outlineLvl w:val="0"/>
              <w:rPr>
                <w:rFonts w:cs="Arial"/>
                <w:noProof/>
              </w:rPr>
            </w:pPr>
            <w:r w:rsidRPr="00BB71BA">
              <w:rPr>
                <w:rFonts w:cs="Arial"/>
                <w:noProof/>
              </w:rPr>
              <w:t>Double Dose</w:t>
            </w:r>
          </w:p>
          <w:p w:rsidR="00FE214D" w:rsidRPr="00BB71BA" w:rsidRDefault="00FE214D" w:rsidP="00407C25">
            <w:pPr>
              <w:keepNext/>
              <w:keepLines/>
              <w:jc w:val="center"/>
              <w:outlineLvl w:val="0"/>
              <w:rPr>
                <w:rFonts w:cs="Arial"/>
                <w:noProof/>
              </w:rPr>
            </w:pPr>
            <w:r w:rsidRPr="00BB71BA">
              <w:rPr>
                <w:rFonts w:cs="Arial"/>
                <w:noProof/>
              </w:rPr>
              <w:t>(1000 Units dose followed by a second 1000 Units dose 60 minutes later)</w:t>
            </w:r>
          </w:p>
        </w:tc>
      </w:tr>
      <w:tr w:rsidR="00FE214D" w:rsidRPr="00BB71BA" w:rsidTr="00407C25">
        <w:trPr>
          <w:cantSplit/>
          <w:trHeight w:val="294"/>
        </w:trPr>
        <w:tc>
          <w:tcPr>
            <w:tcW w:w="1269" w:type="pct"/>
            <w:tcBorders>
              <w:top w:val="single" w:sz="8" w:space="0" w:color="000000"/>
            </w:tcBorders>
          </w:tcPr>
          <w:p w:rsidR="00FE214D" w:rsidRPr="00BB71BA" w:rsidRDefault="00FE214D" w:rsidP="00407C25">
            <w:pPr>
              <w:keepNext/>
              <w:keepLines/>
              <w:outlineLvl w:val="0"/>
              <w:rPr>
                <w:rFonts w:cs="Arial"/>
                <w:noProof/>
              </w:rPr>
            </w:pPr>
            <w:r w:rsidRPr="00BB71BA">
              <w:rPr>
                <w:rFonts w:cs="Arial"/>
                <w:noProof/>
              </w:rPr>
              <w:t>C</w:t>
            </w:r>
            <w:r w:rsidRPr="00BB71BA">
              <w:rPr>
                <w:rFonts w:cs="Arial"/>
                <w:noProof/>
                <w:vertAlign w:val="subscript"/>
              </w:rPr>
              <w:t>baseline</w:t>
            </w:r>
            <w:r w:rsidRPr="00BB71BA">
              <w:rPr>
                <w:rFonts w:cs="Arial"/>
                <w:noProof/>
              </w:rPr>
              <w:t xml:space="preserve"> (U/ml) </w:t>
            </w:r>
          </w:p>
        </w:tc>
        <w:tc>
          <w:tcPr>
            <w:tcW w:w="1866" w:type="pct"/>
            <w:gridSpan w:val="2"/>
            <w:tcBorders>
              <w:top w:val="single" w:sz="8" w:space="0" w:color="000000"/>
            </w:tcBorders>
          </w:tcPr>
          <w:p w:rsidR="00FE214D" w:rsidRPr="00BB71BA" w:rsidRDefault="00FE214D" w:rsidP="00407C25">
            <w:pPr>
              <w:keepNext/>
              <w:keepLines/>
              <w:jc w:val="center"/>
              <w:outlineLvl w:val="0"/>
              <w:rPr>
                <w:rFonts w:cs="Arial"/>
                <w:noProof/>
              </w:rPr>
            </w:pPr>
            <w:r w:rsidRPr="00BB71BA">
              <w:rPr>
                <w:rFonts w:cs="Arial"/>
                <w:noProof/>
              </w:rPr>
              <w:t>0.31 ± 0.20 (n = 12)</w:t>
            </w:r>
          </w:p>
        </w:tc>
        <w:tc>
          <w:tcPr>
            <w:tcW w:w="1865" w:type="pct"/>
            <w:tcBorders>
              <w:top w:val="single" w:sz="8" w:space="0" w:color="000000"/>
            </w:tcBorders>
          </w:tcPr>
          <w:p w:rsidR="00FE214D" w:rsidRPr="00BB71BA" w:rsidRDefault="00FE214D" w:rsidP="00407C25">
            <w:pPr>
              <w:keepNext/>
              <w:keepLines/>
              <w:jc w:val="center"/>
              <w:outlineLvl w:val="0"/>
              <w:rPr>
                <w:rFonts w:cs="Arial"/>
                <w:noProof/>
              </w:rPr>
            </w:pPr>
            <w:r w:rsidRPr="00BB71BA">
              <w:rPr>
                <w:rFonts w:cs="Arial"/>
                <w:noProof/>
              </w:rPr>
              <w:t>0.33 ± 0.20 (n = 12)</w:t>
            </w:r>
          </w:p>
        </w:tc>
      </w:tr>
      <w:tr w:rsidR="00FE214D" w:rsidRPr="00BB71BA" w:rsidTr="00407C25">
        <w:trPr>
          <w:cantSplit/>
          <w:trHeight w:val="294"/>
        </w:trPr>
        <w:tc>
          <w:tcPr>
            <w:tcW w:w="1269" w:type="pct"/>
          </w:tcPr>
          <w:p w:rsidR="00FE214D" w:rsidRPr="00BB71BA" w:rsidRDefault="00FE214D" w:rsidP="00407C25">
            <w:pPr>
              <w:keepNext/>
              <w:keepLines/>
              <w:outlineLvl w:val="0"/>
              <w:rPr>
                <w:rFonts w:cs="Arial"/>
                <w:noProof/>
              </w:rPr>
            </w:pPr>
            <w:r w:rsidRPr="00BB71BA">
              <w:rPr>
                <w:rFonts w:cs="Arial"/>
                <w:noProof/>
              </w:rPr>
              <w:t>C</w:t>
            </w:r>
            <w:r w:rsidRPr="00BB71BA">
              <w:rPr>
                <w:rFonts w:cs="Arial"/>
                <w:noProof/>
                <w:vertAlign w:val="subscript"/>
              </w:rPr>
              <w:t>max</w:t>
            </w:r>
            <w:r w:rsidRPr="00BB71BA">
              <w:rPr>
                <w:rFonts w:cs="Arial"/>
                <w:noProof/>
              </w:rPr>
              <w:t xml:space="preserve"> (U/ml) </w:t>
            </w:r>
          </w:p>
        </w:tc>
        <w:tc>
          <w:tcPr>
            <w:tcW w:w="1866" w:type="pct"/>
            <w:gridSpan w:val="2"/>
          </w:tcPr>
          <w:p w:rsidR="00FE214D" w:rsidRPr="00BB71BA" w:rsidRDefault="00FE214D" w:rsidP="00407C25">
            <w:pPr>
              <w:keepNext/>
              <w:keepLines/>
              <w:jc w:val="center"/>
              <w:outlineLvl w:val="0"/>
              <w:rPr>
                <w:rFonts w:cs="Arial"/>
                <w:noProof/>
              </w:rPr>
            </w:pPr>
            <w:r w:rsidRPr="00BB71BA">
              <w:rPr>
                <w:rFonts w:cs="Arial"/>
                <w:noProof/>
              </w:rPr>
              <w:t>0.68 ± 0.08 (n = 12)</w:t>
            </w:r>
          </w:p>
        </w:tc>
        <w:tc>
          <w:tcPr>
            <w:tcW w:w="1865" w:type="pct"/>
          </w:tcPr>
          <w:p w:rsidR="00FE214D" w:rsidRPr="00BB71BA" w:rsidRDefault="00FE214D" w:rsidP="00407C25">
            <w:pPr>
              <w:keepNext/>
              <w:keepLines/>
              <w:jc w:val="center"/>
              <w:outlineLvl w:val="0"/>
              <w:rPr>
                <w:rFonts w:cs="Arial"/>
                <w:noProof/>
              </w:rPr>
            </w:pPr>
            <w:r w:rsidRPr="00BB71BA">
              <w:rPr>
                <w:rFonts w:cs="Arial"/>
                <w:noProof/>
              </w:rPr>
              <w:t>0.85 ± 0.12 (n = 13)</w:t>
            </w:r>
          </w:p>
        </w:tc>
      </w:tr>
      <w:tr w:rsidR="00FE214D" w:rsidRPr="00BB71BA" w:rsidTr="00407C25">
        <w:trPr>
          <w:cantSplit/>
          <w:trHeight w:val="294"/>
        </w:trPr>
        <w:tc>
          <w:tcPr>
            <w:tcW w:w="1269" w:type="pct"/>
          </w:tcPr>
          <w:p w:rsidR="00FE214D" w:rsidRPr="00BB71BA" w:rsidRDefault="00FE214D" w:rsidP="00407C25">
            <w:pPr>
              <w:keepNext/>
              <w:keepLines/>
              <w:outlineLvl w:val="0"/>
              <w:rPr>
                <w:rFonts w:cs="Arial"/>
                <w:noProof/>
              </w:rPr>
            </w:pPr>
            <w:r w:rsidRPr="00BB71BA">
              <w:rPr>
                <w:rFonts w:cs="Arial"/>
                <w:noProof/>
              </w:rPr>
              <w:t>Baseline-corrected C</w:t>
            </w:r>
            <w:r w:rsidRPr="00BB71BA">
              <w:rPr>
                <w:rFonts w:cs="Arial"/>
                <w:noProof/>
                <w:vertAlign w:val="subscript"/>
              </w:rPr>
              <w:t>max</w:t>
            </w:r>
            <w:r w:rsidRPr="00BB71BA">
              <w:rPr>
                <w:rFonts w:cs="Arial"/>
                <w:noProof/>
              </w:rPr>
              <w:t xml:space="preserve"> (U/ml)</w:t>
            </w:r>
          </w:p>
        </w:tc>
        <w:tc>
          <w:tcPr>
            <w:tcW w:w="1866" w:type="pct"/>
            <w:gridSpan w:val="2"/>
          </w:tcPr>
          <w:p w:rsidR="00FE214D" w:rsidRPr="00BB71BA" w:rsidRDefault="00FE214D" w:rsidP="00407C25">
            <w:pPr>
              <w:keepNext/>
              <w:keepLines/>
              <w:jc w:val="center"/>
              <w:outlineLvl w:val="0"/>
              <w:rPr>
                <w:rFonts w:cs="Arial"/>
                <w:noProof/>
              </w:rPr>
            </w:pPr>
            <w:r w:rsidRPr="00BB71BA">
              <w:rPr>
                <w:rFonts w:cs="Arial"/>
                <w:noProof/>
              </w:rPr>
              <w:t>0.37 ± 0.15 (n=12)</w:t>
            </w:r>
          </w:p>
        </w:tc>
        <w:tc>
          <w:tcPr>
            <w:tcW w:w="1865" w:type="pct"/>
          </w:tcPr>
          <w:p w:rsidR="00FE214D" w:rsidRPr="00BB71BA" w:rsidRDefault="00FE214D" w:rsidP="00407C25">
            <w:pPr>
              <w:keepNext/>
              <w:keepLines/>
              <w:jc w:val="center"/>
              <w:outlineLvl w:val="0"/>
              <w:rPr>
                <w:rFonts w:cs="Arial"/>
                <w:noProof/>
              </w:rPr>
            </w:pPr>
            <w:r w:rsidRPr="00BB71BA">
              <w:rPr>
                <w:rFonts w:cs="Arial"/>
                <w:noProof/>
              </w:rPr>
              <w:t>0.51 ± 0.19 (n=12)</w:t>
            </w:r>
          </w:p>
        </w:tc>
      </w:tr>
      <w:tr w:rsidR="00FE214D" w:rsidRPr="00BB71BA" w:rsidTr="00407C25">
        <w:trPr>
          <w:cantSplit/>
          <w:trHeight w:val="294"/>
        </w:trPr>
        <w:tc>
          <w:tcPr>
            <w:tcW w:w="1269" w:type="pct"/>
          </w:tcPr>
          <w:p w:rsidR="00FE214D" w:rsidRPr="00BB71BA" w:rsidRDefault="00FE214D" w:rsidP="00407C25">
            <w:pPr>
              <w:keepNext/>
              <w:keepLines/>
              <w:outlineLvl w:val="0"/>
              <w:rPr>
                <w:rFonts w:cs="Arial"/>
                <w:noProof/>
              </w:rPr>
            </w:pPr>
            <w:r w:rsidRPr="00BB71BA">
              <w:rPr>
                <w:rFonts w:cs="Arial"/>
                <w:noProof/>
              </w:rPr>
              <w:t>t</w:t>
            </w:r>
            <w:r w:rsidRPr="00BB71BA">
              <w:rPr>
                <w:rFonts w:cs="Arial"/>
                <w:noProof/>
                <w:vertAlign w:val="subscript"/>
              </w:rPr>
              <w:t>max</w:t>
            </w:r>
            <w:r w:rsidRPr="00BB71BA">
              <w:rPr>
                <w:rFonts w:cs="Arial"/>
                <w:noProof/>
              </w:rPr>
              <w:t xml:space="preserve"> (hr)  [median (range)]</w:t>
            </w:r>
          </w:p>
        </w:tc>
        <w:tc>
          <w:tcPr>
            <w:tcW w:w="1866" w:type="pct"/>
            <w:gridSpan w:val="2"/>
          </w:tcPr>
          <w:p w:rsidR="00FE214D" w:rsidRPr="00BB71BA" w:rsidRDefault="00FE214D" w:rsidP="00407C25">
            <w:pPr>
              <w:keepNext/>
              <w:keepLines/>
              <w:jc w:val="center"/>
              <w:outlineLvl w:val="0"/>
              <w:rPr>
                <w:rFonts w:cs="Arial"/>
                <w:noProof/>
              </w:rPr>
            </w:pPr>
            <w:r w:rsidRPr="00BB71BA">
              <w:rPr>
                <w:rFonts w:cs="Arial"/>
                <w:noProof/>
              </w:rPr>
              <w:t>[1.2 (0.3 – 26.0)] (n = 12)</w:t>
            </w:r>
          </w:p>
        </w:tc>
        <w:tc>
          <w:tcPr>
            <w:tcW w:w="1865" w:type="pct"/>
          </w:tcPr>
          <w:p w:rsidR="00FE214D" w:rsidRPr="00BB71BA" w:rsidRDefault="00FE214D" w:rsidP="00407C25">
            <w:pPr>
              <w:keepNext/>
              <w:keepLines/>
              <w:jc w:val="center"/>
              <w:outlineLvl w:val="0"/>
              <w:rPr>
                <w:rFonts w:cs="Arial"/>
                <w:noProof/>
              </w:rPr>
            </w:pPr>
            <w:r w:rsidRPr="00BB71BA">
              <w:rPr>
                <w:rFonts w:cs="Arial"/>
                <w:noProof/>
              </w:rPr>
              <w:t>[2.2 (1.0 – 7.5)] (n = 13)</w:t>
            </w:r>
          </w:p>
        </w:tc>
      </w:tr>
      <w:tr w:rsidR="00FE214D" w:rsidRPr="00BB71BA" w:rsidTr="00407C25">
        <w:trPr>
          <w:cantSplit/>
          <w:trHeight w:val="294"/>
        </w:trPr>
        <w:tc>
          <w:tcPr>
            <w:tcW w:w="1269" w:type="pct"/>
          </w:tcPr>
          <w:p w:rsidR="00FE214D" w:rsidRPr="00BB71BA" w:rsidRDefault="00FE214D" w:rsidP="00407C25">
            <w:pPr>
              <w:keepNext/>
              <w:keepLines/>
              <w:outlineLvl w:val="0"/>
              <w:rPr>
                <w:rFonts w:cs="Arial"/>
                <w:noProof/>
              </w:rPr>
            </w:pPr>
            <w:r w:rsidRPr="00BB71BA">
              <w:rPr>
                <w:rFonts w:cs="Arial"/>
                <w:noProof/>
              </w:rPr>
              <w:t>AUC</w:t>
            </w:r>
            <w:r w:rsidRPr="00BB71BA">
              <w:rPr>
                <w:rFonts w:cs="Arial"/>
                <w:noProof/>
                <w:vertAlign w:val="subscript"/>
              </w:rPr>
              <w:t>(0-t)</w:t>
            </w:r>
            <w:r w:rsidRPr="00BB71BA">
              <w:rPr>
                <w:rFonts w:cs="Arial"/>
                <w:noProof/>
              </w:rPr>
              <w:t xml:space="preserve"> (U*hr/ml) </w:t>
            </w:r>
          </w:p>
        </w:tc>
        <w:tc>
          <w:tcPr>
            <w:tcW w:w="1866" w:type="pct"/>
            <w:gridSpan w:val="2"/>
          </w:tcPr>
          <w:p w:rsidR="00FE214D" w:rsidRPr="00BB71BA" w:rsidRDefault="00FE214D" w:rsidP="00407C25">
            <w:pPr>
              <w:keepNext/>
              <w:keepLines/>
              <w:jc w:val="center"/>
              <w:outlineLvl w:val="0"/>
              <w:rPr>
                <w:rFonts w:cs="Arial"/>
                <w:noProof/>
              </w:rPr>
            </w:pPr>
            <w:r w:rsidRPr="00BB71BA">
              <w:rPr>
                <w:rFonts w:cs="Arial"/>
                <w:noProof/>
              </w:rPr>
              <w:t>74.5 ± 30.3 (n = 12)</w:t>
            </w:r>
          </w:p>
        </w:tc>
        <w:tc>
          <w:tcPr>
            <w:tcW w:w="1865" w:type="pct"/>
          </w:tcPr>
          <w:p w:rsidR="00FE214D" w:rsidRPr="00BB71BA" w:rsidRDefault="00FE214D" w:rsidP="00407C25">
            <w:pPr>
              <w:keepNext/>
              <w:keepLines/>
              <w:jc w:val="center"/>
              <w:outlineLvl w:val="0"/>
              <w:rPr>
                <w:rFonts w:cs="Arial"/>
                <w:noProof/>
              </w:rPr>
            </w:pPr>
            <w:r w:rsidRPr="00BB71BA">
              <w:rPr>
                <w:rFonts w:cs="Arial"/>
                <w:noProof/>
              </w:rPr>
              <w:t>95.9 ± 19.6 (n = 13)</w:t>
            </w:r>
          </w:p>
        </w:tc>
      </w:tr>
      <w:tr w:rsidR="00FE214D" w:rsidRPr="00BB71BA" w:rsidTr="00407C25">
        <w:trPr>
          <w:cantSplit/>
          <w:trHeight w:val="294"/>
        </w:trPr>
        <w:tc>
          <w:tcPr>
            <w:tcW w:w="1512" w:type="pct"/>
            <w:gridSpan w:val="2"/>
          </w:tcPr>
          <w:p w:rsidR="00FE214D" w:rsidRPr="00BB71BA" w:rsidRDefault="00FE214D" w:rsidP="00407C25">
            <w:pPr>
              <w:keepNext/>
              <w:keepLines/>
              <w:outlineLvl w:val="0"/>
              <w:rPr>
                <w:rFonts w:cs="Arial"/>
                <w:noProof/>
              </w:rPr>
            </w:pPr>
            <w:r w:rsidRPr="00BB71BA">
              <w:rPr>
                <w:rFonts w:cs="Arial"/>
                <w:noProof/>
              </w:rPr>
              <w:t>Baseline-corrected AUC</w:t>
            </w:r>
            <w:r w:rsidRPr="00BB71BA">
              <w:rPr>
                <w:rFonts w:cs="Arial"/>
                <w:noProof/>
                <w:vertAlign w:val="subscript"/>
              </w:rPr>
              <w:t>(0-t)</w:t>
            </w:r>
            <w:r w:rsidRPr="00BB71BA">
              <w:rPr>
                <w:rFonts w:cs="Arial"/>
                <w:noProof/>
              </w:rPr>
              <w:t xml:space="preserve"> (U*hr/ml)</w:t>
            </w:r>
          </w:p>
        </w:tc>
        <w:tc>
          <w:tcPr>
            <w:tcW w:w="1623" w:type="pct"/>
          </w:tcPr>
          <w:p w:rsidR="00FE214D" w:rsidRPr="00BB71BA" w:rsidRDefault="00FE214D" w:rsidP="00407C25">
            <w:pPr>
              <w:keepNext/>
              <w:keepLines/>
              <w:jc w:val="center"/>
              <w:outlineLvl w:val="0"/>
              <w:rPr>
                <w:rFonts w:cs="Arial"/>
                <w:noProof/>
              </w:rPr>
            </w:pPr>
            <w:r w:rsidRPr="00BB71BA">
              <w:rPr>
                <w:rFonts w:cs="Arial"/>
                <w:noProof/>
              </w:rPr>
              <w:t>24.5 ± 19.1 (n=12)</w:t>
            </w:r>
          </w:p>
        </w:tc>
        <w:tc>
          <w:tcPr>
            <w:tcW w:w="1865" w:type="pct"/>
          </w:tcPr>
          <w:p w:rsidR="00FE214D" w:rsidRPr="00BB71BA" w:rsidRDefault="00FE214D" w:rsidP="00407C25">
            <w:pPr>
              <w:keepNext/>
              <w:keepLines/>
              <w:jc w:val="center"/>
              <w:outlineLvl w:val="0"/>
              <w:rPr>
                <w:rFonts w:cs="Arial"/>
                <w:noProof/>
              </w:rPr>
            </w:pPr>
            <w:r w:rsidRPr="00BB71BA">
              <w:rPr>
                <w:rFonts w:cs="Arial"/>
                <w:noProof/>
              </w:rPr>
              <w:t>39.1 ± 20.0 (n=12)</w:t>
            </w:r>
          </w:p>
        </w:tc>
      </w:tr>
      <w:tr w:rsidR="00FE214D" w:rsidRPr="00BB71BA" w:rsidTr="00407C25">
        <w:trPr>
          <w:cantSplit/>
          <w:trHeight w:val="288"/>
        </w:trPr>
        <w:tc>
          <w:tcPr>
            <w:tcW w:w="1269" w:type="pct"/>
          </w:tcPr>
          <w:p w:rsidR="00FE214D" w:rsidRPr="00BB71BA" w:rsidRDefault="00FE214D" w:rsidP="00407C25">
            <w:pPr>
              <w:keepNext/>
              <w:keepLines/>
              <w:outlineLvl w:val="0"/>
              <w:rPr>
                <w:rFonts w:cs="Arial"/>
                <w:noProof/>
              </w:rPr>
            </w:pPr>
            <w:r w:rsidRPr="00BB71BA">
              <w:rPr>
                <w:rFonts w:cs="Arial"/>
                <w:noProof/>
              </w:rPr>
              <w:t xml:space="preserve">CL (ml/min) </w:t>
            </w:r>
          </w:p>
        </w:tc>
        <w:tc>
          <w:tcPr>
            <w:tcW w:w="1866" w:type="pct"/>
            <w:gridSpan w:val="2"/>
          </w:tcPr>
          <w:p w:rsidR="00FE214D" w:rsidRPr="00BB71BA" w:rsidRDefault="00FE214D" w:rsidP="00407C25">
            <w:pPr>
              <w:keepNext/>
              <w:keepLines/>
              <w:jc w:val="center"/>
              <w:outlineLvl w:val="0"/>
              <w:rPr>
                <w:rFonts w:cs="Arial"/>
                <w:noProof/>
              </w:rPr>
            </w:pPr>
            <w:r w:rsidRPr="00BB71BA">
              <w:rPr>
                <w:rFonts w:cs="Arial"/>
                <w:noProof/>
              </w:rPr>
              <w:t>0.85 ± 1.07 (n = 7)</w:t>
            </w:r>
          </w:p>
        </w:tc>
        <w:tc>
          <w:tcPr>
            <w:tcW w:w="1865" w:type="pct"/>
          </w:tcPr>
          <w:p w:rsidR="00FE214D" w:rsidRPr="00BB71BA" w:rsidRDefault="00FE214D" w:rsidP="00407C25">
            <w:pPr>
              <w:keepNext/>
              <w:keepLines/>
              <w:jc w:val="center"/>
              <w:outlineLvl w:val="0"/>
              <w:rPr>
                <w:rFonts w:cs="Arial"/>
                <w:noProof/>
              </w:rPr>
            </w:pPr>
            <w:r w:rsidRPr="00BB71BA">
              <w:rPr>
                <w:rFonts w:cs="Arial"/>
                <w:noProof/>
              </w:rPr>
              <w:t>1.17 ± 0.78 (n = 9)</w:t>
            </w:r>
          </w:p>
        </w:tc>
      </w:tr>
      <w:tr w:rsidR="00FE214D" w:rsidRPr="00BB71BA" w:rsidTr="00407C25">
        <w:trPr>
          <w:cantSplit/>
          <w:trHeight w:val="288"/>
        </w:trPr>
        <w:tc>
          <w:tcPr>
            <w:tcW w:w="1269" w:type="pct"/>
            <w:tcBorders>
              <w:bottom w:val="single" w:sz="8" w:space="0" w:color="000000"/>
            </w:tcBorders>
          </w:tcPr>
          <w:p w:rsidR="00FE214D" w:rsidRPr="00BB71BA" w:rsidRDefault="00FE214D" w:rsidP="00407C25">
            <w:pPr>
              <w:keepNext/>
              <w:keepLines/>
              <w:outlineLvl w:val="0"/>
              <w:rPr>
                <w:rFonts w:cs="Arial"/>
                <w:noProof/>
              </w:rPr>
            </w:pPr>
            <w:r w:rsidRPr="00BB71BA">
              <w:rPr>
                <w:rFonts w:cs="Arial"/>
                <w:noProof/>
              </w:rPr>
              <w:t xml:space="preserve">Elimination half-life (hr) </w:t>
            </w:r>
          </w:p>
        </w:tc>
        <w:tc>
          <w:tcPr>
            <w:tcW w:w="1866" w:type="pct"/>
            <w:gridSpan w:val="2"/>
            <w:tcBorders>
              <w:bottom w:val="single" w:sz="8" w:space="0" w:color="000000"/>
            </w:tcBorders>
          </w:tcPr>
          <w:p w:rsidR="00FE214D" w:rsidRPr="00BB71BA" w:rsidRDefault="00FE214D" w:rsidP="00407C25">
            <w:pPr>
              <w:keepNext/>
              <w:keepLines/>
              <w:jc w:val="center"/>
              <w:outlineLvl w:val="0"/>
              <w:rPr>
                <w:rFonts w:cs="Arial"/>
                <w:noProof/>
              </w:rPr>
            </w:pPr>
            <w:r w:rsidRPr="00BB71BA">
              <w:rPr>
                <w:rFonts w:cs="Arial"/>
                <w:noProof/>
              </w:rPr>
              <w:t>56 ± 35 (n = 7)</w:t>
            </w:r>
          </w:p>
        </w:tc>
        <w:tc>
          <w:tcPr>
            <w:tcW w:w="1865" w:type="pct"/>
            <w:tcBorders>
              <w:bottom w:val="single" w:sz="8" w:space="0" w:color="000000"/>
            </w:tcBorders>
          </w:tcPr>
          <w:p w:rsidR="00FE214D" w:rsidRPr="00BB71BA" w:rsidRDefault="00FE214D" w:rsidP="00407C25">
            <w:pPr>
              <w:keepNext/>
              <w:keepLines/>
              <w:jc w:val="center"/>
              <w:outlineLvl w:val="0"/>
              <w:rPr>
                <w:rFonts w:cs="Arial"/>
                <w:noProof/>
              </w:rPr>
            </w:pPr>
            <w:r w:rsidRPr="00BB71BA">
              <w:rPr>
                <w:rFonts w:cs="Arial"/>
                <w:noProof/>
              </w:rPr>
              <w:t>62 ± 38 (n = 9)</w:t>
            </w:r>
          </w:p>
        </w:tc>
      </w:tr>
    </w:tbl>
    <w:p w:rsidR="00064555" w:rsidRDefault="00FE214D" w:rsidP="00D4624A">
      <w:pPr>
        <w:spacing w:after="240"/>
        <w:rPr>
          <w:noProof/>
        </w:rPr>
      </w:pPr>
      <w:r w:rsidRPr="00BB71BA">
        <w:rPr>
          <w:noProof/>
        </w:rPr>
        <w:t>n</w:t>
      </w:r>
      <w:r w:rsidR="00064555">
        <w:rPr>
          <w:noProof/>
        </w:rPr>
        <w:t>= number of subjects evaluated.</w:t>
      </w:r>
    </w:p>
    <w:p w:rsidR="00FE214D" w:rsidRPr="00BB71BA" w:rsidRDefault="00FE214D" w:rsidP="00D4624A">
      <w:pPr>
        <w:spacing w:after="240"/>
        <w:rPr>
          <w:noProof/>
        </w:rPr>
      </w:pPr>
      <w:r w:rsidRPr="00BB71BA">
        <w:rPr>
          <w:noProof/>
        </w:rPr>
        <w:t xml:space="preserve">*One Unit is equal to the mean quantity of C1 </w:t>
      </w:r>
      <w:r>
        <w:rPr>
          <w:noProof/>
        </w:rPr>
        <w:t xml:space="preserve">esterase </w:t>
      </w:r>
      <w:r w:rsidRPr="00BB71BA">
        <w:rPr>
          <w:noProof/>
        </w:rPr>
        <w:t>inhibitor present in 1 ml of normal human plasma.</w:t>
      </w:r>
    </w:p>
    <w:p w:rsidR="00FE214D" w:rsidRPr="00BB71BA" w:rsidRDefault="00FE214D" w:rsidP="00D4624A">
      <w:pPr>
        <w:spacing w:after="240"/>
        <w:rPr>
          <w:noProof/>
        </w:rPr>
      </w:pPr>
      <w:r w:rsidRPr="00BB71BA">
        <w:rPr>
          <w:noProof/>
        </w:rPr>
        <w:t xml:space="preserve">After intravenous administration of a single dose of </w:t>
      </w:r>
      <w:r>
        <w:rPr>
          <w:noProof/>
        </w:rPr>
        <w:t>CINRYZE</w:t>
      </w:r>
      <w:r w:rsidRPr="00BB71BA">
        <w:rPr>
          <w:noProof/>
        </w:rPr>
        <w:t xml:space="preserve"> to HAE subjects, the serum concentration of functional C1</w:t>
      </w:r>
      <w:r>
        <w:rPr>
          <w:noProof/>
        </w:rPr>
        <w:t xml:space="preserve"> esterase</w:t>
      </w:r>
      <w:r w:rsidRPr="00BB71BA">
        <w:rPr>
          <w:noProof/>
        </w:rPr>
        <w:t xml:space="preserve"> inhibitor doubled within 1 to 2 hours. The maximum serum concentration (C</w:t>
      </w:r>
      <w:r w:rsidRPr="00BB71BA">
        <w:rPr>
          <w:noProof/>
          <w:vertAlign w:val="subscript"/>
        </w:rPr>
        <w:t>max</w:t>
      </w:r>
      <w:r w:rsidRPr="00BB71BA">
        <w:rPr>
          <w:noProof/>
        </w:rPr>
        <w:t xml:space="preserve">) and area under the serum concentration-time curve (AUC) appeared to increase from the single to double dose, although the increase was not dose-proportional.  The mean elimination half-life of functional C1 </w:t>
      </w:r>
      <w:r>
        <w:rPr>
          <w:noProof/>
        </w:rPr>
        <w:t xml:space="preserve">esterase </w:t>
      </w:r>
      <w:r w:rsidRPr="00BB71BA">
        <w:rPr>
          <w:noProof/>
        </w:rPr>
        <w:t xml:space="preserve">inhibitor after administration of </w:t>
      </w:r>
      <w:r>
        <w:rPr>
          <w:noProof/>
        </w:rPr>
        <w:t>CINRYZE</w:t>
      </w:r>
      <w:r w:rsidRPr="00BB71BA">
        <w:rPr>
          <w:noProof/>
        </w:rPr>
        <w:t xml:space="preserve"> was 56 hours for a single dose an</w:t>
      </w:r>
      <w:r w:rsidR="007E6833">
        <w:rPr>
          <w:noProof/>
        </w:rPr>
        <w:t>d 62 hours for the double dose.</w:t>
      </w:r>
    </w:p>
    <w:p w:rsidR="00FE214D" w:rsidRPr="00BB71BA" w:rsidRDefault="00FE214D" w:rsidP="00D4624A">
      <w:pPr>
        <w:spacing w:after="240"/>
        <w:rPr>
          <w:noProof/>
        </w:rPr>
      </w:pPr>
      <w:r w:rsidRPr="00BB71BA">
        <w:rPr>
          <w:noProof/>
        </w:rPr>
        <w:t xml:space="preserve">Because C1 </w:t>
      </w:r>
      <w:r>
        <w:rPr>
          <w:noProof/>
        </w:rPr>
        <w:t xml:space="preserve">esterase </w:t>
      </w:r>
      <w:r w:rsidRPr="00BB71BA">
        <w:rPr>
          <w:noProof/>
        </w:rPr>
        <w:t>inhibitor is an endogenous human plasma protein, it is not subject to metabolism by Cytochrome P450 iso-enzymes, excretion, or pharmacokinetic drug-drug interactions exhibited by many low molecular weight compounds.  The expected consequence of metabolism of a glycoprotein is via degr</w:t>
      </w:r>
      <w:r>
        <w:rPr>
          <w:noProof/>
        </w:rPr>
        <w:t>a</w:t>
      </w:r>
      <w:r w:rsidRPr="00BB71BA">
        <w:rPr>
          <w:noProof/>
        </w:rPr>
        <w:t xml:space="preserve">dation to small peptides and individual amino acids.  As such, the pharmacokinetics and excretion of </w:t>
      </w:r>
      <w:r>
        <w:rPr>
          <w:noProof/>
        </w:rPr>
        <w:t>CINRYZE</w:t>
      </w:r>
      <w:r w:rsidRPr="00BB71BA">
        <w:rPr>
          <w:noProof/>
        </w:rPr>
        <w:t xml:space="preserve"> are not expected to be altered </w:t>
      </w:r>
      <w:r w:rsidR="00D4624A">
        <w:rPr>
          <w:noProof/>
        </w:rPr>
        <w:t>by renal or hepatic impairment.</w:t>
      </w:r>
    </w:p>
    <w:p w:rsidR="00FE214D" w:rsidRPr="00BB71BA" w:rsidRDefault="00FE214D" w:rsidP="00A4686F">
      <w:pPr>
        <w:pStyle w:val="Heading3"/>
      </w:pPr>
      <w:r w:rsidRPr="007E6833">
        <w:t>Paediatric</w:t>
      </w:r>
      <w:r w:rsidRPr="00BB71BA">
        <w:t xml:space="preserve"> population</w:t>
      </w:r>
    </w:p>
    <w:p w:rsidR="00FE214D" w:rsidRPr="00BB71BA" w:rsidRDefault="00FE214D" w:rsidP="00D4624A">
      <w:pPr>
        <w:spacing w:after="240"/>
      </w:pPr>
      <w:r w:rsidRPr="00BB71BA">
        <w:t>Functional C1 </w:t>
      </w:r>
      <w:r>
        <w:t xml:space="preserve">esterase </w:t>
      </w:r>
      <w:r w:rsidRPr="00BB71BA">
        <w:t>inhibitor activity was measured in children in the two open label studies (see Clinical Trials section, below).  Mean increases from baseline in functional C1 </w:t>
      </w:r>
      <w:r>
        <w:t xml:space="preserve">esterase </w:t>
      </w:r>
      <w:r w:rsidRPr="00BB71BA">
        <w:t xml:space="preserve">inhibitor activity measured 1 hour post-dose in children 2 to &lt;18 years of age ranged from 20% to 88% in Study LEVP 2006-1 </w:t>
      </w:r>
      <w:r w:rsidRPr="00BB71BA">
        <w:lastRenderedPageBreak/>
        <w:t>(treatment) and from 22% to 46% in Study LEVP 2006-4 (prevention) compared with 21% to 66% and 25% to 32% in adults, respectively.</w:t>
      </w:r>
    </w:p>
    <w:p w:rsidR="00FE214D" w:rsidRPr="00BB71BA" w:rsidRDefault="00FE214D" w:rsidP="00A4686F">
      <w:pPr>
        <w:pStyle w:val="Heading2"/>
      </w:pPr>
      <w:r w:rsidRPr="007E6833">
        <w:t>CLINICAL</w:t>
      </w:r>
      <w:r w:rsidRPr="00BB71BA">
        <w:t xml:space="preserve"> TRIALS</w:t>
      </w:r>
    </w:p>
    <w:p w:rsidR="00FE214D" w:rsidRDefault="00FE214D" w:rsidP="00D4624A">
      <w:pPr>
        <w:spacing w:after="240"/>
      </w:pPr>
      <w:r w:rsidRPr="00BB71BA">
        <w:t>Two randomised, double-blind, placebo-controlled studies (LEVP 2005-1/A and LEVP 2005</w:t>
      </w:r>
      <w:r w:rsidRPr="00BB71BA">
        <w:noBreakHyphen/>
        <w:t>1/B) and data from two open-label studies (LEVP 2006</w:t>
      </w:r>
      <w:r w:rsidRPr="00BB71BA">
        <w:noBreakHyphen/>
        <w:t>1 and LEVP 2006</w:t>
      </w:r>
      <w:r w:rsidRPr="00BB71BA">
        <w:noBreakHyphen/>
        <w:t xml:space="preserve">4) demonstrated the efficacy of </w:t>
      </w:r>
      <w:r>
        <w:t>CINRYZE</w:t>
      </w:r>
      <w:r w:rsidRPr="00BB71BA">
        <w:t xml:space="preserve"> for the treatment and prevention of </w:t>
      </w:r>
      <w:proofErr w:type="spellStart"/>
      <w:r w:rsidRPr="00BB71BA">
        <w:t>angioedema</w:t>
      </w:r>
      <w:proofErr w:type="spellEnd"/>
      <w:r w:rsidRPr="00BB71BA">
        <w:t xml:space="preserve"> attacks in subjects with</w:t>
      </w:r>
      <w:r>
        <w:t xml:space="preserve"> hereditary </w:t>
      </w:r>
      <w:proofErr w:type="spellStart"/>
      <w:r>
        <w:t>angioedema</w:t>
      </w:r>
      <w:proofErr w:type="spellEnd"/>
      <w:r>
        <w:t>.</w:t>
      </w:r>
    </w:p>
    <w:p w:rsidR="00FE214D" w:rsidRPr="007E6833" w:rsidRDefault="00FE214D" w:rsidP="00A4686F">
      <w:pPr>
        <w:pStyle w:val="Heading3"/>
      </w:pPr>
      <w:r w:rsidRPr="007E6833">
        <w:t>CINRYZE for the treatment of HAE attacks</w:t>
      </w:r>
    </w:p>
    <w:p w:rsidR="00FE214D" w:rsidRPr="00BB71BA" w:rsidRDefault="00FE214D" w:rsidP="00D4624A">
      <w:pPr>
        <w:spacing w:after="240"/>
      </w:pPr>
      <w:r w:rsidRPr="00BB71BA">
        <w:t>Study LEVP 2005</w:t>
      </w:r>
      <w:r w:rsidRPr="00BB71BA">
        <w:noBreakHyphen/>
        <w:t xml:space="preserve">1/A used a </w:t>
      </w:r>
      <w:r w:rsidRPr="00BB71BA">
        <w:rPr>
          <w:lang w:val="en-GB"/>
        </w:rPr>
        <w:t>randomised</w:t>
      </w:r>
      <w:r w:rsidRPr="00BB71BA">
        <w:t xml:space="preserve">, double-blind, placebo-controlled, parallel group design; 71 subjects with acute HAE attacks were randomised (36 </w:t>
      </w:r>
      <w:r>
        <w:t>CINRYZE</w:t>
      </w:r>
      <w:r w:rsidRPr="00BB71BA">
        <w:t xml:space="preserve">, 35 placebo).  The study demonstrated that treatment with </w:t>
      </w:r>
      <w:r>
        <w:t>CINRYZE</w:t>
      </w:r>
      <w:r w:rsidRPr="00BB71BA">
        <w:t xml:space="preserve"> within 4 hours after the onset of an HAE attack resulted in a greater than 2-fold decrease in the time to beginning of unequivocal relief of the defining symptom of the HAE attack compared to placebo (median 2 hours for </w:t>
      </w:r>
      <w:r>
        <w:t>CINRYZE</w:t>
      </w:r>
      <w:r w:rsidRPr="00BB71BA">
        <w:t xml:space="preserve"> vs. &gt;4 hours for placebo, p = 0.048).  Treatment with </w:t>
      </w:r>
      <w:r>
        <w:t>CINRYZE</w:t>
      </w:r>
      <w:r w:rsidRPr="00BB71BA">
        <w:t xml:space="preserve"> also resulted in a greater than 2-fold decrease in the time to complete resolution of the HAE attack compared to placebo (median 12.3 hours vs. 31.6 hours, p=0.001).  The percentage of subjects with beginning of unequivocal relief of the defining symptom within 4 hours after dosing was 60% for </w:t>
      </w:r>
      <w:r>
        <w:t>CINRYZE</w:t>
      </w:r>
      <w:r w:rsidRPr="00BB71BA">
        <w:t xml:space="preserve"> and 42% for placebo (p=0.062).  Among 15 subjects treated with open-label </w:t>
      </w:r>
      <w:r>
        <w:t>CINRYZE</w:t>
      </w:r>
      <w:r w:rsidRPr="00BB71BA">
        <w:t xml:space="preserve"> for laryngeal HAE atta</w:t>
      </w:r>
      <w:r w:rsidR="007E6833">
        <w:t>cks, none required intubation.</w:t>
      </w:r>
    </w:p>
    <w:p w:rsidR="00FE214D" w:rsidRPr="00BB71BA" w:rsidRDefault="00FE214D" w:rsidP="00D4624A">
      <w:pPr>
        <w:spacing w:after="240"/>
      </w:pPr>
      <w:r w:rsidRPr="00BB71BA">
        <w:t xml:space="preserve">In open-label study LEVP 2006-1, 101 subjects were treated for a total of 609 acute HAE attacks (median 3 attacks per subject; range: 1-57).  Within 4 hours after </w:t>
      </w:r>
      <w:r>
        <w:t>CINRYZE</w:t>
      </w:r>
      <w:r w:rsidRPr="00BB71BA">
        <w:t xml:space="preserve"> dosing, 87% of attacks achieved unequivocal relief of the defining symptom.  For 95% of attacks, clinical relief was observed and/or subjects were discharged to home within 4 hours.  For subjects with &gt;1 attack, the proportion of attacks responding within 4 hours after </w:t>
      </w:r>
      <w:r>
        <w:t>CINRYZE</w:t>
      </w:r>
      <w:r w:rsidRPr="00BB71BA">
        <w:t xml:space="preserve"> dosing and the time to response was comparable regardless of the number of attacks treated.  Among 84 separate laryngeal HAE attacks, none required intubation following treatment with </w:t>
      </w:r>
      <w:r>
        <w:t>CINRYZE</w:t>
      </w:r>
      <w:r w:rsidRPr="00BB71BA">
        <w:t>.</w:t>
      </w:r>
    </w:p>
    <w:p w:rsidR="00FE214D" w:rsidRPr="007E6833" w:rsidRDefault="00FE214D" w:rsidP="00A4686F">
      <w:pPr>
        <w:pStyle w:val="Heading3"/>
      </w:pPr>
      <w:r w:rsidRPr="007E6833">
        <w:t>CINRYZE for the routine prevention of HAE attacks</w:t>
      </w:r>
    </w:p>
    <w:p w:rsidR="00FE214D" w:rsidRPr="00C47623" w:rsidRDefault="00FE214D" w:rsidP="00D4624A">
      <w:r w:rsidRPr="00C47623">
        <w:t>Study LEVP 2005</w:t>
      </w:r>
      <w:r w:rsidRPr="00C47623">
        <w:noBreakHyphen/>
        <w:t xml:space="preserve">1/B used a randomised, double-blind, placebo-controlled, crossover design; 22 subjects were evaluable for efficacy (randomised and treated in both crossover periods).  The study population consisted of subjects with a history of relatively frequent </w:t>
      </w:r>
      <w:proofErr w:type="spellStart"/>
      <w:r w:rsidRPr="00C47623">
        <w:t>angioedema</w:t>
      </w:r>
      <w:proofErr w:type="spellEnd"/>
      <w:r w:rsidRPr="00C47623">
        <w:t xml:space="preserve"> attacks (at least 2 per month on average) while on their current therapeutic regimen for HAE or no regimen at all.</w:t>
      </w:r>
      <w:r>
        <w:t xml:space="preserve"> </w:t>
      </w:r>
      <w:r w:rsidRPr="00C47623">
        <w:t xml:space="preserve">The study demonstrated that prophylaxis with CINRYZE resulted in a greater than 2-fold reduction in the number of HAE attacks compared to placebo (mean 6.3 attacks for CINRYZE vs. 12.8attacks for placebo, p&lt;0.0001).  </w:t>
      </w:r>
      <w:proofErr w:type="spellStart"/>
      <w:r w:rsidRPr="00C47623">
        <w:t>Angioedema</w:t>
      </w:r>
      <w:proofErr w:type="spellEnd"/>
      <w:r w:rsidRPr="00C47623">
        <w:t xml:space="preserve"> </w:t>
      </w:r>
      <w:r w:rsidRPr="00C47623">
        <w:lastRenderedPageBreak/>
        <w:t xml:space="preserve">attacks were also less severe during prophylactic CINRYZE therapy compared to placebo (mean severity score 1.3 vs. 1.9 or a 32% reduction, p=0.0008) and of shorter duration (mean 2.1 days vs. 3.4 days or a 38% reduction, p=0.0004).  The total number of days of swelling during prophylactic CINRYZE therapy was reduced compared to placebo (mean 10.1 days vs. 29.6 days or a 66% reduction, p&lt;0.0001).  In addition, fewer </w:t>
      </w:r>
      <w:proofErr w:type="spellStart"/>
      <w:r w:rsidRPr="00C47623">
        <w:t>open</w:t>
      </w:r>
      <w:r w:rsidRPr="00C47623">
        <w:noBreakHyphen/>
        <w:t>label</w:t>
      </w:r>
      <w:proofErr w:type="spellEnd"/>
      <w:r w:rsidRPr="00C47623">
        <w:t xml:space="preserve"> CINRYZE infusions were required for treatment of HAE attacks during therapy with CINRYZE compared to placebo (mean 4.7 infusions vs. 15.4 infusions or 70% reduction, p&lt;0.0001).  </w:t>
      </w:r>
    </w:p>
    <w:p w:rsidR="00FE214D" w:rsidRPr="00BB71BA" w:rsidRDefault="00FE214D" w:rsidP="00B55D66">
      <w:pPr>
        <w:pStyle w:val="Paragraph"/>
        <w:rPr>
          <w:rFonts w:cs="Arial"/>
          <w:sz w:val="24"/>
          <w:szCs w:val="24"/>
        </w:rPr>
      </w:pPr>
      <w:r w:rsidRPr="00BB71BA">
        <w:rPr>
          <w:rFonts w:cs="Arial"/>
          <w:sz w:val="24"/>
          <w:szCs w:val="24"/>
        </w:rPr>
        <w:t xml:space="preserve">In open-label study LEVP 2006-4, 146 subjects received </w:t>
      </w:r>
      <w:r>
        <w:rPr>
          <w:rFonts w:cs="Arial"/>
          <w:sz w:val="24"/>
          <w:szCs w:val="24"/>
        </w:rPr>
        <w:t>CINRYZE</w:t>
      </w:r>
      <w:r w:rsidRPr="00BB71BA">
        <w:rPr>
          <w:rFonts w:cs="Arial"/>
          <w:sz w:val="24"/>
          <w:szCs w:val="24"/>
        </w:rPr>
        <w:t xml:space="preserve"> as HAE prophylaxis for periods ranging from 8 days to approximately 32 months (median 8 months).  Prior to enrollment, subjects reported a median monthly HAE attack rate of 3.0 (range: 0.08</w:t>
      </w:r>
      <w:r w:rsidRPr="00BB71BA">
        <w:rPr>
          <w:rFonts w:cs="Arial"/>
          <w:sz w:val="24"/>
          <w:szCs w:val="24"/>
        </w:rPr>
        <w:noBreakHyphen/>
        <w:t xml:space="preserve">28.0); during therapy with prophylactic </w:t>
      </w:r>
      <w:r>
        <w:rPr>
          <w:rFonts w:cs="Arial"/>
          <w:sz w:val="24"/>
          <w:szCs w:val="24"/>
        </w:rPr>
        <w:t>CINRYZE</w:t>
      </w:r>
      <w:r w:rsidRPr="00BB71BA">
        <w:rPr>
          <w:rFonts w:cs="Arial"/>
          <w:sz w:val="24"/>
          <w:szCs w:val="24"/>
        </w:rPr>
        <w:t>, this rate was 0.21 (range:  0</w:t>
      </w:r>
      <w:r w:rsidRPr="00BB71BA">
        <w:rPr>
          <w:rFonts w:cs="Arial"/>
          <w:sz w:val="24"/>
          <w:szCs w:val="24"/>
        </w:rPr>
        <w:noBreakHyphen/>
        <w:t xml:space="preserve">4.56), and 86% of subjects experienced an average of ≤1 attack per month.  For subjects receiving </w:t>
      </w:r>
      <w:r>
        <w:rPr>
          <w:rFonts w:cs="Arial"/>
          <w:sz w:val="24"/>
          <w:szCs w:val="24"/>
        </w:rPr>
        <w:t>CINRYZE</w:t>
      </w:r>
      <w:r w:rsidRPr="00BB71BA">
        <w:rPr>
          <w:rFonts w:cs="Arial"/>
          <w:sz w:val="24"/>
          <w:szCs w:val="24"/>
        </w:rPr>
        <w:t xml:space="preserve"> prophylaxis for at least 1 year, the monthly attack rate per subject remained consistently low (0.34 attacks per month) relative to pre-study rates.</w:t>
      </w:r>
    </w:p>
    <w:p w:rsidR="00FE214D" w:rsidRPr="007E6833" w:rsidRDefault="00FE214D" w:rsidP="00A4686F">
      <w:pPr>
        <w:pStyle w:val="Heading3"/>
      </w:pPr>
      <w:r w:rsidRPr="007E6833">
        <w:t>CINRYZE for the pre-procedure prevention of HAE attacks</w:t>
      </w:r>
    </w:p>
    <w:p w:rsidR="00FE214D" w:rsidRPr="0010746D" w:rsidRDefault="00FE214D" w:rsidP="00D4624A">
      <w:pPr>
        <w:spacing w:after="240"/>
      </w:pPr>
      <w:r w:rsidRPr="0010746D">
        <w:t xml:space="preserve">Open-label </w:t>
      </w:r>
      <w:r>
        <w:t>CINRYZE</w:t>
      </w:r>
      <w:r w:rsidRPr="0010746D">
        <w:t xml:space="preserve"> was administered within 24 hours prior to a total of 91 medical, dental, or surgical procedures across the clinical programme (40 procedures in children and 51 procedures in adults).  For 98% of procedures, no HAE attacks were reported within the 72 hours after the </w:t>
      </w:r>
      <w:r>
        <w:t>CINRYZE</w:t>
      </w:r>
      <w:r w:rsidRPr="0010746D">
        <w:t xml:space="preserve"> dose.</w:t>
      </w:r>
    </w:p>
    <w:p w:rsidR="00FE214D" w:rsidRPr="00BB71BA" w:rsidRDefault="00FE214D" w:rsidP="00A4686F">
      <w:pPr>
        <w:pStyle w:val="Heading3"/>
      </w:pPr>
      <w:r w:rsidRPr="00BB71BA">
        <w:t xml:space="preserve">Paediatric </w:t>
      </w:r>
      <w:r>
        <w:t>population</w:t>
      </w:r>
    </w:p>
    <w:p w:rsidR="00FE214D" w:rsidRPr="00BB71BA" w:rsidRDefault="00FE214D" w:rsidP="00D4624A">
      <w:pPr>
        <w:spacing w:after="240"/>
      </w:pPr>
      <w:r w:rsidRPr="00BB71BA">
        <w:t xml:space="preserve">Treatment (LEVP 2006-1):  The proportion of HAE attacks achieving unequivocal relief of the defining symptom within 4 hours after </w:t>
      </w:r>
      <w:r>
        <w:t>CINRYZE</w:t>
      </w:r>
      <w:r w:rsidRPr="00BB71BA">
        <w:t xml:space="preserve"> treatment was comparable between the 22 children enrolled (age range: 2-17) and adults, with 89% and 86% of attacks a</w:t>
      </w:r>
      <w:r w:rsidR="007E6833">
        <w:t>chieving relief, respectively.</w:t>
      </w:r>
    </w:p>
    <w:p w:rsidR="00FE214D" w:rsidRPr="0010746D" w:rsidRDefault="00FE214D" w:rsidP="00D4624A">
      <w:pPr>
        <w:spacing w:after="240"/>
      </w:pPr>
      <w:r w:rsidRPr="0010746D">
        <w:t>Prevention (LEVP 2006</w:t>
      </w:r>
      <w:r w:rsidRPr="0010746D">
        <w:noBreakHyphen/>
        <w:t>4):  Prior to enrollment, 23 children (age range:  3 to 17 years) reported a median monthly HAE attack rate of 3.0 (range:  0.5</w:t>
      </w:r>
      <w:r w:rsidRPr="0010746D">
        <w:noBreakHyphen/>
        <w:t xml:space="preserve">28.0). During the study while receiving </w:t>
      </w:r>
      <w:r>
        <w:t>CINRYZE</w:t>
      </w:r>
      <w:r w:rsidRPr="0010746D">
        <w:t xml:space="preserve"> prophylaxis, children in the various age subgroups experienced median monthly HAE attack rates of 0.4 (range:0</w:t>
      </w:r>
      <w:r w:rsidRPr="0010746D">
        <w:noBreakHyphen/>
        <w:t>3.4), and 87% of children reported an average of ≤1 attack per month; these results were comparable to those observed in adu</w:t>
      </w:r>
      <w:r w:rsidR="007E6833">
        <w:t>lts.</w:t>
      </w:r>
    </w:p>
    <w:p w:rsidR="00FE214D" w:rsidRPr="0010746D" w:rsidRDefault="00FE214D" w:rsidP="00D4624A">
      <w:pPr>
        <w:spacing w:after="240"/>
      </w:pPr>
      <w:r w:rsidRPr="0010746D">
        <w:t xml:space="preserve">In both studies LEVP 2006-1 and LEVP 2006-4, administration of </w:t>
      </w:r>
      <w:r>
        <w:t>CINRYZE</w:t>
      </w:r>
      <w:r w:rsidRPr="0010746D">
        <w:t xml:space="preserve"> resulted in increases in antigenic and functional C1 </w:t>
      </w:r>
      <w:r>
        <w:rPr>
          <w:lang w:val="en-GB"/>
        </w:rPr>
        <w:t>esterase inhibitor</w:t>
      </w:r>
      <w:r w:rsidRPr="0010746D">
        <w:t xml:space="preserve"> levels </w:t>
      </w:r>
      <w:proofErr w:type="spellStart"/>
      <w:r w:rsidRPr="0010746D">
        <w:t>post</w:t>
      </w:r>
      <w:r w:rsidRPr="0010746D">
        <w:noBreakHyphen/>
        <w:t>infusion</w:t>
      </w:r>
      <w:proofErr w:type="spellEnd"/>
      <w:r w:rsidRPr="0010746D">
        <w:t xml:space="preserve"> compared to </w:t>
      </w:r>
      <w:proofErr w:type="spellStart"/>
      <w:r w:rsidRPr="0010746D">
        <w:t>pre</w:t>
      </w:r>
      <w:r w:rsidRPr="0010746D">
        <w:noBreakHyphen/>
        <w:t>infusion</w:t>
      </w:r>
      <w:proofErr w:type="spellEnd"/>
      <w:r w:rsidRPr="0010746D">
        <w:t xml:space="preserve"> values, with similar trends observed in children and adults.</w:t>
      </w:r>
    </w:p>
    <w:p w:rsidR="00FE214D" w:rsidRPr="00064FC4" w:rsidRDefault="00FE214D" w:rsidP="00A4686F">
      <w:pPr>
        <w:pStyle w:val="Heading2"/>
      </w:pPr>
      <w:r w:rsidRPr="00064FC4">
        <w:t>INDICATIONS</w:t>
      </w:r>
    </w:p>
    <w:p w:rsidR="00FE214D" w:rsidRPr="007E6833" w:rsidRDefault="00FE214D" w:rsidP="00D4624A">
      <w:r w:rsidRPr="00BB71BA">
        <w:t xml:space="preserve">Treatment </w:t>
      </w:r>
      <w:r>
        <w:t xml:space="preserve">and pre-procedure prevention </w:t>
      </w:r>
      <w:r w:rsidRPr="00BB71BA">
        <w:t xml:space="preserve">of </w:t>
      </w:r>
      <w:proofErr w:type="spellStart"/>
      <w:r w:rsidRPr="00BB71BA">
        <w:t>angioedema</w:t>
      </w:r>
      <w:proofErr w:type="spellEnd"/>
      <w:r w:rsidRPr="00BB71BA">
        <w:t xml:space="preserve"> attacks in adults</w:t>
      </w:r>
      <w:r>
        <w:t xml:space="preserve"> and</w:t>
      </w:r>
      <w:r w:rsidRPr="00BB71BA">
        <w:t xml:space="preserve"> adolescents</w:t>
      </w:r>
      <w:r>
        <w:t xml:space="preserve"> </w:t>
      </w:r>
      <w:r w:rsidRPr="00BB71BA">
        <w:t>with C1 inhibitor deficiency.</w:t>
      </w:r>
    </w:p>
    <w:p w:rsidR="00A4686F" w:rsidRDefault="00FE214D" w:rsidP="00D4624A">
      <w:pPr>
        <w:spacing w:after="240"/>
        <w:rPr>
          <w:lang w:val="en-US"/>
        </w:rPr>
      </w:pPr>
      <w:r>
        <w:lastRenderedPageBreak/>
        <w:t xml:space="preserve">Routine prevention of </w:t>
      </w:r>
      <w:proofErr w:type="spellStart"/>
      <w:r w:rsidRPr="00BB71BA">
        <w:t>angioedema</w:t>
      </w:r>
      <w:proofErr w:type="spellEnd"/>
      <w:r w:rsidRPr="00BB71BA">
        <w:t xml:space="preserve"> attacks in adults</w:t>
      </w:r>
      <w:r>
        <w:t xml:space="preserve"> and adolescents with frequent attacks of hereditary </w:t>
      </w:r>
      <w:proofErr w:type="spellStart"/>
      <w:r>
        <w:t>angioedema</w:t>
      </w:r>
      <w:proofErr w:type="spellEnd"/>
      <w:r>
        <w:t xml:space="preserve"> (HAE), who are intolerant to or insufficiently protected by oral therapy</w:t>
      </w:r>
      <w:r w:rsidR="007E6833">
        <w:t>.</w:t>
      </w:r>
    </w:p>
    <w:p w:rsidR="00FE214D" w:rsidRPr="00BB71BA" w:rsidRDefault="00FE214D" w:rsidP="00A4686F">
      <w:pPr>
        <w:pStyle w:val="Heading2"/>
      </w:pPr>
      <w:r w:rsidRPr="00BB71BA">
        <w:t>CONTRAINDICATIONS</w:t>
      </w:r>
    </w:p>
    <w:p w:rsidR="00FE214D" w:rsidRPr="00BB71BA" w:rsidRDefault="00FE214D" w:rsidP="00D4624A">
      <w:pPr>
        <w:spacing w:after="240"/>
      </w:pPr>
      <w:r>
        <w:t>CINRYZE is contraindicated in patients who have manifested life-threatening immediate hypersensitivity reactions, including anaphylaxis to the product.</w:t>
      </w:r>
    </w:p>
    <w:p w:rsidR="00FE214D" w:rsidRPr="00BB71BA" w:rsidRDefault="00FE214D" w:rsidP="00A4686F">
      <w:pPr>
        <w:pStyle w:val="Heading2"/>
      </w:pPr>
      <w:r w:rsidRPr="00BB71BA">
        <w:t>PRECAUTIONS</w:t>
      </w:r>
    </w:p>
    <w:p w:rsidR="00FE214D" w:rsidRPr="0090567E" w:rsidRDefault="00FE214D" w:rsidP="0090567E">
      <w:pPr>
        <w:spacing w:after="240"/>
        <w:rPr>
          <w:rFonts w:cs="Arial"/>
        </w:rPr>
      </w:pPr>
      <w:r w:rsidRPr="00BB71BA">
        <w:rPr>
          <w:rFonts w:cs="Arial"/>
        </w:rPr>
        <w:t>General</w:t>
      </w:r>
    </w:p>
    <w:p w:rsidR="00FE214D" w:rsidRDefault="00FE214D" w:rsidP="00A4686F">
      <w:pPr>
        <w:pStyle w:val="Heading3"/>
      </w:pPr>
      <w:r>
        <w:t>Hypersensitivity</w:t>
      </w:r>
    </w:p>
    <w:p w:rsidR="00FE214D" w:rsidRPr="0090567E" w:rsidRDefault="00FE214D" w:rsidP="00D4624A">
      <w:pPr>
        <w:spacing w:after="240"/>
      </w:pPr>
      <w:r>
        <w:t xml:space="preserve">Severe hypersensitivity reactions may occur.  Hypersensitivity reactions may have symptoms similar to </w:t>
      </w:r>
      <w:proofErr w:type="spellStart"/>
      <w:r>
        <w:t>angioedema</w:t>
      </w:r>
      <w:proofErr w:type="spellEnd"/>
      <w:r>
        <w:t xml:space="preserve"> attacks.  Patients should be informed of the early signs of hypersensitivity reactions including hives, </w:t>
      </w:r>
      <w:proofErr w:type="spellStart"/>
      <w:r>
        <w:t>urticaria</w:t>
      </w:r>
      <w:proofErr w:type="spellEnd"/>
      <w:r>
        <w:t>, tightness of the chest, wheezing, hypotension and anaphylaxis.</w:t>
      </w:r>
    </w:p>
    <w:p w:rsidR="00FE214D" w:rsidRPr="00BB71BA" w:rsidRDefault="00FE214D" w:rsidP="00A4686F">
      <w:pPr>
        <w:pStyle w:val="Heading3"/>
      </w:pPr>
      <w:r w:rsidRPr="00BB71BA">
        <w:t>Thrombotic events</w:t>
      </w:r>
    </w:p>
    <w:p w:rsidR="00FE214D" w:rsidRPr="00BB71BA" w:rsidRDefault="00FE214D" w:rsidP="00D4624A">
      <w:pPr>
        <w:spacing w:after="240"/>
      </w:pPr>
      <w:r w:rsidRPr="00BB71BA">
        <w:t xml:space="preserve">Thrombotic events have been reported in </w:t>
      </w:r>
      <w:r>
        <w:t>patients receiving CINRYZE.</w:t>
      </w:r>
      <w:r w:rsidRPr="00BB71BA">
        <w:t xml:space="preserve"> </w:t>
      </w:r>
      <w:r>
        <w:t xml:space="preserve"> </w:t>
      </w:r>
      <w:r w:rsidRPr="00BB71BA">
        <w:t xml:space="preserve">Patients with known risk factors for thrombotic events </w:t>
      </w:r>
      <w:r>
        <w:t xml:space="preserve">(including indwelling catheters) </w:t>
      </w:r>
      <w:r w:rsidRPr="00BB71BA">
        <w:t>should be monitored closely.</w:t>
      </w:r>
    </w:p>
    <w:p w:rsidR="00FE214D" w:rsidRPr="00BB71BA" w:rsidRDefault="00FE214D" w:rsidP="00A4686F">
      <w:pPr>
        <w:pStyle w:val="Heading3"/>
      </w:pPr>
      <w:r w:rsidRPr="00BB71BA">
        <w:t>Paediatric population</w:t>
      </w:r>
    </w:p>
    <w:p w:rsidR="00FE214D" w:rsidRPr="00BB71BA" w:rsidRDefault="00FE214D" w:rsidP="00D4624A">
      <w:pPr>
        <w:spacing w:after="240"/>
      </w:pPr>
      <w:r w:rsidRPr="00BB71BA">
        <w:rPr>
          <w:noProof/>
        </w:rPr>
        <w:t xml:space="preserve">Thrombotic events have been reported in neonatal and infant subjects undergoing cardiac bypass procedures while receiving high doses of another C1 INH product (up to 500 Units/kg) to prevent capillary leak syndrome. Based upon an animal study there is a </w:t>
      </w:r>
      <w:r w:rsidRPr="00BB71BA">
        <w:rPr>
          <w:noProof/>
          <w:lang w:val="en-GB"/>
        </w:rPr>
        <w:t>potential thrombogenic threshold at doses greater than 200 Units/kg</w:t>
      </w:r>
      <w:r>
        <w:rPr>
          <w:noProof/>
          <w:lang w:val="en-GB"/>
        </w:rPr>
        <w:t>.</w:t>
      </w:r>
    </w:p>
    <w:p w:rsidR="00FE214D" w:rsidRPr="00BB71BA" w:rsidRDefault="00FE214D" w:rsidP="00A4686F">
      <w:pPr>
        <w:pStyle w:val="Heading3"/>
      </w:pPr>
      <w:r w:rsidRPr="00BB71BA">
        <w:t xml:space="preserve">Transmissible </w:t>
      </w:r>
      <w:r w:rsidRPr="0090567E">
        <w:t>agents</w:t>
      </w:r>
      <w:r w:rsidRPr="00BB71BA">
        <w:t xml:space="preserve"> </w:t>
      </w:r>
    </w:p>
    <w:p w:rsidR="00FE214D" w:rsidRPr="00BB71BA" w:rsidRDefault="00FE214D" w:rsidP="00D4624A">
      <w:pPr>
        <w:spacing w:after="240"/>
      </w:pPr>
      <w:r w:rsidRPr="00BB71BA">
        <w:t>Standard measures to prevent infections resulting from the use of medicinal products prepared from human blood or plasma include selection of donors, screening of individual donations and plasma pools for specific markers of infection and the inclusion of effective manufacturing steps for the inactivation/removal of viruses.  Despite this, when medicinal products prepared from human blood or plasma are administered, the possibility of transmitting infective agents cannot be totally excluded.  This also applies to unknown or emergi</w:t>
      </w:r>
      <w:r w:rsidR="00D4624A">
        <w:t>ng viruses and other pathogens.</w:t>
      </w:r>
    </w:p>
    <w:p w:rsidR="00FE214D" w:rsidRPr="00BB71BA" w:rsidRDefault="00FE214D" w:rsidP="00D4624A">
      <w:pPr>
        <w:spacing w:after="240"/>
      </w:pPr>
      <w:r w:rsidRPr="00BB71BA">
        <w:t xml:space="preserve">The measures taken are considered effective for enveloped viruses such as </w:t>
      </w:r>
      <w:r>
        <w:t>(Human Immunodeficiency Virus) (</w:t>
      </w:r>
      <w:r w:rsidRPr="00BB71BA">
        <w:t>HIV</w:t>
      </w:r>
      <w:r>
        <w:t>)</w:t>
      </w:r>
      <w:r w:rsidRPr="00BB71BA">
        <w:t xml:space="preserve">, </w:t>
      </w:r>
      <w:r>
        <w:t>Hepatitis B Virus</w:t>
      </w:r>
      <w:r w:rsidRPr="00BB71BA">
        <w:t xml:space="preserve"> </w:t>
      </w:r>
      <w:r>
        <w:t>(</w:t>
      </w:r>
      <w:r w:rsidRPr="00BB71BA">
        <w:t>HBV</w:t>
      </w:r>
      <w:r>
        <w:t>)</w:t>
      </w:r>
      <w:r w:rsidRPr="00BB71BA">
        <w:t xml:space="preserve"> and </w:t>
      </w:r>
      <w:r>
        <w:t xml:space="preserve">Hepatitis C </w:t>
      </w:r>
      <w:r>
        <w:lastRenderedPageBreak/>
        <w:t>Virus (</w:t>
      </w:r>
      <w:r w:rsidRPr="00BB71BA">
        <w:t>HCV</w:t>
      </w:r>
      <w:r>
        <w:t>)</w:t>
      </w:r>
      <w:r w:rsidRPr="00BB71BA">
        <w:t xml:space="preserve">, and for the non-enveloped viruses </w:t>
      </w:r>
      <w:r>
        <w:t>Hepatitis A Virus (</w:t>
      </w:r>
      <w:r w:rsidRPr="00BB71BA">
        <w:t>HAV</w:t>
      </w:r>
      <w:r>
        <w:t>)</w:t>
      </w:r>
      <w:r w:rsidRPr="00BB71BA">
        <w:t xml:space="preserve"> and parvovirus B19.</w:t>
      </w:r>
    </w:p>
    <w:p w:rsidR="00FE214D" w:rsidRPr="00BB71BA" w:rsidRDefault="00FE214D" w:rsidP="00D4624A">
      <w:pPr>
        <w:spacing w:after="240"/>
      </w:pPr>
      <w:r w:rsidRPr="00BB71BA">
        <w:t xml:space="preserve">The manufacturing process utilized to extract </w:t>
      </w:r>
      <w:r>
        <w:t>CINRYZE</w:t>
      </w:r>
      <w:r w:rsidRPr="00BB71BA">
        <w:t xml:space="preserve"> from screened human plasma incorporates three virus inactivation/removal steps: polyethylene glycol (PEG) precipitation (20% PEG 4000, pH 5.8), pasteurisation (10 hours at 60.5 ± 1.0 ºC) and 15 nm filtration to remove the smallest known viral particles (a process not utilized by all other currently available C1</w:t>
      </w:r>
      <w:r>
        <w:t xml:space="preserve"> esterase</w:t>
      </w:r>
      <w:r w:rsidRPr="00BB71BA">
        <w:t xml:space="preserve"> </w:t>
      </w:r>
      <w:r>
        <w:t>inhibitor</w:t>
      </w:r>
      <w:r w:rsidRPr="00BB71BA">
        <w:t xml:space="preserve"> products).  Collectively, these processes result in reduction of at least 16.7 log</w:t>
      </w:r>
      <w:r w:rsidRPr="00BB71BA">
        <w:rPr>
          <w:vertAlign w:val="subscript"/>
        </w:rPr>
        <w:t>10</w:t>
      </w:r>
      <w:r w:rsidRPr="00BB71BA">
        <w:t xml:space="preserve"> for the enveloped viruses tested (HIV, </w:t>
      </w:r>
      <w:r>
        <w:t xml:space="preserve">Bovine Viral </w:t>
      </w:r>
      <w:proofErr w:type="spellStart"/>
      <w:r>
        <w:t>Diarrhea</w:t>
      </w:r>
      <w:proofErr w:type="spellEnd"/>
      <w:r>
        <w:t xml:space="preserve"> Virus (</w:t>
      </w:r>
      <w:r w:rsidRPr="00BB71BA">
        <w:t>BVDV</w:t>
      </w:r>
      <w:r>
        <w:t>)</w:t>
      </w:r>
      <w:r w:rsidRPr="00BB71BA">
        <w:t xml:space="preserve">, </w:t>
      </w:r>
      <w:proofErr w:type="spellStart"/>
      <w:r>
        <w:t>Pseudorabies</w:t>
      </w:r>
      <w:proofErr w:type="spellEnd"/>
      <w:r>
        <w:t xml:space="preserve"> Virus (</w:t>
      </w:r>
      <w:r w:rsidRPr="00BB71BA">
        <w:t>PRV</w:t>
      </w:r>
      <w:r>
        <w:t>)</w:t>
      </w:r>
      <w:r w:rsidRPr="00BB71BA">
        <w:t>), at least 8.8 log</w:t>
      </w:r>
      <w:r w:rsidRPr="00BB71BA">
        <w:rPr>
          <w:vertAlign w:val="subscript"/>
        </w:rPr>
        <w:t>10</w:t>
      </w:r>
      <w:r w:rsidRPr="00BB71BA">
        <w:t xml:space="preserve"> for the non-enveloped viruses (HAV, </w:t>
      </w:r>
      <w:r>
        <w:t>Canine Parvovirus (</w:t>
      </w:r>
      <w:r w:rsidRPr="00BB71BA">
        <w:t>CPV</w:t>
      </w:r>
      <w:r>
        <w:t>)</w:t>
      </w:r>
      <w:r w:rsidRPr="00BB71BA">
        <w:t>), and &gt;</w:t>
      </w:r>
      <w:r>
        <w:t>10</w:t>
      </w:r>
      <w:r w:rsidRPr="00BB71BA">
        <w:t xml:space="preserve"> log</w:t>
      </w:r>
      <w:r w:rsidRPr="00BB71BA">
        <w:rPr>
          <w:vertAlign w:val="subscript"/>
        </w:rPr>
        <w:t>10</w:t>
      </w:r>
      <w:r w:rsidRPr="00BB71BA">
        <w:t xml:space="preserve"> reduction in </w:t>
      </w:r>
      <w:proofErr w:type="spellStart"/>
      <w:r w:rsidRPr="00BB71BA">
        <w:t>prion</w:t>
      </w:r>
      <w:proofErr w:type="spellEnd"/>
      <w:r w:rsidRPr="00BB71BA">
        <w:t xml:space="preserve">-like material. Thus, while the infection-related risk associated with any plasma-derived product will never be zero, the manufacturing process for </w:t>
      </w:r>
      <w:r>
        <w:t>CINRYZE</w:t>
      </w:r>
      <w:r w:rsidRPr="00BB71BA">
        <w:t xml:space="preserve"> provides substantial protection against infections of C1 </w:t>
      </w:r>
      <w:r>
        <w:t>esterase inhibitor</w:t>
      </w:r>
      <w:r w:rsidRPr="00BB71BA">
        <w:t xml:space="preserve"> products to date and represents an important improvement in product safety.</w:t>
      </w:r>
    </w:p>
    <w:p w:rsidR="00FE214D" w:rsidRPr="00BB71BA" w:rsidRDefault="00FE214D" w:rsidP="00D4624A">
      <w:pPr>
        <w:spacing w:after="240"/>
      </w:pPr>
      <w:r w:rsidRPr="00BB71BA">
        <w:t xml:space="preserve">Appropriate vaccination (hepatitis A and B) should be considered for patients in regular/repeated receipt of human plasma-derived C1 </w:t>
      </w:r>
      <w:r>
        <w:t xml:space="preserve">esterase </w:t>
      </w:r>
      <w:r w:rsidRPr="00BB71BA">
        <w:t>inhibitor product.</w:t>
      </w:r>
    </w:p>
    <w:p w:rsidR="00FE214D" w:rsidRDefault="00FE214D" w:rsidP="00D4624A">
      <w:pPr>
        <w:spacing w:after="240"/>
      </w:pPr>
      <w:r w:rsidRPr="00BB71BA">
        <w:t xml:space="preserve">It is strongly recommended that every time </w:t>
      </w:r>
      <w:r>
        <w:t>CINRYZE</w:t>
      </w:r>
      <w:r w:rsidRPr="00BB71BA">
        <w:t xml:space="preserve"> is administered to a patient, the name and batch number of the product are recorded in order to maintain a link between the patient and the batch of the product.</w:t>
      </w:r>
    </w:p>
    <w:p w:rsidR="00FE214D" w:rsidRPr="00BB71BA" w:rsidRDefault="00FE214D" w:rsidP="00A4686F">
      <w:pPr>
        <w:pStyle w:val="Heading3"/>
      </w:pPr>
      <w:r>
        <w:t>Sodium</w:t>
      </w:r>
    </w:p>
    <w:p w:rsidR="00FE214D" w:rsidRPr="0090567E" w:rsidRDefault="00FE214D" w:rsidP="00D4624A">
      <w:pPr>
        <w:spacing w:after="240"/>
      </w:pPr>
      <w:r w:rsidRPr="006D55A9">
        <w:t xml:space="preserve">Each vial of </w:t>
      </w:r>
      <w:r>
        <w:t>CINRYZE</w:t>
      </w:r>
      <w:r w:rsidRPr="006D55A9">
        <w:t xml:space="preserve"> contains approximately 11.5 mg of sodium</w:t>
      </w:r>
      <w:r>
        <w:t>.  To be taken into account by patients on a controlled sodium diet.</w:t>
      </w:r>
    </w:p>
    <w:p w:rsidR="00FE214D" w:rsidRPr="00EB7174" w:rsidRDefault="00FE214D" w:rsidP="00A4686F">
      <w:pPr>
        <w:pStyle w:val="Heading3"/>
        <w:rPr>
          <w:noProof/>
          <w:lang w:val="en-GB"/>
        </w:rPr>
      </w:pPr>
      <w:r w:rsidRPr="00EB7174">
        <w:t>Effects on fertility</w:t>
      </w:r>
    </w:p>
    <w:p w:rsidR="00FE214D" w:rsidRPr="00BB71BA" w:rsidRDefault="00FE214D" w:rsidP="00D4624A">
      <w:pPr>
        <w:spacing w:after="240"/>
      </w:pPr>
      <w:r w:rsidRPr="00BB71BA">
        <w:rPr>
          <w:noProof/>
        </w:rPr>
        <w:t>No studies on fertility</w:t>
      </w:r>
      <w:r>
        <w:rPr>
          <w:noProof/>
        </w:rPr>
        <w:t xml:space="preserve"> or</w:t>
      </w:r>
      <w:r w:rsidRPr="00BB71BA">
        <w:rPr>
          <w:noProof/>
        </w:rPr>
        <w:t xml:space="preserve"> early embryonic and postnatal development were conducted</w:t>
      </w:r>
      <w:r>
        <w:rPr>
          <w:noProof/>
        </w:rPr>
        <w:t xml:space="preserve"> because chronic dosing in animals would be expected to be associated with development of neutralising antibodies to the human protein.</w:t>
      </w:r>
    </w:p>
    <w:p w:rsidR="00FE214D" w:rsidRPr="00EB7174" w:rsidRDefault="00FE214D" w:rsidP="00A4686F">
      <w:pPr>
        <w:pStyle w:val="Heading3"/>
      </w:pPr>
      <w:r w:rsidRPr="00EB7174">
        <w:t>Effects in pregnancy</w:t>
      </w:r>
    </w:p>
    <w:p w:rsidR="00FE214D" w:rsidRPr="00BB71BA" w:rsidRDefault="00FE214D" w:rsidP="00D4624A">
      <w:pPr>
        <w:spacing w:after="240"/>
        <w:rPr>
          <w:noProof/>
        </w:rPr>
      </w:pPr>
      <w:r>
        <w:rPr>
          <w:noProof/>
        </w:rPr>
        <w:t>There are no or limited amount of data (less than 300 pregnancy outcomes) from the use of CINRYZE in pregnant women.  Animal studies are insufficient with respect to reproductive toxicity.  The use of CINRYZE may be considered during pregnancy, if necessary.</w:t>
      </w:r>
    </w:p>
    <w:p w:rsidR="00FE214D" w:rsidRPr="00EB7174" w:rsidRDefault="00FE214D" w:rsidP="00A4686F">
      <w:pPr>
        <w:pStyle w:val="Heading3"/>
      </w:pPr>
      <w:r w:rsidRPr="00EB7174">
        <w:t>Use in lactation</w:t>
      </w:r>
    </w:p>
    <w:p w:rsidR="00FE214D" w:rsidRPr="00EB7174" w:rsidRDefault="00FE214D" w:rsidP="00D4624A">
      <w:pPr>
        <w:spacing w:after="240"/>
        <w:rPr>
          <w:noProof/>
        </w:rPr>
      </w:pPr>
      <w:r w:rsidRPr="00BB71BA">
        <w:rPr>
          <w:noProof/>
        </w:rPr>
        <w:t xml:space="preserve">It is </w:t>
      </w:r>
      <w:r>
        <w:rPr>
          <w:noProof/>
        </w:rPr>
        <w:t>un</w:t>
      </w:r>
      <w:r w:rsidRPr="00BB71BA">
        <w:rPr>
          <w:noProof/>
        </w:rPr>
        <w:t xml:space="preserve">known whether C1 </w:t>
      </w:r>
      <w:r>
        <w:rPr>
          <w:noProof/>
        </w:rPr>
        <w:t xml:space="preserve">esterase </w:t>
      </w:r>
      <w:r w:rsidRPr="00BB71BA">
        <w:rPr>
          <w:noProof/>
        </w:rPr>
        <w:t xml:space="preserve">inhibitor is excreted in human milk. </w:t>
      </w:r>
      <w:r>
        <w:rPr>
          <w:noProof/>
        </w:rPr>
        <w:t xml:space="preserve">A risk to the newborns/infants cannot be excluded.  A decision must be made whether to discontinue breast-feeding or to discontinue/abstain from CINRYZE therapy </w:t>
      </w:r>
      <w:r>
        <w:rPr>
          <w:noProof/>
        </w:rPr>
        <w:lastRenderedPageBreak/>
        <w:t>taking into account the benefit of breast feeding for the child and the benefit of therapy for the woman.</w:t>
      </w:r>
    </w:p>
    <w:p w:rsidR="00FE214D" w:rsidRPr="00EB7174" w:rsidRDefault="00FE214D" w:rsidP="00A4686F">
      <w:pPr>
        <w:pStyle w:val="Heading3"/>
      </w:pPr>
      <w:r w:rsidRPr="00EB7174">
        <w:t>Paediatric use</w:t>
      </w:r>
    </w:p>
    <w:p w:rsidR="00A4686F" w:rsidRDefault="00FE214D" w:rsidP="00D4624A">
      <w:pPr>
        <w:spacing w:after="240"/>
        <w:rPr>
          <w:rFonts w:cs="Arial"/>
          <w:noProof/>
          <w:lang w:val="en-GB"/>
        </w:rPr>
      </w:pPr>
      <w:r>
        <w:rPr>
          <w:noProof/>
          <w:lang w:val="en-GB"/>
        </w:rPr>
        <w:t xml:space="preserve">For treatment, routine prevention and pre-procedure prevention in adolescent </w:t>
      </w:r>
      <w:r w:rsidRPr="00BB71BA">
        <w:rPr>
          <w:noProof/>
          <w:lang w:val="en-GB"/>
        </w:rPr>
        <w:t>patients</w:t>
      </w:r>
      <w:r>
        <w:rPr>
          <w:noProof/>
          <w:lang w:val="en-GB"/>
        </w:rPr>
        <w:t>,</w:t>
      </w:r>
      <w:r w:rsidRPr="00BB71BA">
        <w:rPr>
          <w:noProof/>
          <w:lang w:val="en-GB"/>
        </w:rPr>
        <w:t xml:space="preserve"> </w:t>
      </w:r>
      <w:r>
        <w:rPr>
          <w:noProof/>
          <w:lang w:val="en-GB"/>
        </w:rPr>
        <w:t xml:space="preserve">the dose </w:t>
      </w:r>
      <w:r w:rsidR="00EB7174">
        <w:rPr>
          <w:noProof/>
          <w:lang w:val="en-GB"/>
        </w:rPr>
        <w:t>is the same as for adults.</w:t>
      </w:r>
    </w:p>
    <w:p w:rsidR="00FE214D" w:rsidRPr="00EB7174" w:rsidRDefault="00FE214D" w:rsidP="00A4686F">
      <w:pPr>
        <w:pStyle w:val="Heading3"/>
      </w:pPr>
      <w:r w:rsidRPr="00EB7174">
        <w:t>Use in elderly</w:t>
      </w:r>
    </w:p>
    <w:p w:rsidR="00EB7174" w:rsidRDefault="00FE214D" w:rsidP="00D4624A">
      <w:pPr>
        <w:spacing w:after="240"/>
        <w:rPr>
          <w:bCs/>
          <w:noProof/>
          <w:lang w:val="en-GB"/>
        </w:rPr>
      </w:pPr>
      <w:r>
        <w:rPr>
          <w:noProof/>
          <w:lang w:val="en-GB"/>
        </w:rPr>
        <w:t xml:space="preserve">No special investigations have been performed.  For treatment, routine prevention and pre-procedure prevention in </w:t>
      </w:r>
      <w:r w:rsidRPr="00BB71BA">
        <w:t xml:space="preserve">elderly patients, </w:t>
      </w:r>
      <w:r>
        <w:t>65 years of age or older, the dose</w:t>
      </w:r>
      <w:r w:rsidRPr="00BB71BA">
        <w:t xml:space="preserve"> is the same as for adults</w:t>
      </w:r>
      <w:r w:rsidRPr="00BB71BA">
        <w:rPr>
          <w:bCs/>
          <w:noProof/>
          <w:lang w:val="en-GB"/>
        </w:rPr>
        <w:t>.</w:t>
      </w:r>
    </w:p>
    <w:p w:rsidR="00FE214D" w:rsidRPr="00EB7174" w:rsidRDefault="00FE214D" w:rsidP="00A4686F">
      <w:pPr>
        <w:pStyle w:val="Heading3"/>
      </w:pPr>
      <w:r w:rsidRPr="00EB7174">
        <w:t>Carcinogenicity</w:t>
      </w:r>
    </w:p>
    <w:p w:rsidR="00FE214D" w:rsidRPr="00BB71BA" w:rsidRDefault="00FE214D" w:rsidP="00D4624A">
      <w:pPr>
        <w:spacing w:after="240"/>
      </w:pPr>
      <w:r w:rsidRPr="00BB71BA">
        <w:t xml:space="preserve">No carcinogenicity studies </w:t>
      </w:r>
      <w:r>
        <w:t xml:space="preserve">were conducted </w:t>
      </w:r>
      <w:r>
        <w:rPr>
          <w:noProof/>
        </w:rPr>
        <w:t>because chronic dosing in animals would be expected to be associated with development of neutralising antibodies to the human protein.</w:t>
      </w:r>
    </w:p>
    <w:p w:rsidR="00FE214D" w:rsidRPr="00EB7174" w:rsidRDefault="00FE214D" w:rsidP="00A4686F">
      <w:pPr>
        <w:pStyle w:val="Heading3"/>
      </w:pPr>
      <w:proofErr w:type="spellStart"/>
      <w:r w:rsidRPr="00EB7174">
        <w:t>Genotoxicity</w:t>
      </w:r>
      <w:proofErr w:type="spellEnd"/>
    </w:p>
    <w:p w:rsidR="00FE214D" w:rsidRPr="00BB71BA" w:rsidRDefault="00FE214D" w:rsidP="00D4624A">
      <w:pPr>
        <w:spacing w:after="240"/>
      </w:pPr>
      <w:r w:rsidRPr="00BB71BA">
        <w:t xml:space="preserve">No </w:t>
      </w:r>
      <w:proofErr w:type="spellStart"/>
      <w:r w:rsidRPr="00BB71BA">
        <w:t>genotoxicity</w:t>
      </w:r>
      <w:proofErr w:type="spellEnd"/>
      <w:r w:rsidRPr="00BB71BA">
        <w:t xml:space="preserve"> studies were performed </w:t>
      </w:r>
      <w:r>
        <w:t xml:space="preserve">as </w:t>
      </w:r>
      <w:r w:rsidRPr="00BB71BA">
        <w:t>the drug is unlikely to interact directly with DNA or other chromosomal material.</w:t>
      </w:r>
    </w:p>
    <w:p w:rsidR="00FE214D" w:rsidRPr="00064555" w:rsidRDefault="00FE214D" w:rsidP="00A4686F">
      <w:pPr>
        <w:pStyle w:val="Heading2"/>
        <w:rPr>
          <w:caps/>
        </w:rPr>
      </w:pPr>
      <w:r w:rsidRPr="00064555">
        <w:rPr>
          <w:caps/>
        </w:rPr>
        <w:t>Interaction with other medicines</w:t>
      </w:r>
    </w:p>
    <w:p w:rsidR="00FE214D" w:rsidRPr="00BB71BA" w:rsidRDefault="00FE214D" w:rsidP="00D4624A">
      <w:pPr>
        <w:spacing w:after="240"/>
        <w:rPr>
          <w:b/>
        </w:rPr>
      </w:pPr>
      <w:r w:rsidRPr="00BB71BA">
        <w:t>No interactio</w:t>
      </w:r>
      <w:r w:rsidR="00EB7174">
        <w:t>n studies have been conducted.</w:t>
      </w:r>
    </w:p>
    <w:p w:rsidR="00FE214D" w:rsidRPr="00EB7174" w:rsidRDefault="00FE214D" w:rsidP="00A4686F">
      <w:pPr>
        <w:pStyle w:val="Heading2"/>
      </w:pPr>
      <w:r w:rsidRPr="00EB7174">
        <w:t>ADVERSE EFFECTS</w:t>
      </w:r>
    </w:p>
    <w:p w:rsidR="00FE214D" w:rsidRPr="00BB71BA" w:rsidRDefault="00FE214D" w:rsidP="00A4686F">
      <w:pPr>
        <w:pStyle w:val="Heading3"/>
        <w:rPr>
          <w:noProof/>
        </w:rPr>
      </w:pPr>
      <w:r w:rsidRPr="00BB71BA">
        <w:rPr>
          <w:noProof/>
        </w:rPr>
        <w:t>Summary</w:t>
      </w:r>
    </w:p>
    <w:p w:rsidR="00FE214D" w:rsidRPr="00BB71BA" w:rsidRDefault="00FE214D" w:rsidP="00D4624A">
      <w:pPr>
        <w:spacing w:after="240"/>
      </w:pPr>
      <w:r w:rsidRPr="00BB71BA">
        <w:t xml:space="preserve">The only common adverse reaction observed following </w:t>
      </w:r>
      <w:r>
        <w:t>CINRYZE</w:t>
      </w:r>
      <w:r w:rsidRPr="00BB71BA">
        <w:t xml:space="preserve"> infusion in clinical studies was rash; descriptions of rash characteristics were non-specific, but were typically described as involving the upper extremities, chest, abdomen, or in</w:t>
      </w:r>
      <w:r>
        <w:t>jection</w:t>
      </w:r>
      <w:r w:rsidRPr="00BB71BA">
        <w:t xml:space="preserve"> site.  None of the rashes were serious, and none led to discontinuation of study </w:t>
      </w:r>
      <w:r w:rsidR="00EB7174">
        <w:t>drug. </w:t>
      </w:r>
    </w:p>
    <w:p w:rsidR="00FE214D" w:rsidRPr="00BB71BA" w:rsidRDefault="00FE214D" w:rsidP="00D4624A">
      <w:pPr>
        <w:spacing w:after="240"/>
      </w:pPr>
      <w:r w:rsidRPr="00BB71BA">
        <w:t xml:space="preserve">Local reactions at the injection site were uncommon.  In clinical studies involving over 14,500 infusions of </w:t>
      </w:r>
      <w:r>
        <w:t>CINRYZE</w:t>
      </w:r>
      <w:r w:rsidRPr="00BB71BA">
        <w:t>, local reactions (described as pain, bruising, or rash at the injection/catheter site, venous burning or phlebitis) occurred in association with approximately 0.2% of infusions.</w:t>
      </w:r>
    </w:p>
    <w:p w:rsidR="00BB7B46" w:rsidRDefault="00BB7B46">
      <w:pPr>
        <w:rPr>
          <w:rFonts w:cs="Arial"/>
          <w:b/>
          <w:bCs/>
          <w:i/>
          <w:noProof/>
        </w:rPr>
      </w:pPr>
      <w:r>
        <w:rPr>
          <w:noProof/>
        </w:rPr>
        <w:br w:type="page"/>
      </w:r>
    </w:p>
    <w:p w:rsidR="00FE214D" w:rsidRPr="00BB71BA" w:rsidRDefault="00FE214D" w:rsidP="00A4686F">
      <w:pPr>
        <w:pStyle w:val="Heading3"/>
        <w:rPr>
          <w:noProof/>
        </w:rPr>
      </w:pPr>
      <w:r w:rsidRPr="00BB71BA">
        <w:rPr>
          <w:noProof/>
        </w:rPr>
        <w:lastRenderedPageBreak/>
        <w:t>Tabulated summary of adverse reactions</w:t>
      </w:r>
    </w:p>
    <w:p w:rsidR="00A4686F" w:rsidRDefault="00FE214D" w:rsidP="00D4624A">
      <w:pPr>
        <w:spacing w:after="240"/>
        <w:rPr>
          <w:rFonts w:cs="Arial"/>
        </w:rPr>
      </w:pPr>
      <w:r>
        <w:t>A summary of a</w:t>
      </w:r>
      <w:r w:rsidRPr="00BB71BA">
        <w:t xml:space="preserve">dverse reactions (i.e., </w:t>
      </w:r>
      <w:r>
        <w:t xml:space="preserve">those events with suspected relationship to treatment with CINRYZE based on the sponsor’s overall assessment) CINRYZE </w:t>
      </w:r>
      <w:r w:rsidRPr="00BB71BA">
        <w:t xml:space="preserve">are classified by System Organ Class and absolute frequency in Table </w:t>
      </w:r>
      <w:r>
        <w:t>2</w:t>
      </w:r>
      <w:r w:rsidRPr="00BB71BA">
        <w:t>.  Within each frequency grouping, adverse reactions are presented in order of decreasing seriousness.  Frequencies are defined as very common (≥1/10), common (≥1/100 to &lt;1/10), uncommon (≥1/1,000 to &lt;1/100), rare (≥1/10,000 to &lt;1/1,000), and very rare (&lt;1/10,000).</w:t>
      </w:r>
      <w:bookmarkStart w:id="0" w:name="_Ref232931199"/>
      <w:bookmarkStart w:id="1" w:name="_Toc254612666"/>
    </w:p>
    <w:p w:rsidR="00FE214D" w:rsidRPr="00BB71BA" w:rsidRDefault="00FE214D" w:rsidP="00A4686F">
      <w:pPr>
        <w:pStyle w:val="TableTitle"/>
        <w:spacing w:after="240"/>
      </w:pPr>
      <w:r w:rsidRPr="00BB71BA">
        <w:t>Table </w:t>
      </w:r>
      <w:bookmarkEnd w:id="0"/>
      <w:r>
        <w:t>2</w:t>
      </w:r>
      <w:r w:rsidRPr="00BB71BA">
        <w:t>.</w:t>
      </w:r>
      <w:r w:rsidRPr="00BB71BA">
        <w:tab/>
        <w:t xml:space="preserve">Adverse Reactions </w:t>
      </w:r>
      <w:r>
        <w:t xml:space="preserve">Associated </w:t>
      </w:r>
      <w:r w:rsidRPr="00BB71BA">
        <w:t xml:space="preserve">with </w:t>
      </w:r>
      <w:r>
        <w:t>the administration of CINRYZE</w:t>
      </w:r>
      <w:bookmarkEnd w:id="1"/>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0"/>
        <w:gridCol w:w="5580"/>
      </w:tblGrid>
      <w:tr w:rsidR="00FE214D" w:rsidRPr="00BB71BA" w:rsidTr="00407C25">
        <w:trPr>
          <w:tblHeader/>
        </w:trPr>
        <w:tc>
          <w:tcPr>
            <w:tcW w:w="3780" w:type="dxa"/>
            <w:tcBorders>
              <w:top w:val="single" w:sz="12" w:space="0" w:color="auto"/>
              <w:bottom w:val="single" w:sz="12" w:space="0" w:color="auto"/>
              <w:right w:val="single" w:sz="4" w:space="0" w:color="auto"/>
            </w:tcBorders>
          </w:tcPr>
          <w:p w:rsidR="00FE214D" w:rsidRPr="00BB71BA" w:rsidRDefault="00FE214D" w:rsidP="00407C25">
            <w:pPr>
              <w:rPr>
                <w:rFonts w:cs="Arial"/>
                <w:b/>
              </w:rPr>
            </w:pPr>
            <w:r w:rsidRPr="00BB71BA">
              <w:rPr>
                <w:rFonts w:cs="Arial"/>
                <w:b/>
              </w:rPr>
              <w:t>System Organ Class</w:t>
            </w:r>
          </w:p>
        </w:tc>
        <w:tc>
          <w:tcPr>
            <w:tcW w:w="5580" w:type="dxa"/>
            <w:tcBorders>
              <w:top w:val="single" w:sz="12" w:space="0" w:color="auto"/>
              <w:left w:val="single" w:sz="4" w:space="0" w:color="auto"/>
              <w:bottom w:val="single" w:sz="12" w:space="0" w:color="auto"/>
            </w:tcBorders>
          </w:tcPr>
          <w:p w:rsidR="00FE214D" w:rsidRPr="00BB71BA" w:rsidRDefault="00FE214D" w:rsidP="00407C25">
            <w:pPr>
              <w:rPr>
                <w:rFonts w:cs="Arial"/>
                <w:b/>
              </w:rPr>
            </w:pPr>
            <w:r w:rsidRPr="00BB71BA">
              <w:rPr>
                <w:rFonts w:cs="Arial"/>
                <w:b/>
              </w:rPr>
              <w:t>Frequency:  Adverse drug reaction</w:t>
            </w:r>
          </w:p>
        </w:tc>
      </w:tr>
      <w:tr w:rsidR="00FE214D" w:rsidRPr="00BB71BA" w:rsidTr="00407C25">
        <w:tc>
          <w:tcPr>
            <w:tcW w:w="3780" w:type="dxa"/>
            <w:tcBorders>
              <w:top w:val="single" w:sz="4" w:space="0" w:color="auto"/>
              <w:bottom w:val="single" w:sz="4" w:space="0" w:color="auto"/>
              <w:right w:val="single" w:sz="4" w:space="0" w:color="auto"/>
            </w:tcBorders>
          </w:tcPr>
          <w:p w:rsidR="00FE214D" w:rsidRPr="00BB71BA" w:rsidRDefault="00FE214D" w:rsidP="00407C25">
            <w:pPr>
              <w:rPr>
                <w:rFonts w:cs="Arial"/>
              </w:rPr>
            </w:pPr>
          </w:p>
        </w:tc>
        <w:tc>
          <w:tcPr>
            <w:tcW w:w="5580" w:type="dxa"/>
            <w:tcBorders>
              <w:top w:val="single" w:sz="4" w:space="0" w:color="auto"/>
              <w:left w:val="single" w:sz="4" w:space="0" w:color="auto"/>
              <w:bottom w:val="single" w:sz="4" w:space="0" w:color="auto"/>
            </w:tcBorders>
          </w:tcPr>
          <w:p w:rsidR="00FE214D" w:rsidRPr="00BB71BA" w:rsidRDefault="00FE214D" w:rsidP="00407C25">
            <w:pPr>
              <w:rPr>
                <w:rFonts w:cs="Arial"/>
              </w:rPr>
            </w:pPr>
          </w:p>
        </w:tc>
      </w:tr>
      <w:tr w:rsidR="00FE214D" w:rsidRPr="00BB71BA" w:rsidTr="00407C25">
        <w:tc>
          <w:tcPr>
            <w:tcW w:w="3780" w:type="dxa"/>
            <w:tcBorders>
              <w:top w:val="single" w:sz="4" w:space="0" w:color="auto"/>
              <w:bottom w:val="single" w:sz="4" w:space="0" w:color="auto"/>
              <w:right w:val="single" w:sz="4" w:space="0" w:color="auto"/>
            </w:tcBorders>
          </w:tcPr>
          <w:p w:rsidR="00FE214D" w:rsidRPr="00BB71BA" w:rsidRDefault="00FE214D" w:rsidP="00407C25">
            <w:pPr>
              <w:rPr>
                <w:rFonts w:cs="Arial"/>
              </w:rPr>
            </w:pPr>
            <w:r w:rsidRPr="00BB71BA">
              <w:rPr>
                <w:rFonts w:cs="Arial"/>
              </w:rPr>
              <w:t>Nervous system disorders</w:t>
            </w:r>
          </w:p>
        </w:tc>
        <w:tc>
          <w:tcPr>
            <w:tcW w:w="5580" w:type="dxa"/>
            <w:tcBorders>
              <w:top w:val="single" w:sz="4" w:space="0" w:color="auto"/>
              <w:left w:val="single" w:sz="4" w:space="0" w:color="auto"/>
              <w:bottom w:val="single" w:sz="4" w:space="0" w:color="auto"/>
            </w:tcBorders>
          </w:tcPr>
          <w:p w:rsidR="00FE214D" w:rsidRPr="00BB71BA" w:rsidRDefault="00FE214D" w:rsidP="00407C25">
            <w:pPr>
              <w:rPr>
                <w:rFonts w:cs="Arial"/>
              </w:rPr>
            </w:pPr>
            <w:r w:rsidRPr="00BB71BA">
              <w:rPr>
                <w:rFonts w:cs="Arial"/>
              </w:rPr>
              <w:t>Uncommon:  Dizziness, headache</w:t>
            </w:r>
          </w:p>
        </w:tc>
      </w:tr>
      <w:tr w:rsidR="00FE214D" w:rsidRPr="00BB71BA" w:rsidTr="00407C25">
        <w:tc>
          <w:tcPr>
            <w:tcW w:w="3780" w:type="dxa"/>
            <w:tcBorders>
              <w:top w:val="single" w:sz="4" w:space="0" w:color="auto"/>
              <w:bottom w:val="single" w:sz="4" w:space="0" w:color="auto"/>
              <w:right w:val="single" w:sz="4" w:space="0" w:color="auto"/>
            </w:tcBorders>
          </w:tcPr>
          <w:p w:rsidR="00FE214D" w:rsidRPr="00BB71BA" w:rsidRDefault="00FE214D" w:rsidP="00407C25">
            <w:pPr>
              <w:rPr>
                <w:rFonts w:cs="Arial"/>
              </w:rPr>
            </w:pPr>
            <w:r w:rsidRPr="00BB71BA">
              <w:rPr>
                <w:rFonts w:cs="Arial"/>
              </w:rPr>
              <w:t>Vascular disorders</w:t>
            </w:r>
          </w:p>
        </w:tc>
        <w:tc>
          <w:tcPr>
            <w:tcW w:w="5580" w:type="dxa"/>
            <w:tcBorders>
              <w:top w:val="single" w:sz="4" w:space="0" w:color="auto"/>
              <w:left w:val="single" w:sz="4" w:space="0" w:color="auto"/>
              <w:bottom w:val="single" w:sz="4" w:space="0" w:color="auto"/>
            </w:tcBorders>
          </w:tcPr>
          <w:p w:rsidR="00FE214D" w:rsidRPr="00BB71BA" w:rsidRDefault="00FE214D" w:rsidP="00407C25">
            <w:pPr>
              <w:rPr>
                <w:rFonts w:cs="Arial"/>
              </w:rPr>
            </w:pPr>
            <w:r w:rsidRPr="00BB71BA">
              <w:rPr>
                <w:rFonts w:cs="Arial"/>
              </w:rPr>
              <w:t>Uncommon:  Venous thrombosis, phlebitis, venous burning, hot flush</w:t>
            </w:r>
          </w:p>
        </w:tc>
      </w:tr>
      <w:tr w:rsidR="00FE214D" w:rsidRPr="00BB71BA" w:rsidTr="00407C25">
        <w:tc>
          <w:tcPr>
            <w:tcW w:w="3780" w:type="dxa"/>
            <w:tcBorders>
              <w:top w:val="single" w:sz="4" w:space="0" w:color="auto"/>
              <w:bottom w:val="single" w:sz="4" w:space="0" w:color="auto"/>
              <w:right w:val="single" w:sz="4" w:space="0" w:color="auto"/>
            </w:tcBorders>
          </w:tcPr>
          <w:p w:rsidR="00FE214D" w:rsidRPr="00BB71BA" w:rsidRDefault="00FE214D" w:rsidP="00407C25">
            <w:pPr>
              <w:rPr>
                <w:rFonts w:cs="Arial"/>
              </w:rPr>
            </w:pPr>
            <w:r w:rsidRPr="00BB71BA">
              <w:rPr>
                <w:rFonts w:cs="Arial"/>
              </w:rPr>
              <w:t>Gastrointestinal disorders</w:t>
            </w:r>
          </w:p>
        </w:tc>
        <w:tc>
          <w:tcPr>
            <w:tcW w:w="5580" w:type="dxa"/>
            <w:tcBorders>
              <w:top w:val="single" w:sz="4" w:space="0" w:color="auto"/>
              <w:left w:val="single" w:sz="4" w:space="0" w:color="auto"/>
              <w:bottom w:val="single" w:sz="4" w:space="0" w:color="auto"/>
            </w:tcBorders>
          </w:tcPr>
          <w:p w:rsidR="00FE214D" w:rsidRPr="00BB71BA" w:rsidRDefault="00FE214D" w:rsidP="0063553E">
            <w:pPr>
              <w:rPr>
                <w:rFonts w:cs="Arial"/>
              </w:rPr>
            </w:pPr>
            <w:r w:rsidRPr="00BB71BA">
              <w:rPr>
                <w:rFonts w:cs="Arial"/>
              </w:rPr>
              <w:t xml:space="preserve">Uncommon:  Nausea, vomiting </w:t>
            </w:r>
          </w:p>
        </w:tc>
      </w:tr>
      <w:tr w:rsidR="00FE214D" w:rsidRPr="00BB71BA" w:rsidTr="00407C25">
        <w:tc>
          <w:tcPr>
            <w:tcW w:w="3780" w:type="dxa"/>
            <w:tcBorders>
              <w:top w:val="single" w:sz="4" w:space="0" w:color="auto"/>
              <w:bottom w:val="single" w:sz="4" w:space="0" w:color="auto"/>
              <w:right w:val="single" w:sz="4" w:space="0" w:color="auto"/>
            </w:tcBorders>
          </w:tcPr>
          <w:p w:rsidR="00FE214D" w:rsidRPr="00BB71BA" w:rsidRDefault="00FE214D" w:rsidP="00407C25">
            <w:pPr>
              <w:rPr>
                <w:rFonts w:cs="Arial"/>
              </w:rPr>
            </w:pPr>
            <w:r w:rsidRPr="00BB71BA">
              <w:rPr>
                <w:rFonts w:cs="Arial"/>
              </w:rPr>
              <w:t>Skin and subcutaneous tissue disorders</w:t>
            </w:r>
          </w:p>
        </w:tc>
        <w:tc>
          <w:tcPr>
            <w:tcW w:w="5580" w:type="dxa"/>
            <w:tcBorders>
              <w:top w:val="single" w:sz="4" w:space="0" w:color="auto"/>
              <w:left w:val="single" w:sz="4" w:space="0" w:color="auto"/>
              <w:bottom w:val="single" w:sz="4" w:space="0" w:color="auto"/>
            </w:tcBorders>
          </w:tcPr>
          <w:p w:rsidR="00FE214D" w:rsidRPr="00BB71BA" w:rsidRDefault="00FE214D" w:rsidP="00407C25">
            <w:pPr>
              <w:rPr>
                <w:rFonts w:cs="Arial"/>
              </w:rPr>
            </w:pPr>
            <w:r w:rsidRPr="00BB71BA">
              <w:rPr>
                <w:rFonts w:cs="Arial"/>
              </w:rPr>
              <w:t>Common:      Rash</w:t>
            </w:r>
          </w:p>
          <w:p w:rsidR="00FE214D" w:rsidRPr="00BB71BA" w:rsidRDefault="00FE214D" w:rsidP="0063553E">
            <w:pPr>
              <w:rPr>
                <w:rFonts w:cs="Arial"/>
              </w:rPr>
            </w:pPr>
            <w:r w:rsidRPr="00BB71BA">
              <w:rPr>
                <w:rFonts w:cs="Arial"/>
              </w:rPr>
              <w:t xml:space="preserve">Uncommon:  </w:t>
            </w:r>
            <w:proofErr w:type="spellStart"/>
            <w:r>
              <w:rPr>
                <w:rFonts w:cs="Arial"/>
              </w:rPr>
              <w:t>E</w:t>
            </w:r>
            <w:r w:rsidRPr="00BB71BA">
              <w:rPr>
                <w:rFonts w:cs="Arial"/>
              </w:rPr>
              <w:t>rythema</w:t>
            </w:r>
            <w:proofErr w:type="spellEnd"/>
            <w:r w:rsidRPr="00BB71BA">
              <w:rPr>
                <w:rFonts w:cs="Arial"/>
              </w:rPr>
              <w:t xml:space="preserve">, </w:t>
            </w:r>
            <w:proofErr w:type="spellStart"/>
            <w:r w:rsidRPr="00BB71BA">
              <w:rPr>
                <w:rFonts w:cs="Arial"/>
              </w:rPr>
              <w:t>pruritus</w:t>
            </w:r>
            <w:proofErr w:type="spellEnd"/>
          </w:p>
        </w:tc>
      </w:tr>
      <w:tr w:rsidR="00FE214D" w:rsidRPr="00BB71BA" w:rsidTr="00407C25">
        <w:tc>
          <w:tcPr>
            <w:tcW w:w="3780" w:type="dxa"/>
            <w:tcBorders>
              <w:top w:val="single" w:sz="4" w:space="0" w:color="auto"/>
              <w:bottom w:val="single" w:sz="12" w:space="0" w:color="auto"/>
              <w:right w:val="single" w:sz="4" w:space="0" w:color="auto"/>
            </w:tcBorders>
          </w:tcPr>
          <w:p w:rsidR="00FE214D" w:rsidRPr="00BB71BA" w:rsidRDefault="00FE214D" w:rsidP="00407C25">
            <w:pPr>
              <w:rPr>
                <w:rFonts w:cs="Arial"/>
              </w:rPr>
            </w:pPr>
            <w:r w:rsidRPr="00BB71BA">
              <w:rPr>
                <w:rFonts w:cs="Arial"/>
              </w:rPr>
              <w:t>General disorders and administration site conditions</w:t>
            </w:r>
          </w:p>
        </w:tc>
        <w:tc>
          <w:tcPr>
            <w:tcW w:w="5580" w:type="dxa"/>
            <w:tcBorders>
              <w:top w:val="single" w:sz="4" w:space="0" w:color="auto"/>
              <w:left w:val="single" w:sz="4" w:space="0" w:color="auto"/>
              <w:bottom w:val="single" w:sz="12" w:space="0" w:color="auto"/>
            </w:tcBorders>
          </w:tcPr>
          <w:p w:rsidR="00FE214D" w:rsidRPr="00BB71BA" w:rsidRDefault="00FE214D" w:rsidP="00D2259B">
            <w:pPr>
              <w:rPr>
                <w:rFonts w:cs="Arial"/>
              </w:rPr>
            </w:pPr>
            <w:r w:rsidRPr="00BB71BA">
              <w:rPr>
                <w:rFonts w:cs="Arial"/>
              </w:rPr>
              <w:t xml:space="preserve">Uncommon:  </w:t>
            </w:r>
            <w:r>
              <w:rPr>
                <w:rFonts w:cs="Arial"/>
              </w:rPr>
              <w:t>I</w:t>
            </w:r>
            <w:r w:rsidRPr="00BB71BA">
              <w:rPr>
                <w:rFonts w:cs="Arial"/>
              </w:rPr>
              <w:t xml:space="preserve">nfusion site </w:t>
            </w:r>
            <w:r>
              <w:rPr>
                <w:rFonts w:cs="Arial"/>
              </w:rPr>
              <w:t>reactions</w:t>
            </w:r>
            <w:r w:rsidRPr="00BB71BA">
              <w:rPr>
                <w:rFonts w:cs="Arial"/>
              </w:rPr>
              <w:t>, pyrexia</w:t>
            </w:r>
          </w:p>
        </w:tc>
      </w:tr>
    </w:tbl>
    <w:p w:rsidR="00FE214D" w:rsidRPr="00BB71BA" w:rsidRDefault="00FE214D" w:rsidP="00CF704C">
      <w:pPr>
        <w:autoSpaceDE w:val="0"/>
        <w:autoSpaceDN w:val="0"/>
        <w:adjustRightInd w:val="0"/>
        <w:rPr>
          <w:rFonts w:cs="Arial"/>
          <w:noProof/>
        </w:rPr>
      </w:pPr>
    </w:p>
    <w:p w:rsidR="00FE214D" w:rsidRPr="00BB71BA" w:rsidRDefault="00FE214D" w:rsidP="00A4686F">
      <w:pPr>
        <w:pStyle w:val="Heading3"/>
        <w:rPr>
          <w:noProof/>
        </w:rPr>
      </w:pPr>
      <w:r w:rsidRPr="00A4686F">
        <w:t>Paediatric</w:t>
      </w:r>
      <w:r w:rsidRPr="00BB71BA">
        <w:rPr>
          <w:noProof/>
        </w:rPr>
        <w:t xml:space="preserve"> data</w:t>
      </w:r>
    </w:p>
    <w:p w:rsidR="00FE214D" w:rsidRPr="00BB71BA" w:rsidRDefault="00FE214D" w:rsidP="00D4624A">
      <w:pPr>
        <w:spacing w:after="240"/>
      </w:pPr>
      <w:r w:rsidRPr="00BB71BA">
        <w:t xml:space="preserve">Across 8 completed clinical studies, there were 46 unique paediatric subjects enrolled and exposed to </w:t>
      </w:r>
      <w:r>
        <w:t>CINRYZE</w:t>
      </w:r>
      <w:r w:rsidRPr="00BB71BA">
        <w:t xml:space="preserve"> (2-5 years, n=3; 6-11 years, n=17; 12-17 years, n=26).  Among these children, the only adverse reactions with </w:t>
      </w:r>
      <w:r>
        <w:t>CINRYZE</w:t>
      </w:r>
      <w:r w:rsidRPr="00BB71BA">
        <w:t xml:space="preserve"> included headache, nausea, pyrexia, and infusion site </w:t>
      </w:r>
      <w:proofErr w:type="spellStart"/>
      <w:r w:rsidRPr="00BB71BA">
        <w:t>erythema</w:t>
      </w:r>
      <w:proofErr w:type="spellEnd"/>
      <w:r w:rsidRPr="00BB71BA">
        <w:t xml:space="preserve">.  None of these adverse reactions were severe, and none led to discontinuation of study drug.  Overall, the safety and tolerability of </w:t>
      </w:r>
      <w:r>
        <w:t>CINRYZE</w:t>
      </w:r>
      <w:r w:rsidRPr="00BB71BA">
        <w:t xml:space="preserve"> are s</w:t>
      </w:r>
      <w:r w:rsidR="00A4686F">
        <w:t>imilar in children and adults.</w:t>
      </w:r>
    </w:p>
    <w:p w:rsidR="00FE214D" w:rsidRPr="00BB71BA" w:rsidRDefault="00FE214D" w:rsidP="00A4686F">
      <w:pPr>
        <w:pStyle w:val="Heading2"/>
      </w:pPr>
      <w:r w:rsidRPr="00BB71BA">
        <w:t xml:space="preserve">DOSAGE AND </w:t>
      </w:r>
      <w:r w:rsidRPr="00A4686F">
        <w:t>ADMINISTRATION</w:t>
      </w:r>
    </w:p>
    <w:p w:rsidR="00FE214D" w:rsidRPr="00BB71BA" w:rsidRDefault="00FE214D" w:rsidP="00D4624A">
      <w:pPr>
        <w:spacing w:after="240"/>
      </w:pPr>
      <w:r>
        <w:t>CINRYZE</w:t>
      </w:r>
      <w:r w:rsidRPr="00BB71BA">
        <w:t xml:space="preserve"> therapy should be initiated under supervision of a physician experienced in the care of patients with </w:t>
      </w:r>
      <w:r>
        <w:t xml:space="preserve">hereditary </w:t>
      </w:r>
      <w:proofErr w:type="spellStart"/>
      <w:r>
        <w:t>angioedema</w:t>
      </w:r>
      <w:proofErr w:type="spellEnd"/>
      <w:r>
        <w:t xml:space="preserve"> (HAE)</w:t>
      </w:r>
      <w:r w:rsidRPr="00BB71BA">
        <w:t>.</w:t>
      </w:r>
    </w:p>
    <w:p w:rsidR="00FE214D" w:rsidRPr="00A4686F" w:rsidRDefault="00FE214D" w:rsidP="00A4686F">
      <w:pPr>
        <w:pStyle w:val="Heading3"/>
        <w:rPr>
          <w:i w:val="0"/>
          <w:u w:val="single"/>
          <w:lang w:val="en-GB"/>
        </w:rPr>
      </w:pPr>
      <w:r w:rsidRPr="00A4686F">
        <w:rPr>
          <w:i w:val="0"/>
          <w:noProof/>
          <w:u w:val="single"/>
          <w:lang w:val="en-GB"/>
        </w:rPr>
        <w:t>Dosage</w:t>
      </w:r>
    </w:p>
    <w:p w:rsidR="00FE214D" w:rsidRPr="00BB71BA" w:rsidRDefault="00FE214D" w:rsidP="00A4686F">
      <w:pPr>
        <w:pStyle w:val="Heading4"/>
        <w:spacing w:after="240"/>
      </w:pPr>
      <w:r w:rsidRPr="00A4686F">
        <w:t>Adults</w:t>
      </w:r>
    </w:p>
    <w:p w:rsidR="00FE214D" w:rsidRPr="00A4686F" w:rsidRDefault="00FE214D" w:rsidP="00A4686F">
      <w:pPr>
        <w:pStyle w:val="Heading5"/>
      </w:pPr>
      <w:r w:rsidRPr="00A4686F">
        <w:t>Treatment</w:t>
      </w:r>
      <w:r>
        <w:t xml:space="preserve"> of </w:t>
      </w:r>
      <w:proofErr w:type="spellStart"/>
      <w:r w:rsidRPr="00BB71BA">
        <w:t>angioedema</w:t>
      </w:r>
      <w:proofErr w:type="spellEnd"/>
      <w:r>
        <w:t xml:space="preserve"> attacks</w:t>
      </w:r>
    </w:p>
    <w:p w:rsidR="00FE214D" w:rsidRPr="00BB71BA" w:rsidRDefault="00FE214D" w:rsidP="00413DE6">
      <w:pPr>
        <w:numPr>
          <w:ilvl w:val="0"/>
          <w:numId w:val="2"/>
        </w:numPr>
        <w:rPr>
          <w:rFonts w:cs="Arial"/>
        </w:rPr>
      </w:pPr>
      <w:r w:rsidRPr="00BB71BA">
        <w:rPr>
          <w:rFonts w:cs="Arial"/>
        </w:rPr>
        <w:t xml:space="preserve">1000 Units of </w:t>
      </w:r>
      <w:r>
        <w:rPr>
          <w:rFonts w:cs="Arial"/>
        </w:rPr>
        <w:t>CINRYZE</w:t>
      </w:r>
      <w:r w:rsidRPr="00BB71BA">
        <w:rPr>
          <w:rFonts w:cs="Arial"/>
        </w:rPr>
        <w:t xml:space="preserve"> at the first sign of the onset of an acute attack.  </w:t>
      </w:r>
    </w:p>
    <w:p w:rsidR="00FE214D" w:rsidRDefault="00FE214D" w:rsidP="00413DE6">
      <w:pPr>
        <w:numPr>
          <w:ilvl w:val="0"/>
          <w:numId w:val="2"/>
        </w:numPr>
        <w:rPr>
          <w:rFonts w:cs="Arial"/>
        </w:rPr>
      </w:pPr>
      <w:r w:rsidRPr="00BB71BA">
        <w:rPr>
          <w:rFonts w:cs="Arial"/>
        </w:rPr>
        <w:lastRenderedPageBreak/>
        <w:t>A second dose of 1000 Units should be administered if the patient has not responded adequately after 60 minutes.</w:t>
      </w:r>
    </w:p>
    <w:p w:rsidR="00FE214D" w:rsidRPr="00A4686F" w:rsidRDefault="00FE214D" w:rsidP="00A4686F">
      <w:pPr>
        <w:numPr>
          <w:ilvl w:val="0"/>
          <w:numId w:val="2"/>
        </w:numPr>
        <w:spacing w:after="240"/>
        <w:rPr>
          <w:rFonts w:cs="Arial"/>
        </w:rPr>
      </w:pPr>
      <w:r>
        <w:rPr>
          <w:rFonts w:cs="Arial"/>
        </w:rPr>
        <w:t>A second dose of 1000 Units is more likely to be required in patients experiencing severe attacks, laryngeal attacks or if initiation of treatment is delayed.</w:t>
      </w:r>
    </w:p>
    <w:p w:rsidR="00FE214D" w:rsidRPr="00A4686F" w:rsidRDefault="00FE214D" w:rsidP="00A4686F">
      <w:pPr>
        <w:pStyle w:val="Heading5"/>
      </w:pPr>
      <w:r w:rsidRPr="00BB71BA">
        <w:t xml:space="preserve">Routine </w:t>
      </w:r>
      <w:r w:rsidRPr="00A4686F">
        <w:t>prevention</w:t>
      </w:r>
      <w:r>
        <w:t xml:space="preserve"> of</w:t>
      </w:r>
      <w:r w:rsidRPr="00BB71BA">
        <w:t xml:space="preserve"> </w:t>
      </w:r>
      <w:proofErr w:type="spellStart"/>
      <w:r w:rsidRPr="00A4686F">
        <w:t>angioedema</w:t>
      </w:r>
      <w:proofErr w:type="spellEnd"/>
      <w:r>
        <w:t xml:space="preserve"> attacks</w:t>
      </w:r>
    </w:p>
    <w:p w:rsidR="00FE214D" w:rsidRDefault="00FE214D" w:rsidP="00413DE6">
      <w:pPr>
        <w:numPr>
          <w:ilvl w:val="0"/>
          <w:numId w:val="1"/>
        </w:numPr>
        <w:rPr>
          <w:rFonts w:cs="Arial"/>
        </w:rPr>
      </w:pPr>
      <w:r w:rsidRPr="00BB71BA">
        <w:rPr>
          <w:rFonts w:cs="Arial"/>
        </w:rPr>
        <w:t xml:space="preserve">1000 Units of </w:t>
      </w:r>
      <w:r>
        <w:rPr>
          <w:rFonts w:cs="Arial"/>
        </w:rPr>
        <w:t>CINRYZE</w:t>
      </w:r>
      <w:r w:rsidRPr="00BB71BA">
        <w:rPr>
          <w:rFonts w:cs="Arial"/>
        </w:rPr>
        <w:t xml:space="preserve"> every 3 or 4 days for routine pr</w:t>
      </w:r>
      <w:r>
        <w:rPr>
          <w:rFonts w:cs="Arial"/>
        </w:rPr>
        <w:t>evention</w:t>
      </w:r>
      <w:r w:rsidRPr="00BB71BA">
        <w:rPr>
          <w:rFonts w:cs="Arial"/>
        </w:rPr>
        <w:t xml:space="preserve"> against </w:t>
      </w:r>
      <w:proofErr w:type="spellStart"/>
      <w:r w:rsidRPr="00BB71BA">
        <w:rPr>
          <w:rFonts w:cs="Arial"/>
        </w:rPr>
        <w:t>angioedema</w:t>
      </w:r>
      <w:proofErr w:type="spellEnd"/>
      <w:r w:rsidRPr="00BB71BA">
        <w:rPr>
          <w:rFonts w:cs="Arial"/>
        </w:rPr>
        <w:t xml:space="preserve"> attacks. </w:t>
      </w:r>
    </w:p>
    <w:p w:rsidR="00FE214D" w:rsidRPr="009F3B7C" w:rsidRDefault="00FE214D" w:rsidP="00A4686F">
      <w:pPr>
        <w:numPr>
          <w:ilvl w:val="0"/>
          <w:numId w:val="1"/>
        </w:numPr>
        <w:spacing w:after="240"/>
        <w:rPr>
          <w:rFonts w:cs="Arial"/>
        </w:rPr>
      </w:pPr>
      <w:r w:rsidRPr="009F3B7C">
        <w:rPr>
          <w:rFonts w:cs="Arial"/>
        </w:rPr>
        <w:t xml:space="preserve">The dosing interval may need to be adjusted according to individual response. The continued need for regular prophylaxis with </w:t>
      </w:r>
      <w:r>
        <w:rPr>
          <w:rFonts w:cs="Arial"/>
        </w:rPr>
        <w:t>CINRYZE</w:t>
      </w:r>
      <w:r w:rsidRPr="009F3B7C">
        <w:rPr>
          <w:rFonts w:cs="Arial"/>
        </w:rPr>
        <w:t xml:space="preserve"> should be reviewed on a regular basis.</w:t>
      </w:r>
    </w:p>
    <w:p w:rsidR="00FE214D" w:rsidRPr="00BB71BA" w:rsidRDefault="00FE214D" w:rsidP="00A4686F">
      <w:pPr>
        <w:pStyle w:val="Heading5"/>
      </w:pPr>
      <w:r>
        <w:t>Pre-procedure</w:t>
      </w:r>
      <w:r w:rsidRPr="00BB71BA">
        <w:t xml:space="preserve"> pr</w:t>
      </w:r>
      <w:r>
        <w:t>evention of</w:t>
      </w:r>
      <w:r w:rsidRPr="00BB71BA">
        <w:t xml:space="preserve"> </w:t>
      </w:r>
      <w:proofErr w:type="spellStart"/>
      <w:r w:rsidRPr="00A4686F">
        <w:t>angioedema</w:t>
      </w:r>
      <w:proofErr w:type="spellEnd"/>
      <w:r>
        <w:t xml:space="preserve"> attacks</w:t>
      </w:r>
    </w:p>
    <w:p w:rsidR="00FE214D" w:rsidRPr="00BB71BA" w:rsidRDefault="00FE214D" w:rsidP="00A4686F">
      <w:pPr>
        <w:numPr>
          <w:ilvl w:val="0"/>
          <w:numId w:val="1"/>
        </w:numPr>
        <w:spacing w:after="240"/>
        <w:rPr>
          <w:rFonts w:cs="Arial"/>
        </w:rPr>
      </w:pPr>
      <w:r w:rsidRPr="00BB71BA">
        <w:rPr>
          <w:rFonts w:cs="Arial"/>
        </w:rPr>
        <w:t xml:space="preserve">1000 Units of </w:t>
      </w:r>
      <w:r>
        <w:rPr>
          <w:rFonts w:cs="Arial"/>
        </w:rPr>
        <w:t>CINRYZE</w:t>
      </w:r>
      <w:r w:rsidRPr="00BB71BA">
        <w:rPr>
          <w:rFonts w:cs="Arial"/>
        </w:rPr>
        <w:t xml:space="preserve"> </w:t>
      </w:r>
      <w:r>
        <w:rPr>
          <w:rFonts w:cs="Arial"/>
        </w:rPr>
        <w:t>within 24</w:t>
      </w:r>
      <w:r w:rsidRPr="00BB71BA">
        <w:rPr>
          <w:rFonts w:cs="Arial"/>
        </w:rPr>
        <w:t xml:space="preserve"> </w:t>
      </w:r>
      <w:r>
        <w:rPr>
          <w:rFonts w:cs="Arial"/>
        </w:rPr>
        <w:t>hours before a medical, dental, or surgical procedure</w:t>
      </w:r>
      <w:r w:rsidR="00A4686F">
        <w:rPr>
          <w:rFonts w:cs="Arial"/>
        </w:rPr>
        <w:t>.</w:t>
      </w:r>
    </w:p>
    <w:p w:rsidR="00FE214D" w:rsidRPr="00BB71BA" w:rsidRDefault="00FE214D" w:rsidP="00A4686F">
      <w:pPr>
        <w:pStyle w:val="Heading3"/>
        <w:rPr>
          <w:noProof/>
          <w:lang w:val="en-GB"/>
        </w:rPr>
      </w:pPr>
      <w:r w:rsidRPr="00BB71BA">
        <w:rPr>
          <w:noProof/>
          <w:lang w:val="en-GB"/>
        </w:rPr>
        <w:t>Paediatric population</w:t>
      </w:r>
    </w:p>
    <w:p w:rsidR="00FE214D" w:rsidRPr="00BB71BA" w:rsidRDefault="00FE214D" w:rsidP="00D4624A">
      <w:pPr>
        <w:spacing w:after="240"/>
        <w:rPr>
          <w:lang w:val="en-GB"/>
        </w:rPr>
      </w:pPr>
      <w:r>
        <w:rPr>
          <w:noProof/>
          <w:lang w:val="en-GB"/>
        </w:rPr>
        <w:t>For treatment, routine prevention and pre-procedure prevention in</w:t>
      </w:r>
      <w:r w:rsidRPr="00BB71BA">
        <w:rPr>
          <w:noProof/>
          <w:lang w:val="en-GB"/>
        </w:rPr>
        <w:t xml:space="preserve"> </w:t>
      </w:r>
      <w:r>
        <w:rPr>
          <w:noProof/>
          <w:lang w:val="en-GB"/>
        </w:rPr>
        <w:t>adolescent</w:t>
      </w:r>
      <w:r w:rsidRPr="00BB71BA">
        <w:rPr>
          <w:noProof/>
          <w:lang w:val="en-GB"/>
        </w:rPr>
        <w:t xml:space="preserve"> patients</w:t>
      </w:r>
      <w:r>
        <w:rPr>
          <w:noProof/>
          <w:lang w:val="en-GB"/>
        </w:rPr>
        <w:t>,</w:t>
      </w:r>
      <w:r w:rsidRPr="00BB71BA">
        <w:rPr>
          <w:noProof/>
          <w:lang w:val="en-GB"/>
        </w:rPr>
        <w:t xml:space="preserve"> </w:t>
      </w:r>
      <w:r>
        <w:rPr>
          <w:noProof/>
          <w:lang w:val="en-GB"/>
        </w:rPr>
        <w:t xml:space="preserve">the dose </w:t>
      </w:r>
      <w:r w:rsidRPr="00BB71BA">
        <w:rPr>
          <w:noProof/>
          <w:lang w:val="en-GB"/>
        </w:rPr>
        <w:t>is the same as for adults.</w:t>
      </w:r>
    </w:p>
    <w:p w:rsidR="00FE214D" w:rsidRPr="00A4686F" w:rsidRDefault="00FE214D" w:rsidP="00D4624A">
      <w:pPr>
        <w:spacing w:after="240"/>
        <w:rPr>
          <w:noProof/>
          <w:lang w:val="en-GB"/>
        </w:rPr>
      </w:pPr>
      <w:r>
        <w:rPr>
          <w:noProof/>
          <w:lang w:val="en-GB"/>
        </w:rPr>
        <w:t>There are limited data on t</w:t>
      </w:r>
      <w:r w:rsidRPr="00BB71BA">
        <w:rPr>
          <w:noProof/>
          <w:lang w:val="en-GB"/>
        </w:rPr>
        <w:t xml:space="preserve">he safety and efficacy of </w:t>
      </w:r>
      <w:r>
        <w:rPr>
          <w:noProof/>
          <w:lang w:val="en-GB"/>
        </w:rPr>
        <w:t>CINRYZE</w:t>
      </w:r>
      <w:r w:rsidRPr="00BB71BA">
        <w:rPr>
          <w:noProof/>
          <w:lang w:val="en-GB"/>
        </w:rPr>
        <w:t xml:space="preserve"> in children </w:t>
      </w:r>
      <w:r>
        <w:rPr>
          <w:noProof/>
          <w:lang w:val="en-GB"/>
        </w:rPr>
        <w:t>before adolescence and no dosing recommendation can be made</w:t>
      </w:r>
      <w:r w:rsidRPr="00BB71BA">
        <w:rPr>
          <w:noProof/>
          <w:lang w:val="en-GB"/>
        </w:rPr>
        <w:t>.</w:t>
      </w:r>
    </w:p>
    <w:p w:rsidR="00FE214D" w:rsidRPr="00BB71BA" w:rsidRDefault="00A4686F" w:rsidP="00A4686F">
      <w:pPr>
        <w:pStyle w:val="Heading3"/>
        <w:rPr>
          <w:noProof/>
          <w:lang w:val="en-GB"/>
        </w:rPr>
      </w:pPr>
      <w:r>
        <w:rPr>
          <w:noProof/>
          <w:lang w:val="en-GB"/>
        </w:rPr>
        <w:t>Elderly patients</w:t>
      </w:r>
    </w:p>
    <w:p w:rsidR="00FE214D" w:rsidRPr="00A4686F" w:rsidRDefault="00FE214D" w:rsidP="00D4624A">
      <w:pPr>
        <w:spacing w:after="240"/>
        <w:rPr>
          <w:noProof/>
          <w:lang w:val="en-GB"/>
        </w:rPr>
      </w:pPr>
      <w:r>
        <w:rPr>
          <w:noProof/>
          <w:lang w:val="en-GB"/>
        </w:rPr>
        <w:t xml:space="preserve">No special investigations have been performed.  For treatment, routine prevention and pre-procedure prevention in </w:t>
      </w:r>
      <w:r w:rsidRPr="00BB71BA">
        <w:rPr>
          <w:noProof/>
          <w:lang w:val="en-GB"/>
        </w:rPr>
        <w:t xml:space="preserve">elderly patients, </w:t>
      </w:r>
      <w:r>
        <w:rPr>
          <w:noProof/>
          <w:lang w:val="en-GB"/>
        </w:rPr>
        <w:t>65 years of age or older, the dose</w:t>
      </w:r>
      <w:r w:rsidRPr="00BB71BA">
        <w:rPr>
          <w:noProof/>
          <w:lang w:val="en-GB"/>
        </w:rPr>
        <w:t xml:space="preserve"> is the same as for adults.</w:t>
      </w:r>
    </w:p>
    <w:p w:rsidR="00FE214D" w:rsidRPr="00BB71BA" w:rsidRDefault="00FE214D" w:rsidP="00A4686F">
      <w:pPr>
        <w:pStyle w:val="Heading3"/>
        <w:rPr>
          <w:noProof/>
          <w:lang w:val="en-GB"/>
        </w:rPr>
      </w:pPr>
      <w:r w:rsidRPr="00BB71BA">
        <w:rPr>
          <w:noProof/>
          <w:lang w:val="en-GB"/>
        </w:rPr>
        <w:t>Patients with renal or hepatic impairment</w:t>
      </w:r>
    </w:p>
    <w:p w:rsidR="00FE214D" w:rsidRPr="00A4686F" w:rsidRDefault="00FE214D" w:rsidP="00D4624A">
      <w:pPr>
        <w:spacing w:after="240"/>
        <w:rPr>
          <w:noProof/>
          <w:lang w:val="en-GB"/>
        </w:rPr>
      </w:pPr>
      <w:r>
        <w:rPr>
          <w:noProof/>
          <w:lang w:val="en-GB"/>
        </w:rPr>
        <w:t>No special investigations have been performed.  For treatment, routine prevention and pre-procedure prevention in</w:t>
      </w:r>
      <w:r w:rsidRPr="00BB71BA">
        <w:rPr>
          <w:noProof/>
          <w:lang w:val="en-GB"/>
        </w:rPr>
        <w:t xml:space="preserve"> patients with renal or hepatic impairment, </w:t>
      </w:r>
      <w:r>
        <w:rPr>
          <w:noProof/>
          <w:lang w:val="en-GB"/>
        </w:rPr>
        <w:t xml:space="preserve">the dose </w:t>
      </w:r>
      <w:r w:rsidRPr="00BB71BA">
        <w:rPr>
          <w:noProof/>
          <w:lang w:val="en-GB"/>
        </w:rPr>
        <w:t>is the same as for adults.</w:t>
      </w:r>
    </w:p>
    <w:p w:rsidR="00FE214D" w:rsidRPr="00A4686F" w:rsidRDefault="00FE214D" w:rsidP="00A4686F">
      <w:pPr>
        <w:pStyle w:val="Heading4"/>
        <w:spacing w:after="240"/>
        <w:rPr>
          <w:b w:val="0"/>
          <w:i w:val="0"/>
          <w:u w:val="single"/>
        </w:rPr>
      </w:pPr>
      <w:r w:rsidRPr="00A4686F">
        <w:rPr>
          <w:b w:val="0"/>
          <w:i w:val="0"/>
          <w:u w:val="single"/>
        </w:rPr>
        <w:t>Method of administration</w:t>
      </w:r>
    </w:p>
    <w:p w:rsidR="00FE214D" w:rsidRPr="00BB71BA" w:rsidRDefault="00FE214D" w:rsidP="00D4624A">
      <w:pPr>
        <w:spacing w:after="240"/>
        <w:rPr>
          <w:u w:val="single"/>
        </w:rPr>
      </w:pPr>
      <w:r w:rsidRPr="00484F75">
        <w:t>For intravenous use.</w:t>
      </w:r>
    </w:p>
    <w:p w:rsidR="00FE214D" w:rsidRDefault="00FE214D" w:rsidP="00D4624A">
      <w:pPr>
        <w:spacing w:after="240"/>
        <w:rPr>
          <w:noProof/>
          <w:lang w:val="en-GB"/>
        </w:rPr>
      </w:pPr>
      <w:r w:rsidRPr="00BB71BA">
        <w:rPr>
          <w:noProof/>
          <w:lang w:val="en-GB"/>
        </w:rPr>
        <w:t xml:space="preserve">It is recommended that the product </w:t>
      </w:r>
      <w:r>
        <w:rPr>
          <w:noProof/>
          <w:lang w:val="en-GB"/>
        </w:rPr>
        <w:t>is</w:t>
      </w:r>
      <w:r w:rsidRPr="00BB71BA">
        <w:rPr>
          <w:noProof/>
          <w:lang w:val="en-GB"/>
        </w:rPr>
        <w:t xml:space="preserve"> </w:t>
      </w:r>
      <w:r>
        <w:rPr>
          <w:noProof/>
          <w:lang w:val="en-GB"/>
        </w:rPr>
        <w:t xml:space="preserve">injected </w:t>
      </w:r>
      <w:r w:rsidRPr="00BB71BA">
        <w:rPr>
          <w:noProof/>
          <w:lang w:val="en-GB"/>
        </w:rPr>
        <w:t>intravenous</w:t>
      </w:r>
      <w:r>
        <w:rPr>
          <w:noProof/>
          <w:lang w:val="en-GB"/>
        </w:rPr>
        <w:t>ly</w:t>
      </w:r>
      <w:r w:rsidR="00A4686F">
        <w:rPr>
          <w:noProof/>
          <w:lang w:val="en-GB"/>
        </w:rPr>
        <w:t xml:space="preserve"> at a rate of 1 ml per minute.</w:t>
      </w:r>
    </w:p>
    <w:p w:rsidR="00A4686F" w:rsidRDefault="00FE214D" w:rsidP="00D4624A">
      <w:pPr>
        <w:spacing w:before="240" w:after="240"/>
        <w:rPr>
          <w:noProof/>
          <w:lang w:val="en-GB"/>
        </w:rPr>
      </w:pPr>
      <w:r>
        <w:rPr>
          <w:noProof/>
          <w:lang w:val="en-GB"/>
        </w:rPr>
        <w:lastRenderedPageBreak/>
        <w:t xml:space="preserve">Each powder vial is reconstituted with 5 ml of water for injections and the two vials of reconstituted CINRYZE </w:t>
      </w:r>
      <w:r w:rsidR="00A4686F">
        <w:rPr>
          <w:noProof/>
          <w:lang w:val="en-GB"/>
        </w:rPr>
        <w:t>are combined for a single dose.</w:t>
      </w:r>
    </w:p>
    <w:p w:rsidR="00FE214D" w:rsidRPr="00BB71BA" w:rsidRDefault="00FE214D" w:rsidP="00A4686F">
      <w:pPr>
        <w:rPr>
          <w:rFonts w:cs="Arial"/>
          <w:snapToGrid w:val="0"/>
        </w:rPr>
      </w:pPr>
      <w:r w:rsidRPr="00BB71BA">
        <w:rPr>
          <w:rFonts w:cs="Arial"/>
          <w:snapToGrid w:val="0"/>
        </w:rPr>
        <w:t xml:space="preserve">It is the responsibility of the prescribing physician to determine which patients may be suitable for self-administration of </w:t>
      </w:r>
      <w:r>
        <w:rPr>
          <w:rFonts w:cs="Arial"/>
          <w:snapToGrid w:val="0"/>
        </w:rPr>
        <w:t>CINRYZE</w:t>
      </w:r>
      <w:r w:rsidRPr="00BB71BA">
        <w:rPr>
          <w:rFonts w:cs="Arial"/>
          <w:snapToGrid w:val="0"/>
        </w:rPr>
        <w:t xml:space="preserve"> and to provide training.</w:t>
      </w:r>
    </w:p>
    <w:p w:rsidR="00A4686F" w:rsidRDefault="00FE214D" w:rsidP="00D4624A">
      <w:pPr>
        <w:spacing w:after="240"/>
        <w:rPr>
          <w:snapToGrid w:val="0"/>
        </w:rPr>
      </w:pPr>
      <w:r w:rsidRPr="00BB71BA">
        <w:rPr>
          <w:snapToGrid w:val="0"/>
        </w:rPr>
        <w:t xml:space="preserve">Reconstitution, product administration and handling of the administration set and needles must be done with caution. Percutaneous puncture with a needle contaminated with blood can transmit infectious viruses including HIV (AIDS) and hepatitis.  Obtain immediate medical attention if injury occurs.  Place needles in a sharps container after single use.  </w:t>
      </w:r>
      <w:r>
        <w:rPr>
          <w:snapToGrid w:val="0"/>
        </w:rPr>
        <w:t>Any unused product or waste material should be disposed of in accor</w:t>
      </w:r>
      <w:r w:rsidR="00A4686F">
        <w:rPr>
          <w:snapToGrid w:val="0"/>
        </w:rPr>
        <w:t>dance with local requirements.</w:t>
      </w:r>
    </w:p>
    <w:p w:rsidR="00FE214D" w:rsidRPr="00BB71BA" w:rsidRDefault="00FE214D" w:rsidP="00A4686F">
      <w:pPr>
        <w:pStyle w:val="Heading3"/>
      </w:pPr>
      <w:r w:rsidRPr="00BB71BA">
        <w:t xml:space="preserve">Preparation and </w:t>
      </w:r>
      <w:r>
        <w:t>h</w:t>
      </w:r>
      <w:r w:rsidRPr="00BB71BA">
        <w:t>andling</w:t>
      </w:r>
    </w:p>
    <w:p w:rsidR="00FE214D" w:rsidRPr="00BB71BA" w:rsidRDefault="00FE214D" w:rsidP="00D4624A">
      <w:pPr>
        <w:spacing w:after="240"/>
      </w:pPr>
      <w:r>
        <w:t>CINRYZE</w:t>
      </w:r>
      <w:r w:rsidRPr="00BB71BA">
        <w:t xml:space="preserve"> is intended for intravenous administration after reconstitution with </w:t>
      </w:r>
      <w:r>
        <w:t>w</w:t>
      </w:r>
      <w:r w:rsidRPr="00BB71BA">
        <w:t xml:space="preserve">ater for </w:t>
      </w:r>
      <w:r>
        <w:t>i</w:t>
      </w:r>
      <w:r w:rsidRPr="00BB71BA">
        <w:t>njections.</w:t>
      </w:r>
    </w:p>
    <w:p w:rsidR="00FE214D" w:rsidRPr="00BB71BA" w:rsidRDefault="00FE214D" w:rsidP="00D4624A">
      <w:pPr>
        <w:spacing w:after="240"/>
      </w:pPr>
      <w:r>
        <w:t>CINRYZE</w:t>
      </w:r>
      <w:r w:rsidRPr="00BB71BA">
        <w:rPr>
          <w:snapToGrid w:val="0"/>
          <w:vertAlign w:val="superscript"/>
        </w:rPr>
        <w:t xml:space="preserve"> </w:t>
      </w:r>
      <w:r w:rsidRPr="00BB71BA">
        <w:t xml:space="preserve">vial is for single use </w:t>
      </w:r>
      <w:r>
        <w:t xml:space="preserve">in one patient </w:t>
      </w:r>
      <w:r w:rsidRPr="00BB71BA">
        <w:t xml:space="preserve">only. </w:t>
      </w:r>
      <w:r>
        <w:t xml:space="preserve"> </w:t>
      </w:r>
      <w:r w:rsidRPr="00BB71BA">
        <w:t>Any vial that has been en</w:t>
      </w:r>
      <w:r w:rsidR="00A4686F">
        <w:t>tered should be used promptly.</w:t>
      </w:r>
    </w:p>
    <w:p w:rsidR="00FE214D" w:rsidRPr="00BB71BA" w:rsidRDefault="00FE214D" w:rsidP="00A4686F">
      <w:pPr>
        <w:pStyle w:val="Heading3"/>
      </w:pPr>
      <w:r w:rsidRPr="00BB71BA">
        <w:t>Reconstitution</w:t>
      </w:r>
    </w:p>
    <w:p w:rsidR="00D4624A" w:rsidRDefault="00FE214D" w:rsidP="00D4624A">
      <w:pPr>
        <w:spacing w:after="240"/>
      </w:pPr>
      <w:r w:rsidRPr="00DD32BF">
        <w:t xml:space="preserve">Two vials of reconstituted </w:t>
      </w:r>
      <w:r>
        <w:t>CINRYZE</w:t>
      </w:r>
      <w:r w:rsidRPr="00DD32BF">
        <w:t xml:space="preserve"> are combined for ONE dose</w:t>
      </w:r>
      <w:r>
        <w:t xml:space="preserve"> (1000 Units)</w:t>
      </w:r>
      <w:r w:rsidR="00D4624A">
        <w:t>.</w:t>
      </w:r>
    </w:p>
    <w:p w:rsidR="00FE214D" w:rsidRPr="00DD32BF" w:rsidRDefault="00FE214D" w:rsidP="00D4624A">
      <w:pPr>
        <w:spacing w:after="240"/>
        <w:rPr>
          <w:rFonts w:cs="Arial"/>
        </w:rPr>
      </w:pPr>
      <w:r w:rsidRPr="00DD32BF">
        <w:rPr>
          <w:rFonts w:cs="Arial"/>
        </w:rPr>
        <w:t xml:space="preserve">Each </w:t>
      </w:r>
      <w:r>
        <w:rPr>
          <w:rFonts w:cs="Arial"/>
        </w:rPr>
        <w:t>product</w:t>
      </w:r>
      <w:r w:rsidRPr="00DD32BF">
        <w:rPr>
          <w:rFonts w:cs="Arial"/>
        </w:rPr>
        <w:t xml:space="preserve"> vial should be reconstituted with 5 ml </w:t>
      </w:r>
      <w:r>
        <w:rPr>
          <w:rFonts w:cs="Arial"/>
        </w:rPr>
        <w:t>w</w:t>
      </w:r>
      <w:r w:rsidRPr="00DD32BF">
        <w:rPr>
          <w:rFonts w:cs="Arial"/>
        </w:rPr>
        <w:t xml:space="preserve">ater for </w:t>
      </w:r>
      <w:r>
        <w:rPr>
          <w:rFonts w:cs="Arial"/>
        </w:rPr>
        <w:t>i</w:t>
      </w:r>
      <w:r w:rsidRPr="00DD32BF">
        <w:rPr>
          <w:rFonts w:cs="Arial"/>
        </w:rPr>
        <w:t>njections</w:t>
      </w:r>
    </w:p>
    <w:p w:rsidR="00FE214D" w:rsidRPr="00D2259B" w:rsidRDefault="00FE214D" w:rsidP="00D2259B">
      <w:pPr>
        <w:pStyle w:val="ListParagraph"/>
        <w:numPr>
          <w:ilvl w:val="0"/>
          <w:numId w:val="7"/>
        </w:numPr>
        <w:tabs>
          <w:tab w:val="left" w:pos="360"/>
        </w:tabs>
        <w:rPr>
          <w:rFonts w:cs="Arial"/>
          <w:snapToGrid w:val="0"/>
        </w:rPr>
      </w:pPr>
      <w:r w:rsidRPr="00D2259B">
        <w:rPr>
          <w:rFonts w:cs="Arial"/>
          <w:snapToGrid w:val="0"/>
        </w:rPr>
        <w:t>Work on the mat provided and wash your hands before performing the</w:t>
      </w:r>
      <w:r w:rsidR="00A4686F">
        <w:rPr>
          <w:rFonts w:cs="Arial"/>
          <w:snapToGrid w:val="0"/>
        </w:rPr>
        <w:t xml:space="preserve"> </w:t>
      </w:r>
      <w:r w:rsidRPr="00D2259B">
        <w:rPr>
          <w:rFonts w:cs="Arial"/>
          <w:snapToGrid w:val="0"/>
        </w:rPr>
        <w:t>following procedures.</w:t>
      </w:r>
    </w:p>
    <w:p w:rsidR="00FE214D" w:rsidRPr="00D2259B" w:rsidRDefault="00FE214D" w:rsidP="00D2259B">
      <w:pPr>
        <w:pStyle w:val="ListParagraph"/>
        <w:numPr>
          <w:ilvl w:val="0"/>
          <w:numId w:val="7"/>
        </w:numPr>
        <w:tabs>
          <w:tab w:val="left" w:pos="360"/>
        </w:tabs>
        <w:rPr>
          <w:rFonts w:cs="Arial"/>
          <w:snapToGrid w:val="0"/>
        </w:rPr>
      </w:pPr>
      <w:r w:rsidRPr="00D2259B">
        <w:rPr>
          <w:rFonts w:cs="Arial"/>
          <w:snapToGrid w:val="0"/>
        </w:rPr>
        <w:t>Aseptic technique should be used during the reconstitution procedure.</w:t>
      </w:r>
    </w:p>
    <w:p w:rsidR="00FE214D" w:rsidRPr="00D2259B" w:rsidRDefault="00FE214D" w:rsidP="00D2259B">
      <w:pPr>
        <w:pStyle w:val="ListParagraph"/>
        <w:numPr>
          <w:ilvl w:val="0"/>
          <w:numId w:val="7"/>
        </w:numPr>
        <w:tabs>
          <w:tab w:val="left" w:pos="360"/>
        </w:tabs>
        <w:rPr>
          <w:rFonts w:cs="Arial"/>
          <w:snapToGrid w:val="0"/>
        </w:rPr>
      </w:pPr>
      <w:r w:rsidRPr="00D2259B">
        <w:rPr>
          <w:rFonts w:cs="Arial"/>
          <w:snapToGrid w:val="0"/>
        </w:rPr>
        <w:t xml:space="preserve">Bring the powder vial and the solvent vial to room temperature, if refrigerated. </w:t>
      </w:r>
    </w:p>
    <w:p w:rsidR="00FE214D" w:rsidRPr="00D2259B" w:rsidRDefault="00FE214D" w:rsidP="00D2259B">
      <w:pPr>
        <w:pStyle w:val="ListParagraph"/>
        <w:numPr>
          <w:ilvl w:val="0"/>
          <w:numId w:val="7"/>
        </w:numPr>
        <w:tabs>
          <w:tab w:val="left" w:pos="360"/>
        </w:tabs>
        <w:rPr>
          <w:rFonts w:cs="Arial"/>
          <w:snapToGrid w:val="0"/>
        </w:rPr>
      </w:pPr>
      <w:r w:rsidRPr="00D2259B">
        <w:rPr>
          <w:rFonts w:cs="Arial"/>
          <w:snapToGrid w:val="0"/>
        </w:rPr>
        <w:t xml:space="preserve">Release the powder vial label by tearing down the perforated strip indicated by the inverted triangle. </w:t>
      </w:r>
    </w:p>
    <w:p w:rsidR="00FE214D" w:rsidRPr="00D2259B" w:rsidRDefault="00FE214D" w:rsidP="00D2259B">
      <w:pPr>
        <w:pStyle w:val="ListParagraph"/>
        <w:numPr>
          <w:ilvl w:val="0"/>
          <w:numId w:val="7"/>
        </w:numPr>
        <w:tabs>
          <w:tab w:val="left" w:pos="360"/>
        </w:tabs>
        <w:rPr>
          <w:rFonts w:cs="Arial"/>
          <w:snapToGrid w:val="0"/>
        </w:rPr>
      </w:pPr>
      <w:r w:rsidRPr="00D2259B">
        <w:rPr>
          <w:rFonts w:cs="Arial"/>
          <w:snapToGrid w:val="0"/>
        </w:rPr>
        <w:t xml:space="preserve">Remove plastic caps from the powder and solvent vials. </w:t>
      </w:r>
    </w:p>
    <w:p w:rsidR="00FE214D" w:rsidRPr="00541956" w:rsidRDefault="00FE214D" w:rsidP="00D2259B">
      <w:pPr>
        <w:pStyle w:val="ListParagraph"/>
        <w:numPr>
          <w:ilvl w:val="0"/>
          <w:numId w:val="7"/>
        </w:numPr>
        <w:rPr>
          <w:rFonts w:cs="Arial"/>
          <w:snapToGrid w:val="0"/>
        </w:rPr>
      </w:pPr>
      <w:r w:rsidRPr="00D2259B">
        <w:rPr>
          <w:rFonts w:cs="Arial"/>
          <w:snapToGrid w:val="0"/>
        </w:rPr>
        <w:t xml:space="preserve">Cleanse stoppers with </w:t>
      </w:r>
      <w:r w:rsidRPr="00541956">
        <w:rPr>
          <w:rFonts w:cs="Arial"/>
          <w:snapToGrid w:val="0"/>
        </w:rPr>
        <w:t xml:space="preserve">an alcohol swab and allow them to dry prior to use. </w:t>
      </w:r>
    </w:p>
    <w:p w:rsidR="00FE214D" w:rsidRPr="00D2259B" w:rsidRDefault="00FE214D" w:rsidP="00D2259B">
      <w:pPr>
        <w:pStyle w:val="ListParagraph"/>
        <w:numPr>
          <w:ilvl w:val="0"/>
          <w:numId w:val="7"/>
        </w:numPr>
        <w:rPr>
          <w:rFonts w:cs="Arial"/>
          <w:snapToGrid w:val="0"/>
        </w:rPr>
      </w:pPr>
      <w:r w:rsidRPr="00541956">
        <w:rPr>
          <w:rFonts w:cs="Arial"/>
          <w:snapToGrid w:val="0"/>
        </w:rPr>
        <w:t>Remove protective covering from the</w:t>
      </w:r>
      <w:r w:rsidRPr="00D2259B">
        <w:rPr>
          <w:rFonts w:cs="Arial"/>
          <w:snapToGrid w:val="0"/>
        </w:rPr>
        <w:t xml:space="preserve"> top of the transfer device package.  </w:t>
      </w:r>
      <w:r w:rsidRPr="00D2259B">
        <w:rPr>
          <w:rFonts w:cs="Arial"/>
          <w:snapToGrid w:val="0"/>
        </w:rPr>
        <w:tab/>
      </w:r>
      <w:r w:rsidRPr="00D2259B">
        <w:rPr>
          <w:rFonts w:cs="Arial"/>
        </w:rPr>
        <w:t>Do not remove the device from the package.</w:t>
      </w:r>
      <w:r w:rsidRPr="00D2259B">
        <w:rPr>
          <w:rFonts w:cs="Arial"/>
          <w:snapToGrid w:val="0"/>
        </w:rPr>
        <w:t xml:space="preserve"> </w:t>
      </w:r>
    </w:p>
    <w:p w:rsidR="00FE214D" w:rsidRPr="00D2259B" w:rsidRDefault="00FE214D" w:rsidP="00D2259B">
      <w:pPr>
        <w:pStyle w:val="ListParagraph"/>
        <w:numPr>
          <w:ilvl w:val="0"/>
          <w:numId w:val="7"/>
        </w:numPr>
        <w:rPr>
          <w:rFonts w:cs="Arial"/>
          <w:snapToGrid w:val="0"/>
        </w:rPr>
      </w:pPr>
      <w:r w:rsidRPr="00D2259B">
        <w:rPr>
          <w:rFonts w:cs="Arial"/>
          <w:snapToGrid w:val="0"/>
        </w:rPr>
        <w:t>Note: the transfer device must be attached to the solvent vial before being attached to the powder vial, so that the vacuum in the powder vial is not lost.</w:t>
      </w:r>
      <w:r w:rsidRPr="00D2259B">
        <w:rPr>
          <w:rFonts w:cs="Arial"/>
          <w:b/>
          <w:snapToGrid w:val="0"/>
        </w:rPr>
        <w:t xml:space="preserve"> </w:t>
      </w:r>
      <w:r w:rsidRPr="00D2259B">
        <w:rPr>
          <w:rFonts w:cs="Arial"/>
          <w:snapToGrid w:val="0"/>
        </w:rPr>
        <w:t xml:space="preserve">Place the solvent vial on a flat surface and insert the blue end of the transfer device into the solvent vial, pushing down until the spike penetrates through the centre of the solvent vial stopper and the device snaps in place.  The transfer device must be vertical prior to penetrating the stopper closure.     </w:t>
      </w:r>
    </w:p>
    <w:p w:rsidR="00FE214D" w:rsidRPr="00D2259B" w:rsidRDefault="00FE214D" w:rsidP="00D2259B">
      <w:pPr>
        <w:pStyle w:val="ListParagraph"/>
        <w:numPr>
          <w:ilvl w:val="0"/>
          <w:numId w:val="7"/>
        </w:numPr>
        <w:rPr>
          <w:rFonts w:cs="Arial"/>
          <w:snapToGrid w:val="0"/>
        </w:rPr>
      </w:pPr>
      <w:r w:rsidRPr="00D2259B">
        <w:rPr>
          <w:rFonts w:cs="Arial"/>
          <w:snapToGrid w:val="0"/>
        </w:rPr>
        <w:t xml:space="preserve">Remove the plastic package from the transfer device and discard it.  Take care not to touch the exposed end of the transfer device. </w:t>
      </w:r>
    </w:p>
    <w:p w:rsidR="00FE214D" w:rsidRPr="00D2259B" w:rsidRDefault="00FE214D" w:rsidP="00D2259B">
      <w:pPr>
        <w:pStyle w:val="ListParagraph"/>
        <w:numPr>
          <w:ilvl w:val="0"/>
          <w:numId w:val="7"/>
        </w:numPr>
        <w:rPr>
          <w:rFonts w:cs="Arial"/>
          <w:snapToGrid w:val="0"/>
        </w:rPr>
      </w:pPr>
      <w:r w:rsidRPr="00D2259B">
        <w:rPr>
          <w:rFonts w:cs="Arial"/>
          <w:snapToGrid w:val="0"/>
        </w:rPr>
        <w:t xml:space="preserve">Place the powder vial on a flat surface.  Invert the transfer device and the solvent vial containing water for injections and insert the clear end of the transfer device into the powder vial, pushing down until the spike penetrates the rubber stopper and the transfer device snaps into place. The transfer device must be vertical </w:t>
      </w:r>
      <w:r w:rsidRPr="00D2259B">
        <w:rPr>
          <w:rFonts w:cs="Arial"/>
          <w:snapToGrid w:val="0"/>
        </w:rPr>
        <w:lastRenderedPageBreak/>
        <w:t>prior to penetrating the stopper closure of the powder vial.  The vacuum in the powder vial will draw in the solvent.  If there is no vacuum in the vial, do not use the product.</w:t>
      </w:r>
    </w:p>
    <w:p w:rsidR="00FE214D" w:rsidRPr="00D2259B" w:rsidRDefault="00FE214D" w:rsidP="00D2259B">
      <w:pPr>
        <w:pStyle w:val="ListParagraph"/>
        <w:numPr>
          <w:ilvl w:val="0"/>
          <w:numId w:val="7"/>
        </w:numPr>
        <w:rPr>
          <w:rFonts w:cs="Arial"/>
          <w:snapToGrid w:val="0"/>
        </w:rPr>
      </w:pPr>
      <w:r w:rsidRPr="00D2259B">
        <w:rPr>
          <w:rFonts w:cs="Arial"/>
          <w:snapToGrid w:val="0"/>
        </w:rPr>
        <w:t>Gently swirl the powder vial until all powder is dissolved. Do not shake the powder vial. Make sure all the powder is completely dissolved.</w:t>
      </w:r>
    </w:p>
    <w:p w:rsidR="00FE214D" w:rsidRPr="00D2259B" w:rsidRDefault="00FE214D" w:rsidP="00D2259B">
      <w:pPr>
        <w:pStyle w:val="ListParagraph"/>
        <w:numPr>
          <w:ilvl w:val="0"/>
          <w:numId w:val="7"/>
        </w:numPr>
        <w:rPr>
          <w:rFonts w:cs="Arial"/>
          <w:snapToGrid w:val="0"/>
        </w:rPr>
      </w:pPr>
      <w:r w:rsidRPr="00D2259B">
        <w:rPr>
          <w:rFonts w:cs="Arial"/>
          <w:snapToGrid w:val="0"/>
        </w:rPr>
        <w:t>Disconnect the solvent vial by turning it anti-clockwise.  Do not remove the clear end of the transfe</w:t>
      </w:r>
      <w:r w:rsidR="00D4624A">
        <w:rPr>
          <w:rFonts w:cs="Arial"/>
          <w:snapToGrid w:val="0"/>
        </w:rPr>
        <w:t>r device from the powder vial.</w:t>
      </w:r>
    </w:p>
    <w:p w:rsidR="00FE214D" w:rsidRPr="00BB71BA" w:rsidRDefault="00FE214D" w:rsidP="00D4624A">
      <w:pPr>
        <w:rPr>
          <w:snapToGrid w:val="0"/>
        </w:rPr>
      </w:pPr>
      <w:r w:rsidRPr="00BB71BA">
        <w:rPr>
          <w:snapToGrid w:val="0"/>
        </w:rPr>
        <w:t>O</w:t>
      </w:r>
      <w:r>
        <w:rPr>
          <w:snapToGrid w:val="0"/>
        </w:rPr>
        <w:t>NE</w:t>
      </w:r>
      <w:r w:rsidRPr="00BB71BA">
        <w:rPr>
          <w:snapToGrid w:val="0"/>
        </w:rPr>
        <w:t xml:space="preserve"> vial of reconstituted </w:t>
      </w:r>
      <w:r>
        <w:rPr>
          <w:snapToGrid w:val="0"/>
        </w:rPr>
        <w:t>CINRYZE</w:t>
      </w:r>
      <w:r w:rsidRPr="00BB71BA">
        <w:rPr>
          <w:snapToGrid w:val="0"/>
        </w:rPr>
        <w:t xml:space="preserve"> contains 500 Units of C1 </w:t>
      </w:r>
      <w:r>
        <w:rPr>
          <w:snapToGrid w:val="0"/>
        </w:rPr>
        <w:t xml:space="preserve">esterase </w:t>
      </w:r>
      <w:r w:rsidRPr="00BB71BA">
        <w:rPr>
          <w:snapToGrid w:val="0"/>
        </w:rPr>
        <w:t xml:space="preserve">inhibitor in 5 ml, </w:t>
      </w:r>
      <w:r>
        <w:rPr>
          <w:snapToGrid w:val="0"/>
        </w:rPr>
        <w:t xml:space="preserve">resulting in </w:t>
      </w:r>
      <w:r w:rsidRPr="00BB71BA">
        <w:rPr>
          <w:snapToGrid w:val="0"/>
        </w:rPr>
        <w:t xml:space="preserve">a </w:t>
      </w:r>
      <w:r w:rsidR="00A4686F">
        <w:rPr>
          <w:snapToGrid w:val="0"/>
        </w:rPr>
        <w:t>concentration of 100 Units/ml.</w:t>
      </w:r>
    </w:p>
    <w:p w:rsidR="00FE214D" w:rsidRPr="00BB71BA" w:rsidRDefault="00FE214D" w:rsidP="00D4624A">
      <w:pPr>
        <w:spacing w:after="240"/>
        <w:rPr>
          <w:snapToGrid w:val="0"/>
        </w:rPr>
      </w:pPr>
      <w:r w:rsidRPr="00BB71BA">
        <w:rPr>
          <w:snapToGrid w:val="0"/>
        </w:rPr>
        <w:t xml:space="preserve">TWO vials of </w:t>
      </w:r>
      <w:r>
        <w:rPr>
          <w:snapToGrid w:val="0"/>
        </w:rPr>
        <w:t>CINRYZE</w:t>
      </w:r>
      <w:r w:rsidRPr="00BB71BA">
        <w:rPr>
          <w:snapToGrid w:val="0"/>
        </w:rPr>
        <w:t xml:space="preserve"> powder must be reconstituted to make </w:t>
      </w:r>
      <w:r w:rsidRPr="00AA213D">
        <w:rPr>
          <w:snapToGrid w:val="0"/>
        </w:rPr>
        <w:t xml:space="preserve">one </w:t>
      </w:r>
      <w:r w:rsidRPr="00BB71BA">
        <w:rPr>
          <w:snapToGrid w:val="0"/>
        </w:rPr>
        <w:t>dose</w:t>
      </w:r>
      <w:r>
        <w:rPr>
          <w:snapToGrid w:val="0"/>
        </w:rPr>
        <w:t xml:space="preserve"> (1000 Units/10 ml)</w:t>
      </w:r>
      <w:r w:rsidRPr="00BB71BA">
        <w:rPr>
          <w:snapToGrid w:val="0"/>
        </w:rPr>
        <w:t>. Therefore</w:t>
      </w:r>
      <w:r>
        <w:rPr>
          <w:snapToGrid w:val="0"/>
        </w:rPr>
        <w:t>,</w:t>
      </w:r>
      <w:r w:rsidRPr="00BB71BA">
        <w:rPr>
          <w:snapToGrid w:val="0"/>
        </w:rPr>
        <w:t xml:space="preserve"> repeat instructions 1 to 1</w:t>
      </w:r>
      <w:r>
        <w:rPr>
          <w:snapToGrid w:val="0"/>
        </w:rPr>
        <w:t>2</w:t>
      </w:r>
      <w:r w:rsidRPr="00BB71BA">
        <w:rPr>
          <w:snapToGrid w:val="0"/>
        </w:rPr>
        <w:t xml:space="preserve"> above using an additional package containing a transfer device to reconstitute the second of two </w:t>
      </w:r>
      <w:r>
        <w:rPr>
          <w:snapToGrid w:val="0"/>
        </w:rPr>
        <w:t xml:space="preserve">powder </w:t>
      </w:r>
      <w:r w:rsidRPr="00BB71BA">
        <w:rPr>
          <w:snapToGrid w:val="0"/>
        </w:rPr>
        <w:t>vials.  Do not reuse the transfer device.</w:t>
      </w:r>
    </w:p>
    <w:p w:rsidR="00FE214D" w:rsidRPr="00BB71BA" w:rsidRDefault="00FE214D" w:rsidP="00A4686F">
      <w:pPr>
        <w:pStyle w:val="Heading3"/>
      </w:pPr>
      <w:r w:rsidRPr="00BB71BA">
        <w:t xml:space="preserve">Administration </w:t>
      </w:r>
      <w:r>
        <w:t>p</w:t>
      </w:r>
      <w:r w:rsidRPr="00BB71BA">
        <w:t>rocess</w:t>
      </w:r>
    </w:p>
    <w:p w:rsidR="00FE214D" w:rsidRDefault="00FE214D" w:rsidP="009D7D0C">
      <w:pPr>
        <w:numPr>
          <w:ilvl w:val="0"/>
          <w:numId w:val="4"/>
        </w:numPr>
        <w:rPr>
          <w:rFonts w:cs="Arial"/>
        </w:rPr>
      </w:pPr>
      <w:r w:rsidRPr="00BB71BA">
        <w:rPr>
          <w:rFonts w:cs="Arial"/>
        </w:rPr>
        <w:t>Aseptic technique should be used during the administration procedure.</w:t>
      </w:r>
    </w:p>
    <w:p w:rsidR="00FE214D" w:rsidRDefault="00FE214D" w:rsidP="009D7D0C">
      <w:pPr>
        <w:numPr>
          <w:ilvl w:val="0"/>
          <w:numId w:val="4"/>
        </w:numPr>
        <w:rPr>
          <w:rFonts w:cs="Arial"/>
        </w:rPr>
      </w:pPr>
      <w:r w:rsidRPr="00DE6F4C">
        <w:rPr>
          <w:rFonts w:cs="Arial"/>
        </w:rPr>
        <w:t xml:space="preserve">After reconstitution, the </w:t>
      </w:r>
      <w:r>
        <w:rPr>
          <w:rFonts w:cs="Arial"/>
        </w:rPr>
        <w:t>CINRYZE</w:t>
      </w:r>
      <w:r w:rsidRPr="00DE6F4C">
        <w:rPr>
          <w:rFonts w:cs="Arial"/>
        </w:rPr>
        <w:t xml:space="preserve"> solutions are colourless to slightly blue and clear. Do not use the product if the solutions are turbid or discoloured.</w:t>
      </w:r>
    </w:p>
    <w:p w:rsidR="00FE214D" w:rsidRPr="009D7D0C" w:rsidRDefault="00FE214D" w:rsidP="009D7D0C">
      <w:pPr>
        <w:pStyle w:val="ListParagraph"/>
        <w:numPr>
          <w:ilvl w:val="0"/>
          <w:numId w:val="4"/>
        </w:numPr>
        <w:rPr>
          <w:rFonts w:cs="Arial"/>
        </w:rPr>
      </w:pPr>
      <w:r w:rsidRPr="009D7D0C">
        <w:rPr>
          <w:rFonts w:cs="Arial"/>
        </w:rPr>
        <w:t xml:space="preserve">Using a sterile, disposable 10 ml syringe, draw back the plunger to allow approximately 5 ml of air into the syringe. </w:t>
      </w:r>
    </w:p>
    <w:p w:rsidR="00FE214D" w:rsidRPr="009D7D0C" w:rsidRDefault="00FE214D" w:rsidP="009D7D0C">
      <w:pPr>
        <w:pStyle w:val="ListParagraph"/>
        <w:numPr>
          <w:ilvl w:val="0"/>
          <w:numId w:val="4"/>
        </w:numPr>
        <w:rPr>
          <w:rFonts w:cs="Arial"/>
        </w:rPr>
      </w:pPr>
      <w:r w:rsidRPr="009D7D0C">
        <w:rPr>
          <w:rFonts w:cs="Arial"/>
        </w:rPr>
        <w:t xml:space="preserve">Attach the syringe onto the top of the clear end of the transfer device by turning it clockwise. </w:t>
      </w:r>
    </w:p>
    <w:p w:rsidR="00FE214D" w:rsidRPr="009D7D0C" w:rsidRDefault="00FE214D" w:rsidP="009D7D0C">
      <w:pPr>
        <w:pStyle w:val="ListParagraph"/>
        <w:numPr>
          <w:ilvl w:val="0"/>
          <w:numId w:val="4"/>
        </w:numPr>
        <w:rPr>
          <w:rFonts w:cs="Arial"/>
        </w:rPr>
      </w:pPr>
      <w:r w:rsidRPr="009D7D0C">
        <w:rPr>
          <w:rFonts w:cs="Arial"/>
        </w:rPr>
        <w:t xml:space="preserve">Invert the vial </w:t>
      </w:r>
      <w:r w:rsidRPr="00541956">
        <w:rPr>
          <w:rFonts w:cs="Arial"/>
        </w:rPr>
        <w:t xml:space="preserve">gently </w:t>
      </w:r>
      <w:r w:rsidRPr="009D7D0C">
        <w:rPr>
          <w:rFonts w:cs="Arial"/>
        </w:rPr>
        <w:t xml:space="preserve">and inject air into the solution and then slowly withdraw the reconstituted </w:t>
      </w:r>
      <w:r w:rsidRPr="009D7D0C">
        <w:rPr>
          <w:rFonts w:cs="Arial"/>
          <w:iCs/>
        </w:rPr>
        <w:t>CINRYZE solution</w:t>
      </w:r>
      <w:r w:rsidRPr="009D7D0C">
        <w:rPr>
          <w:rFonts w:cs="Arial"/>
        </w:rPr>
        <w:t xml:space="preserve"> into the syringe.  </w:t>
      </w:r>
    </w:p>
    <w:p w:rsidR="00FE214D" w:rsidRPr="009D7D0C" w:rsidRDefault="00FE214D" w:rsidP="009D7D0C">
      <w:pPr>
        <w:pStyle w:val="ListParagraph"/>
        <w:numPr>
          <w:ilvl w:val="0"/>
          <w:numId w:val="4"/>
        </w:numPr>
        <w:rPr>
          <w:rFonts w:cs="Arial"/>
        </w:rPr>
      </w:pPr>
      <w:r w:rsidRPr="009D7D0C">
        <w:rPr>
          <w:rFonts w:cs="Arial"/>
        </w:rPr>
        <w:t xml:space="preserve">Detach the syringe from the vial by turning it anti-clockwise and releasing it from the clear end of the transfer device. </w:t>
      </w:r>
    </w:p>
    <w:p w:rsidR="00FE214D" w:rsidRPr="009D7D0C" w:rsidRDefault="00FE214D" w:rsidP="009D7D0C">
      <w:pPr>
        <w:pStyle w:val="ListParagraph"/>
        <w:numPr>
          <w:ilvl w:val="0"/>
          <w:numId w:val="4"/>
        </w:numPr>
        <w:rPr>
          <w:rFonts w:cs="Arial"/>
        </w:rPr>
      </w:pPr>
      <w:r w:rsidRPr="009D7D0C">
        <w:rPr>
          <w:rFonts w:cs="Arial"/>
        </w:rPr>
        <w:t xml:space="preserve">Using the same syringe, repeat steps </w:t>
      </w:r>
      <w:r>
        <w:rPr>
          <w:rFonts w:cs="Arial"/>
        </w:rPr>
        <w:t>3</w:t>
      </w:r>
      <w:r w:rsidRPr="009D7D0C">
        <w:rPr>
          <w:rFonts w:cs="Arial"/>
        </w:rPr>
        <w:t xml:space="preserve"> to</w:t>
      </w:r>
      <w:r>
        <w:rPr>
          <w:rFonts w:cs="Arial"/>
        </w:rPr>
        <w:t xml:space="preserve"> 6</w:t>
      </w:r>
      <w:r w:rsidRPr="009D7D0C">
        <w:rPr>
          <w:rFonts w:cs="Arial"/>
        </w:rPr>
        <w:t xml:space="preserve"> with a second vial of reconstituted CINRYZE to make one complete 10 ml dose.</w:t>
      </w:r>
    </w:p>
    <w:p w:rsidR="00FE214D" w:rsidRPr="009D7D0C" w:rsidRDefault="00FE214D" w:rsidP="009D7D0C">
      <w:pPr>
        <w:pStyle w:val="ListParagraph"/>
        <w:numPr>
          <w:ilvl w:val="0"/>
          <w:numId w:val="4"/>
        </w:numPr>
        <w:rPr>
          <w:rFonts w:cs="Arial"/>
        </w:rPr>
      </w:pPr>
      <w:r w:rsidRPr="009D7D0C">
        <w:rPr>
          <w:rFonts w:cs="Arial"/>
        </w:rPr>
        <w:t xml:space="preserve">Inspect the reconstituted Cinryze solution for </w:t>
      </w:r>
      <w:r>
        <w:rPr>
          <w:rFonts w:cs="Arial"/>
        </w:rPr>
        <w:t xml:space="preserve">particulate </w:t>
      </w:r>
      <w:r w:rsidRPr="009D7D0C">
        <w:rPr>
          <w:rFonts w:cs="Arial"/>
        </w:rPr>
        <w:t>matter prior to administration; do not use if particles are observed.</w:t>
      </w:r>
    </w:p>
    <w:p w:rsidR="00FE214D" w:rsidRPr="009D7D0C" w:rsidRDefault="00FE214D" w:rsidP="009D7D0C">
      <w:pPr>
        <w:pStyle w:val="ListParagraph"/>
        <w:numPr>
          <w:ilvl w:val="0"/>
          <w:numId w:val="4"/>
        </w:numPr>
        <w:rPr>
          <w:rFonts w:cs="Arial"/>
        </w:rPr>
      </w:pPr>
      <w:r w:rsidRPr="009D7D0C">
        <w:rPr>
          <w:rFonts w:cs="Arial"/>
        </w:rPr>
        <w:t xml:space="preserve">Attach </w:t>
      </w:r>
      <w:r>
        <w:rPr>
          <w:rFonts w:cs="Arial"/>
        </w:rPr>
        <w:t>the</w:t>
      </w:r>
      <w:r w:rsidRPr="009D7D0C">
        <w:rPr>
          <w:rFonts w:cs="Arial"/>
        </w:rPr>
        <w:t xml:space="preserve"> venipuncture set to the syringe containing CINRYZE solution and inject intravenously into the patient. Administer 1000 Units (reconstituted in 10 ml) of CINRYZE by intravenous injection at a rate of 1 ml per minute over 10 minutes. </w:t>
      </w:r>
    </w:p>
    <w:p w:rsidR="00FE214D" w:rsidRPr="009D7D0C" w:rsidRDefault="00FE214D" w:rsidP="009D7D0C">
      <w:pPr>
        <w:pStyle w:val="ListParagraph"/>
        <w:numPr>
          <w:ilvl w:val="0"/>
          <w:numId w:val="4"/>
        </w:numPr>
        <w:rPr>
          <w:rFonts w:cs="Arial"/>
        </w:rPr>
      </w:pPr>
      <w:r w:rsidRPr="009D7D0C">
        <w:rPr>
          <w:rFonts w:cs="Arial"/>
        </w:rPr>
        <w:t>Any unused product or waste material should be disposed of in accor</w:t>
      </w:r>
      <w:r w:rsidR="00A4686F">
        <w:rPr>
          <w:rFonts w:cs="Arial"/>
        </w:rPr>
        <w:t>dance with local requirements.</w:t>
      </w:r>
    </w:p>
    <w:p w:rsidR="00FE214D" w:rsidRPr="00BB71BA" w:rsidRDefault="00FE214D" w:rsidP="00A4686F">
      <w:pPr>
        <w:pStyle w:val="Heading2"/>
      </w:pPr>
      <w:r w:rsidRPr="00BB71BA">
        <w:t>OVERDOSAGE</w:t>
      </w:r>
    </w:p>
    <w:p w:rsidR="00FE214D" w:rsidRDefault="00FE214D" w:rsidP="00D4624A">
      <w:pPr>
        <w:spacing w:after="240"/>
      </w:pPr>
      <w:r>
        <w:t>There have been no overdosages of CINRYZE reported during clinical studies.  The maximum dose administered to HAE patients in clinical trials was 4000 Units given over approximately 4 hours (an average dose of 57 Units/kg) and 10,000 Units given over a 7 day period.</w:t>
      </w:r>
    </w:p>
    <w:p w:rsidR="00FE214D" w:rsidRPr="00BB71BA" w:rsidRDefault="00FE214D" w:rsidP="00D4624A">
      <w:pPr>
        <w:spacing w:after="240"/>
      </w:pPr>
      <w:r>
        <w:t>Thrombotic events have been reported in association with another C1 esterase inhibitor product when used off label at high doses.</w:t>
      </w:r>
    </w:p>
    <w:p w:rsidR="00FE214D" w:rsidRPr="00BB71BA" w:rsidRDefault="00FE214D" w:rsidP="00A4686F">
      <w:pPr>
        <w:pStyle w:val="Heading2"/>
      </w:pPr>
      <w:r w:rsidRPr="00BB71BA">
        <w:lastRenderedPageBreak/>
        <w:t>PRESENTATION AND STORAGE CONDITIONS</w:t>
      </w:r>
    </w:p>
    <w:p w:rsidR="00FE214D" w:rsidRPr="00BB71BA" w:rsidRDefault="00FE214D" w:rsidP="00A4686F">
      <w:pPr>
        <w:pStyle w:val="Heading3"/>
      </w:pPr>
      <w:r w:rsidRPr="00BB71BA">
        <w:t>Presentation</w:t>
      </w:r>
    </w:p>
    <w:p w:rsidR="00FE214D" w:rsidRPr="00BB71BA" w:rsidRDefault="00FE214D" w:rsidP="00D4624A">
      <w:pPr>
        <w:rPr>
          <w:noProof/>
        </w:rPr>
      </w:pPr>
      <w:r>
        <w:rPr>
          <w:b/>
          <w:noProof/>
        </w:rPr>
        <w:t>CINRYZE</w:t>
      </w:r>
      <w:r w:rsidRPr="00064FC4">
        <w:rPr>
          <w:b/>
          <w:noProof/>
        </w:rPr>
        <w:t xml:space="preserve"> Powder</w:t>
      </w:r>
      <w:r w:rsidRPr="00BB71BA">
        <w:rPr>
          <w:noProof/>
        </w:rPr>
        <w:t xml:space="preserve">:  </w:t>
      </w:r>
      <w:r>
        <w:rPr>
          <w:noProof/>
        </w:rPr>
        <w:t>CINRYZE</w:t>
      </w:r>
      <w:r w:rsidRPr="00BB71BA">
        <w:rPr>
          <w:noProof/>
        </w:rPr>
        <w:t xml:space="preserve"> is supplied in a single-use vial of colourless glass Type I, containing 500 Units of C1 </w:t>
      </w:r>
      <w:r>
        <w:rPr>
          <w:noProof/>
        </w:rPr>
        <w:t xml:space="preserve">esterase </w:t>
      </w:r>
      <w:r w:rsidRPr="00BB71BA">
        <w:rPr>
          <w:noProof/>
        </w:rPr>
        <w:t>inhibitor as a nanofiltered, freeze-dried powder.  The vial is sealed with a rubber Type I stopper, and an aluminium seal with a plastic flip-</w:t>
      </w:r>
      <w:r w:rsidR="00D4624A">
        <w:rPr>
          <w:noProof/>
        </w:rPr>
        <w:t>off cap.</w:t>
      </w:r>
    </w:p>
    <w:p w:rsidR="00FE214D" w:rsidRDefault="00FE214D" w:rsidP="00D4624A">
      <w:pPr>
        <w:spacing w:after="240"/>
        <w:rPr>
          <w:noProof/>
        </w:rPr>
      </w:pPr>
      <w:r w:rsidRPr="00064FC4">
        <w:rPr>
          <w:b/>
          <w:noProof/>
        </w:rPr>
        <w:t>Solvent</w:t>
      </w:r>
      <w:r w:rsidRPr="00BB71BA">
        <w:rPr>
          <w:noProof/>
        </w:rPr>
        <w:t xml:space="preserve">:  5 ml of </w:t>
      </w:r>
      <w:r>
        <w:rPr>
          <w:noProof/>
        </w:rPr>
        <w:t>w</w:t>
      </w:r>
      <w:r w:rsidRPr="00BB71BA">
        <w:rPr>
          <w:noProof/>
        </w:rPr>
        <w:t xml:space="preserve">ater for </w:t>
      </w:r>
      <w:r>
        <w:rPr>
          <w:noProof/>
        </w:rPr>
        <w:t>i</w:t>
      </w:r>
      <w:r w:rsidRPr="00BB71BA">
        <w:rPr>
          <w:noProof/>
        </w:rPr>
        <w:t>njections in a vial of colourless glass Type I, which is closed with a rubber Type I stopper and an aluminium seal with a plastic flip-off cap.</w:t>
      </w:r>
    </w:p>
    <w:p w:rsidR="00FE214D" w:rsidRPr="00BB71BA" w:rsidRDefault="00FE214D" w:rsidP="00D4624A">
      <w:pPr>
        <w:rPr>
          <w:noProof/>
        </w:rPr>
      </w:pPr>
      <w:r>
        <w:rPr>
          <w:noProof/>
        </w:rPr>
        <w:t>Each pack contains:</w:t>
      </w:r>
    </w:p>
    <w:p w:rsidR="00FE214D" w:rsidRPr="00BB71BA" w:rsidRDefault="00FE214D" w:rsidP="00D4624A">
      <w:pPr>
        <w:rPr>
          <w:noProof/>
        </w:rPr>
      </w:pPr>
      <w:r w:rsidRPr="00BB71BA">
        <w:rPr>
          <w:noProof/>
        </w:rPr>
        <w:t xml:space="preserve">Two </w:t>
      </w:r>
      <w:r>
        <w:rPr>
          <w:noProof/>
        </w:rPr>
        <w:t xml:space="preserve">powder </w:t>
      </w:r>
      <w:r w:rsidRPr="00BB71BA">
        <w:rPr>
          <w:noProof/>
        </w:rPr>
        <w:t>vials</w:t>
      </w:r>
      <w:r>
        <w:rPr>
          <w:noProof/>
        </w:rPr>
        <w:t>.</w:t>
      </w:r>
    </w:p>
    <w:p w:rsidR="00FE214D" w:rsidRDefault="00FE214D" w:rsidP="00D4624A">
      <w:pPr>
        <w:rPr>
          <w:noProof/>
        </w:rPr>
      </w:pPr>
      <w:r w:rsidRPr="00BB71BA">
        <w:rPr>
          <w:noProof/>
        </w:rPr>
        <w:t xml:space="preserve">Two </w:t>
      </w:r>
      <w:r>
        <w:rPr>
          <w:noProof/>
        </w:rPr>
        <w:t xml:space="preserve">solvent </w:t>
      </w:r>
      <w:r w:rsidRPr="00BB71BA">
        <w:rPr>
          <w:noProof/>
        </w:rPr>
        <w:t>vials</w:t>
      </w:r>
      <w:r>
        <w:rPr>
          <w:noProof/>
        </w:rPr>
        <w:t>.</w:t>
      </w:r>
    </w:p>
    <w:p w:rsidR="00FE214D" w:rsidRDefault="00FE214D" w:rsidP="00D4624A">
      <w:pPr>
        <w:spacing w:after="240"/>
        <w:rPr>
          <w:noProof/>
        </w:rPr>
      </w:pPr>
      <w:r>
        <w:rPr>
          <w:noProof/>
        </w:rPr>
        <w:t>Administration set: 2 filter transfer devices, 1 disposable 10 ml syringe, 1 venipuncture set, 2 alcohol swabs, 1 protective mat.</w:t>
      </w:r>
    </w:p>
    <w:p w:rsidR="00FE214D" w:rsidRPr="00BB71BA" w:rsidRDefault="00FE214D" w:rsidP="00D4624A">
      <w:pPr>
        <w:spacing w:after="240"/>
        <w:rPr>
          <w:noProof/>
        </w:rPr>
      </w:pPr>
      <w:r>
        <w:rPr>
          <w:noProof/>
        </w:rPr>
        <w:t>Use of a silicone-free syringe is recommended for reconstitution and administration of the product. For your convenience, a silicone-free syringe is provided in the Administration set</w:t>
      </w:r>
      <w:r w:rsidR="00886AEE">
        <w:rPr>
          <w:noProof/>
        </w:rPr>
        <w:t>.</w:t>
      </w:r>
    </w:p>
    <w:p w:rsidR="00FE214D" w:rsidRPr="00BB71BA" w:rsidRDefault="00FE214D" w:rsidP="00A4686F">
      <w:pPr>
        <w:pStyle w:val="Heading3"/>
      </w:pPr>
      <w:r w:rsidRPr="00BB71BA">
        <w:t xml:space="preserve">Storage </w:t>
      </w:r>
      <w:r w:rsidRPr="00A4686F">
        <w:t>Conditions</w:t>
      </w:r>
    </w:p>
    <w:p w:rsidR="00FE214D" w:rsidRPr="00BB71BA" w:rsidRDefault="00FE214D" w:rsidP="00D4624A">
      <w:pPr>
        <w:spacing w:after="240"/>
      </w:pPr>
      <w:r>
        <w:t>CINRYZE</w:t>
      </w:r>
      <w:r w:rsidRPr="00BB71BA">
        <w:t xml:space="preserve"> powder has a shelf life of t</w:t>
      </w:r>
      <w:r>
        <w:t>wo (2) years when s</w:t>
      </w:r>
      <w:r w:rsidRPr="00BB71BA">
        <w:t>tore</w:t>
      </w:r>
      <w:r>
        <w:t>d</w:t>
      </w:r>
      <w:r w:rsidRPr="00BB71BA">
        <w:t xml:space="preserve"> </w:t>
      </w:r>
      <w:r>
        <w:t>below 25°C (room temperature)</w:t>
      </w:r>
      <w:r w:rsidR="00A4686F">
        <w:t>.</w:t>
      </w:r>
    </w:p>
    <w:p w:rsidR="00FE214D" w:rsidRPr="00BB71BA" w:rsidRDefault="00FE214D" w:rsidP="00D4624A">
      <w:pPr>
        <w:spacing w:after="240"/>
        <w:rPr>
          <w:i/>
        </w:rPr>
      </w:pPr>
      <w:r w:rsidRPr="00BB71BA">
        <w:t>Do not freeze. Store in the original package in order to protect from light.</w:t>
      </w:r>
    </w:p>
    <w:p w:rsidR="00FE214D" w:rsidRPr="00BB71BA" w:rsidRDefault="00FE214D" w:rsidP="00D4624A">
      <w:pPr>
        <w:spacing w:after="240"/>
      </w:pPr>
      <w:r w:rsidRPr="00BB71BA">
        <w:t xml:space="preserve">Do not mix </w:t>
      </w:r>
      <w:r>
        <w:t>CINRYZE</w:t>
      </w:r>
      <w:r w:rsidR="00A4686F">
        <w:t xml:space="preserve"> with other materials.</w:t>
      </w:r>
    </w:p>
    <w:p w:rsidR="00A4686F" w:rsidRDefault="00FE214D" w:rsidP="00D4624A">
      <w:pPr>
        <w:spacing w:after="240"/>
      </w:pPr>
      <w:r w:rsidRPr="00BB71BA">
        <w:t>Do not use after expir</w:t>
      </w:r>
      <w:r>
        <w:t>ation date (Exp).</w:t>
      </w:r>
    </w:p>
    <w:p w:rsidR="00FE214D" w:rsidRPr="00A4686F" w:rsidRDefault="00FE214D" w:rsidP="00D4624A">
      <w:pPr>
        <w:spacing w:after="240"/>
      </w:pPr>
      <w:r w:rsidRPr="00D310F7">
        <w:rPr>
          <w:noProof/>
        </w:rPr>
        <w:t xml:space="preserve">Prior to reconstitution the product is a </w:t>
      </w:r>
      <w:r w:rsidRPr="00D310F7">
        <w:t>white powder. The product is for single use in one patient only</w:t>
      </w:r>
      <w:r w:rsidRPr="00FF5583">
        <w:t xml:space="preserve">. From a microbiological point of view, after reconstitution the product should be used immediately. If immediate use is not possible, the reconstituted product may be stored at 15 to 25 </w:t>
      </w:r>
      <w:r>
        <w:t>°</w:t>
      </w:r>
      <w:r w:rsidRPr="00FF5583">
        <w:t>C for not more than 3 hours.</w:t>
      </w:r>
    </w:p>
    <w:p w:rsidR="00FE214D" w:rsidRPr="00BB71BA" w:rsidRDefault="00FE214D" w:rsidP="00A4686F">
      <w:pPr>
        <w:pStyle w:val="Heading2"/>
      </w:pPr>
      <w:r w:rsidRPr="00BB71BA">
        <w:t xml:space="preserve">NAME AND </w:t>
      </w:r>
      <w:r w:rsidRPr="00A4686F">
        <w:t>ADDRESS</w:t>
      </w:r>
      <w:r w:rsidRPr="00BB71BA">
        <w:t xml:space="preserve"> OF THE SPONSOR</w:t>
      </w:r>
    </w:p>
    <w:p w:rsidR="00886AEE" w:rsidRDefault="00886AEE" w:rsidP="00D4624A">
      <w:r>
        <w:t>ViroPharma Pty Ltd</w:t>
      </w:r>
    </w:p>
    <w:p w:rsidR="00886AEE" w:rsidRDefault="00886AEE">
      <w:pPr>
        <w:rPr>
          <w:rFonts w:cs="Arial"/>
        </w:rPr>
      </w:pPr>
      <w:r>
        <w:rPr>
          <w:rFonts w:cs="Arial"/>
        </w:rPr>
        <w:t>3/25 Terminus Street</w:t>
      </w:r>
    </w:p>
    <w:p w:rsidR="00886AEE" w:rsidRDefault="00886AEE">
      <w:pPr>
        <w:rPr>
          <w:rFonts w:cs="Arial"/>
        </w:rPr>
      </w:pPr>
      <w:r>
        <w:rPr>
          <w:rFonts w:cs="Arial"/>
        </w:rPr>
        <w:t>Castle Hill</w:t>
      </w:r>
    </w:p>
    <w:p w:rsidR="00FE214D" w:rsidRPr="00BB71BA" w:rsidRDefault="00886AEE" w:rsidP="00A4686F">
      <w:pPr>
        <w:spacing w:after="240"/>
        <w:rPr>
          <w:rFonts w:cs="Arial"/>
        </w:rPr>
      </w:pPr>
      <w:r>
        <w:rPr>
          <w:rFonts w:cs="Arial"/>
        </w:rPr>
        <w:t>NSW 2154</w:t>
      </w:r>
    </w:p>
    <w:p w:rsidR="00BB7B46" w:rsidRDefault="00BB7B46">
      <w:pPr>
        <w:rPr>
          <w:rFonts w:cs="Arial"/>
          <w:b/>
        </w:rPr>
      </w:pPr>
      <w:r>
        <w:br w:type="page"/>
      </w:r>
    </w:p>
    <w:p w:rsidR="00FE214D" w:rsidRPr="00BB71BA" w:rsidRDefault="00FE214D" w:rsidP="00A4686F">
      <w:pPr>
        <w:pStyle w:val="Heading2"/>
      </w:pPr>
      <w:r w:rsidRPr="00A4686F">
        <w:lastRenderedPageBreak/>
        <w:t>POISON</w:t>
      </w:r>
      <w:r w:rsidRPr="00BB71BA">
        <w:t xml:space="preserve"> SCHEDULE OF THE MEDCINE</w:t>
      </w:r>
    </w:p>
    <w:p w:rsidR="00FE214D" w:rsidRPr="00BB71BA" w:rsidRDefault="00FE214D" w:rsidP="00D4624A">
      <w:pPr>
        <w:spacing w:after="240"/>
      </w:pPr>
      <w:r>
        <w:t>CINRYZE is exempt from scheduling.</w:t>
      </w:r>
    </w:p>
    <w:p w:rsidR="00FE214D" w:rsidRDefault="00FE214D" w:rsidP="00A4686F">
      <w:pPr>
        <w:pStyle w:val="Heading2"/>
      </w:pPr>
      <w:r>
        <w:t>DATE OF FIRST ARTG INCLUSION</w:t>
      </w:r>
    </w:p>
    <w:p w:rsidR="00FE214D" w:rsidRPr="00166A21" w:rsidRDefault="00FE214D" w:rsidP="00D4624A">
      <w:pPr>
        <w:spacing w:after="240"/>
        <w:rPr>
          <w:b/>
          <w:sz w:val="32"/>
        </w:rPr>
      </w:pPr>
      <w:r w:rsidRPr="00166A21">
        <w:t>05/04/2012</w:t>
      </w:r>
    </w:p>
    <w:p w:rsidR="00A4686F" w:rsidRDefault="00FE214D" w:rsidP="00A4686F">
      <w:pPr>
        <w:pStyle w:val="Heading2"/>
      </w:pPr>
      <w:r>
        <w:t xml:space="preserve">DATE OF </w:t>
      </w:r>
      <w:r w:rsidRPr="00A4686F">
        <w:t>MOST</w:t>
      </w:r>
      <w:r>
        <w:t xml:space="preserve"> RECENT AMENDMENT</w:t>
      </w:r>
    </w:p>
    <w:p w:rsidR="00FE214D" w:rsidRPr="00F04286" w:rsidRDefault="00886AEE" w:rsidP="00D4624A">
      <w:pPr>
        <w:spacing w:after="240"/>
        <w:rPr>
          <w:b/>
        </w:rPr>
      </w:pPr>
      <w:r>
        <w:t>15</w:t>
      </w:r>
      <w:r w:rsidR="00FE214D" w:rsidRPr="00FE2D93">
        <w:t>/0</w:t>
      </w:r>
      <w:r>
        <w:t>4</w:t>
      </w:r>
      <w:r w:rsidR="00FE214D" w:rsidRPr="00FE2D93">
        <w:t>/2013</w:t>
      </w:r>
    </w:p>
    <w:p w:rsidR="00886AEE" w:rsidRDefault="00FE214D" w:rsidP="00D4624A">
      <w:pPr>
        <w:spacing w:after="240"/>
      </w:pPr>
      <w:r w:rsidRPr="00D4624A">
        <w:rPr>
          <w:b/>
        </w:rPr>
        <w:t>AUST R</w:t>
      </w:r>
      <w:r w:rsidRPr="00166A21">
        <w:rPr>
          <w:sz w:val="32"/>
        </w:rPr>
        <w:t xml:space="preserve"> </w:t>
      </w:r>
      <w:r w:rsidRPr="00166A21">
        <w:rPr>
          <w:szCs w:val="20"/>
        </w:rPr>
        <w:t>177513</w:t>
      </w:r>
    </w:p>
    <w:p w:rsidR="00886AEE" w:rsidRDefault="00886AEE" w:rsidP="00D4624A">
      <w:pPr>
        <w:spacing w:after="240"/>
      </w:pPr>
      <w:r>
        <w:t>CINRYZE is a trademark of ViroPharma Incorporated or its subsidiaries</w:t>
      </w:r>
    </w:p>
    <w:p w:rsidR="00886AEE" w:rsidRPr="00BB71BA" w:rsidRDefault="00886AEE" w:rsidP="00D4624A">
      <w:r>
        <w:t>Copyright ©2012 ViroPharma SPRL-BVBA. All rights reserved</w:t>
      </w:r>
    </w:p>
    <w:sectPr w:rsidR="00886AEE" w:rsidRPr="00BB71BA" w:rsidSect="00B27B5E">
      <w:headerReference w:type="even" r:id="rId7"/>
      <w:head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86F" w:rsidRDefault="00A4686F">
      <w:r>
        <w:separator/>
      </w:r>
    </w:p>
    <w:p w:rsidR="00A4686F" w:rsidRDefault="00A4686F"/>
    <w:p w:rsidR="00A4686F" w:rsidRDefault="00A4686F" w:rsidP="007E6833"/>
    <w:p w:rsidR="00A4686F" w:rsidRDefault="00A4686F"/>
    <w:p w:rsidR="00A4686F" w:rsidRDefault="00A4686F" w:rsidP="00D4624A"/>
    <w:p w:rsidR="00A4686F" w:rsidRDefault="00A4686F" w:rsidP="00D4624A"/>
    <w:p w:rsidR="00A4686F" w:rsidRDefault="00A4686F" w:rsidP="00D4624A"/>
    <w:p w:rsidR="00A4686F" w:rsidRDefault="00A4686F" w:rsidP="00D4624A"/>
  </w:endnote>
  <w:endnote w:type="continuationSeparator" w:id="0">
    <w:p w:rsidR="00A4686F" w:rsidRDefault="00A4686F">
      <w:r>
        <w:continuationSeparator/>
      </w:r>
    </w:p>
    <w:p w:rsidR="00A4686F" w:rsidRDefault="00A4686F"/>
    <w:p w:rsidR="00A4686F" w:rsidRDefault="00A4686F" w:rsidP="007E6833"/>
    <w:p w:rsidR="00A4686F" w:rsidRDefault="00A4686F"/>
    <w:p w:rsidR="00A4686F" w:rsidRDefault="00A4686F" w:rsidP="00D4624A"/>
    <w:p w:rsidR="00A4686F" w:rsidRDefault="00A4686F" w:rsidP="00D4624A"/>
    <w:p w:rsidR="00A4686F" w:rsidRDefault="00A4686F" w:rsidP="00D4624A"/>
    <w:p w:rsidR="00A4686F" w:rsidRDefault="00A4686F" w:rsidP="00D4624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86F" w:rsidRDefault="00A4686F">
      <w:r>
        <w:separator/>
      </w:r>
    </w:p>
    <w:p w:rsidR="00A4686F" w:rsidRDefault="00A4686F"/>
    <w:p w:rsidR="00A4686F" w:rsidRDefault="00A4686F" w:rsidP="007E6833"/>
    <w:p w:rsidR="00A4686F" w:rsidRDefault="00A4686F"/>
    <w:p w:rsidR="00A4686F" w:rsidRDefault="00A4686F" w:rsidP="00D4624A"/>
    <w:p w:rsidR="00A4686F" w:rsidRDefault="00A4686F" w:rsidP="00D4624A"/>
    <w:p w:rsidR="00A4686F" w:rsidRDefault="00A4686F" w:rsidP="00D4624A"/>
    <w:p w:rsidR="00A4686F" w:rsidRDefault="00A4686F" w:rsidP="00D4624A"/>
  </w:footnote>
  <w:footnote w:type="continuationSeparator" w:id="0">
    <w:p w:rsidR="00A4686F" w:rsidRDefault="00A4686F">
      <w:r>
        <w:continuationSeparator/>
      </w:r>
    </w:p>
    <w:p w:rsidR="00A4686F" w:rsidRDefault="00A4686F"/>
    <w:p w:rsidR="00A4686F" w:rsidRDefault="00A4686F" w:rsidP="007E6833"/>
    <w:p w:rsidR="00A4686F" w:rsidRDefault="00A4686F"/>
    <w:p w:rsidR="00A4686F" w:rsidRDefault="00A4686F" w:rsidP="00D4624A"/>
    <w:p w:rsidR="00A4686F" w:rsidRDefault="00A4686F" w:rsidP="00D4624A"/>
    <w:p w:rsidR="00A4686F" w:rsidRDefault="00A4686F" w:rsidP="00D4624A"/>
    <w:p w:rsidR="00A4686F" w:rsidRDefault="00A4686F" w:rsidP="00D462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6F" w:rsidRDefault="008351FC" w:rsidP="00407C25">
    <w:pPr>
      <w:pStyle w:val="Header"/>
      <w:framePr w:wrap="around" w:vAnchor="text" w:hAnchor="margin" w:xAlign="right" w:y="1"/>
      <w:rPr>
        <w:rStyle w:val="PageNumber"/>
      </w:rPr>
    </w:pPr>
    <w:r>
      <w:rPr>
        <w:rStyle w:val="PageNumber"/>
      </w:rPr>
      <w:fldChar w:fldCharType="begin"/>
    </w:r>
    <w:r w:rsidR="00A4686F">
      <w:rPr>
        <w:rStyle w:val="PageNumber"/>
      </w:rPr>
      <w:instrText xml:space="preserve">PAGE  </w:instrText>
    </w:r>
    <w:r>
      <w:rPr>
        <w:rStyle w:val="PageNumber"/>
      </w:rPr>
      <w:fldChar w:fldCharType="end"/>
    </w:r>
  </w:p>
  <w:p w:rsidR="00A4686F" w:rsidRDefault="00A4686F" w:rsidP="00766D8B">
    <w:pPr>
      <w:pStyle w:val="Header"/>
      <w:ind w:right="360"/>
    </w:pPr>
  </w:p>
  <w:p w:rsidR="00A4686F" w:rsidRDefault="00A4686F"/>
  <w:p w:rsidR="00A4686F" w:rsidRDefault="00A4686F" w:rsidP="007E6833"/>
  <w:p w:rsidR="00A4686F" w:rsidRDefault="00A4686F"/>
  <w:p w:rsidR="00A4686F" w:rsidRDefault="00A4686F" w:rsidP="00D4624A"/>
  <w:p w:rsidR="00A4686F" w:rsidRDefault="00A4686F" w:rsidP="00D4624A"/>
  <w:p w:rsidR="00A4686F" w:rsidRDefault="00A4686F" w:rsidP="00D4624A"/>
  <w:p w:rsidR="00A4686F" w:rsidRDefault="00A4686F" w:rsidP="00D462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6F" w:rsidRDefault="00A4686F" w:rsidP="00407C25">
    <w:pPr>
      <w:pStyle w:val="Header"/>
      <w:framePr w:wrap="around" w:vAnchor="text" w:hAnchor="margin" w:xAlign="right" w:y="1"/>
      <w:rPr>
        <w:rStyle w:val="PageNumber"/>
      </w:rPr>
    </w:pPr>
  </w:p>
  <w:tbl>
    <w:tblPr>
      <w:tblStyle w:val="TableGrid"/>
      <w:tblW w:w="0" w:type="auto"/>
      <w:shd w:val="clear" w:color="auto" w:fill="E4F2E0"/>
      <w:tblLook w:val="04A0"/>
    </w:tblPr>
    <w:tblGrid>
      <w:gridCol w:w="8720"/>
    </w:tblGrid>
    <w:tr w:rsidR="00BB7B46" w:rsidTr="00335548">
      <w:tc>
        <w:tcPr>
          <w:tcW w:w="8720" w:type="dxa"/>
          <w:shd w:val="clear" w:color="auto" w:fill="E4F2E0"/>
        </w:tcPr>
        <w:p w:rsidR="00BB7B46" w:rsidRPr="00BB7B46" w:rsidRDefault="00BB7B46" w:rsidP="00335548">
          <w:pPr>
            <w:spacing w:before="40" w:after="40"/>
            <w:rPr>
              <w:rFonts w:asciiTheme="majorHAnsi" w:hAnsiTheme="majorHAnsi"/>
              <w:b/>
              <w:sz w:val="20"/>
              <w:szCs w:val="20"/>
            </w:rPr>
          </w:pPr>
          <w:r w:rsidRPr="00BB7B46">
            <w:rPr>
              <w:rFonts w:asciiTheme="majorHAnsi" w:hAnsiTheme="majorHAnsi"/>
              <w:b/>
              <w:sz w:val="20"/>
              <w:szCs w:val="20"/>
            </w:rPr>
            <w:t xml:space="preserve">Attachment 1: Product information for </w:t>
          </w:r>
          <w:proofErr w:type="spellStart"/>
          <w:r w:rsidRPr="00BB7B46">
            <w:rPr>
              <w:rFonts w:asciiTheme="majorHAnsi" w:hAnsiTheme="majorHAnsi"/>
              <w:b/>
              <w:sz w:val="20"/>
              <w:szCs w:val="20"/>
            </w:rPr>
            <w:t>AusPAR</w:t>
          </w:r>
          <w:proofErr w:type="spellEnd"/>
          <w:r w:rsidRPr="00BB7B46">
            <w:rPr>
              <w:rFonts w:asciiTheme="majorHAnsi" w:hAnsiTheme="majorHAnsi"/>
              <w:b/>
              <w:sz w:val="20"/>
              <w:szCs w:val="20"/>
            </w:rPr>
            <w:t xml:space="preserve"> </w:t>
          </w:r>
          <w:proofErr w:type="spellStart"/>
          <w:r w:rsidRPr="00BB7B46">
            <w:rPr>
              <w:rFonts w:asciiTheme="majorHAnsi" w:hAnsiTheme="majorHAnsi"/>
              <w:b/>
              <w:sz w:val="20"/>
              <w:szCs w:val="20"/>
            </w:rPr>
            <w:t>Cinryze</w:t>
          </w:r>
          <w:proofErr w:type="spellEnd"/>
          <w:r w:rsidRPr="00BB7B46">
            <w:rPr>
              <w:rFonts w:asciiTheme="majorHAnsi" w:hAnsiTheme="majorHAnsi"/>
              <w:b/>
              <w:sz w:val="20"/>
              <w:szCs w:val="20"/>
            </w:rPr>
            <w:t xml:space="preserve"> </w:t>
          </w:r>
          <w:proofErr w:type="spellStart"/>
          <w:r w:rsidRPr="00BB7B46">
            <w:rPr>
              <w:rFonts w:asciiTheme="majorHAnsi" w:hAnsiTheme="majorHAnsi"/>
              <w:b/>
              <w:sz w:val="20"/>
              <w:szCs w:val="20"/>
            </w:rPr>
            <w:t>Cedarglen</w:t>
          </w:r>
          <w:proofErr w:type="spellEnd"/>
          <w:r w:rsidRPr="00BB7B46">
            <w:rPr>
              <w:rFonts w:asciiTheme="majorHAnsi" w:hAnsiTheme="majorHAnsi"/>
              <w:b/>
              <w:sz w:val="20"/>
              <w:szCs w:val="20"/>
            </w:rPr>
            <w:t xml:space="preserve"> Investments Pty Ltd PM-2010-03159-3-2 Final 29 July 2013. This Product Information was approved at the time this </w:t>
          </w:r>
          <w:proofErr w:type="spellStart"/>
          <w:r w:rsidRPr="00BB7B46">
            <w:rPr>
              <w:rFonts w:asciiTheme="majorHAnsi" w:hAnsiTheme="majorHAnsi"/>
              <w:b/>
              <w:sz w:val="20"/>
              <w:szCs w:val="20"/>
            </w:rPr>
            <w:t>AusPAR</w:t>
          </w:r>
          <w:proofErr w:type="spellEnd"/>
          <w:r w:rsidRPr="00BB7B46">
            <w:rPr>
              <w:rFonts w:asciiTheme="majorHAnsi" w:hAnsiTheme="majorHAnsi"/>
              <w:b/>
              <w:sz w:val="20"/>
              <w:szCs w:val="20"/>
            </w:rPr>
            <w:t xml:space="preserve"> was published.</w:t>
          </w:r>
        </w:p>
      </w:tc>
    </w:tr>
  </w:tbl>
  <w:p w:rsidR="00A4686F" w:rsidRDefault="00A4686F" w:rsidP="00BB7B4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44282E"/>
    <w:lvl w:ilvl="0">
      <w:start w:val="1"/>
      <w:numFmt w:val="decimal"/>
      <w:lvlText w:val="%1."/>
      <w:lvlJc w:val="left"/>
      <w:pPr>
        <w:tabs>
          <w:tab w:val="num" w:pos="1492"/>
        </w:tabs>
        <w:ind w:left="1492" w:hanging="360"/>
      </w:pPr>
    </w:lvl>
  </w:abstractNum>
  <w:abstractNum w:abstractNumId="1">
    <w:nsid w:val="FFFFFF7D"/>
    <w:multiLevelType w:val="singleLevel"/>
    <w:tmpl w:val="7D9AF3B6"/>
    <w:lvl w:ilvl="0">
      <w:start w:val="1"/>
      <w:numFmt w:val="decimal"/>
      <w:lvlText w:val="%1."/>
      <w:lvlJc w:val="left"/>
      <w:pPr>
        <w:tabs>
          <w:tab w:val="num" w:pos="1209"/>
        </w:tabs>
        <w:ind w:left="1209" w:hanging="360"/>
      </w:pPr>
    </w:lvl>
  </w:abstractNum>
  <w:abstractNum w:abstractNumId="2">
    <w:nsid w:val="FFFFFF7E"/>
    <w:multiLevelType w:val="singleLevel"/>
    <w:tmpl w:val="2DF6A708"/>
    <w:lvl w:ilvl="0">
      <w:start w:val="1"/>
      <w:numFmt w:val="decimal"/>
      <w:lvlText w:val="%1."/>
      <w:lvlJc w:val="left"/>
      <w:pPr>
        <w:tabs>
          <w:tab w:val="num" w:pos="926"/>
        </w:tabs>
        <w:ind w:left="926" w:hanging="360"/>
      </w:pPr>
    </w:lvl>
  </w:abstractNum>
  <w:abstractNum w:abstractNumId="3">
    <w:nsid w:val="FFFFFF7F"/>
    <w:multiLevelType w:val="singleLevel"/>
    <w:tmpl w:val="57EA1F5A"/>
    <w:lvl w:ilvl="0">
      <w:start w:val="1"/>
      <w:numFmt w:val="decimal"/>
      <w:lvlText w:val="%1."/>
      <w:lvlJc w:val="left"/>
      <w:pPr>
        <w:tabs>
          <w:tab w:val="num" w:pos="643"/>
        </w:tabs>
        <w:ind w:left="643" w:hanging="360"/>
      </w:pPr>
    </w:lvl>
  </w:abstractNum>
  <w:abstractNum w:abstractNumId="4">
    <w:nsid w:val="FFFFFF80"/>
    <w:multiLevelType w:val="singleLevel"/>
    <w:tmpl w:val="5E2C47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C29C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FE9E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4A5D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D01908"/>
    <w:lvl w:ilvl="0">
      <w:start w:val="1"/>
      <w:numFmt w:val="decimal"/>
      <w:lvlText w:val="%1."/>
      <w:lvlJc w:val="left"/>
      <w:pPr>
        <w:tabs>
          <w:tab w:val="num" w:pos="360"/>
        </w:tabs>
        <w:ind w:left="360" w:hanging="360"/>
      </w:pPr>
    </w:lvl>
  </w:abstractNum>
  <w:abstractNum w:abstractNumId="9">
    <w:nsid w:val="FFFFFF89"/>
    <w:multiLevelType w:val="singleLevel"/>
    <w:tmpl w:val="40D80C6C"/>
    <w:lvl w:ilvl="0">
      <w:start w:val="1"/>
      <w:numFmt w:val="bullet"/>
      <w:lvlText w:val=""/>
      <w:lvlJc w:val="left"/>
      <w:pPr>
        <w:tabs>
          <w:tab w:val="num" w:pos="360"/>
        </w:tabs>
        <w:ind w:left="360" w:hanging="360"/>
      </w:pPr>
      <w:rPr>
        <w:rFonts w:ascii="Symbol" w:hAnsi="Symbol" w:hint="default"/>
      </w:rPr>
    </w:lvl>
  </w:abstractNum>
  <w:abstractNum w:abstractNumId="10">
    <w:nsid w:val="14232A31"/>
    <w:multiLevelType w:val="hybridMultilevel"/>
    <w:tmpl w:val="A162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FD4AE2"/>
    <w:multiLevelType w:val="hybridMultilevel"/>
    <w:tmpl w:val="0E96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BF453E"/>
    <w:multiLevelType w:val="hybridMultilevel"/>
    <w:tmpl w:val="E1DEB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3C5DC9"/>
    <w:multiLevelType w:val="hybridMultilevel"/>
    <w:tmpl w:val="61FC5A5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10524B8"/>
    <w:multiLevelType w:val="hybridMultilevel"/>
    <w:tmpl w:val="A15E1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8B38CD"/>
    <w:multiLevelType w:val="hybridMultilevel"/>
    <w:tmpl w:val="BCE64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74159EC"/>
    <w:multiLevelType w:val="hybridMultilevel"/>
    <w:tmpl w:val="0402FE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14"/>
  </w:num>
  <w:num w:numId="4">
    <w:abstractNumId w:val="16"/>
  </w:num>
  <w:num w:numId="5">
    <w:abstractNumId w:val="13"/>
  </w:num>
  <w:num w:numId="6">
    <w:abstractNumId w:val="1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8"/>
  <w:defaultTabStop w:val="720"/>
  <w:characterSpacingControl w:val="doNotCompress"/>
  <w:footnotePr>
    <w:footnote w:id="-1"/>
    <w:footnote w:id="0"/>
  </w:footnotePr>
  <w:endnotePr>
    <w:endnote w:id="-1"/>
    <w:endnote w:id="0"/>
  </w:endnotePr>
  <w:compat/>
  <w:rsids>
    <w:rsidRoot w:val="0054730B"/>
    <w:rsid w:val="00016F6B"/>
    <w:rsid w:val="0002395C"/>
    <w:rsid w:val="00063F1E"/>
    <w:rsid w:val="00064555"/>
    <w:rsid w:val="00064FC4"/>
    <w:rsid w:val="00066F85"/>
    <w:rsid w:val="00067423"/>
    <w:rsid w:val="00077389"/>
    <w:rsid w:val="00085659"/>
    <w:rsid w:val="00090C65"/>
    <w:rsid w:val="000B03E9"/>
    <w:rsid w:val="0010746D"/>
    <w:rsid w:val="00113D8D"/>
    <w:rsid w:val="00122F88"/>
    <w:rsid w:val="00135ADF"/>
    <w:rsid w:val="00145640"/>
    <w:rsid w:val="0016116C"/>
    <w:rsid w:val="00166A21"/>
    <w:rsid w:val="001A6FCC"/>
    <w:rsid w:val="001B2738"/>
    <w:rsid w:val="00202FA7"/>
    <w:rsid w:val="0021772D"/>
    <w:rsid w:val="00231F5C"/>
    <w:rsid w:val="00255338"/>
    <w:rsid w:val="002701CD"/>
    <w:rsid w:val="002B1EF0"/>
    <w:rsid w:val="002B74DF"/>
    <w:rsid w:val="002D0AE8"/>
    <w:rsid w:val="00302FBA"/>
    <w:rsid w:val="003722B1"/>
    <w:rsid w:val="003B4CBA"/>
    <w:rsid w:val="003D79C6"/>
    <w:rsid w:val="00407C25"/>
    <w:rsid w:val="00413DE6"/>
    <w:rsid w:val="00462C45"/>
    <w:rsid w:val="004712DA"/>
    <w:rsid w:val="00477363"/>
    <w:rsid w:val="0048331D"/>
    <w:rsid w:val="00484F75"/>
    <w:rsid w:val="004A4F4C"/>
    <w:rsid w:val="004C1858"/>
    <w:rsid w:val="00541956"/>
    <w:rsid w:val="00541BFE"/>
    <w:rsid w:val="0054730B"/>
    <w:rsid w:val="00565B9E"/>
    <w:rsid w:val="0057401C"/>
    <w:rsid w:val="005751C2"/>
    <w:rsid w:val="0059553B"/>
    <w:rsid w:val="005B5E58"/>
    <w:rsid w:val="005C64CC"/>
    <w:rsid w:val="005E2DF3"/>
    <w:rsid w:val="00604B26"/>
    <w:rsid w:val="006055C2"/>
    <w:rsid w:val="00625187"/>
    <w:rsid w:val="0063553E"/>
    <w:rsid w:val="00644EC9"/>
    <w:rsid w:val="00692790"/>
    <w:rsid w:val="00696417"/>
    <w:rsid w:val="006B0C26"/>
    <w:rsid w:val="006D55A9"/>
    <w:rsid w:val="006F30EE"/>
    <w:rsid w:val="00705A52"/>
    <w:rsid w:val="00721FF3"/>
    <w:rsid w:val="0072670C"/>
    <w:rsid w:val="00754386"/>
    <w:rsid w:val="00764699"/>
    <w:rsid w:val="00766D8B"/>
    <w:rsid w:val="00771096"/>
    <w:rsid w:val="00771A18"/>
    <w:rsid w:val="007B45CE"/>
    <w:rsid w:val="007C6E61"/>
    <w:rsid w:val="007E6833"/>
    <w:rsid w:val="007E7E70"/>
    <w:rsid w:val="00807B25"/>
    <w:rsid w:val="00810481"/>
    <w:rsid w:val="00824778"/>
    <w:rsid w:val="00825E5D"/>
    <w:rsid w:val="008351FC"/>
    <w:rsid w:val="008359D6"/>
    <w:rsid w:val="008564E5"/>
    <w:rsid w:val="00875A5A"/>
    <w:rsid w:val="00883986"/>
    <w:rsid w:val="00885998"/>
    <w:rsid w:val="00886AEE"/>
    <w:rsid w:val="00887B23"/>
    <w:rsid w:val="008C3338"/>
    <w:rsid w:val="008F68F8"/>
    <w:rsid w:val="0090567E"/>
    <w:rsid w:val="009378CD"/>
    <w:rsid w:val="0093799D"/>
    <w:rsid w:val="00953CD7"/>
    <w:rsid w:val="00962589"/>
    <w:rsid w:val="00971783"/>
    <w:rsid w:val="00982321"/>
    <w:rsid w:val="009A4468"/>
    <w:rsid w:val="009B2FFA"/>
    <w:rsid w:val="009C57B0"/>
    <w:rsid w:val="009D7D0C"/>
    <w:rsid w:val="009F1D63"/>
    <w:rsid w:val="009F3B7C"/>
    <w:rsid w:val="00A1787C"/>
    <w:rsid w:val="00A4686F"/>
    <w:rsid w:val="00A747BE"/>
    <w:rsid w:val="00A820A7"/>
    <w:rsid w:val="00A94D5B"/>
    <w:rsid w:val="00AA213D"/>
    <w:rsid w:val="00AB1220"/>
    <w:rsid w:val="00AD3ED0"/>
    <w:rsid w:val="00AF0395"/>
    <w:rsid w:val="00AF2653"/>
    <w:rsid w:val="00B253F2"/>
    <w:rsid w:val="00B27B5E"/>
    <w:rsid w:val="00B37934"/>
    <w:rsid w:val="00B41EE0"/>
    <w:rsid w:val="00B55D66"/>
    <w:rsid w:val="00B57A53"/>
    <w:rsid w:val="00B659EC"/>
    <w:rsid w:val="00B721F8"/>
    <w:rsid w:val="00BA0B61"/>
    <w:rsid w:val="00BB71BA"/>
    <w:rsid w:val="00BB7807"/>
    <w:rsid w:val="00BB7B46"/>
    <w:rsid w:val="00BB7E0D"/>
    <w:rsid w:val="00BC51A6"/>
    <w:rsid w:val="00BF271D"/>
    <w:rsid w:val="00C23F7F"/>
    <w:rsid w:val="00C47623"/>
    <w:rsid w:val="00C709F6"/>
    <w:rsid w:val="00C77E51"/>
    <w:rsid w:val="00C82077"/>
    <w:rsid w:val="00C8542C"/>
    <w:rsid w:val="00C8687C"/>
    <w:rsid w:val="00CA1A52"/>
    <w:rsid w:val="00CA7EA6"/>
    <w:rsid w:val="00CF704C"/>
    <w:rsid w:val="00D17F99"/>
    <w:rsid w:val="00D2259B"/>
    <w:rsid w:val="00D302C6"/>
    <w:rsid w:val="00D310F7"/>
    <w:rsid w:val="00D32746"/>
    <w:rsid w:val="00D4624A"/>
    <w:rsid w:val="00D5027D"/>
    <w:rsid w:val="00D540CF"/>
    <w:rsid w:val="00D825DF"/>
    <w:rsid w:val="00DD32BF"/>
    <w:rsid w:val="00DD7C37"/>
    <w:rsid w:val="00DE1A5F"/>
    <w:rsid w:val="00DE6F4C"/>
    <w:rsid w:val="00DF2265"/>
    <w:rsid w:val="00E1203A"/>
    <w:rsid w:val="00E47FBB"/>
    <w:rsid w:val="00E53389"/>
    <w:rsid w:val="00EB7174"/>
    <w:rsid w:val="00EB717C"/>
    <w:rsid w:val="00EC31B9"/>
    <w:rsid w:val="00ED15A5"/>
    <w:rsid w:val="00ED2CAB"/>
    <w:rsid w:val="00EE0D08"/>
    <w:rsid w:val="00F04286"/>
    <w:rsid w:val="00F21B74"/>
    <w:rsid w:val="00F24AF8"/>
    <w:rsid w:val="00FB2BBF"/>
    <w:rsid w:val="00FB3F08"/>
    <w:rsid w:val="00FD07B7"/>
    <w:rsid w:val="00FE214D"/>
    <w:rsid w:val="00FE2D93"/>
    <w:rsid w:val="00FE7B4D"/>
    <w:rsid w:val="00FF558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4A"/>
    <w:rPr>
      <w:rFonts w:ascii="Arial" w:hAnsi="Arial"/>
      <w:sz w:val="24"/>
      <w:szCs w:val="24"/>
      <w:lang w:val="en-AU"/>
    </w:rPr>
  </w:style>
  <w:style w:type="paragraph" w:styleId="Heading2">
    <w:name w:val="heading 2"/>
    <w:basedOn w:val="Normal"/>
    <w:next w:val="Normal"/>
    <w:link w:val="Heading2Char"/>
    <w:unhideWhenUsed/>
    <w:qFormat/>
    <w:locked/>
    <w:rsid w:val="00A4686F"/>
    <w:pPr>
      <w:spacing w:after="240"/>
      <w:outlineLvl w:val="1"/>
    </w:pPr>
    <w:rPr>
      <w:rFonts w:cs="Arial"/>
      <w:b/>
    </w:rPr>
  </w:style>
  <w:style w:type="paragraph" w:styleId="Heading3">
    <w:name w:val="heading 3"/>
    <w:basedOn w:val="Normal"/>
    <w:next w:val="Normal"/>
    <w:link w:val="Heading3Char"/>
    <w:unhideWhenUsed/>
    <w:qFormat/>
    <w:locked/>
    <w:rsid w:val="00A4686F"/>
    <w:pPr>
      <w:autoSpaceDE w:val="0"/>
      <w:autoSpaceDN w:val="0"/>
      <w:adjustRightInd w:val="0"/>
      <w:spacing w:after="240"/>
      <w:outlineLvl w:val="2"/>
    </w:pPr>
    <w:rPr>
      <w:rFonts w:cs="Arial"/>
      <w:b/>
      <w:bCs/>
      <w:i/>
    </w:rPr>
  </w:style>
  <w:style w:type="paragraph" w:styleId="Heading4">
    <w:name w:val="heading 4"/>
    <w:basedOn w:val="EMEAEnBodyText"/>
    <w:next w:val="Normal"/>
    <w:link w:val="Heading4Char"/>
    <w:unhideWhenUsed/>
    <w:qFormat/>
    <w:locked/>
    <w:rsid w:val="00A4686F"/>
    <w:pPr>
      <w:outlineLvl w:val="3"/>
    </w:pPr>
    <w:rPr>
      <w:rFonts w:ascii="Arial" w:hAnsi="Arial" w:cs="Arial"/>
      <w:b/>
      <w:bCs/>
      <w:i/>
      <w:noProof/>
      <w:lang w:val="en-GB"/>
    </w:rPr>
  </w:style>
  <w:style w:type="paragraph" w:styleId="Heading5">
    <w:name w:val="heading 5"/>
    <w:basedOn w:val="Normal"/>
    <w:next w:val="Normal"/>
    <w:link w:val="Heading5Char"/>
    <w:unhideWhenUsed/>
    <w:qFormat/>
    <w:locked/>
    <w:rsid w:val="00A4686F"/>
    <w:pPr>
      <w:autoSpaceDE w:val="0"/>
      <w:autoSpaceDN w:val="0"/>
      <w:adjustRightInd w:val="0"/>
      <w:spacing w:after="240"/>
      <w:outlineLvl w:val="4"/>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A7EA6"/>
    <w:pPr>
      <w:spacing w:after="120" w:line="480" w:lineRule="auto"/>
    </w:pPr>
    <w:rPr>
      <w:sz w:val="22"/>
      <w:szCs w:val="22"/>
      <w:lang w:val="en-US"/>
    </w:rPr>
  </w:style>
  <w:style w:type="character" w:customStyle="1" w:styleId="BodyText2Char">
    <w:name w:val="Body Text 2 Char"/>
    <w:basedOn w:val="DefaultParagraphFont"/>
    <w:link w:val="BodyText2"/>
    <w:uiPriority w:val="99"/>
    <w:locked/>
    <w:rsid w:val="00CA7EA6"/>
    <w:rPr>
      <w:rFonts w:eastAsia="Times New Roman" w:cs="Times New Roman"/>
      <w:sz w:val="22"/>
      <w:szCs w:val="22"/>
      <w:lang w:val="en-US" w:eastAsia="en-US" w:bidi="ar-SA"/>
    </w:rPr>
  </w:style>
  <w:style w:type="character" w:customStyle="1" w:styleId="ParagraphChar">
    <w:name w:val="Paragraph Char"/>
    <w:basedOn w:val="DefaultParagraphFont"/>
    <w:link w:val="Paragraph"/>
    <w:uiPriority w:val="99"/>
    <w:locked/>
    <w:rsid w:val="00CA7EA6"/>
    <w:rPr>
      <w:rFonts w:cs="Times New Roman"/>
      <w:lang w:bidi="ar-SA"/>
    </w:rPr>
  </w:style>
  <w:style w:type="paragraph" w:customStyle="1" w:styleId="Paragraph">
    <w:name w:val="Paragraph"/>
    <w:basedOn w:val="Normal"/>
    <w:link w:val="ParagraphChar"/>
    <w:uiPriority w:val="99"/>
    <w:rsid w:val="00CA7EA6"/>
    <w:pPr>
      <w:spacing w:after="120"/>
    </w:pPr>
    <w:rPr>
      <w:sz w:val="20"/>
      <w:szCs w:val="20"/>
      <w:lang w:val="en-US"/>
    </w:rPr>
  </w:style>
  <w:style w:type="paragraph" w:styleId="Header">
    <w:name w:val="header"/>
    <w:basedOn w:val="Normal"/>
    <w:link w:val="HeaderChar"/>
    <w:uiPriority w:val="99"/>
    <w:rsid w:val="00766D8B"/>
    <w:pPr>
      <w:tabs>
        <w:tab w:val="center" w:pos="4320"/>
        <w:tab w:val="right" w:pos="8640"/>
      </w:tabs>
    </w:pPr>
  </w:style>
  <w:style w:type="character" w:customStyle="1" w:styleId="HeaderChar">
    <w:name w:val="Header Char"/>
    <w:basedOn w:val="DefaultParagraphFont"/>
    <w:link w:val="Header"/>
    <w:uiPriority w:val="99"/>
    <w:semiHidden/>
    <w:locked/>
    <w:rsid w:val="00875A5A"/>
    <w:rPr>
      <w:rFonts w:cs="Times New Roman"/>
      <w:sz w:val="24"/>
      <w:szCs w:val="24"/>
      <w:lang w:val="en-AU"/>
    </w:rPr>
  </w:style>
  <w:style w:type="character" w:styleId="PageNumber">
    <w:name w:val="page number"/>
    <w:basedOn w:val="DefaultParagraphFont"/>
    <w:uiPriority w:val="99"/>
    <w:rsid w:val="00766D8B"/>
    <w:rPr>
      <w:rFonts w:cs="Times New Roman"/>
    </w:rPr>
  </w:style>
  <w:style w:type="paragraph" w:styleId="ListParagraph">
    <w:name w:val="List Paragraph"/>
    <w:basedOn w:val="Normal"/>
    <w:uiPriority w:val="99"/>
    <w:qFormat/>
    <w:rsid w:val="0072670C"/>
    <w:pPr>
      <w:spacing w:after="200"/>
      <w:ind w:left="720"/>
      <w:contextualSpacing/>
    </w:pPr>
    <w:rPr>
      <w:sz w:val="22"/>
      <w:szCs w:val="22"/>
      <w:lang w:val="en-US"/>
    </w:rPr>
  </w:style>
  <w:style w:type="paragraph" w:customStyle="1" w:styleId="TableTitle">
    <w:name w:val="Table Title"/>
    <w:basedOn w:val="Normal"/>
    <w:uiPriority w:val="99"/>
    <w:rsid w:val="007E6833"/>
    <w:pPr>
      <w:keepNext/>
      <w:keepLines/>
      <w:outlineLvl w:val="0"/>
    </w:pPr>
    <w:rPr>
      <w:rFonts w:cs="Arial"/>
      <w:b/>
      <w:noProof/>
    </w:rPr>
  </w:style>
  <w:style w:type="paragraph" w:customStyle="1" w:styleId="Default">
    <w:name w:val="Default"/>
    <w:uiPriority w:val="99"/>
    <w:rsid w:val="00413DE6"/>
    <w:pPr>
      <w:autoSpaceDE w:val="0"/>
      <w:autoSpaceDN w:val="0"/>
      <w:adjustRightInd w:val="0"/>
    </w:pPr>
    <w:rPr>
      <w:color w:val="000000"/>
      <w:sz w:val="24"/>
      <w:szCs w:val="24"/>
    </w:rPr>
  </w:style>
  <w:style w:type="paragraph" w:customStyle="1" w:styleId="EMEAEnBodyText">
    <w:name w:val="EMEA En Body Text"/>
    <w:basedOn w:val="Default"/>
    <w:next w:val="Default"/>
    <w:uiPriority w:val="99"/>
    <w:rsid w:val="00413DE6"/>
    <w:rPr>
      <w:color w:val="auto"/>
    </w:rPr>
  </w:style>
  <w:style w:type="paragraph" w:customStyle="1" w:styleId="Lemm1">
    <w:name w:val="Lemm1"/>
    <w:basedOn w:val="Normal"/>
    <w:uiPriority w:val="99"/>
    <w:rsid w:val="00644EC9"/>
    <w:rPr>
      <w:sz w:val="22"/>
      <w:szCs w:val="20"/>
      <w:lang w:val="en-US"/>
    </w:rPr>
  </w:style>
  <w:style w:type="paragraph" w:styleId="BalloonText">
    <w:name w:val="Balloon Text"/>
    <w:basedOn w:val="Normal"/>
    <w:link w:val="BalloonTextChar"/>
    <w:uiPriority w:val="99"/>
    <w:rsid w:val="008359D6"/>
    <w:rPr>
      <w:rFonts w:ascii="Tahoma" w:hAnsi="Tahoma" w:cs="Tahoma"/>
      <w:sz w:val="16"/>
      <w:szCs w:val="16"/>
    </w:rPr>
  </w:style>
  <w:style w:type="character" w:customStyle="1" w:styleId="BalloonTextChar">
    <w:name w:val="Balloon Text Char"/>
    <w:basedOn w:val="DefaultParagraphFont"/>
    <w:link w:val="BalloonText"/>
    <w:uiPriority w:val="99"/>
    <w:locked/>
    <w:rsid w:val="008359D6"/>
    <w:rPr>
      <w:rFonts w:ascii="Tahoma" w:hAnsi="Tahoma" w:cs="Tahoma"/>
      <w:sz w:val="16"/>
      <w:szCs w:val="16"/>
      <w:lang w:val="en-AU"/>
    </w:rPr>
  </w:style>
  <w:style w:type="character" w:styleId="CommentReference">
    <w:name w:val="annotation reference"/>
    <w:basedOn w:val="DefaultParagraphFont"/>
    <w:uiPriority w:val="99"/>
    <w:rsid w:val="00953CD7"/>
    <w:rPr>
      <w:rFonts w:cs="Times New Roman"/>
      <w:sz w:val="16"/>
      <w:szCs w:val="16"/>
    </w:rPr>
  </w:style>
  <w:style w:type="paragraph" w:styleId="CommentText">
    <w:name w:val="annotation text"/>
    <w:basedOn w:val="Normal"/>
    <w:link w:val="CommentTextChar"/>
    <w:uiPriority w:val="99"/>
    <w:rsid w:val="00953CD7"/>
    <w:rPr>
      <w:sz w:val="20"/>
      <w:szCs w:val="20"/>
    </w:rPr>
  </w:style>
  <w:style w:type="character" w:customStyle="1" w:styleId="CommentTextChar">
    <w:name w:val="Comment Text Char"/>
    <w:basedOn w:val="DefaultParagraphFont"/>
    <w:link w:val="CommentText"/>
    <w:uiPriority w:val="99"/>
    <w:locked/>
    <w:rsid w:val="00953CD7"/>
    <w:rPr>
      <w:rFonts w:cs="Times New Roman"/>
      <w:lang w:val="en-AU"/>
    </w:rPr>
  </w:style>
  <w:style w:type="paragraph" w:styleId="CommentSubject">
    <w:name w:val="annotation subject"/>
    <w:basedOn w:val="CommentText"/>
    <w:next w:val="CommentText"/>
    <w:link w:val="CommentSubjectChar"/>
    <w:uiPriority w:val="99"/>
    <w:rsid w:val="00953CD7"/>
    <w:rPr>
      <w:b/>
      <w:bCs/>
    </w:rPr>
  </w:style>
  <w:style w:type="character" w:customStyle="1" w:styleId="CommentSubjectChar">
    <w:name w:val="Comment Subject Char"/>
    <w:basedOn w:val="CommentTextChar"/>
    <w:link w:val="CommentSubject"/>
    <w:uiPriority w:val="99"/>
    <w:locked/>
    <w:rsid w:val="00953CD7"/>
    <w:rPr>
      <w:b/>
      <w:bCs/>
    </w:rPr>
  </w:style>
  <w:style w:type="paragraph" w:styleId="PlainText">
    <w:name w:val="Plain Text"/>
    <w:basedOn w:val="Normal"/>
    <w:link w:val="PlainTextChar"/>
    <w:uiPriority w:val="99"/>
    <w:rsid w:val="00067423"/>
    <w:rPr>
      <w:rFonts w:ascii="Consolas" w:hAnsi="Consolas"/>
      <w:sz w:val="21"/>
      <w:szCs w:val="21"/>
      <w:lang w:val="en-US"/>
    </w:rPr>
  </w:style>
  <w:style w:type="character" w:customStyle="1" w:styleId="PlainTextChar">
    <w:name w:val="Plain Text Char"/>
    <w:basedOn w:val="DefaultParagraphFont"/>
    <w:link w:val="PlainText"/>
    <w:uiPriority w:val="99"/>
    <w:locked/>
    <w:rsid w:val="00067423"/>
    <w:rPr>
      <w:rFonts w:ascii="Consolas" w:hAnsi="Consolas" w:cs="Times New Roman"/>
      <w:sz w:val="21"/>
      <w:szCs w:val="21"/>
    </w:rPr>
  </w:style>
  <w:style w:type="paragraph" w:styleId="Footer">
    <w:name w:val="footer"/>
    <w:basedOn w:val="Normal"/>
    <w:link w:val="FooterChar"/>
    <w:uiPriority w:val="99"/>
    <w:semiHidden/>
    <w:unhideWhenUsed/>
    <w:rsid w:val="007C6E61"/>
    <w:pPr>
      <w:tabs>
        <w:tab w:val="center" w:pos="4680"/>
        <w:tab w:val="right" w:pos="9360"/>
      </w:tabs>
    </w:pPr>
  </w:style>
  <w:style w:type="character" w:customStyle="1" w:styleId="FooterChar">
    <w:name w:val="Footer Char"/>
    <w:basedOn w:val="DefaultParagraphFont"/>
    <w:link w:val="Footer"/>
    <w:uiPriority w:val="99"/>
    <w:semiHidden/>
    <w:rsid w:val="007C6E61"/>
    <w:rPr>
      <w:sz w:val="24"/>
      <w:szCs w:val="24"/>
      <w:lang w:val="en-AU"/>
    </w:rPr>
  </w:style>
  <w:style w:type="paragraph" w:styleId="Title">
    <w:name w:val="Title"/>
    <w:basedOn w:val="Normal"/>
    <w:next w:val="Normal"/>
    <w:link w:val="TitleChar"/>
    <w:qFormat/>
    <w:locked/>
    <w:rsid w:val="007E6833"/>
    <w:rPr>
      <w:rFonts w:cs="Arial"/>
      <w:b/>
      <w:sz w:val="28"/>
      <w:szCs w:val="28"/>
    </w:rPr>
  </w:style>
  <w:style w:type="character" w:customStyle="1" w:styleId="TitleChar">
    <w:name w:val="Title Char"/>
    <w:basedOn w:val="DefaultParagraphFont"/>
    <w:link w:val="Title"/>
    <w:rsid w:val="007E6833"/>
    <w:rPr>
      <w:rFonts w:ascii="Arial" w:hAnsi="Arial" w:cs="Arial"/>
      <w:b/>
      <w:sz w:val="28"/>
      <w:szCs w:val="28"/>
      <w:lang w:val="en-AU"/>
    </w:rPr>
  </w:style>
  <w:style w:type="character" w:customStyle="1" w:styleId="Heading2Char">
    <w:name w:val="Heading 2 Char"/>
    <w:basedOn w:val="DefaultParagraphFont"/>
    <w:link w:val="Heading2"/>
    <w:rsid w:val="00A4686F"/>
    <w:rPr>
      <w:rFonts w:ascii="Arial" w:hAnsi="Arial" w:cs="Arial"/>
      <w:b/>
      <w:sz w:val="24"/>
      <w:szCs w:val="24"/>
      <w:lang w:val="en-AU"/>
    </w:rPr>
  </w:style>
  <w:style w:type="character" w:customStyle="1" w:styleId="Heading3Char">
    <w:name w:val="Heading 3 Char"/>
    <w:basedOn w:val="DefaultParagraphFont"/>
    <w:link w:val="Heading3"/>
    <w:rsid w:val="00A4686F"/>
    <w:rPr>
      <w:rFonts w:ascii="Arial" w:hAnsi="Arial" w:cs="Arial"/>
      <w:b/>
      <w:bCs/>
      <w:i/>
      <w:sz w:val="24"/>
      <w:szCs w:val="24"/>
      <w:lang w:val="en-AU"/>
    </w:rPr>
  </w:style>
  <w:style w:type="character" w:customStyle="1" w:styleId="Heading5Char">
    <w:name w:val="Heading 5 Char"/>
    <w:basedOn w:val="DefaultParagraphFont"/>
    <w:link w:val="Heading5"/>
    <w:rsid w:val="00A4686F"/>
    <w:rPr>
      <w:rFonts w:ascii="Arial" w:hAnsi="Arial" w:cs="Arial"/>
      <w:sz w:val="24"/>
      <w:szCs w:val="24"/>
      <w:u w:val="single"/>
      <w:lang w:val="en-AU"/>
    </w:rPr>
  </w:style>
  <w:style w:type="character" w:customStyle="1" w:styleId="Heading4Char">
    <w:name w:val="Heading 4 Char"/>
    <w:basedOn w:val="DefaultParagraphFont"/>
    <w:link w:val="Heading4"/>
    <w:rsid w:val="00A4686F"/>
    <w:rPr>
      <w:rFonts w:ascii="Arial" w:hAnsi="Arial" w:cs="Arial"/>
      <w:b/>
      <w:bCs/>
      <w:i/>
      <w:noProof/>
      <w:sz w:val="24"/>
      <w:szCs w:val="24"/>
      <w:lang w:val="en-GB"/>
    </w:rPr>
  </w:style>
  <w:style w:type="table" w:styleId="TableGrid">
    <w:name w:val="Table Grid"/>
    <w:basedOn w:val="TableNormal"/>
    <w:uiPriority w:val="59"/>
    <w:locked/>
    <w:rsid w:val="00BB7B46"/>
    <w:rPr>
      <w:rFonts w:asciiTheme="minorHAnsi" w:eastAsia="Cambria" w:hAnsiTheme="minorHAnsi" w:cstheme="minorBidi"/>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792493">
      <w:marLeft w:val="0"/>
      <w:marRight w:val="0"/>
      <w:marTop w:val="0"/>
      <w:marBottom w:val="0"/>
      <w:divBdr>
        <w:top w:val="none" w:sz="0" w:space="0" w:color="auto"/>
        <w:left w:val="none" w:sz="0" w:space="0" w:color="auto"/>
        <w:bottom w:val="none" w:sz="0" w:space="0" w:color="auto"/>
        <w:right w:val="none" w:sz="0" w:space="0" w:color="auto"/>
      </w:divBdr>
    </w:div>
    <w:div w:id="364792494">
      <w:marLeft w:val="0"/>
      <w:marRight w:val="0"/>
      <w:marTop w:val="0"/>
      <w:marBottom w:val="0"/>
      <w:divBdr>
        <w:top w:val="none" w:sz="0" w:space="0" w:color="auto"/>
        <w:left w:val="none" w:sz="0" w:space="0" w:color="auto"/>
        <w:bottom w:val="none" w:sz="0" w:space="0" w:color="auto"/>
        <w:right w:val="none" w:sz="0" w:space="0" w:color="auto"/>
      </w:divBdr>
    </w:div>
    <w:div w:id="364792495">
      <w:marLeft w:val="0"/>
      <w:marRight w:val="0"/>
      <w:marTop w:val="0"/>
      <w:marBottom w:val="0"/>
      <w:divBdr>
        <w:top w:val="none" w:sz="0" w:space="0" w:color="auto"/>
        <w:left w:val="none" w:sz="0" w:space="0" w:color="auto"/>
        <w:bottom w:val="none" w:sz="0" w:space="0" w:color="auto"/>
        <w:right w:val="none" w:sz="0" w:space="0" w:color="auto"/>
      </w:divBdr>
    </w:div>
    <w:div w:id="364792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14</Pages>
  <Words>4257</Words>
  <Characters>23411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Attachment 1 - Product information for Cinryze</vt:lpstr>
    </vt:vector>
  </TitlesOfParts>
  <Company>ViroPharma Pty Ltd</Company>
  <LinksUpToDate>false</LinksUpToDate>
  <CharactersWithSpaces>27613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Product information for Cinryze</dc:title>
  <dc:subject>prescription medicine regulation</dc:subject>
  <dc:creator>ViroPharma Pty Ltd</dc:creator>
  <cp:keywords>auspar, prescription, medicine, assessment, regulation, australia, c1, esterase, inhibitor, cinryze, cedarglen, investments</cp:keywords>
  <cp:lastModifiedBy>dixonj</cp:lastModifiedBy>
  <cp:revision>9</cp:revision>
  <cp:lastPrinted>2010-09-20T21:58:00Z</cp:lastPrinted>
  <dcterms:created xsi:type="dcterms:W3CDTF">2013-07-23T10:09:00Z</dcterms:created>
  <dcterms:modified xsi:type="dcterms:W3CDTF">2013-10-02T05:29:00Z</dcterms:modified>
  <cp:category>External publication</cp:category>
</cp:coreProperties>
</file>