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8"/>
      </w:tblGrid>
      <w:tr w:rsidR="008E7846" w:rsidRPr="00487162" w:rsidTr="00CD7E26">
        <w:trPr>
          <w:trHeight w:val="1833"/>
        </w:trPr>
        <w:tc>
          <w:tcPr>
            <w:tcW w:w="8978" w:type="dxa"/>
            <w:tcBorders>
              <w:top w:val="nil"/>
              <w:left w:val="nil"/>
              <w:bottom w:val="nil"/>
              <w:right w:val="nil"/>
            </w:tcBorders>
          </w:tcPr>
          <w:p w:rsidR="00CD7E26" w:rsidRDefault="00CD7E26" w:rsidP="0017078F">
            <w:pPr>
              <w:rPr>
                <w:rFonts w:ascii="Arial" w:hAnsi="Arial" w:cs="Arial"/>
                <w:b/>
                <w:color w:val="002C47"/>
                <w:sz w:val="36"/>
                <w:szCs w:val="36"/>
              </w:rPr>
            </w:pPr>
            <w:r w:rsidRPr="00CD7E26">
              <w:rPr>
                <w:rFonts w:ascii="Arial" w:hAnsi="Arial" w:cs="Arial"/>
                <w:b/>
                <w:color w:val="002C47"/>
                <w:sz w:val="36"/>
                <w:szCs w:val="36"/>
              </w:rPr>
              <w:t>Date of first round report: 21 April 2017</w:t>
            </w:r>
          </w:p>
          <w:p w:rsidR="008E7846" w:rsidRPr="0017078F" w:rsidRDefault="00CD7E26" w:rsidP="00CD7E26">
            <w:pPr>
              <w:rPr>
                <w:rFonts w:ascii="Arial" w:hAnsi="Arial" w:cs="Arial"/>
                <w:b/>
                <w:color w:val="002C47"/>
                <w:sz w:val="36"/>
                <w:szCs w:val="36"/>
              </w:rPr>
            </w:pPr>
            <w:r w:rsidRPr="00CD7E26">
              <w:rPr>
                <w:rFonts w:ascii="Arial" w:hAnsi="Arial" w:cs="Arial"/>
                <w:b/>
                <w:color w:val="002C47"/>
                <w:sz w:val="36"/>
                <w:szCs w:val="36"/>
              </w:rPr>
              <w:t>Date of second round report: 26</w:t>
            </w:r>
            <w:r>
              <w:rPr>
                <w:rFonts w:ascii="Arial" w:hAnsi="Arial" w:cs="Arial"/>
                <w:b/>
                <w:color w:val="002C47"/>
                <w:sz w:val="36"/>
                <w:szCs w:val="36"/>
              </w:rPr>
              <w:t xml:space="preserve"> September </w:t>
            </w:r>
            <w:r w:rsidRPr="00CD7E26">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CD7E26">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CD7E26" w:rsidRPr="00CD7E26">
              <w:rPr>
                <w:color w:val="FFFFFF" w:themeColor="background1"/>
              </w:rPr>
              <w:t>Cabozantinib</w:t>
            </w:r>
            <w:proofErr w:type="spellEnd"/>
          </w:p>
        </w:tc>
      </w:tr>
      <w:tr w:rsidR="00E07F15" w:rsidRPr="00B64760" w:rsidTr="00E07F15">
        <w:tc>
          <w:tcPr>
            <w:tcW w:w="9079" w:type="dxa"/>
          </w:tcPr>
          <w:p w:rsidR="00E07F15" w:rsidRPr="008E7846" w:rsidRDefault="00E07F15" w:rsidP="00B572CC">
            <w:pPr>
              <w:pStyle w:val="Subtitle"/>
              <w:rPr>
                <w:color w:val="FFFFFF" w:themeColor="background1"/>
              </w:rPr>
            </w:pPr>
            <w:r w:rsidRPr="008E7846">
              <w:rPr>
                <w:color w:val="FFFFFF" w:themeColor="background1"/>
              </w:rPr>
              <w:t xml:space="preserve">Proprietary Product Name: </w:t>
            </w:r>
            <w:proofErr w:type="spellStart"/>
            <w:r w:rsidR="00CD7E26" w:rsidRPr="00CD7E26">
              <w:rPr>
                <w:color w:val="FFFFFF" w:themeColor="background1"/>
              </w:rPr>
              <w:t>Cabometyx</w:t>
            </w:r>
            <w:proofErr w:type="spellEnd"/>
          </w:p>
        </w:tc>
      </w:tr>
      <w:tr w:rsidR="00E07F15" w:rsidRPr="00B64760" w:rsidTr="00E07F15">
        <w:trPr>
          <w:trHeight w:val="486"/>
        </w:trPr>
        <w:tc>
          <w:tcPr>
            <w:tcW w:w="9079" w:type="dxa"/>
          </w:tcPr>
          <w:p w:rsidR="00E07F15" w:rsidRPr="008E7846" w:rsidRDefault="00E07F15" w:rsidP="004428B2">
            <w:pPr>
              <w:pStyle w:val="Subtitle"/>
              <w:rPr>
                <w:color w:val="FFFFFF" w:themeColor="background1"/>
              </w:rPr>
            </w:pPr>
            <w:r w:rsidRPr="00CD7E26">
              <w:rPr>
                <w:color w:val="FFFFFF" w:themeColor="background1"/>
              </w:rPr>
              <w:t xml:space="preserve">Sponsor: </w:t>
            </w:r>
            <w:proofErr w:type="spellStart"/>
            <w:r w:rsidR="00CD7E26" w:rsidRPr="00CD7E26">
              <w:rPr>
                <w:color w:val="FFFFFF" w:themeColor="background1"/>
                <w:lang w:eastAsia="en-AU"/>
              </w:rPr>
              <w:t>Ipsen</w:t>
            </w:r>
            <w:proofErr w:type="spellEnd"/>
            <w:r w:rsidR="00CD7E26" w:rsidRPr="00CD7E26">
              <w:rPr>
                <w:color w:val="FFFFFF" w:themeColor="background1"/>
                <w:lang w:eastAsia="en-AU"/>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CD7E26">
      <w:pPr>
        <w:pStyle w:val="LegalSubheading"/>
        <w:spacing w:before="4080"/>
      </w:pPr>
      <w:r w:rsidRPr="00DF1D7F">
        <w:t>Copyright</w:t>
      </w:r>
      <w:bookmarkStart w:id="0" w:name="_GoBack"/>
      <w:bookmarkEnd w:id="0"/>
    </w:p>
    <w:p w:rsidR="00924482" w:rsidRDefault="00924482" w:rsidP="00924482">
      <w:pPr>
        <w:pStyle w:val="LegalCopy"/>
      </w:pPr>
      <w:r w:rsidRPr="00191B3B">
        <w:rPr>
          <w:rFonts w:cs="Arial"/>
          <w:lang w:val="en-GB"/>
        </w:rPr>
        <w:t>© Comm</w:t>
      </w:r>
      <w:r>
        <w:rPr>
          <w:rFonts w:cs="Arial"/>
          <w:lang w:val="en-GB"/>
        </w:rPr>
        <w:t>onwealth of Australia 201</w:t>
      </w:r>
      <w:r w:rsidR="00575E67">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Cs/>
          <w:sz w:val="22"/>
        </w:rPr>
        <w:id w:val="5618007"/>
        <w:docPartObj>
          <w:docPartGallery w:val="Table of Contents"/>
          <w:docPartUnique/>
        </w:docPartObj>
      </w:sdtPr>
      <w:sdtEndPr>
        <w:rPr>
          <w:bCs w:val="0"/>
          <w:sz w:val="25"/>
        </w:rPr>
      </w:sdtEndPr>
      <w:sdtContent>
        <w:p w:rsidR="0089635C" w:rsidRPr="0089635C" w:rsidRDefault="0089635C" w:rsidP="00943D71">
          <w:pPr>
            <w:pStyle w:val="Contents"/>
          </w:pPr>
          <w:r w:rsidRPr="0010788A">
            <w:t>Contents</w:t>
          </w:r>
        </w:p>
        <w:p w:rsidR="005621E0"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1776216" w:history="1">
            <w:r w:rsidR="005621E0" w:rsidRPr="000430CC">
              <w:rPr>
                <w:rStyle w:val="Hyperlink"/>
                <w:noProof/>
              </w:rPr>
              <w:t>List of common abbreviations</w:t>
            </w:r>
            <w:r w:rsidR="005621E0">
              <w:rPr>
                <w:noProof/>
                <w:webHidden/>
              </w:rPr>
              <w:tab/>
            </w:r>
            <w:r w:rsidR="005621E0">
              <w:rPr>
                <w:noProof/>
                <w:webHidden/>
              </w:rPr>
              <w:fldChar w:fldCharType="begin"/>
            </w:r>
            <w:r w:rsidR="005621E0">
              <w:rPr>
                <w:noProof/>
                <w:webHidden/>
              </w:rPr>
              <w:instrText xml:space="preserve"> PAGEREF _Toc531776216 \h </w:instrText>
            </w:r>
            <w:r w:rsidR="005621E0">
              <w:rPr>
                <w:noProof/>
                <w:webHidden/>
              </w:rPr>
            </w:r>
            <w:r w:rsidR="005621E0">
              <w:rPr>
                <w:noProof/>
                <w:webHidden/>
              </w:rPr>
              <w:fldChar w:fldCharType="separate"/>
            </w:r>
            <w:r w:rsidR="005621E0">
              <w:rPr>
                <w:noProof/>
                <w:webHidden/>
              </w:rPr>
              <w:t>5</w:t>
            </w:r>
            <w:r w:rsidR="005621E0">
              <w:rPr>
                <w:noProof/>
                <w:webHidden/>
              </w:rPr>
              <w:fldChar w:fldCharType="end"/>
            </w:r>
          </w:hyperlink>
        </w:p>
        <w:p w:rsidR="005621E0" w:rsidRDefault="005621E0">
          <w:pPr>
            <w:pStyle w:val="TOC2"/>
            <w:tabs>
              <w:tab w:val="left" w:pos="1100"/>
            </w:tabs>
            <w:rPr>
              <w:rFonts w:asciiTheme="minorHAnsi" w:eastAsiaTheme="minorEastAsia" w:hAnsiTheme="minorHAnsi" w:cstheme="minorBidi"/>
              <w:b w:val="0"/>
              <w:noProof/>
              <w:sz w:val="22"/>
              <w:lang w:eastAsia="en-AU"/>
            </w:rPr>
          </w:pPr>
          <w:hyperlink w:anchor="_Toc531776217" w:history="1">
            <w:r w:rsidRPr="000430CC">
              <w:rPr>
                <w:rStyle w:val="Hyperlink"/>
                <w:noProof/>
                <w:lang w:eastAsia="en-AU"/>
              </w:rPr>
              <w:t>1.</w:t>
            </w:r>
            <w:r>
              <w:rPr>
                <w:rFonts w:asciiTheme="minorHAnsi" w:eastAsiaTheme="minorEastAsia" w:hAnsiTheme="minorHAnsi" w:cstheme="minorBidi"/>
                <w:b w:val="0"/>
                <w:noProof/>
                <w:sz w:val="22"/>
                <w:lang w:eastAsia="en-AU"/>
              </w:rPr>
              <w:tab/>
            </w:r>
            <w:r w:rsidRPr="000430CC">
              <w:rPr>
                <w:rStyle w:val="Hyperlink"/>
                <w:noProof/>
                <w:lang w:eastAsia="en-AU"/>
              </w:rPr>
              <w:t>Submission details</w:t>
            </w:r>
            <w:r>
              <w:rPr>
                <w:noProof/>
                <w:webHidden/>
              </w:rPr>
              <w:tab/>
            </w:r>
            <w:r>
              <w:rPr>
                <w:noProof/>
                <w:webHidden/>
              </w:rPr>
              <w:fldChar w:fldCharType="begin"/>
            </w:r>
            <w:r>
              <w:rPr>
                <w:noProof/>
                <w:webHidden/>
              </w:rPr>
              <w:instrText xml:space="preserve"> PAGEREF _Toc531776217 \h </w:instrText>
            </w:r>
            <w:r>
              <w:rPr>
                <w:noProof/>
                <w:webHidden/>
              </w:rPr>
            </w:r>
            <w:r>
              <w:rPr>
                <w:noProof/>
                <w:webHidden/>
              </w:rPr>
              <w:fldChar w:fldCharType="separate"/>
            </w:r>
            <w:r>
              <w:rPr>
                <w:noProof/>
                <w:webHidden/>
              </w:rPr>
              <w:t>9</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18" w:history="1">
            <w:r w:rsidRPr="000430CC">
              <w:rPr>
                <w:rStyle w:val="Hyperlink"/>
                <w:noProof/>
              </w:rPr>
              <w:t>1.1.</w:t>
            </w:r>
            <w:r>
              <w:rPr>
                <w:rFonts w:asciiTheme="minorHAnsi" w:eastAsiaTheme="minorEastAsia" w:hAnsiTheme="minorHAnsi" w:cstheme="minorBidi"/>
                <w:noProof/>
                <w:lang w:eastAsia="en-AU"/>
              </w:rPr>
              <w:tab/>
            </w:r>
            <w:r w:rsidRPr="000430CC">
              <w:rPr>
                <w:rStyle w:val="Hyperlink"/>
                <w:noProof/>
              </w:rPr>
              <w:t>Identifying information</w:t>
            </w:r>
            <w:r>
              <w:rPr>
                <w:noProof/>
                <w:webHidden/>
              </w:rPr>
              <w:tab/>
            </w:r>
            <w:r>
              <w:rPr>
                <w:noProof/>
                <w:webHidden/>
              </w:rPr>
              <w:fldChar w:fldCharType="begin"/>
            </w:r>
            <w:r>
              <w:rPr>
                <w:noProof/>
                <w:webHidden/>
              </w:rPr>
              <w:instrText xml:space="preserve"> PAGEREF _Toc531776218 \h </w:instrText>
            </w:r>
            <w:r>
              <w:rPr>
                <w:noProof/>
                <w:webHidden/>
              </w:rPr>
            </w:r>
            <w:r>
              <w:rPr>
                <w:noProof/>
                <w:webHidden/>
              </w:rPr>
              <w:fldChar w:fldCharType="separate"/>
            </w:r>
            <w:r>
              <w:rPr>
                <w:noProof/>
                <w:webHidden/>
              </w:rPr>
              <w:t>9</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19" w:history="1">
            <w:r w:rsidRPr="000430CC">
              <w:rPr>
                <w:rStyle w:val="Hyperlink"/>
                <w:noProof/>
              </w:rPr>
              <w:t>1.2.</w:t>
            </w:r>
            <w:r>
              <w:rPr>
                <w:rFonts w:asciiTheme="minorHAnsi" w:eastAsiaTheme="minorEastAsia" w:hAnsiTheme="minorHAnsi" w:cstheme="minorBidi"/>
                <w:noProof/>
                <w:lang w:eastAsia="en-AU"/>
              </w:rPr>
              <w:tab/>
            </w:r>
            <w:r w:rsidRPr="000430CC">
              <w:rPr>
                <w:rStyle w:val="Hyperlink"/>
                <w:noProof/>
              </w:rPr>
              <w:t>Submission type</w:t>
            </w:r>
            <w:r>
              <w:rPr>
                <w:noProof/>
                <w:webHidden/>
              </w:rPr>
              <w:tab/>
            </w:r>
            <w:r>
              <w:rPr>
                <w:noProof/>
                <w:webHidden/>
              </w:rPr>
              <w:fldChar w:fldCharType="begin"/>
            </w:r>
            <w:r>
              <w:rPr>
                <w:noProof/>
                <w:webHidden/>
              </w:rPr>
              <w:instrText xml:space="preserve"> PAGEREF _Toc531776219 \h </w:instrText>
            </w:r>
            <w:r>
              <w:rPr>
                <w:noProof/>
                <w:webHidden/>
              </w:rPr>
            </w:r>
            <w:r>
              <w:rPr>
                <w:noProof/>
                <w:webHidden/>
              </w:rPr>
              <w:fldChar w:fldCharType="separate"/>
            </w:r>
            <w:r>
              <w:rPr>
                <w:noProof/>
                <w:webHidden/>
              </w:rPr>
              <w:t>9</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20" w:history="1">
            <w:r w:rsidRPr="000430CC">
              <w:rPr>
                <w:rStyle w:val="Hyperlink"/>
                <w:noProof/>
              </w:rPr>
              <w:t>1.3.</w:t>
            </w:r>
            <w:r>
              <w:rPr>
                <w:rFonts w:asciiTheme="minorHAnsi" w:eastAsiaTheme="minorEastAsia" w:hAnsiTheme="minorHAnsi" w:cstheme="minorBidi"/>
                <w:noProof/>
                <w:lang w:eastAsia="en-AU"/>
              </w:rPr>
              <w:tab/>
            </w:r>
            <w:r w:rsidRPr="000430CC">
              <w:rPr>
                <w:rStyle w:val="Hyperlink"/>
                <w:noProof/>
              </w:rPr>
              <w:t>Drug class and therapeutic indication</w:t>
            </w:r>
            <w:r>
              <w:rPr>
                <w:noProof/>
                <w:webHidden/>
              </w:rPr>
              <w:tab/>
            </w:r>
            <w:r>
              <w:rPr>
                <w:noProof/>
                <w:webHidden/>
              </w:rPr>
              <w:fldChar w:fldCharType="begin"/>
            </w:r>
            <w:r>
              <w:rPr>
                <w:noProof/>
                <w:webHidden/>
              </w:rPr>
              <w:instrText xml:space="preserve"> PAGEREF _Toc531776220 \h </w:instrText>
            </w:r>
            <w:r>
              <w:rPr>
                <w:noProof/>
                <w:webHidden/>
              </w:rPr>
            </w:r>
            <w:r>
              <w:rPr>
                <w:noProof/>
                <w:webHidden/>
              </w:rPr>
              <w:fldChar w:fldCharType="separate"/>
            </w:r>
            <w:r>
              <w:rPr>
                <w:noProof/>
                <w:webHidden/>
              </w:rPr>
              <w:t>9</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21" w:history="1">
            <w:r w:rsidRPr="000430CC">
              <w:rPr>
                <w:rStyle w:val="Hyperlink"/>
                <w:noProof/>
              </w:rPr>
              <w:t>1.4.</w:t>
            </w:r>
            <w:r>
              <w:rPr>
                <w:rFonts w:asciiTheme="minorHAnsi" w:eastAsiaTheme="minorEastAsia" w:hAnsiTheme="minorHAnsi" w:cstheme="minorBidi"/>
                <w:noProof/>
                <w:lang w:eastAsia="en-AU"/>
              </w:rPr>
              <w:tab/>
            </w:r>
            <w:r w:rsidRPr="000430CC">
              <w:rPr>
                <w:rStyle w:val="Hyperlink"/>
                <w:noProof/>
              </w:rPr>
              <w:t>Dosage forms and strengths</w:t>
            </w:r>
            <w:r>
              <w:rPr>
                <w:noProof/>
                <w:webHidden/>
              </w:rPr>
              <w:tab/>
            </w:r>
            <w:r>
              <w:rPr>
                <w:noProof/>
                <w:webHidden/>
              </w:rPr>
              <w:fldChar w:fldCharType="begin"/>
            </w:r>
            <w:r>
              <w:rPr>
                <w:noProof/>
                <w:webHidden/>
              </w:rPr>
              <w:instrText xml:space="preserve"> PAGEREF _Toc531776221 \h </w:instrText>
            </w:r>
            <w:r>
              <w:rPr>
                <w:noProof/>
                <w:webHidden/>
              </w:rPr>
            </w:r>
            <w:r>
              <w:rPr>
                <w:noProof/>
                <w:webHidden/>
              </w:rPr>
              <w:fldChar w:fldCharType="separate"/>
            </w:r>
            <w:r>
              <w:rPr>
                <w:noProof/>
                <w:webHidden/>
              </w:rPr>
              <w:t>9</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22" w:history="1">
            <w:r w:rsidRPr="000430CC">
              <w:rPr>
                <w:rStyle w:val="Hyperlink"/>
                <w:noProof/>
              </w:rPr>
              <w:t>1.5.</w:t>
            </w:r>
            <w:r>
              <w:rPr>
                <w:rFonts w:asciiTheme="minorHAnsi" w:eastAsiaTheme="minorEastAsia" w:hAnsiTheme="minorHAnsi" w:cstheme="minorBidi"/>
                <w:noProof/>
                <w:lang w:eastAsia="en-AU"/>
              </w:rPr>
              <w:tab/>
            </w:r>
            <w:r w:rsidRPr="000430CC">
              <w:rPr>
                <w:rStyle w:val="Hyperlink"/>
                <w:noProof/>
              </w:rPr>
              <w:t>Dosage and administration</w:t>
            </w:r>
            <w:r>
              <w:rPr>
                <w:noProof/>
                <w:webHidden/>
              </w:rPr>
              <w:tab/>
            </w:r>
            <w:r>
              <w:rPr>
                <w:noProof/>
                <w:webHidden/>
              </w:rPr>
              <w:fldChar w:fldCharType="begin"/>
            </w:r>
            <w:r>
              <w:rPr>
                <w:noProof/>
                <w:webHidden/>
              </w:rPr>
              <w:instrText xml:space="preserve"> PAGEREF _Toc531776222 \h </w:instrText>
            </w:r>
            <w:r>
              <w:rPr>
                <w:noProof/>
                <w:webHidden/>
              </w:rPr>
            </w:r>
            <w:r>
              <w:rPr>
                <w:noProof/>
                <w:webHidden/>
              </w:rPr>
              <w:fldChar w:fldCharType="separate"/>
            </w:r>
            <w:r>
              <w:rPr>
                <w:noProof/>
                <w:webHidden/>
              </w:rPr>
              <w:t>9</w:t>
            </w:r>
            <w:r>
              <w:rPr>
                <w:noProof/>
                <w:webHidden/>
              </w:rPr>
              <w:fldChar w:fldCharType="end"/>
            </w:r>
          </w:hyperlink>
        </w:p>
        <w:p w:rsidR="005621E0" w:rsidRDefault="005621E0">
          <w:pPr>
            <w:pStyle w:val="TOC2"/>
            <w:tabs>
              <w:tab w:val="left" w:pos="1100"/>
            </w:tabs>
            <w:rPr>
              <w:rFonts w:asciiTheme="minorHAnsi" w:eastAsiaTheme="minorEastAsia" w:hAnsiTheme="minorHAnsi" w:cstheme="minorBidi"/>
              <w:b w:val="0"/>
              <w:noProof/>
              <w:sz w:val="22"/>
              <w:lang w:eastAsia="en-AU"/>
            </w:rPr>
          </w:pPr>
          <w:hyperlink w:anchor="_Toc531776223" w:history="1">
            <w:r w:rsidRPr="000430CC">
              <w:rPr>
                <w:rStyle w:val="Hyperlink"/>
                <w:noProof/>
              </w:rPr>
              <w:t>2.</w:t>
            </w:r>
            <w:r>
              <w:rPr>
                <w:rFonts w:asciiTheme="minorHAnsi" w:eastAsiaTheme="minorEastAsia" w:hAnsiTheme="minorHAnsi" w:cstheme="minorBidi"/>
                <w:b w:val="0"/>
                <w:noProof/>
                <w:sz w:val="22"/>
                <w:lang w:eastAsia="en-AU"/>
              </w:rPr>
              <w:tab/>
            </w:r>
            <w:r w:rsidRPr="000430CC">
              <w:rPr>
                <w:rStyle w:val="Hyperlink"/>
                <w:noProof/>
              </w:rPr>
              <w:t>Background</w:t>
            </w:r>
            <w:r>
              <w:rPr>
                <w:noProof/>
                <w:webHidden/>
              </w:rPr>
              <w:tab/>
            </w:r>
            <w:r>
              <w:rPr>
                <w:noProof/>
                <w:webHidden/>
              </w:rPr>
              <w:fldChar w:fldCharType="begin"/>
            </w:r>
            <w:r>
              <w:rPr>
                <w:noProof/>
                <w:webHidden/>
              </w:rPr>
              <w:instrText xml:space="preserve"> PAGEREF _Toc531776223 \h </w:instrText>
            </w:r>
            <w:r>
              <w:rPr>
                <w:noProof/>
                <w:webHidden/>
              </w:rPr>
            </w:r>
            <w:r>
              <w:rPr>
                <w:noProof/>
                <w:webHidden/>
              </w:rPr>
              <w:fldChar w:fldCharType="separate"/>
            </w:r>
            <w:r>
              <w:rPr>
                <w:noProof/>
                <w:webHidden/>
              </w:rPr>
              <w:t>10</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24" w:history="1">
            <w:r w:rsidRPr="000430CC">
              <w:rPr>
                <w:rStyle w:val="Hyperlink"/>
                <w:noProof/>
              </w:rPr>
              <w:t>2.1.</w:t>
            </w:r>
            <w:r>
              <w:rPr>
                <w:rFonts w:asciiTheme="minorHAnsi" w:eastAsiaTheme="minorEastAsia" w:hAnsiTheme="minorHAnsi" w:cstheme="minorBidi"/>
                <w:noProof/>
                <w:lang w:eastAsia="en-AU"/>
              </w:rPr>
              <w:tab/>
            </w:r>
            <w:r w:rsidRPr="000430CC">
              <w:rPr>
                <w:rStyle w:val="Hyperlink"/>
                <w:noProof/>
              </w:rPr>
              <w:t>Information on the condition being treated</w:t>
            </w:r>
            <w:r>
              <w:rPr>
                <w:noProof/>
                <w:webHidden/>
              </w:rPr>
              <w:tab/>
            </w:r>
            <w:r>
              <w:rPr>
                <w:noProof/>
                <w:webHidden/>
              </w:rPr>
              <w:fldChar w:fldCharType="begin"/>
            </w:r>
            <w:r>
              <w:rPr>
                <w:noProof/>
                <w:webHidden/>
              </w:rPr>
              <w:instrText xml:space="preserve"> PAGEREF _Toc531776224 \h </w:instrText>
            </w:r>
            <w:r>
              <w:rPr>
                <w:noProof/>
                <w:webHidden/>
              </w:rPr>
            </w:r>
            <w:r>
              <w:rPr>
                <w:noProof/>
                <w:webHidden/>
              </w:rPr>
              <w:fldChar w:fldCharType="separate"/>
            </w:r>
            <w:r>
              <w:rPr>
                <w:noProof/>
                <w:webHidden/>
              </w:rPr>
              <w:t>10</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25" w:history="1">
            <w:r w:rsidRPr="000430CC">
              <w:rPr>
                <w:rStyle w:val="Hyperlink"/>
                <w:noProof/>
              </w:rPr>
              <w:t>2.2.</w:t>
            </w:r>
            <w:r>
              <w:rPr>
                <w:rFonts w:asciiTheme="minorHAnsi" w:eastAsiaTheme="minorEastAsia" w:hAnsiTheme="minorHAnsi" w:cstheme="minorBidi"/>
                <w:noProof/>
                <w:lang w:eastAsia="en-AU"/>
              </w:rPr>
              <w:tab/>
            </w:r>
            <w:r w:rsidRPr="000430CC">
              <w:rPr>
                <w:rStyle w:val="Hyperlink"/>
                <w:noProof/>
              </w:rPr>
              <w:t>Current treatment options</w:t>
            </w:r>
            <w:r>
              <w:rPr>
                <w:noProof/>
                <w:webHidden/>
              </w:rPr>
              <w:tab/>
            </w:r>
            <w:r>
              <w:rPr>
                <w:noProof/>
                <w:webHidden/>
              </w:rPr>
              <w:fldChar w:fldCharType="begin"/>
            </w:r>
            <w:r>
              <w:rPr>
                <w:noProof/>
                <w:webHidden/>
              </w:rPr>
              <w:instrText xml:space="preserve"> PAGEREF _Toc531776225 \h </w:instrText>
            </w:r>
            <w:r>
              <w:rPr>
                <w:noProof/>
                <w:webHidden/>
              </w:rPr>
            </w:r>
            <w:r>
              <w:rPr>
                <w:noProof/>
                <w:webHidden/>
              </w:rPr>
              <w:fldChar w:fldCharType="separate"/>
            </w:r>
            <w:r>
              <w:rPr>
                <w:noProof/>
                <w:webHidden/>
              </w:rPr>
              <w:t>11</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26" w:history="1">
            <w:r w:rsidRPr="000430CC">
              <w:rPr>
                <w:rStyle w:val="Hyperlink"/>
                <w:noProof/>
              </w:rPr>
              <w:t>2.3.</w:t>
            </w:r>
            <w:r>
              <w:rPr>
                <w:rFonts w:asciiTheme="minorHAnsi" w:eastAsiaTheme="minorEastAsia" w:hAnsiTheme="minorHAnsi" w:cstheme="minorBidi"/>
                <w:noProof/>
                <w:lang w:eastAsia="en-AU"/>
              </w:rPr>
              <w:tab/>
            </w:r>
            <w:r w:rsidRPr="000430CC">
              <w:rPr>
                <w:rStyle w:val="Hyperlink"/>
                <w:noProof/>
              </w:rPr>
              <w:t>Clinical rationale</w:t>
            </w:r>
            <w:r>
              <w:rPr>
                <w:noProof/>
                <w:webHidden/>
              </w:rPr>
              <w:tab/>
            </w:r>
            <w:r>
              <w:rPr>
                <w:noProof/>
                <w:webHidden/>
              </w:rPr>
              <w:fldChar w:fldCharType="begin"/>
            </w:r>
            <w:r>
              <w:rPr>
                <w:noProof/>
                <w:webHidden/>
              </w:rPr>
              <w:instrText xml:space="preserve"> PAGEREF _Toc531776226 \h </w:instrText>
            </w:r>
            <w:r>
              <w:rPr>
                <w:noProof/>
                <w:webHidden/>
              </w:rPr>
            </w:r>
            <w:r>
              <w:rPr>
                <w:noProof/>
                <w:webHidden/>
              </w:rPr>
              <w:fldChar w:fldCharType="separate"/>
            </w:r>
            <w:r>
              <w:rPr>
                <w:noProof/>
                <w:webHidden/>
              </w:rPr>
              <w:t>11</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27" w:history="1">
            <w:r w:rsidRPr="000430CC">
              <w:rPr>
                <w:rStyle w:val="Hyperlink"/>
                <w:noProof/>
              </w:rPr>
              <w:t>2.4.</w:t>
            </w:r>
            <w:r>
              <w:rPr>
                <w:rFonts w:asciiTheme="minorHAnsi" w:eastAsiaTheme="minorEastAsia" w:hAnsiTheme="minorHAnsi" w:cstheme="minorBidi"/>
                <w:noProof/>
                <w:lang w:eastAsia="en-AU"/>
              </w:rPr>
              <w:tab/>
            </w:r>
            <w:r w:rsidRPr="000430CC">
              <w:rPr>
                <w:rStyle w:val="Hyperlink"/>
                <w:noProof/>
              </w:rPr>
              <w:t>Formulation</w:t>
            </w:r>
            <w:r>
              <w:rPr>
                <w:noProof/>
                <w:webHidden/>
              </w:rPr>
              <w:tab/>
            </w:r>
            <w:r>
              <w:rPr>
                <w:noProof/>
                <w:webHidden/>
              </w:rPr>
              <w:fldChar w:fldCharType="begin"/>
            </w:r>
            <w:r>
              <w:rPr>
                <w:noProof/>
                <w:webHidden/>
              </w:rPr>
              <w:instrText xml:space="preserve"> PAGEREF _Toc531776227 \h </w:instrText>
            </w:r>
            <w:r>
              <w:rPr>
                <w:noProof/>
                <w:webHidden/>
              </w:rPr>
            </w:r>
            <w:r>
              <w:rPr>
                <w:noProof/>
                <w:webHidden/>
              </w:rPr>
              <w:fldChar w:fldCharType="separate"/>
            </w:r>
            <w:r>
              <w:rPr>
                <w:noProof/>
                <w:webHidden/>
              </w:rPr>
              <w:t>11</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28" w:history="1">
            <w:r w:rsidRPr="000430CC">
              <w:rPr>
                <w:rStyle w:val="Hyperlink"/>
                <w:noProof/>
              </w:rPr>
              <w:t>2.5.</w:t>
            </w:r>
            <w:r>
              <w:rPr>
                <w:rFonts w:asciiTheme="minorHAnsi" w:eastAsiaTheme="minorEastAsia" w:hAnsiTheme="minorHAnsi" w:cstheme="minorBidi"/>
                <w:noProof/>
                <w:lang w:eastAsia="en-AU"/>
              </w:rPr>
              <w:tab/>
            </w:r>
            <w:r w:rsidRPr="000430CC">
              <w:rPr>
                <w:rStyle w:val="Hyperlink"/>
                <w:noProof/>
              </w:rPr>
              <w:t>Guidance</w:t>
            </w:r>
            <w:r>
              <w:rPr>
                <w:noProof/>
                <w:webHidden/>
              </w:rPr>
              <w:tab/>
            </w:r>
            <w:r>
              <w:rPr>
                <w:noProof/>
                <w:webHidden/>
              </w:rPr>
              <w:fldChar w:fldCharType="begin"/>
            </w:r>
            <w:r>
              <w:rPr>
                <w:noProof/>
                <w:webHidden/>
              </w:rPr>
              <w:instrText xml:space="preserve"> PAGEREF _Toc531776228 \h </w:instrText>
            </w:r>
            <w:r>
              <w:rPr>
                <w:noProof/>
                <w:webHidden/>
              </w:rPr>
            </w:r>
            <w:r>
              <w:rPr>
                <w:noProof/>
                <w:webHidden/>
              </w:rPr>
              <w:fldChar w:fldCharType="separate"/>
            </w:r>
            <w:r>
              <w:rPr>
                <w:noProof/>
                <w:webHidden/>
              </w:rPr>
              <w:t>12</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29" w:history="1">
            <w:r w:rsidRPr="000430CC">
              <w:rPr>
                <w:rStyle w:val="Hyperlink"/>
                <w:noProof/>
              </w:rPr>
              <w:t>2.6.</w:t>
            </w:r>
            <w:r>
              <w:rPr>
                <w:rFonts w:asciiTheme="minorHAnsi" w:eastAsiaTheme="minorEastAsia" w:hAnsiTheme="minorHAnsi" w:cstheme="minorBidi"/>
                <w:noProof/>
                <w:lang w:eastAsia="en-AU"/>
              </w:rPr>
              <w:tab/>
            </w:r>
            <w:r w:rsidRPr="000430CC">
              <w:rPr>
                <w:rStyle w:val="Hyperlink"/>
                <w:noProof/>
              </w:rPr>
              <w:t>Evaluator’s commentary on the background information</w:t>
            </w:r>
            <w:r>
              <w:rPr>
                <w:noProof/>
                <w:webHidden/>
              </w:rPr>
              <w:tab/>
            </w:r>
            <w:r>
              <w:rPr>
                <w:noProof/>
                <w:webHidden/>
              </w:rPr>
              <w:fldChar w:fldCharType="begin"/>
            </w:r>
            <w:r>
              <w:rPr>
                <w:noProof/>
                <w:webHidden/>
              </w:rPr>
              <w:instrText xml:space="preserve"> PAGEREF _Toc531776229 \h </w:instrText>
            </w:r>
            <w:r>
              <w:rPr>
                <w:noProof/>
                <w:webHidden/>
              </w:rPr>
            </w:r>
            <w:r>
              <w:rPr>
                <w:noProof/>
                <w:webHidden/>
              </w:rPr>
              <w:fldChar w:fldCharType="separate"/>
            </w:r>
            <w:r>
              <w:rPr>
                <w:noProof/>
                <w:webHidden/>
              </w:rPr>
              <w:t>12</w:t>
            </w:r>
            <w:r>
              <w:rPr>
                <w:noProof/>
                <w:webHidden/>
              </w:rPr>
              <w:fldChar w:fldCharType="end"/>
            </w:r>
          </w:hyperlink>
        </w:p>
        <w:p w:rsidR="005621E0" w:rsidRDefault="005621E0">
          <w:pPr>
            <w:pStyle w:val="TOC2"/>
            <w:tabs>
              <w:tab w:val="left" w:pos="1100"/>
            </w:tabs>
            <w:rPr>
              <w:rFonts w:asciiTheme="minorHAnsi" w:eastAsiaTheme="minorEastAsia" w:hAnsiTheme="minorHAnsi" w:cstheme="minorBidi"/>
              <w:b w:val="0"/>
              <w:noProof/>
              <w:sz w:val="22"/>
              <w:lang w:eastAsia="en-AU"/>
            </w:rPr>
          </w:pPr>
          <w:hyperlink w:anchor="_Toc531776230" w:history="1">
            <w:r w:rsidRPr="000430CC">
              <w:rPr>
                <w:rStyle w:val="Hyperlink"/>
                <w:noProof/>
                <w:lang w:eastAsia="en-AU"/>
              </w:rPr>
              <w:t>3.</w:t>
            </w:r>
            <w:r>
              <w:rPr>
                <w:rFonts w:asciiTheme="minorHAnsi" w:eastAsiaTheme="minorEastAsia" w:hAnsiTheme="minorHAnsi" w:cstheme="minorBidi"/>
                <w:b w:val="0"/>
                <w:noProof/>
                <w:sz w:val="22"/>
                <w:lang w:eastAsia="en-AU"/>
              </w:rPr>
              <w:tab/>
            </w:r>
            <w:r w:rsidRPr="000430CC">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_Toc531776230 \h </w:instrText>
            </w:r>
            <w:r>
              <w:rPr>
                <w:noProof/>
                <w:webHidden/>
              </w:rPr>
            </w:r>
            <w:r>
              <w:rPr>
                <w:noProof/>
                <w:webHidden/>
              </w:rPr>
              <w:fldChar w:fldCharType="separate"/>
            </w:r>
            <w:r>
              <w:rPr>
                <w:noProof/>
                <w:webHidden/>
              </w:rPr>
              <w:t>12</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31" w:history="1">
            <w:r w:rsidRPr="000430CC">
              <w:rPr>
                <w:rStyle w:val="Hyperlink"/>
                <w:noProof/>
              </w:rPr>
              <w:t>3.1.</w:t>
            </w:r>
            <w:r>
              <w:rPr>
                <w:rFonts w:asciiTheme="minorHAnsi" w:eastAsiaTheme="minorEastAsia" w:hAnsiTheme="minorHAnsi" w:cstheme="minorBidi"/>
                <w:noProof/>
                <w:lang w:eastAsia="en-AU"/>
              </w:rPr>
              <w:tab/>
            </w:r>
            <w:r w:rsidRPr="000430CC">
              <w:rPr>
                <w:rStyle w:val="Hyperlink"/>
                <w:noProof/>
              </w:rPr>
              <w:t>Scope of the clinical dossier</w:t>
            </w:r>
            <w:r>
              <w:rPr>
                <w:noProof/>
                <w:webHidden/>
              </w:rPr>
              <w:tab/>
            </w:r>
            <w:r>
              <w:rPr>
                <w:noProof/>
                <w:webHidden/>
              </w:rPr>
              <w:fldChar w:fldCharType="begin"/>
            </w:r>
            <w:r>
              <w:rPr>
                <w:noProof/>
                <w:webHidden/>
              </w:rPr>
              <w:instrText xml:space="preserve"> PAGEREF _Toc531776231 \h </w:instrText>
            </w:r>
            <w:r>
              <w:rPr>
                <w:noProof/>
                <w:webHidden/>
              </w:rPr>
            </w:r>
            <w:r>
              <w:rPr>
                <w:noProof/>
                <w:webHidden/>
              </w:rPr>
              <w:fldChar w:fldCharType="separate"/>
            </w:r>
            <w:r>
              <w:rPr>
                <w:noProof/>
                <w:webHidden/>
              </w:rPr>
              <w:t>12</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32" w:history="1">
            <w:r w:rsidRPr="000430CC">
              <w:rPr>
                <w:rStyle w:val="Hyperlink"/>
                <w:noProof/>
              </w:rPr>
              <w:t>3.2.</w:t>
            </w:r>
            <w:r>
              <w:rPr>
                <w:rFonts w:asciiTheme="minorHAnsi" w:eastAsiaTheme="minorEastAsia" w:hAnsiTheme="minorHAnsi" w:cstheme="minorBidi"/>
                <w:noProof/>
                <w:lang w:eastAsia="en-AU"/>
              </w:rPr>
              <w:tab/>
            </w:r>
            <w:r w:rsidRPr="000430CC">
              <w:rPr>
                <w:rStyle w:val="Hyperlink"/>
                <w:noProof/>
              </w:rPr>
              <w:t>Paediatric data</w:t>
            </w:r>
            <w:r>
              <w:rPr>
                <w:noProof/>
                <w:webHidden/>
              </w:rPr>
              <w:tab/>
            </w:r>
            <w:r>
              <w:rPr>
                <w:noProof/>
                <w:webHidden/>
              </w:rPr>
              <w:fldChar w:fldCharType="begin"/>
            </w:r>
            <w:r>
              <w:rPr>
                <w:noProof/>
                <w:webHidden/>
              </w:rPr>
              <w:instrText xml:space="preserve"> PAGEREF _Toc531776232 \h </w:instrText>
            </w:r>
            <w:r>
              <w:rPr>
                <w:noProof/>
                <w:webHidden/>
              </w:rPr>
            </w:r>
            <w:r>
              <w:rPr>
                <w:noProof/>
                <w:webHidden/>
              </w:rPr>
              <w:fldChar w:fldCharType="separate"/>
            </w:r>
            <w:r>
              <w:rPr>
                <w:noProof/>
                <w:webHidden/>
              </w:rPr>
              <w:t>12</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33" w:history="1">
            <w:r w:rsidRPr="000430CC">
              <w:rPr>
                <w:rStyle w:val="Hyperlink"/>
                <w:noProof/>
              </w:rPr>
              <w:t>3.3.</w:t>
            </w:r>
            <w:r>
              <w:rPr>
                <w:rFonts w:asciiTheme="minorHAnsi" w:eastAsiaTheme="minorEastAsia" w:hAnsiTheme="minorHAnsi" w:cstheme="minorBidi"/>
                <w:noProof/>
                <w:lang w:eastAsia="en-AU"/>
              </w:rPr>
              <w:tab/>
            </w:r>
            <w:r w:rsidRPr="000430CC">
              <w:rPr>
                <w:rStyle w:val="Hyperlink"/>
                <w:noProof/>
              </w:rPr>
              <w:t>Good clinical practice</w:t>
            </w:r>
            <w:r>
              <w:rPr>
                <w:noProof/>
                <w:webHidden/>
              </w:rPr>
              <w:tab/>
            </w:r>
            <w:r>
              <w:rPr>
                <w:noProof/>
                <w:webHidden/>
              </w:rPr>
              <w:fldChar w:fldCharType="begin"/>
            </w:r>
            <w:r>
              <w:rPr>
                <w:noProof/>
                <w:webHidden/>
              </w:rPr>
              <w:instrText xml:space="preserve"> PAGEREF _Toc531776233 \h </w:instrText>
            </w:r>
            <w:r>
              <w:rPr>
                <w:noProof/>
                <w:webHidden/>
              </w:rPr>
            </w:r>
            <w:r>
              <w:rPr>
                <w:noProof/>
                <w:webHidden/>
              </w:rPr>
              <w:fldChar w:fldCharType="separate"/>
            </w:r>
            <w:r>
              <w:rPr>
                <w:noProof/>
                <w:webHidden/>
              </w:rPr>
              <w:t>12</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34" w:history="1">
            <w:r w:rsidRPr="000430CC">
              <w:rPr>
                <w:rStyle w:val="Hyperlink"/>
                <w:noProof/>
              </w:rPr>
              <w:t>3.4.</w:t>
            </w:r>
            <w:r>
              <w:rPr>
                <w:rFonts w:asciiTheme="minorHAnsi" w:eastAsiaTheme="minorEastAsia" w:hAnsiTheme="minorHAnsi" w:cstheme="minorBidi"/>
                <w:noProof/>
                <w:lang w:eastAsia="en-AU"/>
              </w:rPr>
              <w:tab/>
            </w:r>
            <w:r w:rsidRPr="000430CC">
              <w:rPr>
                <w:rStyle w:val="Hyperlink"/>
                <w:noProof/>
              </w:rPr>
              <w:t>Evaluator’s commentary on the clinical dossier</w:t>
            </w:r>
            <w:r>
              <w:rPr>
                <w:noProof/>
                <w:webHidden/>
              </w:rPr>
              <w:tab/>
            </w:r>
            <w:r>
              <w:rPr>
                <w:noProof/>
                <w:webHidden/>
              </w:rPr>
              <w:fldChar w:fldCharType="begin"/>
            </w:r>
            <w:r>
              <w:rPr>
                <w:noProof/>
                <w:webHidden/>
              </w:rPr>
              <w:instrText xml:space="preserve"> PAGEREF _Toc531776234 \h </w:instrText>
            </w:r>
            <w:r>
              <w:rPr>
                <w:noProof/>
                <w:webHidden/>
              </w:rPr>
            </w:r>
            <w:r>
              <w:rPr>
                <w:noProof/>
                <w:webHidden/>
              </w:rPr>
              <w:fldChar w:fldCharType="separate"/>
            </w:r>
            <w:r>
              <w:rPr>
                <w:noProof/>
                <w:webHidden/>
              </w:rPr>
              <w:t>12</w:t>
            </w:r>
            <w:r>
              <w:rPr>
                <w:noProof/>
                <w:webHidden/>
              </w:rPr>
              <w:fldChar w:fldCharType="end"/>
            </w:r>
          </w:hyperlink>
        </w:p>
        <w:p w:rsidR="005621E0" w:rsidRDefault="005621E0">
          <w:pPr>
            <w:pStyle w:val="TOC2"/>
            <w:tabs>
              <w:tab w:val="left" w:pos="1100"/>
            </w:tabs>
            <w:rPr>
              <w:rFonts w:asciiTheme="minorHAnsi" w:eastAsiaTheme="minorEastAsia" w:hAnsiTheme="minorHAnsi" w:cstheme="minorBidi"/>
              <w:b w:val="0"/>
              <w:noProof/>
              <w:sz w:val="22"/>
              <w:lang w:eastAsia="en-AU"/>
            </w:rPr>
          </w:pPr>
          <w:hyperlink w:anchor="_Toc531776235" w:history="1">
            <w:r w:rsidRPr="000430CC">
              <w:rPr>
                <w:rStyle w:val="Hyperlink"/>
                <w:noProof/>
              </w:rPr>
              <w:t>4.</w:t>
            </w:r>
            <w:r>
              <w:rPr>
                <w:rFonts w:asciiTheme="minorHAnsi" w:eastAsiaTheme="minorEastAsia" w:hAnsiTheme="minorHAnsi" w:cstheme="minorBidi"/>
                <w:b w:val="0"/>
                <w:noProof/>
                <w:sz w:val="22"/>
                <w:lang w:eastAsia="en-AU"/>
              </w:rPr>
              <w:tab/>
            </w:r>
            <w:r w:rsidRPr="000430CC">
              <w:rPr>
                <w:rStyle w:val="Hyperlink"/>
                <w:noProof/>
              </w:rPr>
              <w:t>Pharmacokinetics</w:t>
            </w:r>
            <w:r>
              <w:rPr>
                <w:noProof/>
                <w:webHidden/>
              </w:rPr>
              <w:tab/>
            </w:r>
            <w:r>
              <w:rPr>
                <w:noProof/>
                <w:webHidden/>
              </w:rPr>
              <w:fldChar w:fldCharType="begin"/>
            </w:r>
            <w:r>
              <w:rPr>
                <w:noProof/>
                <w:webHidden/>
              </w:rPr>
              <w:instrText xml:space="preserve"> PAGEREF _Toc531776235 \h </w:instrText>
            </w:r>
            <w:r>
              <w:rPr>
                <w:noProof/>
                <w:webHidden/>
              </w:rPr>
            </w:r>
            <w:r>
              <w:rPr>
                <w:noProof/>
                <w:webHidden/>
              </w:rPr>
              <w:fldChar w:fldCharType="separate"/>
            </w:r>
            <w:r>
              <w:rPr>
                <w:noProof/>
                <w:webHidden/>
              </w:rPr>
              <w:t>12</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36" w:history="1">
            <w:r w:rsidRPr="000430CC">
              <w:rPr>
                <w:rStyle w:val="Hyperlink"/>
                <w:noProof/>
              </w:rPr>
              <w:t>4.1.</w:t>
            </w:r>
            <w:r>
              <w:rPr>
                <w:rFonts w:asciiTheme="minorHAnsi" w:eastAsiaTheme="minorEastAsia" w:hAnsiTheme="minorHAnsi" w:cstheme="minorBidi"/>
                <w:noProof/>
                <w:lang w:eastAsia="en-AU"/>
              </w:rPr>
              <w:tab/>
            </w:r>
            <w:r w:rsidRPr="000430CC">
              <w:rPr>
                <w:rStyle w:val="Hyperlink"/>
                <w:noProof/>
              </w:rPr>
              <w:t>Studies providing pharmacokinetic information</w:t>
            </w:r>
            <w:r>
              <w:rPr>
                <w:noProof/>
                <w:webHidden/>
              </w:rPr>
              <w:tab/>
            </w:r>
            <w:r>
              <w:rPr>
                <w:noProof/>
                <w:webHidden/>
              </w:rPr>
              <w:fldChar w:fldCharType="begin"/>
            </w:r>
            <w:r>
              <w:rPr>
                <w:noProof/>
                <w:webHidden/>
              </w:rPr>
              <w:instrText xml:space="preserve"> PAGEREF _Toc531776236 \h </w:instrText>
            </w:r>
            <w:r>
              <w:rPr>
                <w:noProof/>
                <w:webHidden/>
              </w:rPr>
            </w:r>
            <w:r>
              <w:rPr>
                <w:noProof/>
                <w:webHidden/>
              </w:rPr>
              <w:fldChar w:fldCharType="separate"/>
            </w:r>
            <w:r>
              <w:rPr>
                <w:noProof/>
                <w:webHidden/>
              </w:rPr>
              <w:t>12</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37" w:history="1">
            <w:r w:rsidRPr="000430CC">
              <w:rPr>
                <w:rStyle w:val="Hyperlink"/>
                <w:noProof/>
              </w:rPr>
              <w:t>4.2.</w:t>
            </w:r>
            <w:r>
              <w:rPr>
                <w:rFonts w:asciiTheme="minorHAnsi" w:eastAsiaTheme="minorEastAsia" w:hAnsiTheme="minorHAnsi" w:cstheme="minorBidi"/>
                <w:noProof/>
                <w:lang w:eastAsia="en-AU"/>
              </w:rPr>
              <w:tab/>
            </w:r>
            <w:r w:rsidRPr="000430CC">
              <w:rPr>
                <w:rStyle w:val="Hyperlink"/>
                <w:noProof/>
              </w:rPr>
              <w:t>Summary of pharmacokinetics</w:t>
            </w:r>
            <w:r>
              <w:rPr>
                <w:noProof/>
                <w:webHidden/>
              </w:rPr>
              <w:tab/>
            </w:r>
            <w:r>
              <w:rPr>
                <w:noProof/>
                <w:webHidden/>
              </w:rPr>
              <w:fldChar w:fldCharType="begin"/>
            </w:r>
            <w:r>
              <w:rPr>
                <w:noProof/>
                <w:webHidden/>
              </w:rPr>
              <w:instrText xml:space="preserve"> PAGEREF _Toc531776237 \h </w:instrText>
            </w:r>
            <w:r>
              <w:rPr>
                <w:noProof/>
                <w:webHidden/>
              </w:rPr>
            </w:r>
            <w:r>
              <w:rPr>
                <w:noProof/>
                <w:webHidden/>
              </w:rPr>
              <w:fldChar w:fldCharType="separate"/>
            </w:r>
            <w:r>
              <w:rPr>
                <w:noProof/>
                <w:webHidden/>
              </w:rPr>
              <w:t>14</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38" w:history="1">
            <w:r w:rsidRPr="000430CC">
              <w:rPr>
                <w:rStyle w:val="Hyperlink"/>
                <w:noProof/>
              </w:rPr>
              <w:t>4.3.</w:t>
            </w:r>
            <w:r>
              <w:rPr>
                <w:rFonts w:asciiTheme="minorHAnsi" w:eastAsiaTheme="minorEastAsia" w:hAnsiTheme="minorHAnsi" w:cstheme="minorBidi"/>
                <w:noProof/>
                <w:lang w:eastAsia="en-AU"/>
              </w:rPr>
              <w:tab/>
            </w:r>
            <w:r w:rsidRPr="000430CC">
              <w:rPr>
                <w:rStyle w:val="Hyperlink"/>
                <w:noProof/>
              </w:rPr>
              <w:t>Evaluator’s overall conclusions on pharmacokinetics</w:t>
            </w:r>
            <w:r>
              <w:rPr>
                <w:noProof/>
                <w:webHidden/>
              </w:rPr>
              <w:tab/>
            </w:r>
            <w:r>
              <w:rPr>
                <w:noProof/>
                <w:webHidden/>
              </w:rPr>
              <w:fldChar w:fldCharType="begin"/>
            </w:r>
            <w:r>
              <w:rPr>
                <w:noProof/>
                <w:webHidden/>
              </w:rPr>
              <w:instrText xml:space="preserve"> PAGEREF _Toc531776238 \h </w:instrText>
            </w:r>
            <w:r>
              <w:rPr>
                <w:noProof/>
                <w:webHidden/>
              </w:rPr>
            </w:r>
            <w:r>
              <w:rPr>
                <w:noProof/>
                <w:webHidden/>
              </w:rPr>
              <w:fldChar w:fldCharType="separate"/>
            </w:r>
            <w:r>
              <w:rPr>
                <w:noProof/>
                <w:webHidden/>
              </w:rPr>
              <w:t>21</w:t>
            </w:r>
            <w:r>
              <w:rPr>
                <w:noProof/>
                <w:webHidden/>
              </w:rPr>
              <w:fldChar w:fldCharType="end"/>
            </w:r>
          </w:hyperlink>
        </w:p>
        <w:p w:rsidR="005621E0" w:rsidRDefault="005621E0">
          <w:pPr>
            <w:pStyle w:val="TOC2"/>
            <w:tabs>
              <w:tab w:val="left" w:pos="1100"/>
            </w:tabs>
            <w:rPr>
              <w:rFonts w:asciiTheme="minorHAnsi" w:eastAsiaTheme="minorEastAsia" w:hAnsiTheme="minorHAnsi" w:cstheme="minorBidi"/>
              <w:b w:val="0"/>
              <w:noProof/>
              <w:sz w:val="22"/>
              <w:lang w:eastAsia="en-AU"/>
            </w:rPr>
          </w:pPr>
          <w:hyperlink w:anchor="_Toc531776239" w:history="1">
            <w:r w:rsidRPr="000430CC">
              <w:rPr>
                <w:rStyle w:val="Hyperlink"/>
                <w:noProof/>
              </w:rPr>
              <w:t>5.</w:t>
            </w:r>
            <w:r>
              <w:rPr>
                <w:rFonts w:asciiTheme="minorHAnsi" w:eastAsiaTheme="minorEastAsia" w:hAnsiTheme="minorHAnsi" w:cstheme="minorBidi"/>
                <w:b w:val="0"/>
                <w:noProof/>
                <w:sz w:val="22"/>
                <w:lang w:eastAsia="en-AU"/>
              </w:rPr>
              <w:tab/>
            </w:r>
            <w:r w:rsidRPr="000430CC">
              <w:rPr>
                <w:rStyle w:val="Hyperlink"/>
                <w:noProof/>
              </w:rPr>
              <w:t>Pharmacodynamics</w:t>
            </w:r>
            <w:r>
              <w:rPr>
                <w:noProof/>
                <w:webHidden/>
              </w:rPr>
              <w:tab/>
            </w:r>
            <w:r>
              <w:rPr>
                <w:noProof/>
                <w:webHidden/>
              </w:rPr>
              <w:fldChar w:fldCharType="begin"/>
            </w:r>
            <w:r>
              <w:rPr>
                <w:noProof/>
                <w:webHidden/>
              </w:rPr>
              <w:instrText xml:space="preserve"> PAGEREF _Toc531776239 \h </w:instrText>
            </w:r>
            <w:r>
              <w:rPr>
                <w:noProof/>
                <w:webHidden/>
              </w:rPr>
            </w:r>
            <w:r>
              <w:rPr>
                <w:noProof/>
                <w:webHidden/>
              </w:rPr>
              <w:fldChar w:fldCharType="separate"/>
            </w:r>
            <w:r>
              <w:rPr>
                <w:noProof/>
                <w:webHidden/>
              </w:rPr>
              <w:t>21</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40" w:history="1">
            <w:r w:rsidRPr="000430CC">
              <w:rPr>
                <w:rStyle w:val="Hyperlink"/>
                <w:noProof/>
              </w:rPr>
              <w:t>5.1.</w:t>
            </w:r>
            <w:r>
              <w:rPr>
                <w:rFonts w:asciiTheme="minorHAnsi" w:eastAsiaTheme="minorEastAsia" w:hAnsiTheme="minorHAnsi" w:cstheme="minorBidi"/>
                <w:noProof/>
                <w:lang w:eastAsia="en-AU"/>
              </w:rPr>
              <w:tab/>
            </w:r>
            <w:r w:rsidRPr="000430CC">
              <w:rPr>
                <w:rStyle w:val="Hyperlink"/>
                <w:noProof/>
              </w:rPr>
              <w:t>Studies providing pharmacodynamic information</w:t>
            </w:r>
            <w:r>
              <w:rPr>
                <w:noProof/>
                <w:webHidden/>
              </w:rPr>
              <w:tab/>
            </w:r>
            <w:r>
              <w:rPr>
                <w:noProof/>
                <w:webHidden/>
              </w:rPr>
              <w:fldChar w:fldCharType="begin"/>
            </w:r>
            <w:r>
              <w:rPr>
                <w:noProof/>
                <w:webHidden/>
              </w:rPr>
              <w:instrText xml:space="preserve"> PAGEREF _Toc531776240 \h </w:instrText>
            </w:r>
            <w:r>
              <w:rPr>
                <w:noProof/>
                <w:webHidden/>
              </w:rPr>
            </w:r>
            <w:r>
              <w:rPr>
                <w:noProof/>
                <w:webHidden/>
              </w:rPr>
              <w:fldChar w:fldCharType="separate"/>
            </w:r>
            <w:r>
              <w:rPr>
                <w:noProof/>
                <w:webHidden/>
              </w:rPr>
              <w:t>21</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41" w:history="1">
            <w:r w:rsidRPr="000430CC">
              <w:rPr>
                <w:rStyle w:val="Hyperlink"/>
                <w:noProof/>
              </w:rPr>
              <w:t>5.2.</w:t>
            </w:r>
            <w:r>
              <w:rPr>
                <w:rFonts w:asciiTheme="minorHAnsi" w:eastAsiaTheme="minorEastAsia" w:hAnsiTheme="minorHAnsi" w:cstheme="minorBidi"/>
                <w:noProof/>
                <w:lang w:eastAsia="en-AU"/>
              </w:rPr>
              <w:tab/>
            </w:r>
            <w:r w:rsidRPr="000430CC">
              <w:rPr>
                <w:rStyle w:val="Hyperlink"/>
                <w:noProof/>
              </w:rPr>
              <w:t>Summary of pharmacodynamics</w:t>
            </w:r>
            <w:r>
              <w:rPr>
                <w:noProof/>
                <w:webHidden/>
              </w:rPr>
              <w:tab/>
            </w:r>
            <w:r>
              <w:rPr>
                <w:noProof/>
                <w:webHidden/>
              </w:rPr>
              <w:fldChar w:fldCharType="begin"/>
            </w:r>
            <w:r>
              <w:rPr>
                <w:noProof/>
                <w:webHidden/>
              </w:rPr>
              <w:instrText xml:space="preserve"> PAGEREF _Toc531776241 \h </w:instrText>
            </w:r>
            <w:r>
              <w:rPr>
                <w:noProof/>
                <w:webHidden/>
              </w:rPr>
            </w:r>
            <w:r>
              <w:rPr>
                <w:noProof/>
                <w:webHidden/>
              </w:rPr>
              <w:fldChar w:fldCharType="separate"/>
            </w:r>
            <w:r>
              <w:rPr>
                <w:noProof/>
                <w:webHidden/>
              </w:rPr>
              <w:t>21</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42" w:history="1">
            <w:r w:rsidRPr="000430CC">
              <w:rPr>
                <w:rStyle w:val="Hyperlink"/>
                <w:noProof/>
              </w:rPr>
              <w:t>5.3.</w:t>
            </w:r>
            <w:r>
              <w:rPr>
                <w:rFonts w:asciiTheme="minorHAnsi" w:eastAsiaTheme="minorEastAsia" w:hAnsiTheme="minorHAnsi" w:cstheme="minorBidi"/>
                <w:noProof/>
                <w:lang w:eastAsia="en-AU"/>
              </w:rPr>
              <w:tab/>
            </w:r>
            <w:r w:rsidRPr="000430CC">
              <w:rPr>
                <w:rStyle w:val="Hyperlink"/>
                <w:noProof/>
              </w:rPr>
              <w:t>Evaluator’s overall conclusions on pharmacodynamics</w:t>
            </w:r>
            <w:r>
              <w:rPr>
                <w:noProof/>
                <w:webHidden/>
              </w:rPr>
              <w:tab/>
            </w:r>
            <w:r>
              <w:rPr>
                <w:noProof/>
                <w:webHidden/>
              </w:rPr>
              <w:fldChar w:fldCharType="begin"/>
            </w:r>
            <w:r>
              <w:rPr>
                <w:noProof/>
                <w:webHidden/>
              </w:rPr>
              <w:instrText xml:space="preserve"> PAGEREF _Toc531776242 \h </w:instrText>
            </w:r>
            <w:r>
              <w:rPr>
                <w:noProof/>
                <w:webHidden/>
              </w:rPr>
            </w:r>
            <w:r>
              <w:rPr>
                <w:noProof/>
                <w:webHidden/>
              </w:rPr>
              <w:fldChar w:fldCharType="separate"/>
            </w:r>
            <w:r>
              <w:rPr>
                <w:noProof/>
                <w:webHidden/>
              </w:rPr>
              <w:t>22</w:t>
            </w:r>
            <w:r>
              <w:rPr>
                <w:noProof/>
                <w:webHidden/>
              </w:rPr>
              <w:fldChar w:fldCharType="end"/>
            </w:r>
          </w:hyperlink>
        </w:p>
        <w:p w:rsidR="005621E0" w:rsidRDefault="005621E0">
          <w:pPr>
            <w:pStyle w:val="TOC2"/>
            <w:tabs>
              <w:tab w:val="left" w:pos="1100"/>
            </w:tabs>
            <w:rPr>
              <w:rFonts w:asciiTheme="minorHAnsi" w:eastAsiaTheme="minorEastAsia" w:hAnsiTheme="minorHAnsi" w:cstheme="minorBidi"/>
              <w:b w:val="0"/>
              <w:noProof/>
              <w:sz w:val="22"/>
              <w:lang w:eastAsia="en-AU"/>
            </w:rPr>
          </w:pPr>
          <w:hyperlink w:anchor="_Toc531776243" w:history="1">
            <w:r w:rsidRPr="000430CC">
              <w:rPr>
                <w:rStyle w:val="Hyperlink"/>
                <w:noProof/>
              </w:rPr>
              <w:t>6.</w:t>
            </w:r>
            <w:r>
              <w:rPr>
                <w:rFonts w:asciiTheme="minorHAnsi" w:eastAsiaTheme="minorEastAsia" w:hAnsiTheme="minorHAnsi" w:cstheme="minorBidi"/>
                <w:b w:val="0"/>
                <w:noProof/>
                <w:sz w:val="22"/>
                <w:lang w:eastAsia="en-AU"/>
              </w:rPr>
              <w:tab/>
            </w:r>
            <w:r w:rsidRPr="000430CC">
              <w:rPr>
                <w:rStyle w:val="Hyperlink"/>
                <w:noProof/>
              </w:rPr>
              <w:t>Dosage selection for the pivotal studies</w:t>
            </w:r>
            <w:r>
              <w:rPr>
                <w:noProof/>
                <w:webHidden/>
              </w:rPr>
              <w:tab/>
            </w:r>
            <w:r>
              <w:rPr>
                <w:noProof/>
                <w:webHidden/>
              </w:rPr>
              <w:fldChar w:fldCharType="begin"/>
            </w:r>
            <w:r>
              <w:rPr>
                <w:noProof/>
                <w:webHidden/>
              </w:rPr>
              <w:instrText xml:space="preserve"> PAGEREF _Toc531776243 \h </w:instrText>
            </w:r>
            <w:r>
              <w:rPr>
                <w:noProof/>
                <w:webHidden/>
              </w:rPr>
            </w:r>
            <w:r>
              <w:rPr>
                <w:noProof/>
                <w:webHidden/>
              </w:rPr>
              <w:fldChar w:fldCharType="separate"/>
            </w:r>
            <w:r>
              <w:rPr>
                <w:noProof/>
                <w:webHidden/>
              </w:rPr>
              <w:t>22</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44" w:history="1">
            <w:r w:rsidRPr="000430CC">
              <w:rPr>
                <w:rStyle w:val="Hyperlink"/>
                <w:noProof/>
              </w:rPr>
              <w:t>6.1.</w:t>
            </w:r>
            <w:r>
              <w:rPr>
                <w:rFonts w:asciiTheme="minorHAnsi" w:eastAsiaTheme="minorEastAsia" w:hAnsiTheme="minorHAnsi" w:cstheme="minorBidi"/>
                <w:noProof/>
                <w:lang w:eastAsia="en-AU"/>
              </w:rPr>
              <w:tab/>
            </w:r>
            <w:r w:rsidRPr="000430CC">
              <w:rPr>
                <w:rStyle w:val="Hyperlink"/>
                <w:noProof/>
              </w:rPr>
              <w:t>Pharmacokinetics and pharmacodynamics: dose finding studies</w:t>
            </w:r>
            <w:r>
              <w:rPr>
                <w:noProof/>
                <w:webHidden/>
              </w:rPr>
              <w:tab/>
            </w:r>
            <w:r>
              <w:rPr>
                <w:noProof/>
                <w:webHidden/>
              </w:rPr>
              <w:fldChar w:fldCharType="begin"/>
            </w:r>
            <w:r>
              <w:rPr>
                <w:noProof/>
                <w:webHidden/>
              </w:rPr>
              <w:instrText xml:space="preserve"> PAGEREF _Toc531776244 \h </w:instrText>
            </w:r>
            <w:r>
              <w:rPr>
                <w:noProof/>
                <w:webHidden/>
              </w:rPr>
            </w:r>
            <w:r>
              <w:rPr>
                <w:noProof/>
                <w:webHidden/>
              </w:rPr>
              <w:fldChar w:fldCharType="separate"/>
            </w:r>
            <w:r>
              <w:rPr>
                <w:noProof/>
                <w:webHidden/>
              </w:rPr>
              <w:t>22</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45" w:history="1">
            <w:r w:rsidRPr="000430CC">
              <w:rPr>
                <w:rStyle w:val="Hyperlink"/>
                <w:noProof/>
              </w:rPr>
              <w:t>6.2.</w:t>
            </w:r>
            <w:r>
              <w:rPr>
                <w:rFonts w:asciiTheme="minorHAnsi" w:eastAsiaTheme="minorEastAsia" w:hAnsiTheme="minorHAnsi" w:cstheme="minorBidi"/>
                <w:noProof/>
                <w:lang w:eastAsia="en-AU"/>
              </w:rPr>
              <w:tab/>
            </w:r>
            <w:r w:rsidRPr="000430CC">
              <w:rPr>
                <w:rStyle w:val="Hyperlink"/>
                <w:noProof/>
              </w:rPr>
              <w:t>Phase II dose finding studies</w:t>
            </w:r>
            <w:r>
              <w:rPr>
                <w:noProof/>
                <w:webHidden/>
              </w:rPr>
              <w:tab/>
            </w:r>
            <w:r>
              <w:rPr>
                <w:noProof/>
                <w:webHidden/>
              </w:rPr>
              <w:fldChar w:fldCharType="begin"/>
            </w:r>
            <w:r>
              <w:rPr>
                <w:noProof/>
                <w:webHidden/>
              </w:rPr>
              <w:instrText xml:space="preserve"> PAGEREF _Toc531776245 \h </w:instrText>
            </w:r>
            <w:r>
              <w:rPr>
                <w:noProof/>
                <w:webHidden/>
              </w:rPr>
            </w:r>
            <w:r>
              <w:rPr>
                <w:noProof/>
                <w:webHidden/>
              </w:rPr>
              <w:fldChar w:fldCharType="separate"/>
            </w:r>
            <w:r>
              <w:rPr>
                <w:noProof/>
                <w:webHidden/>
              </w:rPr>
              <w:t>22</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46" w:history="1">
            <w:r w:rsidRPr="000430CC">
              <w:rPr>
                <w:rStyle w:val="Hyperlink"/>
                <w:noProof/>
              </w:rPr>
              <w:t>6.3.</w:t>
            </w:r>
            <w:r>
              <w:rPr>
                <w:rFonts w:asciiTheme="minorHAnsi" w:eastAsiaTheme="minorEastAsia" w:hAnsiTheme="minorHAnsi" w:cstheme="minorBidi"/>
                <w:noProof/>
                <w:lang w:eastAsia="en-AU"/>
              </w:rPr>
              <w:tab/>
            </w:r>
            <w:r w:rsidRPr="000430CC">
              <w:rPr>
                <w:rStyle w:val="Hyperlink"/>
                <w:noProof/>
              </w:rPr>
              <w:t>Phase III pivotal studies investigating more than one dose regimen</w:t>
            </w:r>
            <w:r>
              <w:rPr>
                <w:noProof/>
                <w:webHidden/>
              </w:rPr>
              <w:tab/>
            </w:r>
            <w:r>
              <w:rPr>
                <w:noProof/>
                <w:webHidden/>
              </w:rPr>
              <w:fldChar w:fldCharType="begin"/>
            </w:r>
            <w:r>
              <w:rPr>
                <w:noProof/>
                <w:webHidden/>
              </w:rPr>
              <w:instrText xml:space="preserve"> PAGEREF _Toc531776246 \h </w:instrText>
            </w:r>
            <w:r>
              <w:rPr>
                <w:noProof/>
                <w:webHidden/>
              </w:rPr>
            </w:r>
            <w:r>
              <w:rPr>
                <w:noProof/>
                <w:webHidden/>
              </w:rPr>
              <w:fldChar w:fldCharType="separate"/>
            </w:r>
            <w:r>
              <w:rPr>
                <w:noProof/>
                <w:webHidden/>
              </w:rPr>
              <w:t>22</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47" w:history="1">
            <w:r w:rsidRPr="000430CC">
              <w:rPr>
                <w:rStyle w:val="Hyperlink"/>
                <w:noProof/>
              </w:rPr>
              <w:t>6.4.</w:t>
            </w:r>
            <w:r>
              <w:rPr>
                <w:rFonts w:asciiTheme="minorHAnsi" w:eastAsiaTheme="minorEastAsia" w:hAnsiTheme="minorHAnsi" w:cstheme="minorBidi"/>
                <w:noProof/>
                <w:lang w:eastAsia="en-AU"/>
              </w:rPr>
              <w:tab/>
            </w:r>
            <w:r w:rsidRPr="000430CC">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_Toc531776247 \h </w:instrText>
            </w:r>
            <w:r>
              <w:rPr>
                <w:noProof/>
                <w:webHidden/>
              </w:rPr>
            </w:r>
            <w:r>
              <w:rPr>
                <w:noProof/>
                <w:webHidden/>
              </w:rPr>
              <w:fldChar w:fldCharType="separate"/>
            </w:r>
            <w:r>
              <w:rPr>
                <w:noProof/>
                <w:webHidden/>
              </w:rPr>
              <w:t>23</w:t>
            </w:r>
            <w:r>
              <w:rPr>
                <w:noProof/>
                <w:webHidden/>
              </w:rPr>
              <w:fldChar w:fldCharType="end"/>
            </w:r>
          </w:hyperlink>
        </w:p>
        <w:p w:rsidR="005621E0" w:rsidRDefault="005621E0">
          <w:pPr>
            <w:pStyle w:val="TOC2"/>
            <w:tabs>
              <w:tab w:val="left" w:pos="1100"/>
            </w:tabs>
            <w:rPr>
              <w:rFonts w:asciiTheme="minorHAnsi" w:eastAsiaTheme="minorEastAsia" w:hAnsiTheme="minorHAnsi" w:cstheme="minorBidi"/>
              <w:b w:val="0"/>
              <w:noProof/>
              <w:sz w:val="22"/>
              <w:lang w:eastAsia="en-AU"/>
            </w:rPr>
          </w:pPr>
          <w:hyperlink w:anchor="_Toc531776248" w:history="1">
            <w:r w:rsidRPr="000430CC">
              <w:rPr>
                <w:rStyle w:val="Hyperlink"/>
                <w:noProof/>
              </w:rPr>
              <w:t>7.</w:t>
            </w:r>
            <w:r>
              <w:rPr>
                <w:rFonts w:asciiTheme="minorHAnsi" w:eastAsiaTheme="minorEastAsia" w:hAnsiTheme="minorHAnsi" w:cstheme="minorBidi"/>
                <w:b w:val="0"/>
                <w:noProof/>
                <w:sz w:val="22"/>
                <w:lang w:eastAsia="en-AU"/>
              </w:rPr>
              <w:tab/>
            </w:r>
            <w:r w:rsidRPr="000430CC">
              <w:rPr>
                <w:rStyle w:val="Hyperlink"/>
                <w:noProof/>
              </w:rPr>
              <w:t>Clinical efficacy</w:t>
            </w:r>
            <w:r>
              <w:rPr>
                <w:noProof/>
                <w:webHidden/>
              </w:rPr>
              <w:tab/>
            </w:r>
            <w:r>
              <w:rPr>
                <w:noProof/>
                <w:webHidden/>
              </w:rPr>
              <w:fldChar w:fldCharType="begin"/>
            </w:r>
            <w:r>
              <w:rPr>
                <w:noProof/>
                <w:webHidden/>
              </w:rPr>
              <w:instrText xml:space="preserve"> PAGEREF _Toc531776248 \h </w:instrText>
            </w:r>
            <w:r>
              <w:rPr>
                <w:noProof/>
                <w:webHidden/>
              </w:rPr>
            </w:r>
            <w:r>
              <w:rPr>
                <w:noProof/>
                <w:webHidden/>
              </w:rPr>
              <w:fldChar w:fldCharType="separate"/>
            </w:r>
            <w:r>
              <w:rPr>
                <w:noProof/>
                <w:webHidden/>
              </w:rPr>
              <w:t>24</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49" w:history="1">
            <w:r w:rsidRPr="000430CC">
              <w:rPr>
                <w:rStyle w:val="Hyperlink"/>
                <w:noProof/>
              </w:rPr>
              <w:t>7.1.</w:t>
            </w:r>
            <w:r>
              <w:rPr>
                <w:rFonts w:asciiTheme="minorHAnsi" w:eastAsiaTheme="minorEastAsia" w:hAnsiTheme="minorHAnsi" w:cstheme="minorBidi"/>
                <w:noProof/>
                <w:lang w:eastAsia="en-AU"/>
              </w:rPr>
              <w:tab/>
            </w:r>
            <w:r w:rsidRPr="000430CC">
              <w:rPr>
                <w:rStyle w:val="Hyperlink"/>
                <w:noProof/>
              </w:rPr>
              <w:t>Studies providing evaluable efficacy data</w:t>
            </w:r>
            <w:r>
              <w:rPr>
                <w:noProof/>
                <w:webHidden/>
              </w:rPr>
              <w:tab/>
            </w:r>
            <w:r>
              <w:rPr>
                <w:noProof/>
                <w:webHidden/>
              </w:rPr>
              <w:fldChar w:fldCharType="begin"/>
            </w:r>
            <w:r>
              <w:rPr>
                <w:noProof/>
                <w:webHidden/>
              </w:rPr>
              <w:instrText xml:space="preserve"> PAGEREF _Toc531776249 \h </w:instrText>
            </w:r>
            <w:r>
              <w:rPr>
                <w:noProof/>
                <w:webHidden/>
              </w:rPr>
            </w:r>
            <w:r>
              <w:rPr>
                <w:noProof/>
                <w:webHidden/>
              </w:rPr>
              <w:fldChar w:fldCharType="separate"/>
            </w:r>
            <w:r>
              <w:rPr>
                <w:noProof/>
                <w:webHidden/>
              </w:rPr>
              <w:t>24</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50" w:history="1">
            <w:r w:rsidRPr="000430CC">
              <w:rPr>
                <w:rStyle w:val="Hyperlink"/>
                <w:noProof/>
              </w:rPr>
              <w:t>7.2.</w:t>
            </w:r>
            <w:r>
              <w:rPr>
                <w:rFonts w:asciiTheme="minorHAnsi" w:eastAsiaTheme="minorEastAsia" w:hAnsiTheme="minorHAnsi" w:cstheme="minorBidi"/>
                <w:noProof/>
                <w:lang w:eastAsia="en-AU"/>
              </w:rPr>
              <w:tab/>
            </w:r>
            <w:r w:rsidRPr="000430CC">
              <w:rPr>
                <w:rStyle w:val="Hyperlink"/>
                <w:noProof/>
              </w:rPr>
              <w:t>Pivotal or main efficacy studies</w:t>
            </w:r>
            <w:r>
              <w:rPr>
                <w:noProof/>
                <w:webHidden/>
              </w:rPr>
              <w:tab/>
            </w:r>
            <w:r>
              <w:rPr>
                <w:noProof/>
                <w:webHidden/>
              </w:rPr>
              <w:fldChar w:fldCharType="begin"/>
            </w:r>
            <w:r>
              <w:rPr>
                <w:noProof/>
                <w:webHidden/>
              </w:rPr>
              <w:instrText xml:space="preserve"> PAGEREF _Toc531776250 \h </w:instrText>
            </w:r>
            <w:r>
              <w:rPr>
                <w:noProof/>
                <w:webHidden/>
              </w:rPr>
            </w:r>
            <w:r>
              <w:rPr>
                <w:noProof/>
                <w:webHidden/>
              </w:rPr>
              <w:fldChar w:fldCharType="separate"/>
            </w:r>
            <w:r>
              <w:rPr>
                <w:noProof/>
                <w:webHidden/>
              </w:rPr>
              <w:t>24</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51" w:history="1">
            <w:r w:rsidRPr="000430CC">
              <w:rPr>
                <w:rStyle w:val="Hyperlink"/>
                <w:noProof/>
              </w:rPr>
              <w:t>7.3.</w:t>
            </w:r>
            <w:r>
              <w:rPr>
                <w:rFonts w:asciiTheme="minorHAnsi" w:eastAsiaTheme="minorEastAsia" w:hAnsiTheme="minorHAnsi" w:cstheme="minorBidi"/>
                <w:noProof/>
                <w:lang w:eastAsia="en-AU"/>
              </w:rPr>
              <w:tab/>
            </w:r>
            <w:r w:rsidRPr="000430CC">
              <w:rPr>
                <w:rStyle w:val="Hyperlink"/>
                <w:noProof/>
              </w:rPr>
              <w:t>Other efficacy studies</w:t>
            </w:r>
            <w:r>
              <w:rPr>
                <w:noProof/>
                <w:webHidden/>
              </w:rPr>
              <w:tab/>
            </w:r>
            <w:r>
              <w:rPr>
                <w:noProof/>
                <w:webHidden/>
              </w:rPr>
              <w:fldChar w:fldCharType="begin"/>
            </w:r>
            <w:r>
              <w:rPr>
                <w:noProof/>
                <w:webHidden/>
              </w:rPr>
              <w:instrText xml:space="preserve"> PAGEREF _Toc531776251 \h </w:instrText>
            </w:r>
            <w:r>
              <w:rPr>
                <w:noProof/>
                <w:webHidden/>
              </w:rPr>
            </w:r>
            <w:r>
              <w:rPr>
                <w:noProof/>
                <w:webHidden/>
              </w:rPr>
              <w:fldChar w:fldCharType="separate"/>
            </w:r>
            <w:r>
              <w:rPr>
                <w:noProof/>
                <w:webHidden/>
              </w:rPr>
              <w:t>52</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52" w:history="1">
            <w:r w:rsidRPr="000430CC">
              <w:rPr>
                <w:rStyle w:val="Hyperlink"/>
                <w:noProof/>
              </w:rPr>
              <w:t>7.4.</w:t>
            </w:r>
            <w:r>
              <w:rPr>
                <w:rFonts w:asciiTheme="minorHAnsi" w:eastAsiaTheme="minorEastAsia" w:hAnsiTheme="minorHAnsi" w:cstheme="minorBidi"/>
                <w:noProof/>
                <w:lang w:eastAsia="en-AU"/>
              </w:rPr>
              <w:tab/>
            </w:r>
            <w:r w:rsidRPr="000430CC">
              <w:rPr>
                <w:rStyle w:val="Hyperlink"/>
                <w:noProof/>
              </w:rPr>
              <w:t>Analyses performed across trials: pooled and meta analyses</w:t>
            </w:r>
            <w:r>
              <w:rPr>
                <w:noProof/>
                <w:webHidden/>
              </w:rPr>
              <w:tab/>
            </w:r>
            <w:r>
              <w:rPr>
                <w:noProof/>
                <w:webHidden/>
              </w:rPr>
              <w:fldChar w:fldCharType="begin"/>
            </w:r>
            <w:r>
              <w:rPr>
                <w:noProof/>
                <w:webHidden/>
              </w:rPr>
              <w:instrText xml:space="preserve"> PAGEREF _Toc531776252 \h </w:instrText>
            </w:r>
            <w:r>
              <w:rPr>
                <w:noProof/>
                <w:webHidden/>
              </w:rPr>
            </w:r>
            <w:r>
              <w:rPr>
                <w:noProof/>
                <w:webHidden/>
              </w:rPr>
              <w:fldChar w:fldCharType="separate"/>
            </w:r>
            <w:r>
              <w:rPr>
                <w:noProof/>
                <w:webHidden/>
              </w:rPr>
              <w:t>52</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53" w:history="1">
            <w:r w:rsidRPr="000430CC">
              <w:rPr>
                <w:rStyle w:val="Hyperlink"/>
                <w:noProof/>
              </w:rPr>
              <w:t>7.5.</w:t>
            </w:r>
            <w:r>
              <w:rPr>
                <w:rFonts w:asciiTheme="minorHAnsi" w:eastAsiaTheme="minorEastAsia" w:hAnsiTheme="minorHAnsi" w:cstheme="minorBidi"/>
                <w:noProof/>
                <w:lang w:eastAsia="en-AU"/>
              </w:rPr>
              <w:tab/>
            </w:r>
            <w:r w:rsidRPr="000430CC">
              <w:rPr>
                <w:rStyle w:val="Hyperlink"/>
                <w:noProof/>
              </w:rPr>
              <w:t>Evaluator’s conclusions on clinical efficacy</w:t>
            </w:r>
            <w:r>
              <w:rPr>
                <w:noProof/>
                <w:webHidden/>
              </w:rPr>
              <w:tab/>
            </w:r>
            <w:r>
              <w:rPr>
                <w:noProof/>
                <w:webHidden/>
              </w:rPr>
              <w:fldChar w:fldCharType="begin"/>
            </w:r>
            <w:r>
              <w:rPr>
                <w:noProof/>
                <w:webHidden/>
              </w:rPr>
              <w:instrText xml:space="preserve"> PAGEREF _Toc531776253 \h </w:instrText>
            </w:r>
            <w:r>
              <w:rPr>
                <w:noProof/>
                <w:webHidden/>
              </w:rPr>
            </w:r>
            <w:r>
              <w:rPr>
                <w:noProof/>
                <w:webHidden/>
              </w:rPr>
              <w:fldChar w:fldCharType="separate"/>
            </w:r>
            <w:r>
              <w:rPr>
                <w:noProof/>
                <w:webHidden/>
              </w:rPr>
              <w:t>52</w:t>
            </w:r>
            <w:r>
              <w:rPr>
                <w:noProof/>
                <w:webHidden/>
              </w:rPr>
              <w:fldChar w:fldCharType="end"/>
            </w:r>
          </w:hyperlink>
        </w:p>
        <w:p w:rsidR="005621E0" w:rsidRDefault="005621E0">
          <w:pPr>
            <w:pStyle w:val="TOC2"/>
            <w:tabs>
              <w:tab w:val="left" w:pos="1100"/>
            </w:tabs>
            <w:rPr>
              <w:rFonts w:asciiTheme="minorHAnsi" w:eastAsiaTheme="minorEastAsia" w:hAnsiTheme="minorHAnsi" w:cstheme="minorBidi"/>
              <w:b w:val="0"/>
              <w:noProof/>
              <w:sz w:val="22"/>
              <w:lang w:eastAsia="en-AU"/>
            </w:rPr>
          </w:pPr>
          <w:hyperlink w:anchor="_Toc531776254" w:history="1">
            <w:r w:rsidRPr="000430CC">
              <w:rPr>
                <w:rStyle w:val="Hyperlink"/>
                <w:noProof/>
              </w:rPr>
              <w:t>8.</w:t>
            </w:r>
            <w:r>
              <w:rPr>
                <w:rFonts w:asciiTheme="minorHAnsi" w:eastAsiaTheme="minorEastAsia" w:hAnsiTheme="minorHAnsi" w:cstheme="minorBidi"/>
                <w:b w:val="0"/>
                <w:noProof/>
                <w:sz w:val="22"/>
                <w:lang w:eastAsia="en-AU"/>
              </w:rPr>
              <w:tab/>
            </w:r>
            <w:r w:rsidRPr="000430CC">
              <w:rPr>
                <w:rStyle w:val="Hyperlink"/>
                <w:noProof/>
              </w:rPr>
              <w:t>Clinical safety</w:t>
            </w:r>
            <w:r>
              <w:rPr>
                <w:noProof/>
                <w:webHidden/>
              </w:rPr>
              <w:tab/>
            </w:r>
            <w:r>
              <w:rPr>
                <w:noProof/>
                <w:webHidden/>
              </w:rPr>
              <w:fldChar w:fldCharType="begin"/>
            </w:r>
            <w:r>
              <w:rPr>
                <w:noProof/>
                <w:webHidden/>
              </w:rPr>
              <w:instrText xml:space="preserve"> PAGEREF _Toc531776254 \h </w:instrText>
            </w:r>
            <w:r>
              <w:rPr>
                <w:noProof/>
                <w:webHidden/>
              </w:rPr>
            </w:r>
            <w:r>
              <w:rPr>
                <w:noProof/>
                <w:webHidden/>
              </w:rPr>
              <w:fldChar w:fldCharType="separate"/>
            </w:r>
            <w:r>
              <w:rPr>
                <w:noProof/>
                <w:webHidden/>
              </w:rPr>
              <w:t>52</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55" w:history="1">
            <w:r w:rsidRPr="000430CC">
              <w:rPr>
                <w:rStyle w:val="Hyperlink"/>
                <w:noProof/>
              </w:rPr>
              <w:t>8.1.</w:t>
            </w:r>
            <w:r>
              <w:rPr>
                <w:rFonts w:asciiTheme="minorHAnsi" w:eastAsiaTheme="minorEastAsia" w:hAnsiTheme="minorHAnsi" w:cstheme="minorBidi"/>
                <w:noProof/>
                <w:lang w:eastAsia="en-AU"/>
              </w:rPr>
              <w:tab/>
            </w:r>
            <w:r w:rsidRPr="000430CC">
              <w:rPr>
                <w:rStyle w:val="Hyperlink"/>
                <w:noProof/>
              </w:rPr>
              <w:t>Studies providing evaluable safety data</w:t>
            </w:r>
            <w:r>
              <w:rPr>
                <w:noProof/>
                <w:webHidden/>
              </w:rPr>
              <w:tab/>
            </w:r>
            <w:r>
              <w:rPr>
                <w:noProof/>
                <w:webHidden/>
              </w:rPr>
              <w:fldChar w:fldCharType="begin"/>
            </w:r>
            <w:r>
              <w:rPr>
                <w:noProof/>
                <w:webHidden/>
              </w:rPr>
              <w:instrText xml:space="preserve"> PAGEREF _Toc531776255 \h </w:instrText>
            </w:r>
            <w:r>
              <w:rPr>
                <w:noProof/>
                <w:webHidden/>
              </w:rPr>
            </w:r>
            <w:r>
              <w:rPr>
                <w:noProof/>
                <w:webHidden/>
              </w:rPr>
              <w:fldChar w:fldCharType="separate"/>
            </w:r>
            <w:r>
              <w:rPr>
                <w:noProof/>
                <w:webHidden/>
              </w:rPr>
              <w:t>52</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56" w:history="1">
            <w:r w:rsidRPr="000430CC">
              <w:rPr>
                <w:rStyle w:val="Hyperlink"/>
                <w:noProof/>
              </w:rPr>
              <w:t>8.2.</w:t>
            </w:r>
            <w:r>
              <w:rPr>
                <w:rFonts w:asciiTheme="minorHAnsi" w:eastAsiaTheme="minorEastAsia" w:hAnsiTheme="minorHAnsi" w:cstheme="minorBidi"/>
                <w:noProof/>
                <w:lang w:eastAsia="en-AU"/>
              </w:rPr>
              <w:tab/>
            </w:r>
            <w:r w:rsidRPr="000430CC">
              <w:rPr>
                <w:rStyle w:val="Hyperlink"/>
                <w:noProof/>
              </w:rPr>
              <w:t>Patient exposure</w:t>
            </w:r>
            <w:r>
              <w:rPr>
                <w:noProof/>
                <w:webHidden/>
              </w:rPr>
              <w:tab/>
            </w:r>
            <w:r>
              <w:rPr>
                <w:noProof/>
                <w:webHidden/>
              </w:rPr>
              <w:fldChar w:fldCharType="begin"/>
            </w:r>
            <w:r>
              <w:rPr>
                <w:noProof/>
                <w:webHidden/>
              </w:rPr>
              <w:instrText xml:space="preserve"> PAGEREF _Toc531776256 \h </w:instrText>
            </w:r>
            <w:r>
              <w:rPr>
                <w:noProof/>
                <w:webHidden/>
              </w:rPr>
            </w:r>
            <w:r>
              <w:rPr>
                <w:noProof/>
                <w:webHidden/>
              </w:rPr>
              <w:fldChar w:fldCharType="separate"/>
            </w:r>
            <w:r>
              <w:rPr>
                <w:noProof/>
                <w:webHidden/>
              </w:rPr>
              <w:t>54</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57" w:history="1">
            <w:r w:rsidRPr="000430CC">
              <w:rPr>
                <w:rStyle w:val="Hyperlink"/>
                <w:noProof/>
              </w:rPr>
              <w:t>8.3.</w:t>
            </w:r>
            <w:r>
              <w:rPr>
                <w:rFonts w:asciiTheme="minorHAnsi" w:eastAsiaTheme="minorEastAsia" w:hAnsiTheme="minorHAnsi" w:cstheme="minorBidi"/>
                <w:noProof/>
                <w:lang w:eastAsia="en-AU"/>
              </w:rPr>
              <w:tab/>
            </w:r>
            <w:r w:rsidRPr="000430CC">
              <w:rPr>
                <w:rStyle w:val="Hyperlink"/>
                <w:noProof/>
              </w:rPr>
              <w:t>Adverse events</w:t>
            </w:r>
            <w:r>
              <w:rPr>
                <w:noProof/>
                <w:webHidden/>
              </w:rPr>
              <w:tab/>
            </w:r>
            <w:r>
              <w:rPr>
                <w:noProof/>
                <w:webHidden/>
              </w:rPr>
              <w:fldChar w:fldCharType="begin"/>
            </w:r>
            <w:r>
              <w:rPr>
                <w:noProof/>
                <w:webHidden/>
              </w:rPr>
              <w:instrText xml:space="preserve"> PAGEREF _Toc531776257 \h </w:instrText>
            </w:r>
            <w:r>
              <w:rPr>
                <w:noProof/>
                <w:webHidden/>
              </w:rPr>
            </w:r>
            <w:r>
              <w:rPr>
                <w:noProof/>
                <w:webHidden/>
              </w:rPr>
              <w:fldChar w:fldCharType="separate"/>
            </w:r>
            <w:r>
              <w:rPr>
                <w:noProof/>
                <w:webHidden/>
              </w:rPr>
              <w:t>56</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58" w:history="1">
            <w:r w:rsidRPr="000430CC">
              <w:rPr>
                <w:rStyle w:val="Hyperlink"/>
                <w:noProof/>
              </w:rPr>
              <w:t>8.4.</w:t>
            </w:r>
            <w:r>
              <w:rPr>
                <w:rFonts w:asciiTheme="minorHAnsi" w:eastAsiaTheme="minorEastAsia" w:hAnsiTheme="minorHAnsi" w:cstheme="minorBidi"/>
                <w:noProof/>
                <w:lang w:eastAsia="en-AU"/>
              </w:rPr>
              <w:tab/>
            </w:r>
            <w:r w:rsidRPr="000430CC">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_Toc531776258 \h </w:instrText>
            </w:r>
            <w:r>
              <w:rPr>
                <w:noProof/>
                <w:webHidden/>
              </w:rPr>
            </w:r>
            <w:r>
              <w:rPr>
                <w:noProof/>
                <w:webHidden/>
              </w:rPr>
              <w:fldChar w:fldCharType="separate"/>
            </w:r>
            <w:r>
              <w:rPr>
                <w:noProof/>
                <w:webHidden/>
              </w:rPr>
              <w:t>69</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59" w:history="1">
            <w:r w:rsidRPr="000430CC">
              <w:rPr>
                <w:rStyle w:val="Hyperlink"/>
                <w:noProof/>
              </w:rPr>
              <w:t>8.5.</w:t>
            </w:r>
            <w:r>
              <w:rPr>
                <w:rFonts w:asciiTheme="minorHAnsi" w:eastAsiaTheme="minorEastAsia" w:hAnsiTheme="minorHAnsi" w:cstheme="minorBidi"/>
                <w:noProof/>
                <w:lang w:eastAsia="en-AU"/>
              </w:rPr>
              <w:tab/>
            </w:r>
            <w:r w:rsidRPr="000430CC">
              <w:rPr>
                <w:rStyle w:val="Hyperlink"/>
                <w:noProof/>
              </w:rPr>
              <w:t>Other safety issues</w:t>
            </w:r>
            <w:r>
              <w:rPr>
                <w:noProof/>
                <w:webHidden/>
              </w:rPr>
              <w:tab/>
            </w:r>
            <w:r>
              <w:rPr>
                <w:noProof/>
                <w:webHidden/>
              </w:rPr>
              <w:fldChar w:fldCharType="begin"/>
            </w:r>
            <w:r>
              <w:rPr>
                <w:noProof/>
                <w:webHidden/>
              </w:rPr>
              <w:instrText xml:space="preserve"> PAGEREF _Toc531776259 \h </w:instrText>
            </w:r>
            <w:r>
              <w:rPr>
                <w:noProof/>
                <w:webHidden/>
              </w:rPr>
            </w:r>
            <w:r>
              <w:rPr>
                <w:noProof/>
                <w:webHidden/>
              </w:rPr>
              <w:fldChar w:fldCharType="separate"/>
            </w:r>
            <w:r>
              <w:rPr>
                <w:noProof/>
                <w:webHidden/>
              </w:rPr>
              <w:t>91</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60" w:history="1">
            <w:r w:rsidRPr="000430CC">
              <w:rPr>
                <w:rStyle w:val="Hyperlink"/>
                <w:noProof/>
              </w:rPr>
              <w:t>8.6.</w:t>
            </w:r>
            <w:r>
              <w:rPr>
                <w:rFonts w:asciiTheme="minorHAnsi" w:eastAsiaTheme="minorEastAsia" w:hAnsiTheme="minorHAnsi" w:cstheme="minorBidi"/>
                <w:noProof/>
                <w:lang w:eastAsia="en-AU"/>
              </w:rPr>
              <w:tab/>
            </w:r>
            <w:r w:rsidRPr="000430CC">
              <w:rPr>
                <w:rStyle w:val="Hyperlink"/>
                <w:noProof/>
              </w:rPr>
              <w:t>Post marketing experience</w:t>
            </w:r>
            <w:r>
              <w:rPr>
                <w:noProof/>
                <w:webHidden/>
              </w:rPr>
              <w:tab/>
            </w:r>
            <w:r>
              <w:rPr>
                <w:noProof/>
                <w:webHidden/>
              </w:rPr>
              <w:fldChar w:fldCharType="begin"/>
            </w:r>
            <w:r>
              <w:rPr>
                <w:noProof/>
                <w:webHidden/>
              </w:rPr>
              <w:instrText xml:space="preserve"> PAGEREF _Toc531776260 \h </w:instrText>
            </w:r>
            <w:r>
              <w:rPr>
                <w:noProof/>
                <w:webHidden/>
              </w:rPr>
            </w:r>
            <w:r>
              <w:rPr>
                <w:noProof/>
                <w:webHidden/>
              </w:rPr>
              <w:fldChar w:fldCharType="separate"/>
            </w:r>
            <w:r>
              <w:rPr>
                <w:noProof/>
                <w:webHidden/>
              </w:rPr>
              <w:t>93</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61" w:history="1">
            <w:r w:rsidRPr="000430CC">
              <w:rPr>
                <w:rStyle w:val="Hyperlink"/>
                <w:noProof/>
              </w:rPr>
              <w:t>8.7.</w:t>
            </w:r>
            <w:r>
              <w:rPr>
                <w:rFonts w:asciiTheme="minorHAnsi" w:eastAsiaTheme="minorEastAsia" w:hAnsiTheme="minorHAnsi" w:cstheme="minorBidi"/>
                <w:noProof/>
                <w:lang w:eastAsia="en-AU"/>
              </w:rPr>
              <w:tab/>
            </w:r>
            <w:r w:rsidRPr="000430CC">
              <w:rPr>
                <w:rStyle w:val="Hyperlink"/>
                <w:noProof/>
              </w:rPr>
              <w:t>Evaluator’s overall conclusions on clinical safety</w:t>
            </w:r>
            <w:r>
              <w:rPr>
                <w:noProof/>
                <w:webHidden/>
              </w:rPr>
              <w:tab/>
            </w:r>
            <w:r>
              <w:rPr>
                <w:noProof/>
                <w:webHidden/>
              </w:rPr>
              <w:fldChar w:fldCharType="begin"/>
            </w:r>
            <w:r>
              <w:rPr>
                <w:noProof/>
                <w:webHidden/>
              </w:rPr>
              <w:instrText xml:space="preserve"> PAGEREF _Toc531776261 \h </w:instrText>
            </w:r>
            <w:r>
              <w:rPr>
                <w:noProof/>
                <w:webHidden/>
              </w:rPr>
            </w:r>
            <w:r>
              <w:rPr>
                <w:noProof/>
                <w:webHidden/>
              </w:rPr>
              <w:fldChar w:fldCharType="separate"/>
            </w:r>
            <w:r>
              <w:rPr>
                <w:noProof/>
                <w:webHidden/>
              </w:rPr>
              <w:t>94</w:t>
            </w:r>
            <w:r>
              <w:rPr>
                <w:noProof/>
                <w:webHidden/>
              </w:rPr>
              <w:fldChar w:fldCharType="end"/>
            </w:r>
          </w:hyperlink>
        </w:p>
        <w:p w:rsidR="005621E0" w:rsidRDefault="005621E0">
          <w:pPr>
            <w:pStyle w:val="TOC2"/>
            <w:tabs>
              <w:tab w:val="left" w:pos="1100"/>
            </w:tabs>
            <w:rPr>
              <w:rFonts w:asciiTheme="minorHAnsi" w:eastAsiaTheme="minorEastAsia" w:hAnsiTheme="minorHAnsi" w:cstheme="minorBidi"/>
              <w:b w:val="0"/>
              <w:noProof/>
              <w:sz w:val="22"/>
              <w:lang w:eastAsia="en-AU"/>
            </w:rPr>
          </w:pPr>
          <w:hyperlink w:anchor="_Toc531776262" w:history="1">
            <w:r w:rsidRPr="000430CC">
              <w:rPr>
                <w:rStyle w:val="Hyperlink"/>
                <w:noProof/>
              </w:rPr>
              <w:t>9.</w:t>
            </w:r>
            <w:r>
              <w:rPr>
                <w:rFonts w:asciiTheme="minorHAnsi" w:eastAsiaTheme="minorEastAsia" w:hAnsiTheme="minorHAnsi" w:cstheme="minorBidi"/>
                <w:b w:val="0"/>
                <w:noProof/>
                <w:sz w:val="22"/>
                <w:lang w:eastAsia="en-AU"/>
              </w:rPr>
              <w:tab/>
            </w:r>
            <w:r w:rsidRPr="000430CC">
              <w:rPr>
                <w:rStyle w:val="Hyperlink"/>
                <w:noProof/>
              </w:rPr>
              <w:t>First round benefit-risk assessment</w:t>
            </w:r>
            <w:r>
              <w:rPr>
                <w:noProof/>
                <w:webHidden/>
              </w:rPr>
              <w:tab/>
            </w:r>
            <w:r>
              <w:rPr>
                <w:noProof/>
                <w:webHidden/>
              </w:rPr>
              <w:fldChar w:fldCharType="begin"/>
            </w:r>
            <w:r>
              <w:rPr>
                <w:noProof/>
                <w:webHidden/>
              </w:rPr>
              <w:instrText xml:space="preserve"> PAGEREF _Toc531776262 \h </w:instrText>
            </w:r>
            <w:r>
              <w:rPr>
                <w:noProof/>
                <w:webHidden/>
              </w:rPr>
            </w:r>
            <w:r>
              <w:rPr>
                <w:noProof/>
                <w:webHidden/>
              </w:rPr>
              <w:fldChar w:fldCharType="separate"/>
            </w:r>
            <w:r>
              <w:rPr>
                <w:noProof/>
                <w:webHidden/>
              </w:rPr>
              <w:t>95</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63" w:history="1">
            <w:r w:rsidRPr="000430CC">
              <w:rPr>
                <w:rStyle w:val="Hyperlink"/>
                <w:noProof/>
              </w:rPr>
              <w:t>9.1.</w:t>
            </w:r>
            <w:r>
              <w:rPr>
                <w:rFonts w:asciiTheme="minorHAnsi" w:eastAsiaTheme="minorEastAsia" w:hAnsiTheme="minorHAnsi" w:cstheme="minorBidi"/>
                <w:noProof/>
                <w:lang w:eastAsia="en-AU"/>
              </w:rPr>
              <w:tab/>
            </w:r>
            <w:r w:rsidRPr="000430CC">
              <w:rPr>
                <w:rStyle w:val="Hyperlink"/>
                <w:noProof/>
              </w:rPr>
              <w:t>First round assessment of benefits</w:t>
            </w:r>
            <w:r>
              <w:rPr>
                <w:noProof/>
                <w:webHidden/>
              </w:rPr>
              <w:tab/>
            </w:r>
            <w:r>
              <w:rPr>
                <w:noProof/>
                <w:webHidden/>
              </w:rPr>
              <w:fldChar w:fldCharType="begin"/>
            </w:r>
            <w:r>
              <w:rPr>
                <w:noProof/>
                <w:webHidden/>
              </w:rPr>
              <w:instrText xml:space="preserve"> PAGEREF _Toc531776263 \h </w:instrText>
            </w:r>
            <w:r>
              <w:rPr>
                <w:noProof/>
                <w:webHidden/>
              </w:rPr>
            </w:r>
            <w:r>
              <w:rPr>
                <w:noProof/>
                <w:webHidden/>
              </w:rPr>
              <w:fldChar w:fldCharType="separate"/>
            </w:r>
            <w:r>
              <w:rPr>
                <w:noProof/>
                <w:webHidden/>
              </w:rPr>
              <w:t>95</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64" w:history="1">
            <w:r w:rsidRPr="000430CC">
              <w:rPr>
                <w:rStyle w:val="Hyperlink"/>
                <w:noProof/>
              </w:rPr>
              <w:t>9.2.</w:t>
            </w:r>
            <w:r>
              <w:rPr>
                <w:rFonts w:asciiTheme="minorHAnsi" w:eastAsiaTheme="minorEastAsia" w:hAnsiTheme="minorHAnsi" w:cstheme="minorBidi"/>
                <w:noProof/>
                <w:lang w:eastAsia="en-AU"/>
              </w:rPr>
              <w:tab/>
            </w:r>
            <w:r w:rsidRPr="000430CC">
              <w:rPr>
                <w:rStyle w:val="Hyperlink"/>
                <w:noProof/>
              </w:rPr>
              <w:t>First round assessment of risks</w:t>
            </w:r>
            <w:r>
              <w:rPr>
                <w:noProof/>
                <w:webHidden/>
              </w:rPr>
              <w:tab/>
            </w:r>
            <w:r>
              <w:rPr>
                <w:noProof/>
                <w:webHidden/>
              </w:rPr>
              <w:fldChar w:fldCharType="begin"/>
            </w:r>
            <w:r>
              <w:rPr>
                <w:noProof/>
                <w:webHidden/>
              </w:rPr>
              <w:instrText xml:space="preserve"> PAGEREF _Toc531776264 \h </w:instrText>
            </w:r>
            <w:r>
              <w:rPr>
                <w:noProof/>
                <w:webHidden/>
              </w:rPr>
            </w:r>
            <w:r>
              <w:rPr>
                <w:noProof/>
                <w:webHidden/>
              </w:rPr>
              <w:fldChar w:fldCharType="separate"/>
            </w:r>
            <w:r>
              <w:rPr>
                <w:noProof/>
                <w:webHidden/>
              </w:rPr>
              <w:t>96</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65" w:history="1">
            <w:r w:rsidRPr="000430CC">
              <w:rPr>
                <w:rStyle w:val="Hyperlink"/>
                <w:noProof/>
              </w:rPr>
              <w:t>9.3.</w:t>
            </w:r>
            <w:r>
              <w:rPr>
                <w:rFonts w:asciiTheme="minorHAnsi" w:eastAsiaTheme="minorEastAsia" w:hAnsiTheme="minorHAnsi" w:cstheme="minorBidi"/>
                <w:noProof/>
                <w:lang w:eastAsia="en-AU"/>
              </w:rPr>
              <w:tab/>
            </w:r>
            <w:r w:rsidRPr="000430CC">
              <w:rPr>
                <w:rStyle w:val="Hyperlink"/>
                <w:noProof/>
              </w:rPr>
              <w:t>First round assessment of benefit-risk balance</w:t>
            </w:r>
            <w:r>
              <w:rPr>
                <w:noProof/>
                <w:webHidden/>
              </w:rPr>
              <w:tab/>
            </w:r>
            <w:r>
              <w:rPr>
                <w:noProof/>
                <w:webHidden/>
              </w:rPr>
              <w:fldChar w:fldCharType="begin"/>
            </w:r>
            <w:r>
              <w:rPr>
                <w:noProof/>
                <w:webHidden/>
              </w:rPr>
              <w:instrText xml:space="preserve"> PAGEREF _Toc531776265 \h </w:instrText>
            </w:r>
            <w:r>
              <w:rPr>
                <w:noProof/>
                <w:webHidden/>
              </w:rPr>
            </w:r>
            <w:r>
              <w:rPr>
                <w:noProof/>
                <w:webHidden/>
              </w:rPr>
              <w:fldChar w:fldCharType="separate"/>
            </w:r>
            <w:r>
              <w:rPr>
                <w:noProof/>
                <w:webHidden/>
              </w:rPr>
              <w:t>97</w:t>
            </w:r>
            <w:r>
              <w:rPr>
                <w:noProof/>
                <w:webHidden/>
              </w:rPr>
              <w:fldChar w:fldCharType="end"/>
            </w:r>
          </w:hyperlink>
        </w:p>
        <w:p w:rsidR="005621E0" w:rsidRDefault="005621E0">
          <w:pPr>
            <w:pStyle w:val="TOC2"/>
            <w:tabs>
              <w:tab w:val="left" w:pos="1320"/>
            </w:tabs>
            <w:rPr>
              <w:rFonts w:asciiTheme="minorHAnsi" w:eastAsiaTheme="minorEastAsia" w:hAnsiTheme="minorHAnsi" w:cstheme="minorBidi"/>
              <w:b w:val="0"/>
              <w:noProof/>
              <w:sz w:val="22"/>
              <w:lang w:eastAsia="en-AU"/>
            </w:rPr>
          </w:pPr>
          <w:hyperlink w:anchor="_Toc531776266" w:history="1">
            <w:r w:rsidRPr="000430CC">
              <w:rPr>
                <w:rStyle w:val="Hyperlink"/>
                <w:noProof/>
              </w:rPr>
              <w:t>10.</w:t>
            </w:r>
            <w:r>
              <w:rPr>
                <w:rFonts w:asciiTheme="minorHAnsi" w:eastAsiaTheme="minorEastAsia" w:hAnsiTheme="minorHAnsi" w:cstheme="minorBidi"/>
                <w:b w:val="0"/>
                <w:noProof/>
                <w:sz w:val="22"/>
                <w:lang w:eastAsia="en-AU"/>
              </w:rPr>
              <w:tab/>
            </w:r>
            <w:r w:rsidRPr="000430CC">
              <w:rPr>
                <w:rStyle w:val="Hyperlink"/>
                <w:noProof/>
              </w:rPr>
              <w:t>First round recommendation regarding authorisation</w:t>
            </w:r>
            <w:r>
              <w:rPr>
                <w:noProof/>
                <w:webHidden/>
              </w:rPr>
              <w:tab/>
            </w:r>
            <w:r>
              <w:rPr>
                <w:noProof/>
                <w:webHidden/>
              </w:rPr>
              <w:fldChar w:fldCharType="begin"/>
            </w:r>
            <w:r>
              <w:rPr>
                <w:noProof/>
                <w:webHidden/>
              </w:rPr>
              <w:instrText xml:space="preserve"> PAGEREF _Toc531776266 \h </w:instrText>
            </w:r>
            <w:r>
              <w:rPr>
                <w:noProof/>
                <w:webHidden/>
              </w:rPr>
            </w:r>
            <w:r>
              <w:rPr>
                <w:noProof/>
                <w:webHidden/>
              </w:rPr>
              <w:fldChar w:fldCharType="separate"/>
            </w:r>
            <w:r>
              <w:rPr>
                <w:noProof/>
                <w:webHidden/>
              </w:rPr>
              <w:t>97</w:t>
            </w:r>
            <w:r>
              <w:rPr>
                <w:noProof/>
                <w:webHidden/>
              </w:rPr>
              <w:fldChar w:fldCharType="end"/>
            </w:r>
          </w:hyperlink>
        </w:p>
        <w:p w:rsidR="005621E0" w:rsidRDefault="005621E0">
          <w:pPr>
            <w:pStyle w:val="TOC2"/>
            <w:tabs>
              <w:tab w:val="left" w:pos="1320"/>
            </w:tabs>
            <w:rPr>
              <w:rFonts w:asciiTheme="minorHAnsi" w:eastAsiaTheme="minorEastAsia" w:hAnsiTheme="minorHAnsi" w:cstheme="minorBidi"/>
              <w:b w:val="0"/>
              <w:noProof/>
              <w:sz w:val="22"/>
              <w:lang w:eastAsia="en-AU"/>
            </w:rPr>
          </w:pPr>
          <w:hyperlink w:anchor="_Toc531776267" w:history="1">
            <w:r w:rsidRPr="000430CC">
              <w:rPr>
                <w:rStyle w:val="Hyperlink"/>
                <w:noProof/>
              </w:rPr>
              <w:t>11.</w:t>
            </w:r>
            <w:r>
              <w:rPr>
                <w:rFonts w:asciiTheme="minorHAnsi" w:eastAsiaTheme="minorEastAsia" w:hAnsiTheme="minorHAnsi" w:cstheme="minorBidi"/>
                <w:b w:val="0"/>
                <w:noProof/>
                <w:sz w:val="22"/>
                <w:lang w:eastAsia="en-AU"/>
              </w:rPr>
              <w:tab/>
            </w:r>
            <w:r w:rsidRPr="000430CC">
              <w:rPr>
                <w:rStyle w:val="Hyperlink"/>
                <w:noProof/>
              </w:rPr>
              <w:t>Clinical questions</w:t>
            </w:r>
            <w:r>
              <w:rPr>
                <w:noProof/>
                <w:webHidden/>
              </w:rPr>
              <w:tab/>
            </w:r>
            <w:r>
              <w:rPr>
                <w:noProof/>
                <w:webHidden/>
              </w:rPr>
              <w:fldChar w:fldCharType="begin"/>
            </w:r>
            <w:r>
              <w:rPr>
                <w:noProof/>
                <w:webHidden/>
              </w:rPr>
              <w:instrText xml:space="preserve"> PAGEREF _Toc531776267 \h </w:instrText>
            </w:r>
            <w:r>
              <w:rPr>
                <w:noProof/>
                <w:webHidden/>
              </w:rPr>
            </w:r>
            <w:r>
              <w:rPr>
                <w:noProof/>
                <w:webHidden/>
              </w:rPr>
              <w:fldChar w:fldCharType="separate"/>
            </w:r>
            <w:r>
              <w:rPr>
                <w:noProof/>
                <w:webHidden/>
              </w:rPr>
              <w:t>97</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68" w:history="1">
            <w:r w:rsidRPr="000430CC">
              <w:rPr>
                <w:rStyle w:val="Hyperlink"/>
                <w:noProof/>
              </w:rPr>
              <w:t>11.1.</w:t>
            </w:r>
            <w:r>
              <w:rPr>
                <w:rFonts w:asciiTheme="minorHAnsi" w:eastAsiaTheme="minorEastAsia" w:hAnsiTheme="minorHAnsi" w:cstheme="minorBidi"/>
                <w:noProof/>
                <w:lang w:eastAsia="en-AU"/>
              </w:rPr>
              <w:tab/>
            </w:r>
            <w:r w:rsidRPr="000430CC">
              <w:rPr>
                <w:rStyle w:val="Hyperlink"/>
                <w:noProof/>
              </w:rPr>
              <w:t>Pharmacokinetics</w:t>
            </w:r>
            <w:r>
              <w:rPr>
                <w:noProof/>
                <w:webHidden/>
              </w:rPr>
              <w:tab/>
            </w:r>
            <w:r>
              <w:rPr>
                <w:noProof/>
                <w:webHidden/>
              </w:rPr>
              <w:fldChar w:fldCharType="begin"/>
            </w:r>
            <w:r>
              <w:rPr>
                <w:noProof/>
                <w:webHidden/>
              </w:rPr>
              <w:instrText xml:space="preserve"> PAGEREF _Toc531776268 \h </w:instrText>
            </w:r>
            <w:r>
              <w:rPr>
                <w:noProof/>
                <w:webHidden/>
              </w:rPr>
            </w:r>
            <w:r>
              <w:rPr>
                <w:noProof/>
                <w:webHidden/>
              </w:rPr>
              <w:fldChar w:fldCharType="separate"/>
            </w:r>
            <w:r>
              <w:rPr>
                <w:noProof/>
                <w:webHidden/>
              </w:rPr>
              <w:t>97</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69" w:history="1">
            <w:r w:rsidRPr="000430CC">
              <w:rPr>
                <w:rStyle w:val="Hyperlink"/>
                <w:noProof/>
              </w:rPr>
              <w:t>11.2.</w:t>
            </w:r>
            <w:r>
              <w:rPr>
                <w:rFonts w:asciiTheme="minorHAnsi" w:eastAsiaTheme="minorEastAsia" w:hAnsiTheme="minorHAnsi" w:cstheme="minorBidi"/>
                <w:noProof/>
                <w:lang w:eastAsia="en-AU"/>
              </w:rPr>
              <w:tab/>
            </w:r>
            <w:r w:rsidRPr="000430CC">
              <w:rPr>
                <w:rStyle w:val="Hyperlink"/>
                <w:noProof/>
              </w:rPr>
              <w:t>Pharmacodynamics</w:t>
            </w:r>
            <w:r>
              <w:rPr>
                <w:noProof/>
                <w:webHidden/>
              </w:rPr>
              <w:tab/>
            </w:r>
            <w:r>
              <w:rPr>
                <w:noProof/>
                <w:webHidden/>
              </w:rPr>
              <w:fldChar w:fldCharType="begin"/>
            </w:r>
            <w:r>
              <w:rPr>
                <w:noProof/>
                <w:webHidden/>
              </w:rPr>
              <w:instrText xml:space="preserve"> PAGEREF _Toc531776269 \h </w:instrText>
            </w:r>
            <w:r>
              <w:rPr>
                <w:noProof/>
                <w:webHidden/>
              </w:rPr>
            </w:r>
            <w:r>
              <w:rPr>
                <w:noProof/>
                <w:webHidden/>
              </w:rPr>
              <w:fldChar w:fldCharType="separate"/>
            </w:r>
            <w:r>
              <w:rPr>
                <w:noProof/>
                <w:webHidden/>
              </w:rPr>
              <w:t>98</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70" w:history="1">
            <w:r w:rsidRPr="000430CC">
              <w:rPr>
                <w:rStyle w:val="Hyperlink"/>
                <w:noProof/>
              </w:rPr>
              <w:t>11.3.</w:t>
            </w:r>
            <w:r>
              <w:rPr>
                <w:rFonts w:asciiTheme="minorHAnsi" w:eastAsiaTheme="minorEastAsia" w:hAnsiTheme="minorHAnsi" w:cstheme="minorBidi"/>
                <w:noProof/>
                <w:lang w:eastAsia="en-AU"/>
              </w:rPr>
              <w:tab/>
            </w:r>
            <w:r w:rsidRPr="000430CC">
              <w:rPr>
                <w:rStyle w:val="Hyperlink"/>
                <w:noProof/>
              </w:rPr>
              <w:t>Efficacy</w:t>
            </w:r>
            <w:r>
              <w:rPr>
                <w:noProof/>
                <w:webHidden/>
              </w:rPr>
              <w:tab/>
            </w:r>
            <w:r>
              <w:rPr>
                <w:noProof/>
                <w:webHidden/>
              </w:rPr>
              <w:fldChar w:fldCharType="begin"/>
            </w:r>
            <w:r>
              <w:rPr>
                <w:noProof/>
                <w:webHidden/>
              </w:rPr>
              <w:instrText xml:space="preserve"> PAGEREF _Toc531776270 \h </w:instrText>
            </w:r>
            <w:r>
              <w:rPr>
                <w:noProof/>
                <w:webHidden/>
              </w:rPr>
            </w:r>
            <w:r>
              <w:rPr>
                <w:noProof/>
                <w:webHidden/>
              </w:rPr>
              <w:fldChar w:fldCharType="separate"/>
            </w:r>
            <w:r>
              <w:rPr>
                <w:noProof/>
                <w:webHidden/>
              </w:rPr>
              <w:t>98</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71" w:history="1">
            <w:r w:rsidRPr="000430CC">
              <w:rPr>
                <w:rStyle w:val="Hyperlink"/>
                <w:noProof/>
              </w:rPr>
              <w:t>11.4.</w:t>
            </w:r>
            <w:r>
              <w:rPr>
                <w:rFonts w:asciiTheme="minorHAnsi" w:eastAsiaTheme="minorEastAsia" w:hAnsiTheme="minorHAnsi" w:cstheme="minorBidi"/>
                <w:noProof/>
                <w:lang w:eastAsia="en-AU"/>
              </w:rPr>
              <w:tab/>
            </w:r>
            <w:r w:rsidRPr="000430CC">
              <w:rPr>
                <w:rStyle w:val="Hyperlink"/>
                <w:noProof/>
              </w:rPr>
              <w:t>Safety</w:t>
            </w:r>
            <w:r>
              <w:rPr>
                <w:noProof/>
                <w:webHidden/>
              </w:rPr>
              <w:tab/>
            </w:r>
            <w:r>
              <w:rPr>
                <w:noProof/>
                <w:webHidden/>
              </w:rPr>
              <w:fldChar w:fldCharType="begin"/>
            </w:r>
            <w:r>
              <w:rPr>
                <w:noProof/>
                <w:webHidden/>
              </w:rPr>
              <w:instrText xml:space="preserve"> PAGEREF _Toc531776271 \h </w:instrText>
            </w:r>
            <w:r>
              <w:rPr>
                <w:noProof/>
                <w:webHidden/>
              </w:rPr>
            </w:r>
            <w:r>
              <w:rPr>
                <w:noProof/>
                <w:webHidden/>
              </w:rPr>
              <w:fldChar w:fldCharType="separate"/>
            </w:r>
            <w:r>
              <w:rPr>
                <w:noProof/>
                <w:webHidden/>
              </w:rPr>
              <w:t>98</w:t>
            </w:r>
            <w:r>
              <w:rPr>
                <w:noProof/>
                <w:webHidden/>
              </w:rPr>
              <w:fldChar w:fldCharType="end"/>
            </w:r>
          </w:hyperlink>
        </w:p>
        <w:p w:rsidR="005621E0" w:rsidRDefault="005621E0">
          <w:pPr>
            <w:pStyle w:val="TOC2"/>
            <w:tabs>
              <w:tab w:val="left" w:pos="1320"/>
            </w:tabs>
            <w:rPr>
              <w:rFonts w:asciiTheme="minorHAnsi" w:eastAsiaTheme="minorEastAsia" w:hAnsiTheme="minorHAnsi" w:cstheme="minorBidi"/>
              <w:b w:val="0"/>
              <w:noProof/>
              <w:sz w:val="22"/>
              <w:lang w:eastAsia="en-AU"/>
            </w:rPr>
          </w:pPr>
          <w:hyperlink w:anchor="_Toc531776272" w:history="1">
            <w:r w:rsidRPr="000430CC">
              <w:rPr>
                <w:rStyle w:val="Hyperlink"/>
                <w:noProof/>
              </w:rPr>
              <w:t>12.</w:t>
            </w:r>
            <w:r>
              <w:rPr>
                <w:rFonts w:asciiTheme="minorHAnsi" w:eastAsiaTheme="minorEastAsia" w:hAnsiTheme="minorHAnsi" w:cstheme="minorBidi"/>
                <w:b w:val="0"/>
                <w:noProof/>
                <w:sz w:val="22"/>
                <w:lang w:eastAsia="en-AU"/>
              </w:rPr>
              <w:tab/>
            </w:r>
            <w:r w:rsidRPr="000430CC">
              <w:rPr>
                <w:rStyle w:val="Hyperlink"/>
                <w:noProof/>
              </w:rPr>
              <w:t>Second round evaluation</w:t>
            </w:r>
            <w:r>
              <w:rPr>
                <w:noProof/>
                <w:webHidden/>
              </w:rPr>
              <w:tab/>
            </w:r>
            <w:r>
              <w:rPr>
                <w:noProof/>
                <w:webHidden/>
              </w:rPr>
              <w:fldChar w:fldCharType="begin"/>
            </w:r>
            <w:r>
              <w:rPr>
                <w:noProof/>
                <w:webHidden/>
              </w:rPr>
              <w:instrText xml:space="preserve"> PAGEREF _Toc531776272 \h </w:instrText>
            </w:r>
            <w:r>
              <w:rPr>
                <w:noProof/>
                <w:webHidden/>
              </w:rPr>
            </w:r>
            <w:r>
              <w:rPr>
                <w:noProof/>
                <w:webHidden/>
              </w:rPr>
              <w:fldChar w:fldCharType="separate"/>
            </w:r>
            <w:r>
              <w:rPr>
                <w:noProof/>
                <w:webHidden/>
              </w:rPr>
              <w:t>98</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73" w:history="1">
            <w:r w:rsidRPr="000430CC">
              <w:rPr>
                <w:rStyle w:val="Hyperlink"/>
                <w:noProof/>
              </w:rPr>
              <w:t>12.1.</w:t>
            </w:r>
            <w:r>
              <w:rPr>
                <w:rFonts w:asciiTheme="minorHAnsi" w:eastAsiaTheme="minorEastAsia" w:hAnsiTheme="minorHAnsi" w:cstheme="minorBidi"/>
                <w:noProof/>
                <w:lang w:eastAsia="en-AU"/>
              </w:rPr>
              <w:tab/>
            </w:r>
            <w:r w:rsidRPr="000430CC">
              <w:rPr>
                <w:rStyle w:val="Hyperlink"/>
                <w:noProof/>
              </w:rPr>
              <w:t>Response to questions</w:t>
            </w:r>
            <w:r>
              <w:rPr>
                <w:noProof/>
                <w:webHidden/>
              </w:rPr>
              <w:tab/>
            </w:r>
            <w:r>
              <w:rPr>
                <w:noProof/>
                <w:webHidden/>
              </w:rPr>
              <w:fldChar w:fldCharType="begin"/>
            </w:r>
            <w:r>
              <w:rPr>
                <w:noProof/>
                <w:webHidden/>
              </w:rPr>
              <w:instrText xml:space="preserve"> PAGEREF _Toc531776273 \h </w:instrText>
            </w:r>
            <w:r>
              <w:rPr>
                <w:noProof/>
                <w:webHidden/>
              </w:rPr>
            </w:r>
            <w:r>
              <w:rPr>
                <w:noProof/>
                <w:webHidden/>
              </w:rPr>
              <w:fldChar w:fldCharType="separate"/>
            </w:r>
            <w:r>
              <w:rPr>
                <w:noProof/>
                <w:webHidden/>
              </w:rPr>
              <w:t>98</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74" w:history="1">
            <w:r w:rsidRPr="000430CC">
              <w:rPr>
                <w:rStyle w:val="Hyperlink"/>
                <w:noProof/>
              </w:rPr>
              <w:t>12.2.</w:t>
            </w:r>
            <w:r>
              <w:rPr>
                <w:rFonts w:asciiTheme="minorHAnsi" w:eastAsiaTheme="minorEastAsia" w:hAnsiTheme="minorHAnsi" w:cstheme="minorBidi"/>
                <w:noProof/>
                <w:lang w:eastAsia="en-AU"/>
              </w:rPr>
              <w:tab/>
            </w:r>
            <w:r w:rsidRPr="000430CC">
              <w:rPr>
                <w:rStyle w:val="Hyperlink"/>
                <w:noProof/>
              </w:rPr>
              <w:t>Clinical study report (CSR) Addendum 2 for Study XL184-308</w:t>
            </w:r>
            <w:r>
              <w:rPr>
                <w:noProof/>
                <w:webHidden/>
              </w:rPr>
              <w:tab/>
            </w:r>
            <w:r>
              <w:rPr>
                <w:noProof/>
                <w:webHidden/>
              </w:rPr>
              <w:fldChar w:fldCharType="begin"/>
            </w:r>
            <w:r>
              <w:rPr>
                <w:noProof/>
                <w:webHidden/>
              </w:rPr>
              <w:instrText xml:space="preserve"> PAGEREF _Toc531776274 \h </w:instrText>
            </w:r>
            <w:r>
              <w:rPr>
                <w:noProof/>
                <w:webHidden/>
              </w:rPr>
            </w:r>
            <w:r>
              <w:rPr>
                <w:noProof/>
                <w:webHidden/>
              </w:rPr>
              <w:fldChar w:fldCharType="separate"/>
            </w:r>
            <w:r>
              <w:rPr>
                <w:noProof/>
                <w:webHidden/>
              </w:rPr>
              <w:t>106</w:t>
            </w:r>
            <w:r>
              <w:rPr>
                <w:noProof/>
                <w:webHidden/>
              </w:rPr>
              <w:fldChar w:fldCharType="end"/>
            </w:r>
          </w:hyperlink>
        </w:p>
        <w:p w:rsidR="005621E0" w:rsidRDefault="005621E0">
          <w:pPr>
            <w:pStyle w:val="TOC2"/>
            <w:tabs>
              <w:tab w:val="left" w:pos="1320"/>
            </w:tabs>
            <w:rPr>
              <w:rFonts w:asciiTheme="minorHAnsi" w:eastAsiaTheme="minorEastAsia" w:hAnsiTheme="minorHAnsi" w:cstheme="minorBidi"/>
              <w:b w:val="0"/>
              <w:noProof/>
              <w:sz w:val="22"/>
              <w:lang w:eastAsia="en-AU"/>
            </w:rPr>
          </w:pPr>
          <w:hyperlink w:anchor="_Toc531776275" w:history="1">
            <w:r w:rsidRPr="000430CC">
              <w:rPr>
                <w:rStyle w:val="Hyperlink"/>
                <w:noProof/>
              </w:rPr>
              <w:t>13.</w:t>
            </w:r>
            <w:r>
              <w:rPr>
                <w:rFonts w:asciiTheme="minorHAnsi" w:eastAsiaTheme="minorEastAsia" w:hAnsiTheme="minorHAnsi" w:cstheme="minorBidi"/>
                <w:b w:val="0"/>
                <w:noProof/>
                <w:sz w:val="22"/>
                <w:lang w:eastAsia="en-AU"/>
              </w:rPr>
              <w:tab/>
            </w:r>
            <w:r w:rsidRPr="000430CC">
              <w:rPr>
                <w:rStyle w:val="Hyperlink"/>
                <w:noProof/>
              </w:rPr>
              <w:t>Second round benefit-risk assessment</w:t>
            </w:r>
            <w:r>
              <w:rPr>
                <w:noProof/>
                <w:webHidden/>
              </w:rPr>
              <w:tab/>
            </w:r>
            <w:r>
              <w:rPr>
                <w:noProof/>
                <w:webHidden/>
              </w:rPr>
              <w:fldChar w:fldCharType="begin"/>
            </w:r>
            <w:r>
              <w:rPr>
                <w:noProof/>
                <w:webHidden/>
              </w:rPr>
              <w:instrText xml:space="preserve"> PAGEREF _Toc531776275 \h </w:instrText>
            </w:r>
            <w:r>
              <w:rPr>
                <w:noProof/>
                <w:webHidden/>
              </w:rPr>
            </w:r>
            <w:r>
              <w:rPr>
                <w:noProof/>
                <w:webHidden/>
              </w:rPr>
              <w:fldChar w:fldCharType="separate"/>
            </w:r>
            <w:r>
              <w:rPr>
                <w:noProof/>
                <w:webHidden/>
              </w:rPr>
              <w:t>108</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76" w:history="1">
            <w:r w:rsidRPr="000430CC">
              <w:rPr>
                <w:rStyle w:val="Hyperlink"/>
                <w:noProof/>
              </w:rPr>
              <w:t>13.1.</w:t>
            </w:r>
            <w:r>
              <w:rPr>
                <w:rFonts w:asciiTheme="minorHAnsi" w:eastAsiaTheme="minorEastAsia" w:hAnsiTheme="minorHAnsi" w:cstheme="minorBidi"/>
                <w:noProof/>
                <w:lang w:eastAsia="en-AU"/>
              </w:rPr>
              <w:tab/>
            </w:r>
            <w:r w:rsidRPr="000430CC">
              <w:rPr>
                <w:rStyle w:val="Hyperlink"/>
                <w:noProof/>
              </w:rPr>
              <w:t>Second round assessment of benefits</w:t>
            </w:r>
            <w:r>
              <w:rPr>
                <w:noProof/>
                <w:webHidden/>
              </w:rPr>
              <w:tab/>
            </w:r>
            <w:r>
              <w:rPr>
                <w:noProof/>
                <w:webHidden/>
              </w:rPr>
              <w:fldChar w:fldCharType="begin"/>
            </w:r>
            <w:r>
              <w:rPr>
                <w:noProof/>
                <w:webHidden/>
              </w:rPr>
              <w:instrText xml:space="preserve"> PAGEREF _Toc531776276 \h </w:instrText>
            </w:r>
            <w:r>
              <w:rPr>
                <w:noProof/>
                <w:webHidden/>
              </w:rPr>
            </w:r>
            <w:r>
              <w:rPr>
                <w:noProof/>
                <w:webHidden/>
              </w:rPr>
              <w:fldChar w:fldCharType="separate"/>
            </w:r>
            <w:r>
              <w:rPr>
                <w:noProof/>
                <w:webHidden/>
              </w:rPr>
              <w:t>108</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77" w:history="1">
            <w:r w:rsidRPr="000430CC">
              <w:rPr>
                <w:rStyle w:val="Hyperlink"/>
                <w:noProof/>
              </w:rPr>
              <w:t>13.2.</w:t>
            </w:r>
            <w:r>
              <w:rPr>
                <w:rFonts w:asciiTheme="minorHAnsi" w:eastAsiaTheme="minorEastAsia" w:hAnsiTheme="minorHAnsi" w:cstheme="minorBidi"/>
                <w:noProof/>
                <w:lang w:eastAsia="en-AU"/>
              </w:rPr>
              <w:tab/>
            </w:r>
            <w:r w:rsidRPr="000430CC">
              <w:rPr>
                <w:rStyle w:val="Hyperlink"/>
                <w:noProof/>
              </w:rPr>
              <w:t>Second round assessment of risks</w:t>
            </w:r>
            <w:r>
              <w:rPr>
                <w:noProof/>
                <w:webHidden/>
              </w:rPr>
              <w:tab/>
            </w:r>
            <w:r>
              <w:rPr>
                <w:noProof/>
                <w:webHidden/>
              </w:rPr>
              <w:fldChar w:fldCharType="begin"/>
            </w:r>
            <w:r>
              <w:rPr>
                <w:noProof/>
                <w:webHidden/>
              </w:rPr>
              <w:instrText xml:space="preserve"> PAGEREF _Toc531776277 \h </w:instrText>
            </w:r>
            <w:r>
              <w:rPr>
                <w:noProof/>
                <w:webHidden/>
              </w:rPr>
            </w:r>
            <w:r>
              <w:rPr>
                <w:noProof/>
                <w:webHidden/>
              </w:rPr>
              <w:fldChar w:fldCharType="separate"/>
            </w:r>
            <w:r>
              <w:rPr>
                <w:noProof/>
                <w:webHidden/>
              </w:rPr>
              <w:t>109</w:t>
            </w:r>
            <w:r>
              <w:rPr>
                <w:noProof/>
                <w:webHidden/>
              </w:rPr>
              <w:fldChar w:fldCharType="end"/>
            </w:r>
          </w:hyperlink>
        </w:p>
        <w:p w:rsidR="005621E0" w:rsidRDefault="005621E0">
          <w:pPr>
            <w:pStyle w:val="TOC3"/>
            <w:tabs>
              <w:tab w:val="left" w:pos="1760"/>
            </w:tabs>
            <w:rPr>
              <w:rFonts w:asciiTheme="minorHAnsi" w:eastAsiaTheme="minorEastAsia" w:hAnsiTheme="minorHAnsi" w:cstheme="minorBidi"/>
              <w:noProof/>
              <w:lang w:eastAsia="en-AU"/>
            </w:rPr>
          </w:pPr>
          <w:hyperlink w:anchor="_Toc531776278" w:history="1">
            <w:r w:rsidRPr="000430CC">
              <w:rPr>
                <w:rStyle w:val="Hyperlink"/>
                <w:noProof/>
              </w:rPr>
              <w:t>13.3.</w:t>
            </w:r>
            <w:r>
              <w:rPr>
                <w:rFonts w:asciiTheme="minorHAnsi" w:eastAsiaTheme="minorEastAsia" w:hAnsiTheme="minorHAnsi" w:cstheme="minorBidi"/>
                <w:noProof/>
                <w:lang w:eastAsia="en-AU"/>
              </w:rPr>
              <w:tab/>
            </w:r>
            <w:r w:rsidRPr="000430CC">
              <w:rPr>
                <w:rStyle w:val="Hyperlink"/>
                <w:noProof/>
              </w:rPr>
              <w:t>Second round assessment of benefit-risk balance</w:t>
            </w:r>
            <w:r>
              <w:rPr>
                <w:noProof/>
                <w:webHidden/>
              </w:rPr>
              <w:tab/>
            </w:r>
            <w:r>
              <w:rPr>
                <w:noProof/>
                <w:webHidden/>
              </w:rPr>
              <w:fldChar w:fldCharType="begin"/>
            </w:r>
            <w:r>
              <w:rPr>
                <w:noProof/>
                <w:webHidden/>
              </w:rPr>
              <w:instrText xml:space="preserve"> PAGEREF _Toc531776278 \h </w:instrText>
            </w:r>
            <w:r>
              <w:rPr>
                <w:noProof/>
                <w:webHidden/>
              </w:rPr>
            </w:r>
            <w:r>
              <w:rPr>
                <w:noProof/>
                <w:webHidden/>
              </w:rPr>
              <w:fldChar w:fldCharType="separate"/>
            </w:r>
            <w:r>
              <w:rPr>
                <w:noProof/>
                <w:webHidden/>
              </w:rPr>
              <w:t>109</w:t>
            </w:r>
            <w:r>
              <w:rPr>
                <w:noProof/>
                <w:webHidden/>
              </w:rPr>
              <w:fldChar w:fldCharType="end"/>
            </w:r>
          </w:hyperlink>
        </w:p>
        <w:p w:rsidR="005621E0" w:rsidRDefault="005621E0">
          <w:pPr>
            <w:pStyle w:val="TOC2"/>
            <w:tabs>
              <w:tab w:val="left" w:pos="1320"/>
            </w:tabs>
            <w:rPr>
              <w:rFonts w:asciiTheme="minorHAnsi" w:eastAsiaTheme="minorEastAsia" w:hAnsiTheme="minorHAnsi" w:cstheme="minorBidi"/>
              <w:b w:val="0"/>
              <w:noProof/>
              <w:sz w:val="22"/>
              <w:lang w:eastAsia="en-AU"/>
            </w:rPr>
          </w:pPr>
          <w:hyperlink w:anchor="_Toc531776279" w:history="1">
            <w:r w:rsidRPr="000430CC">
              <w:rPr>
                <w:rStyle w:val="Hyperlink"/>
                <w:noProof/>
              </w:rPr>
              <w:t>14.</w:t>
            </w:r>
            <w:r>
              <w:rPr>
                <w:rFonts w:asciiTheme="minorHAnsi" w:eastAsiaTheme="minorEastAsia" w:hAnsiTheme="minorHAnsi" w:cstheme="minorBidi"/>
                <w:b w:val="0"/>
                <w:noProof/>
                <w:sz w:val="22"/>
                <w:lang w:eastAsia="en-AU"/>
              </w:rPr>
              <w:tab/>
            </w:r>
            <w:r w:rsidRPr="000430CC">
              <w:rPr>
                <w:rStyle w:val="Hyperlink"/>
                <w:noProof/>
              </w:rPr>
              <w:t>Second round recommendation regarding authorisation</w:t>
            </w:r>
            <w:r>
              <w:rPr>
                <w:noProof/>
                <w:webHidden/>
              </w:rPr>
              <w:tab/>
            </w:r>
            <w:r>
              <w:rPr>
                <w:noProof/>
                <w:webHidden/>
              </w:rPr>
              <w:fldChar w:fldCharType="begin"/>
            </w:r>
            <w:r>
              <w:rPr>
                <w:noProof/>
                <w:webHidden/>
              </w:rPr>
              <w:instrText xml:space="preserve"> PAGEREF _Toc531776279 \h </w:instrText>
            </w:r>
            <w:r>
              <w:rPr>
                <w:noProof/>
                <w:webHidden/>
              </w:rPr>
            </w:r>
            <w:r>
              <w:rPr>
                <w:noProof/>
                <w:webHidden/>
              </w:rPr>
              <w:fldChar w:fldCharType="separate"/>
            </w:r>
            <w:r>
              <w:rPr>
                <w:noProof/>
                <w:webHidden/>
              </w:rPr>
              <w:t>109</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4428B2" w:rsidRDefault="004428B2">
      <w:pPr>
        <w:spacing w:before="0" w:after="200" w:line="0" w:lineRule="auto"/>
        <w:sectPr w:rsidR="004428B2" w:rsidSect="008D770F">
          <w:headerReference w:type="even" r:id="rId15"/>
          <w:headerReference w:type="default" r:id="rId16"/>
          <w:headerReference w:type="first" r:id="rId17"/>
          <w:footerReference w:type="first" r:id="rId18"/>
          <w:pgSz w:w="11906" w:h="16838" w:code="9"/>
          <w:pgMar w:top="1440" w:right="1440" w:bottom="1440" w:left="1440" w:header="907" w:footer="216" w:gutter="0"/>
          <w:cols w:space="708"/>
          <w:docGrid w:linePitch="360"/>
        </w:sectPr>
      </w:pPr>
      <w:bookmarkStart w:id="4" w:name="_Toc351716269"/>
      <w:bookmarkStart w:id="5" w:name="_Toc351718881"/>
      <w:bookmarkStart w:id="6" w:name="_Toc355338616"/>
    </w:p>
    <w:p w:rsidR="00CD7E26" w:rsidRDefault="00CD7E26" w:rsidP="00CD7E26">
      <w:pPr>
        <w:pStyle w:val="Heading2"/>
        <w:numPr>
          <w:ilvl w:val="0"/>
          <w:numId w:val="0"/>
        </w:numPr>
      </w:pPr>
      <w:bookmarkStart w:id="7" w:name="_Toc520879770"/>
      <w:bookmarkStart w:id="8" w:name="_Toc531776216"/>
      <w:bookmarkEnd w:id="4"/>
      <w:bookmarkEnd w:id="5"/>
      <w:bookmarkEnd w:id="6"/>
      <w:bookmarkEnd w:id="3"/>
      <w:bookmarkEnd w:id="2"/>
      <w:bookmarkEnd w:id="1"/>
      <w:r>
        <w:lastRenderedPageBreak/>
        <w:t>List of common abbreviations</w:t>
      </w:r>
      <w:bookmarkEnd w:id="7"/>
      <w:bookmarkEnd w:id="8"/>
    </w:p>
    <w:tbl>
      <w:tblPr>
        <w:tblStyle w:val="TableTGAblue"/>
        <w:tblW w:w="0" w:type="auto"/>
        <w:tblLook w:val="04A0" w:firstRow="1" w:lastRow="0" w:firstColumn="1" w:lastColumn="0" w:noHBand="0" w:noVBand="1"/>
        <w:tblDescription w:val="List of common abbreviations"/>
      </w:tblPr>
      <w:tblGrid>
        <w:gridCol w:w="1890"/>
        <w:gridCol w:w="6911"/>
      </w:tblGrid>
      <w:tr w:rsidR="00CD7E26" w:rsidTr="00CD7E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Abbreviation</w:t>
            </w:r>
          </w:p>
        </w:tc>
        <w:tc>
          <w:tcPr>
            <w:tcW w:w="6911" w:type="dxa"/>
          </w:tcPr>
          <w:p w:rsidR="00CD7E26" w:rsidRDefault="00CD7E26" w:rsidP="00CD7E26">
            <w:pPr>
              <w:cnfStyle w:val="100000000000" w:firstRow="1" w:lastRow="0" w:firstColumn="0" w:lastColumn="0" w:oddVBand="0" w:evenVBand="0" w:oddHBand="0" w:evenHBand="0" w:firstRowFirstColumn="0" w:firstRowLastColumn="0" w:lastRowFirstColumn="0" w:lastRowLastColumn="0"/>
            </w:pPr>
            <w:r>
              <w:t>Meaning</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AE</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Adverse event</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ALT</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A</w:t>
            </w:r>
            <w:r w:rsidRPr="005240DE">
              <w:t>lanine aminotransferase</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AST</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A</w:t>
            </w:r>
            <w:r w:rsidRPr="005240DE">
              <w:t>spartate aminotransferase</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rsidRPr="00492E0B">
              <w:t>AUC</w:t>
            </w:r>
            <w:r w:rsidRPr="00492E0B">
              <w:rPr>
                <w:vertAlign w:val="subscript"/>
              </w:rPr>
              <w:t>0-24</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rsidRPr="00492E0B">
              <w:t xml:space="preserve">Area under the plasma concentration-time curve from time 0 to </w:t>
            </w:r>
            <w:r>
              <w:t>24-hours</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AUC</w:t>
            </w:r>
            <w:r>
              <w:rPr>
                <w:vertAlign w:val="subscript"/>
              </w:rPr>
              <w:t>0-t</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 xml:space="preserve">Area under the plasma concentration-time curve from time 0 to the last quantifiable concentration </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rsidRPr="00FE01C3">
              <w:t>AUC</w:t>
            </w:r>
            <w:r>
              <w:rPr>
                <w:vertAlign w:val="subscript"/>
              </w:rPr>
              <w:t>0-inf</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rsidRPr="0049408B">
              <w:t xml:space="preserve">Area under the plasma concentration-time curve from time 0 </w:t>
            </w:r>
            <w:r>
              <w:t>extrapolated to infinity</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Bid</w:t>
            </w:r>
          </w:p>
        </w:tc>
        <w:tc>
          <w:tcPr>
            <w:tcW w:w="6911" w:type="dxa"/>
          </w:tcPr>
          <w:p w:rsidR="00CD7E26" w:rsidRPr="00A05505" w:rsidRDefault="00CD7E26" w:rsidP="00CD7E26">
            <w:pPr>
              <w:cnfStyle w:val="000000000000" w:firstRow="0" w:lastRow="0" w:firstColumn="0" w:lastColumn="0" w:oddVBand="0" w:evenVBand="0" w:oddHBand="0" w:evenHBand="0" w:firstRowFirstColumn="0" w:firstRowLastColumn="0" w:lastRowFirstColumn="0" w:lastRowLastColumn="0"/>
            </w:pPr>
            <w:r>
              <w:t>Twice daily</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Pr="00FE01C3" w:rsidRDefault="00CD7E26" w:rsidP="00CD7E26">
            <w:r>
              <w:t>BMI</w:t>
            </w:r>
          </w:p>
        </w:tc>
        <w:tc>
          <w:tcPr>
            <w:tcW w:w="6911" w:type="dxa"/>
          </w:tcPr>
          <w:p w:rsidR="00CD7E26" w:rsidRPr="0049408B" w:rsidRDefault="00CD7E26" w:rsidP="00CD7E26">
            <w:pPr>
              <w:cnfStyle w:val="000000000000" w:firstRow="0" w:lastRow="0" w:firstColumn="0" w:lastColumn="0" w:oddVBand="0" w:evenVBand="0" w:oddHBand="0" w:evenHBand="0" w:firstRowFirstColumn="0" w:firstRowLastColumn="0" w:lastRowFirstColumn="0" w:lastRowLastColumn="0"/>
            </w:pPr>
            <w:r>
              <w:t>Body Mass Index</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BP</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Blood Pressure</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Pr="00FE01C3" w:rsidRDefault="00CD7E26" w:rsidP="00CD7E26">
            <w:r w:rsidRPr="00A8059C">
              <w:rPr>
                <w:vertAlign w:val="superscript"/>
                <w:lang w:val="en-NZ"/>
              </w:rPr>
              <w:t>14</w:t>
            </w:r>
            <w:r w:rsidRPr="00A8059C">
              <w:rPr>
                <w:lang w:val="en-NZ"/>
              </w:rPr>
              <w:t>C</w:t>
            </w:r>
          </w:p>
        </w:tc>
        <w:tc>
          <w:tcPr>
            <w:tcW w:w="6911" w:type="dxa"/>
          </w:tcPr>
          <w:p w:rsidR="00CD7E26" w:rsidRPr="0049408B" w:rsidRDefault="00CD7E26" w:rsidP="00CD7E26">
            <w:pPr>
              <w:cnfStyle w:val="000000000000" w:firstRow="0" w:lastRow="0" w:firstColumn="0" w:lastColumn="0" w:oddVBand="0" w:evenVBand="0" w:oddHBand="0" w:evenHBand="0" w:firstRowFirstColumn="0" w:firstRowLastColumn="0" w:lastRowFirstColumn="0" w:lastRowLastColumn="0"/>
            </w:pPr>
            <w:r>
              <w:t>Carbon-14 isotope</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Pr="0049408B" w:rsidRDefault="00CD7E26" w:rsidP="00CD7E26">
            <w:pPr>
              <w:rPr>
                <w:vertAlign w:val="subscript"/>
              </w:rPr>
            </w:pPr>
            <w:proofErr w:type="spellStart"/>
            <w:r>
              <w:t>C</w:t>
            </w:r>
            <w:r>
              <w:rPr>
                <w:vertAlign w:val="subscript"/>
              </w:rPr>
              <w:t>max</w:t>
            </w:r>
            <w:proofErr w:type="spellEnd"/>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O</w:t>
            </w:r>
            <w:r w:rsidRPr="0049408B">
              <w:t>bserv</w:t>
            </w:r>
            <w:r>
              <w:t>ed maximum plasma concentration</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proofErr w:type="spellStart"/>
            <w:r w:rsidRPr="00A8059C">
              <w:rPr>
                <w:lang w:val="en-NZ"/>
              </w:rPr>
              <w:t>μCi</w:t>
            </w:r>
            <w:proofErr w:type="spellEnd"/>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Micro Curies</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CI</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Confidence Interval</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CL/F</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Apparent total body clearance</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CP</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Childs-Pugh</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CRF</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Case report form</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CT</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Computed tomography</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CV</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coefficient of variation</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CTCAE</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Common toxicity criteria for adverse events</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proofErr w:type="spellStart"/>
            <w:r>
              <w:t>dL</w:t>
            </w:r>
            <w:proofErr w:type="spellEnd"/>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Decilitre</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ECOG</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rsidRPr="00784C20">
              <w:t>Eastern Cooperative Oncology Group</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g</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Grams</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lastRenderedPageBreak/>
              <w:t>GLS</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Geometric least square</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ECG</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Electrocardiogram</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rsidRPr="00F61B2F">
              <w:t>ECOG</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rsidRPr="00F61B2F">
              <w:t>Eastern Cooperative Oncology Group</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FBE</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Free Base Equivalent</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FDA</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Food and Drug Administration (US)</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FT4</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Free T4</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h</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Hours</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HGF</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rsidRPr="00F61B2F">
              <w:t>hepatocyte growth factor</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ICF</w:t>
            </w:r>
          </w:p>
        </w:tc>
        <w:tc>
          <w:tcPr>
            <w:tcW w:w="6911" w:type="dxa"/>
          </w:tcPr>
          <w:p w:rsidR="00CD7E26" w:rsidRPr="00F61B2F" w:rsidRDefault="00CD7E26" w:rsidP="00CD7E26">
            <w:pPr>
              <w:cnfStyle w:val="000000000000" w:firstRow="0" w:lastRow="0" w:firstColumn="0" w:lastColumn="0" w:oddVBand="0" w:evenVBand="0" w:oddHBand="0" w:evenHBand="0" w:firstRowFirstColumn="0" w:firstRowLastColumn="0" w:lastRowFirstColumn="0" w:lastRowLastColumn="0"/>
            </w:pPr>
            <w:r>
              <w:t>Informed consent form</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Pr="00247EC5" w:rsidRDefault="00CD7E26" w:rsidP="00CD7E26">
            <w:pPr>
              <w:rPr>
                <w:vertAlign w:val="subscript"/>
              </w:rPr>
            </w:pPr>
            <w:r>
              <w:t>IC</w:t>
            </w:r>
            <w:r>
              <w:rPr>
                <w:vertAlign w:val="subscript"/>
              </w:rPr>
              <w:t>50</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Concentration require for 50% inhibition</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IRC</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rsidRPr="00F61B2F">
              <w:t>Independent Radiology Committee</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ITT</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Intent to treat</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 xml:space="preserve">KPS </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proofErr w:type="spellStart"/>
            <w:r w:rsidRPr="00C020B5">
              <w:t>Karnofsky</w:t>
            </w:r>
            <w:proofErr w:type="spellEnd"/>
            <w:r w:rsidRPr="00C020B5">
              <w:t xml:space="preserve"> Performance Status</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kg</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Kilograms</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L</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Litres</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LLOQ</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L</w:t>
            </w:r>
            <w:r w:rsidRPr="00121558">
              <w:t>ower limit of quantitation</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LSM</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Least square mean</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m</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metres</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proofErr w:type="spellStart"/>
            <w:r w:rsidRPr="00485A8E">
              <w:t>MedDRA</w:t>
            </w:r>
            <w:proofErr w:type="spellEnd"/>
            <w:r w:rsidRPr="00485A8E">
              <w:rPr>
                <w:vertAlign w:val="superscript"/>
              </w:rPr>
              <w:t>®</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rsidRPr="000F3D14">
              <w:t>Medical Dictionary for Regulatory Activities</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mg</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Milligrams</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mL</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Millilitres</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MTC</w:t>
            </w:r>
          </w:p>
        </w:tc>
        <w:tc>
          <w:tcPr>
            <w:tcW w:w="6911" w:type="dxa"/>
          </w:tcPr>
          <w:p w:rsidR="00CD7E26" w:rsidRPr="00D01447" w:rsidRDefault="00CD7E26" w:rsidP="00CD7E26">
            <w:pPr>
              <w:cnfStyle w:val="000000000000" w:firstRow="0" w:lastRow="0" w:firstColumn="0" w:lastColumn="0" w:oddVBand="0" w:evenVBand="0" w:oddHBand="0" w:evenHBand="0" w:firstRowFirstColumn="0" w:firstRowLastColumn="0" w:lastRowFirstColumn="0" w:lastRowLastColumn="0"/>
            </w:pPr>
            <w:r>
              <w:t>Medullary thyroid cancer</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MTD</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Maximum tolerated dose</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Pr="00414105" w:rsidRDefault="00CD7E26" w:rsidP="00CD7E26">
            <w:r>
              <w:t>MRI</w:t>
            </w:r>
          </w:p>
        </w:tc>
        <w:tc>
          <w:tcPr>
            <w:tcW w:w="6911" w:type="dxa"/>
          </w:tcPr>
          <w:p w:rsidR="00CD7E26" w:rsidRPr="00414105" w:rsidRDefault="00CD7E26" w:rsidP="00CD7E26">
            <w:pPr>
              <w:cnfStyle w:val="000000000000" w:firstRow="0" w:lastRow="0" w:firstColumn="0" w:lastColumn="0" w:oddVBand="0" w:evenVBand="0" w:oddHBand="0" w:evenHBand="0" w:firstRowFirstColumn="0" w:firstRowLastColumn="0" w:lastRowFirstColumn="0" w:lastRowLastColumn="0"/>
            </w:pPr>
            <w:r>
              <w:t>Magnetic resonance imaging</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NCI</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National Cancer Institute</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rsidRPr="00414105">
              <w:lastRenderedPageBreak/>
              <w:t>ng</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proofErr w:type="spellStart"/>
            <w:r w:rsidRPr="00414105">
              <w:t>Nanograms</w:t>
            </w:r>
            <w:proofErr w:type="spellEnd"/>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ONJ</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Osteonecrosis of the Jaw</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Pr="00414105" w:rsidRDefault="00CD7E26" w:rsidP="00CD7E26">
            <w:r>
              <w:t>PD</w:t>
            </w:r>
          </w:p>
        </w:tc>
        <w:tc>
          <w:tcPr>
            <w:tcW w:w="6911" w:type="dxa"/>
          </w:tcPr>
          <w:p w:rsidR="00CD7E26" w:rsidRPr="00414105" w:rsidRDefault="00CD7E26" w:rsidP="00CD7E26">
            <w:pPr>
              <w:cnfStyle w:val="000000000000" w:firstRow="0" w:lastRow="0" w:firstColumn="0" w:lastColumn="0" w:oddVBand="0" w:evenVBand="0" w:oddHBand="0" w:evenHBand="0" w:firstRowFirstColumn="0" w:firstRowLastColumn="0" w:lastRowFirstColumn="0" w:lastRowLastColumn="0"/>
            </w:pPr>
            <w:proofErr w:type="spellStart"/>
            <w:r>
              <w:t>Pharmacodynamic</w:t>
            </w:r>
            <w:proofErr w:type="spellEnd"/>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PFS</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Progression free survival</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Pr="00414105" w:rsidRDefault="00CD7E26" w:rsidP="00CD7E26">
            <w:r>
              <w:t>PK</w:t>
            </w:r>
          </w:p>
        </w:tc>
        <w:tc>
          <w:tcPr>
            <w:tcW w:w="6911" w:type="dxa"/>
          </w:tcPr>
          <w:p w:rsidR="00CD7E26" w:rsidRPr="00414105" w:rsidRDefault="00CD7E26" w:rsidP="00CD7E26">
            <w:pPr>
              <w:cnfStyle w:val="000000000000" w:firstRow="0" w:lastRow="0" w:firstColumn="0" w:lastColumn="0" w:oddVBand="0" w:evenVBand="0" w:oddHBand="0" w:evenHBand="0" w:firstRowFirstColumn="0" w:firstRowLastColumn="0" w:lastRowFirstColumn="0" w:lastRowLastColumn="0"/>
            </w:pPr>
            <w:r>
              <w:t>Pharmacokinetic</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PIB</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Powder in bottle</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PITT</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Primary endpoint intent to treat</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proofErr w:type="spellStart"/>
            <w:r>
              <w:t>qd</w:t>
            </w:r>
            <w:proofErr w:type="spellEnd"/>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Once daily</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proofErr w:type="spellStart"/>
            <w:r w:rsidRPr="00C020B5">
              <w:t>QTcF</w:t>
            </w:r>
            <w:proofErr w:type="spellEnd"/>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proofErr w:type="spellStart"/>
            <w:r w:rsidRPr="00C020B5">
              <w:t>Fridericia’s</w:t>
            </w:r>
            <w:proofErr w:type="spellEnd"/>
            <w:r w:rsidRPr="00C020B5">
              <w:t xml:space="preserve"> correction of QT interval</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RBC</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Red blood cell</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RCC</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Renal cell carcinoma</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rsidRPr="00D72BA0">
              <w:t>RECIST</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rsidRPr="00D72BA0">
              <w:t>Response Evaluation Criteria in Solid Tumours</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Pr="00D72BA0" w:rsidRDefault="00CD7E26" w:rsidP="00CD7E26">
            <w:r w:rsidRPr="00814E1F">
              <w:t>RPLS</w:t>
            </w:r>
          </w:p>
        </w:tc>
        <w:tc>
          <w:tcPr>
            <w:tcW w:w="6911" w:type="dxa"/>
          </w:tcPr>
          <w:p w:rsidR="00CD7E26" w:rsidRPr="00D72BA0" w:rsidRDefault="00CD7E26" w:rsidP="00CD7E26">
            <w:pPr>
              <w:cnfStyle w:val="000000000000" w:firstRow="0" w:lastRow="0" w:firstColumn="0" w:lastColumn="0" w:oddVBand="0" w:evenVBand="0" w:oddHBand="0" w:evenHBand="0" w:firstRowFirstColumn="0" w:firstRowLastColumn="0" w:lastRowFirstColumn="0" w:lastRowLastColumn="0"/>
            </w:pPr>
            <w:r w:rsidRPr="00814E1F">
              <w:t>reversible posterior leukoencephalopathy syndrome</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SAE</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Serious adverse event</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SD</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Standard deviation</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SOC</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System organ class</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proofErr w:type="spellStart"/>
            <w:r>
              <w:t>SoD</w:t>
            </w:r>
            <w:proofErr w:type="spellEnd"/>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Sum of lesion diameter</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Pr="00492E0B" w:rsidRDefault="00CD7E26" w:rsidP="00CD7E26">
            <w:pPr>
              <w:rPr>
                <w:vertAlign w:val="subscript"/>
              </w:rPr>
            </w:pPr>
            <w:proofErr w:type="spellStart"/>
            <w:r>
              <w:t>T</w:t>
            </w:r>
            <w:r>
              <w:rPr>
                <w:vertAlign w:val="subscript"/>
              </w:rPr>
              <w:t>max</w:t>
            </w:r>
            <w:proofErr w:type="spellEnd"/>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Time to reach m</w:t>
            </w:r>
            <w:r w:rsidRPr="00492E0B">
              <w:t>aximum plasma concentration</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TEAE</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Treatment emergent adverse event</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rsidRPr="00F61B2F">
              <w:t>TKI</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T</w:t>
            </w:r>
            <w:r w:rsidRPr="00F61B2F">
              <w:t>yrosine kinase inhibitor</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Pr="00F61B2F" w:rsidRDefault="00CD7E26" w:rsidP="00CD7E26">
            <w:r>
              <w:t>ULN</w:t>
            </w:r>
          </w:p>
        </w:tc>
        <w:tc>
          <w:tcPr>
            <w:tcW w:w="6911" w:type="dxa"/>
          </w:tcPr>
          <w:p w:rsidR="00CD7E26" w:rsidRPr="00F61B2F" w:rsidRDefault="00CD7E26" w:rsidP="00CD7E26">
            <w:pPr>
              <w:cnfStyle w:val="000000000000" w:firstRow="0" w:lastRow="0" w:firstColumn="0" w:lastColumn="0" w:oddVBand="0" w:evenVBand="0" w:oddHBand="0" w:evenHBand="0" w:firstRowFirstColumn="0" w:firstRowLastColumn="0" w:lastRowFirstColumn="0" w:lastRowLastColumn="0"/>
            </w:pPr>
            <w:r>
              <w:t>Upper limit of normal</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UPCR</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Urine protein creatinine ratio</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rsidRPr="00F61B2F">
              <w:t>VEGF(R)</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rsidRPr="00F61B2F">
              <w:t>vascular endothelial growth factor (receptor)</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V/F</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Apparent total volume of distribution</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t>WCC</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White cell count</w:t>
            </w:r>
          </w:p>
        </w:tc>
      </w:tr>
      <w:tr w:rsidR="00CD7E26" w:rsidTr="00CD7E26">
        <w:tc>
          <w:tcPr>
            <w:cnfStyle w:val="001000000000" w:firstRow="0" w:lastRow="0" w:firstColumn="1" w:lastColumn="0" w:oddVBand="0" w:evenVBand="0" w:oddHBand="0" w:evenHBand="0" w:firstRowFirstColumn="0" w:firstRowLastColumn="0" w:lastRowFirstColumn="0" w:lastRowLastColumn="0"/>
            <w:tcW w:w="1890" w:type="dxa"/>
          </w:tcPr>
          <w:p w:rsidR="00CD7E26" w:rsidRDefault="00CD7E26" w:rsidP="00CD7E26">
            <w:r>
              <w:lastRenderedPageBreak/>
              <w:t>XL184</w:t>
            </w:r>
          </w:p>
        </w:tc>
        <w:tc>
          <w:tcPr>
            <w:tcW w:w="6911" w:type="dxa"/>
          </w:tcPr>
          <w:p w:rsidR="00CD7E26" w:rsidRDefault="00CD7E26" w:rsidP="00CD7E26">
            <w:pPr>
              <w:cnfStyle w:val="000000000000" w:firstRow="0" w:lastRow="0" w:firstColumn="0" w:lastColumn="0" w:oddVBand="0" w:evenVBand="0" w:oddHBand="0" w:evenHBand="0" w:firstRowFirstColumn="0" w:firstRowLastColumn="0" w:lastRowFirstColumn="0" w:lastRowLastColumn="0"/>
            </w:pPr>
            <w:r>
              <w:t xml:space="preserve">Sponsor identifier for </w:t>
            </w:r>
            <w:proofErr w:type="spellStart"/>
            <w:r>
              <w:t>cabozantinib</w:t>
            </w:r>
            <w:proofErr w:type="spellEnd"/>
          </w:p>
        </w:tc>
      </w:tr>
    </w:tbl>
    <w:p w:rsidR="00CD7E26" w:rsidRDefault="00CD7E26" w:rsidP="00CD7E26">
      <w:pPr>
        <w:pStyle w:val="Heading2"/>
        <w:pageBreakBefore/>
        <w:numPr>
          <w:ilvl w:val="0"/>
          <w:numId w:val="29"/>
        </w:numPr>
        <w:rPr>
          <w:lang w:eastAsia="en-AU"/>
        </w:rPr>
      </w:pPr>
      <w:bookmarkStart w:id="9" w:name="_Toc520879771"/>
      <w:bookmarkStart w:id="10" w:name="_Toc351718900"/>
      <w:bookmarkStart w:id="11" w:name="_Toc355338635"/>
      <w:bookmarkStart w:id="12" w:name="_Toc531776217"/>
      <w:r>
        <w:rPr>
          <w:lang w:eastAsia="en-AU"/>
        </w:rPr>
        <w:lastRenderedPageBreak/>
        <w:t>Submission details</w:t>
      </w:r>
      <w:bookmarkEnd w:id="9"/>
      <w:bookmarkEnd w:id="12"/>
    </w:p>
    <w:p w:rsidR="00CD7E26" w:rsidRDefault="00CD7E26" w:rsidP="00CD7E26">
      <w:pPr>
        <w:pStyle w:val="Heading3"/>
        <w:numPr>
          <w:ilvl w:val="1"/>
          <w:numId w:val="29"/>
        </w:numPr>
        <w:ind w:left="907" w:hanging="794"/>
      </w:pPr>
      <w:bookmarkStart w:id="13" w:name="_Toc520879772"/>
      <w:bookmarkStart w:id="14" w:name="_Toc531776218"/>
      <w:r>
        <w:t>Identifying information</w:t>
      </w:r>
      <w:bookmarkEnd w:id="13"/>
      <w:bookmarkEnd w:id="14"/>
    </w:p>
    <w:tbl>
      <w:tblPr>
        <w:tblStyle w:val="TableGrid"/>
        <w:tblW w:w="0" w:type="auto"/>
        <w:tblLook w:val="04A0" w:firstRow="1" w:lastRow="0" w:firstColumn="1" w:lastColumn="0" w:noHBand="0" w:noVBand="1"/>
        <w:tblDescription w:val="Identifying information"/>
      </w:tblPr>
      <w:tblGrid>
        <w:gridCol w:w="2802"/>
        <w:gridCol w:w="6440"/>
      </w:tblGrid>
      <w:tr w:rsidR="00CD7E26" w:rsidTr="00267B6C">
        <w:trPr>
          <w:tblHeader/>
        </w:trPr>
        <w:tc>
          <w:tcPr>
            <w:tcW w:w="2802" w:type="dxa"/>
            <w:shd w:val="clear" w:color="auto" w:fill="0070C0"/>
          </w:tcPr>
          <w:p w:rsidR="00CD7E26" w:rsidRPr="00460CD5" w:rsidRDefault="00CD7E26" w:rsidP="00CD7E26">
            <w:pPr>
              <w:rPr>
                <w:b/>
                <w:color w:val="FFFFFF" w:themeColor="background1"/>
                <w:sz w:val="22"/>
                <w:szCs w:val="22"/>
              </w:rPr>
            </w:pPr>
            <w:r w:rsidRPr="00460CD5">
              <w:rPr>
                <w:b/>
                <w:color w:val="FFFFFF" w:themeColor="background1"/>
                <w:sz w:val="22"/>
                <w:szCs w:val="22"/>
              </w:rPr>
              <w:t>Submission number</w:t>
            </w:r>
          </w:p>
        </w:tc>
        <w:tc>
          <w:tcPr>
            <w:tcW w:w="6440" w:type="dxa"/>
          </w:tcPr>
          <w:p w:rsidR="00CD7E26" w:rsidRPr="00B85BBB" w:rsidRDefault="00CD7E26" w:rsidP="00CD7E26">
            <w:pPr>
              <w:rPr>
                <w:sz w:val="22"/>
                <w:szCs w:val="22"/>
              </w:rPr>
            </w:pPr>
            <w:r w:rsidRPr="00DD7681">
              <w:rPr>
                <w:sz w:val="22"/>
                <w:szCs w:val="22"/>
              </w:rPr>
              <w:t>PM</w:t>
            </w:r>
            <w:r>
              <w:rPr>
                <w:sz w:val="22"/>
                <w:szCs w:val="22"/>
              </w:rPr>
              <w:t>-</w:t>
            </w:r>
            <w:r w:rsidRPr="00DD7681">
              <w:rPr>
                <w:sz w:val="22"/>
                <w:szCs w:val="22"/>
              </w:rPr>
              <w:t>2016</w:t>
            </w:r>
            <w:r>
              <w:rPr>
                <w:sz w:val="22"/>
                <w:szCs w:val="22"/>
              </w:rPr>
              <w:t>-</w:t>
            </w:r>
            <w:r w:rsidRPr="00DD7681">
              <w:rPr>
                <w:sz w:val="22"/>
                <w:szCs w:val="22"/>
              </w:rPr>
              <w:t>04459</w:t>
            </w:r>
            <w:r>
              <w:rPr>
                <w:sz w:val="22"/>
                <w:szCs w:val="22"/>
              </w:rPr>
              <w:t>-</w:t>
            </w:r>
            <w:r w:rsidRPr="00DD7681">
              <w:rPr>
                <w:sz w:val="22"/>
                <w:szCs w:val="22"/>
              </w:rPr>
              <w:t>1</w:t>
            </w:r>
            <w:r>
              <w:rPr>
                <w:sz w:val="22"/>
                <w:szCs w:val="22"/>
              </w:rPr>
              <w:t>-4</w:t>
            </w:r>
          </w:p>
        </w:tc>
      </w:tr>
      <w:tr w:rsidR="00CD7E26" w:rsidTr="00267B6C">
        <w:trPr>
          <w:tblHeader/>
        </w:trPr>
        <w:tc>
          <w:tcPr>
            <w:tcW w:w="2802" w:type="dxa"/>
            <w:shd w:val="clear" w:color="auto" w:fill="0070C0"/>
          </w:tcPr>
          <w:p w:rsidR="00CD7E26" w:rsidRPr="00460CD5" w:rsidRDefault="00CD7E26" w:rsidP="00CD7E26">
            <w:pPr>
              <w:rPr>
                <w:b/>
                <w:color w:val="FFFFFF" w:themeColor="background1"/>
                <w:sz w:val="22"/>
                <w:szCs w:val="22"/>
              </w:rPr>
            </w:pPr>
            <w:r w:rsidRPr="00460CD5">
              <w:rPr>
                <w:b/>
                <w:color w:val="FFFFFF" w:themeColor="background1"/>
                <w:sz w:val="22"/>
                <w:szCs w:val="22"/>
              </w:rPr>
              <w:t>Sponsor</w:t>
            </w:r>
          </w:p>
        </w:tc>
        <w:tc>
          <w:tcPr>
            <w:tcW w:w="6440" w:type="dxa"/>
          </w:tcPr>
          <w:p w:rsidR="00CD7E26" w:rsidRPr="00B85BBB" w:rsidRDefault="00CD7E26" w:rsidP="00CD7E26">
            <w:pPr>
              <w:rPr>
                <w:sz w:val="22"/>
                <w:szCs w:val="22"/>
              </w:rPr>
            </w:pPr>
            <w:proofErr w:type="spellStart"/>
            <w:r w:rsidRPr="00853D5F">
              <w:rPr>
                <w:sz w:val="22"/>
                <w:szCs w:val="22"/>
              </w:rPr>
              <w:t>Ipsen</w:t>
            </w:r>
            <w:proofErr w:type="spellEnd"/>
            <w:r w:rsidRPr="00853D5F">
              <w:rPr>
                <w:sz w:val="22"/>
                <w:szCs w:val="22"/>
              </w:rPr>
              <w:t xml:space="preserve"> Pty Ltd</w:t>
            </w:r>
          </w:p>
        </w:tc>
      </w:tr>
      <w:tr w:rsidR="00CD7E26" w:rsidTr="00267B6C">
        <w:trPr>
          <w:tblHeader/>
        </w:trPr>
        <w:tc>
          <w:tcPr>
            <w:tcW w:w="2802" w:type="dxa"/>
            <w:shd w:val="clear" w:color="auto" w:fill="0070C0"/>
          </w:tcPr>
          <w:p w:rsidR="00CD7E26" w:rsidRPr="00460CD5" w:rsidRDefault="00CD7E26" w:rsidP="00CD7E26">
            <w:pPr>
              <w:rPr>
                <w:b/>
                <w:color w:val="FFFFFF" w:themeColor="background1"/>
                <w:sz w:val="22"/>
                <w:szCs w:val="22"/>
              </w:rPr>
            </w:pPr>
            <w:r w:rsidRPr="00460CD5">
              <w:rPr>
                <w:b/>
                <w:color w:val="FFFFFF" w:themeColor="background1"/>
                <w:sz w:val="22"/>
                <w:szCs w:val="22"/>
              </w:rPr>
              <w:t>Trade name</w:t>
            </w:r>
          </w:p>
        </w:tc>
        <w:tc>
          <w:tcPr>
            <w:tcW w:w="6440" w:type="dxa"/>
          </w:tcPr>
          <w:p w:rsidR="00CD7E26" w:rsidRPr="00B85BBB" w:rsidRDefault="00CD7E26" w:rsidP="00CD7E26">
            <w:pPr>
              <w:rPr>
                <w:sz w:val="22"/>
                <w:szCs w:val="22"/>
              </w:rPr>
            </w:pPr>
            <w:proofErr w:type="spellStart"/>
            <w:r>
              <w:rPr>
                <w:sz w:val="22"/>
                <w:szCs w:val="22"/>
              </w:rPr>
              <w:t>Cabometyx</w:t>
            </w:r>
            <w:proofErr w:type="spellEnd"/>
          </w:p>
        </w:tc>
      </w:tr>
      <w:tr w:rsidR="00CD7E26" w:rsidTr="00267B6C">
        <w:trPr>
          <w:tblHeader/>
        </w:trPr>
        <w:tc>
          <w:tcPr>
            <w:tcW w:w="2802" w:type="dxa"/>
            <w:shd w:val="clear" w:color="auto" w:fill="0070C0"/>
          </w:tcPr>
          <w:p w:rsidR="00CD7E26" w:rsidRPr="00460CD5" w:rsidRDefault="00CD7E26" w:rsidP="00CD7E26">
            <w:pPr>
              <w:rPr>
                <w:b/>
                <w:color w:val="FFFFFF" w:themeColor="background1"/>
                <w:sz w:val="22"/>
                <w:szCs w:val="22"/>
              </w:rPr>
            </w:pPr>
            <w:r w:rsidRPr="00460CD5">
              <w:rPr>
                <w:b/>
                <w:color w:val="FFFFFF" w:themeColor="background1"/>
                <w:sz w:val="22"/>
                <w:szCs w:val="22"/>
              </w:rPr>
              <w:t>Active substance</w:t>
            </w:r>
          </w:p>
        </w:tc>
        <w:tc>
          <w:tcPr>
            <w:tcW w:w="6440" w:type="dxa"/>
          </w:tcPr>
          <w:p w:rsidR="00CD7E26" w:rsidRPr="00B85BBB" w:rsidRDefault="00CD7E26" w:rsidP="00CD7E26">
            <w:pPr>
              <w:rPr>
                <w:sz w:val="22"/>
                <w:szCs w:val="22"/>
              </w:rPr>
            </w:pPr>
            <w:proofErr w:type="spellStart"/>
            <w:r>
              <w:rPr>
                <w:sz w:val="22"/>
                <w:szCs w:val="22"/>
              </w:rPr>
              <w:t>C</w:t>
            </w:r>
            <w:r w:rsidRPr="00853D5F">
              <w:rPr>
                <w:sz w:val="22"/>
                <w:szCs w:val="22"/>
              </w:rPr>
              <w:t>abozantinib</w:t>
            </w:r>
            <w:proofErr w:type="spellEnd"/>
          </w:p>
        </w:tc>
      </w:tr>
    </w:tbl>
    <w:p w:rsidR="00CD7E26" w:rsidRDefault="00CD7E26" w:rsidP="00CD7E26">
      <w:pPr>
        <w:pStyle w:val="Heading3"/>
        <w:numPr>
          <w:ilvl w:val="1"/>
          <w:numId w:val="29"/>
        </w:numPr>
        <w:ind w:left="907" w:hanging="794"/>
      </w:pPr>
      <w:bookmarkStart w:id="15" w:name="_Toc520879773"/>
      <w:bookmarkStart w:id="16" w:name="_Toc531776219"/>
      <w:r>
        <w:t>Submission type</w:t>
      </w:r>
      <w:bookmarkEnd w:id="15"/>
      <w:bookmarkEnd w:id="16"/>
    </w:p>
    <w:p w:rsidR="00CD7E26" w:rsidRDefault="00CD7E26" w:rsidP="00CD7E26">
      <w:pPr>
        <w:rPr>
          <w:lang w:eastAsia="ja-JP"/>
        </w:rPr>
      </w:pPr>
      <w:r>
        <w:rPr>
          <w:lang w:eastAsia="ja-JP"/>
        </w:rPr>
        <w:t>This is an</w:t>
      </w:r>
      <w:r w:rsidRPr="00853D5F">
        <w:rPr>
          <w:lang w:eastAsia="ja-JP"/>
        </w:rPr>
        <w:t xml:space="preserve"> application</w:t>
      </w:r>
      <w:r>
        <w:rPr>
          <w:lang w:eastAsia="ja-JP"/>
        </w:rPr>
        <w:t xml:space="preserve"> to register the new active substance </w:t>
      </w:r>
      <w:proofErr w:type="spellStart"/>
      <w:r>
        <w:rPr>
          <w:lang w:eastAsia="ja-JP"/>
        </w:rPr>
        <w:t>cabozantinib</w:t>
      </w:r>
      <w:proofErr w:type="spellEnd"/>
      <w:r>
        <w:rPr>
          <w:lang w:eastAsia="ja-JP"/>
        </w:rPr>
        <w:t>.</w:t>
      </w:r>
    </w:p>
    <w:p w:rsidR="00CD7E26" w:rsidRDefault="00CD7E26" w:rsidP="00CD7E26">
      <w:pPr>
        <w:pStyle w:val="Heading3"/>
        <w:numPr>
          <w:ilvl w:val="1"/>
          <w:numId w:val="29"/>
        </w:numPr>
        <w:ind w:left="907" w:hanging="794"/>
      </w:pPr>
      <w:bookmarkStart w:id="17" w:name="_Toc520879774"/>
      <w:bookmarkStart w:id="18" w:name="_Toc531776220"/>
      <w:r>
        <w:t>Drug class and therapeutic indication</w:t>
      </w:r>
      <w:bookmarkEnd w:id="17"/>
      <w:bookmarkEnd w:id="18"/>
    </w:p>
    <w:p w:rsidR="00CD7E26" w:rsidRDefault="00CD7E26" w:rsidP="00CD7E26">
      <w:pPr>
        <w:rPr>
          <w:lang w:eastAsia="ja-JP"/>
        </w:rPr>
      </w:pPr>
      <w:proofErr w:type="spellStart"/>
      <w:r>
        <w:rPr>
          <w:lang w:eastAsia="ja-JP"/>
        </w:rPr>
        <w:t>Cabozantinib</w:t>
      </w:r>
      <w:proofErr w:type="spellEnd"/>
      <w:r>
        <w:rPr>
          <w:lang w:eastAsia="ja-JP"/>
        </w:rPr>
        <w:t xml:space="preserve"> (XL184) inhibits multiple receptor tyrosine kinases (RTKs) implicated in angiogenesis, invasion, or metastasis in renal cell carcinoma (RCC), including MET (hepatocyte growth factor [HGF] receptor protein) and vascular endothelial growth factor receptors (VEGFRs).</w:t>
      </w:r>
    </w:p>
    <w:p w:rsidR="00CD7E26" w:rsidRPr="00AD5A5B" w:rsidRDefault="00CD7E26" w:rsidP="00CD7E26">
      <w:pPr>
        <w:rPr>
          <w:i/>
          <w:lang w:eastAsia="ja-JP"/>
        </w:rPr>
      </w:pPr>
      <w:r>
        <w:rPr>
          <w:lang w:eastAsia="ja-JP"/>
        </w:rPr>
        <w:t xml:space="preserve">The proposed indication is: </w:t>
      </w:r>
      <w:proofErr w:type="spellStart"/>
      <w:r w:rsidRPr="00AD5A5B">
        <w:rPr>
          <w:i/>
          <w:lang w:eastAsia="ja-JP"/>
        </w:rPr>
        <w:t>Cabometyx</w:t>
      </w:r>
      <w:proofErr w:type="spellEnd"/>
      <w:r w:rsidRPr="00AD5A5B">
        <w:rPr>
          <w:i/>
          <w:lang w:eastAsia="ja-JP"/>
        </w:rPr>
        <w:t xml:space="preserve"> (</w:t>
      </w:r>
      <w:proofErr w:type="spellStart"/>
      <w:r w:rsidRPr="00AD5A5B">
        <w:rPr>
          <w:i/>
          <w:lang w:eastAsia="ja-JP"/>
        </w:rPr>
        <w:t>cabozantinib</w:t>
      </w:r>
      <w:proofErr w:type="spellEnd"/>
      <w:r w:rsidRPr="00AD5A5B">
        <w:rPr>
          <w:i/>
          <w:lang w:eastAsia="ja-JP"/>
        </w:rPr>
        <w:t xml:space="preserve"> tablets) is indicated for the treatment of advanced RCC in patients who have received one prior therapy.</w:t>
      </w:r>
    </w:p>
    <w:p w:rsidR="00CD7E26" w:rsidRDefault="00CD7E26" w:rsidP="00CD7E26">
      <w:pPr>
        <w:rPr>
          <w:lang w:eastAsia="ja-JP"/>
        </w:rPr>
      </w:pPr>
      <w:proofErr w:type="spellStart"/>
      <w:r>
        <w:rPr>
          <w:lang w:eastAsia="ja-JP"/>
        </w:rPr>
        <w:t>Cabozantinib</w:t>
      </w:r>
      <w:proofErr w:type="spellEnd"/>
      <w:r>
        <w:rPr>
          <w:lang w:eastAsia="ja-JP"/>
        </w:rPr>
        <w:t xml:space="preserve"> thus inhibits a broad range of tyrosine kinases associated with angiogenesis in malignancy.</w:t>
      </w:r>
    </w:p>
    <w:p w:rsidR="00CD7E26" w:rsidRDefault="00CD7E26" w:rsidP="00CD7E26">
      <w:pPr>
        <w:pStyle w:val="Heading3"/>
        <w:numPr>
          <w:ilvl w:val="1"/>
          <w:numId w:val="29"/>
        </w:numPr>
        <w:ind w:left="907" w:hanging="794"/>
      </w:pPr>
      <w:bookmarkStart w:id="19" w:name="_Toc520879775"/>
      <w:bookmarkStart w:id="20" w:name="_Toc531776221"/>
      <w:r>
        <w:t>Dosage forms and strengths</w:t>
      </w:r>
      <w:bookmarkEnd w:id="19"/>
      <w:bookmarkEnd w:id="20"/>
    </w:p>
    <w:p w:rsidR="00CD7E26" w:rsidRDefault="00CD7E26" w:rsidP="00CD7E26">
      <w:pPr>
        <w:rPr>
          <w:lang w:eastAsia="ja-JP"/>
        </w:rPr>
      </w:pPr>
      <w:r>
        <w:rPr>
          <w:lang w:eastAsia="ja-JP"/>
        </w:rPr>
        <w:t>The proposed dosage forms and strengths are:</w:t>
      </w:r>
    </w:p>
    <w:p w:rsidR="00CD7E26" w:rsidRDefault="00CD7E26" w:rsidP="00CD7E26">
      <w:pPr>
        <w:pStyle w:val="ListBullet"/>
        <w:numPr>
          <w:ilvl w:val="0"/>
          <w:numId w:val="3"/>
        </w:numPr>
        <w:rPr>
          <w:lang w:eastAsia="ja-JP"/>
        </w:rPr>
      </w:pPr>
      <w:proofErr w:type="spellStart"/>
      <w:r>
        <w:rPr>
          <w:lang w:eastAsia="ja-JP"/>
        </w:rPr>
        <w:t>Cabometyx</w:t>
      </w:r>
      <w:proofErr w:type="spellEnd"/>
      <w:r>
        <w:rPr>
          <w:lang w:eastAsia="ja-JP"/>
        </w:rPr>
        <w:t xml:space="preserve"> </w:t>
      </w:r>
      <w:proofErr w:type="spellStart"/>
      <w:r>
        <w:rPr>
          <w:lang w:eastAsia="ja-JP"/>
        </w:rPr>
        <w:t>cabozantinib</w:t>
      </w:r>
      <w:proofErr w:type="spellEnd"/>
      <w:r>
        <w:rPr>
          <w:lang w:eastAsia="ja-JP"/>
        </w:rPr>
        <w:t xml:space="preserve"> 20 mg film coated tablet</w:t>
      </w:r>
    </w:p>
    <w:p w:rsidR="00CD7E26" w:rsidRDefault="00CD7E26" w:rsidP="00CD7E26">
      <w:pPr>
        <w:pStyle w:val="ListBullet"/>
        <w:numPr>
          <w:ilvl w:val="0"/>
          <w:numId w:val="3"/>
        </w:numPr>
        <w:rPr>
          <w:lang w:eastAsia="ja-JP"/>
        </w:rPr>
      </w:pPr>
      <w:proofErr w:type="spellStart"/>
      <w:r>
        <w:rPr>
          <w:lang w:eastAsia="ja-JP"/>
        </w:rPr>
        <w:t>Cabometyx</w:t>
      </w:r>
      <w:proofErr w:type="spellEnd"/>
      <w:r>
        <w:rPr>
          <w:lang w:eastAsia="ja-JP"/>
        </w:rPr>
        <w:t xml:space="preserve"> </w:t>
      </w:r>
      <w:proofErr w:type="spellStart"/>
      <w:r>
        <w:rPr>
          <w:lang w:eastAsia="ja-JP"/>
        </w:rPr>
        <w:t>cabozantinib</w:t>
      </w:r>
      <w:proofErr w:type="spellEnd"/>
      <w:r>
        <w:rPr>
          <w:lang w:eastAsia="ja-JP"/>
        </w:rPr>
        <w:t xml:space="preserve"> 40 mg film coated tablet</w:t>
      </w:r>
    </w:p>
    <w:p w:rsidR="00CD7E26" w:rsidRDefault="00CD7E26" w:rsidP="00CD7E26">
      <w:pPr>
        <w:pStyle w:val="ListBullet"/>
        <w:numPr>
          <w:ilvl w:val="0"/>
          <w:numId w:val="3"/>
        </w:numPr>
        <w:rPr>
          <w:lang w:eastAsia="ja-JP"/>
        </w:rPr>
      </w:pPr>
      <w:proofErr w:type="spellStart"/>
      <w:r>
        <w:rPr>
          <w:lang w:eastAsia="ja-JP"/>
        </w:rPr>
        <w:t>Cabometyx</w:t>
      </w:r>
      <w:proofErr w:type="spellEnd"/>
      <w:r>
        <w:rPr>
          <w:lang w:eastAsia="ja-JP"/>
        </w:rPr>
        <w:t xml:space="preserve"> </w:t>
      </w:r>
      <w:proofErr w:type="spellStart"/>
      <w:r>
        <w:rPr>
          <w:lang w:eastAsia="ja-JP"/>
        </w:rPr>
        <w:t>cabozantinib</w:t>
      </w:r>
      <w:proofErr w:type="spellEnd"/>
      <w:r>
        <w:rPr>
          <w:lang w:eastAsia="ja-JP"/>
        </w:rPr>
        <w:t xml:space="preserve"> 60 mg film coated tablet.</w:t>
      </w:r>
    </w:p>
    <w:p w:rsidR="00CD7E26" w:rsidRDefault="00CD7E26" w:rsidP="00CD7E26">
      <w:pPr>
        <w:pStyle w:val="Heading3"/>
        <w:numPr>
          <w:ilvl w:val="1"/>
          <w:numId w:val="29"/>
        </w:numPr>
        <w:ind w:left="907" w:hanging="794"/>
      </w:pPr>
      <w:bookmarkStart w:id="21" w:name="_Toc520879776"/>
      <w:bookmarkStart w:id="22" w:name="_Toc531776222"/>
      <w:r>
        <w:t>Dosage and administration</w:t>
      </w:r>
      <w:bookmarkEnd w:id="21"/>
      <w:bookmarkEnd w:id="22"/>
    </w:p>
    <w:p w:rsidR="00CD7E26" w:rsidRDefault="00CD7E26" w:rsidP="00CD7E26">
      <w:pPr>
        <w:rPr>
          <w:lang w:eastAsia="ja-JP"/>
        </w:rPr>
      </w:pPr>
      <w:r>
        <w:rPr>
          <w:lang w:eastAsia="ja-JP"/>
        </w:rPr>
        <w:t>The proposed administration is:</w:t>
      </w:r>
    </w:p>
    <w:p w:rsidR="00CD7E26" w:rsidRPr="00D220CA" w:rsidRDefault="00CD7E26" w:rsidP="00CD7E26">
      <w:pPr>
        <w:ind w:left="720"/>
        <w:rPr>
          <w:i/>
          <w:lang w:eastAsia="ja-JP"/>
        </w:rPr>
      </w:pPr>
      <w:r w:rsidRPr="00D220CA">
        <w:rPr>
          <w:i/>
          <w:lang w:eastAsia="ja-JP"/>
        </w:rPr>
        <w:t xml:space="preserve">Therapy with </w:t>
      </w:r>
      <w:proofErr w:type="spellStart"/>
      <w:r w:rsidRPr="00D220CA">
        <w:rPr>
          <w:i/>
          <w:lang w:eastAsia="ja-JP"/>
        </w:rPr>
        <w:t>Cabometyx</w:t>
      </w:r>
      <w:proofErr w:type="spellEnd"/>
      <w:r w:rsidRPr="00D220CA">
        <w:rPr>
          <w:i/>
          <w:lang w:eastAsia="ja-JP"/>
        </w:rPr>
        <w:t xml:space="preserve"> should be initiated by a physician experienced in the administration of anticancer medicinal products.</w:t>
      </w:r>
    </w:p>
    <w:p w:rsidR="00CD7E26" w:rsidRPr="00D220CA" w:rsidRDefault="00CD7E26" w:rsidP="00CD7E26">
      <w:pPr>
        <w:ind w:left="720"/>
        <w:rPr>
          <w:i/>
          <w:lang w:eastAsia="ja-JP"/>
        </w:rPr>
      </w:pPr>
      <w:r w:rsidRPr="00D220CA">
        <w:rPr>
          <w:i/>
          <w:lang w:eastAsia="ja-JP"/>
        </w:rPr>
        <w:t xml:space="preserve">The recommended dose of </w:t>
      </w:r>
      <w:proofErr w:type="spellStart"/>
      <w:r w:rsidRPr="00D220CA">
        <w:rPr>
          <w:i/>
          <w:lang w:eastAsia="ja-JP"/>
        </w:rPr>
        <w:t>Cabometyx</w:t>
      </w:r>
      <w:proofErr w:type="spellEnd"/>
      <w:r w:rsidRPr="00D220CA">
        <w:rPr>
          <w:i/>
          <w:lang w:eastAsia="ja-JP"/>
        </w:rPr>
        <w:t xml:space="preserve"> is 60 mg once daily. Treatment should continue until the patient is no longer clinically benefiting from therapy or until unacceptable toxicity occurs.</w:t>
      </w:r>
    </w:p>
    <w:p w:rsidR="00CD7E26" w:rsidRPr="00D220CA" w:rsidRDefault="00CD7E26" w:rsidP="00CD7E26">
      <w:pPr>
        <w:ind w:left="720"/>
        <w:rPr>
          <w:i/>
          <w:lang w:eastAsia="ja-JP"/>
        </w:rPr>
      </w:pPr>
      <w:r w:rsidRPr="00D220CA">
        <w:rPr>
          <w:i/>
          <w:lang w:eastAsia="ja-JP"/>
        </w:rPr>
        <w:t xml:space="preserve">Management of suspected adverse drug reactions may require temporary interruption and/or dose reduction of </w:t>
      </w:r>
      <w:proofErr w:type="spellStart"/>
      <w:r w:rsidRPr="00D220CA">
        <w:rPr>
          <w:i/>
          <w:lang w:eastAsia="ja-JP"/>
        </w:rPr>
        <w:t>Cabometyx</w:t>
      </w:r>
      <w:proofErr w:type="spellEnd"/>
      <w:r w:rsidRPr="00D220CA">
        <w:rPr>
          <w:i/>
          <w:lang w:eastAsia="ja-JP"/>
        </w:rPr>
        <w:t xml:space="preserve"> therapy (see Table 5). When dose reduction is necessary, it is recommended to reduce to 40 mg daily, and then to 20 mg daily. Dose </w:t>
      </w:r>
      <w:r w:rsidRPr="00D220CA">
        <w:rPr>
          <w:i/>
          <w:lang w:eastAsia="ja-JP"/>
        </w:rPr>
        <w:lastRenderedPageBreak/>
        <w:t>interruptions are recommended for management of CTCAE grade 3 or greater toxicities or intolerable grade 2 toxicities. Dose reductions are recommended for events that, if persistent, could become serious or intolerable.</w:t>
      </w:r>
    </w:p>
    <w:p w:rsidR="00CD7E26" w:rsidRPr="00267B6C" w:rsidRDefault="00CD7E26" w:rsidP="00267B6C">
      <w:pPr>
        <w:pStyle w:val="Tabletitle"/>
      </w:pPr>
      <w:r w:rsidRPr="00267B6C">
        <w:t xml:space="preserve">Table 1: Recommended </w:t>
      </w:r>
      <w:proofErr w:type="spellStart"/>
      <w:r w:rsidRPr="00267B6C">
        <w:t>cabometyx</w:t>
      </w:r>
      <w:proofErr w:type="spellEnd"/>
      <w:r w:rsidRPr="00267B6C">
        <w:t xml:space="preserve"> dose modifications for adverse reactions</w:t>
      </w:r>
    </w:p>
    <w:p w:rsidR="00CD7E26" w:rsidRDefault="00CD7E26" w:rsidP="00CD7E26">
      <w:pPr>
        <w:rPr>
          <w:lang w:eastAsia="ja-JP"/>
        </w:rPr>
      </w:pPr>
      <w:r w:rsidRPr="006C6410">
        <w:rPr>
          <w:noProof/>
          <w:lang w:eastAsia="en-AU"/>
        </w:rPr>
        <w:drawing>
          <wp:inline distT="0" distB="0" distL="0" distR="0" wp14:anchorId="0A79BC6B" wp14:editId="7B3DFA8F">
            <wp:extent cx="5729631" cy="3851329"/>
            <wp:effectExtent l="0" t="0" r="4445" b="0"/>
            <wp:docPr id="140" name="Picture 140" descr="Table 1: Recommended Cabometyx dose modifications for adverse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lum bright="-20000" contrast="40000"/>
                      <a:extLst>
                        <a:ext uri="{28A0092B-C50C-407E-A947-70E740481C1C}">
                          <a14:useLocalDpi xmlns:a14="http://schemas.microsoft.com/office/drawing/2010/main" val="0"/>
                        </a:ext>
                      </a:extLst>
                    </a:blip>
                    <a:srcRect t="2549"/>
                    <a:stretch/>
                  </pic:blipFill>
                  <pic:spPr bwMode="auto">
                    <a:xfrm>
                      <a:off x="0" y="0"/>
                      <a:ext cx="5731510" cy="3852592"/>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pStyle w:val="Heading2"/>
        <w:numPr>
          <w:ilvl w:val="0"/>
          <w:numId w:val="29"/>
        </w:numPr>
      </w:pPr>
      <w:bookmarkStart w:id="23" w:name="_Toc520879777"/>
      <w:bookmarkStart w:id="24" w:name="_Toc531776223"/>
      <w:r>
        <w:t>Background</w:t>
      </w:r>
      <w:bookmarkEnd w:id="23"/>
      <w:bookmarkEnd w:id="24"/>
    </w:p>
    <w:p w:rsidR="00CD7E26" w:rsidRDefault="00CD7E26" w:rsidP="00CD7E26">
      <w:pPr>
        <w:pStyle w:val="Heading3"/>
        <w:numPr>
          <w:ilvl w:val="1"/>
          <w:numId w:val="29"/>
        </w:numPr>
        <w:ind w:left="907" w:hanging="794"/>
      </w:pPr>
      <w:bookmarkStart w:id="25" w:name="_Toc520879778"/>
      <w:bookmarkStart w:id="26" w:name="_Toc531776224"/>
      <w:r w:rsidRPr="00E709B3">
        <w:t>Information on the condition being treated</w:t>
      </w:r>
      <w:bookmarkEnd w:id="25"/>
      <w:bookmarkEnd w:id="26"/>
    </w:p>
    <w:p w:rsidR="00CD7E26" w:rsidRDefault="00CD7E26" w:rsidP="00CD7E26">
      <w:pPr>
        <w:rPr>
          <w:lang w:eastAsia="ja-JP"/>
        </w:rPr>
      </w:pPr>
      <w:r>
        <w:rPr>
          <w:lang w:eastAsia="ja-JP"/>
        </w:rPr>
        <w:t>Renal cell carcinoma (RCC) originates in the renal cortex and constitutes 80% to 85% of primary renal neoplasms.</w:t>
      </w:r>
    </w:p>
    <w:p w:rsidR="00CD7E26" w:rsidRDefault="00CD7E26" w:rsidP="00CD7E26">
      <w:pPr>
        <w:rPr>
          <w:lang w:eastAsia="ja-JP"/>
        </w:rPr>
      </w:pPr>
      <w:r>
        <w:rPr>
          <w:lang w:eastAsia="ja-JP"/>
        </w:rPr>
        <w:t>RCC can be classified as:</w:t>
      </w:r>
    </w:p>
    <w:p w:rsidR="00CD7E26" w:rsidRDefault="00CD7E26" w:rsidP="00CD7E26">
      <w:pPr>
        <w:pStyle w:val="ListBullet"/>
        <w:numPr>
          <w:ilvl w:val="0"/>
          <w:numId w:val="3"/>
        </w:numPr>
        <w:rPr>
          <w:lang w:eastAsia="ja-JP"/>
        </w:rPr>
      </w:pPr>
      <w:r>
        <w:rPr>
          <w:lang w:eastAsia="ja-JP"/>
        </w:rPr>
        <w:t>Localised disease when it is confined to the renal cortex.</w:t>
      </w:r>
    </w:p>
    <w:p w:rsidR="00CD7E26" w:rsidRDefault="00CD7E26" w:rsidP="00CD7E26">
      <w:pPr>
        <w:pStyle w:val="ListBullet"/>
        <w:numPr>
          <w:ilvl w:val="0"/>
          <w:numId w:val="3"/>
        </w:numPr>
        <w:rPr>
          <w:lang w:eastAsia="ja-JP"/>
        </w:rPr>
      </w:pPr>
      <w:r>
        <w:rPr>
          <w:lang w:eastAsia="ja-JP"/>
        </w:rPr>
        <w:t>Advanced disease when the tumour invades beyond the renal fascia or extends into the associated adrenal gland.</w:t>
      </w:r>
    </w:p>
    <w:p w:rsidR="00CD7E26" w:rsidRDefault="00CD7E26" w:rsidP="00CD7E26">
      <w:pPr>
        <w:rPr>
          <w:lang w:eastAsia="ja-JP"/>
        </w:rPr>
      </w:pPr>
      <w:r>
        <w:rPr>
          <w:lang w:eastAsia="ja-JP"/>
        </w:rPr>
        <w:t xml:space="preserve">Many patients present with advanced or </w:t>
      </w:r>
      <w:proofErr w:type="spellStart"/>
      <w:r>
        <w:rPr>
          <w:lang w:eastAsia="ja-JP"/>
        </w:rPr>
        <w:t>unresectable</w:t>
      </w:r>
      <w:proofErr w:type="spellEnd"/>
      <w:r>
        <w:rPr>
          <w:lang w:eastAsia="ja-JP"/>
        </w:rPr>
        <w:t xml:space="preserve"> disease at initial diagnosis and up to one third of patients relapse after surgical treatment with curative intent </w:t>
      </w:r>
      <w:r w:rsidR="00F008C0">
        <w:rPr>
          <w:lang w:eastAsia="ja-JP"/>
        </w:rPr>
        <w:t>of initially localised disease.</w:t>
      </w:r>
    </w:p>
    <w:p w:rsidR="00CD7E26" w:rsidRDefault="00CD7E26" w:rsidP="00CD7E26">
      <w:pPr>
        <w:rPr>
          <w:lang w:eastAsia="ja-JP"/>
        </w:rPr>
      </w:pPr>
      <w:r>
        <w:rPr>
          <w:lang w:eastAsia="ja-JP"/>
        </w:rPr>
        <w:t xml:space="preserve">Diagnosis is usually established by radiographic detection of a renal mass. The extent and location of tumour metastases in patients with advanced RCC contribute to significant morbidity. Metastatic symptoms include airway obstruction, venous thromboembolism, bone pain, skeletal related events (SREs), and hypercalcemia. In addition, paraneoplastic syndromes (hypertension and disorders of the endocrine, hepatic and neuromuscular systems) impact quality of life of patients with advanced RCC. Patients with advanced RCC may also develop brain metastases during the disease; these cause debilitating neurological symptoms and </w:t>
      </w:r>
      <w:r>
        <w:rPr>
          <w:lang w:eastAsia="ja-JP"/>
        </w:rPr>
        <w:lastRenderedPageBreak/>
        <w:t xml:space="preserve">shorten survival. The median overall survival (OS) for patients with advanced RCC ranges from about 8-months (poor risk score) to 4 years (favourable risk score). </w:t>
      </w:r>
      <w:r w:rsidRPr="003E5EF7">
        <w:rPr>
          <w:lang w:eastAsia="ja-JP"/>
        </w:rPr>
        <w:t>The most frequent locations of metastases are the lungs, mediastinum, bone, liver, and brain. Among solid cancer types, RCC has the second highest incidence of brain metastases</w:t>
      </w:r>
      <w:r>
        <w:rPr>
          <w:lang w:eastAsia="ja-JP"/>
        </w:rPr>
        <w:t>.</w:t>
      </w:r>
    </w:p>
    <w:p w:rsidR="00CD7E26" w:rsidRDefault="00CD7E26" w:rsidP="00CD7E26">
      <w:pPr>
        <w:rPr>
          <w:lang w:eastAsia="ja-JP"/>
        </w:rPr>
      </w:pPr>
      <w:r>
        <w:rPr>
          <w:lang w:eastAsia="ja-JP"/>
        </w:rPr>
        <w:t>As there is currently no curative treatment regime for advanced RCC the aims of treatment are to reduce symptoms burden, reduce the rate of progression and prolong survival.</w:t>
      </w:r>
    </w:p>
    <w:p w:rsidR="00CD7E26" w:rsidRDefault="00CD7E26" w:rsidP="00CD7E26">
      <w:pPr>
        <w:pStyle w:val="Heading3"/>
        <w:numPr>
          <w:ilvl w:val="1"/>
          <w:numId w:val="29"/>
        </w:numPr>
        <w:ind w:left="907" w:hanging="794"/>
      </w:pPr>
      <w:bookmarkStart w:id="27" w:name="_Toc520879779"/>
      <w:bookmarkStart w:id="28" w:name="_Toc531776225"/>
      <w:r>
        <w:t>Current treatment options</w:t>
      </w:r>
      <w:bookmarkEnd w:id="27"/>
      <w:bookmarkEnd w:id="28"/>
    </w:p>
    <w:p w:rsidR="00CD7E26" w:rsidRDefault="000756FA" w:rsidP="00CD7E26">
      <w:pPr>
        <w:rPr>
          <w:lang w:eastAsia="ja-JP"/>
        </w:rPr>
      </w:pPr>
      <w:r>
        <w:rPr>
          <w:lang w:eastAsia="ja-JP"/>
        </w:rPr>
        <w:t>Table 2</w:t>
      </w:r>
      <w:r w:rsidR="00CD7E26">
        <w:rPr>
          <w:lang w:eastAsia="ja-JP"/>
        </w:rPr>
        <w:t xml:space="preserve"> summarises the </w:t>
      </w:r>
      <w:r w:rsidR="00AC1A6A">
        <w:rPr>
          <w:lang w:eastAsia="ja-JP"/>
        </w:rPr>
        <w:t xml:space="preserve">products currently registered (on the </w:t>
      </w:r>
      <w:r w:rsidR="00CD7E26">
        <w:rPr>
          <w:lang w:eastAsia="ja-JP"/>
        </w:rPr>
        <w:t>ARTG</w:t>
      </w:r>
      <w:r w:rsidR="00AC1A6A">
        <w:rPr>
          <w:lang w:eastAsia="ja-JP"/>
        </w:rPr>
        <w:t>)</w:t>
      </w:r>
      <w:r w:rsidR="00CD7E26">
        <w:rPr>
          <w:lang w:eastAsia="ja-JP"/>
        </w:rPr>
        <w:t xml:space="preserve"> for the treatment of advanced RCC.</w:t>
      </w:r>
    </w:p>
    <w:p w:rsidR="00CD7E26" w:rsidRPr="00267B6C" w:rsidRDefault="00CD7E26" w:rsidP="00267B6C">
      <w:pPr>
        <w:pStyle w:val="Tabletitle"/>
      </w:pPr>
      <w:bookmarkStart w:id="29" w:name="_Ref480632385"/>
      <w:bookmarkStart w:id="30" w:name="_Toc494205915"/>
      <w:r w:rsidRPr="00267B6C">
        <w:t>Table</w:t>
      </w:r>
      <w:r w:rsidR="000756FA" w:rsidRPr="00267B6C">
        <w:t xml:space="preserve"> 2</w:t>
      </w:r>
      <w:bookmarkEnd w:id="29"/>
      <w:r w:rsidRPr="00267B6C">
        <w:t>: Products on the ARTG for the Treatment of RCC</w:t>
      </w:r>
      <w:bookmarkEnd w:id="30"/>
    </w:p>
    <w:tbl>
      <w:tblPr>
        <w:tblStyle w:val="TableTGAblue"/>
        <w:tblW w:w="0" w:type="auto"/>
        <w:tblLook w:val="04A0" w:firstRow="1" w:lastRow="0" w:firstColumn="1" w:lastColumn="0" w:noHBand="0" w:noVBand="1"/>
        <w:tblDescription w:val="Table 2: Products on the ARTG for the Treatment of RCC"/>
      </w:tblPr>
      <w:tblGrid>
        <w:gridCol w:w="3080"/>
        <w:gridCol w:w="5675"/>
      </w:tblGrid>
      <w:tr w:rsidR="00CD7E26" w:rsidRPr="00D220CA" w:rsidTr="004428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tcPr>
          <w:p w:rsidR="00CD7E26" w:rsidRPr="00D220CA" w:rsidRDefault="00CD7E26" w:rsidP="00CD7E26">
            <w:pPr>
              <w:rPr>
                <w:sz w:val="20"/>
                <w:szCs w:val="20"/>
                <w:lang w:eastAsia="ja-JP"/>
              </w:rPr>
            </w:pPr>
            <w:r w:rsidRPr="00D220CA">
              <w:rPr>
                <w:sz w:val="20"/>
                <w:szCs w:val="20"/>
                <w:lang w:eastAsia="ja-JP"/>
              </w:rPr>
              <w:t>INN</w:t>
            </w:r>
          </w:p>
        </w:tc>
        <w:tc>
          <w:tcPr>
            <w:tcW w:w="5675" w:type="dxa"/>
          </w:tcPr>
          <w:p w:rsidR="00CD7E26" w:rsidRPr="00D220CA" w:rsidRDefault="00CD7E26" w:rsidP="00CD7E26">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D220CA">
              <w:rPr>
                <w:sz w:val="20"/>
                <w:szCs w:val="20"/>
                <w:lang w:eastAsia="ja-JP"/>
              </w:rPr>
              <w:t>Indication</w:t>
            </w:r>
          </w:p>
        </w:tc>
      </w:tr>
      <w:tr w:rsidR="00CD7E26" w:rsidTr="004428B2">
        <w:tc>
          <w:tcPr>
            <w:cnfStyle w:val="001000000000" w:firstRow="0" w:lastRow="0" w:firstColumn="1" w:lastColumn="0" w:oddVBand="0" w:evenVBand="0" w:oddHBand="0" w:evenHBand="0" w:firstRowFirstColumn="0" w:firstRowLastColumn="0" w:lastRowFirstColumn="0" w:lastRowLastColumn="0"/>
            <w:tcW w:w="3080" w:type="dxa"/>
          </w:tcPr>
          <w:p w:rsidR="00CD7E26" w:rsidRPr="00D220CA" w:rsidRDefault="00CD7E26" w:rsidP="00CD7E26">
            <w:pPr>
              <w:rPr>
                <w:sz w:val="20"/>
                <w:szCs w:val="20"/>
                <w:lang w:eastAsia="ja-JP"/>
              </w:rPr>
            </w:pPr>
            <w:proofErr w:type="spellStart"/>
            <w:r w:rsidRPr="00D220CA">
              <w:rPr>
                <w:sz w:val="20"/>
                <w:szCs w:val="20"/>
                <w:lang w:eastAsia="ja-JP"/>
              </w:rPr>
              <w:t>Axitinib</w:t>
            </w:r>
            <w:proofErr w:type="spellEnd"/>
          </w:p>
        </w:tc>
        <w:tc>
          <w:tcPr>
            <w:tcW w:w="5675" w:type="dxa"/>
          </w:tcPr>
          <w:p w:rsidR="00CD7E26" w:rsidRPr="00D220CA" w:rsidRDefault="00CD7E26" w:rsidP="00CD7E2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220CA">
              <w:rPr>
                <w:sz w:val="20"/>
                <w:szCs w:val="20"/>
                <w:lang w:eastAsia="ja-JP"/>
              </w:rPr>
              <w:t>Treatment of patients with advanced renal cell carcinoma after failure of one prior systemic therapy</w:t>
            </w:r>
          </w:p>
        </w:tc>
      </w:tr>
      <w:tr w:rsidR="00CD7E26" w:rsidTr="004428B2">
        <w:tc>
          <w:tcPr>
            <w:cnfStyle w:val="001000000000" w:firstRow="0" w:lastRow="0" w:firstColumn="1" w:lastColumn="0" w:oddVBand="0" w:evenVBand="0" w:oddHBand="0" w:evenHBand="0" w:firstRowFirstColumn="0" w:firstRowLastColumn="0" w:lastRowFirstColumn="0" w:lastRowLastColumn="0"/>
            <w:tcW w:w="3080" w:type="dxa"/>
          </w:tcPr>
          <w:p w:rsidR="00CD7E26" w:rsidRPr="00D220CA" w:rsidRDefault="00CD7E26" w:rsidP="00CD7E26">
            <w:pPr>
              <w:rPr>
                <w:sz w:val="20"/>
                <w:szCs w:val="20"/>
                <w:lang w:eastAsia="ja-JP"/>
              </w:rPr>
            </w:pPr>
            <w:r w:rsidRPr="00D220CA">
              <w:rPr>
                <w:sz w:val="20"/>
                <w:szCs w:val="20"/>
                <w:lang w:eastAsia="ja-JP"/>
              </w:rPr>
              <w:t>Bevacizumab</w:t>
            </w:r>
          </w:p>
        </w:tc>
        <w:tc>
          <w:tcPr>
            <w:tcW w:w="5675" w:type="dxa"/>
          </w:tcPr>
          <w:p w:rsidR="00CD7E26" w:rsidRPr="00D220CA" w:rsidRDefault="00CD7E26" w:rsidP="00CD7E2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220CA">
              <w:rPr>
                <w:sz w:val="20"/>
                <w:szCs w:val="20"/>
                <w:lang w:eastAsia="ja-JP"/>
              </w:rPr>
              <w:t>in combination with interferon alfa-2a is indicated for treatment of patients with advanced and/or metastatic renal cell cancer</w:t>
            </w:r>
          </w:p>
        </w:tc>
      </w:tr>
      <w:tr w:rsidR="00CD7E26" w:rsidTr="004428B2">
        <w:tc>
          <w:tcPr>
            <w:cnfStyle w:val="001000000000" w:firstRow="0" w:lastRow="0" w:firstColumn="1" w:lastColumn="0" w:oddVBand="0" w:evenVBand="0" w:oddHBand="0" w:evenHBand="0" w:firstRowFirstColumn="0" w:firstRowLastColumn="0" w:lastRowFirstColumn="0" w:lastRowLastColumn="0"/>
            <w:tcW w:w="3080" w:type="dxa"/>
          </w:tcPr>
          <w:p w:rsidR="00CD7E26" w:rsidRPr="00D220CA" w:rsidRDefault="00CD7E26" w:rsidP="00CD7E26">
            <w:pPr>
              <w:rPr>
                <w:sz w:val="20"/>
                <w:szCs w:val="20"/>
                <w:lang w:eastAsia="ja-JP"/>
              </w:rPr>
            </w:pPr>
            <w:proofErr w:type="spellStart"/>
            <w:r w:rsidRPr="00D220CA">
              <w:rPr>
                <w:sz w:val="20"/>
                <w:szCs w:val="20"/>
                <w:lang w:eastAsia="ja-JP"/>
              </w:rPr>
              <w:t>Everolimus</w:t>
            </w:r>
            <w:proofErr w:type="spellEnd"/>
          </w:p>
        </w:tc>
        <w:tc>
          <w:tcPr>
            <w:tcW w:w="5675" w:type="dxa"/>
          </w:tcPr>
          <w:p w:rsidR="00CD7E26" w:rsidRPr="00D220CA" w:rsidRDefault="00CD7E26" w:rsidP="00CD7E2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220CA">
              <w:rPr>
                <w:sz w:val="20"/>
                <w:szCs w:val="20"/>
                <w:lang w:eastAsia="ja-JP"/>
              </w:rPr>
              <w:t xml:space="preserve">Treatment of advanced renal cell carcinoma after failure of treatment with </w:t>
            </w:r>
            <w:proofErr w:type="spellStart"/>
            <w:r w:rsidRPr="00D220CA">
              <w:rPr>
                <w:sz w:val="20"/>
                <w:szCs w:val="20"/>
                <w:lang w:eastAsia="ja-JP"/>
              </w:rPr>
              <w:t>sorafenib</w:t>
            </w:r>
            <w:proofErr w:type="spellEnd"/>
            <w:r w:rsidRPr="00D220CA">
              <w:rPr>
                <w:sz w:val="20"/>
                <w:szCs w:val="20"/>
                <w:lang w:eastAsia="ja-JP"/>
              </w:rPr>
              <w:t xml:space="preserve"> or </w:t>
            </w:r>
            <w:proofErr w:type="spellStart"/>
            <w:r w:rsidRPr="00D220CA">
              <w:rPr>
                <w:sz w:val="20"/>
                <w:szCs w:val="20"/>
                <w:lang w:eastAsia="ja-JP"/>
              </w:rPr>
              <w:t>sunitinib</w:t>
            </w:r>
            <w:proofErr w:type="spellEnd"/>
          </w:p>
        </w:tc>
      </w:tr>
      <w:tr w:rsidR="00CD7E26" w:rsidTr="004428B2">
        <w:tc>
          <w:tcPr>
            <w:cnfStyle w:val="001000000000" w:firstRow="0" w:lastRow="0" w:firstColumn="1" w:lastColumn="0" w:oddVBand="0" w:evenVBand="0" w:oddHBand="0" w:evenHBand="0" w:firstRowFirstColumn="0" w:firstRowLastColumn="0" w:lastRowFirstColumn="0" w:lastRowLastColumn="0"/>
            <w:tcW w:w="3080" w:type="dxa"/>
          </w:tcPr>
          <w:p w:rsidR="00CD7E26" w:rsidRPr="00D220CA" w:rsidRDefault="00CD7E26" w:rsidP="00CD7E26">
            <w:pPr>
              <w:rPr>
                <w:sz w:val="20"/>
                <w:szCs w:val="20"/>
                <w:lang w:eastAsia="ja-JP"/>
              </w:rPr>
            </w:pPr>
            <w:proofErr w:type="spellStart"/>
            <w:r w:rsidRPr="00D220CA">
              <w:rPr>
                <w:sz w:val="20"/>
                <w:szCs w:val="20"/>
                <w:lang w:eastAsia="ja-JP"/>
              </w:rPr>
              <w:t>Nivolumab</w:t>
            </w:r>
            <w:proofErr w:type="spellEnd"/>
          </w:p>
        </w:tc>
        <w:tc>
          <w:tcPr>
            <w:tcW w:w="5675" w:type="dxa"/>
          </w:tcPr>
          <w:p w:rsidR="00CD7E26" w:rsidRPr="00D220CA" w:rsidRDefault="00CD7E26" w:rsidP="00CD7E2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220CA">
              <w:rPr>
                <w:sz w:val="20"/>
                <w:szCs w:val="20"/>
                <w:lang w:eastAsia="ja-JP"/>
              </w:rPr>
              <w:t>Treatment of patients with advanced clear cell renal cell carcinoma after prior anti-angiogenic therapy in adults</w:t>
            </w:r>
          </w:p>
        </w:tc>
      </w:tr>
      <w:tr w:rsidR="00CD7E26" w:rsidTr="004428B2">
        <w:tc>
          <w:tcPr>
            <w:cnfStyle w:val="001000000000" w:firstRow="0" w:lastRow="0" w:firstColumn="1" w:lastColumn="0" w:oddVBand="0" w:evenVBand="0" w:oddHBand="0" w:evenHBand="0" w:firstRowFirstColumn="0" w:firstRowLastColumn="0" w:lastRowFirstColumn="0" w:lastRowLastColumn="0"/>
            <w:tcW w:w="3080" w:type="dxa"/>
          </w:tcPr>
          <w:p w:rsidR="00CD7E26" w:rsidRPr="00D220CA" w:rsidRDefault="00CD7E26" w:rsidP="00CD7E26">
            <w:pPr>
              <w:rPr>
                <w:sz w:val="20"/>
                <w:szCs w:val="20"/>
                <w:lang w:eastAsia="ja-JP"/>
              </w:rPr>
            </w:pPr>
            <w:proofErr w:type="spellStart"/>
            <w:r w:rsidRPr="00D220CA">
              <w:rPr>
                <w:sz w:val="20"/>
                <w:szCs w:val="20"/>
                <w:lang w:eastAsia="ja-JP"/>
              </w:rPr>
              <w:t>Pazopanib</w:t>
            </w:r>
            <w:proofErr w:type="spellEnd"/>
          </w:p>
        </w:tc>
        <w:tc>
          <w:tcPr>
            <w:tcW w:w="5675" w:type="dxa"/>
          </w:tcPr>
          <w:p w:rsidR="00CD7E26" w:rsidRPr="00D220CA" w:rsidRDefault="00CD7E26" w:rsidP="00CD7E2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220CA">
              <w:rPr>
                <w:sz w:val="20"/>
                <w:szCs w:val="20"/>
                <w:lang w:eastAsia="ja-JP"/>
              </w:rPr>
              <w:t>Treatment of advanced and/or metastatic renal cell carcinoma</w:t>
            </w:r>
          </w:p>
        </w:tc>
      </w:tr>
      <w:tr w:rsidR="00CD7E26" w:rsidTr="004428B2">
        <w:tc>
          <w:tcPr>
            <w:cnfStyle w:val="001000000000" w:firstRow="0" w:lastRow="0" w:firstColumn="1" w:lastColumn="0" w:oddVBand="0" w:evenVBand="0" w:oddHBand="0" w:evenHBand="0" w:firstRowFirstColumn="0" w:firstRowLastColumn="0" w:lastRowFirstColumn="0" w:lastRowLastColumn="0"/>
            <w:tcW w:w="3080" w:type="dxa"/>
          </w:tcPr>
          <w:p w:rsidR="00CD7E26" w:rsidRPr="00D220CA" w:rsidRDefault="00CD7E26" w:rsidP="00CD7E26">
            <w:pPr>
              <w:rPr>
                <w:sz w:val="20"/>
                <w:szCs w:val="20"/>
                <w:lang w:eastAsia="ja-JP"/>
              </w:rPr>
            </w:pPr>
            <w:proofErr w:type="spellStart"/>
            <w:r w:rsidRPr="00D220CA">
              <w:rPr>
                <w:sz w:val="20"/>
                <w:szCs w:val="20"/>
                <w:lang w:eastAsia="ja-JP"/>
              </w:rPr>
              <w:t>Sorafenib</w:t>
            </w:r>
            <w:proofErr w:type="spellEnd"/>
          </w:p>
        </w:tc>
        <w:tc>
          <w:tcPr>
            <w:tcW w:w="5675" w:type="dxa"/>
          </w:tcPr>
          <w:p w:rsidR="00CD7E26" w:rsidRPr="00D220CA" w:rsidRDefault="00CD7E26" w:rsidP="00CD7E2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220CA">
              <w:rPr>
                <w:sz w:val="20"/>
                <w:szCs w:val="20"/>
                <w:lang w:eastAsia="ja-JP"/>
              </w:rPr>
              <w:t>Treatment of patients with advanced renal cell carcinoma</w:t>
            </w:r>
          </w:p>
        </w:tc>
      </w:tr>
      <w:tr w:rsidR="00CD7E26" w:rsidTr="004428B2">
        <w:tc>
          <w:tcPr>
            <w:cnfStyle w:val="001000000000" w:firstRow="0" w:lastRow="0" w:firstColumn="1" w:lastColumn="0" w:oddVBand="0" w:evenVBand="0" w:oddHBand="0" w:evenHBand="0" w:firstRowFirstColumn="0" w:firstRowLastColumn="0" w:lastRowFirstColumn="0" w:lastRowLastColumn="0"/>
            <w:tcW w:w="3080" w:type="dxa"/>
          </w:tcPr>
          <w:p w:rsidR="00CD7E26" w:rsidRPr="00D220CA" w:rsidRDefault="00CD7E26" w:rsidP="00CD7E26">
            <w:pPr>
              <w:rPr>
                <w:sz w:val="20"/>
                <w:szCs w:val="20"/>
                <w:lang w:eastAsia="ja-JP"/>
              </w:rPr>
            </w:pPr>
            <w:proofErr w:type="spellStart"/>
            <w:r w:rsidRPr="00D220CA">
              <w:rPr>
                <w:sz w:val="20"/>
                <w:szCs w:val="20"/>
                <w:lang w:eastAsia="ja-JP"/>
              </w:rPr>
              <w:t>Sunitinib</w:t>
            </w:r>
            <w:proofErr w:type="spellEnd"/>
          </w:p>
        </w:tc>
        <w:tc>
          <w:tcPr>
            <w:tcW w:w="5675" w:type="dxa"/>
          </w:tcPr>
          <w:p w:rsidR="00CD7E26" w:rsidRPr="00D220CA" w:rsidRDefault="00CD7E26" w:rsidP="00CD7E2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D220CA">
              <w:rPr>
                <w:sz w:val="20"/>
                <w:szCs w:val="20"/>
                <w:lang w:eastAsia="ja-JP"/>
              </w:rPr>
              <w:t>Treatment of advanced renal cell carcinoma.</w:t>
            </w:r>
          </w:p>
        </w:tc>
      </w:tr>
    </w:tbl>
    <w:p w:rsidR="00CD7E26" w:rsidRDefault="00CD7E26" w:rsidP="00CD7E26">
      <w:pPr>
        <w:pStyle w:val="Heading3"/>
        <w:numPr>
          <w:ilvl w:val="1"/>
          <w:numId w:val="29"/>
        </w:numPr>
        <w:ind w:left="907" w:hanging="794"/>
      </w:pPr>
      <w:bookmarkStart w:id="31" w:name="_Toc520879780"/>
      <w:bookmarkStart w:id="32" w:name="_Toc531776226"/>
      <w:r>
        <w:t>Clinical rationale</w:t>
      </w:r>
      <w:bookmarkEnd w:id="31"/>
      <w:bookmarkEnd w:id="32"/>
    </w:p>
    <w:p w:rsidR="00CD7E26" w:rsidRDefault="00CD7E26" w:rsidP="00CD7E26">
      <w:pPr>
        <w:rPr>
          <w:lang w:eastAsia="ja-JP"/>
        </w:rPr>
      </w:pPr>
      <w:r>
        <w:rPr>
          <w:lang w:eastAsia="ja-JP"/>
        </w:rPr>
        <w:t>The clinical rationale for development is not summarised in the sponsor’s Clinical overview. The sponsor states in their covering letter that there remains an unmet medical need for new treatments for advanced RCC that show benefit in terms of progression free survival (PFS) and/or overall survival (OS) beyond that of existing therapies.</w:t>
      </w:r>
    </w:p>
    <w:p w:rsidR="00CD7E26" w:rsidRDefault="00CD7E26" w:rsidP="00CD7E26">
      <w:pPr>
        <w:pStyle w:val="Heading3"/>
        <w:numPr>
          <w:ilvl w:val="1"/>
          <w:numId w:val="29"/>
        </w:numPr>
        <w:ind w:left="907" w:hanging="794"/>
      </w:pPr>
      <w:bookmarkStart w:id="33" w:name="_Toc520879781"/>
      <w:bookmarkStart w:id="34" w:name="_Toc531776227"/>
      <w:r>
        <w:t>Formulation</w:t>
      </w:r>
      <w:bookmarkEnd w:id="33"/>
      <w:bookmarkEnd w:id="34"/>
    </w:p>
    <w:p w:rsidR="00CD7E26" w:rsidRDefault="00CD7E26" w:rsidP="00CD7E26">
      <w:pPr>
        <w:pStyle w:val="Heading4"/>
        <w:numPr>
          <w:ilvl w:val="2"/>
          <w:numId w:val="29"/>
        </w:numPr>
      </w:pPr>
      <w:r>
        <w:t>Formulation development</w:t>
      </w:r>
    </w:p>
    <w:p w:rsidR="00CD7E26" w:rsidRPr="00694BD9" w:rsidRDefault="00CD7E26" w:rsidP="00CD7E26">
      <w:r w:rsidRPr="00694BD9">
        <w:t>The proposed commercia</w:t>
      </w:r>
      <w:r>
        <w:t xml:space="preserve">l formulation for </w:t>
      </w:r>
      <w:proofErr w:type="spellStart"/>
      <w:r>
        <w:t>cabozantinib</w:t>
      </w:r>
      <w:proofErr w:type="spellEnd"/>
      <w:r>
        <w:t xml:space="preserve"> d</w:t>
      </w:r>
      <w:r w:rsidRPr="00694BD9">
        <w:t xml:space="preserve">rug </w:t>
      </w:r>
      <w:r>
        <w:t>p</w:t>
      </w:r>
      <w:r w:rsidRPr="00694BD9">
        <w:t>roduct is an immediate release</w:t>
      </w:r>
      <w:r>
        <w:t xml:space="preserve"> </w:t>
      </w:r>
      <w:r w:rsidRPr="00694BD9">
        <w:t>tablet for oral administration.</w:t>
      </w:r>
      <w:r>
        <w:t xml:space="preserve"> </w:t>
      </w:r>
      <w:r w:rsidRPr="00694BD9">
        <w:t xml:space="preserve">The three commercial strengths of </w:t>
      </w:r>
      <w:proofErr w:type="spellStart"/>
      <w:r w:rsidRPr="00694BD9">
        <w:t>cabozantinib</w:t>
      </w:r>
      <w:proofErr w:type="spellEnd"/>
      <w:r w:rsidRPr="00694BD9">
        <w:t xml:space="preserve"> tablets</w:t>
      </w:r>
      <w:r>
        <w:t xml:space="preserve"> </w:t>
      </w:r>
      <w:r w:rsidRPr="00694BD9">
        <w:t>proposed for commercialization will be 20 mg, 40 mg and 60 mg (expressed as freebase</w:t>
      </w:r>
      <w:r>
        <w:t xml:space="preserve"> </w:t>
      </w:r>
      <w:r w:rsidRPr="00694BD9">
        <w:t>equivalent weight).</w:t>
      </w:r>
    </w:p>
    <w:p w:rsidR="00CD7E26" w:rsidRDefault="00CD7E26" w:rsidP="00CD7E26">
      <w:proofErr w:type="spellStart"/>
      <w:r w:rsidRPr="00694BD9">
        <w:t>Cabozantinib</w:t>
      </w:r>
      <w:proofErr w:type="spellEnd"/>
      <w:r w:rsidRPr="00694BD9">
        <w:t xml:space="preserve"> drug product was initially provided as a powder-in-bottle oral suspension</w:t>
      </w:r>
      <w:r>
        <w:t xml:space="preserve"> </w:t>
      </w:r>
      <w:r w:rsidRPr="00694BD9">
        <w:t xml:space="preserve">formulation for initiation of the Phase </w:t>
      </w:r>
      <w:r>
        <w:t>I</w:t>
      </w:r>
      <w:r w:rsidRPr="00694BD9">
        <w:t xml:space="preserve"> XL184-001 study. A capsule formulation was later</w:t>
      </w:r>
      <w:r>
        <w:t xml:space="preserve"> </w:t>
      </w:r>
      <w:r w:rsidRPr="00694BD9">
        <w:lastRenderedPageBreak/>
        <w:t xml:space="preserve">developed and used in Phase 2 studies, a </w:t>
      </w:r>
      <w:r>
        <w:t>Phase III</w:t>
      </w:r>
      <w:r w:rsidRPr="00694BD9">
        <w:t xml:space="preserve"> study in medullary thyroid cancer, and</w:t>
      </w:r>
      <w:r>
        <w:t xml:space="preserve"> </w:t>
      </w:r>
      <w:r w:rsidRPr="00694BD9">
        <w:t xml:space="preserve">various clinical pharmacology studies. Subsequently, </w:t>
      </w:r>
      <w:proofErr w:type="spellStart"/>
      <w:r w:rsidRPr="00694BD9">
        <w:t>cabozantinib</w:t>
      </w:r>
      <w:proofErr w:type="spellEnd"/>
      <w:r w:rsidRPr="00694BD9">
        <w:t xml:space="preserve"> capsules (20 mg and</w:t>
      </w:r>
      <w:r>
        <w:t xml:space="preserve"> </w:t>
      </w:r>
      <w:r w:rsidRPr="00694BD9">
        <w:t>80 mg) (</w:t>
      </w:r>
      <w:proofErr w:type="spellStart"/>
      <w:r w:rsidRPr="00694BD9">
        <w:t>Cometriq</w:t>
      </w:r>
      <w:proofErr w:type="spellEnd"/>
      <w:r w:rsidRPr="00694BD9">
        <w:t>) were approved and commercialized for treatment of advanced</w:t>
      </w:r>
      <w:r>
        <w:t xml:space="preserve"> </w:t>
      </w:r>
      <w:r w:rsidRPr="00694BD9">
        <w:t>medullary thyroid cancer. A more desirable formulation (tablet) was later developed and has</w:t>
      </w:r>
      <w:r>
        <w:t xml:space="preserve"> </w:t>
      </w:r>
      <w:r w:rsidRPr="00694BD9">
        <w:t xml:space="preserve">been used in the other </w:t>
      </w:r>
      <w:r>
        <w:t>Phase III</w:t>
      </w:r>
      <w:r w:rsidRPr="00694BD9">
        <w:t xml:space="preserve"> efficacy and/or safety studies, including Study XL184-308.</w:t>
      </w:r>
      <w:r>
        <w:t xml:space="preserve"> </w:t>
      </w:r>
      <w:r w:rsidRPr="00694BD9">
        <w:t>Furthermore, the tablet formulation allows each dose to be administered as single tablet</w:t>
      </w:r>
      <w:r>
        <w:t xml:space="preserve"> </w:t>
      </w:r>
      <w:r w:rsidRPr="00694BD9">
        <w:t>strength.</w:t>
      </w:r>
    </w:p>
    <w:p w:rsidR="00CD7E26" w:rsidRDefault="00CD7E26" w:rsidP="00CD7E26">
      <w:pPr>
        <w:pStyle w:val="Heading3"/>
        <w:numPr>
          <w:ilvl w:val="1"/>
          <w:numId w:val="29"/>
        </w:numPr>
        <w:ind w:left="907" w:hanging="794"/>
      </w:pPr>
      <w:bookmarkStart w:id="35" w:name="_Toc520879782"/>
      <w:bookmarkStart w:id="36" w:name="_Toc531776228"/>
      <w:r>
        <w:t>Guidance</w:t>
      </w:r>
      <w:bookmarkEnd w:id="35"/>
      <w:bookmarkEnd w:id="36"/>
    </w:p>
    <w:p w:rsidR="00CD7E26" w:rsidRDefault="00CD7E26" w:rsidP="00CD7E26">
      <w:pPr>
        <w:rPr>
          <w:lang w:eastAsia="ja-JP"/>
        </w:rPr>
      </w:pPr>
      <w:r>
        <w:rPr>
          <w:lang w:eastAsia="ja-JP"/>
        </w:rPr>
        <w:t>No guidance was sought from the TGA.</w:t>
      </w:r>
    </w:p>
    <w:p w:rsidR="00CD7E26" w:rsidRDefault="00CD7E26" w:rsidP="00CD7E26">
      <w:pPr>
        <w:pStyle w:val="Heading3"/>
        <w:numPr>
          <w:ilvl w:val="1"/>
          <w:numId w:val="29"/>
        </w:numPr>
        <w:ind w:left="907" w:hanging="794"/>
      </w:pPr>
      <w:bookmarkStart w:id="37" w:name="_Toc520879783"/>
      <w:bookmarkStart w:id="38" w:name="_Toc531776229"/>
      <w:r>
        <w:t>Evaluator’s commentary on the background information</w:t>
      </w:r>
      <w:bookmarkEnd w:id="37"/>
      <w:bookmarkEnd w:id="38"/>
    </w:p>
    <w:p w:rsidR="00CD7E26" w:rsidRDefault="00CD7E26" w:rsidP="00CD7E26">
      <w:pPr>
        <w:rPr>
          <w:lang w:eastAsia="ja-JP"/>
        </w:rPr>
      </w:pPr>
      <w:r>
        <w:rPr>
          <w:lang w:eastAsia="ja-JP"/>
        </w:rPr>
        <w:t>The background information is acceptable and there are no concerns. Importantly, the formulation of the product used in later development is the same as that intended to be marketed.</w:t>
      </w:r>
    </w:p>
    <w:p w:rsidR="00CD7E26" w:rsidRDefault="00CD7E26" w:rsidP="00CD7E26">
      <w:pPr>
        <w:pStyle w:val="Heading2"/>
        <w:numPr>
          <w:ilvl w:val="0"/>
          <w:numId w:val="29"/>
        </w:numPr>
        <w:rPr>
          <w:lang w:eastAsia="en-AU"/>
        </w:rPr>
      </w:pPr>
      <w:bookmarkStart w:id="39" w:name="_Toc520879784"/>
      <w:bookmarkStart w:id="40" w:name="_Toc531776230"/>
      <w:r>
        <w:rPr>
          <w:lang w:eastAsia="en-AU"/>
        </w:rPr>
        <w:t>Contents of the clinical dossier</w:t>
      </w:r>
      <w:bookmarkEnd w:id="10"/>
      <w:bookmarkEnd w:id="11"/>
      <w:bookmarkEnd w:id="39"/>
      <w:bookmarkEnd w:id="40"/>
    </w:p>
    <w:p w:rsidR="00CD7E26" w:rsidRDefault="00CD7E26" w:rsidP="00CD7E26">
      <w:pPr>
        <w:pStyle w:val="Heading3"/>
        <w:numPr>
          <w:ilvl w:val="1"/>
          <w:numId w:val="29"/>
        </w:numPr>
        <w:ind w:left="907" w:hanging="794"/>
      </w:pPr>
      <w:bookmarkStart w:id="41" w:name="_Toc520879785"/>
      <w:bookmarkStart w:id="42" w:name="_Toc531776231"/>
      <w:r>
        <w:t>Scope of the clinical dossier</w:t>
      </w:r>
      <w:bookmarkEnd w:id="41"/>
      <w:bookmarkEnd w:id="42"/>
    </w:p>
    <w:p w:rsidR="00CD7E26" w:rsidRDefault="00CD7E26" w:rsidP="00CD7E26">
      <w:pPr>
        <w:rPr>
          <w:lang w:eastAsia="ja-JP"/>
        </w:rPr>
      </w:pPr>
      <w:r>
        <w:rPr>
          <w:lang w:eastAsia="ja-JP"/>
        </w:rPr>
        <w:t>The dossier includes a full clinical development program of pharmacology, efficacy and safety studies.</w:t>
      </w:r>
    </w:p>
    <w:p w:rsidR="00CD7E26" w:rsidRDefault="00CD7E26" w:rsidP="00CD7E26">
      <w:pPr>
        <w:rPr>
          <w:lang w:eastAsia="ja-JP"/>
        </w:rPr>
      </w:pPr>
      <w:r>
        <w:rPr>
          <w:lang w:eastAsia="ja-JP"/>
        </w:rPr>
        <w:t>Ten clinical pharmacology studies providing pharmacokinetic and safety pharmacology data were submitted. A single population safety analysis and one pivotal efficacy safety study. Also included are two studies that are evaluable for safety only.</w:t>
      </w:r>
    </w:p>
    <w:p w:rsidR="00CD7E26" w:rsidRDefault="00CD7E26" w:rsidP="00CD7E26">
      <w:pPr>
        <w:pStyle w:val="Heading3"/>
        <w:numPr>
          <w:ilvl w:val="1"/>
          <w:numId w:val="29"/>
        </w:numPr>
        <w:ind w:left="907" w:hanging="794"/>
      </w:pPr>
      <w:bookmarkStart w:id="43" w:name="_Toc520879786"/>
      <w:bookmarkStart w:id="44" w:name="_Toc531776232"/>
      <w:r>
        <w:t>Paediatric data</w:t>
      </w:r>
      <w:bookmarkEnd w:id="43"/>
      <w:bookmarkEnd w:id="44"/>
    </w:p>
    <w:p w:rsidR="00CD7E26" w:rsidRDefault="00CD7E26" w:rsidP="00CD7E26">
      <w:pPr>
        <w:rPr>
          <w:lang w:eastAsia="ja-JP"/>
        </w:rPr>
      </w:pPr>
      <w:r>
        <w:rPr>
          <w:lang w:eastAsia="ja-JP"/>
        </w:rPr>
        <w:t>No paediatric data has been submitted this is acceptable given the proposed indication.</w:t>
      </w:r>
    </w:p>
    <w:p w:rsidR="00CD7E26" w:rsidRDefault="00CD7E26" w:rsidP="00CD7E26">
      <w:pPr>
        <w:pStyle w:val="Heading3"/>
        <w:numPr>
          <w:ilvl w:val="1"/>
          <w:numId w:val="29"/>
        </w:numPr>
        <w:ind w:left="907" w:hanging="794"/>
      </w:pPr>
      <w:bookmarkStart w:id="45" w:name="_Toc520879787"/>
      <w:bookmarkStart w:id="46" w:name="_Toc531776233"/>
      <w:r>
        <w:t>Good clinical practice</w:t>
      </w:r>
      <w:bookmarkEnd w:id="45"/>
      <w:bookmarkEnd w:id="46"/>
    </w:p>
    <w:p w:rsidR="00CD7E26" w:rsidRDefault="00CD7E26" w:rsidP="00CD7E26">
      <w:pPr>
        <w:rPr>
          <w:lang w:eastAsia="ja-JP"/>
        </w:rPr>
      </w:pPr>
      <w:r>
        <w:rPr>
          <w:lang w:eastAsia="ja-JP"/>
        </w:rPr>
        <w:t>The sponsor has provided a statement that the studies complied with ICH guidelines for GCP.</w:t>
      </w:r>
    </w:p>
    <w:p w:rsidR="00CD7E26" w:rsidRPr="009A141C" w:rsidRDefault="00CD7E26" w:rsidP="00CD7E26">
      <w:pPr>
        <w:pStyle w:val="Heading3"/>
        <w:numPr>
          <w:ilvl w:val="1"/>
          <w:numId w:val="29"/>
        </w:numPr>
        <w:ind w:left="907" w:hanging="794"/>
      </w:pPr>
      <w:bookmarkStart w:id="47" w:name="_Toc520879788"/>
      <w:bookmarkStart w:id="48" w:name="_Toc355338639"/>
      <w:bookmarkStart w:id="49" w:name="_Toc531776234"/>
      <w:r>
        <w:t>Evaluator’s commentary on the clinical dossier</w:t>
      </w:r>
      <w:bookmarkEnd w:id="47"/>
      <w:bookmarkEnd w:id="49"/>
    </w:p>
    <w:p w:rsidR="00CD7E26" w:rsidRDefault="00CD7E26" w:rsidP="00CD7E26">
      <w:pPr>
        <w:rPr>
          <w:lang w:eastAsia="ja-JP"/>
        </w:rPr>
      </w:pPr>
      <w:r>
        <w:rPr>
          <w:lang w:eastAsia="ja-JP"/>
        </w:rPr>
        <w:t>The submission is adequately presented. There are limited data about pharmacodynamics in clinical studies, but given the proposed mechanism of action and what is known about TKIs this is acceptable.</w:t>
      </w:r>
    </w:p>
    <w:p w:rsidR="00CD7E26" w:rsidRDefault="00CD7E26" w:rsidP="00CD7E26">
      <w:pPr>
        <w:pStyle w:val="Heading2"/>
        <w:numPr>
          <w:ilvl w:val="0"/>
          <w:numId w:val="29"/>
        </w:numPr>
      </w:pPr>
      <w:bookmarkStart w:id="50" w:name="_Toc520879789"/>
      <w:bookmarkStart w:id="51" w:name="_Toc531776235"/>
      <w:r>
        <w:t>Pharmacokinetics</w:t>
      </w:r>
      <w:bookmarkEnd w:id="48"/>
      <w:bookmarkEnd w:id="50"/>
      <w:bookmarkEnd w:id="51"/>
    </w:p>
    <w:p w:rsidR="00CD7E26" w:rsidRPr="009A141C" w:rsidRDefault="00CD7E26" w:rsidP="00CD7E26">
      <w:pPr>
        <w:pStyle w:val="Heading3"/>
        <w:numPr>
          <w:ilvl w:val="1"/>
          <w:numId w:val="29"/>
        </w:numPr>
        <w:ind w:left="907" w:hanging="794"/>
      </w:pPr>
      <w:bookmarkStart w:id="52" w:name="_Toc520879790"/>
      <w:bookmarkStart w:id="53" w:name="_Toc531776236"/>
      <w:r>
        <w:t>Studies providing pharmacokinetic information</w:t>
      </w:r>
      <w:bookmarkEnd w:id="52"/>
      <w:bookmarkEnd w:id="53"/>
    </w:p>
    <w:p w:rsidR="00CD7E26" w:rsidRPr="00267B6C" w:rsidRDefault="000756FA" w:rsidP="00267B6C">
      <w:pPr>
        <w:pStyle w:val="Tabletitle"/>
      </w:pPr>
      <w:bookmarkStart w:id="54" w:name="_Ref479929263"/>
      <w:bookmarkStart w:id="55" w:name="_Toc494205917"/>
      <w:r w:rsidRPr="00267B6C">
        <w:t>Table 3</w:t>
      </w:r>
      <w:r w:rsidR="00CD7E26" w:rsidRPr="00267B6C">
        <w:t>:</w:t>
      </w:r>
      <w:bookmarkEnd w:id="54"/>
      <w:r w:rsidR="00CD7E26" w:rsidRPr="00267B6C">
        <w:t xml:space="preserve"> Submitted pharmacokinetic studies</w:t>
      </w:r>
      <w:bookmarkEnd w:id="55"/>
    </w:p>
    <w:tbl>
      <w:tblPr>
        <w:tblStyle w:val="TableTGAblue"/>
        <w:tblW w:w="9039" w:type="dxa"/>
        <w:tblLayout w:type="fixed"/>
        <w:tblLook w:val="04A0" w:firstRow="1" w:lastRow="0" w:firstColumn="1" w:lastColumn="0" w:noHBand="0" w:noVBand="1"/>
        <w:tblDescription w:val="Table 3: Submitted pharmacokinetic studies"/>
      </w:tblPr>
      <w:tblGrid>
        <w:gridCol w:w="1951"/>
        <w:gridCol w:w="3969"/>
        <w:gridCol w:w="2410"/>
        <w:gridCol w:w="709"/>
      </w:tblGrid>
      <w:tr w:rsidR="00CD7E26" w:rsidRPr="002436D3" w:rsidTr="004428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CD7E26" w:rsidRPr="002436D3" w:rsidRDefault="00CD7E26" w:rsidP="00B572CC">
            <w:pPr>
              <w:rPr>
                <w:b w:val="0"/>
              </w:rPr>
            </w:pPr>
            <w:r w:rsidRPr="002436D3">
              <w:t>PK topic</w:t>
            </w:r>
          </w:p>
        </w:tc>
        <w:tc>
          <w:tcPr>
            <w:tcW w:w="3969" w:type="dxa"/>
          </w:tcPr>
          <w:p w:rsidR="00CD7E26" w:rsidRPr="002436D3" w:rsidRDefault="00CD7E26" w:rsidP="00B572CC">
            <w:pPr>
              <w:cnfStyle w:val="100000000000" w:firstRow="1" w:lastRow="0" w:firstColumn="0" w:lastColumn="0" w:oddVBand="0" w:evenVBand="0" w:oddHBand="0" w:evenHBand="0" w:firstRowFirstColumn="0" w:firstRowLastColumn="0" w:lastRowFirstColumn="0" w:lastRowLastColumn="0"/>
              <w:rPr>
                <w:b w:val="0"/>
              </w:rPr>
            </w:pPr>
            <w:r w:rsidRPr="002436D3">
              <w:t>Subtopic</w:t>
            </w:r>
          </w:p>
        </w:tc>
        <w:tc>
          <w:tcPr>
            <w:tcW w:w="2410" w:type="dxa"/>
          </w:tcPr>
          <w:p w:rsidR="00CD7E26" w:rsidRPr="002436D3" w:rsidRDefault="00CD7E26" w:rsidP="00B572CC">
            <w:pPr>
              <w:cnfStyle w:val="100000000000" w:firstRow="1" w:lastRow="0" w:firstColumn="0" w:lastColumn="0" w:oddVBand="0" w:evenVBand="0" w:oddHBand="0" w:evenHBand="0" w:firstRowFirstColumn="0" w:firstRowLastColumn="0" w:lastRowFirstColumn="0" w:lastRowLastColumn="0"/>
              <w:rPr>
                <w:b w:val="0"/>
              </w:rPr>
            </w:pPr>
            <w:r w:rsidRPr="002436D3">
              <w:t>Study ID</w:t>
            </w:r>
          </w:p>
        </w:tc>
        <w:tc>
          <w:tcPr>
            <w:tcW w:w="709" w:type="dxa"/>
          </w:tcPr>
          <w:p w:rsidR="00CD7E26" w:rsidRPr="002436D3" w:rsidRDefault="00CD7E26" w:rsidP="00B572CC">
            <w:pPr>
              <w:cnfStyle w:val="100000000000" w:firstRow="1" w:lastRow="0" w:firstColumn="0" w:lastColumn="0" w:oddVBand="0" w:evenVBand="0" w:oddHBand="0" w:evenHBand="0" w:firstRowFirstColumn="0" w:firstRowLastColumn="0" w:lastRowFirstColumn="0" w:lastRowLastColumn="0"/>
              <w:rPr>
                <w:b w:val="0"/>
              </w:rPr>
            </w:pPr>
            <w:r w:rsidRPr="002436D3">
              <w:t>*</w:t>
            </w:r>
          </w:p>
        </w:tc>
      </w:tr>
      <w:tr w:rsidR="00267B6C" w:rsidRPr="002436D3" w:rsidTr="004428B2">
        <w:tc>
          <w:tcPr>
            <w:cnfStyle w:val="001000000000" w:firstRow="0" w:lastRow="0" w:firstColumn="1" w:lastColumn="0" w:oddVBand="0" w:evenVBand="0" w:oddHBand="0" w:evenHBand="0" w:firstRowFirstColumn="0" w:firstRowLastColumn="0" w:lastRowFirstColumn="0" w:lastRowLastColumn="0"/>
            <w:tcW w:w="1951" w:type="dxa"/>
            <w:vMerge w:val="restart"/>
          </w:tcPr>
          <w:p w:rsidR="00267B6C" w:rsidRPr="002436D3" w:rsidRDefault="00267B6C" w:rsidP="00B572CC">
            <w:r w:rsidRPr="002436D3">
              <w:lastRenderedPageBreak/>
              <w:t>PK in healthy adults</w:t>
            </w:r>
          </w:p>
        </w:tc>
        <w:tc>
          <w:tcPr>
            <w:tcW w:w="3969" w:type="dxa"/>
          </w:tcPr>
          <w:p w:rsidR="00267B6C" w:rsidRPr="002436D3" w:rsidRDefault="00267B6C" w:rsidP="00B572CC">
            <w:pPr>
              <w:cnfStyle w:val="000000000000" w:firstRow="0" w:lastRow="0" w:firstColumn="0" w:lastColumn="0" w:oddVBand="0" w:evenVBand="0" w:oddHBand="0" w:evenHBand="0" w:firstRowFirstColumn="0" w:firstRowLastColumn="0" w:lastRowFirstColumn="0" w:lastRowLastColumn="0"/>
            </w:pPr>
            <w:r w:rsidRPr="002436D3">
              <w:t>General PK</w:t>
            </w:r>
            <w:r>
              <w:t xml:space="preserve"> </w:t>
            </w:r>
            <w:r w:rsidRPr="002436D3">
              <w:t>- Single dose</w:t>
            </w:r>
          </w:p>
        </w:tc>
        <w:tc>
          <w:tcPr>
            <w:tcW w:w="2410" w:type="dxa"/>
          </w:tcPr>
          <w:p w:rsidR="00267B6C" w:rsidRPr="002436D3" w:rsidRDefault="00267B6C" w:rsidP="00B572CC">
            <w:pPr>
              <w:cnfStyle w:val="000000000000" w:firstRow="0" w:lastRow="0" w:firstColumn="0" w:lastColumn="0" w:oddVBand="0" w:evenVBand="0" w:oddHBand="0" w:evenHBand="0" w:firstRowFirstColumn="0" w:firstRowLastColumn="0" w:lastRowFirstColumn="0" w:lastRowLastColumn="0"/>
            </w:pPr>
            <w:r w:rsidRPr="002436D3">
              <w:t>XL-184-020</w:t>
            </w:r>
          </w:p>
        </w:tc>
        <w:tc>
          <w:tcPr>
            <w:tcW w:w="709" w:type="dxa"/>
          </w:tcPr>
          <w:p w:rsidR="00267B6C" w:rsidRPr="002436D3" w:rsidRDefault="00267B6C" w:rsidP="00B572CC">
            <w:pPr>
              <w:cnfStyle w:val="000000000000" w:firstRow="0" w:lastRow="0" w:firstColumn="0" w:lastColumn="0" w:oddVBand="0" w:evenVBand="0" w:oddHBand="0" w:evenHBand="0" w:firstRowFirstColumn="0" w:firstRowLastColumn="0" w:lastRowFirstColumn="0" w:lastRowLastColumn="0"/>
            </w:pPr>
          </w:p>
        </w:tc>
      </w:tr>
      <w:tr w:rsidR="00267B6C" w:rsidRPr="002436D3" w:rsidTr="004428B2">
        <w:tc>
          <w:tcPr>
            <w:cnfStyle w:val="001000000000" w:firstRow="0" w:lastRow="0" w:firstColumn="1" w:lastColumn="0" w:oddVBand="0" w:evenVBand="0" w:oddHBand="0" w:evenHBand="0" w:firstRowFirstColumn="0" w:firstRowLastColumn="0" w:lastRowFirstColumn="0" w:lastRowLastColumn="0"/>
            <w:tcW w:w="1951" w:type="dxa"/>
            <w:vMerge/>
          </w:tcPr>
          <w:p w:rsidR="00267B6C" w:rsidRPr="002436D3" w:rsidRDefault="00267B6C" w:rsidP="00B572CC"/>
        </w:tc>
        <w:tc>
          <w:tcPr>
            <w:tcW w:w="3969" w:type="dxa"/>
          </w:tcPr>
          <w:p w:rsidR="00267B6C" w:rsidRPr="002436D3" w:rsidRDefault="00267B6C" w:rsidP="00B572CC">
            <w:pPr>
              <w:cnfStyle w:val="000000000000" w:firstRow="0" w:lastRow="0" w:firstColumn="0" w:lastColumn="0" w:oddVBand="0" w:evenVBand="0" w:oddHBand="0" w:evenHBand="0" w:firstRowFirstColumn="0" w:firstRowLastColumn="0" w:lastRowFirstColumn="0" w:lastRowLastColumn="0"/>
            </w:pPr>
            <w:r w:rsidRPr="002436D3">
              <w:tab/>
              <w:t>Mass Balance</w:t>
            </w:r>
          </w:p>
        </w:tc>
        <w:tc>
          <w:tcPr>
            <w:tcW w:w="2410" w:type="dxa"/>
          </w:tcPr>
          <w:p w:rsidR="00267B6C" w:rsidRPr="002436D3" w:rsidRDefault="00267B6C" w:rsidP="00B572CC">
            <w:pPr>
              <w:cnfStyle w:val="000000000000" w:firstRow="0" w:lastRow="0" w:firstColumn="0" w:lastColumn="0" w:oddVBand="0" w:evenVBand="0" w:oddHBand="0" w:evenHBand="0" w:firstRowFirstColumn="0" w:firstRowLastColumn="0" w:lastRowFirstColumn="0" w:lastRowLastColumn="0"/>
            </w:pPr>
            <w:r w:rsidRPr="002436D3">
              <w:t>XL184-012</w:t>
            </w:r>
          </w:p>
        </w:tc>
        <w:tc>
          <w:tcPr>
            <w:tcW w:w="709" w:type="dxa"/>
          </w:tcPr>
          <w:p w:rsidR="00267B6C" w:rsidRPr="002436D3" w:rsidRDefault="00267B6C" w:rsidP="00B572CC">
            <w:pPr>
              <w:cnfStyle w:val="000000000000" w:firstRow="0" w:lastRow="0" w:firstColumn="0" w:lastColumn="0" w:oddVBand="0" w:evenVBand="0" w:oddHBand="0" w:evenHBand="0" w:firstRowFirstColumn="0" w:firstRowLastColumn="0" w:lastRowFirstColumn="0" w:lastRowLastColumn="0"/>
            </w:pPr>
          </w:p>
        </w:tc>
      </w:tr>
      <w:tr w:rsidR="00267B6C" w:rsidRPr="002436D3" w:rsidTr="004428B2">
        <w:tc>
          <w:tcPr>
            <w:cnfStyle w:val="001000000000" w:firstRow="0" w:lastRow="0" w:firstColumn="1" w:lastColumn="0" w:oddVBand="0" w:evenVBand="0" w:oddHBand="0" w:evenHBand="0" w:firstRowFirstColumn="0" w:firstRowLastColumn="0" w:lastRowFirstColumn="0" w:lastRowLastColumn="0"/>
            <w:tcW w:w="1951" w:type="dxa"/>
            <w:vMerge/>
          </w:tcPr>
          <w:p w:rsidR="00267B6C" w:rsidRPr="002436D3" w:rsidRDefault="00267B6C" w:rsidP="00B572CC"/>
        </w:tc>
        <w:tc>
          <w:tcPr>
            <w:tcW w:w="3969" w:type="dxa"/>
          </w:tcPr>
          <w:p w:rsidR="00267B6C" w:rsidRPr="002436D3" w:rsidRDefault="00267B6C" w:rsidP="00B572CC">
            <w:pPr>
              <w:cnfStyle w:val="000000000000" w:firstRow="0" w:lastRow="0" w:firstColumn="0" w:lastColumn="0" w:oddVBand="0" w:evenVBand="0" w:oddHBand="0" w:evenHBand="0" w:firstRowFirstColumn="0" w:firstRowLastColumn="0" w:lastRowFirstColumn="0" w:lastRowLastColumn="0"/>
            </w:pPr>
            <w:r w:rsidRPr="002436D3">
              <w:t>Bioequivalence †- Single dose</w:t>
            </w:r>
          </w:p>
        </w:tc>
        <w:tc>
          <w:tcPr>
            <w:tcW w:w="2410" w:type="dxa"/>
          </w:tcPr>
          <w:p w:rsidR="00267B6C" w:rsidRPr="002436D3" w:rsidRDefault="00267B6C" w:rsidP="00B572CC">
            <w:pPr>
              <w:cnfStyle w:val="000000000000" w:firstRow="0" w:lastRow="0" w:firstColumn="0" w:lastColumn="0" w:oddVBand="0" w:evenVBand="0" w:oddHBand="0" w:evenHBand="0" w:firstRowFirstColumn="0" w:firstRowLastColumn="0" w:lastRowFirstColumn="0" w:lastRowLastColumn="0"/>
            </w:pPr>
            <w:r w:rsidRPr="002436D3">
              <w:t>XL184-016</w:t>
            </w:r>
          </w:p>
          <w:p w:rsidR="00267B6C" w:rsidRPr="002436D3" w:rsidRDefault="00267B6C" w:rsidP="00B572CC">
            <w:pPr>
              <w:cnfStyle w:val="000000000000" w:firstRow="0" w:lastRow="0" w:firstColumn="0" w:lastColumn="0" w:oddVBand="0" w:evenVBand="0" w:oddHBand="0" w:evenHBand="0" w:firstRowFirstColumn="0" w:firstRowLastColumn="0" w:lastRowFirstColumn="0" w:lastRowLastColumn="0"/>
            </w:pPr>
            <w:r w:rsidRPr="002436D3">
              <w:t>XL184-010</w:t>
            </w:r>
          </w:p>
        </w:tc>
        <w:tc>
          <w:tcPr>
            <w:tcW w:w="709" w:type="dxa"/>
          </w:tcPr>
          <w:p w:rsidR="00267B6C" w:rsidRPr="002436D3" w:rsidRDefault="00267B6C" w:rsidP="00B572CC">
            <w:pPr>
              <w:cnfStyle w:val="000000000000" w:firstRow="0" w:lastRow="0" w:firstColumn="0" w:lastColumn="0" w:oddVBand="0" w:evenVBand="0" w:oddHBand="0" w:evenHBand="0" w:firstRowFirstColumn="0" w:firstRowLastColumn="0" w:lastRowFirstColumn="0" w:lastRowLastColumn="0"/>
            </w:pPr>
          </w:p>
        </w:tc>
      </w:tr>
      <w:tr w:rsidR="00267B6C" w:rsidRPr="002436D3" w:rsidTr="004428B2">
        <w:tc>
          <w:tcPr>
            <w:cnfStyle w:val="001000000000" w:firstRow="0" w:lastRow="0" w:firstColumn="1" w:lastColumn="0" w:oddVBand="0" w:evenVBand="0" w:oddHBand="0" w:evenHBand="0" w:firstRowFirstColumn="0" w:firstRowLastColumn="0" w:lastRowFirstColumn="0" w:lastRowLastColumn="0"/>
            <w:tcW w:w="1951" w:type="dxa"/>
            <w:vMerge/>
          </w:tcPr>
          <w:p w:rsidR="00267B6C" w:rsidRPr="002436D3" w:rsidRDefault="00267B6C" w:rsidP="00B572CC"/>
        </w:tc>
        <w:tc>
          <w:tcPr>
            <w:tcW w:w="3969" w:type="dxa"/>
          </w:tcPr>
          <w:p w:rsidR="00267B6C" w:rsidRPr="002436D3" w:rsidRDefault="00267B6C" w:rsidP="00B572CC">
            <w:pPr>
              <w:cnfStyle w:val="000000000000" w:firstRow="0" w:lastRow="0" w:firstColumn="0" w:lastColumn="0" w:oddVBand="0" w:evenVBand="0" w:oddHBand="0" w:evenHBand="0" w:firstRowFirstColumn="0" w:firstRowLastColumn="0" w:lastRowFirstColumn="0" w:lastRowLastColumn="0"/>
            </w:pPr>
            <w:r w:rsidRPr="002436D3">
              <w:tab/>
              <w:t>- Multi-dose</w:t>
            </w:r>
          </w:p>
        </w:tc>
        <w:tc>
          <w:tcPr>
            <w:tcW w:w="2410" w:type="dxa"/>
          </w:tcPr>
          <w:p w:rsidR="00267B6C" w:rsidRPr="002436D3" w:rsidRDefault="00267B6C" w:rsidP="00B572CC">
            <w:pPr>
              <w:cnfStyle w:val="000000000000" w:firstRow="0" w:lastRow="0" w:firstColumn="0" w:lastColumn="0" w:oddVBand="0" w:evenVBand="0" w:oddHBand="0" w:evenHBand="0" w:firstRowFirstColumn="0" w:firstRowLastColumn="0" w:lastRowFirstColumn="0" w:lastRowLastColumn="0"/>
            </w:pPr>
            <w:r w:rsidRPr="002436D3">
              <w:t>No studies</w:t>
            </w:r>
          </w:p>
        </w:tc>
        <w:tc>
          <w:tcPr>
            <w:tcW w:w="709" w:type="dxa"/>
          </w:tcPr>
          <w:p w:rsidR="00267B6C" w:rsidRPr="002436D3" w:rsidRDefault="00267B6C" w:rsidP="00B572CC">
            <w:pPr>
              <w:cnfStyle w:val="000000000000" w:firstRow="0" w:lastRow="0" w:firstColumn="0" w:lastColumn="0" w:oddVBand="0" w:evenVBand="0" w:oddHBand="0" w:evenHBand="0" w:firstRowFirstColumn="0" w:firstRowLastColumn="0" w:lastRowFirstColumn="0" w:lastRowLastColumn="0"/>
            </w:pPr>
          </w:p>
        </w:tc>
      </w:tr>
      <w:tr w:rsidR="00267B6C" w:rsidRPr="002436D3" w:rsidTr="004428B2">
        <w:tc>
          <w:tcPr>
            <w:cnfStyle w:val="001000000000" w:firstRow="0" w:lastRow="0" w:firstColumn="1" w:lastColumn="0" w:oddVBand="0" w:evenVBand="0" w:oddHBand="0" w:evenHBand="0" w:firstRowFirstColumn="0" w:firstRowLastColumn="0" w:lastRowFirstColumn="0" w:lastRowLastColumn="0"/>
            <w:tcW w:w="1951" w:type="dxa"/>
            <w:vMerge/>
          </w:tcPr>
          <w:p w:rsidR="00267B6C" w:rsidRPr="002436D3" w:rsidRDefault="00267B6C" w:rsidP="00B572CC"/>
        </w:tc>
        <w:tc>
          <w:tcPr>
            <w:tcW w:w="3969" w:type="dxa"/>
          </w:tcPr>
          <w:p w:rsidR="00267B6C" w:rsidRPr="002436D3" w:rsidRDefault="00267B6C" w:rsidP="00B572CC">
            <w:pPr>
              <w:cnfStyle w:val="000000000000" w:firstRow="0" w:lastRow="0" w:firstColumn="0" w:lastColumn="0" w:oddVBand="0" w:evenVBand="0" w:oddHBand="0" w:evenHBand="0" w:firstRowFirstColumn="0" w:firstRowLastColumn="0" w:lastRowFirstColumn="0" w:lastRowLastColumn="0"/>
            </w:pPr>
            <w:r w:rsidRPr="002436D3">
              <w:t>Food effect</w:t>
            </w:r>
          </w:p>
        </w:tc>
        <w:tc>
          <w:tcPr>
            <w:tcW w:w="2410" w:type="dxa"/>
          </w:tcPr>
          <w:p w:rsidR="00267B6C" w:rsidRPr="002436D3" w:rsidRDefault="00267B6C" w:rsidP="00B572CC">
            <w:pPr>
              <w:cnfStyle w:val="000000000000" w:firstRow="0" w:lastRow="0" w:firstColumn="0" w:lastColumn="0" w:oddVBand="0" w:evenVBand="0" w:oddHBand="0" w:evenHBand="0" w:firstRowFirstColumn="0" w:firstRowLastColumn="0" w:lastRowFirstColumn="0" w:lastRowLastColumn="0"/>
            </w:pPr>
            <w:r w:rsidRPr="002436D3">
              <w:t>XL184-004</w:t>
            </w:r>
          </w:p>
        </w:tc>
        <w:tc>
          <w:tcPr>
            <w:tcW w:w="709" w:type="dxa"/>
          </w:tcPr>
          <w:p w:rsidR="00267B6C" w:rsidRPr="002436D3" w:rsidRDefault="00267B6C" w:rsidP="00B572CC">
            <w:pPr>
              <w:cnfStyle w:val="000000000000" w:firstRow="0" w:lastRow="0" w:firstColumn="0" w:lastColumn="0" w:oddVBand="0" w:evenVBand="0" w:oddHBand="0" w:evenHBand="0" w:firstRowFirstColumn="0" w:firstRowLastColumn="0" w:lastRowFirstColumn="0" w:lastRowLastColumn="0"/>
            </w:pPr>
          </w:p>
        </w:tc>
      </w:tr>
      <w:tr w:rsidR="00CD7E26" w:rsidRPr="002436D3" w:rsidTr="004428B2">
        <w:tc>
          <w:tcPr>
            <w:cnfStyle w:val="001000000000" w:firstRow="0" w:lastRow="0" w:firstColumn="1" w:lastColumn="0" w:oddVBand="0" w:evenVBand="0" w:oddHBand="0" w:evenHBand="0" w:firstRowFirstColumn="0" w:firstRowLastColumn="0" w:lastRowFirstColumn="0" w:lastRowLastColumn="0"/>
            <w:tcW w:w="1951" w:type="dxa"/>
            <w:vMerge w:val="restart"/>
          </w:tcPr>
          <w:p w:rsidR="00CD7E26" w:rsidRPr="002436D3" w:rsidRDefault="00CD7E26" w:rsidP="00B572CC">
            <w:r w:rsidRPr="002436D3">
              <w:t>PK in special populations</w:t>
            </w:r>
          </w:p>
        </w:tc>
        <w:tc>
          <w:tcPr>
            <w:tcW w:w="396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Target population §- Single dose</w:t>
            </w:r>
          </w:p>
        </w:tc>
        <w:tc>
          <w:tcPr>
            <w:tcW w:w="2410"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No studies</w:t>
            </w:r>
          </w:p>
        </w:tc>
        <w:tc>
          <w:tcPr>
            <w:tcW w:w="70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p>
        </w:tc>
      </w:tr>
      <w:tr w:rsidR="00CD7E26" w:rsidRPr="002436D3" w:rsidTr="004428B2">
        <w:tc>
          <w:tcPr>
            <w:cnfStyle w:val="001000000000" w:firstRow="0" w:lastRow="0" w:firstColumn="1" w:lastColumn="0" w:oddVBand="0" w:evenVBand="0" w:oddHBand="0" w:evenHBand="0" w:firstRowFirstColumn="0" w:firstRowLastColumn="0" w:lastRowFirstColumn="0" w:lastRowLastColumn="0"/>
            <w:tcW w:w="1951" w:type="dxa"/>
            <w:vMerge/>
          </w:tcPr>
          <w:p w:rsidR="00CD7E26" w:rsidRPr="002436D3" w:rsidRDefault="00CD7E26" w:rsidP="00B572CC"/>
        </w:tc>
        <w:tc>
          <w:tcPr>
            <w:tcW w:w="396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 Multi-dose</w:t>
            </w:r>
          </w:p>
        </w:tc>
        <w:tc>
          <w:tcPr>
            <w:tcW w:w="2410"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XL-184-001</w:t>
            </w:r>
          </w:p>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XL-184-308</w:t>
            </w:r>
          </w:p>
        </w:tc>
        <w:tc>
          <w:tcPr>
            <w:tcW w:w="70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p>
        </w:tc>
      </w:tr>
      <w:tr w:rsidR="00CD7E26" w:rsidRPr="002436D3" w:rsidTr="004428B2">
        <w:tc>
          <w:tcPr>
            <w:cnfStyle w:val="001000000000" w:firstRow="0" w:lastRow="0" w:firstColumn="1" w:lastColumn="0" w:oddVBand="0" w:evenVBand="0" w:oddHBand="0" w:evenHBand="0" w:firstRowFirstColumn="0" w:firstRowLastColumn="0" w:lastRowFirstColumn="0" w:lastRowLastColumn="0"/>
            <w:tcW w:w="1951" w:type="dxa"/>
            <w:vMerge/>
          </w:tcPr>
          <w:p w:rsidR="00CD7E26" w:rsidRPr="002436D3" w:rsidRDefault="00CD7E26" w:rsidP="00B572CC"/>
        </w:tc>
        <w:tc>
          <w:tcPr>
            <w:tcW w:w="396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Hepatic impairment</w:t>
            </w:r>
          </w:p>
        </w:tc>
        <w:tc>
          <w:tcPr>
            <w:tcW w:w="2410"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XL-184-003</w:t>
            </w:r>
          </w:p>
        </w:tc>
        <w:tc>
          <w:tcPr>
            <w:tcW w:w="70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p>
        </w:tc>
      </w:tr>
      <w:tr w:rsidR="00CD7E26" w:rsidRPr="002436D3" w:rsidTr="004428B2">
        <w:tc>
          <w:tcPr>
            <w:cnfStyle w:val="001000000000" w:firstRow="0" w:lastRow="0" w:firstColumn="1" w:lastColumn="0" w:oddVBand="0" w:evenVBand="0" w:oddHBand="0" w:evenHBand="0" w:firstRowFirstColumn="0" w:firstRowLastColumn="0" w:lastRowFirstColumn="0" w:lastRowLastColumn="0"/>
            <w:tcW w:w="1951" w:type="dxa"/>
            <w:vMerge/>
          </w:tcPr>
          <w:p w:rsidR="00CD7E26" w:rsidRPr="002436D3" w:rsidRDefault="00CD7E26" w:rsidP="00B572CC"/>
        </w:tc>
        <w:tc>
          <w:tcPr>
            <w:tcW w:w="396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Renal impairment</w:t>
            </w:r>
          </w:p>
        </w:tc>
        <w:tc>
          <w:tcPr>
            <w:tcW w:w="2410"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XL184-017</w:t>
            </w:r>
          </w:p>
        </w:tc>
        <w:tc>
          <w:tcPr>
            <w:tcW w:w="70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p>
        </w:tc>
      </w:tr>
      <w:tr w:rsidR="00CD7E26" w:rsidRPr="002436D3" w:rsidTr="004428B2">
        <w:tc>
          <w:tcPr>
            <w:cnfStyle w:val="001000000000" w:firstRow="0" w:lastRow="0" w:firstColumn="1" w:lastColumn="0" w:oddVBand="0" w:evenVBand="0" w:oddHBand="0" w:evenHBand="0" w:firstRowFirstColumn="0" w:firstRowLastColumn="0" w:lastRowFirstColumn="0" w:lastRowLastColumn="0"/>
            <w:tcW w:w="1951" w:type="dxa"/>
            <w:vMerge/>
          </w:tcPr>
          <w:p w:rsidR="00CD7E26" w:rsidRPr="002436D3" w:rsidRDefault="00CD7E26" w:rsidP="00B572CC"/>
        </w:tc>
        <w:tc>
          <w:tcPr>
            <w:tcW w:w="396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Neonates/infants/children/adolescents</w:t>
            </w:r>
          </w:p>
        </w:tc>
        <w:tc>
          <w:tcPr>
            <w:tcW w:w="2410"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Not applicable</w:t>
            </w:r>
          </w:p>
        </w:tc>
        <w:tc>
          <w:tcPr>
            <w:tcW w:w="70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p>
        </w:tc>
      </w:tr>
      <w:tr w:rsidR="00CD7E26" w:rsidRPr="002436D3" w:rsidTr="004428B2">
        <w:tc>
          <w:tcPr>
            <w:cnfStyle w:val="001000000000" w:firstRow="0" w:lastRow="0" w:firstColumn="1" w:lastColumn="0" w:oddVBand="0" w:evenVBand="0" w:oddHBand="0" w:evenHBand="0" w:firstRowFirstColumn="0" w:firstRowLastColumn="0" w:lastRowFirstColumn="0" w:lastRowLastColumn="0"/>
            <w:tcW w:w="1951" w:type="dxa"/>
            <w:vMerge/>
          </w:tcPr>
          <w:p w:rsidR="00CD7E26" w:rsidRPr="002436D3" w:rsidRDefault="00CD7E26" w:rsidP="00B572CC"/>
        </w:tc>
        <w:tc>
          <w:tcPr>
            <w:tcW w:w="396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Elderly</w:t>
            </w:r>
          </w:p>
        </w:tc>
        <w:tc>
          <w:tcPr>
            <w:tcW w:w="2410"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 xml:space="preserve">XL184-308 </w:t>
            </w:r>
            <w:proofErr w:type="spellStart"/>
            <w:r w:rsidRPr="002436D3">
              <w:t>PopPK</w:t>
            </w:r>
            <w:proofErr w:type="spellEnd"/>
            <w:r w:rsidRPr="002436D3">
              <w:t xml:space="preserve"> 001</w:t>
            </w:r>
          </w:p>
        </w:tc>
        <w:tc>
          <w:tcPr>
            <w:tcW w:w="70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p>
        </w:tc>
      </w:tr>
      <w:tr w:rsidR="00CD7E26" w:rsidRPr="002436D3" w:rsidTr="004428B2">
        <w:tc>
          <w:tcPr>
            <w:cnfStyle w:val="001000000000" w:firstRow="0" w:lastRow="0" w:firstColumn="1" w:lastColumn="0" w:oddVBand="0" w:evenVBand="0" w:oddHBand="0" w:evenHBand="0" w:firstRowFirstColumn="0" w:firstRowLastColumn="0" w:lastRowFirstColumn="0" w:lastRowLastColumn="0"/>
            <w:tcW w:w="1951" w:type="dxa"/>
            <w:vMerge/>
          </w:tcPr>
          <w:p w:rsidR="00CD7E26" w:rsidRPr="002436D3" w:rsidRDefault="00CD7E26" w:rsidP="00B572CC"/>
        </w:tc>
        <w:tc>
          <w:tcPr>
            <w:tcW w:w="396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Other special population (MTC)</w:t>
            </w:r>
          </w:p>
        </w:tc>
        <w:tc>
          <w:tcPr>
            <w:tcW w:w="2410"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XL184-001</w:t>
            </w:r>
          </w:p>
        </w:tc>
        <w:tc>
          <w:tcPr>
            <w:tcW w:w="70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p>
        </w:tc>
      </w:tr>
      <w:tr w:rsidR="00CD7E26" w:rsidRPr="002436D3" w:rsidTr="004428B2">
        <w:tc>
          <w:tcPr>
            <w:cnfStyle w:val="001000000000" w:firstRow="0" w:lastRow="0" w:firstColumn="1" w:lastColumn="0" w:oddVBand="0" w:evenVBand="0" w:oddHBand="0" w:evenHBand="0" w:firstRowFirstColumn="0" w:firstRowLastColumn="0" w:lastRowFirstColumn="0" w:lastRowLastColumn="0"/>
            <w:tcW w:w="1951" w:type="dxa"/>
            <w:vMerge w:val="restart"/>
          </w:tcPr>
          <w:p w:rsidR="00CD7E26" w:rsidRPr="002436D3" w:rsidRDefault="00CD7E26" w:rsidP="00B572CC">
            <w:r w:rsidRPr="002436D3">
              <w:t>Genetic/gender related PK</w:t>
            </w:r>
          </w:p>
        </w:tc>
        <w:tc>
          <w:tcPr>
            <w:tcW w:w="396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Males versus females</w:t>
            </w:r>
          </w:p>
        </w:tc>
        <w:tc>
          <w:tcPr>
            <w:tcW w:w="2410"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 xml:space="preserve">XL184-308 </w:t>
            </w:r>
            <w:proofErr w:type="spellStart"/>
            <w:r w:rsidRPr="002436D3">
              <w:t>PopPK</w:t>
            </w:r>
            <w:proofErr w:type="spellEnd"/>
            <w:r w:rsidRPr="002436D3">
              <w:t xml:space="preserve"> 001</w:t>
            </w:r>
          </w:p>
        </w:tc>
        <w:tc>
          <w:tcPr>
            <w:tcW w:w="70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p>
        </w:tc>
      </w:tr>
      <w:tr w:rsidR="00CD7E26" w:rsidRPr="002436D3" w:rsidTr="004428B2">
        <w:tc>
          <w:tcPr>
            <w:cnfStyle w:val="001000000000" w:firstRow="0" w:lastRow="0" w:firstColumn="1" w:lastColumn="0" w:oddVBand="0" w:evenVBand="0" w:oddHBand="0" w:evenHBand="0" w:firstRowFirstColumn="0" w:firstRowLastColumn="0" w:lastRowFirstColumn="0" w:lastRowLastColumn="0"/>
            <w:tcW w:w="1951" w:type="dxa"/>
            <w:vMerge/>
          </w:tcPr>
          <w:p w:rsidR="00CD7E26" w:rsidRPr="002436D3" w:rsidRDefault="00CD7E26" w:rsidP="00B572CC"/>
        </w:tc>
        <w:tc>
          <w:tcPr>
            <w:tcW w:w="396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Other genetic variable</w:t>
            </w:r>
          </w:p>
        </w:tc>
        <w:tc>
          <w:tcPr>
            <w:tcW w:w="2410"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 xml:space="preserve">XL184-308 </w:t>
            </w:r>
            <w:proofErr w:type="spellStart"/>
            <w:r w:rsidRPr="002436D3">
              <w:t>PopPK</w:t>
            </w:r>
            <w:proofErr w:type="spellEnd"/>
            <w:r w:rsidRPr="002436D3">
              <w:t xml:space="preserve"> 001</w:t>
            </w:r>
          </w:p>
        </w:tc>
        <w:tc>
          <w:tcPr>
            <w:tcW w:w="70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p>
        </w:tc>
      </w:tr>
      <w:tr w:rsidR="00CD7E26" w:rsidRPr="002436D3" w:rsidTr="004428B2">
        <w:tc>
          <w:tcPr>
            <w:cnfStyle w:val="001000000000" w:firstRow="0" w:lastRow="0" w:firstColumn="1" w:lastColumn="0" w:oddVBand="0" w:evenVBand="0" w:oddHBand="0" w:evenHBand="0" w:firstRowFirstColumn="0" w:firstRowLastColumn="0" w:lastRowFirstColumn="0" w:lastRowLastColumn="0"/>
            <w:tcW w:w="1951" w:type="dxa"/>
            <w:vMerge w:val="restart"/>
          </w:tcPr>
          <w:p w:rsidR="00CD7E26" w:rsidRPr="002436D3" w:rsidRDefault="00CD7E26" w:rsidP="00B572CC">
            <w:r w:rsidRPr="002436D3">
              <w:t>PK interactions</w:t>
            </w:r>
          </w:p>
        </w:tc>
        <w:tc>
          <w:tcPr>
            <w:tcW w:w="396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Rifampicin</w:t>
            </w:r>
          </w:p>
        </w:tc>
        <w:tc>
          <w:tcPr>
            <w:tcW w:w="2410"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XL184-006</w:t>
            </w:r>
          </w:p>
        </w:tc>
        <w:tc>
          <w:tcPr>
            <w:tcW w:w="70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p>
        </w:tc>
      </w:tr>
      <w:tr w:rsidR="00CD7E26" w:rsidRPr="002436D3" w:rsidTr="004428B2">
        <w:tc>
          <w:tcPr>
            <w:cnfStyle w:val="001000000000" w:firstRow="0" w:lastRow="0" w:firstColumn="1" w:lastColumn="0" w:oddVBand="0" w:evenVBand="0" w:oddHBand="0" w:evenHBand="0" w:firstRowFirstColumn="0" w:firstRowLastColumn="0" w:lastRowFirstColumn="0" w:lastRowLastColumn="0"/>
            <w:tcW w:w="1951" w:type="dxa"/>
            <w:vMerge/>
          </w:tcPr>
          <w:p w:rsidR="00CD7E26" w:rsidRPr="002436D3" w:rsidRDefault="00CD7E26" w:rsidP="00B572CC"/>
        </w:tc>
        <w:tc>
          <w:tcPr>
            <w:tcW w:w="396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Ketoconazole</w:t>
            </w:r>
          </w:p>
        </w:tc>
        <w:tc>
          <w:tcPr>
            <w:tcW w:w="2410"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XL184-007</w:t>
            </w:r>
          </w:p>
        </w:tc>
        <w:tc>
          <w:tcPr>
            <w:tcW w:w="70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p>
        </w:tc>
      </w:tr>
      <w:tr w:rsidR="00CD7E26" w:rsidRPr="002436D3" w:rsidTr="004428B2">
        <w:tc>
          <w:tcPr>
            <w:cnfStyle w:val="001000000000" w:firstRow="0" w:lastRow="0" w:firstColumn="1" w:lastColumn="0" w:oddVBand="0" w:evenVBand="0" w:oddHBand="0" w:evenHBand="0" w:firstRowFirstColumn="0" w:firstRowLastColumn="0" w:lastRowFirstColumn="0" w:lastRowLastColumn="0"/>
            <w:tcW w:w="1951" w:type="dxa"/>
            <w:vMerge/>
          </w:tcPr>
          <w:p w:rsidR="00CD7E26" w:rsidRPr="002436D3" w:rsidRDefault="00CD7E26" w:rsidP="00B572CC"/>
        </w:tc>
        <w:tc>
          <w:tcPr>
            <w:tcW w:w="396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Esomeprazole</w:t>
            </w:r>
          </w:p>
        </w:tc>
        <w:tc>
          <w:tcPr>
            <w:tcW w:w="2410"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XL184-018</w:t>
            </w:r>
          </w:p>
        </w:tc>
        <w:tc>
          <w:tcPr>
            <w:tcW w:w="70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p>
        </w:tc>
      </w:tr>
      <w:tr w:rsidR="00CD7E26" w:rsidRPr="002436D3" w:rsidTr="004428B2">
        <w:tc>
          <w:tcPr>
            <w:cnfStyle w:val="001000000000" w:firstRow="0" w:lastRow="0" w:firstColumn="1" w:lastColumn="0" w:oddVBand="0" w:evenVBand="0" w:oddHBand="0" w:evenHBand="0" w:firstRowFirstColumn="0" w:firstRowLastColumn="0" w:lastRowFirstColumn="0" w:lastRowLastColumn="0"/>
            <w:tcW w:w="1951" w:type="dxa"/>
            <w:vMerge w:val="restart"/>
          </w:tcPr>
          <w:p w:rsidR="00CD7E26" w:rsidRPr="002436D3" w:rsidRDefault="00CD7E26" w:rsidP="00B572CC">
            <w:r w:rsidRPr="002436D3">
              <w:t>Population PK analyses</w:t>
            </w:r>
          </w:p>
        </w:tc>
        <w:tc>
          <w:tcPr>
            <w:tcW w:w="396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Healthy subjects</w:t>
            </w:r>
          </w:p>
        </w:tc>
        <w:tc>
          <w:tcPr>
            <w:tcW w:w="2410"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 xml:space="preserve">XL184-308 </w:t>
            </w:r>
            <w:proofErr w:type="spellStart"/>
            <w:r w:rsidRPr="002436D3">
              <w:t>PopPK</w:t>
            </w:r>
            <w:proofErr w:type="spellEnd"/>
            <w:r w:rsidRPr="002436D3">
              <w:t xml:space="preserve"> 001</w:t>
            </w:r>
          </w:p>
        </w:tc>
        <w:tc>
          <w:tcPr>
            <w:tcW w:w="70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p>
        </w:tc>
      </w:tr>
      <w:tr w:rsidR="00CD7E26" w:rsidRPr="002436D3" w:rsidTr="004428B2">
        <w:tc>
          <w:tcPr>
            <w:cnfStyle w:val="001000000000" w:firstRow="0" w:lastRow="0" w:firstColumn="1" w:lastColumn="0" w:oddVBand="0" w:evenVBand="0" w:oddHBand="0" w:evenHBand="0" w:firstRowFirstColumn="0" w:firstRowLastColumn="0" w:lastRowFirstColumn="0" w:lastRowLastColumn="0"/>
            <w:tcW w:w="1951" w:type="dxa"/>
            <w:vMerge/>
          </w:tcPr>
          <w:p w:rsidR="00CD7E26" w:rsidRPr="002436D3" w:rsidRDefault="00CD7E26" w:rsidP="00B572CC"/>
        </w:tc>
        <w:tc>
          <w:tcPr>
            <w:tcW w:w="396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Target population</w:t>
            </w:r>
          </w:p>
        </w:tc>
        <w:tc>
          <w:tcPr>
            <w:tcW w:w="2410"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r w:rsidRPr="002436D3">
              <w:t xml:space="preserve">XL184-308 </w:t>
            </w:r>
            <w:proofErr w:type="spellStart"/>
            <w:r w:rsidRPr="002436D3">
              <w:t>PopPK</w:t>
            </w:r>
            <w:proofErr w:type="spellEnd"/>
            <w:r w:rsidRPr="002436D3">
              <w:t xml:space="preserve"> 001</w:t>
            </w:r>
          </w:p>
        </w:tc>
        <w:tc>
          <w:tcPr>
            <w:tcW w:w="709" w:type="dxa"/>
          </w:tcPr>
          <w:p w:rsidR="00CD7E26" w:rsidRPr="002436D3" w:rsidRDefault="00CD7E26" w:rsidP="00B572CC">
            <w:pPr>
              <w:cnfStyle w:val="000000000000" w:firstRow="0" w:lastRow="0" w:firstColumn="0" w:lastColumn="0" w:oddVBand="0" w:evenVBand="0" w:oddHBand="0" w:evenHBand="0" w:firstRowFirstColumn="0" w:firstRowLastColumn="0" w:lastRowFirstColumn="0" w:lastRowLastColumn="0"/>
            </w:pPr>
          </w:p>
        </w:tc>
      </w:tr>
    </w:tbl>
    <w:p w:rsidR="00CD7E26" w:rsidRPr="00C37A1D" w:rsidRDefault="00CD7E26" w:rsidP="00CD7E26">
      <w:pPr>
        <w:pStyle w:val="TableDescription"/>
      </w:pPr>
      <w:r w:rsidRPr="00C37A1D">
        <w:t>* Indicates the primary PK aim of the study.</w:t>
      </w:r>
      <w:r>
        <w:t xml:space="preserve"> </w:t>
      </w:r>
      <w:r w:rsidRPr="00C37A1D">
        <w:t xml:space="preserve">† Bioequivalence of different </w:t>
      </w:r>
      <w:r w:rsidRPr="002436D3">
        <w:t>formulations</w:t>
      </w:r>
      <w:r w:rsidRPr="00C37A1D">
        <w:t>.</w:t>
      </w:r>
      <w:r>
        <w:t xml:space="preserve"> </w:t>
      </w:r>
      <w:r w:rsidRPr="00C37A1D">
        <w:t>§ Subjects who would be eligible to receive the drug if approved for the proposed indication.</w:t>
      </w:r>
    </w:p>
    <w:p w:rsidR="00CD7E26" w:rsidRPr="002B74F6" w:rsidRDefault="00CD7E26" w:rsidP="00CD7E26">
      <w:pPr>
        <w:pStyle w:val="Heading3"/>
        <w:numPr>
          <w:ilvl w:val="1"/>
          <w:numId w:val="29"/>
        </w:numPr>
        <w:ind w:left="907" w:hanging="794"/>
      </w:pPr>
      <w:bookmarkStart w:id="56" w:name="_Toc520879791"/>
      <w:bookmarkStart w:id="57" w:name="_Toc531776237"/>
      <w:r w:rsidRPr="002B74F6">
        <w:lastRenderedPageBreak/>
        <w:t>Summary of pharmacokinetics</w:t>
      </w:r>
      <w:bookmarkEnd w:id="56"/>
      <w:bookmarkEnd w:id="57"/>
    </w:p>
    <w:p w:rsidR="00CD7E26" w:rsidRPr="00F008C0" w:rsidRDefault="00CD7E26" w:rsidP="00F008C0">
      <w:pPr>
        <w:pStyle w:val="Heading4"/>
      </w:pPr>
      <w:bookmarkStart w:id="58" w:name="_Toc272414617"/>
      <w:bookmarkStart w:id="59" w:name="_Toc290888466"/>
      <w:bookmarkStart w:id="60" w:name="_Toc416353662"/>
      <w:bookmarkStart w:id="61" w:name="_Toc421005243"/>
      <w:bookmarkStart w:id="62" w:name="_Toc432079125"/>
      <w:bookmarkStart w:id="63" w:name="_Toc432080698"/>
      <w:r w:rsidRPr="00F008C0">
        <w:t>Physicochemical characteristics of the active substance</w:t>
      </w:r>
      <w:bookmarkEnd w:id="58"/>
      <w:bookmarkEnd w:id="59"/>
      <w:bookmarkEnd w:id="60"/>
      <w:bookmarkEnd w:id="61"/>
      <w:bookmarkEnd w:id="62"/>
      <w:bookmarkEnd w:id="63"/>
    </w:p>
    <w:p w:rsidR="00CD7E26" w:rsidRDefault="00CD7E26" w:rsidP="00CD7E26">
      <w:pPr>
        <w:rPr>
          <w:lang w:eastAsia="ja-JP"/>
        </w:rPr>
      </w:pPr>
      <w:bookmarkStart w:id="64" w:name="_Ref271189106"/>
      <w:bookmarkStart w:id="65" w:name="_Ref271189143"/>
      <w:bookmarkStart w:id="66" w:name="_Toc272414618"/>
      <w:bookmarkStart w:id="67" w:name="_Toc290888467"/>
      <w:bookmarkStart w:id="68" w:name="_Toc416353663"/>
      <w:bookmarkStart w:id="69" w:name="_Toc421005244"/>
      <w:bookmarkStart w:id="70" w:name="_Toc432079126"/>
      <w:bookmarkStart w:id="71" w:name="_Toc432080699"/>
      <w:proofErr w:type="spellStart"/>
      <w:r w:rsidRPr="005A6B5D">
        <w:rPr>
          <w:lang w:eastAsia="ja-JP"/>
        </w:rPr>
        <w:t>Cabozantinib</w:t>
      </w:r>
      <w:proofErr w:type="spellEnd"/>
      <w:r w:rsidRPr="005A6B5D">
        <w:rPr>
          <w:lang w:eastAsia="ja-JP"/>
        </w:rPr>
        <w:t xml:space="preserve"> (S)-malate is a white to off-white crystalline substance. Two crystalline solid </w:t>
      </w:r>
      <w:r>
        <w:rPr>
          <w:lang w:eastAsia="ja-JP"/>
        </w:rPr>
        <w:t xml:space="preserve">forms (N-1 and N-2) </w:t>
      </w:r>
      <w:r w:rsidRPr="005A6B5D">
        <w:rPr>
          <w:lang w:eastAsia="ja-JP"/>
        </w:rPr>
        <w:t>exist, together with an amorphous form.</w:t>
      </w:r>
    </w:p>
    <w:p w:rsidR="00CD7E26" w:rsidRDefault="00CD7E26" w:rsidP="00CD7E26">
      <w:pPr>
        <w:rPr>
          <w:lang w:eastAsia="ja-JP"/>
        </w:rPr>
      </w:pPr>
      <w:r w:rsidRPr="005A6B5D">
        <w:rPr>
          <w:lang w:eastAsia="ja-JP"/>
        </w:rPr>
        <w:t xml:space="preserve">N-1 was identified </w:t>
      </w:r>
      <w:r>
        <w:rPr>
          <w:lang w:eastAsia="ja-JP"/>
        </w:rPr>
        <w:t>a</w:t>
      </w:r>
      <w:r w:rsidRPr="005A6B5D">
        <w:rPr>
          <w:lang w:eastAsia="ja-JP"/>
        </w:rPr>
        <w:t xml:space="preserve">s the thermo-dynamically stable form and the polymorphic system was classified as </w:t>
      </w:r>
      <w:proofErr w:type="spellStart"/>
      <w:r w:rsidRPr="005A6B5D">
        <w:rPr>
          <w:lang w:eastAsia="ja-JP"/>
        </w:rPr>
        <w:t>m</w:t>
      </w:r>
      <w:r>
        <w:rPr>
          <w:lang w:eastAsia="ja-JP"/>
        </w:rPr>
        <w:t>o</w:t>
      </w:r>
      <w:r w:rsidRPr="005A6B5D">
        <w:rPr>
          <w:lang w:eastAsia="ja-JP"/>
        </w:rPr>
        <w:t>notropic</w:t>
      </w:r>
      <w:proofErr w:type="spellEnd"/>
      <w:r w:rsidRPr="005A6B5D">
        <w:rPr>
          <w:lang w:eastAsia="ja-JP"/>
        </w:rPr>
        <w:t xml:space="preserve">. The N-2 form is readily formed in the final salt formation step and has been shown </w:t>
      </w:r>
      <w:r>
        <w:rPr>
          <w:lang w:eastAsia="ja-JP"/>
        </w:rPr>
        <w:t>n</w:t>
      </w:r>
      <w:r w:rsidRPr="005A6B5D">
        <w:rPr>
          <w:lang w:eastAsia="ja-JP"/>
        </w:rPr>
        <w:t>ot to interconvert to the N-1 form under the process conditions. Therefore, form N-2 was selected for commercial development based on process advantages and controls.</w:t>
      </w:r>
    </w:p>
    <w:p w:rsidR="00CD7E26" w:rsidRDefault="00CD7E26" w:rsidP="00CD7E26">
      <w:pPr>
        <w:rPr>
          <w:lang w:val="en-NZ"/>
        </w:rPr>
      </w:pPr>
      <w:proofErr w:type="spellStart"/>
      <w:r>
        <w:rPr>
          <w:lang w:val="en-NZ"/>
        </w:rPr>
        <w:t>Cabozantinib</w:t>
      </w:r>
      <w:proofErr w:type="spellEnd"/>
      <w:r>
        <w:rPr>
          <w:lang w:val="en-NZ"/>
        </w:rPr>
        <w:t xml:space="preserve"> demonstrates a pH-dependent solubility profile; solubility decreases with increasing pH and is practically insoluble above pH 4.</w:t>
      </w:r>
    </w:p>
    <w:p w:rsidR="00CD7E26" w:rsidRPr="00545B14" w:rsidRDefault="00CD7E26" w:rsidP="00CD7E26">
      <w:pPr>
        <w:pStyle w:val="Heading4"/>
        <w:numPr>
          <w:ilvl w:val="2"/>
          <w:numId w:val="29"/>
        </w:numPr>
      </w:pPr>
      <w:r w:rsidRPr="00545B14">
        <w:t>Pharmacokinetics in healthy subjects</w:t>
      </w:r>
      <w:bookmarkEnd w:id="64"/>
      <w:bookmarkEnd w:id="65"/>
      <w:bookmarkEnd w:id="66"/>
      <w:bookmarkEnd w:id="67"/>
      <w:bookmarkEnd w:id="68"/>
      <w:bookmarkEnd w:id="69"/>
      <w:bookmarkEnd w:id="70"/>
      <w:bookmarkEnd w:id="71"/>
    </w:p>
    <w:p w:rsidR="00CD7E26" w:rsidRPr="00F008C0" w:rsidRDefault="00CD7E26" w:rsidP="00F008C0">
      <w:pPr>
        <w:pStyle w:val="Heading5"/>
      </w:pPr>
      <w:bookmarkStart w:id="72" w:name="_Toc272414619"/>
      <w:bookmarkStart w:id="73" w:name="_Toc290888468"/>
      <w:bookmarkStart w:id="74" w:name="_Toc416353664"/>
      <w:r w:rsidRPr="00F008C0">
        <w:t>Absorption</w:t>
      </w:r>
      <w:bookmarkEnd w:id="72"/>
      <w:bookmarkEnd w:id="73"/>
      <w:bookmarkEnd w:id="74"/>
    </w:p>
    <w:p w:rsidR="00CD7E26" w:rsidRPr="00F008C0" w:rsidRDefault="00CD7E26" w:rsidP="00F008C0">
      <w:pPr>
        <w:pStyle w:val="Heading6"/>
      </w:pPr>
      <w:bookmarkStart w:id="75" w:name="_Toc241374287"/>
      <w:bookmarkStart w:id="76" w:name="_Toc272414620"/>
      <w:bookmarkStart w:id="77" w:name="_Toc290888469"/>
      <w:bookmarkStart w:id="78" w:name="_Toc416353665"/>
      <w:r w:rsidRPr="00F008C0">
        <w:t>Sites and mechanism of absorption</w:t>
      </w:r>
    </w:p>
    <w:p w:rsidR="00CD7E26" w:rsidRDefault="00CD7E26" w:rsidP="00CD7E26">
      <w:proofErr w:type="spellStart"/>
      <w:r>
        <w:t>Cabozantinib</w:t>
      </w:r>
      <w:proofErr w:type="spellEnd"/>
      <w:r>
        <w:t xml:space="preserve"> is a highly permeable compound with a generally rapid absorp</w:t>
      </w:r>
      <w:r w:rsidR="004428B2">
        <w:t>tion after oral administration.</w:t>
      </w:r>
    </w:p>
    <w:p w:rsidR="00CD7E26" w:rsidRDefault="00CD7E26" w:rsidP="00CD7E26">
      <w:r>
        <w:t>Multiple peaks in the plasma-concentration time curve were seen following the administration of a single oral dose suggesting enterohepatic circulation, delayed or multiple sites of absorption</w:t>
      </w:r>
      <w:r w:rsidR="004428B2">
        <w:t xml:space="preserve"> that have not been identified.</w:t>
      </w:r>
    </w:p>
    <w:p w:rsidR="00CD7E26" w:rsidRPr="005956F1" w:rsidRDefault="00CD7E26" w:rsidP="00CD7E26">
      <w:r>
        <w:t xml:space="preserve">As </w:t>
      </w:r>
      <w:proofErr w:type="spellStart"/>
      <w:r>
        <w:t>cabozantinib</w:t>
      </w:r>
      <w:proofErr w:type="spellEnd"/>
      <w:r>
        <w:t xml:space="preserve"> is insoluble at pH 4 the sponsor undertook a study in which </w:t>
      </w:r>
      <w:proofErr w:type="spellStart"/>
      <w:r>
        <w:t>cabozantinib</w:t>
      </w:r>
      <w:proofErr w:type="spellEnd"/>
      <w:r>
        <w:t xml:space="preserve"> was administered with a proton-pump inhibitor to investigate the effect of increased pH on absorption.</w:t>
      </w:r>
    </w:p>
    <w:p w:rsidR="00CD7E26" w:rsidRPr="00F008C0" w:rsidRDefault="00CD7E26" w:rsidP="00F008C0">
      <w:pPr>
        <w:pStyle w:val="Heading5"/>
      </w:pPr>
      <w:r w:rsidRPr="00F008C0">
        <w:t>Bioavailability</w:t>
      </w:r>
      <w:bookmarkEnd w:id="75"/>
      <w:bookmarkEnd w:id="76"/>
      <w:bookmarkEnd w:id="77"/>
      <w:bookmarkEnd w:id="78"/>
    </w:p>
    <w:p w:rsidR="00CD7E26" w:rsidRPr="00F008C0" w:rsidRDefault="00CD7E26" w:rsidP="00F008C0">
      <w:pPr>
        <w:pStyle w:val="Heading6"/>
      </w:pPr>
      <w:r w:rsidRPr="00F008C0">
        <w:t>Absolute bioavailability</w:t>
      </w:r>
    </w:p>
    <w:p w:rsidR="00CD7E26" w:rsidRDefault="00CD7E26" w:rsidP="00CD7E26">
      <w:pPr>
        <w:rPr>
          <w:lang w:eastAsia="ja-JP"/>
        </w:rPr>
      </w:pPr>
      <w:r>
        <w:rPr>
          <w:lang w:eastAsia="ja-JP"/>
        </w:rPr>
        <w:t xml:space="preserve">The absolute bioavailability of </w:t>
      </w:r>
      <w:proofErr w:type="spellStart"/>
      <w:r>
        <w:rPr>
          <w:lang w:eastAsia="ja-JP"/>
        </w:rPr>
        <w:t>cabozantinib</w:t>
      </w:r>
      <w:proofErr w:type="spellEnd"/>
      <w:r>
        <w:rPr>
          <w:lang w:eastAsia="ja-JP"/>
        </w:rPr>
        <w:t xml:space="preserve"> has not been determined. The sponsor has submitted a mass balance study approximately 54% was </w:t>
      </w:r>
      <w:proofErr w:type="spellStart"/>
      <w:r>
        <w:rPr>
          <w:lang w:eastAsia="ja-JP"/>
        </w:rPr>
        <w:t>faecally</w:t>
      </w:r>
      <w:proofErr w:type="spellEnd"/>
      <w:r>
        <w:rPr>
          <w:lang w:eastAsia="ja-JP"/>
        </w:rPr>
        <w:t xml:space="preserve"> excreted </w:t>
      </w:r>
      <w:r w:rsidR="004428B2">
        <w:rPr>
          <w:lang w:eastAsia="ja-JP"/>
        </w:rPr>
        <w:t>and 27% recovered in the urine.</w:t>
      </w:r>
    </w:p>
    <w:p w:rsidR="00CD7E26" w:rsidRPr="00C37A1D" w:rsidRDefault="00CD7E26" w:rsidP="00CD7E26">
      <w:pPr>
        <w:pStyle w:val="Heading6"/>
      </w:pPr>
      <w:r w:rsidRPr="00C37A1D">
        <w:t>Bioavailability relative to an oral solution or micronized suspension</w:t>
      </w:r>
    </w:p>
    <w:p w:rsidR="00CD7E26" w:rsidRDefault="00CD7E26" w:rsidP="00CD7E26">
      <w:pPr>
        <w:rPr>
          <w:lang w:val="en-NZ"/>
        </w:rPr>
      </w:pPr>
      <w:r>
        <w:rPr>
          <w:lang w:val="en-NZ"/>
        </w:rPr>
        <w:t xml:space="preserve">In a Phase </w:t>
      </w:r>
      <w:r w:rsidR="008F51E2">
        <w:rPr>
          <w:lang w:val="en-NZ"/>
        </w:rPr>
        <w:t>I</w:t>
      </w:r>
      <w:r>
        <w:rPr>
          <w:lang w:val="en-NZ"/>
        </w:rPr>
        <w:t xml:space="preserve"> dose escalation study in subjects with solid tumours (</w:t>
      </w:r>
      <w:r w:rsidR="008F51E2">
        <w:rPr>
          <w:lang w:val="en-NZ"/>
        </w:rPr>
        <w:t>XL184-001A</w:t>
      </w:r>
      <w:r>
        <w:rPr>
          <w:lang w:val="en-NZ"/>
        </w:rPr>
        <w:t>), the capsule formulation yielded approximately 2-fold higher dose-normalized AUC</w:t>
      </w:r>
      <w:r>
        <w:rPr>
          <w:sz w:val="16"/>
          <w:szCs w:val="16"/>
          <w:lang w:val="en-NZ"/>
        </w:rPr>
        <w:t xml:space="preserve">0-24 h </w:t>
      </w:r>
      <w:r>
        <w:rPr>
          <w:lang w:val="en-NZ"/>
        </w:rPr>
        <w:t xml:space="preserve">after a single dose compared to an oral liquid formulation (PIB suspension). </w:t>
      </w:r>
    </w:p>
    <w:p w:rsidR="00CD7E26" w:rsidRDefault="00CD7E26" w:rsidP="00CD7E26">
      <w:pPr>
        <w:rPr>
          <w:lang w:val="en-NZ"/>
        </w:rPr>
      </w:pPr>
      <w:r>
        <w:rPr>
          <w:lang w:val="en-NZ"/>
        </w:rPr>
        <w:t xml:space="preserve">Study </w:t>
      </w:r>
      <w:hyperlink w:anchor="_XL184-012__Phase" w:history="1">
        <w:r w:rsidRPr="00976763">
          <w:rPr>
            <w:rStyle w:val="Hyperlink"/>
            <w:color w:val="auto"/>
            <w:u w:val="none"/>
            <w:lang w:val="en-NZ"/>
          </w:rPr>
          <w:t>XL184-012</w:t>
        </w:r>
      </w:hyperlink>
      <w:r>
        <w:rPr>
          <w:lang w:val="en-NZ"/>
        </w:rPr>
        <w:t xml:space="preserve"> used a true solution, and was different from the liquid suspension fo</w:t>
      </w:r>
      <w:r w:rsidR="004428B2">
        <w:rPr>
          <w:lang w:val="en-NZ"/>
        </w:rPr>
        <w:t>rmulation studied in XL184-001.</w:t>
      </w:r>
    </w:p>
    <w:p w:rsidR="00CD7E26" w:rsidRDefault="00CD7E26" w:rsidP="00CD7E26">
      <w:pPr>
        <w:rPr>
          <w:lang w:eastAsia="ja-JP"/>
        </w:rPr>
      </w:pPr>
      <w:r>
        <w:rPr>
          <w:lang w:val="en-NZ"/>
        </w:rPr>
        <w:t xml:space="preserve">A single 140 mg FBE oral XL184 dose formulated as a solution yielded an earlier </w:t>
      </w:r>
      <w:proofErr w:type="spellStart"/>
      <w:r>
        <w:rPr>
          <w:lang w:val="en-NZ"/>
        </w:rPr>
        <w:t>T</w:t>
      </w:r>
      <w:r w:rsidRPr="002A6890">
        <w:rPr>
          <w:sz w:val="16"/>
          <w:szCs w:val="16"/>
          <w:vertAlign w:val="subscript"/>
          <w:lang w:val="en-NZ"/>
        </w:rPr>
        <w:t>max</w:t>
      </w:r>
      <w:proofErr w:type="spellEnd"/>
      <w:r>
        <w:rPr>
          <w:lang w:val="en-NZ"/>
        </w:rPr>
        <w:t xml:space="preserve">, higher </w:t>
      </w:r>
      <w:proofErr w:type="spellStart"/>
      <w:r>
        <w:rPr>
          <w:lang w:val="en-NZ"/>
        </w:rPr>
        <w:t>C</w:t>
      </w:r>
      <w:r w:rsidRPr="002A6890">
        <w:rPr>
          <w:sz w:val="16"/>
          <w:szCs w:val="16"/>
          <w:vertAlign w:val="subscript"/>
          <w:lang w:val="en-NZ"/>
        </w:rPr>
        <w:t>max</w:t>
      </w:r>
      <w:proofErr w:type="spellEnd"/>
      <w:r>
        <w:rPr>
          <w:sz w:val="16"/>
          <w:szCs w:val="16"/>
          <w:lang w:val="en-NZ"/>
        </w:rPr>
        <w:t xml:space="preserve"> </w:t>
      </w:r>
      <w:r>
        <w:rPr>
          <w:lang w:val="en-NZ"/>
        </w:rPr>
        <w:t>and AUC</w:t>
      </w:r>
      <w:r w:rsidRPr="002A6890">
        <w:rPr>
          <w:sz w:val="16"/>
          <w:szCs w:val="16"/>
          <w:vertAlign w:val="subscript"/>
          <w:lang w:val="en-NZ"/>
        </w:rPr>
        <w:t>0-inf</w:t>
      </w:r>
      <w:r>
        <w:rPr>
          <w:lang w:val="en-NZ"/>
        </w:rPr>
        <w:t xml:space="preserve">, and less inter-subject variability compared to the capsule or tablet formulation used in healthy subjects at the same </w:t>
      </w:r>
      <w:proofErr w:type="spellStart"/>
      <w:r>
        <w:rPr>
          <w:lang w:val="en-NZ"/>
        </w:rPr>
        <w:t>cabozantinib</w:t>
      </w:r>
      <w:proofErr w:type="spellEnd"/>
      <w:r>
        <w:rPr>
          <w:lang w:val="en-NZ"/>
        </w:rPr>
        <w:t xml:space="preserve"> (XL184) dose level.</w:t>
      </w:r>
    </w:p>
    <w:p w:rsidR="00CD7E26" w:rsidRPr="00C37A1D" w:rsidRDefault="00CD7E26" w:rsidP="00CD7E26">
      <w:pPr>
        <w:pStyle w:val="Heading6"/>
      </w:pPr>
      <w:r w:rsidRPr="00C37A1D">
        <w:t>Bioequivalence of clinical trial and market formulations</w:t>
      </w:r>
    </w:p>
    <w:p w:rsidR="00CD7E26" w:rsidRDefault="00CD7E26" w:rsidP="00CD7E26">
      <w:pPr>
        <w:rPr>
          <w:lang w:eastAsia="ja-JP"/>
        </w:rPr>
      </w:pPr>
      <w:r>
        <w:rPr>
          <w:lang w:eastAsia="ja-JP"/>
        </w:rPr>
        <w:t xml:space="preserve">The pivotal clinical efficacy studies utilised the same formulation of </w:t>
      </w:r>
      <w:proofErr w:type="spellStart"/>
      <w:r>
        <w:rPr>
          <w:lang w:eastAsia="ja-JP"/>
        </w:rPr>
        <w:t>cabozantinib</w:t>
      </w:r>
      <w:proofErr w:type="spellEnd"/>
      <w:r>
        <w:rPr>
          <w:lang w:eastAsia="ja-JP"/>
        </w:rPr>
        <w:t xml:space="preserve"> </w:t>
      </w:r>
      <w:r w:rsidR="004428B2">
        <w:rPr>
          <w:lang w:eastAsia="ja-JP"/>
        </w:rPr>
        <w:t>that is intended for marketing.</w:t>
      </w:r>
    </w:p>
    <w:p w:rsidR="00CD7E26" w:rsidRPr="00C37A1D" w:rsidRDefault="00CD7E26" w:rsidP="00CD7E26">
      <w:pPr>
        <w:pStyle w:val="Heading6"/>
      </w:pPr>
      <w:r w:rsidRPr="00C37A1D">
        <w:t>Bioequivalence of different dosage forms and strengths</w:t>
      </w:r>
    </w:p>
    <w:p w:rsidR="00CD7E26" w:rsidRDefault="00CD7E26" w:rsidP="00CD7E26">
      <w:pPr>
        <w:rPr>
          <w:lang w:eastAsia="ja-JP"/>
        </w:rPr>
      </w:pPr>
      <w:r>
        <w:rPr>
          <w:lang w:eastAsia="ja-JP"/>
        </w:rPr>
        <w:t>Although the dose form used in the clinical studies was the tablet form, and is the formulation intended to be marketed, a capsule formulation and a tablet formulation were used in the clinical development program. The PK parameters and use of the two formulations are summarised below:</w:t>
      </w:r>
    </w:p>
    <w:p w:rsidR="00CD7E26" w:rsidRDefault="00CD7E26" w:rsidP="000756FA">
      <w:pPr>
        <w:pStyle w:val="Tabletitle"/>
      </w:pPr>
      <w:bookmarkStart w:id="79" w:name="_Toc494205919"/>
      <w:r>
        <w:lastRenderedPageBreak/>
        <w:t xml:space="preserve">Table </w:t>
      </w:r>
      <w:r w:rsidR="000756FA">
        <w:t>4</w:t>
      </w:r>
      <w:r>
        <w:t xml:space="preserve">: Single dose mean (%CV) PK parameters of </w:t>
      </w:r>
      <w:proofErr w:type="spellStart"/>
      <w:r>
        <w:t>cabozantinib</w:t>
      </w:r>
      <w:proofErr w:type="spellEnd"/>
      <w:r>
        <w:t xml:space="preserve"> across studies after an 80 or 140 mg FBE capsule</w:t>
      </w:r>
      <w:bookmarkEnd w:id="79"/>
    </w:p>
    <w:p w:rsidR="00CD7E26" w:rsidRDefault="00CD7E26" w:rsidP="00CD7E26">
      <w:pPr>
        <w:rPr>
          <w:lang w:eastAsia="ja-JP"/>
        </w:rPr>
      </w:pPr>
      <w:r w:rsidRPr="00444819">
        <w:rPr>
          <w:noProof/>
          <w:lang w:eastAsia="en-AU"/>
        </w:rPr>
        <w:drawing>
          <wp:inline distT="0" distB="0" distL="0" distR="0" wp14:anchorId="4EEE0062" wp14:editId="1B919BF3">
            <wp:extent cx="5730094" cy="2340244"/>
            <wp:effectExtent l="0" t="0" r="4445" b="3175"/>
            <wp:docPr id="116" name="Picture 116" descr="Table 4: Single dose mean (%CV) PK parameters of cabozantinib across studies after an 80 or 140 mg FBE caps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b="1629"/>
                    <a:stretch/>
                  </pic:blipFill>
                  <pic:spPr bwMode="auto">
                    <a:xfrm>
                      <a:off x="0" y="0"/>
                      <a:ext cx="5731510" cy="2340822"/>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0756FA">
      <w:pPr>
        <w:pStyle w:val="Tabletitle"/>
      </w:pPr>
      <w:bookmarkStart w:id="80" w:name="_Toc494205920"/>
      <w:r>
        <w:t xml:space="preserve">Table </w:t>
      </w:r>
      <w:r w:rsidR="000756FA">
        <w:t>5</w:t>
      </w:r>
      <w:r>
        <w:t xml:space="preserve">: Single dose mean (%CV) PK parameters of </w:t>
      </w:r>
      <w:proofErr w:type="spellStart"/>
      <w:r>
        <w:t>cabozantinib</w:t>
      </w:r>
      <w:proofErr w:type="spellEnd"/>
      <w:r>
        <w:t xml:space="preserve"> after a tablet dose of 20, 40, 60, 80 or 140 mg FBE</w:t>
      </w:r>
      <w:bookmarkEnd w:id="80"/>
    </w:p>
    <w:p w:rsidR="00CD7E26" w:rsidRDefault="00CD7E26" w:rsidP="00CD7E26">
      <w:pPr>
        <w:rPr>
          <w:lang w:eastAsia="ja-JP"/>
        </w:rPr>
      </w:pPr>
      <w:r w:rsidRPr="00444819">
        <w:rPr>
          <w:noProof/>
          <w:lang w:eastAsia="en-AU"/>
        </w:rPr>
        <w:drawing>
          <wp:inline distT="0" distB="0" distL="0" distR="0" wp14:anchorId="3C1885C8" wp14:editId="13D10E98">
            <wp:extent cx="5733031" cy="2743200"/>
            <wp:effectExtent l="0" t="0" r="1270" b="0"/>
            <wp:docPr id="117" name="Picture 117" descr="Table 5: Single dose mean (%CV) PK parameters of cabozantinib after a tablet dose of 20, 40, 60, 80 or 140 mg 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b="1666"/>
                    <a:stretch/>
                  </pic:blipFill>
                  <pic:spPr bwMode="auto">
                    <a:xfrm>
                      <a:off x="0" y="0"/>
                      <a:ext cx="5731510" cy="2742472"/>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rPr>
          <w:lang w:val="en-NZ"/>
        </w:rPr>
      </w:pPr>
      <w:r>
        <w:rPr>
          <w:lang w:val="en-NZ"/>
        </w:rPr>
        <w:t>The geometric least squared mean (LSM) values for AUC</w:t>
      </w:r>
      <w:r>
        <w:rPr>
          <w:sz w:val="16"/>
          <w:szCs w:val="16"/>
          <w:lang w:val="en-NZ"/>
        </w:rPr>
        <w:t xml:space="preserve">0-t </w:t>
      </w:r>
      <w:r>
        <w:rPr>
          <w:lang w:val="en-NZ"/>
        </w:rPr>
        <w:t>and AUC</w:t>
      </w:r>
      <w:r>
        <w:rPr>
          <w:sz w:val="16"/>
          <w:szCs w:val="16"/>
          <w:lang w:val="en-NZ"/>
        </w:rPr>
        <w:t xml:space="preserve">0-inf </w:t>
      </w:r>
      <w:r>
        <w:rPr>
          <w:lang w:val="en-NZ"/>
        </w:rPr>
        <w:t>values were slightly (8%) higher for the tablet formulation treatment relative to the capsule formulation treatment. The 90% CIs around the ratios of geometric LSM values were within the pre-specified bioequivalence limits of 80.00% - 125.00% for both AUC</w:t>
      </w:r>
      <w:r w:rsidRPr="003E7498">
        <w:rPr>
          <w:sz w:val="16"/>
          <w:szCs w:val="16"/>
          <w:vertAlign w:val="subscript"/>
          <w:lang w:val="en-NZ"/>
        </w:rPr>
        <w:t>0-t</w:t>
      </w:r>
      <w:r>
        <w:rPr>
          <w:sz w:val="16"/>
          <w:szCs w:val="16"/>
          <w:lang w:val="en-NZ"/>
        </w:rPr>
        <w:t xml:space="preserve"> </w:t>
      </w:r>
      <w:r>
        <w:rPr>
          <w:lang w:val="en-NZ"/>
        </w:rPr>
        <w:t>and AUC</w:t>
      </w:r>
      <w:r w:rsidRPr="003E7498">
        <w:rPr>
          <w:sz w:val="16"/>
          <w:szCs w:val="16"/>
          <w:vertAlign w:val="subscript"/>
          <w:lang w:val="en-NZ"/>
        </w:rPr>
        <w:t>0-inf</w:t>
      </w:r>
      <w:r>
        <w:rPr>
          <w:lang w:val="en-NZ"/>
        </w:rPr>
        <w:t xml:space="preserve">. The </w:t>
      </w:r>
      <w:proofErr w:type="spellStart"/>
      <w:r>
        <w:rPr>
          <w:lang w:val="en-NZ"/>
        </w:rPr>
        <w:t>C</w:t>
      </w:r>
      <w:r w:rsidRPr="003E7498">
        <w:rPr>
          <w:sz w:val="16"/>
          <w:szCs w:val="16"/>
          <w:vertAlign w:val="subscript"/>
          <w:lang w:val="en-NZ"/>
        </w:rPr>
        <w:t>max</w:t>
      </w:r>
      <w:proofErr w:type="spellEnd"/>
      <w:r>
        <w:rPr>
          <w:sz w:val="16"/>
          <w:szCs w:val="16"/>
          <w:lang w:val="en-NZ"/>
        </w:rPr>
        <w:t xml:space="preserve"> </w:t>
      </w:r>
      <w:r>
        <w:rPr>
          <w:lang w:val="en-NZ"/>
        </w:rPr>
        <w:t>value was 19% higher for the tablet formulation cohort compared to the capsule formulation cohort, and the upper limit of the 90% CI around the ratio of geometric LSM value (131.65%) was outside the specified BE limit acceptance range of 80.00% - 125.00%. Therefore, the BE of the two formulations could not be demonstrated.</w:t>
      </w:r>
    </w:p>
    <w:p w:rsidR="00CD7E26" w:rsidRDefault="00CD7E26" w:rsidP="00CD7E26">
      <w:pPr>
        <w:pStyle w:val="Comment"/>
        <w:rPr>
          <w:lang w:val="en-NZ"/>
        </w:rPr>
      </w:pPr>
      <w:r w:rsidRPr="004428B2">
        <w:rPr>
          <w:b/>
        </w:rPr>
        <w:t>Comment:</w:t>
      </w:r>
      <w:r w:rsidR="004428B2">
        <w:tab/>
      </w:r>
      <w:r w:rsidRPr="004428B2">
        <w:t>The tablet formulation is intended to be the final dose form for marketing and was</w:t>
      </w:r>
      <w:r>
        <w:rPr>
          <w:lang w:val="en-NZ"/>
        </w:rPr>
        <w:t xml:space="preserve"> used i</w:t>
      </w:r>
      <w:r w:rsidR="004428B2">
        <w:rPr>
          <w:lang w:val="en-NZ"/>
        </w:rPr>
        <w:t>n the pivotal clinical studies.</w:t>
      </w:r>
    </w:p>
    <w:p w:rsidR="00CD7E26" w:rsidRPr="00C37A1D" w:rsidRDefault="00CD7E26" w:rsidP="00CD7E26">
      <w:pPr>
        <w:pStyle w:val="Heading6"/>
      </w:pPr>
      <w:r w:rsidRPr="00C37A1D">
        <w:t>Influence of food</w:t>
      </w:r>
    </w:p>
    <w:p w:rsidR="00CD7E26" w:rsidRPr="005D357D" w:rsidRDefault="00CD7E26" w:rsidP="00CD7E26">
      <w:r>
        <w:rPr>
          <w:lang w:eastAsia="ja-JP"/>
        </w:rPr>
        <w:t>Food effects were investigated in S</w:t>
      </w:r>
      <w:r w:rsidRPr="005D357D">
        <w:rPr>
          <w:lang w:eastAsia="ja-JP"/>
        </w:rPr>
        <w:t xml:space="preserve">tudy </w:t>
      </w:r>
      <w:hyperlink w:anchor="_XL184-004_A_Phase" w:history="1">
        <w:r w:rsidRPr="005D357D">
          <w:rPr>
            <w:rStyle w:val="Hyperlink"/>
            <w:color w:val="auto"/>
            <w:u w:val="none"/>
            <w:lang w:eastAsia="ja-JP"/>
          </w:rPr>
          <w:t>XL184-004</w:t>
        </w:r>
      </w:hyperlink>
      <w:r>
        <w:rPr>
          <w:lang w:eastAsia="ja-JP"/>
        </w:rPr>
        <w:t>.</w:t>
      </w:r>
      <w:r w:rsidRPr="005D357D">
        <w:rPr>
          <w:lang w:eastAsia="ja-JP"/>
        </w:rPr>
        <w:t xml:space="preserve"> </w:t>
      </w:r>
      <w:r w:rsidRPr="005D357D">
        <w:rPr>
          <w:lang w:val="en-NZ"/>
        </w:rPr>
        <w:t xml:space="preserve">A high fat meal was shown to significantly increase </w:t>
      </w:r>
      <w:proofErr w:type="spellStart"/>
      <w:r w:rsidRPr="005D357D">
        <w:rPr>
          <w:lang w:val="en-NZ"/>
        </w:rPr>
        <w:t>cabozantinib</w:t>
      </w:r>
      <w:proofErr w:type="spellEnd"/>
      <w:r w:rsidRPr="005D357D">
        <w:rPr>
          <w:lang w:val="en-NZ"/>
        </w:rPr>
        <w:t xml:space="preserve"> systemic exposure (</w:t>
      </w:r>
      <w:proofErr w:type="spellStart"/>
      <w:r w:rsidRPr="005D357D">
        <w:rPr>
          <w:lang w:val="en-NZ"/>
        </w:rPr>
        <w:t>C</w:t>
      </w:r>
      <w:r w:rsidRPr="005D357D">
        <w:rPr>
          <w:sz w:val="16"/>
          <w:szCs w:val="16"/>
          <w:lang w:val="en-NZ"/>
        </w:rPr>
        <w:t>max</w:t>
      </w:r>
      <w:proofErr w:type="spellEnd"/>
      <w:r w:rsidRPr="005D357D">
        <w:rPr>
          <w:sz w:val="16"/>
          <w:szCs w:val="16"/>
          <w:lang w:val="en-NZ"/>
        </w:rPr>
        <w:t xml:space="preserve"> </w:t>
      </w:r>
      <w:r w:rsidRPr="005D357D">
        <w:rPr>
          <w:lang w:val="en-NZ"/>
        </w:rPr>
        <w:t xml:space="preserve">and AUC values by 39% and 56%, respectively) </w:t>
      </w:r>
      <w:r w:rsidRPr="005D357D">
        <w:rPr>
          <w:lang w:val="en-NZ"/>
        </w:rPr>
        <w:lastRenderedPageBreak/>
        <w:t xml:space="preserve">in normal healthy subjects. Therefore, administration of </w:t>
      </w:r>
      <w:proofErr w:type="spellStart"/>
      <w:r w:rsidRPr="005D357D">
        <w:rPr>
          <w:lang w:val="en-NZ"/>
        </w:rPr>
        <w:t>cabozantinib</w:t>
      </w:r>
      <w:proofErr w:type="spellEnd"/>
      <w:r w:rsidRPr="005D357D">
        <w:rPr>
          <w:lang w:val="en-NZ"/>
        </w:rPr>
        <w:t xml:space="preserve"> capsule formulation is recommended in the fasted state</w:t>
      </w:r>
      <w:r w:rsidRPr="005D357D">
        <w:t>.</w:t>
      </w:r>
    </w:p>
    <w:p w:rsidR="00CD7E26" w:rsidRPr="005D357D" w:rsidRDefault="00CD7E26" w:rsidP="004428B2">
      <w:pPr>
        <w:pStyle w:val="Comment"/>
        <w:rPr>
          <w:lang w:eastAsia="ja-JP"/>
        </w:rPr>
      </w:pPr>
      <w:r w:rsidRPr="004428B2">
        <w:rPr>
          <w:b/>
          <w:lang w:val="en-NZ"/>
        </w:rPr>
        <w:t>C</w:t>
      </w:r>
      <w:proofErr w:type="spellStart"/>
      <w:r w:rsidRPr="004428B2">
        <w:rPr>
          <w:b/>
        </w:rPr>
        <w:t>omment</w:t>
      </w:r>
      <w:proofErr w:type="spellEnd"/>
      <w:r w:rsidRPr="005D357D">
        <w:rPr>
          <w:b/>
          <w:lang w:val="en-NZ"/>
        </w:rPr>
        <w:t>:</w:t>
      </w:r>
      <w:r w:rsidR="004428B2">
        <w:rPr>
          <w:b/>
          <w:lang w:val="en-NZ"/>
        </w:rPr>
        <w:tab/>
      </w:r>
      <w:r w:rsidRPr="005D357D">
        <w:rPr>
          <w:lang w:val="en-NZ"/>
        </w:rPr>
        <w:t xml:space="preserve">The prescribing information has the instructions not to eat for at least 2 hours before and 1 </w:t>
      </w:r>
      <w:r w:rsidR="004428B2">
        <w:rPr>
          <w:lang w:val="en-NZ"/>
        </w:rPr>
        <w:t xml:space="preserve">hour after taking </w:t>
      </w:r>
      <w:proofErr w:type="spellStart"/>
      <w:r w:rsidR="004428B2">
        <w:rPr>
          <w:lang w:val="en-NZ"/>
        </w:rPr>
        <w:t>cabozantinib</w:t>
      </w:r>
      <w:proofErr w:type="spellEnd"/>
      <w:r w:rsidR="004428B2">
        <w:rPr>
          <w:lang w:val="en-NZ"/>
        </w:rPr>
        <w:t>.</w:t>
      </w:r>
    </w:p>
    <w:p w:rsidR="00CD7E26" w:rsidRPr="005D357D" w:rsidRDefault="00CD7E26" w:rsidP="00CD7E26">
      <w:pPr>
        <w:pStyle w:val="Heading6"/>
      </w:pPr>
      <w:r w:rsidRPr="005D357D">
        <w:t>Dose proportionality</w:t>
      </w:r>
    </w:p>
    <w:p w:rsidR="00CD7E26" w:rsidRDefault="00CD7E26" w:rsidP="00CD7E26">
      <w:pPr>
        <w:rPr>
          <w:lang w:val="en-NZ"/>
        </w:rPr>
      </w:pPr>
      <w:r w:rsidRPr="005D357D">
        <w:rPr>
          <w:lang w:val="en-NZ"/>
        </w:rPr>
        <w:t xml:space="preserve">Dose proportionality was investigated in </w:t>
      </w:r>
      <w:r w:rsidRPr="005D357D">
        <w:t xml:space="preserve">study </w:t>
      </w:r>
      <w:hyperlink w:anchor="_XL184-020__A" w:history="1">
        <w:r w:rsidRPr="005D357D">
          <w:rPr>
            <w:rStyle w:val="Hyperlink"/>
            <w:color w:val="auto"/>
            <w:u w:val="none"/>
          </w:rPr>
          <w:t>XL184-020</w:t>
        </w:r>
      </w:hyperlink>
      <w:r w:rsidRPr="005D357D">
        <w:rPr>
          <w:lang w:val="en-NZ"/>
        </w:rPr>
        <w:t>.</w:t>
      </w:r>
      <w:r>
        <w:rPr>
          <w:lang w:val="en-NZ"/>
        </w:rPr>
        <w:t xml:space="preserve"> </w:t>
      </w:r>
      <w:proofErr w:type="spellStart"/>
      <w:r w:rsidRPr="005D357D">
        <w:rPr>
          <w:lang w:val="en-NZ"/>
        </w:rPr>
        <w:t>Cabozantinib</w:t>
      </w:r>
      <w:proofErr w:type="spellEnd"/>
      <w:r w:rsidRPr="005D357D">
        <w:rPr>
          <w:lang w:val="en-NZ"/>
        </w:rPr>
        <w:t xml:space="preserve"> tablets were demonstrated to be dose proportional across the range 20 mg to 140 </w:t>
      </w:r>
      <w:r>
        <w:rPr>
          <w:lang w:val="en-NZ"/>
        </w:rPr>
        <w:t>mg.</w:t>
      </w:r>
    </w:p>
    <w:p w:rsidR="00CD7E26" w:rsidRPr="00C37A1D" w:rsidRDefault="00CD7E26" w:rsidP="00CD7E26">
      <w:pPr>
        <w:pStyle w:val="Heading6"/>
      </w:pPr>
      <w:r w:rsidRPr="00C37A1D">
        <w:t>Bioavailability during multiple-dosing</w:t>
      </w:r>
    </w:p>
    <w:p w:rsidR="00CD7E26" w:rsidRDefault="00CD7E26" w:rsidP="00CD7E26">
      <w:pPr>
        <w:rPr>
          <w:lang w:eastAsia="ja-JP"/>
        </w:rPr>
      </w:pPr>
      <w:r>
        <w:rPr>
          <w:lang w:eastAsia="ja-JP"/>
        </w:rPr>
        <w:t xml:space="preserve">After multiple daily doses, the AUC and </w:t>
      </w:r>
      <w:proofErr w:type="spellStart"/>
      <w:r>
        <w:rPr>
          <w:lang w:eastAsia="ja-JP"/>
        </w:rPr>
        <w:t>Cmax</w:t>
      </w:r>
      <w:proofErr w:type="spellEnd"/>
      <w:r>
        <w:rPr>
          <w:lang w:eastAsia="ja-JP"/>
        </w:rPr>
        <w:t xml:space="preserve"> values of XL184 increased; the mean AUC ratio on Day 19 (steady-state) to Day 1 was 5.4-fold at the 175 mg (S)-malate salt weight (140 mg FBE) capsule dose. </w:t>
      </w:r>
    </w:p>
    <w:p w:rsidR="00CD7E26" w:rsidRPr="00F008C0" w:rsidRDefault="00CD7E26" w:rsidP="00F008C0">
      <w:pPr>
        <w:pStyle w:val="Heading5"/>
      </w:pPr>
      <w:r w:rsidRPr="00F008C0">
        <w:t>Distribution</w:t>
      </w:r>
    </w:p>
    <w:p w:rsidR="00CD7E26" w:rsidRDefault="00CD7E26" w:rsidP="00CD7E26">
      <w:pPr>
        <w:pStyle w:val="Heading6"/>
      </w:pPr>
      <w:r>
        <w:t>Volume of Distribution</w:t>
      </w:r>
    </w:p>
    <w:p w:rsidR="00CD7E26" w:rsidRPr="00EF230C" w:rsidRDefault="00CD7E26" w:rsidP="00CD7E26">
      <w:r>
        <w:t>Based on population PK modelling the estimated volume of distribution is 319L.</w:t>
      </w:r>
    </w:p>
    <w:p w:rsidR="00CD7E26" w:rsidRDefault="00CD7E26" w:rsidP="00CD7E26">
      <w:pPr>
        <w:pStyle w:val="Heading6"/>
      </w:pPr>
      <w:r w:rsidRPr="00533011">
        <w:t xml:space="preserve">Plasma </w:t>
      </w:r>
      <w:r w:rsidRPr="00EF230C">
        <w:t>protein</w:t>
      </w:r>
      <w:r w:rsidRPr="00533011">
        <w:t xml:space="preserve"> binding</w:t>
      </w:r>
    </w:p>
    <w:p w:rsidR="00CD7E26" w:rsidRDefault="00CD7E26" w:rsidP="00CD7E26">
      <w:pPr>
        <w:rPr>
          <w:lang w:val="en-NZ"/>
        </w:rPr>
      </w:pPr>
      <w:proofErr w:type="spellStart"/>
      <w:r>
        <w:rPr>
          <w:lang w:val="en-NZ"/>
        </w:rPr>
        <w:t>Cabozantinib</w:t>
      </w:r>
      <w:proofErr w:type="spellEnd"/>
      <w:r>
        <w:rPr>
          <w:lang w:val="en-NZ"/>
        </w:rPr>
        <w:t xml:space="preserve"> was highly plasma protein bound at all concentration levels tested; the percentage bound was &gt;99.9% for both the 0.2 and 1.0 </w:t>
      </w:r>
      <w:proofErr w:type="spellStart"/>
      <w:r>
        <w:rPr>
          <w:lang w:val="en-NZ"/>
        </w:rPr>
        <w:t>μM</w:t>
      </w:r>
      <w:proofErr w:type="spellEnd"/>
      <w:r>
        <w:rPr>
          <w:lang w:val="en-NZ"/>
        </w:rPr>
        <w:t xml:space="preserve"> levels, and 99.7% at 10 </w:t>
      </w:r>
      <w:proofErr w:type="spellStart"/>
      <w:r>
        <w:rPr>
          <w:lang w:val="en-NZ"/>
        </w:rPr>
        <w:t>μM</w:t>
      </w:r>
      <w:proofErr w:type="spellEnd"/>
      <w:r>
        <w:rPr>
          <w:lang w:val="en-NZ"/>
        </w:rPr>
        <w:t xml:space="preserve"> level. The slightly lower percentage at 10 </w:t>
      </w:r>
      <w:proofErr w:type="spellStart"/>
      <w:r>
        <w:rPr>
          <w:lang w:val="en-NZ"/>
        </w:rPr>
        <w:t>μM</w:t>
      </w:r>
      <w:proofErr w:type="spellEnd"/>
      <w:r>
        <w:rPr>
          <w:lang w:val="en-NZ"/>
        </w:rPr>
        <w:t xml:space="preserve"> suggests that protein binding sites may start to become saturated at high </w:t>
      </w:r>
      <w:proofErr w:type="spellStart"/>
      <w:r>
        <w:rPr>
          <w:lang w:val="en-NZ"/>
        </w:rPr>
        <w:t>cabozantinib</w:t>
      </w:r>
      <w:proofErr w:type="spellEnd"/>
      <w:r>
        <w:rPr>
          <w:lang w:val="en-NZ"/>
        </w:rPr>
        <w:t xml:space="preserve"> concentrations. For comparison, once-daily dosing with 60 mg </w:t>
      </w:r>
      <w:proofErr w:type="spellStart"/>
      <w:r>
        <w:rPr>
          <w:lang w:val="en-NZ"/>
        </w:rPr>
        <w:t>cabozantinib</w:t>
      </w:r>
      <w:proofErr w:type="spellEnd"/>
      <w:r>
        <w:rPr>
          <w:lang w:val="en-NZ"/>
        </w:rPr>
        <w:t xml:space="preserve"> (XL184) freebase equivalent (FBE) /day yields steady-state plasma concentrations values of approximately 2.5 </w:t>
      </w:r>
      <w:proofErr w:type="spellStart"/>
      <w:r>
        <w:rPr>
          <w:lang w:val="en-NZ"/>
        </w:rPr>
        <w:t>μM</w:t>
      </w:r>
      <w:proofErr w:type="spellEnd"/>
      <w:r>
        <w:rPr>
          <w:lang w:val="en-NZ"/>
        </w:rPr>
        <w:t xml:space="preserve"> in subjects with RCC.</w:t>
      </w:r>
    </w:p>
    <w:p w:rsidR="00CD7E26" w:rsidRPr="008131BF" w:rsidRDefault="00CD7E26" w:rsidP="00CD7E26">
      <w:r>
        <w:t xml:space="preserve">Plasma protein binding of </w:t>
      </w:r>
      <w:proofErr w:type="spellStart"/>
      <w:r>
        <w:t>cabozantinib</w:t>
      </w:r>
      <w:proofErr w:type="spellEnd"/>
      <w:r>
        <w:t xml:space="preserve"> was evaluated in vitro (pre-dose samples) and in vivo (after 4 hours’ post-dose samples) in subjects with renal impairment (Study Report XL184-017). In the in vitro assay, the mean protein binding of </w:t>
      </w:r>
      <w:proofErr w:type="spellStart"/>
      <w:r>
        <w:t>cabozantinib</w:t>
      </w:r>
      <w:proofErr w:type="spellEnd"/>
      <w:r>
        <w:t xml:space="preserve"> in the mild and moderate renal impairment groups (99.86% and 99.76%, respectively) was similar to that of the matched healthy subjects (99.70%). In the 4-hour post-dose in vivo samples, the mean protein binding of </w:t>
      </w:r>
      <w:proofErr w:type="spellStart"/>
      <w:r>
        <w:t>cabozantinib</w:t>
      </w:r>
      <w:proofErr w:type="spellEnd"/>
      <w:r>
        <w:t xml:space="preserve"> in the healthy control group (99.72%) was also approximately equivalent to that in the mild renal impairment group (99.76%) and the moderate renal impairment group (99.64%).</w:t>
      </w:r>
    </w:p>
    <w:p w:rsidR="00CD7E26" w:rsidRPr="00533011" w:rsidRDefault="00CD7E26" w:rsidP="00CD7E26">
      <w:pPr>
        <w:pStyle w:val="Heading6"/>
      </w:pPr>
      <w:r w:rsidRPr="00533011">
        <w:t>Erythrocyte distribution</w:t>
      </w:r>
    </w:p>
    <w:p w:rsidR="00CD7E26" w:rsidRDefault="00CD7E26" w:rsidP="00CD7E26">
      <w:pPr>
        <w:rPr>
          <w:lang w:eastAsia="ja-JP"/>
        </w:rPr>
      </w:pPr>
      <w:r>
        <w:rPr>
          <w:lang w:eastAsia="ja-JP"/>
        </w:rPr>
        <w:t xml:space="preserve">In the mass balance study (XL184-012) the mean percent total radioactivity associated with erythrocytes in blood was less than 13%. </w:t>
      </w:r>
      <w:r>
        <w:rPr>
          <w:lang w:val="en-NZ"/>
        </w:rPr>
        <w:t>The mean values of systemic exposures (AUC</w:t>
      </w:r>
      <w:r>
        <w:rPr>
          <w:sz w:val="14"/>
          <w:szCs w:val="14"/>
          <w:lang w:val="en-NZ"/>
        </w:rPr>
        <w:t xml:space="preserve">0-24 </w:t>
      </w:r>
      <w:r>
        <w:rPr>
          <w:lang w:val="en-NZ"/>
        </w:rPr>
        <w:t>and AUC</w:t>
      </w:r>
      <w:r>
        <w:rPr>
          <w:sz w:val="14"/>
          <w:szCs w:val="14"/>
          <w:lang w:val="en-NZ"/>
        </w:rPr>
        <w:t>0-72</w:t>
      </w:r>
      <w:r>
        <w:rPr>
          <w:lang w:val="en-NZ"/>
        </w:rPr>
        <w:t xml:space="preserve">) in plasma were around 1.6 times higher than those in whole blood. The mean percent total radioactivity concentration present in erythrocytes relative to whole blood were determined and ranged from 0.174 </w:t>
      </w:r>
      <w:r>
        <w:rPr>
          <w:rFonts w:ascii="Symbol" w:hAnsi="Symbol" w:cs="Symbol"/>
          <w:lang w:val="en-NZ"/>
        </w:rPr>
        <w:t></w:t>
      </w:r>
      <w:r>
        <w:rPr>
          <w:rFonts w:ascii="Symbol" w:hAnsi="Symbol" w:cs="Symbol"/>
          <w:lang w:val="en-NZ"/>
        </w:rPr>
        <w:t></w:t>
      </w:r>
      <w:r>
        <w:rPr>
          <w:rFonts w:ascii="Symbol" w:hAnsi="Symbol" w:cs="Symbol"/>
          <w:lang w:val="en-NZ"/>
        </w:rPr>
        <w:t></w:t>
      </w:r>
      <w:r>
        <w:rPr>
          <w:rFonts w:ascii="Symbol" w:hAnsi="Symbol" w:cs="Symbol"/>
          <w:lang w:val="en-NZ"/>
        </w:rPr>
        <w:t></w:t>
      </w:r>
      <w:r>
        <w:rPr>
          <w:lang w:val="en-NZ"/>
        </w:rPr>
        <w:t xml:space="preserve">4.51% to 12.3 </w:t>
      </w:r>
      <w:r>
        <w:rPr>
          <w:rFonts w:ascii="Symbol" w:hAnsi="Symbol" w:cs="Symbol"/>
          <w:lang w:val="en-NZ"/>
        </w:rPr>
        <w:t></w:t>
      </w:r>
      <w:r>
        <w:rPr>
          <w:rFonts w:ascii="Symbol" w:hAnsi="Symbol" w:cs="Symbol"/>
          <w:lang w:val="en-NZ"/>
        </w:rPr>
        <w:t></w:t>
      </w:r>
      <w:r>
        <w:rPr>
          <w:rFonts w:ascii="Symbol" w:hAnsi="Symbol" w:cs="Symbol"/>
          <w:lang w:val="en-NZ"/>
        </w:rPr>
        <w:t></w:t>
      </w:r>
      <w:r>
        <w:rPr>
          <w:rFonts w:ascii="Symbol" w:hAnsi="Symbol" w:cs="Symbol"/>
          <w:lang w:val="en-NZ"/>
        </w:rPr>
        <w:t></w:t>
      </w:r>
      <w:r>
        <w:rPr>
          <w:lang w:val="en-NZ"/>
        </w:rPr>
        <w:t>3.71% within 72 hours after single dosing, indicating that radioactivity was present primarily in plasma and not markedly associated with red blood cells.</w:t>
      </w:r>
    </w:p>
    <w:p w:rsidR="00CD7E26" w:rsidRPr="00F008C0" w:rsidRDefault="00CD7E26" w:rsidP="00F008C0">
      <w:pPr>
        <w:pStyle w:val="Heading5"/>
      </w:pPr>
      <w:bookmarkStart w:id="81" w:name="_Toc272414622"/>
      <w:bookmarkStart w:id="82" w:name="_Toc290888471"/>
      <w:bookmarkStart w:id="83" w:name="_Toc416353667"/>
      <w:r w:rsidRPr="00F008C0">
        <w:t>Metabolism</w:t>
      </w:r>
      <w:bookmarkEnd w:id="81"/>
      <w:bookmarkEnd w:id="82"/>
      <w:bookmarkEnd w:id="83"/>
    </w:p>
    <w:p w:rsidR="00CD7E26" w:rsidRPr="00533011" w:rsidRDefault="00CD7E26" w:rsidP="00CD7E26">
      <w:pPr>
        <w:pStyle w:val="Heading6"/>
      </w:pPr>
      <w:r w:rsidRPr="00533011">
        <w:t>Sites of metabolism and mechanisms / enzyme systems involved</w:t>
      </w:r>
    </w:p>
    <w:p w:rsidR="00CD7E26" w:rsidRDefault="00CD7E26" w:rsidP="00CD7E26">
      <w:pPr>
        <w:rPr>
          <w:lang w:eastAsia="ja-JP"/>
        </w:rPr>
      </w:pPr>
      <w:r>
        <w:rPr>
          <w:i/>
          <w:lang w:eastAsia="ja-JP"/>
        </w:rPr>
        <w:t>In-vitro</w:t>
      </w:r>
      <w:r>
        <w:rPr>
          <w:lang w:eastAsia="ja-JP"/>
        </w:rPr>
        <w:t xml:space="preserve"> data suggest that </w:t>
      </w:r>
      <w:proofErr w:type="spellStart"/>
      <w:r>
        <w:rPr>
          <w:lang w:eastAsia="ja-JP"/>
        </w:rPr>
        <w:t>cabozantinib</w:t>
      </w:r>
      <w:proofErr w:type="spellEnd"/>
      <w:r>
        <w:rPr>
          <w:lang w:eastAsia="ja-JP"/>
        </w:rPr>
        <w:t xml:space="preserve"> metabolism is dependent in part on hepatic cytochrome P450 systems, a limited number were tested but appear to be CYP3A4 and to a </w:t>
      </w:r>
      <w:r w:rsidR="00F008C0">
        <w:rPr>
          <w:lang w:eastAsia="ja-JP"/>
        </w:rPr>
        <w:t>lesser extend CYP2C9 dependent.</w:t>
      </w:r>
    </w:p>
    <w:p w:rsidR="00CD7E26" w:rsidRPr="00533011" w:rsidRDefault="00CD7E26" w:rsidP="00CD7E26">
      <w:pPr>
        <w:pStyle w:val="Heading6"/>
      </w:pPr>
      <w:r w:rsidRPr="00533011">
        <w:lastRenderedPageBreak/>
        <w:t>Metabolites identif</w:t>
      </w:r>
      <w:r w:rsidR="00F008C0">
        <w:t>ied in humans: active and other</w:t>
      </w:r>
    </w:p>
    <w:p w:rsidR="00CD7E26" w:rsidRDefault="00CD7E26" w:rsidP="00447B66">
      <w:pPr>
        <w:pStyle w:val="FigureTitle"/>
      </w:pPr>
      <w:bookmarkStart w:id="84" w:name="_Toc494205993"/>
      <w:r w:rsidRPr="00C43665">
        <w:t xml:space="preserve">Figure </w:t>
      </w:r>
      <w:r w:rsidR="00447B66">
        <w:t>1</w:t>
      </w:r>
      <w:r w:rsidRPr="00C43665">
        <w:t xml:space="preserve">: </w:t>
      </w:r>
      <w:proofErr w:type="spellStart"/>
      <w:r>
        <w:t>Cabozantinib</w:t>
      </w:r>
      <w:proofErr w:type="spellEnd"/>
      <w:r>
        <w:t xml:space="preserve"> metabolites identified in human plasma, urine and f</w:t>
      </w:r>
      <w:r w:rsidRPr="005D357D">
        <w:t>aeces</w:t>
      </w:r>
      <w:bookmarkEnd w:id="84"/>
    </w:p>
    <w:p w:rsidR="00CD7E26" w:rsidRDefault="00CD7E26" w:rsidP="00CD7E26">
      <w:pPr>
        <w:jc w:val="both"/>
        <w:rPr>
          <w:lang w:eastAsia="ja-JP"/>
        </w:rPr>
      </w:pPr>
      <w:r w:rsidRPr="006D7E19">
        <w:rPr>
          <w:noProof/>
          <w:lang w:eastAsia="en-AU"/>
        </w:rPr>
        <w:drawing>
          <wp:inline distT="0" distB="0" distL="0" distR="0" wp14:anchorId="562994E4" wp14:editId="1441C719">
            <wp:extent cx="5649155" cy="4672739"/>
            <wp:effectExtent l="0" t="0" r="8890" b="0"/>
            <wp:docPr id="118" name="Picture 118" descr="Figure 1: Cabozantinib metabolites identified in human plasma, urine and fa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lum bright="-20000" contrast="40000"/>
                      <a:extLst>
                        <a:ext uri="{28A0092B-C50C-407E-A947-70E740481C1C}">
                          <a14:useLocalDpi xmlns:a14="http://schemas.microsoft.com/office/drawing/2010/main" val="0"/>
                        </a:ext>
                      </a:extLst>
                    </a:blip>
                    <a:srcRect l="344" t="200" r="7719" b="10005"/>
                    <a:stretch/>
                  </pic:blipFill>
                  <pic:spPr bwMode="auto">
                    <a:xfrm>
                      <a:off x="0" y="0"/>
                      <a:ext cx="5657222" cy="4679412"/>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0756FA" w:rsidP="000756FA">
      <w:pPr>
        <w:pStyle w:val="Tabletitle"/>
      </w:pPr>
      <w:bookmarkStart w:id="85" w:name="_Toc494205921"/>
      <w:r>
        <w:t>Table 6</w:t>
      </w:r>
      <w:r w:rsidR="00CD7E26">
        <w:t>: Estimated IC50 values (</w:t>
      </w:r>
      <w:proofErr w:type="spellStart"/>
      <w:r w:rsidR="00CD7E26">
        <w:t>nM</w:t>
      </w:r>
      <w:proofErr w:type="spellEnd"/>
      <w:r w:rsidR="00CD7E26">
        <w:t xml:space="preserve">) for Selected Kinases for </w:t>
      </w:r>
      <w:proofErr w:type="spellStart"/>
      <w:r w:rsidR="00CD7E26">
        <w:t>Cabozantinib</w:t>
      </w:r>
      <w:proofErr w:type="spellEnd"/>
      <w:r w:rsidR="00CD7E26">
        <w:t xml:space="preserve"> and Metabolites</w:t>
      </w:r>
      <w:bookmarkEnd w:id="85"/>
    </w:p>
    <w:p w:rsidR="00267B6C" w:rsidRDefault="00CD7E26" w:rsidP="00267B6C">
      <w:r w:rsidRPr="009C611A">
        <w:rPr>
          <w:noProof/>
          <w:lang w:eastAsia="en-AU"/>
        </w:rPr>
        <w:drawing>
          <wp:inline distT="0" distB="0" distL="0" distR="0" wp14:anchorId="3A7FBC82" wp14:editId="516FAA6E">
            <wp:extent cx="4709547" cy="2898183"/>
            <wp:effectExtent l="0" t="0" r="0" b="0"/>
            <wp:docPr id="119" name="Picture 119" descr="Table 6: Estimated IC50 values (nM) for Selected Kinases for Cabozantinib and Metabo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b="1344"/>
                    <a:stretch/>
                  </pic:blipFill>
                  <pic:spPr bwMode="auto">
                    <a:xfrm>
                      <a:off x="0" y="0"/>
                      <a:ext cx="4713632" cy="2900697"/>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Pr="00267B6C" w:rsidRDefault="00CD7E26" w:rsidP="00267B6C">
      <w:r w:rsidRPr="00267B6C">
        <w:lastRenderedPageBreak/>
        <w:t xml:space="preserve">Non-conjugated metabolites are present only at low levels, and are less active than </w:t>
      </w:r>
      <w:proofErr w:type="spellStart"/>
      <w:r w:rsidRPr="00267B6C">
        <w:t>cabozanti</w:t>
      </w:r>
      <w:r w:rsidRPr="009C611A">
        <w:rPr>
          <w:lang w:eastAsia="ja-JP"/>
        </w:rPr>
        <w:t>nib</w:t>
      </w:r>
      <w:proofErr w:type="spellEnd"/>
    </w:p>
    <w:p w:rsidR="00CD7E26" w:rsidRPr="00533011" w:rsidRDefault="00CD7E26" w:rsidP="00CD7E26">
      <w:pPr>
        <w:pStyle w:val="Heading6"/>
      </w:pPr>
      <w:r w:rsidRPr="00533011">
        <w:t>Pharmacokinetics of metabolites</w:t>
      </w:r>
    </w:p>
    <w:p w:rsidR="00CD7E26" w:rsidRDefault="00CD7E26" w:rsidP="00CD7E26">
      <w:pPr>
        <w:rPr>
          <w:lang w:eastAsia="ja-JP"/>
        </w:rPr>
      </w:pPr>
      <w:r w:rsidRPr="009C611A">
        <w:rPr>
          <w:lang w:eastAsia="ja-JP"/>
        </w:rPr>
        <w:t>The t</w:t>
      </w:r>
      <w:r w:rsidRPr="009C611A">
        <w:rPr>
          <w:vertAlign w:val="subscript"/>
          <w:lang w:eastAsia="ja-JP"/>
        </w:rPr>
        <w:t>1/2</w:t>
      </w:r>
      <w:r w:rsidRPr="009C611A">
        <w:rPr>
          <w:lang w:eastAsia="ja-JP"/>
        </w:rPr>
        <w:t xml:space="preserve"> of the major 6-demethyl half-dimer sulphate metabolite could not be determined, but is </w:t>
      </w:r>
      <w:r>
        <w:rPr>
          <w:lang w:eastAsia="ja-JP"/>
        </w:rPr>
        <w:t>m</w:t>
      </w:r>
      <w:r w:rsidRPr="009C611A">
        <w:rPr>
          <w:lang w:eastAsia="ja-JP"/>
        </w:rPr>
        <w:t xml:space="preserve">uch longer than that of </w:t>
      </w:r>
      <w:proofErr w:type="spellStart"/>
      <w:r w:rsidRPr="009C611A">
        <w:rPr>
          <w:lang w:eastAsia="ja-JP"/>
        </w:rPr>
        <w:t>cabozantinib</w:t>
      </w:r>
      <w:proofErr w:type="spellEnd"/>
      <w:r w:rsidRPr="009C611A">
        <w:rPr>
          <w:lang w:eastAsia="ja-JP"/>
        </w:rPr>
        <w:t xml:space="preserve"> and the </w:t>
      </w:r>
      <w:r>
        <w:rPr>
          <w:lang w:eastAsia="ja-JP"/>
        </w:rPr>
        <w:t>other characterised metabolites</w:t>
      </w:r>
      <w:r w:rsidRPr="009C611A">
        <w:rPr>
          <w:lang w:eastAsia="ja-JP"/>
        </w:rPr>
        <w:t>.</w:t>
      </w:r>
    </w:p>
    <w:p w:rsidR="00CD7E26" w:rsidRDefault="00CD7E26" w:rsidP="00CD7E26">
      <w:pPr>
        <w:pStyle w:val="Heading6"/>
      </w:pPr>
      <w:r w:rsidRPr="00533011">
        <w:t>Consequences of genetic polymorphism</w:t>
      </w:r>
    </w:p>
    <w:p w:rsidR="00CD7E26" w:rsidRDefault="00CD7E26" w:rsidP="00CD7E26">
      <w:pPr>
        <w:rPr>
          <w:lang w:eastAsia="ja-JP"/>
        </w:rPr>
      </w:pPr>
      <w:bookmarkStart w:id="86" w:name="_Toc241374289"/>
      <w:bookmarkStart w:id="87" w:name="_Toc272414623"/>
      <w:bookmarkStart w:id="88" w:name="_Toc290888472"/>
      <w:bookmarkStart w:id="89" w:name="_Toc416353668"/>
      <w:r>
        <w:rPr>
          <w:lang w:eastAsia="ja-JP"/>
        </w:rPr>
        <w:t>It is not anticipated that the metabolism will be affected by genetic polymorphism.</w:t>
      </w:r>
    </w:p>
    <w:p w:rsidR="00CD7E26" w:rsidRPr="00F008C0" w:rsidRDefault="00CD7E26" w:rsidP="00F008C0">
      <w:pPr>
        <w:pStyle w:val="Heading5"/>
      </w:pPr>
      <w:r w:rsidRPr="00F008C0">
        <w:t>E</w:t>
      </w:r>
      <w:bookmarkEnd w:id="86"/>
      <w:r w:rsidRPr="00F008C0">
        <w:t>xcretion</w:t>
      </w:r>
      <w:bookmarkEnd w:id="87"/>
      <w:bookmarkEnd w:id="88"/>
      <w:bookmarkEnd w:id="89"/>
    </w:p>
    <w:p w:rsidR="00CD7E26" w:rsidRPr="00533011" w:rsidRDefault="00CD7E26" w:rsidP="00CD7E26">
      <w:pPr>
        <w:pStyle w:val="Heading6"/>
      </w:pPr>
      <w:r w:rsidRPr="00533011">
        <w:t>Routes and mechanisms of excretion</w:t>
      </w:r>
    </w:p>
    <w:p w:rsidR="00CD7E26" w:rsidRDefault="00CD7E26" w:rsidP="00CD7E26">
      <w:pPr>
        <w:rPr>
          <w:lang w:eastAsia="ja-JP"/>
        </w:rPr>
      </w:pPr>
      <w:r w:rsidRPr="004D4D53">
        <w:rPr>
          <w:lang w:eastAsia="ja-JP"/>
        </w:rPr>
        <w:t xml:space="preserve">Both </w:t>
      </w:r>
      <w:r>
        <w:rPr>
          <w:lang w:eastAsia="ja-JP"/>
        </w:rPr>
        <w:t xml:space="preserve">the </w:t>
      </w:r>
      <w:r w:rsidRPr="004D4D53">
        <w:rPr>
          <w:lang w:eastAsia="ja-JP"/>
        </w:rPr>
        <w:t>urinary and f</w:t>
      </w:r>
      <w:r>
        <w:rPr>
          <w:lang w:eastAsia="ja-JP"/>
        </w:rPr>
        <w:t>a</w:t>
      </w:r>
      <w:r w:rsidRPr="004D4D53">
        <w:rPr>
          <w:lang w:eastAsia="ja-JP"/>
        </w:rPr>
        <w:t xml:space="preserve">ecal excretion </w:t>
      </w:r>
      <w:r>
        <w:rPr>
          <w:lang w:eastAsia="ja-JP"/>
        </w:rPr>
        <w:t xml:space="preserve">pathways </w:t>
      </w:r>
      <w:r w:rsidRPr="004D4D53">
        <w:rPr>
          <w:lang w:eastAsia="ja-JP"/>
        </w:rPr>
        <w:t xml:space="preserve">are the main routes of elimination of </w:t>
      </w:r>
      <w:proofErr w:type="spellStart"/>
      <w:r w:rsidRPr="004D4D53">
        <w:rPr>
          <w:lang w:eastAsia="ja-JP"/>
        </w:rPr>
        <w:t>cabozantinib</w:t>
      </w:r>
      <w:proofErr w:type="spellEnd"/>
      <w:r>
        <w:rPr>
          <w:lang w:eastAsia="ja-JP"/>
        </w:rPr>
        <w:t>.</w:t>
      </w:r>
    </w:p>
    <w:p w:rsidR="00CD7E26" w:rsidRPr="00533011" w:rsidRDefault="00CD7E26" w:rsidP="00CD7E26">
      <w:pPr>
        <w:pStyle w:val="Heading6"/>
      </w:pPr>
      <w:r w:rsidRPr="00533011">
        <w:t>Mass balance studies</w:t>
      </w:r>
    </w:p>
    <w:p w:rsidR="00CD7E26" w:rsidRDefault="00CD7E26" w:rsidP="00CD7E26">
      <w:pPr>
        <w:rPr>
          <w:lang w:val="en-NZ"/>
        </w:rPr>
      </w:pPr>
      <w:r>
        <w:rPr>
          <w:lang w:val="en-NZ"/>
        </w:rPr>
        <w:t>27.29</w:t>
      </w:r>
      <w:r w:rsidRPr="005554F3">
        <w:rPr>
          <w:rFonts w:ascii="Symbol" w:hAnsi="Symbol" w:cs="Symbol"/>
          <w:lang w:val="en-NZ"/>
        </w:rPr>
        <w:t></w:t>
      </w:r>
      <w:r>
        <w:rPr>
          <w:lang w:val="en-NZ"/>
        </w:rPr>
        <w:t>4.65 % and 53.79</w:t>
      </w:r>
      <w:r w:rsidRPr="005554F3">
        <w:rPr>
          <w:rFonts w:ascii="Symbol" w:hAnsi="Symbol" w:cs="Symbol"/>
          <w:lang w:val="en-NZ"/>
        </w:rPr>
        <w:t></w:t>
      </w:r>
      <w:r>
        <w:rPr>
          <w:lang w:val="en-NZ"/>
        </w:rPr>
        <w:t xml:space="preserve">4.52 % of the administered radioactive dose (140 mg </w:t>
      </w:r>
      <w:proofErr w:type="spellStart"/>
      <w:r>
        <w:rPr>
          <w:lang w:val="en-NZ"/>
        </w:rPr>
        <w:t>cabozantinib</w:t>
      </w:r>
      <w:proofErr w:type="spellEnd"/>
      <w:r>
        <w:rPr>
          <w:lang w:val="en-NZ"/>
        </w:rPr>
        <w:t xml:space="preserve"> FBE containing 100 </w:t>
      </w:r>
      <w:r>
        <w:rPr>
          <w:rFonts w:ascii="Symbol" w:hAnsi="Symbol" w:cs="Symbol"/>
          <w:lang w:val="en-NZ"/>
        </w:rPr>
        <w:t></w:t>
      </w:r>
      <w:r>
        <w:rPr>
          <w:lang w:val="en-NZ"/>
        </w:rPr>
        <w:t>Ci [</w:t>
      </w:r>
      <w:r>
        <w:rPr>
          <w:sz w:val="16"/>
          <w:szCs w:val="16"/>
          <w:lang w:val="en-NZ"/>
        </w:rPr>
        <w:t>14</w:t>
      </w:r>
      <w:r>
        <w:rPr>
          <w:lang w:val="en-NZ"/>
        </w:rPr>
        <w:t>C]-XL184) was recovered in the urine and faeces, respectively. A mean (</w:t>
      </w:r>
      <w:bookmarkStart w:id="90" w:name="_Hlk480187739"/>
      <w:r>
        <w:rPr>
          <w:lang w:val="en-NZ"/>
        </w:rPr>
        <w:t>±</w:t>
      </w:r>
      <w:bookmarkEnd w:id="90"/>
      <w:r>
        <w:rPr>
          <w:lang w:val="en-NZ"/>
        </w:rPr>
        <w:t>SD) percent recovery of 81.09</w:t>
      </w:r>
      <w:r w:rsidRPr="005554F3">
        <w:rPr>
          <w:rFonts w:ascii="Symbol" w:hAnsi="Symbol" w:cs="Symbol"/>
          <w:lang w:val="en-NZ"/>
        </w:rPr>
        <w:t></w:t>
      </w:r>
      <w:r>
        <w:rPr>
          <w:rFonts w:ascii="Symbol" w:hAnsi="Symbol" w:cs="Symbol"/>
          <w:lang w:val="en-NZ"/>
        </w:rPr>
        <w:t></w:t>
      </w:r>
      <w:r>
        <w:rPr>
          <w:lang w:val="en-NZ"/>
        </w:rPr>
        <w:t>1.56 % (range: 78.14% to 83.38%) of the total radioactivity dose was recovered in the urine and faeces through 48-days post dose.</w:t>
      </w:r>
    </w:p>
    <w:p w:rsidR="00CD7E26" w:rsidRDefault="00CD7E26" w:rsidP="00CD7E26">
      <w:pPr>
        <w:rPr>
          <w:lang w:eastAsia="ja-JP"/>
        </w:rPr>
      </w:pPr>
      <w:r>
        <w:rPr>
          <w:lang w:val="en-NZ"/>
        </w:rPr>
        <w:t>Approximately 1% total mean radioactivity was recovered in faeces and urine after Day-28post-dose.</w:t>
      </w:r>
    </w:p>
    <w:p w:rsidR="00CD7E26" w:rsidRPr="00F008C0" w:rsidRDefault="00CD7E26" w:rsidP="00F008C0">
      <w:pPr>
        <w:pStyle w:val="Heading5"/>
      </w:pPr>
      <w:bookmarkStart w:id="91" w:name="_Toc241374291"/>
      <w:bookmarkStart w:id="92" w:name="_Toc272414624"/>
      <w:bookmarkStart w:id="93" w:name="_Toc290888473"/>
      <w:bookmarkStart w:id="94" w:name="_Toc416353669"/>
      <w:r w:rsidRPr="00F008C0">
        <w:t>Intra and inter individual variability</w:t>
      </w:r>
      <w:bookmarkEnd w:id="91"/>
      <w:r w:rsidRPr="00F008C0">
        <w:t xml:space="preserve"> of pharmacokinetics</w:t>
      </w:r>
      <w:bookmarkEnd w:id="92"/>
      <w:bookmarkEnd w:id="93"/>
      <w:bookmarkEnd w:id="94"/>
    </w:p>
    <w:p w:rsidR="00CD7E26" w:rsidRPr="005D357D" w:rsidRDefault="00CD7E26" w:rsidP="00CD7E26">
      <w:pPr>
        <w:rPr>
          <w:lang w:val="en-NZ"/>
        </w:rPr>
      </w:pPr>
      <w:bookmarkStart w:id="95" w:name="_Toc241374292"/>
      <w:bookmarkStart w:id="96" w:name="_Ref271189131"/>
      <w:bookmarkStart w:id="97" w:name="_Ref271189136"/>
      <w:bookmarkStart w:id="98" w:name="_Toc272414625"/>
      <w:bookmarkStart w:id="99" w:name="_Toc290888474"/>
      <w:bookmarkStart w:id="100" w:name="_Toc416353670"/>
      <w:bookmarkStart w:id="101" w:name="_Toc421005245"/>
      <w:bookmarkStart w:id="102" w:name="_Toc432079127"/>
      <w:bookmarkStart w:id="103" w:name="_Toc432080700"/>
      <w:r>
        <w:rPr>
          <w:lang w:val="en-NZ"/>
        </w:rPr>
        <w:t xml:space="preserve">In healthy subject subjects following a single capsule or tablet dose, the inter-subject variability (%CV) ranged from 20 to 59% for AUC values and from 28 to 72% </w:t>
      </w:r>
      <w:r w:rsidRPr="005D357D">
        <w:rPr>
          <w:lang w:val="en-NZ"/>
        </w:rPr>
        <w:t xml:space="preserve">for </w:t>
      </w:r>
      <w:proofErr w:type="spellStart"/>
      <w:r w:rsidRPr="005D357D">
        <w:rPr>
          <w:lang w:val="en-NZ"/>
        </w:rPr>
        <w:t>C</w:t>
      </w:r>
      <w:r w:rsidRPr="005D357D">
        <w:rPr>
          <w:sz w:val="16"/>
          <w:szCs w:val="16"/>
          <w:lang w:val="en-NZ"/>
        </w:rPr>
        <w:t>max</w:t>
      </w:r>
      <w:proofErr w:type="spellEnd"/>
      <w:r w:rsidRPr="005D357D">
        <w:rPr>
          <w:sz w:val="16"/>
          <w:szCs w:val="16"/>
          <w:lang w:val="en-NZ"/>
        </w:rPr>
        <w:t xml:space="preserve"> </w:t>
      </w:r>
      <w:r w:rsidRPr="005D357D">
        <w:rPr>
          <w:lang w:val="en-NZ"/>
        </w:rPr>
        <w:t xml:space="preserve">across the studies. The within-subject variability (%CV) was 39% for </w:t>
      </w:r>
      <w:proofErr w:type="spellStart"/>
      <w:r w:rsidRPr="005D357D">
        <w:rPr>
          <w:lang w:val="en-NZ"/>
        </w:rPr>
        <w:t>C</w:t>
      </w:r>
      <w:r w:rsidRPr="005D357D">
        <w:rPr>
          <w:sz w:val="16"/>
          <w:szCs w:val="16"/>
          <w:lang w:val="en-NZ"/>
        </w:rPr>
        <w:t>max</w:t>
      </w:r>
      <w:proofErr w:type="spellEnd"/>
      <w:r w:rsidRPr="005D357D">
        <w:rPr>
          <w:sz w:val="16"/>
          <w:szCs w:val="16"/>
          <w:lang w:val="en-NZ"/>
        </w:rPr>
        <w:t xml:space="preserve"> </w:t>
      </w:r>
      <w:r w:rsidRPr="005D357D">
        <w:rPr>
          <w:lang w:val="en-NZ"/>
        </w:rPr>
        <w:t>and 28% for AUC values (</w:t>
      </w:r>
      <w:hyperlink w:anchor="_XL184-010__A" w:history="1">
        <w:r w:rsidRPr="005D357D">
          <w:rPr>
            <w:rStyle w:val="Hyperlink"/>
            <w:color w:val="auto"/>
            <w:u w:val="none"/>
            <w:lang w:val="en-NZ"/>
          </w:rPr>
          <w:t>XL184-010</w:t>
        </w:r>
      </w:hyperlink>
      <w:r w:rsidRPr="005D357D">
        <w:rPr>
          <w:lang w:val="en-NZ"/>
        </w:rPr>
        <w:t>).</w:t>
      </w:r>
    </w:p>
    <w:p w:rsidR="00CD7E26" w:rsidRPr="005D357D" w:rsidRDefault="00CD7E26" w:rsidP="00CD7E26">
      <w:pPr>
        <w:rPr>
          <w:lang w:eastAsia="ja-JP"/>
        </w:rPr>
      </w:pPr>
      <w:r w:rsidRPr="005D357D">
        <w:rPr>
          <w:lang w:val="en-NZ"/>
        </w:rPr>
        <w:t xml:space="preserve">The inter-subject variability in cancer subjects was 43% for </w:t>
      </w:r>
      <w:proofErr w:type="spellStart"/>
      <w:r w:rsidRPr="005D357D">
        <w:rPr>
          <w:lang w:val="en-NZ"/>
        </w:rPr>
        <w:t>C</w:t>
      </w:r>
      <w:r w:rsidRPr="005D357D">
        <w:rPr>
          <w:sz w:val="16"/>
          <w:szCs w:val="16"/>
          <w:lang w:val="en-NZ"/>
        </w:rPr>
        <w:t>max</w:t>
      </w:r>
      <w:proofErr w:type="spellEnd"/>
      <w:r w:rsidRPr="005D357D">
        <w:rPr>
          <w:sz w:val="16"/>
          <w:szCs w:val="16"/>
          <w:lang w:val="en-NZ"/>
        </w:rPr>
        <w:t xml:space="preserve"> </w:t>
      </w:r>
      <w:r w:rsidRPr="005D357D">
        <w:rPr>
          <w:lang w:val="en-NZ"/>
        </w:rPr>
        <w:t>and 34% for AUC after a single dose (</w:t>
      </w:r>
      <w:hyperlink w:anchor="_XL184-001_A_Phase" w:history="1">
        <w:r w:rsidRPr="005D357D">
          <w:rPr>
            <w:rStyle w:val="Hyperlink"/>
            <w:color w:val="auto"/>
            <w:u w:val="none"/>
            <w:lang w:val="en-NZ"/>
          </w:rPr>
          <w:t>XL184-001</w:t>
        </w:r>
      </w:hyperlink>
      <w:r w:rsidRPr="005D357D">
        <w:rPr>
          <w:lang w:val="en-NZ"/>
        </w:rPr>
        <w:t xml:space="preserve">), and 39% for </w:t>
      </w:r>
      <w:proofErr w:type="spellStart"/>
      <w:r w:rsidRPr="005D357D">
        <w:rPr>
          <w:lang w:val="en-NZ"/>
        </w:rPr>
        <w:t>C</w:t>
      </w:r>
      <w:r w:rsidRPr="005D357D">
        <w:rPr>
          <w:sz w:val="16"/>
          <w:szCs w:val="16"/>
          <w:lang w:val="en-NZ"/>
        </w:rPr>
        <w:t>max</w:t>
      </w:r>
      <w:proofErr w:type="spellEnd"/>
      <w:r w:rsidRPr="005D357D">
        <w:rPr>
          <w:sz w:val="16"/>
          <w:szCs w:val="16"/>
          <w:lang w:val="en-NZ"/>
        </w:rPr>
        <w:t xml:space="preserve"> </w:t>
      </w:r>
      <w:r w:rsidRPr="005D357D">
        <w:rPr>
          <w:lang w:val="en-NZ"/>
        </w:rPr>
        <w:t>and 38% for AUC at steady state (</w:t>
      </w:r>
      <w:hyperlink w:anchor="_XL184-001_A_Phase" w:history="1">
        <w:r w:rsidRPr="005D357D">
          <w:rPr>
            <w:rStyle w:val="Hyperlink"/>
            <w:color w:val="auto"/>
            <w:u w:val="none"/>
            <w:lang w:val="en-NZ"/>
          </w:rPr>
          <w:t>XL184-008</w:t>
        </w:r>
      </w:hyperlink>
      <w:r w:rsidRPr="005D357D">
        <w:rPr>
          <w:lang w:val="en-NZ"/>
        </w:rPr>
        <w:t>). Exposure variability in cancer subjects and healthy subjects was similar.</w:t>
      </w:r>
    </w:p>
    <w:p w:rsidR="00CD7E26" w:rsidRPr="00F008C0" w:rsidRDefault="00CD7E26" w:rsidP="00F008C0">
      <w:pPr>
        <w:pStyle w:val="Heading4"/>
      </w:pPr>
      <w:r w:rsidRPr="00F008C0">
        <w:t>Pharmacokinetics in the target population</w:t>
      </w:r>
      <w:bookmarkEnd w:id="95"/>
      <w:bookmarkEnd w:id="96"/>
      <w:bookmarkEnd w:id="97"/>
      <w:bookmarkEnd w:id="98"/>
      <w:bookmarkEnd w:id="99"/>
      <w:bookmarkEnd w:id="100"/>
      <w:bookmarkEnd w:id="101"/>
      <w:bookmarkEnd w:id="102"/>
      <w:bookmarkEnd w:id="103"/>
    </w:p>
    <w:p w:rsidR="00CD7E26" w:rsidRDefault="00CD7E26" w:rsidP="00CD7E26">
      <w:pPr>
        <w:rPr>
          <w:lang w:eastAsia="ja-JP"/>
        </w:rPr>
      </w:pPr>
      <w:bookmarkStart w:id="104" w:name="_Toc241374293"/>
      <w:bookmarkStart w:id="105" w:name="_Toc272414626"/>
      <w:bookmarkStart w:id="106" w:name="_Toc290888475"/>
      <w:bookmarkStart w:id="107" w:name="_Toc416353671"/>
      <w:bookmarkStart w:id="108" w:name="_Toc421005246"/>
      <w:bookmarkStart w:id="109" w:name="_Toc432079128"/>
      <w:bookmarkStart w:id="110" w:name="_Toc432080701"/>
      <w:r>
        <w:rPr>
          <w:lang w:eastAsia="ja-JP"/>
        </w:rPr>
        <w:t xml:space="preserve">Study XL184-001 and 008 investigated the pharmacokinetics of </w:t>
      </w:r>
      <w:proofErr w:type="spellStart"/>
      <w:r>
        <w:rPr>
          <w:lang w:eastAsia="ja-JP"/>
        </w:rPr>
        <w:t>cabozantinib</w:t>
      </w:r>
      <w:proofErr w:type="spellEnd"/>
      <w:r>
        <w:rPr>
          <w:lang w:eastAsia="ja-JP"/>
        </w:rPr>
        <w:t xml:space="preserve"> in subjects with advanced solid malignancies; these subjects either had DTC or RCC.</w:t>
      </w:r>
    </w:p>
    <w:p w:rsidR="00CD7E26" w:rsidRDefault="00CD7E26" w:rsidP="000756FA">
      <w:pPr>
        <w:pStyle w:val="Tabletitle"/>
        <w:rPr>
          <w:lang w:eastAsia="ja-JP"/>
        </w:rPr>
      </w:pPr>
      <w:r>
        <w:rPr>
          <w:lang w:eastAsia="ja-JP"/>
        </w:rPr>
        <w:t xml:space="preserve">Table </w:t>
      </w:r>
      <w:r w:rsidR="000756FA">
        <w:rPr>
          <w:lang w:eastAsia="ja-JP"/>
        </w:rPr>
        <w:t>7</w:t>
      </w:r>
      <w:r>
        <w:rPr>
          <w:lang w:eastAsia="ja-JP"/>
        </w:rPr>
        <w:t>: Pharmacokinetic results from Studies XL184-001 and 008</w:t>
      </w:r>
    </w:p>
    <w:p w:rsidR="00CD7E26" w:rsidRDefault="00CD7E26" w:rsidP="00CD7E26">
      <w:pPr>
        <w:rPr>
          <w:lang w:eastAsia="ja-JP"/>
        </w:rPr>
      </w:pPr>
      <w:r w:rsidRPr="0076615E">
        <w:rPr>
          <w:noProof/>
          <w:lang w:eastAsia="en-AU"/>
        </w:rPr>
        <w:drawing>
          <wp:inline distT="0" distB="0" distL="0" distR="0" wp14:anchorId="1D6CF78D" wp14:editId="78618F9F">
            <wp:extent cx="5731510" cy="2613743"/>
            <wp:effectExtent l="0" t="0" r="2540" b="0"/>
            <wp:docPr id="102" name="Picture 102" descr="Table 7: Pharmacokinetic results from Studies XL184-001 and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5731510" cy="2613743"/>
                    </a:xfrm>
                    <a:prstGeom prst="rect">
                      <a:avLst/>
                    </a:prstGeom>
                    <a:noFill/>
                    <a:ln>
                      <a:noFill/>
                    </a:ln>
                  </pic:spPr>
                </pic:pic>
              </a:graphicData>
            </a:graphic>
          </wp:inline>
        </w:drawing>
      </w:r>
    </w:p>
    <w:p w:rsidR="00CD7E26" w:rsidRDefault="00CD7E26" w:rsidP="00CD7E26">
      <w:pPr>
        <w:pStyle w:val="Comment"/>
        <w:rPr>
          <w:lang w:eastAsia="ja-JP"/>
        </w:rPr>
      </w:pPr>
      <w:r w:rsidRPr="005D357D">
        <w:rPr>
          <w:b/>
        </w:rPr>
        <w:lastRenderedPageBreak/>
        <w:t>Comment</w:t>
      </w:r>
      <w:r>
        <w:rPr>
          <w:b/>
          <w:lang w:eastAsia="ja-JP"/>
        </w:rPr>
        <w:t>:</w:t>
      </w:r>
      <w:r w:rsidR="00BE6E4E">
        <w:rPr>
          <w:b/>
          <w:lang w:eastAsia="ja-JP"/>
        </w:rPr>
        <w:tab/>
      </w:r>
      <w:r>
        <w:rPr>
          <w:lang w:eastAsia="ja-JP"/>
        </w:rPr>
        <w:t xml:space="preserve">The mean </w:t>
      </w:r>
      <w:proofErr w:type="spellStart"/>
      <w:r>
        <w:rPr>
          <w:lang w:eastAsia="ja-JP"/>
        </w:rPr>
        <w:t>C</w:t>
      </w:r>
      <w:r>
        <w:rPr>
          <w:vertAlign w:val="subscript"/>
          <w:lang w:eastAsia="ja-JP"/>
        </w:rPr>
        <w:t>max</w:t>
      </w:r>
      <w:proofErr w:type="spellEnd"/>
      <w:r>
        <w:rPr>
          <w:lang w:eastAsia="ja-JP"/>
        </w:rPr>
        <w:t xml:space="preserve"> and AUC</w:t>
      </w:r>
      <w:r>
        <w:rPr>
          <w:vertAlign w:val="subscript"/>
          <w:lang w:eastAsia="ja-JP"/>
        </w:rPr>
        <w:t>0-24</w:t>
      </w:r>
      <w:r>
        <w:rPr>
          <w:lang w:eastAsia="ja-JP"/>
        </w:rPr>
        <w:t xml:space="preserve"> are slightly higher in subjects with cancer (by about 6% and 12% respectively) and is not expected to be clinically significant.</w:t>
      </w:r>
    </w:p>
    <w:p w:rsidR="00CD7E26" w:rsidRPr="00F008C0" w:rsidRDefault="00CD7E26" w:rsidP="00F008C0">
      <w:pPr>
        <w:pStyle w:val="Heading4"/>
      </w:pPr>
      <w:r w:rsidRPr="00F008C0">
        <w:t>Pharmacokinetics in special populations</w:t>
      </w:r>
      <w:bookmarkEnd w:id="104"/>
      <w:bookmarkEnd w:id="105"/>
      <w:bookmarkEnd w:id="106"/>
      <w:bookmarkEnd w:id="107"/>
      <w:bookmarkEnd w:id="108"/>
      <w:bookmarkEnd w:id="109"/>
      <w:bookmarkEnd w:id="110"/>
    </w:p>
    <w:p w:rsidR="00CD7E26" w:rsidRPr="00F008C0" w:rsidRDefault="00CD7E26" w:rsidP="00F008C0">
      <w:pPr>
        <w:pStyle w:val="Heading5"/>
      </w:pPr>
      <w:bookmarkStart w:id="111" w:name="_Toc272414627"/>
      <w:bookmarkStart w:id="112" w:name="_Toc290888476"/>
      <w:bookmarkStart w:id="113" w:name="_Toc416353672"/>
      <w:r w:rsidRPr="00F008C0">
        <w:t>Pharmacokinetics in subjects with impaired hepatic function</w:t>
      </w:r>
      <w:bookmarkEnd w:id="111"/>
      <w:bookmarkEnd w:id="112"/>
      <w:bookmarkEnd w:id="113"/>
    </w:p>
    <w:p w:rsidR="00CD7E26" w:rsidRDefault="00CD7E26" w:rsidP="00CD7E26">
      <w:bookmarkStart w:id="114" w:name="_Hlk480189448"/>
      <w:bookmarkStart w:id="115" w:name="_Toc272414628"/>
      <w:bookmarkStart w:id="116" w:name="_Toc290888477"/>
      <w:bookmarkStart w:id="117" w:name="_Toc416353673"/>
      <w:r w:rsidRPr="005D357D">
        <w:t xml:space="preserve">Study </w:t>
      </w:r>
      <w:hyperlink w:anchor="_XL184-003_A_Phase" w:history="1">
        <w:r w:rsidRPr="005D357D">
          <w:t>XL184-003</w:t>
        </w:r>
      </w:hyperlink>
      <w:r>
        <w:rPr>
          <w:lang w:eastAsia="ja-JP"/>
        </w:rPr>
        <w:t xml:space="preserve"> investigated the PK in subjects with mild or moderate hepatic impairment</w:t>
      </w:r>
      <w:bookmarkEnd w:id="114"/>
      <w:r>
        <w:rPr>
          <w:lang w:eastAsia="ja-JP"/>
        </w:rPr>
        <w:t xml:space="preserve">. </w:t>
      </w:r>
      <w:r w:rsidRPr="00A43003">
        <w:t xml:space="preserve">After a single oral administration of a 60 mg </w:t>
      </w:r>
      <w:proofErr w:type="spellStart"/>
      <w:r w:rsidRPr="00A43003">
        <w:t>cabozantinib</w:t>
      </w:r>
      <w:proofErr w:type="spellEnd"/>
      <w:r w:rsidRPr="00A43003">
        <w:t xml:space="preserve"> capsule dose, exposure (AUC0-inf) </w:t>
      </w:r>
      <w:proofErr w:type="spellStart"/>
      <w:r w:rsidRPr="00A43003">
        <w:t>cabozantinib</w:t>
      </w:r>
      <w:proofErr w:type="spellEnd"/>
      <w:r>
        <w:rPr>
          <w:rFonts w:ascii="TimesNewRoman" w:eastAsiaTheme="minorHAnsi" w:hAnsi="TimesNewRoman" w:cs="TimesNewRoman"/>
          <w:lang w:val="en-NZ"/>
        </w:rPr>
        <w:t xml:space="preserve"> </w:t>
      </w:r>
      <w:r w:rsidRPr="00A43003">
        <w:t>was increased by about 81% and 63% in subjects with mild and moderate hepatic impairment respectively. A doubling of exposure could not be excluded,</w:t>
      </w:r>
    </w:p>
    <w:p w:rsidR="00CD7E26" w:rsidRDefault="00CD7E26" w:rsidP="00CD7E26">
      <w:pPr>
        <w:pStyle w:val="Comment"/>
        <w:rPr>
          <w:lang w:eastAsia="ja-JP"/>
        </w:rPr>
      </w:pPr>
      <w:r>
        <w:rPr>
          <w:b/>
        </w:rPr>
        <w:t>C</w:t>
      </w:r>
      <w:r w:rsidRPr="00A43003">
        <w:rPr>
          <w:b/>
        </w:rPr>
        <w:t>omment</w:t>
      </w:r>
      <w:r>
        <w:t>:</w:t>
      </w:r>
      <w:r w:rsidR="00BE6E4E">
        <w:tab/>
      </w:r>
      <w:r>
        <w:t xml:space="preserve">More careful monitoring for intolerability/adverse events is warranted in patients with mild or moderate hepatic impairment. The PK of </w:t>
      </w:r>
      <w:proofErr w:type="spellStart"/>
      <w:r>
        <w:t>cabozantinib</w:t>
      </w:r>
      <w:proofErr w:type="spellEnd"/>
      <w:r>
        <w:t xml:space="preserve"> in subjects with severe hepatic impairment is unknown.</w:t>
      </w:r>
    </w:p>
    <w:p w:rsidR="00CD7E26" w:rsidRPr="00F008C0" w:rsidRDefault="00CD7E26" w:rsidP="00F008C0">
      <w:pPr>
        <w:pStyle w:val="Heading5"/>
      </w:pPr>
      <w:r w:rsidRPr="00F008C0">
        <w:t>Pharmacokinetics in subjects with impaired renal function</w:t>
      </w:r>
      <w:bookmarkEnd w:id="115"/>
      <w:bookmarkEnd w:id="116"/>
      <w:bookmarkEnd w:id="117"/>
    </w:p>
    <w:p w:rsidR="00CD7E26" w:rsidRDefault="00CD7E26" w:rsidP="00CD7E26">
      <w:pPr>
        <w:rPr>
          <w:lang w:val="en-NZ"/>
        </w:rPr>
      </w:pPr>
      <w:bookmarkStart w:id="118" w:name="_Toc272414629"/>
      <w:bookmarkStart w:id="119" w:name="_Toc290888478"/>
      <w:bookmarkStart w:id="120" w:name="_Toc416353674"/>
      <w:r w:rsidRPr="005D357D">
        <w:t xml:space="preserve">Study </w:t>
      </w:r>
      <w:hyperlink w:anchor="_XL184-017__A" w:history="1">
        <w:r w:rsidRPr="005D357D">
          <w:t>XL184-017</w:t>
        </w:r>
      </w:hyperlink>
      <w:r w:rsidRPr="005D357D">
        <w:t xml:space="preserve"> investigated the PK in subjects with mild or moderate renal impairment. Based on the ratios of geometric</w:t>
      </w:r>
      <w:r>
        <w:rPr>
          <w:lang w:val="en-NZ"/>
        </w:rPr>
        <w:t xml:space="preserve"> LS mean for plasma </w:t>
      </w:r>
      <w:proofErr w:type="spellStart"/>
      <w:r>
        <w:rPr>
          <w:lang w:val="en-NZ"/>
        </w:rPr>
        <w:t>cabozantinib</w:t>
      </w:r>
      <w:proofErr w:type="spellEnd"/>
      <w:r>
        <w:rPr>
          <w:lang w:val="en-NZ"/>
        </w:rPr>
        <w:t xml:space="preserve">, </w:t>
      </w:r>
      <w:proofErr w:type="spellStart"/>
      <w:r>
        <w:rPr>
          <w:lang w:val="en-NZ"/>
        </w:rPr>
        <w:t>C</w:t>
      </w:r>
      <w:r>
        <w:rPr>
          <w:sz w:val="12"/>
          <w:szCs w:val="12"/>
          <w:lang w:val="en-NZ"/>
        </w:rPr>
        <w:t>max</w:t>
      </w:r>
      <w:proofErr w:type="spellEnd"/>
      <w:r>
        <w:rPr>
          <w:sz w:val="12"/>
          <w:szCs w:val="12"/>
          <w:lang w:val="en-NZ"/>
        </w:rPr>
        <w:t xml:space="preserve"> </w:t>
      </w:r>
      <w:r>
        <w:rPr>
          <w:lang w:val="en-NZ"/>
        </w:rPr>
        <w:t>and AUCs (AUC</w:t>
      </w:r>
      <w:r>
        <w:rPr>
          <w:sz w:val="12"/>
          <w:szCs w:val="12"/>
          <w:lang w:val="en-NZ"/>
        </w:rPr>
        <w:t xml:space="preserve">0-t </w:t>
      </w:r>
      <w:r>
        <w:rPr>
          <w:lang w:val="en-NZ"/>
        </w:rPr>
        <w:t>and AUC</w:t>
      </w:r>
      <w:r>
        <w:rPr>
          <w:sz w:val="12"/>
          <w:szCs w:val="12"/>
          <w:lang w:val="en-NZ"/>
        </w:rPr>
        <w:t>0-inf</w:t>
      </w:r>
      <w:r>
        <w:rPr>
          <w:lang w:val="en-NZ"/>
        </w:rPr>
        <w:t xml:space="preserve">) were 19% and 30% higher, respectively, for subjects with mild renal impairment compared to subjects with normal renal function. Both </w:t>
      </w:r>
      <w:proofErr w:type="spellStart"/>
      <w:r>
        <w:rPr>
          <w:lang w:val="en-NZ"/>
        </w:rPr>
        <w:t>C</w:t>
      </w:r>
      <w:r>
        <w:rPr>
          <w:sz w:val="12"/>
          <w:szCs w:val="12"/>
          <w:lang w:val="en-NZ"/>
        </w:rPr>
        <w:t>max</w:t>
      </w:r>
      <w:proofErr w:type="spellEnd"/>
      <w:r>
        <w:rPr>
          <w:sz w:val="12"/>
          <w:szCs w:val="12"/>
          <w:lang w:val="en-NZ"/>
        </w:rPr>
        <w:t xml:space="preserve"> </w:t>
      </w:r>
      <w:r>
        <w:rPr>
          <w:lang w:val="en-NZ"/>
        </w:rPr>
        <w:t>and AUC values (AUC</w:t>
      </w:r>
      <w:r>
        <w:rPr>
          <w:sz w:val="12"/>
          <w:szCs w:val="12"/>
          <w:lang w:val="en-NZ"/>
        </w:rPr>
        <w:t xml:space="preserve">0-t </w:t>
      </w:r>
      <w:r>
        <w:rPr>
          <w:lang w:val="en-NZ"/>
        </w:rPr>
        <w:t>and AUC</w:t>
      </w:r>
      <w:r>
        <w:rPr>
          <w:sz w:val="12"/>
          <w:szCs w:val="12"/>
          <w:lang w:val="en-NZ"/>
        </w:rPr>
        <w:t>0-inf</w:t>
      </w:r>
      <w:r>
        <w:rPr>
          <w:lang w:val="en-NZ"/>
        </w:rPr>
        <w:t xml:space="preserve">) of </w:t>
      </w:r>
      <w:proofErr w:type="spellStart"/>
      <w:r>
        <w:rPr>
          <w:lang w:val="en-NZ"/>
        </w:rPr>
        <w:t>cabozantinib</w:t>
      </w:r>
      <w:proofErr w:type="spellEnd"/>
      <w:r>
        <w:rPr>
          <w:lang w:val="en-NZ"/>
        </w:rPr>
        <w:t xml:space="preserve"> appeared to be similar between the moderate impairment and the control cohorts (differences: less than 3% and 7%, respectively). The upper bound of the 90% CI for plasma </w:t>
      </w:r>
      <w:proofErr w:type="spellStart"/>
      <w:r>
        <w:rPr>
          <w:lang w:val="en-NZ"/>
        </w:rPr>
        <w:t>cabozantinib</w:t>
      </w:r>
      <w:proofErr w:type="spellEnd"/>
      <w:r>
        <w:rPr>
          <w:lang w:val="en-NZ"/>
        </w:rPr>
        <w:t xml:space="preserve"> AUC</w:t>
      </w:r>
      <w:r>
        <w:rPr>
          <w:sz w:val="12"/>
          <w:szCs w:val="12"/>
          <w:lang w:val="en-NZ"/>
        </w:rPr>
        <w:t xml:space="preserve">0-inf </w:t>
      </w:r>
      <w:r>
        <w:rPr>
          <w:lang w:val="en-NZ"/>
        </w:rPr>
        <w:t>ratios between subjects with mild or moderate renal impairment and healthy subjects was &lt; 200%.</w:t>
      </w:r>
    </w:p>
    <w:p w:rsidR="00CD7E26" w:rsidRDefault="00CD7E26" w:rsidP="00BE6E4E">
      <w:pPr>
        <w:pStyle w:val="Comment"/>
      </w:pPr>
      <w:r>
        <w:rPr>
          <w:b/>
        </w:rPr>
        <w:t>Evaluator’s Comment:</w:t>
      </w:r>
      <w:r>
        <w:t xml:space="preserve"> Plasma concentration of </w:t>
      </w:r>
      <w:proofErr w:type="spellStart"/>
      <w:r>
        <w:t>cabozantinib</w:t>
      </w:r>
      <w:proofErr w:type="spellEnd"/>
      <w:r>
        <w:t xml:space="preserve"> seem to be minimally impacted by mild or moderate renal impairment. This could be anticipated as the major route of metabolism (and elimination) is hepatic.</w:t>
      </w:r>
    </w:p>
    <w:p w:rsidR="00CD7E26" w:rsidRPr="00F008C0" w:rsidRDefault="00CD7E26" w:rsidP="00F008C0">
      <w:pPr>
        <w:pStyle w:val="Heading5"/>
      </w:pPr>
      <w:r w:rsidRPr="00F008C0">
        <w:t>Pharmacokinetics according to age</w:t>
      </w:r>
      <w:bookmarkEnd w:id="118"/>
      <w:bookmarkEnd w:id="119"/>
      <w:bookmarkEnd w:id="120"/>
    </w:p>
    <w:p w:rsidR="00CD7E26" w:rsidRDefault="00CD7E26" w:rsidP="00CD7E26">
      <w:pPr>
        <w:rPr>
          <w:lang w:eastAsia="ja-JP"/>
        </w:rPr>
      </w:pPr>
      <w:bookmarkStart w:id="121" w:name="_Toc272414630"/>
      <w:bookmarkStart w:id="122" w:name="_Toc290888479"/>
      <w:bookmarkStart w:id="123" w:name="_Toc416353675"/>
      <w:r>
        <w:rPr>
          <w:lang w:eastAsia="ja-JP"/>
        </w:rPr>
        <w:t>See Population PK.</w:t>
      </w:r>
    </w:p>
    <w:p w:rsidR="00CD7E26" w:rsidRDefault="00CD7E26" w:rsidP="00BE6E4E">
      <w:pPr>
        <w:pStyle w:val="Heading5"/>
        <w:numPr>
          <w:ilvl w:val="3"/>
          <w:numId w:val="29"/>
        </w:numPr>
        <w:tabs>
          <w:tab w:val="clear" w:pos="1418"/>
          <w:tab w:val="num" w:pos="1276"/>
        </w:tabs>
        <w:ind w:left="1219" w:hanging="992"/>
      </w:pPr>
      <w:bookmarkStart w:id="124" w:name="_Toc272414631"/>
      <w:bookmarkStart w:id="125" w:name="_Toc290888480"/>
      <w:bookmarkStart w:id="126" w:name="_Toc416353676"/>
      <w:bookmarkEnd w:id="121"/>
      <w:bookmarkEnd w:id="122"/>
      <w:bookmarkEnd w:id="123"/>
      <w:r w:rsidRPr="00F008C0">
        <w:t>Pharmacokinetics in other special population / with other population</w:t>
      </w:r>
      <w:r w:rsidRPr="005B0142">
        <w:t xml:space="preserve"> characteristic</w:t>
      </w:r>
      <w:bookmarkEnd w:id="124"/>
      <w:bookmarkEnd w:id="125"/>
      <w:bookmarkEnd w:id="126"/>
    </w:p>
    <w:p w:rsidR="00CD7E26" w:rsidRDefault="00CD7E26" w:rsidP="00CD7E26">
      <w:pPr>
        <w:rPr>
          <w:lang w:eastAsia="ja-JP"/>
        </w:rPr>
      </w:pPr>
      <w:r>
        <w:rPr>
          <w:lang w:eastAsia="ja-JP"/>
        </w:rPr>
        <w:t>See Population PK</w:t>
      </w:r>
      <w:r w:rsidR="00F008C0">
        <w:rPr>
          <w:lang w:eastAsia="ja-JP"/>
        </w:rPr>
        <w:t>.</w:t>
      </w:r>
    </w:p>
    <w:p w:rsidR="00CD7E26" w:rsidRPr="00150A99" w:rsidRDefault="00CD7E26" w:rsidP="00CD7E26">
      <w:pPr>
        <w:pStyle w:val="Heading4"/>
        <w:numPr>
          <w:ilvl w:val="2"/>
          <w:numId w:val="29"/>
        </w:numPr>
      </w:pPr>
      <w:bookmarkStart w:id="127" w:name="_Toc416353677"/>
      <w:bookmarkStart w:id="128" w:name="_Toc421005247"/>
      <w:bookmarkStart w:id="129" w:name="_Toc432079129"/>
      <w:bookmarkStart w:id="130" w:name="_Toc432080702"/>
      <w:r w:rsidRPr="00150A99">
        <w:t xml:space="preserve">Population </w:t>
      </w:r>
      <w:r>
        <w:t>p</w:t>
      </w:r>
      <w:r w:rsidRPr="00150A99">
        <w:t>harmacokinetics</w:t>
      </w:r>
      <w:bookmarkEnd w:id="127"/>
      <w:bookmarkEnd w:id="128"/>
      <w:bookmarkEnd w:id="129"/>
      <w:bookmarkEnd w:id="130"/>
    </w:p>
    <w:p w:rsidR="00CD7E26" w:rsidRPr="00F008C0" w:rsidRDefault="00CD7E26" w:rsidP="00F008C0">
      <w:pPr>
        <w:pStyle w:val="Heading5"/>
      </w:pPr>
      <w:bookmarkStart w:id="131" w:name="_Toc421005248"/>
      <w:r w:rsidRPr="00F008C0">
        <w:t>XL184-308 poppk-001</w:t>
      </w:r>
    </w:p>
    <w:p w:rsidR="00CD7E26" w:rsidRPr="00130E12" w:rsidRDefault="00CD7E26" w:rsidP="00CD7E26">
      <w:pPr>
        <w:rPr>
          <w:lang w:val="en-NZ"/>
        </w:rPr>
      </w:pPr>
      <w:r>
        <w:rPr>
          <w:lang w:val="en-NZ"/>
        </w:rPr>
        <w:t xml:space="preserve">A population </w:t>
      </w:r>
      <w:r w:rsidRPr="00130E12">
        <w:rPr>
          <w:lang w:val="en-NZ"/>
        </w:rPr>
        <w:t>pharmacokinetic (</w:t>
      </w:r>
      <w:proofErr w:type="spellStart"/>
      <w:r w:rsidR="000C071D">
        <w:fldChar w:fldCharType="begin"/>
      </w:r>
      <w:r w:rsidR="000C071D">
        <w:instrText xml:space="preserve"> HYPERLINK \l "_XL184-308._PopPK.001_analysis:" </w:instrText>
      </w:r>
      <w:r w:rsidR="000C071D">
        <w:fldChar w:fldCharType="separate"/>
      </w:r>
      <w:r w:rsidRPr="00130E12">
        <w:rPr>
          <w:rStyle w:val="Hyperlink"/>
          <w:color w:val="auto"/>
          <w:u w:val="none"/>
          <w:lang w:val="en-NZ"/>
        </w:rPr>
        <w:t>PopPK</w:t>
      </w:r>
      <w:proofErr w:type="spellEnd"/>
      <w:r w:rsidR="000C071D">
        <w:rPr>
          <w:rStyle w:val="Hyperlink"/>
          <w:color w:val="auto"/>
          <w:u w:val="none"/>
          <w:lang w:val="en-NZ"/>
        </w:rPr>
        <w:fldChar w:fldCharType="end"/>
      </w:r>
      <w:r w:rsidRPr="00130E12">
        <w:rPr>
          <w:lang w:val="en-NZ"/>
        </w:rPr>
        <w:t xml:space="preserve">) analysis of </w:t>
      </w:r>
      <w:proofErr w:type="spellStart"/>
      <w:r w:rsidRPr="00130E12">
        <w:rPr>
          <w:lang w:val="en-NZ"/>
        </w:rPr>
        <w:t>cabozantinib</w:t>
      </w:r>
      <w:proofErr w:type="spellEnd"/>
      <w:r w:rsidRPr="00130E12">
        <w:rPr>
          <w:lang w:val="en-NZ"/>
        </w:rPr>
        <w:t xml:space="preserve"> was performed using data collected from subjects with RCC (</w:t>
      </w:r>
      <w:hyperlink w:anchor="_XL184-308_A_Phase" w:history="1">
        <w:r w:rsidRPr="00130E12">
          <w:rPr>
            <w:rStyle w:val="Hyperlink"/>
            <w:color w:val="auto"/>
            <w:u w:val="none"/>
            <w:lang w:val="en-NZ"/>
          </w:rPr>
          <w:t>XL184-308</w:t>
        </w:r>
      </w:hyperlink>
      <w:r w:rsidRPr="00130E12">
        <w:rPr>
          <w:lang w:val="en-NZ"/>
        </w:rPr>
        <w:t>) and normal healthy subjects (</w:t>
      </w:r>
      <w:hyperlink w:anchor="_XL184-020__A" w:history="1">
        <w:r w:rsidRPr="00130E12">
          <w:rPr>
            <w:rStyle w:val="Hyperlink"/>
            <w:color w:val="auto"/>
            <w:u w:val="none"/>
            <w:lang w:val="en-NZ"/>
          </w:rPr>
          <w:t>XL184-020</w:t>
        </w:r>
      </w:hyperlink>
      <w:r w:rsidRPr="00130E12">
        <w:rPr>
          <w:lang w:val="en-NZ"/>
        </w:rPr>
        <w:t>).</w:t>
      </w:r>
    </w:p>
    <w:p w:rsidR="00CD7E26" w:rsidRDefault="00CD7E26" w:rsidP="00CD7E26">
      <w:pPr>
        <w:rPr>
          <w:lang w:eastAsia="ja-JP"/>
        </w:rPr>
      </w:pPr>
      <w:r w:rsidRPr="00130E12">
        <w:rPr>
          <w:lang w:eastAsia="ja-JP"/>
        </w:rPr>
        <w:t xml:space="preserve">A two-compartment model with two </w:t>
      </w:r>
      <w:r>
        <w:rPr>
          <w:lang w:eastAsia="ja-JP"/>
        </w:rPr>
        <w:t xml:space="preserve">parallel (fast and slow) lagged first-order absorption processes adequately described the population pharmacokinetics of </w:t>
      </w:r>
      <w:proofErr w:type="spellStart"/>
      <w:r>
        <w:rPr>
          <w:lang w:eastAsia="ja-JP"/>
        </w:rPr>
        <w:t>cabozantinib</w:t>
      </w:r>
      <w:proofErr w:type="spellEnd"/>
      <w:r>
        <w:rPr>
          <w:lang w:eastAsia="ja-JP"/>
        </w:rPr>
        <w:t>. The absorption rate constant for the faster absorption process was dose dependent.</w:t>
      </w:r>
    </w:p>
    <w:p w:rsidR="00CD7E26" w:rsidRDefault="00CD7E26" w:rsidP="00CD7E26">
      <w:pPr>
        <w:rPr>
          <w:lang w:eastAsia="ja-JP"/>
        </w:rPr>
      </w:pPr>
      <w:r>
        <w:rPr>
          <w:lang w:eastAsia="ja-JP"/>
        </w:rPr>
        <w:t xml:space="preserve">Female gender and Asian race were significant covariates on CL/F, where female subjects had 21% lower CL/F compared with male subjects and Asian subjects had 27% lower CL/F compared with White subjects. While the attributes of Asian race and female gender were statistically significant, they were not deemed clinically meaningful given the magnitude of the effects. In addition, the small number of Asian females (n=3) included in this </w:t>
      </w:r>
      <w:proofErr w:type="spellStart"/>
      <w:r>
        <w:rPr>
          <w:lang w:eastAsia="ja-JP"/>
        </w:rPr>
        <w:t>PopPK</w:t>
      </w:r>
      <w:proofErr w:type="spellEnd"/>
      <w:r>
        <w:rPr>
          <w:lang w:eastAsia="ja-JP"/>
        </w:rPr>
        <w:t xml:space="preserve"> analysis were insufficient to perform a meaningful analysis to understand the combined effect of a potential interaction between Asian race and female gender effects; however, these 3 Asian females did have individual clearance and drug exposure (AUC) values within the range of all other subjects in the study and were not considered outliers. In addition, the predicted effects of female gender and Asian race on CL/F are both lower than the calculated inter-individual variability in clearance (%CV of CL/F = 46%).</w:t>
      </w:r>
    </w:p>
    <w:p w:rsidR="00CD7E26" w:rsidRDefault="00CD7E26" w:rsidP="00CD7E26">
      <w:pPr>
        <w:rPr>
          <w:lang w:eastAsia="ja-JP"/>
        </w:rPr>
      </w:pPr>
      <w:r>
        <w:rPr>
          <w:lang w:eastAsia="ja-JP"/>
        </w:rPr>
        <w:lastRenderedPageBreak/>
        <w:t>Covariates determined to have a non-significant effect on CL/F were age, baseline body mass index, baseline haemoglobin, baseline total bilirubin, baseline alanine aminotransferase, baseline serum albumin, baseline calculated creatinine clearance and population (healthy subjects or subjects with RCC).</w:t>
      </w:r>
    </w:p>
    <w:p w:rsidR="00CD7E26" w:rsidRPr="00F008C0" w:rsidRDefault="00CD7E26" w:rsidP="00F008C0">
      <w:pPr>
        <w:pStyle w:val="Heading4"/>
      </w:pPr>
      <w:bookmarkStart w:id="132" w:name="_Toc241374294"/>
      <w:bookmarkStart w:id="133" w:name="_Toc272414632"/>
      <w:bookmarkStart w:id="134" w:name="_Toc290888481"/>
      <w:bookmarkStart w:id="135" w:name="_Toc416353678"/>
      <w:bookmarkStart w:id="136" w:name="_Toc421005249"/>
      <w:bookmarkStart w:id="137" w:name="_Toc432079130"/>
      <w:bookmarkStart w:id="138" w:name="_Toc432080703"/>
      <w:bookmarkEnd w:id="131"/>
      <w:r w:rsidRPr="00F008C0">
        <w:t>Pharmacokinetic interactions</w:t>
      </w:r>
      <w:bookmarkEnd w:id="132"/>
      <w:bookmarkEnd w:id="133"/>
      <w:bookmarkEnd w:id="134"/>
      <w:bookmarkEnd w:id="135"/>
      <w:bookmarkEnd w:id="136"/>
      <w:bookmarkEnd w:id="137"/>
      <w:bookmarkEnd w:id="138"/>
    </w:p>
    <w:p w:rsidR="00CD7E26" w:rsidRPr="00F008C0" w:rsidRDefault="00CD7E26" w:rsidP="00F008C0">
      <w:pPr>
        <w:pStyle w:val="Heading5"/>
      </w:pPr>
      <w:r w:rsidRPr="00F008C0">
        <w:t>Rosiglitazone</w:t>
      </w:r>
    </w:p>
    <w:p w:rsidR="00CD7E26" w:rsidRDefault="00CD7E26" w:rsidP="00CD7E26">
      <w:r w:rsidRPr="00130E12">
        <w:t xml:space="preserve">Study </w:t>
      </w:r>
      <w:hyperlink w:anchor="_XL184-008_A_Phase" w:history="1">
        <w:r w:rsidRPr="00130E12">
          <w:t>XL184-008</w:t>
        </w:r>
      </w:hyperlink>
      <w:r w:rsidRPr="00130E12">
        <w:t xml:space="preserve"> was designed to determine if exposure to </w:t>
      </w:r>
      <w:r>
        <w:rPr>
          <w:lang w:eastAsia="ja-JP"/>
        </w:rPr>
        <w:t>≥ </w:t>
      </w:r>
      <w:r w:rsidRPr="00130E12">
        <w:t xml:space="preserve">21 daily doses of </w:t>
      </w:r>
      <w:r>
        <w:rPr>
          <w:lang w:eastAsia="ja-JP"/>
        </w:rPr>
        <w:t>≥ </w:t>
      </w:r>
      <w:r w:rsidRPr="00130E12">
        <w:t xml:space="preserve">100 mg </w:t>
      </w:r>
      <w:proofErr w:type="spellStart"/>
      <w:r w:rsidRPr="00130E12">
        <w:t>cabozantinib</w:t>
      </w:r>
      <w:proofErr w:type="spellEnd"/>
      <w:r w:rsidRPr="00130E12">
        <w:t xml:space="preserve"> (XL184) FBE /day in capsule form affected the PK of a single dose of rosiglitazone (4 mg), a CYP2C8 s</w:t>
      </w:r>
      <w:r>
        <w:t>ubstrate drug.</w:t>
      </w:r>
    </w:p>
    <w:p w:rsidR="00CD7E26" w:rsidRPr="000C3DCE" w:rsidRDefault="00CD7E26" w:rsidP="00CD7E26">
      <w:r w:rsidRPr="00300D5C">
        <w:t xml:space="preserve">No significant difference in rosiglitazone plasma </w:t>
      </w:r>
      <w:proofErr w:type="spellStart"/>
      <w:r w:rsidRPr="00300D5C">
        <w:t>C</w:t>
      </w:r>
      <w:r w:rsidRPr="00130E12">
        <w:rPr>
          <w:vertAlign w:val="subscript"/>
        </w:rPr>
        <w:t>max</w:t>
      </w:r>
      <w:proofErr w:type="spellEnd"/>
      <w:r w:rsidRPr="00300D5C">
        <w:t>, AUC</w:t>
      </w:r>
      <w:r w:rsidRPr="00130E12">
        <w:rPr>
          <w:vertAlign w:val="subscript"/>
        </w:rPr>
        <w:t>0-24</w:t>
      </w:r>
      <w:r w:rsidRPr="00300D5C">
        <w:t>, or AUC</w:t>
      </w:r>
      <w:r w:rsidRPr="00130E12">
        <w:rPr>
          <w:vertAlign w:val="subscript"/>
        </w:rPr>
        <w:t>0-inf</w:t>
      </w:r>
      <w:r w:rsidRPr="00300D5C">
        <w:t xml:space="preserve"> values </w:t>
      </w:r>
      <w:r>
        <w:rPr>
          <w:lang w:val="en-NZ"/>
        </w:rPr>
        <w:t xml:space="preserve">was observed on planned visit Day 22 (test: that is, rosiglitazone after </w:t>
      </w:r>
      <w:r>
        <w:rPr>
          <w:lang w:eastAsia="ja-JP"/>
        </w:rPr>
        <w:t>≥ </w:t>
      </w:r>
      <w:r>
        <w:rPr>
          <w:lang w:val="en-NZ"/>
        </w:rPr>
        <w:t xml:space="preserve">21 daily doses of </w:t>
      </w:r>
      <w:r>
        <w:rPr>
          <w:lang w:eastAsia="ja-JP"/>
        </w:rPr>
        <w:t>≥ </w:t>
      </w:r>
      <w:r>
        <w:rPr>
          <w:lang w:val="en-NZ"/>
        </w:rPr>
        <w:t xml:space="preserve">100 mg FBE/day </w:t>
      </w:r>
      <w:proofErr w:type="spellStart"/>
      <w:r>
        <w:rPr>
          <w:lang w:val="en-NZ"/>
        </w:rPr>
        <w:t>cabozantinib</w:t>
      </w:r>
      <w:proofErr w:type="spellEnd"/>
      <w:r>
        <w:rPr>
          <w:lang w:val="en-NZ"/>
        </w:rPr>
        <w:t xml:space="preserve">) compared with Day-1. The test/reference ratios (90% CI) for </w:t>
      </w:r>
      <w:proofErr w:type="spellStart"/>
      <w:r>
        <w:rPr>
          <w:lang w:val="en-NZ"/>
        </w:rPr>
        <w:t>C</w:t>
      </w:r>
      <w:r w:rsidRPr="00757D6A">
        <w:rPr>
          <w:sz w:val="16"/>
          <w:szCs w:val="16"/>
          <w:vertAlign w:val="subscript"/>
          <w:lang w:val="en-NZ"/>
        </w:rPr>
        <w:t>max</w:t>
      </w:r>
      <w:proofErr w:type="spellEnd"/>
      <w:r>
        <w:rPr>
          <w:lang w:val="en-NZ"/>
        </w:rPr>
        <w:t>, AUC</w:t>
      </w:r>
      <w:r w:rsidRPr="00757D6A">
        <w:rPr>
          <w:sz w:val="16"/>
          <w:szCs w:val="16"/>
          <w:vertAlign w:val="subscript"/>
          <w:lang w:val="en-NZ"/>
        </w:rPr>
        <w:t>0-24</w:t>
      </w:r>
      <w:r>
        <w:rPr>
          <w:lang w:val="en-NZ"/>
        </w:rPr>
        <w:t>, and AUC</w:t>
      </w:r>
      <w:r w:rsidRPr="00757D6A">
        <w:rPr>
          <w:sz w:val="16"/>
          <w:szCs w:val="16"/>
          <w:vertAlign w:val="subscript"/>
          <w:lang w:val="en-NZ"/>
        </w:rPr>
        <w:t>0-inf</w:t>
      </w:r>
      <w:r>
        <w:rPr>
          <w:sz w:val="16"/>
          <w:szCs w:val="16"/>
          <w:lang w:val="en-NZ"/>
        </w:rPr>
        <w:t xml:space="preserve"> </w:t>
      </w:r>
      <w:r>
        <w:rPr>
          <w:lang w:val="en-NZ"/>
        </w:rPr>
        <w:t>were 1.0396 (0.9261–1.1671), 1.0464 (0.9906-1.1053), and 1.0656 (1.0080–1.1265), respectively, and fell within standard bioequivalence limits (</w:t>
      </w:r>
      <w:r w:rsidR="00F008C0">
        <w:rPr>
          <w:lang w:val="en-NZ"/>
        </w:rPr>
        <w:t>that is, between 0.8 and 1.25).</w:t>
      </w:r>
    </w:p>
    <w:p w:rsidR="00CD7E26" w:rsidRPr="00F008C0" w:rsidRDefault="00F008C0" w:rsidP="00F008C0">
      <w:pPr>
        <w:pStyle w:val="Comment"/>
      </w:pPr>
      <w:r w:rsidRPr="00F008C0">
        <w:rPr>
          <w:b/>
        </w:rPr>
        <w:t>Comment</w:t>
      </w:r>
      <w:r>
        <w:t>:</w:t>
      </w:r>
      <w:r>
        <w:tab/>
      </w:r>
      <w:r w:rsidR="00CD7E26" w:rsidRPr="00F008C0">
        <w:t xml:space="preserve">No clinically relevant effect of </w:t>
      </w:r>
      <w:proofErr w:type="spellStart"/>
      <w:r w:rsidR="00CD7E26" w:rsidRPr="00F008C0">
        <w:t>cabozantinib</w:t>
      </w:r>
      <w:proofErr w:type="spellEnd"/>
      <w:r w:rsidR="00CD7E26" w:rsidRPr="00F008C0">
        <w:t xml:space="preserve"> on CYP450 substrates is anticipated.</w:t>
      </w:r>
    </w:p>
    <w:p w:rsidR="00CD7E26" w:rsidRPr="00F008C0" w:rsidRDefault="00CD7E26" w:rsidP="00F008C0">
      <w:pPr>
        <w:pStyle w:val="Heading5"/>
      </w:pPr>
      <w:r w:rsidRPr="00F008C0">
        <w:t>Ketoconazole (CYP3A4 inhibitor)</w:t>
      </w:r>
    </w:p>
    <w:p w:rsidR="00CD7E26" w:rsidRPr="00130E12" w:rsidRDefault="00CD7E26" w:rsidP="00CD7E26">
      <w:pPr>
        <w:rPr>
          <w:lang w:eastAsia="ja-JP"/>
        </w:rPr>
      </w:pPr>
      <w:r>
        <w:rPr>
          <w:lang w:eastAsia="ja-JP"/>
        </w:rPr>
        <w:t xml:space="preserve">The </w:t>
      </w:r>
      <w:r w:rsidRPr="00130E12">
        <w:rPr>
          <w:lang w:eastAsia="ja-JP"/>
        </w:rPr>
        <w:t>effect of ketoconazole, a potent CYP3A4 inhibitor, on XL184</w:t>
      </w:r>
      <w:r>
        <w:rPr>
          <w:lang w:eastAsia="ja-JP"/>
        </w:rPr>
        <w:t xml:space="preserve"> plasma PK was investigated in S</w:t>
      </w:r>
      <w:r w:rsidRPr="00130E12">
        <w:rPr>
          <w:lang w:eastAsia="ja-JP"/>
        </w:rPr>
        <w:t xml:space="preserve">tudy </w:t>
      </w:r>
      <w:hyperlink w:anchor="_XL184-007_A_Phase" w:history="1">
        <w:r w:rsidRPr="00130E12">
          <w:rPr>
            <w:rStyle w:val="Hyperlink"/>
            <w:color w:val="auto"/>
            <w:u w:val="none"/>
            <w:lang w:eastAsia="ja-JP"/>
          </w:rPr>
          <w:t>XL</w:t>
        </w:r>
        <w:r>
          <w:rPr>
            <w:rStyle w:val="Hyperlink"/>
            <w:color w:val="auto"/>
            <w:u w:val="none"/>
            <w:lang w:eastAsia="ja-JP"/>
          </w:rPr>
          <w:t>-</w:t>
        </w:r>
        <w:r w:rsidRPr="00130E12">
          <w:rPr>
            <w:rStyle w:val="Hyperlink"/>
            <w:color w:val="auto"/>
            <w:u w:val="none"/>
            <w:lang w:eastAsia="ja-JP"/>
          </w:rPr>
          <w:t>184-007</w:t>
        </w:r>
      </w:hyperlink>
      <w:r w:rsidRPr="00130E12">
        <w:rPr>
          <w:lang w:eastAsia="ja-JP"/>
        </w:rPr>
        <w:t>.</w:t>
      </w:r>
    </w:p>
    <w:p w:rsidR="00CD7E26" w:rsidRDefault="00CD7E26" w:rsidP="00CD7E26">
      <w:pPr>
        <w:rPr>
          <w:lang w:val="en-NZ"/>
        </w:rPr>
      </w:pPr>
      <w:r w:rsidRPr="00130E12">
        <w:rPr>
          <w:lang w:val="en-NZ"/>
        </w:rPr>
        <w:t xml:space="preserve">The geometric mean values </w:t>
      </w:r>
      <w:r>
        <w:rPr>
          <w:lang w:val="en-NZ"/>
        </w:rPr>
        <w:t xml:space="preserve">for </w:t>
      </w:r>
      <w:proofErr w:type="spellStart"/>
      <w:r>
        <w:rPr>
          <w:lang w:val="en-NZ"/>
        </w:rPr>
        <w:t>C</w:t>
      </w:r>
      <w:r>
        <w:rPr>
          <w:sz w:val="16"/>
          <w:szCs w:val="16"/>
          <w:lang w:val="en-NZ"/>
        </w:rPr>
        <w:t>max</w:t>
      </w:r>
      <w:proofErr w:type="spellEnd"/>
      <w:r>
        <w:rPr>
          <w:lang w:val="en-NZ"/>
        </w:rPr>
        <w:t>, AUC</w:t>
      </w:r>
      <w:r>
        <w:rPr>
          <w:sz w:val="16"/>
          <w:szCs w:val="16"/>
          <w:lang w:val="en-NZ"/>
        </w:rPr>
        <w:t xml:space="preserve">0-t </w:t>
      </w:r>
      <w:r>
        <w:rPr>
          <w:lang w:val="en-NZ"/>
        </w:rPr>
        <w:t>and AUC</w:t>
      </w:r>
      <w:r>
        <w:rPr>
          <w:sz w:val="16"/>
          <w:szCs w:val="16"/>
          <w:lang w:val="en-NZ"/>
        </w:rPr>
        <w:t xml:space="preserve">0-inf </w:t>
      </w:r>
      <w:r>
        <w:rPr>
          <w:lang w:val="en-NZ"/>
        </w:rPr>
        <w:t xml:space="preserve">for XL184 following co-administration of ketoconazole decreased by 3%, and </w:t>
      </w:r>
      <w:r w:rsidRPr="00130E12">
        <w:t xml:space="preserve">increased by 34 % and 38 %, respectively, compared with the values when XL184 was administered alone. The ratios of geometric means were: 97.37% (90% CI: 83.07%-114.11%) for </w:t>
      </w:r>
      <w:proofErr w:type="spellStart"/>
      <w:r w:rsidRPr="00130E12">
        <w:t>C</w:t>
      </w:r>
      <w:r w:rsidRPr="00130E12">
        <w:rPr>
          <w:vertAlign w:val="subscript"/>
        </w:rPr>
        <w:t>max</w:t>
      </w:r>
      <w:proofErr w:type="spellEnd"/>
      <w:r w:rsidRPr="00130E12">
        <w:t>, 134.30% (90% CI; 122.45 %- 147.30%) for AUC</w:t>
      </w:r>
      <w:r w:rsidRPr="00130E12">
        <w:rPr>
          <w:vertAlign w:val="subscript"/>
        </w:rPr>
        <w:t>0-t</w:t>
      </w:r>
      <w:r w:rsidRPr="00130E12">
        <w:t>, and 138.05% (90% CI: 124.51 % - 153.07%) for AUC</w:t>
      </w:r>
      <w:r w:rsidRPr="00130E12">
        <w:rPr>
          <w:vertAlign w:val="subscript"/>
        </w:rPr>
        <w:t>0-inf</w:t>
      </w:r>
      <w:r>
        <w:rPr>
          <w:lang w:val="en-NZ"/>
        </w:rPr>
        <w:t xml:space="preserve">. The findings from this study indicate that </w:t>
      </w:r>
      <w:proofErr w:type="spellStart"/>
      <w:r>
        <w:rPr>
          <w:lang w:val="en-NZ"/>
        </w:rPr>
        <w:t>cabozantinib</w:t>
      </w:r>
      <w:proofErr w:type="spellEnd"/>
      <w:r>
        <w:rPr>
          <w:lang w:val="en-NZ"/>
        </w:rPr>
        <w:t xml:space="preserve">, a substrate of CYP3A4, is susceptible to interaction with ketoconazole, a potent 3A4 inhibitor. Therefore, concomitant use of strong inhibitors of CYP3A4 should be used with caution as they would be anticipated to potentially increase systemic exposure (AUC values) of </w:t>
      </w:r>
      <w:proofErr w:type="spellStart"/>
      <w:r>
        <w:rPr>
          <w:lang w:val="en-NZ"/>
        </w:rPr>
        <w:t>cabozantinib</w:t>
      </w:r>
      <w:proofErr w:type="spellEnd"/>
      <w:r>
        <w:rPr>
          <w:lang w:val="en-NZ"/>
        </w:rPr>
        <w:t xml:space="preserve"> XL184 markedly.</w:t>
      </w:r>
    </w:p>
    <w:p w:rsidR="00CD7E26" w:rsidRPr="00F008C0" w:rsidRDefault="00CD7E26" w:rsidP="00F008C0">
      <w:pPr>
        <w:pStyle w:val="Heading5"/>
      </w:pPr>
      <w:r w:rsidRPr="00F008C0">
        <w:t>Esomeprazole</w:t>
      </w:r>
    </w:p>
    <w:p w:rsidR="00CD7E26" w:rsidRDefault="00CD7E26" w:rsidP="00CD7E26">
      <w:pPr>
        <w:rPr>
          <w:lang w:eastAsia="ja-JP"/>
        </w:rPr>
      </w:pPr>
      <w:proofErr w:type="spellStart"/>
      <w:r>
        <w:rPr>
          <w:lang w:eastAsia="ja-JP"/>
        </w:rPr>
        <w:t>Cabozantinib</w:t>
      </w:r>
      <w:proofErr w:type="spellEnd"/>
      <w:r>
        <w:rPr>
          <w:lang w:eastAsia="ja-JP"/>
        </w:rPr>
        <w:t xml:space="preserve"> was determined to </w:t>
      </w:r>
      <w:r w:rsidRPr="00130E12">
        <w:t xml:space="preserve">have reduced solubility at pH &gt;3 and practically insoluble at pH4 or greater; for this reason, </w:t>
      </w:r>
      <w:hyperlink w:anchor="_XL184-018_A_Phase" w:history="1">
        <w:r>
          <w:t>Study XL184-</w:t>
        </w:r>
        <w:r w:rsidRPr="00130E12">
          <w:t>018</w:t>
        </w:r>
      </w:hyperlink>
      <w:r w:rsidRPr="00130E12">
        <w:t xml:space="preserve"> was undertaken in healthy subjects designed to determine if daily administration of 40 mg esomeprazole, a proton pump inhibitor, affected the PK of a single dose of </w:t>
      </w:r>
      <w:proofErr w:type="spellStart"/>
      <w:r w:rsidRPr="00130E12">
        <w:t>cabozantinib</w:t>
      </w:r>
      <w:proofErr w:type="spellEnd"/>
      <w:r w:rsidRPr="00130E12">
        <w:t xml:space="preserve"> by raising</w:t>
      </w:r>
      <w:r>
        <w:rPr>
          <w:lang w:eastAsia="ja-JP"/>
        </w:rPr>
        <w:t xml:space="preserve"> gastric </w:t>
      </w:r>
      <w:proofErr w:type="spellStart"/>
      <w:r>
        <w:rPr>
          <w:lang w:eastAsia="ja-JP"/>
        </w:rPr>
        <w:t>pH.</w:t>
      </w:r>
      <w:proofErr w:type="spellEnd"/>
    </w:p>
    <w:p w:rsidR="00CD7E26" w:rsidRDefault="00CD7E26" w:rsidP="00CD7E26">
      <w:pPr>
        <w:rPr>
          <w:lang w:val="en-NZ"/>
        </w:rPr>
      </w:pPr>
      <w:r>
        <w:rPr>
          <w:lang w:val="en-NZ"/>
        </w:rPr>
        <w:t xml:space="preserve">The geometric LSM values for </w:t>
      </w:r>
      <w:proofErr w:type="spellStart"/>
      <w:r>
        <w:rPr>
          <w:lang w:val="en-NZ"/>
        </w:rPr>
        <w:t>C</w:t>
      </w:r>
      <w:r>
        <w:rPr>
          <w:sz w:val="16"/>
          <w:szCs w:val="16"/>
          <w:lang w:val="en-NZ"/>
        </w:rPr>
        <w:t>max</w:t>
      </w:r>
      <w:proofErr w:type="spellEnd"/>
      <w:r>
        <w:rPr>
          <w:lang w:val="en-NZ"/>
        </w:rPr>
        <w:t>, AUC</w:t>
      </w:r>
      <w:r>
        <w:rPr>
          <w:sz w:val="16"/>
          <w:szCs w:val="16"/>
          <w:lang w:val="en-NZ"/>
        </w:rPr>
        <w:t>0-t</w:t>
      </w:r>
      <w:r>
        <w:rPr>
          <w:lang w:val="en-NZ"/>
        </w:rPr>
        <w:t>, and AUC</w:t>
      </w:r>
      <w:r>
        <w:rPr>
          <w:sz w:val="16"/>
          <w:szCs w:val="16"/>
          <w:lang w:val="en-NZ"/>
        </w:rPr>
        <w:t xml:space="preserve">0-inf </w:t>
      </w:r>
      <w:r>
        <w:rPr>
          <w:lang w:val="en-NZ"/>
        </w:rPr>
        <w:t xml:space="preserve">were similar (between approximately 108 and 111%) for a single 100 mg FBE </w:t>
      </w:r>
      <w:proofErr w:type="spellStart"/>
      <w:r>
        <w:rPr>
          <w:lang w:val="en-NZ"/>
        </w:rPr>
        <w:t>cabozantinib</w:t>
      </w:r>
      <w:proofErr w:type="spellEnd"/>
      <w:r>
        <w:rPr>
          <w:lang w:val="en-NZ"/>
        </w:rPr>
        <w:t xml:space="preserve"> dose administered alone or following 6 daily doses of 40 mg esomeprazole. The 90% CIs around the ratio of LS means were within the limits of 80.00% - 125.00% for AUC</w:t>
      </w:r>
      <w:r>
        <w:rPr>
          <w:sz w:val="16"/>
          <w:szCs w:val="16"/>
          <w:lang w:val="en-NZ"/>
        </w:rPr>
        <w:t xml:space="preserve">0-t </w:t>
      </w:r>
      <w:r>
        <w:rPr>
          <w:lang w:val="en-NZ"/>
        </w:rPr>
        <w:t>and AUC</w:t>
      </w:r>
      <w:r>
        <w:rPr>
          <w:sz w:val="16"/>
          <w:szCs w:val="16"/>
          <w:lang w:val="en-NZ"/>
        </w:rPr>
        <w:t xml:space="preserve">0-inf </w:t>
      </w:r>
      <w:r>
        <w:rPr>
          <w:lang w:val="en-NZ"/>
        </w:rPr>
        <w:t xml:space="preserve">parameters; the upper 90% CI for </w:t>
      </w:r>
      <w:proofErr w:type="spellStart"/>
      <w:r>
        <w:rPr>
          <w:lang w:val="en-NZ"/>
        </w:rPr>
        <w:t>C</w:t>
      </w:r>
      <w:r>
        <w:rPr>
          <w:sz w:val="16"/>
          <w:szCs w:val="16"/>
          <w:lang w:val="en-NZ"/>
        </w:rPr>
        <w:t>max</w:t>
      </w:r>
      <w:proofErr w:type="spellEnd"/>
      <w:r>
        <w:rPr>
          <w:sz w:val="16"/>
          <w:szCs w:val="16"/>
          <w:lang w:val="en-NZ"/>
        </w:rPr>
        <w:t xml:space="preserve"> </w:t>
      </w:r>
      <w:r>
        <w:rPr>
          <w:lang w:val="en-NZ"/>
        </w:rPr>
        <w:t xml:space="preserve">was determined to be 125.1%. Co-administration of multiple doses of esomeprazole with a single dose of </w:t>
      </w:r>
      <w:proofErr w:type="spellStart"/>
      <w:r>
        <w:rPr>
          <w:lang w:val="en-NZ"/>
        </w:rPr>
        <w:t>cabozantinib</w:t>
      </w:r>
      <w:proofErr w:type="spellEnd"/>
      <w:r>
        <w:rPr>
          <w:lang w:val="en-NZ"/>
        </w:rPr>
        <w:t xml:space="preserve"> did not statistically significantly alter </w:t>
      </w:r>
      <w:proofErr w:type="spellStart"/>
      <w:r>
        <w:rPr>
          <w:lang w:val="en-NZ"/>
        </w:rPr>
        <w:t>cabozantinib</w:t>
      </w:r>
      <w:proofErr w:type="spellEnd"/>
      <w:r>
        <w:rPr>
          <w:lang w:val="en-NZ"/>
        </w:rPr>
        <w:t xml:space="preserve"> plasma exposure. </w:t>
      </w:r>
    </w:p>
    <w:p w:rsidR="00CD7E26" w:rsidRDefault="00CD7E26" w:rsidP="00CD7E26">
      <w:pPr>
        <w:pStyle w:val="Comment"/>
        <w:rPr>
          <w:lang w:val="en-NZ"/>
        </w:rPr>
      </w:pPr>
      <w:r>
        <w:rPr>
          <w:b/>
          <w:lang w:val="en-NZ"/>
        </w:rPr>
        <w:t>Comment:</w:t>
      </w:r>
      <w:r w:rsidR="00884E48">
        <w:rPr>
          <w:b/>
          <w:lang w:val="en-NZ"/>
        </w:rPr>
        <w:tab/>
      </w:r>
      <w:r>
        <w:rPr>
          <w:lang w:val="en-NZ"/>
        </w:rPr>
        <w:t xml:space="preserve">The use of proton pump inhibitors or other substances that raise gastric pH by decreasing hydrogen ion concentration is not anticipated to have a clinically significant effect on the absorption of </w:t>
      </w:r>
      <w:proofErr w:type="spellStart"/>
      <w:r>
        <w:rPr>
          <w:lang w:val="en-NZ"/>
        </w:rPr>
        <w:t>cabozantinib</w:t>
      </w:r>
      <w:proofErr w:type="spellEnd"/>
      <w:r>
        <w:rPr>
          <w:lang w:val="en-NZ"/>
        </w:rPr>
        <w:t>.</w:t>
      </w:r>
    </w:p>
    <w:p w:rsidR="00CD7E26" w:rsidRPr="00F008C0" w:rsidRDefault="00CD7E26" w:rsidP="00F008C0">
      <w:pPr>
        <w:pStyle w:val="Heading4"/>
      </w:pPr>
      <w:r w:rsidRPr="00F008C0">
        <w:t>Clinical implications of in vitro findings</w:t>
      </w:r>
    </w:p>
    <w:p w:rsidR="00CD7E26" w:rsidRDefault="00CD7E26" w:rsidP="00CD7E26">
      <w:pPr>
        <w:rPr>
          <w:lang w:eastAsia="ja-JP"/>
        </w:rPr>
      </w:pPr>
      <w:r>
        <w:rPr>
          <w:lang w:eastAsia="ja-JP"/>
        </w:rPr>
        <w:t xml:space="preserve">Nonclinical data has demonstrated that </w:t>
      </w:r>
      <w:proofErr w:type="spellStart"/>
      <w:r>
        <w:rPr>
          <w:lang w:eastAsia="ja-JP"/>
        </w:rPr>
        <w:t>cabozantinib</w:t>
      </w:r>
      <w:proofErr w:type="spellEnd"/>
      <w:r>
        <w:rPr>
          <w:lang w:eastAsia="ja-JP"/>
        </w:rPr>
        <w:t xml:space="preserve"> is highly bound (approximately 99.9%) to human plasma proteins. Therefore, highly protein bound drugs (for example, warfarin, diazepam, furosemide, </w:t>
      </w:r>
      <w:proofErr w:type="spellStart"/>
      <w:r>
        <w:rPr>
          <w:lang w:eastAsia="ja-JP"/>
        </w:rPr>
        <w:t>dicloxacillin</w:t>
      </w:r>
      <w:proofErr w:type="spellEnd"/>
      <w:r>
        <w:rPr>
          <w:lang w:eastAsia="ja-JP"/>
        </w:rPr>
        <w:t xml:space="preserve">, and propranolol) have the potential to cause a displacement interaction that could increase free concentrations of </w:t>
      </w:r>
      <w:proofErr w:type="spellStart"/>
      <w:r>
        <w:rPr>
          <w:lang w:eastAsia="ja-JP"/>
        </w:rPr>
        <w:t>cabozantinib</w:t>
      </w:r>
      <w:proofErr w:type="spellEnd"/>
      <w:r>
        <w:rPr>
          <w:lang w:eastAsia="ja-JP"/>
        </w:rPr>
        <w:t xml:space="preserve"> and/or the co-administered highly protein-bound drug (and a corresponding increase in pharmacologic </w:t>
      </w:r>
      <w:r>
        <w:rPr>
          <w:lang w:eastAsia="ja-JP"/>
        </w:rPr>
        <w:lastRenderedPageBreak/>
        <w:t xml:space="preserve">effect). Factors that influence plasma protein binding may affect individual tolerance to </w:t>
      </w:r>
      <w:proofErr w:type="spellStart"/>
      <w:r>
        <w:rPr>
          <w:lang w:eastAsia="ja-JP"/>
        </w:rPr>
        <w:t>cabozantinib</w:t>
      </w:r>
      <w:proofErr w:type="spellEnd"/>
      <w:r>
        <w:rPr>
          <w:lang w:eastAsia="ja-JP"/>
        </w:rPr>
        <w:t>.</w:t>
      </w:r>
    </w:p>
    <w:p w:rsidR="00CD7E26" w:rsidRPr="00F008C0" w:rsidRDefault="00CD7E26" w:rsidP="00F008C0">
      <w:pPr>
        <w:pStyle w:val="Heading3"/>
      </w:pPr>
      <w:bookmarkStart w:id="139" w:name="_Toc241374296"/>
      <w:bookmarkStart w:id="140" w:name="_Ref269982040"/>
      <w:bookmarkStart w:id="141" w:name="_Ref271018704"/>
      <w:bookmarkStart w:id="142" w:name="_Ref271018755"/>
      <w:bookmarkStart w:id="143" w:name="_Toc272414635"/>
      <w:bookmarkStart w:id="144" w:name="_Toc290888484"/>
      <w:bookmarkStart w:id="145" w:name="_Toc416353681"/>
      <w:bookmarkStart w:id="146" w:name="_Toc421005250"/>
      <w:bookmarkStart w:id="147" w:name="_Toc432079132"/>
      <w:bookmarkStart w:id="148" w:name="_Toc432080705"/>
      <w:bookmarkStart w:id="149" w:name="_Toc520879792"/>
      <w:bookmarkStart w:id="150" w:name="_Toc531776238"/>
      <w:r w:rsidRPr="00F008C0">
        <w:t>Evaluator’s overall conclusions on pharmacokinetics</w:t>
      </w:r>
      <w:bookmarkEnd w:id="139"/>
      <w:bookmarkEnd w:id="140"/>
      <w:bookmarkEnd w:id="141"/>
      <w:bookmarkEnd w:id="142"/>
      <w:bookmarkEnd w:id="143"/>
      <w:bookmarkEnd w:id="144"/>
      <w:bookmarkEnd w:id="145"/>
      <w:bookmarkEnd w:id="146"/>
      <w:bookmarkEnd w:id="147"/>
      <w:bookmarkEnd w:id="148"/>
      <w:bookmarkEnd w:id="149"/>
      <w:bookmarkEnd w:id="150"/>
    </w:p>
    <w:p w:rsidR="00CD7E26" w:rsidRDefault="00CD7E26" w:rsidP="00CD7E26">
      <w:pPr>
        <w:rPr>
          <w:lang w:eastAsia="ja-JP"/>
        </w:rPr>
      </w:pPr>
      <w:r>
        <w:rPr>
          <w:lang w:eastAsia="ja-JP"/>
        </w:rPr>
        <w:t xml:space="preserve">The pharmacokinetic profile of </w:t>
      </w:r>
      <w:proofErr w:type="spellStart"/>
      <w:r>
        <w:rPr>
          <w:lang w:eastAsia="ja-JP"/>
        </w:rPr>
        <w:t>cabozantinib</w:t>
      </w:r>
      <w:proofErr w:type="spellEnd"/>
      <w:r>
        <w:rPr>
          <w:lang w:eastAsia="ja-JP"/>
        </w:rPr>
        <w:t xml:space="preserve"> has been adequately characterised. The proposed formulation for marketing (tablet dose form) leads to higher exposure, currently no other</w:t>
      </w:r>
      <w:r w:rsidR="00884E48">
        <w:rPr>
          <w:lang w:eastAsia="ja-JP"/>
        </w:rPr>
        <w:t xml:space="preserve"> dose form exists in Australia.</w:t>
      </w:r>
    </w:p>
    <w:p w:rsidR="00CD7E26" w:rsidRDefault="00CD7E26" w:rsidP="00CD7E26">
      <w:pPr>
        <w:rPr>
          <w:lang w:eastAsia="ja-JP"/>
        </w:rPr>
      </w:pPr>
      <w:proofErr w:type="spellStart"/>
      <w:r>
        <w:rPr>
          <w:lang w:eastAsia="ja-JP"/>
        </w:rPr>
        <w:t>Cabozantinib</w:t>
      </w:r>
      <w:proofErr w:type="spellEnd"/>
      <w:r>
        <w:rPr>
          <w:lang w:eastAsia="ja-JP"/>
        </w:rPr>
        <w:t xml:space="preserve"> is highly protein bound and the primary route of metabolism is hepatic. It is anticipated that impaired hepatic function will increase plasma levels of </w:t>
      </w:r>
      <w:proofErr w:type="spellStart"/>
      <w:r>
        <w:rPr>
          <w:lang w:eastAsia="ja-JP"/>
        </w:rPr>
        <w:t>cabozantinib</w:t>
      </w:r>
      <w:proofErr w:type="spellEnd"/>
      <w:r>
        <w:rPr>
          <w:lang w:eastAsia="ja-JP"/>
        </w:rPr>
        <w:t xml:space="preserve"> and this was confirmed in a clinical study. The PI recommends a lower starting does (40 mg versus 60 mg) in these patients with instruction to adjust the dose as needed. Further the PI states that the safety and efficacy in severe hepatic impairment has not been established and this is acceptable.</w:t>
      </w:r>
    </w:p>
    <w:p w:rsidR="00CD7E26" w:rsidRDefault="00CD7E26" w:rsidP="00CD7E26">
      <w:pPr>
        <w:rPr>
          <w:lang w:eastAsia="ja-JP"/>
        </w:rPr>
      </w:pPr>
      <w:r>
        <w:rPr>
          <w:lang w:eastAsia="ja-JP"/>
        </w:rPr>
        <w:t xml:space="preserve">Although mild or moderate renal impairment has negligible impact on the PK the PI contains instruction to use </w:t>
      </w:r>
      <w:proofErr w:type="spellStart"/>
      <w:r>
        <w:rPr>
          <w:lang w:eastAsia="ja-JP"/>
        </w:rPr>
        <w:t>cabozantinib</w:t>
      </w:r>
      <w:proofErr w:type="spellEnd"/>
      <w:r>
        <w:rPr>
          <w:lang w:eastAsia="ja-JP"/>
        </w:rPr>
        <w:t xml:space="preserve"> with caution in such patients and does not recommend its use in patients with severe renal impairment and this would seem prudent.</w:t>
      </w:r>
    </w:p>
    <w:p w:rsidR="00CD7E26" w:rsidRDefault="00CD7E26" w:rsidP="00CD7E26">
      <w:pPr>
        <w:rPr>
          <w:lang w:eastAsia="ja-JP"/>
        </w:rPr>
      </w:pPr>
      <w:r>
        <w:rPr>
          <w:lang w:eastAsia="ja-JP"/>
        </w:rPr>
        <w:t>The PK data are adequately reflected in the PI.</w:t>
      </w:r>
    </w:p>
    <w:p w:rsidR="00CD7E26" w:rsidRPr="00F008C0" w:rsidRDefault="00CD7E26" w:rsidP="00F008C0">
      <w:pPr>
        <w:pStyle w:val="Heading2"/>
      </w:pPr>
      <w:bookmarkStart w:id="151" w:name="_Toc520879793"/>
      <w:bookmarkStart w:id="152" w:name="_Toc531776239"/>
      <w:r w:rsidRPr="00F008C0">
        <w:t>Pharmacodynamics</w:t>
      </w:r>
      <w:bookmarkEnd w:id="151"/>
      <w:bookmarkEnd w:id="152"/>
    </w:p>
    <w:p w:rsidR="00CD7E26" w:rsidRPr="00F008C0" w:rsidRDefault="00CD7E26" w:rsidP="00F008C0">
      <w:pPr>
        <w:pStyle w:val="Heading3"/>
      </w:pPr>
      <w:bookmarkStart w:id="153" w:name="_Toc520879794"/>
      <w:bookmarkStart w:id="154" w:name="_Toc531776240"/>
      <w:r w:rsidRPr="00F008C0">
        <w:t xml:space="preserve">Studies providing </w:t>
      </w:r>
      <w:proofErr w:type="spellStart"/>
      <w:r w:rsidRPr="00F008C0">
        <w:t>pharmacodynamic</w:t>
      </w:r>
      <w:proofErr w:type="spellEnd"/>
      <w:r w:rsidRPr="00F008C0">
        <w:t xml:space="preserve"> information</w:t>
      </w:r>
      <w:bookmarkEnd w:id="153"/>
      <w:bookmarkEnd w:id="154"/>
    </w:p>
    <w:p w:rsidR="00CD7E26" w:rsidRDefault="00CD7E26" w:rsidP="00CD7E26">
      <w:pPr>
        <w:rPr>
          <w:lang w:eastAsia="ja-JP"/>
        </w:rPr>
      </w:pPr>
      <w:r>
        <w:rPr>
          <w:lang w:eastAsia="ja-JP"/>
        </w:rPr>
        <w:t xml:space="preserve">No </w:t>
      </w:r>
      <w:proofErr w:type="spellStart"/>
      <w:r>
        <w:rPr>
          <w:lang w:eastAsia="ja-JP"/>
        </w:rPr>
        <w:t>pharmacodynamic</w:t>
      </w:r>
      <w:proofErr w:type="spellEnd"/>
      <w:r>
        <w:rPr>
          <w:lang w:eastAsia="ja-JP"/>
        </w:rPr>
        <w:t xml:space="preserve"> studies in health subjects or subjects with RCC have been submitted.</w:t>
      </w:r>
    </w:p>
    <w:p w:rsidR="00CD7E26" w:rsidRPr="00545B14" w:rsidRDefault="00CD7E26" w:rsidP="00CD7E26">
      <w:pPr>
        <w:pStyle w:val="Heading3"/>
        <w:numPr>
          <w:ilvl w:val="1"/>
          <w:numId w:val="29"/>
        </w:numPr>
        <w:ind w:left="907" w:hanging="794"/>
      </w:pPr>
      <w:bookmarkStart w:id="155" w:name="_Ref269119989"/>
      <w:bookmarkStart w:id="156" w:name="_Toc272414639"/>
      <w:bookmarkStart w:id="157" w:name="_Toc290888487"/>
      <w:bookmarkStart w:id="158" w:name="_Toc416353684"/>
      <w:bookmarkStart w:id="159" w:name="_Toc421005253"/>
      <w:bookmarkStart w:id="160" w:name="_Toc432079135"/>
      <w:bookmarkStart w:id="161" w:name="_Toc432080708"/>
      <w:bookmarkStart w:id="162" w:name="_Toc520879795"/>
      <w:bookmarkStart w:id="163" w:name="_Toc531776241"/>
      <w:r w:rsidRPr="00545B14">
        <w:t>Summary of pharmacodynamics</w:t>
      </w:r>
      <w:bookmarkEnd w:id="155"/>
      <w:bookmarkEnd w:id="156"/>
      <w:bookmarkEnd w:id="157"/>
      <w:bookmarkEnd w:id="158"/>
      <w:bookmarkEnd w:id="159"/>
      <w:bookmarkEnd w:id="160"/>
      <w:bookmarkEnd w:id="161"/>
      <w:bookmarkEnd w:id="162"/>
      <w:bookmarkEnd w:id="163"/>
    </w:p>
    <w:p w:rsidR="00CD7E26" w:rsidRPr="00F008C0" w:rsidRDefault="00CD7E26" w:rsidP="00F008C0">
      <w:pPr>
        <w:pStyle w:val="Heading4"/>
      </w:pPr>
      <w:bookmarkStart w:id="164" w:name="_Toc241374299"/>
      <w:bookmarkStart w:id="165" w:name="_Toc272414640"/>
      <w:bookmarkStart w:id="166" w:name="_Toc290888488"/>
      <w:bookmarkStart w:id="167" w:name="_Toc416353685"/>
      <w:bookmarkStart w:id="168" w:name="_Toc421005254"/>
      <w:bookmarkStart w:id="169" w:name="_Toc432079136"/>
      <w:bookmarkStart w:id="170" w:name="_Toc432080709"/>
      <w:r w:rsidRPr="00F008C0">
        <w:t>Mechanism of action</w:t>
      </w:r>
      <w:bookmarkEnd w:id="164"/>
      <w:bookmarkEnd w:id="165"/>
      <w:bookmarkEnd w:id="166"/>
      <w:bookmarkEnd w:id="167"/>
      <w:bookmarkEnd w:id="168"/>
      <w:bookmarkEnd w:id="169"/>
      <w:bookmarkEnd w:id="170"/>
    </w:p>
    <w:p w:rsidR="00CD7E26" w:rsidRDefault="00CD7E26" w:rsidP="00CD7E26">
      <w:pPr>
        <w:rPr>
          <w:lang w:eastAsia="ja-JP"/>
        </w:rPr>
      </w:pPr>
      <w:proofErr w:type="spellStart"/>
      <w:r>
        <w:rPr>
          <w:lang w:eastAsia="ja-JP"/>
        </w:rPr>
        <w:t>Pharmacodynamic</w:t>
      </w:r>
      <w:proofErr w:type="spellEnd"/>
      <w:r>
        <w:rPr>
          <w:lang w:eastAsia="ja-JP"/>
        </w:rPr>
        <w:t xml:space="preserve"> information comes primarily </w:t>
      </w:r>
      <w:r w:rsidRPr="00130E12">
        <w:rPr>
          <w:lang w:eastAsia="ja-JP"/>
        </w:rPr>
        <w:t>from in</w:t>
      </w:r>
      <w:r>
        <w:rPr>
          <w:lang w:eastAsia="ja-JP"/>
        </w:rPr>
        <w:t xml:space="preserve"> </w:t>
      </w:r>
      <w:r w:rsidRPr="00130E12">
        <w:rPr>
          <w:lang w:eastAsia="ja-JP"/>
        </w:rPr>
        <w:t>vitro</w:t>
      </w:r>
      <w:r>
        <w:rPr>
          <w:i/>
          <w:lang w:eastAsia="ja-JP"/>
        </w:rPr>
        <w:t xml:space="preserve"> </w:t>
      </w:r>
      <w:r>
        <w:rPr>
          <w:lang w:eastAsia="ja-JP"/>
        </w:rPr>
        <w:t>studies, in which inhibition of several systems is demonstrated,</w:t>
      </w:r>
    </w:p>
    <w:p w:rsidR="00CD7E26" w:rsidRDefault="00CD7E26" w:rsidP="00CD7E26">
      <w:pPr>
        <w:rPr>
          <w:lang w:eastAsia="ja-JP"/>
        </w:rPr>
      </w:pPr>
      <w:proofErr w:type="spellStart"/>
      <w:r>
        <w:rPr>
          <w:lang w:eastAsia="ja-JP"/>
        </w:rPr>
        <w:t>Cabozantinib</w:t>
      </w:r>
      <w:proofErr w:type="spellEnd"/>
      <w:r>
        <w:rPr>
          <w:lang w:eastAsia="ja-JP"/>
        </w:rPr>
        <w:t xml:space="preserve"> is an inhibitor of several RTKs: key targets are MET and VEGFR2, with cell-based IC</w:t>
      </w:r>
      <w:r w:rsidRPr="00130E12">
        <w:rPr>
          <w:vertAlign w:val="subscript"/>
          <w:lang w:eastAsia="ja-JP"/>
        </w:rPr>
        <w:t>50</w:t>
      </w:r>
      <w:r>
        <w:rPr>
          <w:lang w:eastAsia="ja-JP"/>
        </w:rPr>
        <w:t xml:space="preserve"> values of 8 and &lt; 3 </w:t>
      </w:r>
      <w:proofErr w:type="spellStart"/>
      <w:r>
        <w:rPr>
          <w:lang w:eastAsia="ja-JP"/>
        </w:rPr>
        <w:t>nM</w:t>
      </w:r>
      <w:proofErr w:type="spellEnd"/>
      <w:r>
        <w:rPr>
          <w:lang w:eastAsia="ja-JP"/>
        </w:rPr>
        <w:t xml:space="preserve">, respectively. In addition, </w:t>
      </w:r>
      <w:proofErr w:type="spellStart"/>
      <w:r>
        <w:rPr>
          <w:lang w:eastAsia="ja-JP"/>
        </w:rPr>
        <w:t>cabozantinib</w:t>
      </w:r>
      <w:proofErr w:type="spellEnd"/>
      <w:r>
        <w:rPr>
          <w:lang w:eastAsia="ja-JP"/>
        </w:rPr>
        <w:t xml:space="preserve"> inhibited phosphorylation of AXL, RET, KIT, FLT3, ROS1, and RON. Mechanism of inhibition studies revealed that the binding of </w:t>
      </w:r>
      <w:proofErr w:type="spellStart"/>
      <w:r>
        <w:rPr>
          <w:lang w:eastAsia="ja-JP"/>
        </w:rPr>
        <w:t>cabozantinib</w:t>
      </w:r>
      <w:proofErr w:type="spellEnd"/>
      <w:r>
        <w:rPr>
          <w:lang w:eastAsia="ja-JP"/>
        </w:rPr>
        <w:t xml:space="preserve"> is competitive with adenosine triphosphate (ATP) and fully reversible. In X-ray crystallography studies, </w:t>
      </w:r>
      <w:proofErr w:type="spellStart"/>
      <w:r>
        <w:rPr>
          <w:lang w:eastAsia="ja-JP"/>
        </w:rPr>
        <w:t>cabozantinib</w:t>
      </w:r>
      <w:proofErr w:type="spellEnd"/>
      <w:r>
        <w:rPr>
          <w:lang w:eastAsia="ja-JP"/>
        </w:rPr>
        <w:t xml:space="preserve"> was found to occupy the ATP-binding site of its target MET.</w:t>
      </w:r>
    </w:p>
    <w:p w:rsidR="00CD7E26" w:rsidRDefault="00CD7E26" w:rsidP="00CD7E26">
      <w:pPr>
        <w:pStyle w:val="Heading4"/>
        <w:numPr>
          <w:ilvl w:val="2"/>
          <w:numId w:val="29"/>
        </w:numPr>
      </w:pPr>
      <w:bookmarkStart w:id="171" w:name="_Toc241374300"/>
      <w:bookmarkStart w:id="172" w:name="_Toc272414641"/>
      <w:bookmarkStart w:id="173" w:name="_Toc290888489"/>
      <w:bookmarkStart w:id="174" w:name="_Toc416353686"/>
      <w:bookmarkStart w:id="175" w:name="_Toc421005255"/>
      <w:bookmarkStart w:id="176" w:name="_Toc432079137"/>
      <w:bookmarkStart w:id="177" w:name="_Toc432080710"/>
      <w:proofErr w:type="spellStart"/>
      <w:r w:rsidRPr="00545B14">
        <w:t>Pharmacodynamic</w:t>
      </w:r>
      <w:proofErr w:type="spellEnd"/>
      <w:r w:rsidRPr="00545B14">
        <w:t xml:space="preserve"> effects</w:t>
      </w:r>
      <w:bookmarkEnd w:id="171"/>
      <w:bookmarkEnd w:id="172"/>
      <w:bookmarkEnd w:id="173"/>
      <w:bookmarkEnd w:id="174"/>
      <w:bookmarkEnd w:id="175"/>
      <w:bookmarkEnd w:id="176"/>
      <w:bookmarkEnd w:id="177"/>
    </w:p>
    <w:p w:rsidR="00CD7E26" w:rsidRPr="00F008C0" w:rsidRDefault="00CD7E26" w:rsidP="00F008C0">
      <w:pPr>
        <w:pStyle w:val="Heading5"/>
      </w:pPr>
      <w:bookmarkStart w:id="178" w:name="_Toc272414642"/>
      <w:bookmarkStart w:id="179" w:name="_Toc290888490"/>
      <w:bookmarkStart w:id="180" w:name="_Toc416353687"/>
      <w:r w:rsidRPr="00F008C0">
        <w:t xml:space="preserve">Primary </w:t>
      </w:r>
      <w:proofErr w:type="spellStart"/>
      <w:r w:rsidRPr="00F008C0">
        <w:t>pharmacodynamic</w:t>
      </w:r>
      <w:proofErr w:type="spellEnd"/>
      <w:r w:rsidRPr="00F008C0">
        <w:t xml:space="preserve"> effects</w:t>
      </w:r>
      <w:bookmarkEnd w:id="178"/>
      <w:bookmarkEnd w:id="179"/>
      <w:bookmarkEnd w:id="180"/>
    </w:p>
    <w:p w:rsidR="00CD7E26" w:rsidRDefault="00CD7E26" w:rsidP="00CD7E26">
      <w:pPr>
        <w:rPr>
          <w:lang w:eastAsia="ja-JP"/>
        </w:rPr>
      </w:pPr>
      <w:bookmarkStart w:id="181" w:name="_Toc272414643"/>
      <w:bookmarkStart w:id="182" w:name="_Toc290888491"/>
      <w:bookmarkStart w:id="183" w:name="_Toc416353688"/>
      <w:r>
        <w:rPr>
          <w:lang w:eastAsia="ja-JP"/>
        </w:rPr>
        <w:t>Not applicable</w:t>
      </w:r>
      <w:r w:rsidR="00F008C0">
        <w:rPr>
          <w:lang w:eastAsia="ja-JP"/>
        </w:rPr>
        <w:t>.</w:t>
      </w:r>
    </w:p>
    <w:p w:rsidR="00CD7E26" w:rsidRPr="00F008C0" w:rsidRDefault="00CD7E26" w:rsidP="00F008C0">
      <w:pPr>
        <w:pStyle w:val="Heading5"/>
      </w:pPr>
      <w:r w:rsidRPr="00F008C0">
        <w:t xml:space="preserve">Secondary </w:t>
      </w:r>
      <w:proofErr w:type="spellStart"/>
      <w:r w:rsidRPr="00F008C0">
        <w:t>pharmacodynamic</w:t>
      </w:r>
      <w:proofErr w:type="spellEnd"/>
      <w:r w:rsidRPr="00F008C0">
        <w:t xml:space="preserve"> effects</w:t>
      </w:r>
      <w:bookmarkEnd w:id="181"/>
      <w:bookmarkEnd w:id="182"/>
      <w:bookmarkEnd w:id="183"/>
    </w:p>
    <w:p w:rsidR="00CD7E26" w:rsidRDefault="00CD7E26" w:rsidP="00CD7E26">
      <w:pPr>
        <w:rPr>
          <w:lang w:eastAsia="ja-JP"/>
        </w:rPr>
      </w:pPr>
      <w:bookmarkStart w:id="184" w:name="_Toc272414644"/>
      <w:bookmarkStart w:id="185" w:name="_Toc290888492"/>
      <w:bookmarkStart w:id="186" w:name="_Toc416353689"/>
      <w:bookmarkStart w:id="187" w:name="_Toc421005256"/>
      <w:bookmarkStart w:id="188" w:name="_Toc432079138"/>
      <w:bookmarkStart w:id="189" w:name="_Toc432080711"/>
      <w:r>
        <w:rPr>
          <w:lang w:eastAsia="ja-JP"/>
        </w:rPr>
        <w:t>Not applicable</w:t>
      </w:r>
      <w:r w:rsidR="00F008C0">
        <w:rPr>
          <w:lang w:eastAsia="ja-JP"/>
        </w:rPr>
        <w:t>.</w:t>
      </w:r>
    </w:p>
    <w:p w:rsidR="00CD7E26" w:rsidRPr="00545B14" w:rsidRDefault="00CD7E26" w:rsidP="00F008C0">
      <w:pPr>
        <w:pStyle w:val="Heading5"/>
      </w:pPr>
      <w:r w:rsidRPr="00545B14">
        <w:t xml:space="preserve">Time course of </w:t>
      </w:r>
      <w:proofErr w:type="spellStart"/>
      <w:r w:rsidRPr="00545B14">
        <w:t>pharmacodynamic</w:t>
      </w:r>
      <w:proofErr w:type="spellEnd"/>
      <w:r w:rsidRPr="00545B14">
        <w:t xml:space="preserve"> effects</w:t>
      </w:r>
      <w:bookmarkEnd w:id="184"/>
      <w:bookmarkEnd w:id="185"/>
      <w:bookmarkEnd w:id="186"/>
      <w:bookmarkEnd w:id="187"/>
      <w:bookmarkEnd w:id="188"/>
      <w:bookmarkEnd w:id="189"/>
    </w:p>
    <w:p w:rsidR="00CD7E26" w:rsidRDefault="00CD7E26" w:rsidP="00CD7E26">
      <w:pPr>
        <w:rPr>
          <w:lang w:eastAsia="ja-JP"/>
        </w:rPr>
      </w:pPr>
      <w:r>
        <w:rPr>
          <w:lang w:eastAsia="ja-JP"/>
        </w:rPr>
        <w:t>Not applicable</w:t>
      </w:r>
      <w:r w:rsidR="00F008C0">
        <w:rPr>
          <w:lang w:eastAsia="ja-JP"/>
        </w:rPr>
        <w:t>.</w:t>
      </w:r>
    </w:p>
    <w:p w:rsidR="00CD7E26" w:rsidRPr="00F008C0" w:rsidRDefault="00CD7E26" w:rsidP="00F008C0">
      <w:pPr>
        <w:pStyle w:val="Heading4"/>
      </w:pPr>
      <w:bookmarkStart w:id="190" w:name="_Toc272414645"/>
      <w:bookmarkStart w:id="191" w:name="_Toc290888493"/>
      <w:bookmarkStart w:id="192" w:name="_Toc416353690"/>
      <w:bookmarkStart w:id="193" w:name="_Toc421005257"/>
      <w:bookmarkStart w:id="194" w:name="_Toc432079139"/>
      <w:bookmarkStart w:id="195" w:name="_Toc432080712"/>
      <w:r w:rsidRPr="00F008C0">
        <w:t xml:space="preserve">Relationship between drug concentration and </w:t>
      </w:r>
      <w:proofErr w:type="spellStart"/>
      <w:r w:rsidRPr="00F008C0">
        <w:t>pharmacodynamic</w:t>
      </w:r>
      <w:proofErr w:type="spellEnd"/>
      <w:r w:rsidRPr="00F008C0">
        <w:t xml:space="preserve"> effects</w:t>
      </w:r>
      <w:bookmarkEnd w:id="190"/>
      <w:bookmarkEnd w:id="191"/>
      <w:bookmarkEnd w:id="192"/>
      <w:bookmarkEnd w:id="193"/>
      <w:bookmarkEnd w:id="194"/>
      <w:bookmarkEnd w:id="195"/>
    </w:p>
    <w:p w:rsidR="00CD7E26" w:rsidRDefault="00CD7E26" w:rsidP="00CD7E26">
      <w:pPr>
        <w:rPr>
          <w:lang w:eastAsia="ja-JP"/>
        </w:rPr>
      </w:pPr>
      <w:r>
        <w:rPr>
          <w:lang w:eastAsia="ja-JP"/>
        </w:rPr>
        <w:t>Not applicable</w:t>
      </w:r>
      <w:r w:rsidR="00F008C0">
        <w:rPr>
          <w:lang w:eastAsia="ja-JP"/>
        </w:rPr>
        <w:t>.</w:t>
      </w:r>
    </w:p>
    <w:p w:rsidR="00CD7E26" w:rsidRPr="00F008C0" w:rsidRDefault="00CD7E26" w:rsidP="00F008C0">
      <w:pPr>
        <w:pStyle w:val="Heading4"/>
      </w:pPr>
      <w:bookmarkStart w:id="196" w:name="_Toc241374304"/>
      <w:bookmarkStart w:id="197" w:name="_Toc272414646"/>
      <w:bookmarkStart w:id="198" w:name="_Toc290888494"/>
      <w:bookmarkStart w:id="199" w:name="_Toc416353691"/>
      <w:bookmarkStart w:id="200" w:name="_Toc421005258"/>
      <w:bookmarkStart w:id="201" w:name="_Toc432079140"/>
      <w:bookmarkStart w:id="202" w:name="_Toc432080713"/>
      <w:r w:rsidRPr="00F008C0">
        <w:lastRenderedPageBreak/>
        <w:t xml:space="preserve">Genetic, gender and age related differences in </w:t>
      </w:r>
      <w:proofErr w:type="spellStart"/>
      <w:r w:rsidRPr="00F008C0">
        <w:t>pharmacodynamic</w:t>
      </w:r>
      <w:proofErr w:type="spellEnd"/>
      <w:r w:rsidRPr="00F008C0">
        <w:t xml:space="preserve"> response</w:t>
      </w:r>
      <w:bookmarkEnd w:id="196"/>
      <w:bookmarkEnd w:id="197"/>
      <w:bookmarkEnd w:id="198"/>
      <w:bookmarkEnd w:id="199"/>
      <w:bookmarkEnd w:id="200"/>
      <w:bookmarkEnd w:id="201"/>
      <w:bookmarkEnd w:id="202"/>
    </w:p>
    <w:p w:rsidR="00CD7E26" w:rsidRDefault="00CD7E26" w:rsidP="00CD7E26">
      <w:pPr>
        <w:rPr>
          <w:lang w:eastAsia="ja-JP"/>
        </w:rPr>
      </w:pPr>
      <w:r>
        <w:rPr>
          <w:lang w:eastAsia="ja-JP"/>
        </w:rPr>
        <w:t>Not applicable</w:t>
      </w:r>
      <w:r w:rsidR="00F008C0">
        <w:rPr>
          <w:lang w:eastAsia="ja-JP"/>
        </w:rPr>
        <w:t>.</w:t>
      </w:r>
    </w:p>
    <w:p w:rsidR="00CD7E26" w:rsidRPr="00F008C0" w:rsidRDefault="00CD7E26" w:rsidP="00F008C0">
      <w:pPr>
        <w:pStyle w:val="Heading4"/>
      </w:pPr>
      <w:bookmarkStart w:id="203" w:name="_Toc241374303"/>
      <w:bookmarkStart w:id="204" w:name="_Toc272414647"/>
      <w:bookmarkStart w:id="205" w:name="_Toc290888495"/>
      <w:bookmarkStart w:id="206" w:name="_Toc416353692"/>
      <w:bookmarkStart w:id="207" w:name="_Toc421005259"/>
      <w:bookmarkStart w:id="208" w:name="_Toc432079141"/>
      <w:bookmarkStart w:id="209" w:name="_Toc432080714"/>
      <w:proofErr w:type="spellStart"/>
      <w:r w:rsidRPr="00F008C0">
        <w:t>Pharmacodynamic</w:t>
      </w:r>
      <w:proofErr w:type="spellEnd"/>
      <w:r w:rsidRPr="00F008C0">
        <w:t xml:space="preserve"> interactions</w:t>
      </w:r>
      <w:bookmarkEnd w:id="203"/>
      <w:bookmarkEnd w:id="204"/>
      <w:bookmarkEnd w:id="205"/>
      <w:bookmarkEnd w:id="206"/>
      <w:bookmarkEnd w:id="207"/>
      <w:bookmarkEnd w:id="208"/>
      <w:bookmarkEnd w:id="209"/>
    </w:p>
    <w:p w:rsidR="00CD7E26" w:rsidRDefault="00CD7E26" w:rsidP="00CD7E26">
      <w:pPr>
        <w:rPr>
          <w:lang w:eastAsia="ja-JP"/>
        </w:rPr>
      </w:pPr>
      <w:r>
        <w:rPr>
          <w:lang w:eastAsia="ja-JP"/>
        </w:rPr>
        <w:t>Not applicable</w:t>
      </w:r>
      <w:r w:rsidR="00F008C0">
        <w:rPr>
          <w:lang w:eastAsia="ja-JP"/>
        </w:rPr>
        <w:t>.</w:t>
      </w:r>
    </w:p>
    <w:p w:rsidR="00CD7E26" w:rsidRPr="00545B14" w:rsidRDefault="00CD7E26" w:rsidP="00CD7E26">
      <w:pPr>
        <w:pStyle w:val="Heading3"/>
        <w:numPr>
          <w:ilvl w:val="1"/>
          <w:numId w:val="29"/>
        </w:numPr>
        <w:ind w:left="907" w:hanging="794"/>
      </w:pPr>
      <w:bookmarkStart w:id="210" w:name="_Ref269983272"/>
      <w:bookmarkStart w:id="211" w:name="_Toc272414648"/>
      <w:bookmarkStart w:id="212" w:name="_Toc290888496"/>
      <w:bookmarkStart w:id="213" w:name="_Toc416353693"/>
      <w:bookmarkStart w:id="214" w:name="_Toc421005260"/>
      <w:bookmarkStart w:id="215" w:name="_Toc432079142"/>
      <w:bookmarkStart w:id="216" w:name="_Toc432080715"/>
      <w:bookmarkStart w:id="217" w:name="_Toc520879796"/>
      <w:bookmarkStart w:id="218" w:name="_Toc531776242"/>
      <w:r w:rsidRPr="00545B14">
        <w:t>Evaluator’s overall conclusions on pharmacodynamics</w:t>
      </w:r>
      <w:bookmarkEnd w:id="210"/>
      <w:bookmarkEnd w:id="211"/>
      <w:bookmarkEnd w:id="212"/>
      <w:bookmarkEnd w:id="213"/>
      <w:bookmarkEnd w:id="214"/>
      <w:bookmarkEnd w:id="215"/>
      <w:bookmarkEnd w:id="216"/>
      <w:bookmarkEnd w:id="217"/>
      <w:bookmarkEnd w:id="218"/>
    </w:p>
    <w:p w:rsidR="00CD7E26" w:rsidRDefault="00CD7E26" w:rsidP="00CD7E26">
      <w:pPr>
        <w:rPr>
          <w:lang w:eastAsia="ja-JP"/>
        </w:rPr>
      </w:pPr>
      <w:r>
        <w:rPr>
          <w:lang w:eastAsia="ja-JP"/>
        </w:rPr>
        <w:t xml:space="preserve">No </w:t>
      </w:r>
      <w:proofErr w:type="spellStart"/>
      <w:r>
        <w:rPr>
          <w:lang w:eastAsia="ja-JP"/>
        </w:rPr>
        <w:t>pharmacodynamic</w:t>
      </w:r>
      <w:proofErr w:type="spellEnd"/>
      <w:r>
        <w:rPr>
          <w:lang w:eastAsia="ja-JP"/>
        </w:rPr>
        <w:t xml:space="preserve"> data derived from healthy volunteers or subjects with RCC have been submitted. The PD of </w:t>
      </w:r>
      <w:proofErr w:type="spellStart"/>
      <w:r>
        <w:rPr>
          <w:lang w:eastAsia="ja-JP"/>
        </w:rPr>
        <w:t>cabozantinib</w:t>
      </w:r>
      <w:proofErr w:type="spellEnd"/>
      <w:r>
        <w:rPr>
          <w:lang w:eastAsia="ja-JP"/>
        </w:rPr>
        <w:t xml:space="preserve"> was derived </w:t>
      </w:r>
      <w:r w:rsidRPr="00130E12">
        <w:rPr>
          <w:lang w:eastAsia="ja-JP"/>
        </w:rPr>
        <w:t>form in vitro</w:t>
      </w:r>
      <w:r>
        <w:rPr>
          <w:i/>
          <w:lang w:eastAsia="ja-JP"/>
        </w:rPr>
        <w:t xml:space="preserve"> </w:t>
      </w:r>
      <w:r>
        <w:rPr>
          <w:lang w:eastAsia="ja-JP"/>
        </w:rPr>
        <w:t>and murine models and is described in the nonclinical evaluation. Given the mechanism of action and what is already know about TKIs this is acceptable.</w:t>
      </w:r>
    </w:p>
    <w:p w:rsidR="00CD7E26" w:rsidRDefault="00CD7E26" w:rsidP="00CD7E26">
      <w:pPr>
        <w:pStyle w:val="Heading2"/>
        <w:numPr>
          <w:ilvl w:val="0"/>
          <w:numId w:val="29"/>
        </w:numPr>
      </w:pPr>
      <w:bookmarkStart w:id="219" w:name="_Toc520879797"/>
      <w:bookmarkStart w:id="220" w:name="_Toc531776243"/>
      <w:r>
        <w:t>Dosage selection for the pivotal studies</w:t>
      </w:r>
      <w:bookmarkEnd w:id="219"/>
      <w:bookmarkEnd w:id="220"/>
    </w:p>
    <w:p w:rsidR="00CD7E26" w:rsidRPr="00F008C0" w:rsidRDefault="00CD7E26" w:rsidP="00F008C0">
      <w:pPr>
        <w:pStyle w:val="Heading3"/>
      </w:pPr>
      <w:bookmarkStart w:id="221" w:name="_Toc416353695"/>
      <w:bookmarkStart w:id="222" w:name="_Toc421005262"/>
      <w:bookmarkStart w:id="223" w:name="_Toc432079144"/>
      <w:bookmarkStart w:id="224" w:name="_Toc432080717"/>
      <w:bookmarkStart w:id="225" w:name="_Toc520879798"/>
      <w:bookmarkStart w:id="226" w:name="_Toc531776244"/>
      <w:r w:rsidRPr="00F008C0">
        <w:t>Pharmacokinetics and pharmacodynamics: dose finding studies</w:t>
      </w:r>
      <w:bookmarkEnd w:id="221"/>
      <w:bookmarkEnd w:id="222"/>
      <w:bookmarkEnd w:id="223"/>
      <w:bookmarkEnd w:id="224"/>
      <w:bookmarkEnd w:id="225"/>
      <w:bookmarkEnd w:id="226"/>
    </w:p>
    <w:p w:rsidR="00CD7E26" w:rsidRDefault="00CD7E26" w:rsidP="00CD7E26">
      <w:pPr>
        <w:rPr>
          <w:lang w:eastAsia="ja-JP"/>
        </w:rPr>
      </w:pPr>
      <w:r>
        <w:rPr>
          <w:lang w:eastAsia="ja-JP"/>
        </w:rPr>
        <w:t>None submitted.</w:t>
      </w:r>
    </w:p>
    <w:p w:rsidR="00CD7E26" w:rsidRPr="00F008C0" w:rsidRDefault="00CD7E26" w:rsidP="00F008C0">
      <w:pPr>
        <w:pStyle w:val="Heading3"/>
      </w:pPr>
      <w:bookmarkStart w:id="227" w:name="_Toc416353696"/>
      <w:bookmarkStart w:id="228" w:name="_Toc421005263"/>
      <w:bookmarkStart w:id="229" w:name="_Toc432079145"/>
      <w:bookmarkStart w:id="230" w:name="_Toc432080718"/>
      <w:bookmarkStart w:id="231" w:name="_Toc520879799"/>
      <w:bookmarkStart w:id="232" w:name="_Toc531776245"/>
      <w:r w:rsidRPr="00F008C0">
        <w:t>Phase II dose finding studies</w:t>
      </w:r>
      <w:bookmarkEnd w:id="227"/>
      <w:bookmarkEnd w:id="228"/>
      <w:bookmarkEnd w:id="229"/>
      <w:bookmarkEnd w:id="230"/>
      <w:bookmarkEnd w:id="231"/>
      <w:bookmarkEnd w:id="232"/>
    </w:p>
    <w:p w:rsidR="00CD7E26" w:rsidRDefault="00CD7E26" w:rsidP="00CD7E26">
      <w:pPr>
        <w:rPr>
          <w:lang w:eastAsia="ja-JP"/>
        </w:rPr>
      </w:pPr>
      <w:r>
        <w:rPr>
          <w:lang w:eastAsia="ja-JP"/>
        </w:rPr>
        <w:t xml:space="preserve">No formal dose finding studies have </w:t>
      </w:r>
      <w:r w:rsidRPr="00A170D2">
        <w:rPr>
          <w:lang w:eastAsia="ja-JP"/>
        </w:rPr>
        <w:t xml:space="preserve">submitted. Study XL184-001 investigated the maximum tolerated dose of </w:t>
      </w:r>
      <w:proofErr w:type="spellStart"/>
      <w:r w:rsidRPr="00A170D2">
        <w:rPr>
          <w:lang w:eastAsia="ja-JP"/>
        </w:rPr>
        <w:t>cabozantinib</w:t>
      </w:r>
      <w:proofErr w:type="spellEnd"/>
      <w:r w:rsidRPr="00A170D2">
        <w:rPr>
          <w:lang w:eastAsia="ja-JP"/>
        </w:rPr>
        <w:t xml:space="preserve"> and was determined to be 140 mg once per</w:t>
      </w:r>
      <w:r>
        <w:rPr>
          <w:lang w:eastAsia="ja-JP"/>
        </w:rPr>
        <w:t xml:space="preserve"> day. </w:t>
      </w:r>
    </w:p>
    <w:p w:rsidR="00CD7E26" w:rsidRDefault="00CD7E26" w:rsidP="00CD7E26">
      <w:pPr>
        <w:pStyle w:val="Heading3"/>
        <w:numPr>
          <w:ilvl w:val="1"/>
          <w:numId w:val="29"/>
        </w:numPr>
        <w:ind w:left="907" w:hanging="794"/>
      </w:pPr>
      <w:bookmarkStart w:id="233" w:name="_Toc416353712"/>
      <w:bookmarkStart w:id="234" w:name="_Toc421005265"/>
      <w:bookmarkStart w:id="235" w:name="_Toc432079147"/>
      <w:bookmarkStart w:id="236" w:name="_Toc432080720"/>
      <w:bookmarkStart w:id="237" w:name="_Toc520879800"/>
      <w:bookmarkStart w:id="238" w:name="_Toc531776246"/>
      <w:r w:rsidRPr="00670FF0">
        <w:t>Phase III pivotal studies investigating more than one dose regimen</w:t>
      </w:r>
      <w:bookmarkEnd w:id="233"/>
      <w:bookmarkEnd w:id="234"/>
      <w:bookmarkEnd w:id="235"/>
      <w:bookmarkEnd w:id="236"/>
      <w:bookmarkEnd w:id="237"/>
      <w:bookmarkEnd w:id="238"/>
    </w:p>
    <w:p w:rsidR="00CD7E26" w:rsidRDefault="00CD7E26" w:rsidP="00CD7E26">
      <w:pPr>
        <w:rPr>
          <w:lang w:eastAsia="ja-JP"/>
        </w:rPr>
      </w:pPr>
      <w:r>
        <w:rPr>
          <w:lang w:eastAsia="ja-JP"/>
        </w:rPr>
        <w:t xml:space="preserve">Study SL184-308 was the pivotal study for this application. The initial starting dose was 60 mg once per day. Dose adjustments were allowed for tolerability and are summarised in </w:t>
      </w:r>
      <w:r>
        <w:rPr>
          <w:b/>
          <w:lang w:eastAsia="ja-JP"/>
        </w:rPr>
        <w:t>7</w:t>
      </w:r>
      <w:r>
        <w:rPr>
          <w:lang w:eastAsia="ja-JP"/>
        </w:rPr>
        <w:t>.</w:t>
      </w:r>
    </w:p>
    <w:p w:rsidR="00CD7E26" w:rsidRPr="00267B6C" w:rsidRDefault="00CD7E26" w:rsidP="00267B6C">
      <w:pPr>
        <w:pStyle w:val="Tabletitle"/>
      </w:pPr>
      <w:bookmarkStart w:id="239" w:name="_Ref480204039"/>
      <w:bookmarkStart w:id="240" w:name="_Toc494205922"/>
      <w:r w:rsidRPr="00267B6C">
        <w:lastRenderedPageBreak/>
        <w:t>Table</w:t>
      </w:r>
      <w:bookmarkEnd w:id="239"/>
      <w:r w:rsidRPr="00267B6C">
        <w:t xml:space="preserve"> </w:t>
      </w:r>
      <w:r w:rsidR="000756FA" w:rsidRPr="00267B6C">
        <w:t>8</w:t>
      </w:r>
      <w:r w:rsidRPr="00267B6C">
        <w:t xml:space="preserve">: </w:t>
      </w:r>
      <w:proofErr w:type="spellStart"/>
      <w:r w:rsidRPr="00267B6C">
        <w:t>Cabozantinib</w:t>
      </w:r>
      <w:proofErr w:type="spellEnd"/>
      <w:r w:rsidRPr="00267B6C">
        <w:t xml:space="preserve"> dose reductions in Study XL184-308</w:t>
      </w:r>
      <w:bookmarkEnd w:id="240"/>
    </w:p>
    <w:p w:rsidR="00CD7E26" w:rsidRDefault="00CD7E26" w:rsidP="00CD7E26">
      <w:pPr>
        <w:rPr>
          <w:lang w:eastAsia="ja-JP"/>
        </w:rPr>
      </w:pPr>
      <w:r w:rsidRPr="00B447BC">
        <w:rPr>
          <w:noProof/>
          <w:lang w:eastAsia="en-AU"/>
        </w:rPr>
        <w:drawing>
          <wp:inline distT="0" distB="0" distL="0" distR="0" wp14:anchorId="4C76D247" wp14:editId="056DCDB5">
            <wp:extent cx="5591175" cy="6381750"/>
            <wp:effectExtent l="0" t="0" r="9525" b="0"/>
            <wp:docPr id="110" name="Picture 110" descr="Table 8: Cabozantinib dose reductions in Study XL1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lum bright="-20000" contrast="40000"/>
                      <a:extLst>
                        <a:ext uri="{28A0092B-C50C-407E-A947-70E740481C1C}">
                          <a14:useLocalDpi xmlns:a14="http://schemas.microsoft.com/office/drawing/2010/main" val="0"/>
                        </a:ext>
                      </a:extLst>
                    </a:blip>
                    <a:srcRect b="2036"/>
                    <a:stretch/>
                  </pic:blipFill>
                  <pic:spPr bwMode="auto">
                    <a:xfrm>
                      <a:off x="0" y="0"/>
                      <a:ext cx="5591810" cy="6382475"/>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Pr="00A94A0E" w:rsidRDefault="00CD7E26" w:rsidP="00CD7E26">
      <w:pPr>
        <w:rPr>
          <w:lang w:eastAsia="ja-JP"/>
        </w:rPr>
      </w:pPr>
      <w:r>
        <w:rPr>
          <w:lang w:eastAsia="ja-JP"/>
        </w:rPr>
        <w:t xml:space="preserve">Dose reductions occurred for 70% of subjects and equal proportions of patients were taking the 60 mg dose and 40 mg dose at the data cut-off. </w:t>
      </w:r>
    </w:p>
    <w:p w:rsidR="00CD7E26" w:rsidRPr="00670FF0" w:rsidRDefault="00CD7E26" w:rsidP="00CD7E26">
      <w:pPr>
        <w:pStyle w:val="Heading3"/>
        <w:numPr>
          <w:ilvl w:val="1"/>
          <w:numId w:val="29"/>
        </w:numPr>
        <w:ind w:left="907" w:hanging="794"/>
      </w:pPr>
      <w:bookmarkStart w:id="241" w:name="_Toc416353713"/>
      <w:bookmarkStart w:id="242" w:name="_Toc421005266"/>
      <w:bookmarkStart w:id="243" w:name="_Toc432079148"/>
      <w:bookmarkStart w:id="244" w:name="_Toc432080721"/>
      <w:bookmarkStart w:id="245" w:name="_Toc520879801"/>
      <w:bookmarkStart w:id="246" w:name="_Toc531776247"/>
      <w:r>
        <w:t>Evaluator’s conclusions on dos</w:t>
      </w:r>
      <w:r w:rsidRPr="00670FF0">
        <w:t>e finding for the pivotal studies</w:t>
      </w:r>
      <w:bookmarkEnd w:id="241"/>
      <w:bookmarkEnd w:id="242"/>
      <w:bookmarkEnd w:id="243"/>
      <w:bookmarkEnd w:id="244"/>
      <w:bookmarkEnd w:id="245"/>
      <w:bookmarkEnd w:id="246"/>
    </w:p>
    <w:p w:rsidR="00CD7E26" w:rsidRDefault="00CD7E26" w:rsidP="00CD7E26">
      <w:pPr>
        <w:rPr>
          <w:lang w:eastAsia="ja-JP"/>
        </w:rPr>
      </w:pPr>
      <w:r>
        <w:rPr>
          <w:lang w:eastAsia="ja-JP"/>
        </w:rPr>
        <w:t xml:space="preserve">No formal dose finding has been undertaken. The 60 mg dose was carried forward into the pivotal study. At the data cut-off point an equal proportion of patients were receiving the 40 mg and 60 mg doses. This would indicate that the lowest effective dose may not have been established. The prescribing information contains sufficient information about dose adjustment based on tolerability. </w:t>
      </w:r>
    </w:p>
    <w:p w:rsidR="00CD7E26" w:rsidRDefault="00CD7E26" w:rsidP="00CD7E26">
      <w:pPr>
        <w:pStyle w:val="Heading2"/>
        <w:numPr>
          <w:ilvl w:val="0"/>
          <w:numId w:val="29"/>
        </w:numPr>
      </w:pPr>
      <w:bookmarkStart w:id="247" w:name="_Toc520879802"/>
      <w:bookmarkStart w:id="248" w:name="_Toc531776248"/>
      <w:r>
        <w:lastRenderedPageBreak/>
        <w:t>Clinical efficacy</w:t>
      </w:r>
      <w:bookmarkEnd w:id="247"/>
      <w:bookmarkEnd w:id="248"/>
    </w:p>
    <w:p w:rsidR="00CD7E26" w:rsidRDefault="00CD7E26" w:rsidP="00CD7E26">
      <w:pPr>
        <w:pStyle w:val="Heading3"/>
        <w:numPr>
          <w:ilvl w:val="1"/>
          <w:numId w:val="29"/>
        </w:numPr>
        <w:ind w:left="907" w:hanging="794"/>
      </w:pPr>
      <w:bookmarkStart w:id="249" w:name="_Toc520879803"/>
      <w:bookmarkStart w:id="250" w:name="_Ref271037274"/>
      <w:bookmarkStart w:id="251" w:name="_Toc272414652"/>
      <w:bookmarkStart w:id="252" w:name="_Toc290888500"/>
      <w:bookmarkStart w:id="253" w:name="_Toc416353716"/>
      <w:bookmarkStart w:id="254" w:name="_Toc421005269"/>
      <w:bookmarkStart w:id="255" w:name="_Toc432079151"/>
      <w:bookmarkStart w:id="256" w:name="_Toc432080724"/>
      <w:bookmarkStart w:id="257" w:name="_Toc531776249"/>
      <w:r w:rsidRPr="00545B14">
        <w:t xml:space="preserve">Studies providing evaluable </w:t>
      </w:r>
      <w:r>
        <w:t>efficacy</w:t>
      </w:r>
      <w:r w:rsidRPr="00545B14">
        <w:t xml:space="preserve"> data</w:t>
      </w:r>
      <w:bookmarkEnd w:id="249"/>
      <w:bookmarkEnd w:id="257"/>
    </w:p>
    <w:p w:rsidR="00CD7E26" w:rsidRDefault="00CD7E26" w:rsidP="00CD7E26">
      <w:r>
        <w:t>Studies to support the indication Treatment of RCC:</w:t>
      </w:r>
    </w:p>
    <w:p w:rsidR="00CD7E26" w:rsidRDefault="00CD7E26" w:rsidP="00CD7E26">
      <w:pPr>
        <w:pStyle w:val="ListBullet"/>
        <w:numPr>
          <w:ilvl w:val="0"/>
          <w:numId w:val="3"/>
        </w:numPr>
      </w:pPr>
      <w:r>
        <w:t xml:space="preserve">XL184-308 </w:t>
      </w:r>
      <w:r w:rsidRPr="00BB7BB7">
        <w:t xml:space="preserve">A Phase </w:t>
      </w:r>
      <w:r>
        <w:t>III</w:t>
      </w:r>
      <w:r w:rsidRPr="00BB7BB7">
        <w:t xml:space="preserve">, </w:t>
      </w:r>
      <w:r>
        <w:t>Randomised</w:t>
      </w:r>
      <w:r w:rsidRPr="00BB7BB7">
        <w:t xml:space="preserve">, Controlled Study of </w:t>
      </w:r>
      <w:proofErr w:type="spellStart"/>
      <w:r w:rsidRPr="00BB7BB7">
        <w:t>Cabozantinib</w:t>
      </w:r>
      <w:proofErr w:type="spellEnd"/>
      <w:r w:rsidRPr="00BB7BB7">
        <w:t xml:space="preserve"> (XL184) versus </w:t>
      </w:r>
      <w:proofErr w:type="spellStart"/>
      <w:r w:rsidRPr="00BB7BB7">
        <w:t>Everolimus</w:t>
      </w:r>
      <w:proofErr w:type="spellEnd"/>
      <w:r w:rsidRPr="00BB7BB7">
        <w:t xml:space="preserve"> in Subjects with Metastatic Renal Cell Carcinoma that has Progressed after Prior VEGFR Tyrosine Kinase Inhibitor Therapy.</w:t>
      </w:r>
    </w:p>
    <w:p w:rsidR="00CD7E26" w:rsidRPr="005632DC" w:rsidRDefault="00CD7E26" w:rsidP="00CD7E26">
      <w:pPr>
        <w:pStyle w:val="Heading3"/>
        <w:numPr>
          <w:ilvl w:val="1"/>
          <w:numId w:val="29"/>
        </w:numPr>
        <w:ind w:left="907" w:hanging="794"/>
      </w:pPr>
      <w:bookmarkStart w:id="258" w:name="_Toc520879804"/>
      <w:bookmarkStart w:id="259" w:name="_Toc531776250"/>
      <w:r w:rsidRPr="005632DC">
        <w:t>Pivotal or main efficacy studies</w:t>
      </w:r>
      <w:bookmarkEnd w:id="250"/>
      <w:bookmarkEnd w:id="251"/>
      <w:bookmarkEnd w:id="252"/>
      <w:bookmarkEnd w:id="253"/>
      <w:bookmarkEnd w:id="254"/>
      <w:bookmarkEnd w:id="255"/>
      <w:bookmarkEnd w:id="256"/>
      <w:bookmarkEnd w:id="258"/>
      <w:bookmarkEnd w:id="259"/>
    </w:p>
    <w:p w:rsidR="00CD7E26" w:rsidRDefault="00884E48" w:rsidP="00CD7E26">
      <w:pPr>
        <w:pStyle w:val="Heading4"/>
        <w:numPr>
          <w:ilvl w:val="2"/>
          <w:numId w:val="29"/>
        </w:numPr>
      </w:pPr>
      <w:bookmarkStart w:id="260" w:name="_XL184-308_A_Phase"/>
      <w:bookmarkStart w:id="261" w:name="_Ref479492718"/>
      <w:bookmarkStart w:id="262" w:name="_Hlk480204579"/>
      <w:bookmarkEnd w:id="260"/>
      <w:r>
        <w:t>XL184-308</w:t>
      </w:r>
    </w:p>
    <w:p w:rsidR="00CD7E26" w:rsidRDefault="00CD7E26" w:rsidP="00CD7E26">
      <w:r w:rsidRPr="006D75D4">
        <w:t xml:space="preserve">A </w:t>
      </w:r>
      <w:r>
        <w:t>Phase III</w:t>
      </w:r>
      <w:r w:rsidRPr="006D75D4">
        <w:t xml:space="preserve">, </w:t>
      </w:r>
      <w:r>
        <w:t>Randomised</w:t>
      </w:r>
      <w:r w:rsidRPr="006D75D4">
        <w:t xml:space="preserve">, Controlled Study of </w:t>
      </w:r>
      <w:proofErr w:type="spellStart"/>
      <w:r w:rsidRPr="006D75D4">
        <w:t>Cabozantinib</w:t>
      </w:r>
      <w:proofErr w:type="spellEnd"/>
      <w:r w:rsidRPr="006D75D4">
        <w:t xml:space="preserve"> (XL184) </w:t>
      </w:r>
      <w:r>
        <w:t>versu</w:t>
      </w:r>
      <w:r w:rsidRPr="006D75D4">
        <w:t xml:space="preserve">s </w:t>
      </w:r>
      <w:proofErr w:type="spellStart"/>
      <w:r w:rsidRPr="006D75D4">
        <w:t>Everolimus</w:t>
      </w:r>
      <w:proofErr w:type="spellEnd"/>
      <w:r w:rsidRPr="006D75D4">
        <w:t xml:space="preserve"> in Subjects with Metastatic Renal Cell </w:t>
      </w:r>
      <w:r w:rsidRPr="00E82CF2">
        <w:t>Carcinoma</w:t>
      </w:r>
      <w:r w:rsidRPr="006D75D4">
        <w:t xml:space="preserve"> that has Progressed after Prior VEGFR Tyrosine Kinase Inhibitor Therapy.</w:t>
      </w:r>
      <w:bookmarkEnd w:id="261"/>
      <w:bookmarkEnd w:id="262"/>
    </w:p>
    <w:p w:rsidR="00CD7E26" w:rsidRPr="00F008C0" w:rsidRDefault="00CD7E26" w:rsidP="00C031C9">
      <w:pPr>
        <w:pStyle w:val="Heading5"/>
      </w:pPr>
      <w:r w:rsidRPr="00F008C0">
        <w:t>Study design, objectives, locations and dates</w:t>
      </w:r>
    </w:p>
    <w:p w:rsidR="00CD7E26" w:rsidRDefault="00CD7E26" w:rsidP="00CD7E26">
      <w:pPr>
        <w:rPr>
          <w:lang w:eastAsia="ja-JP"/>
        </w:rPr>
      </w:pPr>
      <w:r>
        <w:rPr>
          <w:lang w:eastAsia="ja-JP"/>
        </w:rPr>
        <w:t>This was a randomised, open-label, active controlled study undertaken in subjects with advanced RCC who had to have progressed after at least one year of VEGF TKI therapy.</w:t>
      </w:r>
    </w:p>
    <w:p w:rsidR="00CD7E26" w:rsidRDefault="00CD7E26" w:rsidP="00CD7E26">
      <w:pPr>
        <w:rPr>
          <w:lang w:eastAsia="ja-JP"/>
        </w:rPr>
      </w:pPr>
      <w:r>
        <w:rPr>
          <w:lang w:eastAsia="ja-JP"/>
        </w:rPr>
        <w:t xml:space="preserve">The objective of this study was to evaluate the effect of </w:t>
      </w:r>
      <w:proofErr w:type="spellStart"/>
      <w:r>
        <w:rPr>
          <w:lang w:eastAsia="ja-JP"/>
        </w:rPr>
        <w:t>cabozantinib</w:t>
      </w:r>
      <w:proofErr w:type="spellEnd"/>
      <w:r>
        <w:rPr>
          <w:lang w:eastAsia="ja-JP"/>
        </w:rPr>
        <w:t xml:space="preserve"> on progression-free survival (PFS) and overall survival (OS) in subjects with advanced RCC that had progressed after prior VEGFR tyrosine kinase activity versus </w:t>
      </w:r>
      <w:proofErr w:type="spellStart"/>
      <w:r>
        <w:rPr>
          <w:lang w:eastAsia="ja-JP"/>
        </w:rPr>
        <w:t>everolimus</w:t>
      </w:r>
      <w:proofErr w:type="spellEnd"/>
      <w:r>
        <w:rPr>
          <w:lang w:eastAsia="ja-JP"/>
        </w:rPr>
        <w:t>.</w:t>
      </w:r>
    </w:p>
    <w:p w:rsidR="00CD7E26" w:rsidRDefault="00CD7E26" w:rsidP="00CD7E26">
      <w:pPr>
        <w:rPr>
          <w:lang w:eastAsia="ja-JP"/>
        </w:rPr>
      </w:pPr>
      <w:r>
        <w:rPr>
          <w:lang w:eastAsia="ja-JP"/>
        </w:rPr>
        <w:t>The primary endpoint was PFS, the secondary OS.</w:t>
      </w:r>
    </w:p>
    <w:p w:rsidR="00CD7E26" w:rsidRDefault="00CD7E26" w:rsidP="00CD7E26">
      <w:pPr>
        <w:rPr>
          <w:lang w:eastAsia="ja-JP"/>
        </w:rPr>
      </w:pPr>
      <w:r>
        <w:rPr>
          <w:lang w:eastAsia="ja-JP"/>
        </w:rPr>
        <w:t xml:space="preserve">The study was conducted in 25 countries and involved 173 unique sites. The main countries in terms of the number of sites were: United States (70), Australia (14), Canada (14), Spain (13), United Kingdom (13), France (11) and Italy (10). </w:t>
      </w:r>
    </w:p>
    <w:p w:rsidR="00CD7E26" w:rsidRDefault="00CD7E26" w:rsidP="00CD7E26">
      <w:pPr>
        <w:rPr>
          <w:lang w:eastAsia="ja-JP"/>
        </w:rPr>
      </w:pPr>
      <w:r>
        <w:rPr>
          <w:lang w:eastAsia="ja-JP"/>
        </w:rPr>
        <w:t xml:space="preserve">The first subject was enrolled on 8 August </w:t>
      </w:r>
      <w:bookmarkStart w:id="263" w:name="amendment1"/>
      <w:bookmarkEnd w:id="263"/>
      <w:r>
        <w:rPr>
          <w:lang w:eastAsia="ja-JP"/>
        </w:rPr>
        <w:t xml:space="preserve">2013 and the data cut-off date for the primary analysis of progression free survival was 22 May 2015. </w:t>
      </w:r>
    </w:p>
    <w:p w:rsidR="00CD7E26" w:rsidRDefault="00CD7E26" w:rsidP="00CD7E26">
      <w:pPr>
        <w:rPr>
          <w:lang w:eastAsia="ja-JP"/>
        </w:rPr>
      </w:pPr>
      <w:r>
        <w:rPr>
          <w:lang w:eastAsia="ja-JP"/>
        </w:rPr>
        <w:t xml:space="preserve">A </w:t>
      </w:r>
      <w:proofErr w:type="spellStart"/>
      <w:r>
        <w:rPr>
          <w:lang w:eastAsia="ja-JP"/>
        </w:rPr>
        <w:t>prespecified</w:t>
      </w:r>
      <w:proofErr w:type="spellEnd"/>
      <w:r>
        <w:rPr>
          <w:lang w:eastAsia="ja-JP"/>
        </w:rPr>
        <w:t xml:space="preserve"> interim analysis for the secondary endpoint, overall survival, was undertaken on 22 May 2015, an addendum to the final study report is included that has an unplanned second interim analysis for overall survival with a prospectively defined data cu</w:t>
      </w:r>
      <w:r w:rsidR="00D026CC">
        <w:rPr>
          <w:lang w:eastAsia="ja-JP"/>
        </w:rPr>
        <w:t>t-off date of 31 December 2015.</w:t>
      </w:r>
    </w:p>
    <w:p w:rsidR="00CD7E26" w:rsidRDefault="00CD7E26" w:rsidP="00CD7E26">
      <w:pPr>
        <w:rPr>
          <w:lang w:eastAsia="ja-JP"/>
        </w:rPr>
      </w:pPr>
      <w:r>
        <w:rPr>
          <w:lang w:eastAsia="ja-JP"/>
        </w:rPr>
        <w:t>The projected completion date of the study for the secondary endpoint, overall survival is February 2017 allowing for up to 36-months of data for this endpoint.</w:t>
      </w:r>
    </w:p>
    <w:p w:rsidR="00CD7E26" w:rsidRDefault="00CD7E26" w:rsidP="00CD7E26">
      <w:pPr>
        <w:pStyle w:val="Comment"/>
      </w:pPr>
      <w:r w:rsidRPr="00E82CF2">
        <w:rPr>
          <w:b/>
        </w:rPr>
        <w:t>Comment</w:t>
      </w:r>
      <w:r>
        <w:t>:</w:t>
      </w:r>
      <w:r w:rsidR="00884E48">
        <w:tab/>
      </w:r>
      <w:r>
        <w:t xml:space="preserve">The unplanned second interim analysis for overall survival was based on an observed trend that favoured </w:t>
      </w:r>
      <w:proofErr w:type="spellStart"/>
      <w:r>
        <w:t>cabozantinib</w:t>
      </w:r>
      <w:proofErr w:type="spellEnd"/>
      <w:r>
        <w:t xml:space="preserve"> at the time of the pre-specified interim analysis. At the time of the pre-specified analysis 49% of the total deaths for the final event had occurred and the additional interim analysis was conducted to provide a minimum of 12-months overall survival data, the statistical analysis plan was amended to reflect this additional analysis. The additional analysis was undertaken in consultation with the European Medicines Agency.</w:t>
      </w:r>
    </w:p>
    <w:p w:rsidR="00CD7E26" w:rsidRDefault="00CD7E26" w:rsidP="00CD7E26">
      <w:pPr>
        <w:ind w:left="1134"/>
      </w:pPr>
      <w:r>
        <w:t>As a single pivotal study has been submitted to support this indication the evaluation will consider the design, conduct and results in line with the European Medicines Agency Points to Consider on Application with 1. Meta-analyses; 2 One Pivotal Study CPMP/EWP/2330/99 as adopted by the TGA.</w:t>
      </w:r>
    </w:p>
    <w:p w:rsidR="00CD7E26" w:rsidRPr="00C031C9" w:rsidRDefault="00CD7E26" w:rsidP="00C031C9">
      <w:pPr>
        <w:pStyle w:val="Heading5"/>
      </w:pPr>
      <w:r w:rsidRPr="00C031C9">
        <w:lastRenderedPageBreak/>
        <w:t>Inclusion and exclusion criteria</w:t>
      </w:r>
    </w:p>
    <w:p w:rsidR="00CD7E26" w:rsidRPr="00C031C9" w:rsidRDefault="00CD7E26" w:rsidP="00C031C9">
      <w:pPr>
        <w:pStyle w:val="Heading6"/>
      </w:pPr>
      <w:r w:rsidRPr="00C031C9">
        <w:t>Inclusion</w:t>
      </w:r>
    </w:p>
    <w:p w:rsidR="00CD7E26" w:rsidRDefault="00CD7E26" w:rsidP="00267B6C">
      <w:pPr>
        <w:pStyle w:val="Numberbullet0"/>
        <w:rPr>
          <w:lang w:eastAsia="ja-JP"/>
        </w:rPr>
      </w:pPr>
      <w:r w:rsidRPr="00D310FD">
        <w:rPr>
          <w:lang w:eastAsia="ja-JP"/>
        </w:rPr>
        <w:t>Documented histological or cytological diagnosis of renal cell cancer with a clear-cell component.</w:t>
      </w:r>
    </w:p>
    <w:p w:rsidR="00CD7E26" w:rsidRDefault="00CD7E26" w:rsidP="00CD7E26">
      <w:pPr>
        <w:pStyle w:val="Numberbullet0"/>
        <w:rPr>
          <w:lang w:eastAsia="ja-JP"/>
        </w:rPr>
      </w:pPr>
      <w:r w:rsidRPr="00D310FD">
        <w:rPr>
          <w:lang w:eastAsia="ja-JP"/>
        </w:rPr>
        <w:t>Measurable disease per RECIST 1.1 as determined by the investigator.</w:t>
      </w:r>
    </w:p>
    <w:p w:rsidR="00CD7E26" w:rsidRDefault="00CD7E26" w:rsidP="00CD7E26">
      <w:pPr>
        <w:pStyle w:val="Numberbullet0"/>
        <w:rPr>
          <w:lang w:eastAsia="ja-JP"/>
        </w:rPr>
      </w:pPr>
      <w:r w:rsidRPr="00D310FD">
        <w:rPr>
          <w:lang w:eastAsia="ja-JP"/>
        </w:rPr>
        <w:t>Must have received at least one VEGFR-targeting TKI (</w:t>
      </w:r>
      <w:r>
        <w:rPr>
          <w:lang w:eastAsia="ja-JP"/>
        </w:rPr>
        <w:t>for example,</w:t>
      </w:r>
      <w:r w:rsidRPr="00D310FD">
        <w:rPr>
          <w:lang w:eastAsia="ja-JP"/>
        </w:rPr>
        <w:t xml:space="preserve"> </w:t>
      </w:r>
      <w:proofErr w:type="spellStart"/>
      <w:r w:rsidRPr="00D310FD">
        <w:rPr>
          <w:lang w:eastAsia="ja-JP"/>
        </w:rPr>
        <w:t>sorafenib</w:t>
      </w:r>
      <w:proofErr w:type="spellEnd"/>
      <w:r w:rsidRPr="00D310FD">
        <w:rPr>
          <w:lang w:eastAsia="ja-JP"/>
        </w:rPr>
        <w:t xml:space="preserve">, </w:t>
      </w:r>
      <w:proofErr w:type="spellStart"/>
      <w:r w:rsidRPr="00D310FD">
        <w:rPr>
          <w:lang w:eastAsia="ja-JP"/>
        </w:rPr>
        <w:t>sunitinib</w:t>
      </w:r>
      <w:proofErr w:type="spellEnd"/>
      <w:r w:rsidRPr="00D310FD">
        <w:rPr>
          <w:lang w:eastAsia="ja-JP"/>
        </w:rPr>
        <w:t xml:space="preserve">, </w:t>
      </w:r>
      <w:proofErr w:type="spellStart"/>
      <w:r w:rsidRPr="00D310FD">
        <w:rPr>
          <w:lang w:eastAsia="ja-JP"/>
        </w:rPr>
        <w:t>axitinib</w:t>
      </w:r>
      <w:proofErr w:type="spellEnd"/>
      <w:r w:rsidRPr="00D310FD">
        <w:rPr>
          <w:lang w:eastAsia="ja-JP"/>
        </w:rPr>
        <w:t xml:space="preserve">, </w:t>
      </w:r>
      <w:proofErr w:type="spellStart"/>
      <w:r>
        <w:rPr>
          <w:lang w:eastAsia="ja-JP"/>
        </w:rPr>
        <w:t>p</w:t>
      </w:r>
      <w:r w:rsidRPr="00D310FD">
        <w:rPr>
          <w:lang w:eastAsia="ja-JP"/>
        </w:rPr>
        <w:t>azopanib</w:t>
      </w:r>
      <w:proofErr w:type="spellEnd"/>
      <w:r w:rsidRPr="00D310FD">
        <w:rPr>
          <w:lang w:eastAsia="ja-JP"/>
        </w:rPr>
        <w:t xml:space="preserve"> or </w:t>
      </w:r>
      <w:proofErr w:type="spellStart"/>
      <w:r w:rsidRPr="00D310FD">
        <w:rPr>
          <w:lang w:eastAsia="ja-JP"/>
        </w:rPr>
        <w:t>tivozanib</w:t>
      </w:r>
      <w:proofErr w:type="spellEnd"/>
      <w:r w:rsidRPr="00D310FD">
        <w:rPr>
          <w:lang w:eastAsia="ja-JP"/>
        </w:rPr>
        <w:t xml:space="preserve">). Prior treatment with other anticancer therapies including </w:t>
      </w:r>
      <w:r>
        <w:rPr>
          <w:lang w:eastAsia="ja-JP"/>
        </w:rPr>
        <w:t>c</w:t>
      </w:r>
      <w:r w:rsidRPr="00D310FD">
        <w:rPr>
          <w:lang w:eastAsia="ja-JP"/>
        </w:rPr>
        <w:t>ytokines (</w:t>
      </w:r>
      <w:r>
        <w:rPr>
          <w:lang w:eastAsia="ja-JP"/>
        </w:rPr>
        <w:t>for example,</w:t>
      </w:r>
      <w:r w:rsidRPr="00D310FD">
        <w:rPr>
          <w:lang w:eastAsia="ja-JP"/>
        </w:rPr>
        <w:t xml:space="preserve"> interleukin-2, interferon-alfa), monoclonal antibodies, (</w:t>
      </w:r>
      <w:r>
        <w:rPr>
          <w:lang w:eastAsia="ja-JP"/>
        </w:rPr>
        <w:t>for example,</w:t>
      </w:r>
      <w:r w:rsidRPr="00D310FD">
        <w:rPr>
          <w:lang w:eastAsia="ja-JP"/>
        </w:rPr>
        <w:t xml:space="preserve"> bevacizumab), and cytotoxic chemotherapy is allowed (except Exclusion Criterion #1).</w:t>
      </w:r>
    </w:p>
    <w:p w:rsidR="00CD7E26" w:rsidRDefault="00CD7E26" w:rsidP="00CD7E26">
      <w:pPr>
        <w:pStyle w:val="Numberbullet0"/>
        <w:rPr>
          <w:lang w:eastAsia="ja-JP"/>
        </w:rPr>
      </w:pPr>
      <w:r>
        <w:rPr>
          <w:lang w:eastAsia="ja-JP"/>
        </w:rPr>
        <w:t xml:space="preserve">For the most recently received VEGFR-targeting TKI </w:t>
      </w:r>
      <w:r w:rsidR="00D026CC">
        <w:rPr>
          <w:lang w:eastAsia="ja-JP"/>
        </w:rPr>
        <w:t>the following criteria applied:</w:t>
      </w:r>
    </w:p>
    <w:p w:rsidR="00CD7E26" w:rsidRDefault="00CD7E26" w:rsidP="00CD7E26">
      <w:pPr>
        <w:pStyle w:val="Numberbullet2"/>
        <w:rPr>
          <w:lang w:eastAsia="ja-JP"/>
        </w:rPr>
      </w:pPr>
      <w:r>
        <w:rPr>
          <w:lang w:eastAsia="ja-JP"/>
        </w:rPr>
        <w:t>Must have radiographically progressed during treatment, or been treated for at least 4 weeks and radiographically progressed within 6-months after the last dose. Radiographic progression was defined as unequivocal progression of existing tumour lesions or developing new tumour lesions as assessed by the investigator on CT or MRI scans.</w:t>
      </w:r>
    </w:p>
    <w:p w:rsidR="00CD7E26" w:rsidRDefault="00CD7E26" w:rsidP="00CD7E26">
      <w:pPr>
        <w:pStyle w:val="Numberbullet2"/>
        <w:rPr>
          <w:lang w:eastAsia="ja-JP"/>
        </w:rPr>
      </w:pPr>
      <w:r>
        <w:rPr>
          <w:lang w:eastAsia="ja-JP"/>
        </w:rPr>
        <w:t>The last dose must have been within 6-months before the date of randomisation.</w:t>
      </w:r>
    </w:p>
    <w:p w:rsidR="00CD7E26" w:rsidRDefault="00CD7E26" w:rsidP="00CD7E26">
      <w:pPr>
        <w:pStyle w:val="Numberbullet0"/>
        <w:rPr>
          <w:lang w:eastAsia="ja-JP"/>
        </w:rPr>
      </w:pPr>
      <w:r>
        <w:rPr>
          <w:lang w:eastAsia="ja-JP"/>
        </w:rPr>
        <w:t>Recovery to baseline or ≤ Grade 1 National Cancer Institute (NCI) Common Terminology Criteria for Adverse Events (CTCAE v4) from toxicities related to any prior treatments, unless AE(s) were clinically nonsignificant and/or stable on supportive therapy.</w:t>
      </w:r>
    </w:p>
    <w:p w:rsidR="00CD7E26" w:rsidRDefault="00CD7E26" w:rsidP="00CD7E26">
      <w:pPr>
        <w:pStyle w:val="Numberbullet0"/>
        <w:rPr>
          <w:lang w:eastAsia="ja-JP"/>
        </w:rPr>
      </w:pPr>
      <w:r w:rsidRPr="00D310FD">
        <w:rPr>
          <w:lang w:eastAsia="ja-JP"/>
        </w:rPr>
        <w:t>Age eighteen years or older on the day of consent.</w:t>
      </w:r>
    </w:p>
    <w:p w:rsidR="00CD7E26" w:rsidRDefault="00CD7E26" w:rsidP="00CD7E26">
      <w:pPr>
        <w:pStyle w:val="Numberbullet0"/>
        <w:rPr>
          <w:lang w:eastAsia="ja-JP"/>
        </w:rPr>
      </w:pPr>
      <w:proofErr w:type="spellStart"/>
      <w:r w:rsidRPr="00CD1AE2">
        <w:rPr>
          <w:lang w:eastAsia="ja-JP"/>
        </w:rPr>
        <w:t>Karnofsky</w:t>
      </w:r>
      <w:proofErr w:type="spellEnd"/>
      <w:r w:rsidRPr="00CD1AE2">
        <w:rPr>
          <w:lang w:eastAsia="ja-JP"/>
        </w:rPr>
        <w:t xml:space="preserve"> Performance Status (KPS) score of </w:t>
      </w:r>
      <w:r>
        <w:rPr>
          <w:lang w:eastAsia="ja-JP"/>
        </w:rPr>
        <w:t>≥ </w:t>
      </w:r>
      <w:r w:rsidRPr="00CD1AE2">
        <w:rPr>
          <w:lang w:eastAsia="ja-JP"/>
        </w:rPr>
        <w:t>70%.</w:t>
      </w:r>
    </w:p>
    <w:p w:rsidR="00CD7E26" w:rsidRDefault="00CD7E26" w:rsidP="00CD7E26">
      <w:pPr>
        <w:pStyle w:val="Numberbullet0"/>
        <w:rPr>
          <w:lang w:eastAsia="ja-JP"/>
        </w:rPr>
      </w:pPr>
      <w:r>
        <w:rPr>
          <w:lang w:eastAsia="ja-JP"/>
        </w:rPr>
        <w:t>Adequate organ and marrow function, based upon all of the following laboratory criteria within 10 days before randomisation:</w:t>
      </w:r>
    </w:p>
    <w:p w:rsidR="00CD7E26" w:rsidRDefault="00CD7E26" w:rsidP="00CD7E26">
      <w:pPr>
        <w:pStyle w:val="Numberbullet2"/>
        <w:rPr>
          <w:lang w:eastAsia="ja-JP"/>
        </w:rPr>
      </w:pPr>
      <w:r>
        <w:rPr>
          <w:lang w:eastAsia="ja-JP"/>
        </w:rPr>
        <w:t>Absolute neutrophil count (ANC) ≥ 1500/mm3 (≥ 1.5 GI/L)</w:t>
      </w:r>
    </w:p>
    <w:p w:rsidR="00CD7E26" w:rsidRDefault="00CD7E26" w:rsidP="00CD7E26">
      <w:pPr>
        <w:pStyle w:val="Numberbullet2"/>
        <w:rPr>
          <w:lang w:eastAsia="ja-JP"/>
        </w:rPr>
      </w:pPr>
      <w:r>
        <w:rPr>
          <w:lang w:eastAsia="ja-JP"/>
        </w:rPr>
        <w:t>Platelets ≥ 100 000/mm3 (≥ 100 GI/L)</w:t>
      </w:r>
    </w:p>
    <w:p w:rsidR="00CD7E26" w:rsidRDefault="00CD7E26" w:rsidP="00CD7E26">
      <w:pPr>
        <w:pStyle w:val="Numberbullet2"/>
        <w:rPr>
          <w:lang w:eastAsia="ja-JP"/>
        </w:rPr>
      </w:pPr>
      <w:r>
        <w:rPr>
          <w:lang w:eastAsia="ja-JP"/>
        </w:rPr>
        <w:t>Haemoglobin ≥ 9 g/</w:t>
      </w:r>
      <w:proofErr w:type="spellStart"/>
      <w:r>
        <w:rPr>
          <w:lang w:eastAsia="ja-JP"/>
        </w:rPr>
        <w:t>dL</w:t>
      </w:r>
      <w:proofErr w:type="spellEnd"/>
      <w:r>
        <w:rPr>
          <w:lang w:eastAsia="ja-JP"/>
        </w:rPr>
        <w:t xml:space="preserve"> (≥ 90 g/L)</w:t>
      </w:r>
    </w:p>
    <w:p w:rsidR="00CD7E26" w:rsidRDefault="00CD7E26" w:rsidP="00CD7E26">
      <w:pPr>
        <w:pStyle w:val="Numberbullet2"/>
        <w:rPr>
          <w:lang w:eastAsia="ja-JP"/>
        </w:rPr>
      </w:pPr>
      <w:r>
        <w:rPr>
          <w:lang w:eastAsia="ja-JP"/>
        </w:rPr>
        <w:t>Alanine aminotransferase (ALT) and aspartate aminotransferase (AST) &lt; 3.0 × upper limit of normal</w:t>
      </w:r>
    </w:p>
    <w:p w:rsidR="00CD7E26" w:rsidRDefault="00CD7E26" w:rsidP="00CD7E26">
      <w:pPr>
        <w:pStyle w:val="Numberbullet2"/>
        <w:rPr>
          <w:lang w:eastAsia="ja-JP"/>
        </w:rPr>
      </w:pPr>
      <w:r>
        <w:rPr>
          <w:lang w:eastAsia="ja-JP"/>
        </w:rPr>
        <w:t>Total bilirubin ≤ 1.5 x the upper limit of normal. For subjects with Gilbert’s disease ≤ 3mg/</w:t>
      </w:r>
      <w:proofErr w:type="spellStart"/>
      <w:r>
        <w:rPr>
          <w:lang w:eastAsia="ja-JP"/>
        </w:rPr>
        <w:t>dL</w:t>
      </w:r>
      <w:proofErr w:type="spellEnd"/>
      <w:r>
        <w:rPr>
          <w:lang w:eastAsia="ja-JP"/>
        </w:rPr>
        <w:t xml:space="preserve"> (≤ 51.3 </w:t>
      </w:r>
      <w:proofErr w:type="spellStart"/>
      <w:r>
        <w:rPr>
          <w:lang w:eastAsia="ja-JP"/>
        </w:rPr>
        <w:t>μmol</w:t>
      </w:r>
      <w:proofErr w:type="spellEnd"/>
      <w:r>
        <w:rPr>
          <w:lang w:eastAsia="ja-JP"/>
        </w:rPr>
        <w:t>/L)</w:t>
      </w:r>
    </w:p>
    <w:p w:rsidR="00CD7E26" w:rsidRDefault="00CD7E26" w:rsidP="00CD7E26">
      <w:pPr>
        <w:pStyle w:val="Numberbullet2"/>
        <w:rPr>
          <w:lang w:eastAsia="ja-JP"/>
        </w:rPr>
      </w:pPr>
      <w:r>
        <w:rPr>
          <w:lang w:eastAsia="ja-JP"/>
        </w:rPr>
        <w:t>Fasting serum triglycerides ≤ 2.5 × upper limit of normal AND total cholesterol ≤ 300 mg/</w:t>
      </w:r>
      <w:proofErr w:type="spellStart"/>
      <w:r>
        <w:rPr>
          <w:lang w:eastAsia="ja-JP"/>
        </w:rPr>
        <w:t>dL</w:t>
      </w:r>
      <w:proofErr w:type="spellEnd"/>
      <w:r>
        <w:rPr>
          <w:lang w:eastAsia="ja-JP"/>
        </w:rPr>
        <w:t xml:space="preserve"> (≤ 7.75 </w:t>
      </w:r>
      <w:proofErr w:type="spellStart"/>
      <w:r>
        <w:rPr>
          <w:lang w:eastAsia="ja-JP"/>
        </w:rPr>
        <w:t>mmol</w:t>
      </w:r>
      <w:proofErr w:type="spellEnd"/>
      <w:r>
        <w:rPr>
          <w:lang w:eastAsia="ja-JP"/>
        </w:rPr>
        <w:t>/L). Lipid-</w:t>
      </w:r>
      <w:r w:rsidR="00D026CC">
        <w:rPr>
          <w:lang w:eastAsia="ja-JP"/>
        </w:rPr>
        <w:t>lowering medication was allowed</w:t>
      </w:r>
    </w:p>
    <w:p w:rsidR="00CD7E26" w:rsidRDefault="00CD7E26" w:rsidP="00CD7E26">
      <w:pPr>
        <w:pStyle w:val="Numberbullet2"/>
        <w:rPr>
          <w:lang w:eastAsia="ja-JP"/>
        </w:rPr>
      </w:pPr>
      <w:r>
        <w:rPr>
          <w:lang w:eastAsia="ja-JP"/>
        </w:rPr>
        <w:t>HbA1c ≤ 8%. For subjects with a condition (for example, haemoglobin variant) that affected the interpretation of HbA1c results, a fasting glucose ≤ 160 mg/</w:t>
      </w:r>
      <w:proofErr w:type="spellStart"/>
      <w:r>
        <w:rPr>
          <w:lang w:eastAsia="ja-JP"/>
        </w:rPr>
        <w:t>dL</w:t>
      </w:r>
      <w:proofErr w:type="spellEnd"/>
      <w:r>
        <w:rPr>
          <w:lang w:eastAsia="ja-JP"/>
        </w:rPr>
        <w:t xml:space="preserve"> (≤ 8.9 </w:t>
      </w:r>
      <w:proofErr w:type="spellStart"/>
      <w:r>
        <w:rPr>
          <w:lang w:eastAsia="ja-JP"/>
        </w:rPr>
        <w:t>mmol</w:t>
      </w:r>
      <w:proofErr w:type="spellEnd"/>
      <w:r>
        <w:rPr>
          <w:lang w:eastAsia="ja-JP"/>
        </w:rPr>
        <w:t>/L)</w:t>
      </w:r>
    </w:p>
    <w:p w:rsidR="00CD7E26" w:rsidRDefault="00CD7E26" w:rsidP="00CD7E26">
      <w:pPr>
        <w:pStyle w:val="Numberbullet2"/>
        <w:rPr>
          <w:lang w:eastAsia="ja-JP"/>
        </w:rPr>
      </w:pPr>
      <w:r>
        <w:rPr>
          <w:lang w:eastAsia="ja-JP"/>
        </w:rPr>
        <w:t xml:space="preserve">Serum creatinine ≤ 2.0 × upper limit of normal or calculated creatinine clearance ≥ 30 mL/min (≥ 0.5 mL/sec) using the </w:t>
      </w:r>
      <w:proofErr w:type="spellStart"/>
      <w:r>
        <w:rPr>
          <w:lang w:eastAsia="ja-JP"/>
        </w:rPr>
        <w:t>Cockroft</w:t>
      </w:r>
      <w:proofErr w:type="spellEnd"/>
      <w:r>
        <w:rPr>
          <w:lang w:eastAsia="ja-JP"/>
        </w:rPr>
        <w:t>-Gault equation</w:t>
      </w:r>
    </w:p>
    <w:p w:rsidR="00CD7E26" w:rsidRDefault="00CD7E26" w:rsidP="00CD7E26">
      <w:pPr>
        <w:pStyle w:val="Numberbullet2"/>
        <w:rPr>
          <w:lang w:eastAsia="ja-JP"/>
        </w:rPr>
      </w:pPr>
      <w:r>
        <w:rPr>
          <w:lang w:eastAsia="ja-JP"/>
        </w:rPr>
        <w:t>Urine protein-to-creatinine ratio (UPCR) ≤ 1 mg/mg (≤ 113.2 mg/</w:t>
      </w:r>
      <w:proofErr w:type="spellStart"/>
      <w:r>
        <w:rPr>
          <w:lang w:eastAsia="ja-JP"/>
        </w:rPr>
        <w:t>mmol</w:t>
      </w:r>
      <w:proofErr w:type="spellEnd"/>
      <w:r>
        <w:rPr>
          <w:lang w:eastAsia="ja-JP"/>
        </w:rPr>
        <w:t>) creatinine or 24-hour urine protein &lt; 1 g</w:t>
      </w:r>
      <w:r w:rsidR="00D026CC">
        <w:rPr>
          <w:lang w:eastAsia="ja-JP"/>
        </w:rPr>
        <w:t>.</w:t>
      </w:r>
    </w:p>
    <w:p w:rsidR="00CD7E26" w:rsidRDefault="00CD7E26" w:rsidP="00CD7E26">
      <w:pPr>
        <w:pStyle w:val="Numberbullet0"/>
        <w:rPr>
          <w:lang w:eastAsia="ja-JP"/>
        </w:rPr>
      </w:pPr>
      <w:r>
        <w:rPr>
          <w:lang w:eastAsia="ja-JP"/>
        </w:rPr>
        <w:t>Capable of understanding and complying with the protocol requirements and must have signed the informed consent document.</w:t>
      </w:r>
    </w:p>
    <w:p w:rsidR="00CD7E26" w:rsidRDefault="00CD7E26" w:rsidP="00CD7E26">
      <w:pPr>
        <w:pStyle w:val="Numberbullet0"/>
        <w:rPr>
          <w:lang w:eastAsia="ja-JP"/>
        </w:rPr>
      </w:pPr>
      <w:r>
        <w:rPr>
          <w:lang w:eastAsia="ja-JP"/>
        </w:rPr>
        <w:lastRenderedPageBreak/>
        <w:t>Sexually active fertile subjects and their partners must have agreed to use medically accepted methods of contraception (for example, barrier methods, including male condom, female condom, or diaphragm with spermicidal gel) during the course of the study and for 4-months after the last dose of study treatment.</w:t>
      </w:r>
    </w:p>
    <w:p w:rsidR="00CD7E26" w:rsidRDefault="00CD7E26" w:rsidP="00CD7E26">
      <w:pPr>
        <w:pStyle w:val="Numberbullet0"/>
        <w:rPr>
          <w:lang w:eastAsia="ja-JP"/>
        </w:rPr>
      </w:pPr>
      <w:r>
        <w:rPr>
          <w:lang w:eastAsia="ja-JP"/>
        </w:rPr>
        <w:t xml:space="preserve">Female subjects of childbearing potential must not have been pregnant at screening. Females of childbearing potential were defined as premenopausal females capable of becoming pregnant (that is, females who had any evidence of menses in the past 12-months, with the exception of those who had prior hysterectomy). However, women who had been </w:t>
      </w:r>
      <w:proofErr w:type="spellStart"/>
      <w:r>
        <w:rPr>
          <w:lang w:eastAsia="ja-JP"/>
        </w:rPr>
        <w:t>amenorrhoeic</w:t>
      </w:r>
      <w:proofErr w:type="spellEnd"/>
      <w:r>
        <w:rPr>
          <w:lang w:eastAsia="ja-JP"/>
        </w:rPr>
        <w:t xml:space="preserve"> for 12 or more-months were still considered to be of childbearing potential if the amenorrhea was possibly due to prior chemotherapy, antiestrogens, low body weight, ovarian suppression, or other reasons.</w:t>
      </w:r>
    </w:p>
    <w:p w:rsidR="00CD7E26" w:rsidRDefault="00CD7E26" w:rsidP="00CD7E26">
      <w:pPr>
        <w:rPr>
          <w:lang w:eastAsia="ja-JP"/>
        </w:rPr>
      </w:pPr>
      <w:r>
        <w:rPr>
          <w:b/>
          <w:lang w:eastAsia="ja-JP"/>
        </w:rPr>
        <w:t>Exclusion</w:t>
      </w:r>
    </w:p>
    <w:p w:rsidR="00CD7E26" w:rsidRPr="0015724C" w:rsidRDefault="00CD7E26" w:rsidP="008463CC">
      <w:pPr>
        <w:pStyle w:val="Numberbullet0"/>
        <w:numPr>
          <w:ilvl w:val="0"/>
          <w:numId w:val="39"/>
        </w:numPr>
      </w:pPr>
      <w:r w:rsidRPr="0015724C">
        <w:t xml:space="preserve">Prior treatment with </w:t>
      </w:r>
      <w:proofErr w:type="spellStart"/>
      <w:r w:rsidRPr="0015724C">
        <w:t>everolimus</w:t>
      </w:r>
      <w:proofErr w:type="spellEnd"/>
      <w:r w:rsidRPr="0015724C">
        <w:t>, or any other specific or selective TORC1/PI3K/AKT inhibitor (</w:t>
      </w:r>
      <w:r>
        <w:t>for example</w:t>
      </w:r>
      <w:r w:rsidRPr="0015724C">
        <w:t xml:space="preserve"> </w:t>
      </w:r>
      <w:proofErr w:type="spellStart"/>
      <w:r w:rsidRPr="0015724C">
        <w:t>temsirolimus</w:t>
      </w:r>
      <w:proofErr w:type="spellEnd"/>
      <w:r w:rsidRPr="0015724C">
        <w:t xml:space="preserve">) or </w:t>
      </w:r>
      <w:proofErr w:type="spellStart"/>
      <w:r w:rsidRPr="0015724C">
        <w:t>cabozantinib</w:t>
      </w:r>
      <w:proofErr w:type="spellEnd"/>
      <w:r w:rsidRPr="0015724C">
        <w:t>.</w:t>
      </w:r>
    </w:p>
    <w:p w:rsidR="00CD7E26" w:rsidRPr="0015724C" w:rsidRDefault="00CD7E26" w:rsidP="00CD7E26">
      <w:pPr>
        <w:pStyle w:val="Numberbullet0"/>
      </w:pPr>
      <w:r w:rsidRPr="0015724C">
        <w:t>Receipt of any type of small molecule kinase inhibitor (including investigational kinase inhibitor) within 2</w:t>
      </w:r>
      <w:r>
        <w:t xml:space="preserve"> weeks </w:t>
      </w:r>
      <w:r w:rsidRPr="0015724C">
        <w:t>before randomisation.</w:t>
      </w:r>
    </w:p>
    <w:p w:rsidR="00CD7E26" w:rsidRPr="0015724C" w:rsidRDefault="00CD7E26" w:rsidP="00CD7E26">
      <w:pPr>
        <w:pStyle w:val="Numberbullet0"/>
      </w:pPr>
      <w:r w:rsidRPr="0015724C">
        <w:t>Receipt of any type of anticancer antibody (including investigational antibody) within 4</w:t>
      </w:r>
      <w:r>
        <w:t> </w:t>
      </w:r>
      <w:r w:rsidRPr="0015724C">
        <w:t>weeks before randomisation.</w:t>
      </w:r>
    </w:p>
    <w:p w:rsidR="00CD7E26" w:rsidRPr="0015724C" w:rsidRDefault="00CD7E26" w:rsidP="00CD7E26">
      <w:pPr>
        <w:pStyle w:val="Numberbullet0"/>
      </w:pPr>
      <w:r w:rsidRPr="0015724C">
        <w:t>Radiation therapy for bone metastasis within 2 weeks, any other external radiation therapy within 4</w:t>
      </w:r>
      <w:r>
        <w:t xml:space="preserve"> weeks </w:t>
      </w:r>
      <w:r w:rsidRPr="0015724C">
        <w:t>before randomisation. Systemic treatment with radionuclides within 6</w:t>
      </w:r>
      <w:r>
        <w:t> </w:t>
      </w:r>
      <w:r w:rsidRPr="0015724C">
        <w:t>weeks before randomisation. Subjects with clinically relevant ongoing complications from prior radiation therapy were not eligible.</w:t>
      </w:r>
    </w:p>
    <w:p w:rsidR="00CD7E26" w:rsidRPr="0015724C" w:rsidRDefault="00CD7E26" w:rsidP="00CD7E26">
      <w:pPr>
        <w:pStyle w:val="Numberbullet0"/>
      </w:pPr>
      <w:r w:rsidRPr="0015724C">
        <w:t>Known brain metastases or cranial epidural disease unless adequately treated with radiotherapy and/or surgery (including radiosurgery) and stable for at least 3</w:t>
      </w:r>
      <w:r>
        <w:t> months</w:t>
      </w:r>
      <w:r w:rsidRPr="0015724C">
        <w:t xml:space="preserve"> before randomisation. Eligible subjects must have been neurologically asymptomatic and without corticosteroid treatment at the time of randomisation.</w:t>
      </w:r>
    </w:p>
    <w:p w:rsidR="00CD7E26" w:rsidRPr="0015724C" w:rsidRDefault="00CD7E26" w:rsidP="00CD7E26">
      <w:pPr>
        <w:pStyle w:val="Numberbullet0"/>
      </w:pPr>
      <w:r w:rsidRPr="0015724C">
        <w:t>Concomitant anticoagulation at therapeutic doses, with oral anticoagulants (</w:t>
      </w:r>
      <w:r>
        <w:t>for example,</w:t>
      </w:r>
      <w:r w:rsidRPr="0015724C">
        <w:t xml:space="preserve"> warfarin, direct thrombin, and Factor </w:t>
      </w:r>
      <w:proofErr w:type="spellStart"/>
      <w:r w:rsidRPr="0015724C">
        <w:t>Xa</w:t>
      </w:r>
      <w:proofErr w:type="spellEnd"/>
      <w:r w:rsidRPr="0015724C">
        <w:t xml:space="preserve"> inhibitors) or platelet inhibitors (</w:t>
      </w:r>
      <w:r>
        <w:t>for example,</w:t>
      </w:r>
      <w:r w:rsidR="00D026CC">
        <w:t xml:space="preserve"> </w:t>
      </w:r>
      <w:proofErr w:type="spellStart"/>
      <w:r w:rsidR="00D026CC">
        <w:t>clopidogrel</w:t>
      </w:r>
      <w:proofErr w:type="spellEnd"/>
      <w:r w:rsidR="00D026CC">
        <w:t>).</w:t>
      </w:r>
    </w:p>
    <w:p w:rsidR="00CD7E26" w:rsidRPr="0015724C" w:rsidRDefault="00CD7E26" w:rsidP="00CD7E26">
      <w:pPr>
        <w:pStyle w:val="Numberbullet0"/>
      </w:pPr>
      <w:r w:rsidRPr="0015724C">
        <w:t>Note: Low-dose aspirin for cardio-protection (per local applicable guidelines), low-dose warfarin (&lt; 1 mg/day), and low dose, low molecular weight heparins (LMWH) were permitted. Anticoagulation with therapeutic doses of LMWH were allowed in subjects without radiographic evidence of brain metastasis, who were on a stable dose of LMWH for at least 12</w:t>
      </w:r>
      <w:r>
        <w:t xml:space="preserve"> weeks </w:t>
      </w:r>
      <w:r w:rsidRPr="0015724C">
        <w:t>before randomisation, and who had experienced no complications from a thromboembolic event or the anticoagulation regimen.</w:t>
      </w:r>
    </w:p>
    <w:p w:rsidR="00CD7E26" w:rsidRPr="0015724C" w:rsidRDefault="00CD7E26" w:rsidP="00CD7E26">
      <w:pPr>
        <w:pStyle w:val="Numberbullet0"/>
      </w:pPr>
      <w:r w:rsidRPr="0015724C">
        <w:t xml:space="preserve">Chronic treatment with corticosteroids or other immunosuppressive agents (with the exception of inhaled or topical corticosteroids or corticosteroids with a daily dosage equivalent </w:t>
      </w:r>
      <w:r>
        <w:rPr>
          <w:lang w:eastAsia="ja-JP"/>
        </w:rPr>
        <w:t>≤ </w:t>
      </w:r>
      <w:r w:rsidRPr="0015724C">
        <w:t>10 mg prednisone if given for disorders other than renal cell cancer). Subjects with brain metastases requiring systemic corticosteroid were not eligible.</w:t>
      </w:r>
    </w:p>
    <w:p w:rsidR="00CD7E26" w:rsidRPr="0015724C" w:rsidRDefault="00CD7E26" w:rsidP="00CD7E26">
      <w:pPr>
        <w:pStyle w:val="Numberbullet0"/>
      </w:pPr>
      <w:r w:rsidRPr="0015724C">
        <w:t xml:space="preserve">The subject had uncontrolled, significant </w:t>
      </w:r>
      <w:proofErr w:type="spellStart"/>
      <w:r w:rsidRPr="0015724C">
        <w:t>intercurrent</w:t>
      </w:r>
      <w:proofErr w:type="spellEnd"/>
      <w:r w:rsidRPr="0015724C">
        <w:t xml:space="preserve"> or recent illness including, but not limited to, the following conditions:</w:t>
      </w:r>
    </w:p>
    <w:p w:rsidR="00CD7E26" w:rsidRDefault="00CD7E26" w:rsidP="00CD7E26">
      <w:pPr>
        <w:pStyle w:val="Numberbullet2"/>
        <w:rPr>
          <w:lang w:eastAsia="ja-JP"/>
        </w:rPr>
      </w:pPr>
      <w:r>
        <w:rPr>
          <w:lang w:eastAsia="ja-JP"/>
        </w:rPr>
        <w:t>Cardiovascular disorders:</w:t>
      </w:r>
    </w:p>
    <w:p w:rsidR="00CD7E26" w:rsidRDefault="00CD7E26" w:rsidP="00CD7E26">
      <w:pPr>
        <w:pStyle w:val="Numberbullet3"/>
        <w:rPr>
          <w:lang w:eastAsia="ja-JP"/>
        </w:rPr>
      </w:pPr>
      <w:r>
        <w:rPr>
          <w:lang w:eastAsia="ja-JP"/>
        </w:rPr>
        <w:t>Congestive heart failure New York Heart Association Class 3 or 4, unstable angina pectoris, serious cardiac arrhythmias.</w:t>
      </w:r>
    </w:p>
    <w:p w:rsidR="00CD7E26" w:rsidRDefault="00CD7E26" w:rsidP="00CD7E26">
      <w:pPr>
        <w:pStyle w:val="Numberbullet3"/>
        <w:rPr>
          <w:lang w:eastAsia="ja-JP"/>
        </w:rPr>
      </w:pPr>
      <w:r>
        <w:rPr>
          <w:lang w:eastAsia="ja-JP"/>
        </w:rPr>
        <w:t>Uncontrolled hypertension defined as sustained blood pressure (BP) &gt; 150 mm Hg systolic or &gt; 100 mm Hg diastolic despite optimal antihypertensive treatment</w:t>
      </w:r>
      <w:r w:rsidR="00D026CC">
        <w:rPr>
          <w:lang w:eastAsia="ja-JP"/>
        </w:rPr>
        <w:t>.</w:t>
      </w:r>
    </w:p>
    <w:p w:rsidR="00CD7E26" w:rsidRDefault="00CD7E26" w:rsidP="00CD7E26">
      <w:pPr>
        <w:pStyle w:val="Numberbullet3"/>
        <w:rPr>
          <w:lang w:eastAsia="ja-JP"/>
        </w:rPr>
      </w:pPr>
      <w:r>
        <w:rPr>
          <w:lang w:eastAsia="ja-JP"/>
        </w:rPr>
        <w:lastRenderedPageBreak/>
        <w:t>Stroke (including transient ischemic attack [TIA]), myocardial infarction, or other ischemic event, or thromboembolic event (for example, deep venous thrombosis, pulmonary embolism) within 6-months before randomisation</w:t>
      </w:r>
      <w:r w:rsidR="00D026CC">
        <w:rPr>
          <w:lang w:eastAsia="ja-JP"/>
        </w:rPr>
        <w:t>.</w:t>
      </w:r>
    </w:p>
    <w:p w:rsidR="00CD7E26" w:rsidRDefault="00CD7E26" w:rsidP="00CD7E26">
      <w:pPr>
        <w:pStyle w:val="Numberbullet2"/>
        <w:rPr>
          <w:lang w:eastAsia="ja-JP"/>
        </w:rPr>
      </w:pPr>
      <w:r>
        <w:rPr>
          <w:lang w:eastAsia="ja-JP"/>
        </w:rPr>
        <w:t>Gastrointestinal (GI) disorders including those associated with a high risk of perforation or fistula formation:</w:t>
      </w:r>
    </w:p>
    <w:p w:rsidR="00CD7E26" w:rsidRDefault="00CD7E26" w:rsidP="00CD7E26">
      <w:pPr>
        <w:pStyle w:val="Numberbullet3"/>
        <w:rPr>
          <w:lang w:eastAsia="ja-JP"/>
        </w:rPr>
      </w:pPr>
      <w:r>
        <w:rPr>
          <w:lang w:eastAsia="ja-JP"/>
        </w:rPr>
        <w:t>Tumours invading the GI-tract, active peptic ulcer disease, inflammatory bowel disease, diverticulitis, cholecystitis, symptomatic cholangitis or appendicitis, acute pancreatitis or acute obstruction of the pancreatic or biliary duct, or gastric outlet obstruction</w:t>
      </w:r>
      <w:r w:rsidR="00D026CC">
        <w:rPr>
          <w:lang w:eastAsia="ja-JP"/>
        </w:rPr>
        <w:t>.</w:t>
      </w:r>
    </w:p>
    <w:p w:rsidR="00CD7E26" w:rsidRDefault="00CD7E26" w:rsidP="00CD7E26">
      <w:pPr>
        <w:pStyle w:val="Numberbullet3"/>
        <w:rPr>
          <w:lang w:eastAsia="ja-JP"/>
        </w:rPr>
      </w:pPr>
      <w:r>
        <w:rPr>
          <w:lang w:eastAsia="ja-JP"/>
        </w:rPr>
        <w:t>Abdominal fistula, gastrointestinal perforation, bowel obstruction, or intra-abdominal abscess within 6-months before randomisation Note: Complete healing of an intra-abdominal abscess must have been confirmed before randomisation.</w:t>
      </w:r>
    </w:p>
    <w:p w:rsidR="00CD7E26" w:rsidRDefault="00CD7E26" w:rsidP="00CD7E26">
      <w:pPr>
        <w:pStyle w:val="Numberbullet2"/>
        <w:rPr>
          <w:lang w:eastAsia="ja-JP"/>
        </w:rPr>
      </w:pPr>
      <w:r>
        <w:rPr>
          <w:lang w:eastAsia="ja-JP"/>
        </w:rPr>
        <w:t>Clinically significant haematuria, hematemesis, or haemoptysis of &gt; 0.5 teaspoon (2.5 mL) of red blood, or other history of significant bleeding (for example, pulmonary haemorrhage) within 3-months before randomisation</w:t>
      </w:r>
      <w:r w:rsidR="00D026CC">
        <w:rPr>
          <w:lang w:eastAsia="ja-JP"/>
        </w:rPr>
        <w:t>.</w:t>
      </w:r>
    </w:p>
    <w:p w:rsidR="00CD7E26" w:rsidRDefault="00CD7E26" w:rsidP="00CD7E26">
      <w:pPr>
        <w:pStyle w:val="Numberbullet2"/>
        <w:rPr>
          <w:lang w:eastAsia="ja-JP"/>
        </w:rPr>
      </w:pPr>
      <w:proofErr w:type="spellStart"/>
      <w:r>
        <w:rPr>
          <w:lang w:eastAsia="ja-JP"/>
        </w:rPr>
        <w:t>Cavitating</w:t>
      </w:r>
      <w:proofErr w:type="spellEnd"/>
      <w:r>
        <w:rPr>
          <w:lang w:eastAsia="ja-JP"/>
        </w:rPr>
        <w:t xml:space="preserve"> pulmonary lesion(s) or known endobronchial disease manifestation</w:t>
      </w:r>
      <w:r w:rsidR="00D026CC">
        <w:rPr>
          <w:lang w:eastAsia="ja-JP"/>
        </w:rPr>
        <w:t>.</w:t>
      </w:r>
    </w:p>
    <w:p w:rsidR="00CD7E26" w:rsidRDefault="00CD7E26" w:rsidP="00CD7E26">
      <w:pPr>
        <w:pStyle w:val="Numberbullet2"/>
        <w:rPr>
          <w:lang w:eastAsia="ja-JP"/>
        </w:rPr>
      </w:pPr>
      <w:r>
        <w:rPr>
          <w:lang w:eastAsia="ja-JP"/>
        </w:rPr>
        <w:t>Lesions invading major pulmonary blood vessels</w:t>
      </w:r>
      <w:r w:rsidR="00E024DC">
        <w:rPr>
          <w:lang w:eastAsia="ja-JP"/>
        </w:rPr>
        <w:t>.</w:t>
      </w:r>
    </w:p>
    <w:p w:rsidR="00CD7E26" w:rsidRDefault="00CD7E26" w:rsidP="00CD7E26">
      <w:pPr>
        <w:pStyle w:val="Numberbullet2"/>
        <w:rPr>
          <w:lang w:eastAsia="ja-JP"/>
        </w:rPr>
      </w:pPr>
      <w:r>
        <w:rPr>
          <w:lang w:eastAsia="ja-JP"/>
        </w:rPr>
        <w:t>Other clinically significant disorders such as:</w:t>
      </w:r>
    </w:p>
    <w:p w:rsidR="00CD7E26" w:rsidRDefault="00CD7E26" w:rsidP="00CD7E26">
      <w:pPr>
        <w:pStyle w:val="Numberbullet3"/>
        <w:rPr>
          <w:lang w:eastAsia="ja-JP"/>
        </w:rPr>
      </w:pPr>
      <w:r>
        <w:rPr>
          <w:lang w:eastAsia="ja-JP"/>
        </w:rPr>
        <w:t>Active infection requiring systemic treatment, infection with human immunodeficiency virus (HIV) or acquired immunodeficiency syndrome (AIDS)-related illness, or chronic hepatitis B or C infection</w:t>
      </w:r>
    </w:p>
    <w:p w:rsidR="00CD7E26" w:rsidRDefault="00CD7E26" w:rsidP="00CD7E26">
      <w:pPr>
        <w:pStyle w:val="Numberbullet3"/>
        <w:rPr>
          <w:lang w:eastAsia="ja-JP"/>
        </w:rPr>
      </w:pPr>
      <w:r>
        <w:rPr>
          <w:lang w:eastAsia="ja-JP"/>
        </w:rPr>
        <w:t>Serious non-healing wound/ulcer/bone fracture</w:t>
      </w:r>
    </w:p>
    <w:p w:rsidR="00CD7E26" w:rsidRDefault="00CD7E26" w:rsidP="00CD7E26">
      <w:pPr>
        <w:pStyle w:val="Numberbullet3"/>
        <w:rPr>
          <w:lang w:eastAsia="ja-JP"/>
        </w:rPr>
      </w:pPr>
      <w:r>
        <w:rPr>
          <w:lang w:eastAsia="ja-JP"/>
        </w:rPr>
        <w:t>Malabsorption syndrome</w:t>
      </w:r>
    </w:p>
    <w:p w:rsidR="00CD7E26" w:rsidRDefault="00CD7E26" w:rsidP="00CD7E26">
      <w:pPr>
        <w:pStyle w:val="Numberbullet3"/>
        <w:rPr>
          <w:lang w:eastAsia="ja-JP"/>
        </w:rPr>
      </w:pPr>
      <w:r>
        <w:rPr>
          <w:lang w:eastAsia="ja-JP"/>
        </w:rPr>
        <w:t>Uncompensated/symptomatic hypothyroidism</w:t>
      </w:r>
    </w:p>
    <w:p w:rsidR="00CD7E26" w:rsidRDefault="00CD7E26" w:rsidP="00CD7E26">
      <w:pPr>
        <w:pStyle w:val="Numberbullet3"/>
        <w:rPr>
          <w:lang w:eastAsia="ja-JP"/>
        </w:rPr>
      </w:pPr>
      <w:r>
        <w:rPr>
          <w:lang w:eastAsia="ja-JP"/>
        </w:rPr>
        <w:t>Moderate to severe hepatic impairment (Child-Pugh B or C)</w:t>
      </w:r>
    </w:p>
    <w:p w:rsidR="00CD7E26" w:rsidRDefault="00CD7E26" w:rsidP="00CD7E26">
      <w:pPr>
        <w:pStyle w:val="Numberbullet3"/>
        <w:rPr>
          <w:lang w:eastAsia="ja-JP"/>
        </w:rPr>
      </w:pPr>
      <w:r>
        <w:rPr>
          <w:lang w:eastAsia="ja-JP"/>
        </w:rPr>
        <w:t>Requirement for haemodialysis or peritoneal dialysis</w:t>
      </w:r>
    </w:p>
    <w:p w:rsidR="00CD7E26" w:rsidRDefault="00CD7E26" w:rsidP="00CD7E26">
      <w:pPr>
        <w:pStyle w:val="Numberbullet3"/>
        <w:rPr>
          <w:lang w:eastAsia="ja-JP"/>
        </w:rPr>
      </w:pPr>
      <w:r>
        <w:rPr>
          <w:lang w:eastAsia="ja-JP"/>
        </w:rPr>
        <w:t>History of solid organ transplantation</w:t>
      </w:r>
    </w:p>
    <w:p w:rsidR="00CD7E26" w:rsidRDefault="00CD7E26" w:rsidP="00CD7E26">
      <w:pPr>
        <w:pStyle w:val="Numberbullet0"/>
        <w:rPr>
          <w:lang w:eastAsia="ja-JP"/>
        </w:rPr>
      </w:pPr>
      <w:r>
        <w:rPr>
          <w:lang w:eastAsia="ja-JP"/>
        </w:rPr>
        <w:t>Major surgery (for example, GI surgery, removal or biopsy of brain metastasis) within 2-months before randomisation. Complete wound healing from major surgery must have occurred 1-month before randomisation and from minor surgery (for example, simple excision, tooth extraction) at least 10-days before randomisation. Subjects with clinically relevant ongoing complications from prior surgery were not eligible.</w:t>
      </w:r>
    </w:p>
    <w:p w:rsidR="00CD7E26" w:rsidRDefault="00CD7E26" w:rsidP="00CD7E26">
      <w:pPr>
        <w:pStyle w:val="Numberbullet0"/>
        <w:rPr>
          <w:lang w:eastAsia="ja-JP"/>
        </w:rPr>
      </w:pPr>
      <w:r>
        <w:rPr>
          <w:lang w:eastAsia="ja-JP"/>
        </w:rPr>
        <w:t xml:space="preserve">Corrected QT interval calculated by the </w:t>
      </w:r>
      <w:proofErr w:type="spellStart"/>
      <w:r>
        <w:rPr>
          <w:lang w:eastAsia="ja-JP"/>
        </w:rPr>
        <w:t>Fridericia</w:t>
      </w:r>
      <w:proofErr w:type="spellEnd"/>
      <w:r>
        <w:rPr>
          <w:lang w:eastAsia="ja-JP"/>
        </w:rPr>
        <w:t xml:space="preserve"> formula (</w:t>
      </w:r>
      <w:proofErr w:type="spellStart"/>
      <w:r>
        <w:rPr>
          <w:lang w:eastAsia="ja-JP"/>
        </w:rPr>
        <w:t>QTcF</w:t>
      </w:r>
      <w:proofErr w:type="spellEnd"/>
      <w:r>
        <w:rPr>
          <w:lang w:eastAsia="ja-JP"/>
        </w:rPr>
        <w:t xml:space="preserve">) &gt; 500 </w:t>
      </w:r>
      <w:proofErr w:type="spellStart"/>
      <w:r>
        <w:rPr>
          <w:lang w:eastAsia="ja-JP"/>
        </w:rPr>
        <w:t>ms</w:t>
      </w:r>
      <w:proofErr w:type="spellEnd"/>
      <w:r>
        <w:rPr>
          <w:lang w:eastAsia="ja-JP"/>
        </w:rPr>
        <w:t xml:space="preserve"> within 10-days before randomisation. Three ECGs were performed. If the average of these three consecutive results for </w:t>
      </w:r>
      <w:proofErr w:type="spellStart"/>
      <w:r>
        <w:rPr>
          <w:lang w:eastAsia="ja-JP"/>
        </w:rPr>
        <w:t>QTcF</w:t>
      </w:r>
      <w:proofErr w:type="spellEnd"/>
      <w:r>
        <w:rPr>
          <w:lang w:eastAsia="ja-JP"/>
        </w:rPr>
        <w:t xml:space="preserve"> was ≤ 500 </w:t>
      </w:r>
      <w:proofErr w:type="spellStart"/>
      <w:r>
        <w:rPr>
          <w:lang w:eastAsia="ja-JP"/>
        </w:rPr>
        <w:t>ms</w:t>
      </w:r>
      <w:proofErr w:type="spellEnd"/>
      <w:r>
        <w:rPr>
          <w:lang w:eastAsia="ja-JP"/>
        </w:rPr>
        <w:t>, the subject met this eligibility criterion.</w:t>
      </w:r>
    </w:p>
    <w:p w:rsidR="00CD7E26" w:rsidRDefault="00CD7E26" w:rsidP="00CD7E26">
      <w:pPr>
        <w:pStyle w:val="Numberbullet0"/>
        <w:rPr>
          <w:lang w:eastAsia="ja-JP"/>
        </w:rPr>
      </w:pPr>
      <w:r>
        <w:rPr>
          <w:lang w:eastAsia="ja-JP"/>
        </w:rPr>
        <w:t>Pregnant or lactating females.</w:t>
      </w:r>
    </w:p>
    <w:p w:rsidR="00CD7E26" w:rsidRDefault="00CD7E26" w:rsidP="00CD7E26">
      <w:pPr>
        <w:pStyle w:val="Numberbullet0"/>
        <w:rPr>
          <w:lang w:eastAsia="ja-JP"/>
        </w:rPr>
      </w:pPr>
      <w:r>
        <w:rPr>
          <w:lang w:eastAsia="ja-JP"/>
        </w:rPr>
        <w:t>Inability to swallow tablets or capsules.</w:t>
      </w:r>
    </w:p>
    <w:p w:rsidR="00CD7E26" w:rsidRDefault="00CD7E26" w:rsidP="00CD7E26">
      <w:pPr>
        <w:pStyle w:val="Numberbullet0"/>
        <w:rPr>
          <w:lang w:eastAsia="ja-JP"/>
        </w:rPr>
      </w:pPr>
      <w:r>
        <w:rPr>
          <w:lang w:eastAsia="ja-JP"/>
        </w:rPr>
        <w:t>Previously identified allergy or hypersensitivity to components of the study treatment formulations.</w:t>
      </w:r>
    </w:p>
    <w:p w:rsidR="00CD7E26" w:rsidRDefault="00CD7E26" w:rsidP="00CD7E26">
      <w:pPr>
        <w:pStyle w:val="Numberbullet0"/>
        <w:rPr>
          <w:lang w:eastAsia="ja-JP"/>
        </w:rPr>
      </w:pPr>
      <w:r>
        <w:rPr>
          <w:lang w:eastAsia="ja-JP"/>
        </w:rPr>
        <w:t>Diagnosis of another malignancy within 2-years before randomisation, except for superficial skin cancers, or localized, low grade tumours deemed cured and not treated with systemic therapy.</w:t>
      </w:r>
    </w:p>
    <w:p w:rsidR="00CD7E26" w:rsidRPr="00C031C9" w:rsidRDefault="00CD7E26" w:rsidP="00C031C9">
      <w:pPr>
        <w:pStyle w:val="Heading5"/>
      </w:pPr>
      <w:r w:rsidRPr="00C031C9">
        <w:lastRenderedPageBreak/>
        <w:t>Evaluator’s comments</w:t>
      </w:r>
    </w:p>
    <w:p w:rsidR="00CD7E26" w:rsidRDefault="00CD7E26" w:rsidP="00CD7E26">
      <w:pPr>
        <w:pStyle w:val="Comment"/>
        <w:ind w:left="0" w:firstLine="0"/>
        <w:rPr>
          <w:lang w:eastAsia="ja-JP"/>
        </w:rPr>
      </w:pPr>
      <w:r>
        <w:rPr>
          <w:lang w:eastAsia="ja-JP"/>
        </w:rPr>
        <w:t xml:space="preserve">The inclusion criteria are reflective of a population of participants who have advanced RCC that have experienced disease progression after VEGFR targeted therapy. The proposed indication is a broader indication in that it proposes that </w:t>
      </w:r>
      <w:proofErr w:type="spellStart"/>
      <w:r>
        <w:rPr>
          <w:lang w:eastAsia="ja-JP"/>
        </w:rPr>
        <w:t>cabozantinib</w:t>
      </w:r>
      <w:proofErr w:type="spellEnd"/>
      <w:r>
        <w:rPr>
          <w:lang w:eastAsia="ja-JP"/>
        </w:rPr>
        <w:t xml:space="preserve"> is used in adults with RCC following prior therapy. As this is not supported by the inclusion criteria it cannot be justified.</w:t>
      </w:r>
    </w:p>
    <w:p w:rsidR="00CD7E26" w:rsidRDefault="00CD7E26" w:rsidP="00CD7E26">
      <w:pPr>
        <w:pStyle w:val="Comment"/>
      </w:pPr>
      <w:r>
        <w:t>The proposed indication should be amended to reflect the pivotal study population.</w:t>
      </w:r>
    </w:p>
    <w:p w:rsidR="00CD7E26" w:rsidRPr="005D0D82" w:rsidRDefault="00CD7E26" w:rsidP="00CD7E26">
      <w:pPr>
        <w:pStyle w:val="Comment"/>
        <w:ind w:left="0" w:firstLine="0"/>
      </w:pPr>
      <w:bookmarkStart w:id="264" w:name="_Hlk481082798"/>
      <w:r>
        <w:t>The exclusion criteria are acceptable. Importantly patients with cerebral metastases or endobronchial manifestation of RCC, Class 3 or 4 Heart failure, history of stroke, a number of gastrointestinal conditions were excluded and as such this should be represented in the prescribing information and suitable risk mitigation activities proposed as part of the RMP.</w:t>
      </w:r>
    </w:p>
    <w:bookmarkEnd w:id="264"/>
    <w:p w:rsidR="00CD7E26" w:rsidRPr="00C031C9" w:rsidRDefault="00CD7E26" w:rsidP="00C031C9">
      <w:pPr>
        <w:pStyle w:val="Heading5"/>
      </w:pPr>
      <w:r w:rsidRPr="00C031C9">
        <w:t>Study treatments</w:t>
      </w:r>
    </w:p>
    <w:p w:rsidR="00CD7E26" w:rsidRDefault="00CD7E26" w:rsidP="00CD7E26">
      <w:r>
        <w:t>There were two treatment arms:</w:t>
      </w:r>
    </w:p>
    <w:p w:rsidR="00CD7E26" w:rsidRPr="0015724C" w:rsidRDefault="00CD7E26" w:rsidP="00CD7E26">
      <w:pPr>
        <w:pStyle w:val="ListBullet"/>
        <w:numPr>
          <w:ilvl w:val="0"/>
          <w:numId w:val="3"/>
        </w:numPr>
      </w:pPr>
      <w:proofErr w:type="spellStart"/>
      <w:r w:rsidRPr="0015724C">
        <w:t>Cabozantinib</w:t>
      </w:r>
      <w:proofErr w:type="spellEnd"/>
      <w:r w:rsidRPr="0015724C">
        <w:t xml:space="preserve">: Oral </w:t>
      </w:r>
      <w:proofErr w:type="spellStart"/>
      <w:r w:rsidRPr="0015724C">
        <w:t>cabozantinib</w:t>
      </w:r>
      <w:proofErr w:type="spellEnd"/>
      <w:r w:rsidRPr="0015724C">
        <w:t xml:space="preserve"> (60 mg) once daily (</w:t>
      </w:r>
      <w:proofErr w:type="spellStart"/>
      <w:r w:rsidRPr="0015724C">
        <w:t>qd</w:t>
      </w:r>
      <w:proofErr w:type="spellEnd"/>
      <w:r w:rsidRPr="0015724C">
        <w:t xml:space="preserve">) - yellow film coated tablets Supplied by </w:t>
      </w:r>
      <w:proofErr w:type="spellStart"/>
      <w:r w:rsidRPr="0015724C">
        <w:t>Exelixis</w:t>
      </w:r>
      <w:proofErr w:type="spellEnd"/>
      <w:r w:rsidRPr="0015724C">
        <w:t xml:space="preserve">, </w:t>
      </w:r>
      <w:proofErr w:type="spellStart"/>
      <w:r w:rsidRPr="0015724C">
        <w:t>Inc</w:t>
      </w:r>
      <w:proofErr w:type="spellEnd"/>
      <w:r w:rsidRPr="0015724C">
        <w:t>, 6</w:t>
      </w:r>
      <w:r>
        <w:t>0 mg</w:t>
      </w:r>
      <w:r w:rsidRPr="0015724C">
        <w:t xml:space="preserve"> (oval shape) and 2</w:t>
      </w:r>
      <w:r>
        <w:t>0 mg</w:t>
      </w:r>
      <w:r w:rsidRPr="0015724C">
        <w:t xml:space="preserve"> (round shape) tablets using the following lot numbers: 2</w:t>
      </w:r>
      <w:r>
        <w:t>0 mg</w:t>
      </w:r>
      <w:r w:rsidRPr="0015724C">
        <w:t>: HZWX, KKDK, MMZN, NFYB, MSMM, NTBX, PFKD. 60 mg: MDCX, MMZS, MSMY, NFYH, NTBZ, PFKH, MSMX</w:t>
      </w:r>
      <w:r w:rsidR="00E024DC">
        <w:t>.</w:t>
      </w:r>
    </w:p>
    <w:p w:rsidR="00CD7E26" w:rsidRPr="0015724C" w:rsidRDefault="00CD7E26" w:rsidP="00CD7E26">
      <w:pPr>
        <w:pStyle w:val="ListBullet"/>
        <w:numPr>
          <w:ilvl w:val="0"/>
          <w:numId w:val="3"/>
        </w:numPr>
      </w:pPr>
      <w:proofErr w:type="spellStart"/>
      <w:r w:rsidRPr="0015724C">
        <w:t>Everolimus</w:t>
      </w:r>
      <w:proofErr w:type="spellEnd"/>
      <w:r w:rsidRPr="0015724C">
        <w:t xml:space="preserve">: Oral </w:t>
      </w:r>
      <w:proofErr w:type="spellStart"/>
      <w:r w:rsidRPr="0015724C">
        <w:t>everolimus</w:t>
      </w:r>
      <w:proofErr w:type="spellEnd"/>
      <w:r w:rsidRPr="0015724C">
        <w:t xml:space="preserve"> (10 mg) once daily (</w:t>
      </w:r>
      <w:proofErr w:type="spellStart"/>
      <w:r w:rsidRPr="0015724C">
        <w:t>qd</w:t>
      </w:r>
      <w:proofErr w:type="spellEnd"/>
      <w:r w:rsidRPr="0015724C">
        <w:t>).</w:t>
      </w:r>
      <w:r>
        <w:t xml:space="preserve"> </w:t>
      </w:r>
      <w:r w:rsidRPr="0015724C">
        <w:t xml:space="preserve">Purchased from Novartis and supplied by </w:t>
      </w:r>
      <w:proofErr w:type="spellStart"/>
      <w:r w:rsidRPr="0015724C">
        <w:t>Exelixis</w:t>
      </w:r>
      <w:proofErr w:type="spellEnd"/>
      <w:r w:rsidRPr="0015724C">
        <w:t xml:space="preserve"> as 1</w:t>
      </w:r>
      <w:r>
        <w:t>0 mg</w:t>
      </w:r>
      <w:r w:rsidRPr="0015724C">
        <w:t>, 5mg, and 2.5mg tablets using the following lot</w:t>
      </w:r>
      <w:r>
        <w:t xml:space="preserve"> </w:t>
      </w:r>
      <w:r w:rsidRPr="0015724C">
        <w:t>numbers: 2.5 mg: F0007, S0013, S0019 5 mg: S0038, S0013A, S0039, S0026, S0027, S0031A. 10 mg: S0033A, S0013A, S0029, S0030, S0035</w:t>
      </w:r>
      <w:r w:rsidR="00E024DC">
        <w:t>.</w:t>
      </w:r>
    </w:p>
    <w:p w:rsidR="00CD7E26" w:rsidRDefault="00CD7E26" w:rsidP="00CD7E26">
      <w:r>
        <w:t xml:space="preserve">Following randomisation, the first dose of study drug was administered at the study site. (Week 1 Day 1). The study medication was administered under fasting conditions. Subjects received either 60 mg of oral </w:t>
      </w:r>
      <w:proofErr w:type="spellStart"/>
      <w:r>
        <w:t>cabozantinib</w:t>
      </w:r>
      <w:proofErr w:type="spellEnd"/>
      <w:r>
        <w:t xml:space="preserve"> or 10 mg of </w:t>
      </w:r>
      <w:proofErr w:type="spellStart"/>
      <w:r>
        <w:t>everolimus</w:t>
      </w:r>
      <w:proofErr w:type="spellEnd"/>
      <w:r>
        <w:t xml:space="preserve"> taken with at least 240 mL of water.</w:t>
      </w:r>
    </w:p>
    <w:p w:rsidR="00CD7E26" w:rsidRDefault="00CD7E26" w:rsidP="00CD7E26">
      <w:r>
        <w:t xml:space="preserve">During the treatment phase subjects assigned to the </w:t>
      </w:r>
      <w:proofErr w:type="spellStart"/>
      <w:r>
        <w:t>cabozantinib</w:t>
      </w:r>
      <w:proofErr w:type="spellEnd"/>
      <w:r>
        <w:t xml:space="preserve"> arm continued to take their medication under fasting conditions, subjects in the </w:t>
      </w:r>
      <w:proofErr w:type="spellStart"/>
      <w:r>
        <w:t>everolimus</w:t>
      </w:r>
      <w:proofErr w:type="spellEnd"/>
      <w:r>
        <w:t xml:space="preserve"> arm could take their med</w:t>
      </w:r>
      <w:r w:rsidR="00E024DC">
        <w:t>ication without regard to food.</w:t>
      </w:r>
    </w:p>
    <w:p w:rsidR="00CD7E26" w:rsidRDefault="00CD7E26" w:rsidP="00CD7E26">
      <w:r>
        <w:t>Subjects in both arms were instructed to take their medication at the same time each day.</w:t>
      </w:r>
    </w:p>
    <w:p w:rsidR="00CD7E26" w:rsidRDefault="00CD7E26" w:rsidP="00CD7E26">
      <w:r>
        <w:t xml:space="preserve">Dose reductions were allowed for both subjects receiving </w:t>
      </w:r>
      <w:proofErr w:type="spellStart"/>
      <w:r>
        <w:t>cabozantinib</w:t>
      </w:r>
      <w:proofErr w:type="spellEnd"/>
      <w:r>
        <w:t xml:space="preserve"> and </w:t>
      </w:r>
      <w:proofErr w:type="spellStart"/>
      <w:r>
        <w:t>everolimus</w:t>
      </w:r>
      <w:proofErr w:type="spellEnd"/>
      <w:r>
        <w:t xml:space="preserve"> as outlined below:</w:t>
      </w:r>
    </w:p>
    <w:p w:rsidR="00CD7E26" w:rsidRDefault="00CD7E26" w:rsidP="00CD7E26">
      <w:proofErr w:type="spellStart"/>
      <w:r w:rsidRPr="00954A08">
        <w:rPr>
          <w:rStyle w:val="Heading6Char"/>
          <w:rFonts w:eastAsia="Cambria"/>
        </w:rPr>
        <w:t>Cabozantinib</w:t>
      </w:r>
      <w:proofErr w:type="spellEnd"/>
      <w:r w:rsidRPr="00954A08">
        <w:rPr>
          <w:rStyle w:val="Heading6Char"/>
          <w:rFonts w:eastAsia="Cambria"/>
        </w:rPr>
        <w:t xml:space="preserve"> dose reduction</w:t>
      </w:r>
      <w:r w:rsidRPr="00624E60">
        <w:rPr>
          <w:b/>
        </w:rPr>
        <w:t>:</w:t>
      </w:r>
      <w:r>
        <w:t xml:space="preserve"> </w:t>
      </w:r>
      <w:r w:rsidRPr="00043DE6">
        <w:t>allowed for unacceptable to</w:t>
      </w:r>
      <w:r>
        <w:t>xicity, and doses may have been m</w:t>
      </w:r>
      <w:r w:rsidRPr="00043DE6">
        <w:t xml:space="preserve">odified at any time. </w:t>
      </w:r>
    </w:p>
    <w:p w:rsidR="00CD7E26" w:rsidRDefault="00CD7E26" w:rsidP="00CD7E26">
      <w:r>
        <w:t xml:space="preserve">Two reductions were allowed. </w:t>
      </w:r>
      <w:r w:rsidRPr="00043DE6">
        <w:t xml:space="preserve">First dose level reduction to 40 mg, second dose reduction to 20 mg. Dose interruption and reduction criteria recommendations for </w:t>
      </w:r>
      <w:proofErr w:type="spellStart"/>
      <w:r w:rsidRPr="00043DE6">
        <w:t>cabozantinib</w:t>
      </w:r>
      <w:proofErr w:type="spellEnd"/>
      <w:r w:rsidRPr="00043DE6">
        <w:t xml:space="preserve"> in order to manage treatment-related AEs were according to toxicity criteria (CTCAE v4).</w:t>
      </w:r>
    </w:p>
    <w:p w:rsidR="00CD7E26" w:rsidRDefault="00CD7E26" w:rsidP="00CD7E26">
      <w:proofErr w:type="spellStart"/>
      <w:r w:rsidRPr="00954A08">
        <w:rPr>
          <w:rStyle w:val="Heading6Char"/>
          <w:rFonts w:eastAsia="Cambria"/>
        </w:rPr>
        <w:t>Everolimus</w:t>
      </w:r>
      <w:proofErr w:type="spellEnd"/>
      <w:r w:rsidRPr="00954A08">
        <w:rPr>
          <w:rStyle w:val="Heading6Char"/>
          <w:rFonts w:eastAsia="Cambria"/>
        </w:rPr>
        <w:t xml:space="preserve"> dose reduction</w:t>
      </w:r>
      <w:r w:rsidRPr="00624E60">
        <w:rPr>
          <w:b/>
        </w:rPr>
        <w:t>:</w:t>
      </w:r>
      <w:r>
        <w:t xml:space="preserve"> was </w:t>
      </w:r>
      <w:r w:rsidRPr="00043DE6">
        <w:t xml:space="preserve">allowed for management of severe or intolerable adverse reactions. If dose reduction was required, the </w:t>
      </w:r>
      <w:r>
        <w:t xml:space="preserve">proposed </w:t>
      </w:r>
      <w:r w:rsidRPr="00043DE6">
        <w:t>dose was approximately 50% lower than the daily dose previously administered; investigators were instructed to refer to the most recent product package insert/drug label for detailed instructions.</w:t>
      </w:r>
    </w:p>
    <w:p w:rsidR="00CD7E26" w:rsidRDefault="00CD7E26" w:rsidP="00CD7E26">
      <w:r w:rsidRPr="00F65F57">
        <w:rPr>
          <w:rStyle w:val="Heading6Char"/>
          <w:rFonts w:eastAsia="Cambria"/>
        </w:rPr>
        <w:t>Prior/Concomitant therapy:</w:t>
      </w:r>
      <w:r>
        <w:t xml:space="preserve"> No concomitant investigational agents were allowed during the study. Prior treatments (including radiation) for cancer were recorded.</w:t>
      </w:r>
    </w:p>
    <w:p w:rsidR="00CD7E26" w:rsidRDefault="00CD7E26" w:rsidP="00CD7E26">
      <w:r>
        <w:t>All medications used by the subject (including prescription and over-the-counter medications, transfusions, vitamins, herbal remedies and nutritional supplements) during the period from 28 days before randomisation through 30 days after the date of the decision to permanently discontinue study treatment were recorded in the case report forms.</w:t>
      </w:r>
    </w:p>
    <w:p w:rsidR="00CD7E26" w:rsidRDefault="00CD7E26" w:rsidP="00CD7E26">
      <w:proofErr w:type="spellStart"/>
      <w:r>
        <w:lastRenderedPageBreak/>
        <w:t>Antiemetics</w:t>
      </w:r>
      <w:proofErr w:type="spellEnd"/>
      <w:r>
        <w:t xml:space="preserve"> and antidiarrheal medications were allowed prophylactically according to standard clinical pr</w:t>
      </w:r>
      <w:r w:rsidR="00E024DC">
        <w:t>actice if clinically indicated.</w:t>
      </w:r>
    </w:p>
    <w:p w:rsidR="00CD7E26" w:rsidRDefault="00CD7E26" w:rsidP="00CD7E26">
      <w:r>
        <w:t>Granulocyte colony-stimulating factors (G-CSF or GM-CSF) were allowed if used per clinical guidelines.</w:t>
      </w:r>
    </w:p>
    <w:p w:rsidR="00CD7E26" w:rsidRDefault="00CD7E26" w:rsidP="00CD7E26">
      <w:r>
        <w:t xml:space="preserve">Drugs used to control bone loss (for example, bisphosphonates and </w:t>
      </w:r>
      <w:proofErr w:type="spellStart"/>
      <w:r>
        <w:t>denosumab</w:t>
      </w:r>
      <w:proofErr w:type="spellEnd"/>
      <w:r>
        <w:t>) were allowed if started before randomisation and the benefit outweighed the risk per the investigator’s discretion. Frequent monitoring for potentially overlapping toxicities with study treatment was recommended. After randomisation, the use of these drugs required sponsor approval with the exception of management of disease-related hypercalcaemia in emergency situations. However, this was to be subsequently reported to the sponsor for acknowledgement and post-initiation approval.</w:t>
      </w:r>
    </w:p>
    <w:p w:rsidR="00CD7E26" w:rsidRDefault="00CD7E26" w:rsidP="00CD7E26">
      <w:r>
        <w:t>Transfusions, hormone replacement, and short term higher doses of corticosteroids (above the physiologic replacement dose) were utilized as indicated by standard clinical practice.</w:t>
      </w:r>
    </w:p>
    <w:p w:rsidR="00CD7E26" w:rsidRDefault="00CD7E26" w:rsidP="00CD7E26">
      <w:r>
        <w:t xml:space="preserve">Individualised anticoagulation therapy with heparin was allowed if the benefit outweighed the risk per the investigator’s discretion under the following circumstances. Low dose heparins for prophylactic use were allowed if clinically indicated. Therapeutic doses of low molecular weight heparins (LMWH) at the time of randomisation were allowed if the subject had no evidence of brain metastasis, had been on a stable dose of LMWH for at least 12 weeks, and had had no complications from a thromboembolic event or the anticoagulation regimen. Therapeutic doses of low molecular weight heparins (LMWH) after randomisation were allowed if clinically indicated. Therapeutic doses of oral anticoagulants (for example, warfarin or other </w:t>
      </w:r>
      <w:proofErr w:type="spellStart"/>
      <w:r>
        <w:t>coumarin</w:t>
      </w:r>
      <w:proofErr w:type="spellEnd"/>
      <w:r>
        <w:t xml:space="preserve">-related agents, direct thrombin or direct </w:t>
      </w:r>
      <w:proofErr w:type="spellStart"/>
      <w:r>
        <w:t>FXa</w:t>
      </w:r>
      <w:proofErr w:type="spellEnd"/>
      <w:r>
        <w:t xml:space="preserve"> inhibitors, or antiplatelet agents such as </w:t>
      </w:r>
      <w:proofErr w:type="spellStart"/>
      <w:r>
        <w:t>clopidogrel</w:t>
      </w:r>
      <w:proofErr w:type="spellEnd"/>
      <w:r>
        <w:t>, or chronic use of aspirin above low dose levels for cardio protection per local applicable guidelines) were not allowed after randomisation until study treatment was permanently discontinued.</w:t>
      </w:r>
    </w:p>
    <w:p w:rsidR="00CD7E26" w:rsidRDefault="00CD7E26" w:rsidP="00CD7E26">
      <w:pPr>
        <w:pStyle w:val="Comment"/>
        <w:rPr>
          <w:lang w:eastAsia="ja-JP"/>
        </w:rPr>
      </w:pPr>
      <w:r w:rsidRPr="000C5872">
        <w:rPr>
          <w:b/>
        </w:rPr>
        <w:t>Comment</w:t>
      </w:r>
      <w:r w:rsidR="00E024DC">
        <w:rPr>
          <w:b/>
          <w:lang w:eastAsia="ja-JP"/>
        </w:rPr>
        <w:t>:</w:t>
      </w:r>
      <w:r w:rsidR="00E024DC">
        <w:rPr>
          <w:b/>
          <w:lang w:eastAsia="ja-JP"/>
        </w:rPr>
        <w:tab/>
      </w:r>
      <w:proofErr w:type="spellStart"/>
      <w:r>
        <w:rPr>
          <w:lang w:eastAsia="ja-JP"/>
        </w:rPr>
        <w:t>E</w:t>
      </w:r>
      <w:r>
        <w:t>verolimus</w:t>
      </w:r>
      <w:proofErr w:type="spellEnd"/>
      <w:r>
        <w:t xml:space="preserve"> is listed on the ARTG with the following relevant indication: Treatment of Advanced renal cell carcinoma after failure of treatment with </w:t>
      </w:r>
      <w:proofErr w:type="spellStart"/>
      <w:r>
        <w:t>sorafenib</w:t>
      </w:r>
      <w:proofErr w:type="spellEnd"/>
      <w:r>
        <w:t xml:space="preserve"> or </w:t>
      </w:r>
      <w:proofErr w:type="spellStart"/>
      <w:r>
        <w:t>sunitinib</w:t>
      </w:r>
      <w:proofErr w:type="spellEnd"/>
      <w:r>
        <w:t xml:space="preserve">, the dose for this indication recommended dose for this indication is 10 mg and a 50% dose reduction is allowed for adverse events. Therefore, </w:t>
      </w:r>
      <w:proofErr w:type="spellStart"/>
      <w:r>
        <w:t>everolimus</w:t>
      </w:r>
      <w:proofErr w:type="spellEnd"/>
      <w:r>
        <w:t xml:space="preserve"> is an acceptable comparator and its use considered to be appropriate.</w:t>
      </w:r>
    </w:p>
    <w:p w:rsidR="00CD7E26" w:rsidRPr="00C031C9" w:rsidRDefault="00CD7E26" w:rsidP="00C031C9">
      <w:pPr>
        <w:pStyle w:val="Heading5"/>
      </w:pPr>
      <w:r w:rsidRPr="00C031C9">
        <w:t>Efficacy variables and outcomes</w:t>
      </w:r>
    </w:p>
    <w:p w:rsidR="00CD7E26" w:rsidRPr="00C031C9" w:rsidRDefault="00CD7E26" w:rsidP="00C031C9">
      <w:pPr>
        <w:pStyle w:val="Heading6"/>
      </w:pPr>
      <w:r w:rsidRPr="00C031C9">
        <w:t>Primary</w:t>
      </w:r>
    </w:p>
    <w:p w:rsidR="00CD7E26" w:rsidRDefault="00CD7E26" w:rsidP="00CD7E26">
      <w:pPr>
        <w:rPr>
          <w:lang w:eastAsia="ja-JP"/>
        </w:rPr>
      </w:pPr>
      <w:r>
        <w:rPr>
          <w:lang w:eastAsia="ja-JP"/>
        </w:rPr>
        <w:t>The primary efficacy endpoint was duration of progression-free survival per response evaluation criteria in solid tumours (RECIST-1) as determined by the IRC. This was defined as the time form randomisation to either documented PD or death by any cause.</w:t>
      </w:r>
    </w:p>
    <w:p w:rsidR="00CD7E26" w:rsidRDefault="00CD7E26" w:rsidP="00CD7E26">
      <w:pPr>
        <w:rPr>
          <w:lang w:eastAsia="ja-JP"/>
        </w:rPr>
      </w:pPr>
      <w:r>
        <w:rPr>
          <w:lang w:eastAsia="ja-JP"/>
        </w:rPr>
        <w:t>This endpoint was a rad</w:t>
      </w:r>
      <w:r w:rsidR="00E024DC">
        <w:rPr>
          <w:lang w:eastAsia="ja-JP"/>
        </w:rPr>
        <w:t>iological endpoint assessed by:</w:t>
      </w:r>
    </w:p>
    <w:p w:rsidR="00CD7E26" w:rsidRDefault="00CD7E26" w:rsidP="00CD7E26">
      <w:pPr>
        <w:rPr>
          <w:lang w:eastAsia="ja-JP"/>
        </w:rPr>
      </w:pPr>
      <w:r>
        <w:rPr>
          <w:lang w:eastAsia="ja-JP"/>
        </w:rPr>
        <w:t xml:space="preserve">A CT (or MRI) </w:t>
      </w:r>
      <w:proofErr w:type="gramStart"/>
      <w:r>
        <w:rPr>
          <w:lang w:eastAsia="ja-JP"/>
        </w:rPr>
        <w:t>scan</w:t>
      </w:r>
      <w:proofErr w:type="gramEnd"/>
      <w:r>
        <w:rPr>
          <w:lang w:eastAsia="ja-JP"/>
        </w:rPr>
        <w:t xml:space="preserve"> of the chest abdomen and pelvis at screening then at every 8 weeks throughout the first 12-months of the study after which asses</w:t>
      </w:r>
      <w:r w:rsidR="00E024DC">
        <w:rPr>
          <w:lang w:eastAsia="ja-JP"/>
        </w:rPr>
        <w:t>sments occurred every 12 weeks.</w:t>
      </w:r>
    </w:p>
    <w:p w:rsidR="00CD7E26" w:rsidRDefault="00CD7E26" w:rsidP="00CD7E26">
      <w:pPr>
        <w:rPr>
          <w:lang w:eastAsia="ja-JP"/>
        </w:rPr>
      </w:pPr>
      <w:r>
        <w:rPr>
          <w:lang w:eastAsia="ja-JP"/>
        </w:rPr>
        <w:t xml:space="preserve">A CT (or MRI) </w:t>
      </w:r>
      <w:proofErr w:type="gramStart"/>
      <w:r>
        <w:rPr>
          <w:lang w:eastAsia="ja-JP"/>
        </w:rPr>
        <w:t>scan</w:t>
      </w:r>
      <w:proofErr w:type="gramEnd"/>
      <w:r>
        <w:rPr>
          <w:lang w:eastAsia="ja-JP"/>
        </w:rPr>
        <w:t xml:space="preserve"> of the brain performed at screening. After randomisation, MRI (or CT) scans of the brain were only required in subjects with known brain metastasis. Assessments were performed every 8 weeks throughout the first 12-months on study. Upon completion of 12-months on study, these assessments were performed every 12 weeks. If a CT scan of the brain was performed instead of an MRI scan, ambiguous results were confirmed by MRI. Subjects without documented brain metastasis during the screening assessment were not required to undergo post-randomisation brain imaging unless clinically indicated.</w:t>
      </w:r>
    </w:p>
    <w:p w:rsidR="00CD7E26" w:rsidRDefault="00CD7E26" w:rsidP="00CD7E26">
      <w:pPr>
        <w:rPr>
          <w:lang w:eastAsia="ja-JP"/>
        </w:rPr>
      </w:pPr>
      <w:r>
        <w:rPr>
          <w:lang w:eastAsia="ja-JP"/>
        </w:rPr>
        <w:t xml:space="preserve">Technetium bone scans (TBS) were performed in all subjects at screening. After randomisation, bone scans were performed only in subjects with known bone metastasis every 16 weeks throughout the first 12-months on study. Upon completion of 12-months on study, these </w:t>
      </w:r>
      <w:r>
        <w:rPr>
          <w:lang w:eastAsia="ja-JP"/>
        </w:rPr>
        <w:lastRenderedPageBreak/>
        <w:t>assessments were performed every 24 weeks. Subjects without documented bone metastasis during the screening assessment were not required to undergo a post-randomisation bone-scan imaging unless clinically indicated.</w:t>
      </w:r>
    </w:p>
    <w:p w:rsidR="00CD7E26" w:rsidRDefault="00CD7E26" w:rsidP="00CD7E26">
      <w:pPr>
        <w:rPr>
          <w:lang w:eastAsia="ja-JP"/>
        </w:rPr>
      </w:pPr>
      <w:r>
        <w:rPr>
          <w:lang w:eastAsia="ja-JP"/>
        </w:rPr>
        <w:t>Tumour assessments were continued on the protocol-defined schedule regardless of whether study treatment was given, reduced, held, or discontinued. The same imaging modalities used at screening were used for subsequent tumour assessments after randomisation.</w:t>
      </w:r>
    </w:p>
    <w:p w:rsidR="00CD7E26" w:rsidRDefault="00CD7E26" w:rsidP="00CD7E26">
      <w:pPr>
        <w:rPr>
          <w:lang w:eastAsia="ja-JP"/>
        </w:rPr>
      </w:pPr>
      <w:r>
        <w:rPr>
          <w:lang w:eastAsia="ja-JP"/>
        </w:rPr>
        <w:t xml:space="preserve">For the purpose of determination of the study endpoints of PFS and response rates, a blinded, central review of radiographic images was conducted by an IRC. All radiographic tumour assessments were sent in digital format from the investigative sites to the IRC, which also reviewed prior radiation history data for the purpose </w:t>
      </w:r>
      <w:r w:rsidR="00E024DC">
        <w:rPr>
          <w:lang w:eastAsia="ja-JP"/>
        </w:rPr>
        <w:t>of selection of target lesions.</w:t>
      </w:r>
    </w:p>
    <w:p w:rsidR="00CD7E26" w:rsidRPr="004C0B3E" w:rsidRDefault="00CD7E26" w:rsidP="00CD7E26">
      <w:pPr>
        <w:pStyle w:val="Comment"/>
      </w:pPr>
      <w:r w:rsidRPr="004C0B3E">
        <w:rPr>
          <w:b/>
        </w:rPr>
        <w:t>Comment</w:t>
      </w:r>
      <w:r>
        <w:rPr>
          <w:b/>
        </w:rPr>
        <w:t>:</w:t>
      </w:r>
      <w:r w:rsidR="00E024DC">
        <w:rPr>
          <w:b/>
        </w:rPr>
        <w:tab/>
      </w:r>
      <w:r w:rsidRPr="004C0B3E">
        <w:t>Progression free survival is a clinically relevant endpoint for advanced renal cell carcinoma.</w:t>
      </w:r>
    </w:p>
    <w:p w:rsidR="00CD7E26" w:rsidRPr="004C0B3E" w:rsidRDefault="00CD7E26" w:rsidP="00CD7E26">
      <w:pPr>
        <w:pStyle w:val="Comment"/>
        <w:ind w:left="0" w:firstLine="0"/>
      </w:pPr>
      <w:r>
        <w:t>P</w:t>
      </w:r>
      <w:r w:rsidRPr="004C0B3E">
        <w:t>rogression free survival has been used as the basis for approval of a number of m</w:t>
      </w:r>
      <w:r>
        <w:t>edicines approved for the treat</w:t>
      </w:r>
      <w:r w:rsidRPr="004C0B3E">
        <w:t xml:space="preserve">ment of renal cell carcinoma; </w:t>
      </w:r>
      <w:proofErr w:type="spellStart"/>
      <w:r w:rsidRPr="004C0B3E">
        <w:t>sunitinib</w:t>
      </w:r>
      <w:proofErr w:type="spellEnd"/>
      <w:r w:rsidRPr="004C0B3E">
        <w:t xml:space="preserve">, bevacizumab, </w:t>
      </w:r>
      <w:proofErr w:type="spellStart"/>
      <w:r w:rsidRPr="004C0B3E">
        <w:t>sorafenib</w:t>
      </w:r>
      <w:proofErr w:type="spellEnd"/>
      <w:r w:rsidRPr="004C0B3E">
        <w:t xml:space="preserve">, </w:t>
      </w:r>
      <w:proofErr w:type="spellStart"/>
      <w:r w:rsidRPr="004C0B3E">
        <w:t>pazopanib</w:t>
      </w:r>
      <w:proofErr w:type="spellEnd"/>
      <w:r>
        <w:t xml:space="preserve"> these medicines are on the ARTG and have the indication for the treatment of renal cell carcinoma.</w:t>
      </w:r>
    </w:p>
    <w:p w:rsidR="00CD7E26" w:rsidRDefault="00CD7E26" w:rsidP="00CD7E26">
      <w:pPr>
        <w:pStyle w:val="Comment"/>
        <w:ind w:left="0" w:firstLine="0"/>
        <w:rPr>
          <w:lang w:eastAsia="ja-JP"/>
        </w:rPr>
      </w:pPr>
      <w:r w:rsidRPr="004C0B3E">
        <w:t>Progression free survival is accepted as an endpoint according to the EMA, CHMP Guideline on evaluation of anticancer medicinal products in man (EMA/CHMP/205/95 Rev 4).</w:t>
      </w:r>
      <w:r>
        <w:t xml:space="preserve"> </w:t>
      </w:r>
      <w:r w:rsidRPr="004C0B3E">
        <w:t>Importantly overall survival is evaluated as a secondary endpoint (see below</w:t>
      </w:r>
      <w:r>
        <w:rPr>
          <w:lang w:eastAsia="ja-JP"/>
        </w:rPr>
        <w:t>).</w:t>
      </w:r>
    </w:p>
    <w:p w:rsidR="00CD7E26" w:rsidRDefault="00CD7E26" w:rsidP="00CD7E26">
      <w:pPr>
        <w:pStyle w:val="Heading6"/>
        <w:rPr>
          <w:lang w:eastAsia="ja-JP"/>
        </w:rPr>
      </w:pPr>
      <w:r w:rsidRPr="00910C9E">
        <w:rPr>
          <w:lang w:eastAsia="ja-JP"/>
        </w:rPr>
        <w:t>Secondary</w:t>
      </w:r>
      <w:r>
        <w:rPr>
          <w:lang w:eastAsia="ja-JP"/>
        </w:rPr>
        <w:t xml:space="preserve"> endpoints</w:t>
      </w:r>
    </w:p>
    <w:p w:rsidR="00CD7E26" w:rsidRPr="00F36921" w:rsidRDefault="00CD7E26" w:rsidP="00CD7E26">
      <w:pPr>
        <w:pStyle w:val="ListBullet"/>
        <w:numPr>
          <w:ilvl w:val="0"/>
          <w:numId w:val="3"/>
        </w:numPr>
      </w:pPr>
      <w:r w:rsidRPr="00F36921">
        <w:t>Overall survival. Study subjects were followed until death, withdrawal of their consent or at time that the study sponsor determined that these data should no longer be collected.</w:t>
      </w:r>
    </w:p>
    <w:p w:rsidR="00CD7E26" w:rsidRPr="00F36921" w:rsidRDefault="00CD7E26" w:rsidP="00CD7E26">
      <w:pPr>
        <w:pStyle w:val="ListBullet"/>
        <w:numPr>
          <w:ilvl w:val="0"/>
          <w:numId w:val="3"/>
        </w:numPr>
      </w:pPr>
      <w:r w:rsidRPr="00F36921">
        <w:t>Objective response rate (ORR), per RECIST 1.1, per IRC. The ORR was defined as the proportion of subjects for whom the best overall response at the time of data cut-off was complete response (CR) or partial response (PR) as assessed by the IRC per RECIST 1.1, which was co</w:t>
      </w:r>
      <w:r w:rsidR="00E024DC">
        <w:t xml:space="preserve">nfirmed by a subsequent visit ≥ </w:t>
      </w:r>
      <w:r w:rsidRPr="00F36921">
        <w:t>28-days later. Tumour assessment was the same as for the primary endpoint.</w:t>
      </w:r>
    </w:p>
    <w:p w:rsidR="00CD7E26" w:rsidRDefault="00CD7E26" w:rsidP="00CD7E26">
      <w:pPr>
        <w:pStyle w:val="Heading6"/>
        <w:rPr>
          <w:lang w:eastAsia="ja-JP"/>
        </w:rPr>
      </w:pPr>
      <w:r>
        <w:rPr>
          <w:lang w:eastAsia="ja-JP"/>
        </w:rPr>
        <w:t>Additional endpoints</w:t>
      </w:r>
    </w:p>
    <w:p w:rsidR="00CD7E26" w:rsidRPr="00910C9E" w:rsidRDefault="00CD7E26" w:rsidP="00CD7E26">
      <w:pPr>
        <w:pStyle w:val="ListBullet"/>
        <w:numPr>
          <w:ilvl w:val="0"/>
          <w:numId w:val="3"/>
        </w:numPr>
        <w:rPr>
          <w:lang w:eastAsia="ja-JP"/>
        </w:rPr>
      </w:pPr>
      <w:r w:rsidRPr="00910C9E">
        <w:rPr>
          <w:lang w:eastAsia="ja-JP"/>
        </w:rPr>
        <w:t>Duration of response (DOR)</w:t>
      </w:r>
      <w:r w:rsidRPr="008461BC">
        <w:t xml:space="preserve"> </w:t>
      </w:r>
      <w:r>
        <w:rPr>
          <w:lang w:eastAsia="ja-JP"/>
        </w:rPr>
        <w:t>was defined as the time from the first tumour assessment that documented PR or CR that was subsequently confirmed at least 28 days later until the date of documented pro</w:t>
      </w:r>
      <w:r w:rsidR="00E024DC">
        <w:rPr>
          <w:lang w:eastAsia="ja-JP"/>
        </w:rPr>
        <w:t>gression by IRC, per RECIST 1.1.</w:t>
      </w:r>
    </w:p>
    <w:p w:rsidR="00CD7E26" w:rsidRPr="00910C9E" w:rsidRDefault="00E024DC" w:rsidP="00CD7E26">
      <w:pPr>
        <w:pStyle w:val="ListBullet"/>
        <w:numPr>
          <w:ilvl w:val="0"/>
          <w:numId w:val="3"/>
        </w:numPr>
        <w:rPr>
          <w:lang w:eastAsia="ja-JP"/>
        </w:rPr>
      </w:pPr>
      <w:r>
        <w:rPr>
          <w:lang w:eastAsia="ja-JP"/>
        </w:rPr>
        <w:t>Changes in bone scans.</w:t>
      </w:r>
    </w:p>
    <w:p w:rsidR="00CD7E26" w:rsidRPr="00910C9E" w:rsidRDefault="00CD7E26" w:rsidP="00CD7E26">
      <w:pPr>
        <w:pStyle w:val="ListBullet"/>
        <w:numPr>
          <w:ilvl w:val="0"/>
          <w:numId w:val="3"/>
        </w:numPr>
        <w:rPr>
          <w:lang w:eastAsia="ja-JP"/>
        </w:rPr>
      </w:pPr>
      <w:r w:rsidRPr="00910C9E">
        <w:rPr>
          <w:lang w:eastAsia="ja-JP"/>
        </w:rPr>
        <w:t>Safety and tolerability</w:t>
      </w:r>
      <w:r w:rsidR="00E024DC">
        <w:rPr>
          <w:lang w:eastAsia="ja-JP"/>
        </w:rPr>
        <w:t>.</w:t>
      </w:r>
    </w:p>
    <w:p w:rsidR="00CD7E26" w:rsidRPr="00910C9E" w:rsidRDefault="00CD7E26" w:rsidP="00CD7E26">
      <w:pPr>
        <w:pStyle w:val="ListBullet"/>
        <w:numPr>
          <w:ilvl w:val="0"/>
          <w:numId w:val="3"/>
        </w:numPr>
        <w:rPr>
          <w:lang w:eastAsia="ja-JP"/>
        </w:rPr>
      </w:pPr>
      <w:r w:rsidRPr="00910C9E">
        <w:rPr>
          <w:lang w:eastAsia="ja-JP"/>
        </w:rPr>
        <w:t xml:space="preserve">Characterization of the pharmacokinetics of </w:t>
      </w:r>
      <w:proofErr w:type="spellStart"/>
      <w:r w:rsidRPr="00910C9E">
        <w:rPr>
          <w:lang w:eastAsia="ja-JP"/>
        </w:rPr>
        <w:t>cabozantinib</w:t>
      </w:r>
      <w:proofErr w:type="spellEnd"/>
      <w:r w:rsidR="00E024DC">
        <w:rPr>
          <w:lang w:eastAsia="ja-JP"/>
        </w:rPr>
        <w:t>.</w:t>
      </w:r>
    </w:p>
    <w:p w:rsidR="00CD7E26" w:rsidRPr="00910C9E" w:rsidRDefault="00CD7E26" w:rsidP="00CD7E26">
      <w:pPr>
        <w:pStyle w:val="ListBullet"/>
        <w:numPr>
          <w:ilvl w:val="0"/>
          <w:numId w:val="3"/>
        </w:numPr>
        <w:rPr>
          <w:lang w:eastAsia="ja-JP"/>
        </w:rPr>
      </w:pPr>
      <w:r w:rsidRPr="00910C9E">
        <w:rPr>
          <w:lang w:eastAsia="ja-JP"/>
        </w:rPr>
        <w:t>Change in kidney cancer-related symptoms as assessed by the Functional Assessment of</w:t>
      </w:r>
      <w:r>
        <w:rPr>
          <w:lang w:eastAsia="ja-JP"/>
        </w:rPr>
        <w:t xml:space="preserve"> </w:t>
      </w:r>
      <w:r w:rsidRPr="00910C9E">
        <w:rPr>
          <w:lang w:eastAsia="ja-JP"/>
        </w:rPr>
        <w:t>Cancer Therap</w:t>
      </w:r>
      <w:r>
        <w:rPr>
          <w:lang w:eastAsia="ja-JP"/>
        </w:rPr>
        <w:t>y-Kidney Symptom Index (FKSI-19). The FKSI-19 instrument is a 19-item self-reported questionnaire that assesses the most important disease-related symptoms (DRS), treatment side effects, and function/well-being associated with advanced kidney cancer. It queries symptom severity and interference in activity and general health perceptions. This instrument has been used in a number of studies inv</w:t>
      </w:r>
      <w:r w:rsidR="00E024DC">
        <w:rPr>
          <w:lang w:eastAsia="ja-JP"/>
        </w:rPr>
        <w:t>estigating the treatment of RCC.</w:t>
      </w:r>
    </w:p>
    <w:p w:rsidR="00CD7E26" w:rsidRPr="00910C9E" w:rsidRDefault="00CD7E26" w:rsidP="00CD7E26">
      <w:pPr>
        <w:pStyle w:val="ListBullet"/>
        <w:numPr>
          <w:ilvl w:val="0"/>
          <w:numId w:val="3"/>
        </w:numPr>
        <w:rPr>
          <w:lang w:eastAsia="ja-JP"/>
        </w:rPr>
      </w:pPr>
      <w:r w:rsidRPr="00910C9E">
        <w:rPr>
          <w:lang w:eastAsia="ja-JP"/>
        </w:rPr>
        <w:t xml:space="preserve">Change in mobility, self-care, usual activities, pain/discomfort, and anxiety/depression, and global health as assessed by the </w:t>
      </w:r>
      <w:proofErr w:type="spellStart"/>
      <w:r w:rsidRPr="00910C9E">
        <w:rPr>
          <w:lang w:eastAsia="ja-JP"/>
        </w:rPr>
        <w:t>EuroQol</w:t>
      </w:r>
      <w:proofErr w:type="spellEnd"/>
      <w:r w:rsidRPr="00910C9E">
        <w:rPr>
          <w:lang w:eastAsia="ja-JP"/>
        </w:rPr>
        <w:t xml:space="preserve"> Health questionnaire instrument (EQ-5D-5L)</w:t>
      </w:r>
      <w:r w:rsidR="00E024DC">
        <w:rPr>
          <w:lang w:eastAsia="ja-JP"/>
        </w:rPr>
        <w:t>.</w:t>
      </w:r>
    </w:p>
    <w:p w:rsidR="00CD7E26" w:rsidRPr="00910C9E" w:rsidRDefault="00CD7E26" w:rsidP="00CD7E26">
      <w:pPr>
        <w:pStyle w:val="ListBullet"/>
        <w:numPr>
          <w:ilvl w:val="0"/>
          <w:numId w:val="3"/>
        </w:numPr>
        <w:rPr>
          <w:lang w:eastAsia="ja-JP"/>
        </w:rPr>
      </w:pPr>
      <w:r w:rsidRPr="00910C9E">
        <w:rPr>
          <w:lang w:eastAsia="ja-JP"/>
        </w:rPr>
        <w:t>Proportion of subjects with post-</w:t>
      </w:r>
      <w:r>
        <w:rPr>
          <w:lang w:eastAsia="ja-JP"/>
        </w:rPr>
        <w:t>randomisation</w:t>
      </w:r>
      <w:r w:rsidRPr="00910C9E">
        <w:rPr>
          <w:lang w:eastAsia="ja-JP"/>
        </w:rPr>
        <w:t xml:space="preserve"> skeletal-related events (SREs)</w:t>
      </w:r>
      <w:r w:rsidR="00E024DC">
        <w:rPr>
          <w:lang w:eastAsia="ja-JP"/>
        </w:rPr>
        <w:t>.</w:t>
      </w:r>
    </w:p>
    <w:p w:rsidR="00CD7E26" w:rsidRDefault="00CD7E26" w:rsidP="00CD7E26">
      <w:pPr>
        <w:pStyle w:val="ListBullet"/>
        <w:numPr>
          <w:ilvl w:val="0"/>
          <w:numId w:val="3"/>
        </w:numPr>
        <w:rPr>
          <w:lang w:eastAsia="ja-JP"/>
        </w:rPr>
      </w:pPr>
      <w:r w:rsidRPr="00910C9E">
        <w:rPr>
          <w:lang w:eastAsia="ja-JP"/>
        </w:rPr>
        <w:lastRenderedPageBreak/>
        <w:t xml:space="preserve">Relationship of baseline and changes in plasma biomarkers, serum bone markers, serum calcium, and circulating </w:t>
      </w:r>
      <w:r>
        <w:rPr>
          <w:lang w:eastAsia="ja-JP"/>
        </w:rPr>
        <w:t>tumour</w:t>
      </w:r>
      <w:r w:rsidRPr="00910C9E">
        <w:rPr>
          <w:lang w:eastAsia="ja-JP"/>
        </w:rPr>
        <w:t xml:space="preserve"> cells (CTCs) with treatment and/or clinical outcome</w:t>
      </w:r>
      <w:r>
        <w:rPr>
          <w:lang w:eastAsia="ja-JP"/>
        </w:rPr>
        <w:t>. Serum calcium was analysed as part of the routine clinical laboratory assessments. At selected sites, serial blood samples were collected for the enumeration of CTCs. Molecular markers related to RCC and/or study treatment mechanism(s) of action were also to be potentially assessed in CTC samples. In addition, tumour tissue (archival or recently biopsied) was obtained at enrolment whenever available for exploratory analysis of MET and potentially other pathway components or modulators associated with RCC or the mechanism(s) of action of study treatment, as predictive biomarkers.</w:t>
      </w:r>
    </w:p>
    <w:p w:rsidR="00CD7E26" w:rsidRPr="00CF03DA" w:rsidRDefault="00CD7E26" w:rsidP="00CD7E26">
      <w:pPr>
        <w:pStyle w:val="ListBullet"/>
        <w:numPr>
          <w:ilvl w:val="0"/>
          <w:numId w:val="3"/>
        </w:numPr>
        <w:rPr>
          <w:b/>
          <w:lang w:eastAsia="ja-JP"/>
        </w:rPr>
      </w:pPr>
      <w:r w:rsidRPr="00910C9E">
        <w:rPr>
          <w:lang w:eastAsia="ja-JP"/>
        </w:rPr>
        <w:t>Health care resource utilization</w:t>
      </w:r>
      <w:r>
        <w:rPr>
          <w:lang w:eastAsia="ja-JP"/>
        </w:rPr>
        <w:t xml:space="preserve"> parameters were collected on or after the first dose through the Post-Treatment Follow-up Visit. These included hospital admissions, emergency room visits, intensive care unit admissions, length of stay and relevant procedures (for example, surgeries, transfusions).</w:t>
      </w:r>
    </w:p>
    <w:p w:rsidR="00CD7E26" w:rsidRDefault="00CD7E26" w:rsidP="00CD7E26">
      <w:pPr>
        <w:pStyle w:val="Comment"/>
        <w:rPr>
          <w:lang w:eastAsia="ja-JP"/>
        </w:rPr>
      </w:pPr>
      <w:r>
        <w:rPr>
          <w:b/>
          <w:lang w:eastAsia="ja-JP"/>
        </w:rPr>
        <w:t>Comment:</w:t>
      </w:r>
      <w:r w:rsidR="00E024DC">
        <w:rPr>
          <w:b/>
          <w:lang w:eastAsia="ja-JP"/>
        </w:rPr>
        <w:tab/>
      </w:r>
      <w:r>
        <w:rPr>
          <w:lang w:eastAsia="ja-JP"/>
        </w:rPr>
        <w:t>There do not appear to be protocol defined criteria for undertaking brain imaging or bone scans at any other point other than at screening. The protocol states that these should be undertaken as clinically indicated and leave it to the discretion of the investigator. As this was an open-label study there is a potential for bias with regard to the need to perform or the timing of these investigations.</w:t>
      </w:r>
    </w:p>
    <w:p w:rsidR="00CD7E26" w:rsidRDefault="00CD7E26" w:rsidP="00CD7E26">
      <w:pPr>
        <w:pStyle w:val="Comment"/>
        <w:ind w:firstLine="0"/>
        <w:rPr>
          <w:lang w:eastAsia="ja-JP"/>
        </w:rPr>
      </w:pPr>
      <w:r>
        <w:rPr>
          <w:lang w:eastAsia="ja-JP"/>
        </w:rPr>
        <w:t>It appears that an attempt was made to identify and measure biomarkers in the study however the results for this have not been provided.</w:t>
      </w:r>
    </w:p>
    <w:p w:rsidR="00CD7E26" w:rsidRDefault="00CD7E26" w:rsidP="00CD7E26">
      <w:pPr>
        <w:pStyle w:val="Comment"/>
        <w:ind w:firstLine="0"/>
      </w:pPr>
      <w:bookmarkStart w:id="265" w:name="_Hlk480715680"/>
      <w:r>
        <w:t>The sponsor should provide an analysis of the number of subjects in each arm that developed cerebral or bony metastasis that were not present at screening and the timing of these events, and comment on the steps taken (if any) to eliminate bias with regard to the need for imaging/bone scans (as appropriate) for these subjects.</w:t>
      </w:r>
    </w:p>
    <w:p w:rsidR="00CD7E26" w:rsidRPr="004C0B3E" w:rsidRDefault="00CD7E26" w:rsidP="00CD7E26">
      <w:pPr>
        <w:pStyle w:val="Comment"/>
        <w:ind w:firstLine="0"/>
      </w:pPr>
      <w:r>
        <w:t>The sponsor should provide the data for the analysis of biomarkers or provide information on the availability (or otherwise) of these data</w:t>
      </w:r>
      <w:bookmarkEnd w:id="265"/>
      <w:r>
        <w:t>.</w:t>
      </w:r>
    </w:p>
    <w:p w:rsidR="00CD7E26" w:rsidRPr="00C031C9" w:rsidRDefault="00CD7E26" w:rsidP="00C031C9">
      <w:pPr>
        <w:pStyle w:val="Heading5"/>
      </w:pPr>
      <w:bookmarkStart w:id="266" w:name="_Ref481081717"/>
      <w:r w:rsidRPr="00C031C9">
        <w:t>Randomisation and blinding methods</w:t>
      </w:r>
      <w:bookmarkEnd w:id="266"/>
    </w:p>
    <w:p w:rsidR="00CD7E26" w:rsidRDefault="00CD7E26" w:rsidP="00CD7E26">
      <w:pPr>
        <w:rPr>
          <w:lang w:eastAsia="ja-JP"/>
        </w:rPr>
      </w:pPr>
      <w:r w:rsidRPr="00B8502D">
        <w:rPr>
          <w:lang w:eastAsia="ja-JP"/>
        </w:rPr>
        <w:t>This was an open-label study</w:t>
      </w:r>
      <w:r>
        <w:rPr>
          <w:lang w:eastAsia="ja-JP"/>
        </w:rPr>
        <w:t xml:space="preserve"> to allow for dose modification for AEs. Subjects were randomly assigned to treatment in a 1:1 ratio either using an interactive voice record system or interactive web record system.</w:t>
      </w:r>
    </w:p>
    <w:p w:rsidR="00CD7E26" w:rsidRDefault="00CD7E26" w:rsidP="00CD7E26">
      <w:pPr>
        <w:rPr>
          <w:lang w:eastAsia="ja-JP"/>
        </w:rPr>
      </w:pPr>
      <w:r>
        <w:rPr>
          <w:lang w:eastAsia="ja-JP"/>
        </w:rPr>
        <w:t>The IRC were blind to study treatment.</w:t>
      </w:r>
    </w:p>
    <w:p w:rsidR="00CD7E26" w:rsidRDefault="00CD7E26" w:rsidP="00CD7E26">
      <w:pPr>
        <w:rPr>
          <w:lang w:eastAsia="ja-JP"/>
        </w:rPr>
      </w:pPr>
      <w:r>
        <w:rPr>
          <w:lang w:eastAsia="ja-JP"/>
        </w:rPr>
        <w:t>Pre-specified stratification took place for the following:</w:t>
      </w:r>
    </w:p>
    <w:p w:rsidR="00CD7E26" w:rsidRDefault="00CD7E26" w:rsidP="00CD7E26">
      <w:pPr>
        <w:pStyle w:val="ListBullet"/>
        <w:numPr>
          <w:ilvl w:val="0"/>
          <w:numId w:val="3"/>
        </w:numPr>
        <w:rPr>
          <w:lang w:eastAsia="ja-JP"/>
        </w:rPr>
      </w:pPr>
      <w:r>
        <w:rPr>
          <w:lang w:eastAsia="ja-JP"/>
        </w:rPr>
        <w:t>Number of prior VEGFR-targeting TKI therapies: 1 versus 2 or more</w:t>
      </w:r>
      <w:r w:rsidR="00E024DC">
        <w:rPr>
          <w:lang w:eastAsia="ja-JP"/>
        </w:rPr>
        <w:t>.</w:t>
      </w:r>
    </w:p>
    <w:p w:rsidR="00CD7E26" w:rsidRDefault="00CD7E26" w:rsidP="00CD7E26">
      <w:pPr>
        <w:pStyle w:val="ListBullet"/>
        <w:numPr>
          <w:ilvl w:val="0"/>
          <w:numId w:val="3"/>
        </w:numPr>
        <w:rPr>
          <w:lang w:eastAsia="ja-JP"/>
        </w:rPr>
      </w:pPr>
      <w:r>
        <w:rPr>
          <w:lang w:eastAsia="ja-JP"/>
        </w:rPr>
        <w:t>Memorial Sloan-Kettering Cancer Centre prognostic criteria for previously treated patients with RCC risk score criteria (Motzer 2004): 0 versus 1 versus 2 or 3 risk factors. Risk factors are the following:</w:t>
      </w:r>
    </w:p>
    <w:p w:rsidR="00CD7E26" w:rsidRDefault="00CD7E26" w:rsidP="00CD7E26">
      <w:pPr>
        <w:pStyle w:val="ListBullet2"/>
        <w:numPr>
          <w:ilvl w:val="1"/>
          <w:numId w:val="3"/>
        </w:numPr>
        <w:rPr>
          <w:lang w:eastAsia="ja-JP"/>
        </w:rPr>
      </w:pPr>
      <w:proofErr w:type="spellStart"/>
      <w:r>
        <w:rPr>
          <w:lang w:eastAsia="ja-JP"/>
        </w:rPr>
        <w:t>Karnofsky</w:t>
      </w:r>
      <w:proofErr w:type="spellEnd"/>
      <w:r>
        <w:rPr>
          <w:lang w:eastAsia="ja-JP"/>
        </w:rPr>
        <w:t xml:space="preserve"> performance status score &lt; 80%</w:t>
      </w:r>
    </w:p>
    <w:p w:rsidR="00CD7E26" w:rsidRDefault="00CD7E26" w:rsidP="00CD7E26">
      <w:pPr>
        <w:pStyle w:val="ListBullet2"/>
        <w:numPr>
          <w:ilvl w:val="1"/>
          <w:numId w:val="3"/>
        </w:numPr>
        <w:rPr>
          <w:lang w:eastAsia="ja-JP"/>
        </w:rPr>
      </w:pPr>
      <w:r>
        <w:rPr>
          <w:lang w:eastAsia="ja-JP"/>
        </w:rPr>
        <w:t>Haemoglobin &lt; 13 g/</w:t>
      </w:r>
      <w:proofErr w:type="spellStart"/>
      <w:r>
        <w:rPr>
          <w:lang w:eastAsia="ja-JP"/>
        </w:rPr>
        <w:t>dL</w:t>
      </w:r>
      <w:proofErr w:type="spellEnd"/>
      <w:r>
        <w:rPr>
          <w:lang w:eastAsia="ja-JP"/>
        </w:rPr>
        <w:t xml:space="preserve"> (&lt; 130 g/L) for males and &lt; 11.5 g/</w:t>
      </w:r>
      <w:proofErr w:type="spellStart"/>
      <w:r>
        <w:rPr>
          <w:lang w:eastAsia="ja-JP"/>
        </w:rPr>
        <w:t>dL</w:t>
      </w:r>
      <w:proofErr w:type="spellEnd"/>
      <w:r>
        <w:rPr>
          <w:lang w:eastAsia="ja-JP"/>
        </w:rPr>
        <w:t xml:space="preserve"> (&lt; 115 g/L) in females</w:t>
      </w:r>
    </w:p>
    <w:p w:rsidR="00CD7E26" w:rsidRDefault="00CD7E26" w:rsidP="00CD7E26">
      <w:pPr>
        <w:pStyle w:val="ListBullet2"/>
        <w:numPr>
          <w:ilvl w:val="1"/>
          <w:numId w:val="3"/>
        </w:numPr>
        <w:rPr>
          <w:lang w:eastAsia="ja-JP"/>
        </w:rPr>
      </w:pPr>
      <w:r>
        <w:rPr>
          <w:lang w:eastAsia="ja-JP"/>
        </w:rPr>
        <w:t>Corrected calcium &gt; upper limit of normal</w:t>
      </w:r>
      <w:r w:rsidR="00E024DC">
        <w:rPr>
          <w:lang w:eastAsia="ja-JP"/>
        </w:rPr>
        <w:t>.</w:t>
      </w:r>
    </w:p>
    <w:p w:rsidR="00CD7E26" w:rsidRPr="00C031C9" w:rsidDel="0081373E" w:rsidRDefault="00CD7E26" w:rsidP="00C031C9">
      <w:pPr>
        <w:pStyle w:val="Heading5"/>
      </w:pPr>
      <w:r w:rsidRPr="00C031C9">
        <w:t>Analysis populations</w:t>
      </w:r>
    </w:p>
    <w:p w:rsidR="00CD7E26" w:rsidRDefault="00CD7E26" w:rsidP="00CD7E26">
      <w:pPr>
        <w:rPr>
          <w:lang w:eastAsia="ja-JP"/>
        </w:rPr>
      </w:pPr>
      <w:r>
        <w:rPr>
          <w:lang w:eastAsia="ja-JP"/>
        </w:rPr>
        <w:t>The analysis populations are summarised in the table below:</w:t>
      </w:r>
    </w:p>
    <w:p w:rsidR="00CD7E26" w:rsidRDefault="00CD7E26" w:rsidP="000756FA">
      <w:pPr>
        <w:pStyle w:val="Tabletitle"/>
      </w:pPr>
      <w:bookmarkStart w:id="267" w:name="_Toc494205923"/>
      <w:r>
        <w:lastRenderedPageBreak/>
        <w:t xml:space="preserve">Table </w:t>
      </w:r>
      <w:r w:rsidR="000756FA">
        <w:t>9</w:t>
      </w:r>
      <w:r>
        <w:t>: Study XL184-308 Analysis Population</w:t>
      </w:r>
      <w:bookmarkEnd w:id="267"/>
    </w:p>
    <w:p w:rsidR="00CD7E26" w:rsidRDefault="00CD7E26" w:rsidP="00CD7E26">
      <w:pPr>
        <w:rPr>
          <w:lang w:eastAsia="ja-JP"/>
        </w:rPr>
      </w:pPr>
      <w:r w:rsidRPr="00C321C1">
        <w:rPr>
          <w:noProof/>
          <w:lang w:eastAsia="en-AU"/>
        </w:rPr>
        <w:drawing>
          <wp:inline distT="0" distB="0" distL="0" distR="0" wp14:anchorId="6079390C" wp14:editId="258E6637">
            <wp:extent cx="5060197" cy="1007390"/>
            <wp:effectExtent l="0" t="0" r="7620" b="2540"/>
            <wp:docPr id="3" name="Picture 3" descr="Table 9: Study XL184-308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b="4891"/>
                    <a:stretch/>
                  </pic:blipFill>
                  <pic:spPr bwMode="auto">
                    <a:xfrm>
                      <a:off x="0" y="0"/>
                      <a:ext cx="5057140" cy="1006781"/>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pStyle w:val="TableDescription"/>
        <w:rPr>
          <w:lang w:eastAsia="ja-JP"/>
        </w:rPr>
      </w:pPr>
      <w:proofErr w:type="spellStart"/>
      <w:proofErr w:type="gramStart"/>
      <w:r w:rsidRPr="00C321C1">
        <w:rPr>
          <w:vertAlign w:val="superscript"/>
        </w:rPr>
        <w:t>a</w:t>
      </w:r>
      <w:proofErr w:type="spellEnd"/>
      <w:proofErr w:type="gramEnd"/>
      <w:r>
        <w:rPr>
          <w:vertAlign w:val="subscript"/>
          <w:lang w:eastAsia="ja-JP"/>
        </w:rPr>
        <w:t xml:space="preserve"> </w:t>
      </w:r>
      <w:r>
        <w:rPr>
          <w:lang w:eastAsia="ja-JP"/>
        </w:rPr>
        <w:t xml:space="preserve">Includes all randomised subjects. With the exception of the PITT population and non-PITT population, percentages are based on the ITT population. </w:t>
      </w:r>
      <w:proofErr w:type="spellStart"/>
      <w:proofErr w:type="gramStart"/>
      <w:r w:rsidRPr="00C321C1">
        <w:rPr>
          <w:vertAlign w:val="superscript"/>
          <w:lang w:eastAsia="ja-JP"/>
        </w:rPr>
        <w:t>b</w:t>
      </w:r>
      <w:r>
        <w:rPr>
          <w:lang w:eastAsia="ja-JP"/>
        </w:rPr>
        <w:t>Includes</w:t>
      </w:r>
      <w:proofErr w:type="spellEnd"/>
      <w:proofErr w:type="gramEnd"/>
      <w:r>
        <w:rPr>
          <w:lang w:eastAsia="ja-JP"/>
        </w:rPr>
        <w:t xml:space="preserve"> the first 375 randomised subjects. </w:t>
      </w:r>
      <w:proofErr w:type="gramStart"/>
      <w:r w:rsidRPr="00C321C1">
        <w:rPr>
          <w:vertAlign w:val="superscript"/>
          <w:lang w:eastAsia="ja-JP"/>
        </w:rPr>
        <w:t>c</w:t>
      </w:r>
      <w:proofErr w:type="gramEnd"/>
      <w:r>
        <w:rPr>
          <w:lang w:eastAsia="ja-JP"/>
        </w:rPr>
        <w:t xml:space="preserve"> Includes all subjects in the ITT population who received any amount of study treatment. Note: One subject (1417-3624) was randomised to receive </w:t>
      </w:r>
      <w:proofErr w:type="spellStart"/>
      <w:r>
        <w:rPr>
          <w:lang w:eastAsia="ja-JP"/>
        </w:rPr>
        <w:t>everolimus</w:t>
      </w:r>
      <w:proofErr w:type="spellEnd"/>
      <w:r>
        <w:rPr>
          <w:lang w:eastAsia="ja-JP"/>
        </w:rPr>
        <w:t xml:space="preserve"> but received </w:t>
      </w:r>
      <w:proofErr w:type="spellStart"/>
      <w:r>
        <w:rPr>
          <w:lang w:eastAsia="ja-JP"/>
        </w:rPr>
        <w:t>cabozantinib</w:t>
      </w:r>
      <w:proofErr w:type="spellEnd"/>
      <w:r>
        <w:rPr>
          <w:lang w:eastAsia="ja-JP"/>
        </w:rPr>
        <w:t xml:space="preserve"> as study treatment and therefore was evaluated in the </w:t>
      </w:r>
      <w:proofErr w:type="spellStart"/>
      <w:r>
        <w:rPr>
          <w:lang w:eastAsia="ja-JP"/>
        </w:rPr>
        <w:t>cabozantinib</w:t>
      </w:r>
      <w:proofErr w:type="spellEnd"/>
      <w:r>
        <w:rPr>
          <w:lang w:eastAsia="ja-JP"/>
        </w:rPr>
        <w:t xml:space="preserve"> arm for the Safety population.</w:t>
      </w:r>
    </w:p>
    <w:p w:rsidR="00CD7E26" w:rsidRDefault="00CD7E26" w:rsidP="00CD7E26">
      <w:pPr>
        <w:rPr>
          <w:lang w:eastAsia="ja-JP"/>
        </w:rPr>
      </w:pPr>
      <w:r>
        <w:rPr>
          <w:lang w:eastAsia="ja-JP"/>
        </w:rPr>
        <w:t xml:space="preserve">The ITT population included a total of 658 subjects, 330 subjects in the </w:t>
      </w:r>
      <w:proofErr w:type="spellStart"/>
      <w:r>
        <w:rPr>
          <w:lang w:eastAsia="ja-JP"/>
        </w:rPr>
        <w:t>cabozantinib</w:t>
      </w:r>
      <w:proofErr w:type="spellEnd"/>
      <w:r>
        <w:rPr>
          <w:lang w:eastAsia="ja-JP"/>
        </w:rPr>
        <w:t xml:space="preserve"> arm and 328 </w:t>
      </w:r>
      <w:r w:rsidR="00E024DC">
        <w:rPr>
          <w:lang w:eastAsia="ja-JP"/>
        </w:rPr>
        <w:t xml:space="preserve">subjects in the </w:t>
      </w:r>
      <w:proofErr w:type="spellStart"/>
      <w:r w:rsidR="00E024DC">
        <w:rPr>
          <w:lang w:eastAsia="ja-JP"/>
        </w:rPr>
        <w:t>everolimus</w:t>
      </w:r>
      <w:proofErr w:type="spellEnd"/>
      <w:r w:rsidR="00E024DC">
        <w:rPr>
          <w:lang w:eastAsia="ja-JP"/>
        </w:rPr>
        <w:t xml:space="preserve"> arm.</w:t>
      </w:r>
    </w:p>
    <w:p w:rsidR="00CD7E26" w:rsidRDefault="00CD7E26" w:rsidP="00CD7E26">
      <w:pPr>
        <w:rPr>
          <w:lang w:eastAsia="ja-JP"/>
        </w:rPr>
      </w:pPr>
      <w:r>
        <w:rPr>
          <w:lang w:eastAsia="ja-JP"/>
        </w:rPr>
        <w:t xml:space="preserve">The Safety population included all randomised subjects who received at least one dose of study treatment (653 subjects); 331 subjects in the </w:t>
      </w:r>
      <w:proofErr w:type="spellStart"/>
      <w:r>
        <w:rPr>
          <w:lang w:eastAsia="ja-JP"/>
        </w:rPr>
        <w:t>cabozantinib</w:t>
      </w:r>
      <w:proofErr w:type="spellEnd"/>
      <w:r>
        <w:rPr>
          <w:lang w:eastAsia="ja-JP"/>
        </w:rPr>
        <w:t xml:space="preserve"> arm and 322 </w:t>
      </w:r>
      <w:r w:rsidR="00E024DC">
        <w:rPr>
          <w:lang w:eastAsia="ja-JP"/>
        </w:rPr>
        <w:t xml:space="preserve">subjects in the </w:t>
      </w:r>
      <w:proofErr w:type="spellStart"/>
      <w:r w:rsidR="00E024DC">
        <w:rPr>
          <w:lang w:eastAsia="ja-JP"/>
        </w:rPr>
        <w:t>everolimus</w:t>
      </w:r>
      <w:proofErr w:type="spellEnd"/>
      <w:r w:rsidR="00E024DC">
        <w:rPr>
          <w:lang w:eastAsia="ja-JP"/>
        </w:rPr>
        <w:t xml:space="preserve"> arm.</w:t>
      </w:r>
    </w:p>
    <w:p w:rsidR="00CD7E26" w:rsidRDefault="00CD7E26" w:rsidP="00CD7E26">
      <w:pPr>
        <w:rPr>
          <w:lang w:eastAsia="ja-JP"/>
        </w:rPr>
      </w:pPr>
      <w:r>
        <w:rPr>
          <w:lang w:eastAsia="ja-JP"/>
        </w:rPr>
        <w:t xml:space="preserve">Five subjects randomised to receive </w:t>
      </w:r>
      <w:proofErr w:type="spellStart"/>
      <w:r>
        <w:rPr>
          <w:lang w:eastAsia="ja-JP"/>
        </w:rPr>
        <w:t>everolimus</w:t>
      </w:r>
      <w:proofErr w:type="spellEnd"/>
      <w:r>
        <w:rPr>
          <w:lang w:eastAsia="ja-JP"/>
        </w:rPr>
        <w:t xml:space="preserve"> did not receive any study treatment; another subject was randomised to the </w:t>
      </w:r>
      <w:proofErr w:type="spellStart"/>
      <w:r>
        <w:rPr>
          <w:lang w:eastAsia="ja-JP"/>
        </w:rPr>
        <w:t>everolimus</w:t>
      </w:r>
      <w:proofErr w:type="spellEnd"/>
      <w:r>
        <w:rPr>
          <w:lang w:eastAsia="ja-JP"/>
        </w:rPr>
        <w:t xml:space="preserve"> arm but received </w:t>
      </w:r>
      <w:proofErr w:type="spellStart"/>
      <w:r>
        <w:rPr>
          <w:lang w:eastAsia="ja-JP"/>
        </w:rPr>
        <w:t>cabozantinib</w:t>
      </w:r>
      <w:proofErr w:type="spellEnd"/>
      <w:r>
        <w:rPr>
          <w:lang w:eastAsia="ja-JP"/>
        </w:rPr>
        <w:t xml:space="preserve"> as study treatment and therefore was evaluated in the </w:t>
      </w:r>
      <w:proofErr w:type="spellStart"/>
      <w:r>
        <w:rPr>
          <w:lang w:eastAsia="ja-JP"/>
        </w:rPr>
        <w:t>cabozantinib</w:t>
      </w:r>
      <w:proofErr w:type="spellEnd"/>
      <w:r>
        <w:rPr>
          <w:lang w:eastAsia="ja-JP"/>
        </w:rPr>
        <w:t xml:space="preserve"> arm for the Safety populati</w:t>
      </w:r>
      <w:r w:rsidR="00E024DC">
        <w:rPr>
          <w:lang w:eastAsia="ja-JP"/>
        </w:rPr>
        <w:t>on.</w:t>
      </w:r>
    </w:p>
    <w:p w:rsidR="00CD7E26" w:rsidRDefault="00CD7E26" w:rsidP="00CD7E26">
      <w:pPr>
        <w:rPr>
          <w:lang w:eastAsia="ja-JP"/>
        </w:rPr>
      </w:pPr>
      <w:r>
        <w:rPr>
          <w:lang w:eastAsia="ja-JP"/>
        </w:rPr>
        <w:t xml:space="preserve">The PK population consisted of all subjects in the Safety population who had at least one reported plasma PK concentration; PK analysis was restricted to the </w:t>
      </w:r>
      <w:proofErr w:type="spellStart"/>
      <w:r>
        <w:rPr>
          <w:lang w:eastAsia="ja-JP"/>
        </w:rPr>
        <w:t>cabozantinib</w:t>
      </w:r>
      <w:proofErr w:type="spellEnd"/>
      <w:r>
        <w:rPr>
          <w:lang w:eastAsia="ja-JP"/>
        </w:rPr>
        <w:t xml:space="preserve"> arm.</w:t>
      </w:r>
    </w:p>
    <w:p w:rsidR="00CD7E26" w:rsidRDefault="00CD7E26" w:rsidP="00CD7E26">
      <w:pPr>
        <w:rPr>
          <w:lang w:eastAsia="ja-JP"/>
        </w:rPr>
      </w:pPr>
      <w:r>
        <w:rPr>
          <w:lang w:eastAsia="ja-JP"/>
        </w:rPr>
        <w:t xml:space="preserve">The PITT population (the first 375 subjects randomised) included 187 subjects in the </w:t>
      </w:r>
      <w:proofErr w:type="spellStart"/>
      <w:r>
        <w:rPr>
          <w:lang w:eastAsia="ja-JP"/>
        </w:rPr>
        <w:t>cabozantinib</w:t>
      </w:r>
      <w:proofErr w:type="spellEnd"/>
      <w:r>
        <w:rPr>
          <w:lang w:eastAsia="ja-JP"/>
        </w:rPr>
        <w:t xml:space="preserve"> arm and 188 subjects in the </w:t>
      </w:r>
      <w:proofErr w:type="spellStart"/>
      <w:r>
        <w:rPr>
          <w:lang w:eastAsia="ja-JP"/>
        </w:rPr>
        <w:t>everolimus</w:t>
      </w:r>
      <w:proofErr w:type="spellEnd"/>
      <w:r>
        <w:rPr>
          <w:lang w:eastAsia="ja-JP"/>
        </w:rPr>
        <w:t xml:space="preserve"> arm.</w:t>
      </w:r>
    </w:p>
    <w:p w:rsidR="00CD7E26" w:rsidRDefault="00CD7E26" w:rsidP="00CD7E26">
      <w:pPr>
        <w:pStyle w:val="Comment"/>
        <w:rPr>
          <w:lang w:eastAsia="ja-JP"/>
        </w:rPr>
      </w:pPr>
      <w:r w:rsidRPr="00954A08">
        <w:rPr>
          <w:b/>
        </w:rPr>
        <w:t>Comment</w:t>
      </w:r>
      <w:r w:rsidR="00E024DC">
        <w:rPr>
          <w:b/>
          <w:lang w:eastAsia="ja-JP"/>
        </w:rPr>
        <w:t>:</w:t>
      </w:r>
      <w:r w:rsidR="00E024DC">
        <w:rPr>
          <w:b/>
          <w:lang w:eastAsia="ja-JP"/>
        </w:rPr>
        <w:tab/>
      </w:r>
      <w:r>
        <w:rPr>
          <w:lang w:eastAsia="ja-JP"/>
        </w:rPr>
        <w:t>The ITT was used for the efficacy analyses other than for the primary analyses for PFS, for which the PITT was used. This was pre-specified in the statistical analysis plan. This was event-based and at least 259 events were required to be observed. The analysis was repeated in the ITT population. This is acceptable.</w:t>
      </w:r>
    </w:p>
    <w:p w:rsidR="00CD7E26" w:rsidRPr="00C031C9" w:rsidRDefault="00CD7E26" w:rsidP="00C031C9">
      <w:pPr>
        <w:pStyle w:val="Heading5"/>
      </w:pPr>
      <w:r w:rsidRPr="00C031C9" w:rsidDel="0081373E">
        <w:t>S</w:t>
      </w:r>
      <w:r w:rsidRPr="00C031C9">
        <w:t>ample size</w:t>
      </w:r>
    </w:p>
    <w:p w:rsidR="00CD7E26" w:rsidRDefault="00CD7E26" w:rsidP="00CD7E26">
      <w:pPr>
        <w:rPr>
          <w:lang w:eastAsia="ja-JP"/>
        </w:rPr>
      </w:pPr>
      <w:r>
        <w:rPr>
          <w:lang w:eastAsia="ja-JP"/>
        </w:rPr>
        <w:t>The study was designed to have adequate statistical power both the primary endpoint and OS.</w:t>
      </w:r>
    </w:p>
    <w:p w:rsidR="00CD7E26" w:rsidRDefault="00CD7E26" w:rsidP="00CD7E26">
      <w:pPr>
        <w:rPr>
          <w:lang w:eastAsia="ja-JP"/>
        </w:rPr>
      </w:pPr>
      <w:r>
        <w:rPr>
          <w:lang w:eastAsia="ja-JP"/>
        </w:rPr>
        <w:t>For the primary endpoint of PFS, assuming exponential PFS, proportional hazards, and a 1:1 treatment allocation ratio, at least 259 events are required to provide 90% power to detect a HR of 0.667 using the log-rank test and a 2-sided significance level of 5%.</w:t>
      </w:r>
    </w:p>
    <w:p w:rsidR="00CD7E26" w:rsidRDefault="00CD7E26" w:rsidP="00CD7E26">
      <w:pPr>
        <w:rPr>
          <w:lang w:eastAsia="ja-JP"/>
        </w:rPr>
      </w:pPr>
      <w:r>
        <w:rPr>
          <w:lang w:eastAsia="ja-JP"/>
        </w:rPr>
        <w:t>Under this design, the minimum observed effect that would result in statistical significance for PFS is a 27.8% improvement (HR = 0.783) in PFS from 5 to 6.39-months conducted when 259 events are observed in the first 375 subjects randomised into the study.</w:t>
      </w:r>
    </w:p>
    <w:p w:rsidR="00CD7E26" w:rsidRDefault="00CD7E26" w:rsidP="00CD7E26">
      <w:pPr>
        <w:rPr>
          <w:lang w:eastAsia="ja-JP"/>
        </w:rPr>
      </w:pPr>
      <w:r>
        <w:rPr>
          <w:lang w:eastAsia="ja-JP"/>
        </w:rPr>
        <w:t>With regard to OS; with an average accrual rate of 32 subjects per month and using a 1:1 treatment allocation ratio, a total of 650 subjects (325 per treatment arm) were required to observe the required number of events within the planned study duration (21-months accrual; approximately 17-months to observed the required PFS events among 375 subjects and approximately 36-months to observe the required deaths for OS among 650 subjects).</w:t>
      </w:r>
    </w:p>
    <w:p w:rsidR="00CD7E26" w:rsidRPr="00C031C9" w:rsidRDefault="00CD7E26" w:rsidP="00C031C9">
      <w:pPr>
        <w:pStyle w:val="Heading5"/>
      </w:pPr>
      <w:r w:rsidRPr="00C031C9">
        <w:t>Statistical methods</w:t>
      </w:r>
    </w:p>
    <w:p w:rsidR="00CD7E26" w:rsidRDefault="00CD7E26" w:rsidP="00CD7E26">
      <w:pPr>
        <w:rPr>
          <w:lang w:eastAsia="ja-JP"/>
        </w:rPr>
      </w:pPr>
      <w:r>
        <w:rPr>
          <w:lang w:eastAsia="ja-JP"/>
        </w:rPr>
        <w:t xml:space="preserve">Hypothesis testing between the two treatment arms will be performed using the stratified </w:t>
      </w:r>
      <w:proofErr w:type="spellStart"/>
      <w:r>
        <w:rPr>
          <w:lang w:eastAsia="ja-JP"/>
        </w:rPr>
        <w:t>logrank</w:t>
      </w:r>
      <w:proofErr w:type="spellEnd"/>
      <w:r>
        <w:rPr>
          <w:lang w:eastAsia="ja-JP"/>
        </w:rPr>
        <w:t xml:space="preserve"> test with a 2-sided 0.05 level of significance.</w:t>
      </w:r>
    </w:p>
    <w:p w:rsidR="00CD7E26" w:rsidRDefault="00CD7E26" w:rsidP="00CD7E26">
      <w:pPr>
        <w:rPr>
          <w:lang w:eastAsia="ja-JP"/>
        </w:rPr>
      </w:pPr>
      <w:r>
        <w:rPr>
          <w:lang w:eastAsia="ja-JP"/>
        </w:rPr>
        <w:lastRenderedPageBreak/>
        <w:t>The median duration of PFS and the associated 95% confidence interval for each treatment arm were estimated using the Kaplan-Meier method. The hazard ratio (HR) was estimate</w:t>
      </w:r>
      <w:r w:rsidR="00E024DC">
        <w:rPr>
          <w:lang w:eastAsia="ja-JP"/>
        </w:rPr>
        <w:t>d using a Cox regression model.</w:t>
      </w:r>
    </w:p>
    <w:p w:rsidR="00CD7E26" w:rsidRDefault="00CD7E26" w:rsidP="00CD7E26">
      <w:pPr>
        <w:rPr>
          <w:lang w:eastAsia="ja-JP"/>
        </w:rPr>
      </w:pPr>
      <w:r>
        <w:rPr>
          <w:lang w:eastAsia="ja-JP"/>
        </w:rPr>
        <w:t xml:space="preserve">The analysis was stratified according to the factors for randomisation. An analysis of </w:t>
      </w:r>
      <w:proofErr w:type="spellStart"/>
      <w:r>
        <w:rPr>
          <w:lang w:eastAsia="ja-JP"/>
        </w:rPr>
        <w:t>unstratified</w:t>
      </w:r>
      <w:proofErr w:type="spellEnd"/>
      <w:r>
        <w:rPr>
          <w:lang w:eastAsia="ja-JP"/>
        </w:rPr>
        <w:t xml:space="preserve"> results was also provided.</w:t>
      </w:r>
    </w:p>
    <w:p w:rsidR="00CD7E26" w:rsidRDefault="00CD7E26" w:rsidP="00CD7E26">
      <w:pPr>
        <w:rPr>
          <w:lang w:eastAsia="ja-JP"/>
        </w:rPr>
      </w:pPr>
      <w:r>
        <w:rPr>
          <w:lang w:eastAsia="ja-JP"/>
        </w:rPr>
        <w:t>The primary analysis of OS was event-based and will be conducted after study enrolment is complete and at least 408 deaths have been observed in the study. For subjects who are alive at the time of data cut-off or are permanently lost to follow-up, duration of OS will be right censored at the earlier of the data cut-off date or the date the subject was last known to be alive.</w:t>
      </w:r>
    </w:p>
    <w:p w:rsidR="00CD7E26" w:rsidRDefault="00CD7E26" w:rsidP="00CD7E26">
      <w:pPr>
        <w:rPr>
          <w:lang w:eastAsia="ja-JP"/>
        </w:rPr>
      </w:pPr>
      <w:r>
        <w:rPr>
          <w:lang w:eastAsia="ja-JP"/>
        </w:rPr>
        <w:t>Statistical methods for the primary, supportive, and exploratory analyses of OS will be applied as described for the primary endpoint of PFS.</w:t>
      </w:r>
    </w:p>
    <w:p w:rsidR="00CD7E26" w:rsidRDefault="00CD7E26" w:rsidP="00CD7E26">
      <w:pPr>
        <w:rPr>
          <w:lang w:eastAsia="ja-JP"/>
        </w:rPr>
      </w:pPr>
      <w:r>
        <w:rPr>
          <w:lang w:eastAsia="ja-JP"/>
        </w:rPr>
        <w:t xml:space="preserve">An interim analysis of OS was performed at the time of the primary analysis of PFS using the entire ITT population available at that time. It was anticipated that it would occur at approximately the 33% information fraction for OS (that is, after approximately </w:t>
      </w:r>
      <w:r w:rsidR="00E024DC">
        <w:rPr>
          <w:lang w:eastAsia="ja-JP"/>
        </w:rPr>
        <w:t>135 deaths have been observed).</w:t>
      </w:r>
    </w:p>
    <w:p w:rsidR="00CD7E26" w:rsidRDefault="00CD7E26" w:rsidP="00CD7E26">
      <w:pPr>
        <w:rPr>
          <w:lang w:eastAsia="ja-JP"/>
        </w:rPr>
      </w:pPr>
      <w:r>
        <w:rPr>
          <w:lang w:eastAsia="ja-JP"/>
        </w:rPr>
        <w:t>Type I error for the interim analysis will be controlled by a Lan-</w:t>
      </w:r>
      <w:proofErr w:type="spellStart"/>
      <w:r>
        <w:rPr>
          <w:lang w:eastAsia="ja-JP"/>
        </w:rPr>
        <w:t>DeMets</w:t>
      </w:r>
      <w:proofErr w:type="spellEnd"/>
      <w:r>
        <w:rPr>
          <w:lang w:eastAsia="ja-JP"/>
        </w:rPr>
        <w:t xml:space="preserve"> O’Brien-Fleming alpha spending function; the critical value being 0.0019.</w:t>
      </w:r>
    </w:p>
    <w:p w:rsidR="00CD7E26" w:rsidRDefault="00CD7E26" w:rsidP="00CD7E26">
      <w:pPr>
        <w:rPr>
          <w:lang w:eastAsia="ja-JP"/>
        </w:rPr>
      </w:pPr>
      <w:r>
        <w:rPr>
          <w:lang w:eastAsia="ja-JP"/>
        </w:rPr>
        <w:t>An amendment to the SAP is included for the additional unplanned interim analysis of OS data.</w:t>
      </w:r>
    </w:p>
    <w:p w:rsidR="00CD7E26" w:rsidRDefault="00CD7E26" w:rsidP="00CD7E26">
      <w:pPr>
        <w:pStyle w:val="Comment"/>
        <w:rPr>
          <w:lang w:eastAsia="ja-JP"/>
        </w:rPr>
      </w:pPr>
      <w:r w:rsidRPr="00954A08">
        <w:rPr>
          <w:b/>
        </w:rPr>
        <w:t>Comment</w:t>
      </w:r>
      <w:r w:rsidR="00E024DC">
        <w:rPr>
          <w:b/>
          <w:lang w:eastAsia="ja-JP"/>
        </w:rPr>
        <w:t>:</w:t>
      </w:r>
      <w:r w:rsidR="00E024DC">
        <w:rPr>
          <w:b/>
          <w:lang w:eastAsia="ja-JP"/>
        </w:rPr>
        <w:tab/>
      </w:r>
      <w:r>
        <w:rPr>
          <w:lang w:eastAsia="ja-JP"/>
        </w:rPr>
        <w:t xml:space="preserve">The statistical methods are accepted methods for a study evaluating PFS and OS. The alpha setting function (for OS) was determined for a single interim analysis; it is not known what effect, if any, the unplanned interim analysis would have on the predetermined significance level. </w:t>
      </w:r>
      <w:bookmarkStart w:id="268" w:name="_Hlk480715730"/>
      <w:r>
        <w:rPr>
          <w:lang w:eastAsia="ja-JP"/>
        </w:rPr>
        <w:t>The sponsor should clarify the effect of the unplanned interim analysis on the predetermined level of significance required for the final analysis of OS.</w:t>
      </w:r>
    </w:p>
    <w:bookmarkEnd w:id="268"/>
    <w:p w:rsidR="00CD7E26" w:rsidRPr="00C031C9" w:rsidRDefault="00CD7E26" w:rsidP="00C031C9">
      <w:pPr>
        <w:pStyle w:val="Heading5"/>
      </w:pPr>
      <w:r w:rsidRPr="00C031C9">
        <w:lastRenderedPageBreak/>
        <w:t xml:space="preserve">Participant flow </w:t>
      </w:r>
    </w:p>
    <w:p w:rsidR="00CD7E26" w:rsidRDefault="00CD7E26" w:rsidP="00447B66">
      <w:pPr>
        <w:pStyle w:val="FigureTitle"/>
      </w:pPr>
      <w:bookmarkStart w:id="269" w:name="_Ref478904845"/>
      <w:bookmarkStart w:id="270" w:name="_Toc494205994"/>
      <w:r>
        <w:t xml:space="preserve">Figure </w:t>
      </w:r>
      <w:bookmarkEnd w:id="269"/>
      <w:r w:rsidR="00447B66">
        <w:t>2</w:t>
      </w:r>
      <w:r>
        <w:t>: Subject Disposition ITT Population</w:t>
      </w:r>
      <w:bookmarkEnd w:id="270"/>
    </w:p>
    <w:p w:rsidR="00CD7E26" w:rsidRDefault="00CD7E26" w:rsidP="00CD7E26">
      <w:pPr>
        <w:rPr>
          <w:lang w:eastAsia="ja-JP"/>
        </w:rPr>
      </w:pPr>
      <w:r w:rsidRPr="00B85606">
        <w:rPr>
          <w:noProof/>
          <w:lang w:eastAsia="en-AU"/>
        </w:rPr>
        <w:drawing>
          <wp:inline distT="0" distB="0" distL="0" distR="0" wp14:anchorId="62F41230" wp14:editId="486A9CD8">
            <wp:extent cx="3868520" cy="3781587"/>
            <wp:effectExtent l="0" t="0" r="0" b="9525"/>
            <wp:docPr id="5" name="Picture 5" descr="Figure 2: Subject Disposition ITT Population&#10;&#10;Subject Disposition ITT Population.&#10;The main reasons for discontinuation were disease progression (158 everolimus versus 122 cabozantinib) adverse events (31 everolimus versus 32 cabozantinib). There was a higher rate of death in the everolimus arm compared to the cabozantinib arm (39% versu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t="1340" b="1554"/>
                    <a:stretch/>
                  </pic:blipFill>
                  <pic:spPr bwMode="auto">
                    <a:xfrm>
                      <a:off x="0" y="0"/>
                      <a:ext cx="3867032" cy="3780133"/>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447B66">
      <w:pPr>
        <w:pStyle w:val="FigureTitle"/>
      </w:pPr>
      <w:bookmarkStart w:id="271" w:name="_Toc494205995"/>
      <w:r>
        <w:t xml:space="preserve">Figure </w:t>
      </w:r>
      <w:r w:rsidR="00447B66">
        <w:t>3</w:t>
      </w:r>
      <w:r>
        <w:t>: Subject Disposition PITT Population</w:t>
      </w:r>
      <w:bookmarkEnd w:id="271"/>
    </w:p>
    <w:p w:rsidR="00CD7E26" w:rsidRPr="00B85606" w:rsidRDefault="00CD7E26" w:rsidP="00CD7E26">
      <w:r w:rsidRPr="00B85606">
        <w:rPr>
          <w:noProof/>
          <w:lang w:eastAsia="en-AU"/>
        </w:rPr>
        <w:drawing>
          <wp:inline distT="0" distB="0" distL="0" distR="0" wp14:anchorId="3D0FE967" wp14:editId="2679F394">
            <wp:extent cx="3758339" cy="3459173"/>
            <wp:effectExtent l="0" t="0" r="0" b="8255"/>
            <wp:docPr id="6" name="Picture 6" descr="Figure 3: Subject Disposition PITT Population&#10;&#10;Subject Disposition PITT Population. The main reasons for discontinuation were disease progression (158 everolimus versus 122 cabozantinib) adverse events (31 everolimus versus 32 cabozantinib). There was a higher rate of death in the everolimus arm compared to the cabozantinib arm (39% versu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lum bright="-20000" contrast="40000"/>
                      <a:extLst>
                        <a:ext uri="{28A0092B-C50C-407E-A947-70E740481C1C}">
                          <a14:useLocalDpi xmlns:a14="http://schemas.microsoft.com/office/drawing/2010/main" val="0"/>
                        </a:ext>
                      </a:extLst>
                    </a:blip>
                    <a:srcRect l="5905" t="5801"/>
                    <a:stretch/>
                  </pic:blipFill>
                  <pic:spPr bwMode="auto">
                    <a:xfrm>
                      <a:off x="0" y="0"/>
                      <a:ext cx="3763975" cy="3464360"/>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pStyle w:val="Tabletitle"/>
      </w:pPr>
      <w:bookmarkStart w:id="272" w:name="_Toc494205924"/>
      <w:r>
        <w:lastRenderedPageBreak/>
        <w:t xml:space="preserve">Table </w:t>
      </w:r>
      <w:r w:rsidR="008463CC">
        <w:t>10</w:t>
      </w:r>
      <w:r>
        <w:t>: Subject Disposition Safety and PITT Safety Populations</w:t>
      </w:r>
      <w:bookmarkEnd w:id="272"/>
    </w:p>
    <w:p w:rsidR="00CD7E26" w:rsidRDefault="00CD7E26" w:rsidP="00CD7E26">
      <w:pPr>
        <w:pStyle w:val="Comment"/>
      </w:pPr>
      <w:r w:rsidRPr="006F627D">
        <w:rPr>
          <w:noProof/>
          <w:lang w:eastAsia="en-AU"/>
        </w:rPr>
        <w:drawing>
          <wp:inline distT="0" distB="0" distL="0" distR="0" wp14:anchorId="2F824278" wp14:editId="333CB6EF">
            <wp:extent cx="4631475" cy="4257675"/>
            <wp:effectExtent l="0" t="0" r="0" b="0"/>
            <wp:docPr id="8" name="Picture 8" descr="Table 10: Subject Disposition Safety and PITT Safe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lum bright="-20000" contrast="40000"/>
                      <a:extLst>
                        <a:ext uri="{28A0092B-C50C-407E-A947-70E740481C1C}">
                          <a14:useLocalDpi xmlns:a14="http://schemas.microsoft.com/office/drawing/2010/main" val="0"/>
                        </a:ext>
                      </a:extLst>
                    </a:blip>
                    <a:srcRect b="1008"/>
                    <a:stretch/>
                  </pic:blipFill>
                  <pic:spPr bwMode="auto">
                    <a:xfrm>
                      <a:off x="0" y="0"/>
                      <a:ext cx="4632228" cy="4258367"/>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pStyle w:val="Comment"/>
      </w:pPr>
      <w:r w:rsidRPr="00F65F57">
        <w:rPr>
          <w:b/>
        </w:rPr>
        <w:t>Comment</w:t>
      </w:r>
      <w:r>
        <w:rPr>
          <w:b/>
        </w:rPr>
        <w:t>:</w:t>
      </w:r>
      <w:r w:rsidR="00E024DC">
        <w:rPr>
          <w:b/>
        </w:rPr>
        <w:tab/>
      </w:r>
      <w:r>
        <w:t xml:space="preserve">As of the data cut-off date (22 May 2015). There was a lower rate of discontinuation in subjects randomised to the </w:t>
      </w:r>
      <w:proofErr w:type="spellStart"/>
      <w:r>
        <w:t>cabozantinib</w:t>
      </w:r>
      <w:proofErr w:type="spellEnd"/>
      <w:r>
        <w:t xml:space="preserve"> arm compared to those randomised to </w:t>
      </w:r>
      <w:proofErr w:type="spellStart"/>
      <w:r>
        <w:t>everolimus</w:t>
      </w:r>
      <w:proofErr w:type="spellEnd"/>
      <w:r>
        <w:t xml:space="preserve"> treatment. The main reasons for discontinuation were disease progression (158 </w:t>
      </w:r>
      <w:proofErr w:type="spellStart"/>
      <w:r>
        <w:t>everolimus</w:t>
      </w:r>
      <w:proofErr w:type="spellEnd"/>
      <w:r>
        <w:t xml:space="preserve"> versus 122 </w:t>
      </w:r>
      <w:proofErr w:type="spellStart"/>
      <w:r>
        <w:t>cabozantinib</w:t>
      </w:r>
      <w:proofErr w:type="spellEnd"/>
      <w:r>
        <w:t xml:space="preserve">) adverse events (31 </w:t>
      </w:r>
      <w:proofErr w:type="spellStart"/>
      <w:r>
        <w:t>everolimus</w:t>
      </w:r>
      <w:proofErr w:type="spellEnd"/>
      <w:r>
        <w:t xml:space="preserve"> versus 32 </w:t>
      </w:r>
      <w:proofErr w:type="spellStart"/>
      <w:r>
        <w:t>cabozantinib</w:t>
      </w:r>
      <w:proofErr w:type="spellEnd"/>
      <w:r>
        <w:t xml:space="preserve">). There was a higher rate of death in the </w:t>
      </w:r>
      <w:proofErr w:type="spellStart"/>
      <w:r>
        <w:t>everolimus</w:t>
      </w:r>
      <w:proofErr w:type="spellEnd"/>
      <w:r>
        <w:t xml:space="preserve"> arm compared to the </w:t>
      </w:r>
      <w:proofErr w:type="spellStart"/>
      <w:r>
        <w:t>cabozantinib</w:t>
      </w:r>
      <w:proofErr w:type="spellEnd"/>
      <w:r>
        <w:t xml:space="preserve"> arm (39% versus 34%).</w:t>
      </w:r>
    </w:p>
    <w:p w:rsidR="00CD7E26" w:rsidRPr="00C031C9" w:rsidRDefault="00CD7E26" w:rsidP="00C031C9">
      <w:pPr>
        <w:pStyle w:val="Heading5"/>
      </w:pPr>
      <w:r w:rsidRPr="00C031C9">
        <w:t>Major protocol violations/deviations</w:t>
      </w:r>
    </w:p>
    <w:p w:rsidR="00CD7E26" w:rsidRDefault="00CD7E26" w:rsidP="00CD7E26">
      <w:r>
        <w:t>Important protocol deviations are summarised below:</w:t>
      </w:r>
    </w:p>
    <w:p w:rsidR="00CD7E26" w:rsidRDefault="00CD7E26" w:rsidP="00CD7E26">
      <w:pPr>
        <w:pStyle w:val="Tabletitle"/>
      </w:pPr>
      <w:bookmarkStart w:id="273" w:name="_Toc494205925"/>
      <w:r>
        <w:t>Table</w:t>
      </w:r>
      <w:r w:rsidR="008463CC">
        <w:t xml:space="preserve"> 11</w:t>
      </w:r>
      <w:r>
        <w:t>: Important Protocol Deviations</w:t>
      </w:r>
      <w:bookmarkEnd w:id="273"/>
    </w:p>
    <w:p w:rsidR="00CD7E26" w:rsidRPr="00B85606" w:rsidRDefault="00CD7E26" w:rsidP="00CD7E26">
      <w:r w:rsidRPr="00B85606">
        <w:rPr>
          <w:noProof/>
          <w:lang w:eastAsia="en-AU"/>
        </w:rPr>
        <w:drawing>
          <wp:inline distT="0" distB="0" distL="0" distR="0" wp14:anchorId="3B42B149" wp14:editId="08981BC8">
            <wp:extent cx="5044968" cy="2250960"/>
            <wp:effectExtent l="0" t="0" r="3810" b="0"/>
            <wp:docPr id="7" name="Picture 7" descr="Table 11: Important Protocol Dev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054022" cy="2255000"/>
                    </a:xfrm>
                    <a:prstGeom prst="rect">
                      <a:avLst/>
                    </a:prstGeom>
                    <a:noFill/>
                    <a:ln>
                      <a:noFill/>
                    </a:ln>
                  </pic:spPr>
                </pic:pic>
              </a:graphicData>
            </a:graphic>
          </wp:inline>
        </w:drawing>
      </w:r>
    </w:p>
    <w:p w:rsidR="00CD7E26" w:rsidRDefault="00CD7E26" w:rsidP="00CD7E26">
      <w:pPr>
        <w:pStyle w:val="Comment"/>
        <w:rPr>
          <w:lang w:eastAsia="ja-JP"/>
        </w:rPr>
      </w:pPr>
      <w:r w:rsidRPr="00F65F57">
        <w:rPr>
          <w:b/>
        </w:rPr>
        <w:lastRenderedPageBreak/>
        <w:t>Comment</w:t>
      </w:r>
      <w:r w:rsidR="00E024DC">
        <w:rPr>
          <w:b/>
          <w:lang w:eastAsia="ja-JP"/>
        </w:rPr>
        <w:t>:</w:t>
      </w:r>
      <w:r w:rsidR="00E024DC">
        <w:rPr>
          <w:b/>
          <w:lang w:eastAsia="ja-JP"/>
        </w:rPr>
        <w:tab/>
      </w:r>
      <w:r w:rsidRPr="0029341E">
        <w:rPr>
          <w:lang w:eastAsia="ja-JP"/>
        </w:rPr>
        <w:t>Protocol</w:t>
      </w:r>
      <w:r>
        <w:rPr>
          <w:lang w:eastAsia="ja-JP"/>
        </w:rPr>
        <w:t xml:space="preserve"> deviations were balanced across the treatment arms and were unlikely to influence the overall results of the study.</w:t>
      </w:r>
    </w:p>
    <w:p w:rsidR="00CD7E26" w:rsidRPr="00C031C9" w:rsidRDefault="00CD7E26" w:rsidP="00C031C9">
      <w:pPr>
        <w:pStyle w:val="Heading5"/>
      </w:pPr>
      <w:r w:rsidRPr="00C031C9">
        <w:t>Baseline data</w:t>
      </w:r>
    </w:p>
    <w:p w:rsidR="00CD7E26" w:rsidRPr="00F65F57" w:rsidRDefault="00CD7E26" w:rsidP="00CD7E26">
      <w:pPr>
        <w:pStyle w:val="Tabletitle"/>
      </w:pPr>
      <w:r>
        <w:t>Table 12: Baseline data</w:t>
      </w:r>
    </w:p>
    <w:p w:rsidR="00CD7E26" w:rsidRDefault="00CD7E26" w:rsidP="00CD7E26">
      <w:pPr>
        <w:rPr>
          <w:lang w:eastAsia="ja-JP"/>
        </w:rPr>
      </w:pPr>
      <w:r w:rsidRPr="0093347B">
        <w:rPr>
          <w:noProof/>
          <w:lang w:eastAsia="en-AU"/>
        </w:rPr>
        <w:drawing>
          <wp:inline distT="0" distB="0" distL="0" distR="0" wp14:anchorId="4E6E8E77" wp14:editId="025C37A9">
            <wp:extent cx="5731510" cy="7774372"/>
            <wp:effectExtent l="0" t="0" r="2540" b="0"/>
            <wp:docPr id="9" name="Picture 9" descr="Table 12: Baselin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5731510" cy="7774372"/>
                    </a:xfrm>
                    <a:prstGeom prst="rect">
                      <a:avLst/>
                    </a:prstGeom>
                    <a:noFill/>
                    <a:ln>
                      <a:noFill/>
                    </a:ln>
                  </pic:spPr>
                </pic:pic>
              </a:graphicData>
            </a:graphic>
          </wp:inline>
        </w:drawing>
      </w:r>
    </w:p>
    <w:p w:rsidR="00CD7E26" w:rsidRPr="00F65F57" w:rsidRDefault="00CD7E26" w:rsidP="00CD7E26">
      <w:pPr>
        <w:pStyle w:val="Tabletitle"/>
      </w:pPr>
      <w:r>
        <w:lastRenderedPageBreak/>
        <w:t>Table 12 continued: Baseline data</w:t>
      </w:r>
    </w:p>
    <w:p w:rsidR="00CD7E26" w:rsidRDefault="00CD7E26" w:rsidP="00CD7E26">
      <w:pPr>
        <w:rPr>
          <w:lang w:eastAsia="ja-JP"/>
        </w:rPr>
      </w:pPr>
      <w:r w:rsidRPr="0093347B">
        <w:rPr>
          <w:noProof/>
          <w:lang w:eastAsia="en-AU"/>
        </w:rPr>
        <w:drawing>
          <wp:inline distT="0" distB="0" distL="0" distR="0" wp14:anchorId="26D00C5D" wp14:editId="16770795">
            <wp:extent cx="5731510" cy="5281083"/>
            <wp:effectExtent l="0" t="0" r="2540" b="0"/>
            <wp:docPr id="10" name="Picture 10" descr="Table 12 continued: Baselin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5731510" cy="5281083"/>
                    </a:xfrm>
                    <a:prstGeom prst="rect">
                      <a:avLst/>
                    </a:prstGeom>
                    <a:noFill/>
                    <a:ln>
                      <a:noFill/>
                    </a:ln>
                  </pic:spPr>
                </pic:pic>
              </a:graphicData>
            </a:graphic>
          </wp:inline>
        </w:drawing>
      </w:r>
    </w:p>
    <w:p w:rsidR="00CD7E26" w:rsidRDefault="00CD7E26" w:rsidP="00CD7E26">
      <w:pPr>
        <w:pStyle w:val="Comment"/>
        <w:rPr>
          <w:lang w:eastAsia="ja-JP"/>
        </w:rPr>
      </w:pPr>
      <w:r>
        <w:rPr>
          <w:b/>
          <w:lang w:eastAsia="ja-JP"/>
        </w:rPr>
        <w:t>Comment:</w:t>
      </w:r>
      <w:r w:rsidR="00E024DC">
        <w:rPr>
          <w:b/>
          <w:lang w:eastAsia="ja-JP"/>
        </w:rPr>
        <w:tab/>
      </w:r>
      <w:r>
        <w:rPr>
          <w:lang w:eastAsia="ja-JP"/>
        </w:rPr>
        <w:t xml:space="preserve">The baseline characteristics were generally well balanced between treatment arms. A greater proportion of patients in the </w:t>
      </w:r>
      <w:proofErr w:type="spellStart"/>
      <w:r>
        <w:rPr>
          <w:lang w:eastAsia="ja-JP"/>
        </w:rPr>
        <w:t>everolimus</w:t>
      </w:r>
      <w:proofErr w:type="spellEnd"/>
      <w:r>
        <w:rPr>
          <w:lang w:eastAsia="ja-JP"/>
        </w:rPr>
        <w:t xml:space="preserve"> arm had stage IV disease compared to the </w:t>
      </w:r>
      <w:proofErr w:type="spellStart"/>
      <w:r>
        <w:rPr>
          <w:lang w:eastAsia="ja-JP"/>
        </w:rPr>
        <w:t>cabozantinib</w:t>
      </w:r>
      <w:proofErr w:type="spellEnd"/>
      <w:r>
        <w:rPr>
          <w:lang w:eastAsia="ja-JP"/>
        </w:rPr>
        <w:t xml:space="preserve"> arm (88% versus 82%). Most patients had received </w:t>
      </w:r>
      <w:proofErr w:type="spellStart"/>
      <w:r>
        <w:rPr>
          <w:lang w:eastAsia="ja-JP"/>
        </w:rPr>
        <w:t>sunitinib</w:t>
      </w:r>
      <w:proofErr w:type="spellEnd"/>
      <w:r>
        <w:rPr>
          <w:lang w:eastAsia="ja-JP"/>
        </w:rPr>
        <w:t xml:space="preserve"> as a prior V</w:t>
      </w:r>
      <w:r w:rsidR="00E024DC">
        <w:rPr>
          <w:lang w:eastAsia="ja-JP"/>
        </w:rPr>
        <w:t>EGFR-TKI therapy (approx. 60%).</w:t>
      </w:r>
    </w:p>
    <w:p w:rsidR="00CD7E26" w:rsidRPr="00C031C9" w:rsidRDefault="00CD7E26" w:rsidP="00C031C9">
      <w:pPr>
        <w:pStyle w:val="Heading5"/>
      </w:pPr>
      <w:r w:rsidRPr="00C031C9">
        <w:lastRenderedPageBreak/>
        <w:t>Results for the primary efficacy outcome: Progression Free Survival</w:t>
      </w:r>
    </w:p>
    <w:p w:rsidR="00CD7E26" w:rsidRDefault="00CD7E26" w:rsidP="00447B66">
      <w:pPr>
        <w:pStyle w:val="FigureTitle"/>
      </w:pPr>
      <w:bookmarkStart w:id="274" w:name="_Toc494205996"/>
      <w:r>
        <w:t xml:space="preserve">Figure </w:t>
      </w:r>
      <w:r w:rsidR="00447B66">
        <w:t>4</w:t>
      </w:r>
      <w:r>
        <w:t xml:space="preserve">: </w:t>
      </w:r>
      <w:r w:rsidRPr="00532D73">
        <w:t xml:space="preserve">Kaplan-Meier Plot of Progression-Free Survival </w:t>
      </w:r>
      <w:r>
        <w:t>as determined by</w:t>
      </w:r>
      <w:r w:rsidRPr="00532D73">
        <w:t xml:space="preserve"> IRC through the 22nd May 2015 Cut-Off Date (PITT Population)</w:t>
      </w:r>
      <w:bookmarkEnd w:id="274"/>
    </w:p>
    <w:p w:rsidR="00CD7E26" w:rsidRDefault="00CD7E26" w:rsidP="00CD7E26">
      <w:pPr>
        <w:rPr>
          <w:lang w:eastAsia="ja-JP"/>
        </w:rPr>
      </w:pPr>
      <w:r w:rsidRPr="006D0181">
        <w:rPr>
          <w:noProof/>
          <w:lang w:eastAsia="en-AU"/>
        </w:rPr>
        <w:drawing>
          <wp:inline distT="0" distB="0" distL="0" distR="0" wp14:anchorId="6F6AA7A8" wp14:editId="69AED1A3">
            <wp:extent cx="5731510" cy="2984102"/>
            <wp:effectExtent l="0" t="0" r="2540" b="6985"/>
            <wp:docPr id="11" name="Picture 11" descr="Kaplan-Meier Plot of Progression-Free Survival as determined by IRC through the 22nd May 2015 Cut-Off Date (P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5731510" cy="2984102"/>
                    </a:xfrm>
                    <a:prstGeom prst="rect">
                      <a:avLst/>
                    </a:prstGeom>
                    <a:noFill/>
                    <a:ln>
                      <a:noFill/>
                    </a:ln>
                  </pic:spPr>
                </pic:pic>
              </a:graphicData>
            </a:graphic>
          </wp:inline>
        </w:drawing>
      </w:r>
    </w:p>
    <w:p w:rsidR="00CD7E26" w:rsidRDefault="00CD7E26" w:rsidP="00CD7E26">
      <w:pPr>
        <w:rPr>
          <w:lang w:eastAsia="ja-JP"/>
        </w:rPr>
      </w:pPr>
      <w:r>
        <w:rPr>
          <w:lang w:eastAsia="ja-JP"/>
        </w:rPr>
        <w:t xml:space="preserve">The results of the analysis demonstrated a statistically significant improvement in PFS for subjects in the </w:t>
      </w:r>
      <w:proofErr w:type="spellStart"/>
      <w:r>
        <w:rPr>
          <w:lang w:eastAsia="ja-JP"/>
        </w:rPr>
        <w:t>cabozantinib</w:t>
      </w:r>
      <w:proofErr w:type="spellEnd"/>
      <w:r>
        <w:rPr>
          <w:lang w:eastAsia="ja-JP"/>
        </w:rPr>
        <w:t xml:space="preserve"> arm compared with the </w:t>
      </w:r>
      <w:proofErr w:type="spellStart"/>
      <w:r>
        <w:rPr>
          <w:lang w:eastAsia="ja-JP"/>
        </w:rPr>
        <w:t>everolimus</w:t>
      </w:r>
      <w:proofErr w:type="spellEnd"/>
      <w:r>
        <w:rPr>
          <w:lang w:eastAsia="ja-JP"/>
        </w:rPr>
        <w:t xml:space="preserve"> arm. The HR adjusted for stratification factors was 0.59 (95% CI: 0.46, 0.76; stratified log-rank p-value &lt; 0.001). The Kaplan-Meier estimates for median duration of PFS were 7.4-months in the </w:t>
      </w:r>
      <w:proofErr w:type="spellStart"/>
      <w:r>
        <w:rPr>
          <w:lang w:eastAsia="ja-JP"/>
        </w:rPr>
        <w:t>cabozantinib</w:t>
      </w:r>
      <w:proofErr w:type="spellEnd"/>
      <w:r>
        <w:rPr>
          <w:lang w:eastAsia="ja-JP"/>
        </w:rPr>
        <w:t xml:space="preserve"> arm versus 3.8-months in the </w:t>
      </w:r>
      <w:proofErr w:type="spellStart"/>
      <w:r>
        <w:rPr>
          <w:lang w:eastAsia="ja-JP"/>
        </w:rPr>
        <w:t>everolimus</w:t>
      </w:r>
      <w:proofErr w:type="spellEnd"/>
      <w:r>
        <w:rPr>
          <w:lang w:eastAsia="ja-JP"/>
        </w:rPr>
        <w:t xml:space="preserve"> arm, an estimated 3.6-month difference in the medians.</w:t>
      </w:r>
    </w:p>
    <w:p w:rsidR="00CD7E26" w:rsidRDefault="00CD7E26" w:rsidP="000756FA">
      <w:pPr>
        <w:pStyle w:val="Tabletitle"/>
      </w:pPr>
      <w:bookmarkStart w:id="275" w:name="_Toc494205926"/>
      <w:r>
        <w:lastRenderedPageBreak/>
        <w:t xml:space="preserve">Table </w:t>
      </w:r>
      <w:r w:rsidR="000756FA">
        <w:t>13</w:t>
      </w:r>
      <w:r>
        <w:t xml:space="preserve">: Progression-Free Survival through the 22 May 2015 Cut-off Date as determined by the IRC (PITT Population) Stratified versus </w:t>
      </w:r>
      <w:proofErr w:type="spellStart"/>
      <w:r>
        <w:t>Unstratified</w:t>
      </w:r>
      <w:proofErr w:type="spellEnd"/>
      <w:r>
        <w:t xml:space="preserve"> analysis</w:t>
      </w:r>
      <w:bookmarkEnd w:id="275"/>
    </w:p>
    <w:p w:rsidR="00CD7E26" w:rsidRDefault="00CD7E26" w:rsidP="00CD7E26">
      <w:pPr>
        <w:rPr>
          <w:lang w:eastAsia="ja-JP"/>
        </w:rPr>
      </w:pPr>
      <w:r w:rsidRPr="00627990">
        <w:rPr>
          <w:noProof/>
          <w:lang w:eastAsia="en-AU"/>
        </w:rPr>
        <w:drawing>
          <wp:inline distT="0" distB="0" distL="0" distR="0" wp14:anchorId="72AD52EC" wp14:editId="7E531979">
            <wp:extent cx="5731510" cy="6119388"/>
            <wp:effectExtent l="0" t="0" r="2540" b="0"/>
            <wp:docPr id="12" name="Picture 12" descr="Table 13: Progression-Free Survival through the 22 May 2015 Cut-off Date as determined by the IRC (PITT Population) Stratified versus Unstratifi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5731510" cy="6119388"/>
                    </a:xfrm>
                    <a:prstGeom prst="rect">
                      <a:avLst/>
                    </a:prstGeom>
                    <a:noFill/>
                    <a:ln>
                      <a:noFill/>
                    </a:ln>
                  </pic:spPr>
                </pic:pic>
              </a:graphicData>
            </a:graphic>
          </wp:inline>
        </w:drawing>
      </w:r>
    </w:p>
    <w:p w:rsidR="00CD7E26" w:rsidRDefault="00CD7E26" w:rsidP="00CD7E26">
      <w:pPr>
        <w:rPr>
          <w:lang w:eastAsia="ja-JP"/>
        </w:rPr>
      </w:pPr>
      <w:r>
        <w:rPr>
          <w:lang w:eastAsia="ja-JP"/>
        </w:rPr>
        <w:t xml:space="preserve">The results for the primary endpoint were also evaluated for the ITT population: </w:t>
      </w:r>
    </w:p>
    <w:p w:rsidR="00CD7E26" w:rsidRDefault="00CD7E26" w:rsidP="00447B66">
      <w:pPr>
        <w:pStyle w:val="FigureTitle"/>
      </w:pPr>
      <w:bookmarkStart w:id="276" w:name="_Toc494205997"/>
      <w:r>
        <w:lastRenderedPageBreak/>
        <w:t xml:space="preserve">Figure </w:t>
      </w:r>
      <w:r w:rsidR="00447B66">
        <w:t>5</w:t>
      </w:r>
      <w:r>
        <w:t xml:space="preserve">: </w:t>
      </w:r>
      <w:r w:rsidRPr="002739A2">
        <w:t>Kaplan-Meier Plot of Progression-Free Survival as determined by IRC through the 22nd May 201</w:t>
      </w:r>
      <w:r>
        <w:t>5 Cut-Off Date (ITT Population)</w:t>
      </w:r>
      <w:bookmarkEnd w:id="276"/>
    </w:p>
    <w:p w:rsidR="00CD7E26" w:rsidRDefault="00CD7E26" w:rsidP="00CD7E26">
      <w:pPr>
        <w:rPr>
          <w:lang w:eastAsia="ja-JP"/>
        </w:rPr>
      </w:pPr>
      <w:r w:rsidRPr="00614294">
        <w:rPr>
          <w:noProof/>
          <w:lang w:eastAsia="en-AU"/>
        </w:rPr>
        <w:drawing>
          <wp:inline distT="0" distB="0" distL="0" distR="0" wp14:anchorId="55052CD1" wp14:editId="4295437D">
            <wp:extent cx="5133340" cy="2639060"/>
            <wp:effectExtent l="0" t="0" r="0" b="8890"/>
            <wp:docPr id="15" name="Picture 15" descr="Figure 5: Kaplan-Meier Plot of Progression-Free Survival as determined by IRC through the 22nd May 2015 Cut-Off Dat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5133340" cy="2639060"/>
                    </a:xfrm>
                    <a:prstGeom prst="rect">
                      <a:avLst/>
                    </a:prstGeom>
                    <a:noFill/>
                    <a:ln>
                      <a:noFill/>
                    </a:ln>
                  </pic:spPr>
                </pic:pic>
              </a:graphicData>
            </a:graphic>
          </wp:inline>
        </w:drawing>
      </w:r>
    </w:p>
    <w:p w:rsidR="00CD7E26" w:rsidRDefault="00CD7E26" w:rsidP="000756FA">
      <w:pPr>
        <w:pStyle w:val="Tabletitle"/>
      </w:pPr>
      <w:bookmarkStart w:id="277" w:name="_Toc494205998"/>
      <w:r>
        <w:t xml:space="preserve">Table 14: </w:t>
      </w:r>
      <w:r w:rsidRPr="00541B24">
        <w:t xml:space="preserve">Progression-Free Survival through the 22 May 2015 Cut-off </w:t>
      </w:r>
      <w:r>
        <w:t>Date as determined by the IRC (</w:t>
      </w:r>
      <w:r w:rsidRPr="00541B24">
        <w:t>ITT Population)</w:t>
      </w:r>
      <w:r>
        <w:t xml:space="preserve"> </w:t>
      </w:r>
      <w:r w:rsidRPr="00541B24">
        <w:t xml:space="preserve">Stratified versus </w:t>
      </w:r>
      <w:proofErr w:type="spellStart"/>
      <w:r w:rsidRPr="00541B24">
        <w:t>Unstratified</w:t>
      </w:r>
      <w:proofErr w:type="spellEnd"/>
      <w:r w:rsidRPr="00541B24">
        <w:t xml:space="preserve"> analysis</w:t>
      </w:r>
      <w:bookmarkEnd w:id="277"/>
    </w:p>
    <w:p w:rsidR="00CD7E26" w:rsidRDefault="00CD7E26" w:rsidP="00CD7E26">
      <w:pPr>
        <w:rPr>
          <w:lang w:eastAsia="ja-JP"/>
        </w:rPr>
      </w:pPr>
      <w:r w:rsidRPr="00614294">
        <w:rPr>
          <w:noProof/>
          <w:lang w:eastAsia="en-AU"/>
        </w:rPr>
        <w:drawing>
          <wp:inline distT="0" distB="0" distL="0" distR="0" wp14:anchorId="734AEC06" wp14:editId="1C4D8550">
            <wp:extent cx="4985426" cy="3781425"/>
            <wp:effectExtent l="0" t="0" r="5715" b="0"/>
            <wp:docPr id="16" name="Picture 16" descr="Table 14: Progression-Free Survival through the 22 May 2015 Cut-off Date as determined by the IRC (ITT Population) Stratified versus Unstratifi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4985426" cy="3781425"/>
                    </a:xfrm>
                    <a:prstGeom prst="rect">
                      <a:avLst/>
                    </a:prstGeom>
                    <a:noFill/>
                    <a:ln>
                      <a:noFill/>
                    </a:ln>
                  </pic:spPr>
                </pic:pic>
              </a:graphicData>
            </a:graphic>
          </wp:inline>
        </w:drawing>
      </w:r>
    </w:p>
    <w:p w:rsidR="00CD7E26" w:rsidRDefault="00CD7E26" w:rsidP="00CD7E26">
      <w:pPr>
        <w:rPr>
          <w:lang w:eastAsia="ja-JP"/>
        </w:rPr>
      </w:pPr>
      <w:r>
        <w:rPr>
          <w:lang w:eastAsia="ja-JP"/>
        </w:rPr>
        <w:t>Several pre-specified sensitivity analyses were undertaken that utilised differing definitions for PFS. The results are shown below:</w:t>
      </w:r>
    </w:p>
    <w:p w:rsidR="00CD7E26" w:rsidRDefault="00CD7E26" w:rsidP="000756FA">
      <w:pPr>
        <w:pStyle w:val="Tabletitle"/>
      </w:pPr>
      <w:bookmarkStart w:id="278" w:name="_Ref481081459"/>
      <w:bookmarkStart w:id="279" w:name="_Toc494205927"/>
      <w:r>
        <w:lastRenderedPageBreak/>
        <w:t xml:space="preserve">Table </w:t>
      </w:r>
      <w:r w:rsidR="000756FA">
        <w:t>15</w:t>
      </w:r>
      <w:r>
        <w:t>: Sensitivity Analyses of the PFS for the PITT Population</w:t>
      </w:r>
      <w:bookmarkEnd w:id="278"/>
      <w:bookmarkEnd w:id="279"/>
    </w:p>
    <w:p w:rsidR="00CD7E26" w:rsidRDefault="00CD7E26" w:rsidP="00CD7E26">
      <w:pPr>
        <w:rPr>
          <w:lang w:eastAsia="ja-JP"/>
        </w:rPr>
      </w:pPr>
      <w:r w:rsidRPr="00614294">
        <w:rPr>
          <w:noProof/>
          <w:lang w:eastAsia="en-AU"/>
        </w:rPr>
        <w:drawing>
          <wp:inline distT="0" distB="0" distL="0" distR="0" wp14:anchorId="65000D86" wp14:editId="4E13C81D">
            <wp:extent cx="5917438" cy="2695575"/>
            <wp:effectExtent l="0" t="0" r="7620" b="0"/>
            <wp:docPr id="14" name="Picture 14" descr="Table 15: Sensitivity Analyses of the PFS for the P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5919771" cy="2696638"/>
                    </a:xfrm>
                    <a:prstGeom prst="rect">
                      <a:avLst/>
                    </a:prstGeom>
                    <a:noFill/>
                    <a:ln>
                      <a:noFill/>
                    </a:ln>
                  </pic:spPr>
                </pic:pic>
              </a:graphicData>
            </a:graphic>
          </wp:inline>
        </w:drawing>
      </w:r>
    </w:p>
    <w:p w:rsidR="00CD7E26" w:rsidRDefault="00CD7E26" w:rsidP="00CD7E26">
      <w:pPr>
        <w:rPr>
          <w:lang w:eastAsia="ja-JP"/>
        </w:rPr>
      </w:pPr>
      <w:r>
        <w:rPr>
          <w:lang w:eastAsia="ja-JP"/>
        </w:rPr>
        <w:t>Further pre-specified analyses were undertaken for differing sensitivity schemes and are summarised below:</w:t>
      </w:r>
    </w:p>
    <w:p w:rsidR="00CD7E26" w:rsidRDefault="00CD7E26" w:rsidP="000756FA">
      <w:pPr>
        <w:pStyle w:val="Tabletitle"/>
        <w:rPr>
          <w:lang w:eastAsia="ja-JP"/>
        </w:rPr>
      </w:pPr>
      <w:bookmarkStart w:id="280" w:name="_Toc494205928"/>
      <w:r>
        <w:t xml:space="preserve">Table </w:t>
      </w:r>
      <w:r w:rsidR="000756FA">
        <w:t>16</w:t>
      </w:r>
      <w:r>
        <w:t>: Sensitivity Analyses of PFS to Evaluate Potentially Informative Censoring (PITT Population)</w:t>
      </w:r>
      <w:bookmarkEnd w:id="280"/>
    </w:p>
    <w:p w:rsidR="00CD7E26" w:rsidRDefault="00CD7E26" w:rsidP="00CD7E26">
      <w:pPr>
        <w:rPr>
          <w:lang w:eastAsia="ja-JP"/>
        </w:rPr>
      </w:pPr>
      <w:r w:rsidRPr="00614294">
        <w:rPr>
          <w:noProof/>
          <w:lang w:eastAsia="en-AU"/>
        </w:rPr>
        <w:drawing>
          <wp:inline distT="0" distB="0" distL="0" distR="0" wp14:anchorId="67F0D2BB" wp14:editId="1CD133BE">
            <wp:extent cx="5734050" cy="1697538"/>
            <wp:effectExtent l="0" t="0" r="0" b="0"/>
            <wp:docPr id="18" name="Picture 18" descr="Table 16: Sensitivity Analyses of PFS to Evaluate Potentially Informative Censoring (P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5738568" cy="1698876"/>
                    </a:xfrm>
                    <a:prstGeom prst="rect">
                      <a:avLst/>
                    </a:prstGeom>
                    <a:noFill/>
                    <a:ln>
                      <a:noFill/>
                    </a:ln>
                  </pic:spPr>
                </pic:pic>
              </a:graphicData>
            </a:graphic>
          </wp:inline>
        </w:drawing>
      </w:r>
    </w:p>
    <w:p w:rsidR="00CD7E26" w:rsidRDefault="00CD7E26" w:rsidP="00CD7E26">
      <w:pPr>
        <w:pStyle w:val="Comment"/>
        <w:rPr>
          <w:lang w:eastAsia="ja-JP"/>
        </w:rPr>
      </w:pPr>
      <w:r w:rsidRPr="00C031C9">
        <w:rPr>
          <w:b/>
        </w:rPr>
        <w:t>Comment</w:t>
      </w:r>
      <w:r w:rsidR="00F15862" w:rsidRPr="00C031C9">
        <w:rPr>
          <w:b/>
          <w:lang w:eastAsia="ja-JP"/>
        </w:rPr>
        <w:t>:</w:t>
      </w:r>
      <w:r w:rsidR="00F15862">
        <w:rPr>
          <w:lang w:eastAsia="ja-JP"/>
        </w:rPr>
        <w:tab/>
      </w:r>
      <w:r>
        <w:rPr>
          <w:lang w:eastAsia="ja-JP"/>
        </w:rPr>
        <w:t xml:space="preserve">A statistically significant difference between the treatment arms favouring </w:t>
      </w:r>
      <w:proofErr w:type="spellStart"/>
      <w:r>
        <w:rPr>
          <w:lang w:eastAsia="ja-JP"/>
        </w:rPr>
        <w:t>cabozantinib</w:t>
      </w:r>
      <w:proofErr w:type="spellEnd"/>
      <w:r>
        <w:rPr>
          <w:lang w:eastAsia="ja-JP"/>
        </w:rPr>
        <w:t xml:space="preserve"> was seen for the primary endpoint. </w:t>
      </w:r>
      <w:r w:rsidRPr="004B2AE4">
        <w:rPr>
          <w:lang w:eastAsia="ja-JP"/>
        </w:rPr>
        <w:t>The HR adjusted for stratification factors was 0.59</w:t>
      </w:r>
      <w:r>
        <w:rPr>
          <w:lang w:eastAsia="ja-JP"/>
        </w:rPr>
        <w:t xml:space="preserve">. </w:t>
      </w:r>
    </w:p>
    <w:p w:rsidR="00CD7E26" w:rsidRDefault="00CD7E26" w:rsidP="00CD7E26">
      <w:pPr>
        <w:rPr>
          <w:lang w:eastAsia="ja-JP"/>
        </w:rPr>
      </w:pPr>
      <w:r w:rsidRPr="00E65C0E">
        <w:rPr>
          <w:lang w:eastAsia="ja-JP"/>
        </w:rPr>
        <w:t>The Kaplan-Meier estimates for median duration of PFS were 7.4</w:t>
      </w:r>
      <w:r>
        <w:rPr>
          <w:lang w:eastAsia="ja-JP"/>
        </w:rPr>
        <w:t>-months</w:t>
      </w:r>
      <w:r w:rsidRPr="00E65C0E">
        <w:rPr>
          <w:lang w:eastAsia="ja-JP"/>
        </w:rPr>
        <w:t xml:space="preserve"> in the </w:t>
      </w:r>
      <w:proofErr w:type="spellStart"/>
      <w:r w:rsidRPr="00E65C0E">
        <w:rPr>
          <w:lang w:eastAsia="ja-JP"/>
        </w:rPr>
        <w:t>cabozantinib</w:t>
      </w:r>
      <w:proofErr w:type="spellEnd"/>
      <w:r w:rsidRPr="00E65C0E">
        <w:rPr>
          <w:lang w:eastAsia="ja-JP"/>
        </w:rPr>
        <w:t xml:space="preserve"> arm</w:t>
      </w:r>
      <w:r>
        <w:rPr>
          <w:lang w:eastAsia="ja-JP"/>
        </w:rPr>
        <w:t xml:space="preserve"> versus </w:t>
      </w:r>
      <w:r w:rsidRPr="00E65C0E">
        <w:rPr>
          <w:lang w:eastAsia="ja-JP"/>
        </w:rPr>
        <w:t>3.8</w:t>
      </w:r>
      <w:r>
        <w:rPr>
          <w:lang w:eastAsia="ja-JP"/>
        </w:rPr>
        <w:t>-months</w:t>
      </w:r>
      <w:r w:rsidRPr="00E65C0E">
        <w:rPr>
          <w:lang w:eastAsia="ja-JP"/>
        </w:rPr>
        <w:t xml:space="preserve"> in the </w:t>
      </w:r>
      <w:proofErr w:type="spellStart"/>
      <w:r w:rsidRPr="00E65C0E">
        <w:rPr>
          <w:lang w:eastAsia="ja-JP"/>
        </w:rPr>
        <w:t>everolimus</w:t>
      </w:r>
      <w:proofErr w:type="spellEnd"/>
      <w:r w:rsidRPr="00E65C0E">
        <w:rPr>
          <w:lang w:eastAsia="ja-JP"/>
        </w:rPr>
        <w:t xml:space="preserve"> arm, </w:t>
      </w:r>
      <w:r>
        <w:rPr>
          <w:lang w:eastAsia="ja-JP"/>
        </w:rPr>
        <w:t xml:space="preserve">a difference of </w:t>
      </w:r>
      <w:r w:rsidRPr="00E65C0E">
        <w:rPr>
          <w:lang w:eastAsia="ja-JP"/>
        </w:rPr>
        <w:t>3.6</w:t>
      </w:r>
      <w:r>
        <w:rPr>
          <w:lang w:eastAsia="ja-JP"/>
        </w:rPr>
        <w:t>-months</w:t>
      </w:r>
      <w:r w:rsidRPr="00E65C0E">
        <w:rPr>
          <w:lang w:eastAsia="ja-JP"/>
        </w:rPr>
        <w:t xml:space="preserve"> </w:t>
      </w:r>
      <w:r>
        <w:rPr>
          <w:lang w:eastAsia="ja-JP"/>
        </w:rPr>
        <w:t xml:space="preserve">favouring </w:t>
      </w:r>
      <w:proofErr w:type="spellStart"/>
      <w:r>
        <w:rPr>
          <w:lang w:eastAsia="ja-JP"/>
        </w:rPr>
        <w:t>cabozantinib</w:t>
      </w:r>
      <w:proofErr w:type="spellEnd"/>
      <w:r w:rsidRPr="00E65C0E">
        <w:rPr>
          <w:lang w:eastAsia="ja-JP"/>
        </w:rPr>
        <w:t>.</w:t>
      </w:r>
    </w:p>
    <w:p w:rsidR="00CD7E26" w:rsidRDefault="00CD7E26" w:rsidP="00CD7E26">
      <w:pPr>
        <w:pStyle w:val="Comment"/>
        <w:ind w:left="0" w:firstLine="0"/>
        <w:rPr>
          <w:lang w:eastAsia="ja-JP"/>
        </w:rPr>
      </w:pPr>
      <w:r>
        <w:rPr>
          <w:lang w:eastAsia="ja-JP"/>
        </w:rPr>
        <w:t xml:space="preserve">As of the </w:t>
      </w:r>
      <w:proofErr w:type="spellStart"/>
      <w:r>
        <w:rPr>
          <w:lang w:eastAsia="ja-JP"/>
        </w:rPr>
        <w:t>prespecified</w:t>
      </w:r>
      <w:proofErr w:type="spellEnd"/>
      <w:r>
        <w:rPr>
          <w:lang w:eastAsia="ja-JP"/>
        </w:rPr>
        <w:t xml:space="preserve"> data cut-off date only 247 out of the required 259 events had occurred in order to satisfy the statistical power calculation for the PITT population in order for the study to have 90% power to detect a </w:t>
      </w:r>
      <w:r w:rsidRPr="004B2AE4">
        <w:rPr>
          <w:lang w:eastAsia="ja-JP"/>
        </w:rPr>
        <w:t>to detect a HR of 0.667 using the log-rank test and a 2-sided significance level of 5%</w:t>
      </w:r>
      <w:r>
        <w:rPr>
          <w:lang w:eastAsia="ja-JP"/>
        </w:rPr>
        <w:t>. As the p value was &lt;0.001 the lower event rate is unlikely to have an impact on the results, however it has not been commented on by the sponsor.</w:t>
      </w:r>
    </w:p>
    <w:p w:rsidR="00CD7E26" w:rsidRDefault="00CD7E26" w:rsidP="00CD7E26">
      <w:pPr>
        <w:rPr>
          <w:lang w:eastAsia="ja-JP"/>
        </w:rPr>
      </w:pPr>
      <w:r>
        <w:rPr>
          <w:lang w:eastAsia="ja-JP"/>
        </w:rPr>
        <w:t>The degree of statistical significance is in line with that which would expected for an application that includes a single pivotal study (that is, stronger than p&lt;0.05).</w:t>
      </w:r>
    </w:p>
    <w:p w:rsidR="00CD7E26" w:rsidRPr="00E65C0E" w:rsidRDefault="00CD7E26" w:rsidP="00CD7E26">
      <w:pPr>
        <w:rPr>
          <w:lang w:eastAsia="ja-JP"/>
        </w:rPr>
      </w:pPr>
      <w:r>
        <w:rPr>
          <w:lang w:eastAsia="ja-JP"/>
        </w:rPr>
        <w:t xml:space="preserve">Numerous sensitivity analyses have been undertaken, regardless of the assumptions statistical significance favouring </w:t>
      </w:r>
      <w:proofErr w:type="spellStart"/>
      <w:r>
        <w:rPr>
          <w:lang w:eastAsia="ja-JP"/>
        </w:rPr>
        <w:t>cabozantinib</w:t>
      </w:r>
      <w:proofErr w:type="spellEnd"/>
      <w:r>
        <w:rPr>
          <w:lang w:eastAsia="ja-JP"/>
        </w:rPr>
        <w:t xml:space="preserve"> was demonstrated.</w:t>
      </w:r>
    </w:p>
    <w:p w:rsidR="00CD7E26" w:rsidRDefault="00CD7E26" w:rsidP="00CD7E26">
      <w:pPr>
        <w:rPr>
          <w:lang w:eastAsia="ja-JP"/>
        </w:rPr>
      </w:pPr>
      <w:r>
        <w:rPr>
          <w:lang w:eastAsia="ja-JP"/>
        </w:rPr>
        <w:lastRenderedPageBreak/>
        <w:t>Subgroup analyses for the primary endpoint PFS was undertaken in both the PITT and ITT populations as summarised below:</w:t>
      </w:r>
    </w:p>
    <w:p w:rsidR="00CD7E26" w:rsidRDefault="00CD7E26" w:rsidP="000756FA">
      <w:pPr>
        <w:pStyle w:val="Tabletitle"/>
      </w:pPr>
      <w:bookmarkStart w:id="281" w:name="_Toc494205929"/>
      <w:r>
        <w:t xml:space="preserve">Table </w:t>
      </w:r>
      <w:r w:rsidR="000756FA">
        <w:t>17:</w:t>
      </w:r>
      <w:r>
        <w:t xml:space="preserve"> </w:t>
      </w:r>
      <w:r w:rsidRPr="006940EF">
        <w:t>Subgroup Analyses for PFS (IRC-Determined) (PITT and ITT Populations)</w:t>
      </w:r>
      <w:bookmarkEnd w:id="281"/>
    </w:p>
    <w:p w:rsidR="00CD7E26" w:rsidRPr="001C724F" w:rsidRDefault="00CD7E26" w:rsidP="00CD7E26">
      <w:r>
        <w:rPr>
          <w:noProof/>
          <w:lang w:eastAsia="en-AU"/>
        </w:rPr>
        <w:drawing>
          <wp:inline distT="0" distB="0" distL="0" distR="0" wp14:anchorId="20BAB167" wp14:editId="35348ACB">
            <wp:extent cx="5731510" cy="7274971"/>
            <wp:effectExtent l="0" t="0" r="2540" b="2540"/>
            <wp:docPr id="4" name="Picture 4" descr="Table 17: Subgroup Analyses for PFS (IRC-Determined) (PITT and IT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7274971"/>
                    </a:xfrm>
                    <a:prstGeom prst="rect">
                      <a:avLst/>
                    </a:prstGeom>
                  </pic:spPr>
                </pic:pic>
              </a:graphicData>
            </a:graphic>
          </wp:inline>
        </w:drawing>
      </w:r>
    </w:p>
    <w:p w:rsidR="00CD7E26" w:rsidRPr="001C078D" w:rsidRDefault="00CD7E26" w:rsidP="00CD7E26">
      <w:pPr>
        <w:pStyle w:val="Comment"/>
        <w:rPr>
          <w:lang w:eastAsia="ja-JP"/>
        </w:rPr>
      </w:pPr>
      <w:r w:rsidRPr="001C724F">
        <w:rPr>
          <w:b/>
        </w:rPr>
        <w:t>Comment</w:t>
      </w:r>
      <w:r>
        <w:rPr>
          <w:b/>
          <w:lang w:eastAsia="ja-JP"/>
        </w:rPr>
        <w:t>:</w:t>
      </w:r>
      <w:r w:rsidR="006D0F86">
        <w:rPr>
          <w:b/>
          <w:lang w:eastAsia="ja-JP"/>
        </w:rPr>
        <w:tab/>
      </w:r>
      <w:r>
        <w:rPr>
          <w:lang w:eastAsia="ja-JP"/>
        </w:rPr>
        <w:t xml:space="preserve">Although a number of </w:t>
      </w:r>
      <w:proofErr w:type="spellStart"/>
      <w:r>
        <w:rPr>
          <w:lang w:eastAsia="ja-JP"/>
        </w:rPr>
        <w:t>prespecified</w:t>
      </w:r>
      <w:proofErr w:type="spellEnd"/>
      <w:r>
        <w:rPr>
          <w:lang w:eastAsia="ja-JP"/>
        </w:rPr>
        <w:t xml:space="preserve"> subgroup analyses have been undertaken no adjustment for multiplicity was made. In general, regardless of the subgroup results favoured treatment with </w:t>
      </w:r>
      <w:proofErr w:type="spellStart"/>
      <w:r>
        <w:rPr>
          <w:lang w:eastAsia="ja-JP"/>
        </w:rPr>
        <w:t>cabozantinib</w:t>
      </w:r>
      <w:proofErr w:type="spellEnd"/>
      <w:r>
        <w:rPr>
          <w:lang w:eastAsia="ja-JP"/>
        </w:rPr>
        <w:t xml:space="preserve"> with the exception of female subjects and </w:t>
      </w:r>
      <w:r>
        <w:rPr>
          <w:lang w:eastAsia="ja-JP"/>
        </w:rPr>
        <w:lastRenderedPageBreak/>
        <w:t>subjects with only one organ metastasis, the number of subjects in each of these subgroups was small and makes the relevance of these findings uncertain.</w:t>
      </w:r>
    </w:p>
    <w:p w:rsidR="00CD7E26" w:rsidRPr="00C031C9" w:rsidRDefault="00CD7E26" w:rsidP="00C031C9">
      <w:pPr>
        <w:pStyle w:val="Heading5"/>
      </w:pPr>
      <w:r w:rsidRPr="00C031C9">
        <w:t>Results for other efficacy outcomes</w:t>
      </w:r>
    </w:p>
    <w:p w:rsidR="00CD7E26" w:rsidRPr="00C031C9" w:rsidRDefault="00CD7E26" w:rsidP="00C031C9">
      <w:pPr>
        <w:pStyle w:val="Heading6"/>
      </w:pPr>
      <w:r w:rsidRPr="00C031C9">
        <w:t>Secondary Endpoint: Overall Survival</w:t>
      </w:r>
    </w:p>
    <w:p w:rsidR="00CD7E26" w:rsidRDefault="00CD7E26" w:rsidP="00CD7E26">
      <w:pPr>
        <w:rPr>
          <w:lang w:eastAsia="ja-JP"/>
        </w:rPr>
      </w:pPr>
      <w:r>
        <w:rPr>
          <w:lang w:eastAsia="ja-JP"/>
        </w:rPr>
        <w:t>First interim analysis: Planned, 22 May 2015.</w:t>
      </w:r>
    </w:p>
    <w:p w:rsidR="00CD7E26" w:rsidRDefault="00CD7E26" w:rsidP="00CD7E26">
      <w:pPr>
        <w:rPr>
          <w:lang w:eastAsia="ja-JP"/>
        </w:rPr>
      </w:pPr>
      <w:r>
        <w:rPr>
          <w:lang w:eastAsia="ja-JP"/>
        </w:rPr>
        <w:t xml:space="preserve">A </w:t>
      </w:r>
      <w:proofErr w:type="spellStart"/>
      <w:r>
        <w:rPr>
          <w:lang w:eastAsia="ja-JP"/>
        </w:rPr>
        <w:t>prespecified</w:t>
      </w:r>
      <w:proofErr w:type="spellEnd"/>
      <w:r>
        <w:rPr>
          <w:lang w:eastAsia="ja-JP"/>
        </w:rPr>
        <w:t xml:space="preserve"> interim analysis of OS was conducted for the ITT population (as of the 22 May 2015 database cut-off) at the time of the primary analysis of PFS. There were 202 total deaths by the cut-off date, representing 49% (202/408) of the total deaths required for the </w:t>
      </w:r>
      <w:proofErr w:type="spellStart"/>
      <w:r>
        <w:rPr>
          <w:lang w:eastAsia="ja-JP"/>
        </w:rPr>
        <w:t>prespecified</w:t>
      </w:r>
      <w:proofErr w:type="spellEnd"/>
      <w:r>
        <w:rPr>
          <w:lang w:eastAsia="ja-JP"/>
        </w:rPr>
        <w:t xml:space="preserve"> primary analysis of OS. The minimum time of follow-up (from randomisation of the 658</w:t>
      </w:r>
      <w:r w:rsidRPr="00550A32">
        <w:rPr>
          <w:vertAlign w:val="superscript"/>
          <w:lang w:eastAsia="ja-JP"/>
        </w:rPr>
        <w:t>th</w:t>
      </w:r>
      <w:r>
        <w:rPr>
          <w:lang w:eastAsia="ja-JP"/>
        </w:rPr>
        <w:t xml:space="preserve"> subject through 22 May 2015) was 5.9-months.</w:t>
      </w:r>
    </w:p>
    <w:p w:rsidR="00CD7E26" w:rsidRDefault="00CD7E26" w:rsidP="00CD7E26">
      <w:pPr>
        <w:rPr>
          <w:lang w:eastAsia="ja-JP"/>
        </w:rPr>
      </w:pPr>
      <w:r>
        <w:rPr>
          <w:lang w:eastAsia="ja-JP"/>
        </w:rPr>
        <w:t xml:space="preserve">The analysis demonstrated a trend for longer OS for subjects in the </w:t>
      </w:r>
      <w:proofErr w:type="spellStart"/>
      <w:r>
        <w:rPr>
          <w:lang w:eastAsia="ja-JP"/>
        </w:rPr>
        <w:t>cabozantinib</w:t>
      </w:r>
      <w:proofErr w:type="spellEnd"/>
      <w:r>
        <w:rPr>
          <w:lang w:eastAsia="ja-JP"/>
        </w:rPr>
        <w:t xml:space="preserve"> arm compared with the </w:t>
      </w:r>
      <w:proofErr w:type="spellStart"/>
      <w:r>
        <w:rPr>
          <w:lang w:eastAsia="ja-JP"/>
        </w:rPr>
        <w:t>everolimus</w:t>
      </w:r>
      <w:proofErr w:type="spellEnd"/>
      <w:r>
        <w:rPr>
          <w:lang w:eastAsia="ja-JP"/>
        </w:rPr>
        <w:t xml:space="preserve"> arm (</w:t>
      </w:r>
      <w:r w:rsidR="00447B66">
        <w:rPr>
          <w:lang w:eastAsia="ja-JP"/>
        </w:rPr>
        <w:t>Figure 6</w:t>
      </w:r>
      <w:r>
        <w:rPr>
          <w:lang w:eastAsia="ja-JP"/>
        </w:rPr>
        <w:t xml:space="preserve"> and </w:t>
      </w:r>
      <w:r w:rsidR="000756FA">
        <w:rPr>
          <w:lang w:eastAsia="ja-JP"/>
        </w:rPr>
        <w:t>Table 18</w:t>
      </w:r>
      <w:r>
        <w:rPr>
          <w:lang w:eastAsia="ja-JP"/>
        </w:rPr>
        <w:t xml:space="preserve">): the HR adjusted for stratification factors was 0.68 (95% CI: 0.51, 0.90; stratified </w:t>
      </w:r>
      <w:proofErr w:type="spellStart"/>
      <w:r>
        <w:rPr>
          <w:lang w:eastAsia="ja-JP"/>
        </w:rPr>
        <w:t>logrank</w:t>
      </w:r>
      <w:proofErr w:type="spellEnd"/>
      <w:r>
        <w:rPr>
          <w:lang w:eastAsia="ja-JP"/>
        </w:rPr>
        <w:t xml:space="preserve"> p-value = 0.006). The p-value of ≤ 0.0019 (49% information fraction) required to achieve statistical significance at the time of the interim analysis was not reached.</w:t>
      </w:r>
    </w:p>
    <w:p w:rsidR="00CD7E26" w:rsidRDefault="00CD7E26" w:rsidP="00447B66">
      <w:pPr>
        <w:pStyle w:val="FigureTitle"/>
      </w:pPr>
      <w:bookmarkStart w:id="282" w:name="_Ref478901680"/>
      <w:bookmarkStart w:id="283" w:name="_Toc494205999"/>
      <w:r>
        <w:t xml:space="preserve">Figure </w:t>
      </w:r>
      <w:r w:rsidR="00447B66">
        <w:t>6</w:t>
      </w:r>
      <w:bookmarkEnd w:id="282"/>
      <w:r>
        <w:t>: Kaplan-Meier Plot of Interim Overall Survival through the 22 May 2015</w:t>
      </w:r>
      <w:bookmarkEnd w:id="283"/>
    </w:p>
    <w:p w:rsidR="00CD7E26" w:rsidRPr="00550A32" w:rsidRDefault="00CD7E26" w:rsidP="00CD7E26">
      <w:pPr>
        <w:rPr>
          <w:lang w:eastAsia="ja-JP"/>
        </w:rPr>
      </w:pPr>
      <w:r w:rsidRPr="00550A32">
        <w:rPr>
          <w:noProof/>
          <w:lang w:eastAsia="en-AU"/>
        </w:rPr>
        <w:drawing>
          <wp:inline distT="0" distB="0" distL="0" distR="0" wp14:anchorId="3BBD6770" wp14:editId="6C35F76C">
            <wp:extent cx="5428043" cy="2886075"/>
            <wp:effectExtent l="0" t="0" r="1270" b="0"/>
            <wp:docPr id="23" name="Picture 23" descr="Figure 6: Kaplan-Meier Plot of Interim Overall Survival through the 22 Ma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a:lum bright="-20000" contrast="40000"/>
                      <a:extLst>
                        <a:ext uri="{28A0092B-C50C-407E-A947-70E740481C1C}">
                          <a14:useLocalDpi xmlns:a14="http://schemas.microsoft.com/office/drawing/2010/main" val="0"/>
                        </a:ext>
                      </a:extLst>
                    </a:blip>
                    <a:srcRect l="3555"/>
                    <a:stretch/>
                  </pic:blipFill>
                  <pic:spPr bwMode="auto">
                    <a:xfrm>
                      <a:off x="0" y="0"/>
                      <a:ext cx="5430432" cy="2887345"/>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0756FA">
      <w:pPr>
        <w:pStyle w:val="Tabletitle"/>
      </w:pPr>
      <w:bookmarkStart w:id="284" w:name="_Ref478901702"/>
      <w:bookmarkStart w:id="285" w:name="_Toc494205930"/>
      <w:r>
        <w:lastRenderedPageBreak/>
        <w:t xml:space="preserve">Table </w:t>
      </w:r>
      <w:r w:rsidR="000756FA">
        <w:t>18</w:t>
      </w:r>
      <w:bookmarkEnd w:id="284"/>
      <w:r>
        <w:t>: Interim Analysis of Overall Survival through the 22 May 2015 Cut-off Date</w:t>
      </w:r>
      <w:bookmarkEnd w:id="285"/>
    </w:p>
    <w:p w:rsidR="00CD7E26" w:rsidRPr="00550A32" w:rsidRDefault="00CD7E26" w:rsidP="00CD7E26">
      <w:pPr>
        <w:rPr>
          <w:lang w:eastAsia="ja-JP"/>
        </w:rPr>
      </w:pPr>
      <w:r w:rsidRPr="00550A32">
        <w:rPr>
          <w:noProof/>
          <w:lang w:eastAsia="en-AU"/>
        </w:rPr>
        <w:drawing>
          <wp:inline distT="0" distB="0" distL="0" distR="0" wp14:anchorId="6D61CBDD" wp14:editId="5BD6D133">
            <wp:extent cx="5724525" cy="3657600"/>
            <wp:effectExtent l="0" t="0" r="9525" b="0"/>
            <wp:docPr id="22" name="Picture 22" descr="Table 18: Interim Analysis of Overall Survival through the 22 May 2015 Cut-off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1">
                      <a:lum bright="-20000" contrast="40000"/>
                      <a:extLst>
                        <a:ext uri="{28A0092B-C50C-407E-A947-70E740481C1C}">
                          <a14:useLocalDpi xmlns:a14="http://schemas.microsoft.com/office/drawing/2010/main" val="0"/>
                        </a:ext>
                      </a:extLst>
                    </a:blip>
                    <a:srcRect b="6980"/>
                    <a:stretch/>
                  </pic:blipFill>
                  <pic:spPr bwMode="auto">
                    <a:xfrm>
                      <a:off x="0" y="0"/>
                      <a:ext cx="5731510" cy="3662063"/>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rPr>
          <w:lang w:eastAsia="ja-JP"/>
        </w:rPr>
      </w:pPr>
      <w:r w:rsidRPr="00A91D7B">
        <w:rPr>
          <w:lang w:eastAsia="ja-JP"/>
        </w:rPr>
        <w:t>Given these interim analysis results, the conditional power for rejecting the null hypothesis of no</w:t>
      </w:r>
      <w:r>
        <w:rPr>
          <w:lang w:eastAsia="ja-JP"/>
        </w:rPr>
        <w:t xml:space="preserve"> </w:t>
      </w:r>
      <w:r w:rsidRPr="00A91D7B">
        <w:rPr>
          <w:lang w:eastAsia="ja-JP"/>
        </w:rPr>
        <w:t xml:space="preserve">difference in OS at the final analysis is 99.5% under current trend and 97% under the </w:t>
      </w:r>
      <w:r>
        <w:rPr>
          <w:lang w:eastAsia="ja-JP"/>
        </w:rPr>
        <w:t>o</w:t>
      </w:r>
      <w:r w:rsidRPr="00A91D7B">
        <w:rPr>
          <w:lang w:eastAsia="ja-JP"/>
        </w:rPr>
        <w:t>riginal</w:t>
      </w:r>
      <w:r>
        <w:rPr>
          <w:lang w:eastAsia="ja-JP"/>
        </w:rPr>
        <w:t xml:space="preserve"> </w:t>
      </w:r>
      <w:r w:rsidRPr="00A91D7B">
        <w:rPr>
          <w:lang w:eastAsia="ja-JP"/>
        </w:rPr>
        <w:t>study hypothesis.</w:t>
      </w:r>
      <w:r>
        <w:rPr>
          <w:lang w:eastAsia="ja-JP"/>
        </w:rPr>
        <w:t xml:space="preserve"> </w:t>
      </w:r>
      <w:r w:rsidRPr="00A91D7B">
        <w:rPr>
          <w:lang w:eastAsia="ja-JP"/>
        </w:rPr>
        <w:t xml:space="preserve">A second, unplanned interim analysis will be conducted with data </w:t>
      </w:r>
      <w:r>
        <w:rPr>
          <w:lang w:eastAsia="ja-JP"/>
        </w:rPr>
        <w:t>t</w:t>
      </w:r>
      <w:r w:rsidRPr="00A91D7B">
        <w:rPr>
          <w:lang w:eastAsia="ja-JP"/>
        </w:rPr>
        <w:t>hrough</w:t>
      </w:r>
      <w:r>
        <w:rPr>
          <w:lang w:eastAsia="ja-JP"/>
        </w:rPr>
        <w:t xml:space="preserve"> </w:t>
      </w:r>
      <w:r w:rsidRPr="00A91D7B">
        <w:rPr>
          <w:lang w:eastAsia="ja-JP"/>
        </w:rPr>
        <w:t>31 December 2015 to provide a minimum of 12</w:t>
      </w:r>
      <w:r>
        <w:rPr>
          <w:lang w:eastAsia="ja-JP"/>
        </w:rPr>
        <w:t>-months</w:t>
      </w:r>
      <w:r w:rsidRPr="00A91D7B">
        <w:rPr>
          <w:lang w:eastAsia="ja-JP"/>
        </w:rPr>
        <w:t xml:space="preserve"> of follow-up from the last subject</w:t>
      </w:r>
      <w:r>
        <w:rPr>
          <w:lang w:eastAsia="ja-JP"/>
        </w:rPr>
        <w:t xml:space="preserve"> </w:t>
      </w:r>
      <w:r w:rsidRPr="00A91D7B">
        <w:rPr>
          <w:lang w:eastAsia="ja-JP"/>
        </w:rPr>
        <w:t>enrolled.</w:t>
      </w:r>
    </w:p>
    <w:p w:rsidR="00CD7E26" w:rsidRDefault="00CD7E26" w:rsidP="00CD7E26">
      <w:pPr>
        <w:rPr>
          <w:lang w:eastAsia="ja-JP"/>
        </w:rPr>
      </w:pPr>
      <w:r>
        <w:rPr>
          <w:lang w:eastAsia="ja-JP"/>
        </w:rPr>
        <w:t xml:space="preserve">The use of non-protocol anticancer therapy was higher for subjects who had received </w:t>
      </w:r>
      <w:proofErr w:type="spellStart"/>
      <w:r>
        <w:rPr>
          <w:lang w:eastAsia="ja-JP"/>
        </w:rPr>
        <w:t>everolimus</w:t>
      </w:r>
      <w:proofErr w:type="spellEnd"/>
      <w:r>
        <w:rPr>
          <w:lang w:eastAsia="ja-JP"/>
        </w:rPr>
        <w:t xml:space="preserve"> (47% of subjects) versus those who had received </w:t>
      </w:r>
      <w:proofErr w:type="spellStart"/>
      <w:r>
        <w:rPr>
          <w:lang w:eastAsia="ja-JP"/>
        </w:rPr>
        <w:t>cabozantinib</w:t>
      </w:r>
      <w:proofErr w:type="spellEnd"/>
      <w:r>
        <w:rPr>
          <w:lang w:eastAsia="ja-JP"/>
        </w:rPr>
        <w:t xml:space="preserve"> (38% of subjects).</w:t>
      </w:r>
    </w:p>
    <w:p w:rsidR="00CD7E26" w:rsidRDefault="00CD7E26" w:rsidP="00CD7E26">
      <w:pPr>
        <w:pStyle w:val="Heading6"/>
        <w:rPr>
          <w:lang w:eastAsia="ja-JP"/>
        </w:rPr>
      </w:pPr>
      <w:r>
        <w:rPr>
          <w:lang w:eastAsia="ja-JP"/>
        </w:rPr>
        <w:t>Second Interim Analysis: Unplanned 31 December 2015 cut-off</w:t>
      </w:r>
    </w:p>
    <w:p w:rsidR="00CD7E26" w:rsidRDefault="00CD7E26" w:rsidP="00CD7E26">
      <w:pPr>
        <w:rPr>
          <w:lang w:eastAsia="ja-JP"/>
        </w:rPr>
      </w:pPr>
      <w:r w:rsidRPr="006D36B0">
        <w:rPr>
          <w:lang w:eastAsia="ja-JP"/>
        </w:rPr>
        <w:t xml:space="preserve">The analysis included 320 total deaths, representing 78% (320/408) of the total deaths </w:t>
      </w:r>
      <w:r>
        <w:rPr>
          <w:lang w:eastAsia="ja-JP"/>
        </w:rPr>
        <w:t>r</w:t>
      </w:r>
      <w:r w:rsidRPr="006D36B0">
        <w:rPr>
          <w:lang w:eastAsia="ja-JP"/>
        </w:rPr>
        <w:t>equired for the planned final analysis of OS.</w:t>
      </w:r>
      <w:r>
        <w:rPr>
          <w:lang w:eastAsia="ja-JP"/>
        </w:rPr>
        <w:t xml:space="preserve"> </w:t>
      </w:r>
      <w:r w:rsidRPr="006D36B0">
        <w:rPr>
          <w:lang w:eastAsia="ja-JP"/>
        </w:rPr>
        <w:t>The minimum time of follow-up (from</w:t>
      </w:r>
      <w:r>
        <w:rPr>
          <w:lang w:eastAsia="ja-JP"/>
        </w:rPr>
        <w:t xml:space="preserve"> randomisation</w:t>
      </w:r>
      <w:r w:rsidRPr="006D36B0">
        <w:rPr>
          <w:lang w:eastAsia="ja-JP"/>
        </w:rPr>
        <w:t xml:space="preserve"> of the 658th subject through 31 December 2015) was 13</w:t>
      </w:r>
      <w:r>
        <w:rPr>
          <w:lang w:eastAsia="ja-JP"/>
        </w:rPr>
        <w:t>-months</w:t>
      </w:r>
      <w:r w:rsidRPr="006D36B0">
        <w:rPr>
          <w:lang w:eastAsia="ja-JP"/>
        </w:rPr>
        <w:t xml:space="preserve">. Survival status </w:t>
      </w:r>
      <w:r>
        <w:rPr>
          <w:lang w:eastAsia="ja-JP"/>
        </w:rPr>
        <w:t>a</w:t>
      </w:r>
      <w:r w:rsidRPr="006D36B0">
        <w:rPr>
          <w:lang w:eastAsia="ja-JP"/>
        </w:rPr>
        <w:t>s of 31 December 2015 was determined for the majorit</w:t>
      </w:r>
      <w:r>
        <w:rPr>
          <w:lang w:eastAsia="ja-JP"/>
        </w:rPr>
        <w:t xml:space="preserve">y (97.6%) of the 658 randomised </w:t>
      </w:r>
      <w:r w:rsidRPr="006D36B0">
        <w:rPr>
          <w:lang w:eastAsia="ja-JP"/>
        </w:rPr>
        <w:t>subjects. For the 16 subjects for which it could not be established</w:t>
      </w:r>
      <w:r>
        <w:rPr>
          <w:lang w:eastAsia="ja-JP"/>
        </w:rPr>
        <w:t xml:space="preserve"> (6 in the </w:t>
      </w:r>
      <w:proofErr w:type="spellStart"/>
      <w:r>
        <w:rPr>
          <w:lang w:eastAsia="ja-JP"/>
        </w:rPr>
        <w:t>cabozantinib</w:t>
      </w:r>
      <w:proofErr w:type="spellEnd"/>
      <w:r>
        <w:rPr>
          <w:lang w:eastAsia="ja-JP"/>
        </w:rPr>
        <w:t xml:space="preserve"> arm </w:t>
      </w:r>
      <w:r w:rsidRPr="006D36B0">
        <w:rPr>
          <w:lang w:eastAsia="ja-JP"/>
        </w:rPr>
        <w:t xml:space="preserve">and 10 in the </w:t>
      </w:r>
      <w:proofErr w:type="spellStart"/>
      <w:r w:rsidRPr="006D36B0">
        <w:rPr>
          <w:lang w:eastAsia="ja-JP"/>
        </w:rPr>
        <w:t>everolimus</w:t>
      </w:r>
      <w:proofErr w:type="spellEnd"/>
      <w:r w:rsidRPr="006D36B0">
        <w:rPr>
          <w:lang w:eastAsia="ja-JP"/>
        </w:rPr>
        <w:t xml:space="preserve"> arm), 13 of these withdrew consen</w:t>
      </w:r>
      <w:r>
        <w:rPr>
          <w:lang w:eastAsia="ja-JP"/>
        </w:rPr>
        <w:t xml:space="preserve">t and 3 were lost to follow-up. </w:t>
      </w:r>
      <w:r w:rsidRPr="006D36B0">
        <w:rPr>
          <w:lang w:eastAsia="ja-JP"/>
        </w:rPr>
        <w:t>These subjects were censored at the date of most-recent contac</w:t>
      </w:r>
      <w:r>
        <w:rPr>
          <w:lang w:eastAsia="ja-JP"/>
        </w:rPr>
        <w:t xml:space="preserve">t prior to the data cut-off. All </w:t>
      </w:r>
      <w:r w:rsidRPr="006D36B0">
        <w:rPr>
          <w:lang w:eastAsia="ja-JP"/>
        </w:rPr>
        <w:t>other subjects who were not deceased through 31 December 2</w:t>
      </w:r>
      <w:r>
        <w:rPr>
          <w:lang w:eastAsia="ja-JP"/>
        </w:rPr>
        <w:t xml:space="preserve">015 were documented to be alive </w:t>
      </w:r>
      <w:r w:rsidRPr="006D36B0">
        <w:rPr>
          <w:lang w:eastAsia="ja-JP"/>
        </w:rPr>
        <w:t>(and censored on) this date.</w:t>
      </w:r>
    </w:p>
    <w:p w:rsidR="00CD7E26" w:rsidRDefault="000756FA" w:rsidP="000756FA">
      <w:pPr>
        <w:pStyle w:val="Tabletitle"/>
      </w:pPr>
      <w:bookmarkStart w:id="286" w:name="_Ref493775696"/>
      <w:bookmarkStart w:id="287" w:name="_Toc494205931"/>
      <w:r>
        <w:lastRenderedPageBreak/>
        <w:t>Table 19</w:t>
      </w:r>
      <w:bookmarkEnd w:id="286"/>
      <w:r w:rsidR="00CD7E26">
        <w:t xml:space="preserve">: </w:t>
      </w:r>
      <w:r w:rsidR="00CD7E26" w:rsidRPr="00F63E3C">
        <w:t>Interim Analysis of Overall Survival through the 31 December 2015 Cut-off Date (ITT Population)</w:t>
      </w:r>
      <w:bookmarkEnd w:id="287"/>
    </w:p>
    <w:p w:rsidR="00CD7E26" w:rsidRDefault="00CD7E26" w:rsidP="00CD7E26">
      <w:pPr>
        <w:rPr>
          <w:lang w:eastAsia="ja-JP"/>
        </w:rPr>
      </w:pPr>
      <w:r w:rsidRPr="006D36B0">
        <w:rPr>
          <w:noProof/>
          <w:lang w:eastAsia="en-AU"/>
        </w:rPr>
        <w:drawing>
          <wp:inline distT="0" distB="0" distL="0" distR="0" wp14:anchorId="5B246B5D" wp14:editId="1F37C6D3">
            <wp:extent cx="4972050" cy="2524125"/>
            <wp:effectExtent l="0" t="0" r="0" b="9525"/>
            <wp:docPr id="25" name="Picture 25" descr="Table 19: Interim Analysis of Overall Survival through the 31 December 2015 Cut-off Dat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2">
                      <a:lum bright="-20000" contrast="40000"/>
                      <a:extLst>
                        <a:ext uri="{28A0092B-C50C-407E-A947-70E740481C1C}">
                          <a14:useLocalDpi xmlns:a14="http://schemas.microsoft.com/office/drawing/2010/main" val="0"/>
                        </a:ext>
                      </a:extLst>
                    </a:blip>
                    <a:srcRect t="2176" b="1701"/>
                    <a:stretch/>
                  </pic:blipFill>
                  <pic:spPr bwMode="auto">
                    <a:xfrm>
                      <a:off x="0" y="0"/>
                      <a:ext cx="4969848" cy="2523007"/>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rPr>
          <w:lang w:eastAsia="ja-JP"/>
        </w:rPr>
      </w:pPr>
      <w:r>
        <w:rPr>
          <w:lang w:eastAsia="ja-JP"/>
        </w:rPr>
        <w:t>The study was designed to test OS at the 2-sided 4% alpha level. The Lan-</w:t>
      </w:r>
      <w:proofErr w:type="spellStart"/>
      <w:r>
        <w:rPr>
          <w:lang w:eastAsia="ja-JP"/>
        </w:rPr>
        <w:t>DeMets</w:t>
      </w:r>
      <w:proofErr w:type="spellEnd"/>
      <w:r>
        <w:rPr>
          <w:lang w:eastAsia="ja-JP"/>
        </w:rPr>
        <w:t xml:space="preserve"> O’Brien-Fleming alpha spending function specified in the SAP that was applied to control Type 1 error at the prior planned interim analysis was also applied at this current analysis. The critical value for rejecting the null hypothesis at the current analysis was p &lt; 0.0163.</w:t>
      </w:r>
    </w:p>
    <w:p w:rsidR="00CD7E26" w:rsidRDefault="00CD7E26" w:rsidP="00CD7E26">
      <w:pPr>
        <w:rPr>
          <w:lang w:eastAsia="ja-JP"/>
        </w:rPr>
      </w:pPr>
      <w:r>
        <w:rPr>
          <w:lang w:eastAsia="ja-JP"/>
        </w:rPr>
        <w:t xml:space="preserve">The analysis demonstrated a statistically significant difference in duration of OS for subjects in the </w:t>
      </w:r>
      <w:proofErr w:type="spellStart"/>
      <w:r>
        <w:rPr>
          <w:lang w:eastAsia="ja-JP"/>
        </w:rPr>
        <w:t>cabozantinib</w:t>
      </w:r>
      <w:proofErr w:type="spellEnd"/>
      <w:r>
        <w:rPr>
          <w:lang w:eastAsia="ja-JP"/>
        </w:rPr>
        <w:t xml:space="preserve"> arm compared with the </w:t>
      </w:r>
      <w:proofErr w:type="spellStart"/>
      <w:r>
        <w:rPr>
          <w:lang w:eastAsia="ja-JP"/>
        </w:rPr>
        <w:t>everolimus</w:t>
      </w:r>
      <w:proofErr w:type="spellEnd"/>
      <w:r>
        <w:rPr>
          <w:lang w:eastAsia="ja-JP"/>
        </w:rPr>
        <w:t xml:space="preserve"> arm: the HR adjusted for stratification factors was 0.67 (95% CI: 0.53, 0.83; stratified </w:t>
      </w:r>
      <w:proofErr w:type="spellStart"/>
      <w:r>
        <w:rPr>
          <w:lang w:eastAsia="ja-JP"/>
        </w:rPr>
        <w:t>logrank</w:t>
      </w:r>
      <w:proofErr w:type="spellEnd"/>
      <w:r>
        <w:rPr>
          <w:lang w:eastAsia="ja-JP"/>
        </w:rPr>
        <w:t xml:space="preserve"> p-value = 0.0003). Kaplan-Meier estimates of median duration of OS were 21.4-months in the </w:t>
      </w:r>
      <w:proofErr w:type="spellStart"/>
      <w:r>
        <w:rPr>
          <w:lang w:eastAsia="ja-JP"/>
        </w:rPr>
        <w:t>cabozantinib</w:t>
      </w:r>
      <w:proofErr w:type="spellEnd"/>
      <w:r>
        <w:rPr>
          <w:lang w:eastAsia="ja-JP"/>
        </w:rPr>
        <w:t xml:space="preserve"> arm and 16.5-months in the </w:t>
      </w:r>
      <w:proofErr w:type="spellStart"/>
      <w:r>
        <w:rPr>
          <w:lang w:eastAsia="ja-JP"/>
        </w:rPr>
        <w:t>everolimus</w:t>
      </w:r>
      <w:proofErr w:type="spellEnd"/>
      <w:r>
        <w:rPr>
          <w:lang w:eastAsia="ja-JP"/>
        </w:rPr>
        <w:t xml:space="preserve"> arm, an estimated 4.9-month difference in the medians.</w:t>
      </w:r>
    </w:p>
    <w:p w:rsidR="00CD7E26" w:rsidRDefault="00CD7E26" w:rsidP="00447B66">
      <w:pPr>
        <w:pStyle w:val="FigureTitle"/>
      </w:pPr>
      <w:bookmarkStart w:id="288" w:name="_Toc494206000"/>
      <w:r>
        <w:t>Figure</w:t>
      </w:r>
      <w:r w:rsidR="00447B66">
        <w:t xml:space="preserve"> 7</w:t>
      </w:r>
      <w:r>
        <w:t xml:space="preserve">: </w:t>
      </w:r>
      <w:r w:rsidRPr="00862FDF">
        <w:t>Kaplan-Meier Plot of Interim Overall Survival through the 31 December 2015 Cut-off Date (ITT Population)</w:t>
      </w:r>
      <w:bookmarkEnd w:id="288"/>
    </w:p>
    <w:p w:rsidR="00CD7E26" w:rsidRDefault="00CD7E26" w:rsidP="00CD7E26">
      <w:pPr>
        <w:rPr>
          <w:lang w:eastAsia="ja-JP"/>
        </w:rPr>
      </w:pPr>
      <w:r w:rsidRPr="006D36B0">
        <w:rPr>
          <w:noProof/>
          <w:lang w:eastAsia="en-AU"/>
        </w:rPr>
        <w:drawing>
          <wp:inline distT="0" distB="0" distL="0" distR="0" wp14:anchorId="39D33FAE" wp14:editId="783EC46F">
            <wp:extent cx="5731510" cy="2914590"/>
            <wp:effectExtent l="0" t="0" r="2540" b="635"/>
            <wp:docPr id="24" name="Picture 24" descr="Figure 7: Kaplan-Meier Plot of Interim Overall Survival through the 31 December 2015 Cut-off Dat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a:stretch>
                      <a:fillRect/>
                    </a:stretch>
                  </pic:blipFill>
                  <pic:spPr bwMode="auto">
                    <a:xfrm>
                      <a:off x="0" y="0"/>
                      <a:ext cx="5731510" cy="2914590"/>
                    </a:xfrm>
                    <a:prstGeom prst="rect">
                      <a:avLst/>
                    </a:prstGeom>
                    <a:noFill/>
                    <a:ln>
                      <a:noFill/>
                    </a:ln>
                  </pic:spPr>
                </pic:pic>
              </a:graphicData>
            </a:graphic>
          </wp:inline>
        </w:drawing>
      </w:r>
    </w:p>
    <w:p w:rsidR="00CD7E26" w:rsidRDefault="00CD7E26" w:rsidP="00CD7E26">
      <w:pPr>
        <w:rPr>
          <w:lang w:eastAsia="ja-JP"/>
        </w:rPr>
      </w:pPr>
      <w:r>
        <w:rPr>
          <w:lang w:eastAsia="ja-JP"/>
        </w:rPr>
        <w:t xml:space="preserve">The use of non-protocol anticancer therapy was higher for subjects who had received </w:t>
      </w:r>
      <w:proofErr w:type="spellStart"/>
      <w:r>
        <w:rPr>
          <w:lang w:eastAsia="ja-JP"/>
        </w:rPr>
        <w:t>everolimus</w:t>
      </w:r>
      <w:proofErr w:type="spellEnd"/>
      <w:r>
        <w:rPr>
          <w:lang w:eastAsia="ja-JP"/>
        </w:rPr>
        <w:t xml:space="preserve"> (63% of subjects) versus those who had received </w:t>
      </w:r>
      <w:proofErr w:type="spellStart"/>
      <w:r>
        <w:rPr>
          <w:lang w:eastAsia="ja-JP"/>
        </w:rPr>
        <w:t>cabozantinib</w:t>
      </w:r>
      <w:proofErr w:type="spellEnd"/>
      <w:r>
        <w:rPr>
          <w:lang w:eastAsia="ja-JP"/>
        </w:rPr>
        <w:t xml:space="preserve"> (57% of subjects).</w:t>
      </w:r>
    </w:p>
    <w:p w:rsidR="00CD7E26" w:rsidRDefault="00CD7E26" w:rsidP="00CD7E26">
      <w:pPr>
        <w:pStyle w:val="Comment"/>
        <w:rPr>
          <w:lang w:eastAsia="ja-JP"/>
        </w:rPr>
      </w:pPr>
      <w:r w:rsidRPr="001C724F">
        <w:rPr>
          <w:b/>
        </w:rPr>
        <w:lastRenderedPageBreak/>
        <w:t>Comment</w:t>
      </w:r>
      <w:r>
        <w:rPr>
          <w:b/>
          <w:lang w:eastAsia="ja-JP"/>
        </w:rPr>
        <w:t>:</w:t>
      </w:r>
      <w:r w:rsidR="006D0F86">
        <w:rPr>
          <w:b/>
          <w:lang w:eastAsia="ja-JP"/>
        </w:rPr>
        <w:tab/>
      </w:r>
      <w:r>
        <w:rPr>
          <w:lang w:eastAsia="ja-JP"/>
        </w:rPr>
        <w:t xml:space="preserve">The planned interim analysis showed a trend of improvement in overall survival for subjects receiving </w:t>
      </w:r>
      <w:proofErr w:type="spellStart"/>
      <w:r>
        <w:rPr>
          <w:lang w:eastAsia="ja-JP"/>
        </w:rPr>
        <w:t>cabozantinib</w:t>
      </w:r>
      <w:proofErr w:type="spellEnd"/>
      <w:r>
        <w:rPr>
          <w:lang w:eastAsia="ja-JP"/>
        </w:rPr>
        <w:t xml:space="preserve"> versus those receiving </w:t>
      </w:r>
      <w:proofErr w:type="spellStart"/>
      <w:r>
        <w:rPr>
          <w:lang w:eastAsia="ja-JP"/>
        </w:rPr>
        <w:t>everolimus</w:t>
      </w:r>
      <w:proofErr w:type="spellEnd"/>
      <w:r>
        <w:rPr>
          <w:lang w:eastAsia="ja-JP"/>
        </w:rPr>
        <w:t>. Although p=0.005 this cannot be considered to be statistically significant due to the pre-specified criterion for significance derived from the alpha spending function.</w:t>
      </w:r>
    </w:p>
    <w:p w:rsidR="00CD7E26" w:rsidRPr="00EE5CB5" w:rsidRDefault="00CD7E26" w:rsidP="00CD7E26">
      <w:pPr>
        <w:pStyle w:val="Comment"/>
        <w:ind w:firstLine="0"/>
      </w:pPr>
      <w:r w:rsidRPr="00EE5CB5">
        <w:t xml:space="preserve">With regard to the second unplanned interim analysis the trend observed for the planned analysis was maintained in that OS for subjects treated with </w:t>
      </w:r>
      <w:proofErr w:type="spellStart"/>
      <w:r w:rsidRPr="00EE5CB5">
        <w:t>cabozantinib</w:t>
      </w:r>
      <w:proofErr w:type="spellEnd"/>
      <w:r w:rsidRPr="00EE5CB5">
        <w:t xml:space="preserve"> was improved (increased by 4.9-months) versus those treated with </w:t>
      </w:r>
      <w:proofErr w:type="spellStart"/>
      <w:r w:rsidRPr="00EE5CB5">
        <w:t>everolimus</w:t>
      </w:r>
      <w:proofErr w:type="spellEnd"/>
      <w:r w:rsidRPr="00EE5CB5">
        <w:t xml:space="preserve">. This benefit was statistically significant when the same criterion for significance was applied as for the planned interim analysis. This analysis was not pre-specified and therefore no inference should be made with regard to testing of the null hypothesis, however it represents the most mature data that are currently available for OS and the estimate of HR is concordant with that for the planned analysis. It is likely that there is an OS survival benefit for subjects who received </w:t>
      </w:r>
      <w:proofErr w:type="spellStart"/>
      <w:r w:rsidRPr="00EE5CB5">
        <w:t>cabozantinib</w:t>
      </w:r>
      <w:proofErr w:type="spellEnd"/>
      <w:r w:rsidRPr="00EE5CB5">
        <w:t xml:space="preserve"> versus those that received </w:t>
      </w:r>
      <w:proofErr w:type="spellStart"/>
      <w:r w:rsidRPr="00EE5CB5">
        <w:t>everolimus</w:t>
      </w:r>
      <w:proofErr w:type="spellEnd"/>
      <w:r w:rsidRPr="00EE5CB5">
        <w:t>. These results should be confirmed in the final analysis of the OS survival data.</w:t>
      </w:r>
    </w:p>
    <w:p w:rsidR="00CD7E26" w:rsidRPr="00EE5CB5" w:rsidRDefault="00CD7E26" w:rsidP="00CD7E26">
      <w:pPr>
        <w:pStyle w:val="Comment"/>
        <w:ind w:firstLine="0"/>
      </w:pPr>
      <w:r w:rsidRPr="00EE5CB5">
        <w:t>The sponsor should provide an analysis of the final OS data for this study as soon as practical after it is available. The sponsor should indicate when this is likely to be and comment on the impact of additional spending of alpha, due to the unplanned analysis, on the results.</w:t>
      </w:r>
    </w:p>
    <w:p w:rsidR="00CD7E26" w:rsidRDefault="00CD7E26" w:rsidP="00CD7E26">
      <w:pPr>
        <w:pStyle w:val="Heading6"/>
        <w:rPr>
          <w:lang w:eastAsia="ja-JP"/>
        </w:rPr>
      </w:pPr>
      <w:r>
        <w:rPr>
          <w:lang w:eastAsia="ja-JP"/>
        </w:rPr>
        <w:t xml:space="preserve">Secondary endpoint: </w:t>
      </w:r>
      <w:r w:rsidR="00B572CC">
        <w:rPr>
          <w:lang w:eastAsia="ja-JP"/>
        </w:rPr>
        <w:t>objective response rate</w:t>
      </w:r>
    </w:p>
    <w:p w:rsidR="00CD7E26" w:rsidRDefault="00CD7E26" w:rsidP="00CD7E26">
      <w:pPr>
        <w:rPr>
          <w:lang w:eastAsia="ja-JP"/>
        </w:rPr>
      </w:pPr>
      <w:r>
        <w:rPr>
          <w:lang w:eastAsia="ja-JP"/>
        </w:rPr>
        <w:t>The primary analysis of ORR was conducted in the ITT Population at the time of the primary analysis of PFS. The same data cut-off date was used as for the PFS analysis. Tumour assessments that occurred after the individual subject PFS-censoring dates were excluded from this analysis.</w:t>
      </w:r>
    </w:p>
    <w:p w:rsidR="00CD7E26" w:rsidRDefault="00CD7E26" w:rsidP="00CD7E26">
      <w:pPr>
        <w:rPr>
          <w:lang w:eastAsia="ja-JP"/>
        </w:rPr>
      </w:pPr>
      <w:r>
        <w:rPr>
          <w:lang w:eastAsia="ja-JP"/>
        </w:rPr>
        <w:t xml:space="preserve">Tumour response is summarised in the table below for the ITT population. The ORR was 17% (95% CI: 13, 22) and 3% (95% CI: 2, 6) for subjects in the </w:t>
      </w:r>
      <w:proofErr w:type="spellStart"/>
      <w:r>
        <w:rPr>
          <w:lang w:eastAsia="ja-JP"/>
        </w:rPr>
        <w:t>cabozantinib</w:t>
      </w:r>
      <w:proofErr w:type="spellEnd"/>
      <w:r>
        <w:rPr>
          <w:lang w:eastAsia="ja-JP"/>
        </w:rPr>
        <w:t xml:space="preserve"> and </w:t>
      </w:r>
      <w:proofErr w:type="spellStart"/>
      <w:r>
        <w:rPr>
          <w:lang w:eastAsia="ja-JP"/>
        </w:rPr>
        <w:t>everolimus</w:t>
      </w:r>
      <w:proofErr w:type="spellEnd"/>
      <w:r>
        <w:rPr>
          <w:lang w:eastAsia="ja-JP"/>
        </w:rPr>
        <w:t xml:space="preserve"> arms, respectively (</w:t>
      </w:r>
      <w:proofErr w:type="spellStart"/>
      <w:r>
        <w:rPr>
          <w:lang w:eastAsia="ja-JP"/>
        </w:rPr>
        <w:t>unstratified</w:t>
      </w:r>
      <w:proofErr w:type="spellEnd"/>
      <w:r>
        <w:rPr>
          <w:lang w:eastAsia="ja-JP"/>
        </w:rPr>
        <w:t xml:space="preserve"> p-value &lt; 0.001). All objective responses were PRs. The median time to objective response was 1.91-months (range 1.6, 11.0) in the </w:t>
      </w:r>
      <w:proofErr w:type="spellStart"/>
      <w:r>
        <w:rPr>
          <w:lang w:eastAsia="ja-JP"/>
        </w:rPr>
        <w:t>cabozantinib</w:t>
      </w:r>
      <w:proofErr w:type="spellEnd"/>
      <w:r>
        <w:rPr>
          <w:lang w:eastAsia="ja-JP"/>
        </w:rPr>
        <w:t xml:space="preserve"> arm and 2.14-months (range 1.9, 9.2-months) in the </w:t>
      </w:r>
      <w:proofErr w:type="spellStart"/>
      <w:r>
        <w:rPr>
          <w:lang w:eastAsia="ja-JP"/>
        </w:rPr>
        <w:t>everolimus</w:t>
      </w:r>
      <w:proofErr w:type="spellEnd"/>
      <w:r>
        <w:rPr>
          <w:lang w:eastAsia="ja-JP"/>
        </w:rPr>
        <w:t xml:space="preserve"> arm. The incidence of PD as best response as low in the </w:t>
      </w:r>
      <w:proofErr w:type="spellStart"/>
      <w:r>
        <w:rPr>
          <w:lang w:eastAsia="ja-JP"/>
        </w:rPr>
        <w:t>cabozantinib</w:t>
      </w:r>
      <w:proofErr w:type="spellEnd"/>
      <w:r>
        <w:rPr>
          <w:lang w:eastAsia="ja-JP"/>
        </w:rPr>
        <w:t xml:space="preserve"> arm (12% </w:t>
      </w:r>
      <w:proofErr w:type="spellStart"/>
      <w:r>
        <w:rPr>
          <w:lang w:eastAsia="ja-JP"/>
        </w:rPr>
        <w:t>cabozantinib</w:t>
      </w:r>
      <w:proofErr w:type="spellEnd"/>
      <w:r>
        <w:rPr>
          <w:lang w:eastAsia="ja-JP"/>
        </w:rPr>
        <w:t xml:space="preserve">, 27% </w:t>
      </w:r>
      <w:proofErr w:type="spellStart"/>
      <w:r>
        <w:rPr>
          <w:lang w:eastAsia="ja-JP"/>
        </w:rPr>
        <w:t>everolimus</w:t>
      </w:r>
      <w:proofErr w:type="spellEnd"/>
      <w:r>
        <w:rPr>
          <w:lang w:eastAsia="ja-JP"/>
        </w:rPr>
        <w:t xml:space="preserve">), indicating a low incidence of primary refractory disease to </w:t>
      </w:r>
      <w:proofErr w:type="spellStart"/>
      <w:r>
        <w:rPr>
          <w:lang w:eastAsia="ja-JP"/>
        </w:rPr>
        <w:t>cabozantinib</w:t>
      </w:r>
      <w:proofErr w:type="spellEnd"/>
      <w:r>
        <w:rPr>
          <w:lang w:eastAsia="ja-JP"/>
        </w:rPr>
        <w:t xml:space="preserve"> treatment in this study population.</w:t>
      </w:r>
    </w:p>
    <w:p w:rsidR="00CD7E26" w:rsidRDefault="00CD7E26" w:rsidP="000756FA">
      <w:pPr>
        <w:pStyle w:val="Tabletitle"/>
      </w:pPr>
      <w:bookmarkStart w:id="289" w:name="_Ref478904550"/>
      <w:bookmarkStart w:id="290" w:name="_Toc494205932"/>
      <w:r>
        <w:lastRenderedPageBreak/>
        <w:t xml:space="preserve">Table </w:t>
      </w:r>
      <w:r w:rsidR="000756FA">
        <w:t>20</w:t>
      </w:r>
      <w:bookmarkEnd w:id="289"/>
      <w:r>
        <w:t>: Tumour Response per RECIST 1.1 as of the 22 May 2015 Cut-off Date (ITT population)</w:t>
      </w:r>
      <w:bookmarkEnd w:id="290"/>
    </w:p>
    <w:p w:rsidR="00CD7E26" w:rsidRDefault="00CD7E26" w:rsidP="00CD7E26">
      <w:pPr>
        <w:rPr>
          <w:lang w:eastAsia="ja-JP"/>
        </w:rPr>
      </w:pPr>
      <w:r w:rsidRPr="006D6F87">
        <w:rPr>
          <w:noProof/>
          <w:lang w:eastAsia="en-AU"/>
        </w:rPr>
        <w:drawing>
          <wp:inline distT="0" distB="0" distL="0" distR="0" wp14:anchorId="1B02C871" wp14:editId="54D0631A">
            <wp:extent cx="4759728" cy="3705225"/>
            <wp:effectExtent l="0" t="0" r="3175" b="0"/>
            <wp:docPr id="26" name="Picture 26" descr="Table 20: Tumour Response per RECIST 1.1 as of the 22 May 2015 Cut-off Dat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a:lum bright="-20000" contrast="40000"/>
                      <a:extLst>
                        <a:ext uri="{28A0092B-C50C-407E-A947-70E740481C1C}">
                          <a14:useLocalDpi xmlns:a14="http://schemas.microsoft.com/office/drawing/2010/main" val="0"/>
                        </a:ext>
                      </a:extLst>
                    </a:blip>
                    <a:srcRect t="1469" b="3321"/>
                    <a:stretch/>
                  </pic:blipFill>
                  <pic:spPr bwMode="auto">
                    <a:xfrm>
                      <a:off x="0" y="0"/>
                      <a:ext cx="4763041" cy="3707804"/>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rPr>
          <w:lang w:eastAsia="ja-JP"/>
        </w:rPr>
      </w:pPr>
      <w:r>
        <w:rPr>
          <w:lang w:eastAsia="ja-JP"/>
        </w:rPr>
        <w:t xml:space="preserve">A total of 75% and 48% of subjects in the </w:t>
      </w:r>
      <w:proofErr w:type="spellStart"/>
      <w:r>
        <w:rPr>
          <w:lang w:eastAsia="ja-JP"/>
        </w:rPr>
        <w:t>cabozantinib</w:t>
      </w:r>
      <w:proofErr w:type="spellEnd"/>
      <w:r>
        <w:rPr>
          <w:lang w:eastAsia="ja-JP"/>
        </w:rPr>
        <w:t xml:space="preserve"> and </w:t>
      </w:r>
      <w:proofErr w:type="spellStart"/>
      <w:r>
        <w:rPr>
          <w:lang w:eastAsia="ja-JP"/>
        </w:rPr>
        <w:t>everolimus</w:t>
      </w:r>
      <w:proofErr w:type="spellEnd"/>
      <w:r>
        <w:rPr>
          <w:lang w:eastAsia="ja-JP"/>
        </w:rPr>
        <w:t xml:space="preserve"> arms (ITT population), respectively, had a post-baseline reduction in sum of lesion diameters (</w:t>
      </w:r>
      <w:proofErr w:type="spellStart"/>
      <w:r>
        <w:rPr>
          <w:lang w:eastAsia="ja-JP"/>
        </w:rPr>
        <w:t>SoD</w:t>
      </w:r>
      <w:proofErr w:type="spellEnd"/>
      <w:r>
        <w:rPr>
          <w:lang w:eastAsia="ja-JP"/>
        </w:rPr>
        <w:t xml:space="preserve">); the waterfall plot of best percentage change in tumour size is shown in </w:t>
      </w:r>
      <w:r w:rsidR="00447B66">
        <w:rPr>
          <w:lang w:eastAsia="ja-JP"/>
        </w:rPr>
        <w:t>Figure 8</w:t>
      </w:r>
      <w:r>
        <w:rPr>
          <w:lang w:eastAsia="ja-JP"/>
        </w:rPr>
        <w:t>.</w:t>
      </w:r>
    </w:p>
    <w:p w:rsidR="00CD7E26" w:rsidRDefault="00CD7E26" w:rsidP="008F51E2">
      <w:pPr>
        <w:pStyle w:val="FigureTitle"/>
      </w:pPr>
      <w:bookmarkStart w:id="291" w:name="_Ref478904851"/>
      <w:bookmarkStart w:id="292" w:name="_Toc494206001"/>
      <w:r>
        <w:t xml:space="preserve">Figure </w:t>
      </w:r>
      <w:r w:rsidR="008F51E2">
        <w:t>8</w:t>
      </w:r>
      <w:bookmarkEnd w:id="291"/>
      <w:r>
        <w:t>: Waterfall Plot of Best Percentage Change in Tumour Size from Baseline (IRC Determined, ITT Population)</w:t>
      </w:r>
      <w:bookmarkEnd w:id="292"/>
    </w:p>
    <w:p w:rsidR="00CD7E26" w:rsidRPr="00742B43" w:rsidRDefault="00CD7E26" w:rsidP="00CD7E26">
      <w:pPr>
        <w:rPr>
          <w:lang w:eastAsia="ja-JP"/>
        </w:rPr>
      </w:pPr>
      <w:r w:rsidRPr="00087A26">
        <w:rPr>
          <w:noProof/>
          <w:lang w:eastAsia="en-AU"/>
        </w:rPr>
        <w:drawing>
          <wp:inline distT="0" distB="0" distL="0" distR="0" wp14:anchorId="5976C44B" wp14:editId="3C556802">
            <wp:extent cx="5731510" cy="2989340"/>
            <wp:effectExtent l="0" t="0" r="2540" b="1905"/>
            <wp:docPr id="27" name="Picture 27" descr="Figure 8: Waterfall Plot of Best Percentage Change in Tumour Size from Baseline (IRC Determ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5731510" cy="2989340"/>
                    </a:xfrm>
                    <a:prstGeom prst="rect">
                      <a:avLst/>
                    </a:prstGeom>
                    <a:noFill/>
                    <a:ln>
                      <a:noFill/>
                    </a:ln>
                  </pic:spPr>
                </pic:pic>
              </a:graphicData>
            </a:graphic>
          </wp:inline>
        </w:drawing>
      </w:r>
    </w:p>
    <w:p w:rsidR="00CD7E26" w:rsidRDefault="00CD7E26" w:rsidP="00CD7E26">
      <w:pPr>
        <w:pStyle w:val="Comment"/>
      </w:pPr>
      <w:r w:rsidRPr="00EE5CB5">
        <w:rPr>
          <w:b/>
        </w:rPr>
        <w:t>Comment</w:t>
      </w:r>
      <w:r>
        <w:rPr>
          <w:b/>
        </w:rPr>
        <w:t>:</w:t>
      </w:r>
      <w:r w:rsidR="006D0F86">
        <w:rPr>
          <w:b/>
        </w:rPr>
        <w:tab/>
      </w:r>
      <w:r>
        <w:t xml:space="preserve">The ORR was 17% for subjects receiving </w:t>
      </w:r>
      <w:proofErr w:type="spellStart"/>
      <w:r>
        <w:t>cabozantinib</w:t>
      </w:r>
      <w:proofErr w:type="spellEnd"/>
      <w:r>
        <w:t xml:space="preserve"> versus 3% </w:t>
      </w:r>
      <w:r w:rsidR="00026722">
        <w:t xml:space="preserve">for those receiving </w:t>
      </w:r>
      <w:proofErr w:type="spellStart"/>
      <w:r w:rsidR="00026722">
        <w:t>everolimus</w:t>
      </w:r>
      <w:proofErr w:type="spellEnd"/>
      <w:r w:rsidR="00026722">
        <w:t>.</w:t>
      </w:r>
    </w:p>
    <w:p w:rsidR="00CD7E26" w:rsidRDefault="00CD7E26" w:rsidP="00CD7E26">
      <w:pPr>
        <w:pStyle w:val="Heading6"/>
      </w:pPr>
      <w:r>
        <w:lastRenderedPageBreak/>
        <w:t xml:space="preserve">Additional </w:t>
      </w:r>
      <w:r w:rsidR="00B572CC">
        <w:t>e</w:t>
      </w:r>
      <w:r>
        <w:t>ndpoints</w:t>
      </w:r>
    </w:p>
    <w:p w:rsidR="00CD7E26" w:rsidRPr="00C031C9" w:rsidRDefault="00CD7E26" w:rsidP="00C031C9">
      <w:pPr>
        <w:pStyle w:val="Heading7"/>
      </w:pPr>
      <w:r w:rsidRPr="00C031C9">
        <w:t>Duration of response (DOR)</w:t>
      </w:r>
    </w:p>
    <w:p w:rsidR="00CD7E26" w:rsidRPr="003A3FAA" w:rsidRDefault="00CD7E26" w:rsidP="00CD7E26">
      <w:pPr>
        <w:ind w:left="360"/>
        <w:rPr>
          <w:lang w:eastAsia="ja-JP"/>
        </w:rPr>
      </w:pPr>
      <w:r>
        <w:t xml:space="preserve">The Kaplan-Meier estimate of median DOR was not estimable (NE; 95% CI: 7.2, NE) for the </w:t>
      </w:r>
      <w:proofErr w:type="spellStart"/>
      <w:r>
        <w:t>cabozantinib</w:t>
      </w:r>
      <w:proofErr w:type="spellEnd"/>
      <w:r>
        <w:t xml:space="preserve"> arm and 7.4-months (95% CI 1.9, NE) for the </w:t>
      </w:r>
      <w:proofErr w:type="spellStart"/>
      <w:r>
        <w:t>everolimus</w:t>
      </w:r>
      <w:proofErr w:type="spellEnd"/>
      <w:r>
        <w:t xml:space="preserve"> arm</w:t>
      </w:r>
      <w:r w:rsidR="00026722">
        <w:t>.</w:t>
      </w:r>
    </w:p>
    <w:p w:rsidR="00CD7E26" w:rsidRPr="00C031C9" w:rsidRDefault="00CD7E26" w:rsidP="00C031C9">
      <w:pPr>
        <w:pStyle w:val="Heading7"/>
      </w:pPr>
      <w:r w:rsidRPr="00C031C9">
        <w:t>Changes in bone scans</w:t>
      </w:r>
    </w:p>
    <w:p w:rsidR="00CD7E26" w:rsidRDefault="00CD7E26" w:rsidP="00CD7E26">
      <w:pPr>
        <w:ind w:left="360"/>
        <w:rPr>
          <w:lang w:eastAsia="ja-JP"/>
        </w:rPr>
      </w:pPr>
      <w:r>
        <w:rPr>
          <w:lang w:eastAsia="ja-JP"/>
        </w:rPr>
        <w:t xml:space="preserve">Bone scan response, as determined by the IRC, was an exploratory endpoint that was analysed for subjects who had baseline bone scans showing bone lesions (105 subjects 32%] in the </w:t>
      </w:r>
      <w:proofErr w:type="spellStart"/>
      <w:r>
        <w:rPr>
          <w:lang w:eastAsia="ja-JP"/>
        </w:rPr>
        <w:t>cabozantinib</w:t>
      </w:r>
      <w:proofErr w:type="spellEnd"/>
      <w:r>
        <w:rPr>
          <w:lang w:eastAsia="ja-JP"/>
        </w:rPr>
        <w:t xml:space="preserve"> arm and 73 subjects [22%] in the </w:t>
      </w:r>
      <w:proofErr w:type="spellStart"/>
      <w:r>
        <w:rPr>
          <w:lang w:eastAsia="ja-JP"/>
        </w:rPr>
        <w:t>everolimus</w:t>
      </w:r>
      <w:proofErr w:type="spellEnd"/>
      <w:r>
        <w:rPr>
          <w:lang w:eastAsia="ja-JP"/>
        </w:rPr>
        <w:t xml:space="preserve"> arm).</w:t>
      </w:r>
    </w:p>
    <w:p w:rsidR="00CD7E26" w:rsidRPr="003A3FAA" w:rsidRDefault="00CD7E26" w:rsidP="00CD7E26">
      <w:pPr>
        <w:ind w:left="360"/>
        <w:rPr>
          <w:lang w:eastAsia="ja-JP"/>
        </w:rPr>
      </w:pPr>
      <w:r>
        <w:rPr>
          <w:lang w:eastAsia="ja-JP"/>
        </w:rPr>
        <w:t xml:space="preserve">A trend for improved BSR with </w:t>
      </w:r>
      <w:proofErr w:type="spellStart"/>
      <w:r>
        <w:rPr>
          <w:lang w:eastAsia="ja-JP"/>
        </w:rPr>
        <w:t>cabozantinib</w:t>
      </w:r>
      <w:proofErr w:type="spellEnd"/>
      <w:r>
        <w:rPr>
          <w:lang w:eastAsia="ja-JP"/>
        </w:rPr>
        <w:t xml:space="preserve"> treatment was observed: BSR was 18% (95% CI: 11, 27) in the </w:t>
      </w:r>
      <w:proofErr w:type="spellStart"/>
      <w:r>
        <w:rPr>
          <w:lang w:eastAsia="ja-JP"/>
        </w:rPr>
        <w:t>cabozantinib</w:t>
      </w:r>
      <w:proofErr w:type="spellEnd"/>
      <w:r>
        <w:rPr>
          <w:lang w:eastAsia="ja-JP"/>
        </w:rPr>
        <w:t xml:space="preserve"> arm and 10% (95% CI: 4, 19) in the </w:t>
      </w:r>
      <w:proofErr w:type="spellStart"/>
      <w:r>
        <w:rPr>
          <w:lang w:eastAsia="ja-JP"/>
        </w:rPr>
        <w:t>everolimus</w:t>
      </w:r>
      <w:proofErr w:type="spellEnd"/>
      <w:r>
        <w:rPr>
          <w:lang w:eastAsia="ja-JP"/>
        </w:rPr>
        <w:t xml:space="preserve"> arm. The median duration of BSR was not estimable for subjects who had a response in either treatment arm.</w:t>
      </w:r>
    </w:p>
    <w:p w:rsidR="00CD7E26" w:rsidRPr="00267B6C" w:rsidRDefault="00CD7E26" w:rsidP="00267B6C">
      <w:pPr>
        <w:pStyle w:val="Heading7"/>
      </w:pPr>
      <w:r w:rsidRPr="00267B6C">
        <w:t xml:space="preserve">Characterization of the pharmacokinetics of </w:t>
      </w:r>
      <w:proofErr w:type="spellStart"/>
      <w:r w:rsidRPr="00267B6C">
        <w:t>cabozantinib</w:t>
      </w:r>
      <w:proofErr w:type="spellEnd"/>
    </w:p>
    <w:p w:rsidR="00CD7E26" w:rsidRDefault="00CD7E26" w:rsidP="00CD7E26">
      <w:pPr>
        <w:ind w:left="360"/>
        <w:rPr>
          <w:lang w:eastAsia="ja-JP"/>
        </w:rPr>
      </w:pPr>
      <w:r w:rsidRPr="00FC3A63">
        <w:rPr>
          <w:lang w:eastAsia="ja-JP"/>
        </w:rPr>
        <w:t xml:space="preserve">The PK analysis was restricted to subjects in the </w:t>
      </w:r>
      <w:proofErr w:type="spellStart"/>
      <w:r w:rsidRPr="00FC3A63">
        <w:rPr>
          <w:lang w:eastAsia="ja-JP"/>
        </w:rPr>
        <w:t>cabozantinib</w:t>
      </w:r>
      <w:proofErr w:type="spellEnd"/>
      <w:r w:rsidRPr="00FC3A63">
        <w:rPr>
          <w:lang w:eastAsia="ja-JP"/>
        </w:rPr>
        <w:t xml:space="preserve"> arm and was performed two ways. The first method was based on all concentration records that met analysis eligibility requirements</w:t>
      </w:r>
      <w:r w:rsidR="000756FA">
        <w:rPr>
          <w:lang w:eastAsia="ja-JP"/>
        </w:rPr>
        <w:t xml:space="preserve"> (Table </w:t>
      </w:r>
      <w:r w:rsidR="00DB6CD6">
        <w:rPr>
          <w:lang w:eastAsia="ja-JP"/>
        </w:rPr>
        <w:t>21</w:t>
      </w:r>
      <w:r w:rsidR="000756FA">
        <w:rPr>
          <w:lang w:eastAsia="ja-JP"/>
        </w:rPr>
        <w:t>).</w:t>
      </w:r>
    </w:p>
    <w:p w:rsidR="00CD7E26" w:rsidRDefault="00CD7E26" w:rsidP="00CD7E26">
      <w:pPr>
        <w:ind w:left="360"/>
        <w:rPr>
          <w:lang w:eastAsia="ja-JP"/>
        </w:rPr>
      </w:pPr>
      <w:r>
        <w:rPr>
          <w:lang w:eastAsia="ja-JP"/>
        </w:rPr>
        <w:t xml:space="preserve">The second method of analysis was based on a dataset that was further filtered to select analysis eligible concentration records where approximate steady-state concentrations at the initial cohort-assigned dose were expected (for example, where 14 of 15 of the 60 mg/day </w:t>
      </w:r>
      <w:proofErr w:type="spellStart"/>
      <w:r>
        <w:rPr>
          <w:lang w:eastAsia="ja-JP"/>
        </w:rPr>
        <w:t>cabozantinib</w:t>
      </w:r>
      <w:proofErr w:type="spellEnd"/>
      <w:r>
        <w:rPr>
          <w:lang w:eastAsia="ja-JP"/>
        </w:rPr>
        <w:t xml:space="preserve"> doses were received over the 15-days immediately prior to the PK visit. Based on the long plasma half-life determined previously for </w:t>
      </w:r>
      <w:proofErr w:type="spellStart"/>
      <w:r>
        <w:rPr>
          <w:lang w:eastAsia="ja-JP"/>
        </w:rPr>
        <w:t>cabozantinib</w:t>
      </w:r>
      <w:proofErr w:type="spellEnd"/>
      <w:r>
        <w:rPr>
          <w:lang w:eastAsia="ja-JP"/>
        </w:rPr>
        <w:t xml:space="preserve">, steady-state </w:t>
      </w:r>
      <w:proofErr w:type="spellStart"/>
      <w:r>
        <w:rPr>
          <w:lang w:eastAsia="ja-JP"/>
        </w:rPr>
        <w:t>cabozantinib</w:t>
      </w:r>
      <w:proofErr w:type="spellEnd"/>
      <w:r>
        <w:rPr>
          <w:lang w:eastAsia="ja-JP"/>
        </w:rPr>
        <w:t xml:space="preserve"> concentrations were achieved by Week-5 Day-1, the first scheduled PK collection time point</w:t>
      </w:r>
      <w:r w:rsidR="00DB6CD6">
        <w:rPr>
          <w:lang w:eastAsia="ja-JP"/>
        </w:rPr>
        <w:t xml:space="preserve"> (Table 22).</w:t>
      </w:r>
    </w:p>
    <w:p w:rsidR="00CD7E26" w:rsidRDefault="00CD7E26" w:rsidP="000756FA">
      <w:pPr>
        <w:pStyle w:val="Tabletitle"/>
      </w:pPr>
      <w:bookmarkStart w:id="293" w:name="_Ref478906804"/>
      <w:bookmarkStart w:id="294" w:name="_Toc494205933"/>
      <w:r>
        <w:t xml:space="preserve">Table </w:t>
      </w:r>
      <w:r w:rsidR="00DB6CD6">
        <w:t>21</w:t>
      </w:r>
      <w:bookmarkEnd w:id="293"/>
      <w:r>
        <w:t xml:space="preserve">: Summary </w:t>
      </w:r>
      <w:r w:rsidR="000756FA">
        <w:t>t</w:t>
      </w:r>
      <w:r>
        <w:t xml:space="preserve">able of </w:t>
      </w:r>
      <w:proofErr w:type="spellStart"/>
      <w:r>
        <w:t>Cabozantinib</w:t>
      </w:r>
      <w:proofErr w:type="spellEnd"/>
      <w:r>
        <w:t xml:space="preserve"> Plasma PK Concentrations by Visit for</w:t>
      </w:r>
      <w:r w:rsidRPr="00FC3A63">
        <w:t xml:space="preserve"> </w:t>
      </w:r>
      <w:r>
        <w:t xml:space="preserve">RCC Subjects in the </w:t>
      </w:r>
      <w:proofErr w:type="spellStart"/>
      <w:r>
        <w:t>Cabozantinib</w:t>
      </w:r>
      <w:proofErr w:type="spellEnd"/>
      <w:r>
        <w:t xml:space="preserve"> Arm (Subjects with Analysis Eligible Records)</w:t>
      </w:r>
      <w:bookmarkEnd w:id="294"/>
    </w:p>
    <w:p w:rsidR="00CD7E26" w:rsidRDefault="00CD7E26" w:rsidP="00CD7E26">
      <w:pPr>
        <w:rPr>
          <w:lang w:eastAsia="ja-JP"/>
        </w:rPr>
      </w:pPr>
      <w:r w:rsidRPr="00FC3A63">
        <w:rPr>
          <w:noProof/>
          <w:lang w:eastAsia="en-AU"/>
        </w:rPr>
        <w:drawing>
          <wp:inline distT="0" distB="0" distL="0" distR="0" wp14:anchorId="3383EABF" wp14:editId="66D168F1">
            <wp:extent cx="5095875" cy="3914775"/>
            <wp:effectExtent l="0" t="0" r="9525" b="9525"/>
            <wp:docPr id="29" name="Picture 29" descr="Table 21: Summary table of Cabozantinib Plasma PK Concentrations by Visit for RCC Subjects in the Cabozantinib Arm (Subjects with Analysis Eligible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6">
                      <a:lum bright="-20000" contrast="40000"/>
                      <a:extLst>
                        <a:ext uri="{28A0092B-C50C-407E-A947-70E740481C1C}">
                          <a14:useLocalDpi xmlns:a14="http://schemas.microsoft.com/office/drawing/2010/main" val="0"/>
                        </a:ext>
                      </a:extLst>
                    </a:blip>
                    <a:srcRect t="2558" b="1403"/>
                    <a:stretch/>
                  </pic:blipFill>
                  <pic:spPr bwMode="auto">
                    <a:xfrm>
                      <a:off x="0" y="0"/>
                      <a:ext cx="5096510" cy="3915263"/>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0756FA">
      <w:pPr>
        <w:pStyle w:val="Tabletitle"/>
      </w:pPr>
      <w:bookmarkStart w:id="295" w:name="_Ref478906866"/>
      <w:bookmarkStart w:id="296" w:name="_Toc494205934"/>
      <w:r>
        <w:lastRenderedPageBreak/>
        <w:t>Table</w:t>
      </w:r>
      <w:r w:rsidR="000756FA">
        <w:t xml:space="preserve"> 2</w:t>
      </w:r>
      <w:bookmarkEnd w:id="295"/>
      <w:r w:rsidR="00DB6CD6">
        <w:t>2</w:t>
      </w:r>
      <w:r w:rsidR="000756FA">
        <w:t>: Summary t</w:t>
      </w:r>
      <w:r>
        <w:t xml:space="preserve">able of </w:t>
      </w:r>
      <w:proofErr w:type="spellStart"/>
      <w:r>
        <w:t>Cabozantinib</w:t>
      </w:r>
      <w:proofErr w:type="spellEnd"/>
      <w:r>
        <w:t xml:space="preserve"> Plasma PK Concentrations by Visit for RCC Subjects in the </w:t>
      </w:r>
      <w:proofErr w:type="spellStart"/>
      <w:r>
        <w:t>Cabozantinib</w:t>
      </w:r>
      <w:proofErr w:type="spellEnd"/>
      <w:r>
        <w:t xml:space="preserve"> Arm (</w:t>
      </w:r>
      <w:r w:rsidR="00D6455B">
        <w:t>s</w:t>
      </w:r>
      <w:r>
        <w:t xml:space="preserve">ubjects with Analysis Eligible Records at Approximately 60 mg/day Steady </w:t>
      </w:r>
      <w:proofErr w:type="spellStart"/>
      <w:r>
        <w:t>State</w:t>
      </w:r>
      <w:r w:rsidRPr="00FC3A63">
        <w:rPr>
          <w:vertAlign w:val="superscript"/>
        </w:rPr>
        <w:t>a</w:t>
      </w:r>
      <w:proofErr w:type="spellEnd"/>
      <w:r>
        <w:t>)</w:t>
      </w:r>
      <w:bookmarkEnd w:id="296"/>
    </w:p>
    <w:p w:rsidR="00CD7E26" w:rsidRDefault="00CD7E26" w:rsidP="00CD7E26">
      <w:pPr>
        <w:ind w:left="360"/>
        <w:rPr>
          <w:lang w:eastAsia="ja-JP"/>
        </w:rPr>
      </w:pPr>
      <w:r w:rsidRPr="00FC3A63">
        <w:rPr>
          <w:noProof/>
          <w:lang w:eastAsia="en-AU"/>
        </w:rPr>
        <w:drawing>
          <wp:inline distT="0" distB="0" distL="0" distR="0" wp14:anchorId="0AB3D14D" wp14:editId="2F713218">
            <wp:extent cx="4980089" cy="3657600"/>
            <wp:effectExtent l="0" t="0" r="0" b="0"/>
            <wp:docPr id="30" name="Picture 30" descr="Table 22: Summary table of Cabozantinib Plasma PK Concentrations by Visit for RCC Subjects in the Cabozantinib Arm (subjects with Analysis Eligible Records at Approximately 60 mg/day Steady Sta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7">
                      <a:lum bright="-20000" contrast="40000"/>
                      <a:extLst>
                        <a:ext uri="{28A0092B-C50C-407E-A947-70E740481C1C}">
                          <a14:useLocalDpi xmlns:a14="http://schemas.microsoft.com/office/drawing/2010/main" val="0"/>
                        </a:ext>
                      </a:extLst>
                    </a:blip>
                    <a:srcRect t="1538"/>
                    <a:stretch/>
                  </pic:blipFill>
                  <pic:spPr bwMode="auto">
                    <a:xfrm>
                      <a:off x="0" y="0"/>
                      <a:ext cx="4980940" cy="3658225"/>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ind w:left="360"/>
        <w:rPr>
          <w:lang w:eastAsia="ja-JP"/>
        </w:rPr>
      </w:pPr>
      <w:r>
        <w:rPr>
          <w:lang w:eastAsia="ja-JP"/>
        </w:rPr>
        <w:t xml:space="preserve">One hundred thirty-four (134) subjects contributed data to summary statistics calculations after filtering to select pre-dose concentration records at approximate steady state (these subjects took at least 14 of 15 of the 60 mg/day </w:t>
      </w:r>
      <w:proofErr w:type="spellStart"/>
      <w:r>
        <w:rPr>
          <w:lang w:eastAsia="ja-JP"/>
        </w:rPr>
        <w:t>cabozantinib</w:t>
      </w:r>
      <w:proofErr w:type="spellEnd"/>
      <w:r>
        <w:rPr>
          <w:lang w:eastAsia="ja-JP"/>
        </w:rPr>
        <w:t xml:space="preserve"> doses over the 15-days immediately prior to the PK visits and had PK samples collected and analysed at both Week-5 Day-1 and Week-9 Day-1). In this subset, the mean steady-state pre-dose plasma concentration of </w:t>
      </w:r>
      <w:proofErr w:type="spellStart"/>
      <w:r>
        <w:rPr>
          <w:lang w:eastAsia="ja-JP"/>
        </w:rPr>
        <w:t>cabozantinib</w:t>
      </w:r>
      <w:proofErr w:type="spellEnd"/>
      <w:r>
        <w:rPr>
          <w:lang w:eastAsia="ja-JP"/>
        </w:rPr>
        <w:t xml:space="preserve"> at Week-5 Day-1 was 1220 ng/mL (n = 134) with a CV% of 46.0%. The mean steady-state pre-dose plasma concentration of </w:t>
      </w:r>
      <w:proofErr w:type="spellStart"/>
      <w:r>
        <w:rPr>
          <w:lang w:eastAsia="ja-JP"/>
        </w:rPr>
        <w:t>cabozantinib</w:t>
      </w:r>
      <w:proofErr w:type="spellEnd"/>
      <w:r>
        <w:rPr>
          <w:lang w:eastAsia="ja-JP"/>
        </w:rPr>
        <w:t xml:space="preserve"> at Week-9 Day-1 was lower at 1040 ng/mL (n = 134) with a CV% of 48.2%.</w:t>
      </w:r>
    </w:p>
    <w:p w:rsidR="00CD7E26" w:rsidRPr="00FC3A63" w:rsidRDefault="00CD7E26" w:rsidP="00CD7E26">
      <w:pPr>
        <w:ind w:left="360"/>
        <w:rPr>
          <w:lang w:eastAsia="ja-JP"/>
        </w:rPr>
      </w:pPr>
      <w:r>
        <w:rPr>
          <w:lang w:eastAsia="ja-JP"/>
        </w:rPr>
        <w:t xml:space="preserve">In the Steady-State population, mean plasma concentrations were somewhat lower at Week-9 than Week-5 and somewhat higher in females than males across all comparisons. However, concentrations between these two time points and between genders were not meaningfully different when considering the variability in </w:t>
      </w:r>
      <w:proofErr w:type="spellStart"/>
      <w:r>
        <w:rPr>
          <w:lang w:eastAsia="ja-JP"/>
        </w:rPr>
        <w:t>cabozantinib</w:t>
      </w:r>
      <w:proofErr w:type="spellEnd"/>
      <w:r>
        <w:rPr>
          <w:lang w:eastAsia="ja-JP"/>
        </w:rPr>
        <w:t xml:space="preserve"> plasma exposure parameter values (CV% of 42%-62% across all analysis eligible subjects).</w:t>
      </w:r>
    </w:p>
    <w:p w:rsidR="00CD7E26" w:rsidRPr="00267B6C" w:rsidRDefault="00CD7E26" w:rsidP="00267B6C">
      <w:pPr>
        <w:pStyle w:val="Heading7"/>
      </w:pPr>
      <w:r w:rsidRPr="00267B6C">
        <w:t>Change in kidney cancer-related symptoms as assessed by the Functional Assessment of Cancer Therapy-Kidney Symptom Index (FKSI-19)</w:t>
      </w:r>
    </w:p>
    <w:p w:rsidR="00CD7E26" w:rsidRPr="00910C9E" w:rsidRDefault="00CD7E26" w:rsidP="00CD7E26">
      <w:pPr>
        <w:ind w:left="360"/>
        <w:rPr>
          <w:lang w:eastAsia="ja-JP"/>
        </w:rPr>
      </w:pPr>
      <w:r>
        <w:rPr>
          <w:lang w:eastAsia="ja-JP"/>
        </w:rPr>
        <w:t xml:space="preserve">The median FKSI-19 total score at baseline was 77 for the </w:t>
      </w:r>
      <w:proofErr w:type="spellStart"/>
      <w:r>
        <w:rPr>
          <w:lang w:eastAsia="ja-JP"/>
        </w:rPr>
        <w:t>cabozantinib</w:t>
      </w:r>
      <w:proofErr w:type="spellEnd"/>
      <w:r>
        <w:rPr>
          <w:lang w:eastAsia="ja-JP"/>
        </w:rPr>
        <w:t xml:space="preserve"> arm and 77 for the </w:t>
      </w:r>
      <w:proofErr w:type="spellStart"/>
      <w:r>
        <w:rPr>
          <w:lang w:eastAsia="ja-JP"/>
        </w:rPr>
        <w:t>everolimus</w:t>
      </w:r>
      <w:proofErr w:type="spellEnd"/>
      <w:r>
        <w:rPr>
          <w:lang w:eastAsia="ja-JP"/>
        </w:rPr>
        <w:t xml:space="preserve"> arm out of a total possible score of 95. The number of FKSI questionnaires completed dropped to approximately 50% of the original number of subjects by Week-20 in the </w:t>
      </w:r>
      <w:proofErr w:type="spellStart"/>
      <w:r>
        <w:rPr>
          <w:lang w:eastAsia="ja-JP"/>
        </w:rPr>
        <w:t>everolimus</w:t>
      </w:r>
      <w:proofErr w:type="spellEnd"/>
      <w:r>
        <w:rPr>
          <w:lang w:eastAsia="ja-JP"/>
        </w:rPr>
        <w:t xml:space="preserve"> arm and Week-32 in the </w:t>
      </w:r>
      <w:proofErr w:type="spellStart"/>
      <w:r>
        <w:rPr>
          <w:lang w:eastAsia="ja-JP"/>
        </w:rPr>
        <w:t>cabozantinib</w:t>
      </w:r>
      <w:proofErr w:type="spellEnd"/>
      <w:r>
        <w:rPr>
          <w:lang w:eastAsia="ja-JP"/>
        </w:rPr>
        <w:t xml:space="preserve"> arm. In general, there were no notable differences between treatment arms in the FKSI-total and subscale scores over time.</w:t>
      </w:r>
    </w:p>
    <w:p w:rsidR="00CD7E26" w:rsidRDefault="00CD7E26" w:rsidP="00CD7E26">
      <w:pPr>
        <w:pStyle w:val="Heading7"/>
        <w:rPr>
          <w:lang w:eastAsia="ja-JP"/>
        </w:rPr>
      </w:pPr>
      <w:r w:rsidRPr="003A3FAA">
        <w:rPr>
          <w:lang w:eastAsia="ja-JP"/>
        </w:rPr>
        <w:t xml:space="preserve">Change in mobility, self-care, usual activities, pain/discomfort, and anxiety/depression, and global health as assessed by the </w:t>
      </w:r>
      <w:proofErr w:type="spellStart"/>
      <w:r w:rsidRPr="003A3FAA">
        <w:rPr>
          <w:lang w:eastAsia="ja-JP"/>
        </w:rPr>
        <w:t>EuroQol</w:t>
      </w:r>
      <w:proofErr w:type="spellEnd"/>
      <w:r w:rsidRPr="003A3FAA">
        <w:rPr>
          <w:lang w:eastAsia="ja-JP"/>
        </w:rPr>
        <w:t xml:space="preserve"> Health questionnaire instrument (EQ-5D-5L)</w:t>
      </w:r>
    </w:p>
    <w:p w:rsidR="00CD7E26" w:rsidRPr="00C16BAD" w:rsidRDefault="00CD7E26" w:rsidP="00CD7E26">
      <w:pPr>
        <w:ind w:left="360"/>
        <w:rPr>
          <w:lang w:eastAsia="ja-JP"/>
        </w:rPr>
      </w:pPr>
      <w:r>
        <w:rPr>
          <w:lang w:eastAsia="ja-JP"/>
        </w:rPr>
        <w:t xml:space="preserve">The EQ-5D-5L was converted into a single index value normalized across the nine different countries where the index has been validated. Index values range from 0 to 1, and a higher index score indicates better health. At baseline, the median index value was 0.8200 in the </w:t>
      </w:r>
      <w:proofErr w:type="spellStart"/>
      <w:r>
        <w:rPr>
          <w:lang w:eastAsia="ja-JP"/>
        </w:rPr>
        <w:lastRenderedPageBreak/>
        <w:t>cabozantinib</w:t>
      </w:r>
      <w:proofErr w:type="spellEnd"/>
      <w:r>
        <w:rPr>
          <w:lang w:eastAsia="ja-JP"/>
        </w:rPr>
        <w:t xml:space="preserve"> arm and 0.8270 in the </w:t>
      </w:r>
      <w:proofErr w:type="spellStart"/>
      <w:r>
        <w:rPr>
          <w:lang w:eastAsia="ja-JP"/>
        </w:rPr>
        <w:t>everolimus</w:t>
      </w:r>
      <w:proofErr w:type="spellEnd"/>
      <w:r>
        <w:rPr>
          <w:lang w:eastAsia="ja-JP"/>
        </w:rPr>
        <w:t xml:space="preserve"> arm. Index scores over time generally showed no treatment difference.</w:t>
      </w:r>
    </w:p>
    <w:p w:rsidR="00CD7E26" w:rsidRDefault="00CD7E26" w:rsidP="00CD7E26">
      <w:pPr>
        <w:pStyle w:val="Heading7"/>
        <w:rPr>
          <w:lang w:eastAsia="ja-JP"/>
        </w:rPr>
      </w:pPr>
      <w:r w:rsidRPr="003A3FAA">
        <w:rPr>
          <w:lang w:eastAsia="ja-JP"/>
        </w:rPr>
        <w:t>Proportion of subjects with post-</w:t>
      </w:r>
      <w:r>
        <w:rPr>
          <w:lang w:eastAsia="ja-JP"/>
        </w:rPr>
        <w:t>randomisation</w:t>
      </w:r>
      <w:r w:rsidRPr="003A3FAA">
        <w:rPr>
          <w:lang w:eastAsia="ja-JP"/>
        </w:rPr>
        <w:t xml:space="preserve"> skeletal-related events (SREs)</w:t>
      </w:r>
    </w:p>
    <w:p w:rsidR="00CD7E26" w:rsidRDefault="00CD7E26" w:rsidP="00CD7E26">
      <w:pPr>
        <w:ind w:left="360"/>
        <w:rPr>
          <w:lang w:eastAsia="ja-JP"/>
        </w:rPr>
      </w:pPr>
      <w:r>
        <w:rPr>
          <w:lang w:eastAsia="ja-JP"/>
        </w:rPr>
        <w:t xml:space="preserve">Pathological fractures, spinal cord compression, surgery to bone, and radiation therapy to bone were defined as SREs. A total of 12% of subjects in the </w:t>
      </w:r>
      <w:proofErr w:type="spellStart"/>
      <w:r>
        <w:rPr>
          <w:lang w:eastAsia="ja-JP"/>
        </w:rPr>
        <w:t>cabozantinib</w:t>
      </w:r>
      <w:proofErr w:type="spellEnd"/>
      <w:r>
        <w:rPr>
          <w:lang w:eastAsia="ja-JP"/>
        </w:rPr>
        <w:t xml:space="preserve"> arm and 14% of subjects in the </w:t>
      </w:r>
      <w:proofErr w:type="spellStart"/>
      <w:r>
        <w:rPr>
          <w:lang w:eastAsia="ja-JP"/>
        </w:rPr>
        <w:t>everolimus</w:t>
      </w:r>
      <w:proofErr w:type="spellEnd"/>
      <w:r>
        <w:rPr>
          <w:lang w:eastAsia="ja-JP"/>
        </w:rPr>
        <w:t xml:space="preserve"> arm had an SRE post-randomisation. For subjects who had an SRE prior to randomisation, the incidence of post-randomisation SREs was lower in the </w:t>
      </w:r>
      <w:proofErr w:type="spellStart"/>
      <w:r>
        <w:rPr>
          <w:lang w:eastAsia="ja-JP"/>
        </w:rPr>
        <w:t>cabozantinib</w:t>
      </w:r>
      <w:proofErr w:type="spellEnd"/>
      <w:r>
        <w:rPr>
          <w:lang w:eastAsia="ja-JP"/>
        </w:rPr>
        <w:t xml:space="preserve"> arm than the </w:t>
      </w:r>
      <w:proofErr w:type="spellStart"/>
      <w:r>
        <w:rPr>
          <w:lang w:eastAsia="ja-JP"/>
        </w:rPr>
        <w:t>everolimus</w:t>
      </w:r>
      <w:proofErr w:type="spellEnd"/>
      <w:r>
        <w:rPr>
          <w:lang w:eastAsia="ja-JP"/>
        </w:rPr>
        <w:t xml:space="preserve"> arm (15/91 [16%] </w:t>
      </w:r>
      <w:proofErr w:type="spellStart"/>
      <w:r>
        <w:rPr>
          <w:lang w:eastAsia="ja-JP"/>
        </w:rPr>
        <w:t>cabozantinib</w:t>
      </w:r>
      <w:proofErr w:type="spellEnd"/>
      <w:r>
        <w:rPr>
          <w:lang w:eastAsia="ja-JP"/>
        </w:rPr>
        <w:t xml:space="preserve">, 31/90 [34%] </w:t>
      </w:r>
      <w:proofErr w:type="spellStart"/>
      <w:r>
        <w:rPr>
          <w:lang w:eastAsia="ja-JP"/>
        </w:rPr>
        <w:t>everolimus</w:t>
      </w:r>
      <w:proofErr w:type="spellEnd"/>
      <w:r>
        <w:rPr>
          <w:lang w:eastAsia="ja-JP"/>
        </w:rPr>
        <w:t>).</w:t>
      </w:r>
    </w:p>
    <w:p w:rsidR="00CD7E26" w:rsidRDefault="00CD7E26" w:rsidP="000756FA">
      <w:pPr>
        <w:pStyle w:val="Tabletitle"/>
      </w:pPr>
      <w:bookmarkStart w:id="297" w:name="_Toc494205935"/>
      <w:r>
        <w:t xml:space="preserve">Table </w:t>
      </w:r>
      <w:r w:rsidR="000756FA">
        <w:t>2</w:t>
      </w:r>
      <w:r w:rsidR="00DB6CD6">
        <w:t>3</w:t>
      </w:r>
      <w:r>
        <w:t>: Subjects with Post-Randomisation Investigator-Assessed Skeletal-Related Events (ITT Population)</w:t>
      </w:r>
      <w:bookmarkEnd w:id="297"/>
    </w:p>
    <w:p w:rsidR="00CD7E26" w:rsidRDefault="00CD7E26" w:rsidP="00CD7E26">
      <w:pPr>
        <w:ind w:left="360"/>
        <w:rPr>
          <w:lang w:eastAsia="ja-JP"/>
        </w:rPr>
      </w:pPr>
      <w:r w:rsidRPr="00C16BAD">
        <w:rPr>
          <w:noProof/>
          <w:lang w:eastAsia="en-AU"/>
        </w:rPr>
        <w:drawing>
          <wp:inline distT="0" distB="0" distL="0" distR="0" wp14:anchorId="249B8243" wp14:editId="7CE0F903">
            <wp:extent cx="5249545" cy="3571240"/>
            <wp:effectExtent l="0" t="0" r="8255" b="0"/>
            <wp:docPr id="28" name="Picture 28" descr="Table 23: Subjects with Post-Randomisation Investigator-Assessed Skeletal-Related Event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lum bright="-20000" contrast="40000"/>
                      <a:extLst>
                        <a:ext uri="{28A0092B-C50C-407E-A947-70E740481C1C}">
                          <a14:useLocalDpi xmlns:a14="http://schemas.microsoft.com/office/drawing/2010/main" val="0"/>
                        </a:ext>
                      </a:extLst>
                    </a:blip>
                    <a:srcRect/>
                    <a:stretch>
                      <a:fillRect/>
                    </a:stretch>
                  </pic:blipFill>
                  <pic:spPr bwMode="auto">
                    <a:xfrm>
                      <a:off x="0" y="0"/>
                      <a:ext cx="5249545" cy="3571240"/>
                    </a:xfrm>
                    <a:prstGeom prst="rect">
                      <a:avLst/>
                    </a:prstGeom>
                    <a:noFill/>
                    <a:ln>
                      <a:noFill/>
                    </a:ln>
                  </pic:spPr>
                </pic:pic>
              </a:graphicData>
            </a:graphic>
          </wp:inline>
        </w:drawing>
      </w:r>
    </w:p>
    <w:p w:rsidR="00CD7E26" w:rsidRDefault="00CD7E26" w:rsidP="00CD7E26">
      <w:pPr>
        <w:pStyle w:val="Heading7"/>
        <w:rPr>
          <w:lang w:eastAsia="ja-JP"/>
        </w:rPr>
      </w:pPr>
      <w:r w:rsidRPr="003A3FAA">
        <w:rPr>
          <w:lang w:eastAsia="ja-JP"/>
        </w:rPr>
        <w:t>Relationship of baseline and changes in plasma biomarkers, serum bone markers, serum calcium, and circulating tumour cells (CTCs) with treatment and/or clinical outcome</w:t>
      </w:r>
    </w:p>
    <w:p w:rsidR="00CD7E26" w:rsidRDefault="00CD7E26" w:rsidP="00267B6C">
      <w:pPr>
        <w:rPr>
          <w:lang w:eastAsia="ja-JP"/>
        </w:rPr>
      </w:pPr>
      <w:r>
        <w:rPr>
          <w:lang w:eastAsia="ja-JP"/>
        </w:rPr>
        <w:t>No analysis provided.</w:t>
      </w:r>
    </w:p>
    <w:p w:rsidR="00CD7E26" w:rsidRPr="003A3FAA" w:rsidRDefault="00CD7E26" w:rsidP="00CD7E26">
      <w:pPr>
        <w:pStyle w:val="Heading7"/>
      </w:pPr>
      <w:r w:rsidRPr="003A3FAA">
        <w:rPr>
          <w:lang w:eastAsia="ja-JP"/>
        </w:rPr>
        <w:t>Health care resource utilization</w:t>
      </w:r>
    </w:p>
    <w:p w:rsidR="00CD7E26" w:rsidRDefault="00CD7E26" w:rsidP="00CD7E26">
      <w:r w:rsidRPr="00FC3A63">
        <w:t>Among all subjects hospitalization rates (37%</w:t>
      </w:r>
      <w:r>
        <w:t xml:space="preserve"> versus </w:t>
      </w:r>
      <w:r w:rsidRPr="00FC3A63">
        <w:t>40% of subjects; 6.4</w:t>
      </w:r>
      <w:r>
        <w:t xml:space="preserve"> versus </w:t>
      </w:r>
      <w:r w:rsidRPr="00FC3A63">
        <w:t>10.2 days per person year),</w:t>
      </w:r>
      <w:r>
        <w:t xml:space="preserve"> </w:t>
      </w:r>
      <w:r w:rsidRPr="00FC3A63">
        <w:t>ICU visit rates (1.2%</w:t>
      </w:r>
      <w:r>
        <w:t xml:space="preserve"> versus </w:t>
      </w:r>
      <w:r w:rsidRPr="00FC3A63">
        <w:t>2.1% of subjects; 0.07</w:t>
      </w:r>
      <w:r>
        <w:t xml:space="preserve"> versus </w:t>
      </w:r>
      <w:r w:rsidRPr="00FC3A63">
        <w:t xml:space="preserve">0.32 days per person-year) and </w:t>
      </w:r>
      <w:r>
        <w:t xml:space="preserve">surgeries per person-year (0.90 versus 1.35) were lower in the </w:t>
      </w:r>
      <w:proofErr w:type="spellStart"/>
      <w:r>
        <w:t>cabozantinib</w:t>
      </w:r>
      <w:proofErr w:type="spellEnd"/>
      <w:r>
        <w:t xml:space="preserve"> arm than the </w:t>
      </w:r>
      <w:proofErr w:type="spellStart"/>
      <w:r>
        <w:t>everolimus</w:t>
      </w:r>
      <w:proofErr w:type="spellEnd"/>
      <w:r>
        <w:t xml:space="preserve"> arm. The median number of hospitalizations, ICU visits, or surgeries per subject, among those who experienced these events, was similar in each treatment group.</w:t>
      </w:r>
    </w:p>
    <w:p w:rsidR="00CD7E26" w:rsidRPr="00C031C9" w:rsidRDefault="00CD7E26" w:rsidP="00C031C9">
      <w:pPr>
        <w:pStyle w:val="Heading5"/>
      </w:pPr>
      <w:r w:rsidRPr="00C031C9">
        <w:t>Evaluator commentary</w:t>
      </w:r>
    </w:p>
    <w:p w:rsidR="00CD7E26" w:rsidRDefault="00CD7E26" w:rsidP="00CD7E26">
      <w:bookmarkStart w:id="298" w:name="_Ref271037188"/>
      <w:bookmarkStart w:id="299" w:name="_Ref271037210"/>
      <w:bookmarkStart w:id="300" w:name="_Toc272414655"/>
      <w:bookmarkStart w:id="301" w:name="_Toc290888503"/>
      <w:bookmarkStart w:id="302" w:name="_Toc416353719"/>
      <w:bookmarkStart w:id="303" w:name="_Toc421005270"/>
      <w:bookmarkStart w:id="304" w:name="_Toc432079152"/>
      <w:bookmarkStart w:id="305" w:name="_Toc432080725"/>
      <w:bookmarkStart w:id="306" w:name="_Toc241374311"/>
      <w:bookmarkStart w:id="307" w:name="_Ref243294291"/>
      <w:r>
        <w:t xml:space="preserve">The pivotal study was a Phase III randomised open label study using an active comparator- </w:t>
      </w:r>
      <w:proofErr w:type="spellStart"/>
      <w:r>
        <w:t>everolimus</w:t>
      </w:r>
      <w:proofErr w:type="spellEnd"/>
      <w:r>
        <w:t xml:space="preserve"> that is a recognised treatment for advanced RCC and is on the ARTG with this indication. Dosing was appropriate.</w:t>
      </w:r>
    </w:p>
    <w:p w:rsidR="00CD7E26" w:rsidRPr="00E3791A" w:rsidRDefault="00CD7E26" w:rsidP="00CD7E26">
      <w:r>
        <w:t>In general, the study was well designed and the information well presented.</w:t>
      </w:r>
    </w:p>
    <w:p w:rsidR="00CD7E26" w:rsidRPr="00E46438" w:rsidRDefault="00CD7E26" w:rsidP="00CD7E26">
      <w:r>
        <w:lastRenderedPageBreak/>
        <w:t>There is potential for bias as radiographic evaluation of bony and cerebral metastasis was only undertaken at screening and followed per protocol in patients with known metastasis. The decision to undertake further radiographic studies to investigate for bony or cerebral metastasis was according to clinical indications as determined by the investigator. As the investigators were aware of treatments received there is a potential to influence their decision with regard to the necessity or timing of these investigations.</w:t>
      </w:r>
    </w:p>
    <w:p w:rsidR="00CD7E26" w:rsidRDefault="00CD7E26" w:rsidP="00CD7E26">
      <w:r>
        <w:t>The endpoint PFS is accepted as a relevant endpoint in patients with advanced RCC, this was the primary endpoint. OS was the secondary endpoint this is in complian</w:t>
      </w:r>
      <w:r w:rsidR="00026722">
        <w:t>ce with TGA adopted guidelines.</w:t>
      </w:r>
    </w:p>
    <w:p w:rsidR="00CD7E26" w:rsidRDefault="00CD7E26" w:rsidP="00CD7E26">
      <w:r w:rsidRPr="00E3791A">
        <w:t>The alpha setting function (for OS) was determined for a single interim analysis, it is not known what effect, if any, the unplanned interim analysis would have on the predetermined</w:t>
      </w:r>
      <w:r>
        <w:t xml:space="preserve"> significance level and a second unplanned interim analysis was undertaken.</w:t>
      </w:r>
    </w:p>
    <w:p w:rsidR="00CD7E26" w:rsidRDefault="00CD7E26" w:rsidP="00CD7E26">
      <w:r>
        <w:t>Investigation of biomarkers was an endpoint of this study but the results were not included in the clinical study report.</w:t>
      </w:r>
    </w:p>
    <w:p w:rsidR="00CD7E26" w:rsidRDefault="00CD7E26" w:rsidP="00CD7E26">
      <w:r>
        <w:t>The inclusion and exclusion criteria were acceptable.</w:t>
      </w:r>
    </w:p>
    <w:p w:rsidR="00CD7E26" w:rsidRPr="00E65C0E" w:rsidRDefault="00CD7E26" w:rsidP="00CD7E26">
      <w:pPr>
        <w:rPr>
          <w:lang w:eastAsia="ja-JP"/>
        </w:rPr>
      </w:pPr>
      <w:r>
        <w:t xml:space="preserve">A statistically significant difference between the treatment arms favouring </w:t>
      </w:r>
      <w:proofErr w:type="spellStart"/>
      <w:r>
        <w:t>cabozantinib</w:t>
      </w:r>
      <w:proofErr w:type="spellEnd"/>
      <w:r>
        <w:t xml:space="preserve"> was seen for the primary endpoint. The HR adjusted for stratification factors was 0.59 (p&lt;0.001). The Kaplan-Meier estimates for median duration of PFS were 7.4-months in the </w:t>
      </w:r>
      <w:proofErr w:type="spellStart"/>
      <w:r>
        <w:t>cabozantinib</w:t>
      </w:r>
      <w:proofErr w:type="spellEnd"/>
      <w:r>
        <w:t xml:space="preserve"> arm versus 3.8-months in the </w:t>
      </w:r>
      <w:proofErr w:type="spellStart"/>
      <w:r>
        <w:t>everolimus</w:t>
      </w:r>
      <w:proofErr w:type="spellEnd"/>
      <w:r>
        <w:t xml:space="preserve"> arm, a difference of 3.6-months favouring </w:t>
      </w:r>
      <w:proofErr w:type="spellStart"/>
      <w:r>
        <w:t>cabozantinib</w:t>
      </w:r>
      <w:proofErr w:type="spellEnd"/>
      <w:r>
        <w:t xml:space="preserve"> this is considered clinically significant. However only 247 out of the 259 events required were the power calculation had occurred at the data cut-off and the sponsor should have commented on this in the clinical study report. </w:t>
      </w:r>
      <w:r>
        <w:rPr>
          <w:lang w:eastAsia="ja-JP"/>
        </w:rPr>
        <w:t xml:space="preserve">Numerous sensitivity analyses have been undertaken, regardless of the assumptions statistical significance favouring </w:t>
      </w:r>
      <w:proofErr w:type="spellStart"/>
      <w:r>
        <w:rPr>
          <w:lang w:eastAsia="ja-JP"/>
        </w:rPr>
        <w:t>cabozantinib</w:t>
      </w:r>
      <w:proofErr w:type="spellEnd"/>
      <w:r>
        <w:rPr>
          <w:lang w:eastAsia="ja-JP"/>
        </w:rPr>
        <w:t xml:space="preserve"> was demonstrated.</w:t>
      </w:r>
    </w:p>
    <w:p w:rsidR="00CD7E26" w:rsidRDefault="00CD7E26" w:rsidP="00CD7E26">
      <w:pPr>
        <w:rPr>
          <w:lang w:eastAsia="ja-JP"/>
        </w:rPr>
      </w:pPr>
      <w:r w:rsidRPr="007B2AEB">
        <w:rPr>
          <w:lang w:eastAsia="ja-JP"/>
        </w:rPr>
        <w:t xml:space="preserve">At the </w:t>
      </w:r>
      <w:r>
        <w:rPr>
          <w:lang w:eastAsia="ja-JP"/>
        </w:rPr>
        <w:t xml:space="preserve">data </w:t>
      </w:r>
      <w:r w:rsidRPr="007B2AEB">
        <w:rPr>
          <w:lang w:eastAsia="ja-JP"/>
        </w:rPr>
        <w:t>cut</w:t>
      </w:r>
      <w:r>
        <w:rPr>
          <w:lang w:eastAsia="ja-JP"/>
        </w:rPr>
        <w:t>-</w:t>
      </w:r>
      <w:r w:rsidRPr="007B2AEB">
        <w:rPr>
          <w:lang w:eastAsia="ja-JP"/>
        </w:rPr>
        <w:t>off</w:t>
      </w:r>
      <w:r>
        <w:rPr>
          <w:lang w:eastAsia="ja-JP"/>
        </w:rPr>
        <w:t xml:space="preserve"> for the first interim analysis of OS, </w:t>
      </w:r>
      <w:r w:rsidRPr="007B2AEB">
        <w:rPr>
          <w:lang w:eastAsia="ja-JP"/>
        </w:rPr>
        <w:t>May</w:t>
      </w:r>
      <w:r>
        <w:rPr>
          <w:lang w:eastAsia="ja-JP"/>
        </w:rPr>
        <w:t xml:space="preserve"> 2015, a trend for improved overall survival</w:t>
      </w:r>
      <w:r w:rsidRPr="007B2AEB">
        <w:rPr>
          <w:lang w:eastAsia="ja-JP"/>
        </w:rPr>
        <w:t xml:space="preserve"> for </w:t>
      </w:r>
      <w:proofErr w:type="spellStart"/>
      <w:r w:rsidRPr="007B2AEB">
        <w:rPr>
          <w:lang w:eastAsia="ja-JP"/>
        </w:rPr>
        <w:t>cabozantinib</w:t>
      </w:r>
      <w:proofErr w:type="spellEnd"/>
      <w:r w:rsidRPr="007B2AEB">
        <w:rPr>
          <w:lang w:eastAsia="ja-JP"/>
        </w:rPr>
        <w:t xml:space="preserve"> treated subjects was observed, 0.68 (95% CI: 0.51, 0.90; stratified log rank p-value = 0.006</w:t>
      </w:r>
      <w:r>
        <w:rPr>
          <w:lang w:eastAsia="ja-JP"/>
        </w:rPr>
        <w:t xml:space="preserve">). The magnitude of this response was approximately an additional five months of survival which can be considered clinically meaningful. A second, unplanned, interim analysis was undertaken to provide OS data for at least 12 months that demonstrated a similar HR and magnitude of response, statistical significance was met, however as it was not </w:t>
      </w:r>
      <w:proofErr w:type="spellStart"/>
      <w:r>
        <w:rPr>
          <w:lang w:eastAsia="ja-JP"/>
        </w:rPr>
        <w:t>prespecified</w:t>
      </w:r>
      <w:proofErr w:type="spellEnd"/>
      <w:r>
        <w:rPr>
          <w:lang w:eastAsia="ja-JP"/>
        </w:rPr>
        <w:t xml:space="preserve"> the relevance needs to be considered uncertain. Mature OS data is pending.</w:t>
      </w:r>
    </w:p>
    <w:p w:rsidR="00CD7E26" w:rsidRDefault="00CD7E26" w:rsidP="00CD7E26">
      <w:pPr>
        <w:rPr>
          <w:lang w:eastAsia="ja-JP"/>
        </w:rPr>
      </w:pPr>
      <w:r>
        <w:rPr>
          <w:lang w:eastAsia="ja-JP"/>
        </w:rPr>
        <w:t>Only a single pivotal study is submitted in this application, the degree of statistical significance for the results of the primary endpoint, PFS (p&lt;0.001) is in line with that which would expected for an application that includes a single pivotal study (that is, stronger than p&lt;0.05).</w:t>
      </w:r>
    </w:p>
    <w:p w:rsidR="00CD7E26" w:rsidRDefault="00CD7E26" w:rsidP="00CD7E26">
      <w:pPr>
        <w:rPr>
          <w:lang w:eastAsia="ja-JP"/>
        </w:rPr>
      </w:pPr>
      <w:r>
        <w:rPr>
          <w:lang w:eastAsia="ja-JP"/>
        </w:rPr>
        <w:t xml:space="preserve">The number of subjects who received non-protocol anticancer therapy was higher in those who had received </w:t>
      </w:r>
      <w:proofErr w:type="spellStart"/>
      <w:r>
        <w:rPr>
          <w:lang w:eastAsia="ja-JP"/>
        </w:rPr>
        <w:t>everolimus</w:t>
      </w:r>
      <w:proofErr w:type="spellEnd"/>
      <w:r>
        <w:rPr>
          <w:lang w:eastAsia="ja-JP"/>
        </w:rPr>
        <w:t xml:space="preserve"> as part of the study compared to those who had received </w:t>
      </w:r>
      <w:proofErr w:type="spellStart"/>
      <w:r>
        <w:rPr>
          <w:lang w:eastAsia="ja-JP"/>
        </w:rPr>
        <w:t>cabozantinib</w:t>
      </w:r>
      <w:proofErr w:type="spellEnd"/>
      <w:r>
        <w:rPr>
          <w:lang w:eastAsia="ja-JP"/>
        </w:rPr>
        <w:t>.</w:t>
      </w:r>
    </w:p>
    <w:p w:rsidR="00CD7E26" w:rsidRDefault="00CD7E26" w:rsidP="00CD7E26">
      <w:pPr>
        <w:rPr>
          <w:lang w:eastAsia="ja-JP"/>
        </w:rPr>
      </w:pPr>
      <w:r>
        <w:rPr>
          <w:lang w:eastAsia="ja-JP"/>
        </w:rPr>
        <w:t>The secondary endpoint ORR was supportive of the results seen for PFS and OS.</w:t>
      </w:r>
    </w:p>
    <w:p w:rsidR="00CD7E26" w:rsidRDefault="00CD7E26" w:rsidP="00CD7E26">
      <w:r>
        <w:t xml:space="preserve">In conclusion, although there are points for clarification, the study is of an acceptable design and complies with the TGA adopted </w:t>
      </w:r>
      <w:r w:rsidRPr="004C0B3E">
        <w:t>EMA, CHMP, Guideline on evaluation of anticancer medicinal products in man (EMA/CHMP/205/95 Rev 4)</w:t>
      </w:r>
      <w:r>
        <w:t>. The study is of an acceptable design and the results are sufficient to comply with the TGA adopted guideline European Medicines Agency Points to Consider on Application with 1 Meta-analyses; 2 One Pivotal Study CPMP/EWP/2330/99.</w:t>
      </w:r>
    </w:p>
    <w:p w:rsidR="00CD7E26" w:rsidRPr="00300796" w:rsidRDefault="00CD7E26" w:rsidP="00CD7E26">
      <w:pPr>
        <w:pStyle w:val="Heading3"/>
        <w:numPr>
          <w:ilvl w:val="1"/>
          <w:numId w:val="29"/>
        </w:numPr>
        <w:ind w:left="907" w:hanging="794"/>
      </w:pPr>
      <w:bookmarkStart w:id="308" w:name="_Toc520879805"/>
      <w:bookmarkStart w:id="309" w:name="_Toc531776251"/>
      <w:r w:rsidRPr="00300796">
        <w:lastRenderedPageBreak/>
        <w:t>Other efficacy studies</w:t>
      </w:r>
      <w:bookmarkEnd w:id="298"/>
      <w:bookmarkEnd w:id="299"/>
      <w:bookmarkEnd w:id="300"/>
      <w:bookmarkEnd w:id="301"/>
      <w:bookmarkEnd w:id="302"/>
      <w:bookmarkEnd w:id="303"/>
      <w:bookmarkEnd w:id="304"/>
      <w:bookmarkEnd w:id="305"/>
      <w:bookmarkEnd w:id="308"/>
      <w:bookmarkEnd w:id="309"/>
    </w:p>
    <w:p w:rsidR="00CD7E26" w:rsidRPr="00267B6C" w:rsidRDefault="00CD7E26" w:rsidP="00267B6C">
      <w:pPr>
        <w:pStyle w:val="Heading4"/>
      </w:pPr>
      <w:bookmarkStart w:id="310" w:name="_Toc290888504"/>
      <w:bookmarkStart w:id="311" w:name="_Toc416353720"/>
      <w:bookmarkEnd w:id="306"/>
      <w:bookmarkEnd w:id="307"/>
      <w:r w:rsidRPr="00267B6C">
        <w:t>Study</w:t>
      </w:r>
      <w:bookmarkEnd w:id="310"/>
      <w:r w:rsidRPr="00267B6C">
        <w:t xml:space="preserve"> ID</w:t>
      </w:r>
      <w:bookmarkEnd w:id="311"/>
      <w:r w:rsidRPr="00267B6C">
        <w:t xml:space="preserve"> XL184-008 A Phase 1 Drug-Drug Interaction Study of the Effects of XL184 (</w:t>
      </w:r>
      <w:proofErr w:type="spellStart"/>
      <w:r w:rsidRPr="00267B6C">
        <w:t>Cabozantinib</w:t>
      </w:r>
      <w:proofErr w:type="spellEnd"/>
      <w:r w:rsidRPr="00267B6C">
        <w:t>) on the Pharmacokinetics of a Single Oral Dose of Rosiglitazone in Subjects with Solid Tumours</w:t>
      </w:r>
    </w:p>
    <w:p w:rsidR="00CD7E26" w:rsidRPr="00D3240E" w:rsidRDefault="00CD7E26" w:rsidP="00CD7E26">
      <w:pPr>
        <w:rPr>
          <w:lang w:eastAsia="ja-JP"/>
        </w:rPr>
      </w:pPr>
      <w:r>
        <w:rPr>
          <w:lang w:eastAsia="ja-JP"/>
        </w:rPr>
        <w:t>This is a Phase I interaction study and included patients with RCC. The efficacy parameter was exploratory, the number of patients with RCC was 25 and the assessment of endpoints investigator determined. Finally, a different formulation (capsule) and different dose was investigated. This study is therefore not considered further with regard to efficacy.</w:t>
      </w:r>
    </w:p>
    <w:p w:rsidR="00CD7E26" w:rsidRPr="00C031C9" w:rsidRDefault="00CD7E26" w:rsidP="00C031C9">
      <w:pPr>
        <w:pStyle w:val="Heading4"/>
      </w:pPr>
      <w:r w:rsidRPr="00C031C9">
        <w:t>Evaluator commentary on other efficacy studies</w:t>
      </w:r>
    </w:p>
    <w:p w:rsidR="00CD7E26" w:rsidRPr="00F64B5D" w:rsidRDefault="00CD7E26" w:rsidP="00CD7E26">
      <w:pPr>
        <w:rPr>
          <w:lang w:eastAsia="ja-JP"/>
        </w:rPr>
      </w:pPr>
      <w:r>
        <w:rPr>
          <w:lang w:eastAsia="ja-JP"/>
        </w:rPr>
        <w:t>Not applicable.</w:t>
      </w:r>
    </w:p>
    <w:p w:rsidR="00CD7E26" w:rsidRPr="00C031C9" w:rsidRDefault="00CD7E26" w:rsidP="00C031C9">
      <w:pPr>
        <w:pStyle w:val="Heading3"/>
      </w:pPr>
      <w:bookmarkStart w:id="312" w:name="_Toc241374312"/>
      <w:bookmarkStart w:id="313" w:name="_Toc272414656"/>
      <w:bookmarkStart w:id="314" w:name="_Toc290888507"/>
      <w:bookmarkStart w:id="315" w:name="_Toc416353723"/>
      <w:bookmarkStart w:id="316" w:name="_Toc421005271"/>
      <w:bookmarkStart w:id="317" w:name="_Toc432079153"/>
      <w:bookmarkStart w:id="318" w:name="_Toc432080726"/>
      <w:bookmarkStart w:id="319" w:name="_Toc520879806"/>
      <w:bookmarkStart w:id="320" w:name="_Toc531776252"/>
      <w:r w:rsidRPr="00C031C9">
        <w:t xml:space="preserve">Analyses performed across trials: pooled and </w:t>
      </w:r>
      <w:proofErr w:type="gramStart"/>
      <w:r w:rsidRPr="00C031C9">
        <w:t>meta</w:t>
      </w:r>
      <w:proofErr w:type="gramEnd"/>
      <w:r w:rsidRPr="00C031C9">
        <w:t xml:space="preserve"> analyses</w:t>
      </w:r>
      <w:bookmarkEnd w:id="312"/>
      <w:bookmarkEnd w:id="313"/>
      <w:bookmarkEnd w:id="314"/>
      <w:bookmarkEnd w:id="315"/>
      <w:bookmarkEnd w:id="316"/>
      <w:bookmarkEnd w:id="317"/>
      <w:bookmarkEnd w:id="318"/>
      <w:bookmarkEnd w:id="319"/>
      <w:bookmarkEnd w:id="320"/>
    </w:p>
    <w:p w:rsidR="00CD7E26" w:rsidRDefault="00C031C9" w:rsidP="00CD7E26">
      <w:pPr>
        <w:rPr>
          <w:lang w:eastAsia="ja-JP"/>
        </w:rPr>
      </w:pPr>
      <w:bookmarkStart w:id="321" w:name="_Ref271126605"/>
      <w:bookmarkStart w:id="322" w:name="_Toc272414657"/>
      <w:bookmarkStart w:id="323" w:name="_Toc290888508"/>
      <w:bookmarkStart w:id="324" w:name="_Toc416353724"/>
      <w:bookmarkStart w:id="325" w:name="_Toc421005272"/>
      <w:bookmarkStart w:id="326" w:name="_Toc432079154"/>
      <w:bookmarkStart w:id="327" w:name="_Toc432080727"/>
      <w:proofErr w:type="gramStart"/>
      <w:r>
        <w:rPr>
          <w:lang w:eastAsia="ja-JP"/>
        </w:rPr>
        <w:t>N</w:t>
      </w:r>
      <w:r w:rsidR="00CD7E26">
        <w:rPr>
          <w:lang w:eastAsia="ja-JP"/>
        </w:rPr>
        <w:t>one.</w:t>
      </w:r>
      <w:proofErr w:type="gramEnd"/>
    </w:p>
    <w:p w:rsidR="00CD7E26" w:rsidRPr="005632DC" w:rsidRDefault="00CD7E26" w:rsidP="00CD7E26">
      <w:pPr>
        <w:pStyle w:val="Heading3"/>
        <w:numPr>
          <w:ilvl w:val="1"/>
          <w:numId w:val="29"/>
        </w:numPr>
        <w:ind w:left="907" w:hanging="794"/>
      </w:pPr>
      <w:bookmarkStart w:id="328" w:name="_Toc520879807"/>
      <w:bookmarkStart w:id="329" w:name="_Toc531776253"/>
      <w:r w:rsidRPr="005632DC">
        <w:t>Evaluator’s conclusions on clinical efficacy</w:t>
      </w:r>
      <w:bookmarkEnd w:id="321"/>
      <w:bookmarkEnd w:id="322"/>
      <w:bookmarkEnd w:id="323"/>
      <w:bookmarkEnd w:id="324"/>
      <w:bookmarkEnd w:id="325"/>
      <w:bookmarkEnd w:id="326"/>
      <w:bookmarkEnd w:id="327"/>
      <w:bookmarkEnd w:id="328"/>
      <w:bookmarkEnd w:id="329"/>
    </w:p>
    <w:p w:rsidR="00CD7E26" w:rsidRDefault="00CD7E26" w:rsidP="00CD7E26">
      <w:r w:rsidRPr="0011072F">
        <w:t xml:space="preserve">The efficacy </w:t>
      </w:r>
      <w:r>
        <w:t xml:space="preserve">presented demonstrates improvement in both OS and PFS in subjects with </w:t>
      </w:r>
      <w:r w:rsidRPr="0011072F">
        <w:t xml:space="preserve">advanced RCC </w:t>
      </w:r>
      <w:r>
        <w:t xml:space="preserve">that had previously received VEGFR-TKI therapy who are treated with </w:t>
      </w:r>
      <w:proofErr w:type="spellStart"/>
      <w:r>
        <w:t>cabozantinib</w:t>
      </w:r>
      <w:proofErr w:type="spellEnd"/>
      <w:r>
        <w:t>. The results for PFS and OS are supported by an improvement in ORR in terms of tumour burden.</w:t>
      </w:r>
    </w:p>
    <w:p w:rsidR="00CD7E26" w:rsidRDefault="00CD7E26" w:rsidP="00CD7E26">
      <w:pPr>
        <w:pStyle w:val="Heading2"/>
        <w:numPr>
          <w:ilvl w:val="0"/>
          <w:numId w:val="29"/>
        </w:numPr>
      </w:pPr>
      <w:bookmarkStart w:id="330" w:name="_Toc474664543"/>
      <w:bookmarkStart w:id="331" w:name="_Toc520879808"/>
      <w:bookmarkStart w:id="332" w:name="_Toc531776254"/>
      <w:r>
        <w:t>Clinical safety</w:t>
      </w:r>
      <w:bookmarkEnd w:id="330"/>
      <w:bookmarkEnd w:id="331"/>
      <w:bookmarkEnd w:id="332"/>
    </w:p>
    <w:p w:rsidR="00CD7E26" w:rsidRDefault="00CD7E26" w:rsidP="00CD7E26">
      <w:pPr>
        <w:pStyle w:val="Heading3"/>
        <w:numPr>
          <w:ilvl w:val="1"/>
          <w:numId w:val="29"/>
        </w:numPr>
        <w:ind w:left="907" w:hanging="794"/>
      </w:pPr>
      <w:bookmarkStart w:id="333" w:name="_Toc272414659"/>
      <w:bookmarkStart w:id="334" w:name="_Toc290888510"/>
      <w:bookmarkStart w:id="335" w:name="_Toc416353726"/>
      <w:bookmarkStart w:id="336" w:name="_Toc421005274"/>
      <w:bookmarkStart w:id="337" w:name="_Toc432079156"/>
      <w:bookmarkStart w:id="338" w:name="_Toc432080729"/>
      <w:bookmarkStart w:id="339" w:name="_Toc520879809"/>
      <w:bookmarkStart w:id="340" w:name="_Toc531776255"/>
      <w:r w:rsidRPr="00545B14">
        <w:t>Studies providing evaluable safety data</w:t>
      </w:r>
      <w:bookmarkEnd w:id="333"/>
      <w:bookmarkEnd w:id="334"/>
      <w:bookmarkEnd w:id="335"/>
      <w:bookmarkEnd w:id="336"/>
      <w:bookmarkEnd w:id="337"/>
      <w:bookmarkEnd w:id="338"/>
      <w:bookmarkEnd w:id="339"/>
      <w:bookmarkEnd w:id="340"/>
    </w:p>
    <w:p w:rsidR="00CD7E26" w:rsidRPr="00C3572A" w:rsidRDefault="00CD7E26" w:rsidP="00CD7E26">
      <w:pPr>
        <w:pStyle w:val="Heading4"/>
        <w:numPr>
          <w:ilvl w:val="2"/>
          <w:numId w:val="29"/>
        </w:numPr>
      </w:pPr>
      <w:bookmarkStart w:id="341" w:name="_Toc421005275"/>
      <w:bookmarkStart w:id="342" w:name="_Toc432079157"/>
      <w:bookmarkStart w:id="343" w:name="_Toc432080730"/>
      <w:r>
        <w:t>P</w:t>
      </w:r>
      <w:r w:rsidRPr="00C3572A">
        <w:t>ivotal studies that assessed safety as the sole primary outcome</w:t>
      </w:r>
      <w:bookmarkEnd w:id="341"/>
      <w:bookmarkEnd w:id="342"/>
      <w:bookmarkEnd w:id="343"/>
    </w:p>
    <w:p w:rsidR="00CD7E26" w:rsidRDefault="00CD7E26" w:rsidP="00CD7E26">
      <w:pPr>
        <w:rPr>
          <w:lang w:eastAsia="ja-JP"/>
        </w:rPr>
      </w:pPr>
      <w:bookmarkStart w:id="344" w:name="_Ref268776745"/>
      <w:bookmarkStart w:id="345" w:name="_Toc421005276"/>
      <w:bookmarkStart w:id="346" w:name="_Toc432079158"/>
      <w:bookmarkStart w:id="347" w:name="_Toc432080731"/>
      <w:r>
        <w:rPr>
          <w:lang w:eastAsia="ja-JP"/>
        </w:rPr>
        <w:t>Not applicable</w:t>
      </w:r>
      <w:r w:rsidR="00026722">
        <w:rPr>
          <w:lang w:eastAsia="ja-JP"/>
        </w:rPr>
        <w:t>.</w:t>
      </w:r>
    </w:p>
    <w:p w:rsidR="00CD7E26" w:rsidRPr="00545B14" w:rsidRDefault="00CD7E26" w:rsidP="00CD7E26">
      <w:pPr>
        <w:pStyle w:val="Heading4"/>
        <w:numPr>
          <w:ilvl w:val="2"/>
          <w:numId w:val="29"/>
        </w:numPr>
      </w:pPr>
      <w:r w:rsidRPr="00545B14">
        <w:t xml:space="preserve">Pivotal </w:t>
      </w:r>
      <w:r>
        <w:t xml:space="preserve">and/or main </w:t>
      </w:r>
      <w:r w:rsidRPr="00545B14">
        <w:t>efficacy studies</w:t>
      </w:r>
      <w:bookmarkEnd w:id="344"/>
      <w:bookmarkEnd w:id="345"/>
      <w:bookmarkEnd w:id="346"/>
      <w:bookmarkEnd w:id="347"/>
    </w:p>
    <w:p w:rsidR="00CD7E26" w:rsidRDefault="00CD7E26" w:rsidP="00CD7E26">
      <w:pPr>
        <w:rPr>
          <w:lang w:eastAsia="ja-JP"/>
        </w:rPr>
      </w:pPr>
      <w:bookmarkStart w:id="348" w:name="_Toc421005277"/>
      <w:bookmarkStart w:id="349" w:name="_Toc432079159"/>
      <w:bookmarkStart w:id="350" w:name="_Toc432080732"/>
      <w:r>
        <w:rPr>
          <w:lang w:eastAsia="ja-JP"/>
        </w:rPr>
        <w:t>The main study providing safety data was Study XL184-308.</w:t>
      </w:r>
    </w:p>
    <w:p w:rsidR="00CD7E26" w:rsidRDefault="00CD7E26" w:rsidP="00CD7E26">
      <w:r w:rsidRPr="00C21385">
        <w:t>Safety was assessed on a schedule based on the date of the first dose and at minimum</w:t>
      </w:r>
      <w:r>
        <w:t xml:space="preserve"> </w:t>
      </w:r>
      <w:r w:rsidRPr="00C21385">
        <w:t>every 2</w:t>
      </w:r>
      <w:r>
        <w:t xml:space="preserve"> weeks until week-9 day-1, and every 4 weeks </w:t>
      </w:r>
      <w:r w:rsidRPr="00C21385">
        <w:t>thereafter.</w:t>
      </w:r>
      <w:r>
        <w:t xml:space="preserve"> </w:t>
      </w:r>
      <w:r w:rsidRPr="00C21385">
        <w:t>A safety follow-up visit was</w:t>
      </w:r>
      <w:r>
        <w:t xml:space="preserve"> </w:t>
      </w:r>
      <w:r w:rsidRPr="00C21385">
        <w:t>performed at least 30 (+14) days after the date of the decision to permanently discontinue study</w:t>
      </w:r>
      <w:r>
        <w:t xml:space="preserve"> </w:t>
      </w:r>
      <w:r w:rsidRPr="00C21385">
        <w:t>treatment. Routine safety evaluations included physical examination, vital signs, performance</w:t>
      </w:r>
      <w:r>
        <w:t xml:space="preserve"> </w:t>
      </w:r>
      <w:r w:rsidRPr="00C21385">
        <w:t>status, 12-lead ECG, h</w:t>
      </w:r>
      <w:r>
        <w:t>a</w:t>
      </w:r>
      <w:r w:rsidRPr="00C21385">
        <w:t>ematology, serum chemistries, lipid tests, coagulation tests, urine tests, serum pregnancy tests (in females of childbearing potential), and thyroid</w:t>
      </w:r>
      <w:r>
        <w:t xml:space="preserve"> </w:t>
      </w:r>
      <w:r w:rsidRPr="00C21385">
        <w:t>function tests.</w:t>
      </w:r>
      <w:r>
        <w:t xml:space="preserve"> </w:t>
      </w:r>
      <w:r w:rsidRPr="00C21385">
        <w:t>Subjects al</w:t>
      </w:r>
      <w:r>
        <w:t xml:space="preserve">so reported, and were asked to describe any AEs experienced through 30 </w:t>
      </w:r>
      <w:r w:rsidRPr="00C21385">
        <w:t>days</w:t>
      </w:r>
      <w:r>
        <w:t xml:space="preserve"> </w:t>
      </w:r>
      <w:r w:rsidRPr="00C21385">
        <w:t>after the date of the decision to permanently discontinue study treatment.</w:t>
      </w:r>
    </w:p>
    <w:p w:rsidR="00CD7E26" w:rsidRDefault="00CD7E26" w:rsidP="00CD7E26">
      <w:r>
        <w:t>At each scheduled or unscheduled study visit, evaluations of AEs were performed after informed consent and through 30 days after the last dose of study treatment. An AE was defined as any untoward medical occurrence in a patient or clinical investigation subject who was enrolled in the study and who may have been administered an investigational product, regardless of whether or not the event was assessed as related to the study treatment.</w:t>
      </w:r>
    </w:p>
    <w:p w:rsidR="00CD7E26" w:rsidRDefault="00CD7E26" w:rsidP="00D6455B">
      <w:r>
        <w:t>Overall safety was monitored by an independent monitoring committee that was independent of the study sponsor and the investigators.</w:t>
      </w:r>
    </w:p>
    <w:p w:rsidR="00CD7E26" w:rsidRPr="004526A4" w:rsidRDefault="00CD7E26" w:rsidP="00CD7E26">
      <w:r>
        <w:lastRenderedPageBreak/>
        <w:t xml:space="preserve">The </w:t>
      </w:r>
      <w:r w:rsidRPr="00EA4A3C">
        <w:rPr>
          <w:i/>
        </w:rPr>
        <w:t>Safety Population</w:t>
      </w:r>
      <w:r>
        <w:rPr>
          <w:b/>
        </w:rPr>
        <w:t xml:space="preserve"> </w:t>
      </w:r>
      <w:r>
        <w:t>was defined as all subjects who had received any amount of study treatment.</w:t>
      </w:r>
    </w:p>
    <w:p w:rsidR="00CD7E26" w:rsidRDefault="00CD7E26" w:rsidP="00CD7E26">
      <w:pPr>
        <w:pStyle w:val="Heading4"/>
        <w:numPr>
          <w:ilvl w:val="2"/>
          <w:numId w:val="29"/>
        </w:numPr>
      </w:pPr>
      <w:r>
        <w:t>Other</w:t>
      </w:r>
      <w:r w:rsidRPr="00545B14">
        <w:t xml:space="preserve"> studies</w:t>
      </w:r>
      <w:bookmarkEnd w:id="348"/>
      <w:bookmarkEnd w:id="349"/>
      <w:bookmarkEnd w:id="350"/>
    </w:p>
    <w:p w:rsidR="00CD7E26" w:rsidRPr="00C031C9" w:rsidRDefault="00CD7E26" w:rsidP="00C031C9">
      <w:pPr>
        <w:pStyle w:val="Heading5"/>
      </w:pPr>
      <w:r w:rsidRPr="00C031C9">
        <w:t xml:space="preserve">Studies with evaluable safety data: Dose finding and pharmacology </w:t>
      </w:r>
    </w:p>
    <w:p w:rsidR="00CD7E26" w:rsidRDefault="00CD7E26" w:rsidP="00CD7E26">
      <w:pPr>
        <w:autoSpaceDE w:val="0"/>
        <w:autoSpaceDN w:val="0"/>
        <w:adjustRightInd w:val="0"/>
        <w:spacing w:before="0" w:after="0" w:line="240" w:lineRule="auto"/>
        <w:rPr>
          <w:lang w:eastAsia="ja-JP"/>
        </w:rPr>
      </w:pPr>
      <w:r>
        <w:rPr>
          <w:lang w:eastAsia="ja-JP"/>
        </w:rPr>
        <w:t xml:space="preserve">Study XL184-008 was a </w:t>
      </w:r>
      <w:r w:rsidRPr="000A0FFC">
        <w:t xml:space="preserve">Phase </w:t>
      </w:r>
      <w:r>
        <w:t>I</w:t>
      </w:r>
      <w:r w:rsidRPr="000A0FFC">
        <w:t xml:space="preserve"> drug-drug interaction study of the effects of XL184 (</w:t>
      </w:r>
      <w:proofErr w:type="spellStart"/>
      <w:r w:rsidRPr="000A0FFC">
        <w:t>cabozantinib</w:t>
      </w:r>
      <w:proofErr w:type="spellEnd"/>
      <w:r w:rsidRPr="000A0FFC">
        <w:t>) on the pharmacokinetics of a single oral dose of rosiglitazon</w:t>
      </w:r>
      <w:r>
        <w:t>e in subjects with solid tumours.</w:t>
      </w:r>
    </w:p>
    <w:p w:rsidR="00CD7E26" w:rsidRPr="00C031C9" w:rsidRDefault="00CD7E26" w:rsidP="00C031C9">
      <w:pPr>
        <w:pStyle w:val="Heading5"/>
      </w:pPr>
      <w:r w:rsidRPr="00C031C9">
        <w:t>Studies evaluable for safety only</w:t>
      </w:r>
    </w:p>
    <w:p w:rsidR="00CD7E26" w:rsidRPr="00C031C9" w:rsidRDefault="00CD7E26" w:rsidP="00C031C9">
      <w:pPr>
        <w:pStyle w:val="Heading6"/>
      </w:pPr>
      <w:bookmarkStart w:id="351" w:name="_Ref269204367"/>
      <w:bookmarkStart w:id="352" w:name="_Ref271195835"/>
      <w:bookmarkStart w:id="353" w:name="_Ref271195841"/>
      <w:bookmarkStart w:id="354" w:name="_Toc272414660"/>
      <w:bookmarkStart w:id="355" w:name="_Toc290888511"/>
      <w:bookmarkStart w:id="356" w:name="_Toc416353727"/>
      <w:bookmarkStart w:id="357" w:name="_Toc421005283"/>
      <w:bookmarkStart w:id="358" w:name="_Toc432079160"/>
      <w:bookmarkStart w:id="359" w:name="_Toc432080733"/>
      <w:r w:rsidRPr="00C031C9">
        <w:t>Study XL184-306</w:t>
      </w:r>
    </w:p>
    <w:p w:rsidR="00CD7E26" w:rsidRDefault="00CD7E26" w:rsidP="00CD7E26">
      <w:pPr>
        <w:rPr>
          <w:lang w:eastAsia="ja-JP"/>
        </w:rPr>
      </w:pPr>
      <w:r>
        <w:rPr>
          <w:lang w:eastAsia="ja-JP"/>
        </w:rPr>
        <w:t xml:space="preserve">This study was a Phase III, randomised, double-blind, controlled study of </w:t>
      </w:r>
      <w:proofErr w:type="spellStart"/>
      <w:r>
        <w:rPr>
          <w:lang w:eastAsia="ja-JP"/>
        </w:rPr>
        <w:t>cabozantinib</w:t>
      </w:r>
      <w:proofErr w:type="spellEnd"/>
      <w:r>
        <w:rPr>
          <w:lang w:eastAsia="ja-JP"/>
        </w:rPr>
        <w:t xml:space="preserve"> versus prednisone plus </w:t>
      </w:r>
      <w:proofErr w:type="spellStart"/>
      <w:r>
        <w:rPr>
          <w:lang w:eastAsia="ja-JP"/>
        </w:rPr>
        <w:t>mitoxantrone</w:t>
      </w:r>
      <w:proofErr w:type="spellEnd"/>
      <w:r>
        <w:rPr>
          <w:lang w:eastAsia="ja-JP"/>
        </w:rPr>
        <w:t xml:space="preserve"> plus prednisone in men with previously treated symptomatic castration-resistant prostate cancer.</w:t>
      </w:r>
    </w:p>
    <w:p w:rsidR="00CD7E26" w:rsidRDefault="00CD7E26" w:rsidP="00CD7E26">
      <w:pPr>
        <w:rPr>
          <w:lang w:eastAsia="ja-JP"/>
        </w:rPr>
      </w:pPr>
      <w:r>
        <w:rPr>
          <w:lang w:eastAsia="ja-JP"/>
        </w:rPr>
        <w:t xml:space="preserve">The study was conducted in men with previously treated metastatic CRPC with bone-dominant disease who had experienced disease progression while on docetaxel-containing chemotherapy and either </w:t>
      </w:r>
      <w:proofErr w:type="spellStart"/>
      <w:r w:rsidR="00026722">
        <w:rPr>
          <w:lang w:eastAsia="ja-JP"/>
        </w:rPr>
        <w:t>abiraterone</w:t>
      </w:r>
      <w:proofErr w:type="spellEnd"/>
      <w:r w:rsidR="00026722">
        <w:rPr>
          <w:lang w:eastAsia="ja-JP"/>
        </w:rPr>
        <w:t xml:space="preserve"> or enzalutamide.</w:t>
      </w:r>
    </w:p>
    <w:p w:rsidR="00CD7E26" w:rsidRDefault="00CD7E26" w:rsidP="00CD7E26">
      <w:pPr>
        <w:rPr>
          <w:lang w:eastAsia="ja-JP"/>
        </w:rPr>
      </w:pPr>
      <w:r>
        <w:rPr>
          <w:lang w:eastAsia="ja-JP"/>
        </w:rPr>
        <w:t>Subjects had to have documented pain from bone metastases requiring opioid narcotics. During a 7 day Run-In Stage, subjects had to meet stringent pain (average d</w:t>
      </w:r>
      <w:r w:rsidR="00C031C9">
        <w:rPr>
          <w:lang w:eastAsia="ja-JP"/>
        </w:rPr>
        <w:t xml:space="preserve">aily worst pain score ≥ 4 and ≤ </w:t>
      </w:r>
      <w:r>
        <w:rPr>
          <w:lang w:eastAsia="ja-JP"/>
        </w:rPr>
        <w:t>8 on the BPI scale of increasing pain from 0 to 10) and narcotic use criteria to be eligible for the study.</w:t>
      </w:r>
    </w:p>
    <w:p w:rsidR="00CD7E26" w:rsidRDefault="00CD7E26" w:rsidP="00CD7E26">
      <w:pPr>
        <w:rPr>
          <w:lang w:eastAsia="ja-JP"/>
        </w:rPr>
      </w:pPr>
      <w:r>
        <w:rPr>
          <w:lang w:eastAsia="ja-JP"/>
        </w:rPr>
        <w:t>Subjects received study treatment as long as they continued to experience clinical benefit, as determined by the investigator. Reasons for discontinuation of treatment included, among others, an unacceptable toxicity or the need for non-protocol systemic anticancer therapy (including the use of bone-targeted radiopharmaceuticals). Crossover between protocol treatment arms was not allowed.</w:t>
      </w:r>
    </w:p>
    <w:p w:rsidR="00CD7E26" w:rsidRDefault="00CD7E26" w:rsidP="00CD7E26">
      <w:pPr>
        <w:rPr>
          <w:lang w:eastAsia="ja-JP"/>
        </w:rPr>
      </w:pPr>
      <w:r>
        <w:rPr>
          <w:lang w:eastAsia="ja-JP"/>
        </w:rPr>
        <w:t>Clinic visits occurred at minimum every 3 weeks through treatment discontinuation with extended follow-up to assess survival status and to document receipt of subsequent anticancer therapy. Routine safety evaluations included assessments of AEs, vital signs, laboratory tests, and concomitant medications. New or worsening AEs were collected at study visits, over the phone, or by spontaneous subject report from informed consent through 30 days after the date of the decision to discontinue study treatment.</w:t>
      </w:r>
    </w:p>
    <w:p w:rsidR="00CD7E26" w:rsidRDefault="00CD7E26" w:rsidP="00CD7E26">
      <w:pPr>
        <w:rPr>
          <w:lang w:eastAsia="ja-JP"/>
        </w:rPr>
      </w:pPr>
      <w:r>
        <w:rPr>
          <w:lang w:eastAsia="ja-JP"/>
        </w:rPr>
        <w:t>The study was terminated early due the lack of survival benefit seen in a second study.</w:t>
      </w:r>
    </w:p>
    <w:p w:rsidR="00CD7E26" w:rsidRDefault="00CD7E26" w:rsidP="00CD7E26">
      <w:pPr>
        <w:pStyle w:val="Heading6"/>
        <w:rPr>
          <w:lang w:eastAsia="ja-JP"/>
        </w:rPr>
      </w:pPr>
      <w:r>
        <w:rPr>
          <w:lang w:eastAsia="ja-JP"/>
        </w:rPr>
        <w:t>Study XL184-307</w:t>
      </w:r>
    </w:p>
    <w:p w:rsidR="00CD7E26" w:rsidRDefault="00CD7E26" w:rsidP="00CD7E26">
      <w:pPr>
        <w:rPr>
          <w:lang w:eastAsia="ja-JP"/>
        </w:rPr>
      </w:pPr>
      <w:r>
        <w:rPr>
          <w:lang w:eastAsia="ja-JP"/>
        </w:rPr>
        <w:t xml:space="preserve">This study was a Phase III randomised double-blind, controlled study of </w:t>
      </w:r>
      <w:proofErr w:type="spellStart"/>
      <w:r>
        <w:rPr>
          <w:lang w:eastAsia="ja-JP"/>
        </w:rPr>
        <w:t>cabozantinib</w:t>
      </w:r>
      <w:proofErr w:type="spellEnd"/>
      <w:r>
        <w:rPr>
          <w:lang w:eastAsia="ja-JP"/>
        </w:rPr>
        <w:t xml:space="preserve"> (XL184) versus prednisone in metastatic castration-resistant prostate cancer patients who have received prior docetaxel and prior </w:t>
      </w:r>
      <w:proofErr w:type="spellStart"/>
      <w:r>
        <w:rPr>
          <w:lang w:eastAsia="ja-JP"/>
        </w:rPr>
        <w:t>abiraterone</w:t>
      </w:r>
      <w:proofErr w:type="spellEnd"/>
      <w:r>
        <w:rPr>
          <w:lang w:eastAsia="ja-JP"/>
        </w:rPr>
        <w:t xml:space="preserve"> or enzalutamide.</w:t>
      </w:r>
    </w:p>
    <w:p w:rsidR="00CD7E26" w:rsidRDefault="00CD7E26" w:rsidP="00CD7E26">
      <w:pPr>
        <w:rPr>
          <w:lang w:val="en-NZ"/>
        </w:rPr>
      </w:pPr>
      <w:r w:rsidRPr="000A0FFC">
        <w:rPr>
          <w:lang w:val="en-NZ"/>
        </w:rPr>
        <w:t xml:space="preserve">Subjects in this study were male and </w:t>
      </w:r>
      <w:r>
        <w:rPr>
          <w:lang w:eastAsia="ja-JP"/>
        </w:rPr>
        <w:t>≥ </w:t>
      </w:r>
      <w:r w:rsidRPr="000A0FFC">
        <w:rPr>
          <w:lang w:val="en-NZ"/>
        </w:rPr>
        <w:t xml:space="preserve">18 years of age with a documented </w:t>
      </w:r>
      <w:r>
        <w:rPr>
          <w:lang w:val="en-NZ"/>
        </w:rPr>
        <w:t>h</w:t>
      </w:r>
      <w:r w:rsidRPr="000A0FFC">
        <w:rPr>
          <w:lang w:val="en-NZ"/>
        </w:rPr>
        <w:t xml:space="preserve">istological or </w:t>
      </w:r>
      <w:r>
        <w:rPr>
          <w:lang w:val="en-NZ"/>
        </w:rPr>
        <w:t>cytological diagnosis of prostate cancer and evidence of its metastasis to bone (as determined by a bone scan). Subjects were to have received prior docetaxel (with a minimum cumulative dose of 225 mg</w:t>
      </w:r>
      <w:r>
        <w:rPr>
          <w:sz w:val="16"/>
          <w:szCs w:val="16"/>
          <w:lang w:val="en-NZ"/>
        </w:rPr>
        <w:t>2</w:t>
      </w:r>
      <w:r>
        <w:rPr>
          <w:lang w:val="en-NZ"/>
        </w:rPr>
        <w:t xml:space="preserve">) and either </w:t>
      </w:r>
      <w:proofErr w:type="spellStart"/>
      <w:r>
        <w:rPr>
          <w:lang w:val="en-NZ"/>
        </w:rPr>
        <w:t>abiraterone</w:t>
      </w:r>
      <w:proofErr w:type="spellEnd"/>
      <w:r>
        <w:rPr>
          <w:lang w:val="en-NZ"/>
        </w:rPr>
        <w:t xml:space="preserve"> or enzalutamide with evidence of investigator-assessed prostate cancer progression on each agent independently. If a subject had an AE related to a prior treatment, the AE was to have resolved to baseline or CTCAE v4 </w:t>
      </w:r>
      <w:r>
        <w:rPr>
          <w:lang w:eastAsia="ja-JP"/>
        </w:rPr>
        <w:t>≤ </w:t>
      </w:r>
      <w:r>
        <w:rPr>
          <w:lang w:val="en-NZ"/>
        </w:rPr>
        <w:t>Grade 1. Subjects without prior orchiectomy must have been taking luteinizing hormone-releasing hormone (LHRH) analogue therapy at baseline and concomitantly throughout the study. In addition, subjects were to have an Eastern Cooperative Oncology Group (ECOG) performance status of 0-2, a serum testosterone level of &lt;50 ng/</w:t>
      </w:r>
      <w:proofErr w:type="spellStart"/>
      <w:r>
        <w:rPr>
          <w:lang w:val="en-NZ"/>
        </w:rPr>
        <w:t>dL</w:t>
      </w:r>
      <w:proofErr w:type="spellEnd"/>
      <w:r>
        <w:rPr>
          <w:lang w:val="en-NZ"/>
        </w:rPr>
        <w:t xml:space="preserve"> (&lt;1.75 </w:t>
      </w:r>
      <w:proofErr w:type="spellStart"/>
      <w:r>
        <w:rPr>
          <w:lang w:val="en-NZ"/>
        </w:rPr>
        <w:t>nmol</w:t>
      </w:r>
      <w:proofErr w:type="spellEnd"/>
      <w:r>
        <w:rPr>
          <w:lang w:val="en-NZ"/>
        </w:rPr>
        <w:t>/L), and adequate organ and marrow function as determined by clinical laboratory tests.</w:t>
      </w:r>
    </w:p>
    <w:p w:rsidR="00CD7E26" w:rsidRDefault="00CD7E26" w:rsidP="00CD7E26">
      <w:pPr>
        <w:rPr>
          <w:lang w:val="en-NZ"/>
        </w:rPr>
      </w:pPr>
      <w:r>
        <w:rPr>
          <w:lang w:val="en-NZ"/>
        </w:rPr>
        <w:lastRenderedPageBreak/>
        <w:t xml:space="preserve">Eligible subjects were randomised 2:1 to the </w:t>
      </w:r>
      <w:proofErr w:type="spellStart"/>
      <w:r>
        <w:rPr>
          <w:lang w:val="en-NZ"/>
        </w:rPr>
        <w:t>cabozantinib</w:t>
      </w:r>
      <w:proofErr w:type="spellEnd"/>
      <w:r>
        <w:rPr>
          <w:lang w:val="en-NZ"/>
        </w:rPr>
        <w:t xml:space="preserve"> and prednisone treatment arms, respectively. Randomization was stratified by the following factors: prior treatment with </w:t>
      </w:r>
      <w:proofErr w:type="spellStart"/>
      <w:r>
        <w:rPr>
          <w:lang w:val="en-NZ"/>
        </w:rPr>
        <w:t>cabazitaxel</w:t>
      </w:r>
      <w:proofErr w:type="spellEnd"/>
      <w:r>
        <w:rPr>
          <w:lang w:val="en-NZ"/>
        </w:rPr>
        <w:t xml:space="preserve"> (yes/no), baseline pain severity (self-assessed worst pain score recalled over the prior 24 hours [Brief Pain Inventory {BPI}- Item 3 scale of 0 to 10] of &lt; 4 versus </w:t>
      </w:r>
      <w:r w:rsidR="006F6759">
        <w:rPr>
          <w:lang w:eastAsia="ja-JP"/>
        </w:rPr>
        <w:t xml:space="preserve">≥ </w:t>
      </w:r>
      <w:r>
        <w:rPr>
          <w:lang w:val="en-NZ"/>
        </w:rPr>
        <w:t>4), and ECOG performance status (0–1 versus 2).</w:t>
      </w:r>
    </w:p>
    <w:p w:rsidR="00CD7E26" w:rsidRDefault="00CD7E26" w:rsidP="00CD7E26">
      <w:pPr>
        <w:rPr>
          <w:lang w:val="en-NZ"/>
        </w:rPr>
      </w:pPr>
      <w:r>
        <w:rPr>
          <w:lang w:val="en-NZ"/>
        </w:rPr>
        <w:t>Based on treatment assignment, subjects received either,</w:t>
      </w:r>
      <w:r w:rsidRPr="009578E9">
        <w:rPr>
          <w:lang w:val="en-NZ"/>
        </w:rPr>
        <w:t xml:space="preserve"> oral </w:t>
      </w:r>
      <w:proofErr w:type="spellStart"/>
      <w:r w:rsidRPr="009578E9">
        <w:rPr>
          <w:lang w:val="en-NZ"/>
        </w:rPr>
        <w:t>cabozantinib</w:t>
      </w:r>
      <w:proofErr w:type="spellEnd"/>
      <w:r w:rsidRPr="009578E9">
        <w:rPr>
          <w:lang w:val="en-NZ"/>
        </w:rPr>
        <w:t xml:space="preserve"> (60 mg, </w:t>
      </w:r>
      <w:proofErr w:type="spellStart"/>
      <w:r w:rsidRPr="009578E9">
        <w:rPr>
          <w:lang w:val="en-NZ"/>
        </w:rPr>
        <w:t>qd</w:t>
      </w:r>
      <w:proofErr w:type="spellEnd"/>
      <w:r w:rsidRPr="009578E9">
        <w:rPr>
          <w:lang w:val="en-NZ"/>
        </w:rPr>
        <w:t>) plus prednisone-matched placebo (twice daily [bid])</w:t>
      </w:r>
      <w:r>
        <w:rPr>
          <w:lang w:val="en-NZ"/>
        </w:rPr>
        <w:t xml:space="preserve"> or </w:t>
      </w:r>
      <w:r w:rsidRPr="009578E9">
        <w:rPr>
          <w:lang w:val="en-NZ"/>
        </w:rPr>
        <w:t xml:space="preserve">oral prednisone (5 mg, bid) plus </w:t>
      </w:r>
      <w:proofErr w:type="spellStart"/>
      <w:r w:rsidRPr="009578E9">
        <w:rPr>
          <w:lang w:val="en-NZ"/>
        </w:rPr>
        <w:t>cabozantinib</w:t>
      </w:r>
      <w:proofErr w:type="spellEnd"/>
      <w:r w:rsidRPr="009578E9">
        <w:rPr>
          <w:lang w:val="en-NZ"/>
        </w:rPr>
        <w:t>-matched placebo</w:t>
      </w:r>
      <w:r>
        <w:rPr>
          <w:lang w:val="en-NZ"/>
        </w:rPr>
        <w:t xml:space="preserve"> </w:t>
      </w:r>
      <w:r w:rsidRPr="009578E9">
        <w:rPr>
          <w:lang w:val="en-NZ"/>
        </w:rPr>
        <w:t>(</w:t>
      </w:r>
      <w:proofErr w:type="spellStart"/>
      <w:r w:rsidRPr="009578E9">
        <w:rPr>
          <w:lang w:val="en-NZ"/>
        </w:rPr>
        <w:t>qd</w:t>
      </w:r>
      <w:proofErr w:type="spellEnd"/>
      <w:r w:rsidRPr="009578E9">
        <w:rPr>
          <w:lang w:val="en-NZ"/>
        </w:rPr>
        <w:t>)</w:t>
      </w:r>
      <w:r>
        <w:rPr>
          <w:lang w:val="en-NZ"/>
        </w:rPr>
        <w:t>.</w:t>
      </w:r>
    </w:p>
    <w:p w:rsidR="00CD7E26" w:rsidRDefault="00CD7E26" w:rsidP="00CD7E26">
      <w:pPr>
        <w:rPr>
          <w:lang w:val="en-NZ"/>
        </w:rPr>
      </w:pPr>
      <w:r>
        <w:rPr>
          <w:lang w:val="en-NZ"/>
        </w:rPr>
        <w:t>Clinic visits occurred at minimum every 3 weeks after treatment was initiated through Week 12 and then every 6 weeks thereafter. Routine safety evaluations included assessments of AEs, vital signs, laboratory tests, and concomitant medications. New or worsening AEs were collected at study visits, over the phone, or by spontaneous subject report from informed consent through 30 days after the date of the decision to discontinue study treatment.</w:t>
      </w:r>
    </w:p>
    <w:p w:rsidR="00CD7E26" w:rsidRDefault="00CD7E26" w:rsidP="00CD7E26">
      <w:pPr>
        <w:rPr>
          <w:lang w:val="en-NZ"/>
        </w:rPr>
      </w:pPr>
      <w:r>
        <w:rPr>
          <w:lang w:val="en-NZ"/>
        </w:rPr>
        <w:t>The study did not meet its primary endpoint of OS. Active subjects were required to discontinue study treatment and revert to standard of care thereby limiting the overall exposure to treatment on the study.</w:t>
      </w:r>
    </w:p>
    <w:p w:rsidR="00CD7E26" w:rsidRDefault="00CD7E26" w:rsidP="00CD7E26">
      <w:pPr>
        <w:pStyle w:val="Heading4"/>
        <w:numPr>
          <w:ilvl w:val="2"/>
          <w:numId w:val="29"/>
        </w:numPr>
      </w:pPr>
      <w:bookmarkStart w:id="360" w:name="_Toc520879810"/>
      <w:r>
        <w:t>Studies that assessed safety as the sole</w:t>
      </w:r>
      <w:r w:rsidRPr="00545B14">
        <w:t xml:space="preserve"> primary outcome</w:t>
      </w:r>
      <w:bookmarkEnd w:id="351"/>
      <w:bookmarkEnd w:id="352"/>
      <w:bookmarkEnd w:id="353"/>
      <w:bookmarkEnd w:id="354"/>
      <w:bookmarkEnd w:id="355"/>
      <w:bookmarkEnd w:id="356"/>
      <w:bookmarkEnd w:id="357"/>
      <w:bookmarkEnd w:id="358"/>
      <w:bookmarkEnd w:id="359"/>
      <w:bookmarkEnd w:id="360"/>
    </w:p>
    <w:p w:rsidR="00CD7E26" w:rsidRDefault="00CD7E26" w:rsidP="00CD7E26">
      <w:bookmarkStart w:id="361" w:name="_Toc290888517"/>
      <w:bookmarkStart w:id="362" w:name="_Toc416353733"/>
      <w:r>
        <w:t>Not applicable</w:t>
      </w:r>
      <w:bookmarkStart w:id="363" w:name="_Toc241374318"/>
      <w:bookmarkStart w:id="364" w:name="_Ref271196630"/>
      <w:bookmarkStart w:id="365" w:name="_Toc272414662"/>
      <w:bookmarkStart w:id="366" w:name="_Toc290888526"/>
      <w:bookmarkStart w:id="367" w:name="_Toc416353742"/>
      <w:bookmarkStart w:id="368" w:name="_Toc421005285"/>
      <w:bookmarkStart w:id="369" w:name="_Toc432079162"/>
      <w:bookmarkStart w:id="370" w:name="_Toc432080735"/>
      <w:bookmarkEnd w:id="361"/>
      <w:bookmarkEnd w:id="362"/>
      <w:r w:rsidR="00026722">
        <w:t>.</w:t>
      </w:r>
    </w:p>
    <w:p w:rsidR="00CD7E26" w:rsidRPr="00545B14" w:rsidRDefault="00CD7E26" w:rsidP="00CD7E26">
      <w:pPr>
        <w:pStyle w:val="Heading3"/>
        <w:numPr>
          <w:ilvl w:val="1"/>
          <w:numId w:val="29"/>
        </w:numPr>
        <w:ind w:left="907" w:hanging="794"/>
      </w:pPr>
      <w:bookmarkStart w:id="371" w:name="_Toc520879811"/>
      <w:bookmarkStart w:id="372" w:name="_Toc531776256"/>
      <w:r w:rsidRPr="00545B14">
        <w:t>Patient exposure</w:t>
      </w:r>
      <w:bookmarkEnd w:id="363"/>
      <w:bookmarkEnd w:id="364"/>
      <w:bookmarkEnd w:id="365"/>
      <w:bookmarkEnd w:id="366"/>
      <w:bookmarkEnd w:id="367"/>
      <w:bookmarkEnd w:id="368"/>
      <w:bookmarkEnd w:id="369"/>
      <w:bookmarkEnd w:id="370"/>
      <w:bookmarkEnd w:id="371"/>
      <w:bookmarkEnd w:id="372"/>
    </w:p>
    <w:p w:rsidR="00CD7E26" w:rsidRPr="00267B6C" w:rsidRDefault="00CD7E26" w:rsidP="00267B6C">
      <w:pPr>
        <w:pStyle w:val="Tabletitle"/>
      </w:pPr>
      <w:bookmarkStart w:id="373" w:name="_Toc494205936"/>
      <w:r w:rsidRPr="00267B6C">
        <w:t xml:space="preserve">Table </w:t>
      </w:r>
      <w:r w:rsidR="000756FA" w:rsidRPr="00267B6C">
        <w:t>2</w:t>
      </w:r>
      <w:r w:rsidR="00DB6CD6" w:rsidRPr="00267B6C">
        <w:t>4</w:t>
      </w:r>
      <w:r w:rsidRPr="00267B6C">
        <w:t>: Clinical Study Providing Safety Data</w:t>
      </w:r>
      <w:bookmarkEnd w:id="373"/>
    </w:p>
    <w:p w:rsidR="00CD7E26" w:rsidRDefault="00CD7E26" w:rsidP="00CD7E26">
      <w:pPr>
        <w:pStyle w:val="TableDescription"/>
      </w:pPr>
      <w:r w:rsidRPr="002F7124">
        <w:rPr>
          <w:noProof/>
          <w:lang w:eastAsia="en-AU"/>
        </w:rPr>
        <w:drawing>
          <wp:inline distT="0" distB="0" distL="0" distR="0" wp14:anchorId="5DBDDC87" wp14:editId="57C20B39">
            <wp:extent cx="5731510" cy="3315654"/>
            <wp:effectExtent l="0" t="0" r="2540" b="0"/>
            <wp:docPr id="111" name="Picture 111" descr="Table 24: Clinical Study Providing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lum bright="-20000" contrast="40000"/>
                      <a:extLst>
                        <a:ext uri="{28A0092B-C50C-407E-A947-70E740481C1C}">
                          <a14:useLocalDpi xmlns:a14="http://schemas.microsoft.com/office/drawing/2010/main" val="0"/>
                        </a:ext>
                      </a:extLst>
                    </a:blip>
                    <a:srcRect/>
                    <a:stretch>
                      <a:fillRect/>
                    </a:stretch>
                  </pic:blipFill>
                  <pic:spPr bwMode="auto">
                    <a:xfrm>
                      <a:off x="0" y="0"/>
                      <a:ext cx="5731510" cy="3315654"/>
                    </a:xfrm>
                    <a:prstGeom prst="rect">
                      <a:avLst/>
                    </a:prstGeom>
                    <a:noFill/>
                    <a:ln>
                      <a:noFill/>
                    </a:ln>
                  </pic:spPr>
                </pic:pic>
              </a:graphicData>
            </a:graphic>
          </wp:inline>
        </w:drawing>
      </w:r>
    </w:p>
    <w:p w:rsidR="00CD7E26" w:rsidRDefault="00CD7E26" w:rsidP="00CD7E26">
      <w:proofErr w:type="spellStart"/>
      <w:r>
        <w:t>Cabozantinib</w:t>
      </w:r>
      <w:proofErr w:type="spellEnd"/>
      <w:r>
        <w:t xml:space="preserve"> has been evaluated in two randomised, double-blind, controlled, Phase III studies in subjects with metastatic CRPC (Study XL184-307 and Study XL184-306). In both studies, subjects were administered the same dose and formulation as received by RCC subjects in StudyXL184-</w:t>
      </w:r>
      <w:r w:rsidR="008F51E2">
        <w:t xml:space="preserve">308 (that is, 60 mg tablets </w:t>
      </w:r>
      <w:proofErr w:type="spellStart"/>
      <w:r w:rsidR="008F51E2">
        <w:t>qd</w:t>
      </w:r>
      <w:proofErr w:type="spellEnd"/>
      <w:r w:rsidR="008F51E2">
        <w:t>)</w:t>
      </w:r>
      <w:r>
        <w:t>.</w:t>
      </w:r>
    </w:p>
    <w:p w:rsidR="00CD7E26" w:rsidRDefault="00CD7E26" w:rsidP="00CD7E26">
      <w:r>
        <w:lastRenderedPageBreak/>
        <w:t xml:space="preserve">As the studied indication was CRPC the patient population differed in that it was an older population with metastatic disease and had received docetaxel, </w:t>
      </w:r>
      <w:proofErr w:type="spellStart"/>
      <w:r>
        <w:t>abiraterone</w:t>
      </w:r>
      <w:proofErr w:type="spellEnd"/>
      <w:r>
        <w:t xml:space="preserve"> or enzalutamide prior to entry.</w:t>
      </w:r>
    </w:p>
    <w:p w:rsidR="00CD7E26" w:rsidRDefault="00CD7E26" w:rsidP="00CD7E26">
      <w:r>
        <w:t xml:space="preserve">Study XL184-004 was a Phase I study to evaluate the PK of </w:t>
      </w:r>
      <w:proofErr w:type="spellStart"/>
      <w:r>
        <w:t>cabozantinib</w:t>
      </w:r>
      <w:proofErr w:type="spellEnd"/>
      <w:r>
        <w:t xml:space="preserve"> when </w:t>
      </w:r>
      <w:r w:rsidR="00D6455B">
        <w:t>administered with rosiglitazone</w:t>
      </w:r>
      <w:r>
        <w:t>.</w:t>
      </w:r>
    </w:p>
    <w:p w:rsidR="00CD7E26" w:rsidRDefault="00CD7E26" w:rsidP="000756FA">
      <w:pPr>
        <w:pStyle w:val="Tabletitle"/>
      </w:pPr>
      <w:bookmarkStart w:id="374" w:name="_Toc494205937"/>
      <w:r>
        <w:t xml:space="preserve">Table </w:t>
      </w:r>
      <w:r w:rsidR="000756FA">
        <w:t>2</w:t>
      </w:r>
      <w:r w:rsidR="00DB6CD6">
        <w:t>5</w:t>
      </w:r>
      <w:r>
        <w:rPr>
          <w:noProof/>
        </w:rPr>
        <w:t>:</w:t>
      </w:r>
      <w:r>
        <w:t xml:space="preserve"> Study Drug Exposure to </w:t>
      </w:r>
      <w:proofErr w:type="spellStart"/>
      <w:r>
        <w:t>Cabozantinib</w:t>
      </w:r>
      <w:proofErr w:type="spellEnd"/>
      <w:r>
        <w:t xml:space="preserve"> (Study XL184-308) as of Data-cut-off</w:t>
      </w:r>
      <w:bookmarkEnd w:id="374"/>
    </w:p>
    <w:p w:rsidR="00CD7E26" w:rsidRDefault="00CD7E26" w:rsidP="00CD7E26">
      <w:r w:rsidRPr="00B30CF3">
        <w:rPr>
          <w:noProof/>
          <w:lang w:eastAsia="en-AU"/>
        </w:rPr>
        <w:drawing>
          <wp:inline distT="0" distB="0" distL="0" distR="0" wp14:anchorId="4A355DED" wp14:editId="7C612D3A">
            <wp:extent cx="5731569" cy="1895475"/>
            <wp:effectExtent l="0" t="0" r="2540" b="0"/>
            <wp:docPr id="113" name="Picture 113" descr="Table 25: Study Drug Exposure to Cabozantinib (Study XL184-308) as of Data-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50">
                      <a:lum bright="-20000" contrast="40000"/>
                      <a:extLst>
                        <a:ext uri="{28A0092B-C50C-407E-A947-70E740481C1C}">
                          <a14:useLocalDpi xmlns:a14="http://schemas.microsoft.com/office/drawing/2010/main" val="0"/>
                        </a:ext>
                      </a:extLst>
                    </a:blip>
                    <a:srcRect b="7010"/>
                    <a:stretch/>
                  </pic:blipFill>
                  <pic:spPr bwMode="auto">
                    <a:xfrm>
                      <a:off x="0" y="0"/>
                      <a:ext cx="5731510" cy="1895455"/>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r>
        <w:t xml:space="preserve">The mean duration of exposure (as of data cut-off 22 May 2015) was 33 weeks for </w:t>
      </w:r>
      <w:proofErr w:type="spellStart"/>
      <w:r>
        <w:t>cabozantinib</w:t>
      </w:r>
      <w:proofErr w:type="spellEnd"/>
      <w:r>
        <w:t xml:space="preserve"> and 22 weeks for </w:t>
      </w:r>
      <w:proofErr w:type="spellStart"/>
      <w:r>
        <w:t>everolimus</w:t>
      </w:r>
      <w:proofErr w:type="spellEnd"/>
      <w:r>
        <w:t>.</w:t>
      </w:r>
    </w:p>
    <w:p w:rsidR="00CD7E26" w:rsidRDefault="00CD7E26" w:rsidP="000756FA">
      <w:pPr>
        <w:pStyle w:val="Tabletitle"/>
      </w:pPr>
      <w:bookmarkStart w:id="375" w:name="_Toc494205938"/>
      <w:r>
        <w:t xml:space="preserve">Table </w:t>
      </w:r>
      <w:r w:rsidR="000756FA">
        <w:t>2</w:t>
      </w:r>
      <w:r w:rsidR="00DB6CD6">
        <w:t>6</w:t>
      </w:r>
      <w:r>
        <w:t>: Duration of Overall Exposure in Pivotal Study XL184-308</w:t>
      </w:r>
      <w:bookmarkEnd w:id="375"/>
    </w:p>
    <w:p w:rsidR="00CD7E26" w:rsidRPr="00B30CF3" w:rsidRDefault="00CD7E26" w:rsidP="00CD7E26">
      <w:r w:rsidRPr="001F3162">
        <w:rPr>
          <w:noProof/>
          <w:lang w:eastAsia="en-AU"/>
        </w:rPr>
        <w:drawing>
          <wp:inline distT="0" distB="0" distL="0" distR="0" wp14:anchorId="37110BFF" wp14:editId="24060E21">
            <wp:extent cx="4802717" cy="4297681"/>
            <wp:effectExtent l="0" t="0" r="0" b="7620"/>
            <wp:docPr id="147" name="Picture 147" descr="Table 26: Duration of Overall Exposure in Pivotal Study XL1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lum bright="-20000" contrast="40000"/>
                      <a:extLst>
                        <a:ext uri="{28A0092B-C50C-407E-A947-70E740481C1C}">
                          <a14:useLocalDpi xmlns:a14="http://schemas.microsoft.com/office/drawing/2010/main" val="0"/>
                        </a:ext>
                      </a:extLst>
                    </a:blip>
                    <a:srcRect/>
                    <a:stretch>
                      <a:fillRect/>
                    </a:stretch>
                  </pic:blipFill>
                  <pic:spPr bwMode="auto">
                    <a:xfrm>
                      <a:off x="0" y="0"/>
                      <a:ext cx="4806800" cy="4301334"/>
                    </a:xfrm>
                    <a:prstGeom prst="rect">
                      <a:avLst/>
                    </a:prstGeom>
                    <a:noFill/>
                    <a:ln>
                      <a:noFill/>
                    </a:ln>
                  </pic:spPr>
                </pic:pic>
              </a:graphicData>
            </a:graphic>
          </wp:inline>
        </w:drawing>
      </w:r>
    </w:p>
    <w:p w:rsidR="00CD7E26" w:rsidRPr="00545B14" w:rsidRDefault="00CD7E26" w:rsidP="00CD7E26">
      <w:pPr>
        <w:pStyle w:val="Heading3"/>
        <w:numPr>
          <w:ilvl w:val="1"/>
          <w:numId w:val="29"/>
        </w:numPr>
        <w:ind w:left="907" w:hanging="794"/>
      </w:pPr>
      <w:bookmarkStart w:id="376" w:name="_Toc241374319"/>
      <w:bookmarkStart w:id="377" w:name="_Ref271044764"/>
      <w:bookmarkStart w:id="378" w:name="_Toc272414663"/>
      <w:bookmarkStart w:id="379" w:name="_Toc290888527"/>
      <w:bookmarkStart w:id="380" w:name="_Toc416353743"/>
      <w:bookmarkStart w:id="381" w:name="_Toc421005286"/>
      <w:bookmarkStart w:id="382" w:name="_Toc432079163"/>
      <w:bookmarkStart w:id="383" w:name="_Toc432080736"/>
      <w:bookmarkStart w:id="384" w:name="_Toc520879812"/>
      <w:bookmarkStart w:id="385" w:name="_Toc531776257"/>
      <w:r w:rsidRPr="00545B14">
        <w:lastRenderedPageBreak/>
        <w:t>Adverse events</w:t>
      </w:r>
      <w:bookmarkEnd w:id="376"/>
      <w:bookmarkEnd w:id="377"/>
      <w:bookmarkEnd w:id="378"/>
      <w:bookmarkEnd w:id="379"/>
      <w:bookmarkEnd w:id="380"/>
      <w:bookmarkEnd w:id="381"/>
      <w:bookmarkEnd w:id="382"/>
      <w:bookmarkEnd w:id="383"/>
      <w:bookmarkEnd w:id="384"/>
      <w:bookmarkEnd w:id="385"/>
    </w:p>
    <w:p w:rsidR="00CD7E26" w:rsidRPr="00545B14" w:rsidRDefault="00CD7E26" w:rsidP="00CD7E26">
      <w:pPr>
        <w:pStyle w:val="Heading4"/>
        <w:numPr>
          <w:ilvl w:val="2"/>
          <w:numId w:val="29"/>
        </w:numPr>
      </w:pPr>
      <w:bookmarkStart w:id="386" w:name="_Ref272317284"/>
      <w:bookmarkStart w:id="387" w:name="_Ref272333565"/>
      <w:bookmarkStart w:id="388" w:name="_Toc272414664"/>
      <w:bookmarkStart w:id="389" w:name="_Toc290888528"/>
      <w:bookmarkStart w:id="390" w:name="_Toc416353744"/>
      <w:bookmarkStart w:id="391" w:name="_Toc421005287"/>
      <w:bookmarkStart w:id="392" w:name="_Toc432079164"/>
      <w:bookmarkStart w:id="393" w:name="_Toc432080737"/>
      <w:r w:rsidRPr="00545B14">
        <w:t>All adverse events (irrespective of relationship to study treatment)</w:t>
      </w:r>
      <w:bookmarkEnd w:id="386"/>
      <w:bookmarkEnd w:id="387"/>
      <w:bookmarkEnd w:id="388"/>
      <w:bookmarkEnd w:id="389"/>
      <w:bookmarkEnd w:id="390"/>
      <w:bookmarkEnd w:id="391"/>
      <w:bookmarkEnd w:id="392"/>
      <w:bookmarkEnd w:id="393"/>
    </w:p>
    <w:p w:rsidR="00CD7E26" w:rsidRPr="006F6759" w:rsidRDefault="00CD7E26" w:rsidP="006F6759">
      <w:pPr>
        <w:pStyle w:val="Heading5"/>
      </w:pPr>
      <w:r w:rsidRPr="006F6759">
        <w:t>Integrated safety analyses</w:t>
      </w:r>
    </w:p>
    <w:p w:rsidR="00CD7E26" w:rsidRDefault="00CD7E26" w:rsidP="00CD7E26">
      <w:pPr>
        <w:rPr>
          <w:lang w:eastAsia="ja-JP"/>
        </w:rPr>
      </w:pPr>
      <w:r>
        <w:rPr>
          <w:lang w:eastAsia="ja-JP"/>
        </w:rPr>
        <w:t>Not applicable</w:t>
      </w:r>
      <w:r w:rsidR="005A034E">
        <w:rPr>
          <w:lang w:eastAsia="ja-JP"/>
        </w:rPr>
        <w:t>.</w:t>
      </w:r>
    </w:p>
    <w:p w:rsidR="00CD7E26" w:rsidRPr="006F6759" w:rsidRDefault="00CD7E26" w:rsidP="006F6759">
      <w:pPr>
        <w:pStyle w:val="Heading5"/>
      </w:pPr>
      <w:r w:rsidRPr="006F6759">
        <w:t>Main/pivotal studies that assessed safety as the sole primary outcome</w:t>
      </w:r>
    </w:p>
    <w:p w:rsidR="00CD7E26" w:rsidRDefault="00CD7E26" w:rsidP="00CD7E26">
      <w:pPr>
        <w:rPr>
          <w:lang w:eastAsia="ja-JP"/>
        </w:rPr>
      </w:pPr>
      <w:r>
        <w:rPr>
          <w:lang w:eastAsia="ja-JP"/>
        </w:rPr>
        <w:t>Not applicable</w:t>
      </w:r>
      <w:r w:rsidR="005A034E">
        <w:rPr>
          <w:lang w:eastAsia="ja-JP"/>
        </w:rPr>
        <w:t>.</w:t>
      </w:r>
    </w:p>
    <w:p w:rsidR="00CD7E26" w:rsidRPr="006F6759" w:rsidRDefault="00CD7E26" w:rsidP="006F6759">
      <w:pPr>
        <w:pStyle w:val="Heading5"/>
      </w:pPr>
      <w:r w:rsidRPr="006F6759">
        <w:t>Pivotal and/or main efficacy studies</w:t>
      </w:r>
    </w:p>
    <w:p w:rsidR="00CD7E26" w:rsidRDefault="00CD7E26" w:rsidP="00CD7E26">
      <w:r>
        <w:t xml:space="preserve">A summary of the frequency adverse events in the Safety Population as of the date of data cut-off (22-May 2015) is shown in </w:t>
      </w:r>
      <w:r w:rsidR="000756FA">
        <w:t>Table 2</w:t>
      </w:r>
      <w:r w:rsidR="00DB6CD6">
        <w:t>7</w:t>
      </w:r>
      <w:r>
        <w:t xml:space="preserve"> below:</w:t>
      </w:r>
    </w:p>
    <w:p w:rsidR="00CD7E26" w:rsidRDefault="00CD7E26" w:rsidP="000756FA">
      <w:pPr>
        <w:pStyle w:val="Tabletitle"/>
      </w:pPr>
      <w:bookmarkStart w:id="394" w:name="_Ref479493894"/>
      <w:bookmarkStart w:id="395" w:name="_Toc494205939"/>
      <w:r>
        <w:t xml:space="preserve">Table </w:t>
      </w:r>
      <w:r w:rsidR="000756FA">
        <w:t>2</w:t>
      </w:r>
      <w:bookmarkEnd w:id="394"/>
      <w:r w:rsidR="00DB6CD6">
        <w:t>7</w:t>
      </w:r>
      <w:r>
        <w:t>: Summary of Adverse Events Study XL184-308</w:t>
      </w:r>
      <w:bookmarkEnd w:id="395"/>
    </w:p>
    <w:p w:rsidR="00CD7E26" w:rsidRDefault="00CD7E26" w:rsidP="00CD7E26">
      <w:r w:rsidRPr="0022731C">
        <w:rPr>
          <w:noProof/>
          <w:lang w:eastAsia="en-AU"/>
        </w:rPr>
        <w:drawing>
          <wp:inline distT="0" distB="0" distL="0" distR="0" wp14:anchorId="1758CF53" wp14:editId="451653A2">
            <wp:extent cx="5363210" cy="3811270"/>
            <wp:effectExtent l="0" t="0" r="8890" b="0"/>
            <wp:docPr id="13" name="Picture 13" descr="Table 27: Summary of Adverse Events Study XL1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lum bright="-20000" contrast="40000"/>
                      <a:extLst>
                        <a:ext uri="{28A0092B-C50C-407E-A947-70E740481C1C}">
                          <a14:useLocalDpi xmlns:a14="http://schemas.microsoft.com/office/drawing/2010/main" val="0"/>
                        </a:ext>
                      </a:extLst>
                    </a:blip>
                    <a:srcRect/>
                    <a:stretch>
                      <a:fillRect/>
                    </a:stretch>
                  </pic:blipFill>
                  <pic:spPr bwMode="auto">
                    <a:xfrm>
                      <a:off x="0" y="0"/>
                      <a:ext cx="5363210" cy="3811270"/>
                    </a:xfrm>
                    <a:prstGeom prst="rect">
                      <a:avLst/>
                    </a:prstGeom>
                    <a:noFill/>
                    <a:ln>
                      <a:noFill/>
                    </a:ln>
                  </pic:spPr>
                </pic:pic>
              </a:graphicData>
            </a:graphic>
          </wp:inline>
        </w:drawing>
      </w:r>
    </w:p>
    <w:p w:rsidR="00CD7E26" w:rsidRDefault="00CD7E26" w:rsidP="00CD7E26">
      <w:r>
        <w:t>All subjects experienced at least one AE regardless of the study treatment that they had received.</w:t>
      </w:r>
    </w:p>
    <w:p w:rsidR="00CD7E26" w:rsidRDefault="00CD7E26" w:rsidP="00CD7E26">
      <w:r>
        <w:t xml:space="preserve">Adverse events that were reported for at least 10% of subjects are summarised in </w:t>
      </w:r>
      <w:r w:rsidR="000756FA">
        <w:t>Table 2</w:t>
      </w:r>
      <w:r w:rsidR="00DB6CD6">
        <w:t>8</w:t>
      </w:r>
      <w:r>
        <w:t xml:space="preserve"> below.</w:t>
      </w:r>
    </w:p>
    <w:p w:rsidR="00CD7E26" w:rsidRDefault="00CD7E26" w:rsidP="000756FA">
      <w:pPr>
        <w:pStyle w:val="Tabletitle"/>
      </w:pPr>
      <w:bookmarkStart w:id="396" w:name="_Ref479494189"/>
      <w:bookmarkStart w:id="397" w:name="_Toc494205940"/>
      <w:r>
        <w:lastRenderedPageBreak/>
        <w:t xml:space="preserve">Table </w:t>
      </w:r>
      <w:r w:rsidR="000756FA">
        <w:t>2</w:t>
      </w:r>
      <w:bookmarkEnd w:id="396"/>
      <w:r w:rsidR="00DB6CD6">
        <w:t>8</w:t>
      </w:r>
      <w:r>
        <w:t>: Summary of Frequently Observed Adverse Events Study XL184-308</w:t>
      </w:r>
      <w:bookmarkEnd w:id="397"/>
    </w:p>
    <w:p w:rsidR="00CD7E26" w:rsidRDefault="00CD7E26" w:rsidP="00CD7E26">
      <w:r w:rsidRPr="0022731C">
        <w:rPr>
          <w:noProof/>
          <w:lang w:eastAsia="en-AU"/>
        </w:rPr>
        <w:drawing>
          <wp:inline distT="0" distB="0" distL="0" distR="0" wp14:anchorId="04933556" wp14:editId="1E71E2A9">
            <wp:extent cx="4781158" cy="5624286"/>
            <wp:effectExtent l="0" t="0" r="635" b="0"/>
            <wp:docPr id="17" name="Picture 17" descr="Table 28: Summary of Frequently Observed Adverse Events Study XL1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lum bright="-20000" contrast="40000"/>
                      <a:extLst>
                        <a:ext uri="{28A0092B-C50C-407E-A947-70E740481C1C}">
                          <a14:useLocalDpi xmlns:a14="http://schemas.microsoft.com/office/drawing/2010/main" val="0"/>
                        </a:ext>
                      </a:extLst>
                    </a:blip>
                    <a:srcRect t="1148" b="-1"/>
                    <a:stretch/>
                  </pic:blipFill>
                  <pic:spPr bwMode="auto">
                    <a:xfrm>
                      <a:off x="0" y="0"/>
                      <a:ext cx="4778028" cy="5620604"/>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0756FA">
      <w:pPr>
        <w:pStyle w:val="Tabletitle"/>
      </w:pPr>
      <w:r>
        <w:lastRenderedPageBreak/>
        <w:t xml:space="preserve">Table </w:t>
      </w:r>
      <w:r w:rsidR="000756FA">
        <w:t>2</w:t>
      </w:r>
      <w:r w:rsidR="00DB6CD6">
        <w:t>8</w:t>
      </w:r>
      <w:r>
        <w:rPr>
          <w:noProof/>
        </w:rPr>
        <w:t xml:space="preserve"> continued</w:t>
      </w:r>
      <w:r>
        <w:t>: Summary of Frequently Observed Adverse Events Study XL184-308</w:t>
      </w:r>
    </w:p>
    <w:p w:rsidR="00CD7E26" w:rsidRDefault="00CD7E26" w:rsidP="00CD7E26">
      <w:r w:rsidRPr="0022731C">
        <w:rPr>
          <w:noProof/>
          <w:lang w:eastAsia="en-AU"/>
        </w:rPr>
        <w:drawing>
          <wp:inline distT="0" distB="0" distL="0" distR="0" wp14:anchorId="12112CA3" wp14:editId="37EA2861">
            <wp:extent cx="4861784" cy="4513943"/>
            <wp:effectExtent l="0" t="0" r="0" b="1270"/>
            <wp:docPr id="19" name="Picture 19" descr="Table 28 continued: Summary of Frequently Observed Adverse Events Study XL1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lum bright="-20000" contrast="40000"/>
                      <a:extLst>
                        <a:ext uri="{28A0092B-C50C-407E-A947-70E740481C1C}">
                          <a14:useLocalDpi xmlns:a14="http://schemas.microsoft.com/office/drawing/2010/main" val="0"/>
                        </a:ext>
                      </a:extLst>
                    </a:blip>
                    <a:srcRect b="798"/>
                    <a:stretch/>
                  </pic:blipFill>
                  <pic:spPr bwMode="auto">
                    <a:xfrm>
                      <a:off x="0" y="0"/>
                      <a:ext cx="4865236" cy="4517148"/>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r>
        <w:t xml:space="preserve">Adverse events reported for </w:t>
      </w:r>
      <w:r w:rsidR="006F6759">
        <w:rPr>
          <w:lang w:eastAsia="ja-JP"/>
        </w:rPr>
        <w:t xml:space="preserve">≥ </w:t>
      </w:r>
      <w:r>
        <w:t xml:space="preserve">20% of subjects in the </w:t>
      </w:r>
      <w:proofErr w:type="spellStart"/>
      <w:r>
        <w:t>cabozantinib</w:t>
      </w:r>
      <w:proofErr w:type="spellEnd"/>
      <w:r>
        <w:t xml:space="preserve"> arm by decreasing frequency were diarrhoea, fatigue, nausea, decreased appetite, palmar-plantar </w:t>
      </w:r>
      <w:proofErr w:type="spellStart"/>
      <w:r>
        <w:t>erythrodysesthesia</w:t>
      </w:r>
      <w:proofErr w:type="spellEnd"/>
      <w:r>
        <w:t xml:space="preserve"> (PPES), hypertension, vomiting, weight decreased, constipation, </w:t>
      </w:r>
      <w:proofErr w:type="spellStart"/>
      <w:r>
        <w:t>dysgeusia</w:t>
      </w:r>
      <w:proofErr w:type="spellEnd"/>
      <w:r>
        <w:t xml:space="preserve">, stomatitis, hypothyroidism, </w:t>
      </w:r>
      <w:r w:rsidR="005A034E">
        <w:t>and dysphonia.</w:t>
      </w:r>
    </w:p>
    <w:p w:rsidR="00CD7E26" w:rsidRDefault="00CD7E26" w:rsidP="00CD7E26">
      <w:r>
        <w:t xml:space="preserve">Adverse events reported for </w:t>
      </w:r>
      <w:r w:rsidR="006F6759">
        <w:rPr>
          <w:lang w:eastAsia="ja-JP"/>
        </w:rPr>
        <w:t xml:space="preserve">≥ </w:t>
      </w:r>
      <w:r>
        <w:t xml:space="preserve">20% of subjects in the </w:t>
      </w:r>
      <w:proofErr w:type="spellStart"/>
      <w:r>
        <w:t>everolimus</w:t>
      </w:r>
      <w:proofErr w:type="spellEnd"/>
      <w:r>
        <w:t xml:space="preserve"> arm by decreasing frequency were fatigue, anaemia, decreased appetite, cough, dyspnoea, rash, diarrhoea, nausea, stomatitis, mucosal infla</w:t>
      </w:r>
      <w:r w:rsidR="0018463E">
        <w:t>mmation, and peripheral oedema.</w:t>
      </w:r>
    </w:p>
    <w:p w:rsidR="00CD7E26" w:rsidRDefault="00CD7E26" w:rsidP="00CD7E26">
      <w:pPr>
        <w:pStyle w:val="Comment"/>
      </w:pPr>
      <w:r w:rsidRPr="005426CD">
        <w:rPr>
          <w:b/>
        </w:rPr>
        <w:t>Comment</w:t>
      </w:r>
      <w:r>
        <w:rPr>
          <w:b/>
        </w:rPr>
        <w:t>:</w:t>
      </w:r>
      <w:r w:rsidR="0018463E">
        <w:rPr>
          <w:b/>
        </w:rPr>
        <w:tab/>
      </w:r>
      <w:r>
        <w:t xml:space="preserve">Only a single study subject (who had received </w:t>
      </w:r>
      <w:proofErr w:type="spellStart"/>
      <w:r>
        <w:t>everolimus</w:t>
      </w:r>
      <w:proofErr w:type="spellEnd"/>
      <w:r>
        <w:t xml:space="preserve">) did not report an adverse event. The frequency of adverse event was similar in both arms however the safety profile of </w:t>
      </w:r>
      <w:proofErr w:type="spellStart"/>
      <w:r>
        <w:t>cabozantinib</w:t>
      </w:r>
      <w:proofErr w:type="spellEnd"/>
      <w:r>
        <w:t xml:space="preserve"> compared to </w:t>
      </w:r>
      <w:proofErr w:type="spellStart"/>
      <w:r>
        <w:t>everolimus</w:t>
      </w:r>
      <w:proofErr w:type="spellEnd"/>
      <w:r>
        <w:t xml:space="preserve"> was different.</w:t>
      </w:r>
    </w:p>
    <w:p w:rsidR="00CD7E26" w:rsidRDefault="00CD7E26" w:rsidP="00CD7E26">
      <w:r>
        <w:t xml:space="preserve">The nature of AEs experienced by subjects was different for subjects who had received </w:t>
      </w:r>
      <w:proofErr w:type="spellStart"/>
      <w:r>
        <w:t>cabozantinib</w:t>
      </w:r>
      <w:proofErr w:type="spellEnd"/>
      <w:r>
        <w:t xml:space="preserve"> versus those who had received </w:t>
      </w:r>
      <w:bookmarkStart w:id="398" w:name="amendment2"/>
      <w:bookmarkEnd w:id="398"/>
      <w:proofErr w:type="spellStart"/>
      <w:r>
        <w:rPr>
          <w:lang w:eastAsia="ja-JP"/>
        </w:rPr>
        <w:t>everolimus</w:t>
      </w:r>
      <w:proofErr w:type="spellEnd"/>
      <w:r>
        <w:t xml:space="preserve">. Fatigue, PPES, </w:t>
      </w:r>
      <w:proofErr w:type="spellStart"/>
      <w:r>
        <w:t>dysgeusia</w:t>
      </w:r>
      <w:proofErr w:type="spellEnd"/>
      <w:r>
        <w:t>, hypertension, stomatitis, hypothyroidism and dysphonia have been reported for, and are in the product information for, other TKIs (</w:t>
      </w:r>
      <w:proofErr w:type="spellStart"/>
      <w:r>
        <w:t>sorafenib</w:t>
      </w:r>
      <w:proofErr w:type="spellEnd"/>
      <w:r>
        <w:t xml:space="preserve">, </w:t>
      </w:r>
      <w:proofErr w:type="spellStart"/>
      <w:r>
        <w:t>sunitinib</w:t>
      </w:r>
      <w:proofErr w:type="spellEnd"/>
      <w:r>
        <w:t xml:space="preserve"> and </w:t>
      </w:r>
      <w:proofErr w:type="spellStart"/>
      <w:r>
        <w:t>pazopanib</w:t>
      </w:r>
      <w:proofErr w:type="spellEnd"/>
      <w:r>
        <w:t>).</w:t>
      </w:r>
    </w:p>
    <w:p w:rsidR="00CD7E26" w:rsidRPr="00C8229F" w:rsidRDefault="00CD7E26" w:rsidP="00CD7E26">
      <w:r w:rsidRPr="00AF285C">
        <w:t xml:space="preserve">AEs of increased liver transaminases occurred among XL184-308 </w:t>
      </w:r>
      <w:proofErr w:type="spellStart"/>
      <w:r w:rsidRPr="00AF285C">
        <w:t>cabozantinib</w:t>
      </w:r>
      <w:proofErr w:type="spellEnd"/>
      <w:r w:rsidRPr="00AF285C">
        <w:t xml:space="preserve">-treated subjects (18% AST increased, 16% ALT increased). However, there were no cases that met </w:t>
      </w:r>
      <w:proofErr w:type="spellStart"/>
      <w:r w:rsidRPr="00AF285C">
        <w:t>Hy’s</w:t>
      </w:r>
      <w:proofErr w:type="spellEnd"/>
      <w:r w:rsidRPr="00AF285C">
        <w:t xml:space="preserve"> Law criteria (concurrent ALT or AST &gt;3 x ULN, total bilirubin &gt;2 x ULN, and alkaline phosphatase [ALP] &lt;2 x ULN).</w:t>
      </w:r>
      <w:r>
        <w:t xml:space="preserve"> This is discussed in greater detail elsewhere in this report.</w:t>
      </w:r>
    </w:p>
    <w:p w:rsidR="00CD7E26" w:rsidRDefault="00CD7E26" w:rsidP="00CD7E26">
      <w:r>
        <w:t xml:space="preserve">Grade 3 and 4 adverse events were reported more frequently by subjects that had received </w:t>
      </w:r>
      <w:proofErr w:type="spellStart"/>
      <w:r>
        <w:t>cabozantinib</w:t>
      </w:r>
      <w:proofErr w:type="spellEnd"/>
      <w:r>
        <w:t xml:space="preserve"> versus those that had received </w:t>
      </w:r>
      <w:proofErr w:type="spellStart"/>
      <w:r>
        <w:t>everolimus</w:t>
      </w:r>
      <w:proofErr w:type="spellEnd"/>
      <w:r>
        <w:t>, whereas the obverse was s</w:t>
      </w:r>
      <w:r w:rsidR="0018463E">
        <w:t>een for Grade 5 adverse events.</w:t>
      </w:r>
    </w:p>
    <w:p w:rsidR="00CD7E26" w:rsidRPr="00073FEC" w:rsidRDefault="00CD7E26" w:rsidP="00CD7E26">
      <w:pPr>
        <w:pStyle w:val="Heading5"/>
        <w:numPr>
          <w:ilvl w:val="3"/>
          <w:numId w:val="29"/>
        </w:numPr>
        <w:tabs>
          <w:tab w:val="clear" w:pos="1418"/>
          <w:tab w:val="num" w:pos="1191"/>
        </w:tabs>
        <w:ind w:left="1304" w:hanging="1077"/>
      </w:pPr>
      <w:r w:rsidRPr="00073FEC">
        <w:lastRenderedPageBreak/>
        <w:t>Other studies</w:t>
      </w:r>
    </w:p>
    <w:p w:rsidR="00CD7E26" w:rsidRPr="00EC3AE0" w:rsidRDefault="00CD7E26" w:rsidP="00CD7E26">
      <w:pPr>
        <w:pStyle w:val="Heading6"/>
      </w:pPr>
      <w:r w:rsidRPr="00EC3AE0">
        <w:t>Other efficacy studies</w:t>
      </w:r>
    </w:p>
    <w:p w:rsidR="00CD7E26" w:rsidRDefault="00CD7E26" w:rsidP="00CD7E26">
      <w:pPr>
        <w:rPr>
          <w:lang w:eastAsia="ja-JP"/>
        </w:rPr>
      </w:pPr>
      <w:r>
        <w:rPr>
          <w:lang w:eastAsia="ja-JP"/>
        </w:rPr>
        <w:t>Not applicable</w:t>
      </w:r>
      <w:r w:rsidR="0018463E">
        <w:rPr>
          <w:lang w:eastAsia="ja-JP"/>
        </w:rPr>
        <w:t>.</w:t>
      </w:r>
    </w:p>
    <w:p w:rsidR="00CD7E26" w:rsidRDefault="00CD7E26" w:rsidP="00CD7E26">
      <w:pPr>
        <w:pStyle w:val="Heading6"/>
      </w:pPr>
      <w:r w:rsidRPr="00EC3AE0">
        <w:t>Studies with evaluable safety data</w:t>
      </w:r>
      <w:r w:rsidR="0018463E">
        <w:t>: dose finding and pharmacology</w:t>
      </w:r>
    </w:p>
    <w:p w:rsidR="00CD7E26" w:rsidRDefault="00CD7E26" w:rsidP="000756FA">
      <w:pPr>
        <w:pStyle w:val="Tabletitle"/>
      </w:pPr>
      <w:bookmarkStart w:id="399" w:name="_Toc494205941"/>
      <w:r>
        <w:t xml:space="preserve">Table </w:t>
      </w:r>
      <w:r w:rsidR="000756FA">
        <w:t>2</w:t>
      </w:r>
      <w:r w:rsidR="00DB6CD6">
        <w:t>9</w:t>
      </w:r>
      <w:r>
        <w:t>: Frequent Adverse Events (</w:t>
      </w:r>
      <w:r>
        <w:rPr>
          <w:lang w:eastAsia="ja-JP"/>
        </w:rPr>
        <w:t>≥ </w:t>
      </w:r>
      <w:r>
        <w:t>20%) for Subjects with RCC in Study XL184-008 (Safety Population N-25)</w:t>
      </w:r>
      <w:bookmarkEnd w:id="399"/>
    </w:p>
    <w:p w:rsidR="00CD7E26" w:rsidRDefault="00CD7E26" w:rsidP="00B572CC">
      <w:r w:rsidRPr="00552480">
        <w:rPr>
          <w:noProof/>
          <w:lang w:eastAsia="en-AU"/>
        </w:rPr>
        <w:drawing>
          <wp:inline distT="0" distB="0" distL="0" distR="0" wp14:anchorId="0025E67F" wp14:editId="490842F2">
            <wp:extent cx="4885629" cy="3806983"/>
            <wp:effectExtent l="0" t="0" r="0" b="3175"/>
            <wp:docPr id="123" name="Picture 123" descr="Table 29: Frequent Adverse Events (≥ 20%) for Subjects with RCC in Study XL184-008 (Safety Population N-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55">
                      <a:lum bright="-20000" contrast="40000"/>
                      <a:extLst>
                        <a:ext uri="{28A0092B-C50C-407E-A947-70E740481C1C}">
                          <a14:useLocalDpi xmlns:a14="http://schemas.microsoft.com/office/drawing/2010/main" val="0"/>
                        </a:ext>
                      </a:extLst>
                    </a:blip>
                    <a:srcRect t="1441"/>
                    <a:stretch/>
                  </pic:blipFill>
                  <pic:spPr bwMode="auto">
                    <a:xfrm>
                      <a:off x="0" y="0"/>
                      <a:ext cx="4884238" cy="3805899"/>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autoSpaceDE w:val="0"/>
        <w:autoSpaceDN w:val="0"/>
        <w:adjustRightInd w:val="0"/>
        <w:spacing w:before="100" w:beforeAutospacing="1" w:after="100" w:afterAutospacing="1" w:line="240" w:lineRule="auto"/>
        <w:rPr>
          <w:rFonts w:ascii="TimesNewRoman" w:eastAsiaTheme="minorHAnsi" w:hAnsi="TimesNewRoman" w:cs="TimesNewRoman"/>
          <w:sz w:val="24"/>
          <w:szCs w:val="24"/>
          <w:lang w:val="en-NZ"/>
        </w:rPr>
      </w:pPr>
      <w:r w:rsidRPr="002A6F6A">
        <w:t xml:space="preserve">The most frequent </w:t>
      </w:r>
      <w:r>
        <w:rPr>
          <w:lang w:eastAsia="ja-JP"/>
        </w:rPr>
        <w:t>≥</w:t>
      </w:r>
      <w:r w:rsidR="0018463E">
        <w:rPr>
          <w:lang w:eastAsia="ja-JP"/>
        </w:rPr>
        <w:t xml:space="preserve"> </w:t>
      </w:r>
      <w:r w:rsidRPr="002A6F6A">
        <w:t>Grade 3 AEs (</w:t>
      </w:r>
      <w:r>
        <w:rPr>
          <w:lang w:eastAsia="ja-JP"/>
        </w:rPr>
        <w:t>≥</w:t>
      </w:r>
      <w:r w:rsidR="0018463E">
        <w:rPr>
          <w:lang w:eastAsia="ja-JP"/>
        </w:rPr>
        <w:t xml:space="preserve"> </w:t>
      </w:r>
      <w:r w:rsidRPr="002A6F6A">
        <w:t>10% incidence) were hypophosphatemia (40%), fatigue (20%), hyponatremia (20%), diarrh</w:t>
      </w:r>
      <w:r>
        <w:t>o</w:t>
      </w:r>
      <w:r w:rsidRPr="002A6F6A">
        <w:t xml:space="preserve">ea (12%), lipase increased (12%), and pulmonary embolism (12%). Grade 4 AEs were reported for 24% of subjects and comprised pulmonary embolism (3 subjects), blood uric acid increased, hyponatremia, mental status changes, and peritoneal </w:t>
      </w:r>
      <w:r>
        <w:t>ha</w:t>
      </w:r>
      <w:r w:rsidRPr="002A6F6A">
        <w:t>emorrhage (1 subject each). No Grade 5 AEs were reported</w:t>
      </w:r>
      <w:r>
        <w:t>.</w:t>
      </w:r>
    </w:p>
    <w:p w:rsidR="00CD7E26" w:rsidRDefault="00CD7E26" w:rsidP="00CD7E26">
      <w:pPr>
        <w:pStyle w:val="Heading6"/>
      </w:pPr>
      <w:r w:rsidRPr="00EC3AE0">
        <w:lastRenderedPageBreak/>
        <w:t>Studies evaluable for safety only</w:t>
      </w:r>
    </w:p>
    <w:p w:rsidR="00CD7E26" w:rsidRDefault="00CD7E26" w:rsidP="000756FA">
      <w:pPr>
        <w:pStyle w:val="Tabletitle"/>
      </w:pPr>
      <w:bookmarkStart w:id="400" w:name="_Toc494205942"/>
      <w:r>
        <w:t xml:space="preserve">Table </w:t>
      </w:r>
      <w:r w:rsidR="00DB6CD6">
        <w:t>30</w:t>
      </w:r>
      <w:r>
        <w:t>: Frequent Adverse Events (</w:t>
      </w:r>
      <w:r w:rsidR="0018463E">
        <w:rPr>
          <w:lang w:eastAsia="ja-JP"/>
        </w:rPr>
        <w:t xml:space="preserve">≥ </w:t>
      </w:r>
      <w:r>
        <w:t xml:space="preserve">20% Incidence) for </w:t>
      </w:r>
      <w:proofErr w:type="spellStart"/>
      <w:r>
        <w:t>Cabozantinib</w:t>
      </w:r>
      <w:proofErr w:type="spellEnd"/>
      <w:r>
        <w:t>-Treated Subjects with CRPC for Pooled studies XL184-306 and 307 (Safety Population N=741)</w:t>
      </w:r>
      <w:bookmarkEnd w:id="400"/>
    </w:p>
    <w:p w:rsidR="00CD7E26" w:rsidRPr="00A01186" w:rsidRDefault="00CD7E26" w:rsidP="00CD7E26">
      <w:r w:rsidRPr="00A01186">
        <w:rPr>
          <w:noProof/>
          <w:lang w:eastAsia="en-AU"/>
        </w:rPr>
        <w:drawing>
          <wp:inline distT="0" distB="0" distL="0" distR="0" wp14:anchorId="488DF2B0" wp14:editId="08A42FC5">
            <wp:extent cx="5733143" cy="3030810"/>
            <wp:effectExtent l="0" t="0" r="1270" b="0"/>
            <wp:docPr id="114" name="Picture 114" descr="Table 30: Frequent Adverse Events (≥ 20% Incidence) for Cabozantinib-Treated Subjects with CRPC for Pooled studies XL184-306 and 307 (Safety Population N=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56">
                      <a:lum bright="-20000" contrast="40000"/>
                      <a:extLst>
                        <a:ext uri="{28A0092B-C50C-407E-A947-70E740481C1C}">
                          <a14:useLocalDpi xmlns:a14="http://schemas.microsoft.com/office/drawing/2010/main" val="0"/>
                        </a:ext>
                      </a:extLst>
                    </a:blip>
                    <a:srcRect t="2338"/>
                    <a:stretch/>
                  </pic:blipFill>
                  <pic:spPr bwMode="auto">
                    <a:xfrm>
                      <a:off x="0" y="0"/>
                      <a:ext cx="5731510" cy="3029947"/>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pStyle w:val="Heading4"/>
        <w:numPr>
          <w:ilvl w:val="2"/>
          <w:numId w:val="29"/>
        </w:numPr>
      </w:pPr>
      <w:bookmarkStart w:id="401" w:name="_Ref272333567"/>
      <w:bookmarkStart w:id="402" w:name="_Toc272414665"/>
      <w:bookmarkStart w:id="403" w:name="_Toc290888529"/>
      <w:bookmarkStart w:id="404" w:name="_Toc416353745"/>
      <w:bookmarkStart w:id="405" w:name="_Toc421005288"/>
      <w:bookmarkStart w:id="406" w:name="_Toc432079165"/>
      <w:bookmarkStart w:id="407" w:name="_Toc432080738"/>
      <w:r w:rsidRPr="00545B14">
        <w:t>Treatment</w:t>
      </w:r>
      <w:r>
        <w:t xml:space="preserve"> </w:t>
      </w:r>
      <w:r w:rsidRPr="00545B14">
        <w:t>related adverse events (adverse drug reactions)</w:t>
      </w:r>
      <w:bookmarkEnd w:id="401"/>
      <w:bookmarkEnd w:id="402"/>
      <w:bookmarkEnd w:id="403"/>
      <w:bookmarkEnd w:id="404"/>
      <w:bookmarkEnd w:id="405"/>
      <w:bookmarkEnd w:id="406"/>
      <w:bookmarkEnd w:id="407"/>
    </w:p>
    <w:p w:rsidR="00CD7E26" w:rsidRPr="006F6759" w:rsidRDefault="00CD7E26" w:rsidP="006F6759">
      <w:pPr>
        <w:pStyle w:val="Heading5"/>
      </w:pPr>
      <w:r w:rsidRPr="006F6759">
        <w:t>Integrated safety analyses</w:t>
      </w:r>
    </w:p>
    <w:p w:rsidR="00CD7E26" w:rsidRDefault="00CD7E26" w:rsidP="00CD7E26">
      <w:pPr>
        <w:rPr>
          <w:lang w:eastAsia="ja-JP"/>
        </w:rPr>
      </w:pPr>
      <w:r>
        <w:rPr>
          <w:lang w:eastAsia="ja-JP"/>
        </w:rPr>
        <w:t>Not applicable</w:t>
      </w:r>
      <w:r w:rsidR="0018463E">
        <w:rPr>
          <w:lang w:eastAsia="ja-JP"/>
        </w:rPr>
        <w:t>.</w:t>
      </w:r>
    </w:p>
    <w:p w:rsidR="00CD7E26" w:rsidRPr="006F6759" w:rsidRDefault="00CD7E26" w:rsidP="006F6759">
      <w:pPr>
        <w:pStyle w:val="Heading5"/>
      </w:pPr>
      <w:r w:rsidRPr="006F6759">
        <w:t>Main/pivotal studies that assessed safety as the sole primary outcome</w:t>
      </w:r>
    </w:p>
    <w:p w:rsidR="00CD7E26" w:rsidRDefault="00CD7E26" w:rsidP="00CD7E26">
      <w:pPr>
        <w:rPr>
          <w:lang w:eastAsia="ja-JP"/>
        </w:rPr>
      </w:pPr>
      <w:r>
        <w:rPr>
          <w:lang w:eastAsia="ja-JP"/>
        </w:rPr>
        <w:t>Not applicable</w:t>
      </w:r>
      <w:r w:rsidR="0018463E">
        <w:rPr>
          <w:lang w:eastAsia="ja-JP"/>
        </w:rPr>
        <w:t>.</w:t>
      </w:r>
    </w:p>
    <w:p w:rsidR="00CD7E26" w:rsidRPr="006F6759" w:rsidRDefault="00CD7E26" w:rsidP="006F6759">
      <w:pPr>
        <w:pStyle w:val="Heading5"/>
      </w:pPr>
      <w:r w:rsidRPr="006F6759">
        <w:t>Pivotal and/or main efficacy studies</w:t>
      </w:r>
    </w:p>
    <w:p w:rsidR="00CD7E26" w:rsidRDefault="00CD7E26" w:rsidP="00CD7E26">
      <w:pPr>
        <w:rPr>
          <w:lang w:eastAsia="ja-JP"/>
        </w:rPr>
      </w:pPr>
      <w:r>
        <w:rPr>
          <w:lang w:eastAsia="ja-JP"/>
        </w:rPr>
        <w:t>Frequently reported treatment-related AEs (those reported for at least 10% of subjects in either treatment arm is summarised in</w:t>
      </w:r>
      <w:r w:rsidR="000756FA">
        <w:rPr>
          <w:lang w:eastAsia="ja-JP"/>
        </w:rPr>
        <w:t xml:space="preserve"> Table </w:t>
      </w:r>
      <w:r w:rsidR="00DB6CD6">
        <w:rPr>
          <w:lang w:eastAsia="ja-JP"/>
        </w:rPr>
        <w:t>31</w:t>
      </w:r>
      <w:r>
        <w:rPr>
          <w:lang w:eastAsia="ja-JP"/>
        </w:rPr>
        <w:t>.</w:t>
      </w:r>
    </w:p>
    <w:p w:rsidR="00CD7E26" w:rsidRDefault="00CD7E26" w:rsidP="000756FA">
      <w:pPr>
        <w:pStyle w:val="Tabletitle"/>
      </w:pPr>
      <w:bookmarkStart w:id="408" w:name="_Ref479504611"/>
      <w:bookmarkStart w:id="409" w:name="_Ref479504603"/>
      <w:bookmarkStart w:id="410" w:name="_Toc494205943"/>
      <w:r>
        <w:lastRenderedPageBreak/>
        <w:t xml:space="preserve">Table </w:t>
      </w:r>
      <w:bookmarkEnd w:id="408"/>
      <w:r w:rsidR="00DB6CD6">
        <w:t>31</w:t>
      </w:r>
      <w:r>
        <w:t>: Treatment Related Adverse Events Reported for At Least 10% of Subjects</w:t>
      </w:r>
      <w:bookmarkEnd w:id="409"/>
      <w:bookmarkEnd w:id="410"/>
    </w:p>
    <w:p w:rsidR="00CD7E26" w:rsidRDefault="00CD7E26" w:rsidP="00CD7E26">
      <w:pPr>
        <w:rPr>
          <w:lang w:eastAsia="ja-JP"/>
        </w:rPr>
      </w:pPr>
      <w:r>
        <w:rPr>
          <w:noProof/>
          <w:lang w:eastAsia="en-AU"/>
        </w:rPr>
        <w:drawing>
          <wp:inline distT="0" distB="0" distL="0" distR="0" wp14:anchorId="1DC94646" wp14:editId="4D99BDA0">
            <wp:extent cx="4876800" cy="6581775"/>
            <wp:effectExtent l="19050" t="19050" r="19050" b="28575"/>
            <wp:docPr id="20" name="Picture 20" descr="Table 31: Treatment Related Adverse Events Reported for At Least 10%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689" t="1555" r="2252" b="707"/>
                    <a:stretch/>
                  </pic:blipFill>
                  <pic:spPr bwMode="auto">
                    <a:xfrm>
                      <a:off x="0" y="0"/>
                      <a:ext cx="4876800" cy="658177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D7E26" w:rsidRDefault="00CD7E26" w:rsidP="00CD7E26">
      <w:pPr>
        <w:rPr>
          <w:lang w:eastAsia="ja-JP"/>
        </w:rPr>
      </w:pPr>
      <w:r>
        <w:rPr>
          <w:lang w:eastAsia="ja-JP"/>
        </w:rPr>
        <w:t xml:space="preserve">The overall incidence of treatment-related AEs was similar in both arms (97% </w:t>
      </w:r>
      <w:proofErr w:type="spellStart"/>
      <w:r>
        <w:rPr>
          <w:lang w:eastAsia="ja-JP"/>
        </w:rPr>
        <w:t>cabozantinib</w:t>
      </w:r>
      <w:proofErr w:type="spellEnd"/>
      <w:r>
        <w:rPr>
          <w:lang w:eastAsia="ja-JP"/>
        </w:rPr>
        <w:t xml:space="preserve">, 91% </w:t>
      </w:r>
      <w:proofErr w:type="spellStart"/>
      <w:r>
        <w:rPr>
          <w:lang w:eastAsia="ja-JP"/>
        </w:rPr>
        <w:t>everolimus</w:t>
      </w:r>
      <w:proofErr w:type="spellEnd"/>
      <w:r>
        <w:rPr>
          <w:lang w:eastAsia="ja-JP"/>
        </w:rPr>
        <w:t xml:space="preserve">). Treatment-related AEs reported for ≥ 20% of subjects in the </w:t>
      </w:r>
      <w:proofErr w:type="spellStart"/>
      <w:r>
        <w:rPr>
          <w:lang w:eastAsia="ja-JP"/>
        </w:rPr>
        <w:t>cabozantinib</w:t>
      </w:r>
      <w:proofErr w:type="spellEnd"/>
      <w:r>
        <w:rPr>
          <w:lang w:eastAsia="ja-JP"/>
        </w:rPr>
        <w:t xml:space="preserve"> arm by decreasing frequency were </w:t>
      </w:r>
      <w:proofErr w:type="spellStart"/>
      <w:r>
        <w:rPr>
          <w:lang w:eastAsia="ja-JP"/>
        </w:rPr>
        <w:t>diarrhea</w:t>
      </w:r>
      <w:proofErr w:type="spellEnd"/>
      <w:r>
        <w:rPr>
          <w:lang w:eastAsia="ja-JP"/>
        </w:rPr>
        <w:t xml:space="preserve">, fatigue, nausea, PPES, decreased appetite, hypertension, weight decreased, vomiting, </w:t>
      </w:r>
      <w:proofErr w:type="spellStart"/>
      <w:r>
        <w:rPr>
          <w:lang w:eastAsia="ja-JP"/>
        </w:rPr>
        <w:t>dysgeusia</w:t>
      </w:r>
      <w:proofErr w:type="spellEnd"/>
      <w:r>
        <w:rPr>
          <w:lang w:eastAsia="ja-JP"/>
        </w:rPr>
        <w:t xml:space="preserve">, and stomatitis. Treatment-related AEs reported for ≥ 20% of subjects in the </w:t>
      </w:r>
      <w:proofErr w:type="spellStart"/>
      <w:r>
        <w:rPr>
          <w:lang w:eastAsia="ja-JP"/>
        </w:rPr>
        <w:t>everolimus</w:t>
      </w:r>
      <w:proofErr w:type="spellEnd"/>
      <w:r>
        <w:rPr>
          <w:lang w:eastAsia="ja-JP"/>
        </w:rPr>
        <w:t xml:space="preserve"> arm by decreasing frequency were fatigue, anaemia, decreased appetite, rash, stomatitis, mucosal inflamma</w:t>
      </w:r>
      <w:r w:rsidR="006F6759">
        <w:rPr>
          <w:lang w:eastAsia="ja-JP"/>
        </w:rPr>
        <w:t xml:space="preserve">tion, and </w:t>
      </w:r>
      <w:proofErr w:type="spellStart"/>
      <w:r w:rsidR="006F6759">
        <w:rPr>
          <w:lang w:eastAsia="ja-JP"/>
        </w:rPr>
        <w:t>diarrhea</w:t>
      </w:r>
      <w:proofErr w:type="spellEnd"/>
      <w:r w:rsidR="006F6759">
        <w:rPr>
          <w:lang w:eastAsia="ja-JP"/>
        </w:rPr>
        <w:t>.</w:t>
      </w:r>
    </w:p>
    <w:p w:rsidR="00CD7E26" w:rsidRDefault="00CD7E26" w:rsidP="00CD7E26">
      <w:pPr>
        <w:rPr>
          <w:lang w:eastAsia="ja-JP"/>
        </w:rPr>
      </w:pPr>
      <w:r>
        <w:rPr>
          <w:lang w:eastAsia="ja-JP"/>
        </w:rPr>
        <w:t xml:space="preserve">Treatment-related AEs were Grade 3 or 4 for 59% and 41% of subjects in the </w:t>
      </w:r>
      <w:proofErr w:type="spellStart"/>
      <w:r>
        <w:rPr>
          <w:lang w:eastAsia="ja-JP"/>
        </w:rPr>
        <w:t>cabozantinib</w:t>
      </w:r>
      <w:proofErr w:type="spellEnd"/>
      <w:r>
        <w:rPr>
          <w:lang w:eastAsia="ja-JP"/>
        </w:rPr>
        <w:t xml:space="preserve"> and </w:t>
      </w:r>
      <w:proofErr w:type="spellStart"/>
      <w:r>
        <w:rPr>
          <w:lang w:eastAsia="ja-JP"/>
        </w:rPr>
        <w:t>everolimus</w:t>
      </w:r>
      <w:proofErr w:type="spellEnd"/>
      <w:r>
        <w:rPr>
          <w:lang w:eastAsia="ja-JP"/>
        </w:rPr>
        <w:t xml:space="preserve"> arms, respectively, and Grade 5 for 0.3% and 0.6% in the respective treatment arms.</w:t>
      </w:r>
    </w:p>
    <w:p w:rsidR="00CD7E26" w:rsidRPr="003C3199" w:rsidRDefault="00CD7E26" w:rsidP="00CD7E26">
      <w:pPr>
        <w:pStyle w:val="Comment"/>
        <w:rPr>
          <w:lang w:eastAsia="ja-JP"/>
        </w:rPr>
      </w:pPr>
      <w:r>
        <w:rPr>
          <w:b/>
          <w:lang w:eastAsia="ja-JP"/>
        </w:rPr>
        <w:lastRenderedPageBreak/>
        <w:t>Comment:</w:t>
      </w:r>
      <w:r w:rsidR="006F6759">
        <w:rPr>
          <w:b/>
          <w:lang w:eastAsia="ja-JP"/>
        </w:rPr>
        <w:tab/>
      </w:r>
      <w:r>
        <w:rPr>
          <w:lang w:eastAsia="ja-JP"/>
        </w:rPr>
        <w:t xml:space="preserve">The frequency and nature of TAES are similar to those for all AEs. The TAEs observed in subjects who had received </w:t>
      </w:r>
      <w:proofErr w:type="spellStart"/>
      <w:r>
        <w:rPr>
          <w:lang w:eastAsia="ja-JP"/>
        </w:rPr>
        <w:t>cabozantinib</w:t>
      </w:r>
      <w:proofErr w:type="spellEnd"/>
      <w:r>
        <w:rPr>
          <w:lang w:eastAsia="ja-JP"/>
        </w:rPr>
        <w:t xml:space="preserve"> are AEs that had been observed for other TKIs.</w:t>
      </w:r>
    </w:p>
    <w:p w:rsidR="00CD7E26" w:rsidRPr="006F6759" w:rsidRDefault="00CD7E26" w:rsidP="006F6759">
      <w:pPr>
        <w:pStyle w:val="Heading5"/>
      </w:pPr>
      <w:r w:rsidRPr="006F6759">
        <w:t>Other studies</w:t>
      </w:r>
    </w:p>
    <w:p w:rsidR="00CD7E26" w:rsidRPr="006F6759" w:rsidRDefault="00CD7E26" w:rsidP="006F6759">
      <w:pPr>
        <w:pStyle w:val="Heading6"/>
      </w:pPr>
      <w:r w:rsidRPr="006F6759">
        <w:t>Other efficacy studies</w:t>
      </w:r>
    </w:p>
    <w:p w:rsidR="00CD7E26" w:rsidRDefault="00CD7E26" w:rsidP="00CD7E26">
      <w:pPr>
        <w:rPr>
          <w:lang w:eastAsia="ja-JP"/>
        </w:rPr>
      </w:pPr>
      <w:r>
        <w:rPr>
          <w:lang w:eastAsia="ja-JP"/>
        </w:rPr>
        <w:t>Not applicable</w:t>
      </w:r>
      <w:r w:rsidR="006F6759">
        <w:rPr>
          <w:lang w:eastAsia="ja-JP"/>
        </w:rPr>
        <w:t>.</w:t>
      </w:r>
    </w:p>
    <w:p w:rsidR="00CD7E26" w:rsidRDefault="00CD7E26" w:rsidP="00CD7E26">
      <w:pPr>
        <w:pStyle w:val="Heading6"/>
      </w:pPr>
      <w:r w:rsidRPr="00EC3AE0">
        <w:t xml:space="preserve">Studies with evaluable safety data: dose finding and pharmacology </w:t>
      </w:r>
    </w:p>
    <w:p w:rsidR="00CD7E26" w:rsidRPr="000D6D83" w:rsidRDefault="00CD7E26" w:rsidP="00CD7E26">
      <w:r>
        <w:t>Not applicable</w:t>
      </w:r>
      <w:r w:rsidR="006F6759">
        <w:t>.</w:t>
      </w:r>
    </w:p>
    <w:p w:rsidR="00CD7E26" w:rsidRDefault="00CD7E26" w:rsidP="00CD7E26">
      <w:pPr>
        <w:pStyle w:val="Heading6"/>
      </w:pPr>
      <w:r w:rsidRPr="00EC3AE0">
        <w:t>Studies evaluable for safety only</w:t>
      </w:r>
    </w:p>
    <w:p w:rsidR="00CD7E26" w:rsidRDefault="00CD7E26" w:rsidP="00CD7E26">
      <w:pPr>
        <w:rPr>
          <w:lang w:eastAsia="ja-JP"/>
        </w:rPr>
      </w:pPr>
      <w:bookmarkStart w:id="411" w:name="_Toc241374320"/>
      <w:bookmarkStart w:id="412" w:name="_Ref272333507"/>
      <w:bookmarkStart w:id="413" w:name="_Toc272414666"/>
      <w:bookmarkStart w:id="414" w:name="_Toc290888530"/>
      <w:bookmarkStart w:id="415" w:name="_Toc416353746"/>
      <w:bookmarkStart w:id="416" w:name="_Toc421005289"/>
      <w:bookmarkStart w:id="417" w:name="_Toc432079166"/>
      <w:bookmarkStart w:id="418" w:name="_Toc432080739"/>
      <w:r>
        <w:rPr>
          <w:lang w:eastAsia="ja-JP"/>
        </w:rPr>
        <w:t>Not applicable</w:t>
      </w:r>
      <w:r w:rsidR="006F6759">
        <w:rPr>
          <w:lang w:eastAsia="ja-JP"/>
        </w:rPr>
        <w:t>.</w:t>
      </w:r>
    </w:p>
    <w:p w:rsidR="00CD7E26" w:rsidRDefault="00CD7E26" w:rsidP="00CD7E26">
      <w:pPr>
        <w:pStyle w:val="Heading4"/>
        <w:numPr>
          <w:ilvl w:val="2"/>
          <w:numId w:val="29"/>
        </w:numPr>
      </w:pPr>
      <w:r w:rsidRPr="00545B14">
        <w:t>Deaths and other serious adverse events</w:t>
      </w:r>
      <w:bookmarkEnd w:id="411"/>
      <w:bookmarkEnd w:id="412"/>
      <w:bookmarkEnd w:id="413"/>
      <w:bookmarkEnd w:id="414"/>
      <w:bookmarkEnd w:id="415"/>
      <w:bookmarkEnd w:id="416"/>
      <w:bookmarkEnd w:id="417"/>
      <w:bookmarkEnd w:id="418"/>
    </w:p>
    <w:p w:rsidR="00CD7E26" w:rsidRPr="006F6759" w:rsidRDefault="00CD7E26" w:rsidP="006F6759">
      <w:pPr>
        <w:pStyle w:val="Heading5"/>
      </w:pPr>
      <w:r w:rsidRPr="006F6759">
        <w:t>Integrated safety analyses</w:t>
      </w:r>
    </w:p>
    <w:p w:rsidR="00CD7E26" w:rsidRDefault="00CD7E26" w:rsidP="00CD7E26">
      <w:pPr>
        <w:rPr>
          <w:lang w:eastAsia="ja-JP"/>
        </w:rPr>
      </w:pPr>
      <w:r>
        <w:rPr>
          <w:lang w:eastAsia="ja-JP"/>
        </w:rPr>
        <w:t>Not applicable</w:t>
      </w:r>
      <w:r w:rsidR="006F6759">
        <w:rPr>
          <w:lang w:eastAsia="ja-JP"/>
        </w:rPr>
        <w:t>.</w:t>
      </w:r>
    </w:p>
    <w:p w:rsidR="00CD7E26" w:rsidRPr="006F6759" w:rsidRDefault="00CD7E26" w:rsidP="006F6759">
      <w:pPr>
        <w:pStyle w:val="Heading5"/>
      </w:pPr>
      <w:r w:rsidRPr="006F6759">
        <w:t>Main/pivotal studies that assessed safety as the sole primary outcome</w:t>
      </w:r>
    </w:p>
    <w:p w:rsidR="00CD7E26" w:rsidRDefault="00CD7E26" w:rsidP="00CD7E26">
      <w:pPr>
        <w:rPr>
          <w:lang w:eastAsia="ja-JP"/>
        </w:rPr>
      </w:pPr>
      <w:r>
        <w:rPr>
          <w:lang w:eastAsia="ja-JP"/>
        </w:rPr>
        <w:t>Not applicable</w:t>
      </w:r>
      <w:r w:rsidR="006F6759">
        <w:rPr>
          <w:lang w:eastAsia="ja-JP"/>
        </w:rPr>
        <w:t>.</w:t>
      </w:r>
    </w:p>
    <w:p w:rsidR="00CD7E26" w:rsidRPr="006F6759" w:rsidRDefault="00CD7E26" w:rsidP="006F6759">
      <w:pPr>
        <w:pStyle w:val="Heading5"/>
      </w:pPr>
      <w:r w:rsidRPr="006F6759">
        <w:t>Pivotal and/or main efficacy studies</w:t>
      </w:r>
    </w:p>
    <w:p w:rsidR="00CD7E26" w:rsidRDefault="00CD7E26" w:rsidP="00CD7E26">
      <w:pPr>
        <w:rPr>
          <w:lang w:eastAsia="ja-JP"/>
        </w:rPr>
      </w:pPr>
      <w:r>
        <w:rPr>
          <w:lang w:eastAsia="ja-JP"/>
        </w:rPr>
        <w:t xml:space="preserve">A total of 200 deaths were reported in the Safety population as of the cut-off date of 22 May 2015 which included 90 subjects (27%) in the </w:t>
      </w:r>
      <w:proofErr w:type="spellStart"/>
      <w:r>
        <w:rPr>
          <w:lang w:eastAsia="ja-JP"/>
        </w:rPr>
        <w:t>cabozantinib</w:t>
      </w:r>
      <w:proofErr w:type="spellEnd"/>
      <w:r>
        <w:rPr>
          <w:lang w:eastAsia="ja-JP"/>
        </w:rPr>
        <w:t xml:space="preserve"> arm and 110 subjects (34%) in the </w:t>
      </w:r>
      <w:proofErr w:type="spellStart"/>
      <w:r>
        <w:rPr>
          <w:lang w:eastAsia="ja-JP"/>
        </w:rPr>
        <w:t>everolimus</w:t>
      </w:r>
      <w:proofErr w:type="spellEnd"/>
      <w:r>
        <w:rPr>
          <w:lang w:eastAsia="ja-JP"/>
        </w:rPr>
        <w:t xml:space="preserve"> arm. Thirty-eight deaths occurred through 30 days of the last dose: 15 (4.5%) in the </w:t>
      </w:r>
      <w:proofErr w:type="spellStart"/>
      <w:r>
        <w:rPr>
          <w:lang w:eastAsia="ja-JP"/>
        </w:rPr>
        <w:t>cabozantinib</w:t>
      </w:r>
      <w:proofErr w:type="spellEnd"/>
      <w:r>
        <w:rPr>
          <w:lang w:eastAsia="ja-JP"/>
        </w:rPr>
        <w:t xml:space="preserve"> arm and 23 (7.1%) in the </w:t>
      </w:r>
      <w:proofErr w:type="spellStart"/>
      <w:r>
        <w:rPr>
          <w:lang w:eastAsia="ja-JP"/>
        </w:rPr>
        <w:t>everolimus</w:t>
      </w:r>
      <w:proofErr w:type="spellEnd"/>
      <w:r>
        <w:rPr>
          <w:lang w:eastAsia="ja-JP"/>
        </w:rPr>
        <w:t xml:space="preserve"> arm; deaths were attributed to PD (8 subjects [2.4%] </w:t>
      </w:r>
      <w:proofErr w:type="spellStart"/>
      <w:r>
        <w:rPr>
          <w:lang w:eastAsia="ja-JP"/>
        </w:rPr>
        <w:t>cabozantinib</w:t>
      </w:r>
      <w:proofErr w:type="spellEnd"/>
      <w:r>
        <w:rPr>
          <w:lang w:eastAsia="ja-JP"/>
        </w:rPr>
        <w:t xml:space="preserve">, 11 [3.4%] </w:t>
      </w:r>
      <w:proofErr w:type="spellStart"/>
      <w:r>
        <w:rPr>
          <w:lang w:eastAsia="ja-JP"/>
        </w:rPr>
        <w:t>everolimus</w:t>
      </w:r>
      <w:proofErr w:type="spellEnd"/>
      <w:r>
        <w:rPr>
          <w:lang w:eastAsia="ja-JP"/>
        </w:rPr>
        <w:t xml:space="preserve">) and other reasons (7 subjects [2.1%] </w:t>
      </w:r>
      <w:proofErr w:type="spellStart"/>
      <w:r>
        <w:rPr>
          <w:lang w:eastAsia="ja-JP"/>
        </w:rPr>
        <w:t>cabozantinib</w:t>
      </w:r>
      <w:proofErr w:type="spellEnd"/>
      <w:r>
        <w:rPr>
          <w:lang w:eastAsia="ja-JP"/>
        </w:rPr>
        <w:t xml:space="preserve">, 12 [3.7%] </w:t>
      </w:r>
      <w:proofErr w:type="spellStart"/>
      <w:r>
        <w:rPr>
          <w:lang w:eastAsia="ja-JP"/>
        </w:rPr>
        <w:t>everolimus</w:t>
      </w:r>
      <w:proofErr w:type="spellEnd"/>
      <w:r>
        <w:rPr>
          <w:lang w:eastAsia="ja-JP"/>
        </w:rPr>
        <w:t xml:space="preserve">). A total of 162 deaths occurred more than 30 days after last dose of study drug: 75 (23%) in the </w:t>
      </w:r>
      <w:proofErr w:type="spellStart"/>
      <w:r>
        <w:rPr>
          <w:lang w:eastAsia="ja-JP"/>
        </w:rPr>
        <w:t>cabozantinib</w:t>
      </w:r>
      <w:proofErr w:type="spellEnd"/>
      <w:r>
        <w:rPr>
          <w:lang w:eastAsia="ja-JP"/>
        </w:rPr>
        <w:t xml:space="preserve"> arm and 87 (27%) in the </w:t>
      </w:r>
      <w:proofErr w:type="spellStart"/>
      <w:r>
        <w:rPr>
          <w:lang w:eastAsia="ja-JP"/>
        </w:rPr>
        <w:t>everolimus</w:t>
      </w:r>
      <w:proofErr w:type="spellEnd"/>
      <w:r>
        <w:rPr>
          <w:lang w:eastAsia="ja-JP"/>
        </w:rPr>
        <w:t xml:space="preserve"> arm. Most of these deaths were due to PD (145 out of 162), with more PD deaths occurring in the </w:t>
      </w:r>
      <w:proofErr w:type="spellStart"/>
      <w:r>
        <w:rPr>
          <w:lang w:eastAsia="ja-JP"/>
        </w:rPr>
        <w:t>everolimus</w:t>
      </w:r>
      <w:proofErr w:type="spellEnd"/>
      <w:r>
        <w:rPr>
          <w:lang w:eastAsia="ja-JP"/>
        </w:rPr>
        <w:t xml:space="preserve"> arm (65/331 subjects [20%] </w:t>
      </w:r>
      <w:proofErr w:type="spellStart"/>
      <w:r>
        <w:rPr>
          <w:lang w:eastAsia="ja-JP"/>
        </w:rPr>
        <w:t>cabozantinib</w:t>
      </w:r>
      <w:proofErr w:type="spellEnd"/>
      <w:r>
        <w:rPr>
          <w:lang w:eastAsia="ja-JP"/>
        </w:rPr>
        <w:t xml:space="preserve">, 80/322 [25%] </w:t>
      </w:r>
      <w:proofErr w:type="spellStart"/>
      <w:r>
        <w:rPr>
          <w:lang w:eastAsia="ja-JP"/>
        </w:rPr>
        <w:t>everolimus</w:t>
      </w:r>
      <w:proofErr w:type="spellEnd"/>
      <w:r>
        <w:rPr>
          <w:lang w:eastAsia="ja-JP"/>
        </w:rPr>
        <w:t>).</w:t>
      </w:r>
    </w:p>
    <w:p w:rsidR="00CD7E26" w:rsidRDefault="00CD7E26" w:rsidP="000756FA">
      <w:pPr>
        <w:pStyle w:val="Tabletitle"/>
      </w:pPr>
      <w:bookmarkStart w:id="419" w:name="_Ref479840404"/>
      <w:bookmarkStart w:id="420" w:name="_Toc494205944"/>
      <w:r>
        <w:lastRenderedPageBreak/>
        <w:t xml:space="preserve">Table </w:t>
      </w:r>
      <w:r w:rsidR="000756FA">
        <w:t>3</w:t>
      </w:r>
      <w:bookmarkEnd w:id="419"/>
      <w:r w:rsidR="00DB6CD6">
        <w:t>2</w:t>
      </w:r>
      <w:r>
        <w:t>: Deaths and Reason for Death Up to Data Cut-off 22 May 2015 Study XL184-308</w:t>
      </w:r>
      <w:bookmarkEnd w:id="420"/>
    </w:p>
    <w:p w:rsidR="00CD7E26" w:rsidRDefault="00CD7E26" w:rsidP="00CD7E26">
      <w:pPr>
        <w:rPr>
          <w:lang w:eastAsia="ja-JP"/>
        </w:rPr>
      </w:pPr>
      <w:r w:rsidRPr="00F8764C">
        <w:rPr>
          <w:noProof/>
          <w:lang w:eastAsia="en-AU"/>
        </w:rPr>
        <w:drawing>
          <wp:inline distT="0" distB="0" distL="0" distR="0" wp14:anchorId="1E0C86EF" wp14:editId="61A13033">
            <wp:extent cx="4810125" cy="4389016"/>
            <wp:effectExtent l="0" t="0" r="0" b="0"/>
            <wp:docPr id="33" name="Picture 33" descr="Table 32: Deaths and Reason for Death Up to Data Cut-off 22 May 2015 Study XL1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lum bright="-20000" contrast="40000"/>
                      <a:extLst>
                        <a:ext uri="{28A0092B-C50C-407E-A947-70E740481C1C}">
                          <a14:useLocalDpi xmlns:a14="http://schemas.microsoft.com/office/drawing/2010/main" val="0"/>
                        </a:ext>
                      </a:extLst>
                    </a:blip>
                    <a:srcRect/>
                    <a:stretch>
                      <a:fillRect/>
                    </a:stretch>
                  </pic:blipFill>
                  <pic:spPr bwMode="auto">
                    <a:xfrm>
                      <a:off x="0" y="0"/>
                      <a:ext cx="4810597" cy="4389446"/>
                    </a:xfrm>
                    <a:prstGeom prst="rect">
                      <a:avLst/>
                    </a:prstGeom>
                    <a:noFill/>
                    <a:ln>
                      <a:noFill/>
                    </a:ln>
                  </pic:spPr>
                </pic:pic>
              </a:graphicData>
            </a:graphic>
          </wp:inline>
        </w:drawing>
      </w:r>
    </w:p>
    <w:p w:rsidR="00CD7E26" w:rsidRDefault="00CD7E26" w:rsidP="00CD7E26">
      <w:pPr>
        <w:rPr>
          <w:lang w:eastAsia="ja-JP"/>
        </w:rPr>
      </w:pPr>
      <w:r>
        <w:rPr>
          <w:lang w:eastAsia="ja-JP"/>
        </w:rPr>
        <w:t xml:space="preserve">Up to the date of the unplanned interim analysis (Data cut-off 31 December 2015) there were 137 of subjects that had received </w:t>
      </w:r>
      <w:proofErr w:type="spellStart"/>
      <w:r>
        <w:rPr>
          <w:lang w:eastAsia="ja-JP"/>
        </w:rPr>
        <w:t>cabozantinib</w:t>
      </w:r>
      <w:proofErr w:type="spellEnd"/>
      <w:r>
        <w:rPr>
          <w:lang w:eastAsia="ja-JP"/>
        </w:rPr>
        <w:t xml:space="preserve"> and 170 of subjects that had received </w:t>
      </w:r>
      <w:proofErr w:type="spellStart"/>
      <w:r>
        <w:rPr>
          <w:lang w:eastAsia="ja-JP"/>
        </w:rPr>
        <w:t>everolimus</w:t>
      </w:r>
      <w:proofErr w:type="spellEnd"/>
      <w:r>
        <w:rPr>
          <w:lang w:eastAsia="ja-JP"/>
        </w:rPr>
        <w:t xml:space="preserve"> had died. In terms of the overall survival analysis this represents 320/408 (78%) of the events required for the final analysis.</w:t>
      </w:r>
    </w:p>
    <w:p w:rsidR="00CD7E26" w:rsidRDefault="006F6759" w:rsidP="00CD7E26">
      <w:pPr>
        <w:pStyle w:val="Comment"/>
        <w:rPr>
          <w:lang w:eastAsia="ja-JP"/>
        </w:rPr>
      </w:pPr>
      <w:r>
        <w:rPr>
          <w:b/>
          <w:lang w:eastAsia="ja-JP"/>
        </w:rPr>
        <w:t>Comment:</w:t>
      </w:r>
      <w:r>
        <w:rPr>
          <w:b/>
          <w:lang w:eastAsia="ja-JP"/>
        </w:rPr>
        <w:tab/>
      </w:r>
      <w:r w:rsidR="00CD7E26">
        <w:rPr>
          <w:lang w:eastAsia="ja-JP"/>
        </w:rPr>
        <w:t>The primary reason for death for both arms was progressive disease.</w:t>
      </w:r>
    </w:p>
    <w:p w:rsidR="00CD7E26" w:rsidRDefault="00CD7E26" w:rsidP="00CD7E26">
      <w:pPr>
        <w:pStyle w:val="Heading4"/>
        <w:numPr>
          <w:ilvl w:val="2"/>
          <w:numId w:val="29"/>
        </w:numPr>
      </w:pPr>
      <w:r>
        <w:lastRenderedPageBreak/>
        <w:t>Serious Adverse Events</w:t>
      </w:r>
    </w:p>
    <w:p w:rsidR="00CD7E26" w:rsidRPr="00267B6C" w:rsidRDefault="00CD7E26" w:rsidP="00267B6C">
      <w:pPr>
        <w:pStyle w:val="Heading5"/>
      </w:pPr>
      <w:r w:rsidRPr="00267B6C">
        <w:t>Grade 5 AEs</w:t>
      </w:r>
    </w:p>
    <w:p w:rsidR="00CD7E26" w:rsidRPr="00267B6C" w:rsidRDefault="00CD7E26" w:rsidP="00267B6C">
      <w:pPr>
        <w:pStyle w:val="Tabletitle"/>
      </w:pPr>
      <w:bookmarkStart w:id="421" w:name="_Toc494205945"/>
      <w:r w:rsidRPr="00267B6C">
        <w:t xml:space="preserve">Table </w:t>
      </w:r>
      <w:r w:rsidR="000756FA" w:rsidRPr="00267B6C">
        <w:t>3</w:t>
      </w:r>
      <w:r w:rsidR="00DB6CD6" w:rsidRPr="00267B6C">
        <w:t>3</w:t>
      </w:r>
      <w:r w:rsidRPr="00267B6C">
        <w:t xml:space="preserve">: Summary of Grade 5 Adverse Events through 30 Days after Last Dose of Study Drug by Preferred Term Sorted by Incidence in the XL184-308 </w:t>
      </w:r>
      <w:proofErr w:type="spellStart"/>
      <w:r w:rsidRPr="00267B6C">
        <w:t>Cabozantinib</w:t>
      </w:r>
      <w:proofErr w:type="spellEnd"/>
      <w:r w:rsidRPr="00267B6C">
        <w:t xml:space="preserve"> Arm</w:t>
      </w:r>
      <w:bookmarkEnd w:id="421"/>
    </w:p>
    <w:p w:rsidR="00CD7E26" w:rsidRPr="00E0604E" w:rsidRDefault="00CD7E26" w:rsidP="00CD7E26">
      <w:pPr>
        <w:rPr>
          <w:b/>
          <w:lang w:eastAsia="ja-JP"/>
        </w:rPr>
      </w:pPr>
      <w:r w:rsidRPr="00E0604E">
        <w:rPr>
          <w:b/>
          <w:noProof/>
          <w:lang w:eastAsia="en-AU"/>
        </w:rPr>
        <w:drawing>
          <wp:inline distT="0" distB="0" distL="0" distR="0" wp14:anchorId="7FC30943" wp14:editId="78474F64">
            <wp:extent cx="5731510" cy="3030009"/>
            <wp:effectExtent l="0" t="0" r="2540" b="0"/>
            <wp:docPr id="34" name="Picture 34" descr="table 33:Summary of Grade 5 Adverse Events through 30 Days after Last Dose of Study Drug by Preferred Term Sorted by Incidence in the XL184-308 Cabozantinib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lum bright="-20000" contrast="40000"/>
                      <a:extLst>
                        <a:ext uri="{28A0092B-C50C-407E-A947-70E740481C1C}">
                          <a14:useLocalDpi xmlns:a14="http://schemas.microsoft.com/office/drawing/2010/main" val="0"/>
                        </a:ext>
                      </a:extLst>
                    </a:blip>
                    <a:srcRect/>
                    <a:stretch>
                      <a:fillRect/>
                    </a:stretch>
                  </pic:blipFill>
                  <pic:spPr bwMode="auto">
                    <a:xfrm>
                      <a:off x="0" y="0"/>
                      <a:ext cx="5731510" cy="3030009"/>
                    </a:xfrm>
                    <a:prstGeom prst="rect">
                      <a:avLst/>
                    </a:prstGeom>
                    <a:noFill/>
                    <a:ln>
                      <a:noFill/>
                    </a:ln>
                  </pic:spPr>
                </pic:pic>
              </a:graphicData>
            </a:graphic>
          </wp:inline>
        </w:drawing>
      </w:r>
    </w:p>
    <w:p w:rsidR="00CD7E26" w:rsidRDefault="00CD7E26" w:rsidP="00CD7E26">
      <w:pPr>
        <w:rPr>
          <w:lang w:eastAsia="ja-JP"/>
        </w:rPr>
      </w:pPr>
      <w:r>
        <w:rPr>
          <w:lang w:eastAsia="ja-JP"/>
        </w:rPr>
        <w:t xml:space="preserve">Excluding AEs of disease progression, the most frequently reported (≥ 2 subjects) Grade 5 AE through 30 days after last dose of study treatment for subjects in the </w:t>
      </w:r>
      <w:proofErr w:type="spellStart"/>
      <w:r>
        <w:rPr>
          <w:lang w:eastAsia="ja-JP"/>
        </w:rPr>
        <w:t>cabozantinib</w:t>
      </w:r>
      <w:proofErr w:type="spellEnd"/>
      <w:r>
        <w:rPr>
          <w:lang w:eastAsia="ja-JP"/>
        </w:rPr>
        <w:t xml:space="preserve"> arm was death (0.6% </w:t>
      </w:r>
      <w:proofErr w:type="spellStart"/>
      <w:r>
        <w:rPr>
          <w:lang w:eastAsia="ja-JP"/>
        </w:rPr>
        <w:t>cabozantinib</w:t>
      </w:r>
      <w:proofErr w:type="spellEnd"/>
      <w:r>
        <w:rPr>
          <w:lang w:eastAsia="ja-JP"/>
        </w:rPr>
        <w:t xml:space="preserve"> arm, 0% </w:t>
      </w:r>
      <w:proofErr w:type="spellStart"/>
      <w:r>
        <w:rPr>
          <w:lang w:eastAsia="ja-JP"/>
        </w:rPr>
        <w:t>everolimus</w:t>
      </w:r>
      <w:proofErr w:type="spellEnd"/>
      <w:r>
        <w:rPr>
          <w:lang w:eastAsia="ja-JP"/>
        </w:rPr>
        <w:t xml:space="preserve"> arm). The most frequent events in the </w:t>
      </w:r>
      <w:proofErr w:type="spellStart"/>
      <w:r>
        <w:rPr>
          <w:lang w:eastAsia="ja-JP"/>
        </w:rPr>
        <w:t>everolimus</w:t>
      </w:r>
      <w:proofErr w:type="spellEnd"/>
      <w:r>
        <w:rPr>
          <w:lang w:eastAsia="ja-JP"/>
        </w:rPr>
        <w:t xml:space="preserve"> arm (≥ 2 subjects) were pneumonia aspiration (0% </w:t>
      </w:r>
      <w:proofErr w:type="spellStart"/>
      <w:r>
        <w:rPr>
          <w:lang w:eastAsia="ja-JP"/>
        </w:rPr>
        <w:t>cabozantinib</w:t>
      </w:r>
      <w:proofErr w:type="spellEnd"/>
      <w:r>
        <w:rPr>
          <w:lang w:eastAsia="ja-JP"/>
        </w:rPr>
        <w:t xml:space="preserve"> arm, 0.9% </w:t>
      </w:r>
      <w:proofErr w:type="spellStart"/>
      <w:r>
        <w:rPr>
          <w:lang w:eastAsia="ja-JP"/>
        </w:rPr>
        <w:t>everolimus</w:t>
      </w:r>
      <w:proofErr w:type="spellEnd"/>
      <w:r>
        <w:rPr>
          <w:lang w:eastAsia="ja-JP"/>
        </w:rPr>
        <w:t xml:space="preserve"> arm) and hydrothorax (0%, 0.6%).</w:t>
      </w:r>
    </w:p>
    <w:p w:rsidR="00CD7E26" w:rsidRPr="006F6759" w:rsidRDefault="00CD7E26" w:rsidP="006F6759">
      <w:pPr>
        <w:pStyle w:val="Heading5"/>
      </w:pPr>
      <w:r w:rsidRPr="006F6759">
        <w:t xml:space="preserve">Other </w:t>
      </w:r>
      <w:r w:rsidR="00B572CC" w:rsidRPr="006F6759">
        <w:t>serious adverse events</w:t>
      </w:r>
    </w:p>
    <w:p w:rsidR="00CD7E26" w:rsidRPr="00E0604E" w:rsidRDefault="00CD7E26" w:rsidP="00CD7E26">
      <w:pPr>
        <w:rPr>
          <w:b/>
          <w:lang w:eastAsia="ja-JP"/>
        </w:rPr>
      </w:pPr>
      <w:r>
        <w:rPr>
          <w:lang w:eastAsia="ja-JP"/>
        </w:rPr>
        <w:t xml:space="preserve">A summary of serious adverse events reported for at least 1.5% of subjects is shown in </w:t>
      </w:r>
      <w:r w:rsidR="00DB6CD6">
        <w:rPr>
          <w:lang w:eastAsia="ja-JP"/>
        </w:rPr>
        <w:t>Table 34</w:t>
      </w:r>
      <w:r>
        <w:rPr>
          <w:b/>
          <w:lang w:eastAsia="ja-JP"/>
        </w:rPr>
        <w:t>.</w:t>
      </w:r>
    </w:p>
    <w:p w:rsidR="00CD7E26" w:rsidRPr="00267B6C" w:rsidRDefault="00CD7E26" w:rsidP="00267B6C">
      <w:pPr>
        <w:pStyle w:val="Tabletitle"/>
      </w:pPr>
      <w:bookmarkStart w:id="422" w:name="_Ref479929270"/>
      <w:bookmarkStart w:id="423" w:name="_Toc494205946"/>
      <w:r w:rsidRPr="00267B6C">
        <w:lastRenderedPageBreak/>
        <w:t>Table</w:t>
      </w:r>
      <w:r w:rsidR="000756FA" w:rsidRPr="00267B6C">
        <w:t xml:space="preserve"> 3</w:t>
      </w:r>
      <w:bookmarkEnd w:id="422"/>
      <w:r w:rsidR="00DB6CD6" w:rsidRPr="00267B6C">
        <w:t>4</w:t>
      </w:r>
      <w:r w:rsidRPr="00267B6C">
        <w:t xml:space="preserve">: Serious Adverse Events Reported in </w:t>
      </w:r>
      <w:r w:rsidR="006F6759" w:rsidRPr="00267B6C">
        <w:t xml:space="preserve">≥ </w:t>
      </w:r>
      <w:r w:rsidRPr="00267B6C">
        <w:t>1.5% of Subjects in Either Treatment Arm Study XL184-308</w:t>
      </w:r>
      <w:bookmarkEnd w:id="423"/>
    </w:p>
    <w:p w:rsidR="00CD7E26" w:rsidRPr="00E0604E" w:rsidRDefault="00CD7E26" w:rsidP="00CD7E26">
      <w:pPr>
        <w:rPr>
          <w:b/>
          <w:lang w:eastAsia="ja-JP"/>
        </w:rPr>
      </w:pPr>
      <w:r w:rsidRPr="00E0604E">
        <w:rPr>
          <w:b/>
          <w:noProof/>
          <w:lang w:eastAsia="en-AU"/>
        </w:rPr>
        <w:drawing>
          <wp:inline distT="0" distB="0" distL="0" distR="0" wp14:anchorId="62BD9980" wp14:editId="1EB6AC2D">
            <wp:extent cx="5363210" cy="4676140"/>
            <wp:effectExtent l="0" t="0" r="8890" b="0"/>
            <wp:docPr id="35" name="Picture 35" descr="Table 34: Serious Adverse Events Reported in ≥ 1.5% of Subjects in Either Treatment Arm Study XL1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lum bright="-20000" contrast="40000"/>
                      <a:extLst>
                        <a:ext uri="{28A0092B-C50C-407E-A947-70E740481C1C}">
                          <a14:useLocalDpi xmlns:a14="http://schemas.microsoft.com/office/drawing/2010/main" val="0"/>
                        </a:ext>
                      </a:extLst>
                    </a:blip>
                    <a:srcRect/>
                    <a:stretch>
                      <a:fillRect/>
                    </a:stretch>
                  </pic:blipFill>
                  <pic:spPr bwMode="auto">
                    <a:xfrm>
                      <a:off x="0" y="0"/>
                      <a:ext cx="5363210" cy="4676140"/>
                    </a:xfrm>
                    <a:prstGeom prst="rect">
                      <a:avLst/>
                    </a:prstGeom>
                    <a:noFill/>
                    <a:ln>
                      <a:noFill/>
                    </a:ln>
                  </pic:spPr>
                </pic:pic>
              </a:graphicData>
            </a:graphic>
          </wp:inline>
        </w:drawing>
      </w:r>
    </w:p>
    <w:p w:rsidR="00CD7E26" w:rsidRDefault="00CD7E26" w:rsidP="00CD7E26">
      <w:pPr>
        <w:rPr>
          <w:lang w:eastAsia="ja-JP"/>
        </w:rPr>
      </w:pPr>
      <w:r>
        <w:rPr>
          <w:lang w:eastAsia="ja-JP"/>
        </w:rPr>
        <w:t xml:space="preserve">The overall incidence of SAEs was similar in both treatment arms (40% </w:t>
      </w:r>
      <w:proofErr w:type="spellStart"/>
      <w:r>
        <w:rPr>
          <w:lang w:eastAsia="ja-JP"/>
        </w:rPr>
        <w:t>cabozantinib</w:t>
      </w:r>
      <w:proofErr w:type="spellEnd"/>
      <w:r>
        <w:rPr>
          <w:lang w:eastAsia="ja-JP"/>
        </w:rPr>
        <w:t xml:space="preserve">, 43% </w:t>
      </w:r>
      <w:proofErr w:type="spellStart"/>
      <w:r>
        <w:rPr>
          <w:lang w:eastAsia="ja-JP"/>
        </w:rPr>
        <w:t>everolimus</w:t>
      </w:r>
      <w:proofErr w:type="spellEnd"/>
      <w:r>
        <w:rPr>
          <w:lang w:eastAsia="ja-JP"/>
        </w:rPr>
        <w:t xml:space="preserve">). Serious AEs reported for ≥ 1.5% of subjects in the </w:t>
      </w:r>
      <w:proofErr w:type="spellStart"/>
      <w:r>
        <w:rPr>
          <w:lang w:eastAsia="ja-JP"/>
        </w:rPr>
        <w:t>cabozantinib</w:t>
      </w:r>
      <w:proofErr w:type="spellEnd"/>
      <w:r>
        <w:rPr>
          <w:lang w:eastAsia="ja-JP"/>
        </w:rPr>
        <w:t xml:space="preserve"> arm by decreasing frequency were renal cell carcinoma, abdominal pain, pleural effusion, </w:t>
      </w:r>
      <w:proofErr w:type="spellStart"/>
      <w:r>
        <w:rPr>
          <w:lang w:eastAsia="ja-JP"/>
        </w:rPr>
        <w:t>diarrhea</w:t>
      </w:r>
      <w:proofErr w:type="spellEnd"/>
      <w:r>
        <w:rPr>
          <w:lang w:eastAsia="ja-JP"/>
        </w:rPr>
        <w:t xml:space="preserve">, nausea, anaemia, back pain, dyspnoea, fatigue, pneumonia, pulmonary embolism, vomiting, and pain. Serious AEs reported for ≥ 1.5% of subjects in the </w:t>
      </w:r>
      <w:proofErr w:type="spellStart"/>
      <w:r>
        <w:rPr>
          <w:lang w:eastAsia="ja-JP"/>
        </w:rPr>
        <w:t>everolimus</w:t>
      </w:r>
      <w:proofErr w:type="spellEnd"/>
      <w:r>
        <w:rPr>
          <w:lang w:eastAsia="ja-JP"/>
        </w:rPr>
        <w:t xml:space="preserve"> arm by decreasing frequency were dyspnoea, pneumonia, anaemia, renal cell carcinoma, pneumonitis, dehydration, general physical health deterioration, pleural effusion, fatigue, metastases to the central nervous system, and renal failure acute.</w:t>
      </w:r>
    </w:p>
    <w:p w:rsidR="00CD7E26" w:rsidRDefault="00CD7E26" w:rsidP="00CD7E26">
      <w:pPr>
        <w:rPr>
          <w:lang w:eastAsia="ja-JP"/>
        </w:rPr>
      </w:pPr>
      <w:r>
        <w:rPr>
          <w:lang w:eastAsia="ja-JP"/>
        </w:rPr>
        <w:t xml:space="preserve">SAEs that were judged by the investigator as related to treatment are summarised in </w:t>
      </w:r>
      <w:r w:rsidR="000756FA">
        <w:rPr>
          <w:lang w:eastAsia="ja-JP"/>
        </w:rPr>
        <w:t>Table 3</w:t>
      </w:r>
      <w:r w:rsidR="00DB6CD6">
        <w:rPr>
          <w:lang w:eastAsia="ja-JP"/>
        </w:rPr>
        <w:t>5</w:t>
      </w:r>
      <w:r>
        <w:rPr>
          <w:b/>
          <w:lang w:eastAsia="ja-JP"/>
        </w:rPr>
        <w:t>.</w:t>
      </w:r>
    </w:p>
    <w:p w:rsidR="00CD7E26" w:rsidRPr="00267B6C" w:rsidRDefault="00CD7E26" w:rsidP="00267B6C">
      <w:pPr>
        <w:pStyle w:val="Tabletitle"/>
      </w:pPr>
      <w:bookmarkStart w:id="424" w:name="_Ref479930769"/>
      <w:bookmarkStart w:id="425" w:name="_Toc494205947"/>
      <w:r w:rsidRPr="00267B6C">
        <w:lastRenderedPageBreak/>
        <w:t>Table</w:t>
      </w:r>
      <w:r w:rsidR="000756FA" w:rsidRPr="00267B6C">
        <w:t xml:space="preserve"> 3</w:t>
      </w:r>
      <w:bookmarkEnd w:id="424"/>
      <w:r w:rsidR="00DB6CD6" w:rsidRPr="00267B6C">
        <w:t>5</w:t>
      </w:r>
      <w:r w:rsidRPr="00267B6C">
        <w:t xml:space="preserve">: Treatment-Related Serious Adverse Events Reported in </w:t>
      </w:r>
      <w:r w:rsidR="006F6759" w:rsidRPr="00267B6C">
        <w:t xml:space="preserve">≥ </w:t>
      </w:r>
      <w:r w:rsidRPr="00267B6C">
        <w:t>1% of Subjects in Either Treatment Arm Study XL184-308</w:t>
      </w:r>
      <w:bookmarkEnd w:id="425"/>
    </w:p>
    <w:p w:rsidR="00CD7E26" w:rsidRPr="00451084" w:rsidRDefault="00CD7E26" w:rsidP="00CD7E26">
      <w:pPr>
        <w:rPr>
          <w:lang w:eastAsia="ja-JP"/>
        </w:rPr>
      </w:pPr>
      <w:r w:rsidRPr="00451084">
        <w:rPr>
          <w:noProof/>
          <w:lang w:eastAsia="en-AU"/>
        </w:rPr>
        <w:drawing>
          <wp:inline distT="0" distB="0" distL="0" distR="0" wp14:anchorId="60F80AAB" wp14:editId="26BE3789">
            <wp:extent cx="5372100" cy="2657475"/>
            <wp:effectExtent l="0" t="0" r="0" b="9525"/>
            <wp:docPr id="36" name="Picture 36" descr="Table 35: Treatment-Related Serious Adverse Events Reported in ≥ 1% of Subjects in Either Treatment Arm Study XL1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lum bright="-20000" contrast="40000"/>
                      <a:extLst>
                        <a:ext uri="{28A0092B-C50C-407E-A947-70E740481C1C}">
                          <a14:useLocalDpi xmlns:a14="http://schemas.microsoft.com/office/drawing/2010/main" val="0"/>
                        </a:ext>
                      </a:extLst>
                    </a:blip>
                    <a:srcRect l="1913" t="2788"/>
                    <a:stretch/>
                  </pic:blipFill>
                  <pic:spPr bwMode="auto">
                    <a:xfrm>
                      <a:off x="0" y="0"/>
                      <a:ext cx="5372100" cy="2657475"/>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rPr>
          <w:lang w:eastAsia="ja-JP"/>
        </w:rPr>
      </w:pPr>
      <w:r>
        <w:rPr>
          <w:lang w:eastAsia="ja-JP"/>
        </w:rPr>
        <w:t xml:space="preserve">The overall incidence of treatment-related SAEs was 15% in the </w:t>
      </w:r>
      <w:proofErr w:type="spellStart"/>
      <w:r>
        <w:rPr>
          <w:lang w:eastAsia="ja-JP"/>
        </w:rPr>
        <w:t>cabozantinib</w:t>
      </w:r>
      <w:proofErr w:type="spellEnd"/>
      <w:r>
        <w:rPr>
          <w:lang w:eastAsia="ja-JP"/>
        </w:rPr>
        <w:t xml:space="preserve"> arm and 13% in the </w:t>
      </w:r>
      <w:proofErr w:type="spellStart"/>
      <w:r>
        <w:rPr>
          <w:lang w:eastAsia="ja-JP"/>
        </w:rPr>
        <w:t>everolimus</w:t>
      </w:r>
      <w:proofErr w:type="spellEnd"/>
      <w:r>
        <w:rPr>
          <w:lang w:eastAsia="ja-JP"/>
        </w:rPr>
        <w:t xml:space="preserve"> arm. Treatm</w:t>
      </w:r>
      <w:r w:rsidR="006F6759">
        <w:rPr>
          <w:lang w:eastAsia="ja-JP"/>
        </w:rPr>
        <w:t xml:space="preserve">ent-related SAEs reported for ≥ </w:t>
      </w:r>
      <w:r>
        <w:rPr>
          <w:lang w:eastAsia="ja-JP"/>
        </w:rPr>
        <w:t xml:space="preserve">1% of subjects in the </w:t>
      </w:r>
      <w:proofErr w:type="spellStart"/>
      <w:r>
        <w:rPr>
          <w:lang w:eastAsia="ja-JP"/>
        </w:rPr>
        <w:t>cabozantinib</w:t>
      </w:r>
      <w:proofErr w:type="spellEnd"/>
      <w:r>
        <w:rPr>
          <w:lang w:eastAsia="ja-JP"/>
        </w:rPr>
        <w:t xml:space="preserve"> arm by decreasing frequency were diarrhoea, pulmonary embolism, fatigue, and hypomagnesemia. Treatm</w:t>
      </w:r>
      <w:r w:rsidR="006F6759">
        <w:rPr>
          <w:lang w:eastAsia="ja-JP"/>
        </w:rPr>
        <w:t xml:space="preserve">ent-related SAEs reported for ≥ </w:t>
      </w:r>
      <w:r>
        <w:rPr>
          <w:lang w:eastAsia="ja-JP"/>
        </w:rPr>
        <w:t xml:space="preserve">1% of subjects in the </w:t>
      </w:r>
      <w:proofErr w:type="spellStart"/>
      <w:r>
        <w:rPr>
          <w:lang w:eastAsia="ja-JP"/>
        </w:rPr>
        <w:t>everolimus</w:t>
      </w:r>
      <w:proofErr w:type="spellEnd"/>
      <w:r>
        <w:rPr>
          <w:lang w:eastAsia="ja-JP"/>
        </w:rPr>
        <w:t xml:space="preserve"> arm by decreasing frequency were pneumonitis, anaemia, dehydration, and dyspnoea.</w:t>
      </w:r>
    </w:p>
    <w:p w:rsidR="00CD7E26" w:rsidRPr="006F6759" w:rsidRDefault="00CD7E26" w:rsidP="006F6759">
      <w:pPr>
        <w:pStyle w:val="Heading5"/>
      </w:pPr>
      <w:r w:rsidRPr="006F6759">
        <w:t>Other studies</w:t>
      </w:r>
    </w:p>
    <w:p w:rsidR="00CD7E26" w:rsidRPr="006F6759" w:rsidRDefault="00CD7E26" w:rsidP="006F6759">
      <w:pPr>
        <w:pStyle w:val="Heading6"/>
      </w:pPr>
      <w:r w:rsidRPr="006F6759">
        <w:t xml:space="preserve">Studies with evaluable safety data: dose finding and pharmacology </w:t>
      </w:r>
    </w:p>
    <w:p w:rsidR="00CD7E26" w:rsidRDefault="00CD7E26" w:rsidP="00CD7E26">
      <w:pPr>
        <w:rPr>
          <w:lang w:eastAsia="ja-JP"/>
        </w:rPr>
      </w:pPr>
      <w:r w:rsidRPr="00957D63">
        <w:rPr>
          <w:lang w:eastAsia="ja-JP"/>
        </w:rPr>
        <w:t>Study</w:t>
      </w:r>
      <w:r>
        <w:rPr>
          <w:b/>
          <w:lang w:eastAsia="ja-JP"/>
        </w:rPr>
        <w:t xml:space="preserve"> </w:t>
      </w:r>
      <w:r>
        <w:rPr>
          <w:lang w:eastAsia="ja-JP"/>
        </w:rPr>
        <w:t>XL184-008</w:t>
      </w:r>
    </w:p>
    <w:p w:rsidR="00CD7E26" w:rsidRDefault="00CD7E26" w:rsidP="00CD7E26">
      <w:pPr>
        <w:rPr>
          <w:lang w:eastAsia="ja-JP"/>
        </w:rPr>
      </w:pPr>
      <w:r>
        <w:rPr>
          <w:lang w:eastAsia="ja-JP"/>
        </w:rPr>
        <w:t xml:space="preserve">Two deaths were recorded both occurred within 30-days of the last dose of study treatment; one in a 60-year old male in the DTC cohort who died from massive haemoptysis following an </w:t>
      </w:r>
      <w:proofErr w:type="spellStart"/>
      <w:r>
        <w:rPr>
          <w:lang w:eastAsia="ja-JP"/>
        </w:rPr>
        <w:t>aortotracheal</w:t>
      </w:r>
      <w:proofErr w:type="spellEnd"/>
      <w:r>
        <w:rPr>
          <w:lang w:eastAsia="ja-JP"/>
        </w:rPr>
        <w:t xml:space="preserve"> fistula. This was considered related to study treatment. The second in a 62-year old female in the RCC cohort who died of progression of disease.</w:t>
      </w:r>
    </w:p>
    <w:p w:rsidR="00CD7E26" w:rsidRDefault="00CD7E26" w:rsidP="00CD7E26">
      <w:pPr>
        <w:pStyle w:val="Comment"/>
        <w:rPr>
          <w:lang w:eastAsia="ja-JP"/>
        </w:rPr>
      </w:pPr>
      <w:r w:rsidRPr="00C142D1">
        <w:rPr>
          <w:b/>
        </w:rPr>
        <w:t>Comment</w:t>
      </w:r>
      <w:r>
        <w:rPr>
          <w:b/>
          <w:lang w:eastAsia="ja-JP"/>
        </w:rPr>
        <w:t>:</w:t>
      </w:r>
      <w:r w:rsidR="006F6759">
        <w:rPr>
          <w:lang w:eastAsia="ja-JP"/>
        </w:rPr>
        <w:tab/>
      </w:r>
      <w:r>
        <w:rPr>
          <w:lang w:eastAsia="ja-JP"/>
        </w:rPr>
        <w:t>The development of fistula has been associated with VEGF TKIs and was an event to monitor in the pivotal study.</w:t>
      </w:r>
    </w:p>
    <w:p w:rsidR="00CD7E26" w:rsidRPr="00EC3AE0" w:rsidRDefault="00CD7E26" w:rsidP="00CD7E26">
      <w:pPr>
        <w:pStyle w:val="Heading6"/>
      </w:pPr>
      <w:r w:rsidRPr="00EC3AE0">
        <w:t>Studies evaluable for safety only</w:t>
      </w:r>
    </w:p>
    <w:p w:rsidR="00CD7E26" w:rsidRDefault="00CD7E26" w:rsidP="00CD7E26">
      <w:pPr>
        <w:rPr>
          <w:lang w:eastAsia="ja-JP"/>
        </w:rPr>
      </w:pPr>
      <w:bookmarkStart w:id="426" w:name="_Toc241374325"/>
      <w:bookmarkStart w:id="427" w:name="_Ref272333477"/>
      <w:bookmarkStart w:id="428" w:name="_Toc272414667"/>
      <w:bookmarkStart w:id="429" w:name="_Toc290888531"/>
      <w:bookmarkStart w:id="430" w:name="_Toc416353747"/>
      <w:bookmarkStart w:id="431" w:name="_Toc421005290"/>
      <w:bookmarkStart w:id="432" w:name="_Toc432079167"/>
      <w:bookmarkStart w:id="433" w:name="_Toc432080740"/>
      <w:r>
        <w:rPr>
          <w:lang w:eastAsia="ja-JP"/>
        </w:rPr>
        <w:t xml:space="preserve">There were 120 deaths (16%) reported through 30 days after last dose of study treatment in the </w:t>
      </w:r>
      <w:proofErr w:type="spellStart"/>
      <w:r>
        <w:rPr>
          <w:lang w:eastAsia="ja-JP"/>
        </w:rPr>
        <w:t>cabozantinib</w:t>
      </w:r>
      <w:proofErr w:type="spellEnd"/>
      <w:r>
        <w:rPr>
          <w:lang w:eastAsia="ja-JP"/>
        </w:rPr>
        <w:t xml:space="preserve"> arms of S</w:t>
      </w:r>
      <w:r w:rsidR="00733A7E">
        <w:rPr>
          <w:lang w:eastAsia="ja-JP"/>
        </w:rPr>
        <w:t>tudies XL184-307 and XL184-306</w:t>
      </w:r>
      <w:r>
        <w:rPr>
          <w:lang w:eastAsia="ja-JP"/>
        </w:rPr>
        <w:t>. Seventy (70) of these had causes of death of prostate cancer or were assessed as related to disease under study. The remaining fifty subjects had a cause of death assessed as ‘other’.</w:t>
      </w:r>
    </w:p>
    <w:p w:rsidR="00CD7E26" w:rsidRDefault="00CD7E26" w:rsidP="00CD7E26">
      <w:pPr>
        <w:rPr>
          <w:lang w:eastAsia="ja-JP"/>
        </w:rPr>
      </w:pPr>
      <w:r>
        <w:rPr>
          <w:lang w:eastAsia="ja-JP"/>
        </w:rPr>
        <w:t xml:space="preserve">For both studies, Grade 5 AEs were to be reported for all deaths not related to disease progression that occurred through 30 day after last dose of study treatment. The </w:t>
      </w:r>
      <w:r w:rsidR="006F6759">
        <w:rPr>
          <w:lang w:eastAsia="ja-JP"/>
        </w:rPr>
        <w:t xml:space="preserve">most frequently reported AEs (≥ </w:t>
      </w:r>
      <w:r>
        <w:rPr>
          <w:lang w:eastAsia="ja-JP"/>
        </w:rPr>
        <w:t>2 subjects) not related to disease progression were general physical health deterioration (1.9%), death (death of unknown cause; 0.5%), euthanasia (0.4%), pneumonia (0.4%), pulmonary embolism (0.4%), sepsis (0.4%), multi-organ failure (0.3%), renal failure (0.3%), respiratory failure (0.3%), and septic shock (0.3%).</w:t>
      </w:r>
    </w:p>
    <w:p w:rsidR="00CD7E26" w:rsidRDefault="00CD7E26" w:rsidP="00733A7E">
      <w:pPr>
        <w:pStyle w:val="Tabletitle"/>
      </w:pPr>
      <w:bookmarkStart w:id="434" w:name="_Toc494205948"/>
      <w:r>
        <w:lastRenderedPageBreak/>
        <w:t>Table</w:t>
      </w:r>
      <w:r w:rsidR="00DB6CD6">
        <w:t xml:space="preserve"> 36</w:t>
      </w:r>
      <w:r w:rsidR="00733A7E">
        <w:rPr>
          <w:noProof/>
        </w:rPr>
        <w:t>:</w:t>
      </w:r>
      <w:r>
        <w:t xml:space="preserve"> Frequent Serious Adverse Events (</w:t>
      </w:r>
      <w:r>
        <w:rPr>
          <w:lang w:eastAsia="ja-JP"/>
        </w:rPr>
        <w:t>≥ </w:t>
      </w:r>
      <w:r>
        <w:t>2% Incidence) for Pooled Subjects in Study XL184-307 and Study XL184-306 (Sorted by Descending Order of Frequency; Safety Population, N=741)</w:t>
      </w:r>
      <w:bookmarkEnd w:id="434"/>
    </w:p>
    <w:p w:rsidR="00CD7E26" w:rsidRDefault="00CD7E26" w:rsidP="00CD7E26">
      <w:pPr>
        <w:rPr>
          <w:lang w:eastAsia="ja-JP"/>
        </w:rPr>
      </w:pPr>
      <w:r w:rsidRPr="005C6380">
        <w:rPr>
          <w:noProof/>
          <w:lang w:eastAsia="en-AU"/>
        </w:rPr>
        <w:drawing>
          <wp:inline distT="0" distB="0" distL="0" distR="0" wp14:anchorId="6A654E72" wp14:editId="4B7F56C9">
            <wp:extent cx="5731510" cy="3257647"/>
            <wp:effectExtent l="0" t="0" r="2540" b="0"/>
            <wp:docPr id="121" name="Picture 121" descr="Table 36: Frequent Serious Adverse Events (≥ 2% Incidence) for Pooled Subjects in Study XL184-307 and Study XL184-306 (Sorted by Descending Order of Frequency; Safety Population, N=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2">
                      <a:lum bright="-20000" contrast="40000"/>
                      <a:extLst>
                        <a:ext uri="{28A0092B-C50C-407E-A947-70E740481C1C}">
                          <a14:useLocalDpi xmlns:a14="http://schemas.microsoft.com/office/drawing/2010/main" val="0"/>
                        </a:ext>
                      </a:extLst>
                    </a:blip>
                    <a:srcRect/>
                    <a:stretch>
                      <a:fillRect/>
                    </a:stretch>
                  </pic:blipFill>
                  <pic:spPr bwMode="auto">
                    <a:xfrm>
                      <a:off x="0" y="0"/>
                      <a:ext cx="5731510" cy="3257647"/>
                    </a:xfrm>
                    <a:prstGeom prst="rect">
                      <a:avLst/>
                    </a:prstGeom>
                    <a:noFill/>
                    <a:ln>
                      <a:noFill/>
                    </a:ln>
                  </pic:spPr>
                </pic:pic>
              </a:graphicData>
            </a:graphic>
          </wp:inline>
        </w:drawing>
      </w:r>
    </w:p>
    <w:p w:rsidR="00CD7E26" w:rsidRDefault="00CD7E26" w:rsidP="00CD7E26">
      <w:pPr>
        <w:rPr>
          <w:lang w:eastAsia="ja-JP"/>
        </w:rPr>
      </w:pPr>
      <w:r>
        <w:rPr>
          <w:lang w:eastAsia="ja-JP"/>
        </w:rPr>
        <w:t xml:space="preserve">A total of 463 subjects (62%) in the pooled CRPC studies had SAEs. </w:t>
      </w:r>
    </w:p>
    <w:p w:rsidR="00CD7E26" w:rsidRPr="00545B14" w:rsidRDefault="00CD7E26" w:rsidP="00CD7E26">
      <w:pPr>
        <w:pStyle w:val="Heading4"/>
        <w:numPr>
          <w:ilvl w:val="2"/>
          <w:numId w:val="29"/>
        </w:numPr>
      </w:pPr>
      <w:r w:rsidRPr="00545B14">
        <w:t>Discontinuation</w:t>
      </w:r>
      <w:r>
        <w:t>s</w:t>
      </w:r>
      <w:r w:rsidRPr="00545B14">
        <w:t xml:space="preserve"> due to adverse events</w:t>
      </w:r>
      <w:bookmarkEnd w:id="426"/>
      <w:bookmarkEnd w:id="427"/>
      <w:bookmarkEnd w:id="428"/>
      <w:bookmarkEnd w:id="429"/>
      <w:bookmarkEnd w:id="430"/>
      <w:bookmarkEnd w:id="431"/>
      <w:bookmarkEnd w:id="432"/>
      <w:bookmarkEnd w:id="433"/>
    </w:p>
    <w:p w:rsidR="00CD7E26" w:rsidRPr="006F6759" w:rsidRDefault="00CD7E26" w:rsidP="006F6759">
      <w:pPr>
        <w:pStyle w:val="Heading5"/>
      </w:pPr>
      <w:r w:rsidRPr="006F6759">
        <w:t>Integrated safety analyses</w:t>
      </w:r>
    </w:p>
    <w:p w:rsidR="00CD7E26" w:rsidRDefault="00CD7E26" w:rsidP="00CD7E26">
      <w:pPr>
        <w:rPr>
          <w:lang w:eastAsia="ja-JP"/>
        </w:rPr>
      </w:pPr>
      <w:r>
        <w:rPr>
          <w:lang w:eastAsia="ja-JP"/>
        </w:rPr>
        <w:t>Not applicable</w:t>
      </w:r>
      <w:r w:rsidR="006F6759">
        <w:rPr>
          <w:lang w:eastAsia="ja-JP"/>
        </w:rPr>
        <w:t>.</w:t>
      </w:r>
    </w:p>
    <w:p w:rsidR="00CD7E26" w:rsidRPr="006F6759" w:rsidRDefault="00CD7E26" w:rsidP="006F6759">
      <w:pPr>
        <w:pStyle w:val="Heading5"/>
      </w:pPr>
      <w:r w:rsidRPr="006F6759">
        <w:t>Main/pivotal studies that assessed safety as the sole primary outcome</w:t>
      </w:r>
    </w:p>
    <w:p w:rsidR="00CD7E26" w:rsidRDefault="00CD7E26" w:rsidP="00CD7E26">
      <w:pPr>
        <w:rPr>
          <w:lang w:eastAsia="ja-JP"/>
        </w:rPr>
      </w:pPr>
      <w:r>
        <w:rPr>
          <w:lang w:eastAsia="ja-JP"/>
        </w:rPr>
        <w:t>Not applicable</w:t>
      </w:r>
      <w:r w:rsidR="006F6759">
        <w:rPr>
          <w:lang w:eastAsia="ja-JP"/>
        </w:rPr>
        <w:t>.</w:t>
      </w:r>
    </w:p>
    <w:p w:rsidR="00CD7E26" w:rsidRPr="006F6759" w:rsidRDefault="00CD7E26" w:rsidP="006F6759">
      <w:pPr>
        <w:pStyle w:val="Heading5"/>
      </w:pPr>
      <w:r w:rsidRPr="006F6759">
        <w:t>Pivotal and/or main efficacy studies</w:t>
      </w:r>
    </w:p>
    <w:p w:rsidR="00CD7E26" w:rsidRPr="00EE091A" w:rsidRDefault="00CD7E26" w:rsidP="00CD7E26">
      <w:r>
        <w:t>The pivotal efficacy study was designed such that dose reduction/modification was allowed for tolerability therefore adverse events that lead to dose reduction/modification or interruption are considered separately.</w:t>
      </w:r>
    </w:p>
    <w:p w:rsidR="00CD7E26" w:rsidRDefault="00CD7E26" w:rsidP="00733A7E">
      <w:pPr>
        <w:pStyle w:val="Tabletitle"/>
      </w:pPr>
      <w:bookmarkStart w:id="435" w:name="_Toc494205949"/>
      <w:r>
        <w:t xml:space="preserve">Table </w:t>
      </w:r>
      <w:r w:rsidR="00733A7E">
        <w:t>3</w:t>
      </w:r>
      <w:r w:rsidR="00DB6CD6">
        <w:t>7</w:t>
      </w:r>
      <w:r>
        <w:t xml:space="preserve">: Adverse Events That Led to Dose Reduction </w:t>
      </w:r>
      <w:r w:rsidRPr="0003680E">
        <w:t>Study XL184-308</w:t>
      </w:r>
      <w:bookmarkEnd w:id="435"/>
    </w:p>
    <w:p w:rsidR="00CD7E26" w:rsidRDefault="00CD7E26" w:rsidP="00CD7E26">
      <w:pPr>
        <w:rPr>
          <w:b/>
          <w:lang w:eastAsia="ja-JP"/>
        </w:rPr>
      </w:pPr>
      <w:r w:rsidRPr="00694330">
        <w:rPr>
          <w:b/>
          <w:noProof/>
          <w:lang w:eastAsia="en-AU"/>
        </w:rPr>
        <w:drawing>
          <wp:inline distT="0" distB="0" distL="0" distR="0" wp14:anchorId="6F314205" wp14:editId="4FBEB453">
            <wp:extent cx="5438774" cy="1809750"/>
            <wp:effectExtent l="0" t="0" r="0" b="0"/>
            <wp:docPr id="37" name="Picture 37" descr="Table 37: Adverse Events That Led to Dose Reduction Study XL1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a:extLst>
                        <a:ext uri="{28A0092B-C50C-407E-A947-70E740481C1C}">
                          <a14:useLocalDpi xmlns:a14="http://schemas.microsoft.com/office/drawing/2010/main" val="0"/>
                        </a:ext>
                      </a:extLst>
                    </a:blip>
                    <a:srcRect t="3941" b="2454"/>
                    <a:stretch/>
                  </pic:blipFill>
                  <pic:spPr bwMode="auto">
                    <a:xfrm>
                      <a:off x="0" y="0"/>
                      <a:ext cx="5437505" cy="1809328"/>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733A7E">
      <w:pPr>
        <w:pStyle w:val="Tabletitle"/>
      </w:pPr>
      <w:bookmarkStart w:id="436" w:name="_Toc494205950"/>
      <w:r>
        <w:lastRenderedPageBreak/>
        <w:t>Table</w:t>
      </w:r>
      <w:r w:rsidR="00733A7E">
        <w:t xml:space="preserve"> 3</w:t>
      </w:r>
      <w:r w:rsidR="00DB6CD6">
        <w:t>8</w:t>
      </w:r>
      <w:r>
        <w:t xml:space="preserve">: </w:t>
      </w:r>
      <w:r w:rsidRPr="00DE1C94">
        <w:t>Adverse Events That Led to Dose Interruption</w:t>
      </w:r>
      <w:r>
        <w:t xml:space="preserve"> Study XL184-308</w:t>
      </w:r>
      <w:bookmarkEnd w:id="436"/>
    </w:p>
    <w:p w:rsidR="00CD7E26" w:rsidRDefault="00CD7E26" w:rsidP="00CD7E26">
      <w:pPr>
        <w:rPr>
          <w:b/>
          <w:lang w:eastAsia="ja-JP"/>
        </w:rPr>
      </w:pPr>
      <w:r w:rsidRPr="000A7721">
        <w:rPr>
          <w:b/>
          <w:noProof/>
          <w:lang w:eastAsia="en-AU"/>
        </w:rPr>
        <w:drawing>
          <wp:inline distT="0" distB="0" distL="0" distR="0" wp14:anchorId="6218AD64" wp14:editId="67C0BBFA">
            <wp:extent cx="5438775" cy="1676174"/>
            <wp:effectExtent l="0" t="0" r="0" b="635"/>
            <wp:docPr id="38" name="Picture 38" descr="Adverse Events That Led to Dose Interruption Study XL1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a:lum bright="-20000" contrast="40000"/>
                      <a:extLst>
                        <a:ext uri="{28A0092B-C50C-407E-A947-70E740481C1C}">
                          <a14:useLocalDpi xmlns:a14="http://schemas.microsoft.com/office/drawing/2010/main" val="0"/>
                        </a:ext>
                      </a:extLst>
                    </a:blip>
                    <a:srcRect t="4348"/>
                    <a:stretch/>
                  </pic:blipFill>
                  <pic:spPr bwMode="auto">
                    <a:xfrm>
                      <a:off x="0" y="0"/>
                      <a:ext cx="5437505" cy="1675783"/>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733A7E">
      <w:pPr>
        <w:pStyle w:val="Tabletitle"/>
      </w:pPr>
      <w:bookmarkStart w:id="437" w:name="_Toc494205951"/>
      <w:r>
        <w:t xml:space="preserve">Table </w:t>
      </w:r>
      <w:r w:rsidR="00733A7E">
        <w:t>3</w:t>
      </w:r>
      <w:r w:rsidR="00DB6CD6">
        <w:t>9</w:t>
      </w:r>
      <w:r>
        <w:t xml:space="preserve">: </w:t>
      </w:r>
      <w:r w:rsidRPr="00D3621E">
        <w:t>Adverse Events that Led to Discontinuation of Study Treatment</w:t>
      </w:r>
      <w:r>
        <w:t xml:space="preserve"> Study XL184-308</w:t>
      </w:r>
      <w:bookmarkEnd w:id="437"/>
    </w:p>
    <w:p w:rsidR="00CD7E26" w:rsidRDefault="00CD7E26" w:rsidP="00CD7E26">
      <w:pPr>
        <w:rPr>
          <w:b/>
          <w:lang w:eastAsia="ja-JP"/>
        </w:rPr>
      </w:pPr>
      <w:r w:rsidRPr="000A7721">
        <w:rPr>
          <w:b/>
          <w:noProof/>
          <w:lang w:eastAsia="en-AU"/>
        </w:rPr>
        <w:drawing>
          <wp:inline distT="0" distB="0" distL="0" distR="0" wp14:anchorId="67F8602D" wp14:editId="3E8E8FF0">
            <wp:extent cx="5438774" cy="1581150"/>
            <wp:effectExtent l="0" t="0" r="0" b="0"/>
            <wp:docPr id="39" name="Picture 39" descr="Adverse Events that Led to Discontinuation of Study Treatment Study XL1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a:lum bright="-20000" contrast="40000"/>
                      <a:extLst>
                        <a:ext uri="{28A0092B-C50C-407E-A947-70E740481C1C}">
                          <a14:useLocalDpi xmlns:a14="http://schemas.microsoft.com/office/drawing/2010/main" val="0"/>
                        </a:ext>
                      </a:extLst>
                    </a:blip>
                    <a:srcRect t="2841" b="2826"/>
                    <a:stretch/>
                  </pic:blipFill>
                  <pic:spPr bwMode="auto">
                    <a:xfrm>
                      <a:off x="0" y="0"/>
                      <a:ext cx="5437505" cy="1580781"/>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rPr>
          <w:b/>
          <w:lang w:eastAsia="ja-JP"/>
        </w:rPr>
      </w:pPr>
      <w:r w:rsidRPr="00046E6C">
        <w:rPr>
          <w:lang w:eastAsia="ja-JP"/>
        </w:rPr>
        <w:t>A total of 24.2% of</w:t>
      </w:r>
      <w:r w:rsidRPr="00046E6C">
        <w:t xml:space="preserve"> </w:t>
      </w:r>
      <w:r w:rsidRPr="00046E6C">
        <w:rPr>
          <w:lang w:eastAsia="ja-JP"/>
        </w:rPr>
        <w:t xml:space="preserve">subjects in the </w:t>
      </w:r>
      <w:proofErr w:type="spellStart"/>
      <w:r w:rsidRPr="00046E6C">
        <w:rPr>
          <w:lang w:eastAsia="ja-JP"/>
        </w:rPr>
        <w:t>everolimus</w:t>
      </w:r>
      <w:proofErr w:type="spellEnd"/>
      <w:r w:rsidRPr="00046E6C">
        <w:rPr>
          <w:lang w:eastAsia="ja-JP"/>
        </w:rPr>
        <w:t xml:space="preserve"> arm had a dose reduction due to an AE. A second dose-level reduction</w:t>
      </w:r>
      <w:r w:rsidRPr="00046E6C">
        <w:t xml:space="preserve"> </w:t>
      </w:r>
      <w:r w:rsidRPr="00046E6C">
        <w:rPr>
          <w:lang w:eastAsia="ja-JP"/>
        </w:rPr>
        <w:t>to 2.5 mg occurred in 1.6% of subjects; the median time to first dose reduction was 60.0 days</w:t>
      </w:r>
      <w:r w:rsidRPr="00046E6C">
        <w:t xml:space="preserve"> </w:t>
      </w:r>
      <w:r w:rsidRPr="00046E6C">
        <w:rPr>
          <w:lang w:eastAsia="ja-JP"/>
        </w:rPr>
        <w:t>and the median time to second dose reduction was 93.0 day</w:t>
      </w:r>
      <w:r w:rsidRPr="00046E6C">
        <w:rPr>
          <w:b/>
          <w:lang w:eastAsia="ja-JP"/>
        </w:rPr>
        <w:t>s.</w:t>
      </w:r>
    </w:p>
    <w:p w:rsidR="00CD7E26" w:rsidRDefault="00CD7E26" w:rsidP="00CD7E26">
      <w:pPr>
        <w:rPr>
          <w:lang w:eastAsia="ja-JP"/>
        </w:rPr>
      </w:pPr>
      <w:r w:rsidRPr="00046E6C">
        <w:rPr>
          <w:lang w:eastAsia="ja-JP"/>
        </w:rPr>
        <w:t xml:space="preserve">Dose interruptions due to an AE occurred in 63% and 42% of subjects on the </w:t>
      </w:r>
      <w:proofErr w:type="spellStart"/>
      <w:r w:rsidRPr="00046E6C">
        <w:rPr>
          <w:lang w:eastAsia="ja-JP"/>
        </w:rPr>
        <w:t>cabozantinib</w:t>
      </w:r>
      <w:proofErr w:type="spellEnd"/>
      <w:r w:rsidRPr="00046E6C">
        <w:rPr>
          <w:lang w:eastAsia="ja-JP"/>
        </w:rPr>
        <w:t xml:space="preserve"> and</w:t>
      </w:r>
      <w:r w:rsidRPr="00046E6C">
        <w:t xml:space="preserve"> </w:t>
      </w:r>
      <w:proofErr w:type="spellStart"/>
      <w:r w:rsidRPr="00046E6C">
        <w:rPr>
          <w:lang w:eastAsia="ja-JP"/>
        </w:rPr>
        <w:t>everolimus</w:t>
      </w:r>
      <w:proofErr w:type="spellEnd"/>
      <w:r w:rsidRPr="00046E6C">
        <w:rPr>
          <w:lang w:eastAsia="ja-JP"/>
        </w:rPr>
        <w:t xml:space="preserve"> arms, respectively. The median time to first dose interruption was 37.0 and</w:t>
      </w:r>
      <w:r>
        <w:rPr>
          <w:lang w:eastAsia="ja-JP"/>
        </w:rPr>
        <w:t xml:space="preserve"> </w:t>
      </w:r>
      <w:r w:rsidRPr="00046E6C">
        <w:rPr>
          <w:lang w:eastAsia="ja-JP"/>
        </w:rPr>
        <w:t>41.5 days, respectively.</w:t>
      </w:r>
    </w:p>
    <w:p w:rsidR="00CD7E26" w:rsidRPr="00EE091A" w:rsidRDefault="00CD7E26" w:rsidP="00CD7E26">
      <w:pPr>
        <w:rPr>
          <w:lang w:eastAsia="ja-JP"/>
        </w:rPr>
      </w:pPr>
      <w:r>
        <w:rPr>
          <w:lang w:eastAsia="ja-JP"/>
        </w:rPr>
        <w:t xml:space="preserve">The subject incidence of AEs that led to discontinuation of study drug was similar between treatment arms (10% </w:t>
      </w:r>
      <w:proofErr w:type="spellStart"/>
      <w:r>
        <w:rPr>
          <w:lang w:eastAsia="ja-JP"/>
        </w:rPr>
        <w:t>cabozantinib</w:t>
      </w:r>
      <w:proofErr w:type="spellEnd"/>
      <w:r>
        <w:rPr>
          <w:lang w:eastAsia="ja-JP"/>
        </w:rPr>
        <w:t xml:space="preserve">, 9.6% </w:t>
      </w:r>
      <w:proofErr w:type="spellStart"/>
      <w:r>
        <w:rPr>
          <w:lang w:eastAsia="ja-JP"/>
        </w:rPr>
        <w:t>everolimus</w:t>
      </w:r>
      <w:proofErr w:type="spellEnd"/>
      <w:r>
        <w:rPr>
          <w:lang w:eastAsia="ja-JP"/>
        </w:rPr>
        <w:t>).</w:t>
      </w:r>
    </w:p>
    <w:p w:rsidR="00CD7E26" w:rsidRPr="006F6759" w:rsidRDefault="00CD7E26" w:rsidP="006F6759">
      <w:pPr>
        <w:pStyle w:val="Heading5"/>
      </w:pPr>
      <w:r w:rsidRPr="006F6759">
        <w:t>Other studies</w:t>
      </w:r>
    </w:p>
    <w:p w:rsidR="00CD7E26" w:rsidRPr="006F6759" w:rsidRDefault="00CD7E26" w:rsidP="006F6759">
      <w:pPr>
        <w:pStyle w:val="Heading6"/>
      </w:pPr>
      <w:r w:rsidRPr="006F6759">
        <w:t>Studies with evaluable safety data</w:t>
      </w:r>
      <w:r w:rsidR="006F6759" w:rsidRPr="006F6759">
        <w:t>: dose finding and pharmacology</w:t>
      </w:r>
    </w:p>
    <w:p w:rsidR="00CD7E26" w:rsidRDefault="00CD7E26" w:rsidP="00733A7E">
      <w:pPr>
        <w:pStyle w:val="Tabletitle"/>
      </w:pPr>
      <w:bookmarkStart w:id="438" w:name="_Toc494205952"/>
      <w:r>
        <w:t xml:space="preserve">Table </w:t>
      </w:r>
      <w:r w:rsidR="00DB6CD6">
        <w:t>40</w:t>
      </w:r>
      <w:r>
        <w:t>: Dose Reduction Levels for Adverse Events in Study SL184-008</w:t>
      </w:r>
      <w:bookmarkEnd w:id="438"/>
    </w:p>
    <w:p w:rsidR="00CD7E26" w:rsidRDefault="00CD7E26" w:rsidP="00CD7E26">
      <w:r w:rsidRPr="00E1787C">
        <w:rPr>
          <w:noProof/>
          <w:lang w:eastAsia="en-AU"/>
        </w:rPr>
        <w:drawing>
          <wp:inline distT="0" distB="0" distL="0" distR="0" wp14:anchorId="7E34D21C" wp14:editId="4B6D79E7">
            <wp:extent cx="5731510" cy="1137392"/>
            <wp:effectExtent l="0" t="0" r="2540" b="5715"/>
            <wp:docPr id="122" name="Picture 122" descr="Dose Reduction Levels for Adverse Events in Study SL18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6">
                      <a:lum bright="-20000" contrast="40000"/>
                      <a:extLst>
                        <a:ext uri="{28A0092B-C50C-407E-A947-70E740481C1C}">
                          <a14:useLocalDpi xmlns:a14="http://schemas.microsoft.com/office/drawing/2010/main" val="0"/>
                        </a:ext>
                      </a:extLst>
                    </a:blip>
                    <a:srcRect/>
                    <a:stretch>
                      <a:fillRect/>
                    </a:stretch>
                  </pic:blipFill>
                  <pic:spPr bwMode="auto">
                    <a:xfrm>
                      <a:off x="0" y="0"/>
                      <a:ext cx="5731510" cy="1137392"/>
                    </a:xfrm>
                    <a:prstGeom prst="rect">
                      <a:avLst/>
                    </a:prstGeom>
                    <a:noFill/>
                    <a:ln>
                      <a:noFill/>
                    </a:ln>
                  </pic:spPr>
                </pic:pic>
              </a:graphicData>
            </a:graphic>
          </wp:inline>
        </w:drawing>
      </w:r>
    </w:p>
    <w:p w:rsidR="00CD7E26" w:rsidRDefault="00CD7E26" w:rsidP="00CD7E26">
      <w:r>
        <w:t>80% of subjects underwent at least one dose reduction due to AEs and 56% underwent at least a second reduction. The median average daily dose was 75.5 mg.</w:t>
      </w:r>
    </w:p>
    <w:p w:rsidR="00CD7E26" w:rsidRDefault="00CD7E26" w:rsidP="00CD7E26">
      <w:r>
        <w:t xml:space="preserve">A total of six (24%) RCC subjects experienced AEs that led to study treatment discontinuation in Study XL184-008. The AEs that lead to study treatment discontinuation were diarrhoea, large intestine perforation, fatigue, blood </w:t>
      </w:r>
      <w:proofErr w:type="spellStart"/>
      <w:r>
        <w:t>creatine</w:t>
      </w:r>
      <w:proofErr w:type="spellEnd"/>
      <w:r>
        <w:t xml:space="preserve"> phosphokinase increased, proteinuria, and haemoptysis (each reported for one subject).</w:t>
      </w:r>
    </w:p>
    <w:p w:rsidR="00CD7E26" w:rsidRDefault="00CD7E26" w:rsidP="00733A7E">
      <w:pPr>
        <w:pStyle w:val="Tabletitle"/>
      </w:pPr>
      <w:bookmarkStart w:id="439" w:name="_Toc494205953"/>
      <w:r>
        <w:lastRenderedPageBreak/>
        <w:t xml:space="preserve">Table </w:t>
      </w:r>
      <w:r w:rsidR="00DB6CD6">
        <w:t>41</w:t>
      </w:r>
      <w:r>
        <w:t xml:space="preserve">: </w:t>
      </w:r>
      <w:r w:rsidRPr="007B7C57">
        <w:t>Adverse Events Leading to Discontinuation of Study Treatment</w:t>
      </w:r>
      <w:r>
        <w:t xml:space="preserve"> Study XL184-008</w:t>
      </w:r>
      <w:bookmarkEnd w:id="439"/>
    </w:p>
    <w:p w:rsidR="00CD7E26" w:rsidRDefault="00CD7E26" w:rsidP="00CD7E26">
      <w:r w:rsidRPr="00DE155D">
        <w:rPr>
          <w:noProof/>
          <w:lang w:eastAsia="en-AU"/>
        </w:rPr>
        <w:drawing>
          <wp:inline distT="0" distB="0" distL="0" distR="0" wp14:anchorId="41EA64D1" wp14:editId="582A6DDB">
            <wp:extent cx="5725997" cy="4781550"/>
            <wp:effectExtent l="0" t="0" r="8255" b="0"/>
            <wp:docPr id="106" name="Picture 106" descr="Adverse Events Leading to Discontinuation of Study Treatment Study XL18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a:lum bright="-20000" contrast="40000"/>
                      <a:extLst>
                        <a:ext uri="{28A0092B-C50C-407E-A947-70E740481C1C}">
                          <a14:useLocalDpi xmlns:a14="http://schemas.microsoft.com/office/drawing/2010/main" val="0"/>
                        </a:ext>
                      </a:extLst>
                    </a:blip>
                    <a:srcRect t="1375"/>
                    <a:stretch/>
                  </pic:blipFill>
                  <pic:spPr bwMode="auto">
                    <a:xfrm>
                      <a:off x="0" y="0"/>
                      <a:ext cx="5731510" cy="4786154"/>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r>
        <w:rPr>
          <w:lang w:val="en-NZ"/>
        </w:rPr>
        <w:t>Overall, nine subjects (22.5%) had an AE that led to the discontinuation of study treatment.</w:t>
      </w:r>
    </w:p>
    <w:p w:rsidR="00CD7E26" w:rsidRDefault="00CD7E26" w:rsidP="00CD7E26">
      <w:pPr>
        <w:pStyle w:val="Heading6"/>
      </w:pPr>
      <w:r w:rsidRPr="00EC3AE0">
        <w:t>Studies evaluable for safety only</w:t>
      </w:r>
    </w:p>
    <w:p w:rsidR="00CD7E26" w:rsidRDefault="00CD7E26" w:rsidP="00CD7E26">
      <w:pPr>
        <w:rPr>
          <w:lang w:eastAsia="ja-JP"/>
        </w:rPr>
      </w:pPr>
      <w:bookmarkStart w:id="440" w:name="_Toc241374321"/>
      <w:bookmarkStart w:id="441" w:name="_Ref271044780"/>
      <w:bookmarkStart w:id="442" w:name="_Ref271196640"/>
      <w:bookmarkStart w:id="443" w:name="_Ref272333085"/>
      <w:bookmarkStart w:id="444" w:name="_Toc272414668"/>
      <w:bookmarkStart w:id="445" w:name="_Toc290888532"/>
      <w:bookmarkStart w:id="446" w:name="_Toc416353748"/>
      <w:bookmarkStart w:id="447" w:name="_Toc421005291"/>
      <w:bookmarkStart w:id="448" w:name="_Toc432079168"/>
      <w:bookmarkStart w:id="449" w:name="_Toc432080741"/>
      <w:r>
        <w:rPr>
          <w:lang w:eastAsia="ja-JP"/>
        </w:rPr>
        <w:t>In studies XL184-306 &amp; 307 the most frequent AEs that lead to stu</w:t>
      </w:r>
      <w:r w:rsidR="006F6759">
        <w:rPr>
          <w:lang w:eastAsia="ja-JP"/>
        </w:rPr>
        <w:t xml:space="preserve">dy treatment discontinuation (≥ </w:t>
      </w:r>
      <w:r>
        <w:rPr>
          <w:lang w:eastAsia="ja-JP"/>
        </w:rPr>
        <w:t>1.5% incidence) were fatigue (3.5%), decreased appetite (2.3%), nausea (2.3%), general physical health deterioration (1.9%), vomiting (1.8%), asthenia (1.6%), and diarrhoea (1.5%).</w:t>
      </w:r>
    </w:p>
    <w:p w:rsidR="00CD7E26" w:rsidRPr="00545B14" w:rsidRDefault="00CD7E26" w:rsidP="00CD7E26">
      <w:pPr>
        <w:pStyle w:val="Heading3"/>
        <w:numPr>
          <w:ilvl w:val="1"/>
          <w:numId w:val="29"/>
        </w:numPr>
        <w:ind w:left="907" w:hanging="794"/>
      </w:pPr>
      <w:bookmarkStart w:id="450" w:name="_Toc520879813"/>
      <w:bookmarkStart w:id="451" w:name="_Toc531776258"/>
      <w:r>
        <w:t xml:space="preserve">Evaluation of issues </w:t>
      </w:r>
      <w:bookmarkEnd w:id="440"/>
      <w:bookmarkEnd w:id="441"/>
      <w:bookmarkEnd w:id="442"/>
      <w:bookmarkEnd w:id="443"/>
      <w:bookmarkEnd w:id="444"/>
      <w:bookmarkEnd w:id="445"/>
      <w:bookmarkEnd w:id="446"/>
      <w:bookmarkEnd w:id="447"/>
      <w:r>
        <w:t>with possible regulatory impact</w:t>
      </w:r>
      <w:bookmarkEnd w:id="448"/>
      <w:bookmarkEnd w:id="449"/>
      <w:bookmarkEnd w:id="450"/>
      <w:bookmarkEnd w:id="451"/>
    </w:p>
    <w:p w:rsidR="00CD7E26" w:rsidRPr="00545B14" w:rsidRDefault="00CD7E26" w:rsidP="00CD7E26">
      <w:pPr>
        <w:pStyle w:val="Heading4"/>
        <w:numPr>
          <w:ilvl w:val="2"/>
          <w:numId w:val="29"/>
        </w:numPr>
      </w:pPr>
      <w:bookmarkStart w:id="452" w:name="_Toc272414669"/>
      <w:bookmarkStart w:id="453" w:name="_Toc290888533"/>
      <w:bookmarkStart w:id="454" w:name="_Toc416353749"/>
      <w:bookmarkStart w:id="455" w:name="_Toc421005292"/>
      <w:bookmarkStart w:id="456" w:name="_Toc432079169"/>
      <w:bookmarkStart w:id="457" w:name="_Toc432080742"/>
      <w:r w:rsidRPr="00545B14">
        <w:t>Liver function</w:t>
      </w:r>
      <w:bookmarkEnd w:id="452"/>
      <w:bookmarkEnd w:id="453"/>
      <w:bookmarkEnd w:id="454"/>
      <w:bookmarkEnd w:id="455"/>
      <w:r>
        <w:t xml:space="preserve"> and liver toxicity</w:t>
      </w:r>
      <w:bookmarkEnd w:id="456"/>
      <w:bookmarkEnd w:id="457"/>
    </w:p>
    <w:p w:rsidR="00CD7E26" w:rsidRPr="006F6759" w:rsidRDefault="00CD7E26" w:rsidP="006F6759">
      <w:pPr>
        <w:pStyle w:val="Heading5"/>
      </w:pPr>
      <w:r w:rsidRPr="006F6759">
        <w:t>Integrated safety analyses</w:t>
      </w:r>
    </w:p>
    <w:p w:rsidR="00CD7E26" w:rsidRDefault="00CD7E26" w:rsidP="00CD7E26">
      <w:pPr>
        <w:rPr>
          <w:lang w:eastAsia="ja-JP"/>
        </w:rPr>
      </w:pPr>
      <w:r>
        <w:rPr>
          <w:lang w:eastAsia="ja-JP"/>
        </w:rPr>
        <w:t>Not applicable</w:t>
      </w:r>
    </w:p>
    <w:p w:rsidR="00CD7E26" w:rsidRPr="006F6759" w:rsidRDefault="00CD7E26" w:rsidP="006F6759">
      <w:pPr>
        <w:pStyle w:val="Heading5"/>
      </w:pPr>
      <w:r w:rsidRPr="006F6759">
        <w:t>Main/pivotal studies that assessed safety as the sole primary outcome</w:t>
      </w:r>
    </w:p>
    <w:p w:rsidR="00CD7E26" w:rsidRDefault="00CD7E26" w:rsidP="00CD7E26">
      <w:pPr>
        <w:rPr>
          <w:lang w:eastAsia="ja-JP"/>
        </w:rPr>
      </w:pPr>
      <w:r>
        <w:rPr>
          <w:lang w:eastAsia="ja-JP"/>
        </w:rPr>
        <w:t>Not applicable</w:t>
      </w:r>
    </w:p>
    <w:p w:rsidR="00CD7E26" w:rsidRPr="006F6759" w:rsidRDefault="00CD7E26" w:rsidP="006F6759">
      <w:pPr>
        <w:pStyle w:val="Heading5"/>
      </w:pPr>
      <w:r w:rsidRPr="006F6759">
        <w:t>Pivotal and/or main efficacy studies</w:t>
      </w:r>
    </w:p>
    <w:p w:rsidR="00CD7E26" w:rsidRDefault="00CD7E26" w:rsidP="00CD7E26">
      <w:r>
        <w:rPr>
          <w:lang w:eastAsia="ja-JP"/>
        </w:rPr>
        <w:t xml:space="preserve">AEs in the SOC Hepatobiliary Disorder are summarised in </w:t>
      </w:r>
      <w:r w:rsidR="00733A7E">
        <w:rPr>
          <w:lang w:eastAsia="ja-JP"/>
        </w:rPr>
        <w:t>Table 4</w:t>
      </w:r>
      <w:r w:rsidR="00DB6CD6">
        <w:rPr>
          <w:lang w:eastAsia="ja-JP"/>
        </w:rPr>
        <w:t>2</w:t>
      </w:r>
      <w:r>
        <w:rPr>
          <w:lang w:eastAsia="ja-JP"/>
        </w:rPr>
        <w:t>.</w:t>
      </w:r>
    </w:p>
    <w:p w:rsidR="00CD7E26" w:rsidRDefault="00CD7E26" w:rsidP="00733A7E">
      <w:pPr>
        <w:pStyle w:val="Tabletitle"/>
      </w:pPr>
      <w:bookmarkStart w:id="458" w:name="_Ref479932397"/>
      <w:bookmarkStart w:id="459" w:name="_Toc494205954"/>
      <w:r>
        <w:lastRenderedPageBreak/>
        <w:t xml:space="preserve">Table </w:t>
      </w:r>
      <w:r w:rsidR="00733A7E">
        <w:t>4</w:t>
      </w:r>
      <w:bookmarkEnd w:id="458"/>
      <w:r w:rsidR="00DB6CD6">
        <w:t>2</w:t>
      </w:r>
      <w:r>
        <w:t xml:space="preserve">: </w:t>
      </w:r>
      <w:r w:rsidRPr="00743FBC">
        <w:t>Incidence of AEs in the Hepatobiliary Disorders SOC</w:t>
      </w:r>
      <w:bookmarkEnd w:id="459"/>
    </w:p>
    <w:p w:rsidR="00CD7E26" w:rsidRDefault="00CD7E26" w:rsidP="00CD7E26">
      <w:pPr>
        <w:rPr>
          <w:lang w:eastAsia="ja-JP"/>
        </w:rPr>
      </w:pPr>
      <w:r w:rsidRPr="002B49D9">
        <w:rPr>
          <w:noProof/>
          <w:lang w:eastAsia="en-AU"/>
        </w:rPr>
        <w:drawing>
          <wp:inline distT="0" distB="0" distL="0" distR="0" wp14:anchorId="6EC552C8" wp14:editId="2305B5E6">
            <wp:extent cx="5553031" cy="5143500"/>
            <wp:effectExtent l="0" t="0" r="0" b="0"/>
            <wp:docPr id="40" name="Picture 40" descr="Incidence of AEs in the Hepatobiliary Disorders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a:lum bright="-20000" contrast="40000"/>
                      <a:extLst>
                        <a:ext uri="{28A0092B-C50C-407E-A947-70E740481C1C}">
                          <a14:useLocalDpi xmlns:a14="http://schemas.microsoft.com/office/drawing/2010/main" val="0"/>
                        </a:ext>
                      </a:extLst>
                    </a:blip>
                    <a:srcRect b="917"/>
                    <a:stretch/>
                  </pic:blipFill>
                  <pic:spPr bwMode="auto">
                    <a:xfrm>
                      <a:off x="0" y="0"/>
                      <a:ext cx="5553710" cy="5144129"/>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733A7E">
      <w:pPr>
        <w:pStyle w:val="Tabletitle"/>
      </w:pPr>
      <w:bookmarkStart w:id="460" w:name="_Toc494205955"/>
      <w:r>
        <w:lastRenderedPageBreak/>
        <w:t xml:space="preserve">Table </w:t>
      </w:r>
      <w:r w:rsidR="00733A7E">
        <w:t>4</w:t>
      </w:r>
      <w:r w:rsidR="00DB6CD6">
        <w:t>3</w:t>
      </w:r>
      <w:r>
        <w:t xml:space="preserve">: </w:t>
      </w:r>
      <w:r w:rsidRPr="00D80190">
        <w:t>Subject Incidence of Treatment-Emergent Liver Test Abnormalities</w:t>
      </w:r>
      <w:bookmarkEnd w:id="460"/>
    </w:p>
    <w:p w:rsidR="00CD7E26" w:rsidRDefault="00CD7E26" w:rsidP="00CD7E26">
      <w:pPr>
        <w:rPr>
          <w:lang w:eastAsia="ja-JP"/>
        </w:rPr>
      </w:pPr>
      <w:r w:rsidRPr="002B49D9">
        <w:rPr>
          <w:noProof/>
          <w:lang w:eastAsia="en-AU"/>
        </w:rPr>
        <w:drawing>
          <wp:inline distT="0" distB="0" distL="0" distR="0" wp14:anchorId="2D1FF9F8" wp14:editId="3EC56886">
            <wp:extent cx="5552886" cy="4191000"/>
            <wp:effectExtent l="0" t="0" r="0" b="0"/>
            <wp:docPr id="41" name="Picture 41" descr="Subject Incidence of Treatment-Emergent Liver Test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9">
                      <a:lum bright="-20000" contrast="40000"/>
                      <a:extLst>
                        <a:ext uri="{28A0092B-C50C-407E-A947-70E740481C1C}">
                          <a14:useLocalDpi xmlns:a14="http://schemas.microsoft.com/office/drawing/2010/main" val="0"/>
                        </a:ext>
                      </a:extLst>
                    </a:blip>
                    <a:srcRect t="2005"/>
                    <a:stretch/>
                  </pic:blipFill>
                  <pic:spPr bwMode="auto">
                    <a:xfrm>
                      <a:off x="0" y="0"/>
                      <a:ext cx="5553710" cy="4191622"/>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733A7E">
      <w:pPr>
        <w:pStyle w:val="Tabletitle"/>
      </w:pPr>
      <w:bookmarkStart w:id="461" w:name="_Toc494205956"/>
      <w:r>
        <w:t xml:space="preserve">Table </w:t>
      </w:r>
      <w:r w:rsidR="00733A7E">
        <w:t>4</w:t>
      </w:r>
      <w:r w:rsidR="00DB6CD6">
        <w:t>4</w:t>
      </w:r>
      <w:r>
        <w:t xml:space="preserve">: </w:t>
      </w:r>
      <w:r w:rsidRPr="00B02042">
        <w:t>Incidence of Liver Test Abnormalities by Laboratory Screening Criteria for</w:t>
      </w:r>
      <w:r>
        <w:t xml:space="preserve"> Drug Induced Liver Injury</w:t>
      </w:r>
      <w:bookmarkEnd w:id="461"/>
    </w:p>
    <w:p w:rsidR="00CD7E26" w:rsidRDefault="00CD7E26" w:rsidP="00CD7E26">
      <w:pPr>
        <w:rPr>
          <w:lang w:eastAsia="ja-JP"/>
        </w:rPr>
      </w:pPr>
      <w:r w:rsidRPr="002B49D9">
        <w:rPr>
          <w:noProof/>
          <w:lang w:eastAsia="en-AU"/>
        </w:rPr>
        <w:drawing>
          <wp:inline distT="0" distB="0" distL="0" distR="0" wp14:anchorId="3647B6D2" wp14:editId="783D5D78">
            <wp:extent cx="5287010" cy="1248410"/>
            <wp:effectExtent l="0" t="0" r="8890" b="8890"/>
            <wp:docPr id="42" name="Picture 42" descr="Incidence of Liver Test Abnormalities by Laboratory Screening Criteria for Drug Induced Liver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lum bright="-20000" contrast="40000"/>
                      <a:extLst>
                        <a:ext uri="{28A0092B-C50C-407E-A947-70E740481C1C}">
                          <a14:useLocalDpi xmlns:a14="http://schemas.microsoft.com/office/drawing/2010/main" val="0"/>
                        </a:ext>
                      </a:extLst>
                    </a:blip>
                    <a:srcRect/>
                    <a:stretch>
                      <a:fillRect/>
                    </a:stretch>
                  </pic:blipFill>
                  <pic:spPr bwMode="auto">
                    <a:xfrm>
                      <a:off x="0" y="0"/>
                      <a:ext cx="5287010" cy="1248410"/>
                    </a:xfrm>
                    <a:prstGeom prst="rect">
                      <a:avLst/>
                    </a:prstGeom>
                    <a:noFill/>
                    <a:ln>
                      <a:noFill/>
                    </a:ln>
                  </pic:spPr>
                </pic:pic>
              </a:graphicData>
            </a:graphic>
          </wp:inline>
        </w:drawing>
      </w:r>
    </w:p>
    <w:p w:rsidR="00CD7E26" w:rsidRPr="00A859C5" w:rsidRDefault="00CD7E26" w:rsidP="00CD7E26">
      <w:pPr>
        <w:pStyle w:val="Comment"/>
        <w:rPr>
          <w:b/>
          <w:lang w:eastAsia="ja-JP"/>
        </w:rPr>
      </w:pPr>
      <w:r w:rsidRPr="00A859C5">
        <w:rPr>
          <w:b/>
          <w:lang w:eastAsia="ja-JP"/>
        </w:rPr>
        <w:t>Comment</w:t>
      </w:r>
      <w:r>
        <w:rPr>
          <w:b/>
          <w:lang w:eastAsia="ja-JP"/>
        </w:rPr>
        <w:t>:</w:t>
      </w:r>
      <w:r w:rsidR="006F6759">
        <w:rPr>
          <w:b/>
          <w:lang w:eastAsia="ja-JP"/>
        </w:rPr>
        <w:tab/>
      </w:r>
      <w:r>
        <w:rPr>
          <w:lang w:eastAsia="ja-JP"/>
        </w:rPr>
        <w:t xml:space="preserve">No subjects met the </w:t>
      </w:r>
      <w:proofErr w:type="spellStart"/>
      <w:r>
        <w:rPr>
          <w:lang w:eastAsia="ja-JP"/>
        </w:rPr>
        <w:t>Hy’s</w:t>
      </w:r>
      <w:proofErr w:type="spellEnd"/>
      <w:r>
        <w:rPr>
          <w:lang w:eastAsia="ja-JP"/>
        </w:rPr>
        <w:t xml:space="preserve"> Law criteria. The most frequent hepatobiliary AEs were laboratory abnormalities with elevation of ALT, AST </w:t>
      </w:r>
      <w:bookmarkStart w:id="462" w:name="amendment3"/>
      <w:bookmarkEnd w:id="462"/>
      <w:r>
        <w:rPr>
          <w:lang w:eastAsia="ja-JP"/>
        </w:rPr>
        <w:t>or ALP.</w:t>
      </w:r>
    </w:p>
    <w:p w:rsidR="00CD7E26" w:rsidRPr="006F6759" w:rsidRDefault="00CD7E26" w:rsidP="006F6759">
      <w:pPr>
        <w:pStyle w:val="Heading5"/>
      </w:pPr>
      <w:r w:rsidRPr="006F6759">
        <w:t>Other studies</w:t>
      </w:r>
    </w:p>
    <w:p w:rsidR="00CD7E26" w:rsidRPr="00EC3AE0" w:rsidRDefault="00CD7E26" w:rsidP="00CD7E26">
      <w:pPr>
        <w:pStyle w:val="Heading6"/>
      </w:pPr>
      <w:r w:rsidRPr="00EC3AE0">
        <w:t xml:space="preserve">Studies with evaluable safety data: dose finding and </w:t>
      </w:r>
      <w:r w:rsidR="006F6759">
        <w:t>pharmacology</w:t>
      </w:r>
    </w:p>
    <w:p w:rsidR="00CD7E26" w:rsidRDefault="00CD7E26" w:rsidP="00CD7E26">
      <w:pPr>
        <w:rPr>
          <w:lang w:eastAsia="ja-JP"/>
        </w:rPr>
      </w:pPr>
      <w:r>
        <w:rPr>
          <w:lang w:eastAsia="ja-JP"/>
        </w:rPr>
        <w:t>One subject had a Grade 3 increase in ALT and Grade 2 increase in AST that led to dose reduction and dose i</w:t>
      </w:r>
      <w:r w:rsidR="006F6759">
        <w:rPr>
          <w:lang w:eastAsia="ja-JP"/>
        </w:rPr>
        <w:t>nterruption of study treatment.</w:t>
      </w:r>
    </w:p>
    <w:p w:rsidR="00CD7E26" w:rsidRDefault="00CD7E26" w:rsidP="00CD7E26">
      <w:pPr>
        <w:pStyle w:val="Heading6"/>
      </w:pPr>
      <w:r w:rsidRPr="00EC3AE0">
        <w:lastRenderedPageBreak/>
        <w:t>Studies evaluable for safety only</w:t>
      </w:r>
    </w:p>
    <w:p w:rsidR="00CD7E26" w:rsidRDefault="00CD7E26" w:rsidP="00733A7E">
      <w:pPr>
        <w:pStyle w:val="Tabletitle"/>
      </w:pPr>
      <w:bookmarkStart w:id="463" w:name="_Toc494205957"/>
      <w:bookmarkStart w:id="464" w:name="_Toc272414670"/>
      <w:bookmarkStart w:id="465" w:name="_Toc290888534"/>
      <w:bookmarkStart w:id="466" w:name="_Toc416353750"/>
      <w:bookmarkStart w:id="467" w:name="_Toc421005293"/>
      <w:bookmarkStart w:id="468" w:name="_Toc432079170"/>
      <w:bookmarkStart w:id="469" w:name="_Toc432080743"/>
      <w:r>
        <w:t xml:space="preserve">Table </w:t>
      </w:r>
      <w:r w:rsidR="00733A7E">
        <w:t>4</w:t>
      </w:r>
      <w:r w:rsidR="00DB6CD6">
        <w:t>5</w:t>
      </w:r>
      <w:r>
        <w:t xml:space="preserve">: </w:t>
      </w:r>
      <w:r w:rsidRPr="002C4A96">
        <w:t>Incidence of AEs (Hepatobiliar</w:t>
      </w:r>
      <w:r>
        <w:t>y Disorders SOC) Study XL184-306</w:t>
      </w:r>
      <w:bookmarkEnd w:id="463"/>
    </w:p>
    <w:p w:rsidR="00CD7E26" w:rsidRDefault="00CD7E26" w:rsidP="00CD7E26">
      <w:r w:rsidRPr="005D73C6">
        <w:rPr>
          <w:noProof/>
          <w:lang w:eastAsia="en-AU"/>
        </w:rPr>
        <w:drawing>
          <wp:inline distT="0" distB="0" distL="0" distR="0" wp14:anchorId="6537B3DC" wp14:editId="24FBF516">
            <wp:extent cx="5731510" cy="2302217"/>
            <wp:effectExtent l="0" t="0" r="2540" b="3175"/>
            <wp:docPr id="127" name="Picture 127" descr="Incidence of AEs (Hepatobiliary Disorders SOC) Study XL18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a:lum bright="-20000" contrast="40000"/>
                      <a:extLst>
                        <a:ext uri="{28A0092B-C50C-407E-A947-70E740481C1C}">
                          <a14:useLocalDpi xmlns:a14="http://schemas.microsoft.com/office/drawing/2010/main" val="0"/>
                        </a:ext>
                      </a:extLst>
                    </a:blip>
                    <a:srcRect/>
                    <a:stretch>
                      <a:fillRect/>
                    </a:stretch>
                  </pic:blipFill>
                  <pic:spPr bwMode="auto">
                    <a:xfrm>
                      <a:off x="0" y="0"/>
                      <a:ext cx="5731510" cy="2302217"/>
                    </a:xfrm>
                    <a:prstGeom prst="rect">
                      <a:avLst/>
                    </a:prstGeom>
                    <a:noFill/>
                    <a:ln>
                      <a:noFill/>
                    </a:ln>
                  </pic:spPr>
                </pic:pic>
              </a:graphicData>
            </a:graphic>
          </wp:inline>
        </w:drawing>
      </w:r>
    </w:p>
    <w:p w:rsidR="00CD7E26" w:rsidRDefault="00CD7E26" w:rsidP="00733A7E">
      <w:pPr>
        <w:pStyle w:val="Tabletitle"/>
      </w:pPr>
      <w:bookmarkStart w:id="470" w:name="_Toc494205958"/>
      <w:r>
        <w:t xml:space="preserve">Table </w:t>
      </w:r>
      <w:r w:rsidR="00733A7E">
        <w:t>4</w:t>
      </w:r>
      <w:r w:rsidR="00DB6CD6">
        <w:t>6</w:t>
      </w:r>
      <w:r>
        <w:t xml:space="preserve">: </w:t>
      </w:r>
      <w:r w:rsidRPr="00EB255C">
        <w:t>Incidence of Increased Liver Enzyme by Laboratory Screening Criteria</w:t>
      </w:r>
      <w:bookmarkEnd w:id="470"/>
    </w:p>
    <w:p w:rsidR="00CD7E26" w:rsidRDefault="00CD7E26" w:rsidP="00CD7E26">
      <w:r w:rsidRPr="005D73C6">
        <w:rPr>
          <w:noProof/>
          <w:lang w:eastAsia="en-AU"/>
        </w:rPr>
        <w:drawing>
          <wp:inline distT="0" distB="0" distL="0" distR="0" wp14:anchorId="70F611A0" wp14:editId="2B0F0FA7">
            <wp:extent cx="5731510" cy="1665652"/>
            <wp:effectExtent l="0" t="0" r="2540" b="0"/>
            <wp:docPr id="128" name="Picture 128" descr="Incidence of Increased Liver Enzyme by Laboratory Screening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2">
                      <a:lum bright="-20000" contrast="40000"/>
                      <a:extLst>
                        <a:ext uri="{28A0092B-C50C-407E-A947-70E740481C1C}">
                          <a14:useLocalDpi xmlns:a14="http://schemas.microsoft.com/office/drawing/2010/main" val="0"/>
                        </a:ext>
                      </a:extLst>
                    </a:blip>
                    <a:srcRect/>
                    <a:stretch>
                      <a:fillRect/>
                    </a:stretch>
                  </pic:blipFill>
                  <pic:spPr bwMode="auto">
                    <a:xfrm>
                      <a:off x="0" y="0"/>
                      <a:ext cx="5731510" cy="1665652"/>
                    </a:xfrm>
                    <a:prstGeom prst="rect">
                      <a:avLst/>
                    </a:prstGeom>
                    <a:noFill/>
                    <a:ln>
                      <a:noFill/>
                    </a:ln>
                  </pic:spPr>
                </pic:pic>
              </a:graphicData>
            </a:graphic>
          </wp:inline>
        </w:drawing>
      </w:r>
    </w:p>
    <w:p w:rsidR="00CD7E26" w:rsidRDefault="00CD7E26" w:rsidP="00CD7E26">
      <w:pPr>
        <w:rPr>
          <w:lang w:val="en-NZ"/>
        </w:rPr>
      </w:pPr>
      <w:r>
        <w:rPr>
          <w:lang w:val="en-NZ"/>
        </w:rPr>
        <w:t xml:space="preserve">Using </w:t>
      </w:r>
      <w:proofErr w:type="spellStart"/>
      <w:r>
        <w:rPr>
          <w:lang w:val="en-NZ"/>
        </w:rPr>
        <w:t>Hy’s</w:t>
      </w:r>
      <w:proofErr w:type="spellEnd"/>
      <w:r>
        <w:rPr>
          <w:lang w:val="en-NZ"/>
        </w:rPr>
        <w:t xml:space="preserve"> Law criteria to screen for potential DILI, three subjects in the </w:t>
      </w:r>
      <w:proofErr w:type="spellStart"/>
      <w:r>
        <w:rPr>
          <w:lang w:val="en-NZ"/>
        </w:rPr>
        <w:t>cabozantinib</w:t>
      </w:r>
      <w:proofErr w:type="spellEnd"/>
      <w:r>
        <w:rPr>
          <w:lang w:val="en-NZ"/>
        </w:rPr>
        <w:t xml:space="preserve"> arm were identified [information redacted].</w:t>
      </w:r>
    </w:p>
    <w:p w:rsidR="00CD7E26" w:rsidRPr="00C75A16" w:rsidRDefault="00CD7E26" w:rsidP="00CD7E26">
      <w:pPr>
        <w:rPr>
          <w:b/>
          <w:lang w:val="en-NZ"/>
        </w:rPr>
      </w:pPr>
      <w:r w:rsidRPr="00C75A16">
        <w:rPr>
          <w:b/>
          <w:lang w:val="en-NZ"/>
        </w:rPr>
        <w:t>Subject [information redacted]:</w:t>
      </w:r>
    </w:p>
    <w:p w:rsidR="00CD7E26" w:rsidRPr="00C75A16" w:rsidRDefault="00CD7E26" w:rsidP="00CD7E26">
      <w:r w:rsidRPr="00C75A16">
        <w:t xml:space="preserve">Subject [information redacted], a [information redacted] year-old black or African-American male, initiated study treatment (60 mg once daily </w:t>
      </w:r>
      <w:proofErr w:type="spellStart"/>
      <w:r w:rsidRPr="00C75A16">
        <w:t>cabozantinib</w:t>
      </w:r>
      <w:proofErr w:type="spellEnd"/>
      <w:r w:rsidRPr="00C75A16">
        <w:t xml:space="preserve"> and 12 mg/m</w:t>
      </w:r>
      <w:r w:rsidRPr="00C75A16">
        <w:rPr>
          <w:vertAlign w:val="superscript"/>
        </w:rPr>
        <w:t>2</w:t>
      </w:r>
      <w:r w:rsidRPr="00C75A16">
        <w:t xml:space="preserve"> once every 3 weeks, </w:t>
      </w:r>
      <w:proofErr w:type="spellStart"/>
      <w:r w:rsidRPr="00C75A16">
        <w:t>mitoxantrone</w:t>
      </w:r>
      <w:proofErr w:type="spellEnd"/>
      <w:r w:rsidRPr="00C75A16">
        <w:t xml:space="preserve">-matching placebo infusion, and 5 mg twice daily prednisone-matched placebo) on 18 Dec 2012 for castration resistant prostate cancer (CRPC). The subject had a baseline ECOG performance status of 1 with a pain score of 6.9. Previous anti-cancer treatment included docetaxel and </w:t>
      </w:r>
      <w:proofErr w:type="spellStart"/>
      <w:r w:rsidRPr="00C75A16">
        <w:t>abiraterone</w:t>
      </w:r>
      <w:proofErr w:type="spellEnd"/>
      <w:r w:rsidRPr="00C75A16">
        <w:t>.</w:t>
      </w:r>
    </w:p>
    <w:p w:rsidR="00CD7E26" w:rsidRDefault="00CD7E26" w:rsidP="00CD7E26">
      <w:r w:rsidRPr="00C75A16">
        <w:t>The subject was found to have deranged LFTs as shown in the table below.</w:t>
      </w:r>
    </w:p>
    <w:p w:rsidR="00CD7E26" w:rsidRDefault="00CD7E26" w:rsidP="00733A7E">
      <w:pPr>
        <w:pStyle w:val="Tabletitle"/>
      </w:pPr>
      <w:r>
        <w:lastRenderedPageBreak/>
        <w:t>Table</w:t>
      </w:r>
      <w:r w:rsidR="00733A7E">
        <w:t xml:space="preserve"> 4</w:t>
      </w:r>
      <w:r w:rsidR="00DB6CD6">
        <w:t>7</w:t>
      </w:r>
      <w:r>
        <w:t>: Liver enzyme values for subject</w:t>
      </w:r>
    </w:p>
    <w:p w:rsidR="00CD7E26" w:rsidRDefault="00CD7E26" w:rsidP="00CD7E26">
      <w:r w:rsidRPr="00347558">
        <w:rPr>
          <w:noProof/>
          <w:lang w:eastAsia="en-AU"/>
        </w:rPr>
        <w:drawing>
          <wp:inline distT="0" distB="0" distL="0" distR="0" wp14:anchorId="7BD83C20" wp14:editId="31879C40">
            <wp:extent cx="5476875" cy="2219325"/>
            <wp:effectExtent l="0" t="0" r="9525" b="9525"/>
            <wp:docPr id="129" name="Picture 129" descr="Liver enzyme values for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73">
                      <a:lum bright="-20000" contrast="40000"/>
                      <a:extLst>
                        <a:ext uri="{28A0092B-C50C-407E-A947-70E740481C1C}">
                          <a14:useLocalDpi xmlns:a14="http://schemas.microsoft.com/office/drawing/2010/main" val="0"/>
                        </a:ext>
                      </a:extLst>
                    </a:blip>
                    <a:srcRect t="1896" r="4485" b="9739"/>
                    <a:stretch/>
                  </pic:blipFill>
                  <pic:spPr bwMode="auto">
                    <a:xfrm>
                      <a:off x="0" y="0"/>
                      <a:ext cx="5474450" cy="2218342"/>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r>
        <w:t xml:space="preserve">The </w:t>
      </w:r>
      <w:proofErr w:type="spellStart"/>
      <w:r>
        <w:t>cabozantinib</w:t>
      </w:r>
      <w:proofErr w:type="spellEnd"/>
      <w:r>
        <w:t xml:space="preserve"> was interrupted on 19 Feb due to elevations in the AST and ALT. The subject was subsequently hospitalised due to hypotension. Nine-days following discontinuation of </w:t>
      </w:r>
      <w:proofErr w:type="spellStart"/>
      <w:r>
        <w:t>cabozantinib</w:t>
      </w:r>
      <w:proofErr w:type="spellEnd"/>
      <w:r>
        <w:t xml:space="preserve"> the ALT had decreased to Grade 1 severity. (Not shown in table). The sponsor has assessed this case as not related to study treatment.</w:t>
      </w:r>
    </w:p>
    <w:p w:rsidR="00CD7E26" w:rsidRPr="00347558" w:rsidRDefault="00CD7E26" w:rsidP="00CD7E26">
      <w:pPr>
        <w:pStyle w:val="Comment"/>
      </w:pPr>
      <w:r>
        <w:rPr>
          <w:b/>
        </w:rPr>
        <w:t>Comment:</w:t>
      </w:r>
      <w:r w:rsidR="006F6759">
        <w:rPr>
          <w:b/>
        </w:rPr>
        <w:tab/>
      </w:r>
      <w:r>
        <w:t xml:space="preserve">This subject had a number of confounding co-morbidities, including hepatic metastasis and hypotension; however, the hypotension was not profound and there is a temporal relationship between discontinuation of </w:t>
      </w:r>
      <w:proofErr w:type="spellStart"/>
      <w:r>
        <w:t>cabozantinib</w:t>
      </w:r>
      <w:proofErr w:type="spellEnd"/>
      <w:r>
        <w:t xml:space="preserve"> and improvement in ALT therefore the deterioration in LFT should be considered as at least possibly related to study medication.</w:t>
      </w:r>
    </w:p>
    <w:p w:rsidR="00CD7E26" w:rsidRPr="00C75A16" w:rsidRDefault="00CD7E26" w:rsidP="00CD7E26">
      <w:pPr>
        <w:rPr>
          <w:b/>
        </w:rPr>
      </w:pPr>
      <w:r w:rsidRPr="00C75A16">
        <w:rPr>
          <w:b/>
        </w:rPr>
        <w:t>Subject [information redacted]</w:t>
      </w:r>
    </w:p>
    <w:p w:rsidR="00CD7E26" w:rsidRPr="00C75A16" w:rsidRDefault="00CD7E26" w:rsidP="00CD7E26">
      <w:r w:rsidRPr="00C75A16">
        <w:t>[</w:t>
      </w:r>
      <w:proofErr w:type="gramStart"/>
      <w:r w:rsidRPr="00C75A16">
        <w:t>information</w:t>
      </w:r>
      <w:proofErr w:type="gramEnd"/>
      <w:r w:rsidRPr="00C75A16">
        <w:t xml:space="preserve"> redacted] White male, initiated study treatment (60 mg once daily </w:t>
      </w:r>
      <w:proofErr w:type="spellStart"/>
      <w:r w:rsidRPr="00C75A16">
        <w:t>cabozantinib</w:t>
      </w:r>
      <w:proofErr w:type="spellEnd"/>
      <w:r w:rsidRPr="00C75A16">
        <w:t>, 12 mg/m</w:t>
      </w:r>
      <w:r w:rsidRPr="00C75A16">
        <w:rPr>
          <w:vertAlign w:val="superscript"/>
        </w:rPr>
        <w:t>2</w:t>
      </w:r>
      <w:r w:rsidRPr="00C75A16">
        <w:t xml:space="preserve"> once every 3 weeks </w:t>
      </w:r>
      <w:proofErr w:type="spellStart"/>
      <w:r w:rsidRPr="00C75A16">
        <w:t>mitoxantrone</w:t>
      </w:r>
      <w:proofErr w:type="spellEnd"/>
      <w:r w:rsidRPr="00C75A16">
        <w:t xml:space="preserve">-matched placebo infusion, and 5 mg twice daily prednisone-matched placebo) on 27 Nov 2012 for castration-resistant prostate cancer (CRPC). The subject had a screening ECOG performance status of 1 (baseline ECOG performance status was not performed) with a pain score of 6.7. Previous anti-cancer treatment included docetaxel, </w:t>
      </w:r>
      <w:proofErr w:type="spellStart"/>
      <w:r w:rsidRPr="00C75A16">
        <w:t>abiraterone</w:t>
      </w:r>
      <w:proofErr w:type="spellEnd"/>
      <w:r w:rsidRPr="00C75A16">
        <w:t xml:space="preserve">, MDV3100, and </w:t>
      </w:r>
      <w:proofErr w:type="spellStart"/>
      <w:r w:rsidRPr="00C75A16">
        <w:t>cabazitaxel</w:t>
      </w:r>
      <w:proofErr w:type="spellEnd"/>
      <w:r w:rsidRPr="00C75A16">
        <w:t>.</w:t>
      </w:r>
    </w:p>
    <w:p w:rsidR="00CD7E26" w:rsidRDefault="00CD7E26" w:rsidP="00CD7E26">
      <w:r w:rsidRPr="00C75A16">
        <w:t>The subject was found to have deranged LFTs as shown in the table below:</w:t>
      </w:r>
    </w:p>
    <w:p w:rsidR="00CD7E26" w:rsidRDefault="00CD7E26" w:rsidP="00733A7E">
      <w:pPr>
        <w:pStyle w:val="Tabletitle"/>
      </w:pPr>
      <w:r>
        <w:lastRenderedPageBreak/>
        <w:t>Table</w:t>
      </w:r>
      <w:r w:rsidR="00733A7E">
        <w:t xml:space="preserve"> 4</w:t>
      </w:r>
      <w:r w:rsidR="00DB6CD6">
        <w:t>8</w:t>
      </w:r>
      <w:r>
        <w:t>: Liver enzyme values for subject</w:t>
      </w:r>
    </w:p>
    <w:p w:rsidR="00CD7E26" w:rsidRDefault="00CD7E26" w:rsidP="00CD7E26">
      <w:r w:rsidRPr="00893340">
        <w:rPr>
          <w:noProof/>
          <w:lang w:eastAsia="en-AU"/>
        </w:rPr>
        <w:drawing>
          <wp:inline distT="0" distB="0" distL="0" distR="0" wp14:anchorId="3A820A0F" wp14:editId="29C8ADE1">
            <wp:extent cx="5357986" cy="3402641"/>
            <wp:effectExtent l="0" t="0" r="0" b="7620"/>
            <wp:docPr id="130" name="Picture 130" descr=": Liver enzyme values for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4">
                      <a:lum bright="-20000" contrast="40000"/>
                      <a:extLst>
                        <a:ext uri="{28A0092B-C50C-407E-A947-70E740481C1C}">
                          <a14:useLocalDpi xmlns:a14="http://schemas.microsoft.com/office/drawing/2010/main" val="0"/>
                        </a:ext>
                      </a:extLst>
                    </a:blip>
                    <a:srcRect/>
                    <a:stretch>
                      <a:fillRect/>
                    </a:stretch>
                  </pic:blipFill>
                  <pic:spPr bwMode="auto">
                    <a:xfrm>
                      <a:off x="0" y="0"/>
                      <a:ext cx="5359902" cy="3403858"/>
                    </a:xfrm>
                    <a:prstGeom prst="rect">
                      <a:avLst/>
                    </a:prstGeom>
                    <a:noFill/>
                    <a:ln>
                      <a:noFill/>
                    </a:ln>
                  </pic:spPr>
                </pic:pic>
              </a:graphicData>
            </a:graphic>
          </wp:inline>
        </w:drawing>
      </w:r>
    </w:p>
    <w:p w:rsidR="00CD7E26" w:rsidRDefault="00CD7E26" w:rsidP="00CD7E26">
      <w:r>
        <w:t xml:space="preserve">The subject had a concurrent urinary tract infection and was hospitalised for dehydration on 3 Feb 2013. </w:t>
      </w:r>
      <w:proofErr w:type="spellStart"/>
      <w:r>
        <w:t>Cabozantinib</w:t>
      </w:r>
      <w:proofErr w:type="spellEnd"/>
      <w:r>
        <w:t xml:space="preserve"> was discontinued on 29 January. A CT-scan showed marked progression of hepatic metastasis on 3 February.</w:t>
      </w:r>
    </w:p>
    <w:p w:rsidR="00CD7E26" w:rsidRDefault="00CD7E26" w:rsidP="00CD7E26">
      <w:r>
        <w:t xml:space="preserve">The sponsor has assessed the elevation in hepatic transaminases (29 January) as related to treatment but the elevation in ALP as unrelated. The sponsor states that the aetiology of the deterioration in liver function is unclear yet dismisses </w:t>
      </w:r>
      <w:proofErr w:type="spellStart"/>
      <w:r>
        <w:t>cabozantinib</w:t>
      </w:r>
      <w:proofErr w:type="spellEnd"/>
      <w:r>
        <w:t xml:space="preserve"> as a contributing agent. The sponsor states that this event is not DILI but more likely related to progression of metastasis.</w:t>
      </w:r>
    </w:p>
    <w:p w:rsidR="00CD7E26" w:rsidRDefault="00CD7E26" w:rsidP="00CD7E26">
      <w:pPr>
        <w:pStyle w:val="Comment"/>
      </w:pPr>
      <w:r>
        <w:rPr>
          <w:b/>
        </w:rPr>
        <w:t>Comment:</w:t>
      </w:r>
      <w:r w:rsidR="006F6759">
        <w:rPr>
          <w:b/>
        </w:rPr>
        <w:tab/>
      </w:r>
      <w:r>
        <w:t xml:space="preserve">Progression of hepatic metastasis confounds this case, however, as with the previous narrative; there is a temporal association between the interruption of study treatment and improvement in ALT, AST and ALP. </w:t>
      </w:r>
    </w:p>
    <w:p w:rsidR="00CD7E26" w:rsidRPr="00DC31ED" w:rsidRDefault="00CD7E26" w:rsidP="00CD7E26">
      <w:pPr>
        <w:rPr>
          <w:b/>
          <w:lang w:val="en-NZ"/>
        </w:rPr>
      </w:pPr>
      <w:r w:rsidRPr="00DC31ED">
        <w:rPr>
          <w:b/>
          <w:lang w:val="en-NZ"/>
        </w:rPr>
        <w:t>Subject [information redacted]</w:t>
      </w:r>
    </w:p>
    <w:p w:rsidR="00CD7E26" w:rsidRPr="00DC31ED" w:rsidRDefault="00CD7E26" w:rsidP="00CD7E26">
      <w:r w:rsidRPr="00DC31ED">
        <w:t xml:space="preserve">[information redacted] old White male, initiated study treatment of 60 mg once daily </w:t>
      </w:r>
      <w:proofErr w:type="spellStart"/>
      <w:r w:rsidRPr="00DC31ED">
        <w:t>cabozantinib</w:t>
      </w:r>
      <w:proofErr w:type="spellEnd"/>
      <w:r w:rsidRPr="00DC31ED">
        <w:t xml:space="preserve"> on 24 Apr 2013, 12 mg/m</w:t>
      </w:r>
      <w:r w:rsidRPr="00DC31ED">
        <w:rPr>
          <w:vertAlign w:val="superscript"/>
        </w:rPr>
        <w:t>2</w:t>
      </w:r>
      <w:r w:rsidRPr="00DC31ED">
        <w:t xml:space="preserve"> once every 3 weeks </w:t>
      </w:r>
      <w:proofErr w:type="spellStart"/>
      <w:r w:rsidRPr="00DC31ED">
        <w:t>mitoxantrone</w:t>
      </w:r>
      <w:proofErr w:type="spellEnd"/>
      <w:r w:rsidRPr="00DC31ED">
        <w:t xml:space="preserve">-matched placebo infusion on 24 Apr 2013, and 5 mg twice daily prednisone-matched placebo on 15 May 2013 for castration-resistant prostate cancer (CRPC). The subject had a baseline ECOG performance status of 1 with a pain score of 6.9. Previous anti-cancer treatment included docetaxel, </w:t>
      </w:r>
      <w:proofErr w:type="spellStart"/>
      <w:r w:rsidRPr="00DC31ED">
        <w:t>abiraterone</w:t>
      </w:r>
      <w:proofErr w:type="spellEnd"/>
      <w:r w:rsidRPr="00DC31ED">
        <w:t xml:space="preserve">, MDV3100, and </w:t>
      </w:r>
      <w:proofErr w:type="spellStart"/>
      <w:r w:rsidRPr="00DC31ED">
        <w:t>cabazitaxel</w:t>
      </w:r>
      <w:proofErr w:type="spellEnd"/>
      <w:r w:rsidRPr="00DC31ED">
        <w:t>.</w:t>
      </w:r>
    </w:p>
    <w:p w:rsidR="00CD7E26" w:rsidRDefault="00CD7E26" w:rsidP="00CD7E26">
      <w:r w:rsidRPr="00DC31ED">
        <w:t>The subject was found to have deranged LFTs as shown in the table below:</w:t>
      </w:r>
    </w:p>
    <w:p w:rsidR="00CD7E26" w:rsidRDefault="00CD7E26" w:rsidP="00733A7E">
      <w:pPr>
        <w:pStyle w:val="Tabletitle"/>
      </w:pPr>
      <w:r w:rsidRPr="00DC31ED">
        <w:lastRenderedPageBreak/>
        <w:t>Table</w:t>
      </w:r>
      <w:r w:rsidR="00733A7E">
        <w:t xml:space="preserve"> 4</w:t>
      </w:r>
      <w:r w:rsidR="00DB6CD6">
        <w:t>9</w:t>
      </w:r>
      <w:r w:rsidRPr="00DC31ED">
        <w:t>: Liver enzyme values for subject</w:t>
      </w:r>
    </w:p>
    <w:p w:rsidR="00CD7E26" w:rsidRDefault="00CD7E26" w:rsidP="00CD7E26">
      <w:r w:rsidRPr="004655AD">
        <w:rPr>
          <w:noProof/>
          <w:lang w:eastAsia="en-AU"/>
        </w:rPr>
        <w:drawing>
          <wp:inline distT="0" distB="0" distL="0" distR="0" wp14:anchorId="12C34EB5" wp14:editId="69AF318B">
            <wp:extent cx="5295900" cy="2691936"/>
            <wp:effectExtent l="0" t="0" r="0" b="0"/>
            <wp:docPr id="131" name="Picture 131" descr="Liver enzyme values for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75">
                      <a:lum bright="-20000" contrast="40000"/>
                      <a:extLst>
                        <a:ext uri="{28A0092B-C50C-407E-A947-70E740481C1C}">
                          <a14:useLocalDpi xmlns:a14="http://schemas.microsoft.com/office/drawing/2010/main" val="0"/>
                        </a:ext>
                      </a:extLst>
                    </a:blip>
                    <a:srcRect b="5228"/>
                    <a:stretch/>
                  </pic:blipFill>
                  <pic:spPr bwMode="auto">
                    <a:xfrm>
                      <a:off x="0" y="0"/>
                      <a:ext cx="5293554" cy="2690744"/>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r>
        <w:t xml:space="preserve">On 16 Sep 2013 (Study Day 146), the subject was hospitalized for hyperbilirubinemia (Grade 3), elevated ALT (Grade 3), and elevated AST (Grade 3). On the same day, laboratory values met the criteria for potential </w:t>
      </w:r>
      <w:proofErr w:type="spellStart"/>
      <w:r>
        <w:t>Hy’s</w:t>
      </w:r>
      <w:proofErr w:type="spellEnd"/>
      <w:r>
        <w:t xml:space="preserve"> Law.</w:t>
      </w:r>
    </w:p>
    <w:p w:rsidR="00CD7E26" w:rsidRDefault="00CD7E26" w:rsidP="00CD7E26">
      <w:pPr>
        <w:rPr>
          <w:lang w:val="en-NZ"/>
        </w:rPr>
      </w:pPr>
      <w:proofErr w:type="gramStart"/>
      <w:r>
        <w:rPr>
          <w:lang w:val="en-NZ"/>
        </w:rPr>
        <w:t>A computed tomography demonstrated predominantly stable bulky adenopathy, sclerotic bone lesions and diffuse</w:t>
      </w:r>
      <w:proofErr w:type="gramEnd"/>
      <w:r>
        <w:rPr>
          <w:lang w:val="en-NZ"/>
        </w:rPr>
        <w:t xml:space="preserve"> biliary dilatation. A biliary drain was placed and </w:t>
      </w:r>
      <w:proofErr w:type="spellStart"/>
      <w:r>
        <w:rPr>
          <w:lang w:val="en-NZ"/>
        </w:rPr>
        <w:t>cabozantin</w:t>
      </w:r>
      <w:r w:rsidR="006F6759">
        <w:rPr>
          <w:lang w:val="en-NZ"/>
        </w:rPr>
        <w:t>ib</w:t>
      </w:r>
      <w:proofErr w:type="spellEnd"/>
      <w:r w:rsidR="006F6759">
        <w:rPr>
          <w:lang w:val="en-NZ"/>
        </w:rPr>
        <w:t xml:space="preserve"> interrupted on 16_September.</w:t>
      </w:r>
    </w:p>
    <w:p w:rsidR="00CD7E26" w:rsidRDefault="00CD7E26" w:rsidP="00CD7E26">
      <w:pPr>
        <w:rPr>
          <w:lang w:val="en-NZ"/>
        </w:rPr>
      </w:pPr>
      <w:r>
        <w:rPr>
          <w:lang w:val="en-NZ"/>
        </w:rPr>
        <w:t>The sponsor has assessed the reason for deranged LFT</w:t>
      </w:r>
      <w:r w:rsidR="006F6759">
        <w:rPr>
          <w:lang w:val="en-NZ"/>
        </w:rPr>
        <w:t>s as due to hepatic metastasis.</w:t>
      </w:r>
    </w:p>
    <w:p w:rsidR="00CD7E26" w:rsidRPr="009B31F4" w:rsidRDefault="00CD7E26" w:rsidP="00CD7E26">
      <w:pPr>
        <w:pStyle w:val="Comment"/>
      </w:pPr>
      <w:r>
        <w:rPr>
          <w:b/>
        </w:rPr>
        <w:t>Comment:</w:t>
      </w:r>
      <w:r w:rsidR="006F6759">
        <w:rPr>
          <w:b/>
        </w:rPr>
        <w:tab/>
      </w:r>
      <w:r>
        <w:t>The presence of hepatic metastasis confounds this case, any temporal relationship in the improvement of LFTs occurred following the placement of a biliary drain. It is more likely that the derangement in LFT was due to biliary obstruction as opposed to DILI.</w:t>
      </w:r>
    </w:p>
    <w:p w:rsidR="00CD7E26" w:rsidRDefault="00CD7E26" w:rsidP="00733A7E">
      <w:pPr>
        <w:pStyle w:val="Tabletitle"/>
      </w:pPr>
      <w:bookmarkStart w:id="471" w:name="_Toc494205959"/>
      <w:r>
        <w:lastRenderedPageBreak/>
        <w:t xml:space="preserve">Table </w:t>
      </w:r>
      <w:r w:rsidR="00DB6CD6">
        <w:t>50</w:t>
      </w:r>
      <w:r>
        <w:t xml:space="preserve">: </w:t>
      </w:r>
      <w:r w:rsidRPr="008967CB">
        <w:t>Incidence of AEs (Hepatobiliary Disorders SOC)</w:t>
      </w:r>
      <w:r>
        <w:t xml:space="preserve"> Study XL184-307</w:t>
      </w:r>
      <w:bookmarkEnd w:id="471"/>
    </w:p>
    <w:p w:rsidR="00CD7E26" w:rsidRDefault="00CD7E26" w:rsidP="00CD7E26">
      <w:pPr>
        <w:rPr>
          <w:lang w:eastAsia="ja-JP"/>
        </w:rPr>
      </w:pPr>
      <w:r w:rsidRPr="005D73C6">
        <w:rPr>
          <w:noProof/>
          <w:lang w:eastAsia="en-AU"/>
        </w:rPr>
        <w:drawing>
          <wp:inline distT="0" distB="0" distL="0" distR="0" wp14:anchorId="010C9FC1" wp14:editId="5C59650F">
            <wp:extent cx="5324475" cy="4552950"/>
            <wp:effectExtent l="0" t="0" r="9525" b="0"/>
            <wp:docPr id="126" name="Picture 126" descr="Incidence of AEs (Hepatobiliary Disorders SOC) Study XL18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76">
                      <a:lum bright="-20000" contrast="40000"/>
                      <a:extLst>
                        <a:ext uri="{28A0092B-C50C-407E-A947-70E740481C1C}">
                          <a14:useLocalDpi xmlns:a14="http://schemas.microsoft.com/office/drawing/2010/main" val="0"/>
                        </a:ext>
                      </a:extLst>
                    </a:blip>
                    <a:srcRect b="923"/>
                    <a:stretch/>
                  </pic:blipFill>
                  <pic:spPr bwMode="auto">
                    <a:xfrm>
                      <a:off x="0" y="0"/>
                      <a:ext cx="5328285" cy="4556208"/>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733A7E">
      <w:pPr>
        <w:pStyle w:val="Tabletitle"/>
      </w:pPr>
      <w:bookmarkStart w:id="472" w:name="_Toc494205960"/>
      <w:r>
        <w:t xml:space="preserve">Table </w:t>
      </w:r>
      <w:r w:rsidR="00DB6CD6">
        <w:t>51</w:t>
      </w:r>
      <w:r>
        <w:t xml:space="preserve">: </w:t>
      </w:r>
      <w:r w:rsidRPr="00BB3805">
        <w:t>Incidence of Increased Liver Enzyme by Laboratory Screening Criteria</w:t>
      </w:r>
      <w:r>
        <w:t xml:space="preserve"> Study XL184-307</w:t>
      </w:r>
      <w:bookmarkEnd w:id="472"/>
    </w:p>
    <w:p w:rsidR="00CD7E26" w:rsidRDefault="00CD7E26" w:rsidP="00CD7E26">
      <w:pPr>
        <w:rPr>
          <w:lang w:eastAsia="ja-JP"/>
        </w:rPr>
      </w:pPr>
      <w:r w:rsidRPr="00BB3805">
        <w:rPr>
          <w:noProof/>
          <w:lang w:eastAsia="en-AU"/>
        </w:rPr>
        <w:drawing>
          <wp:inline distT="0" distB="0" distL="0" distR="0" wp14:anchorId="6C86E842" wp14:editId="0E89224B">
            <wp:extent cx="5363210" cy="1222375"/>
            <wp:effectExtent l="0" t="0" r="8890" b="0"/>
            <wp:docPr id="133" name="Picture 133" descr="Incidence of Increased Liver Enzyme by Laboratory Screening Criteria Study XL18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7">
                      <a:lum bright="-20000" contrast="40000"/>
                      <a:extLst>
                        <a:ext uri="{28A0092B-C50C-407E-A947-70E740481C1C}">
                          <a14:useLocalDpi xmlns:a14="http://schemas.microsoft.com/office/drawing/2010/main" val="0"/>
                        </a:ext>
                      </a:extLst>
                    </a:blip>
                    <a:srcRect/>
                    <a:stretch>
                      <a:fillRect/>
                    </a:stretch>
                  </pic:blipFill>
                  <pic:spPr bwMode="auto">
                    <a:xfrm>
                      <a:off x="0" y="0"/>
                      <a:ext cx="5363210" cy="1222375"/>
                    </a:xfrm>
                    <a:prstGeom prst="rect">
                      <a:avLst/>
                    </a:prstGeom>
                    <a:noFill/>
                    <a:ln>
                      <a:noFill/>
                    </a:ln>
                  </pic:spPr>
                </pic:pic>
              </a:graphicData>
            </a:graphic>
          </wp:inline>
        </w:drawing>
      </w:r>
    </w:p>
    <w:p w:rsidR="00CD7E26" w:rsidRDefault="00CD7E26" w:rsidP="00CD7E26">
      <w:pPr>
        <w:rPr>
          <w:lang w:eastAsia="ja-JP"/>
        </w:rPr>
      </w:pPr>
      <w:r>
        <w:rPr>
          <w:lang w:eastAsia="ja-JP"/>
        </w:rPr>
        <w:t xml:space="preserve">One subject in each treatment arm met </w:t>
      </w:r>
      <w:proofErr w:type="spellStart"/>
      <w:r>
        <w:rPr>
          <w:lang w:eastAsia="ja-JP"/>
        </w:rPr>
        <w:t>Hy’s</w:t>
      </w:r>
      <w:proofErr w:type="spellEnd"/>
      <w:r>
        <w:rPr>
          <w:lang w:eastAsia="ja-JP"/>
        </w:rPr>
        <w:t xml:space="preserve"> Law screening criteria 1 (concurrent ALT or AST &gt; 3x ULN, total bilirubin &gt; 2x ULN, and ALP &lt; 2x ULN). Nine subjects (1%) in the </w:t>
      </w:r>
      <w:proofErr w:type="spellStart"/>
      <w:r>
        <w:rPr>
          <w:lang w:eastAsia="ja-JP"/>
        </w:rPr>
        <w:t>cabozantinib</w:t>
      </w:r>
      <w:proofErr w:type="spellEnd"/>
      <w:r>
        <w:rPr>
          <w:lang w:eastAsia="ja-JP"/>
        </w:rPr>
        <w:t xml:space="preserve"> arm and 5(1%) in the prednisone arm met </w:t>
      </w:r>
      <w:proofErr w:type="spellStart"/>
      <w:r>
        <w:rPr>
          <w:lang w:eastAsia="ja-JP"/>
        </w:rPr>
        <w:t>Hy’s</w:t>
      </w:r>
      <w:proofErr w:type="spellEnd"/>
      <w:r>
        <w:rPr>
          <w:lang w:eastAsia="ja-JP"/>
        </w:rPr>
        <w:t xml:space="preserve"> Law screening criteria 2 (concurrent ALT or AST &gt; 3x ULN, total bilirubin &gt; 2x ULN, and ALP &lt; or &gt; 2x ULN). These cases were confounded by liver metastases or hepatobiliary disease. There was one case in the </w:t>
      </w:r>
      <w:proofErr w:type="spellStart"/>
      <w:r>
        <w:rPr>
          <w:lang w:eastAsia="ja-JP"/>
        </w:rPr>
        <w:t>cabozantinib</w:t>
      </w:r>
      <w:proofErr w:type="spellEnd"/>
      <w:r>
        <w:rPr>
          <w:lang w:eastAsia="ja-JP"/>
        </w:rPr>
        <w:t xml:space="preserve"> arm where drug-induced liver injury could not be ruled out (Subject [information redacted]); this subject had a Grade 2 AE of ALT increased.</w:t>
      </w:r>
    </w:p>
    <w:p w:rsidR="00CD7E26" w:rsidRPr="00545B14" w:rsidRDefault="00CD7E26" w:rsidP="00CD7E26">
      <w:pPr>
        <w:pStyle w:val="Heading4"/>
        <w:numPr>
          <w:ilvl w:val="2"/>
          <w:numId w:val="29"/>
        </w:numPr>
      </w:pPr>
      <w:r>
        <w:t xml:space="preserve">Renal </w:t>
      </w:r>
      <w:r w:rsidRPr="00545B14">
        <w:t>function</w:t>
      </w:r>
      <w:bookmarkEnd w:id="464"/>
      <w:bookmarkEnd w:id="465"/>
      <w:bookmarkEnd w:id="466"/>
      <w:bookmarkEnd w:id="467"/>
      <w:r>
        <w:t xml:space="preserve"> and renal toxicity</w:t>
      </w:r>
      <w:bookmarkEnd w:id="468"/>
      <w:bookmarkEnd w:id="469"/>
    </w:p>
    <w:p w:rsidR="00CD7E26" w:rsidRPr="006F6759" w:rsidRDefault="00CD7E26" w:rsidP="006F6759">
      <w:pPr>
        <w:pStyle w:val="Heading5"/>
      </w:pPr>
      <w:r w:rsidRPr="006F6759">
        <w:t>Integrated safety analyses</w:t>
      </w:r>
    </w:p>
    <w:p w:rsidR="00CD7E26" w:rsidRDefault="00CD7E26" w:rsidP="00CD7E26">
      <w:pPr>
        <w:rPr>
          <w:lang w:eastAsia="ja-JP"/>
        </w:rPr>
      </w:pPr>
      <w:r>
        <w:rPr>
          <w:lang w:eastAsia="ja-JP"/>
        </w:rPr>
        <w:t>Not applicable</w:t>
      </w:r>
      <w:r w:rsidR="006F6759">
        <w:rPr>
          <w:lang w:eastAsia="ja-JP"/>
        </w:rPr>
        <w:t>.</w:t>
      </w:r>
    </w:p>
    <w:p w:rsidR="00CD7E26" w:rsidRPr="006F6759" w:rsidRDefault="00CD7E26" w:rsidP="006F6759">
      <w:pPr>
        <w:pStyle w:val="Heading5"/>
      </w:pPr>
      <w:r w:rsidRPr="006F6759">
        <w:lastRenderedPageBreak/>
        <w:t>Main/pivotal studies that assessed safety as the sole primary outcome</w:t>
      </w:r>
    </w:p>
    <w:p w:rsidR="00CD7E26" w:rsidRDefault="00CD7E26" w:rsidP="00CD7E26">
      <w:pPr>
        <w:rPr>
          <w:lang w:eastAsia="ja-JP"/>
        </w:rPr>
      </w:pPr>
      <w:r>
        <w:rPr>
          <w:lang w:eastAsia="ja-JP"/>
        </w:rPr>
        <w:t>Not applicable</w:t>
      </w:r>
      <w:r w:rsidR="006F6759">
        <w:rPr>
          <w:lang w:eastAsia="ja-JP"/>
        </w:rPr>
        <w:t>.</w:t>
      </w:r>
    </w:p>
    <w:p w:rsidR="00CD7E26" w:rsidRPr="00267B6C" w:rsidRDefault="00CD7E26" w:rsidP="00267B6C">
      <w:pPr>
        <w:pStyle w:val="Heading5"/>
      </w:pPr>
      <w:r w:rsidRPr="00267B6C">
        <w:t>Pivotal and/or main efficacy studies</w:t>
      </w:r>
    </w:p>
    <w:p w:rsidR="00CD7E26" w:rsidRPr="00267B6C" w:rsidRDefault="00CD7E26" w:rsidP="00267B6C">
      <w:pPr>
        <w:pStyle w:val="Tabletitle"/>
      </w:pPr>
      <w:bookmarkStart w:id="473" w:name="_Toc494205961"/>
      <w:r w:rsidRPr="00267B6C">
        <w:t xml:space="preserve">Table </w:t>
      </w:r>
      <w:r w:rsidR="00733A7E" w:rsidRPr="00267B6C">
        <w:t>5</w:t>
      </w:r>
      <w:r w:rsidR="00DB6CD6" w:rsidRPr="00267B6C">
        <w:t>2</w:t>
      </w:r>
      <w:r w:rsidRPr="00267B6C">
        <w:t>: Shift in Sponsor-Defined Grade from Baseline to Worst Grade for Urine Protein Creatinine Ration (UPCR) Study XL184-308</w:t>
      </w:r>
      <w:bookmarkEnd w:id="473"/>
    </w:p>
    <w:p w:rsidR="00CD7E26" w:rsidRDefault="00CD7E26" w:rsidP="00CD7E26">
      <w:pPr>
        <w:rPr>
          <w:lang w:eastAsia="ja-JP"/>
        </w:rPr>
      </w:pPr>
      <w:r w:rsidRPr="00A859C5">
        <w:rPr>
          <w:noProof/>
          <w:lang w:eastAsia="en-AU"/>
        </w:rPr>
        <w:drawing>
          <wp:inline distT="0" distB="0" distL="0" distR="0" wp14:anchorId="3DF54387" wp14:editId="052C794C">
            <wp:extent cx="5400675" cy="2276475"/>
            <wp:effectExtent l="0" t="0" r="9525" b="9525"/>
            <wp:docPr id="44" name="Picture 44" descr="Shift in Sponsor-Defined Grade from Baseline to Worst Grade for Urine Protein Creatinine Ration (UPCR) Study XL1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lum bright="-20000" contrast="40000"/>
                      <a:extLst>
                        <a:ext uri="{28A0092B-C50C-407E-A947-70E740481C1C}">
                          <a14:useLocalDpi xmlns:a14="http://schemas.microsoft.com/office/drawing/2010/main" val="0"/>
                        </a:ext>
                      </a:extLst>
                    </a:blip>
                    <a:srcRect/>
                    <a:stretch>
                      <a:fillRect/>
                    </a:stretch>
                  </pic:blipFill>
                  <pic:spPr bwMode="auto">
                    <a:xfrm>
                      <a:off x="0" y="0"/>
                      <a:ext cx="5400675" cy="2276475"/>
                    </a:xfrm>
                    <a:prstGeom prst="rect">
                      <a:avLst/>
                    </a:prstGeom>
                    <a:noFill/>
                    <a:ln>
                      <a:noFill/>
                    </a:ln>
                  </pic:spPr>
                </pic:pic>
              </a:graphicData>
            </a:graphic>
          </wp:inline>
        </w:drawing>
      </w:r>
    </w:p>
    <w:p w:rsidR="00CD7E26" w:rsidRDefault="00CD7E26" w:rsidP="00CD7E26">
      <w:pPr>
        <w:rPr>
          <w:lang w:eastAsia="ja-JP"/>
        </w:rPr>
      </w:pPr>
      <w:r>
        <w:rPr>
          <w:lang w:eastAsia="ja-JP"/>
        </w:rPr>
        <w:t xml:space="preserve">Renal function was monitored by evaluation of the </w:t>
      </w:r>
      <w:bookmarkStart w:id="474" w:name="_Hlk479934394"/>
      <w:r>
        <w:rPr>
          <w:lang w:eastAsia="ja-JP"/>
        </w:rPr>
        <w:t>urine protein creatinine ratio (UPCR)</w:t>
      </w:r>
      <w:bookmarkEnd w:id="474"/>
      <w:r>
        <w:rPr>
          <w:lang w:eastAsia="ja-JP"/>
        </w:rPr>
        <w:t xml:space="preserve">. Grade 3 (sponsor defined) abnormities occurred in 2.7% of subjects in the </w:t>
      </w:r>
      <w:proofErr w:type="spellStart"/>
      <w:r>
        <w:rPr>
          <w:lang w:eastAsia="ja-JP"/>
        </w:rPr>
        <w:t>cabozantinib</w:t>
      </w:r>
      <w:proofErr w:type="spellEnd"/>
      <w:r>
        <w:rPr>
          <w:lang w:eastAsia="ja-JP"/>
        </w:rPr>
        <w:t xml:space="preserve"> treatment arm and 2.2 % in the </w:t>
      </w:r>
      <w:proofErr w:type="spellStart"/>
      <w:r>
        <w:rPr>
          <w:lang w:eastAsia="ja-JP"/>
        </w:rPr>
        <w:t>everolimus</w:t>
      </w:r>
      <w:proofErr w:type="spellEnd"/>
      <w:r>
        <w:rPr>
          <w:lang w:eastAsia="ja-JP"/>
        </w:rPr>
        <w:t xml:space="preserve"> treatment arm.</w:t>
      </w:r>
    </w:p>
    <w:p w:rsidR="00CD7E26" w:rsidRPr="00166FC4" w:rsidRDefault="00CD7E26" w:rsidP="00166FC4">
      <w:pPr>
        <w:pStyle w:val="Heading5"/>
      </w:pPr>
      <w:r w:rsidRPr="00166FC4">
        <w:t>Other studies</w:t>
      </w:r>
    </w:p>
    <w:p w:rsidR="00CD7E26" w:rsidRPr="00EC3AE0" w:rsidRDefault="00CD7E26" w:rsidP="00CD7E26">
      <w:pPr>
        <w:pStyle w:val="Heading6"/>
      </w:pPr>
      <w:r w:rsidRPr="00EC3AE0">
        <w:t>Studies with evaluable safety data</w:t>
      </w:r>
      <w:r w:rsidR="00166FC4">
        <w:t>: dose finding and pharmacology</w:t>
      </w:r>
    </w:p>
    <w:p w:rsidR="00CD7E26" w:rsidRDefault="00CD7E26" w:rsidP="00CD7E26">
      <w:pPr>
        <w:rPr>
          <w:lang w:eastAsia="ja-JP"/>
        </w:rPr>
      </w:pPr>
      <w:r>
        <w:rPr>
          <w:lang w:eastAsia="ja-JP"/>
        </w:rPr>
        <w:t xml:space="preserve">Most UPCR values were Grade 0 or Grade 1 at Baseline, and remained at Grade 0 or normal at any </w:t>
      </w:r>
      <w:proofErr w:type="spellStart"/>
      <w:r>
        <w:rPr>
          <w:lang w:eastAsia="ja-JP"/>
        </w:rPr>
        <w:t>postbaseline</w:t>
      </w:r>
      <w:proofErr w:type="spellEnd"/>
      <w:r>
        <w:rPr>
          <w:lang w:eastAsia="ja-JP"/>
        </w:rPr>
        <w:t xml:space="preserve"> visit. There were no shifts to Grade 3 or Grade 4 in the DTC cohort, and one shift from Grade 2 to Grade 3 in the RCC cohort. Proteinuria, a VEGF-associated AE, was reported in 16 subjects (40.0%) overall: seven subjects (46.7%) with DTC and nine subjects (36.0%) with RCC. In three subjects (7.5%) these episodes of proteinuria were of ≥Grade 3 intensity: one subject (6.7%) with DTC and two (8.0%) with RCC.</w:t>
      </w:r>
    </w:p>
    <w:p w:rsidR="00CD7E26" w:rsidRDefault="00CD7E26" w:rsidP="00CD7E26">
      <w:pPr>
        <w:rPr>
          <w:lang w:eastAsia="ja-JP"/>
        </w:rPr>
      </w:pPr>
      <w:r>
        <w:rPr>
          <w:lang w:eastAsia="ja-JP"/>
        </w:rPr>
        <w:t>No episodes of proteinuria were considered to be serious. One episode of non-serious proteinuria in a subject with RCC (1141-1408) led to the permanent discontinuation of study treatment. Four subjects experienced dose modifications due to episodes of non-serious proteinuria.</w:t>
      </w:r>
    </w:p>
    <w:p w:rsidR="00CD7E26" w:rsidRDefault="00CD7E26" w:rsidP="00CD7E26">
      <w:pPr>
        <w:pStyle w:val="Heading6"/>
      </w:pPr>
      <w:r w:rsidRPr="00EC3AE0">
        <w:lastRenderedPageBreak/>
        <w:t>Studies evaluable for safety only</w:t>
      </w:r>
    </w:p>
    <w:p w:rsidR="00CD7E26" w:rsidRPr="00267B6C" w:rsidRDefault="00DB6CD6" w:rsidP="00267B6C">
      <w:pPr>
        <w:pStyle w:val="Tabletitle"/>
      </w:pPr>
      <w:bookmarkStart w:id="475" w:name="_Toc494205962"/>
      <w:bookmarkStart w:id="476" w:name="_Toc272414671"/>
      <w:bookmarkStart w:id="477" w:name="_Toc290888535"/>
      <w:bookmarkStart w:id="478" w:name="_Toc416353751"/>
      <w:bookmarkStart w:id="479" w:name="_Toc421005294"/>
      <w:bookmarkStart w:id="480" w:name="_Toc432079171"/>
      <w:bookmarkStart w:id="481" w:name="_Toc432080744"/>
      <w:r w:rsidRPr="00267B6C">
        <w:t>Table</w:t>
      </w:r>
      <w:r w:rsidR="00733A7E" w:rsidRPr="00267B6C">
        <w:t xml:space="preserve"> 5</w:t>
      </w:r>
      <w:r w:rsidRPr="00267B6C">
        <w:t>3</w:t>
      </w:r>
      <w:r w:rsidR="00CD7E26" w:rsidRPr="00267B6C">
        <w:t>: Worst Shift from Baseline in Sponsor-Defined Grade for Urine Protein-Creatinine Ration Study XL184-306</w:t>
      </w:r>
      <w:bookmarkEnd w:id="475"/>
    </w:p>
    <w:p w:rsidR="00733A7E" w:rsidRPr="00733A7E" w:rsidRDefault="00733A7E" w:rsidP="00733A7E">
      <w:r w:rsidRPr="00327D44">
        <w:rPr>
          <w:noProof/>
          <w:lang w:eastAsia="en-AU"/>
        </w:rPr>
        <w:drawing>
          <wp:inline distT="0" distB="0" distL="0" distR="0" wp14:anchorId="163617A0" wp14:editId="343525C0">
            <wp:extent cx="5619750" cy="1933575"/>
            <wp:effectExtent l="0" t="0" r="0" b="0"/>
            <wp:docPr id="115" name="Picture 115" descr="Table 53: Worst Shift from Baseline in Sponsor-Defined Grade for Urine Protein-Creatinine Ration Study XL1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a:lum bright="-20000" contrast="40000"/>
                      <a:extLst>
                        <a:ext uri="{28A0092B-C50C-407E-A947-70E740481C1C}">
                          <a14:useLocalDpi xmlns:a14="http://schemas.microsoft.com/office/drawing/2010/main" val="0"/>
                        </a:ext>
                      </a:extLst>
                    </a:blip>
                    <a:srcRect r="1993" b="3742"/>
                    <a:stretch/>
                  </pic:blipFill>
                  <pic:spPr bwMode="auto">
                    <a:xfrm>
                      <a:off x="0" y="0"/>
                      <a:ext cx="5617261" cy="1932718"/>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rPr>
          <w:lang w:eastAsia="ja-JP"/>
        </w:rPr>
      </w:pPr>
      <w:r>
        <w:rPr>
          <w:lang w:eastAsia="ja-JP"/>
        </w:rPr>
        <w:t xml:space="preserve">In Study XLL184-306, post-baseline UPCR abnormalities of any grade were reported for 40% of subjects in the </w:t>
      </w:r>
      <w:proofErr w:type="spellStart"/>
      <w:r>
        <w:rPr>
          <w:lang w:eastAsia="ja-JP"/>
        </w:rPr>
        <w:t>cabozantinib</w:t>
      </w:r>
      <w:proofErr w:type="spellEnd"/>
      <w:r>
        <w:rPr>
          <w:lang w:eastAsia="ja-JP"/>
        </w:rPr>
        <w:t xml:space="preserve"> arm and 42% of subjects in the </w:t>
      </w:r>
      <w:proofErr w:type="spellStart"/>
      <w:r>
        <w:rPr>
          <w:lang w:eastAsia="ja-JP"/>
        </w:rPr>
        <w:t>mitoxantrone</w:t>
      </w:r>
      <w:proofErr w:type="spellEnd"/>
      <w:r>
        <w:rPr>
          <w:lang w:eastAsia="ja-JP"/>
        </w:rPr>
        <w:t xml:space="preserve"> plus prednisone arm’</w:t>
      </w:r>
    </w:p>
    <w:p w:rsidR="00CD7E26" w:rsidRDefault="00CD7E26" w:rsidP="00DB6CD6">
      <w:pPr>
        <w:pStyle w:val="Tabletitle"/>
      </w:pPr>
      <w:bookmarkStart w:id="482" w:name="_Toc494205963"/>
      <w:r>
        <w:t>Table</w:t>
      </w:r>
      <w:r w:rsidR="00DB6CD6">
        <w:t xml:space="preserve"> 54</w:t>
      </w:r>
      <w:r>
        <w:t>: Worsening</w:t>
      </w:r>
      <w:r w:rsidRPr="00C04A2D">
        <w:t xml:space="preserve"> from Baseline of</w:t>
      </w:r>
      <w:r>
        <w:t xml:space="preserve"> Sponsor-Defined Grades for Urine Protein-Creatinine Ratio Study XL184-307</w:t>
      </w:r>
      <w:bookmarkEnd w:id="482"/>
    </w:p>
    <w:p w:rsidR="00CD7E26" w:rsidRDefault="00CD7E26" w:rsidP="00CD7E26">
      <w:pPr>
        <w:rPr>
          <w:lang w:eastAsia="ja-JP"/>
        </w:rPr>
      </w:pPr>
      <w:r w:rsidRPr="00327D44">
        <w:rPr>
          <w:noProof/>
          <w:lang w:eastAsia="en-AU"/>
        </w:rPr>
        <w:drawing>
          <wp:inline distT="0" distB="0" distL="0" distR="0" wp14:anchorId="75F5FB4E" wp14:editId="78B6E741">
            <wp:extent cx="5362575" cy="1571625"/>
            <wp:effectExtent l="0" t="0" r="9525" b="9525"/>
            <wp:docPr id="132" name="Picture 132" descr="Worst Shift from Baseline in Sponsor-Defined Grade for Urine Protein-Creatinine Ration Study XL18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a:lum bright="-20000" contrast="40000"/>
                      <a:extLst>
                        <a:ext uri="{28A0092B-C50C-407E-A947-70E740481C1C}">
                          <a14:useLocalDpi xmlns:a14="http://schemas.microsoft.com/office/drawing/2010/main" val="0"/>
                        </a:ext>
                      </a:extLst>
                    </a:blip>
                    <a:srcRect b="2854"/>
                    <a:stretch/>
                  </pic:blipFill>
                  <pic:spPr bwMode="auto">
                    <a:xfrm>
                      <a:off x="0" y="0"/>
                      <a:ext cx="5363210" cy="1571811"/>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rPr>
          <w:lang w:eastAsia="ja-JP"/>
        </w:rPr>
      </w:pPr>
      <w:r>
        <w:rPr>
          <w:lang w:eastAsia="ja-JP"/>
        </w:rPr>
        <w:t xml:space="preserve">In Study XL184-307, post-baseline Grade 3 UPCR abnormalities were recorded for 9/681 (1.3%) subjects in the </w:t>
      </w:r>
      <w:proofErr w:type="spellStart"/>
      <w:r>
        <w:rPr>
          <w:lang w:eastAsia="ja-JP"/>
        </w:rPr>
        <w:t>cabozantinib</w:t>
      </w:r>
      <w:proofErr w:type="spellEnd"/>
      <w:r>
        <w:rPr>
          <w:lang w:eastAsia="ja-JP"/>
        </w:rPr>
        <w:t xml:space="preserve"> arm and 4/342 (1.2%) subjects in the prednisone arm.</w:t>
      </w:r>
    </w:p>
    <w:p w:rsidR="00CD7E26" w:rsidRDefault="00CD7E26" w:rsidP="00CD7E26">
      <w:pPr>
        <w:pStyle w:val="Heading4"/>
        <w:numPr>
          <w:ilvl w:val="2"/>
          <w:numId w:val="29"/>
        </w:numPr>
      </w:pPr>
      <w:r w:rsidRPr="00545B14">
        <w:t>Other clinical chemistry</w:t>
      </w:r>
      <w:bookmarkEnd w:id="476"/>
      <w:bookmarkEnd w:id="477"/>
      <w:bookmarkEnd w:id="478"/>
      <w:bookmarkEnd w:id="479"/>
      <w:bookmarkEnd w:id="480"/>
      <w:bookmarkEnd w:id="481"/>
    </w:p>
    <w:p w:rsidR="00CD7E26" w:rsidRPr="00166FC4" w:rsidRDefault="00CD7E26" w:rsidP="00166FC4">
      <w:pPr>
        <w:pStyle w:val="Heading5"/>
      </w:pPr>
      <w:r w:rsidRPr="00166FC4">
        <w:t>Integrated safety analyses</w:t>
      </w:r>
    </w:p>
    <w:p w:rsidR="00CD7E26" w:rsidRDefault="00CD7E26" w:rsidP="00CD7E26">
      <w:pPr>
        <w:rPr>
          <w:lang w:eastAsia="ja-JP"/>
        </w:rPr>
      </w:pPr>
      <w:r>
        <w:rPr>
          <w:lang w:eastAsia="ja-JP"/>
        </w:rPr>
        <w:t>Not applicable</w:t>
      </w:r>
      <w:r w:rsidR="00166FC4">
        <w:rPr>
          <w:lang w:eastAsia="ja-JP"/>
        </w:rPr>
        <w:t>.</w:t>
      </w:r>
    </w:p>
    <w:p w:rsidR="00CD7E26" w:rsidRPr="00166FC4" w:rsidRDefault="00CD7E26" w:rsidP="00166FC4">
      <w:pPr>
        <w:pStyle w:val="Heading5"/>
      </w:pPr>
      <w:r w:rsidRPr="00166FC4">
        <w:t>Main/pivotal studies that assessed safety as the sole primary outcome</w:t>
      </w:r>
    </w:p>
    <w:p w:rsidR="00CD7E26" w:rsidRDefault="00CD7E26" w:rsidP="00CD7E26">
      <w:pPr>
        <w:rPr>
          <w:lang w:eastAsia="ja-JP"/>
        </w:rPr>
      </w:pPr>
      <w:r>
        <w:rPr>
          <w:lang w:eastAsia="ja-JP"/>
        </w:rPr>
        <w:t>Not applicable</w:t>
      </w:r>
      <w:r w:rsidR="00166FC4">
        <w:rPr>
          <w:lang w:eastAsia="ja-JP"/>
        </w:rPr>
        <w:t>.</w:t>
      </w:r>
    </w:p>
    <w:p w:rsidR="00CD7E26" w:rsidRPr="00166FC4" w:rsidRDefault="00CD7E26" w:rsidP="00166FC4">
      <w:pPr>
        <w:pStyle w:val="Heading5"/>
      </w:pPr>
      <w:r w:rsidRPr="00166FC4">
        <w:t>Pivotal and/or main efficacy studies</w:t>
      </w:r>
    </w:p>
    <w:p w:rsidR="00CD7E26" w:rsidRDefault="00166FC4" w:rsidP="00CD7E26">
      <w:pPr>
        <w:pStyle w:val="Heading6"/>
        <w:rPr>
          <w:lang w:eastAsia="ja-JP"/>
        </w:rPr>
      </w:pPr>
      <w:r>
        <w:rPr>
          <w:lang w:eastAsia="ja-JP"/>
        </w:rPr>
        <w:t>Thyroid Function Tests</w:t>
      </w:r>
    </w:p>
    <w:p w:rsidR="00CD7E26" w:rsidRDefault="00CD7E26" w:rsidP="00CD7E26">
      <w:pPr>
        <w:rPr>
          <w:lang w:eastAsia="ja-JP"/>
        </w:rPr>
      </w:pPr>
      <w:r w:rsidRPr="00B374EA">
        <w:rPr>
          <w:lang w:eastAsia="ja-JP"/>
        </w:rPr>
        <w:t xml:space="preserve">At baseline, 225 subjects (68%) in the </w:t>
      </w:r>
      <w:proofErr w:type="spellStart"/>
      <w:r w:rsidRPr="00B374EA">
        <w:rPr>
          <w:lang w:eastAsia="ja-JP"/>
        </w:rPr>
        <w:t>cabozantinib</w:t>
      </w:r>
      <w:proofErr w:type="spellEnd"/>
      <w:r w:rsidRPr="00B374EA">
        <w:rPr>
          <w:lang w:eastAsia="ja-JP"/>
        </w:rPr>
        <w:t xml:space="preserve"> arm and 216 (67%) in the </w:t>
      </w:r>
      <w:proofErr w:type="spellStart"/>
      <w:r w:rsidRPr="00B374EA">
        <w:rPr>
          <w:lang w:eastAsia="ja-JP"/>
        </w:rPr>
        <w:t>everolimus</w:t>
      </w:r>
      <w:proofErr w:type="spellEnd"/>
      <w:r w:rsidRPr="00B374EA">
        <w:rPr>
          <w:lang w:eastAsia="ja-JP"/>
        </w:rPr>
        <w:t xml:space="preserve"> arm</w:t>
      </w:r>
      <w:r>
        <w:rPr>
          <w:lang w:eastAsia="ja-JP"/>
        </w:rPr>
        <w:t xml:space="preserve"> </w:t>
      </w:r>
      <w:r w:rsidRPr="00B374EA">
        <w:rPr>
          <w:lang w:eastAsia="ja-JP"/>
        </w:rPr>
        <w:t>had normal TSH and FT4 levels. Of these subjects, 64% (143/225) of subjects in the</w:t>
      </w:r>
      <w:r>
        <w:rPr>
          <w:lang w:eastAsia="ja-JP"/>
        </w:rPr>
        <w:t xml:space="preserve"> </w:t>
      </w:r>
      <w:proofErr w:type="spellStart"/>
      <w:r w:rsidRPr="00B374EA">
        <w:rPr>
          <w:lang w:eastAsia="ja-JP"/>
        </w:rPr>
        <w:t>cabozantinib</w:t>
      </w:r>
      <w:proofErr w:type="spellEnd"/>
      <w:r w:rsidRPr="00B374EA">
        <w:rPr>
          <w:lang w:eastAsia="ja-JP"/>
        </w:rPr>
        <w:t xml:space="preserve"> arm and 8% (17/216) in the </w:t>
      </w:r>
      <w:proofErr w:type="spellStart"/>
      <w:r w:rsidRPr="00B374EA">
        <w:rPr>
          <w:lang w:eastAsia="ja-JP"/>
        </w:rPr>
        <w:t>everolimus</w:t>
      </w:r>
      <w:proofErr w:type="spellEnd"/>
      <w:r w:rsidRPr="00B374EA">
        <w:rPr>
          <w:lang w:eastAsia="ja-JP"/>
        </w:rPr>
        <w:t xml:space="preserve"> arm had post-baseline increased TSH </w:t>
      </w:r>
      <w:r>
        <w:rPr>
          <w:lang w:eastAsia="ja-JP"/>
        </w:rPr>
        <w:t xml:space="preserve">with </w:t>
      </w:r>
      <w:r w:rsidRPr="00B374EA">
        <w:rPr>
          <w:lang w:eastAsia="ja-JP"/>
        </w:rPr>
        <w:t xml:space="preserve">normal FT4. A further 8% (17/225) of subjects in the </w:t>
      </w:r>
      <w:proofErr w:type="spellStart"/>
      <w:r w:rsidRPr="00B374EA">
        <w:rPr>
          <w:lang w:eastAsia="ja-JP"/>
        </w:rPr>
        <w:t>cabozantinib</w:t>
      </w:r>
      <w:proofErr w:type="spellEnd"/>
      <w:r w:rsidRPr="00B374EA">
        <w:rPr>
          <w:lang w:eastAsia="ja-JP"/>
        </w:rPr>
        <w:t xml:space="preserve"> arm and 0.5% (1/216) in the</w:t>
      </w:r>
      <w:r>
        <w:rPr>
          <w:lang w:eastAsia="ja-JP"/>
        </w:rPr>
        <w:t xml:space="preserve"> </w:t>
      </w:r>
      <w:proofErr w:type="spellStart"/>
      <w:r w:rsidRPr="00B374EA">
        <w:rPr>
          <w:lang w:eastAsia="ja-JP"/>
        </w:rPr>
        <w:t>everolimus</w:t>
      </w:r>
      <w:proofErr w:type="spellEnd"/>
      <w:r w:rsidRPr="00B374EA">
        <w:rPr>
          <w:lang w:eastAsia="ja-JP"/>
        </w:rPr>
        <w:t xml:space="preserve"> had post-baseline increased TSH with FT4 decreased. As the effect of concomitant</w:t>
      </w:r>
      <w:r>
        <w:rPr>
          <w:lang w:eastAsia="ja-JP"/>
        </w:rPr>
        <w:t xml:space="preserve"> </w:t>
      </w:r>
      <w:r w:rsidRPr="00B374EA">
        <w:rPr>
          <w:lang w:eastAsia="ja-JP"/>
        </w:rPr>
        <w:t>thyroid hormone replacement therapy has not been evaluated, AE reporting may be more</w:t>
      </w:r>
      <w:r>
        <w:rPr>
          <w:lang w:eastAsia="ja-JP"/>
        </w:rPr>
        <w:t xml:space="preserve"> </w:t>
      </w:r>
      <w:r w:rsidRPr="00B374EA">
        <w:rPr>
          <w:lang w:eastAsia="ja-JP"/>
        </w:rPr>
        <w:t>reflective of the incidence of hypothyroidism.</w:t>
      </w:r>
    </w:p>
    <w:p w:rsidR="00CD7E26" w:rsidRDefault="00CD7E26" w:rsidP="00CD7E26">
      <w:pPr>
        <w:pStyle w:val="Tabletitle"/>
        <w:rPr>
          <w:lang w:eastAsia="ja-JP"/>
        </w:rPr>
      </w:pPr>
      <w:r>
        <w:rPr>
          <w:lang w:eastAsia="ja-JP"/>
        </w:rPr>
        <w:lastRenderedPageBreak/>
        <w:t>Table</w:t>
      </w:r>
      <w:r w:rsidR="00DB6CD6">
        <w:rPr>
          <w:lang w:eastAsia="ja-JP"/>
        </w:rPr>
        <w:t xml:space="preserve"> 55</w:t>
      </w:r>
      <w:r>
        <w:rPr>
          <w:lang w:eastAsia="ja-JP"/>
        </w:rPr>
        <w:t>: Thyroid hormone levels</w:t>
      </w:r>
    </w:p>
    <w:p w:rsidR="00CD7E26" w:rsidRPr="00B374EA" w:rsidRDefault="00CD7E26" w:rsidP="00CD7E26">
      <w:pPr>
        <w:rPr>
          <w:lang w:eastAsia="ja-JP"/>
        </w:rPr>
      </w:pPr>
      <w:r w:rsidRPr="00B374EA">
        <w:rPr>
          <w:noProof/>
          <w:lang w:eastAsia="en-AU"/>
        </w:rPr>
        <w:drawing>
          <wp:inline distT="0" distB="0" distL="0" distR="0" wp14:anchorId="1BD2957D" wp14:editId="78BD8D09">
            <wp:extent cx="5476875" cy="2905125"/>
            <wp:effectExtent l="0" t="0" r="9525" b="9525"/>
            <wp:docPr id="45" name="Picture 45" descr="Table 55: Thyroid hormon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1">
                      <a:lum bright="-20000" contrast="40000"/>
                      <a:extLst>
                        <a:ext uri="{28A0092B-C50C-407E-A947-70E740481C1C}">
                          <a14:useLocalDpi xmlns:a14="http://schemas.microsoft.com/office/drawing/2010/main" val="0"/>
                        </a:ext>
                      </a:extLst>
                    </a:blip>
                    <a:srcRect b="1592"/>
                    <a:stretch/>
                  </pic:blipFill>
                  <pic:spPr bwMode="auto">
                    <a:xfrm>
                      <a:off x="0" y="0"/>
                      <a:ext cx="5476875" cy="2905125"/>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Pr="00166FC4" w:rsidRDefault="00CD7E26" w:rsidP="00166FC4">
      <w:pPr>
        <w:pStyle w:val="Heading5"/>
      </w:pPr>
      <w:r w:rsidRPr="00166FC4">
        <w:t>Other studies</w:t>
      </w:r>
    </w:p>
    <w:p w:rsidR="00CD7E26" w:rsidRDefault="00CD7E26" w:rsidP="00CD7E26">
      <w:pPr>
        <w:pStyle w:val="Heading6"/>
      </w:pPr>
      <w:r w:rsidRPr="00EC3AE0">
        <w:t>Studies with evaluable safety data: dose finding and pharmacology</w:t>
      </w:r>
    </w:p>
    <w:p w:rsidR="00CD7E26" w:rsidRPr="00275522" w:rsidRDefault="00CD7E26" w:rsidP="00CD7E26">
      <w:r>
        <w:t>No abnormalities reported</w:t>
      </w:r>
      <w:r w:rsidR="00166FC4">
        <w:t>.</w:t>
      </w:r>
    </w:p>
    <w:p w:rsidR="00CD7E26" w:rsidRDefault="00CD7E26" w:rsidP="00CD7E26">
      <w:pPr>
        <w:pStyle w:val="Heading6"/>
      </w:pPr>
      <w:r w:rsidRPr="00EC3AE0">
        <w:t>Studies evaluable for safety only</w:t>
      </w:r>
    </w:p>
    <w:p w:rsidR="00CD7E26" w:rsidRDefault="00CD7E26" w:rsidP="00CD7E26">
      <w:pPr>
        <w:rPr>
          <w:lang w:eastAsia="ja-JP"/>
        </w:rPr>
      </w:pPr>
      <w:bookmarkStart w:id="483" w:name="_Toc272414672"/>
      <w:bookmarkStart w:id="484" w:name="_Toc290888536"/>
      <w:bookmarkStart w:id="485" w:name="_Toc416353752"/>
      <w:bookmarkStart w:id="486" w:name="_Toc421005295"/>
      <w:bookmarkStart w:id="487" w:name="_Toc432079172"/>
      <w:bookmarkStart w:id="488" w:name="_Toc432080745"/>
      <w:r w:rsidRPr="00275522">
        <w:rPr>
          <w:lang w:eastAsia="ja-JP"/>
        </w:rPr>
        <w:t xml:space="preserve">In Study XL184-306 maximum post-baseline TSH levels were reported as high for 30 of 60 (50%) subjects in the </w:t>
      </w:r>
      <w:proofErr w:type="spellStart"/>
      <w:r w:rsidRPr="00275522">
        <w:rPr>
          <w:lang w:eastAsia="ja-JP"/>
        </w:rPr>
        <w:t>cabozantinib</w:t>
      </w:r>
      <w:proofErr w:type="spellEnd"/>
      <w:r w:rsidRPr="00275522">
        <w:rPr>
          <w:lang w:eastAsia="ja-JP"/>
        </w:rPr>
        <w:t xml:space="preserve"> arm and 4 of 57 (7.0%) subjects in the </w:t>
      </w:r>
      <w:proofErr w:type="spellStart"/>
      <w:r w:rsidRPr="00275522">
        <w:rPr>
          <w:lang w:eastAsia="ja-JP"/>
        </w:rPr>
        <w:t>mitoxantrone</w:t>
      </w:r>
      <w:proofErr w:type="spellEnd"/>
      <w:r w:rsidRPr="00275522">
        <w:rPr>
          <w:lang w:eastAsia="ja-JP"/>
        </w:rPr>
        <w:t xml:space="preserve"> plus prednisone arm.</w:t>
      </w:r>
    </w:p>
    <w:p w:rsidR="00CD7E26" w:rsidRPr="00275522" w:rsidRDefault="00CD7E26" w:rsidP="00CD7E26">
      <w:r>
        <w:rPr>
          <w:lang w:val="en-NZ"/>
        </w:rPr>
        <w:t xml:space="preserve">In Study XL184-307 a total of 300/681 (44%) subjects in the </w:t>
      </w:r>
      <w:proofErr w:type="spellStart"/>
      <w:r>
        <w:rPr>
          <w:lang w:val="en-NZ"/>
        </w:rPr>
        <w:t>cabozantinib</w:t>
      </w:r>
      <w:proofErr w:type="spellEnd"/>
      <w:r>
        <w:rPr>
          <w:lang w:val="en-NZ"/>
        </w:rPr>
        <w:t xml:space="preserve"> arm had a high TSH after first dose </w:t>
      </w:r>
      <w:r w:rsidRPr="00275522">
        <w:t>compared with 11/342 (3%) in the prednisone arm</w:t>
      </w:r>
    </w:p>
    <w:p w:rsidR="00CD7E26" w:rsidRPr="00545B14" w:rsidRDefault="00CD7E26" w:rsidP="00CD7E26">
      <w:pPr>
        <w:pStyle w:val="Heading4"/>
        <w:numPr>
          <w:ilvl w:val="2"/>
          <w:numId w:val="29"/>
        </w:numPr>
      </w:pPr>
      <w:r w:rsidRPr="00545B14">
        <w:t>Haematology</w:t>
      </w:r>
      <w:bookmarkEnd w:id="483"/>
      <w:bookmarkEnd w:id="484"/>
      <w:bookmarkEnd w:id="485"/>
      <w:bookmarkEnd w:id="486"/>
      <w:r>
        <w:t xml:space="preserve"> and haematological toxicity</w:t>
      </w:r>
      <w:bookmarkEnd w:id="487"/>
      <w:bookmarkEnd w:id="488"/>
    </w:p>
    <w:p w:rsidR="00CD7E26" w:rsidRPr="00166FC4" w:rsidRDefault="00CD7E26" w:rsidP="00166FC4">
      <w:pPr>
        <w:pStyle w:val="Heading5"/>
      </w:pPr>
      <w:r w:rsidRPr="00166FC4">
        <w:t>Integrated safety analyses</w:t>
      </w:r>
    </w:p>
    <w:p w:rsidR="00CD7E26" w:rsidRDefault="00CD7E26" w:rsidP="00CD7E26">
      <w:pPr>
        <w:rPr>
          <w:lang w:eastAsia="ja-JP"/>
        </w:rPr>
      </w:pPr>
      <w:r>
        <w:rPr>
          <w:lang w:eastAsia="ja-JP"/>
        </w:rPr>
        <w:t>Not applicable</w:t>
      </w:r>
      <w:r w:rsidR="00166FC4">
        <w:rPr>
          <w:lang w:eastAsia="ja-JP"/>
        </w:rPr>
        <w:t>.</w:t>
      </w:r>
    </w:p>
    <w:p w:rsidR="00CD7E26" w:rsidRPr="00166FC4" w:rsidRDefault="00CD7E26" w:rsidP="00166FC4">
      <w:pPr>
        <w:pStyle w:val="Heading5"/>
      </w:pPr>
      <w:r w:rsidRPr="00166FC4">
        <w:t>Main/pivotal studies that assessed safety as the sole primary outcome</w:t>
      </w:r>
    </w:p>
    <w:p w:rsidR="00CD7E26" w:rsidRDefault="00CD7E26" w:rsidP="00CD7E26">
      <w:pPr>
        <w:rPr>
          <w:lang w:eastAsia="ja-JP"/>
        </w:rPr>
      </w:pPr>
      <w:r>
        <w:rPr>
          <w:lang w:eastAsia="ja-JP"/>
        </w:rPr>
        <w:t>Not applicable</w:t>
      </w:r>
      <w:r w:rsidR="00166FC4">
        <w:rPr>
          <w:lang w:eastAsia="ja-JP"/>
        </w:rPr>
        <w:t>.</w:t>
      </w:r>
    </w:p>
    <w:p w:rsidR="00CD7E26" w:rsidRPr="00166FC4" w:rsidRDefault="00CD7E26" w:rsidP="00166FC4">
      <w:pPr>
        <w:pStyle w:val="Heading5"/>
      </w:pPr>
      <w:r w:rsidRPr="00166FC4">
        <w:t>Pivotal and/or main efficacy studies</w:t>
      </w:r>
    </w:p>
    <w:p w:rsidR="00CD7E26" w:rsidRDefault="00CD7E26" w:rsidP="00CD7E26">
      <w:pPr>
        <w:rPr>
          <w:lang w:eastAsia="ja-JP"/>
        </w:rPr>
      </w:pPr>
      <w:r>
        <w:rPr>
          <w:lang w:eastAsia="ja-JP"/>
        </w:rPr>
        <w:t>There were no h</w:t>
      </w:r>
      <w:r w:rsidR="00166FC4">
        <w:rPr>
          <w:lang w:eastAsia="ja-JP"/>
        </w:rPr>
        <w:t>aematology abnormalities with ≥.</w:t>
      </w:r>
      <w:r>
        <w:rPr>
          <w:lang w:eastAsia="ja-JP"/>
        </w:rPr>
        <w:t xml:space="preserve">40% incidence in the </w:t>
      </w:r>
      <w:proofErr w:type="spellStart"/>
      <w:r>
        <w:rPr>
          <w:lang w:eastAsia="ja-JP"/>
        </w:rPr>
        <w:t>cabozantinib</w:t>
      </w:r>
      <w:proofErr w:type="spellEnd"/>
      <w:r>
        <w:rPr>
          <w:lang w:eastAsia="ja-JP"/>
        </w:rPr>
        <w:t xml:space="preserve"> arm. </w:t>
      </w:r>
    </w:p>
    <w:p w:rsidR="00CD7E26" w:rsidRDefault="00CD7E26" w:rsidP="00CD7E26">
      <w:pPr>
        <w:rPr>
          <w:lang w:eastAsia="ja-JP"/>
        </w:rPr>
      </w:pPr>
      <w:r>
        <w:rPr>
          <w:lang w:eastAsia="ja-JP"/>
        </w:rPr>
        <w:t xml:space="preserve">In the </w:t>
      </w:r>
      <w:proofErr w:type="spellStart"/>
      <w:r>
        <w:rPr>
          <w:lang w:eastAsia="ja-JP"/>
        </w:rPr>
        <w:t>everolimus</w:t>
      </w:r>
      <w:proofErr w:type="spellEnd"/>
      <w:r>
        <w:rPr>
          <w:lang w:eastAsia="ja-JP"/>
        </w:rPr>
        <w:t xml:space="preserve"> arm, the most freq</w:t>
      </w:r>
      <w:r w:rsidR="00166FC4">
        <w:rPr>
          <w:lang w:eastAsia="ja-JP"/>
        </w:rPr>
        <w:t>uent haematology abnormality (≥.</w:t>
      </w:r>
      <w:r>
        <w:rPr>
          <w:lang w:eastAsia="ja-JP"/>
        </w:rPr>
        <w:t>40% incidence) was haemoglobin decreased (71%).</w:t>
      </w:r>
    </w:p>
    <w:p w:rsidR="00CD7E26" w:rsidRDefault="00CD7E26" w:rsidP="00CD7E26">
      <w:r>
        <w:rPr>
          <w:lang w:eastAsia="ja-JP"/>
        </w:rPr>
        <w:t xml:space="preserve">Most haematology abnormalities were Grade 1 or 2 </w:t>
      </w:r>
      <w:proofErr w:type="gramStart"/>
      <w:r>
        <w:rPr>
          <w:lang w:eastAsia="ja-JP"/>
        </w:rPr>
        <w:t>severity</w:t>
      </w:r>
      <w:proofErr w:type="gramEnd"/>
      <w:r>
        <w:rPr>
          <w:lang w:eastAsia="ja-JP"/>
        </w:rPr>
        <w:t xml:space="preserve"> in both treatment arms. H</w:t>
      </w:r>
      <w:r w:rsidR="00166FC4">
        <w:rPr>
          <w:lang w:eastAsia="ja-JP"/>
        </w:rPr>
        <w:t>aematology abnormalities with ≥.Grade 3 severity reported for ≥.</w:t>
      </w:r>
      <w:r>
        <w:rPr>
          <w:lang w:eastAsia="ja-JP"/>
        </w:rPr>
        <w:t xml:space="preserve">5% of subjects were lymphocytes decreased in the </w:t>
      </w:r>
      <w:proofErr w:type="spellStart"/>
      <w:r>
        <w:rPr>
          <w:lang w:eastAsia="ja-JP"/>
        </w:rPr>
        <w:t>cabozantinib</w:t>
      </w:r>
      <w:proofErr w:type="spellEnd"/>
      <w:r>
        <w:rPr>
          <w:lang w:eastAsia="ja-JP"/>
        </w:rPr>
        <w:t xml:space="preserve"> arm and haemoglobin decreased and lymphocytes decreased in the </w:t>
      </w:r>
      <w:proofErr w:type="spellStart"/>
      <w:r>
        <w:rPr>
          <w:lang w:eastAsia="ja-JP"/>
        </w:rPr>
        <w:t>everolimus</w:t>
      </w:r>
      <w:proofErr w:type="spellEnd"/>
      <w:r>
        <w:rPr>
          <w:lang w:eastAsia="ja-JP"/>
        </w:rPr>
        <w:t xml:space="preserve"> arm</w:t>
      </w:r>
      <w:r w:rsidR="00DB6CD6">
        <w:rPr>
          <w:lang w:eastAsia="ja-JP"/>
        </w:rPr>
        <w:t xml:space="preserve"> Table 5</w:t>
      </w:r>
      <w:r w:rsidR="009B56F4">
        <w:rPr>
          <w:lang w:eastAsia="ja-JP"/>
        </w:rPr>
        <w:t>6</w:t>
      </w:r>
      <w:r>
        <w:rPr>
          <w:lang w:eastAsia="ja-JP"/>
        </w:rPr>
        <w:t>.</w:t>
      </w:r>
    </w:p>
    <w:p w:rsidR="00CD7E26" w:rsidRDefault="00CD7E26" w:rsidP="00DB6CD6">
      <w:pPr>
        <w:pStyle w:val="Tabletitle"/>
      </w:pPr>
      <w:bookmarkStart w:id="489" w:name="_Ref479942417"/>
      <w:bookmarkStart w:id="490" w:name="_Toc494205964"/>
      <w:r>
        <w:lastRenderedPageBreak/>
        <w:t xml:space="preserve">Table </w:t>
      </w:r>
      <w:r w:rsidR="00DB6CD6">
        <w:t>5</w:t>
      </w:r>
      <w:bookmarkEnd w:id="489"/>
      <w:r w:rsidR="009B56F4">
        <w:t>6</w:t>
      </w:r>
      <w:r>
        <w:t xml:space="preserve">: </w:t>
      </w:r>
      <w:r w:rsidRPr="00E95518">
        <w:t>Subject Incidence of Selected H</w:t>
      </w:r>
      <w:r>
        <w:t>a</w:t>
      </w:r>
      <w:r w:rsidRPr="00E95518">
        <w:t>ematology Abnormalities by CTCAE Grade</w:t>
      </w:r>
      <w:bookmarkEnd w:id="490"/>
    </w:p>
    <w:p w:rsidR="00CD7E26" w:rsidRDefault="00CD7E26" w:rsidP="00CD7E26">
      <w:r w:rsidRPr="00B374EA">
        <w:rPr>
          <w:noProof/>
          <w:lang w:eastAsia="en-AU"/>
        </w:rPr>
        <w:drawing>
          <wp:inline distT="0" distB="0" distL="0" distR="0" wp14:anchorId="1AD88E0E" wp14:editId="00CE6543">
            <wp:extent cx="5437505" cy="3343275"/>
            <wp:effectExtent l="0" t="0" r="0" b="9525"/>
            <wp:docPr id="49" name="Picture 49" descr="Subject Incidence of Selected Haematology Abnormalities by CTCAE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2">
                      <a:lum bright="-20000" contrast="40000"/>
                      <a:extLst>
                        <a:ext uri="{28A0092B-C50C-407E-A947-70E740481C1C}">
                          <a14:useLocalDpi xmlns:a14="http://schemas.microsoft.com/office/drawing/2010/main" val="0"/>
                        </a:ext>
                      </a:extLst>
                    </a:blip>
                    <a:srcRect t="1" b="1404"/>
                    <a:stretch/>
                  </pic:blipFill>
                  <pic:spPr bwMode="auto">
                    <a:xfrm>
                      <a:off x="0" y="0"/>
                      <a:ext cx="5437505"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r>
        <w:t>Haematology parameters that most frequently (</w:t>
      </w:r>
      <w:r w:rsidR="00166FC4">
        <w:rPr>
          <w:lang w:eastAsia="ja-JP"/>
        </w:rPr>
        <w:t>≥.</w:t>
      </w:r>
      <w:r>
        <w:t xml:space="preserve">5%) showed a shift from &lt; Grade 3 at baseline to </w:t>
      </w:r>
      <w:r w:rsidR="00166FC4">
        <w:rPr>
          <w:lang w:eastAsia="ja-JP"/>
        </w:rPr>
        <w:t>≥.</w:t>
      </w:r>
      <w:r>
        <w:t xml:space="preserve">Grade 3 post-baseline were haemoglobin decreased (14/331 [4.2%] </w:t>
      </w:r>
      <w:proofErr w:type="spellStart"/>
      <w:r>
        <w:t>cabozantinib</w:t>
      </w:r>
      <w:proofErr w:type="spellEnd"/>
      <w:r>
        <w:t xml:space="preserve">, 54/322 [17%] </w:t>
      </w:r>
      <w:proofErr w:type="spellStart"/>
      <w:r>
        <w:t>everolimus</w:t>
      </w:r>
      <w:proofErr w:type="spellEnd"/>
      <w:r>
        <w:t xml:space="preserve">) and lymphocytes decreased (23/331 [6.9%] </w:t>
      </w:r>
      <w:proofErr w:type="spellStart"/>
      <w:r>
        <w:t>cabozantinib</w:t>
      </w:r>
      <w:proofErr w:type="spellEnd"/>
      <w:r>
        <w:t xml:space="preserve">, 38/322 [12%] </w:t>
      </w:r>
      <w:proofErr w:type="spellStart"/>
      <w:r>
        <w:t>everolimus</w:t>
      </w:r>
      <w:proofErr w:type="spellEnd"/>
      <w:r>
        <w:t xml:space="preserve">) </w:t>
      </w:r>
      <w:r w:rsidR="00DB6CD6">
        <w:t>Table 5</w:t>
      </w:r>
      <w:r w:rsidR="009B56F4">
        <w:t>7</w:t>
      </w:r>
      <w:r>
        <w:t>.</w:t>
      </w:r>
    </w:p>
    <w:p w:rsidR="00CD7E26" w:rsidRDefault="00CD7E26" w:rsidP="00DB6CD6">
      <w:pPr>
        <w:pStyle w:val="Tabletitle"/>
      </w:pPr>
      <w:bookmarkStart w:id="491" w:name="_Ref479942502"/>
      <w:bookmarkStart w:id="492" w:name="_Toc494205965"/>
      <w:r>
        <w:lastRenderedPageBreak/>
        <w:t xml:space="preserve">Table </w:t>
      </w:r>
      <w:r w:rsidR="00DB6CD6">
        <w:t>5</w:t>
      </w:r>
      <w:bookmarkEnd w:id="491"/>
      <w:r w:rsidR="009B56F4">
        <w:t>7</w:t>
      </w:r>
      <w:r>
        <w:t>: Shift in CTCAE Grade from Baseline to Worst Grade for Selected Haematological parameters</w:t>
      </w:r>
      <w:bookmarkEnd w:id="492"/>
    </w:p>
    <w:p w:rsidR="00CD7E26" w:rsidRPr="00BA5DA8" w:rsidRDefault="00CD7E26" w:rsidP="00CD7E26">
      <w:r>
        <w:rPr>
          <w:noProof/>
          <w:lang w:eastAsia="en-AU"/>
        </w:rPr>
        <w:drawing>
          <wp:inline distT="0" distB="0" distL="0" distR="0" wp14:anchorId="090F7B55" wp14:editId="31FB2401">
            <wp:extent cx="4800600" cy="7762875"/>
            <wp:effectExtent l="0" t="0" r="0" b="9525"/>
            <wp:docPr id="43" name="Picture 43" descr="Shift in CTCAE Grade from Baseline to Worst Grade for Selected Haematological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800600" cy="7762875"/>
                    </a:xfrm>
                    <a:prstGeom prst="rect">
                      <a:avLst/>
                    </a:prstGeom>
                  </pic:spPr>
                </pic:pic>
              </a:graphicData>
            </a:graphic>
          </wp:inline>
        </w:drawing>
      </w:r>
    </w:p>
    <w:p w:rsidR="00CD7E26" w:rsidRDefault="00CD7E26" w:rsidP="00CD7E26">
      <w:pPr>
        <w:pStyle w:val="Heading6"/>
        <w:rPr>
          <w:lang w:eastAsia="ja-JP"/>
        </w:rPr>
      </w:pPr>
      <w:r>
        <w:rPr>
          <w:lang w:eastAsia="ja-JP"/>
        </w:rPr>
        <w:lastRenderedPageBreak/>
        <w:t xml:space="preserve">Red Blood </w:t>
      </w:r>
      <w:r w:rsidR="005621E0">
        <w:rPr>
          <w:lang w:eastAsia="ja-JP"/>
        </w:rPr>
        <w:t>cell transfusions</w:t>
      </w:r>
    </w:p>
    <w:p w:rsidR="00CD7E26" w:rsidRPr="00884928" w:rsidRDefault="00CD7E26" w:rsidP="00CD7E26">
      <w:pPr>
        <w:rPr>
          <w:lang w:eastAsia="ja-JP"/>
        </w:rPr>
      </w:pPr>
      <w:r>
        <w:rPr>
          <w:lang w:eastAsia="ja-JP"/>
        </w:rPr>
        <w:t xml:space="preserve">Fourteen subjects (4.2%) in the </w:t>
      </w:r>
      <w:proofErr w:type="spellStart"/>
      <w:r>
        <w:rPr>
          <w:lang w:eastAsia="ja-JP"/>
        </w:rPr>
        <w:t>cabozantinib</w:t>
      </w:r>
      <w:proofErr w:type="spellEnd"/>
      <w:r>
        <w:rPr>
          <w:lang w:eastAsia="ja-JP"/>
        </w:rPr>
        <w:t xml:space="preserve"> arm and 23 subjects (7.1%) in the </w:t>
      </w:r>
      <w:proofErr w:type="spellStart"/>
      <w:r>
        <w:rPr>
          <w:lang w:eastAsia="ja-JP"/>
        </w:rPr>
        <w:t>everolimus</w:t>
      </w:r>
      <w:proofErr w:type="spellEnd"/>
      <w:r>
        <w:rPr>
          <w:lang w:eastAsia="ja-JP"/>
        </w:rPr>
        <w:t xml:space="preserve"> arm had at least one RBC transfusion within 28 days prior to randomisation. Only 36 (11%) subjects in the </w:t>
      </w:r>
      <w:proofErr w:type="spellStart"/>
      <w:r>
        <w:rPr>
          <w:lang w:eastAsia="ja-JP"/>
        </w:rPr>
        <w:t>cabozantinib</w:t>
      </w:r>
      <w:proofErr w:type="spellEnd"/>
      <w:r>
        <w:rPr>
          <w:lang w:eastAsia="ja-JP"/>
        </w:rPr>
        <w:t xml:space="preserve"> arm required RBC transfusion after randomisation compared with 85 (26%) in the </w:t>
      </w:r>
      <w:proofErr w:type="spellStart"/>
      <w:r>
        <w:rPr>
          <w:lang w:eastAsia="ja-JP"/>
        </w:rPr>
        <w:t>everolimus</w:t>
      </w:r>
      <w:proofErr w:type="spellEnd"/>
      <w:r>
        <w:rPr>
          <w:lang w:eastAsia="ja-JP"/>
        </w:rPr>
        <w:t xml:space="preserve"> arm </w:t>
      </w:r>
      <w:r w:rsidR="00DB6CD6">
        <w:rPr>
          <w:lang w:eastAsia="ja-JP"/>
        </w:rPr>
        <w:t>Table 5</w:t>
      </w:r>
      <w:r w:rsidR="009B56F4">
        <w:rPr>
          <w:lang w:eastAsia="ja-JP"/>
        </w:rPr>
        <w:t>8</w:t>
      </w:r>
      <w:r>
        <w:rPr>
          <w:lang w:eastAsia="ja-JP"/>
        </w:rPr>
        <w:t>.</w:t>
      </w:r>
    </w:p>
    <w:p w:rsidR="00CD7E26" w:rsidRDefault="00CD7E26" w:rsidP="00DB6CD6">
      <w:pPr>
        <w:pStyle w:val="Tabletitle"/>
      </w:pPr>
      <w:bookmarkStart w:id="493" w:name="_Ref479943012"/>
      <w:bookmarkStart w:id="494" w:name="_Toc494205966"/>
      <w:r>
        <w:t xml:space="preserve">Table </w:t>
      </w:r>
      <w:r w:rsidR="00DB6CD6">
        <w:t>5</w:t>
      </w:r>
      <w:bookmarkEnd w:id="493"/>
      <w:r w:rsidR="009B56F4">
        <w:t>8</w:t>
      </w:r>
      <w:r>
        <w:t xml:space="preserve">: </w:t>
      </w:r>
      <w:r w:rsidRPr="00DB250A">
        <w:t xml:space="preserve">Red Blood </w:t>
      </w:r>
      <w:r>
        <w:t>Cell Transfusions after Randomis</w:t>
      </w:r>
      <w:r w:rsidRPr="00DB250A">
        <w:t>ation</w:t>
      </w:r>
      <w:bookmarkEnd w:id="494"/>
    </w:p>
    <w:p w:rsidR="00CD7E26" w:rsidRDefault="00CD7E26" w:rsidP="00CD7E26">
      <w:pPr>
        <w:rPr>
          <w:lang w:eastAsia="ja-JP"/>
        </w:rPr>
      </w:pPr>
      <w:r w:rsidRPr="00884928">
        <w:rPr>
          <w:noProof/>
          <w:lang w:eastAsia="en-AU"/>
        </w:rPr>
        <w:drawing>
          <wp:inline distT="0" distB="0" distL="0" distR="0" wp14:anchorId="0AA0FB38" wp14:editId="5CD23BB1">
            <wp:extent cx="5400675" cy="2114550"/>
            <wp:effectExtent l="0" t="0" r="9525" b="0"/>
            <wp:docPr id="52" name="Picture 52" descr="Red Blood Cell Transfusions after Random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lum bright="-20000" contrast="40000"/>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CD7E26" w:rsidRPr="00166FC4" w:rsidRDefault="00CD7E26" w:rsidP="00166FC4">
      <w:pPr>
        <w:pStyle w:val="Heading5"/>
      </w:pPr>
      <w:r w:rsidRPr="00166FC4">
        <w:t>Other studies</w:t>
      </w:r>
    </w:p>
    <w:p w:rsidR="00CD7E26" w:rsidRPr="00166FC4" w:rsidRDefault="00CD7E26" w:rsidP="00166FC4">
      <w:pPr>
        <w:pStyle w:val="Heading6"/>
      </w:pPr>
      <w:r w:rsidRPr="00166FC4">
        <w:t>Studies with evaluable safety data</w:t>
      </w:r>
      <w:r w:rsidR="00166FC4" w:rsidRPr="00166FC4">
        <w:t>: dose finding and pharmacology</w:t>
      </w:r>
    </w:p>
    <w:p w:rsidR="00CD7E26" w:rsidRDefault="00CD7E26" w:rsidP="00CD7E26">
      <w:pPr>
        <w:rPr>
          <w:lang w:eastAsia="ja-JP"/>
        </w:rPr>
      </w:pPr>
      <w:r>
        <w:rPr>
          <w:lang w:eastAsia="ja-JP"/>
        </w:rPr>
        <w:t>No relevant adverse events reported.</w:t>
      </w:r>
    </w:p>
    <w:p w:rsidR="00CD7E26" w:rsidRPr="00166FC4" w:rsidRDefault="00CD7E26" w:rsidP="00166FC4">
      <w:pPr>
        <w:pStyle w:val="Heading6"/>
      </w:pPr>
      <w:r w:rsidRPr="00166FC4">
        <w:t>Studies evaluable for safety only</w:t>
      </w:r>
    </w:p>
    <w:p w:rsidR="00CD7E26" w:rsidRDefault="00CD7E26" w:rsidP="00DB6CD6">
      <w:pPr>
        <w:pStyle w:val="Tabletitle"/>
      </w:pPr>
      <w:bookmarkStart w:id="495" w:name="_Toc494205967"/>
      <w:bookmarkStart w:id="496" w:name="_Toc272414674"/>
      <w:bookmarkStart w:id="497" w:name="_Toc290888538"/>
      <w:bookmarkStart w:id="498" w:name="_Toc416353753"/>
      <w:bookmarkStart w:id="499" w:name="_Toc421005296"/>
      <w:bookmarkStart w:id="500" w:name="_Toc432079173"/>
      <w:bookmarkStart w:id="501" w:name="_Toc432080746"/>
      <w:r>
        <w:t xml:space="preserve">Table </w:t>
      </w:r>
      <w:r w:rsidR="00DB6CD6">
        <w:t>5</w:t>
      </w:r>
      <w:r w:rsidR="009B56F4">
        <w:t>9</w:t>
      </w:r>
      <w:r>
        <w:t xml:space="preserve">: </w:t>
      </w:r>
      <w:r w:rsidRPr="007F2F1E">
        <w:t>Subject Incidence of Selected H</w:t>
      </w:r>
      <w:r>
        <w:t>a</w:t>
      </w:r>
      <w:r w:rsidRPr="007F2F1E">
        <w:t>ematology Abnormalities by CTCAE Grade</w:t>
      </w:r>
      <w:r>
        <w:t xml:space="preserve"> Study XL184-306</w:t>
      </w:r>
      <w:bookmarkEnd w:id="495"/>
    </w:p>
    <w:p w:rsidR="00CD7E26" w:rsidRDefault="00CD7E26" w:rsidP="00CD7E26">
      <w:pPr>
        <w:rPr>
          <w:lang w:eastAsia="ja-JP"/>
        </w:rPr>
      </w:pPr>
      <w:r w:rsidRPr="00296354">
        <w:rPr>
          <w:noProof/>
          <w:lang w:eastAsia="en-AU"/>
        </w:rPr>
        <w:drawing>
          <wp:inline distT="0" distB="0" distL="0" distR="0" wp14:anchorId="169CE9F1" wp14:editId="1CC77B46">
            <wp:extent cx="5731510" cy="2793433"/>
            <wp:effectExtent l="0" t="0" r="2540" b="6985"/>
            <wp:docPr id="134" name="Picture 134" descr="Subject Incidence of Selected Haematology Abnormalities by CTCAE Grade Study XL18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lum bright="-20000" contrast="40000"/>
                      <a:extLst>
                        <a:ext uri="{28A0092B-C50C-407E-A947-70E740481C1C}">
                          <a14:useLocalDpi xmlns:a14="http://schemas.microsoft.com/office/drawing/2010/main" val="0"/>
                        </a:ext>
                      </a:extLst>
                    </a:blip>
                    <a:srcRect/>
                    <a:stretch>
                      <a:fillRect/>
                    </a:stretch>
                  </pic:blipFill>
                  <pic:spPr bwMode="auto">
                    <a:xfrm>
                      <a:off x="0" y="0"/>
                      <a:ext cx="5731510" cy="2793433"/>
                    </a:xfrm>
                    <a:prstGeom prst="rect">
                      <a:avLst/>
                    </a:prstGeom>
                    <a:noFill/>
                    <a:ln>
                      <a:noFill/>
                    </a:ln>
                  </pic:spPr>
                </pic:pic>
              </a:graphicData>
            </a:graphic>
          </wp:inline>
        </w:drawing>
      </w:r>
    </w:p>
    <w:p w:rsidR="00CD7E26" w:rsidRDefault="00CD7E26" w:rsidP="00DB6CD6">
      <w:pPr>
        <w:pStyle w:val="Tabletitle"/>
      </w:pPr>
      <w:bookmarkStart w:id="502" w:name="_Toc494205968"/>
      <w:r>
        <w:lastRenderedPageBreak/>
        <w:t xml:space="preserve">Table </w:t>
      </w:r>
      <w:r w:rsidR="009B56F4">
        <w:t>60</w:t>
      </w:r>
      <w:r>
        <w:t>: Worst Shift from Baseline in CTCAE Grade for Selected Haematology Parameters Study XL184-306</w:t>
      </w:r>
      <w:bookmarkEnd w:id="502"/>
    </w:p>
    <w:p w:rsidR="00CD7E26" w:rsidRDefault="00CD7E26" w:rsidP="00CD7E26">
      <w:pPr>
        <w:rPr>
          <w:lang w:eastAsia="ja-JP"/>
        </w:rPr>
      </w:pPr>
      <w:r w:rsidRPr="00296354">
        <w:rPr>
          <w:noProof/>
          <w:lang w:eastAsia="en-AU"/>
        </w:rPr>
        <w:drawing>
          <wp:inline distT="0" distB="0" distL="0" distR="0" wp14:anchorId="2BD0F32A" wp14:editId="0A0D57B8">
            <wp:extent cx="5725886" cy="5500914"/>
            <wp:effectExtent l="0" t="0" r="8255" b="5080"/>
            <wp:docPr id="135" name="Picture 135" descr="Worst Shift from Baseline in CTCAE Grade for Selected Haematology Parameters Study XL18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6">
                      <a:lum bright="-20000" contrast="40000"/>
                      <a:extLst>
                        <a:ext uri="{28A0092B-C50C-407E-A947-70E740481C1C}">
                          <a14:useLocalDpi xmlns:a14="http://schemas.microsoft.com/office/drawing/2010/main" val="0"/>
                        </a:ext>
                      </a:extLst>
                    </a:blip>
                    <a:srcRect b="912"/>
                    <a:stretch/>
                  </pic:blipFill>
                  <pic:spPr bwMode="auto">
                    <a:xfrm>
                      <a:off x="0" y="0"/>
                      <a:ext cx="5731510" cy="5506317"/>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rPr>
          <w:lang w:eastAsia="ja-JP"/>
        </w:rPr>
      </w:pPr>
      <w:r>
        <w:rPr>
          <w:lang w:eastAsia="ja-JP"/>
        </w:rPr>
        <w:t xml:space="preserve">A decrease in total white cell count was observed for 65% of subjects in the </w:t>
      </w:r>
      <w:proofErr w:type="spellStart"/>
      <w:r>
        <w:rPr>
          <w:lang w:eastAsia="ja-JP"/>
        </w:rPr>
        <w:t>cabozantinib</w:t>
      </w:r>
      <w:proofErr w:type="spellEnd"/>
      <w:r>
        <w:rPr>
          <w:lang w:eastAsia="ja-JP"/>
        </w:rPr>
        <w:t xml:space="preserve"> arm at any grade. The majority of the observed reductions were mild and not clinically relevant.</w:t>
      </w:r>
    </w:p>
    <w:p w:rsidR="00CD7E26" w:rsidRDefault="00CD7E26" w:rsidP="00CD7E26">
      <w:pPr>
        <w:rPr>
          <w:lang w:eastAsia="ja-JP"/>
        </w:rPr>
      </w:pPr>
      <w:r>
        <w:rPr>
          <w:lang w:eastAsia="ja-JP"/>
        </w:rPr>
        <w:t>In Study XL184-307 haematology abno</w:t>
      </w:r>
      <w:r w:rsidR="00166FC4">
        <w:rPr>
          <w:lang w:eastAsia="ja-JP"/>
        </w:rPr>
        <w:t xml:space="preserve">rmalities (all grades) with a ≥ </w:t>
      </w:r>
      <w:r>
        <w:rPr>
          <w:lang w:eastAsia="ja-JP"/>
        </w:rPr>
        <w:t xml:space="preserve">5% higher incidence in the </w:t>
      </w:r>
      <w:proofErr w:type="spellStart"/>
      <w:r>
        <w:rPr>
          <w:lang w:eastAsia="ja-JP"/>
        </w:rPr>
        <w:t>cabozantinib</w:t>
      </w:r>
      <w:proofErr w:type="spellEnd"/>
      <w:r>
        <w:rPr>
          <w:lang w:eastAsia="ja-JP"/>
        </w:rPr>
        <w:t xml:space="preserve"> arm were: white blood cells decreased (</w:t>
      </w:r>
      <w:proofErr w:type="spellStart"/>
      <w:r>
        <w:rPr>
          <w:lang w:eastAsia="ja-JP"/>
        </w:rPr>
        <w:t>cabozantinib</w:t>
      </w:r>
      <w:proofErr w:type="spellEnd"/>
      <w:r>
        <w:rPr>
          <w:lang w:eastAsia="ja-JP"/>
        </w:rPr>
        <w:t xml:space="preserve"> 47%, prednisone 14%), absolute neutrophil count decreased (36%, 6%), and platelets decreased (34%, 24%).</w:t>
      </w:r>
    </w:p>
    <w:p w:rsidR="00CD7E26" w:rsidRDefault="00CD7E26" w:rsidP="00CD7E26">
      <w:pPr>
        <w:rPr>
          <w:lang w:eastAsia="ja-JP"/>
        </w:rPr>
      </w:pPr>
      <w:r>
        <w:rPr>
          <w:lang w:eastAsia="ja-JP"/>
        </w:rPr>
        <w:t>Haematology parameters that most frequently showed a shift from a Grade &lt; 3</w:t>
      </w:r>
      <w:r w:rsidR="00166FC4">
        <w:rPr>
          <w:lang w:eastAsia="ja-JP"/>
        </w:rPr>
        <w:t xml:space="preserve"> value at baseline to a Grade ≥ </w:t>
      </w:r>
      <w:r>
        <w:rPr>
          <w:lang w:eastAsia="ja-JP"/>
        </w:rPr>
        <w:t xml:space="preserve">3 value post-baseline in the </w:t>
      </w:r>
      <w:proofErr w:type="spellStart"/>
      <w:r>
        <w:rPr>
          <w:lang w:eastAsia="ja-JP"/>
        </w:rPr>
        <w:t>cabozantinib</w:t>
      </w:r>
      <w:proofErr w:type="spellEnd"/>
      <w:r>
        <w:rPr>
          <w:lang w:eastAsia="ja-JP"/>
        </w:rPr>
        <w:t xml:space="preserve"> arm were haemoglobin decreased (120/681 [18%] </w:t>
      </w:r>
      <w:proofErr w:type="spellStart"/>
      <w:r>
        <w:rPr>
          <w:lang w:eastAsia="ja-JP"/>
        </w:rPr>
        <w:t>cabozantinib</w:t>
      </w:r>
      <w:proofErr w:type="spellEnd"/>
      <w:r>
        <w:rPr>
          <w:lang w:eastAsia="ja-JP"/>
        </w:rPr>
        <w:t xml:space="preserve"> versus 60/342 [18%] prednisone) and lymphocytes decreased (109/681 [16%] versus 63/342 [18%]).</w:t>
      </w:r>
    </w:p>
    <w:p w:rsidR="00CD7E26" w:rsidRPr="00545B14" w:rsidRDefault="00CD7E26" w:rsidP="00CD7E26">
      <w:pPr>
        <w:pStyle w:val="Heading4"/>
        <w:numPr>
          <w:ilvl w:val="2"/>
          <w:numId w:val="29"/>
        </w:numPr>
      </w:pPr>
      <w:r w:rsidRPr="00545B14">
        <w:t>Other laboratory test</w:t>
      </w:r>
      <w:bookmarkEnd w:id="496"/>
      <w:bookmarkEnd w:id="497"/>
      <w:bookmarkEnd w:id="498"/>
      <w:bookmarkEnd w:id="499"/>
      <w:bookmarkEnd w:id="500"/>
      <w:bookmarkEnd w:id="501"/>
      <w:r>
        <w:t>s</w:t>
      </w:r>
    </w:p>
    <w:p w:rsidR="00CD7E26" w:rsidRPr="00166FC4" w:rsidRDefault="00CD7E26" w:rsidP="00166FC4">
      <w:pPr>
        <w:pStyle w:val="Heading5"/>
      </w:pPr>
      <w:r w:rsidRPr="00166FC4">
        <w:t>Integrated safety analyses</w:t>
      </w:r>
    </w:p>
    <w:p w:rsidR="00CD7E26" w:rsidRDefault="00CD7E26" w:rsidP="00CD7E26">
      <w:pPr>
        <w:rPr>
          <w:lang w:eastAsia="ja-JP"/>
        </w:rPr>
      </w:pPr>
      <w:r>
        <w:rPr>
          <w:lang w:eastAsia="ja-JP"/>
        </w:rPr>
        <w:t>Not applicable</w:t>
      </w:r>
      <w:r w:rsidR="004F2FD1">
        <w:rPr>
          <w:lang w:eastAsia="ja-JP"/>
        </w:rPr>
        <w:t>.</w:t>
      </w:r>
    </w:p>
    <w:p w:rsidR="00CD7E26" w:rsidRPr="00166FC4" w:rsidRDefault="00CD7E26" w:rsidP="00166FC4">
      <w:pPr>
        <w:pStyle w:val="Heading5"/>
      </w:pPr>
      <w:r w:rsidRPr="00166FC4">
        <w:lastRenderedPageBreak/>
        <w:t>Main/pivotal studies that assessed safety as the sole primary outcome</w:t>
      </w:r>
    </w:p>
    <w:p w:rsidR="00CD7E26" w:rsidRDefault="00CD7E26" w:rsidP="00CD7E26">
      <w:pPr>
        <w:rPr>
          <w:lang w:eastAsia="ja-JP"/>
        </w:rPr>
      </w:pPr>
      <w:r>
        <w:rPr>
          <w:lang w:eastAsia="ja-JP"/>
        </w:rPr>
        <w:t>Not applicable</w:t>
      </w:r>
      <w:r w:rsidR="004F2FD1">
        <w:rPr>
          <w:lang w:eastAsia="ja-JP"/>
        </w:rPr>
        <w:t>.</w:t>
      </w:r>
    </w:p>
    <w:p w:rsidR="00CD7E26" w:rsidRPr="00166FC4" w:rsidRDefault="00CD7E26" w:rsidP="00166FC4">
      <w:pPr>
        <w:pStyle w:val="Heading5"/>
      </w:pPr>
      <w:r w:rsidRPr="00166FC4">
        <w:t>Pivotal and/or main efficacy studies</w:t>
      </w:r>
    </w:p>
    <w:p w:rsidR="00CD7E26" w:rsidRDefault="00CD7E26" w:rsidP="00CD7E26">
      <w:pPr>
        <w:rPr>
          <w:lang w:eastAsia="ja-JP"/>
        </w:rPr>
      </w:pPr>
      <w:r>
        <w:rPr>
          <w:lang w:eastAsia="ja-JP"/>
        </w:rPr>
        <w:t xml:space="preserve">Hypercalcemia is a condition that can be associated with RCC and was monitored as an event of special interest. Subject incidence of Grade 3 and Grade 4 AEs of hypercalcemia was low and is summarised in </w:t>
      </w:r>
      <w:r w:rsidR="00DB6CD6">
        <w:rPr>
          <w:lang w:eastAsia="ja-JP"/>
        </w:rPr>
        <w:t xml:space="preserve">Table </w:t>
      </w:r>
      <w:r w:rsidR="009B56F4">
        <w:rPr>
          <w:lang w:eastAsia="ja-JP"/>
        </w:rPr>
        <w:t>61</w:t>
      </w:r>
      <w:r>
        <w:rPr>
          <w:lang w:eastAsia="ja-JP"/>
        </w:rPr>
        <w:t>.</w:t>
      </w:r>
    </w:p>
    <w:p w:rsidR="00CD7E26" w:rsidRDefault="00CD7E26" w:rsidP="00DB6CD6">
      <w:pPr>
        <w:pStyle w:val="Tabletitle"/>
      </w:pPr>
      <w:bookmarkStart w:id="503" w:name="_Ref479942674"/>
      <w:bookmarkStart w:id="504" w:name="_Toc494205969"/>
      <w:r>
        <w:t xml:space="preserve">Table </w:t>
      </w:r>
      <w:r w:rsidR="009B56F4">
        <w:t>61</w:t>
      </w:r>
      <w:bookmarkEnd w:id="503"/>
      <w:r>
        <w:t xml:space="preserve">: </w:t>
      </w:r>
      <w:r w:rsidRPr="00ED3B70">
        <w:t>Subject Incidence of CTCAE Grade 3 and Grade 4 Hypercalcemia</w:t>
      </w:r>
      <w:r>
        <w:t xml:space="preserve"> Study XL184-308</w:t>
      </w:r>
      <w:bookmarkEnd w:id="504"/>
    </w:p>
    <w:p w:rsidR="00CD7E26" w:rsidRDefault="00CD7E26" w:rsidP="00CD7E26">
      <w:pPr>
        <w:rPr>
          <w:lang w:eastAsia="ja-JP"/>
        </w:rPr>
      </w:pPr>
      <w:r w:rsidRPr="00884928">
        <w:rPr>
          <w:noProof/>
          <w:lang w:eastAsia="en-AU"/>
        </w:rPr>
        <w:drawing>
          <wp:inline distT="0" distB="0" distL="0" distR="0" wp14:anchorId="6F1A15FC" wp14:editId="56CA675F">
            <wp:extent cx="5320702" cy="952500"/>
            <wp:effectExtent l="19050" t="19050" r="13335" b="19050"/>
            <wp:docPr id="51" name="Picture 51" descr="Subject Incidence of CTCAE Grade 3 and Grade 4 Hypercalcemia Study XL1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7">
                      <a:lum bright="-20000" contrast="40000"/>
                      <a:extLst>
                        <a:ext uri="{28A0092B-C50C-407E-A947-70E740481C1C}">
                          <a14:useLocalDpi xmlns:a14="http://schemas.microsoft.com/office/drawing/2010/main" val="0"/>
                        </a:ext>
                      </a:extLst>
                    </a:blip>
                    <a:srcRect t="6194" b="5309"/>
                    <a:stretch/>
                  </pic:blipFill>
                  <pic:spPr bwMode="auto">
                    <a:xfrm>
                      <a:off x="0" y="0"/>
                      <a:ext cx="5323840" cy="953062"/>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D7E26" w:rsidRPr="00166FC4" w:rsidRDefault="00CD7E26" w:rsidP="00166FC4">
      <w:pPr>
        <w:pStyle w:val="Heading5"/>
      </w:pPr>
      <w:r w:rsidRPr="00166FC4">
        <w:t>Other studies</w:t>
      </w:r>
    </w:p>
    <w:p w:rsidR="00CD7E26" w:rsidRPr="00EC3AE0" w:rsidRDefault="00CD7E26" w:rsidP="00CD7E26">
      <w:pPr>
        <w:pStyle w:val="Heading6"/>
      </w:pPr>
      <w:r w:rsidRPr="00EC3AE0">
        <w:t>Studies with evaluable safety data</w:t>
      </w:r>
      <w:r w:rsidR="00166FC4">
        <w:t>: dose finding and pharmacology</w:t>
      </w:r>
    </w:p>
    <w:p w:rsidR="00CD7E26" w:rsidRDefault="00CD7E26" w:rsidP="00CD7E26">
      <w:pPr>
        <w:rPr>
          <w:lang w:eastAsia="ja-JP"/>
        </w:rPr>
      </w:pPr>
      <w:r>
        <w:rPr>
          <w:lang w:eastAsia="ja-JP"/>
        </w:rPr>
        <w:t>Nil significant reported.</w:t>
      </w:r>
    </w:p>
    <w:p w:rsidR="00CD7E26" w:rsidRDefault="00CD7E26" w:rsidP="00CD7E26">
      <w:pPr>
        <w:pStyle w:val="Heading6"/>
      </w:pPr>
      <w:r w:rsidRPr="00EC3AE0">
        <w:t>Studies evaluable for safety only</w:t>
      </w:r>
    </w:p>
    <w:p w:rsidR="00CD7E26" w:rsidRDefault="00CD7E26" w:rsidP="00CD7E26">
      <w:pPr>
        <w:rPr>
          <w:lang w:eastAsia="ja-JP"/>
        </w:rPr>
      </w:pPr>
      <w:bookmarkStart w:id="505" w:name="_Toc272414675"/>
      <w:bookmarkStart w:id="506" w:name="_Toc290888539"/>
      <w:bookmarkStart w:id="507" w:name="_Toc416353754"/>
      <w:bookmarkStart w:id="508" w:name="_Toc421005297"/>
      <w:bookmarkStart w:id="509" w:name="_Toc432079174"/>
      <w:bookmarkStart w:id="510" w:name="_Toc432080747"/>
      <w:r>
        <w:rPr>
          <w:lang w:eastAsia="ja-JP"/>
        </w:rPr>
        <w:t xml:space="preserve">This was not treated as an event of interest in either of study XL184-306 or 307. </w:t>
      </w:r>
    </w:p>
    <w:p w:rsidR="00CD7E26" w:rsidRPr="00545B14" w:rsidRDefault="00CD7E26" w:rsidP="00CD7E26">
      <w:pPr>
        <w:pStyle w:val="Heading4"/>
        <w:numPr>
          <w:ilvl w:val="2"/>
          <w:numId w:val="29"/>
        </w:numPr>
      </w:pPr>
      <w:r w:rsidRPr="00545B14">
        <w:t>Electrocardiograph</w:t>
      </w:r>
      <w:bookmarkEnd w:id="505"/>
      <w:bookmarkEnd w:id="506"/>
      <w:bookmarkEnd w:id="507"/>
      <w:bookmarkEnd w:id="508"/>
      <w:r>
        <w:t xml:space="preserve"> findings and cardiovascular safety</w:t>
      </w:r>
      <w:bookmarkEnd w:id="509"/>
      <w:bookmarkEnd w:id="510"/>
    </w:p>
    <w:p w:rsidR="00CD7E26" w:rsidRPr="00166FC4" w:rsidRDefault="00CD7E26" w:rsidP="00166FC4">
      <w:pPr>
        <w:pStyle w:val="Heading5"/>
      </w:pPr>
      <w:r w:rsidRPr="00166FC4">
        <w:t>Integrated safety analyses</w:t>
      </w:r>
    </w:p>
    <w:p w:rsidR="00CD7E26" w:rsidRDefault="00CD7E26" w:rsidP="00CD7E26">
      <w:pPr>
        <w:rPr>
          <w:lang w:eastAsia="ja-JP"/>
        </w:rPr>
      </w:pPr>
      <w:r>
        <w:rPr>
          <w:lang w:eastAsia="ja-JP"/>
        </w:rPr>
        <w:t>Not applicable</w:t>
      </w:r>
      <w:r w:rsidR="00166FC4">
        <w:rPr>
          <w:lang w:eastAsia="ja-JP"/>
        </w:rPr>
        <w:t>.</w:t>
      </w:r>
    </w:p>
    <w:p w:rsidR="00CD7E26" w:rsidRPr="00166FC4" w:rsidRDefault="00CD7E26" w:rsidP="00166FC4">
      <w:pPr>
        <w:pStyle w:val="Heading5"/>
      </w:pPr>
      <w:r w:rsidRPr="00166FC4">
        <w:t>Main/pivotal studies that assessed safety as the sole primary outcome</w:t>
      </w:r>
    </w:p>
    <w:p w:rsidR="00CD7E26" w:rsidRDefault="00CD7E26" w:rsidP="00CD7E26">
      <w:pPr>
        <w:rPr>
          <w:lang w:eastAsia="ja-JP"/>
        </w:rPr>
      </w:pPr>
      <w:r>
        <w:rPr>
          <w:lang w:eastAsia="ja-JP"/>
        </w:rPr>
        <w:t>Not applicable</w:t>
      </w:r>
      <w:r w:rsidR="004F2FD1">
        <w:rPr>
          <w:lang w:eastAsia="ja-JP"/>
        </w:rPr>
        <w:t>.</w:t>
      </w:r>
    </w:p>
    <w:p w:rsidR="00CD7E26" w:rsidRPr="00166FC4" w:rsidRDefault="00CD7E26" w:rsidP="00166FC4">
      <w:pPr>
        <w:pStyle w:val="Heading5"/>
      </w:pPr>
      <w:r w:rsidRPr="00166FC4">
        <w:t>Pivotal and/or main efficacy studies</w:t>
      </w:r>
    </w:p>
    <w:p w:rsidR="00CD7E26" w:rsidRDefault="00CD7E26" w:rsidP="00CD7E26">
      <w:r>
        <w:rPr>
          <w:lang w:eastAsia="ja-JP"/>
        </w:rPr>
        <w:t xml:space="preserve">Two subjects (0.6%) in the </w:t>
      </w:r>
      <w:proofErr w:type="spellStart"/>
      <w:r>
        <w:rPr>
          <w:lang w:eastAsia="ja-JP"/>
        </w:rPr>
        <w:t>cabozantinib</w:t>
      </w:r>
      <w:proofErr w:type="spellEnd"/>
      <w:r>
        <w:rPr>
          <w:lang w:eastAsia="ja-JP"/>
        </w:rPr>
        <w:t xml:space="preserve"> arm and no subjects in the </w:t>
      </w:r>
      <w:proofErr w:type="spellStart"/>
      <w:r>
        <w:rPr>
          <w:lang w:eastAsia="ja-JP"/>
        </w:rPr>
        <w:t>everolimus</w:t>
      </w:r>
      <w:proofErr w:type="spellEnd"/>
      <w:r>
        <w:rPr>
          <w:lang w:eastAsia="ja-JP"/>
        </w:rPr>
        <w:t xml:space="preserve"> arm had </w:t>
      </w:r>
      <w:proofErr w:type="spellStart"/>
      <w:r>
        <w:rPr>
          <w:lang w:eastAsia="ja-JP"/>
        </w:rPr>
        <w:t>postbaseline</w:t>
      </w:r>
      <w:proofErr w:type="spellEnd"/>
      <w:r>
        <w:rPr>
          <w:lang w:eastAsia="ja-JP"/>
        </w:rPr>
        <w:t xml:space="preserve"> ECG assessments that appeared to show prolonged </w:t>
      </w:r>
      <w:proofErr w:type="spellStart"/>
      <w:r>
        <w:rPr>
          <w:lang w:eastAsia="ja-JP"/>
        </w:rPr>
        <w:t>QTcF</w:t>
      </w:r>
      <w:proofErr w:type="spellEnd"/>
      <w:r>
        <w:rPr>
          <w:lang w:eastAsia="ja-JP"/>
        </w:rPr>
        <w:t xml:space="preserve"> interval (</w:t>
      </w:r>
      <w:proofErr w:type="spellStart"/>
      <w:r>
        <w:rPr>
          <w:lang w:eastAsia="ja-JP"/>
        </w:rPr>
        <w:t>QTcF</w:t>
      </w:r>
      <w:proofErr w:type="spellEnd"/>
      <w:r>
        <w:rPr>
          <w:lang w:eastAsia="ja-JP"/>
        </w:rPr>
        <w:t xml:space="preserve"> &gt; 500 </w:t>
      </w:r>
      <w:proofErr w:type="spellStart"/>
      <w:r>
        <w:rPr>
          <w:lang w:eastAsia="ja-JP"/>
        </w:rPr>
        <w:t>ms</w:t>
      </w:r>
      <w:proofErr w:type="spellEnd"/>
      <w:r>
        <w:rPr>
          <w:lang w:eastAsia="ja-JP"/>
        </w:rPr>
        <w:t xml:space="preserve">) per investigator evaluation. In accordance with the protocol, these were independently evaluated by a core ECG laboratory. Such submissions were supposed to include triplicate ECGs to allow for confirmation by central ECG review, but may have been limited to single or double readings only. Based on independent review, no subjects in either treatment arm experienced a </w:t>
      </w:r>
      <w:proofErr w:type="spellStart"/>
      <w:r>
        <w:rPr>
          <w:lang w:eastAsia="ja-JP"/>
        </w:rPr>
        <w:t>QTcF</w:t>
      </w:r>
      <w:proofErr w:type="spellEnd"/>
      <w:r>
        <w:rPr>
          <w:lang w:eastAsia="ja-JP"/>
        </w:rPr>
        <w:t xml:space="preserve"> triplicate average &gt; 500 </w:t>
      </w:r>
      <w:proofErr w:type="spellStart"/>
      <w:r>
        <w:rPr>
          <w:lang w:eastAsia="ja-JP"/>
        </w:rPr>
        <w:t>ms</w:t>
      </w:r>
      <w:proofErr w:type="spellEnd"/>
      <w:r>
        <w:rPr>
          <w:lang w:eastAsia="ja-JP"/>
        </w:rPr>
        <w:t xml:space="preserve"> post-baseline</w:t>
      </w:r>
      <w:r w:rsidR="004F2FD1">
        <w:rPr>
          <w:lang w:eastAsia="ja-JP"/>
        </w:rPr>
        <w:t>.</w:t>
      </w:r>
    </w:p>
    <w:p w:rsidR="00CD7E26" w:rsidRDefault="00CD7E26" w:rsidP="00DB6CD6">
      <w:pPr>
        <w:pStyle w:val="Tabletitle"/>
      </w:pPr>
      <w:bookmarkStart w:id="511" w:name="_Toc494205970"/>
      <w:r>
        <w:lastRenderedPageBreak/>
        <w:t>Table</w:t>
      </w:r>
      <w:r w:rsidR="00DB6CD6">
        <w:t xml:space="preserve"> 6</w:t>
      </w:r>
      <w:r w:rsidR="009B56F4">
        <w:t>2</w:t>
      </w:r>
      <w:r>
        <w:t xml:space="preserve">: </w:t>
      </w:r>
      <w:r w:rsidRPr="00210C13">
        <w:t xml:space="preserve">Subject Incidence of Clinically Meaningful Changes in </w:t>
      </w:r>
      <w:proofErr w:type="spellStart"/>
      <w:r w:rsidRPr="00210C13">
        <w:t>QTcF</w:t>
      </w:r>
      <w:bookmarkEnd w:id="511"/>
      <w:proofErr w:type="spellEnd"/>
    </w:p>
    <w:p w:rsidR="00CD7E26" w:rsidRDefault="00CD7E26" w:rsidP="00CD7E26">
      <w:pPr>
        <w:rPr>
          <w:lang w:eastAsia="ja-JP"/>
        </w:rPr>
      </w:pPr>
      <w:r>
        <w:rPr>
          <w:noProof/>
          <w:lang w:eastAsia="en-AU"/>
        </w:rPr>
        <w:drawing>
          <wp:inline distT="0" distB="0" distL="0" distR="0" wp14:anchorId="2DEC86E6" wp14:editId="65FFE1CC">
            <wp:extent cx="5731510" cy="2121761"/>
            <wp:effectExtent l="0" t="0" r="2540" b="0"/>
            <wp:docPr id="55" name="Picture 55" descr="Subject Incidence of Clinically Meaningful Changes in QT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31510" cy="2121761"/>
                    </a:xfrm>
                    <a:prstGeom prst="rect">
                      <a:avLst/>
                    </a:prstGeom>
                  </pic:spPr>
                </pic:pic>
              </a:graphicData>
            </a:graphic>
          </wp:inline>
        </w:drawing>
      </w:r>
    </w:p>
    <w:p w:rsidR="00CD7E26" w:rsidRPr="00166FC4" w:rsidRDefault="00CD7E26" w:rsidP="00166FC4">
      <w:pPr>
        <w:pStyle w:val="Heading5"/>
      </w:pPr>
      <w:r w:rsidRPr="00166FC4">
        <w:t>Other studies</w:t>
      </w:r>
    </w:p>
    <w:p w:rsidR="00CD7E26" w:rsidRPr="00EC3AE0" w:rsidRDefault="00CD7E26" w:rsidP="00CD7E26">
      <w:pPr>
        <w:pStyle w:val="Heading6"/>
      </w:pPr>
      <w:r w:rsidRPr="00EC3AE0">
        <w:t xml:space="preserve">Studies with evaluable safety data: dose finding and pharmacology </w:t>
      </w:r>
    </w:p>
    <w:p w:rsidR="00CD7E26" w:rsidRDefault="00CD7E26" w:rsidP="00CD7E26">
      <w:pPr>
        <w:rPr>
          <w:lang w:eastAsia="ja-JP"/>
        </w:rPr>
      </w:pPr>
      <w:r>
        <w:rPr>
          <w:lang w:eastAsia="ja-JP"/>
        </w:rPr>
        <w:t>No clinically significant changes in QT interval were listed for Study XL184-008.</w:t>
      </w:r>
    </w:p>
    <w:p w:rsidR="00CD7E26" w:rsidRDefault="00CD7E26" w:rsidP="00CD7E26">
      <w:pPr>
        <w:rPr>
          <w:lang w:eastAsia="ja-JP"/>
        </w:rPr>
      </w:pPr>
      <w:r>
        <w:rPr>
          <w:lang w:eastAsia="ja-JP"/>
        </w:rPr>
        <w:t xml:space="preserve">Study XL184-301 was a randomised, double-blinded, multi-centre, placebo-controlled Phase III study of </w:t>
      </w:r>
      <w:proofErr w:type="spellStart"/>
      <w:r>
        <w:rPr>
          <w:lang w:eastAsia="ja-JP"/>
        </w:rPr>
        <w:t>unresectable</w:t>
      </w:r>
      <w:proofErr w:type="spellEnd"/>
      <w:r>
        <w:rPr>
          <w:lang w:eastAsia="ja-JP"/>
        </w:rPr>
        <w:t xml:space="preserve">, locally advanced, or metastatic MTC. A total of 330 subjects were randomised in a 2:1 ratio to receive either XL184 or </w:t>
      </w:r>
      <w:proofErr w:type="spellStart"/>
      <w:r>
        <w:rPr>
          <w:lang w:eastAsia="ja-JP"/>
        </w:rPr>
        <w:t>cabozantinib</w:t>
      </w:r>
      <w:proofErr w:type="spellEnd"/>
      <w:r>
        <w:rPr>
          <w:lang w:eastAsia="ja-JP"/>
        </w:rPr>
        <w:t xml:space="preserve"> or placebo, respectively. The report for this study was submitted as a PD report, the report largely pertains to ECG data subjects that had received</w:t>
      </w:r>
      <w:r w:rsidR="004F2FD1">
        <w:rPr>
          <w:lang w:eastAsia="ja-JP"/>
        </w:rPr>
        <w:t xml:space="preserve"> 175mg of </w:t>
      </w:r>
      <w:proofErr w:type="spellStart"/>
      <w:r w:rsidR="004F2FD1">
        <w:rPr>
          <w:lang w:eastAsia="ja-JP"/>
        </w:rPr>
        <w:t>cabozantinib</w:t>
      </w:r>
      <w:proofErr w:type="spellEnd"/>
      <w:r w:rsidR="004F2FD1">
        <w:rPr>
          <w:lang w:eastAsia="ja-JP"/>
        </w:rPr>
        <w:t xml:space="preserve"> per day.</w:t>
      </w:r>
    </w:p>
    <w:p w:rsidR="00CD7E26" w:rsidRDefault="00CD7E26" w:rsidP="00CD7E26">
      <w:pPr>
        <w:rPr>
          <w:lang w:val="en-NZ"/>
        </w:rPr>
      </w:pPr>
      <w:r>
        <w:rPr>
          <w:lang w:val="en-NZ"/>
        </w:rPr>
        <w:t>Twelve-lead ECGs were recorded in triplicate (recording repeated three times consecutively within 30 minutes with an interval of at least 2 minutes between ECG). All ECG assessments (except for screening) were time matched with pharmacokinetic samples such that the ECG assessments were performed just prior to the blood sample collection. The concentration of XL184 was measured in plasma samples taken at selected intervals throughout the study.</w:t>
      </w:r>
    </w:p>
    <w:p w:rsidR="00CD7E26" w:rsidRDefault="00CD7E26" w:rsidP="00CD7E26">
      <w:pPr>
        <w:rPr>
          <w:lang w:val="en-NZ"/>
        </w:rPr>
      </w:pPr>
      <w:r>
        <w:rPr>
          <w:lang w:val="en-NZ"/>
        </w:rPr>
        <w:t>All ECGs were digitally analysed by a validated ECG laboratory, ERT. The central vendor placed ECG machines at sites under contract with the study sponsor. ECGs were transmitted to ERT for analysis.</w:t>
      </w:r>
    </w:p>
    <w:p w:rsidR="00CD7E26" w:rsidRDefault="00CD7E26" w:rsidP="00CD7E26">
      <w:pPr>
        <w:rPr>
          <w:lang w:val="en-NZ"/>
        </w:rPr>
      </w:pPr>
      <w:r>
        <w:rPr>
          <w:lang w:val="en-NZ"/>
        </w:rPr>
        <w:t>ECGs were taken in triplicate at screening, C1D1 pre-dose and 2, 4, and 6 hours’ post-dose andC2D1 pre-dose and 2, 4, and 6 hours’ post-dose.</w:t>
      </w:r>
    </w:p>
    <w:p w:rsidR="00CD7E26" w:rsidRDefault="00CD7E26" w:rsidP="00CD7E26">
      <w:pPr>
        <w:rPr>
          <w:lang w:eastAsia="ja-JP"/>
        </w:rPr>
      </w:pPr>
      <w:r>
        <w:rPr>
          <w:lang w:eastAsia="ja-JP"/>
        </w:rPr>
        <w:t>The ECG data showed a small signal of a -4 to -6 bpm change in heart rate. There was no clinical signal for a change in AV conduction as measured by the PR interval duration, cardiac depolarization as measured by the QRS interval duration or on cardiac wave form morphology or new rhythms.</w:t>
      </w:r>
    </w:p>
    <w:p w:rsidR="00CD7E26" w:rsidRDefault="00CD7E26" w:rsidP="00CD7E26">
      <w:pPr>
        <w:rPr>
          <w:lang w:eastAsia="ja-JP"/>
        </w:rPr>
      </w:pPr>
      <w:r>
        <w:rPr>
          <w:lang w:eastAsia="ja-JP"/>
        </w:rPr>
        <w:t xml:space="preserve">The data from the central tendency by time averaging across the study and by comparing the baseline to each time point demonstrated no clear signal of any effect on cardiac repolarisation on, after the first dose but by steady state for subjects with uninterrupted 175 mg/day dosing there was a clear positive effect on </w:t>
      </w:r>
      <w:proofErr w:type="spellStart"/>
      <w:r>
        <w:rPr>
          <w:lang w:eastAsia="ja-JP"/>
        </w:rPr>
        <w:t>QTcF</w:t>
      </w:r>
      <w:proofErr w:type="spellEnd"/>
      <w:r>
        <w:rPr>
          <w:lang w:eastAsia="ja-JP"/>
        </w:rPr>
        <w:t xml:space="preserve"> of about 10 </w:t>
      </w:r>
      <w:proofErr w:type="spellStart"/>
      <w:r>
        <w:rPr>
          <w:lang w:eastAsia="ja-JP"/>
        </w:rPr>
        <w:t>ms</w:t>
      </w:r>
      <w:proofErr w:type="spellEnd"/>
      <w:r>
        <w:rPr>
          <w:lang w:eastAsia="ja-JP"/>
        </w:rPr>
        <w:t xml:space="preserve"> (upper 1-sided 95% CI bound: 11.4 </w:t>
      </w:r>
      <w:proofErr w:type="spellStart"/>
      <w:r>
        <w:rPr>
          <w:lang w:eastAsia="ja-JP"/>
        </w:rPr>
        <w:t>ms</w:t>
      </w:r>
      <w:proofErr w:type="spellEnd"/>
      <w:r>
        <w:rPr>
          <w:lang w:eastAsia="ja-JP"/>
        </w:rPr>
        <w:t xml:space="preserve">) by time averaging the data with a range of 10-15 </w:t>
      </w:r>
      <w:proofErr w:type="spellStart"/>
      <w:r>
        <w:rPr>
          <w:lang w:eastAsia="ja-JP"/>
        </w:rPr>
        <w:t>ms</w:t>
      </w:r>
      <w:proofErr w:type="spellEnd"/>
      <w:r>
        <w:rPr>
          <w:lang w:eastAsia="ja-JP"/>
        </w:rPr>
        <w:t xml:space="preserve"> as viewed in the time point analysis</w:t>
      </w:r>
      <w:r w:rsidR="004F2FD1">
        <w:rPr>
          <w:lang w:eastAsia="ja-JP"/>
        </w:rPr>
        <w:t>.</w:t>
      </w:r>
    </w:p>
    <w:p w:rsidR="00CD7E26" w:rsidRPr="00EC3AE0" w:rsidRDefault="00CD7E26" w:rsidP="00CD7E26">
      <w:pPr>
        <w:pStyle w:val="Heading6"/>
      </w:pPr>
      <w:r w:rsidRPr="00EC3AE0">
        <w:lastRenderedPageBreak/>
        <w:t>Studies evaluable for safety only</w:t>
      </w:r>
    </w:p>
    <w:p w:rsidR="00CD7E26" w:rsidRPr="00791B33" w:rsidRDefault="00CD7E26" w:rsidP="00CD7E26">
      <w:pPr>
        <w:keepNext/>
        <w:rPr>
          <w:b/>
        </w:rPr>
      </w:pPr>
      <w:bookmarkStart w:id="512" w:name="_Toc494205971"/>
      <w:bookmarkStart w:id="513" w:name="_Toc272414676"/>
      <w:bookmarkStart w:id="514" w:name="_Toc290888540"/>
      <w:bookmarkStart w:id="515" w:name="_Toc416353755"/>
      <w:bookmarkStart w:id="516" w:name="_Toc421005298"/>
      <w:bookmarkStart w:id="517" w:name="_Toc432079175"/>
      <w:bookmarkStart w:id="518" w:name="_Toc432080748"/>
      <w:r w:rsidRPr="00791B33">
        <w:rPr>
          <w:b/>
        </w:rPr>
        <w:t xml:space="preserve">Table </w:t>
      </w:r>
      <w:r w:rsidR="00DB6CD6">
        <w:rPr>
          <w:b/>
        </w:rPr>
        <w:t>6</w:t>
      </w:r>
      <w:r w:rsidR="009B56F4">
        <w:rPr>
          <w:b/>
        </w:rPr>
        <w:t>3</w:t>
      </w:r>
      <w:r w:rsidRPr="00791B33">
        <w:rPr>
          <w:b/>
        </w:rPr>
        <w:t>: Incidence of Prolonged QT Adverse Events Study XL184-306</w:t>
      </w:r>
      <w:bookmarkEnd w:id="512"/>
    </w:p>
    <w:p w:rsidR="00CD7E26" w:rsidRDefault="00CD7E26" w:rsidP="00CD7E26">
      <w:pPr>
        <w:rPr>
          <w:lang w:eastAsia="ja-JP"/>
        </w:rPr>
      </w:pPr>
      <w:r w:rsidRPr="00791B33">
        <w:rPr>
          <w:noProof/>
          <w:lang w:eastAsia="en-AU"/>
        </w:rPr>
        <w:drawing>
          <wp:inline distT="0" distB="0" distL="0" distR="0" wp14:anchorId="24862A73" wp14:editId="4A17415D">
            <wp:extent cx="5731510" cy="1210447"/>
            <wp:effectExtent l="0" t="0" r="2540" b="8890"/>
            <wp:docPr id="124" name="Picture 124" descr="Incidence of Prolonged QT Adverse Events Study XL18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9">
                      <a:lum bright="-20000" contrast="40000"/>
                      <a:extLst>
                        <a:ext uri="{28A0092B-C50C-407E-A947-70E740481C1C}">
                          <a14:useLocalDpi xmlns:a14="http://schemas.microsoft.com/office/drawing/2010/main" val="0"/>
                        </a:ext>
                      </a:extLst>
                    </a:blip>
                    <a:srcRect/>
                    <a:stretch>
                      <a:fillRect/>
                    </a:stretch>
                  </pic:blipFill>
                  <pic:spPr bwMode="auto">
                    <a:xfrm>
                      <a:off x="0" y="0"/>
                      <a:ext cx="5731510" cy="1210447"/>
                    </a:xfrm>
                    <a:prstGeom prst="rect">
                      <a:avLst/>
                    </a:prstGeom>
                    <a:noFill/>
                    <a:ln>
                      <a:noFill/>
                    </a:ln>
                  </pic:spPr>
                </pic:pic>
              </a:graphicData>
            </a:graphic>
          </wp:inline>
        </w:drawing>
      </w:r>
    </w:p>
    <w:p w:rsidR="00CD7E26" w:rsidRDefault="00CD7E26" w:rsidP="00DB6CD6">
      <w:pPr>
        <w:pStyle w:val="Tabletitle"/>
      </w:pPr>
      <w:bookmarkStart w:id="519" w:name="_Toc494205972"/>
      <w:r>
        <w:t xml:space="preserve">Table </w:t>
      </w:r>
      <w:r w:rsidR="00DB6CD6">
        <w:t>6</w:t>
      </w:r>
      <w:r w:rsidR="009B56F4">
        <w:t>4</w:t>
      </w:r>
      <w:r>
        <w:t xml:space="preserve">: </w:t>
      </w:r>
      <w:r w:rsidRPr="000E1916">
        <w:t>Incidence of Prolonged QT Adverse Events</w:t>
      </w:r>
      <w:r>
        <w:t xml:space="preserve"> Study XL184-307</w:t>
      </w:r>
      <w:bookmarkEnd w:id="519"/>
    </w:p>
    <w:p w:rsidR="00CD7E26" w:rsidRDefault="00CD7E26" w:rsidP="00CD7E26">
      <w:pPr>
        <w:rPr>
          <w:lang w:eastAsia="ja-JP"/>
        </w:rPr>
      </w:pPr>
      <w:r w:rsidRPr="00791B33">
        <w:rPr>
          <w:noProof/>
          <w:lang w:eastAsia="en-AU"/>
        </w:rPr>
        <w:drawing>
          <wp:inline distT="0" distB="0" distL="0" distR="0" wp14:anchorId="7933607A" wp14:editId="43092467">
            <wp:extent cx="5267325" cy="1072893"/>
            <wp:effectExtent l="19050" t="19050" r="9525" b="13335"/>
            <wp:docPr id="125" name="Picture 125" descr="Incidence of Prolonged QT Adverse Events Study XL18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90">
                      <a:lum bright="-20000" contrast="40000"/>
                      <a:extLst>
                        <a:ext uri="{28A0092B-C50C-407E-A947-70E740481C1C}">
                          <a14:useLocalDpi xmlns:a14="http://schemas.microsoft.com/office/drawing/2010/main" val="0"/>
                        </a:ext>
                      </a:extLst>
                    </a:blip>
                    <a:srcRect r="2469"/>
                    <a:stretch/>
                  </pic:blipFill>
                  <pic:spPr bwMode="auto">
                    <a:xfrm>
                      <a:off x="0" y="0"/>
                      <a:ext cx="5265467" cy="107251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D7E26" w:rsidRDefault="00CD7E26" w:rsidP="00CD7E26">
      <w:pPr>
        <w:pStyle w:val="Comment"/>
        <w:rPr>
          <w:lang w:eastAsia="ja-JP"/>
        </w:rPr>
      </w:pPr>
      <w:r w:rsidRPr="00334F26">
        <w:rPr>
          <w:b/>
        </w:rPr>
        <w:t>Comment</w:t>
      </w:r>
      <w:r>
        <w:rPr>
          <w:b/>
          <w:lang w:eastAsia="ja-JP"/>
        </w:rPr>
        <w:t>:</w:t>
      </w:r>
      <w:r w:rsidR="004F2FD1">
        <w:rPr>
          <w:b/>
          <w:lang w:eastAsia="ja-JP"/>
        </w:rPr>
        <w:tab/>
      </w:r>
      <w:r>
        <w:rPr>
          <w:lang w:eastAsia="ja-JP"/>
        </w:rPr>
        <w:t xml:space="preserve">QT prolongation was consistently observed there is a precaution in the prescribing information with regard to the use of </w:t>
      </w:r>
      <w:proofErr w:type="spellStart"/>
      <w:r>
        <w:rPr>
          <w:lang w:eastAsia="ja-JP"/>
        </w:rPr>
        <w:t>cabozantinib</w:t>
      </w:r>
      <w:proofErr w:type="spellEnd"/>
      <w:r>
        <w:rPr>
          <w:lang w:eastAsia="ja-JP"/>
        </w:rPr>
        <w:t xml:space="preserve"> and QT prolongation.</w:t>
      </w:r>
    </w:p>
    <w:p w:rsidR="00CD7E26" w:rsidRPr="00545B14" w:rsidRDefault="00CD7E26" w:rsidP="00CD7E26">
      <w:pPr>
        <w:pStyle w:val="Heading4"/>
        <w:numPr>
          <w:ilvl w:val="2"/>
          <w:numId w:val="29"/>
        </w:numPr>
      </w:pPr>
      <w:r w:rsidRPr="00545B14">
        <w:t>Vital signs</w:t>
      </w:r>
      <w:bookmarkEnd w:id="513"/>
      <w:bookmarkEnd w:id="514"/>
      <w:bookmarkEnd w:id="515"/>
      <w:bookmarkEnd w:id="516"/>
      <w:r>
        <w:t xml:space="preserve"> and clinical examination findings</w:t>
      </w:r>
      <w:bookmarkEnd w:id="517"/>
      <w:bookmarkEnd w:id="518"/>
    </w:p>
    <w:p w:rsidR="00CD7E26" w:rsidRPr="00166FC4" w:rsidRDefault="00CD7E26" w:rsidP="00166FC4">
      <w:pPr>
        <w:pStyle w:val="Heading5"/>
      </w:pPr>
      <w:r w:rsidRPr="00166FC4">
        <w:t>Integrated safety analyses</w:t>
      </w:r>
    </w:p>
    <w:p w:rsidR="00CD7E26" w:rsidRDefault="00CD7E26" w:rsidP="00CD7E26">
      <w:pPr>
        <w:rPr>
          <w:lang w:eastAsia="ja-JP"/>
        </w:rPr>
      </w:pPr>
      <w:r>
        <w:rPr>
          <w:lang w:eastAsia="ja-JP"/>
        </w:rPr>
        <w:t>Not applicable</w:t>
      </w:r>
      <w:r w:rsidR="004F2FD1">
        <w:rPr>
          <w:lang w:eastAsia="ja-JP"/>
        </w:rPr>
        <w:t>.</w:t>
      </w:r>
    </w:p>
    <w:p w:rsidR="00CD7E26" w:rsidRPr="00166FC4" w:rsidRDefault="00CD7E26" w:rsidP="00166FC4">
      <w:pPr>
        <w:pStyle w:val="Heading5"/>
      </w:pPr>
      <w:r w:rsidRPr="00166FC4">
        <w:t>Pivotal studies that assessed safety as the sole primary outcome</w:t>
      </w:r>
    </w:p>
    <w:p w:rsidR="00CD7E26" w:rsidRDefault="00CD7E26" w:rsidP="00CD7E26">
      <w:pPr>
        <w:rPr>
          <w:lang w:eastAsia="ja-JP"/>
        </w:rPr>
      </w:pPr>
      <w:r>
        <w:rPr>
          <w:lang w:eastAsia="ja-JP"/>
        </w:rPr>
        <w:t>Not applicable</w:t>
      </w:r>
      <w:r w:rsidR="004F2FD1">
        <w:rPr>
          <w:lang w:eastAsia="ja-JP"/>
        </w:rPr>
        <w:t>.</w:t>
      </w:r>
    </w:p>
    <w:p w:rsidR="00CD7E26" w:rsidRPr="00166FC4" w:rsidRDefault="00CD7E26" w:rsidP="00166FC4">
      <w:pPr>
        <w:pStyle w:val="Heading5"/>
      </w:pPr>
      <w:r w:rsidRPr="00166FC4">
        <w:t>Pivotal and/or main efficacy studies</w:t>
      </w:r>
    </w:p>
    <w:p w:rsidR="00CD7E26" w:rsidRPr="00166FC4" w:rsidRDefault="00CD7E26" w:rsidP="00166FC4">
      <w:pPr>
        <w:pStyle w:val="Heading6"/>
      </w:pPr>
      <w:r w:rsidRPr="00166FC4">
        <w:t xml:space="preserve">Blood </w:t>
      </w:r>
      <w:r w:rsidR="005621E0">
        <w:t>p</w:t>
      </w:r>
      <w:r w:rsidRPr="00166FC4">
        <w:t>ressure</w:t>
      </w:r>
    </w:p>
    <w:p w:rsidR="00CD7E26" w:rsidRDefault="00CD7E26" w:rsidP="00CD7E26">
      <w:pPr>
        <w:rPr>
          <w:lang w:eastAsia="ja-JP"/>
        </w:rPr>
      </w:pPr>
      <w:r>
        <w:rPr>
          <w:lang w:eastAsia="ja-JP"/>
        </w:rPr>
        <w:t xml:space="preserve">Hypertension was reported as an AE in 37% of subjects in the </w:t>
      </w:r>
      <w:proofErr w:type="spellStart"/>
      <w:r>
        <w:rPr>
          <w:lang w:eastAsia="ja-JP"/>
        </w:rPr>
        <w:t>cabozantinib</w:t>
      </w:r>
      <w:proofErr w:type="spellEnd"/>
      <w:r>
        <w:rPr>
          <w:lang w:eastAsia="ja-JP"/>
        </w:rPr>
        <w:t xml:space="preserve"> arm and 7.1% of subjects in the </w:t>
      </w:r>
      <w:proofErr w:type="spellStart"/>
      <w:r>
        <w:rPr>
          <w:lang w:eastAsia="ja-JP"/>
        </w:rPr>
        <w:t>everolimus</w:t>
      </w:r>
      <w:proofErr w:type="spellEnd"/>
      <w:r>
        <w:rPr>
          <w:lang w:eastAsia="ja-JP"/>
        </w:rPr>
        <w:t xml:space="preserve"> arm. The incidence of Grade 3 or </w:t>
      </w:r>
      <w:proofErr w:type="gramStart"/>
      <w:r>
        <w:rPr>
          <w:lang w:eastAsia="ja-JP"/>
        </w:rPr>
        <w:t>4 hypertension</w:t>
      </w:r>
      <w:proofErr w:type="gramEnd"/>
      <w:r>
        <w:rPr>
          <w:lang w:eastAsia="ja-JP"/>
        </w:rPr>
        <w:t xml:space="preserve"> was 15% and 3.1% in the respective treatment arms and SAEs of hypertension had an incidence of 0.3% in </w:t>
      </w:r>
      <w:proofErr w:type="spellStart"/>
      <w:r>
        <w:rPr>
          <w:lang w:eastAsia="ja-JP"/>
        </w:rPr>
        <w:t>cabozantinib</w:t>
      </w:r>
      <w:proofErr w:type="spellEnd"/>
      <w:r>
        <w:rPr>
          <w:lang w:eastAsia="ja-JP"/>
        </w:rPr>
        <w:t xml:space="preserve">-treated subjects and 0% in </w:t>
      </w:r>
      <w:proofErr w:type="spellStart"/>
      <w:r>
        <w:rPr>
          <w:lang w:eastAsia="ja-JP"/>
        </w:rPr>
        <w:t>everolimus</w:t>
      </w:r>
      <w:proofErr w:type="spellEnd"/>
      <w:r>
        <w:rPr>
          <w:lang w:eastAsia="ja-JP"/>
        </w:rPr>
        <w:t xml:space="preserve">-treated subjects. </w:t>
      </w:r>
    </w:p>
    <w:p w:rsidR="00CD7E26" w:rsidRDefault="00CD7E26" w:rsidP="00CD7E26">
      <w:pPr>
        <w:rPr>
          <w:lang w:eastAsia="ja-JP"/>
        </w:rPr>
      </w:pPr>
      <w:r>
        <w:rPr>
          <w:lang w:eastAsia="ja-JP"/>
        </w:rPr>
        <w:t xml:space="preserve">Adverse events of hypertension resulted in dose modification in 9.1% and 0% of subjects in the </w:t>
      </w:r>
      <w:proofErr w:type="spellStart"/>
      <w:r>
        <w:rPr>
          <w:lang w:eastAsia="ja-JP"/>
        </w:rPr>
        <w:t>cabozantinib</w:t>
      </w:r>
      <w:proofErr w:type="spellEnd"/>
      <w:r>
        <w:rPr>
          <w:lang w:eastAsia="ja-JP"/>
        </w:rPr>
        <w:t xml:space="preserve"> and </w:t>
      </w:r>
      <w:proofErr w:type="spellStart"/>
      <w:r>
        <w:rPr>
          <w:lang w:eastAsia="ja-JP"/>
        </w:rPr>
        <w:t>everolimus</w:t>
      </w:r>
      <w:proofErr w:type="spellEnd"/>
      <w:r>
        <w:rPr>
          <w:lang w:eastAsia="ja-JP"/>
        </w:rPr>
        <w:t xml:space="preserve"> arms, respectively. In addition to hypertension, blood pressure increased was reported as an AE in 1.5% of subjects on the </w:t>
      </w:r>
      <w:proofErr w:type="spellStart"/>
      <w:r>
        <w:rPr>
          <w:lang w:eastAsia="ja-JP"/>
        </w:rPr>
        <w:t>cabozantinib</w:t>
      </w:r>
      <w:proofErr w:type="spellEnd"/>
      <w:r>
        <w:rPr>
          <w:lang w:eastAsia="ja-JP"/>
        </w:rPr>
        <w:t xml:space="preserve"> arm and 0% of subjects on the </w:t>
      </w:r>
      <w:proofErr w:type="spellStart"/>
      <w:r>
        <w:rPr>
          <w:lang w:eastAsia="ja-JP"/>
        </w:rPr>
        <w:t>everolimus</w:t>
      </w:r>
      <w:proofErr w:type="spellEnd"/>
      <w:r>
        <w:rPr>
          <w:lang w:eastAsia="ja-JP"/>
        </w:rPr>
        <w:t xml:space="preserve"> arm, with an incidence of Grade 3 or 4 AEs of 0.6% in </w:t>
      </w:r>
      <w:proofErr w:type="spellStart"/>
      <w:r>
        <w:rPr>
          <w:lang w:eastAsia="ja-JP"/>
        </w:rPr>
        <w:t>cabozantinib</w:t>
      </w:r>
      <w:proofErr w:type="spellEnd"/>
      <w:r>
        <w:rPr>
          <w:lang w:eastAsia="ja-JP"/>
        </w:rPr>
        <w:t>-treated subjects none of which was an SAE or resulted in dose modification.</w:t>
      </w:r>
    </w:p>
    <w:p w:rsidR="00CD7E26" w:rsidRDefault="00CD7E26" w:rsidP="00CD7E26">
      <w:pPr>
        <w:pStyle w:val="Heading6"/>
        <w:rPr>
          <w:lang w:eastAsia="ja-JP"/>
        </w:rPr>
      </w:pPr>
      <w:r>
        <w:rPr>
          <w:lang w:eastAsia="ja-JP"/>
        </w:rPr>
        <w:t>Weight</w:t>
      </w:r>
    </w:p>
    <w:p w:rsidR="00CD7E26" w:rsidRDefault="00CD7E26" w:rsidP="00CD7E26">
      <w:pPr>
        <w:rPr>
          <w:lang w:eastAsia="ja-JP"/>
        </w:rPr>
      </w:pPr>
      <w:r w:rsidRPr="007635B2">
        <w:rPr>
          <w:lang w:eastAsia="ja-JP"/>
        </w:rPr>
        <w:t xml:space="preserve">Clinically-meaningful losses in body weight occurred in 46% of subjects in the </w:t>
      </w:r>
      <w:proofErr w:type="spellStart"/>
      <w:r w:rsidRPr="007635B2">
        <w:rPr>
          <w:lang w:eastAsia="ja-JP"/>
        </w:rPr>
        <w:t>cabozantinib</w:t>
      </w:r>
      <w:proofErr w:type="spellEnd"/>
      <w:r w:rsidRPr="007635B2">
        <w:rPr>
          <w:lang w:eastAsia="ja-JP"/>
        </w:rPr>
        <w:t xml:space="preserve"> arm</w:t>
      </w:r>
      <w:r>
        <w:rPr>
          <w:lang w:eastAsia="ja-JP"/>
        </w:rPr>
        <w:t xml:space="preserve"> </w:t>
      </w:r>
      <w:r w:rsidRPr="007635B2">
        <w:rPr>
          <w:lang w:eastAsia="ja-JP"/>
        </w:rPr>
        <w:t xml:space="preserve">and 19% of subjects in the </w:t>
      </w:r>
      <w:proofErr w:type="spellStart"/>
      <w:r w:rsidRPr="007635B2">
        <w:rPr>
          <w:lang w:eastAsia="ja-JP"/>
        </w:rPr>
        <w:t>everolimus</w:t>
      </w:r>
      <w:proofErr w:type="spellEnd"/>
      <w:r w:rsidRPr="007635B2">
        <w:rPr>
          <w:lang w:eastAsia="ja-JP"/>
        </w:rPr>
        <w:t xml:space="preserve"> arm</w:t>
      </w:r>
      <w:r>
        <w:rPr>
          <w:lang w:eastAsia="ja-JP"/>
        </w:rPr>
        <w:t>.</w:t>
      </w:r>
    </w:p>
    <w:p w:rsidR="00CD7E26" w:rsidRPr="007635B2" w:rsidRDefault="00CD7E26" w:rsidP="00CD7E26">
      <w:pPr>
        <w:pStyle w:val="Heading6"/>
        <w:rPr>
          <w:lang w:eastAsia="ja-JP"/>
        </w:rPr>
      </w:pPr>
      <w:r>
        <w:rPr>
          <w:lang w:eastAsia="ja-JP"/>
        </w:rPr>
        <w:t>ECOG Performance Status</w:t>
      </w:r>
    </w:p>
    <w:p w:rsidR="00CD7E26" w:rsidRDefault="00CD7E26" w:rsidP="00CD7E26">
      <w:pPr>
        <w:rPr>
          <w:lang w:eastAsia="ja-JP"/>
        </w:rPr>
      </w:pPr>
      <w:r>
        <w:rPr>
          <w:lang w:eastAsia="ja-JP"/>
        </w:rPr>
        <w:t xml:space="preserve">At baseline the majority of subjects in both treatment arms had an ECOG PS of 1. Over the course of the study, 43% and 35% of subjects in the </w:t>
      </w:r>
      <w:proofErr w:type="spellStart"/>
      <w:r>
        <w:rPr>
          <w:lang w:eastAsia="ja-JP"/>
        </w:rPr>
        <w:t>cabozantinib</w:t>
      </w:r>
      <w:proofErr w:type="spellEnd"/>
      <w:r>
        <w:rPr>
          <w:lang w:eastAsia="ja-JP"/>
        </w:rPr>
        <w:t xml:space="preserve"> and </w:t>
      </w:r>
      <w:proofErr w:type="spellStart"/>
      <w:r>
        <w:rPr>
          <w:lang w:eastAsia="ja-JP"/>
        </w:rPr>
        <w:t>everolimus</w:t>
      </w:r>
      <w:proofErr w:type="spellEnd"/>
      <w:r>
        <w:rPr>
          <w:lang w:eastAsia="ja-JP"/>
        </w:rPr>
        <w:t xml:space="preserve"> arms, respectively, </w:t>
      </w:r>
      <w:r w:rsidR="004F2FD1">
        <w:rPr>
          <w:lang w:eastAsia="ja-JP"/>
        </w:rPr>
        <w:t xml:space="preserve">had an increase in ECOG PS of ≥ </w:t>
      </w:r>
      <w:r>
        <w:rPr>
          <w:lang w:eastAsia="ja-JP"/>
        </w:rPr>
        <w:t>1; and 9.1% and 6.8% of subjects in the two respective treatment arms had an increase of ≥</w:t>
      </w:r>
      <w:r w:rsidR="004F2FD1">
        <w:rPr>
          <w:lang w:eastAsia="ja-JP"/>
        </w:rPr>
        <w:t xml:space="preserve"> </w:t>
      </w:r>
      <w:proofErr w:type="gramStart"/>
      <w:r>
        <w:rPr>
          <w:lang w:eastAsia="ja-JP"/>
        </w:rPr>
        <w:t>2.</w:t>
      </w:r>
      <w:proofErr w:type="gramEnd"/>
    </w:p>
    <w:p w:rsidR="00CD7E26" w:rsidRPr="00166FC4" w:rsidRDefault="00CD7E26" w:rsidP="00166FC4">
      <w:pPr>
        <w:pStyle w:val="Heading5"/>
      </w:pPr>
      <w:r w:rsidRPr="00166FC4">
        <w:lastRenderedPageBreak/>
        <w:t>Other studies</w:t>
      </w:r>
    </w:p>
    <w:p w:rsidR="00CD7E26" w:rsidRPr="00EC3AE0" w:rsidRDefault="00CD7E26" w:rsidP="00CD7E26">
      <w:pPr>
        <w:pStyle w:val="Heading6"/>
      </w:pPr>
      <w:r w:rsidRPr="00EC3AE0">
        <w:t xml:space="preserve">Studies with evaluable safety data: dose finding and pharmacology </w:t>
      </w:r>
    </w:p>
    <w:p w:rsidR="00CD7E26" w:rsidRDefault="00CD7E26" w:rsidP="00CD7E26">
      <w:pPr>
        <w:rPr>
          <w:lang w:eastAsia="ja-JP"/>
        </w:rPr>
      </w:pPr>
      <w:r>
        <w:rPr>
          <w:lang w:eastAsia="ja-JP"/>
        </w:rPr>
        <w:t>Not applicable</w:t>
      </w:r>
      <w:r w:rsidR="004F2FD1">
        <w:rPr>
          <w:lang w:eastAsia="ja-JP"/>
        </w:rPr>
        <w:t>.</w:t>
      </w:r>
    </w:p>
    <w:p w:rsidR="00CD7E26" w:rsidRDefault="00CD7E26" w:rsidP="00CD7E26">
      <w:pPr>
        <w:pStyle w:val="Heading6"/>
      </w:pPr>
      <w:r w:rsidRPr="00EC3AE0">
        <w:t>Studies evaluable for safety only</w:t>
      </w:r>
    </w:p>
    <w:p w:rsidR="00CD7E26" w:rsidRDefault="00CD7E26" w:rsidP="00CD7E26">
      <w:pPr>
        <w:rPr>
          <w:lang w:eastAsia="ja-JP"/>
        </w:rPr>
      </w:pPr>
      <w:bookmarkStart w:id="520" w:name="_Toc432079176"/>
      <w:bookmarkStart w:id="521" w:name="_Toc432080749"/>
      <w:r>
        <w:rPr>
          <w:lang w:eastAsia="ja-JP"/>
        </w:rPr>
        <w:t>Not applicable</w:t>
      </w:r>
      <w:r w:rsidR="004F2FD1">
        <w:rPr>
          <w:lang w:eastAsia="ja-JP"/>
        </w:rPr>
        <w:t>.</w:t>
      </w:r>
    </w:p>
    <w:p w:rsidR="00CD7E26" w:rsidRDefault="00CD7E26" w:rsidP="00CD7E26">
      <w:pPr>
        <w:pStyle w:val="Heading4"/>
        <w:numPr>
          <w:ilvl w:val="2"/>
          <w:numId w:val="29"/>
        </w:numPr>
      </w:pPr>
      <w:r>
        <w:t>Immunogenicity and immunological events</w:t>
      </w:r>
      <w:bookmarkEnd w:id="520"/>
      <w:bookmarkEnd w:id="521"/>
    </w:p>
    <w:p w:rsidR="00CD7E26" w:rsidRPr="00166FC4" w:rsidRDefault="00CD7E26" w:rsidP="00166FC4">
      <w:pPr>
        <w:pStyle w:val="Heading5"/>
      </w:pPr>
      <w:r w:rsidRPr="00166FC4">
        <w:t>Integrated safety analyses</w:t>
      </w:r>
    </w:p>
    <w:p w:rsidR="00CD7E26" w:rsidRDefault="00CD7E26" w:rsidP="00CD7E26">
      <w:pPr>
        <w:rPr>
          <w:lang w:eastAsia="ja-JP"/>
        </w:rPr>
      </w:pPr>
      <w:r>
        <w:rPr>
          <w:lang w:eastAsia="ja-JP"/>
        </w:rPr>
        <w:t>Not applicable</w:t>
      </w:r>
      <w:r w:rsidR="00166FC4">
        <w:rPr>
          <w:lang w:eastAsia="ja-JP"/>
        </w:rPr>
        <w:t>.</w:t>
      </w:r>
    </w:p>
    <w:p w:rsidR="00CD7E26" w:rsidRPr="00166FC4" w:rsidRDefault="00CD7E26" w:rsidP="00166FC4">
      <w:pPr>
        <w:pStyle w:val="Heading5"/>
      </w:pPr>
      <w:r w:rsidRPr="00166FC4">
        <w:t>Main/pivotal studies that assessed safety as the sole primary outcome</w:t>
      </w:r>
    </w:p>
    <w:p w:rsidR="00CD7E26" w:rsidRDefault="00CD7E26" w:rsidP="00CD7E26">
      <w:pPr>
        <w:rPr>
          <w:lang w:eastAsia="ja-JP"/>
        </w:rPr>
      </w:pPr>
      <w:r>
        <w:rPr>
          <w:lang w:eastAsia="ja-JP"/>
        </w:rPr>
        <w:t>Not applicable</w:t>
      </w:r>
      <w:r w:rsidR="00166FC4">
        <w:rPr>
          <w:lang w:eastAsia="ja-JP"/>
        </w:rPr>
        <w:t>.</w:t>
      </w:r>
    </w:p>
    <w:p w:rsidR="00CD7E26" w:rsidRPr="00166FC4" w:rsidRDefault="00CD7E26" w:rsidP="00166FC4">
      <w:pPr>
        <w:pStyle w:val="Heading5"/>
      </w:pPr>
      <w:r w:rsidRPr="00166FC4">
        <w:t>Pivotal and/or main efficacy studies</w:t>
      </w:r>
    </w:p>
    <w:p w:rsidR="00CD7E26" w:rsidRDefault="00CD7E26" w:rsidP="00CD7E26">
      <w:pPr>
        <w:rPr>
          <w:lang w:eastAsia="ja-JP"/>
        </w:rPr>
      </w:pPr>
      <w:r>
        <w:rPr>
          <w:lang w:eastAsia="ja-JP"/>
        </w:rPr>
        <w:t>Not applicable</w:t>
      </w:r>
      <w:r w:rsidR="00166FC4">
        <w:rPr>
          <w:lang w:eastAsia="ja-JP"/>
        </w:rPr>
        <w:t>.</w:t>
      </w:r>
    </w:p>
    <w:p w:rsidR="00CD7E26" w:rsidRPr="00166FC4" w:rsidRDefault="00CD7E26" w:rsidP="00166FC4">
      <w:pPr>
        <w:pStyle w:val="Heading5"/>
      </w:pPr>
      <w:r w:rsidRPr="00166FC4">
        <w:t>Other studies</w:t>
      </w:r>
    </w:p>
    <w:p w:rsidR="00CD7E26" w:rsidRPr="00166FC4" w:rsidRDefault="00CD7E26" w:rsidP="00166FC4">
      <w:pPr>
        <w:pStyle w:val="Heading6"/>
      </w:pPr>
      <w:r w:rsidRPr="00166FC4">
        <w:t>Other efficacy studies</w:t>
      </w:r>
    </w:p>
    <w:p w:rsidR="00CD7E26" w:rsidRDefault="00CD7E26" w:rsidP="00CD7E26">
      <w:pPr>
        <w:rPr>
          <w:lang w:eastAsia="ja-JP"/>
        </w:rPr>
      </w:pPr>
      <w:r>
        <w:rPr>
          <w:lang w:eastAsia="ja-JP"/>
        </w:rPr>
        <w:t>Not applicable</w:t>
      </w:r>
      <w:r w:rsidR="00166FC4">
        <w:rPr>
          <w:lang w:eastAsia="ja-JP"/>
        </w:rPr>
        <w:t>.</w:t>
      </w:r>
    </w:p>
    <w:p w:rsidR="00CD7E26" w:rsidRDefault="00CD7E26" w:rsidP="00166FC4">
      <w:pPr>
        <w:pStyle w:val="Heading6"/>
      </w:pPr>
      <w:r w:rsidRPr="00166FC4">
        <w:t>Studies with evaluable safety data</w:t>
      </w:r>
      <w:r w:rsidR="00166FC4">
        <w:t>: dose finding and pharmacology</w:t>
      </w:r>
    </w:p>
    <w:p w:rsidR="00CD7E26" w:rsidRPr="00166FC4" w:rsidRDefault="00CD7E26" w:rsidP="00166FC4">
      <w:pPr>
        <w:pStyle w:val="Heading6"/>
      </w:pPr>
      <w:r w:rsidRPr="00166FC4">
        <w:t>Studies evaluable for safety only</w:t>
      </w:r>
    </w:p>
    <w:p w:rsidR="00CD7E26" w:rsidRDefault="00CD7E26" w:rsidP="00CD7E26">
      <w:pPr>
        <w:rPr>
          <w:lang w:eastAsia="ja-JP"/>
        </w:rPr>
      </w:pPr>
      <w:bookmarkStart w:id="522" w:name="_Toc432079177"/>
      <w:bookmarkStart w:id="523" w:name="_Toc432080750"/>
      <w:r>
        <w:rPr>
          <w:lang w:eastAsia="ja-JP"/>
        </w:rPr>
        <w:t>Not applicable</w:t>
      </w:r>
      <w:r w:rsidR="00166FC4">
        <w:rPr>
          <w:lang w:eastAsia="ja-JP"/>
        </w:rPr>
        <w:t>.</w:t>
      </w:r>
    </w:p>
    <w:p w:rsidR="00CD7E26" w:rsidRPr="00E7113A" w:rsidRDefault="00CD7E26" w:rsidP="00CD7E26">
      <w:pPr>
        <w:pStyle w:val="Heading4"/>
        <w:numPr>
          <w:ilvl w:val="2"/>
          <w:numId w:val="29"/>
        </w:numPr>
      </w:pPr>
      <w:r w:rsidRPr="00E7113A">
        <w:t>Serious skin reactions</w:t>
      </w:r>
      <w:bookmarkEnd w:id="522"/>
      <w:bookmarkEnd w:id="523"/>
    </w:p>
    <w:p w:rsidR="00CD7E26" w:rsidRPr="00166FC4" w:rsidRDefault="00CD7E26" w:rsidP="00166FC4">
      <w:pPr>
        <w:pStyle w:val="Heading5"/>
      </w:pPr>
      <w:r w:rsidRPr="00166FC4">
        <w:t>Integrated safety analyses</w:t>
      </w:r>
    </w:p>
    <w:p w:rsidR="00CD7E26" w:rsidRDefault="00CD7E26" w:rsidP="00CD7E26">
      <w:pPr>
        <w:rPr>
          <w:lang w:eastAsia="ja-JP"/>
        </w:rPr>
      </w:pPr>
      <w:r>
        <w:rPr>
          <w:lang w:eastAsia="ja-JP"/>
        </w:rPr>
        <w:t>Not applicable</w:t>
      </w:r>
      <w:r w:rsidR="00166FC4">
        <w:rPr>
          <w:lang w:eastAsia="ja-JP"/>
        </w:rPr>
        <w:t>.</w:t>
      </w:r>
    </w:p>
    <w:p w:rsidR="00CD7E26" w:rsidRPr="00166FC4" w:rsidRDefault="00CD7E26" w:rsidP="00166FC4">
      <w:pPr>
        <w:pStyle w:val="Heading5"/>
      </w:pPr>
      <w:r w:rsidRPr="00166FC4">
        <w:t>Pivotal studies that assessed safety as the sole primary outcome</w:t>
      </w:r>
    </w:p>
    <w:p w:rsidR="00CD7E26" w:rsidRDefault="00CD7E26" w:rsidP="00CD7E26">
      <w:pPr>
        <w:rPr>
          <w:lang w:eastAsia="ja-JP"/>
        </w:rPr>
      </w:pPr>
      <w:r>
        <w:rPr>
          <w:lang w:eastAsia="ja-JP"/>
        </w:rPr>
        <w:t>Not applicable</w:t>
      </w:r>
      <w:r w:rsidR="00166FC4">
        <w:rPr>
          <w:lang w:eastAsia="ja-JP"/>
        </w:rPr>
        <w:t>.</w:t>
      </w:r>
    </w:p>
    <w:p w:rsidR="00CD7E26" w:rsidRPr="00166FC4" w:rsidRDefault="00CD7E26" w:rsidP="00166FC4">
      <w:pPr>
        <w:pStyle w:val="Heading5"/>
      </w:pPr>
      <w:r w:rsidRPr="00166FC4">
        <w:t>Pivotal and/or main efficacy studies</w:t>
      </w:r>
    </w:p>
    <w:p w:rsidR="00CD7E26" w:rsidRPr="00166FC4" w:rsidRDefault="00CD7E26" w:rsidP="00166FC4">
      <w:pPr>
        <w:pStyle w:val="Heading6"/>
      </w:pPr>
      <w:r w:rsidRPr="00166FC4">
        <w:t xml:space="preserve">Palmar-plantar </w:t>
      </w:r>
      <w:proofErr w:type="spellStart"/>
      <w:r w:rsidRPr="00166FC4">
        <w:t>erythrodysaesthesia</w:t>
      </w:r>
      <w:proofErr w:type="spellEnd"/>
      <w:r w:rsidRPr="00166FC4">
        <w:t xml:space="preserve"> syndrome</w:t>
      </w:r>
    </w:p>
    <w:p w:rsidR="00CD7E26" w:rsidRPr="001B7CC3" w:rsidRDefault="00CD7E26" w:rsidP="00CD7E26">
      <w:pPr>
        <w:rPr>
          <w:lang w:eastAsia="ja-JP"/>
        </w:rPr>
      </w:pPr>
      <w:r>
        <w:rPr>
          <w:lang w:eastAsia="ja-JP"/>
        </w:rPr>
        <w:t>PPES is a side effect frequently associated with the use of other VEGF-TKIS, leading to erythema and swelling of the palms of the hands and/or soles of the feet. This can lead to blistering</w:t>
      </w:r>
    </w:p>
    <w:p w:rsidR="00CD7E26" w:rsidRDefault="00CD7E26" w:rsidP="00CD7E26">
      <w:pPr>
        <w:rPr>
          <w:lang w:eastAsia="ja-JP"/>
        </w:rPr>
      </w:pPr>
      <w:r>
        <w:rPr>
          <w:lang w:eastAsia="ja-JP"/>
        </w:rPr>
        <w:t xml:space="preserve">The incidence of PPES in subjects that received </w:t>
      </w:r>
      <w:proofErr w:type="spellStart"/>
      <w:r>
        <w:rPr>
          <w:lang w:eastAsia="ja-JP"/>
        </w:rPr>
        <w:t>cabozantinib</w:t>
      </w:r>
      <w:proofErr w:type="spellEnd"/>
      <w:r>
        <w:rPr>
          <w:lang w:eastAsia="ja-JP"/>
        </w:rPr>
        <w:t xml:space="preserve"> was high. 139 subjects [42%]); 19 subjects (5.9%) had PPES in the </w:t>
      </w:r>
      <w:proofErr w:type="spellStart"/>
      <w:r>
        <w:rPr>
          <w:lang w:eastAsia="ja-JP"/>
        </w:rPr>
        <w:t>everolimus</w:t>
      </w:r>
      <w:proofErr w:type="spellEnd"/>
      <w:r>
        <w:rPr>
          <w:lang w:eastAsia="ja-JP"/>
        </w:rPr>
        <w:t xml:space="preserve"> arm. PPES was one of the most frequent reasons for interruption or discontinuation of study treatment.</w:t>
      </w:r>
    </w:p>
    <w:p w:rsidR="00CD7E26" w:rsidRPr="00166FC4" w:rsidRDefault="00CD7E26" w:rsidP="00166FC4">
      <w:pPr>
        <w:pStyle w:val="Heading5"/>
      </w:pPr>
      <w:r w:rsidRPr="00166FC4">
        <w:t>Other studies</w:t>
      </w:r>
    </w:p>
    <w:p w:rsidR="00CD7E26" w:rsidRPr="00EC3AE0" w:rsidRDefault="00CD7E26" w:rsidP="00CD7E26">
      <w:pPr>
        <w:pStyle w:val="Heading6"/>
      </w:pPr>
      <w:bookmarkStart w:id="524" w:name="_Toc272414678"/>
      <w:bookmarkStart w:id="525" w:name="_Toc290888542"/>
      <w:bookmarkStart w:id="526" w:name="_Toc416353757"/>
      <w:bookmarkStart w:id="527" w:name="_Toc421005300"/>
      <w:bookmarkStart w:id="528" w:name="_Toc432079178"/>
      <w:bookmarkStart w:id="529" w:name="_Toc432080751"/>
      <w:r w:rsidRPr="00EC3AE0">
        <w:t xml:space="preserve">Studies with evaluable safety data: dose finding and pharmacology </w:t>
      </w:r>
    </w:p>
    <w:p w:rsidR="00CD7E26" w:rsidRDefault="00CD7E26" w:rsidP="00CD7E26">
      <w:pPr>
        <w:rPr>
          <w:lang w:eastAsia="ja-JP"/>
        </w:rPr>
      </w:pPr>
      <w:r>
        <w:rPr>
          <w:lang w:eastAsia="ja-JP"/>
        </w:rPr>
        <w:t xml:space="preserve">In Study XL184-008 40% of subjects in the DTC arm and 36% of subjects in the RCC arm experienced PPES of any severity. </w:t>
      </w:r>
    </w:p>
    <w:p w:rsidR="00CD7E26" w:rsidRPr="00166FC4" w:rsidRDefault="00CD7E26" w:rsidP="00166FC4">
      <w:pPr>
        <w:pStyle w:val="Heading6"/>
      </w:pPr>
      <w:r w:rsidRPr="00166FC4">
        <w:t>Studies evaluable for safety only</w:t>
      </w:r>
    </w:p>
    <w:p w:rsidR="00CD7E26" w:rsidRDefault="00CD7E26" w:rsidP="00CD7E26">
      <w:pPr>
        <w:rPr>
          <w:lang w:eastAsia="ja-JP"/>
        </w:rPr>
      </w:pPr>
      <w:r>
        <w:rPr>
          <w:lang w:eastAsia="ja-JP"/>
        </w:rPr>
        <w:t>In the pooled analysis of studies 306 and 307 PPES was reported for 28% of subjects and lead to dose interruption /modification or discontinuation in 8.9% of subjects.</w:t>
      </w:r>
    </w:p>
    <w:p w:rsidR="00CD7E26" w:rsidRPr="00545B14" w:rsidRDefault="00CD7E26" w:rsidP="00CD7E26">
      <w:pPr>
        <w:pStyle w:val="Heading4"/>
        <w:numPr>
          <w:ilvl w:val="2"/>
          <w:numId w:val="29"/>
        </w:numPr>
      </w:pPr>
      <w:r w:rsidRPr="00545B14">
        <w:lastRenderedPageBreak/>
        <w:t>Other safety parameter</w:t>
      </w:r>
      <w:bookmarkEnd w:id="524"/>
      <w:bookmarkEnd w:id="525"/>
      <w:bookmarkEnd w:id="526"/>
      <w:bookmarkEnd w:id="527"/>
      <w:bookmarkEnd w:id="528"/>
      <w:bookmarkEnd w:id="529"/>
      <w:r>
        <w:t>s</w:t>
      </w:r>
    </w:p>
    <w:p w:rsidR="00CD7E26" w:rsidRPr="00166FC4" w:rsidRDefault="00CD7E26" w:rsidP="00166FC4">
      <w:pPr>
        <w:pStyle w:val="Heading5"/>
      </w:pPr>
      <w:r w:rsidRPr="00166FC4">
        <w:t>Integrated safety analyses</w:t>
      </w:r>
    </w:p>
    <w:p w:rsidR="00CD7E26" w:rsidRDefault="00CD7E26" w:rsidP="00CD7E26">
      <w:pPr>
        <w:rPr>
          <w:lang w:eastAsia="ja-JP"/>
        </w:rPr>
      </w:pPr>
      <w:r>
        <w:rPr>
          <w:lang w:eastAsia="ja-JP"/>
        </w:rPr>
        <w:t>Not applicable</w:t>
      </w:r>
      <w:r w:rsidR="00166FC4">
        <w:rPr>
          <w:lang w:eastAsia="ja-JP"/>
        </w:rPr>
        <w:t>.</w:t>
      </w:r>
    </w:p>
    <w:p w:rsidR="00CD7E26" w:rsidRPr="00166FC4" w:rsidRDefault="00CD7E26" w:rsidP="00166FC4">
      <w:pPr>
        <w:pStyle w:val="Heading5"/>
      </w:pPr>
      <w:r w:rsidRPr="00166FC4">
        <w:t>Main/pivotal studies that assessed safety as the sole primary outcome</w:t>
      </w:r>
    </w:p>
    <w:p w:rsidR="00CD7E26" w:rsidRDefault="00CD7E26" w:rsidP="00CD7E26">
      <w:pPr>
        <w:rPr>
          <w:lang w:eastAsia="ja-JP"/>
        </w:rPr>
      </w:pPr>
      <w:r>
        <w:rPr>
          <w:lang w:eastAsia="ja-JP"/>
        </w:rPr>
        <w:t>Not applicable</w:t>
      </w:r>
      <w:r w:rsidR="00166FC4">
        <w:rPr>
          <w:lang w:eastAsia="ja-JP"/>
        </w:rPr>
        <w:t>.</w:t>
      </w:r>
    </w:p>
    <w:p w:rsidR="00CD7E26" w:rsidRPr="00166FC4" w:rsidRDefault="00CD7E26" w:rsidP="00166FC4">
      <w:pPr>
        <w:pStyle w:val="Heading5"/>
      </w:pPr>
      <w:r w:rsidRPr="00166FC4">
        <w:t>Pivotal and/or main efficacy studies</w:t>
      </w:r>
    </w:p>
    <w:p w:rsidR="00CD7E26" w:rsidRPr="00166FC4" w:rsidRDefault="00CD7E26" w:rsidP="00166FC4">
      <w:pPr>
        <w:pStyle w:val="Heading6"/>
      </w:pPr>
      <w:r w:rsidRPr="00166FC4">
        <w:t>Events to Monitor</w:t>
      </w:r>
    </w:p>
    <w:p w:rsidR="00CD7E26" w:rsidRDefault="00CD7E26" w:rsidP="00CD7E26">
      <w:pPr>
        <w:rPr>
          <w:lang w:eastAsia="ja-JP"/>
        </w:rPr>
      </w:pPr>
      <w:r>
        <w:rPr>
          <w:lang w:eastAsia="ja-JP"/>
        </w:rPr>
        <w:t xml:space="preserve">A number of AEs to monitor were </w:t>
      </w:r>
      <w:proofErr w:type="spellStart"/>
      <w:r>
        <w:rPr>
          <w:lang w:eastAsia="ja-JP"/>
        </w:rPr>
        <w:t>prespecified</w:t>
      </w:r>
      <w:proofErr w:type="spellEnd"/>
      <w:r>
        <w:rPr>
          <w:lang w:eastAsia="ja-JP"/>
        </w:rPr>
        <w:t xml:space="preserve"> and termed </w:t>
      </w:r>
      <w:bookmarkStart w:id="530" w:name="_Hlk479945562"/>
      <w:r>
        <w:rPr>
          <w:lang w:eastAsia="ja-JP"/>
        </w:rPr>
        <w:t>events to monitor (ETM)</w:t>
      </w:r>
      <w:bookmarkEnd w:id="530"/>
      <w:r>
        <w:rPr>
          <w:lang w:eastAsia="ja-JP"/>
        </w:rPr>
        <w:t>. The ETM were selected based on the known safety profile of TKIs, VEGF inhibition and potential severity. The frequency of ETMs is summarised in the table below</w:t>
      </w:r>
      <w:r>
        <w:rPr>
          <w:b/>
          <w:lang w:eastAsia="ja-JP"/>
        </w:rPr>
        <w:t xml:space="preserve"> </w:t>
      </w:r>
      <w:r>
        <w:rPr>
          <w:lang w:eastAsia="ja-JP"/>
        </w:rPr>
        <w:t>that is taken from the Summary of Clinical Safety.</w:t>
      </w:r>
    </w:p>
    <w:p w:rsidR="00CD7E26" w:rsidRDefault="00CD7E26" w:rsidP="00DB6CD6">
      <w:pPr>
        <w:pStyle w:val="Tabletitle"/>
      </w:pPr>
      <w:bookmarkStart w:id="531" w:name="_Toc494205973"/>
      <w:r>
        <w:t xml:space="preserve">Table </w:t>
      </w:r>
      <w:r w:rsidR="00DB6CD6">
        <w:t>6</w:t>
      </w:r>
      <w:r w:rsidR="009B56F4">
        <w:t>5</w:t>
      </w:r>
      <w:r>
        <w:t xml:space="preserve">: </w:t>
      </w:r>
      <w:r w:rsidRPr="003334FD">
        <w:t>Incidence of Events to Monitor</w:t>
      </w:r>
      <w:bookmarkEnd w:id="531"/>
    </w:p>
    <w:p w:rsidR="00D95671" w:rsidRPr="00D95671" w:rsidRDefault="00D95671" w:rsidP="00D95671">
      <w:r>
        <w:rPr>
          <w:noProof/>
          <w:lang w:eastAsia="en-AU"/>
        </w:rPr>
        <w:drawing>
          <wp:inline distT="0" distB="0" distL="0" distR="0" wp14:anchorId="50C65577" wp14:editId="63C98C19">
            <wp:extent cx="4552950" cy="5797177"/>
            <wp:effectExtent l="0" t="0" r="0" b="0"/>
            <wp:docPr id="31" name="Picture 31" descr="Incidence of Events to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BEBA8EAE-BF5A-486C-A8C5-ECC9F3942E4B}">
                          <a14:imgProps xmlns:a14="http://schemas.microsoft.com/office/drawing/2010/main">
                            <a14:imgLayer r:embed="rId92">
                              <a14:imgEffect>
                                <a14:sharpenSoften amount="50000"/>
                              </a14:imgEffect>
                            </a14:imgLayer>
                          </a14:imgProps>
                        </a:ext>
                      </a:extLst>
                    </a:blip>
                    <a:stretch>
                      <a:fillRect/>
                    </a:stretch>
                  </pic:blipFill>
                  <pic:spPr>
                    <a:xfrm>
                      <a:off x="0" y="0"/>
                      <a:ext cx="4552950" cy="5797177"/>
                    </a:xfrm>
                    <a:prstGeom prst="rect">
                      <a:avLst/>
                    </a:prstGeom>
                  </pic:spPr>
                </pic:pic>
              </a:graphicData>
            </a:graphic>
          </wp:inline>
        </w:drawing>
      </w:r>
    </w:p>
    <w:p w:rsidR="00CD7E26" w:rsidRDefault="00CD7E26" w:rsidP="00CD7E26">
      <w:pPr>
        <w:pStyle w:val="Heading6"/>
        <w:rPr>
          <w:lang w:eastAsia="ja-JP"/>
        </w:rPr>
      </w:pPr>
      <w:r w:rsidRPr="00350902">
        <w:rPr>
          <w:lang w:eastAsia="ja-JP"/>
        </w:rPr>
        <w:lastRenderedPageBreak/>
        <w:t>G</w:t>
      </w:r>
      <w:r>
        <w:rPr>
          <w:lang w:eastAsia="ja-JP"/>
        </w:rPr>
        <w:t xml:space="preserve">astrointestinal </w:t>
      </w:r>
      <w:r w:rsidR="005621E0">
        <w:rPr>
          <w:lang w:eastAsia="ja-JP"/>
        </w:rPr>
        <w:t>p</w:t>
      </w:r>
      <w:r w:rsidRPr="00350902">
        <w:rPr>
          <w:lang w:eastAsia="ja-JP"/>
        </w:rPr>
        <w:t>erforation</w:t>
      </w:r>
    </w:p>
    <w:p w:rsidR="00CD7E26" w:rsidRDefault="00CD7E26" w:rsidP="00CD7E26">
      <w:pPr>
        <w:rPr>
          <w:lang w:eastAsia="ja-JP"/>
        </w:rPr>
      </w:pPr>
      <w:r w:rsidRPr="00E7398C">
        <w:rPr>
          <w:lang w:eastAsia="ja-JP"/>
        </w:rPr>
        <w:t xml:space="preserve">Gastrointestinal perforations were reported for three subjects (0.9%) in the </w:t>
      </w:r>
      <w:proofErr w:type="spellStart"/>
      <w:r w:rsidRPr="00E7398C">
        <w:rPr>
          <w:lang w:eastAsia="ja-JP"/>
        </w:rPr>
        <w:t>cabozantinib</w:t>
      </w:r>
      <w:proofErr w:type="spellEnd"/>
      <w:r w:rsidRPr="00E7398C">
        <w:rPr>
          <w:lang w:eastAsia="ja-JP"/>
        </w:rPr>
        <w:t xml:space="preserve"> arm and</w:t>
      </w:r>
      <w:r>
        <w:rPr>
          <w:lang w:eastAsia="ja-JP"/>
        </w:rPr>
        <w:t xml:space="preserve"> </w:t>
      </w:r>
      <w:r w:rsidRPr="00E7398C">
        <w:rPr>
          <w:lang w:eastAsia="ja-JP"/>
        </w:rPr>
        <w:t xml:space="preserve">two subjects (0.6%) in the </w:t>
      </w:r>
      <w:proofErr w:type="spellStart"/>
      <w:r w:rsidRPr="00E7398C">
        <w:rPr>
          <w:lang w:eastAsia="ja-JP"/>
        </w:rPr>
        <w:t>everolimus</w:t>
      </w:r>
      <w:proofErr w:type="spellEnd"/>
      <w:r w:rsidRPr="00E7398C">
        <w:rPr>
          <w:lang w:eastAsia="ja-JP"/>
        </w:rPr>
        <w:t xml:space="preserve"> arm</w:t>
      </w:r>
      <w:r>
        <w:rPr>
          <w:lang w:eastAsia="ja-JP"/>
        </w:rPr>
        <w:t>.</w:t>
      </w:r>
    </w:p>
    <w:p w:rsidR="00CD7E26" w:rsidRDefault="00CD7E26" w:rsidP="00CD7E26">
      <w:pPr>
        <w:rPr>
          <w:lang w:eastAsia="ja-JP"/>
        </w:rPr>
      </w:pPr>
      <w:r>
        <w:rPr>
          <w:lang w:eastAsia="ja-JP"/>
        </w:rPr>
        <w:t xml:space="preserve">Two subjects in the </w:t>
      </w:r>
      <w:proofErr w:type="spellStart"/>
      <w:r>
        <w:rPr>
          <w:lang w:eastAsia="ja-JP"/>
        </w:rPr>
        <w:t>cabozantinib</w:t>
      </w:r>
      <w:proofErr w:type="spellEnd"/>
      <w:r>
        <w:rPr>
          <w:lang w:eastAsia="ja-JP"/>
        </w:rPr>
        <w:t xml:space="preserve"> arm had Grade 3 events (gastrointestinal perforation and intestinal perforation).</w:t>
      </w:r>
    </w:p>
    <w:p w:rsidR="00CD7E26" w:rsidRDefault="00CD7E26" w:rsidP="00CD7E26">
      <w:pPr>
        <w:rPr>
          <w:lang w:eastAsia="ja-JP"/>
        </w:rPr>
      </w:pPr>
      <w:r>
        <w:rPr>
          <w:lang w:eastAsia="ja-JP"/>
        </w:rPr>
        <w:t xml:space="preserve">For the </w:t>
      </w:r>
      <w:proofErr w:type="spellStart"/>
      <w:r>
        <w:rPr>
          <w:lang w:eastAsia="ja-JP"/>
        </w:rPr>
        <w:t>everolimus</w:t>
      </w:r>
      <w:proofErr w:type="spellEnd"/>
      <w:r>
        <w:rPr>
          <w:lang w:eastAsia="ja-JP"/>
        </w:rPr>
        <w:t xml:space="preserve"> arm, one subject had a Grade 4 intestinal perforation and the other had a Grade 5 gastrointestinal perforation.</w:t>
      </w:r>
    </w:p>
    <w:p w:rsidR="00CD7E26" w:rsidRDefault="00CD7E26" w:rsidP="00CD7E26">
      <w:pPr>
        <w:rPr>
          <w:lang w:eastAsia="ja-JP"/>
        </w:rPr>
      </w:pPr>
      <w:r>
        <w:rPr>
          <w:lang w:eastAsia="ja-JP"/>
        </w:rPr>
        <w:t xml:space="preserve">There were no Grade 5 events of GI perforation in the </w:t>
      </w:r>
      <w:proofErr w:type="spellStart"/>
      <w:r>
        <w:rPr>
          <w:lang w:eastAsia="ja-JP"/>
        </w:rPr>
        <w:t>cabozantinib</w:t>
      </w:r>
      <w:proofErr w:type="spellEnd"/>
      <w:r>
        <w:rPr>
          <w:lang w:eastAsia="ja-JP"/>
        </w:rPr>
        <w:t xml:space="preserve"> arm. In addition, no AEs of peritonitis were reported in the </w:t>
      </w:r>
      <w:proofErr w:type="spellStart"/>
      <w:r>
        <w:rPr>
          <w:lang w:eastAsia="ja-JP"/>
        </w:rPr>
        <w:t>cabozantinib</w:t>
      </w:r>
      <w:proofErr w:type="spellEnd"/>
      <w:r>
        <w:rPr>
          <w:lang w:eastAsia="ja-JP"/>
        </w:rPr>
        <w:t xml:space="preserve"> arm. In the </w:t>
      </w:r>
      <w:proofErr w:type="spellStart"/>
      <w:r>
        <w:rPr>
          <w:lang w:eastAsia="ja-JP"/>
        </w:rPr>
        <w:t>everolimus</w:t>
      </w:r>
      <w:proofErr w:type="spellEnd"/>
      <w:r>
        <w:rPr>
          <w:lang w:eastAsia="ja-JP"/>
        </w:rPr>
        <w:t xml:space="preserve"> arm, one subject had an AE of serious Grade 4 peritonitis and one subject had an AE of serious Grade 2 bacterial peritonitis.</w:t>
      </w:r>
    </w:p>
    <w:p w:rsidR="00CD7E26" w:rsidRDefault="00CD7E26" w:rsidP="00CD7E26">
      <w:pPr>
        <w:pStyle w:val="Heading6"/>
        <w:rPr>
          <w:lang w:eastAsia="ja-JP"/>
        </w:rPr>
      </w:pPr>
      <w:r>
        <w:rPr>
          <w:lang w:eastAsia="ja-JP"/>
        </w:rPr>
        <w:t>Fistula</w:t>
      </w:r>
    </w:p>
    <w:p w:rsidR="00CD7E26" w:rsidRPr="009A7161" w:rsidRDefault="00CD7E26" w:rsidP="00CD7E26">
      <w:pPr>
        <w:rPr>
          <w:b/>
          <w:lang w:eastAsia="ja-JP"/>
        </w:rPr>
      </w:pPr>
      <w:r>
        <w:rPr>
          <w:lang w:eastAsia="ja-JP"/>
        </w:rPr>
        <w:t xml:space="preserve">Fistula was reported for 1.5% of subjects who received </w:t>
      </w:r>
      <w:proofErr w:type="spellStart"/>
      <w:r>
        <w:rPr>
          <w:lang w:eastAsia="ja-JP"/>
        </w:rPr>
        <w:t>cabozantinib</w:t>
      </w:r>
      <w:proofErr w:type="spellEnd"/>
      <w:r>
        <w:rPr>
          <w:lang w:eastAsia="ja-JP"/>
        </w:rPr>
        <w:t xml:space="preserve"> and none who had received </w:t>
      </w:r>
      <w:proofErr w:type="spellStart"/>
      <w:r>
        <w:rPr>
          <w:lang w:eastAsia="ja-JP"/>
        </w:rPr>
        <w:t>everolimus</w:t>
      </w:r>
      <w:proofErr w:type="spellEnd"/>
      <w:r>
        <w:rPr>
          <w:lang w:eastAsia="ja-JP"/>
        </w:rPr>
        <w:t>.</w:t>
      </w:r>
    </w:p>
    <w:p w:rsidR="00CD7E26" w:rsidRDefault="00CD7E26" w:rsidP="00CD7E26">
      <w:pPr>
        <w:pStyle w:val="Heading6"/>
        <w:rPr>
          <w:lang w:eastAsia="ja-JP"/>
        </w:rPr>
      </w:pPr>
      <w:r w:rsidRPr="00AF0985">
        <w:rPr>
          <w:lang w:eastAsia="ja-JP"/>
        </w:rPr>
        <w:t>Abscess—All</w:t>
      </w:r>
    </w:p>
    <w:p w:rsidR="00CD7E26" w:rsidRPr="00AF0985" w:rsidRDefault="00CD7E26" w:rsidP="00CD7E26">
      <w:pPr>
        <w:rPr>
          <w:lang w:eastAsia="ja-JP"/>
        </w:rPr>
      </w:pPr>
      <w:r w:rsidRPr="003B41C4">
        <w:rPr>
          <w:lang w:eastAsia="ja-JP"/>
        </w:rPr>
        <w:t>The incidence of abscess was low in both treatment arms. Grade 3 AEs of abdominal abscess and</w:t>
      </w:r>
      <w:r>
        <w:rPr>
          <w:lang w:eastAsia="ja-JP"/>
        </w:rPr>
        <w:t xml:space="preserve"> </w:t>
      </w:r>
      <w:r w:rsidRPr="003B41C4">
        <w:rPr>
          <w:lang w:eastAsia="ja-JP"/>
        </w:rPr>
        <w:t xml:space="preserve">anal abscess (0.6% each) were reported for the </w:t>
      </w:r>
      <w:proofErr w:type="spellStart"/>
      <w:r w:rsidRPr="003B41C4">
        <w:rPr>
          <w:lang w:eastAsia="ja-JP"/>
        </w:rPr>
        <w:t>cabozantinib</w:t>
      </w:r>
      <w:proofErr w:type="spellEnd"/>
      <w:r w:rsidRPr="003B41C4">
        <w:rPr>
          <w:lang w:eastAsia="ja-JP"/>
        </w:rPr>
        <w:t xml:space="preserve"> arm. Grade 3 AEs of neck abscess</w:t>
      </w:r>
      <w:r>
        <w:rPr>
          <w:lang w:eastAsia="ja-JP"/>
        </w:rPr>
        <w:t xml:space="preserve"> </w:t>
      </w:r>
      <w:r w:rsidRPr="003B41C4">
        <w:rPr>
          <w:lang w:eastAsia="ja-JP"/>
        </w:rPr>
        <w:t xml:space="preserve">and </w:t>
      </w:r>
      <w:proofErr w:type="spellStart"/>
      <w:r w:rsidRPr="003B41C4">
        <w:rPr>
          <w:lang w:eastAsia="ja-JP"/>
        </w:rPr>
        <w:t>uncoded</w:t>
      </w:r>
      <w:proofErr w:type="spellEnd"/>
      <w:r w:rsidRPr="003B41C4">
        <w:rPr>
          <w:lang w:eastAsia="ja-JP"/>
        </w:rPr>
        <w:t>: periodontal abscess (0.3% each) w</w:t>
      </w:r>
      <w:r>
        <w:rPr>
          <w:lang w:eastAsia="ja-JP"/>
        </w:rPr>
        <w:t>as</w:t>
      </w:r>
      <w:r w:rsidRPr="003B41C4">
        <w:rPr>
          <w:lang w:eastAsia="ja-JP"/>
        </w:rPr>
        <w:t xml:space="preserve"> reported for the </w:t>
      </w:r>
      <w:proofErr w:type="spellStart"/>
      <w:r w:rsidRPr="003B41C4">
        <w:rPr>
          <w:lang w:eastAsia="ja-JP"/>
        </w:rPr>
        <w:t>everolimus</w:t>
      </w:r>
      <w:proofErr w:type="spellEnd"/>
      <w:r w:rsidRPr="003B41C4">
        <w:rPr>
          <w:lang w:eastAsia="ja-JP"/>
        </w:rPr>
        <w:t xml:space="preserve"> arm.</w:t>
      </w:r>
    </w:p>
    <w:p w:rsidR="00CD7E26" w:rsidRDefault="00CD7E26" w:rsidP="00CD7E26">
      <w:pPr>
        <w:pStyle w:val="Heading6"/>
        <w:rPr>
          <w:lang w:eastAsia="ja-JP"/>
        </w:rPr>
      </w:pPr>
      <w:bookmarkStart w:id="532" w:name="_Hlk479946654"/>
      <w:r w:rsidRPr="003B41C4">
        <w:rPr>
          <w:lang w:eastAsia="ja-JP"/>
        </w:rPr>
        <w:t xml:space="preserve">Intra-abdominal and </w:t>
      </w:r>
      <w:r w:rsidR="005621E0" w:rsidRPr="003B41C4">
        <w:rPr>
          <w:lang w:eastAsia="ja-JP"/>
        </w:rPr>
        <w:t>pelvic abscess</w:t>
      </w:r>
    </w:p>
    <w:p w:rsidR="00CD7E26" w:rsidRDefault="00CD7E26" w:rsidP="00CD7E26">
      <w:pPr>
        <w:rPr>
          <w:lang w:eastAsia="ja-JP"/>
        </w:rPr>
      </w:pPr>
      <w:r>
        <w:rPr>
          <w:lang w:eastAsia="ja-JP"/>
        </w:rPr>
        <w:t xml:space="preserve">As may be expected form the incidence of all abscesses the incidence of </w:t>
      </w:r>
      <w:proofErr w:type="spellStart"/>
      <w:r>
        <w:rPr>
          <w:lang w:eastAsia="ja-JP"/>
        </w:rPr>
        <w:t>intrabdominal</w:t>
      </w:r>
      <w:proofErr w:type="spellEnd"/>
      <w:r>
        <w:rPr>
          <w:lang w:eastAsia="ja-JP"/>
        </w:rPr>
        <w:t xml:space="preserve"> and/or pelvic abscess was low; events reported for four subjects (1.2%) in the </w:t>
      </w:r>
      <w:proofErr w:type="spellStart"/>
      <w:r>
        <w:rPr>
          <w:lang w:eastAsia="ja-JP"/>
        </w:rPr>
        <w:t>cabozantinib</w:t>
      </w:r>
      <w:proofErr w:type="spellEnd"/>
      <w:r>
        <w:rPr>
          <w:lang w:eastAsia="ja-JP"/>
        </w:rPr>
        <w:t xml:space="preserve"> arm and one subject (0.3%) in the </w:t>
      </w:r>
      <w:proofErr w:type="spellStart"/>
      <w:r>
        <w:rPr>
          <w:lang w:eastAsia="ja-JP"/>
        </w:rPr>
        <w:t>everolimus</w:t>
      </w:r>
      <w:proofErr w:type="spellEnd"/>
      <w:r>
        <w:rPr>
          <w:lang w:eastAsia="ja-JP"/>
        </w:rPr>
        <w:t xml:space="preserve"> arm.</w:t>
      </w:r>
    </w:p>
    <w:p w:rsidR="00CD7E26" w:rsidRDefault="00CD7E26" w:rsidP="00CD7E26">
      <w:pPr>
        <w:pStyle w:val="Heading6"/>
        <w:rPr>
          <w:lang w:eastAsia="ja-JP"/>
        </w:rPr>
      </w:pPr>
      <w:r>
        <w:rPr>
          <w:lang w:eastAsia="ja-JP"/>
        </w:rPr>
        <w:t xml:space="preserve">Haemorrhage </w:t>
      </w:r>
    </w:p>
    <w:p w:rsidR="00CD7E26" w:rsidRDefault="00CD7E26" w:rsidP="00CD7E26">
      <w:pPr>
        <w:rPr>
          <w:lang w:eastAsia="ja-JP"/>
        </w:rPr>
      </w:pPr>
      <w:r>
        <w:rPr>
          <w:lang w:eastAsia="ja-JP"/>
        </w:rPr>
        <w:t xml:space="preserve">Haemorrhagic events ≥ Grade 3 were reported for 6 subjects (1.8%) and 4 subjects (1.2%) in the </w:t>
      </w:r>
      <w:proofErr w:type="spellStart"/>
      <w:r>
        <w:rPr>
          <w:lang w:eastAsia="ja-JP"/>
        </w:rPr>
        <w:t>cabozantinib</w:t>
      </w:r>
      <w:proofErr w:type="spellEnd"/>
      <w:r>
        <w:rPr>
          <w:lang w:eastAsia="ja-JP"/>
        </w:rPr>
        <w:t xml:space="preserve"> and </w:t>
      </w:r>
      <w:proofErr w:type="spellStart"/>
      <w:r>
        <w:rPr>
          <w:lang w:eastAsia="ja-JP"/>
        </w:rPr>
        <w:t>everolimus</w:t>
      </w:r>
      <w:proofErr w:type="spellEnd"/>
      <w:r>
        <w:rPr>
          <w:lang w:eastAsia="ja-JP"/>
        </w:rPr>
        <w:t xml:space="preserve"> arms, respectively. Each ≥ Grade 3 AE PT was reported in no more than one subject per treatment arm. Grade 3 or 4 AEs reported for the </w:t>
      </w:r>
      <w:proofErr w:type="spellStart"/>
      <w:r>
        <w:rPr>
          <w:lang w:eastAsia="ja-JP"/>
        </w:rPr>
        <w:t>cabozantinib</w:t>
      </w:r>
      <w:proofErr w:type="spellEnd"/>
      <w:r>
        <w:rPr>
          <w:lang w:eastAsia="ja-JP"/>
        </w:rPr>
        <w:t xml:space="preserve"> arm were cerebral hematoma, gastric haemorrhage, and ulcer haemorrhage (each Grade 3) and </w:t>
      </w:r>
      <w:proofErr w:type="spellStart"/>
      <w:r>
        <w:rPr>
          <w:lang w:eastAsia="ja-JP"/>
        </w:rPr>
        <w:t>haemarthrosis</w:t>
      </w:r>
      <w:proofErr w:type="spellEnd"/>
      <w:r>
        <w:rPr>
          <w:lang w:eastAsia="ja-JP"/>
        </w:rPr>
        <w:t xml:space="preserve"> and haemorrhagic anaemia (reported in the same subject; both Grade 4). Grade 3 or 4aAEs reported for the </w:t>
      </w:r>
      <w:proofErr w:type="spellStart"/>
      <w:r>
        <w:rPr>
          <w:lang w:eastAsia="ja-JP"/>
        </w:rPr>
        <w:t>everolimus</w:t>
      </w:r>
      <w:proofErr w:type="spellEnd"/>
      <w:r>
        <w:rPr>
          <w:lang w:eastAsia="ja-JP"/>
        </w:rPr>
        <w:t xml:space="preserve"> arm were gastric haemorrhage and upper gastrointestinal haemorrhage (both Grade 3) and renal haemorrhage and </w:t>
      </w:r>
      <w:proofErr w:type="spellStart"/>
      <w:r>
        <w:rPr>
          <w:lang w:eastAsia="ja-JP"/>
        </w:rPr>
        <w:t>uncoded</w:t>
      </w:r>
      <w:proofErr w:type="spellEnd"/>
      <w:r>
        <w:rPr>
          <w:lang w:eastAsia="ja-JP"/>
        </w:rPr>
        <w:t>: stroke haemorrhagic (Grade 3).</w:t>
      </w:r>
    </w:p>
    <w:p w:rsidR="00CD7E26" w:rsidRPr="00E16637" w:rsidRDefault="00CD7E26" w:rsidP="00CD7E26">
      <w:pPr>
        <w:rPr>
          <w:lang w:eastAsia="ja-JP"/>
        </w:rPr>
      </w:pPr>
      <w:r>
        <w:rPr>
          <w:lang w:eastAsia="ja-JP"/>
        </w:rPr>
        <w:t xml:space="preserve">There were two Grade 5 haemorrhagic events reported in the </w:t>
      </w:r>
      <w:proofErr w:type="spellStart"/>
      <w:r>
        <w:rPr>
          <w:lang w:eastAsia="ja-JP"/>
        </w:rPr>
        <w:t>cabozantinib</w:t>
      </w:r>
      <w:proofErr w:type="spellEnd"/>
      <w:r>
        <w:rPr>
          <w:lang w:eastAsia="ja-JP"/>
        </w:rPr>
        <w:t xml:space="preserve"> arm: an extradural haematoma derived from </w:t>
      </w:r>
      <w:proofErr w:type="spellStart"/>
      <w:r>
        <w:rPr>
          <w:lang w:eastAsia="ja-JP"/>
        </w:rPr>
        <w:t>exophytic</w:t>
      </w:r>
      <w:proofErr w:type="spellEnd"/>
      <w:r>
        <w:rPr>
          <w:lang w:eastAsia="ja-JP"/>
        </w:rPr>
        <w:t xml:space="preserve"> growth of bone metastases to the skull which occurred 31 days after the last dose of </w:t>
      </w:r>
      <w:proofErr w:type="spellStart"/>
      <w:r>
        <w:rPr>
          <w:lang w:eastAsia="ja-JP"/>
        </w:rPr>
        <w:t>cabozantinib</w:t>
      </w:r>
      <w:proofErr w:type="spellEnd"/>
      <w:r>
        <w:rPr>
          <w:lang w:eastAsia="ja-JP"/>
        </w:rPr>
        <w:t xml:space="preserve"> and a post procedural haemorrhage following surgical treatment of peripheral ischemia and concomitant heparin administration for blood clot prophylaxis. There were no Grade 5 events of haemorrhage in the </w:t>
      </w:r>
      <w:proofErr w:type="spellStart"/>
      <w:r>
        <w:rPr>
          <w:lang w:eastAsia="ja-JP"/>
        </w:rPr>
        <w:t>everolimus</w:t>
      </w:r>
      <w:proofErr w:type="spellEnd"/>
      <w:r>
        <w:rPr>
          <w:lang w:eastAsia="ja-JP"/>
        </w:rPr>
        <w:t xml:space="preserve"> arm.</w:t>
      </w:r>
    </w:p>
    <w:p w:rsidR="00CD7E26" w:rsidRDefault="00CD7E26" w:rsidP="00CD7E26">
      <w:pPr>
        <w:pStyle w:val="Heading6"/>
        <w:rPr>
          <w:lang w:eastAsia="ja-JP"/>
        </w:rPr>
      </w:pPr>
      <w:r w:rsidRPr="003B41C4">
        <w:rPr>
          <w:lang w:eastAsia="ja-JP"/>
        </w:rPr>
        <w:t xml:space="preserve">Arterial </w:t>
      </w:r>
      <w:r w:rsidR="005621E0" w:rsidRPr="003B41C4">
        <w:rPr>
          <w:lang w:eastAsia="ja-JP"/>
        </w:rPr>
        <w:t>thrombotic ev</w:t>
      </w:r>
      <w:r w:rsidRPr="003B41C4">
        <w:rPr>
          <w:lang w:eastAsia="ja-JP"/>
        </w:rPr>
        <w:t>ents</w:t>
      </w:r>
    </w:p>
    <w:p w:rsidR="00CD7E26" w:rsidRPr="003B41C4" w:rsidRDefault="00CD7E26" w:rsidP="00CD7E26">
      <w:pPr>
        <w:rPr>
          <w:lang w:eastAsia="ja-JP"/>
        </w:rPr>
      </w:pPr>
      <w:r w:rsidRPr="003B41C4">
        <w:rPr>
          <w:lang w:eastAsia="ja-JP"/>
        </w:rPr>
        <w:t>The incidence of arterial thromboses was low in both treatment arms (3 subjects [0.9%]</w:t>
      </w:r>
      <w:r>
        <w:rPr>
          <w:lang w:eastAsia="ja-JP"/>
        </w:rPr>
        <w:t xml:space="preserve"> </w:t>
      </w:r>
      <w:proofErr w:type="spellStart"/>
      <w:r w:rsidRPr="003B41C4">
        <w:rPr>
          <w:lang w:eastAsia="ja-JP"/>
        </w:rPr>
        <w:t>cabozantinib</w:t>
      </w:r>
      <w:proofErr w:type="spellEnd"/>
      <w:r w:rsidRPr="003B41C4">
        <w:rPr>
          <w:lang w:eastAsia="ja-JP"/>
        </w:rPr>
        <w:t xml:space="preserve"> arm, 1 subject [0.3%] </w:t>
      </w:r>
      <w:proofErr w:type="spellStart"/>
      <w:r w:rsidRPr="003B41C4">
        <w:rPr>
          <w:lang w:eastAsia="ja-JP"/>
        </w:rPr>
        <w:t>everolimus</w:t>
      </w:r>
      <w:proofErr w:type="spellEnd"/>
      <w:r w:rsidRPr="003B41C4">
        <w:rPr>
          <w:lang w:eastAsia="ja-JP"/>
        </w:rPr>
        <w:t xml:space="preserve"> arm)</w:t>
      </w:r>
    </w:p>
    <w:p w:rsidR="00CD7E26" w:rsidRDefault="00CD7E26" w:rsidP="00CD7E26">
      <w:pPr>
        <w:pStyle w:val="Heading6"/>
        <w:rPr>
          <w:lang w:eastAsia="ja-JP"/>
        </w:rPr>
      </w:pPr>
      <w:r w:rsidRPr="003B41C4">
        <w:rPr>
          <w:lang w:eastAsia="ja-JP"/>
        </w:rPr>
        <w:t>Venous and mixed/unspecified thrombotic events</w:t>
      </w:r>
    </w:p>
    <w:p w:rsidR="00CD7E26" w:rsidRPr="003B41C4" w:rsidRDefault="00CD7E26" w:rsidP="00CD7E26">
      <w:pPr>
        <w:rPr>
          <w:lang w:eastAsia="ja-JP"/>
        </w:rPr>
      </w:pPr>
      <w:r w:rsidRPr="003B41C4">
        <w:rPr>
          <w:lang w:eastAsia="ja-JP"/>
        </w:rPr>
        <w:t>The most frequent (</w:t>
      </w:r>
      <w:r w:rsidR="00166FC4">
        <w:rPr>
          <w:lang w:eastAsia="ja-JP"/>
        </w:rPr>
        <w:t xml:space="preserve">≥ </w:t>
      </w:r>
      <w:r w:rsidRPr="003B41C4">
        <w:rPr>
          <w:lang w:eastAsia="ja-JP"/>
        </w:rPr>
        <w:t xml:space="preserve">1%) venous and mixed thrombotic events in the </w:t>
      </w:r>
      <w:proofErr w:type="spellStart"/>
      <w:r w:rsidRPr="003B41C4">
        <w:rPr>
          <w:lang w:eastAsia="ja-JP"/>
        </w:rPr>
        <w:t>cabozantinib</w:t>
      </w:r>
      <w:proofErr w:type="spellEnd"/>
      <w:r w:rsidRPr="003B41C4">
        <w:rPr>
          <w:lang w:eastAsia="ja-JP"/>
        </w:rPr>
        <w:t xml:space="preserve"> arm were</w:t>
      </w:r>
      <w:r>
        <w:rPr>
          <w:lang w:eastAsia="ja-JP"/>
        </w:rPr>
        <w:t xml:space="preserve"> </w:t>
      </w:r>
      <w:r w:rsidRPr="003B41C4">
        <w:rPr>
          <w:lang w:eastAsia="ja-JP"/>
        </w:rPr>
        <w:t xml:space="preserve">pulmonary embolism (3.6% </w:t>
      </w:r>
      <w:proofErr w:type="spellStart"/>
      <w:r w:rsidRPr="003B41C4">
        <w:rPr>
          <w:lang w:eastAsia="ja-JP"/>
        </w:rPr>
        <w:t>cabozantinib</w:t>
      </w:r>
      <w:proofErr w:type="spellEnd"/>
      <w:r w:rsidRPr="003B41C4">
        <w:rPr>
          <w:lang w:eastAsia="ja-JP"/>
        </w:rPr>
        <w:t xml:space="preserve">, 0.3% </w:t>
      </w:r>
      <w:proofErr w:type="spellStart"/>
      <w:r w:rsidRPr="003B41C4">
        <w:rPr>
          <w:lang w:eastAsia="ja-JP"/>
        </w:rPr>
        <w:t>everolimus</w:t>
      </w:r>
      <w:proofErr w:type="spellEnd"/>
      <w:r w:rsidRPr="003B41C4">
        <w:rPr>
          <w:lang w:eastAsia="ja-JP"/>
        </w:rPr>
        <w:t>) and deep vein thrombosis (1.5%</w:t>
      </w:r>
      <w:r>
        <w:rPr>
          <w:lang w:eastAsia="ja-JP"/>
        </w:rPr>
        <w:t xml:space="preserve"> </w:t>
      </w:r>
      <w:proofErr w:type="spellStart"/>
      <w:r w:rsidRPr="003B41C4">
        <w:rPr>
          <w:lang w:eastAsia="ja-JP"/>
        </w:rPr>
        <w:t>cabozantinib</w:t>
      </w:r>
      <w:proofErr w:type="spellEnd"/>
      <w:r w:rsidRPr="003B41C4">
        <w:rPr>
          <w:lang w:eastAsia="ja-JP"/>
        </w:rPr>
        <w:t xml:space="preserve">, 0.6% </w:t>
      </w:r>
      <w:proofErr w:type="spellStart"/>
      <w:r w:rsidRPr="003B41C4">
        <w:rPr>
          <w:lang w:eastAsia="ja-JP"/>
        </w:rPr>
        <w:t>everolimus</w:t>
      </w:r>
      <w:proofErr w:type="spellEnd"/>
      <w:r w:rsidRPr="003B41C4">
        <w:rPr>
          <w:lang w:eastAsia="ja-JP"/>
        </w:rPr>
        <w:t>). Grade 3 or 4 pulmonary embolism was reported for 2.4% of</w:t>
      </w:r>
      <w:r>
        <w:rPr>
          <w:lang w:eastAsia="ja-JP"/>
        </w:rPr>
        <w:t xml:space="preserve"> </w:t>
      </w:r>
      <w:r w:rsidRPr="003B41C4">
        <w:rPr>
          <w:lang w:eastAsia="ja-JP"/>
        </w:rPr>
        <w:t xml:space="preserve">subjects in the </w:t>
      </w:r>
      <w:proofErr w:type="spellStart"/>
      <w:r w:rsidRPr="003B41C4">
        <w:rPr>
          <w:lang w:eastAsia="ja-JP"/>
        </w:rPr>
        <w:t>cabozantinib</w:t>
      </w:r>
      <w:proofErr w:type="spellEnd"/>
      <w:r w:rsidRPr="003B41C4">
        <w:rPr>
          <w:lang w:eastAsia="ja-JP"/>
        </w:rPr>
        <w:t xml:space="preserve"> arm (one subject had a Grade 4 AE) and 0.3% of subjects in the</w:t>
      </w:r>
      <w:r>
        <w:rPr>
          <w:lang w:eastAsia="ja-JP"/>
        </w:rPr>
        <w:t xml:space="preserve"> </w:t>
      </w:r>
      <w:proofErr w:type="spellStart"/>
      <w:r w:rsidRPr="003B41C4">
        <w:rPr>
          <w:lang w:eastAsia="ja-JP"/>
        </w:rPr>
        <w:t>everolimus</w:t>
      </w:r>
      <w:proofErr w:type="spellEnd"/>
      <w:r w:rsidRPr="003B41C4">
        <w:rPr>
          <w:lang w:eastAsia="ja-JP"/>
        </w:rPr>
        <w:t xml:space="preserve"> arm (a Grade 3 AE was reported). Grade 3 deep vein thrombosis occurred in 0.3% of</w:t>
      </w:r>
      <w:r>
        <w:rPr>
          <w:lang w:eastAsia="ja-JP"/>
        </w:rPr>
        <w:t xml:space="preserve"> </w:t>
      </w:r>
      <w:r w:rsidRPr="003B41C4">
        <w:rPr>
          <w:lang w:eastAsia="ja-JP"/>
        </w:rPr>
        <w:t xml:space="preserve">subjects in the </w:t>
      </w:r>
      <w:proofErr w:type="spellStart"/>
      <w:r w:rsidRPr="003B41C4">
        <w:rPr>
          <w:lang w:eastAsia="ja-JP"/>
        </w:rPr>
        <w:t>cabozantinib</w:t>
      </w:r>
      <w:proofErr w:type="spellEnd"/>
      <w:r w:rsidRPr="003B41C4">
        <w:rPr>
          <w:lang w:eastAsia="ja-JP"/>
        </w:rPr>
        <w:t xml:space="preserve"> arm and no subjects in the </w:t>
      </w:r>
      <w:proofErr w:type="spellStart"/>
      <w:r w:rsidRPr="003B41C4">
        <w:rPr>
          <w:lang w:eastAsia="ja-JP"/>
        </w:rPr>
        <w:t>everolimus</w:t>
      </w:r>
      <w:proofErr w:type="spellEnd"/>
      <w:r w:rsidRPr="003B41C4">
        <w:rPr>
          <w:lang w:eastAsia="ja-JP"/>
        </w:rPr>
        <w:t xml:space="preserve"> arm.</w:t>
      </w:r>
    </w:p>
    <w:p w:rsidR="00CD7E26" w:rsidRDefault="00CD7E26" w:rsidP="00CD7E26">
      <w:pPr>
        <w:pStyle w:val="Heading6"/>
        <w:rPr>
          <w:lang w:eastAsia="ja-JP"/>
        </w:rPr>
      </w:pPr>
      <w:r w:rsidRPr="003B41C4">
        <w:rPr>
          <w:lang w:eastAsia="ja-JP"/>
        </w:rPr>
        <w:lastRenderedPageBreak/>
        <w:t xml:space="preserve">Wound </w:t>
      </w:r>
      <w:r w:rsidR="005621E0">
        <w:rPr>
          <w:lang w:eastAsia="ja-JP"/>
        </w:rPr>
        <w:t>c</w:t>
      </w:r>
      <w:r w:rsidRPr="003B41C4">
        <w:rPr>
          <w:lang w:eastAsia="ja-JP"/>
        </w:rPr>
        <w:t>omplications</w:t>
      </w:r>
    </w:p>
    <w:p w:rsidR="00CD7E26" w:rsidRPr="003B41C4" w:rsidRDefault="00CD7E26" w:rsidP="00CD7E26">
      <w:pPr>
        <w:rPr>
          <w:lang w:eastAsia="ja-JP"/>
        </w:rPr>
      </w:pPr>
      <w:r>
        <w:rPr>
          <w:lang w:eastAsia="ja-JP"/>
        </w:rPr>
        <w:t xml:space="preserve">The incidence of wound complications was low for both arms of Study XL184-308 (8 </w:t>
      </w:r>
      <w:proofErr w:type="spellStart"/>
      <w:r>
        <w:rPr>
          <w:lang w:eastAsia="ja-JP"/>
        </w:rPr>
        <w:t>cabozantinib</w:t>
      </w:r>
      <w:proofErr w:type="spellEnd"/>
      <w:r>
        <w:rPr>
          <w:lang w:eastAsia="ja-JP"/>
        </w:rPr>
        <w:t xml:space="preserve">-treated subjects [2.4%], 4 </w:t>
      </w:r>
      <w:proofErr w:type="spellStart"/>
      <w:r>
        <w:rPr>
          <w:lang w:eastAsia="ja-JP"/>
        </w:rPr>
        <w:t>everolimus</w:t>
      </w:r>
      <w:proofErr w:type="spellEnd"/>
      <w:r>
        <w:rPr>
          <w:lang w:eastAsia="ja-JP"/>
        </w:rPr>
        <w:t xml:space="preserve">-treated subjects [1.2%]). The most frequent event of any grade reported in the </w:t>
      </w:r>
      <w:proofErr w:type="spellStart"/>
      <w:r>
        <w:rPr>
          <w:lang w:eastAsia="ja-JP"/>
        </w:rPr>
        <w:t>cabozantinib</w:t>
      </w:r>
      <w:proofErr w:type="spellEnd"/>
      <w:r>
        <w:rPr>
          <w:lang w:eastAsia="ja-JP"/>
        </w:rPr>
        <w:t xml:space="preserve"> arm was impaired healing (3 </w:t>
      </w:r>
      <w:proofErr w:type="spellStart"/>
      <w:r>
        <w:rPr>
          <w:lang w:eastAsia="ja-JP"/>
        </w:rPr>
        <w:t>cabozantinib</w:t>
      </w:r>
      <w:proofErr w:type="spellEnd"/>
      <w:r>
        <w:rPr>
          <w:lang w:eastAsia="ja-JP"/>
        </w:rPr>
        <w:t xml:space="preserve">-treated subjects [0.9%], 0 </w:t>
      </w:r>
      <w:proofErr w:type="spellStart"/>
      <w:r>
        <w:rPr>
          <w:lang w:eastAsia="ja-JP"/>
        </w:rPr>
        <w:t>everolimus</w:t>
      </w:r>
      <w:proofErr w:type="spellEnd"/>
      <w:r>
        <w:rPr>
          <w:lang w:eastAsia="ja-JP"/>
        </w:rPr>
        <w:t xml:space="preserve">-treated subjects). The most frequent event of any grade reported in the </w:t>
      </w:r>
      <w:proofErr w:type="spellStart"/>
      <w:r>
        <w:rPr>
          <w:lang w:eastAsia="ja-JP"/>
        </w:rPr>
        <w:t>everolimus</w:t>
      </w:r>
      <w:proofErr w:type="spellEnd"/>
      <w:r>
        <w:rPr>
          <w:lang w:eastAsia="ja-JP"/>
        </w:rPr>
        <w:t xml:space="preserve"> arm was wound infection (1 </w:t>
      </w:r>
      <w:proofErr w:type="spellStart"/>
      <w:r>
        <w:rPr>
          <w:lang w:eastAsia="ja-JP"/>
        </w:rPr>
        <w:t>cabozantinib</w:t>
      </w:r>
      <w:proofErr w:type="spellEnd"/>
      <w:r>
        <w:rPr>
          <w:lang w:eastAsia="ja-JP"/>
        </w:rPr>
        <w:t xml:space="preserve"> subject [0.3%], 2 </w:t>
      </w:r>
      <w:proofErr w:type="spellStart"/>
      <w:r>
        <w:rPr>
          <w:lang w:eastAsia="ja-JP"/>
        </w:rPr>
        <w:t>everolimus</w:t>
      </w:r>
      <w:proofErr w:type="spellEnd"/>
      <w:r>
        <w:rPr>
          <w:lang w:eastAsia="ja-JP"/>
        </w:rPr>
        <w:t>-treated subjects [0.6%]). All other events were each reported for one subject in either treatment arm.</w:t>
      </w:r>
    </w:p>
    <w:p w:rsidR="00CD7E26" w:rsidRDefault="00CD7E26" w:rsidP="00CD7E26">
      <w:pPr>
        <w:pStyle w:val="Heading6"/>
        <w:rPr>
          <w:lang w:eastAsia="ja-JP"/>
        </w:rPr>
      </w:pPr>
      <w:r w:rsidRPr="003B41C4">
        <w:rPr>
          <w:lang w:eastAsia="ja-JP"/>
        </w:rPr>
        <w:t>Osteonecrosis</w:t>
      </w:r>
    </w:p>
    <w:p w:rsidR="00CD7E26" w:rsidRPr="003B41C4" w:rsidRDefault="00CD7E26" w:rsidP="00CD7E26">
      <w:pPr>
        <w:rPr>
          <w:lang w:eastAsia="ja-JP"/>
        </w:rPr>
      </w:pPr>
      <w:r>
        <w:rPr>
          <w:lang w:eastAsia="ja-JP"/>
        </w:rPr>
        <w:t xml:space="preserve">Osteonecrosis of the jaw (ONJ) was reported for two subjects (0.6%) in the </w:t>
      </w:r>
      <w:proofErr w:type="spellStart"/>
      <w:r>
        <w:rPr>
          <w:lang w:eastAsia="ja-JP"/>
        </w:rPr>
        <w:t>cabozantinib</w:t>
      </w:r>
      <w:proofErr w:type="spellEnd"/>
      <w:r>
        <w:rPr>
          <w:lang w:eastAsia="ja-JP"/>
        </w:rPr>
        <w:t xml:space="preserve"> arm; one subject experienced a Grade 3 SAE. Both subjects had a history of ONJ prior to randomisation. In comparison, ONJ was reported for two subjects (0.6%) on the </w:t>
      </w:r>
      <w:proofErr w:type="spellStart"/>
      <w:r>
        <w:rPr>
          <w:lang w:eastAsia="ja-JP"/>
        </w:rPr>
        <w:t>everolimus</w:t>
      </w:r>
      <w:proofErr w:type="spellEnd"/>
      <w:r>
        <w:rPr>
          <w:lang w:eastAsia="ja-JP"/>
        </w:rPr>
        <w:t xml:space="preserve"> arm, and both of these subjects experienced Grade 3 SAEs. No AEs of ONJ were reported as Grade 4 or higher in either treatment arm</w:t>
      </w:r>
      <w:r w:rsidR="00166FC4">
        <w:rPr>
          <w:lang w:eastAsia="ja-JP"/>
        </w:rPr>
        <w:t>.</w:t>
      </w:r>
    </w:p>
    <w:p w:rsidR="00CD7E26" w:rsidRDefault="00CD7E26" w:rsidP="00CD7E26">
      <w:pPr>
        <w:pStyle w:val="Heading6"/>
        <w:rPr>
          <w:lang w:eastAsia="ja-JP"/>
        </w:rPr>
      </w:pPr>
      <w:r w:rsidRPr="003B41C4">
        <w:rPr>
          <w:lang w:eastAsia="ja-JP"/>
        </w:rPr>
        <w:t>RPLS</w:t>
      </w:r>
    </w:p>
    <w:p w:rsidR="00CD7E26" w:rsidRPr="003B41C4" w:rsidRDefault="00CD7E26" w:rsidP="00CD7E26">
      <w:pPr>
        <w:rPr>
          <w:lang w:eastAsia="ja-JP"/>
        </w:rPr>
      </w:pPr>
      <w:r>
        <w:rPr>
          <w:lang w:eastAsia="ja-JP"/>
        </w:rPr>
        <w:t>RPLS was not reported for any subjects in this study.</w:t>
      </w:r>
    </w:p>
    <w:p w:rsidR="00CD7E26" w:rsidRDefault="00CD7E26" w:rsidP="00CD7E26">
      <w:pPr>
        <w:pStyle w:val="Heading6"/>
        <w:rPr>
          <w:lang w:eastAsia="ja-JP"/>
        </w:rPr>
      </w:pPr>
      <w:r w:rsidRPr="003B41C4">
        <w:rPr>
          <w:lang w:eastAsia="ja-JP"/>
        </w:rPr>
        <w:t>Diarrhoea</w:t>
      </w:r>
    </w:p>
    <w:p w:rsidR="00CD7E26" w:rsidRDefault="00CD7E26" w:rsidP="00CD7E26">
      <w:pPr>
        <w:rPr>
          <w:lang w:eastAsia="ja-JP"/>
        </w:rPr>
      </w:pPr>
      <w:r>
        <w:rPr>
          <w:lang w:eastAsia="ja-JP"/>
        </w:rPr>
        <w:t xml:space="preserve">The incidence of </w:t>
      </w:r>
      <w:proofErr w:type="spellStart"/>
      <w:r>
        <w:rPr>
          <w:lang w:eastAsia="ja-JP"/>
        </w:rPr>
        <w:t>diarrhea</w:t>
      </w:r>
      <w:proofErr w:type="spellEnd"/>
      <w:r>
        <w:rPr>
          <w:lang w:eastAsia="ja-JP"/>
        </w:rPr>
        <w:t xml:space="preserve"> events was 74% (245 subjects) in the </w:t>
      </w:r>
      <w:proofErr w:type="spellStart"/>
      <w:r>
        <w:rPr>
          <w:lang w:eastAsia="ja-JP"/>
        </w:rPr>
        <w:t>cabozantinib</w:t>
      </w:r>
      <w:proofErr w:type="spellEnd"/>
      <w:r>
        <w:rPr>
          <w:lang w:eastAsia="ja-JP"/>
        </w:rPr>
        <w:t xml:space="preserve"> arm and 28% (89 subjects) in the </w:t>
      </w:r>
      <w:proofErr w:type="spellStart"/>
      <w:r>
        <w:rPr>
          <w:lang w:eastAsia="ja-JP"/>
        </w:rPr>
        <w:t>everolimus</w:t>
      </w:r>
      <w:proofErr w:type="spellEnd"/>
      <w:r>
        <w:rPr>
          <w:lang w:eastAsia="ja-JP"/>
        </w:rPr>
        <w:t xml:space="preserve"> arm; diarrh</w:t>
      </w:r>
      <w:r w:rsidR="009B56F4">
        <w:rPr>
          <w:lang w:eastAsia="ja-JP"/>
        </w:rPr>
        <w:t>o</w:t>
      </w:r>
      <w:r>
        <w:rPr>
          <w:lang w:eastAsia="ja-JP"/>
        </w:rPr>
        <w:t xml:space="preserve">ea was the most frequently reported AE for subjects in the </w:t>
      </w:r>
      <w:proofErr w:type="spellStart"/>
      <w:r>
        <w:rPr>
          <w:lang w:eastAsia="ja-JP"/>
        </w:rPr>
        <w:t>cabozantinib</w:t>
      </w:r>
      <w:proofErr w:type="spellEnd"/>
      <w:r>
        <w:rPr>
          <w:lang w:eastAsia="ja-JP"/>
        </w:rPr>
        <w:t xml:space="preserve"> arm.</w:t>
      </w:r>
      <w:bookmarkEnd w:id="532"/>
    </w:p>
    <w:p w:rsidR="00CD7E26" w:rsidRPr="00166FC4" w:rsidRDefault="00CD7E26" w:rsidP="00166FC4">
      <w:pPr>
        <w:pStyle w:val="Heading5"/>
      </w:pPr>
      <w:r w:rsidRPr="00166FC4">
        <w:t>Other studies</w:t>
      </w:r>
    </w:p>
    <w:p w:rsidR="00CD7E26" w:rsidRPr="00EC3AE0" w:rsidRDefault="00CD7E26" w:rsidP="00CD7E26">
      <w:pPr>
        <w:pStyle w:val="Heading6"/>
      </w:pPr>
      <w:r w:rsidRPr="00EC3AE0">
        <w:t xml:space="preserve">Studies with evaluable safety data: dose finding and pharmacology </w:t>
      </w:r>
    </w:p>
    <w:p w:rsidR="00CD7E26" w:rsidRPr="00EC3AE0" w:rsidRDefault="00CD7E26" w:rsidP="00CD7E26">
      <w:pPr>
        <w:pStyle w:val="Heading6"/>
      </w:pPr>
      <w:r w:rsidRPr="00EC3AE0">
        <w:t>Studies evaluable for safety only</w:t>
      </w:r>
    </w:p>
    <w:p w:rsidR="00CD7E26" w:rsidRDefault="00DB6CD6" w:rsidP="009B56F4">
      <w:pPr>
        <w:rPr>
          <w:lang w:eastAsia="ja-JP"/>
        </w:rPr>
      </w:pPr>
      <w:bookmarkStart w:id="533" w:name="_Toc272414686"/>
      <w:bookmarkStart w:id="534" w:name="_Ref273005527"/>
      <w:bookmarkStart w:id="535" w:name="_Toc290888550"/>
      <w:bookmarkStart w:id="536" w:name="_Toc416353765"/>
      <w:bookmarkStart w:id="537" w:name="_Toc421005308"/>
      <w:bookmarkStart w:id="538" w:name="_Toc432079179"/>
      <w:bookmarkStart w:id="539" w:name="_Toc432080752"/>
      <w:r>
        <w:t>Table 6</w:t>
      </w:r>
      <w:r w:rsidR="009B56F4">
        <w:t>6</w:t>
      </w:r>
      <w:r w:rsidR="00CD7E26">
        <w:rPr>
          <w:lang w:eastAsia="ja-JP"/>
        </w:rPr>
        <w:t xml:space="preserve"> compares show incidence of the adverse event to monitor across the studies with relevant data.</w:t>
      </w:r>
    </w:p>
    <w:p w:rsidR="00CD7E26" w:rsidRDefault="00CD7E26" w:rsidP="00DB6CD6">
      <w:pPr>
        <w:pStyle w:val="Tabletitle"/>
      </w:pPr>
      <w:bookmarkStart w:id="540" w:name="_Ref480622453"/>
      <w:bookmarkStart w:id="541" w:name="_Toc494205974"/>
      <w:r>
        <w:lastRenderedPageBreak/>
        <w:t xml:space="preserve">Table </w:t>
      </w:r>
      <w:r w:rsidR="00DB6CD6">
        <w:t>6</w:t>
      </w:r>
      <w:bookmarkEnd w:id="540"/>
      <w:r w:rsidR="009B56F4">
        <w:t>6</w:t>
      </w:r>
      <w:r>
        <w:t xml:space="preserve">: Rate of Events to Monitor </w:t>
      </w:r>
      <w:proofErr w:type="gramStart"/>
      <w:r>
        <w:t>Across</w:t>
      </w:r>
      <w:proofErr w:type="gramEnd"/>
      <w:r>
        <w:t xml:space="preserve"> Studies</w:t>
      </w:r>
      <w:bookmarkEnd w:id="541"/>
    </w:p>
    <w:p w:rsidR="00CD7E26" w:rsidRDefault="00CD7E26" w:rsidP="00CD7E26">
      <w:pPr>
        <w:rPr>
          <w:lang w:eastAsia="ja-JP"/>
        </w:rPr>
      </w:pPr>
      <w:r w:rsidRPr="000F433C">
        <w:rPr>
          <w:noProof/>
          <w:lang w:eastAsia="en-AU"/>
        </w:rPr>
        <w:drawing>
          <wp:inline distT="0" distB="0" distL="0" distR="0" wp14:anchorId="46107B11" wp14:editId="014E08CE">
            <wp:extent cx="4686300" cy="5157548"/>
            <wp:effectExtent l="0" t="0" r="0" b="5080"/>
            <wp:docPr id="136" name="Picture 136" descr="Rate of Events to Monitor Acro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3">
                      <a:lum bright="-20000" contrast="40000"/>
                      <a:extLst>
                        <a:ext uri="{28A0092B-C50C-407E-A947-70E740481C1C}">
                          <a14:useLocalDpi xmlns:a14="http://schemas.microsoft.com/office/drawing/2010/main" val="0"/>
                        </a:ext>
                      </a:extLst>
                    </a:blip>
                    <a:srcRect t="1" b="763"/>
                    <a:stretch/>
                  </pic:blipFill>
                  <pic:spPr bwMode="auto">
                    <a:xfrm>
                      <a:off x="0" y="0"/>
                      <a:ext cx="4692241" cy="5164086"/>
                    </a:xfrm>
                    <a:prstGeom prst="rect">
                      <a:avLst/>
                    </a:prstGeom>
                    <a:noFill/>
                    <a:ln>
                      <a:noFill/>
                    </a:ln>
                    <a:extLst>
                      <a:ext uri="{53640926-AAD7-44D8-BBD7-CCE9431645EC}">
                        <a14:shadowObscured xmlns:a14="http://schemas.microsoft.com/office/drawing/2010/main"/>
                      </a:ext>
                    </a:extLst>
                  </pic:spPr>
                </pic:pic>
              </a:graphicData>
            </a:graphic>
          </wp:inline>
        </w:drawing>
      </w:r>
    </w:p>
    <w:p w:rsidR="00CD7E26" w:rsidRDefault="00CD7E26" w:rsidP="00CD7E26">
      <w:pPr>
        <w:pStyle w:val="Comment"/>
        <w:rPr>
          <w:lang w:eastAsia="ja-JP"/>
        </w:rPr>
      </w:pPr>
      <w:r>
        <w:rPr>
          <w:b/>
          <w:lang w:eastAsia="ja-JP"/>
        </w:rPr>
        <w:t xml:space="preserve">Comment: </w:t>
      </w:r>
      <w:r w:rsidR="008463CC">
        <w:rPr>
          <w:b/>
          <w:lang w:eastAsia="ja-JP"/>
        </w:rPr>
        <w:t xml:space="preserve"> </w:t>
      </w:r>
      <w:r>
        <w:rPr>
          <w:lang w:eastAsia="ja-JP"/>
        </w:rPr>
        <w:t>Adverse events associated with VEGF TKI use were seen consistently across studies. There is adequate information with regard to these adverse events in the prescribing information.</w:t>
      </w:r>
    </w:p>
    <w:p w:rsidR="00CD7E26" w:rsidRPr="00545B14" w:rsidRDefault="00CD7E26" w:rsidP="00CD7E26">
      <w:pPr>
        <w:pStyle w:val="Heading3"/>
        <w:numPr>
          <w:ilvl w:val="1"/>
          <w:numId w:val="29"/>
        </w:numPr>
        <w:ind w:left="907" w:hanging="794"/>
      </w:pPr>
      <w:bookmarkStart w:id="542" w:name="_Toc520879814"/>
      <w:bookmarkStart w:id="543" w:name="_Toc531776259"/>
      <w:r w:rsidRPr="00545B14">
        <w:t>Other safety issues</w:t>
      </w:r>
      <w:bookmarkEnd w:id="533"/>
      <w:bookmarkEnd w:id="534"/>
      <w:bookmarkEnd w:id="535"/>
      <w:bookmarkEnd w:id="536"/>
      <w:bookmarkEnd w:id="537"/>
      <w:bookmarkEnd w:id="538"/>
      <w:bookmarkEnd w:id="539"/>
      <w:bookmarkEnd w:id="542"/>
      <w:bookmarkEnd w:id="543"/>
    </w:p>
    <w:p w:rsidR="00CD7E26" w:rsidRPr="00545B14" w:rsidRDefault="00CD7E26" w:rsidP="00CD7E26">
      <w:pPr>
        <w:pStyle w:val="Heading4"/>
        <w:numPr>
          <w:ilvl w:val="2"/>
          <w:numId w:val="29"/>
        </w:numPr>
      </w:pPr>
      <w:bookmarkStart w:id="544" w:name="_Toc241374322"/>
      <w:bookmarkStart w:id="545" w:name="_Ref272331212"/>
      <w:bookmarkStart w:id="546" w:name="_Toc272414687"/>
      <w:bookmarkStart w:id="547" w:name="_Toc290888551"/>
      <w:bookmarkStart w:id="548" w:name="_Toc416353766"/>
      <w:bookmarkStart w:id="549" w:name="_Toc421005309"/>
      <w:bookmarkStart w:id="550" w:name="_Toc432079180"/>
      <w:bookmarkStart w:id="551" w:name="_Toc432080753"/>
      <w:r w:rsidRPr="00545B14">
        <w:t>Safety in special populations</w:t>
      </w:r>
      <w:bookmarkEnd w:id="544"/>
      <w:bookmarkEnd w:id="545"/>
      <w:bookmarkEnd w:id="546"/>
      <w:bookmarkEnd w:id="547"/>
      <w:bookmarkEnd w:id="548"/>
      <w:bookmarkEnd w:id="549"/>
      <w:bookmarkEnd w:id="550"/>
      <w:bookmarkEnd w:id="551"/>
    </w:p>
    <w:p w:rsidR="00CD7E26" w:rsidRDefault="00CD7E26" w:rsidP="00CD7E26">
      <w:pPr>
        <w:rPr>
          <w:lang w:eastAsia="ja-JP"/>
        </w:rPr>
      </w:pPr>
      <w:bookmarkStart w:id="552" w:name="_Toc241374324"/>
      <w:bookmarkStart w:id="553" w:name="_Ref272331214"/>
      <w:bookmarkStart w:id="554" w:name="_Toc272414688"/>
      <w:bookmarkStart w:id="555" w:name="_Toc290888552"/>
      <w:bookmarkStart w:id="556" w:name="_Toc416353767"/>
      <w:bookmarkStart w:id="557" w:name="_Toc421005310"/>
      <w:bookmarkStart w:id="558" w:name="_Toc432079181"/>
      <w:bookmarkStart w:id="559" w:name="_Toc432080754"/>
      <w:r>
        <w:rPr>
          <w:lang w:eastAsia="ja-JP"/>
        </w:rPr>
        <w:t>The following factors were considered by the sponsor:</w:t>
      </w:r>
    </w:p>
    <w:p w:rsidR="00CD7E26" w:rsidRDefault="00CD7E26" w:rsidP="00CD7E26">
      <w:pPr>
        <w:pStyle w:val="ListBullet"/>
        <w:numPr>
          <w:ilvl w:val="0"/>
          <w:numId w:val="3"/>
        </w:numPr>
        <w:rPr>
          <w:lang w:eastAsia="ja-JP"/>
        </w:rPr>
      </w:pPr>
      <w:r>
        <w:rPr>
          <w:lang w:eastAsia="ja-JP"/>
        </w:rPr>
        <w:t>Gender</w:t>
      </w:r>
    </w:p>
    <w:p w:rsidR="00CD7E26" w:rsidRDefault="00CD7E26" w:rsidP="00CD7E26">
      <w:pPr>
        <w:pStyle w:val="ListBullet"/>
        <w:numPr>
          <w:ilvl w:val="0"/>
          <w:numId w:val="3"/>
        </w:numPr>
        <w:rPr>
          <w:lang w:eastAsia="ja-JP"/>
        </w:rPr>
      </w:pPr>
      <w:r>
        <w:rPr>
          <w:lang w:eastAsia="ja-JP"/>
        </w:rPr>
        <w:t xml:space="preserve">Age at screening </w:t>
      </w:r>
      <w:r w:rsidRPr="009578E9">
        <w:rPr>
          <w:lang w:eastAsia="ja-JP"/>
        </w:rPr>
        <w:t xml:space="preserve">(&lt; 65 years, </w:t>
      </w:r>
      <w:r>
        <w:rPr>
          <w:lang w:eastAsia="ja-JP"/>
        </w:rPr>
        <w:t>≥ </w:t>
      </w:r>
      <w:r w:rsidRPr="009578E9">
        <w:rPr>
          <w:lang w:eastAsia="ja-JP"/>
        </w:rPr>
        <w:t xml:space="preserve">65 years, </w:t>
      </w:r>
      <w:r>
        <w:rPr>
          <w:lang w:eastAsia="ja-JP"/>
        </w:rPr>
        <w:t>≥ </w:t>
      </w:r>
      <w:r w:rsidRPr="009578E9">
        <w:rPr>
          <w:lang w:eastAsia="ja-JP"/>
        </w:rPr>
        <w:t xml:space="preserve">75 years) and (&lt; 65 years, 65-74 years, 75-84 years, and </w:t>
      </w:r>
      <w:r>
        <w:rPr>
          <w:lang w:eastAsia="ja-JP"/>
        </w:rPr>
        <w:t>≥ </w:t>
      </w:r>
      <w:r w:rsidRPr="009578E9">
        <w:rPr>
          <w:lang w:eastAsia="ja-JP"/>
        </w:rPr>
        <w:t>85 years)</w:t>
      </w:r>
      <w:r>
        <w:rPr>
          <w:lang w:eastAsia="ja-JP"/>
        </w:rPr>
        <w:t>.</w:t>
      </w:r>
    </w:p>
    <w:p w:rsidR="00CD7E26" w:rsidRDefault="00CD7E26" w:rsidP="00CD7E26">
      <w:pPr>
        <w:pStyle w:val="ListBullet"/>
        <w:numPr>
          <w:ilvl w:val="0"/>
          <w:numId w:val="3"/>
        </w:numPr>
        <w:rPr>
          <w:lang w:eastAsia="ja-JP"/>
        </w:rPr>
      </w:pPr>
      <w:r>
        <w:rPr>
          <w:lang w:eastAsia="ja-JP"/>
        </w:rPr>
        <w:t xml:space="preserve">Race </w:t>
      </w:r>
      <w:r w:rsidRPr="009578E9">
        <w:rPr>
          <w:lang w:eastAsia="ja-JP"/>
        </w:rPr>
        <w:t>(White, Black/African-American, Asian, other)</w:t>
      </w:r>
    </w:p>
    <w:p w:rsidR="00CD7E26" w:rsidRPr="009578E9" w:rsidRDefault="00CD7E26" w:rsidP="00CD7E26">
      <w:pPr>
        <w:pStyle w:val="ListBullet"/>
        <w:numPr>
          <w:ilvl w:val="0"/>
          <w:numId w:val="3"/>
        </w:numPr>
        <w:rPr>
          <w:rFonts w:ascii="TimesNewRoman" w:eastAsiaTheme="minorHAnsi" w:hAnsi="TimesNewRoman" w:cs="TimesNewRoman"/>
          <w:lang w:val="en-NZ"/>
        </w:rPr>
      </w:pPr>
      <w:r>
        <w:rPr>
          <w:lang w:eastAsia="ja-JP"/>
        </w:rPr>
        <w:t xml:space="preserve">Weight at baseline </w:t>
      </w:r>
      <w:r w:rsidRPr="009578E9">
        <w:rPr>
          <w:lang w:val="en-NZ"/>
        </w:rPr>
        <w:t xml:space="preserve">(&lt; 60 kg, </w:t>
      </w:r>
      <w:r>
        <w:rPr>
          <w:lang w:eastAsia="ja-JP"/>
        </w:rPr>
        <w:t>≥ </w:t>
      </w:r>
      <w:r w:rsidRPr="009578E9">
        <w:rPr>
          <w:lang w:val="en-NZ"/>
        </w:rPr>
        <w:t xml:space="preserve">60 to </w:t>
      </w:r>
      <w:r>
        <w:rPr>
          <w:lang w:eastAsia="ja-JP"/>
        </w:rPr>
        <w:t>≤ </w:t>
      </w:r>
      <w:r w:rsidRPr="009578E9">
        <w:rPr>
          <w:lang w:val="en-NZ"/>
        </w:rPr>
        <w:t>80 kg, &gt; 80 kg)</w:t>
      </w:r>
    </w:p>
    <w:p w:rsidR="00CD7E26" w:rsidRDefault="00CD7E26" w:rsidP="00CD7E26">
      <w:pPr>
        <w:pStyle w:val="ListBullet"/>
        <w:numPr>
          <w:ilvl w:val="0"/>
          <w:numId w:val="3"/>
        </w:numPr>
        <w:rPr>
          <w:lang w:eastAsia="ja-JP"/>
        </w:rPr>
      </w:pPr>
      <w:r w:rsidRPr="009578E9">
        <w:rPr>
          <w:lang w:eastAsia="ja-JP"/>
        </w:rPr>
        <w:t>ECOG performance status at baseline</w:t>
      </w:r>
      <w:r>
        <w:rPr>
          <w:lang w:eastAsia="ja-JP"/>
        </w:rPr>
        <w:t xml:space="preserve"> </w:t>
      </w:r>
      <w:r w:rsidRPr="009578E9">
        <w:rPr>
          <w:lang w:eastAsia="ja-JP"/>
        </w:rPr>
        <w:t xml:space="preserve">(0, </w:t>
      </w:r>
      <w:r>
        <w:rPr>
          <w:lang w:eastAsia="ja-JP"/>
        </w:rPr>
        <w:t>≥ </w:t>
      </w:r>
      <w:r w:rsidRPr="009578E9">
        <w:rPr>
          <w:lang w:eastAsia="ja-JP"/>
        </w:rPr>
        <w:t>1)</w:t>
      </w:r>
    </w:p>
    <w:p w:rsidR="00CD7E26" w:rsidRDefault="00CD7E26" w:rsidP="00CD7E26">
      <w:pPr>
        <w:rPr>
          <w:lang w:eastAsia="ja-JP"/>
        </w:rPr>
      </w:pPr>
      <w:r>
        <w:rPr>
          <w:lang w:eastAsia="ja-JP"/>
        </w:rPr>
        <w:t>For the groups: gender, race, weight and ECOG performance status there were no significant differences between the groups for AEs or ETMs.</w:t>
      </w:r>
    </w:p>
    <w:p w:rsidR="00CD7E26" w:rsidRDefault="00CD7E26" w:rsidP="00CD7E26">
      <w:pPr>
        <w:rPr>
          <w:lang w:eastAsia="ja-JP"/>
        </w:rPr>
      </w:pPr>
      <w:r>
        <w:rPr>
          <w:lang w:eastAsia="ja-JP"/>
        </w:rPr>
        <w:lastRenderedPageBreak/>
        <w:t xml:space="preserve">When grouped by age the incidence of anaemia in </w:t>
      </w:r>
      <w:proofErr w:type="spellStart"/>
      <w:r>
        <w:rPr>
          <w:lang w:eastAsia="ja-JP"/>
        </w:rPr>
        <w:t>cabozantinib</w:t>
      </w:r>
      <w:proofErr w:type="spellEnd"/>
      <w:r>
        <w:rPr>
          <w:lang w:eastAsia="ja-JP"/>
        </w:rPr>
        <w:t xml:space="preserve">-treated subjects from 75 to 84 years old (35%) was higher than that reported in the younger age groups (&lt; 65 years, 12%; 65 to 74 years, 22%). There was also a somewhat higher incidence of anaemia in the </w:t>
      </w:r>
      <w:proofErr w:type="spellStart"/>
      <w:r>
        <w:rPr>
          <w:lang w:eastAsia="ja-JP"/>
        </w:rPr>
        <w:t>everolimus</w:t>
      </w:r>
      <w:proofErr w:type="spellEnd"/>
      <w:r>
        <w:rPr>
          <w:lang w:eastAsia="ja-JP"/>
        </w:rPr>
        <w:t xml:space="preserve"> arm for the 65 to 74-year-old (45%) and 75 to 84-year-old (44%) age groups compared with the &lt; 65-year-old group (35%). Conversely, the incidence of PPES among </w:t>
      </w:r>
      <w:proofErr w:type="spellStart"/>
      <w:r>
        <w:rPr>
          <w:lang w:eastAsia="ja-JP"/>
        </w:rPr>
        <w:t>cabozantinib</w:t>
      </w:r>
      <w:proofErr w:type="spellEnd"/>
      <w:r>
        <w:rPr>
          <w:lang w:eastAsia="ja-JP"/>
        </w:rPr>
        <w:t>-treated subjects from 75 to 84 years old (23%) was lower than that reported for younger subjects (&lt; 65 years, 45%; 65 to 74 years, 42%). Both observations may be confounded by the relatively low total number of subjects in the 75 to 84-year-old age group. No other significant differences were observed.</w:t>
      </w:r>
    </w:p>
    <w:p w:rsidR="00CD7E26" w:rsidRPr="00166FC4" w:rsidRDefault="00CD7E26" w:rsidP="00166FC4">
      <w:pPr>
        <w:pStyle w:val="Heading5"/>
      </w:pPr>
      <w:r w:rsidRPr="00166FC4">
        <w:t>Hepatic impairment</w:t>
      </w:r>
    </w:p>
    <w:p w:rsidR="00CD7E26" w:rsidRDefault="00CD7E26" w:rsidP="00CD7E26">
      <w:pPr>
        <w:rPr>
          <w:lang w:eastAsia="ja-JP"/>
        </w:rPr>
      </w:pPr>
      <w:bookmarkStart w:id="560" w:name="_Hlk480708248"/>
      <w:r>
        <w:rPr>
          <w:lang w:eastAsia="ja-JP"/>
        </w:rPr>
        <w:t xml:space="preserve">Study XL184-003 was a comparative PK study in subjects with mild or moderate hepatic impairment </w:t>
      </w:r>
      <w:bookmarkEnd w:id="560"/>
      <w:r>
        <w:rPr>
          <w:lang w:eastAsia="ja-JP"/>
        </w:rPr>
        <w:t xml:space="preserve">and healthy subjects. The number of subjects in the safety population was 16, while no differences was observed between subjects that had normal hepatic function versus those with impaired function, the duration of exposure and number of subjects is too small to draw any conclusions. Plasma exposure to </w:t>
      </w:r>
      <w:proofErr w:type="spellStart"/>
      <w:r>
        <w:rPr>
          <w:lang w:eastAsia="ja-JP"/>
        </w:rPr>
        <w:t>cabozantinib</w:t>
      </w:r>
      <w:proofErr w:type="spellEnd"/>
      <w:r>
        <w:rPr>
          <w:lang w:eastAsia="ja-JP"/>
        </w:rPr>
        <w:t xml:space="preserve"> was greater in subjects with mild to moderate hepatic impairment and dose modification has been recommended in such patients.</w:t>
      </w:r>
    </w:p>
    <w:p w:rsidR="00CD7E26" w:rsidRPr="00166FC4" w:rsidRDefault="00CD7E26" w:rsidP="00166FC4">
      <w:pPr>
        <w:pStyle w:val="Heading5"/>
      </w:pPr>
      <w:r w:rsidRPr="00166FC4">
        <w:t>Renal impairment</w:t>
      </w:r>
    </w:p>
    <w:p w:rsidR="00CD7E26" w:rsidRDefault="00CD7E26" w:rsidP="00CD7E26">
      <w:pPr>
        <w:rPr>
          <w:lang w:eastAsia="ja-JP"/>
        </w:rPr>
      </w:pPr>
      <w:r>
        <w:rPr>
          <w:lang w:eastAsia="ja-JP"/>
        </w:rPr>
        <w:t>Study XL184-017</w:t>
      </w:r>
      <w:r w:rsidRPr="001F4CAE">
        <w:rPr>
          <w:lang w:eastAsia="ja-JP"/>
        </w:rPr>
        <w:t xml:space="preserve"> was a </w:t>
      </w:r>
      <w:r>
        <w:rPr>
          <w:lang w:eastAsia="ja-JP"/>
        </w:rPr>
        <w:t xml:space="preserve">comparative </w:t>
      </w:r>
      <w:r w:rsidRPr="001F4CAE">
        <w:rPr>
          <w:lang w:eastAsia="ja-JP"/>
        </w:rPr>
        <w:t>PK study in subjects with</w:t>
      </w:r>
      <w:r>
        <w:rPr>
          <w:lang w:eastAsia="ja-JP"/>
        </w:rPr>
        <w:t xml:space="preserve"> mild or moderate</w:t>
      </w:r>
      <w:r w:rsidRPr="001F4CAE">
        <w:rPr>
          <w:lang w:eastAsia="ja-JP"/>
        </w:rPr>
        <w:t xml:space="preserve"> </w:t>
      </w:r>
      <w:r>
        <w:rPr>
          <w:lang w:eastAsia="ja-JP"/>
        </w:rPr>
        <w:t xml:space="preserve">renal impairment and healthy subjects. The total number of subjects in the safety population was 32 </w:t>
      </w:r>
      <w:r w:rsidRPr="009B0CA4">
        <w:rPr>
          <w:lang w:eastAsia="ja-JP"/>
        </w:rPr>
        <w:t xml:space="preserve">while no differences was observed between subjects that had normal </w:t>
      </w:r>
      <w:r>
        <w:rPr>
          <w:lang w:eastAsia="ja-JP"/>
        </w:rPr>
        <w:t>renal</w:t>
      </w:r>
      <w:r w:rsidRPr="009B0CA4">
        <w:rPr>
          <w:lang w:eastAsia="ja-JP"/>
        </w:rPr>
        <w:t xml:space="preserve"> function versus those with impaired function, the duration of exposure and number of subjects is too small to</w:t>
      </w:r>
      <w:r>
        <w:rPr>
          <w:lang w:eastAsia="ja-JP"/>
        </w:rPr>
        <w:t xml:space="preserve"> draw any conclusions. There was no difference in terms of plasma exposure to </w:t>
      </w:r>
      <w:proofErr w:type="spellStart"/>
      <w:r>
        <w:rPr>
          <w:lang w:eastAsia="ja-JP"/>
        </w:rPr>
        <w:t>cabozantinib</w:t>
      </w:r>
      <w:proofErr w:type="spellEnd"/>
      <w:r w:rsidRPr="009B0CA4">
        <w:rPr>
          <w:lang w:eastAsia="ja-JP"/>
        </w:rPr>
        <w:t>.</w:t>
      </w:r>
    </w:p>
    <w:p w:rsidR="00CD7E26" w:rsidRPr="00166FC4" w:rsidRDefault="00CD7E26" w:rsidP="00166FC4">
      <w:pPr>
        <w:pStyle w:val="Heading5"/>
      </w:pPr>
      <w:r w:rsidRPr="00166FC4">
        <w:t xml:space="preserve">Extrinsic </w:t>
      </w:r>
      <w:r w:rsidR="005621E0">
        <w:t>f</w:t>
      </w:r>
      <w:r w:rsidRPr="00166FC4">
        <w:t>actors</w:t>
      </w:r>
    </w:p>
    <w:p w:rsidR="00CD7E26" w:rsidRPr="009B0CA4" w:rsidRDefault="00CD7E26" w:rsidP="00CD7E26">
      <w:pPr>
        <w:rPr>
          <w:lang w:eastAsia="ja-JP"/>
        </w:rPr>
      </w:pPr>
      <w:r>
        <w:rPr>
          <w:lang w:eastAsia="ja-JP"/>
        </w:rPr>
        <w:t>The sponsor analysed AEs reported in study XL184-308 by, number of prior anti-cancer therapies received and by Global region, no differences were seen in the rate or nature of adverse events.</w:t>
      </w:r>
    </w:p>
    <w:p w:rsidR="00CD7E26" w:rsidRDefault="00CD7E26" w:rsidP="00CD7E26">
      <w:pPr>
        <w:pStyle w:val="Heading4"/>
        <w:numPr>
          <w:ilvl w:val="2"/>
          <w:numId w:val="29"/>
        </w:numPr>
      </w:pPr>
      <w:r w:rsidRPr="00545B14">
        <w:t>Safety related to drug-drug interactions and other interactions</w:t>
      </w:r>
      <w:bookmarkEnd w:id="552"/>
      <w:bookmarkEnd w:id="553"/>
      <w:bookmarkEnd w:id="554"/>
      <w:bookmarkEnd w:id="555"/>
      <w:bookmarkEnd w:id="556"/>
      <w:bookmarkEnd w:id="557"/>
      <w:bookmarkEnd w:id="558"/>
      <w:bookmarkEnd w:id="559"/>
    </w:p>
    <w:p w:rsidR="00CD7E26" w:rsidRDefault="00CD7E26" w:rsidP="00CD7E26">
      <w:pPr>
        <w:rPr>
          <w:lang w:eastAsia="ja-JP"/>
        </w:rPr>
      </w:pPr>
      <w:bookmarkStart w:id="561" w:name="_Toc241374326"/>
      <w:bookmarkStart w:id="562" w:name="_Ref272333048"/>
      <w:bookmarkStart w:id="563" w:name="_Toc272414679"/>
      <w:bookmarkStart w:id="564" w:name="_Toc290888543"/>
      <w:bookmarkStart w:id="565" w:name="_Toc416353758"/>
      <w:bookmarkStart w:id="566" w:name="_Toc421005301"/>
      <w:bookmarkStart w:id="567" w:name="_Toc432079182"/>
      <w:bookmarkStart w:id="568" w:name="_Toc432080755"/>
      <w:r>
        <w:rPr>
          <w:lang w:eastAsia="ja-JP"/>
        </w:rPr>
        <w:t xml:space="preserve">Non-clinical data has demonstrated that </w:t>
      </w:r>
      <w:proofErr w:type="spellStart"/>
      <w:r>
        <w:rPr>
          <w:lang w:eastAsia="ja-JP"/>
        </w:rPr>
        <w:t>cabozantinib</w:t>
      </w:r>
      <w:proofErr w:type="spellEnd"/>
      <w:r>
        <w:rPr>
          <w:lang w:eastAsia="ja-JP"/>
        </w:rPr>
        <w:t xml:space="preserve"> is highly bound (approximately 99.9%) to human plasma proteins. Therefore, highly protein bound drugs (for example, warfarin, diazepam, furosemide, </w:t>
      </w:r>
      <w:proofErr w:type="spellStart"/>
      <w:r>
        <w:rPr>
          <w:lang w:eastAsia="ja-JP"/>
        </w:rPr>
        <w:t>dicloxacillin</w:t>
      </w:r>
      <w:proofErr w:type="spellEnd"/>
      <w:r>
        <w:rPr>
          <w:lang w:eastAsia="ja-JP"/>
        </w:rPr>
        <w:t xml:space="preserve">, and propranolol) have the potential to cause a displacement interaction that could increase free concentrations of </w:t>
      </w:r>
      <w:proofErr w:type="spellStart"/>
      <w:r>
        <w:rPr>
          <w:lang w:eastAsia="ja-JP"/>
        </w:rPr>
        <w:t>cabozantinib</w:t>
      </w:r>
      <w:proofErr w:type="spellEnd"/>
      <w:r>
        <w:rPr>
          <w:lang w:eastAsia="ja-JP"/>
        </w:rPr>
        <w:t xml:space="preserve"> and/or the co-administered highly protein-bound drug (and a corresponding increase in pharmacologic effect). Factors that influence plasma protein binding may affect individual tolerance to </w:t>
      </w:r>
      <w:proofErr w:type="spellStart"/>
      <w:r>
        <w:rPr>
          <w:lang w:eastAsia="ja-JP"/>
        </w:rPr>
        <w:t>cabozantinib</w:t>
      </w:r>
      <w:proofErr w:type="spellEnd"/>
      <w:r>
        <w:rPr>
          <w:lang w:eastAsia="ja-JP"/>
        </w:rPr>
        <w:t>.</w:t>
      </w:r>
    </w:p>
    <w:p w:rsidR="00CD7E26" w:rsidRPr="00166FC4" w:rsidRDefault="00CD7E26" w:rsidP="00166FC4">
      <w:pPr>
        <w:pStyle w:val="Heading5"/>
      </w:pPr>
      <w:r w:rsidRPr="00166FC4">
        <w:t xml:space="preserve">Clinical </w:t>
      </w:r>
      <w:r w:rsidR="005621E0">
        <w:t>p</w:t>
      </w:r>
      <w:r w:rsidRPr="00166FC4">
        <w:t>harmacology</w:t>
      </w:r>
    </w:p>
    <w:p w:rsidR="00CD7E26" w:rsidRDefault="00CD7E26" w:rsidP="00CD7E26">
      <w:pPr>
        <w:rPr>
          <w:b/>
          <w:lang w:eastAsia="ja-JP"/>
        </w:rPr>
      </w:pPr>
      <w:r>
        <w:rPr>
          <w:lang w:eastAsia="ja-JP"/>
        </w:rPr>
        <w:t xml:space="preserve">Drug-drug interaction studies are discussed earlier in this report and are summarised in </w:t>
      </w:r>
      <w:r w:rsidR="00DB6CD6">
        <w:rPr>
          <w:lang w:eastAsia="ja-JP"/>
        </w:rPr>
        <w:t>Table 6</w:t>
      </w:r>
      <w:r w:rsidR="009B56F4">
        <w:rPr>
          <w:lang w:eastAsia="ja-JP"/>
        </w:rPr>
        <w:t>7</w:t>
      </w:r>
      <w:r>
        <w:rPr>
          <w:b/>
          <w:lang w:eastAsia="ja-JP"/>
        </w:rPr>
        <w:t>.</w:t>
      </w:r>
    </w:p>
    <w:p w:rsidR="00CD7E26" w:rsidRDefault="00CD7E26" w:rsidP="00DB6CD6">
      <w:pPr>
        <w:pStyle w:val="Tabletitle"/>
      </w:pPr>
      <w:bookmarkStart w:id="569" w:name="_Ref480709372"/>
      <w:bookmarkStart w:id="570" w:name="_Toc494205975"/>
      <w:r>
        <w:t>Table</w:t>
      </w:r>
      <w:r w:rsidR="00DB6CD6">
        <w:t xml:space="preserve"> 6</w:t>
      </w:r>
      <w:bookmarkEnd w:id="569"/>
      <w:r w:rsidR="009B56F4">
        <w:t>7</w:t>
      </w:r>
      <w:r>
        <w:t>: Summary of Dug-Drug Interaction Studies</w:t>
      </w:r>
      <w:bookmarkEnd w:id="570"/>
    </w:p>
    <w:tbl>
      <w:tblPr>
        <w:tblStyle w:val="TableTGAblue"/>
        <w:tblW w:w="0" w:type="auto"/>
        <w:tblLook w:val="04A0" w:firstRow="1" w:lastRow="0" w:firstColumn="1" w:lastColumn="0" w:noHBand="0" w:noVBand="1"/>
        <w:tblDescription w:val="Table 67: Summary of Dug-Drug Interaction Studies"/>
      </w:tblPr>
      <w:tblGrid>
        <w:gridCol w:w="3080"/>
        <w:gridCol w:w="3081"/>
        <w:gridCol w:w="3081"/>
      </w:tblGrid>
      <w:tr w:rsidR="00CD7E26" w:rsidTr="00166F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tcPr>
          <w:p w:rsidR="00CD7E26" w:rsidRPr="00FE2C75" w:rsidRDefault="00CD7E26" w:rsidP="00CD7E26">
            <w:pPr>
              <w:rPr>
                <w:sz w:val="20"/>
                <w:szCs w:val="20"/>
                <w:lang w:eastAsia="ja-JP"/>
              </w:rPr>
            </w:pPr>
            <w:r w:rsidRPr="00FE2C75">
              <w:rPr>
                <w:sz w:val="20"/>
                <w:szCs w:val="20"/>
                <w:lang w:eastAsia="ja-JP"/>
              </w:rPr>
              <w:t>Study Identifier</w:t>
            </w:r>
          </w:p>
        </w:tc>
        <w:tc>
          <w:tcPr>
            <w:tcW w:w="3081" w:type="dxa"/>
          </w:tcPr>
          <w:p w:rsidR="00CD7E26" w:rsidRPr="00FE2C75" w:rsidRDefault="00CD7E26" w:rsidP="00CD7E26">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FE2C75">
              <w:rPr>
                <w:sz w:val="20"/>
                <w:szCs w:val="20"/>
                <w:lang w:eastAsia="ja-JP"/>
              </w:rPr>
              <w:t>Population</w:t>
            </w:r>
          </w:p>
        </w:tc>
        <w:tc>
          <w:tcPr>
            <w:tcW w:w="3081" w:type="dxa"/>
          </w:tcPr>
          <w:p w:rsidR="00CD7E26" w:rsidRPr="00FE2C75" w:rsidRDefault="00CD7E26" w:rsidP="00CD7E26">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FE2C75">
              <w:rPr>
                <w:sz w:val="20"/>
                <w:szCs w:val="20"/>
                <w:lang w:eastAsia="ja-JP"/>
              </w:rPr>
              <w:t>Conclusions</w:t>
            </w:r>
          </w:p>
        </w:tc>
      </w:tr>
      <w:tr w:rsidR="00CD7E26" w:rsidTr="00CD7E26">
        <w:tc>
          <w:tcPr>
            <w:cnfStyle w:val="001000000000" w:firstRow="0" w:lastRow="0" w:firstColumn="1" w:lastColumn="0" w:oddVBand="0" w:evenVBand="0" w:oddHBand="0" w:evenHBand="0" w:firstRowFirstColumn="0" w:firstRowLastColumn="0" w:lastRowFirstColumn="0" w:lastRowLastColumn="0"/>
            <w:tcW w:w="3080" w:type="dxa"/>
          </w:tcPr>
          <w:p w:rsidR="00CD7E26" w:rsidRPr="00FE2C75" w:rsidRDefault="00CD7E26" w:rsidP="00CD7E26">
            <w:pPr>
              <w:rPr>
                <w:sz w:val="20"/>
                <w:szCs w:val="20"/>
              </w:rPr>
            </w:pPr>
            <w:r w:rsidRPr="00FE2C75">
              <w:rPr>
                <w:sz w:val="20"/>
                <w:szCs w:val="20"/>
              </w:rPr>
              <w:t>XL184-006</w:t>
            </w:r>
          </w:p>
        </w:tc>
        <w:tc>
          <w:tcPr>
            <w:tcW w:w="3081" w:type="dxa"/>
          </w:tcPr>
          <w:p w:rsidR="00CD7E26" w:rsidRPr="00FE2C75" w:rsidRDefault="00CD7E26" w:rsidP="00CD7E2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E2C75">
              <w:rPr>
                <w:sz w:val="20"/>
                <w:szCs w:val="20"/>
                <w:lang w:eastAsia="ja-JP"/>
              </w:rPr>
              <w:t>Healthy subjects (N=56)</w:t>
            </w:r>
          </w:p>
        </w:tc>
        <w:tc>
          <w:tcPr>
            <w:tcW w:w="3081" w:type="dxa"/>
          </w:tcPr>
          <w:p w:rsidR="00CD7E26" w:rsidRPr="00FE2C75" w:rsidRDefault="00CD7E26" w:rsidP="00CD7E2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E2C75">
              <w:rPr>
                <w:sz w:val="20"/>
                <w:szCs w:val="20"/>
                <w:lang w:eastAsia="ja-JP"/>
              </w:rPr>
              <w:t xml:space="preserve">Strong CYP3A4 inducer rifampicin decreased single dose plasma exposures 76-77%, a finding consistent with </w:t>
            </w:r>
            <w:proofErr w:type="spellStart"/>
            <w:r w:rsidRPr="00FE2C75">
              <w:rPr>
                <w:sz w:val="20"/>
                <w:szCs w:val="20"/>
                <w:lang w:eastAsia="ja-JP"/>
              </w:rPr>
              <w:t>cabozantinib</w:t>
            </w:r>
            <w:proofErr w:type="spellEnd"/>
            <w:r w:rsidRPr="00FE2C75">
              <w:rPr>
                <w:sz w:val="20"/>
                <w:szCs w:val="20"/>
                <w:lang w:eastAsia="ja-JP"/>
              </w:rPr>
              <w:t xml:space="preserve"> metabolism via the CYP3A4 pathway.</w:t>
            </w:r>
          </w:p>
        </w:tc>
      </w:tr>
      <w:tr w:rsidR="00CD7E26" w:rsidTr="00CD7E26">
        <w:tc>
          <w:tcPr>
            <w:cnfStyle w:val="001000000000" w:firstRow="0" w:lastRow="0" w:firstColumn="1" w:lastColumn="0" w:oddVBand="0" w:evenVBand="0" w:oddHBand="0" w:evenHBand="0" w:firstRowFirstColumn="0" w:firstRowLastColumn="0" w:lastRowFirstColumn="0" w:lastRowLastColumn="0"/>
            <w:tcW w:w="3080" w:type="dxa"/>
          </w:tcPr>
          <w:p w:rsidR="00CD7E26" w:rsidRPr="00FE2C75" w:rsidRDefault="00CD7E26" w:rsidP="00CD7E26">
            <w:pPr>
              <w:rPr>
                <w:sz w:val="20"/>
                <w:szCs w:val="20"/>
                <w:lang w:eastAsia="ja-JP"/>
              </w:rPr>
            </w:pPr>
            <w:r w:rsidRPr="00FE2C75">
              <w:rPr>
                <w:sz w:val="20"/>
                <w:szCs w:val="20"/>
                <w:lang w:eastAsia="ja-JP"/>
              </w:rPr>
              <w:lastRenderedPageBreak/>
              <w:t>XL184-007</w:t>
            </w:r>
          </w:p>
        </w:tc>
        <w:tc>
          <w:tcPr>
            <w:tcW w:w="3081" w:type="dxa"/>
          </w:tcPr>
          <w:p w:rsidR="00CD7E26" w:rsidRPr="00FE2C75" w:rsidRDefault="00CD7E26" w:rsidP="00CD7E2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E2C75">
              <w:rPr>
                <w:sz w:val="20"/>
                <w:szCs w:val="20"/>
                <w:lang w:eastAsia="ja-JP"/>
              </w:rPr>
              <w:t>Healthy subjects (N=28)</w:t>
            </w:r>
          </w:p>
        </w:tc>
        <w:tc>
          <w:tcPr>
            <w:tcW w:w="3081" w:type="dxa"/>
          </w:tcPr>
          <w:p w:rsidR="00CD7E26" w:rsidRPr="00FE2C75" w:rsidRDefault="00CD7E26" w:rsidP="00CD7E2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E2C75">
              <w:rPr>
                <w:sz w:val="20"/>
                <w:szCs w:val="20"/>
                <w:lang w:eastAsia="ja-JP"/>
              </w:rPr>
              <w:t xml:space="preserve">Strong CYP3A4 inhibitor ketoconazole increased </w:t>
            </w:r>
            <w:proofErr w:type="spellStart"/>
            <w:r w:rsidRPr="00FE2C75">
              <w:rPr>
                <w:sz w:val="20"/>
                <w:szCs w:val="20"/>
                <w:lang w:eastAsia="ja-JP"/>
              </w:rPr>
              <w:t>cabozantinib</w:t>
            </w:r>
            <w:proofErr w:type="spellEnd"/>
            <w:r w:rsidRPr="00FE2C75">
              <w:rPr>
                <w:sz w:val="20"/>
                <w:szCs w:val="20"/>
                <w:lang w:eastAsia="ja-JP"/>
              </w:rPr>
              <w:t xml:space="preserve"> plasma exposures 34-38%, a finding consistent with </w:t>
            </w:r>
            <w:proofErr w:type="spellStart"/>
            <w:r w:rsidRPr="00FE2C75">
              <w:rPr>
                <w:sz w:val="20"/>
                <w:szCs w:val="20"/>
                <w:lang w:eastAsia="ja-JP"/>
              </w:rPr>
              <w:t>cabozantinib</w:t>
            </w:r>
            <w:proofErr w:type="spellEnd"/>
            <w:r w:rsidRPr="00FE2C75">
              <w:rPr>
                <w:sz w:val="20"/>
                <w:szCs w:val="20"/>
                <w:lang w:eastAsia="ja-JP"/>
              </w:rPr>
              <w:t xml:space="preserve"> metabolism via the CYP3A4 pathway</w:t>
            </w:r>
          </w:p>
        </w:tc>
      </w:tr>
      <w:tr w:rsidR="00CD7E26" w:rsidTr="00CD7E26">
        <w:tc>
          <w:tcPr>
            <w:cnfStyle w:val="001000000000" w:firstRow="0" w:lastRow="0" w:firstColumn="1" w:lastColumn="0" w:oddVBand="0" w:evenVBand="0" w:oddHBand="0" w:evenHBand="0" w:firstRowFirstColumn="0" w:firstRowLastColumn="0" w:lastRowFirstColumn="0" w:lastRowLastColumn="0"/>
            <w:tcW w:w="3080" w:type="dxa"/>
          </w:tcPr>
          <w:p w:rsidR="00CD7E26" w:rsidRPr="00FE2C75" w:rsidRDefault="00CD7E26" w:rsidP="00CD7E26">
            <w:pPr>
              <w:rPr>
                <w:sz w:val="20"/>
                <w:szCs w:val="20"/>
                <w:lang w:eastAsia="ja-JP"/>
              </w:rPr>
            </w:pPr>
            <w:r w:rsidRPr="00FE2C75">
              <w:rPr>
                <w:sz w:val="20"/>
                <w:szCs w:val="20"/>
                <w:lang w:eastAsia="ja-JP"/>
              </w:rPr>
              <w:t>XL184-008</w:t>
            </w:r>
          </w:p>
        </w:tc>
        <w:tc>
          <w:tcPr>
            <w:tcW w:w="3081" w:type="dxa"/>
          </w:tcPr>
          <w:p w:rsidR="00CD7E26" w:rsidRPr="00FE2C75" w:rsidRDefault="00CD7E26" w:rsidP="00CD7E2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E2C75">
              <w:rPr>
                <w:sz w:val="20"/>
                <w:szCs w:val="20"/>
                <w:lang w:eastAsia="ja-JP"/>
              </w:rPr>
              <w:t>Subjects with RCC or DTC (N=40)</w:t>
            </w:r>
          </w:p>
        </w:tc>
        <w:tc>
          <w:tcPr>
            <w:tcW w:w="3081" w:type="dxa"/>
          </w:tcPr>
          <w:p w:rsidR="00CD7E26" w:rsidRPr="00FE2C75" w:rsidRDefault="00CD7E26" w:rsidP="00CD7E2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E2C75">
              <w:rPr>
                <w:sz w:val="20"/>
                <w:szCs w:val="20"/>
                <w:lang w:eastAsia="ja-JP"/>
              </w:rPr>
              <w:t xml:space="preserve">Daily </w:t>
            </w:r>
            <w:proofErr w:type="spellStart"/>
            <w:r w:rsidRPr="00FE2C75">
              <w:rPr>
                <w:sz w:val="20"/>
                <w:szCs w:val="20"/>
                <w:lang w:eastAsia="ja-JP"/>
              </w:rPr>
              <w:t>cabozantinib</w:t>
            </w:r>
            <w:proofErr w:type="spellEnd"/>
            <w:r w:rsidRPr="00FE2C75">
              <w:rPr>
                <w:sz w:val="20"/>
                <w:szCs w:val="20"/>
                <w:lang w:eastAsia="ja-JP"/>
              </w:rPr>
              <w:t xml:space="preserve"> administration did not affect plasma exposure of rosiglitazone, a CYP2C8 substrate. CYP2C8 is the isozymes most potently inhibited by </w:t>
            </w:r>
            <w:proofErr w:type="spellStart"/>
            <w:r w:rsidRPr="00FE2C75">
              <w:rPr>
                <w:sz w:val="20"/>
                <w:szCs w:val="20"/>
                <w:lang w:eastAsia="ja-JP"/>
              </w:rPr>
              <w:t>cabozantinib</w:t>
            </w:r>
            <w:proofErr w:type="spellEnd"/>
            <w:r w:rsidRPr="00FE2C75">
              <w:rPr>
                <w:sz w:val="20"/>
                <w:szCs w:val="20"/>
                <w:lang w:eastAsia="ja-JP"/>
              </w:rPr>
              <w:t xml:space="preserve"> </w:t>
            </w:r>
            <w:r w:rsidRPr="00FE2C75">
              <w:rPr>
                <w:i/>
                <w:sz w:val="20"/>
                <w:szCs w:val="20"/>
                <w:lang w:eastAsia="ja-JP"/>
              </w:rPr>
              <w:t>in vitro</w:t>
            </w:r>
          </w:p>
        </w:tc>
      </w:tr>
      <w:tr w:rsidR="00CD7E26" w:rsidTr="00CD7E26">
        <w:tc>
          <w:tcPr>
            <w:cnfStyle w:val="001000000000" w:firstRow="0" w:lastRow="0" w:firstColumn="1" w:lastColumn="0" w:oddVBand="0" w:evenVBand="0" w:oddHBand="0" w:evenHBand="0" w:firstRowFirstColumn="0" w:firstRowLastColumn="0" w:lastRowFirstColumn="0" w:lastRowLastColumn="0"/>
            <w:tcW w:w="3080" w:type="dxa"/>
          </w:tcPr>
          <w:p w:rsidR="00CD7E26" w:rsidRPr="00FE2C75" w:rsidRDefault="00CD7E26" w:rsidP="00CD7E26">
            <w:pPr>
              <w:rPr>
                <w:sz w:val="20"/>
                <w:szCs w:val="20"/>
                <w:lang w:eastAsia="ja-JP"/>
              </w:rPr>
            </w:pPr>
            <w:r w:rsidRPr="00FE2C75">
              <w:rPr>
                <w:sz w:val="20"/>
                <w:szCs w:val="20"/>
                <w:lang w:eastAsia="ja-JP"/>
              </w:rPr>
              <w:t>XL184-018</w:t>
            </w:r>
          </w:p>
        </w:tc>
        <w:tc>
          <w:tcPr>
            <w:tcW w:w="3081" w:type="dxa"/>
          </w:tcPr>
          <w:p w:rsidR="00CD7E26" w:rsidRPr="00FE2C75" w:rsidRDefault="00CD7E26" w:rsidP="00CD7E2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E2C75">
              <w:rPr>
                <w:sz w:val="20"/>
                <w:szCs w:val="20"/>
                <w:lang w:eastAsia="ja-JP"/>
              </w:rPr>
              <w:t>Healthy subjects (N=22)</w:t>
            </w:r>
          </w:p>
        </w:tc>
        <w:tc>
          <w:tcPr>
            <w:tcW w:w="3081" w:type="dxa"/>
          </w:tcPr>
          <w:p w:rsidR="00CD7E26" w:rsidRPr="00FE2C75" w:rsidRDefault="00CD7E26" w:rsidP="00CD7E2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FE2C75">
              <w:rPr>
                <w:sz w:val="20"/>
                <w:szCs w:val="20"/>
                <w:lang w:val="en-NZ"/>
              </w:rPr>
              <w:t xml:space="preserve">The 90% CIs for the ln-transformed ratio of the test to reference treatment for both AUC0-t and AUC0-∞ were within the limits of 80% - 125%, although the upper 90% CI for </w:t>
            </w:r>
            <w:proofErr w:type="spellStart"/>
            <w:r w:rsidRPr="00FE2C75">
              <w:rPr>
                <w:sz w:val="20"/>
                <w:szCs w:val="20"/>
                <w:lang w:val="en-NZ"/>
              </w:rPr>
              <w:t>Cmax</w:t>
            </w:r>
            <w:proofErr w:type="spellEnd"/>
            <w:r w:rsidRPr="00FE2C75">
              <w:rPr>
                <w:sz w:val="20"/>
                <w:szCs w:val="20"/>
                <w:lang w:val="en-NZ"/>
              </w:rPr>
              <w:t xml:space="preserve"> was determined to be 125.1%. Esomeprazole administration did not result in any statistically significant decrease in </w:t>
            </w:r>
            <w:proofErr w:type="spellStart"/>
            <w:r w:rsidRPr="00FE2C75">
              <w:rPr>
                <w:sz w:val="20"/>
                <w:szCs w:val="20"/>
                <w:lang w:val="en-NZ"/>
              </w:rPr>
              <w:t>cabozantinib</w:t>
            </w:r>
            <w:proofErr w:type="spellEnd"/>
            <w:r w:rsidRPr="00FE2C75">
              <w:rPr>
                <w:sz w:val="20"/>
                <w:szCs w:val="20"/>
                <w:lang w:val="en-NZ"/>
              </w:rPr>
              <w:t xml:space="preserve"> plasma PK parameters.</w:t>
            </w:r>
          </w:p>
        </w:tc>
      </w:tr>
    </w:tbl>
    <w:p w:rsidR="00CD7E26" w:rsidRPr="00E4342F" w:rsidRDefault="00CD7E26" w:rsidP="00CD7E26">
      <w:pPr>
        <w:pStyle w:val="Heading3"/>
        <w:numPr>
          <w:ilvl w:val="1"/>
          <w:numId w:val="29"/>
        </w:numPr>
        <w:ind w:left="907" w:hanging="794"/>
      </w:pPr>
      <w:bookmarkStart w:id="571" w:name="_Toc520879815"/>
      <w:bookmarkStart w:id="572" w:name="_Toc531776260"/>
      <w:r w:rsidRPr="00E4342F">
        <w:t>Post</w:t>
      </w:r>
      <w:r>
        <w:t xml:space="preserve"> </w:t>
      </w:r>
      <w:r w:rsidRPr="00E4342F">
        <w:t>marketing experience</w:t>
      </w:r>
      <w:bookmarkEnd w:id="561"/>
      <w:bookmarkEnd w:id="562"/>
      <w:bookmarkEnd w:id="563"/>
      <w:bookmarkEnd w:id="564"/>
      <w:bookmarkEnd w:id="565"/>
      <w:bookmarkEnd w:id="566"/>
      <w:bookmarkEnd w:id="567"/>
      <w:bookmarkEnd w:id="568"/>
      <w:bookmarkEnd w:id="571"/>
      <w:bookmarkEnd w:id="572"/>
    </w:p>
    <w:p w:rsidR="00CD7E26" w:rsidRDefault="00CD7E26" w:rsidP="00CD7E26">
      <w:pPr>
        <w:rPr>
          <w:lang w:eastAsia="ja-JP"/>
        </w:rPr>
      </w:pPr>
      <w:bookmarkStart w:id="573" w:name="_Toc241374328"/>
      <w:bookmarkStart w:id="574" w:name="_Toc272414691"/>
      <w:bookmarkStart w:id="575" w:name="_Toc290888555"/>
      <w:bookmarkStart w:id="576" w:name="_Toc416353770"/>
      <w:bookmarkStart w:id="577" w:name="_Toc421005312"/>
      <w:bookmarkStart w:id="578" w:name="_Toc432079183"/>
      <w:bookmarkStart w:id="579" w:name="_Toc432080756"/>
      <w:r>
        <w:rPr>
          <w:lang w:eastAsia="ja-JP"/>
        </w:rPr>
        <w:t>The sponsor has submitted the following post-marketing experience data taken form the Summary of Clinical Safety:</w:t>
      </w:r>
    </w:p>
    <w:p w:rsidR="00CD7E26" w:rsidRDefault="00CD7E26" w:rsidP="00CD7E26">
      <w:pPr>
        <w:rPr>
          <w:lang w:eastAsia="ja-JP"/>
        </w:rPr>
      </w:pPr>
      <w:proofErr w:type="spellStart"/>
      <w:r>
        <w:rPr>
          <w:lang w:eastAsia="ja-JP"/>
        </w:rPr>
        <w:t>Cabozantinib</w:t>
      </w:r>
      <w:proofErr w:type="spellEnd"/>
      <w:r>
        <w:rPr>
          <w:lang w:eastAsia="ja-JP"/>
        </w:rPr>
        <w:t xml:space="preserve"> capsules (</w:t>
      </w:r>
      <w:proofErr w:type="spellStart"/>
      <w:r>
        <w:rPr>
          <w:lang w:eastAsia="ja-JP"/>
        </w:rPr>
        <w:t>Cometriq</w:t>
      </w:r>
      <w:proofErr w:type="spellEnd"/>
      <w:r>
        <w:rPr>
          <w:lang w:eastAsia="ja-JP"/>
        </w:rPr>
        <w:t xml:space="preserve">) were first approved by the FDA on 29 November 2012 for the treatment of patients with progressive, metastatic MTC at a dose of 140 mg </w:t>
      </w:r>
      <w:proofErr w:type="spellStart"/>
      <w:r>
        <w:rPr>
          <w:lang w:eastAsia="ja-JP"/>
        </w:rPr>
        <w:t>qd</w:t>
      </w:r>
      <w:proofErr w:type="spellEnd"/>
      <w:r>
        <w:rPr>
          <w:lang w:eastAsia="ja-JP"/>
        </w:rPr>
        <w:t xml:space="preserve">. </w:t>
      </w:r>
      <w:proofErr w:type="spellStart"/>
      <w:r>
        <w:rPr>
          <w:lang w:eastAsia="ja-JP"/>
        </w:rPr>
        <w:t>Cometriq</w:t>
      </w:r>
      <w:proofErr w:type="spellEnd"/>
      <w:r>
        <w:rPr>
          <w:lang w:eastAsia="ja-JP"/>
        </w:rPr>
        <w:t xml:space="preserve"> was made commercially available in the United States on 24 January 2013. On 21 March 2014, </w:t>
      </w:r>
      <w:proofErr w:type="spellStart"/>
      <w:r>
        <w:rPr>
          <w:lang w:eastAsia="ja-JP"/>
        </w:rPr>
        <w:t>cabozantinib</w:t>
      </w:r>
      <w:proofErr w:type="spellEnd"/>
      <w:r>
        <w:rPr>
          <w:lang w:eastAsia="ja-JP"/>
        </w:rPr>
        <w:t xml:space="preserve"> capsules (</w:t>
      </w:r>
      <w:proofErr w:type="spellStart"/>
      <w:r>
        <w:rPr>
          <w:lang w:eastAsia="ja-JP"/>
        </w:rPr>
        <w:t>Cometriq</w:t>
      </w:r>
      <w:proofErr w:type="spellEnd"/>
      <w:r>
        <w:rPr>
          <w:lang w:eastAsia="ja-JP"/>
        </w:rPr>
        <w:t xml:space="preserve">) at the 140-mg dose received approval through the centralised procedure by the European Commission for the treatment of adults with progressive, </w:t>
      </w:r>
      <w:proofErr w:type="spellStart"/>
      <w:r>
        <w:rPr>
          <w:lang w:eastAsia="ja-JP"/>
        </w:rPr>
        <w:t>unresectable</w:t>
      </w:r>
      <w:proofErr w:type="spellEnd"/>
      <w:r>
        <w:rPr>
          <w:lang w:eastAsia="ja-JP"/>
        </w:rPr>
        <w:t xml:space="preserve"> locally advanced or metastatic MTC.</w:t>
      </w:r>
    </w:p>
    <w:p w:rsidR="00CD7E26" w:rsidRDefault="00CD7E26" w:rsidP="00CD7E26">
      <w:pPr>
        <w:rPr>
          <w:lang w:eastAsia="ja-JP"/>
        </w:rPr>
      </w:pPr>
      <w:r>
        <w:rPr>
          <w:lang w:eastAsia="ja-JP"/>
        </w:rPr>
        <w:t>The post-marketing patient population through 22 May 2015 comprised 1149 total patients exposed including approximately 1083 in the US, 42 in the EU (marketed and named patient use, and 24 from other countries.</w:t>
      </w:r>
    </w:p>
    <w:p w:rsidR="00CD7E26" w:rsidRDefault="00CD7E26" w:rsidP="00CD7E26">
      <w:pPr>
        <w:rPr>
          <w:lang w:eastAsia="ja-JP"/>
        </w:rPr>
      </w:pPr>
      <w:r>
        <w:rPr>
          <w:lang w:eastAsia="ja-JP"/>
        </w:rPr>
        <w:t xml:space="preserve">Through 22 May 2015, patients in the US marketed setting have received </w:t>
      </w:r>
      <w:proofErr w:type="spellStart"/>
      <w:r>
        <w:rPr>
          <w:lang w:eastAsia="ja-JP"/>
        </w:rPr>
        <w:t>cabozantinib</w:t>
      </w:r>
      <w:proofErr w:type="spellEnd"/>
      <w:r>
        <w:rPr>
          <w:lang w:eastAsia="ja-JP"/>
        </w:rPr>
        <w:t xml:space="preserve"> for treatment of thyroid cancer (n=453) as well as malignancies other than the approved indication, including prostate cancer (n=184), renal cancer (n=183), hepatocellular cancer (n=19), and lung cancer (n=61). In the EU, patients have thus far received marketed drug for MTC (n=11), </w:t>
      </w:r>
      <w:proofErr w:type="spellStart"/>
      <w:r>
        <w:rPr>
          <w:lang w:eastAsia="ja-JP"/>
        </w:rPr>
        <w:t>pheochromocytoma</w:t>
      </w:r>
      <w:proofErr w:type="spellEnd"/>
      <w:r>
        <w:rPr>
          <w:lang w:eastAsia="ja-JP"/>
        </w:rPr>
        <w:t xml:space="preserve"> (n=1), and HCC (n=1). Cumulatively, 587 serious adverse reactions have been reported in the post-marketing setting though 22 May 2015. No new safety findings bearing on the known overall safety profile o</w:t>
      </w:r>
      <w:r w:rsidR="00166FC4">
        <w:rPr>
          <w:lang w:eastAsia="ja-JP"/>
        </w:rPr>
        <w:t xml:space="preserve">f </w:t>
      </w:r>
      <w:proofErr w:type="spellStart"/>
      <w:r w:rsidR="00166FC4">
        <w:rPr>
          <w:lang w:eastAsia="ja-JP"/>
        </w:rPr>
        <w:t>cabozantinib</w:t>
      </w:r>
      <w:proofErr w:type="spellEnd"/>
      <w:r w:rsidR="00166FC4">
        <w:rPr>
          <w:lang w:eastAsia="ja-JP"/>
        </w:rPr>
        <w:t xml:space="preserve"> were identified.</w:t>
      </w:r>
    </w:p>
    <w:p w:rsidR="00CD7E26" w:rsidRDefault="00CD7E26" w:rsidP="00CD7E26">
      <w:pPr>
        <w:rPr>
          <w:lang w:eastAsia="ja-JP"/>
        </w:rPr>
      </w:pPr>
      <w:r>
        <w:rPr>
          <w:lang w:eastAsia="ja-JP"/>
        </w:rPr>
        <w:lastRenderedPageBreak/>
        <w:t xml:space="preserve">Through 22 May 2015, 75 post-marketing serious adverse reactions for 49 cases were received in subjects who received </w:t>
      </w:r>
      <w:proofErr w:type="spellStart"/>
      <w:r>
        <w:rPr>
          <w:lang w:eastAsia="ja-JP"/>
        </w:rPr>
        <w:t>Cometriq</w:t>
      </w:r>
      <w:proofErr w:type="spellEnd"/>
      <w:r>
        <w:rPr>
          <w:lang w:eastAsia="ja-JP"/>
        </w:rPr>
        <w:t xml:space="preserve"> off-label for the indication of renal cancer (including RCC and malignant neoplasm of the renal pelvis). With the exception of unknown cause of death (death [n=11]), pneumonia (n=4), dehydration (n=3), rectal haemorrhage (n=3), hypertension (n=2), hypotension (n=2), vomiting (n=2), and pain in extremity (n=2), the occurrence of any individual serious adverse reaction was limited to one event. After the 22 May 2015 cut-off, one unconfirmed case of posterior reversible encephalopathy syndrome (PRES; also called RPLS) was reported by a non-study physician via the post-marketing process for a subject who was enrolled in Study XL184-308. The report was not contemporaneous with the event (made &gt;1 year afterwards) and there was inconsistent information in the report regarding the date of the event relative to study treatment. The patient also had confounding factors including receipt of a prior VEGFR-TKI and radiation for brain metastases. There is no evidence of imaging supporting the diagnosis of RPLS, and the event was not confirmed by the study investigator. Additional follow-up is ongoing.</w:t>
      </w:r>
    </w:p>
    <w:p w:rsidR="00CD7E26" w:rsidRDefault="00CD7E26" w:rsidP="00CD7E26">
      <w:pPr>
        <w:pStyle w:val="Comment"/>
        <w:rPr>
          <w:lang w:eastAsia="ja-JP"/>
        </w:rPr>
      </w:pPr>
      <w:r>
        <w:rPr>
          <w:b/>
          <w:lang w:eastAsia="ja-JP"/>
        </w:rPr>
        <w:t>Comment:</w:t>
      </w:r>
      <w:r w:rsidR="00166FC4">
        <w:rPr>
          <w:b/>
          <w:lang w:eastAsia="ja-JP"/>
        </w:rPr>
        <w:tab/>
      </w:r>
      <w:r>
        <w:rPr>
          <w:lang w:eastAsia="ja-JP"/>
        </w:rPr>
        <w:t>Very limited post-marketing data have been provided and should be supplemented by the most recent available data.</w:t>
      </w:r>
    </w:p>
    <w:p w:rsidR="00CD7E26" w:rsidRPr="00E4342F" w:rsidRDefault="00CD7E26" w:rsidP="00CD7E26">
      <w:pPr>
        <w:pStyle w:val="Heading3"/>
        <w:numPr>
          <w:ilvl w:val="1"/>
          <w:numId w:val="29"/>
        </w:numPr>
        <w:ind w:left="907" w:hanging="794"/>
      </w:pPr>
      <w:bookmarkStart w:id="580" w:name="_Toc520879816"/>
      <w:bookmarkStart w:id="581" w:name="_Toc531776261"/>
      <w:r w:rsidRPr="00E4342F">
        <w:t>Evaluator’s overall conclusions on clinical safety</w:t>
      </w:r>
      <w:bookmarkEnd w:id="573"/>
      <w:bookmarkEnd w:id="574"/>
      <w:bookmarkEnd w:id="575"/>
      <w:bookmarkEnd w:id="576"/>
      <w:bookmarkEnd w:id="577"/>
      <w:bookmarkEnd w:id="578"/>
      <w:bookmarkEnd w:id="579"/>
      <w:bookmarkEnd w:id="580"/>
      <w:bookmarkEnd w:id="581"/>
    </w:p>
    <w:p w:rsidR="00CD7E26" w:rsidRDefault="00CD7E26" w:rsidP="00CD7E26">
      <w:pPr>
        <w:rPr>
          <w:lang w:eastAsia="ja-JP"/>
        </w:rPr>
      </w:pPr>
      <w:r>
        <w:rPr>
          <w:lang w:eastAsia="ja-JP"/>
        </w:rPr>
        <w:t xml:space="preserve">Overall the safety profile for </w:t>
      </w:r>
      <w:proofErr w:type="spellStart"/>
      <w:r>
        <w:rPr>
          <w:lang w:eastAsia="ja-JP"/>
        </w:rPr>
        <w:t>cabozantinib</w:t>
      </w:r>
      <w:proofErr w:type="spellEnd"/>
      <w:r>
        <w:rPr>
          <w:lang w:eastAsia="ja-JP"/>
        </w:rPr>
        <w:t xml:space="preserve"> was consistent across the clinical studies submitted by the sponsor.</w:t>
      </w:r>
    </w:p>
    <w:p w:rsidR="00CD7E26" w:rsidRDefault="00CD7E26" w:rsidP="00CD7E26">
      <w:pPr>
        <w:rPr>
          <w:lang w:eastAsia="ja-JP"/>
        </w:rPr>
      </w:pPr>
      <w:r>
        <w:rPr>
          <w:lang w:eastAsia="ja-JP"/>
        </w:rPr>
        <w:t xml:space="preserve">All subjects who received </w:t>
      </w:r>
      <w:proofErr w:type="spellStart"/>
      <w:r>
        <w:rPr>
          <w:lang w:eastAsia="ja-JP"/>
        </w:rPr>
        <w:t>cabozantinib</w:t>
      </w:r>
      <w:proofErr w:type="spellEnd"/>
      <w:r>
        <w:rPr>
          <w:lang w:eastAsia="ja-JP"/>
        </w:rPr>
        <w:t xml:space="preserve"> experienced at least one AE. The most frequent AEs of any severity were diarrhoea, PPES, nausea, fatigue, decreased appetite.</w:t>
      </w:r>
    </w:p>
    <w:p w:rsidR="00CD7E26" w:rsidRDefault="00CD7E26" w:rsidP="00CD7E26">
      <w:pPr>
        <w:rPr>
          <w:lang w:eastAsia="ja-JP"/>
        </w:rPr>
      </w:pPr>
      <w:r>
        <w:rPr>
          <w:lang w:eastAsia="ja-JP"/>
        </w:rPr>
        <w:t xml:space="preserve">Dose reductions and interruptions were frequent and are necessary to ameliorate AEs. Most AEs requiring dose modification or interruption occurred early on commencing </w:t>
      </w:r>
      <w:proofErr w:type="spellStart"/>
      <w:r>
        <w:rPr>
          <w:lang w:eastAsia="ja-JP"/>
        </w:rPr>
        <w:t>cabozantinib</w:t>
      </w:r>
      <w:proofErr w:type="spellEnd"/>
      <w:r>
        <w:rPr>
          <w:lang w:eastAsia="ja-JP"/>
        </w:rPr>
        <w:t xml:space="preserve"> treatment (median time to first reduction 55-days and first dose interruption 38-days) and patients will require close supervision during the first 8 weeks of treatment this is covered in the PI under precautions but for clarity is probably best placed under dosage and administration.</w:t>
      </w:r>
    </w:p>
    <w:p w:rsidR="00CD7E26" w:rsidRDefault="00CD7E26" w:rsidP="00CD7E26">
      <w:pPr>
        <w:rPr>
          <w:lang w:eastAsia="ja-JP"/>
        </w:rPr>
      </w:pPr>
      <w:r>
        <w:rPr>
          <w:lang w:eastAsia="ja-JP"/>
        </w:rPr>
        <w:t xml:space="preserve">The incidence of TAEs in the </w:t>
      </w:r>
      <w:proofErr w:type="spellStart"/>
      <w:r>
        <w:rPr>
          <w:lang w:eastAsia="ja-JP"/>
        </w:rPr>
        <w:t>cabozantinib</w:t>
      </w:r>
      <w:proofErr w:type="spellEnd"/>
      <w:r>
        <w:rPr>
          <w:lang w:eastAsia="ja-JP"/>
        </w:rPr>
        <w:t xml:space="preserve"> was 97% in patients who received </w:t>
      </w:r>
      <w:proofErr w:type="spellStart"/>
      <w:r>
        <w:rPr>
          <w:lang w:eastAsia="ja-JP"/>
        </w:rPr>
        <w:t>cabozantinib</w:t>
      </w:r>
      <w:proofErr w:type="spellEnd"/>
      <w:r>
        <w:rPr>
          <w:lang w:eastAsia="ja-JP"/>
        </w:rPr>
        <w:t xml:space="preserve"> in the pivotal study versus 91% for those who had received </w:t>
      </w:r>
      <w:proofErr w:type="spellStart"/>
      <w:r>
        <w:rPr>
          <w:lang w:eastAsia="ja-JP"/>
        </w:rPr>
        <w:t>everolimus</w:t>
      </w:r>
      <w:proofErr w:type="spellEnd"/>
      <w:r>
        <w:rPr>
          <w:lang w:eastAsia="ja-JP"/>
        </w:rPr>
        <w:t>.</w:t>
      </w:r>
    </w:p>
    <w:p w:rsidR="00CD7E26" w:rsidRDefault="00CD7E26" w:rsidP="00CD7E26">
      <w:pPr>
        <w:rPr>
          <w:lang w:eastAsia="ja-JP"/>
        </w:rPr>
      </w:pPr>
      <w:r>
        <w:rPr>
          <w:lang w:eastAsia="ja-JP"/>
        </w:rPr>
        <w:t xml:space="preserve">The safety analysis did not include an analysis of subjects with renal or hepatic impairment; however PK studies in subjects with these conditions were included. The prescribing information adequately covers these patient groups. </w:t>
      </w:r>
    </w:p>
    <w:p w:rsidR="00CD7E26" w:rsidRDefault="00CD7E26" w:rsidP="00CD7E26">
      <w:pPr>
        <w:rPr>
          <w:lang w:eastAsia="ja-JP"/>
        </w:rPr>
      </w:pPr>
      <w:bookmarkStart w:id="582" w:name="amendment4"/>
      <w:bookmarkEnd w:id="582"/>
      <w:r>
        <w:rPr>
          <w:lang w:eastAsia="ja-JP"/>
        </w:rPr>
        <w:t xml:space="preserve">Data from the pivotal study (in </w:t>
      </w:r>
      <w:proofErr w:type="spellStart"/>
      <w:r>
        <w:rPr>
          <w:lang w:eastAsia="ja-JP"/>
        </w:rPr>
        <w:t>mRCC</w:t>
      </w:r>
      <w:proofErr w:type="spellEnd"/>
      <w:r>
        <w:rPr>
          <w:lang w:eastAsia="ja-JP"/>
        </w:rPr>
        <w:t xml:space="preserve">) and the two supporting studies (in previously treated metastatic CRPC </w:t>
      </w:r>
      <w:r w:rsidRPr="005255EF">
        <w:rPr>
          <w:lang w:eastAsia="ja-JP"/>
        </w:rPr>
        <w:t xml:space="preserve">with bone-dominant disease who had experienced disease progression while on docetaxel-containing chemotherapy and either </w:t>
      </w:r>
      <w:proofErr w:type="spellStart"/>
      <w:r w:rsidRPr="005255EF">
        <w:rPr>
          <w:lang w:eastAsia="ja-JP"/>
        </w:rPr>
        <w:t>abiraterone</w:t>
      </w:r>
      <w:proofErr w:type="spellEnd"/>
      <w:r w:rsidRPr="005255EF">
        <w:rPr>
          <w:lang w:eastAsia="ja-JP"/>
        </w:rPr>
        <w:t xml:space="preserve"> or enzalutamide</w:t>
      </w:r>
      <w:r>
        <w:rPr>
          <w:lang w:eastAsia="ja-JP"/>
        </w:rPr>
        <w:t>)</w:t>
      </w:r>
      <w:r>
        <w:t xml:space="preserve"> </w:t>
      </w:r>
      <w:r>
        <w:rPr>
          <w:lang w:eastAsia="ja-JP"/>
        </w:rPr>
        <w:t xml:space="preserve">indicate that </w:t>
      </w:r>
      <w:proofErr w:type="spellStart"/>
      <w:r>
        <w:rPr>
          <w:lang w:eastAsia="ja-JP"/>
        </w:rPr>
        <w:t>cabozantinib</w:t>
      </w:r>
      <w:proofErr w:type="spellEnd"/>
      <w:r>
        <w:rPr>
          <w:lang w:eastAsia="ja-JP"/>
        </w:rPr>
        <w:t xml:space="preserve"> is associated with an increase in hepatic transaminases. In the </w:t>
      </w:r>
      <w:proofErr w:type="spellStart"/>
      <w:r>
        <w:rPr>
          <w:lang w:eastAsia="ja-JP"/>
        </w:rPr>
        <w:t>mCRPC</w:t>
      </w:r>
      <w:proofErr w:type="spellEnd"/>
      <w:r>
        <w:rPr>
          <w:lang w:eastAsia="ja-JP"/>
        </w:rPr>
        <w:t xml:space="preserve"> studies, there were four cases which met </w:t>
      </w:r>
      <w:proofErr w:type="spellStart"/>
      <w:r>
        <w:rPr>
          <w:lang w:eastAsia="ja-JP"/>
        </w:rPr>
        <w:t>Hy’s</w:t>
      </w:r>
      <w:proofErr w:type="spellEnd"/>
      <w:r>
        <w:rPr>
          <w:lang w:eastAsia="ja-JP"/>
        </w:rPr>
        <w:t xml:space="preserve"> Law criteria, but have been attributed to disease progression due to confounding factors (hepatic metastasis). In three of these cases there was a clear temporal association between discontinuation of </w:t>
      </w:r>
      <w:proofErr w:type="spellStart"/>
      <w:r>
        <w:rPr>
          <w:lang w:eastAsia="ja-JP"/>
        </w:rPr>
        <w:t>cabozantinib</w:t>
      </w:r>
      <w:proofErr w:type="spellEnd"/>
      <w:r>
        <w:rPr>
          <w:lang w:eastAsia="ja-JP"/>
        </w:rPr>
        <w:t xml:space="preserve"> and improvement in hepatic function. Other TKIs are associated with hepatic dysfunction. Monitoring of hepatic function should be included in the prescribing information particularly in patients with known intra-hepatic metastasis.</w:t>
      </w:r>
    </w:p>
    <w:p w:rsidR="00CD7E26" w:rsidRDefault="00CD7E26" w:rsidP="00CD7E26">
      <w:pPr>
        <w:rPr>
          <w:lang w:eastAsia="ja-JP"/>
        </w:rPr>
      </w:pPr>
      <w:r>
        <w:rPr>
          <w:lang w:eastAsia="ja-JP"/>
        </w:rPr>
        <w:t>The majority of deaths were due to disease progression and this could be anticipated given the nature of the clinical study populations, there was no clear indication that deaths were related to a single AE (such as cardiac arrhythmia).</w:t>
      </w:r>
    </w:p>
    <w:p w:rsidR="00CD7E26" w:rsidRDefault="00CD7E26" w:rsidP="00CD7E26">
      <w:pPr>
        <w:rPr>
          <w:lang w:eastAsia="ja-JP"/>
        </w:rPr>
      </w:pPr>
      <w:r>
        <w:rPr>
          <w:lang w:eastAsia="ja-JP"/>
        </w:rPr>
        <w:t xml:space="preserve">The overall safety profile of </w:t>
      </w:r>
      <w:proofErr w:type="spellStart"/>
      <w:r>
        <w:rPr>
          <w:lang w:eastAsia="ja-JP"/>
        </w:rPr>
        <w:t>cabozantinib</w:t>
      </w:r>
      <w:proofErr w:type="spellEnd"/>
      <w:r>
        <w:rPr>
          <w:lang w:eastAsia="ja-JP"/>
        </w:rPr>
        <w:t xml:space="preserve"> is consistent with that of VEGFR-TKIs.</w:t>
      </w:r>
    </w:p>
    <w:p w:rsidR="00CD7E26" w:rsidRDefault="00CD7E26" w:rsidP="00CD7E26">
      <w:pPr>
        <w:pStyle w:val="Heading2"/>
        <w:numPr>
          <w:ilvl w:val="0"/>
          <w:numId w:val="29"/>
        </w:numPr>
      </w:pPr>
      <w:bookmarkStart w:id="583" w:name="_Toc520879817"/>
      <w:bookmarkStart w:id="584" w:name="_Toc531776262"/>
      <w:r>
        <w:lastRenderedPageBreak/>
        <w:t>First round benefit-risk assessment</w:t>
      </w:r>
      <w:bookmarkEnd w:id="583"/>
      <w:bookmarkEnd w:id="584"/>
    </w:p>
    <w:p w:rsidR="00CD7E26" w:rsidRDefault="00CD7E26" w:rsidP="00CD7E26">
      <w:pPr>
        <w:pStyle w:val="Heading3"/>
        <w:numPr>
          <w:ilvl w:val="1"/>
          <w:numId w:val="29"/>
        </w:numPr>
        <w:ind w:left="907" w:hanging="794"/>
      </w:pPr>
      <w:bookmarkStart w:id="585" w:name="_Toc236802592"/>
      <w:bookmarkStart w:id="586" w:name="_Toc241374331"/>
      <w:bookmarkStart w:id="587" w:name="_Ref272160836"/>
      <w:bookmarkStart w:id="588" w:name="_Toc272414693"/>
      <w:bookmarkStart w:id="589" w:name="_Toc290888557"/>
      <w:bookmarkStart w:id="590" w:name="_Toc416353772"/>
      <w:bookmarkStart w:id="591" w:name="_Toc421005314"/>
      <w:bookmarkStart w:id="592" w:name="_Toc432079185"/>
      <w:bookmarkStart w:id="593" w:name="_Toc432080758"/>
      <w:bookmarkStart w:id="594" w:name="_Toc520879818"/>
      <w:bookmarkStart w:id="595" w:name="_Toc531776263"/>
      <w:r w:rsidRPr="00545B14">
        <w:t xml:space="preserve">First round assessment of </w:t>
      </w:r>
      <w:r w:rsidRPr="000D5752">
        <w:t>benefits</w:t>
      </w:r>
      <w:bookmarkEnd w:id="585"/>
      <w:bookmarkEnd w:id="586"/>
      <w:bookmarkEnd w:id="587"/>
      <w:bookmarkEnd w:id="588"/>
      <w:bookmarkEnd w:id="589"/>
      <w:bookmarkEnd w:id="590"/>
      <w:bookmarkEnd w:id="591"/>
      <w:bookmarkEnd w:id="592"/>
      <w:bookmarkEnd w:id="593"/>
      <w:bookmarkEnd w:id="594"/>
      <w:bookmarkEnd w:id="595"/>
    </w:p>
    <w:p w:rsidR="00CD7E26" w:rsidRPr="00AE1719" w:rsidRDefault="00CD7E26" w:rsidP="00CD7E26">
      <w:pPr>
        <w:pStyle w:val="Tabletitle"/>
        <w:rPr>
          <w:lang w:eastAsia="ja-JP"/>
        </w:rPr>
      </w:pPr>
      <w:r>
        <w:rPr>
          <w:lang w:eastAsia="ja-JP"/>
        </w:rPr>
        <w:t xml:space="preserve">Table </w:t>
      </w:r>
      <w:r w:rsidR="00DB6CD6">
        <w:rPr>
          <w:lang w:eastAsia="ja-JP"/>
        </w:rPr>
        <w:t>6</w:t>
      </w:r>
      <w:r w:rsidR="009B56F4">
        <w:rPr>
          <w:lang w:eastAsia="ja-JP"/>
        </w:rPr>
        <w:t>8</w:t>
      </w:r>
      <w:r w:rsidR="00DB6CD6">
        <w:rPr>
          <w:lang w:eastAsia="ja-JP"/>
        </w:rPr>
        <w:t xml:space="preserve">: </w:t>
      </w:r>
      <w:r>
        <w:rPr>
          <w:lang w:eastAsia="ja-JP"/>
        </w:rPr>
        <w:t xml:space="preserve">Discussion </w:t>
      </w:r>
      <w:r>
        <w:t>of f</w:t>
      </w:r>
      <w:r w:rsidRPr="00545B14">
        <w:t xml:space="preserve">irst round assessment of </w:t>
      </w:r>
      <w:r w:rsidRPr="000D5752">
        <w:t>benefits</w:t>
      </w:r>
    </w:p>
    <w:tbl>
      <w:tblPr>
        <w:tblStyle w:val="TableGrid"/>
        <w:tblW w:w="0" w:type="auto"/>
        <w:tblInd w:w="108" w:type="dxa"/>
        <w:tblLook w:val="04A0" w:firstRow="1" w:lastRow="0" w:firstColumn="1" w:lastColumn="0" w:noHBand="0" w:noVBand="1"/>
        <w:tblDescription w:val="Table 68: Discussion of first round assessment of benefits"/>
      </w:tblPr>
      <w:tblGrid>
        <w:gridCol w:w="4511"/>
        <w:gridCol w:w="4278"/>
      </w:tblGrid>
      <w:tr w:rsidR="00267B6C" w:rsidRPr="00C37A1D" w:rsidTr="00267B6C">
        <w:trPr>
          <w:tblHeader/>
        </w:trPr>
        <w:tc>
          <w:tcPr>
            <w:tcW w:w="4511" w:type="dxa"/>
            <w:tcBorders>
              <w:right w:val="nil"/>
            </w:tcBorders>
            <w:shd w:val="clear" w:color="auto" w:fill="006DA7" w:themeFill="accent3"/>
          </w:tcPr>
          <w:p w:rsidR="00267B6C" w:rsidRPr="0013182D" w:rsidRDefault="00267B6C" w:rsidP="00CD7E26">
            <w:pPr>
              <w:rPr>
                <w:rFonts w:asciiTheme="minorHAnsi" w:hAnsiTheme="minorHAnsi"/>
                <w:b/>
                <w:color w:val="FFFFFF" w:themeColor="background1"/>
              </w:rPr>
            </w:pPr>
            <w:r w:rsidRPr="0013182D">
              <w:rPr>
                <w:rFonts w:asciiTheme="minorHAnsi" w:hAnsiTheme="minorHAnsi"/>
                <w:b/>
                <w:color w:val="FFFFFF" w:themeColor="background1"/>
                <w:sz w:val="22"/>
                <w:szCs w:val="22"/>
              </w:rPr>
              <w:t>Indication</w:t>
            </w:r>
          </w:p>
        </w:tc>
        <w:tc>
          <w:tcPr>
            <w:tcW w:w="4278" w:type="dxa"/>
            <w:tcBorders>
              <w:left w:val="nil"/>
            </w:tcBorders>
            <w:shd w:val="clear" w:color="auto" w:fill="006DA7" w:themeFill="accent3"/>
          </w:tcPr>
          <w:p w:rsidR="00267B6C" w:rsidRPr="0013182D" w:rsidRDefault="00267B6C" w:rsidP="00CD7E26">
            <w:pPr>
              <w:rPr>
                <w:rFonts w:asciiTheme="minorHAnsi" w:hAnsiTheme="minorHAnsi"/>
                <w:b/>
                <w:color w:val="FFFFFF" w:themeColor="background1"/>
                <w:sz w:val="22"/>
                <w:szCs w:val="22"/>
              </w:rPr>
            </w:pPr>
          </w:p>
        </w:tc>
      </w:tr>
      <w:tr w:rsidR="00CD7E26" w:rsidRPr="00C37A1D" w:rsidTr="00166FC4">
        <w:trPr>
          <w:tblHeader/>
        </w:trPr>
        <w:tc>
          <w:tcPr>
            <w:tcW w:w="4511" w:type="dxa"/>
            <w:shd w:val="clear" w:color="auto" w:fill="00517D" w:themeFill="accent3" w:themeFillShade="BF"/>
          </w:tcPr>
          <w:p w:rsidR="00CD7E26" w:rsidRPr="0013182D" w:rsidRDefault="00CD7E26" w:rsidP="00CD7E26">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4278" w:type="dxa"/>
            <w:shd w:val="clear" w:color="auto" w:fill="00517D" w:themeFill="accent3" w:themeFillShade="BF"/>
          </w:tcPr>
          <w:p w:rsidR="00CD7E26" w:rsidRPr="0013182D" w:rsidRDefault="00CD7E26" w:rsidP="00CD7E26">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CD7E26" w:rsidRPr="00C37A1D" w:rsidTr="00CD7E26">
        <w:tc>
          <w:tcPr>
            <w:tcW w:w="4511" w:type="dxa"/>
          </w:tcPr>
          <w:p w:rsidR="00CD7E26" w:rsidRDefault="00CD7E26" w:rsidP="00CD7E26">
            <w:r>
              <w:t xml:space="preserve">A statistically significant difference between the treatment arms favouring </w:t>
            </w:r>
            <w:proofErr w:type="spellStart"/>
            <w:r>
              <w:t>cabozantinib</w:t>
            </w:r>
            <w:proofErr w:type="spellEnd"/>
            <w:r>
              <w:t xml:space="preserve"> was seen for the primary endpoint PFS. The HR adjusted for stratification factors was 0.59 (p&lt;0.001). The Kaplan-Meier estimates for median duration of PFS were 7.4-months in the </w:t>
            </w:r>
            <w:proofErr w:type="spellStart"/>
            <w:r>
              <w:t>cabozantinib</w:t>
            </w:r>
            <w:proofErr w:type="spellEnd"/>
            <w:r>
              <w:t xml:space="preserve"> arm versus 3.8-months in the </w:t>
            </w:r>
            <w:proofErr w:type="spellStart"/>
            <w:r>
              <w:t>everolimus</w:t>
            </w:r>
            <w:proofErr w:type="spellEnd"/>
            <w:r>
              <w:t xml:space="preserve"> arm, a difference of 3.6-months favouring </w:t>
            </w:r>
            <w:proofErr w:type="spellStart"/>
            <w:r>
              <w:t>cabozantinib</w:t>
            </w:r>
            <w:proofErr w:type="spellEnd"/>
            <w:r>
              <w:t xml:space="preserve"> this is con</w:t>
            </w:r>
            <w:r w:rsidR="00166FC4">
              <w:t>sidered clinically significant.</w:t>
            </w:r>
          </w:p>
          <w:p w:rsidR="00CD7E26" w:rsidRDefault="00CD7E26" w:rsidP="00CD7E26">
            <w:pPr>
              <w:rPr>
                <w:lang w:eastAsia="ja-JP"/>
              </w:rPr>
            </w:pPr>
            <w:r w:rsidRPr="007B2AEB">
              <w:rPr>
                <w:lang w:eastAsia="ja-JP"/>
              </w:rPr>
              <w:t xml:space="preserve">At the </w:t>
            </w:r>
            <w:r>
              <w:rPr>
                <w:lang w:eastAsia="ja-JP"/>
              </w:rPr>
              <w:t xml:space="preserve">data </w:t>
            </w:r>
            <w:r w:rsidRPr="007B2AEB">
              <w:rPr>
                <w:lang w:eastAsia="ja-JP"/>
              </w:rPr>
              <w:t>cut</w:t>
            </w:r>
            <w:r>
              <w:rPr>
                <w:lang w:eastAsia="ja-JP"/>
              </w:rPr>
              <w:t>-</w:t>
            </w:r>
            <w:r w:rsidRPr="007B2AEB">
              <w:rPr>
                <w:lang w:eastAsia="ja-JP"/>
              </w:rPr>
              <w:t>off</w:t>
            </w:r>
            <w:r>
              <w:rPr>
                <w:lang w:eastAsia="ja-JP"/>
              </w:rPr>
              <w:t xml:space="preserve"> for the first interim analysis of OS, </w:t>
            </w:r>
            <w:r w:rsidRPr="007B2AEB">
              <w:rPr>
                <w:lang w:eastAsia="ja-JP"/>
              </w:rPr>
              <w:t>May</w:t>
            </w:r>
            <w:r>
              <w:rPr>
                <w:lang w:eastAsia="ja-JP"/>
              </w:rPr>
              <w:t xml:space="preserve"> 2015, a trend for improved overall survival</w:t>
            </w:r>
            <w:r w:rsidRPr="007B2AEB">
              <w:rPr>
                <w:lang w:eastAsia="ja-JP"/>
              </w:rPr>
              <w:t xml:space="preserve"> for </w:t>
            </w:r>
            <w:proofErr w:type="spellStart"/>
            <w:r w:rsidRPr="007B2AEB">
              <w:rPr>
                <w:lang w:eastAsia="ja-JP"/>
              </w:rPr>
              <w:t>cabozantinib</w:t>
            </w:r>
            <w:proofErr w:type="spellEnd"/>
            <w:r w:rsidRPr="007B2AEB">
              <w:rPr>
                <w:lang w:eastAsia="ja-JP"/>
              </w:rPr>
              <w:t xml:space="preserve"> treated subjects was observed, 0.68 (95% CI: 0.51, 0.90; stratified log rank p-value = 0.006</w:t>
            </w:r>
            <w:r>
              <w:rPr>
                <w:lang w:eastAsia="ja-JP"/>
              </w:rPr>
              <w:t>). The magnitude of this response was approximately an additional five months of survival which can be considered clinically meaningful.</w:t>
            </w:r>
          </w:p>
          <w:p w:rsidR="00CD7E26" w:rsidRDefault="00CD7E26" w:rsidP="00CD7E26">
            <w:pPr>
              <w:rPr>
                <w:lang w:eastAsia="ja-JP"/>
              </w:rPr>
            </w:pPr>
            <w:r>
              <w:rPr>
                <w:lang w:eastAsia="ja-JP"/>
              </w:rPr>
              <w:t xml:space="preserve">A second, unplanned, interim analysis was undertaken to provide OS data for at least 12-months that demonstrated a similar </w:t>
            </w:r>
            <w:r w:rsidRPr="00AD2D19">
              <w:rPr>
                <w:lang w:eastAsia="ja-JP"/>
              </w:rPr>
              <w:t xml:space="preserve">the HR adjusted for stratification factors was 0.67 (95% CI: 0.53, 0.83; stratified </w:t>
            </w:r>
            <w:proofErr w:type="spellStart"/>
            <w:r w:rsidRPr="00AD2D19">
              <w:rPr>
                <w:lang w:eastAsia="ja-JP"/>
              </w:rPr>
              <w:t>logrank</w:t>
            </w:r>
            <w:proofErr w:type="spellEnd"/>
            <w:r w:rsidRPr="00AD2D19">
              <w:rPr>
                <w:lang w:eastAsia="ja-JP"/>
              </w:rPr>
              <w:t xml:space="preserve"> p-value = 0.0003). The Kaplan-Meier estimates of median duration of OS were 21.4</w:t>
            </w:r>
            <w:r>
              <w:rPr>
                <w:lang w:eastAsia="ja-JP"/>
              </w:rPr>
              <w:t>-months</w:t>
            </w:r>
            <w:r w:rsidRPr="00AD2D19">
              <w:rPr>
                <w:lang w:eastAsia="ja-JP"/>
              </w:rPr>
              <w:t xml:space="preserve"> in the </w:t>
            </w:r>
            <w:proofErr w:type="spellStart"/>
            <w:r w:rsidRPr="00AD2D19">
              <w:rPr>
                <w:lang w:eastAsia="ja-JP"/>
              </w:rPr>
              <w:t>cabozantinib</w:t>
            </w:r>
            <w:proofErr w:type="spellEnd"/>
            <w:r w:rsidRPr="00AD2D19">
              <w:rPr>
                <w:lang w:eastAsia="ja-JP"/>
              </w:rPr>
              <w:t xml:space="preserve"> arm and 16.5</w:t>
            </w:r>
            <w:r>
              <w:rPr>
                <w:lang w:eastAsia="ja-JP"/>
              </w:rPr>
              <w:t>-months</w:t>
            </w:r>
            <w:r w:rsidRPr="00AD2D19">
              <w:rPr>
                <w:lang w:eastAsia="ja-JP"/>
              </w:rPr>
              <w:t xml:space="preserve"> in the </w:t>
            </w:r>
            <w:proofErr w:type="spellStart"/>
            <w:r w:rsidRPr="00AD2D19">
              <w:rPr>
                <w:lang w:eastAsia="ja-JP"/>
              </w:rPr>
              <w:t>everolimus</w:t>
            </w:r>
            <w:proofErr w:type="spellEnd"/>
            <w:r w:rsidRPr="00AD2D19">
              <w:rPr>
                <w:lang w:eastAsia="ja-JP"/>
              </w:rPr>
              <w:t xml:space="preserve"> arm, 4.9 month dif</w:t>
            </w:r>
            <w:r>
              <w:rPr>
                <w:lang w:eastAsia="ja-JP"/>
              </w:rPr>
              <w:t>ference the result is consistent with that seen for the first planned analysis of OS.</w:t>
            </w:r>
          </w:p>
          <w:p w:rsidR="00CD7E26" w:rsidRDefault="00CD7E26" w:rsidP="00CD7E26">
            <w:pPr>
              <w:rPr>
                <w:lang w:eastAsia="ja-JP"/>
              </w:rPr>
            </w:pPr>
            <w:r>
              <w:rPr>
                <w:lang w:eastAsia="ja-JP"/>
              </w:rPr>
              <w:t>A single pivotal study is submitted in this application, the degree of statistical significance for the results of the primary endpoint, PFS (p&lt;0.001) is in line with that which would expected for an application that includes a single pivotal study (that is, stronger than p&lt;0.05).</w:t>
            </w:r>
          </w:p>
          <w:p w:rsidR="00CD7E26" w:rsidRDefault="00CD7E26" w:rsidP="00CD7E26">
            <w:pPr>
              <w:rPr>
                <w:lang w:eastAsia="ja-JP"/>
              </w:rPr>
            </w:pPr>
            <w:r>
              <w:rPr>
                <w:lang w:eastAsia="ja-JP"/>
              </w:rPr>
              <w:t xml:space="preserve">The number of subjects who received non-protocol anticancer therapy was higher in those who had received </w:t>
            </w:r>
            <w:proofErr w:type="spellStart"/>
            <w:r>
              <w:rPr>
                <w:lang w:eastAsia="ja-JP"/>
              </w:rPr>
              <w:t>everolimus</w:t>
            </w:r>
            <w:proofErr w:type="spellEnd"/>
            <w:r>
              <w:rPr>
                <w:lang w:eastAsia="ja-JP"/>
              </w:rPr>
              <w:t xml:space="preserve"> as part of the study compared to those who had received </w:t>
            </w:r>
            <w:proofErr w:type="spellStart"/>
            <w:r>
              <w:rPr>
                <w:lang w:eastAsia="ja-JP"/>
              </w:rPr>
              <w:t>cabozantinib</w:t>
            </w:r>
            <w:proofErr w:type="spellEnd"/>
            <w:r>
              <w:rPr>
                <w:lang w:eastAsia="ja-JP"/>
              </w:rPr>
              <w:t>.</w:t>
            </w:r>
          </w:p>
          <w:p w:rsidR="00CD7E26" w:rsidRPr="00111D0E" w:rsidRDefault="00CD7E26" w:rsidP="00CD7E26">
            <w:pPr>
              <w:rPr>
                <w:rFonts w:asciiTheme="minorHAnsi" w:hAnsiTheme="minorHAnsi" w:cstheme="minorHAnsi"/>
                <w:i/>
                <w:sz w:val="22"/>
                <w:szCs w:val="22"/>
              </w:rPr>
            </w:pPr>
            <w:r>
              <w:rPr>
                <w:lang w:eastAsia="ja-JP"/>
              </w:rPr>
              <w:t xml:space="preserve">The secondary endpoint ORR was supportive of </w:t>
            </w:r>
            <w:r>
              <w:rPr>
                <w:lang w:eastAsia="ja-JP"/>
              </w:rPr>
              <w:lastRenderedPageBreak/>
              <w:t xml:space="preserve">the results seen for PFS and OS. A statistically significant benefit was seen. </w:t>
            </w:r>
            <w:r w:rsidRPr="00AD2D19">
              <w:rPr>
                <w:lang w:eastAsia="ja-JP"/>
              </w:rPr>
              <w:t xml:space="preserve">The ORR was 17% for subjects who received </w:t>
            </w:r>
            <w:proofErr w:type="spellStart"/>
            <w:r w:rsidRPr="00AD2D19">
              <w:rPr>
                <w:lang w:eastAsia="ja-JP"/>
              </w:rPr>
              <w:t>cabozantinib</w:t>
            </w:r>
            <w:proofErr w:type="spellEnd"/>
            <w:r w:rsidRPr="00AD2D19">
              <w:rPr>
                <w:lang w:eastAsia="ja-JP"/>
              </w:rPr>
              <w:t xml:space="preserve"> and 3% for subjects who received </w:t>
            </w:r>
            <w:proofErr w:type="spellStart"/>
            <w:r w:rsidRPr="00AD2D19">
              <w:rPr>
                <w:lang w:eastAsia="ja-JP"/>
              </w:rPr>
              <w:t>everolimus</w:t>
            </w:r>
            <w:proofErr w:type="spellEnd"/>
            <w:r>
              <w:rPr>
                <w:lang w:eastAsia="ja-JP"/>
              </w:rPr>
              <w:t xml:space="preserve">. A reduction in tumour size from baseline was greater for subjects that had received </w:t>
            </w:r>
            <w:proofErr w:type="spellStart"/>
            <w:r>
              <w:rPr>
                <w:lang w:eastAsia="ja-JP"/>
              </w:rPr>
              <w:t>cabozantinib</w:t>
            </w:r>
            <w:proofErr w:type="spellEnd"/>
            <w:r>
              <w:rPr>
                <w:lang w:eastAsia="ja-JP"/>
              </w:rPr>
              <w:t xml:space="preserve"> compared to those who had received </w:t>
            </w:r>
            <w:proofErr w:type="spellStart"/>
            <w:r>
              <w:rPr>
                <w:lang w:eastAsia="ja-JP"/>
              </w:rPr>
              <w:t>everolimus</w:t>
            </w:r>
            <w:proofErr w:type="spellEnd"/>
            <w:r>
              <w:rPr>
                <w:lang w:eastAsia="ja-JP"/>
              </w:rPr>
              <w:t>, 75% v 48% respectively.</w:t>
            </w:r>
          </w:p>
        </w:tc>
        <w:tc>
          <w:tcPr>
            <w:tcW w:w="4278" w:type="dxa"/>
          </w:tcPr>
          <w:p w:rsidR="00CD7E26" w:rsidRDefault="00CD7E26" w:rsidP="00CD7E26">
            <w:pPr>
              <w:rPr>
                <w:lang w:eastAsia="ja-JP"/>
              </w:rPr>
            </w:pPr>
            <w:r>
              <w:rPr>
                <w:lang w:eastAsia="ja-JP"/>
              </w:rPr>
              <w:lastRenderedPageBreak/>
              <w:t>The proposed starting dose of 60 mg is poorly tolerated and by the end of the pivotal study approximately equal proportion of subjects were receiving 60 mg and 40 mg. There is uncertainty with regard the lowest effective dose.</w:t>
            </w:r>
          </w:p>
          <w:p w:rsidR="00CD7E26" w:rsidRDefault="00CD7E26" w:rsidP="00CD7E26">
            <w:pPr>
              <w:rPr>
                <w:lang w:eastAsia="ja-JP"/>
              </w:rPr>
            </w:pPr>
            <w:r>
              <w:rPr>
                <w:lang w:eastAsia="ja-JP"/>
              </w:rPr>
              <w:t>Screening for</w:t>
            </w:r>
            <w:r w:rsidRPr="00AD2D19">
              <w:rPr>
                <w:lang w:eastAsia="ja-JP"/>
              </w:rPr>
              <w:t xml:space="preserve"> cerebral or bony met</w:t>
            </w:r>
            <w:r>
              <w:rPr>
                <w:lang w:eastAsia="ja-JP"/>
              </w:rPr>
              <w:t xml:space="preserve">astasis that </w:t>
            </w:r>
            <w:proofErr w:type="gramStart"/>
            <w:r>
              <w:rPr>
                <w:lang w:eastAsia="ja-JP"/>
              </w:rPr>
              <w:t>were</w:t>
            </w:r>
            <w:proofErr w:type="gramEnd"/>
            <w:r>
              <w:rPr>
                <w:lang w:eastAsia="ja-JP"/>
              </w:rPr>
              <w:t xml:space="preserve"> not present only occurred at study entry. Subsequent imaging for metastasis only occurred based on</w:t>
            </w:r>
            <w:r w:rsidRPr="00AD2D19">
              <w:rPr>
                <w:lang w:eastAsia="ja-JP"/>
              </w:rPr>
              <w:t xml:space="preserve"> the</w:t>
            </w:r>
            <w:r>
              <w:rPr>
                <w:lang w:eastAsia="ja-JP"/>
              </w:rPr>
              <w:t xml:space="preserve"> investigator’s assessment of clinical symptoms. As this was an open label study there is a potential for bias</w:t>
            </w:r>
            <w:r w:rsidRPr="00AD2D19">
              <w:rPr>
                <w:lang w:eastAsia="ja-JP"/>
              </w:rPr>
              <w:t xml:space="preserve"> comment on the steps taken (if any) to eliminate bias with regard to the need for imaging/bone scans (as appropriate) for these subjects</w:t>
            </w:r>
            <w:r>
              <w:rPr>
                <w:lang w:eastAsia="ja-JP"/>
              </w:rPr>
              <w:t xml:space="preserve"> should be provided.</w:t>
            </w:r>
          </w:p>
          <w:p w:rsidR="00CD7E26" w:rsidRPr="00111D0E" w:rsidRDefault="00CD7E26" w:rsidP="00CD7E26">
            <w:pPr>
              <w:rPr>
                <w:rFonts w:asciiTheme="minorHAnsi" w:hAnsiTheme="minorHAnsi" w:cstheme="minorHAnsi"/>
                <w:i/>
                <w:sz w:val="22"/>
                <w:szCs w:val="22"/>
              </w:rPr>
            </w:pPr>
            <w:r>
              <w:rPr>
                <w:lang w:eastAsia="ja-JP"/>
              </w:rPr>
              <w:t>The second analysis undertaken to provide OS data for at least 12-months was unplanned the relevance needs to be considered uncertain. Mature OS data is pending and the final analysis should be provided as soon as practical.</w:t>
            </w:r>
          </w:p>
        </w:tc>
      </w:tr>
    </w:tbl>
    <w:p w:rsidR="00CD7E26" w:rsidRPr="000D5752" w:rsidRDefault="00CD7E26" w:rsidP="00CD7E26">
      <w:pPr>
        <w:pStyle w:val="Heading3"/>
        <w:numPr>
          <w:ilvl w:val="1"/>
          <w:numId w:val="29"/>
        </w:numPr>
        <w:ind w:left="907" w:hanging="794"/>
      </w:pPr>
      <w:bookmarkStart w:id="596" w:name="_Toc236802596"/>
      <w:bookmarkStart w:id="597" w:name="_Toc241374334"/>
      <w:bookmarkStart w:id="598" w:name="_Ref272160964"/>
      <w:bookmarkStart w:id="599" w:name="_Toc272414694"/>
      <w:bookmarkStart w:id="600" w:name="_Toc290888558"/>
      <w:bookmarkStart w:id="601" w:name="_Toc416353773"/>
      <w:bookmarkStart w:id="602" w:name="_Toc421005315"/>
      <w:bookmarkStart w:id="603" w:name="_Toc432079186"/>
      <w:bookmarkStart w:id="604" w:name="_Toc432080759"/>
      <w:bookmarkStart w:id="605" w:name="_Toc520879819"/>
      <w:bookmarkStart w:id="606" w:name="_Toc531776264"/>
      <w:r w:rsidRPr="000D5752">
        <w:lastRenderedPageBreak/>
        <w:t>First round assessment of risks</w:t>
      </w:r>
      <w:bookmarkEnd w:id="596"/>
      <w:bookmarkEnd w:id="597"/>
      <w:bookmarkEnd w:id="598"/>
      <w:bookmarkEnd w:id="599"/>
      <w:bookmarkEnd w:id="600"/>
      <w:bookmarkEnd w:id="601"/>
      <w:bookmarkEnd w:id="602"/>
      <w:bookmarkEnd w:id="603"/>
      <w:bookmarkEnd w:id="604"/>
      <w:bookmarkEnd w:id="605"/>
      <w:bookmarkEnd w:id="606"/>
    </w:p>
    <w:p w:rsidR="00CD7E26" w:rsidRDefault="00CD7E26" w:rsidP="00DB6CD6">
      <w:pPr>
        <w:pStyle w:val="Tabletitle"/>
        <w:rPr>
          <w:lang w:eastAsia="ja-JP"/>
        </w:rPr>
      </w:pPr>
      <w:r>
        <w:rPr>
          <w:lang w:eastAsia="ja-JP"/>
        </w:rPr>
        <w:t xml:space="preserve">Table </w:t>
      </w:r>
      <w:r w:rsidR="00DB6CD6">
        <w:rPr>
          <w:lang w:eastAsia="ja-JP"/>
        </w:rPr>
        <w:t>6</w:t>
      </w:r>
      <w:r w:rsidR="009B56F4">
        <w:rPr>
          <w:lang w:eastAsia="ja-JP"/>
        </w:rPr>
        <w:t>9</w:t>
      </w:r>
      <w:r w:rsidR="00DB6CD6">
        <w:rPr>
          <w:lang w:eastAsia="ja-JP"/>
        </w:rPr>
        <w:t xml:space="preserve">: </w:t>
      </w:r>
      <w:r>
        <w:rPr>
          <w:lang w:eastAsia="ja-JP"/>
        </w:rPr>
        <w:t xml:space="preserve">Discussion </w:t>
      </w:r>
      <w:r>
        <w:t>of f</w:t>
      </w:r>
      <w:r w:rsidRPr="00545B14">
        <w:t xml:space="preserve">irst round assessment of </w:t>
      </w:r>
      <w:r>
        <w:t>risks</w:t>
      </w:r>
    </w:p>
    <w:tbl>
      <w:tblPr>
        <w:tblStyle w:val="TableGrid"/>
        <w:tblW w:w="0" w:type="auto"/>
        <w:tblInd w:w="108" w:type="dxa"/>
        <w:tblLook w:val="04A0" w:firstRow="1" w:lastRow="0" w:firstColumn="1" w:lastColumn="0" w:noHBand="0" w:noVBand="1"/>
        <w:tblDescription w:val="Table 69: Discussion of first round assessment of risks"/>
      </w:tblPr>
      <w:tblGrid>
        <w:gridCol w:w="4395"/>
        <w:gridCol w:w="4394"/>
      </w:tblGrid>
      <w:tr w:rsidR="00CD7E26" w:rsidRPr="00C37A1D" w:rsidTr="00166FC4">
        <w:trPr>
          <w:tblHeader/>
        </w:trPr>
        <w:tc>
          <w:tcPr>
            <w:tcW w:w="4395" w:type="dxa"/>
            <w:shd w:val="clear" w:color="auto" w:fill="006DA7" w:themeFill="accent3"/>
          </w:tcPr>
          <w:p w:rsidR="00CD7E26" w:rsidRPr="0013182D" w:rsidRDefault="00CD7E26" w:rsidP="00CD7E26">
            <w:pPr>
              <w:keepNext/>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Risks</w:t>
            </w:r>
          </w:p>
        </w:tc>
        <w:tc>
          <w:tcPr>
            <w:tcW w:w="4394" w:type="dxa"/>
            <w:shd w:val="clear" w:color="auto" w:fill="006DA7" w:themeFill="accent3"/>
          </w:tcPr>
          <w:p w:rsidR="00CD7E26" w:rsidRPr="0013182D" w:rsidRDefault="00CD7E26" w:rsidP="00CD7E26">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CD7E26" w:rsidRPr="00C37A1D" w:rsidTr="00CD7E26">
        <w:tc>
          <w:tcPr>
            <w:tcW w:w="4395" w:type="dxa"/>
          </w:tcPr>
          <w:p w:rsidR="00CD7E26" w:rsidRDefault="00CD7E26" w:rsidP="00CD7E26">
            <w:r>
              <w:t xml:space="preserve">All subjects that received </w:t>
            </w:r>
            <w:proofErr w:type="spellStart"/>
            <w:r>
              <w:t>cabozantinib</w:t>
            </w:r>
            <w:proofErr w:type="spellEnd"/>
            <w:r>
              <w:t xml:space="preserve"> experienced at least one AE.</w:t>
            </w:r>
          </w:p>
          <w:p w:rsidR="00CD7E26" w:rsidRDefault="00CD7E26" w:rsidP="00CD7E26">
            <w:r>
              <w:t xml:space="preserve">AEs were experienced by 97% of subjects that received </w:t>
            </w:r>
            <w:proofErr w:type="spellStart"/>
            <w:r>
              <w:t>cabozantinib</w:t>
            </w:r>
            <w:proofErr w:type="spellEnd"/>
            <w:r>
              <w:t xml:space="preserve"> versus 91% of those that received </w:t>
            </w:r>
            <w:proofErr w:type="spellStart"/>
            <w:r>
              <w:t>everolimus</w:t>
            </w:r>
            <w:proofErr w:type="spellEnd"/>
            <w:r>
              <w:t>.</w:t>
            </w:r>
          </w:p>
          <w:p w:rsidR="00CD7E26" w:rsidRDefault="00CD7E26" w:rsidP="00CD7E26">
            <w:r w:rsidRPr="003E1076">
              <w:t xml:space="preserve">Serious AEs reported for ≥1.5% of subjects in the </w:t>
            </w:r>
            <w:proofErr w:type="spellStart"/>
            <w:r w:rsidRPr="003E1076">
              <w:t>cabozantinib</w:t>
            </w:r>
            <w:proofErr w:type="spellEnd"/>
            <w:r w:rsidRPr="003E1076">
              <w:t xml:space="preserve"> arm by decreasing frequency were, abdominal pain, pleural effusion, diarrhoea, nausea, anaemia, back pain, dyspnoea, fatigue, pneumonia, pulmonary embolism, vomiting, and pain</w:t>
            </w:r>
            <w:r>
              <w:t>.</w:t>
            </w:r>
          </w:p>
          <w:p w:rsidR="00CD7E26" w:rsidRDefault="00CD7E26" w:rsidP="00CD7E26">
            <w:r>
              <w:t xml:space="preserve">68 % of subjects experience Grade 3 or 4 AEs. Serious (Grade ≥3) AEs associated with </w:t>
            </w:r>
            <w:proofErr w:type="spellStart"/>
            <w:r>
              <w:t>cabozantinib</w:t>
            </w:r>
            <w:proofErr w:type="spellEnd"/>
            <w:r>
              <w:t xml:space="preserve"> included:</w:t>
            </w:r>
          </w:p>
          <w:p w:rsidR="00CD7E26" w:rsidRDefault="00CD7E26" w:rsidP="00CD7E26">
            <w:pPr>
              <w:pStyle w:val="ListBullet"/>
              <w:numPr>
                <w:ilvl w:val="0"/>
                <w:numId w:val="3"/>
              </w:numPr>
            </w:pPr>
            <w:r>
              <w:t xml:space="preserve">Haemorrhage (2.1% versus 1.6 % with </w:t>
            </w:r>
            <w:proofErr w:type="spellStart"/>
            <w:r>
              <w:t>everolimus</w:t>
            </w:r>
            <w:proofErr w:type="spellEnd"/>
            <w:r>
              <w:t>)</w:t>
            </w:r>
          </w:p>
          <w:p w:rsidR="00CD7E26" w:rsidRDefault="00CD7E26" w:rsidP="00CD7E26">
            <w:pPr>
              <w:pStyle w:val="ListBullet"/>
              <w:numPr>
                <w:ilvl w:val="0"/>
                <w:numId w:val="3"/>
              </w:numPr>
            </w:pPr>
            <w:r>
              <w:t xml:space="preserve">Gastrointestinal perforation and/or fistula (1.2% versus 0% </w:t>
            </w:r>
            <w:proofErr w:type="spellStart"/>
            <w:r>
              <w:t>everolimus</w:t>
            </w:r>
            <w:proofErr w:type="spellEnd"/>
          </w:p>
          <w:p w:rsidR="00CD7E26" w:rsidRDefault="00CD7E26" w:rsidP="00CD7E26">
            <w:pPr>
              <w:pStyle w:val="ListBullet"/>
              <w:numPr>
                <w:ilvl w:val="0"/>
                <w:numId w:val="3"/>
              </w:numPr>
            </w:pPr>
            <w:r>
              <w:t>Hypertension (15% versus 7.1%everolimus</w:t>
            </w:r>
          </w:p>
          <w:p w:rsidR="00CD7E26" w:rsidRDefault="00CD7E26" w:rsidP="00CD7E26">
            <w:pPr>
              <w:pStyle w:val="ListBullet"/>
              <w:numPr>
                <w:ilvl w:val="0"/>
                <w:numId w:val="3"/>
              </w:numPr>
            </w:pPr>
            <w:r>
              <w:t xml:space="preserve">Diarrhoea (11% versus 2% </w:t>
            </w:r>
            <w:proofErr w:type="spellStart"/>
            <w:r>
              <w:t>everolimus</w:t>
            </w:r>
            <w:proofErr w:type="spellEnd"/>
            <w:r>
              <w:t>)</w:t>
            </w:r>
          </w:p>
          <w:p w:rsidR="00CD7E26" w:rsidRDefault="00CD7E26" w:rsidP="00CD7E26">
            <w:pPr>
              <w:pStyle w:val="ListBullet"/>
              <w:numPr>
                <w:ilvl w:val="0"/>
                <w:numId w:val="3"/>
              </w:numPr>
            </w:pPr>
            <w:r>
              <w:t xml:space="preserve">Palmer-plantar </w:t>
            </w:r>
            <w:proofErr w:type="spellStart"/>
            <w:r>
              <w:t>erythrodysesthesia</w:t>
            </w:r>
            <w:proofErr w:type="spellEnd"/>
            <w:r>
              <w:t xml:space="preserve"> syndrome (42% versus 6% </w:t>
            </w:r>
            <w:proofErr w:type="spellStart"/>
            <w:r>
              <w:t>everolimus</w:t>
            </w:r>
            <w:proofErr w:type="spellEnd"/>
            <w:r>
              <w:t>)</w:t>
            </w:r>
          </w:p>
          <w:p w:rsidR="00CD7E26" w:rsidRDefault="00CD7E26" w:rsidP="00CD7E26">
            <w:r>
              <w:t xml:space="preserve">A low rate of significant increase in liver transaminases was seen for subjects that received </w:t>
            </w:r>
            <w:proofErr w:type="spellStart"/>
            <w:r>
              <w:t>cabozantinib</w:t>
            </w:r>
            <w:proofErr w:type="spellEnd"/>
            <w:r>
              <w:t xml:space="preserve"> that improved when </w:t>
            </w:r>
            <w:proofErr w:type="spellStart"/>
            <w:r>
              <w:t>cabozantinib</w:t>
            </w:r>
            <w:proofErr w:type="spellEnd"/>
            <w:r>
              <w:t xml:space="preserve"> was stopped particularly in subjects with hepatic metastasis.</w:t>
            </w:r>
          </w:p>
          <w:p w:rsidR="00CD7E26" w:rsidRDefault="00CD7E26" w:rsidP="00CD7E26">
            <w:pPr>
              <w:rPr>
                <w:lang w:eastAsia="ja-JP"/>
              </w:rPr>
            </w:pPr>
            <w:r>
              <w:rPr>
                <w:lang w:eastAsia="ja-JP"/>
              </w:rPr>
              <w:t xml:space="preserve">QT prolongation was consistently observed across studies for subjects that received </w:t>
            </w:r>
            <w:proofErr w:type="spellStart"/>
            <w:r>
              <w:rPr>
                <w:lang w:eastAsia="ja-JP"/>
              </w:rPr>
              <w:lastRenderedPageBreak/>
              <w:t>cabozantinib</w:t>
            </w:r>
            <w:proofErr w:type="spellEnd"/>
            <w:r>
              <w:rPr>
                <w:lang w:eastAsia="ja-JP"/>
              </w:rPr>
              <w:t>.</w:t>
            </w:r>
          </w:p>
          <w:p w:rsidR="00CD7E26" w:rsidRPr="00111D0E" w:rsidRDefault="00CD7E26" w:rsidP="00CD7E26">
            <w:r>
              <w:rPr>
                <w:lang w:eastAsia="ja-JP"/>
              </w:rPr>
              <w:t xml:space="preserve">The risk of VTE was higher in subjects that received </w:t>
            </w:r>
            <w:proofErr w:type="spellStart"/>
            <w:r>
              <w:rPr>
                <w:lang w:eastAsia="ja-JP"/>
              </w:rPr>
              <w:t>cabozantinib</w:t>
            </w:r>
            <w:proofErr w:type="spellEnd"/>
            <w:r>
              <w:rPr>
                <w:lang w:eastAsia="ja-JP"/>
              </w:rPr>
              <w:t xml:space="preserve"> compared to those that received </w:t>
            </w:r>
            <w:proofErr w:type="spellStart"/>
            <w:r>
              <w:rPr>
                <w:lang w:eastAsia="ja-JP"/>
              </w:rPr>
              <w:t>everolimus</w:t>
            </w:r>
            <w:proofErr w:type="spellEnd"/>
            <w:r>
              <w:rPr>
                <w:lang w:eastAsia="ja-JP"/>
              </w:rPr>
              <w:t>.</w:t>
            </w:r>
          </w:p>
        </w:tc>
        <w:tc>
          <w:tcPr>
            <w:tcW w:w="4394" w:type="dxa"/>
          </w:tcPr>
          <w:p w:rsidR="00CD7E26" w:rsidRDefault="00CD7E26" w:rsidP="00CD7E26">
            <w:r>
              <w:lastRenderedPageBreak/>
              <w:t>The safety profile of subjects with hepatic or renal impairment or those with pre-existing cardiovascular disease has not been analysed.</w:t>
            </w:r>
          </w:p>
          <w:p w:rsidR="00CD7E26" w:rsidRPr="00111D0E" w:rsidRDefault="00CD7E26" w:rsidP="00166FC4">
            <w:pPr>
              <w:rPr>
                <w:u w:val="single"/>
              </w:rPr>
            </w:pPr>
            <w:r>
              <w:t xml:space="preserve">Reversible posterior leukoencephalopathy syndrome has also been reported with </w:t>
            </w:r>
            <w:proofErr w:type="spellStart"/>
            <w:r>
              <w:t>cabozantinib</w:t>
            </w:r>
            <w:proofErr w:type="spellEnd"/>
            <w:r>
              <w:t xml:space="preserve"> but the significance of this is unestablished.</w:t>
            </w:r>
          </w:p>
        </w:tc>
      </w:tr>
    </w:tbl>
    <w:p w:rsidR="00CD7E26" w:rsidRPr="00545B14" w:rsidRDefault="00CD7E26" w:rsidP="00CD7E26">
      <w:pPr>
        <w:pStyle w:val="Heading3"/>
        <w:numPr>
          <w:ilvl w:val="1"/>
          <w:numId w:val="29"/>
        </w:numPr>
        <w:ind w:left="907" w:hanging="794"/>
      </w:pPr>
      <w:bookmarkStart w:id="607" w:name="_Toc236802597"/>
      <w:bookmarkStart w:id="608" w:name="_Toc241374335"/>
      <w:bookmarkStart w:id="609" w:name="_Toc272414695"/>
      <w:bookmarkStart w:id="610" w:name="_Toc290888559"/>
      <w:bookmarkStart w:id="611" w:name="_Toc416353775"/>
      <w:bookmarkStart w:id="612" w:name="_Toc421005316"/>
      <w:bookmarkStart w:id="613" w:name="_Toc432079187"/>
      <w:bookmarkStart w:id="614" w:name="_Toc432080760"/>
      <w:bookmarkStart w:id="615" w:name="_Toc520879820"/>
      <w:bookmarkStart w:id="616" w:name="_Toc531776265"/>
      <w:r w:rsidRPr="00545B14">
        <w:lastRenderedPageBreak/>
        <w:t>First round assessment of benefit-risk</w:t>
      </w:r>
      <w:bookmarkEnd w:id="607"/>
      <w:bookmarkEnd w:id="608"/>
      <w:bookmarkEnd w:id="609"/>
      <w:bookmarkEnd w:id="610"/>
      <w:bookmarkEnd w:id="611"/>
      <w:bookmarkEnd w:id="612"/>
      <w:r>
        <w:t xml:space="preserve"> balance</w:t>
      </w:r>
      <w:bookmarkEnd w:id="613"/>
      <w:bookmarkEnd w:id="614"/>
      <w:bookmarkEnd w:id="615"/>
      <w:bookmarkEnd w:id="616"/>
    </w:p>
    <w:p w:rsidR="00CD7E26" w:rsidRDefault="00CD7E26" w:rsidP="00CD7E26">
      <w:pPr>
        <w:rPr>
          <w:lang w:eastAsia="ja-JP"/>
        </w:rPr>
      </w:pPr>
      <w:r>
        <w:rPr>
          <w:lang w:eastAsia="ja-JP"/>
        </w:rPr>
        <w:t>Advanced RCC is an incurable and all patients will experience disease progression median overall survival is around 12 months for patients with Stage 4 disease.</w:t>
      </w:r>
    </w:p>
    <w:p w:rsidR="00CD7E26" w:rsidRDefault="00CD7E26" w:rsidP="00CD7E26">
      <w:pPr>
        <w:rPr>
          <w:lang w:eastAsia="ja-JP"/>
        </w:rPr>
      </w:pPr>
      <w:r>
        <w:rPr>
          <w:lang w:eastAsia="ja-JP"/>
        </w:rPr>
        <w:t>The primary goal of treatment is to prevent disease progression and extend overall survival.</w:t>
      </w:r>
    </w:p>
    <w:p w:rsidR="00CD7E26" w:rsidRDefault="00CD7E26" w:rsidP="00CD7E26">
      <w:pPr>
        <w:rPr>
          <w:lang w:eastAsia="ja-JP"/>
        </w:rPr>
      </w:pPr>
      <w:r>
        <w:rPr>
          <w:lang w:eastAsia="ja-JP"/>
        </w:rPr>
        <w:t xml:space="preserve">The results of the pivotal study (XL184-308) demonstrate a statistically and clinically significant improvement in terms of PFS versus </w:t>
      </w:r>
      <w:proofErr w:type="spellStart"/>
      <w:r>
        <w:rPr>
          <w:lang w:eastAsia="ja-JP"/>
        </w:rPr>
        <w:t>everolimus</w:t>
      </w:r>
      <w:proofErr w:type="spellEnd"/>
      <w:r>
        <w:rPr>
          <w:lang w:eastAsia="ja-JP"/>
        </w:rPr>
        <w:t xml:space="preserve"> in subjects that had previously been treated with VEGF targeted therapy and not for the proposed indication, treatment of advanced RCC.</w:t>
      </w:r>
    </w:p>
    <w:p w:rsidR="00CD7E26" w:rsidRDefault="00CD7E26" w:rsidP="00CD7E26">
      <w:pPr>
        <w:rPr>
          <w:lang w:eastAsia="ja-JP"/>
        </w:rPr>
      </w:pPr>
      <w:r>
        <w:rPr>
          <w:lang w:eastAsia="ja-JP"/>
        </w:rPr>
        <w:t xml:space="preserve">A trend to an improvement in OS was also seen for in a planned interim analysis for subjects treated with </w:t>
      </w:r>
      <w:proofErr w:type="spellStart"/>
      <w:r>
        <w:rPr>
          <w:lang w:eastAsia="ja-JP"/>
        </w:rPr>
        <w:t>cabozantinib</w:t>
      </w:r>
      <w:proofErr w:type="spellEnd"/>
      <w:r>
        <w:rPr>
          <w:lang w:eastAsia="ja-JP"/>
        </w:rPr>
        <w:t xml:space="preserve"> versus </w:t>
      </w:r>
      <w:proofErr w:type="spellStart"/>
      <w:r>
        <w:rPr>
          <w:lang w:eastAsia="ja-JP"/>
        </w:rPr>
        <w:t>everolimus</w:t>
      </w:r>
      <w:proofErr w:type="spellEnd"/>
      <w:r>
        <w:rPr>
          <w:lang w:eastAsia="ja-JP"/>
        </w:rPr>
        <w:t xml:space="preserve"> however mature data are pending.</w:t>
      </w:r>
    </w:p>
    <w:p w:rsidR="00CD7E26" w:rsidRDefault="00CD7E26" w:rsidP="00CD7E26">
      <w:pPr>
        <w:rPr>
          <w:lang w:eastAsia="ja-JP"/>
        </w:rPr>
      </w:pPr>
      <w:r>
        <w:rPr>
          <w:lang w:eastAsia="ja-JP"/>
        </w:rPr>
        <w:t>In terms of AEs these were frequently observed but were generally managed with dose modification or interruption.</w:t>
      </w:r>
    </w:p>
    <w:p w:rsidR="00CD7E26" w:rsidRDefault="00CD7E26" w:rsidP="00CD7E26">
      <w:pPr>
        <w:rPr>
          <w:lang w:eastAsia="ja-JP"/>
        </w:rPr>
      </w:pPr>
      <w:r>
        <w:rPr>
          <w:lang w:eastAsia="ja-JP"/>
        </w:rPr>
        <w:t>The safety profile appears to be consistent with that seen for other VEGFR-TKIs.</w:t>
      </w:r>
    </w:p>
    <w:p w:rsidR="00CD7E26" w:rsidRDefault="00CD7E26" w:rsidP="00CD7E26">
      <w:pPr>
        <w:rPr>
          <w:lang w:eastAsia="ja-JP"/>
        </w:rPr>
      </w:pPr>
      <w:proofErr w:type="spellStart"/>
      <w:r>
        <w:rPr>
          <w:lang w:eastAsia="ja-JP"/>
        </w:rPr>
        <w:t>Cabozantinib</w:t>
      </w:r>
      <w:proofErr w:type="spellEnd"/>
      <w:r>
        <w:rPr>
          <w:lang w:eastAsia="ja-JP"/>
        </w:rPr>
        <w:t xml:space="preserve"> has demonstrated benefit over an established treatment that is on the ARTG for the treatment of advanced RCC.</w:t>
      </w:r>
    </w:p>
    <w:p w:rsidR="00CD7E26" w:rsidRDefault="00CD7E26" w:rsidP="00CD7E26">
      <w:pPr>
        <w:rPr>
          <w:lang w:eastAsia="ja-JP"/>
        </w:rPr>
      </w:pPr>
      <w:r>
        <w:rPr>
          <w:lang w:eastAsia="ja-JP"/>
        </w:rPr>
        <w:t xml:space="preserve">Overall the benefit-risk balance of </w:t>
      </w:r>
      <w:proofErr w:type="spellStart"/>
      <w:r>
        <w:rPr>
          <w:lang w:eastAsia="ja-JP"/>
        </w:rPr>
        <w:t>cabozantinib</w:t>
      </w:r>
      <w:proofErr w:type="spellEnd"/>
      <w:r>
        <w:rPr>
          <w:lang w:eastAsia="ja-JP"/>
        </w:rPr>
        <w:t xml:space="preserve"> for the treatment of advanced RCC is for the proposed indication is unfavourable but would become favourable if the changes recommend in below are adopted.</w:t>
      </w:r>
    </w:p>
    <w:p w:rsidR="00CD7E26" w:rsidRDefault="00CD7E26" w:rsidP="00CD7E26">
      <w:pPr>
        <w:pStyle w:val="Heading2"/>
        <w:numPr>
          <w:ilvl w:val="0"/>
          <w:numId w:val="29"/>
        </w:numPr>
      </w:pPr>
      <w:bookmarkStart w:id="617" w:name="_Toc520879821"/>
      <w:bookmarkStart w:id="618" w:name="_Toc531776266"/>
      <w:r>
        <w:t>First round recommendation regarding authorisation</w:t>
      </w:r>
      <w:bookmarkEnd w:id="617"/>
      <w:bookmarkEnd w:id="618"/>
    </w:p>
    <w:p w:rsidR="00CD7E26" w:rsidRDefault="00CD7E26" w:rsidP="00CD7E26">
      <w:pPr>
        <w:rPr>
          <w:lang w:eastAsia="ja-JP"/>
        </w:rPr>
      </w:pPr>
      <w:r w:rsidRPr="00754B81">
        <w:rPr>
          <w:lang w:eastAsia="ja-JP"/>
        </w:rPr>
        <w:t xml:space="preserve">Approval of </w:t>
      </w:r>
      <w:proofErr w:type="spellStart"/>
      <w:r>
        <w:rPr>
          <w:lang w:eastAsia="ja-JP"/>
        </w:rPr>
        <w:t>cabometyx</w:t>
      </w:r>
      <w:proofErr w:type="spellEnd"/>
      <w:r w:rsidRPr="00754B81">
        <w:rPr>
          <w:lang w:eastAsia="ja-JP"/>
        </w:rPr>
        <w:t xml:space="preserve"> is recommended </w:t>
      </w:r>
      <w:r w:rsidRPr="0005487D">
        <w:rPr>
          <w:lang w:eastAsia="ja-JP"/>
        </w:rPr>
        <w:t>subject to a modification of the indication as per below:</w:t>
      </w:r>
    </w:p>
    <w:p w:rsidR="00CD7E26" w:rsidRDefault="00CD7E26" w:rsidP="00CD7E26">
      <w:pPr>
        <w:ind w:left="720"/>
        <w:rPr>
          <w:i/>
          <w:lang w:eastAsia="ja-JP"/>
        </w:rPr>
      </w:pPr>
      <w:proofErr w:type="gramStart"/>
      <w:r>
        <w:rPr>
          <w:i/>
          <w:lang w:eastAsia="ja-JP"/>
        </w:rPr>
        <w:t>The treatment of advanced renal cell carcinoma in adults following prior treatment with vascular endothelial growth factor targeted therapy.</w:t>
      </w:r>
      <w:proofErr w:type="gramEnd"/>
    </w:p>
    <w:p w:rsidR="00CD7E26" w:rsidRDefault="00CD7E26" w:rsidP="00CD7E26">
      <w:pPr>
        <w:rPr>
          <w:lang w:eastAsia="ja-JP"/>
        </w:rPr>
      </w:pPr>
      <w:r>
        <w:rPr>
          <w:lang w:eastAsia="ja-JP"/>
        </w:rPr>
        <w:t xml:space="preserve">The sponsor should also commit to supply mature overall survival data to the TGA as soon as is practical and indicate a time frame for doing so. The sponsor should </w:t>
      </w:r>
      <w:r w:rsidRPr="00F05425">
        <w:rPr>
          <w:lang w:eastAsia="ja-JP"/>
        </w:rPr>
        <w:t>comment on the impact of additional spending of alpha, due to the unplanned analysis</w:t>
      </w:r>
      <w:r>
        <w:rPr>
          <w:lang w:eastAsia="ja-JP"/>
        </w:rPr>
        <w:t xml:space="preserve"> of OS</w:t>
      </w:r>
      <w:r w:rsidRPr="00F05425">
        <w:rPr>
          <w:lang w:eastAsia="ja-JP"/>
        </w:rPr>
        <w:t>, on the</w:t>
      </w:r>
      <w:r>
        <w:rPr>
          <w:lang w:eastAsia="ja-JP"/>
        </w:rPr>
        <w:t xml:space="preserve"> final</w:t>
      </w:r>
      <w:r w:rsidRPr="00F05425">
        <w:rPr>
          <w:lang w:eastAsia="ja-JP"/>
        </w:rPr>
        <w:t xml:space="preserve"> results.</w:t>
      </w:r>
    </w:p>
    <w:p w:rsidR="00CD7E26" w:rsidRDefault="00CD7E26" w:rsidP="00CD7E26">
      <w:pPr>
        <w:rPr>
          <w:lang w:eastAsia="ja-JP"/>
        </w:rPr>
      </w:pPr>
      <w:r>
        <w:rPr>
          <w:lang w:eastAsia="ja-JP"/>
        </w:rPr>
        <w:t>Other changes to the PI should be undertaken as recommended.</w:t>
      </w:r>
    </w:p>
    <w:p w:rsidR="00CD7E26" w:rsidRDefault="00CD7E26" w:rsidP="00CD7E26">
      <w:pPr>
        <w:pStyle w:val="Heading2"/>
        <w:numPr>
          <w:ilvl w:val="0"/>
          <w:numId w:val="29"/>
        </w:numPr>
      </w:pPr>
      <w:bookmarkStart w:id="619" w:name="_Toc520879822"/>
      <w:bookmarkStart w:id="620" w:name="_Toc531776267"/>
      <w:r>
        <w:t>Clinical questions</w:t>
      </w:r>
      <w:bookmarkEnd w:id="619"/>
      <w:bookmarkEnd w:id="620"/>
    </w:p>
    <w:p w:rsidR="00CD7E26" w:rsidRPr="00E01445" w:rsidRDefault="00CD7E26" w:rsidP="00CD7E26">
      <w:pPr>
        <w:pStyle w:val="Heading3"/>
        <w:numPr>
          <w:ilvl w:val="1"/>
          <w:numId w:val="29"/>
        </w:numPr>
        <w:ind w:left="907" w:hanging="794"/>
      </w:pPr>
      <w:bookmarkStart w:id="621" w:name="_Toc272414702"/>
      <w:bookmarkStart w:id="622" w:name="_Toc290888568"/>
      <w:bookmarkStart w:id="623" w:name="_Toc416353784"/>
      <w:bookmarkStart w:id="624" w:name="_Toc421005324"/>
      <w:bookmarkStart w:id="625" w:name="_Toc432079195"/>
      <w:bookmarkStart w:id="626" w:name="_Toc432080768"/>
      <w:bookmarkStart w:id="627" w:name="_Toc520879823"/>
      <w:bookmarkStart w:id="628" w:name="_Toc531776268"/>
      <w:r w:rsidRPr="00E01445">
        <w:t>Pharmacokinetics</w:t>
      </w:r>
      <w:bookmarkEnd w:id="621"/>
      <w:bookmarkEnd w:id="622"/>
      <w:bookmarkEnd w:id="623"/>
      <w:bookmarkEnd w:id="624"/>
      <w:bookmarkEnd w:id="625"/>
      <w:bookmarkEnd w:id="626"/>
      <w:bookmarkEnd w:id="627"/>
      <w:bookmarkEnd w:id="628"/>
    </w:p>
    <w:p w:rsidR="00CD7E26" w:rsidRDefault="00CD7E26" w:rsidP="00CD7E26">
      <w:pPr>
        <w:rPr>
          <w:lang w:eastAsia="ja-JP"/>
        </w:rPr>
      </w:pPr>
      <w:bookmarkStart w:id="629" w:name="_Toc272414703"/>
      <w:bookmarkStart w:id="630" w:name="_Toc290888569"/>
      <w:bookmarkStart w:id="631" w:name="_Toc416353785"/>
      <w:bookmarkStart w:id="632" w:name="_Toc421005325"/>
      <w:bookmarkStart w:id="633" w:name="_Toc432079196"/>
      <w:bookmarkStart w:id="634" w:name="_Toc432080769"/>
      <w:proofErr w:type="gramStart"/>
      <w:r>
        <w:rPr>
          <w:lang w:eastAsia="ja-JP"/>
        </w:rPr>
        <w:t>None.</w:t>
      </w:r>
      <w:proofErr w:type="gramEnd"/>
    </w:p>
    <w:p w:rsidR="00CD7E26" w:rsidRPr="00E01445" w:rsidRDefault="00CD7E26" w:rsidP="00CD7E26">
      <w:pPr>
        <w:pStyle w:val="Heading3"/>
        <w:numPr>
          <w:ilvl w:val="1"/>
          <w:numId w:val="29"/>
        </w:numPr>
        <w:ind w:left="907" w:hanging="794"/>
      </w:pPr>
      <w:bookmarkStart w:id="635" w:name="_Toc520879824"/>
      <w:bookmarkStart w:id="636" w:name="_Toc531776269"/>
      <w:r w:rsidRPr="00E01445">
        <w:lastRenderedPageBreak/>
        <w:t>Pharmacodynamics</w:t>
      </w:r>
      <w:bookmarkEnd w:id="629"/>
      <w:bookmarkEnd w:id="630"/>
      <w:bookmarkEnd w:id="631"/>
      <w:bookmarkEnd w:id="632"/>
      <w:bookmarkEnd w:id="633"/>
      <w:bookmarkEnd w:id="634"/>
      <w:bookmarkEnd w:id="635"/>
      <w:bookmarkEnd w:id="636"/>
    </w:p>
    <w:p w:rsidR="00CD7E26" w:rsidRDefault="00CD7E26" w:rsidP="00CD7E26">
      <w:pPr>
        <w:rPr>
          <w:lang w:eastAsia="ja-JP"/>
        </w:rPr>
      </w:pPr>
      <w:bookmarkStart w:id="637" w:name="_Toc272414704"/>
      <w:bookmarkStart w:id="638" w:name="_Toc290888570"/>
      <w:bookmarkStart w:id="639" w:name="_Toc416353786"/>
      <w:bookmarkStart w:id="640" w:name="_Toc421005326"/>
      <w:bookmarkStart w:id="641" w:name="_Toc432079197"/>
      <w:bookmarkStart w:id="642" w:name="_Toc432080770"/>
      <w:r>
        <w:rPr>
          <w:lang w:eastAsia="ja-JP"/>
        </w:rPr>
        <w:t xml:space="preserve">Please </w:t>
      </w:r>
      <w:r w:rsidRPr="002D7346">
        <w:rPr>
          <w:lang w:eastAsia="ja-JP"/>
        </w:rPr>
        <w:t>provide the data for the analysis of biomarkers from Study XL184-308 or provide information on the availability (or otherwise) of these data</w:t>
      </w:r>
      <w:r>
        <w:rPr>
          <w:lang w:eastAsia="ja-JP"/>
        </w:rPr>
        <w:t>.</w:t>
      </w:r>
    </w:p>
    <w:p w:rsidR="00CD7E26" w:rsidRPr="00E01445" w:rsidRDefault="00CD7E26" w:rsidP="00CD7E26">
      <w:pPr>
        <w:pStyle w:val="Heading3"/>
        <w:numPr>
          <w:ilvl w:val="1"/>
          <w:numId w:val="29"/>
        </w:numPr>
        <w:ind w:left="907" w:hanging="794"/>
      </w:pPr>
      <w:bookmarkStart w:id="643" w:name="_Toc520879825"/>
      <w:bookmarkStart w:id="644" w:name="_Toc531776270"/>
      <w:r w:rsidRPr="00E01445">
        <w:t>Efficacy</w:t>
      </w:r>
      <w:bookmarkEnd w:id="637"/>
      <w:bookmarkEnd w:id="638"/>
      <w:bookmarkEnd w:id="639"/>
      <w:bookmarkEnd w:id="640"/>
      <w:bookmarkEnd w:id="641"/>
      <w:bookmarkEnd w:id="642"/>
      <w:bookmarkEnd w:id="643"/>
      <w:bookmarkEnd w:id="644"/>
    </w:p>
    <w:p w:rsidR="00CD7E26" w:rsidRDefault="00CD7E26" w:rsidP="00CD7E26">
      <w:pPr>
        <w:rPr>
          <w:lang w:eastAsia="ja-JP"/>
        </w:rPr>
      </w:pPr>
      <w:bookmarkStart w:id="645" w:name="_Toc272414705"/>
      <w:bookmarkStart w:id="646" w:name="_Toc290888571"/>
      <w:bookmarkStart w:id="647" w:name="_Toc416353787"/>
      <w:bookmarkStart w:id="648" w:name="_Toc421005327"/>
      <w:bookmarkStart w:id="649" w:name="_Toc432079198"/>
      <w:bookmarkStart w:id="650" w:name="_Toc432080771"/>
      <w:r>
        <w:rPr>
          <w:lang w:eastAsia="ja-JP"/>
        </w:rPr>
        <w:t xml:space="preserve">Please clarify the exposure response relationship to justify the proposed starting dose of 60 mg. These data are missing from the submitted dossier. </w:t>
      </w:r>
    </w:p>
    <w:p w:rsidR="00CD7E26" w:rsidRDefault="00CD7E26" w:rsidP="00CD7E26">
      <w:pPr>
        <w:rPr>
          <w:lang w:eastAsia="ja-JP"/>
        </w:rPr>
      </w:pPr>
      <w:r>
        <w:rPr>
          <w:lang w:eastAsia="ja-JP"/>
        </w:rPr>
        <w:t>With Regard to Study XL184-308:</w:t>
      </w:r>
    </w:p>
    <w:p w:rsidR="00CD7E26" w:rsidRDefault="00CD7E26" w:rsidP="00CD7E26">
      <w:pPr>
        <w:rPr>
          <w:lang w:eastAsia="ja-JP"/>
        </w:rPr>
      </w:pPr>
      <w:r>
        <w:rPr>
          <w:lang w:eastAsia="ja-JP"/>
        </w:rPr>
        <w:t xml:space="preserve">An evaluation for the presence of cerebral or bony metastasis was only undertaken at the screening visit; there do not appear to be protocol defined criteria for undertaking brain imaging or bone scans at any other point other than at screening and it was left to the investigator’s discretion to conduct further imaging to determine if such metastasis had developed in a study in which treatment was </w:t>
      </w:r>
      <w:proofErr w:type="spellStart"/>
      <w:r>
        <w:rPr>
          <w:lang w:eastAsia="ja-JP"/>
        </w:rPr>
        <w:t>unblinded</w:t>
      </w:r>
      <w:proofErr w:type="spellEnd"/>
      <w:r>
        <w:rPr>
          <w:lang w:eastAsia="ja-JP"/>
        </w:rPr>
        <w:t xml:space="preserve"> leading to the possibility of bias.</w:t>
      </w:r>
    </w:p>
    <w:p w:rsidR="00CD7E26" w:rsidRDefault="00CD7E26" w:rsidP="00CD7E26">
      <w:pPr>
        <w:rPr>
          <w:lang w:eastAsia="ja-JP"/>
        </w:rPr>
      </w:pPr>
      <w:r>
        <w:rPr>
          <w:lang w:eastAsia="ja-JP"/>
        </w:rPr>
        <w:t>Please provide an analysis of the number of subjects in each treatment that developed cerebral or bony metastasis that were not present at the time of screening and comment on the steps taken, if any, to eliminate bias with regard to the investigator’s judgement ion the timing of the event.</w:t>
      </w:r>
    </w:p>
    <w:p w:rsidR="00CD7E26" w:rsidRDefault="00CD7E26" w:rsidP="00CD7E26">
      <w:pPr>
        <w:rPr>
          <w:lang w:eastAsia="ja-JP"/>
        </w:rPr>
      </w:pPr>
      <w:r>
        <w:rPr>
          <w:lang w:eastAsia="ja-JP"/>
        </w:rPr>
        <w:t xml:space="preserve">Please commit to supply mature overall survival data to the TGA as soon as is practical and indicate a time frame for doing so. Please also </w:t>
      </w:r>
      <w:r w:rsidRPr="00F05425">
        <w:rPr>
          <w:lang w:eastAsia="ja-JP"/>
        </w:rPr>
        <w:t>comment on the impact of additional spending of alpha, due to the unplanned analysis</w:t>
      </w:r>
      <w:r>
        <w:rPr>
          <w:lang w:eastAsia="ja-JP"/>
        </w:rPr>
        <w:t xml:space="preserve"> of OS</w:t>
      </w:r>
      <w:r w:rsidRPr="00F05425">
        <w:rPr>
          <w:lang w:eastAsia="ja-JP"/>
        </w:rPr>
        <w:t>, on the</w:t>
      </w:r>
      <w:r>
        <w:rPr>
          <w:lang w:eastAsia="ja-JP"/>
        </w:rPr>
        <w:t xml:space="preserve"> final</w:t>
      </w:r>
      <w:r w:rsidRPr="00F05425">
        <w:rPr>
          <w:lang w:eastAsia="ja-JP"/>
        </w:rPr>
        <w:t xml:space="preserve"> results.</w:t>
      </w:r>
    </w:p>
    <w:p w:rsidR="00CD7E26" w:rsidRPr="00E01445" w:rsidRDefault="00CD7E26" w:rsidP="00CD7E26">
      <w:pPr>
        <w:pStyle w:val="Heading3"/>
        <w:numPr>
          <w:ilvl w:val="1"/>
          <w:numId w:val="29"/>
        </w:numPr>
        <w:ind w:left="907" w:hanging="794"/>
      </w:pPr>
      <w:bookmarkStart w:id="651" w:name="_Toc520879826"/>
      <w:bookmarkStart w:id="652" w:name="_Toc531776271"/>
      <w:r w:rsidRPr="00E01445">
        <w:t>Safety</w:t>
      </w:r>
      <w:bookmarkEnd w:id="645"/>
      <w:bookmarkEnd w:id="646"/>
      <w:bookmarkEnd w:id="647"/>
      <w:bookmarkEnd w:id="648"/>
      <w:bookmarkEnd w:id="649"/>
      <w:bookmarkEnd w:id="650"/>
      <w:bookmarkEnd w:id="651"/>
      <w:bookmarkEnd w:id="652"/>
    </w:p>
    <w:p w:rsidR="00CD7E26" w:rsidRDefault="00CD7E26" w:rsidP="00CD7E26">
      <w:pPr>
        <w:rPr>
          <w:lang w:eastAsia="ja-JP"/>
        </w:rPr>
      </w:pPr>
      <w:r>
        <w:rPr>
          <w:lang w:eastAsia="ja-JP"/>
        </w:rPr>
        <w:t xml:space="preserve">Please provide up to date post-marketing data for </w:t>
      </w:r>
      <w:proofErr w:type="spellStart"/>
      <w:r>
        <w:rPr>
          <w:lang w:eastAsia="ja-JP"/>
        </w:rPr>
        <w:t>cabozantinib</w:t>
      </w:r>
      <w:proofErr w:type="spellEnd"/>
      <w:r>
        <w:rPr>
          <w:lang w:eastAsia="ja-JP"/>
        </w:rPr>
        <w:t xml:space="preserve"> form the EU or US particularly indicating any changes to the prescribing information for </w:t>
      </w:r>
      <w:proofErr w:type="spellStart"/>
      <w:r>
        <w:rPr>
          <w:lang w:eastAsia="ja-JP"/>
        </w:rPr>
        <w:t>Cabometyx</w:t>
      </w:r>
      <w:proofErr w:type="spellEnd"/>
      <w:r>
        <w:rPr>
          <w:lang w:eastAsia="ja-JP"/>
        </w:rPr>
        <w:t xml:space="preserve"> since approval in either/both jurisdictions.</w:t>
      </w:r>
    </w:p>
    <w:p w:rsidR="00CD7E26" w:rsidRPr="00E01445" w:rsidRDefault="00CD7E26" w:rsidP="00CD7E26">
      <w:pPr>
        <w:pStyle w:val="Heading4"/>
        <w:numPr>
          <w:ilvl w:val="2"/>
          <w:numId w:val="29"/>
        </w:numPr>
      </w:pPr>
      <w:r>
        <w:t>PI and CMI</w:t>
      </w:r>
    </w:p>
    <w:p w:rsidR="00CD7E26" w:rsidRDefault="00CD7E26" w:rsidP="00CD7E26">
      <w:pPr>
        <w:rPr>
          <w:i/>
          <w:lang w:eastAsia="ja-JP"/>
        </w:rPr>
      </w:pPr>
      <w:bookmarkStart w:id="653" w:name="_Ref272312341"/>
      <w:bookmarkStart w:id="654" w:name="_Toc272414700"/>
      <w:bookmarkStart w:id="655" w:name="_Toc290888566"/>
      <w:bookmarkStart w:id="656" w:name="_Toc416353782"/>
      <w:bookmarkStart w:id="657" w:name="_Toc421005330"/>
      <w:bookmarkStart w:id="658" w:name="_Toc432079200"/>
      <w:bookmarkStart w:id="659" w:name="_Toc432080773"/>
      <w:r>
        <w:rPr>
          <w:lang w:eastAsia="ja-JP"/>
        </w:rPr>
        <w:t xml:space="preserve">The indication should be amended to: </w:t>
      </w:r>
      <w:r>
        <w:rPr>
          <w:i/>
          <w:lang w:eastAsia="ja-JP"/>
        </w:rPr>
        <w:t>the treatment of advanced renal cell carcinoma in adults following prior treatment with vascular endothelial growth factor targeted therapy.</w:t>
      </w:r>
    </w:p>
    <w:p w:rsidR="00CD7E26" w:rsidRDefault="00CD7E26" w:rsidP="00CD7E26">
      <w:pPr>
        <w:pStyle w:val="Heading2"/>
        <w:numPr>
          <w:ilvl w:val="0"/>
          <w:numId w:val="29"/>
        </w:numPr>
      </w:pPr>
      <w:bookmarkStart w:id="660" w:name="_Toc481084270"/>
      <w:bookmarkStart w:id="661" w:name="_Toc481084444"/>
      <w:bookmarkStart w:id="662" w:name="_Toc520879827"/>
      <w:bookmarkStart w:id="663" w:name="_Toc531776272"/>
      <w:bookmarkEnd w:id="653"/>
      <w:bookmarkEnd w:id="654"/>
      <w:bookmarkEnd w:id="655"/>
      <w:bookmarkEnd w:id="656"/>
      <w:bookmarkEnd w:id="657"/>
      <w:bookmarkEnd w:id="658"/>
      <w:bookmarkEnd w:id="659"/>
      <w:bookmarkEnd w:id="660"/>
      <w:bookmarkEnd w:id="661"/>
      <w:r>
        <w:t>Second round evaluation</w:t>
      </w:r>
      <w:bookmarkEnd w:id="662"/>
      <w:bookmarkEnd w:id="663"/>
    </w:p>
    <w:p w:rsidR="00CD7E26" w:rsidRDefault="00CD7E26" w:rsidP="00CD7E26">
      <w:pPr>
        <w:rPr>
          <w:lang w:eastAsia="ja-JP"/>
        </w:rPr>
      </w:pPr>
      <w:r>
        <w:rPr>
          <w:lang w:eastAsia="ja-JP"/>
        </w:rPr>
        <w:t>The second round clinical evaluation will consist of review of the following relevant documents provided by the sponsor in their response:</w:t>
      </w:r>
    </w:p>
    <w:p w:rsidR="00CD7E26" w:rsidRDefault="00CD7E26" w:rsidP="00CD7E26">
      <w:pPr>
        <w:pStyle w:val="ListBullet"/>
        <w:numPr>
          <w:ilvl w:val="0"/>
          <w:numId w:val="3"/>
        </w:numPr>
        <w:rPr>
          <w:lang w:eastAsia="ja-JP"/>
        </w:rPr>
      </w:pPr>
      <w:r>
        <w:rPr>
          <w:lang w:eastAsia="ja-JP"/>
        </w:rPr>
        <w:t>Response to Questions</w:t>
      </w:r>
    </w:p>
    <w:p w:rsidR="00CD7E26" w:rsidRDefault="00CD7E26" w:rsidP="00CD7E26">
      <w:pPr>
        <w:pStyle w:val="ListBullet"/>
        <w:numPr>
          <w:ilvl w:val="0"/>
          <w:numId w:val="3"/>
        </w:numPr>
        <w:rPr>
          <w:lang w:eastAsia="ja-JP"/>
        </w:rPr>
      </w:pPr>
      <w:r>
        <w:rPr>
          <w:lang w:eastAsia="ja-JP"/>
        </w:rPr>
        <w:t>Brief review for updated results and safety findings of ‘Addendum 2’/updated clinical study report (CSR) for Study XL184-308 with reference to appendices if relevant.</w:t>
      </w:r>
    </w:p>
    <w:p w:rsidR="00CD7E26" w:rsidRDefault="00CD7E26" w:rsidP="00CD7E26">
      <w:pPr>
        <w:pStyle w:val="ListBullet"/>
        <w:numPr>
          <w:ilvl w:val="0"/>
          <w:numId w:val="3"/>
        </w:numPr>
        <w:rPr>
          <w:lang w:eastAsia="ja-JP"/>
        </w:rPr>
      </w:pPr>
      <w:r>
        <w:rPr>
          <w:lang w:eastAsia="ja-JP"/>
        </w:rPr>
        <w:t>Brief review for new safety issues of global periodic safety update report (PSUR) for the period to 28 November 2016.</w:t>
      </w:r>
    </w:p>
    <w:p w:rsidR="00CD7E26" w:rsidRPr="00CB3997" w:rsidRDefault="00CD7E26" w:rsidP="00CD7E26">
      <w:pPr>
        <w:pStyle w:val="Heading3"/>
        <w:numPr>
          <w:ilvl w:val="1"/>
          <w:numId w:val="29"/>
        </w:numPr>
        <w:ind w:left="907" w:hanging="794"/>
      </w:pPr>
      <w:bookmarkStart w:id="664" w:name="_Toc520879828"/>
      <w:bookmarkStart w:id="665" w:name="_Toc531776273"/>
      <w:r w:rsidRPr="00CB3997">
        <w:t xml:space="preserve">Response to </w:t>
      </w:r>
      <w:r w:rsidR="005621E0">
        <w:t>q</w:t>
      </w:r>
      <w:r w:rsidRPr="00CB3997">
        <w:t>uestions</w:t>
      </w:r>
      <w:bookmarkEnd w:id="664"/>
      <w:bookmarkEnd w:id="665"/>
    </w:p>
    <w:p w:rsidR="00CD7E26" w:rsidRPr="00166FC4" w:rsidRDefault="00CD7E26" w:rsidP="00166FC4">
      <w:pPr>
        <w:pStyle w:val="Heading4"/>
      </w:pPr>
      <w:r w:rsidRPr="00166FC4">
        <w:t xml:space="preserve">Question 1 </w:t>
      </w:r>
      <w:r w:rsidR="005621E0">
        <w:t>p</w:t>
      </w:r>
      <w:r w:rsidRPr="00166FC4">
        <w:t>harmacodynamics</w:t>
      </w:r>
    </w:p>
    <w:p w:rsidR="00CD7E26" w:rsidRDefault="00CD7E26" w:rsidP="00CD7E26">
      <w:r>
        <w:t>Please provide the data for the analysis of biomarkers from Study XL184-308 or provide information on the availability (or otherwise) of these data.</w:t>
      </w:r>
    </w:p>
    <w:p w:rsidR="00CD7E26" w:rsidRPr="00166FC4" w:rsidRDefault="00CD7E26" w:rsidP="00166FC4">
      <w:pPr>
        <w:pStyle w:val="Heading5"/>
      </w:pPr>
      <w:r w:rsidRPr="00166FC4">
        <w:lastRenderedPageBreak/>
        <w:t>Sponsor’s response</w:t>
      </w:r>
    </w:p>
    <w:p w:rsidR="00CD7E26" w:rsidRDefault="00CD7E26" w:rsidP="00CD7E26">
      <w:r>
        <w:t xml:space="preserve">High MET expression in patients with advanced RCC has been associated with a poor prognosis. Therefore, MET expression by immunohistochemistry (IHC) was first investigated as a potentially predictive biomarker for </w:t>
      </w:r>
      <w:proofErr w:type="spellStart"/>
      <w:r>
        <w:t>cabozantinib</w:t>
      </w:r>
      <w:proofErr w:type="spellEnd"/>
      <w:r>
        <w:t xml:space="preserve"> in Study XL184-308: subjects were evaluated for baseline tumour MET status (high, low, or unknown) based on IHC analysis (</w:t>
      </w:r>
      <w:proofErr w:type="spellStart"/>
      <w:r>
        <w:t>Spigel</w:t>
      </w:r>
      <w:proofErr w:type="spellEnd"/>
      <w:r>
        <w:t xml:space="preserve"> et al. 2013; Santoro et al. 2013). Across both the </w:t>
      </w:r>
      <w:proofErr w:type="spellStart"/>
      <w:r>
        <w:t>cabozantinib</w:t>
      </w:r>
      <w:proofErr w:type="spellEnd"/>
      <w:r>
        <w:t xml:space="preserve"> and </w:t>
      </w:r>
      <w:proofErr w:type="spellStart"/>
      <w:r>
        <w:t>everolimus</w:t>
      </w:r>
      <w:proofErr w:type="spellEnd"/>
      <w:r>
        <w:t xml:space="preserve"> treatment arms, high and low MET IHC status was observed in approximately 15% and 45% of subjects, respectively. The MET status was unknown in approximately 40% of subjects. Subgroup analyses of the primary endpoint of PFS (data cut-off 22 May 2015) in the PITT population and the secondary endpoint of OS (unplanned interim analysis data cut-off 31 December 2015) in the ITT population demonstrated benefits for treatment with </w:t>
      </w:r>
      <w:proofErr w:type="spellStart"/>
      <w:r>
        <w:t>cabozantinib</w:t>
      </w:r>
      <w:proofErr w:type="spellEnd"/>
      <w:r>
        <w:t xml:space="preserve"> over </w:t>
      </w:r>
      <w:proofErr w:type="spellStart"/>
      <w:r>
        <w:t>everolimus</w:t>
      </w:r>
      <w:proofErr w:type="spellEnd"/>
      <w:r>
        <w:t xml:space="preserve"> for subjects irrespective of baseline MET status. Other biomarkers in the tumour samples leftover after the MET IHC analysis will be investigated, such as AXL. The data will likely be available by 2018. However, a limitation of this analysis is that archival tumour tissue was used in most cases rather than a fresh biopsy obtained before study treatment initiation, which may result in marker expression values that are not contemporaneous with the disease state during study treatment. In addition, due to missing or insufficient tumour tissue, approximately one-third of the randomised subjects will have an unknown biomarker status primarily. The limitations of the analysis as described above may lead to inconclusive results.</w:t>
      </w:r>
    </w:p>
    <w:p w:rsidR="00CD7E26" w:rsidRDefault="00CD7E26" w:rsidP="00CD7E26">
      <w:pPr>
        <w:pStyle w:val="Heading6"/>
      </w:pPr>
      <w:r>
        <w:t>References</w:t>
      </w:r>
    </w:p>
    <w:p w:rsidR="00CD7E26" w:rsidRDefault="00CD7E26" w:rsidP="00CD7E26">
      <w:pPr>
        <w:ind w:left="142" w:hanging="142"/>
      </w:pPr>
      <w:proofErr w:type="spellStart"/>
      <w:r>
        <w:t>Spigel</w:t>
      </w:r>
      <w:proofErr w:type="spellEnd"/>
      <w:r>
        <w:t xml:space="preserve"> DR, Ervin TJ, </w:t>
      </w:r>
      <w:proofErr w:type="spellStart"/>
      <w:r>
        <w:t>Ramlau</w:t>
      </w:r>
      <w:proofErr w:type="spellEnd"/>
      <w:r>
        <w:t xml:space="preserve"> RA, Daniel DB, Goldschmidt JH Jr, Blumenschein GR Jr, et al. Randomised Phase II Trial of </w:t>
      </w:r>
      <w:proofErr w:type="spellStart"/>
      <w:r>
        <w:t>Onartuzumab</w:t>
      </w:r>
      <w:proofErr w:type="spellEnd"/>
      <w:r>
        <w:t xml:space="preserve"> in Combination With </w:t>
      </w:r>
      <w:proofErr w:type="spellStart"/>
      <w:r>
        <w:t>Erlotinib</w:t>
      </w:r>
      <w:proofErr w:type="spellEnd"/>
      <w:r>
        <w:t xml:space="preserve"> in Patients With Advanced Non–Small-Cell Lung Cancer. J </w:t>
      </w:r>
      <w:proofErr w:type="spellStart"/>
      <w:r>
        <w:t>Clin</w:t>
      </w:r>
      <w:proofErr w:type="spellEnd"/>
      <w:r>
        <w:t xml:space="preserve"> </w:t>
      </w:r>
      <w:proofErr w:type="spellStart"/>
      <w:r>
        <w:t>Oncol</w:t>
      </w:r>
      <w:proofErr w:type="spellEnd"/>
      <w:r>
        <w:t xml:space="preserve"> 2013; 31 </w:t>
      </w:r>
    </w:p>
    <w:p w:rsidR="00CD7E26" w:rsidRDefault="00CD7E26" w:rsidP="00CD7E26">
      <w:pPr>
        <w:ind w:left="142" w:hanging="142"/>
      </w:pPr>
      <w:r>
        <w:t xml:space="preserve">Santoro A, </w:t>
      </w:r>
      <w:proofErr w:type="spellStart"/>
      <w:r>
        <w:t>Rimassa</w:t>
      </w:r>
      <w:proofErr w:type="spellEnd"/>
      <w:r>
        <w:t xml:space="preserve"> L, </w:t>
      </w:r>
      <w:proofErr w:type="spellStart"/>
      <w:r>
        <w:t>Borbath</w:t>
      </w:r>
      <w:proofErr w:type="spellEnd"/>
      <w:r>
        <w:t xml:space="preserve"> I, Daniele B, </w:t>
      </w:r>
      <w:proofErr w:type="spellStart"/>
      <w:r>
        <w:t>Salvagni</w:t>
      </w:r>
      <w:proofErr w:type="spellEnd"/>
      <w:r>
        <w:t xml:space="preserve"> S, Van </w:t>
      </w:r>
      <w:proofErr w:type="spellStart"/>
      <w:r>
        <w:t>Laethem</w:t>
      </w:r>
      <w:proofErr w:type="spellEnd"/>
      <w:r>
        <w:t xml:space="preserve"> JL, et al. </w:t>
      </w:r>
      <w:proofErr w:type="spellStart"/>
      <w:r>
        <w:t>Tivantinib</w:t>
      </w:r>
      <w:proofErr w:type="spellEnd"/>
      <w:r>
        <w:t xml:space="preserve"> for second-line treatment of advanced hepatocellular carcinoma: a randomised, placebo-controlled phase 2 study. Lancet </w:t>
      </w:r>
      <w:proofErr w:type="spellStart"/>
      <w:r>
        <w:t>Oncol</w:t>
      </w:r>
      <w:proofErr w:type="spellEnd"/>
      <w:r>
        <w:t xml:space="preserve"> 2013</w:t>
      </w:r>
      <w:proofErr w:type="gramStart"/>
      <w:r>
        <w:t>;14:55</w:t>
      </w:r>
      <w:proofErr w:type="gramEnd"/>
      <w:r>
        <w:t>-63</w:t>
      </w:r>
    </w:p>
    <w:p w:rsidR="00CD7E26" w:rsidRPr="00166FC4" w:rsidRDefault="00CD7E26" w:rsidP="00166FC4">
      <w:pPr>
        <w:pStyle w:val="Heading5"/>
        <w:rPr>
          <w:rFonts w:eastAsiaTheme="minorHAnsi"/>
        </w:rPr>
      </w:pPr>
      <w:r w:rsidRPr="00166FC4">
        <w:rPr>
          <w:rFonts w:eastAsiaTheme="minorHAnsi"/>
        </w:rPr>
        <w:t>Evaluator comment:</w:t>
      </w:r>
    </w:p>
    <w:p w:rsidR="00CD7E26" w:rsidRPr="000E3A61" w:rsidRDefault="00CD7E26" w:rsidP="00CD7E26">
      <w:r w:rsidRPr="000E3A61">
        <w:t xml:space="preserve">The </w:t>
      </w:r>
      <w:r>
        <w:t>s</w:t>
      </w:r>
      <w:r w:rsidRPr="000E3A61">
        <w:t>ponsor’s response is accepted.</w:t>
      </w:r>
    </w:p>
    <w:p w:rsidR="00CD7E26" w:rsidRPr="00166FC4" w:rsidRDefault="00CD7E26" w:rsidP="00166FC4">
      <w:pPr>
        <w:pStyle w:val="Heading4"/>
      </w:pPr>
      <w:r w:rsidRPr="00166FC4">
        <w:t xml:space="preserve">Clinical question 2 </w:t>
      </w:r>
      <w:r w:rsidR="005621E0">
        <w:t>e</w:t>
      </w:r>
      <w:r w:rsidRPr="00166FC4">
        <w:t>fficacy</w:t>
      </w:r>
    </w:p>
    <w:p w:rsidR="00CD7E26" w:rsidRDefault="00CD7E26" w:rsidP="00CD7E26">
      <w:pPr>
        <w:rPr>
          <w:lang w:eastAsia="en-AU"/>
        </w:rPr>
      </w:pPr>
      <w:r>
        <w:rPr>
          <w:lang w:eastAsia="en-AU"/>
        </w:rPr>
        <w:t>Please clarify the exposure response relationship to justify the proposed starting dose of 60 mg. These data are missing from the submitted dossier.</w:t>
      </w:r>
    </w:p>
    <w:p w:rsidR="00CD7E26" w:rsidRPr="00166FC4" w:rsidRDefault="00CD7E26" w:rsidP="00166FC4">
      <w:pPr>
        <w:pStyle w:val="Heading5"/>
      </w:pPr>
      <w:r w:rsidRPr="00166FC4">
        <w:t>Sponsor’s response</w:t>
      </w:r>
    </w:p>
    <w:p w:rsidR="00CD7E26" w:rsidRDefault="00CD7E26" w:rsidP="00CD7E26">
      <w:pPr>
        <w:rPr>
          <w:lang w:eastAsia="en-AU"/>
        </w:rPr>
      </w:pPr>
      <w:r>
        <w:rPr>
          <w:lang w:eastAsia="en-AU"/>
        </w:rPr>
        <w:t xml:space="preserve">Results from the exposure-response (E-R) analysis of </w:t>
      </w:r>
      <w:proofErr w:type="spellStart"/>
      <w:r>
        <w:rPr>
          <w:lang w:eastAsia="en-AU"/>
        </w:rPr>
        <w:t>cabozantinib</w:t>
      </w:r>
      <w:proofErr w:type="spellEnd"/>
      <w:r>
        <w:rPr>
          <w:lang w:eastAsia="en-AU"/>
        </w:rPr>
        <w:t xml:space="preserve"> in patients with RCC (Study Report XL184-308.ER.001) showed the following relationships for individual efficacy endpoints:</w:t>
      </w:r>
    </w:p>
    <w:p w:rsidR="00CD7E26" w:rsidRDefault="00CD7E26" w:rsidP="00CD7E26">
      <w:pPr>
        <w:pStyle w:val="ListBullet"/>
        <w:numPr>
          <w:ilvl w:val="0"/>
          <w:numId w:val="3"/>
        </w:numPr>
        <w:rPr>
          <w:lang w:eastAsia="en-AU"/>
        </w:rPr>
      </w:pPr>
      <w:r>
        <w:rPr>
          <w:lang w:eastAsia="en-AU"/>
        </w:rPr>
        <w:t xml:space="preserve">Modelled Kaplan-Meier efficacy curves showed reduced predicted rates of progressive disease or death at simulated steady-state </w:t>
      </w:r>
      <w:proofErr w:type="spellStart"/>
      <w:r>
        <w:rPr>
          <w:lang w:eastAsia="en-AU"/>
        </w:rPr>
        <w:t>cabozantinib</w:t>
      </w:r>
      <w:proofErr w:type="spellEnd"/>
      <w:r>
        <w:rPr>
          <w:lang w:eastAsia="en-AU"/>
        </w:rPr>
        <w:t xml:space="preserve"> plasma concentrations for 20 mg (375 ng/mL), 40 mg (750 ng/mL) and 60 mg (1125 ng/mL); the 60-mg dose providing the best response, although the 95% confidence intervals (CIs) overlapped for all three dose levels. The efficacy (increased PFS) evident at simulated 20, 40 and 60 mg </w:t>
      </w:r>
      <w:proofErr w:type="spellStart"/>
      <w:r>
        <w:rPr>
          <w:lang w:eastAsia="en-AU"/>
        </w:rPr>
        <w:t>cabozantinib</w:t>
      </w:r>
      <w:proofErr w:type="spellEnd"/>
      <w:r>
        <w:rPr>
          <w:lang w:eastAsia="en-AU"/>
        </w:rPr>
        <w:t xml:space="preserve"> dose levels best fit (most statistically significant) a non-linear model that yielded an EC</w:t>
      </w:r>
      <w:r w:rsidRPr="002D699F">
        <w:rPr>
          <w:vertAlign w:val="subscript"/>
          <w:lang w:eastAsia="en-AU"/>
        </w:rPr>
        <w:t>50</w:t>
      </w:r>
      <w:r>
        <w:rPr>
          <w:lang w:eastAsia="en-AU"/>
        </w:rPr>
        <w:t xml:space="preserve"> value (100 ng/mL) that was lower than the simulated steady-state concentration at the 20 mg dose.</w:t>
      </w:r>
    </w:p>
    <w:p w:rsidR="00CD7E26" w:rsidRDefault="00CD7E26" w:rsidP="00CD7E26">
      <w:pPr>
        <w:pStyle w:val="ListBullet"/>
        <w:numPr>
          <w:ilvl w:val="0"/>
          <w:numId w:val="3"/>
        </w:numPr>
        <w:rPr>
          <w:lang w:eastAsia="en-AU"/>
        </w:rPr>
      </w:pPr>
      <w:r>
        <w:rPr>
          <w:lang w:eastAsia="en-AU"/>
        </w:rPr>
        <w:t xml:space="preserve">Modelled Kaplan-Meier safety endpoint curves showed higher predicted rates of dose-modification correlating with decreasing simulated </w:t>
      </w:r>
      <w:proofErr w:type="spellStart"/>
      <w:r>
        <w:rPr>
          <w:lang w:eastAsia="en-AU"/>
        </w:rPr>
        <w:t>cabozantinib</w:t>
      </w:r>
      <w:proofErr w:type="spellEnd"/>
      <w:r>
        <w:rPr>
          <w:lang w:eastAsia="en-AU"/>
        </w:rPr>
        <w:t xml:space="preserve"> clearance. Higher predicted risk of individual AEs (fatigue/asthenia, PPE, </w:t>
      </w:r>
      <w:proofErr w:type="spellStart"/>
      <w:r>
        <w:rPr>
          <w:lang w:eastAsia="en-AU"/>
        </w:rPr>
        <w:t>diarrhea</w:t>
      </w:r>
      <w:proofErr w:type="spellEnd"/>
      <w:r>
        <w:rPr>
          <w:lang w:eastAsia="en-AU"/>
        </w:rPr>
        <w:t xml:space="preserve">, hypertension) correlated with increasing steady-state </w:t>
      </w:r>
      <w:proofErr w:type="spellStart"/>
      <w:r>
        <w:rPr>
          <w:lang w:eastAsia="en-AU"/>
        </w:rPr>
        <w:t>cabozantinib</w:t>
      </w:r>
      <w:proofErr w:type="spellEnd"/>
      <w:r>
        <w:rPr>
          <w:lang w:eastAsia="en-AU"/>
        </w:rPr>
        <w:t xml:space="preserve"> plasma concentrations for the simulated 20 mg (375 ng/mL), 40 mg (750 ng/mL) and 60 mg (1125 ng/mL) dose levels.</w:t>
      </w:r>
    </w:p>
    <w:p w:rsidR="00CD7E26" w:rsidRDefault="00CD7E26" w:rsidP="00CD7E26">
      <w:pPr>
        <w:ind w:left="360"/>
        <w:rPr>
          <w:lang w:eastAsia="en-AU"/>
        </w:rPr>
      </w:pPr>
      <w:r>
        <w:rPr>
          <w:lang w:eastAsia="en-AU"/>
        </w:rPr>
        <w:lastRenderedPageBreak/>
        <w:t xml:space="preserve">This E-R analysis suggests that the benefit-risk ratio of </w:t>
      </w:r>
      <w:proofErr w:type="spellStart"/>
      <w:r>
        <w:rPr>
          <w:lang w:eastAsia="en-AU"/>
        </w:rPr>
        <w:t>cabozantinib</w:t>
      </w:r>
      <w:proofErr w:type="spellEnd"/>
      <w:r>
        <w:rPr>
          <w:lang w:eastAsia="en-AU"/>
        </w:rPr>
        <w:t xml:space="preserve"> might be improved if a lower dose would be equally efficacious as the proposed starting dose, while being better tolerated.</w:t>
      </w:r>
    </w:p>
    <w:p w:rsidR="00CD7E26" w:rsidRDefault="00CD7E26" w:rsidP="00CD7E26">
      <w:pPr>
        <w:ind w:left="360"/>
        <w:rPr>
          <w:lang w:eastAsia="en-AU"/>
        </w:rPr>
      </w:pPr>
      <w:r>
        <w:rPr>
          <w:lang w:eastAsia="en-AU"/>
        </w:rPr>
        <w:t xml:space="preserve">To further evaluate the E-R relationship for </w:t>
      </w:r>
      <w:proofErr w:type="spellStart"/>
      <w:r>
        <w:rPr>
          <w:lang w:eastAsia="en-AU"/>
        </w:rPr>
        <w:t>cabozantinib</w:t>
      </w:r>
      <w:proofErr w:type="spellEnd"/>
      <w:r>
        <w:rPr>
          <w:lang w:eastAsia="en-AU"/>
        </w:rPr>
        <w:t>, additional E-R analyses were conducted to characterise whether a 60 mg starting dose may provide greater efficacy than starting doses of 40 mg or 20 mg. Copies of the follow-up E-R reports are provided with this submission (Study Report XL184-308.ER.003). These additional E-R analyses are summarised below:</w:t>
      </w:r>
    </w:p>
    <w:p w:rsidR="00CD7E26" w:rsidRDefault="00CD7E26" w:rsidP="00CD7E26">
      <w:pPr>
        <w:ind w:left="360"/>
        <w:rPr>
          <w:lang w:eastAsia="en-AU"/>
        </w:rPr>
      </w:pPr>
      <w:r>
        <w:rPr>
          <w:lang w:eastAsia="en-AU"/>
        </w:rPr>
        <w:t xml:space="preserve">A population E-R model was developed to characterise the relationship between </w:t>
      </w:r>
      <w:proofErr w:type="spellStart"/>
      <w:r>
        <w:rPr>
          <w:lang w:eastAsia="en-AU"/>
        </w:rPr>
        <w:t>cabozantinib</w:t>
      </w:r>
      <w:proofErr w:type="spellEnd"/>
      <w:r>
        <w:rPr>
          <w:lang w:eastAsia="en-AU"/>
        </w:rPr>
        <w:t xml:space="preserve"> exposure and longitudinal measurements of the sum of tumour diameter in subjects with RCC in Study XL184-308. Simulations were performed to compare dose reduction levels and longitudinal tumour size changes in subjects with RCC receiving an initial dose of 20 mg, 40 mg or 60 mg daily. The tumour size model was used to simulate the time course of tumour diameter for each of the 1000 subjects in the 20 mg, 40 mg, and 60 mg starting dose treatment groups. Figure </w:t>
      </w:r>
      <w:r w:rsidR="008F51E2">
        <w:rPr>
          <w:lang w:eastAsia="en-AU"/>
        </w:rPr>
        <w:t>9</w:t>
      </w:r>
      <w:r>
        <w:rPr>
          <w:lang w:eastAsia="en-AU"/>
        </w:rPr>
        <w:t xml:space="preserve"> shows the median percent change from baseline tumour diameter for the 20 mg, 40 mg, and 60 mg starting dose treatment groups.</w:t>
      </w:r>
    </w:p>
    <w:p w:rsidR="00CD7E26" w:rsidRDefault="00CD7E26" w:rsidP="00CD7E26">
      <w:pPr>
        <w:pStyle w:val="FigureTitle"/>
        <w:rPr>
          <w:lang w:eastAsia="en-AU"/>
        </w:rPr>
      </w:pPr>
      <w:r>
        <w:rPr>
          <w:lang w:eastAsia="en-AU"/>
        </w:rPr>
        <w:t>Figure</w:t>
      </w:r>
      <w:r w:rsidR="008F51E2">
        <w:rPr>
          <w:lang w:eastAsia="en-AU"/>
        </w:rPr>
        <w:t xml:space="preserve"> 9:</w:t>
      </w:r>
      <w:r>
        <w:rPr>
          <w:lang w:eastAsia="en-AU"/>
        </w:rPr>
        <w:t xml:space="preserve"> Comparison of predicted median percent change from baseline tumour diameter for 20 mg, 40 mg and 60 mg </w:t>
      </w:r>
      <w:proofErr w:type="spellStart"/>
      <w:r>
        <w:rPr>
          <w:lang w:eastAsia="en-AU"/>
        </w:rPr>
        <w:t>cabozantinib</w:t>
      </w:r>
      <w:proofErr w:type="spellEnd"/>
      <w:r>
        <w:rPr>
          <w:lang w:eastAsia="en-AU"/>
        </w:rPr>
        <w:t xml:space="preserve"> starting doses</w:t>
      </w:r>
    </w:p>
    <w:p w:rsidR="00CD7E26" w:rsidRDefault="00CD7E26" w:rsidP="00CD7E26">
      <w:pPr>
        <w:pStyle w:val="Quotation"/>
      </w:pPr>
      <w:r>
        <w:rPr>
          <w:noProof/>
          <w:lang w:eastAsia="en-AU"/>
        </w:rPr>
        <w:drawing>
          <wp:inline distT="0" distB="0" distL="0" distR="0" wp14:anchorId="29B48135" wp14:editId="0CCD94D7">
            <wp:extent cx="5225143" cy="2692400"/>
            <wp:effectExtent l="0" t="0" r="0" b="0"/>
            <wp:docPr id="142" name="Picture 142" descr="Comparison of predicted median percent change from baseline tumour diameter for 20 mg, 40 mg and 60 mg cabozantinib starting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extLst>
                        <a:ext uri="{BEBA8EAE-BF5A-486C-A8C5-ECC9F3942E4B}">
                          <a14:imgProps xmlns:a14="http://schemas.microsoft.com/office/drawing/2010/main">
                            <a14:imgLayer r:embed="rId95">
                              <a14:imgEffect>
                                <a14:sharpenSoften amount="50000"/>
                              </a14:imgEffect>
                            </a14:imgLayer>
                          </a14:imgProps>
                        </a:ext>
                      </a:extLst>
                    </a:blip>
                    <a:srcRect l="1687" t="17391" r="4924" b="10915"/>
                    <a:stretch/>
                  </pic:blipFill>
                  <pic:spPr bwMode="auto">
                    <a:xfrm>
                      <a:off x="0" y="0"/>
                      <a:ext cx="5221601" cy="2690575"/>
                    </a:xfrm>
                    <a:prstGeom prst="rect">
                      <a:avLst/>
                    </a:prstGeom>
                    <a:ln>
                      <a:noFill/>
                    </a:ln>
                    <a:extLst>
                      <a:ext uri="{53640926-AAD7-44D8-BBD7-CCE9431645EC}">
                        <a14:shadowObscured xmlns:a14="http://schemas.microsoft.com/office/drawing/2010/main"/>
                      </a:ext>
                    </a:extLst>
                  </pic:spPr>
                </pic:pic>
              </a:graphicData>
            </a:graphic>
          </wp:inline>
        </w:drawing>
      </w:r>
    </w:p>
    <w:p w:rsidR="00CD7E26" w:rsidRDefault="00CD7E26" w:rsidP="00CD7E26">
      <w:pPr>
        <w:ind w:left="425"/>
        <w:rPr>
          <w:lang w:eastAsia="en-AU"/>
        </w:rPr>
      </w:pPr>
      <w:r>
        <w:rPr>
          <w:lang w:eastAsia="en-AU"/>
        </w:rPr>
        <w:t xml:space="preserve">This figure illustrates the E-R relationship noted for </w:t>
      </w:r>
      <w:proofErr w:type="spellStart"/>
      <w:r>
        <w:rPr>
          <w:lang w:eastAsia="en-AU"/>
        </w:rPr>
        <w:t>cabozantinib</w:t>
      </w:r>
      <w:proofErr w:type="spellEnd"/>
      <w:r>
        <w:rPr>
          <w:lang w:eastAsia="en-AU"/>
        </w:rPr>
        <w:t>. Subjects in the 20 mg once daily starting dose treatment group are predicted to have a smaller maximum reduction in tumour (median percent change from baseline = -4.45% for the 20 mg starting dose treatment group) size relative to the 40 mg and 60 mg starting dose treatment groups. In addition, the figure shows that subjects in the 40 mg starting dose group have a modestly lower median percent reduction from baseline (-9.1% for 40 mg compared with -11.9% for 60 mg) in tumour diameter relative to those in the 60 mg starting dose group.</w:t>
      </w:r>
    </w:p>
    <w:p w:rsidR="00CD7E26" w:rsidRDefault="00CD7E26" w:rsidP="00CD7E26">
      <w:pPr>
        <w:ind w:left="425"/>
        <w:rPr>
          <w:lang w:eastAsia="en-AU"/>
        </w:rPr>
      </w:pPr>
      <w:r>
        <w:rPr>
          <w:lang w:eastAsia="en-AU"/>
        </w:rPr>
        <w:t>In addition, the estimated EC</w:t>
      </w:r>
      <w:r w:rsidRPr="00DF0E14">
        <w:rPr>
          <w:vertAlign w:val="subscript"/>
          <w:lang w:eastAsia="en-AU"/>
        </w:rPr>
        <w:t>50</w:t>
      </w:r>
      <w:r>
        <w:rPr>
          <w:lang w:eastAsia="en-AU"/>
        </w:rPr>
        <w:t>, EC</w:t>
      </w:r>
      <w:r w:rsidRPr="00DF0E14">
        <w:rPr>
          <w:vertAlign w:val="subscript"/>
          <w:lang w:eastAsia="en-AU"/>
        </w:rPr>
        <w:t>80</w:t>
      </w:r>
      <w:r>
        <w:rPr>
          <w:lang w:eastAsia="en-AU"/>
        </w:rPr>
        <w:t xml:space="preserve"> and EC</w:t>
      </w:r>
      <w:r w:rsidRPr="00DF0E14">
        <w:rPr>
          <w:vertAlign w:val="subscript"/>
          <w:lang w:eastAsia="en-AU"/>
        </w:rPr>
        <w:t>90</w:t>
      </w:r>
      <w:r>
        <w:rPr>
          <w:lang w:eastAsia="en-AU"/>
        </w:rPr>
        <w:t xml:space="preserve"> values for the tumour regression listed in the table below suggest the 60 mg once daily </w:t>
      </w:r>
      <w:proofErr w:type="spellStart"/>
      <w:r>
        <w:rPr>
          <w:lang w:eastAsia="en-AU"/>
        </w:rPr>
        <w:t>cabozantinib</w:t>
      </w:r>
      <w:proofErr w:type="spellEnd"/>
      <w:r>
        <w:rPr>
          <w:lang w:eastAsia="en-AU"/>
        </w:rPr>
        <w:t xml:space="preserve"> dose will yield estimated plasma concentrations (1125 ng/mL) near the plateau of the dose-response curve.</w:t>
      </w:r>
    </w:p>
    <w:p w:rsidR="00CD7E26" w:rsidRDefault="00CD7E26" w:rsidP="00CD7E26">
      <w:pPr>
        <w:pStyle w:val="Tabletitle"/>
        <w:rPr>
          <w:lang w:eastAsia="en-AU"/>
        </w:rPr>
      </w:pPr>
      <w:r>
        <w:rPr>
          <w:lang w:eastAsia="en-AU"/>
        </w:rPr>
        <w:lastRenderedPageBreak/>
        <w:t xml:space="preserve">Table </w:t>
      </w:r>
      <w:r w:rsidR="009B56F4">
        <w:rPr>
          <w:lang w:eastAsia="en-AU"/>
        </w:rPr>
        <w:t>70</w:t>
      </w:r>
      <w:r w:rsidR="00DB6CD6">
        <w:rPr>
          <w:lang w:eastAsia="en-AU"/>
        </w:rPr>
        <w:t xml:space="preserve">: </w:t>
      </w:r>
      <w:r>
        <w:rPr>
          <w:lang w:eastAsia="en-AU"/>
        </w:rPr>
        <w:t>Estimated EC</w:t>
      </w:r>
      <w:r w:rsidRPr="00DF0E14">
        <w:rPr>
          <w:vertAlign w:val="subscript"/>
          <w:lang w:eastAsia="en-AU"/>
        </w:rPr>
        <w:t>50</w:t>
      </w:r>
      <w:r>
        <w:rPr>
          <w:lang w:eastAsia="en-AU"/>
        </w:rPr>
        <w:t>, EC</w:t>
      </w:r>
      <w:r w:rsidRPr="00DF0E14">
        <w:rPr>
          <w:vertAlign w:val="subscript"/>
          <w:lang w:eastAsia="en-AU"/>
        </w:rPr>
        <w:t>80</w:t>
      </w:r>
      <w:r>
        <w:rPr>
          <w:lang w:eastAsia="en-AU"/>
        </w:rPr>
        <w:t xml:space="preserve"> and EC</w:t>
      </w:r>
      <w:r w:rsidRPr="00DF0E14">
        <w:rPr>
          <w:vertAlign w:val="subscript"/>
          <w:lang w:eastAsia="en-AU"/>
        </w:rPr>
        <w:t>90</w:t>
      </w:r>
      <w:r>
        <w:rPr>
          <w:lang w:eastAsia="en-AU"/>
        </w:rPr>
        <w:t xml:space="preserve"> values for the tumour regression (sum of lesion diameters) at a </w:t>
      </w:r>
      <w:proofErr w:type="spellStart"/>
      <w:r w:rsidRPr="00DF0E14">
        <w:rPr>
          <w:lang w:eastAsia="en-AU"/>
        </w:rPr>
        <w:t>cabozantinib</w:t>
      </w:r>
      <w:proofErr w:type="spellEnd"/>
      <w:r>
        <w:rPr>
          <w:lang w:eastAsia="en-AU"/>
        </w:rPr>
        <w:t xml:space="preserve"> dose of 60 mg</w:t>
      </w:r>
    </w:p>
    <w:p w:rsidR="00CD7E26" w:rsidRDefault="00CD7E26" w:rsidP="00CD7E26">
      <w:pPr>
        <w:rPr>
          <w:lang w:eastAsia="en-AU"/>
        </w:rPr>
      </w:pPr>
      <w:r>
        <w:rPr>
          <w:noProof/>
          <w:lang w:eastAsia="en-AU"/>
        </w:rPr>
        <w:drawing>
          <wp:inline distT="0" distB="0" distL="0" distR="0" wp14:anchorId="45D3BF21" wp14:editId="67582DF7">
            <wp:extent cx="5500915" cy="856343"/>
            <wp:effectExtent l="0" t="0" r="5080" b="1270"/>
            <wp:docPr id="143" name="Picture 143" descr="Table Estimated EC50, EC80 and EC90 values for the tumour regression (sum of lesion diameters) at a cabozantinib dose of 6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extLst>
                        <a:ext uri="{BEBA8EAE-BF5A-486C-A8C5-ECC9F3942E4B}">
                          <a14:imgProps xmlns:a14="http://schemas.microsoft.com/office/drawing/2010/main">
                            <a14:imgLayer r:embed="rId97">
                              <a14:imgEffect>
                                <a14:sharpenSoften amount="50000"/>
                              </a14:imgEffect>
                            </a14:imgLayer>
                          </a14:imgProps>
                        </a:ext>
                      </a:extLst>
                    </a:blip>
                    <a:srcRect t="26307" b="7646"/>
                    <a:stretch/>
                  </pic:blipFill>
                  <pic:spPr bwMode="auto">
                    <a:xfrm>
                      <a:off x="0" y="0"/>
                      <a:ext cx="5495925" cy="855566"/>
                    </a:xfrm>
                    <a:prstGeom prst="rect">
                      <a:avLst/>
                    </a:prstGeom>
                    <a:ln>
                      <a:noFill/>
                    </a:ln>
                    <a:extLst>
                      <a:ext uri="{53640926-AAD7-44D8-BBD7-CCE9431645EC}">
                        <a14:shadowObscured xmlns:a14="http://schemas.microsoft.com/office/drawing/2010/main"/>
                      </a:ext>
                    </a:extLst>
                  </pic:spPr>
                </pic:pic>
              </a:graphicData>
            </a:graphic>
          </wp:inline>
        </w:drawing>
      </w:r>
    </w:p>
    <w:p w:rsidR="00CD7E26" w:rsidRDefault="00CD7E26" w:rsidP="00CD7E26">
      <w:pPr>
        <w:rPr>
          <w:lang w:eastAsia="en-AU"/>
        </w:rPr>
      </w:pPr>
      <w:r>
        <w:rPr>
          <w:lang w:eastAsia="en-AU"/>
        </w:rPr>
        <w:t xml:space="preserve">To further assess the clinical relevance of the differences </w:t>
      </w:r>
      <w:r w:rsidRPr="008F51E2">
        <w:rPr>
          <w:lang w:eastAsia="en-AU"/>
        </w:rPr>
        <w:t xml:space="preserve">noted in </w:t>
      </w:r>
      <w:r w:rsidR="008F51E2" w:rsidRPr="008F51E2">
        <w:rPr>
          <w:lang w:eastAsia="en-AU"/>
        </w:rPr>
        <w:t>Figure 9</w:t>
      </w:r>
      <w:r w:rsidRPr="008F51E2">
        <w:rPr>
          <w:lang w:eastAsia="en-AU"/>
        </w:rPr>
        <w:t>, the</w:t>
      </w:r>
      <w:r>
        <w:rPr>
          <w:lang w:eastAsia="en-AU"/>
        </w:rPr>
        <w:t xml:space="preserve"> Best Overall Response (BOR) metric was computed based on the simulated tumour size data for the 20 mg, 40 mg, and 60 mg starting dose groups the response to treatment. Complete response (CR), partial response (PR), stable disease (SD), or progressive disease (PD) were computed at baseline and every 8 weeks for 1 year using the longitudinal sum of tumour diameter predictions. The response value was computed in accordance with the response criteria specified for Study XL184-308. From the longitudinal response data, the BOR was computed for each subject. The predicted percentage of subjects with </w:t>
      </w:r>
      <w:r w:rsidRPr="00DB6CD6">
        <w:rPr>
          <w:lang w:eastAsia="en-AU"/>
        </w:rPr>
        <w:t xml:space="preserve">CR, PR, SD, or PD for a 20 mg, 40 mg, and 60 mg starting dose treatment regimen are provided in Table </w:t>
      </w:r>
      <w:r w:rsidR="009B56F4">
        <w:rPr>
          <w:lang w:eastAsia="en-AU"/>
        </w:rPr>
        <w:t>71</w:t>
      </w:r>
      <w:r w:rsidRPr="00DB6CD6">
        <w:rPr>
          <w:lang w:eastAsia="en-AU"/>
        </w:rPr>
        <w:t>. A</w:t>
      </w:r>
      <w:r>
        <w:rPr>
          <w:lang w:eastAsia="en-AU"/>
        </w:rPr>
        <w:t xml:space="preserve"> higher percentage of subjects achieve an Overall Response (CR plus PR) and a lower percentage of subjects have PD in the 60 mg starting dose treatment group relative to the 20 mg and 40 mg starting dose treatment groups.</w:t>
      </w:r>
    </w:p>
    <w:p w:rsidR="00CD7E26" w:rsidRDefault="00CD7E26" w:rsidP="00CD7E26">
      <w:pPr>
        <w:pStyle w:val="Tabletitle"/>
        <w:rPr>
          <w:lang w:eastAsia="en-AU"/>
        </w:rPr>
      </w:pPr>
      <w:r>
        <w:rPr>
          <w:lang w:eastAsia="en-AU"/>
        </w:rPr>
        <w:t xml:space="preserve">Table </w:t>
      </w:r>
      <w:r w:rsidR="009B56F4">
        <w:rPr>
          <w:lang w:eastAsia="en-AU"/>
        </w:rPr>
        <w:t>71</w:t>
      </w:r>
      <w:r w:rsidR="00DB6CD6">
        <w:rPr>
          <w:lang w:eastAsia="en-AU"/>
        </w:rPr>
        <w:t xml:space="preserve">: </w:t>
      </w:r>
      <w:r>
        <w:rPr>
          <w:lang w:eastAsia="en-AU"/>
        </w:rPr>
        <w:t>Percentage of simulated subjects (N=1000) achieving each best overall response category</w:t>
      </w:r>
    </w:p>
    <w:p w:rsidR="00CD7E26" w:rsidRDefault="00CD7E26" w:rsidP="00CD7E26">
      <w:pPr>
        <w:rPr>
          <w:lang w:eastAsia="en-AU"/>
        </w:rPr>
      </w:pPr>
      <w:r>
        <w:rPr>
          <w:noProof/>
          <w:lang w:eastAsia="en-AU"/>
        </w:rPr>
        <w:drawing>
          <wp:inline distT="0" distB="0" distL="0" distR="0" wp14:anchorId="3CE83E36" wp14:editId="34A78385">
            <wp:extent cx="5674224" cy="1712686"/>
            <wp:effectExtent l="0" t="0" r="3175" b="1905"/>
            <wp:docPr id="144" name="Picture 144" descr="Percentage of simulated subjects (N=1000) achieving each best overall respons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extLst>
                        <a:ext uri="{BEBA8EAE-BF5A-486C-A8C5-ECC9F3942E4B}">
                          <a14:imgProps xmlns:a14="http://schemas.microsoft.com/office/drawing/2010/main">
                            <a14:imgLayer r:embed="rId99">
                              <a14:imgEffect>
                                <a14:sharpenSoften amount="50000"/>
                              </a14:imgEffect>
                            </a14:imgLayer>
                          </a14:imgProps>
                        </a:ext>
                      </a:extLst>
                    </a:blip>
                    <a:srcRect t="10943"/>
                    <a:stretch/>
                  </pic:blipFill>
                  <pic:spPr bwMode="auto">
                    <a:xfrm>
                      <a:off x="0" y="0"/>
                      <a:ext cx="5676900" cy="1713494"/>
                    </a:xfrm>
                    <a:prstGeom prst="rect">
                      <a:avLst/>
                    </a:prstGeom>
                    <a:ln>
                      <a:noFill/>
                    </a:ln>
                    <a:extLst>
                      <a:ext uri="{53640926-AAD7-44D8-BBD7-CCE9431645EC}">
                        <a14:shadowObscured xmlns:a14="http://schemas.microsoft.com/office/drawing/2010/main"/>
                      </a:ext>
                    </a:extLst>
                  </pic:spPr>
                </pic:pic>
              </a:graphicData>
            </a:graphic>
          </wp:inline>
        </w:drawing>
      </w:r>
    </w:p>
    <w:p w:rsidR="00CD7E26" w:rsidRDefault="00CD7E26" w:rsidP="00CD7E26">
      <w:pPr>
        <w:rPr>
          <w:lang w:eastAsia="en-AU"/>
        </w:rPr>
      </w:pPr>
      <w:r>
        <w:rPr>
          <w:lang w:eastAsia="en-AU"/>
        </w:rPr>
        <w:t xml:space="preserve">Population E-R models were developed to characterise the relationship between </w:t>
      </w:r>
      <w:proofErr w:type="spellStart"/>
      <w:r>
        <w:rPr>
          <w:lang w:eastAsia="en-AU"/>
        </w:rPr>
        <w:t>cabozantinib</w:t>
      </w:r>
      <w:proofErr w:type="spellEnd"/>
      <w:r>
        <w:rPr>
          <w:lang w:eastAsia="en-AU"/>
        </w:rPr>
        <w:t xml:space="preserve"> exposure and all dose modifications in subjects with RCC. </w:t>
      </w:r>
      <w:r w:rsidRPr="00DB6CD6">
        <w:rPr>
          <w:lang w:eastAsia="en-AU"/>
        </w:rPr>
        <w:t xml:space="preserve">Table </w:t>
      </w:r>
      <w:r w:rsidR="00DB6CD6" w:rsidRPr="00DB6CD6">
        <w:rPr>
          <w:lang w:eastAsia="en-AU"/>
        </w:rPr>
        <w:t>7</w:t>
      </w:r>
      <w:r w:rsidR="009B56F4">
        <w:rPr>
          <w:lang w:eastAsia="en-AU"/>
        </w:rPr>
        <w:t>2</w:t>
      </w:r>
      <w:r w:rsidRPr="00DB6CD6">
        <w:rPr>
          <w:lang w:eastAsia="en-AU"/>
        </w:rPr>
        <w:t xml:space="preserve"> shows the percentage of subjects that were on 20 mg, 40 mg, and 60 mg (excluding dose interruptions</w:t>
      </w:r>
      <w:r>
        <w:rPr>
          <w:lang w:eastAsia="en-AU"/>
        </w:rPr>
        <w:t>) at 6 months and 12 months for the observed dataset, the simulated 20 mg starting dose dataset, the simulated 40 mg starting dose dataset, the simulated 40 mg starting dose dataset permitting escalation to 60 mg based on observed probabilities, and the simulated 60 mg starting dose dataset. Based on this analysis, the simulated 40 mg starting dose was not predicted to dramatically reduce the requirement for dose reductions. At 6 months, 24% of subjects in the simulated 40 mg starting dose group required a dose reduction versus 52% (45%) in the 60 mg observed (simulated) starting dose groups. Moreover, at 6-months a greater proportion of subjects in the simulated 40 mg starting dose group were being treated at the reduced 20 mg dose level (24%) than in the 60 mg starting dose group (16% actual, 10% simulated). Notably, at this time-point approximately 50% of subjects in the 60 mg starting dose group (observed or simulated) were still on the 60 mg dose.</w:t>
      </w:r>
    </w:p>
    <w:p w:rsidR="00CD7E26" w:rsidRDefault="00CD7E26" w:rsidP="00CD7E26">
      <w:pPr>
        <w:pStyle w:val="Tabletitle"/>
        <w:rPr>
          <w:lang w:eastAsia="en-AU"/>
        </w:rPr>
      </w:pPr>
      <w:r>
        <w:rPr>
          <w:lang w:eastAsia="en-AU"/>
        </w:rPr>
        <w:lastRenderedPageBreak/>
        <w:t xml:space="preserve">Table </w:t>
      </w:r>
      <w:r w:rsidR="00DB6CD6">
        <w:rPr>
          <w:lang w:eastAsia="en-AU"/>
        </w:rPr>
        <w:t>7</w:t>
      </w:r>
      <w:r w:rsidR="009B56F4">
        <w:rPr>
          <w:lang w:eastAsia="en-AU"/>
        </w:rPr>
        <w:t>2</w:t>
      </w:r>
      <w:r w:rsidR="00DB6CD6">
        <w:rPr>
          <w:lang w:eastAsia="en-AU"/>
        </w:rPr>
        <w:t xml:space="preserve">: </w:t>
      </w:r>
      <w:r w:rsidRPr="00070248">
        <w:rPr>
          <w:lang w:eastAsia="en-AU"/>
        </w:rPr>
        <w:t xml:space="preserve">Percentage of simulated subjects </w:t>
      </w:r>
      <w:r>
        <w:rPr>
          <w:lang w:eastAsia="en-AU"/>
        </w:rPr>
        <w:t>on 20 mg, 40 mg or 60 mg once daily treatment regimens at Month 6 and Month 12</w:t>
      </w:r>
    </w:p>
    <w:p w:rsidR="00CD7E26" w:rsidRDefault="00CD7E26" w:rsidP="00CD7E26">
      <w:pPr>
        <w:rPr>
          <w:lang w:eastAsia="en-AU"/>
        </w:rPr>
      </w:pPr>
      <w:r>
        <w:rPr>
          <w:noProof/>
          <w:lang w:eastAsia="en-AU"/>
        </w:rPr>
        <w:drawing>
          <wp:inline distT="0" distB="0" distL="0" distR="0" wp14:anchorId="196D605B" wp14:editId="14165123">
            <wp:extent cx="5203372" cy="1594913"/>
            <wp:effectExtent l="0" t="0" r="0" b="5715"/>
            <wp:docPr id="145" name="Picture 145" descr="Percentage of simulated subjects on 20 mg, 40 mg or 60 mg once daily treatment regimens at Month 6 and Mont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extLst>
                        <a:ext uri="{BEBA8EAE-BF5A-486C-A8C5-ECC9F3942E4B}">
                          <a14:imgProps xmlns:a14="http://schemas.microsoft.com/office/drawing/2010/main">
                            <a14:imgLayer r:embed="rId101">
                              <a14:imgEffect>
                                <a14:sharpenSoften amount="50000"/>
                              </a14:imgEffect>
                            </a14:imgLayer>
                          </a14:imgProps>
                        </a:ext>
                      </a:extLst>
                    </a:blip>
                    <a:srcRect l="8195" t="17925"/>
                    <a:stretch/>
                  </pic:blipFill>
                  <pic:spPr bwMode="auto">
                    <a:xfrm>
                      <a:off x="0" y="0"/>
                      <a:ext cx="5202955" cy="1594785"/>
                    </a:xfrm>
                    <a:prstGeom prst="rect">
                      <a:avLst/>
                    </a:prstGeom>
                    <a:ln>
                      <a:noFill/>
                    </a:ln>
                    <a:extLst>
                      <a:ext uri="{53640926-AAD7-44D8-BBD7-CCE9431645EC}">
                        <a14:shadowObscured xmlns:a14="http://schemas.microsoft.com/office/drawing/2010/main"/>
                      </a:ext>
                    </a:extLst>
                  </pic:spPr>
                </pic:pic>
              </a:graphicData>
            </a:graphic>
          </wp:inline>
        </w:drawing>
      </w:r>
    </w:p>
    <w:p w:rsidR="00CD7E26" w:rsidRDefault="00CD7E26" w:rsidP="00CD7E26">
      <w:pPr>
        <w:rPr>
          <w:lang w:eastAsia="en-AU"/>
        </w:rPr>
      </w:pPr>
      <w:r>
        <w:rPr>
          <w:lang w:eastAsia="en-AU"/>
        </w:rPr>
        <w:t xml:space="preserve">In summary, in subjects with RCC in Study XL184-308, the 60 mg </w:t>
      </w:r>
      <w:proofErr w:type="spellStart"/>
      <w:r>
        <w:rPr>
          <w:lang w:eastAsia="en-AU"/>
        </w:rPr>
        <w:t>cabozantinib</w:t>
      </w:r>
      <w:proofErr w:type="spellEnd"/>
      <w:r>
        <w:rPr>
          <w:lang w:eastAsia="en-AU"/>
        </w:rPr>
        <w:t xml:space="preserve"> dose demonstrated clinical efficacy (PFS, OS, ORR), and showed greater </w:t>
      </w:r>
      <w:proofErr w:type="spellStart"/>
      <w:r>
        <w:rPr>
          <w:lang w:eastAsia="en-AU"/>
        </w:rPr>
        <w:t>antitumour</w:t>
      </w:r>
      <w:proofErr w:type="spellEnd"/>
      <w:r>
        <w:rPr>
          <w:lang w:eastAsia="en-AU"/>
        </w:rPr>
        <w:t xml:space="preserve"> effects than a 40 mg or 20 mg dose based on an exposure-response analysis. As expected, higher predicted risk of individual AEs was simulated for the 60 mg dose versus the 40 mg and 20 mg dose levels, although the simulated 40 mg starting dose was not predicted to dramatically reduce the requirement for dose reductions. Overall, the analyses support the </w:t>
      </w:r>
      <w:r w:rsidR="00166FC4">
        <w:rPr>
          <w:lang w:eastAsia="en-AU"/>
        </w:rPr>
        <w:t>current starting dose of 60 mg.</w:t>
      </w:r>
    </w:p>
    <w:p w:rsidR="00CD7E26" w:rsidRDefault="00CD7E26" w:rsidP="00CD7E26">
      <w:pPr>
        <w:rPr>
          <w:lang w:eastAsia="en-AU"/>
        </w:rPr>
      </w:pPr>
      <w:r>
        <w:rPr>
          <w:lang w:eastAsia="en-AU"/>
        </w:rPr>
        <w:t xml:space="preserve">The above evaluation by the sponsor is consistent with the </w:t>
      </w:r>
      <w:proofErr w:type="spellStart"/>
      <w:r>
        <w:rPr>
          <w:lang w:eastAsia="en-AU"/>
        </w:rPr>
        <w:t>PopPK</w:t>
      </w:r>
      <w:proofErr w:type="spellEnd"/>
      <w:r>
        <w:rPr>
          <w:lang w:eastAsia="en-AU"/>
        </w:rPr>
        <w:t xml:space="preserve"> evaluation report conducted by the TGA which considers the exposure -response analyses for longitudinal sum of tumour diameter and repeated time to event dose modifications of </w:t>
      </w:r>
      <w:proofErr w:type="spellStart"/>
      <w:r>
        <w:rPr>
          <w:lang w:eastAsia="en-AU"/>
        </w:rPr>
        <w:t>cabozantinib</w:t>
      </w:r>
      <w:proofErr w:type="spellEnd"/>
      <w:r>
        <w:rPr>
          <w:lang w:eastAsia="en-AU"/>
        </w:rPr>
        <w:t xml:space="preserve"> in patients with RCC. The TGA evaluation states that the important inferences from the expos</w:t>
      </w:r>
      <w:r w:rsidR="00166FC4">
        <w:rPr>
          <w:lang w:eastAsia="en-AU"/>
        </w:rPr>
        <w:t>ure-response analyses would be:</w:t>
      </w:r>
    </w:p>
    <w:p w:rsidR="00CD7E26" w:rsidRDefault="00CD7E26" w:rsidP="00447B66">
      <w:pPr>
        <w:pStyle w:val="Numberbullet0"/>
        <w:numPr>
          <w:ilvl w:val="0"/>
          <w:numId w:val="38"/>
        </w:numPr>
        <w:rPr>
          <w:lang w:eastAsia="en-AU"/>
        </w:rPr>
      </w:pPr>
      <w:r>
        <w:rPr>
          <w:lang w:eastAsia="en-AU"/>
        </w:rPr>
        <w:t xml:space="preserve">A starting dose of 60 mg daily of </w:t>
      </w:r>
      <w:proofErr w:type="spellStart"/>
      <w:r>
        <w:rPr>
          <w:lang w:eastAsia="en-AU"/>
        </w:rPr>
        <w:t>cabozantinib</w:t>
      </w:r>
      <w:proofErr w:type="spellEnd"/>
      <w:r>
        <w:rPr>
          <w:lang w:eastAsia="en-AU"/>
        </w:rPr>
        <w:t xml:space="preserve"> is expected to result in a greater reduction in baseline tumour size than 40 mg daily (-11.</w:t>
      </w:r>
      <w:r w:rsidR="00166FC4">
        <w:rPr>
          <w:lang w:eastAsia="en-AU"/>
        </w:rPr>
        <w:t>9% versus -9.1%, respectively).</w:t>
      </w:r>
    </w:p>
    <w:p w:rsidR="00CD7E26" w:rsidRDefault="00CD7E26" w:rsidP="00CD7E26">
      <w:pPr>
        <w:pStyle w:val="Numberbullet0"/>
        <w:rPr>
          <w:lang w:eastAsia="en-AU"/>
        </w:rPr>
      </w:pPr>
      <w:r>
        <w:rPr>
          <w:lang w:eastAsia="en-AU"/>
        </w:rPr>
        <w:t xml:space="preserve">The inhibitory effect of </w:t>
      </w:r>
      <w:proofErr w:type="spellStart"/>
      <w:r>
        <w:rPr>
          <w:lang w:eastAsia="en-AU"/>
        </w:rPr>
        <w:t>cabozantinib</w:t>
      </w:r>
      <w:proofErr w:type="spellEnd"/>
      <w:r>
        <w:rPr>
          <w:lang w:eastAsia="en-AU"/>
        </w:rPr>
        <w:t xml:space="preserve"> therapy on tumour growth was predicted to attenuate over time, with a half-life of about 25 days. This suggests that </w:t>
      </w:r>
      <w:proofErr w:type="spellStart"/>
      <w:r>
        <w:rPr>
          <w:lang w:eastAsia="en-AU"/>
        </w:rPr>
        <w:t>cabozantinib</w:t>
      </w:r>
      <w:proofErr w:type="spellEnd"/>
      <w:r>
        <w:rPr>
          <w:lang w:eastAsia="en-AU"/>
        </w:rPr>
        <w:t xml:space="preserve"> therapy has its primary benefit in terms of reducing tumour size within the first 4-5-months of therapy, after which disease progression will become the prim</w:t>
      </w:r>
      <w:r w:rsidR="00166FC4">
        <w:rPr>
          <w:lang w:eastAsia="en-AU"/>
        </w:rPr>
        <w:t>ary determinate of tumour size.</w:t>
      </w:r>
    </w:p>
    <w:p w:rsidR="00CD7E26" w:rsidRDefault="00CD7E26" w:rsidP="00CD7E26">
      <w:pPr>
        <w:pStyle w:val="Numberbullet0"/>
        <w:rPr>
          <w:lang w:eastAsia="en-AU"/>
        </w:rPr>
      </w:pPr>
      <w:r>
        <w:rPr>
          <w:lang w:eastAsia="en-AU"/>
        </w:rPr>
        <w:t>Subjects starting on 60 mg daily are predicted to require more dose reductions than those starting on a 40 mg daily dose, presumably because of an increased likelihood of adverse effects with the 60 mg daily. Note however, that a 40 mg daily starting dose would come at the cost of reduced efficiency in terms of tumour growth inhibition.</w:t>
      </w:r>
    </w:p>
    <w:p w:rsidR="00CD7E26" w:rsidRPr="00166FC4" w:rsidRDefault="00CD7E26" w:rsidP="00166FC4">
      <w:pPr>
        <w:pStyle w:val="Heading5"/>
        <w:rPr>
          <w:rFonts w:eastAsiaTheme="minorHAnsi"/>
        </w:rPr>
      </w:pPr>
      <w:r w:rsidRPr="00166FC4">
        <w:t>E</w:t>
      </w:r>
      <w:r w:rsidRPr="00166FC4">
        <w:rPr>
          <w:rFonts w:eastAsiaTheme="minorHAnsi"/>
        </w:rPr>
        <w:t>valuator comment:</w:t>
      </w:r>
    </w:p>
    <w:p w:rsidR="00CD7E26" w:rsidRPr="000E3A61" w:rsidRDefault="00CD7E26" w:rsidP="00CD7E26">
      <w:r w:rsidRPr="000E3A61">
        <w:t xml:space="preserve">It is presumed the abbreviation PPE (not defined in the document) is used to represent palmar-plantar </w:t>
      </w:r>
      <w:proofErr w:type="spellStart"/>
      <w:r w:rsidRPr="000E3A61">
        <w:t>erythrodysesthesia</w:t>
      </w:r>
      <w:proofErr w:type="spellEnd"/>
      <w:r w:rsidRPr="000E3A61">
        <w:t>.</w:t>
      </w:r>
      <w:r>
        <w:t xml:space="preserve"> </w:t>
      </w:r>
      <w:r w:rsidRPr="000E3A61">
        <w:t xml:space="preserve">The </w:t>
      </w:r>
      <w:r>
        <w:t>s</w:t>
      </w:r>
      <w:r w:rsidRPr="000E3A61">
        <w:t>ponsor’s response is accepted.</w:t>
      </w:r>
    </w:p>
    <w:p w:rsidR="00CD7E26" w:rsidRDefault="00CD7E26" w:rsidP="00CD7E26">
      <w:pPr>
        <w:pStyle w:val="Heading4"/>
        <w:numPr>
          <w:ilvl w:val="2"/>
          <w:numId w:val="29"/>
        </w:numPr>
      </w:pPr>
      <w:r>
        <w:t xml:space="preserve">Clinical question 3 </w:t>
      </w:r>
      <w:r w:rsidR="005621E0">
        <w:t>e</w:t>
      </w:r>
      <w:r>
        <w:t>fficacy</w:t>
      </w:r>
    </w:p>
    <w:p w:rsidR="00CD7E26" w:rsidRDefault="00CD7E26" w:rsidP="00CD7E26">
      <w:pPr>
        <w:rPr>
          <w:lang w:eastAsia="en-AU"/>
        </w:rPr>
      </w:pPr>
      <w:r>
        <w:rPr>
          <w:lang w:eastAsia="en-AU"/>
        </w:rPr>
        <w:t>With Regard to Study XL184-308:</w:t>
      </w:r>
    </w:p>
    <w:p w:rsidR="00CD7E26" w:rsidRPr="00AF7B1A" w:rsidRDefault="00CD7E26" w:rsidP="00CD7E26">
      <w:pPr>
        <w:rPr>
          <w:lang w:eastAsia="en-AU"/>
        </w:rPr>
      </w:pPr>
      <w:r>
        <w:rPr>
          <w:lang w:eastAsia="en-AU"/>
        </w:rPr>
        <w:t xml:space="preserve">An evaluation for the presence of cerebral or bony metastasis was only undertaken at the screening visit; there do not appear to be protocol defined criteria for undertaking brain imaging or bone scans at any other point other than at screening and it was left to the investigator’s discretion to conduct further imaging to determine if such metastasis had developed in a study in which treatment was </w:t>
      </w:r>
      <w:proofErr w:type="spellStart"/>
      <w:r>
        <w:rPr>
          <w:lang w:eastAsia="en-AU"/>
        </w:rPr>
        <w:t>unblinded</w:t>
      </w:r>
      <w:proofErr w:type="spellEnd"/>
      <w:r>
        <w:rPr>
          <w:lang w:eastAsia="en-AU"/>
        </w:rPr>
        <w:t xml:space="preserve"> leading to the possibility of bias: Please provide an analysis of the number of subjects in each treatment that developed cerebral or bony metastasis that were not present at the time of screening and comment on the steps taken, if any, to eliminate bias with regard to the investigator’s judgement in the timing of the event.</w:t>
      </w:r>
    </w:p>
    <w:p w:rsidR="00CD7E26" w:rsidRPr="00166FC4" w:rsidRDefault="00CD7E26" w:rsidP="00166FC4">
      <w:pPr>
        <w:pStyle w:val="Heading5"/>
      </w:pPr>
      <w:r w:rsidRPr="00166FC4">
        <w:lastRenderedPageBreak/>
        <w:t>Sponsor’s response</w:t>
      </w:r>
    </w:p>
    <w:p w:rsidR="00CD7E26" w:rsidRPr="00DD13C9" w:rsidRDefault="00CD7E26" w:rsidP="00CD7E26">
      <w:pPr>
        <w:pStyle w:val="Heading6"/>
      </w:pPr>
      <w:r>
        <w:t>Cerebral metastases</w:t>
      </w:r>
    </w:p>
    <w:p w:rsidR="00CD7E26" w:rsidRDefault="00CD7E26" w:rsidP="00CD7E26">
      <w:r>
        <w:t xml:space="preserve">In the METEOR study (Study XL184-308), subjects with known brain metastases or cranial epidural disease were not allowed to participate unless adequately treated with radiotherapy and/or surgery (including radiosurgery) and stable for at least 3-months before randomization. Given these restrictions, at baseline only 3 patients had brain metastases (2 in the </w:t>
      </w:r>
      <w:proofErr w:type="spellStart"/>
      <w:r>
        <w:t>cabozantinib</w:t>
      </w:r>
      <w:proofErr w:type="spellEnd"/>
      <w:r>
        <w:t xml:space="preserve"> group and one in the </w:t>
      </w:r>
      <w:proofErr w:type="spellStart"/>
      <w:r>
        <w:t>everolimus</w:t>
      </w:r>
      <w:proofErr w:type="spellEnd"/>
      <w:r>
        <w:t xml:space="preserve"> arm).</w:t>
      </w:r>
    </w:p>
    <w:p w:rsidR="00CD7E26" w:rsidRDefault="00CD7E26" w:rsidP="00CD7E26">
      <w:pPr>
        <w:rPr>
          <w:lang w:eastAsia="en-AU"/>
        </w:rPr>
      </w:pPr>
      <w:r>
        <w:rPr>
          <w:lang w:eastAsia="en-AU"/>
        </w:rPr>
        <w:t>In oncology trials, the occurrence of brain metastases during follow-up, in patients without brain metastases at baseline is usually detected following the onset of neurologic symptoms; brain scans are not normally included in routine follow-up testing in patients without neurologic symptoms. It is not justified to perform a systematic imaging procedure every 8 weeks in all patients included in the METEOR study while this is justified in patients with known cerebral metastases to measure the size of the metastasis under treatment.</w:t>
      </w:r>
    </w:p>
    <w:p w:rsidR="00CD7E26" w:rsidRDefault="00CD7E26" w:rsidP="00CD7E26">
      <w:pPr>
        <w:rPr>
          <w:lang w:eastAsia="en-AU"/>
        </w:rPr>
      </w:pPr>
      <w:r>
        <w:rPr>
          <w:lang w:eastAsia="en-AU"/>
        </w:rPr>
        <w:t xml:space="preserve">Over the &gt;36-months of the trial duration, among patients with no cerebral metastases at baseline there were 7 (1.1%) subjects who developed symptomatic cerebral metastases. These events were recorded as treatment emergent adverse events. A total of 5 (1.6%) patients in the </w:t>
      </w:r>
      <w:proofErr w:type="spellStart"/>
      <w:r>
        <w:rPr>
          <w:lang w:eastAsia="en-AU"/>
        </w:rPr>
        <w:t>everolimus</w:t>
      </w:r>
      <w:proofErr w:type="spellEnd"/>
      <w:r>
        <w:rPr>
          <w:lang w:eastAsia="en-AU"/>
        </w:rPr>
        <w:t xml:space="preserve"> arm and 2 (0.6%) patients in the </w:t>
      </w:r>
      <w:proofErr w:type="spellStart"/>
      <w:r>
        <w:rPr>
          <w:lang w:eastAsia="en-AU"/>
        </w:rPr>
        <w:t>cabozantinib</w:t>
      </w:r>
      <w:proofErr w:type="spellEnd"/>
      <w:r>
        <w:rPr>
          <w:lang w:eastAsia="en-AU"/>
        </w:rPr>
        <w:t xml:space="preserve"> arm reported neurology symptoms leading to a brain CT or MRI and a diagnosis of cerebral metastasis at the last cut-off date 2 Oct 2016. All patients reported the AEs the same day or after they had been classified as ‘documented progression’ by the independent IRC or were censored because of anticancer therapy. It is unlikely that an investigator would have delayed an imaging procedure if necessary when a patient develops neurological symptoms.</w:t>
      </w:r>
    </w:p>
    <w:p w:rsidR="00CD7E26" w:rsidRDefault="00CD7E26" w:rsidP="00CD7E26">
      <w:pPr>
        <w:rPr>
          <w:lang w:eastAsia="en-AU"/>
        </w:rPr>
      </w:pPr>
      <w:r>
        <w:rPr>
          <w:lang w:eastAsia="en-AU"/>
        </w:rPr>
        <w:t xml:space="preserve">Given that there are more subjects who developed brain metastases in the </w:t>
      </w:r>
      <w:proofErr w:type="spellStart"/>
      <w:r>
        <w:rPr>
          <w:lang w:eastAsia="en-AU"/>
        </w:rPr>
        <w:t>everolimus</w:t>
      </w:r>
      <w:proofErr w:type="spellEnd"/>
      <w:r>
        <w:rPr>
          <w:lang w:eastAsia="en-AU"/>
        </w:rPr>
        <w:t xml:space="preserve"> arm in comparison with the </w:t>
      </w:r>
      <w:proofErr w:type="spellStart"/>
      <w:r>
        <w:rPr>
          <w:lang w:eastAsia="en-AU"/>
        </w:rPr>
        <w:t>cabozantinib</w:t>
      </w:r>
      <w:proofErr w:type="spellEnd"/>
      <w:r>
        <w:rPr>
          <w:lang w:eastAsia="en-AU"/>
        </w:rPr>
        <w:t xml:space="preserve"> arm, even if these events had been detected earlier by an imaging procedure in the absence of clinical symptoms, it would not have favoured </w:t>
      </w:r>
      <w:proofErr w:type="spellStart"/>
      <w:r>
        <w:rPr>
          <w:lang w:eastAsia="en-AU"/>
        </w:rPr>
        <w:t>cabozantinib</w:t>
      </w:r>
      <w:proofErr w:type="spellEnd"/>
      <w:r>
        <w:rPr>
          <w:lang w:eastAsia="en-AU"/>
        </w:rPr>
        <w:t>.</w:t>
      </w:r>
    </w:p>
    <w:p w:rsidR="00CD7E26" w:rsidRDefault="00CD7E26" w:rsidP="00CD7E26">
      <w:pPr>
        <w:rPr>
          <w:lang w:eastAsia="en-AU"/>
        </w:rPr>
      </w:pPr>
      <w:r>
        <w:rPr>
          <w:lang w:eastAsia="en-AU"/>
        </w:rPr>
        <w:t>A listing of patients with AEs of brain metastases in the population of patients without brain metastases at baseline is shown below.</w:t>
      </w:r>
    </w:p>
    <w:p w:rsidR="00CD7E26" w:rsidRDefault="00CD7E26" w:rsidP="00CD7E26">
      <w:pPr>
        <w:pStyle w:val="Tabletitle"/>
        <w:rPr>
          <w:lang w:eastAsia="en-AU"/>
        </w:rPr>
      </w:pPr>
      <w:r>
        <w:rPr>
          <w:lang w:eastAsia="en-AU"/>
        </w:rPr>
        <w:t xml:space="preserve">Table </w:t>
      </w:r>
      <w:r w:rsidR="00DB6CD6">
        <w:rPr>
          <w:lang w:eastAsia="en-AU"/>
        </w:rPr>
        <w:t>7</w:t>
      </w:r>
      <w:r w:rsidR="00447B66">
        <w:rPr>
          <w:lang w:eastAsia="en-AU"/>
        </w:rPr>
        <w:t>3</w:t>
      </w:r>
      <w:r w:rsidR="00DB6CD6">
        <w:rPr>
          <w:lang w:eastAsia="en-AU"/>
        </w:rPr>
        <w:t xml:space="preserve">: </w:t>
      </w:r>
      <w:r>
        <w:rPr>
          <w:lang w:eastAsia="en-AU"/>
        </w:rPr>
        <w:t>Patients with AEs of brain metastases in the population of patients without brain metastases at baseline</w:t>
      </w:r>
    </w:p>
    <w:p w:rsidR="00CD7E26" w:rsidRDefault="00CD7E26" w:rsidP="00CD7E26">
      <w:pPr>
        <w:ind w:left="227"/>
        <w:rPr>
          <w:lang w:eastAsia="en-AU"/>
        </w:rPr>
      </w:pPr>
      <w:r>
        <w:rPr>
          <w:noProof/>
          <w:lang w:eastAsia="en-AU"/>
        </w:rPr>
        <w:drawing>
          <wp:inline distT="0" distB="0" distL="0" distR="0" wp14:anchorId="37336988" wp14:editId="4A645AA0">
            <wp:extent cx="2847975" cy="2257425"/>
            <wp:effectExtent l="0" t="0" r="9525" b="9525"/>
            <wp:docPr id="139" name="Picture 139" descr="Patients with AEs of brain metastases in the population of patients without brain metastase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BEBA8EAE-BF5A-486C-A8C5-ECC9F3942E4B}">
                          <a14:imgProps xmlns:a14="http://schemas.microsoft.com/office/drawing/2010/main">
                            <a14:imgLayer r:embed="rId103">
                              <a14:imgEffect>
                                <a14:sharpenSoften amount="50000"/>
                              </a14:imgEffect>
                            </a14:imgLayer>
                          </a14:imgProps>
                        </a:ext>
                      </a:extLst>
                    </a:blip>
                    <a:stretch>
                      <a:fillRect/>
                    </a:stretch>
                  </pic:blipFill>
                  <pic:spPr>
                    <a:xfrm>
                      <a:off x="0" y="0"/>
                      <a:ext cx="2847975" cy="2257425"/>
                    </a:xfrm>
                    <a:prstGeom prst="rect">
                      <a:avLst/>
                    </a:prstGeom>
                  </pic:spPr>
                </pic:pic>
              </a:graphicData>
            </a:graphic>
          </wp:inline>
        </w:drawing>
      </w:r>
    </w:p>
    <w:p w:rsidR="00CD7E26" w:rsidRPr="00DD13C9" w:rsidRDefault="00CD7E26" w:rsidP="00CD7E26">
      <w:pPr>
        <w:pStyle w:val="Heading6"/>
      </w:pPr>
      <w:r>
        <w:t>Bone metastases</w:t>
      </w:r>
    </w:p>
    <w:p w:rsidR="00CD7E26" w:rsidRDefault="00CD7E26" w:rsidP="00CD7E26">
      <w:r>
        <w:t xml:space="preserve">Technetium bone scans (TBS) were performed in all subjects at screening. Bone metastases were present in 23% of patients in the </w:t>
      </w:r>
      <w:proofErr w:type="spellStart"/>
      <w:r>
        <w:t>cabozantinib</w:t>
      </w:r>
      <w:proofErr w:type="spellEnd"/>
      <w:r>
        <w:t xml:space="preserve"> arm and in 20% of patients in the </w:t>
      </w:r>
      <w:proofErr w:type="spellStart"/>
      <w:r>
        <w:t>everolimus</w:t>
      </w:r>
      <w:proofErr w:type="spellEnd"/>
      <w:r>
        <w:t xml:space="preserve"> arm. After randomisation, bone scans were performed only in subjects with known bone metastases every 16 weeks (± 7 days) throughout the first 12 months on study. Upon </w:t>
      </w:r>
      <w:r>
        <w:lastRenderedPageBreak/>
        <w:t>completion of 12 months on study, these assessments were performed every 24 weeks (± 14 days). Lesions identified on bone scans were not recorded as target, non-target or new lesions. Bone scans were used to direct corroborative imaging with CT/MRI if necessary (these CT/MRI findings were used for RECIST 1.1 evaluation). Bone scan findings alone were not used for the determination of progression per RECIST 1.1.</w:t>
      </w:r>
    </w:p>
    <w:p w:rsidR="00CD7E26" w:rsidRDefault="00CD7E26" w:rsidP="00CD7E26">
      <w:r>
        <w:t>In oncology trials, the occurrence of bone metastases during follow-up, in patients without bone metastases at baseline, is usually detected following the onset of clinical symptoms (e.g. bone pain or fracture). TBS are not normally included in routine follow-up testing in patients without new symptoms. It is not justified to perform a systematic imaging procedure every 16 weeks in all patients included in the METEOR study while this is justified in patients with known bone metastases to measure the size of the metastasis under treatment.</w:t>
      </w:r>
    </w:p>
    <w:p w:rsidR="00CD7E26" w:rsidRDefault="00CD7E26" w:rsidP="00CD7E26">
      <w:r>
        <w:t xml:space="preserve">Over the &gt;36-months of study duration, 15 (2.3%) patients developed bone metastases which were reported as treatment emergent adverse events: 8(2.4%) in the </w:t>
      </w:r>
      <w:proofErr w:type="spellStart"/>
      <w:r>
        <w:t>cabozantinib</w:t>
      </w:r>
      <w:proofErr w:type="spellEnd"/>
      <w:r>
        <w:t xml:space="preserve"> arm and 7 (2.2%) in the </w:t>
      </w:r>
      <w:proofErr w:type="spellStart"/>
      <w:r>
        <w:t>everolimus</w:t>
      </w:r>
      <w:proofErr w:type="spellEnd"/>
      <w:r>
        <w:t xml:space="preserve"> arm. Among these patients, only 4 in the </w:t>
      </w:r>
      <w:proofErr w:type="spellStart"/>
      <w:r>
        <w:t>cabozantinib</w:t>
      </w:r>
      <w:proofErr w:type="spellEnd"/>
      <w:r>
        <w:t xml:space="preserve"> arm and 3 in the </w:t>
      </w:r>
      <w:proofErr w:type="spellStart"/>
      <w:r>
        <w:t>everolimus</w:t>
      </w:r>
      <w:proofErr w:type="spellEnd"/>
      <w:r>
        <w:t xml:space="preserve"> arm had no bone metastasis at study entry and therefore had no repeated bone scan per protocol after randomization. It is unlikely that any investigator would have delayed the imaging procedure in any patient with symptoms suggestive of bone metastasis.</w:t>
      </w:r>
    </w:p>
    <w:p w:rsidR="00CD7E26" w:rsidRDefault="00CD7E26" w:rsidP="00CD7E26">
      <w:r>
        <w:t>Given that there is similar number of patients in both arms who developed bone metastases, even if these events had been reported earlier, this would not have influenced the primary endpoint.</w:t>
      </w:r>
    </w:p>
    <w:p w:rsidR="00CD7E26" w:rsidRDefault="00CD7E26" w:rsidP="00CD7E26">
      <w:r>
        <w:t>In conclusion, a small number of patients have reported new bone or cerebral metastases after the onset of clinical symptoms that have triggered imaging procedures. Given that these events are well balanced between treatment groups, it is unlikely that an earlier detection of these events would have influenced the primary endpoint. A listing of patients with bone metastases in the population of patients without bone metastases at baseline is shown below.</w:t>
      </w:r>
    </w:p>
    <w:p w:rsidR="00CD7E26" w:rsidRDefault="00CD7E26" w:rsidP="00CD7E26">
      <w:pPr>
        <w:pStyle w:val="Tabletitle"/>
      </w:pPr>
      <w:r>
        <w:rPr>
          <w:lang w:eastAsia="en-AU"/>
        </w:rPr>
        <w:t>Table</w:t>
      </w:r>
      <w:r w:rsidR="00DB6CD6">
        <w:rPr>
          <w:lang w:eastAsia="en-AU"/>
        </w:rPr>
        <w:t xml:space="preserve"> 7</w:t>
      </w:r>
      <w:r w:rsidR="00447B66">
        <w:rPr>
          <w:lang w:eastAsia="en-AU"/>
        </w:rPr>
        <w:t>4</w:t>
      </w:r>
      <w:r>
        <w:rPr>
          <w:lang w:eastAsia="en-AU"/>
        </w:rPr>
        <w:t>: Patients with AEs of bone metastases in the population of patients without bone metastases at baseline</w:t>
      </w:r>
    </w:p>
    <w:p w:rsidR="00CD7E26" w:rsidRDefault="00CD7E26" w:rsidP="00CD7E26">
      <w:pPr>
        <w:ind w:left="284"/>
      </w:pPr>
      <w:r>
        <w:rPr>
          <w:noProof/>
          <w:lang w:eastAsia="en-AU"/>
        </w:rPr>
        <w:drawing>
          <wp:inline distT="0" distB="0" distL="0" distR="0" wp14:anchorId="06F58C43" wp14:editId="15129B8B">
            <wp:extent cx="3324225" cy="2623803"/>
            <wp:effectExtent l="0" t="0" r="0" b="5715"/>
            <wp:docPr id="141" name="Picture 141" descr="Patients with AEs of bone metastases in the population of patients without bone metastase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BEBA8EAE-BF5A-486C-A8C5-ECC9F3942E4B}">
                          <a14:imgProps xmlns:a14="http://schemas.microsoft.com/office/drawing/2010/main">
                            <a14:imgLayer r:embed="rId105">
                              <a14:imgEffect>
                                <a14:sharpenSoften amount="50000"/>
                              </a14:imgEffect>
                            </a14:imgLayer>
                          </a14:imgProps>
                        </a:ext>
                      </a:extLst>
                    </a:blip>
                    <a:stretch>
                      <a:fillRect/>
                    </a:stretch>
                  </pic:blipFill>
                  <pic:spPr>
                    <a:xfrm>
                      <a:off x="0" y="0"/>
                      <a:ext cx="3324225" cy="2623803"/>
                    </a:xfrm>
                    <a:prstGeom prst="rect">
                      <a:avLst/>
                    </a:prstGeom>
                  </pic:spPr>
                </pic:pic>
              </a:graphicData>
            </a:graphic>
          </wp:inline>
        </w:drawing>
      </w:r>
    </w:p>
    <w:p w:rsidR="00CD7E26" w:rsidRPr="00166FC4" w:rsidRDefault="00CD7E26" w:rsidP="00166FC4">
      <w:pPr>
        <w:pStyle w:val="Heading5"/>
      </w:pPr>
      <w:r w:rsidRPr="00166FC4">
        <w:t>Evaluator comment</w:t>
      </w:r>
    </w:p>
    <w:p w:rsidR="00CD7E26" w:rsidRPr="007E22D2" w:rsidRDefault="00CD7E26" w:rsidP="00CD7E26">
      <w:r>
        <w:t>The sponsor’s response is accepted.</w:t>
      </w:r>
    </w:p>
    <w:p w:rsidR="00CD7E26" w:rsidRPr="00166FC4" w:rsidRDefault="00CD7E26" w:rsidP="00166FC4">
      <w:pPr>
        <w:pStyle w:val="Heading4"/>
      </w:pPr>
      <w:r w:rsidRPr="00166FC4">
        <w:lastRenderedPageBreak/>
        <w:t xml:space="preserve">Clinical question 4 </w:t>
      </w:r>
      <w:r w:rsidR="005621E0">
        <w:t>e</w:t>
      </w:r>
      <w:r w:rsidRPr="00166FC4">
        <w:t>fficacy</w:t>
      </w:r>
    </w:p>
    <w:p w:rsidR="00CD7E26" w:rsidRDefault="00CD7E26" w:rsidP="00CD7E26">
      <w:pPr>
        <w:rPr>
          <w:lang w:eastAsia="en-AU"/>
        </w:rPr>
      </w:pPr>
      <w:r>
        <w:rPr>
          <w:lang w:eastAsia="en-AU"/>
        </w:rPr>
        <w:t>Please commit to supply mature overall survival data to the TGA as soon as is practical and indicate a time frame for doing so. Please also comment on the impact of additional spending of alpha, due to the unplanned analysis of OS, on the final results.</w:t>
      </w:r>
    </w:p>
    <w:p w:rsidR="00CD7E26" w:rsidRPr="00166FC4" w:rsidRDefault="00CD7E26" w:rsidP="00166FC4">
      <w:pPr>
        <w:pStyle w:val="Heading5"/>
      </w:pPr>
      <w:bookmarkStart w:id="666" w:name="_Ref493745776"/>
      <w:r w:rsidRPr="00166FC4">
        <w:t>Sponsor’s response</w:t>
      </w:r>
    </w:p>
    <w:bookmarkEnd w:id="666"/>
    <w:p w:rsidR="00CD7E26" w:rsidRPr="00FE4284" w:rsidRDefault="00CD7E26" w:rsidP="00CD7E26">
      <w:pPr>
        <w:rPr>
          <w:lang w:eastAsia="en-AU"/>
        </w:rPr>
      </w:pPr>
      <w:r>
        <w:rPr>
          <w:lang w:eastAsia="en-AU"/>
        </w:rPr>
        <w:t>The results of the unplanned second interim analysis of overall survival (OS) in the intent-to-treat population with a data cut-off date of 31 December 2015 was provided in the initial submission to the TGA (XL184-308 CSR Addendum). As with the first interim analysis, the Lan-</w:t>
      </w:r>
      <w:proofErr w:type="spellStart"/>
      <w:r>
        <w:rPr>
          <w:lang w:eastAsia="en-AU"/>
        </w:rPr>
        <w:t>DeMets</w:t>
      </w:r>
      <w:proofErr w:type="spellEnd"/>
      <w:r>
        <w:rPr>
          <w:lang w:eastAsia="en-AU"/>
        </w:rPr>
        <w:t xml:space="preserve"> O’Brien-Fleming alpha spending function specified in the statistical analysis plan was applied to control Type 1 error in this analysis. The critical value for rejecting the null hypothesis was p &lt; 0.0163. The analysis demonstrated a statistically significant difference in duration of OS for subjects in the </w:t>
      </w:r>
      <w:proofErr w:type="spellStart"/>
      <w:r>
        <w:rPr>
          <w:lang w:eastAsia="en-AU"/>
        </w:rPr>
        <w:t>cabozantinib</w:t>
      </w:r>
      <w:proofErr w:type="spellEnd"/>
      <w:r>
        <w:rPr>
          <w:lang w:eastAsia="en-AU"/>
        </w:rPr>
        <w:t xml:space="preserve"> arm compared with the </w:t>
      </w:r>
      <w:proofErr w:type="spellStart"/>
      <w:r>
        <w:rPr>
          <w:lang w:eastAsia="en-AU"/>
        </w:rPr>
        <w:t>everolimus</w:t>
      </w:r>
      <w:proofErr w:type="spellEnd"/>
      <w:r>
        <w:rPr>
          <w:lang w:eastAsia="en-AU"/>
        </w:rPr>
        <w:t xml:space="preserve"> arm: the HR adjusted for stratification factors was 0.67 (95% CI: 0.53, 0.83; stratified </w:t>
      </w:r>
      <w:proofErr w:type="spellStart"/>
      <w:r>
        <w:rPr>
          <w:lang w:eastAsia="en-AU"/>
        </w:rPr>
        <w:t>logrank</w:t>
      </w:r>
      <w:proofErr w:type="spellEnd"/>
      <w:r>
        <w:rPr>
          <w:lang w:eastAsia="en-AU"/>
        </w:rPr>
        <w:t xml:space="preserve"> p-value = 0.0003). Therefore, the null hypothesis was rejected and this analysis was done under rigorous type 1 error control with well-established methods that are specifically designed to accommodate unplanned analyses. </w:t>
      </w:r>
      <w:r w:rsidRPr="00FE4284">
        <w:rPr>
          <w:lang w:eastAsia="en-AU"/>
        </w:rPr>
        <w:t>As such, this is the final statistically-valid analysis of this endpoint.</w:t>
      </w:r>
    </w:p>
    <w:p w:rsidR="00CD7E26" w:rsidRDefault="00CD7E26" w:rsidP="00CD7E26">
      <w:pPr>
        <w:rPr>
          <w:lang w:eastAsia="en-AU"/>
        </w:rPr>
      </w:pPr>
      <w:r>
        <w:rPr>
          <w:lang w:eastAsia="en-AU"/>
        </w:rPr>
        <w:t>The third and final OS analysis has been performed, with a cut-off date of 02 October 2016. Given that the null hypothesis was rejected in the previous unplanned second interim analysis and no type 1 error control method was applied to this analysis, the analysis is considered supplemental, with results purely descriptive.</w:t>
      </w:r>
    </w:p>
    <w:p w:rsidR="00CD7E26" w:rsidRDefault="00CD7E26" w:rsidP="00CD7E26">
      <w:pPr>
        <w:rPr>
          <w:lang w:eastAsia="en-AU"/>
        </w:rPr>
      </w:pPr>
      <w:r>
        <w:rPr>
          <w:lang w:eastAsia="en-AU"/>
        </w:rPr>
        <w:t xml:space="preserve">A copy of the final CSR, which includes updated descriptive OS results, OS by subgroups of demographics and baseline characteristics and updates on subject disposition, NPACT and safety is provided in this response package. This OS analysis confirmed the statistically significant improvement in OS for patients randomised to the </w:t>
      </w:r>
      <w:proofErr w:type="spellStart"/>
      <w:r>
        <w:rPr>
          <w:lang w:eastAsia="en-AU"/>
        </w:rPr>
        <w:t>cabozantinib</w:t>
      </w:r>
      <w:proofErr w:type="spellEnd"/>
      <w:r>
        <w:rPr>
          <w:lang w:eastAsia="en-AU"/>
        </w:rPr>
        <w:t xml:space="preserve"> arm compared with the </w:t>
      </w:r>
      <w:proofErr w:type="spellStart"/>
      <w:r>
        <w:rPr>
          <w:lang w:eastAsia="en-AU"/>
        </w:rPr>
        <w:t>everolimus</w:t>
      </w:r>
      <w:proofErr w:type="spellEnd"/>
      <w:r>
        <w:rPr>
          <w:lang w:eastAsia="en-AU"/>
        </w:rPr>
        <w:t xml:space="preserve"> arm, which was observed during the second interim analysis.</w:t>
      </w:r>
    </w:p>
    <w:p w:rsidR="00CD7E26" w:rsidRPr="00166FC4" w:rsidRDefault="00CD7E26" w:rsidP="00166FC4">
      <w:pPr>
        <w:pStyle w:val="Heading5"/>
      </w:pPr>
      <w:r w:rsidRPr="00166FC4">
        <w:t>Evaluator comment</w:t>
      </w:r>
    </w:p>
    <w:p w:rsidR="00CD7E26" w:rsidRDefault="00CD7E26" w:rsidP="00CD7E26">
      <w:r>
        <w:t>The sponsor’s response is accepted.</w:t>
      </w:r>
    </w:p>
    <w:p w:rsidR="00CD7E26" w:rsidRPr="00166FC4" w:rsidRDefault="00CD7E26" w:rsidP="00166FC4">
      <w:pPr>
        <w:pStyle w:val="Heading4"/>
      </w:pPr>
      <w:r w:rsidRPr="00166FC4">
        <w:t xml:space="preserve">Clinical question 5 </w:t>
      </w:r>
      <w:r w:rsidR="005621E0">
        <w:t>s</w:t>
      </w:r>
      <w:r w:rsidRPr="00166FC4">
        <w:t>afety</w:t>
      </w:r>
    </w:p>
    <w:p w:rsidR="00CD7E26" w:rsidRDefault="00CD7E26" w:rsidP="00CD7E26">
      <w:r>
        <w:t xml:space="preserve">Please provide up to date post-marketing data for </w:t>
      </w:r>
      <w:proofErr w:type="spellStart"/>
      <w:r>
        <w:t>cabozantinib</w:t>
      </w:r>
      <w:proofErr w:type="spellEnd"/>
      <w:r>
        <w:t xml:space="preserve"> form the EU or US particularly indicating any changes to the prescribing information for </w:t>
      </w:r>
      <w:proofErr w:type="spellStart"/>
      <w:r>
        <w:t>Cabometyx</w:t>
      </w:r>
      <w:proofErr w:type="spellEnd"/>
      <w:r>
        <w:t xml:space="preserve"> since approval in either/both jurisdictions.</w:t>
      </w:r>
    </w:p>
    <w:p w:rsidR="00CD7E26" w:rsidRPr="00166FC4" w:rsidRDefault="00CD7E26" w:rsidP="00166FC4">
      <w:pPr>
        <w:pStyle w:val="Heading5"/>
      </w:pPr>
      <w:r w:rsidRPr="00166FC4">
        <w:t>Sponsor’s response</w:t>
      </w:r>
    </w:p>
    <w:p w:rsidR="00CD7E26" w:rsidRDefault="00CD7E26" w:rsidP="00CD7E26">
      <w:pPr>
        <w:rPr>
          <w:lang w:eastAsia="en-AU"/>
        </w:rPr>
      </w:pPr>
      <w:r>
        <w:rPr>
          <w:lang w:eastAsia="en-AU"/>
        </w:rPr>
        <w:t xml:space="preserve">The most recent EU PSUR with a DLP of 28th Nov 2016 is provided in Module 5.3.6 as requested for </w:t>
      </w:r>
      <w:proofErr w:type="spellStart"/>
      <w:r>
        <w:rPr>
          <w:lang w:eastAsia="en-AU"/>
        </w:rPr>
        <w:t>cabometyx</w:t>
      </w:r>
      <w:proofErr w:type="spellEnd"/>
      <w:r>
        <w:rPr>
          <w:lang w:eastAsia="en-AU"/>
        </w:rPr>
        <w:t xml:space="preserve">. Please note that this PSUR also includes the </w:t>
      </w:r>
      <w:proofErr w:type="spellStart"/>
      <w:r>
        <w:rPr>
          <w:lang w:eastAsia="en-AU"/>
        </w:rPr>
        <w:t>Cometriq</w:t>
      </w:r>
      <w:proofErr w:type="spellEnd"/>
      <w:r>
        <w:rPr>
          <w:lang w:eastAsia="en-AU"/>
        </w:rPr>
        <w:t xml:space="preserve"> capsules marketed in Europe but not proposed for registration in Australia.</w:t>
      </w:r>
    </w:p>
    <w:p w:rsidR="00CD7E26" w:rsidRPr="00166FC4" w:rsidRDefault="00CD7E26" w:rsidP="00166FC4">
      <w:pPr>
        <w:pStyle w:val="Heading5"/>
      </w:pPr>
      <w:r w:rsidRPr="00166FC4">
        <w:t>Evaluator comment</w:t>
      </w:r>
    </w:p>
    <w:p w:rsidR="00CD7E26" w:rsidRDefault="00CD7E26" w:rsidP="00CD7E26">
      <w:r w:rsidRPr="002663D9">
        <w:t xml:space="preserve">The </w:t>
      </w:r>
      <w:r>
        <w:t>s</w:t>
      </w:r>
      <w:r w:rsidRPr="002663D9">
        <w:t>ponsor’s response is accepted.</w:t>
      </w:r>
    </w:p>
    <w:p w:rsidR="00CD7E26" w:rsidRPr="00166FC4" w:rsidRDefault="00CD7E26" w:rsidP="00166FC4">
      <w:pPr>
        <w:pStyle w:val="Heading4"/>
      </w:pPr>
      <w:r w:rsidRPr="00166FC4">
        <w:t>Clinical question 6 PI/CMI</w:t>
      </w:r>
    </w:p>
    <w:p w:rsidR="00CD7E26" w:rsidRPr="003C0284" w:rsidRDefault="00CD7E26" w:rsidP="00CD7E26">
      <w:pPr>
        <w:rPr>
          <w:lang w:eastAsia="en-AU"/>
        </w:rPr>
      </w:pPr>
      <w:r>
        <w:rPr>
          <w:lang w:eastAsia="en-AU"/>
        </w:rPr>
        <w:t>The indication should be amended to: the treatment of advanced renal cell carcinoma in adults following prior treatment with vascular endothelial growth factor targeted therapy.</w:t>
      </w:r>
    </w:p>
    <w:p w:rsidR="00CD7E26" w:rsidRPr="00166FC4" w:rsidRDefault="00CD7E26" w:rsidP="00166FC4">
      <w:pPr>
        <w:pStyle w:val="Heading5"/>
      </w:pPr>
      <w:r w:rsidRPr="00166FC4">
        <w:t>Sponsor’s response</w:t>
      </w:r>
    </w:p>
    <w:p w:rsidR="00CD7E26" w:rsidRDefault="00CD7E26" w:rsidP="00CD7E26">
      <w:pPr>
        <w:rPr>
          <w:lang w:eastAsia="en-AU"/>
        </w:rPr>
      </w:pPr>
      <w:r>
        <w:rPr>
          <w:lang w:eastAsia="en-AU"/>
        </w:rPr>
        <w:t>Indication has been amended as recommended</w:t>
      </w:r>
      <w:r w:rsidRPr="003C0284">
        <w:rPr>
          <w:lang w:eastAsia="en-AU"/>
        </w:rPr>
        <w:t>.</w:t>
      </w:r>
    </w:p>
    <w:p w:rsidR="00CD7E26" w:rsidRPr="00AD380B" w:rsidRDefault="00CD7E26" w:rsidP="00AD380B">
      <w:pPr>
        <w:pStyle w:val="Heading5"/>
      </w:pPr>
      <w:r w:rsidRPr="00AD380B">
        <w:lastRenderedPageBreak/>
        <w:t>Evaluator comment</w:t>
      </w:r>
    </w:p>
    <w:p w:rsidR="00CD7E26" w:rsidRPr="00F26F3B" w:rsidRDefault="00CD7E26" w:rsidP="00CD7E26">
      <w:r w:rsidRPr="002663D9">
        <w:t xml:space="preserve">The </w:t>
      </w:r>
      <w:r>
        <w:t>s</w:t>
      </w:r>
      <w:r w:rsidRPr="002663D9">
        <w:t>ponsor’s response is accepted.</w:t>
      </w:r>
    </w:p>
    <w:p w:rsidR="00CD7E26" w:rsidRPr="002663D9" w:rsidRDefault="00CD7E26" w:rsidP="00CD7E26">
      <w:pPr>
        <w:pStyle w:val="Heading3"/>
        <w:numPr>
          <w:ilvl w:val="1"/>
          <w:numId w:val="29"/>
        </w:numPr>
        <w:ind w:left="907" w:hanging="794"/>
      </w:pPr>
      <w:bookmarkStart w:id="667" w:name="_Ref493775697"/>
      <w:bookmarkStart w:id="668" w:name="_Toc520879829"/>
      <w:bookmarkStart w:id="669" w:name="_Toc531776274"/>
      <w:r>
        <w:t>C</w:t>
      </w:r>
      <w:r w:rsidRPr="002663D9">
        <w:t xml:space="preserve">linical study report (CSR) </w:t>
      </w:r>
      <w:r>
        <w:t xml:space="preserve">Addendum 2 </w:t>
      </w:r>
      <w:r w:rsidRPr="002663D9">
        <w:t xml:space="preserve">for </w:t>
      </w:r>
      <w:r>
        <w:t>S</w:t>
      </w:r>
      <w:r w:rsidRPr="002663D9">
        <w:t>tudy XL184-308</w:t>
      </w:r>
      <w:bookmarkEnd w:id="667"/>
      <w:bookmarkEnd w:id="668"/>
      <w:bookmarkEnd w:id="669"/>
      <w:r w:rsidRPr="002663D9">
        <w:t xml:space="preserve"> </w:t>
      </w:r>
    </w:p>
    <w:p w:rsidR="00CD7E26" w:rsidRDefault="00CD7E26" w:rsidP="00CD7E26">
      <w:r>
        <w:t>Per the sponsor’s response to Clinical question 4, the follow-up analysis of OS has been provided in the form of the second addendum clinical study report (CSR) for study XL</w:t>
      </w:r>
      <w:r w:rsidRPr="001B7893">
        <w:t>184</w:t>
      </w:r>
      <w:r>
        <w:t>-308.</w:t>
      </w:r>
    </w:p>
    <w:p w:rsidR="00CD7E26" w:rsidRPr="00CC6343" w:rsidRDefault="00CD7E26" w:rsidP="00CD7E26">
      <w:r>
        <w:t xml:space="preserve">PFS was the primary endpoint in Study XL184-308. </w:t>
      </w:r>
      <w:r w:rsidRPr="00CC6343">
        <w:t xml:space="preserve">Results for PFS and ORR </w:t>
      </w:r>
      <w:r>
        <w:t>and two interim OS analyses (the first pre-planned, the second unplanned) have been reported in previous CSR and addendum.</w:t>
      </w:r>
      <w:r w:rsidRPr="00CC6343">
        <w:t xml:space="preserve"> </w:t>
      </w:r>
      <w:r>
        <w:t>The</w:t>
      </w:r>
      <w:r w:rsidRPr="00CC6343">
        <w:t xml:space="preserve"> unplanned second interim analysis for OS </w:t>
      </w:r>
      <w:r>
        <w:t>resulted in rejection of the</w:t>
      </w:r>
      <w:r w:rsidRPr="00CC6343">
        <w:t xml:space="preserve"> null hypothesis </w:t>
      </w:r>
      <w:r>
        <w:t>and</w:t>
      </w:r>
      <w:r w:rsidRPr="00CC6343">
        <w:t xml:space="preserve"> was considered the final analysis. </w:t>
      </w:r>
      <w:r>
        <w:t>However, a</w:t>
      </w:r>
      <w:r w:rsidRPr="00CC6343">
        <w:t xml:space="preserve"> follow-up analysis of OS </w:t>
      </w:r>
      <w:r>
        <w:t>has been</w:t>
      </w:r>
      <w:r w:rsidRPr="00CC6343">
        <w:t xml:space="preserve"> performed after 100% of the predetermined events per protocol were reached</w:t>
      </w:r>
      <w:r>
        <w:t xml:space="preserve">. The </w:t>
      </w:r>
      <w:r w:rsidRPr="00CC6343">
        <w:t xml:space="preserve">results of that </w:t>
      </w:r>
      <w:r>
        <w:t>OS analysis, as well as safety data throu</w:t>
      </w:r>
      <w:r w:rsidR="00AD380B">
        <w:t xml:space="preserve">gh to the data cut-off date of </w:t>
      </w:r>
      <w:r>
        <w:t xml:space="preserve">2 October 2016, </w:t>
      </w:r>
      <w:r w:rsidRPr="00CC6343">
        <w:t xml:space="preserve">are reported in </w:t>
      </w:r>
      <w:r>
        <w:t>‘A</w:t>
      </w:r>
      <w:r w:rsidRPr="00CC6343">
        <w:t>ddendum</w:t>
      </w:r>
      <w:r>
        <w:t xml:space="preserve"> 2’</w:t>
      </w:r>
      <w:r w:rsidR="00AD380B">
        <w:t>.</w:t>
      </w:r>
    </w:p>
    <w:p w:rsidR="00CD7E26" w:rsidRDefault="00CD7E26" w:rsidP="00CD7E26">
      <w:r>
        <w:t xml:space="preserve">Efficacy: the follow-up OS result confirms the previous OS results but as described by the sponsor is considered purely descriptive as the final statistically valid finding was that of the second (unplanned) analysis. </w:t>
      </w:r>
    </w:p>
    <w:p w:rsidR="00CD7E26" w:rsidRDefault="00CD7E26" w:rsidP="00CD7E26">
      <w:r>
        <w:t>The results are reported by the sponsor as follows in their table:</w:t>
      </w:r>
    </w:p>
    <w:p w:rsidR="00CD7E26" w:rsidRDefault="00CD7E26" w:rsidP="00CD7E26">
      <w:pPr>
        <w:pStyle w:val="Tabletitle"/>
      </w:pPr>
      <w:r>
        <w:t>Table</w:t>
      </w:r>
      <w:r w:rsidR="00DB6CD6">
        <w:t xml:space="preserve"> 7</w:t>
      </w:r>
      <w:r w:rsidR="00447B66">
        <w:t>5</w:t>
      </w:r>
      <w:r>
        <w:t>: Follow-up analysis of overall survival through the 2 October 2016 cut-off date (ITT population)</w:t>
      </w:r>
    </w:p>
    <w:p w:rsidR="00CD7E26" w:rsidRDefault="00CD7E26" w:rsidP="00CD7E26">
      <w:pPr>
        <w:rPr>
          <w:rFonts w:ascii="Times New Roman" w:eastAsiaTheme="minorHAnsi" w:hAnsi="Times New Roman"/>
          <w:color w:val="000000"/>
          <w:sz w:val="21"/>
          <w:szCs w:val="21"/>
        </w:rPr>
      </w:pPr>
      <w:r>
        <w:rPr>
          <w:noProof/>
          <w:lang w:eastAsia="en-AU"/>
        </w:rPr>
        <w:drawing>
          <wp:inline distT="0" distB="0" distL="0" distR="0" wp14:anchorId="05E5D5A1" wp14:editId="5D412275">
            <wp:extent cx="5181600" cy="3257096"/>
            <wp:effectExtent l="0" t="0" r="0" b="635"/>
            <wp:docPr id="152" name="Picture 152" descr="Follow-up analysis of overall survival through the 2 October 2016 cut-off dat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extLst>
                        <a:ext uri="{BEBA8EAE-BF5A-486C-A8C5-ECC9F3942E4B}">
                          <a14:imgProps xmlns:a14="http://schemas.microsoft.com/office/drawing/2010/main">
                            <a14:imgLayer r:embed="rId107">
                              <a14:imgEffect>
                                <a14:sharpenSoften amount="50000"/>
                              </a14:imgEffect>
                            </a14:imgLayer>
                          </a14:imgProps>
                        </a:ext>
                      </a:extLst>
                    </a:blip>
                    <a:srcRect t="8817" b="5152"/>
                    <a:stretch/>
                  </pic:blipFill>
                  <pic:spPr bwMode="auto">
                    <a:xfrm>
                      <a:off x="0" y="0"/>
                      <a:ext cx="5179906" cy="3256031"/>
                    </a:xfrm>
                    <a:prstGeom prst="rect">
                      <a:avLst/>
                    </a:prstGeom>
                    <a:ln>
                      <a:noFill/>
                    </a:ln>
                    <a:extLst>
                      <a:ext uri="{53640926-AAD7-44D8-BBD7-CCE9431645EC}">
                        <a14:shadowObscured xmlns:a14="http://schemas.microsoft.com/office/drawing/2010/main"/>
                      </a:ext>
                    </a:extLst>
                  </pic:spPr>
                </pic:pic>
              </a:graphicData>
            </a:graphic>
          </wp:inline>
        </w:drawing>
      </w:r>
    </w:p>
    <w:p w:rsidR="00CD7E26" w:rsidRDefault="00CD7E26" w:rsidP="00CD7E26">
      <w:r>
        <w:t>The different results for OS at each of the three analyses is summarised in sponsor’s table below:</w:t>
      </w:r>
    </w:p>
    <w:p w:rsidR="00CD7E26" w:rsidRPr="005B124A" w:rsidRDefault="00CD7E26" w:rsidP="00CD7E26">
      <w:pPr>
        <w:pStyle w:val="Tabletitle"/>
      </w:pPr>
      <w:r>
        <w:lastRenderedPageBreak/>
        <w:t xml:space="preserve">Table </w:t>
      </w:r>
      <w:r w:rsidR="00DB6CD6">
        <w:t>7</w:t>
      </w:r>
      <w:r w:rsidR="00447B66">
        <w:t>6</w:t>
      </w:r>
      <w:r w:rsidR="00DB6CD6">
        <w:t xml:space="preserve">: </w:t>
      </w:r>
      <w:r>
        <w:t>Overall survival at each information fraction</w:t>
      </w:r>
    </w:p>
    <w:p w:rsidR="00CD7E26" w:rsidRPr="005B124A" w:rsidRDefault="00CD7E26" w:rsidP="00CD7E26">
      <w:r>
        <w:rPr>
          <w:noProof/>
          <w:lang w:eastAsia="en-AU"/>
        </w:rPr>
        <w:drawing>
          <wp:inline distT="0" distB="0" distL="0" distR="0" wp14:anchorId="26D3B959" wp14:editId="237A52D1">
            <wp:extent cx="5149850" cy="1915886"/>
            <wp:effectExtent l="0" t="0" r="0" b="8255"/>
            <wp:docPr id="153" name="Picture 153" descr="Overall survival at each information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extLst>
                        <a:ext uri="{BEBA8EAE-BF5A-486C-A8C5-ECC9F3942E4B}">
                          <a14:imgProps xmlns:a14="http://schemas.microsoft.com/office/drawing/2010/main">
                            <a14:imgLayer r:embed="rId109">
                              <a14:imgEffect>
                                <a14:sharpenSoften amount="50000"/>
                              </a14:imgEffect>
                            </a14:imgLayer>
                          </a14:imgProps>
                        </a:ext>
                      </a:extLst>
                    </a:blip>
                    <a:srcRect t="9383" b="10714"/>
                    <a:stretch/>
                  </pic:blipFill>
                  <pic:spPr bwMode="auto">
                    <a:xfrm>
                      <a:off x="0" y="0"/>
                      <a:ext cx="5164439" cy="1921314"/>
                    </a:xfrm>
                    <a:prstGeom prst="rect">
                      <a:avLst/>
                    </a:prstGeom>
                    <a:ln>
                      <a:noFill/>
                    </a:ln>
                    <a:extLst>
                      <a:ext uri="{53640926-AAD7-44D8-BBD7-CCE9431645EC}">
                        <a14:shadowObscured xmlns:a14="http://schemas.microsoft.com/office/drawing/2010/main"/>
                      </a:ext>
                    </a:extLst>
                  </pic:spPr>
                </pic:pic>
              </a:graphicData>
            </a:graphic>
          </wp:inline>
        </w:drawing>
      </w:r>
    </w:p>
    <w:p w:rsidR="00CD7E26" w:rsidRDefault="00CD7E26" w:rsidP="00CD7E26">
      <w:r>
        <w:t>Post-progression non-protocol therapies are summarised in sponsor’s table:</w:t>
      </w:r>
    </w:p>
    <w:p w:rsidR="00CD7E26" w:rsidRDefault="00CD7E26" w:rsidP="00CD7E26">
      <w:pPr>
        <w:pStyle w:val="Tabletitle"/>
      </w:pPr>
      <w:r>
        <w:t>Table</w:t>
      </w:r>
      <w:r w:rsidR="00DB6CD6">
        <w:t xml:space="preserve"> 7</w:t>
      </w:r>
      <w:r w:rsidR="00447B66">
        <w:t>7</w:t>
      </w:r>
      <w:r w:rsidR="00DB6CD6">
        <w:t>:</w:t>
      </w:r>
      <w:r>
        <w:t xml:space="preserve"> Systemic non-protocol anticancer therapies (ITT population)</w:t>
      </w:r>
    </w:p>
    <w:p w:rsidR="00CD7E26" w:rsidRDefault="00CD7E26" w:rsidP="00CD7E26">
      <w:pPr>
        <w:rPr>
          <w:rFonts w:ascii="Times New Roman" w:eastAsiaTheme="minorHAnsi" w:hAnsi="Times New Roman"/>
          <w:color w:val="000000"/>
          <w:sz w:val="21"/>
          <w:szCs w:val="21"/>
        </w:rPr>
      </w:pPr>
      <w:r>
        <w:rPr>
          <w:noProof/>
          <w:lang w:eastAsia="en-AU"/>
        </w:rPr>
        <w:drawing>
          <wp:inline distT="0" distB="0" distL="0" distR="0" wp14:anchorId="26C7DA58" wp14:editId="5C102135">
            <wp:extent cx="5173798" cy="5246915"/>
            <wp:effectExtent l="0" t="0" r="8255" b="0"/>
            <wp:docPr id="154" name="Picture 154" descr="Systemic non-protocol anticancer therapi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extLst>
                        <a:ext uri="{BEBA8EAE-BF5A-486C-A8C5-ECC9F3942E4B}">
                          <a14:imgProps xmlns:a14="http://schemas.microsoft.com/office/drawing/2010/main">
                            <a14:imgLayer r:embed="rId111">
                              <a14:imgEffect>
                                <a14:sharpenSoften amount="50000"/>
                              </a14:imgEffect>
                            </a14:imgLayer>
                          </a14:imgProps>
                        </a:ext>
                      </a:extLst>
                    </a:blip>
                    <a:srcRect t="3614" b="3051"/>
                    <a:stretch/>
                  </pic:blipFill>
                  <pic:spPr bwMode="auto">
                    <a:xfrm>
                      <a:off x="0" y="0"/>
                      <a:ext cx="5167885" cy="5240918"/>
                    </a:xfrm>
                    <a:prstGeom prst="rect">
                      <a:avLst/>
                    </a:prstGeom>
                    <a:ln>
                      <a:noFill/>
                    </a:ln>
                    <a:extLst>
                      <a:ext uri="{53640926-AAD7-44D8-BBD7-CCE9431645EC}">
                        <a14:shadowObscured xmlns:a14="http://schemas.microsoft.com/office/drawing/2010/main"/>
                      </a:ext>
                    </a:extLst>
                  </pic:spPr>
                </pic:pic>
              </a:graphicData>
            </a:graphic>
          </wp:inline>
        </w:drawing>
      </w:r>
    </w:p>
    <w:p w:rsidR="00CD7E26" w:rsidRDefault="00CD7E26" w:rsidP="00CD7E26">
      <w:r>
        <w:t>Updated safety results are summarised by the sponsor as follows:</w:t>
      </w:r>
    </w:p>
    <w:p w:rsidR="00CD7E26" w:rsidRPr="005B397A" w:rsidRDefault="00CD7E26" w:rsidP="00CD7E26">
      <w:r w:rsidRPr="005B397A">
        <w:t xml:space="preserve">As of the data </w:t>
      </w:r>
      <w:r>
        <w:t xml:space="preserve">cut-off </w:t>
      </w:r>
      <w:r w:rsidRPr="005B397A">
        <w:t xml:space="preserve">for the CSR (22 May 2015), 133 subjects (40%) remained on </w:t>
      </w:r>
      <w:proofErr w:type="spellStart"/>
      <w:r w:rsidRPr="005B397A">
        <w:t>cabozantinib</w:t>
      </w:r>
      <w:proofErr w:type="spellEnd"/>
      <w:r w:rsidRPr="005B397A">
        <w:t xml:space="preserve"> treatment compared to 67 subjects (21%) in the </w:t>
      </w:r>
      <w:proofErr w:type="spellStart"/>
      <w:r w:rsidRPr="005B397A">
        <w:t>everolimus</w:t>
      </w:r>
      <w:proofErr w:type="spellEnd"/>
      <w:r w:rsidRPr="005B397A">
        <w:t xml:space="preserve"> arm. As of the data </w:t>
      </w:r>
      <w:r>
        <w:t xml:space="preserve">cut-off </w:t>
      </w:r>
      <w:r w:rsidRPr="005B397A">
        <w:t xml:space="preserve">for this </w:t>
      </w:r>
      <w:r w:rsidRPr="005B397A">
        <w:lastRenderedPageBreak/>
        <w:t xml:space="preserve">addendum (02 October 2016), 36 subjects (11%) remained on </w:t>
      </w:r>
      <w:proofErr w:type="spellStart"/>
      <w:r w:rsidRPr="005B397A">
        <w:t>cabozantinib</w:t>
      </w:r>
      <w:proofErr w:type="spellEnd"/>
      <w:r w:rsidRPr="005B397A">
        <w:t xml:space="preserve"> treatment compared to 8 subjects (2.5%) in the </w:t>
      </w:r>
      <w:proofErr w:type="spellStart"/>
      <w:r w:rsidRPr="005B397A">
        <w:t>everolimus</w:t>
      </w:r>
      <w:proofErr w:type="spellEnd"/>
      <w:r w:rsidRPr="005B397A">
        <w:t xml:space="preserve"> arm. Data for both arms is presented for reference, but in general, direct comparisons are not made due to the differ</w:t>
      </w:r>
      <w:r w:rsidR="00AD380B">
        <w:t>ences in exposure between arms.</w:t>
      </w:r>
    </w:p>
    <w:p w:rsidR="00CD7E26" w:rsidRPr="005B397A" w:rsidRDefault="00CD7E26" w:rsidP="00CD7E26">
      <w:r w:rsidRPr="005B397A">
        <w:t xml:space="preserve">Based on subject disposition, low rates of study treatment discontinuations due to AEs (excluding AEs of disease progression) were observed in both treatment arms (13% </w:t>
      </w:r>
      <w:proofErr w:type="spellStart"/>
      <w:r w:rsidRPr="005B397A">
        <w:t>cabozanti</w:t>
      </w:r>
      <w:r w:rsidR="00AD380B">
        <w:t>nib</w:t>
      </w:r>
      <w:proofErr w:type="spellEnd"/>
      <w:r w:rsidR="00AD380B">
        <w:t xml:space="preserve">, 11% </w:t>
      </w:r>
      <w:proofErr w:type="spellStart"/>
      <w:r w:rsidR="00AD380B">
        <w:t>everolimus</w:t>
      </w:r>
      <w:proofErr w:type="spellEnd"/>
      <w:r w:rsidR="00AD380B">
        <w:t>).</w:t>
      </w:r>
    </w:p>
    <w:p w:rsidR="00CD7E26" w:rsidRPr="005B397A" w:rsidRDefault="00CD7E26" w:rsidP="00CD7E26">
      <w:r w:rsidRPr="005B397A">
        <w:t xml:space="preserve">The median duration of exposure was 36 weeks for the </w:t>
      </w:r>
      <w:proofErr w:type="spellStart"/>
      <w:r w:rsidRPr="005B397A">
        <w:t>cabozantinib</w:t>
      </w:r>
      <w:proofErr w:type="spellEnd"/>
      <w:r w:rsidRPr="005B397A">
        <w:t xml:space="preserve"> arm and 19 weeks for the </w:t>
      </w:r>
      <w:proofErr w:type="spellStart"/>
      <w:r w:rsidRPr="005B397A">
        <w:t>everolimus</w:t>
      </w:r>
      <w:proofErr w:type="spellEnd"/>
      <w:r w:rsidRPr="005B397A">
        <w:t xml:space="preserve"> arm. The mean duration of exposure was 49 weeks in the </w:t>
      </w:r>
      <w:proofErr w:type="spellStart"/>
      <w:r w:rsidRPr="005B397A">
        <w:t>cabozantinib</w:t>
      </w:r>
      <w:proofErr w:type="spellEnd"/>
      <w:r w:rsidRPr="005B397A">
        <w:t xml:space="preserve"> arm compared with 30 weeks in the </w:t>
      </w:r>
      <w:proofErr w:type="spellStart"/>
      <w:r w:rsidRPr="005B397A">
        <w:t>everolimus</w:t>
      </w:r>
      <w:proofErr w:type="spellEnd"/>
      <w:r w:rsidRPr="005B397A">
        <w:t xml:space="preserve"> arm. The median daily dose (intensity) of </w:t>
      </w:r>
      <w:proofErr w:type="spellStart"/>
      <w:r w:rsidRPr="005B397A">
        <w:t>cabozantinib</w:t>
      </w:r>
      <w:proofErr w:type="spellEnd"/>
      <w:r w:rsidRPr="005B397A">
        <w:t xml:space="preserve"> was 43 mg (71%) and that </w:t>
      </w:r>
      <w:r w:rsidR="00AD380B">
        <w:t xml:space="preserve">of </w:t>
      </w:r>
      <w:proofErr w:type="spellStart"/>
      <w:r w:rsidR="00AD380B">
        <w:t>everolimus</w:t>
      </w:r>
      <w:proofErr w:type="spellEnd"/>
      <w:r w:rsidR="00AD380B">
        <w:t xml:space="preserve"> was 9.1 mg (90%).</w:t>
      </w:r>
    </w:p>
    <w:p w:rsidR="00CD7E26" w:rsidRPr="005B397A" w:rsidRDefault="00CD7E26" w:rsidP="00CD7E26">
      <w:r w:rsidRPr="005B397A">
        <w:t xml:space="preserve">The overall incidence of AEs was similar in both treatment arms. The incidence of Grade 3 or 4 AEs regardless of causality was higher in the </w:t>
      </w:r>
      <w:proofErr w:type="spellStart"/>
      <w:r w:rsidRPr="005B397A">
        <w:t>cabozantinib</w:t>
      </w:r>
      <w:proofErr w:type="spellEnd"/>
      <w:r w:rsidRPr="005B397A">
        <w:t xml:space="preserve"> arm (71%</w:t>
      </w:r>
      <w:r>
        <w:t xml:space="preserve"> versus </w:t>
      </w:r>
      <w:r w:rsidRPr="005B397A">
        <w:t xml:space="preserve">61%) mainly due to a higher incidence of hypertension, </w:t>
      </w:r>
      <w:proofErr w:type="spellStart"/>
      <w:r w:rsidRPr="005B397A">
        <w:t>diarrhea</w:t>
      </w:r>
      <w:proofErr w:type="spellEnd"/>
      <w:r w:rsidRPr="005B397A">
        <w:t xml:space="preserve">, and palmar-plantar </w:t>
      </w:r>
      <w:proofErr w:type="spellStart"/>
      <w:r w:rsidRPr="005B397A">
        <w:t>erythrodysesthesia</w:t>
      </w:r>
      <w:proofErr w:type="spellEnd"/>
      <w:r w:rsidRPr="005B397A">
        <w:t xml:space="preserve"> syndrome. However, the incidence of Grade 4 AEs (8.2%, 8.7%) and Grade 5 AEs (9.4%,</w:t>
      </w:r>
      <w:r w:rsidR="00AD380B">
        <w:t xml:space="preserve"> 8.1%) was similar in each arm.</w:t>
      </w:r>
    </w:p>
    <w:p w:rsidR="00CD7E26" w:rsidRPr="005B397A" w:rsidRDefault="00CD7E26" w:rsidP="00CD7E26">
      <w:r w:rsidRPr="005B397A">
        <w:t>The incidence of SAEs was also similar for both treatment arms (49%</w:t>
      </w:r>
      <w:r w:rsidR="00AD380B">
        <w:t xml:space="preserve"> </w:t>
      </w:r>
      <w:proofErr w:type="spellStart"/>
      <w:r w:rsidR="00AD380B">
        <w:t>cabozantinib</w:t>
      </w:r>
      <w:proofErr w:type="spellEnd"/>
      <w:r w:rsidR="00AD380B">
        <w:t xml:space="preserve">, 48% </w:t>
      </w:r>
      <w:proofErr w:type="spellStart"/>
      <w:r w:rsidR="00AD380B">
        <w:t>everolimus</w:t>
      </w:r>
      <w:proofErr w:type="spellEnd"/>
      <w:r w:rsidR="00AD380B">
        <w:t>).</w:t>
      </w:r>
    </w:p>
    <w:p w:rsidR="00CD7E26" w:rsidRPr="005B397A" w:rsidRDefault="00CD7E26" w:rsidP="00CD7E26">
      <w:r w:rsidRPr="005B397A">
        <w:t xml:space="preserve">The overall death rate was lower in the </w:t>
      </w:r>
      <w:proofErr w:type="spellStart"/>
      <w:r w:rsidRPr="005B397A">
        <w:t>cabozantinib</w:t>
      </w:r>
      <w:proofErr w:type="spellEnd"/>
      <w:r w:rsidRPr="005B397A">
        <w:t xml:space="preserve"> arm (199 subjects [60%]) than the </w:t>
      </w:r>
      <w:proofErr w:type="spellStart"/>
      <w:r w:rsidRPr="005B397A">
        <w:t>everolimus</w:t>
      </w:r>
      <w:proofErr w:type="spellEnd"/>
      <w:r w:rsidRPr="005B397A">
        <w:t xml:space="preserve"> arm (227 subjects [70%]). There were 21 deaths (6.3%) in the </w:t>
      </w:r>
      <w:proofErr w:type="spellStart"/>
      <w:r w:rsidRPr="005B397A">
        <w:t>cabozantinib</w:t>
      </w:r>
      <w:proofErr w:type="spellEnd"/>
      <w:r w:rsidRPr="005B397A">
        <w:t xml:space="preserve"> arm and 23 (7.1%) in the </w:t>
      </w:r>
      <w:proofErr w:type="spellStart"/>
      <w:r w:rsidRPr="005B397A">
        <w:t>everolimus</w:t>
      </w:r>
      <w:proofErr w:type="spellEnd"/>
      <w:r w:rsidRPr="005B397A">
        <w:t xml:space="preserve"> arm through 30 days after the last dose of study drug, and there were 178 deaths (54%) in the </w:t>
      </w:r>
      <w:proofErr w:type="spellStart"/>
      <w:r w:rsidRPr="005B397A">
        <w:t>cabozantinib</w:t>
      </w:r>
      <w:proofErr w:type="spellEnd"/>
      <w:r w:rsidRPr="005B397A">
        <w:t xml:space="preserve"> arm and 204 (63%) in the </w:t>
      </w:r>
      <w:proofErr w:type="spellStart"/>
      <w:r w:rsidRPr="005B397A">
        <w:t>everolimus</w:t>
      </w:r>
      <w:proofErr w:type="spellEnd"/>
      <w:r w:rsidRPr="005B397A">
        <w:t xml:space="preserve"> arm greater than 30 days after last dose of study drug. The majority of deaths were due to PD in both study arms. Causes of death other than PD were reported for 9 subjects (2.7%) in the </w:t>
      </w:r>
      <w:proofErr w:type="spellStart"/>
      <w:r w:rsidRPr="005B397A">
        <w:t>cabozantinib</w:t>
      </w:r>
      <w:proofErr w:type="spellEnd"/>
      <w:r w:rsidRPr="005B397A">
        <w:t xml:space="preserve"> arm and 12 subjects (3.7%) in the </w:t>
      </w:r>
      <w:proofErr w:type="spellStart"/>
      <w:r w:rsidRPr="005B397A">
        <w:t>everolimus</w:t>
      </w:r>
      <w:proofErr w:type="spellEnd"/>
      <w:r w:rsidRPr="005B397A">
        <w:t xml:space="preserve"> arm through 30 days after the last dose; the causes of death varied between treatment arms and multiple causes may have contributed to individual deaths including </w:t>
      </w:r>
      <w:proofErr w:type="spellStart"/>
      <w:r w:rsidRPr="005B397A">
        <w:t>preexisting</w:t>
      </w:r>
      <w:proofErr w:type="spellEnd"/>
      <w:r w:rsidRPr="005B397A">
        <w:t xml:space="preserve"> comorbidities and cancer-related complications. </w:t>
      </w:r>
    </w:p>
    <w:p w:rsidR="00CD7E26" w:rsidRPr="005B397A" w:rsidRDefault="00CD7E26" w:rsidP="00CD7E26">
      <w:r w:rsidRPr="005B397A">
        <w:t xml:space="preserve">A total of 21 subjects (6.3%) in the cabozantinib arm and 23 subjects (7.1%) in the everolimus arm experienced Grade 5 AEs through 30 days after the last dose of study treatment. Of these subjects, 6 subjects in the cabozantinib arm and 0 subjects in the everolimus arm experienced Grade 5 AEs after the CSR data </w:t>
      </w:r>
      <w:r>
        <w:t xml:space="preserve">cut-off </w:t>
      </w:r>
      <w:r w:rsidR="00AD380B">
        <w:t>date (22 May 2016).</w:t>
      </w:r>
    </w:p>
    <w:p w:rsidR="00CD7E26" w:rsidRPr="005B397A" w:rsidRDefault="00CD7E26" w:rsidP="00CD7E26">
      <w:r w:rsidRPr="005B397A">
        <w:t>Overall the observed AEs in both treatment arms were consistent with the known safety profiles for each agent in patients with advanced RCC and reflected class-specific mechanisms of action.</w:t>
      </w:r>
    </w:p>
    <w:p w:rsidR="00CD7E26" w:rsidRPr="00AD380B" w:rsidRDefault="00CD7E26" w:rsidP="00AD380B">
      <w:pPr>
        <w:pStyle w:val="Heading5"/>
      </w:pPr>
      <w:r w:rsidRPr="00AD380B">
        <w:t>Evaluator comment</w:t>
      </w:r>
    </w:p>
    <w:p w:rsidR="00CD7E26" w:rsidRPr="005B397A" w:rsidRDefault="00CD7E26" w:rsidP="00CD7E26">
      <w:r>
        <w:t>The updated report does not present significant changes to efficacy or safety findings.</w:t>
      </w:r>
    </w:p>
    <w:p w:rsidR="00CD7E26" w:rsidRDefault="00CD7E26" w:rsidP="00CD7E26">
      <w:pPr>
        <w:pStyle w:val="Heading2"/>
        <w:numPr>
          <w:ilvl w:val="0"/>
          <w:numId w:val="29"/>
        </w:numPr>
      </w:pPr>
      <w:bookmarkStart w:id="670" w:name="_Toc520879830"/>
      <w:bookmarkStart w:id="671" w:name="_Toc531776275"/>
      <w:r>
        <w:t>Second round benefit-risk assessment</w:t>
      </w:r>
      <w:bookmarkEnd w:id="670"/>
      <w:bookmarkEnd w:id="671"/>
    </w:p>
    <w:p w:rsidR="00CD7E26" w:rsidRPr="00500C5C" w:rsidRDefault="00CD7E26" w:rsidP="00CD7E26">
      <w:pPr>
        <w:pStyle w:val="Heading3"/>
        <w:numPr>
          <w:ilvl w:val="1"/>
          <w:numId w:val="29"/>
        </w:numPr>
        <w:ind w:left="907" w:hanging="794"/>
      </w:pPr>
      <w:bookmarkStart w:id="672" w:name="_Toc272414709"/>
      <w:bookmarkStart w:id="673" w:name="_Toc290888575"/>
      <w:bookmarkStart w:id="674" w:name="_Toc416353792"/>
      <w:bookmarkStart w:id="675" w:name="_Toc421005334"/>
      <w:bookmarkStart w:id="676" w:name="_Toc432079207"/>
      <w:bookmarkStart w:id="677" w:name="_Toc432080780"/>
      <w:bookmarkStart w:id="678" w:name="_Toc520879831"/>
      <w:bookmarkStart w:id="679" w:name="_Toc531776276"/>
      <w:r w:rsidRPr="00500C5C">
        <w:t>Second round assessment of benefits</w:t>
      </w:r>
      <w:bookmarkEnd w:id="672"/>
      <w:bookmarkEnd w:id="673"/>
      <w:bookmarkEnd w:id="674"/>
      <w:bookmarkEnd w:id="675"/>
      <w:bookmarkEnd w:id="676"/>
      <w:bookmarkEnd w:id="677"/>
      <w:bookmarkEnd w:id="678"/>
      <w:bookmarkEnd w:id="679"/>
    </w:p>
    <w:p w:rsidR="00CD7E26" w:rsidRDefault="00CD7E26" w:rsidP="00CD7E26">
      <w:pPr>
        <w:rPr>
          <w:lang w:eastAsia="ja-JP"/>
        </w:rPr>
      </w:pPr>
      <w:r>
        <w:rPr>
          <w:lang w:eastAsia="ja-JP"/>
        </w:rPr>
        <w:t>The OS benefit seen in the unplanned second interim analysis of Study XL184-308 has been confirmed by the final follow-up (descriptive) OS analysis and is of a similar magnitude.</w:t>
      </w:r>
    </w:p>
    <w:p w:rsidR="00CD7E26" w:rsidRDefault="00CD7E26" w:rsidP="00CD7E26">
      <w:pPr>
        <w:rPr>
          <w:lang w:eastAsia="ja-JP"/>
        </w:rPr>
      </w:pPr>
      <w:r>
        <w:rPr>
          <w:lang w:eastAsia="ja-JP"/>
        </w:rPr>
        <w:t>The benefit is otherwise unchanged by the second round evaluation.</w:t>
      </w:r>
    </w:p>
    <w:p w:rsidR="00CD7E26" w:rsidRPr="00500C5C" w:rsidRDefault="00CD7E26" w:rsidP="00CD7E26">
      <w:pPr>
        <w:pStyle w:val="Heading3"/>
        <w:numPr>
          <w:ilvl w:val="1"/>
          <w:numId w:val="29"/>
        </w:numPr>
        <w:ind w:left="907" w:hanging="794"/>
      </w:pPr>
      <w:bookmarkStart w:id="680" w:name="_Toc272414710"/>
      <w:bookmarkStart w:id="681" w:name="_Toc290888576"/>
      <w:bookmarkStart w:id="682" w:name="_Toc416353793"/>
      <w:bookmarkStart w:id="683" w:name="_Toc421005335"/>
      <w:bookmarkStart w:id="684" w:name="_Toc432079208"/>
      <w:bookmarkStart w:id="685" w:name="_Toc432080781"/>
      <w:bookmarkStart w:id="686" w:name="_Toc520879832"/>
      <w:bookmarkStart w:id="687" w:name="_Toc531776277"/>
      <w:r w:rsidRPr="00500C5C">
        <w:lastRenderedPageBreak/>
        <w:t>Second round assessment of risks</w:t>
      </w:r>
      <w:bookmarkEnd w:id="680"/>
      <w:bookmarkEnd w:id="681"/>
      <w:bookmarkEnd w:id="682"/>
      <w:bookmarkEnd w:id="683"/>
      <w:bookmarkEnd w:id="684"/>
      <w:bookmarkEnd w:id="685"/>
      <w:bookmarkEnd w:id="686"/>
      <w:bookmarkEnd w:id="687"/>
    </w:p>
    <w:p w:rsidR="00CD7E26" w:rsidRDefault="00CD7E26" w:rsidP="00CD7E26">
      <w:pPr>
        <w:rPr>
          <w:lang w:eastAsia="ja-JP"/>
        </w:rPr>
      </w:pPr>
      <w:r>
        <w:rPr>
          <w:lang w:eastAsia="ja-JP"/>
        </w:rPr>
        <w:t>No new safety risks have become apparent in the second round evaluation.</w:t>
      </w:r>
    </w:p>
    <w:p w:rsidR="00CD7E26" w:rsidRDefault="00CD7E26" w:rsidP="00CD7E26">
      <w:pPr>
        <w:rPr>
          <w:lang w:eastAsia="ja-JP"/>
        </w:rPr>
      </w:pPr>
      <w:r>
        <w:rPr>
          <w:lang w:eastAsia="ja-JP"/>
        </w:rPr>
        <w:t>Modifications to the PI recommended by the first round evaluator have been made or acceptable justification given for changes that have not been made.</w:t>
      </w:r>
    </w:p>
    <w:p w:rsidR="00CD7E26" w:rsidRPr="00545B14" w:rsidRDefault="00CD7E26" w:rsidP="00CD7E26">
      <w:pPr>
        <w:pStyle w:val="Heading3"/>
        <w:numPr>
          <w:ilvl w:val="1"/>
          <w:numId w:val="29"/>
        </w:numPr>
        <w:ind w:left="907" w:hanging="794"/>
      </w:pPr>
      <w:bookmarkStart w:id="688" w:name="_Toc272414711"/>
      <w:bookmarkStart w:id="689" w:name="_Toc290888577"/>
      <w:bookmarkStart w:id="690" w:name="_Toc416353794"/>
      <w:bookmarkStart w:id="691" w:name="_Toc421005336"/>
      <w:bookmarkStart w:id="692" w:name="_Toc432079209"/>
      <w:bookmarkStart w:id="693" w:name="_Toc432080782"/>
      <w:bookmarkStart w:id="694" w:name="_Toc520879833"/>
      <w:bookmarkStart w:id="695" w:name="_Toc531776278"/>
      <w:r w:rsidRPr="00545B14">
        <w:t xml:space="preserve">Second round assessment of benefit-risk </w:t>
      </w:r>
      <w:bookmarkEnd w:id="688"/>
      <w:bookmarkEnd w:id="689"/>
      <w:bookmarkEnd w:id="690"/>
      <w:bookmarkEnd w:id="691"/>
      <w:r>
        <w:t>balance</w:t>
      </w:r>
      <w:bookmarkEnd w:id="692"/>
      <w:bookmarkEnd w:id="693"/>
      <w:bookmarkEnd w:id="694"/>
      <w:bookmarkEnd w:id="695"/>
    </w:p>
    <w:p w:rsidR="00CD7E26" w:rsidRDefault="00CD7E26" w:rsidP="00CD7E26">
      <w:pPr>
        <w:pStyle w:val="ListBullet"/>
        <w:numPr>
          <w:ilvl w:val="0"/>
          <w:numId w:val="3"/>
        </w:numPr>
        <w:rPr>
          <w:lang w:eastAsia="ja-JP"/>
        </w:rPr>
      </w:pPr>
      <w:r>
        <w:rPr>
          <w:lang w:eastAsia="ja-JP"/>
        </w:rPr>
        <w:t>Advanced RCC is incurable, all patients experience disease progression and median overall survival is around 12-months for patients with Stage 4 disease. The primary goal of treatment is to prevent disease progression and extend overall survival.</w:t>
      </w:r>
    </w:p>
    <w:p w:rsidR="00CD7E26" w:rsidRDefault="00CD7E26" w:rsidP="00CD7E26">
      <w:pPr>
        <w:pStyle w:val="ListBullet"/>
        <w:numPr>
          <w:ilvl w:val="0"/>
          <w:numId w:val="3"/>
        </w:numPr>
        <w:rPr>
          <w:lang w:eastAsia="ja-JP"/>
        </w:rPr>
      </w:pPr>
      <w:r>
        <w:rPr>
          <w:lang w:eastAsia="ja-JP"/>
        </w:rPr>
        <w:t>The results of the pivotal study (XL184-308) demonstrate a statistically and clinically significant improvement in PFS and OS in subjects that had previously been treated with anti-VEGF therapy, by comparison to everolimus, a medicine registered in Australia for the treatment of patients with advanced RCC.</w:t>
      </w:r>
    </w:p>
    <w:p w:rsidR="00CD7E26" w:rsidRDefault="00CD7E26" w:rsidP="00CD7E26">
      <w:pPr>
        <w:pStyle w:val="ListBullet"/>
        <w:numPr>
          <w:ilvl w:val="0"/>
          <w:numId w:val="3"/>
        </w:numPr>
        <w:rPr>
          <w:lang w:eastAsia="ja-JP"/>
        </w:rPr>
      </w:pPr>
      <w:r>
        <w:rPr>
          <w:lang w:eastAsia="ja-JP"/>
        </w:rPr>
        <w:t>The safety profile of cabozantinib appears similar to other anti-VEGF TKIs and manageable.</w:t>
      </w:r>
    </w:p>
    <w:p w:rsidR="00CD7E26" w:rsidRDefault="00CD7E26" w:rsidP="00CD7E26">
      <w:pPr>
        <w:rPr>
          <w:lang w:eastAsia="ja-JP"/>
        </w:rPr>
      </w:pPr>
      <w:r>
        <w:rPr>
          <w:lang w:eastAsia="ja-JP"/>
        </w:rPr>
        <w:t>Overall the benefit-risk balance of cabozantinib for the treatment of advanced RCC in the proposed indication is favourable.</w:t>
      </w:r>
    </w:p>
    <w:p w:rsidR="00CD7E26" w:rsidRDefault="00CD7E26" w:rsidP="00CD7E26">
      <w:pPr>
        <w:pStyle w:val="Heading2"/>
        <w:numPr>
          <w:ilvl w:val="0"/>
          <w:numId w:val="29"/>
        </w:numPr>
      </w:pPr>
      <w:bookmarkStart w:id="696" w:name="_Toc520879834"/>
      <w:bookmarkStart w:id="697" w:name="_Toc531776279"/>
      <w:r>
        <w:t>Second round recommendation regarding authorisation</w:t>
      </w:r>
      <w:bookmarkEnd w:id="696"/>
      <w:bookmarkEnd w:id="697"/>
    </w:p>
    <w:p w:rsidR="003D1E62" w:rsidRPr="001D043B" w:rsidRDefault="00CD7E26" w:rsidP="00CD7E26">
      <w:pPr>
        <w:sectPr w:rsidR="003D1E62" w:rsidRPr="001D043B" w:rsidSect="008D770F">
          <w:pgSz w:w="11906" w:h="16838" w:code="9"/>
          <w:pgMar w:top="1440" w:right="1440" w:bottom="1440" w:left="1440" w:header="907" w:footer="216" w:gutter="0"/>
          <w:cols w:space="708"/>
          <w:docGrid w:linePitch="360"/>
        </w:sectPr>
      </w:pPr>
      <w:r>
        <w:rPr>
          <w:lang w:eastAsia="ja-JP"/>
        </w:rPr>
        <w:t>Approval of cabometyx is recommended subject to negotiation of PI content with the Delegate, based on recommendations made by the second round evaluator.</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CD7E26">
        <w:trPr>
          <w:trHeight w:hRule="exact" w:val="564"/>
        </w:trPr>
        <w:tc>
          <w:tcPr>
            <w:tcW w:w="9175" w:type="dxa"/>
          </w:tcPr>
          <w:p w:rsidR="00B3567E" w:rsidRPr="00487162" w:rsidRDefault="00B3567E" w:rsidP="00CD7E26">
            <w:pPr>
              <w:pStyle w:val="TGASignoff"/>
            </w:pPr>
            <w:r w:rsidRPr="00487162">
              <w:lastRenderedPageBreak/>
              <w:t>Therapeutic Goods Administration</w:t>
            </w:r>
          </w:p>
        </w:tc>
      </w:tr>
      <w:tr w:rsidR="00B3567E" w:rsidRPr="00487162" w:rsidTr="00CD7E26">
        <w:trPr>
          <w:trHeight w:val="1221"/>
        </w:trPr>
        <w:tc>
          <w:tcPr>
            <w:tcW w:w="9175" w:type="dxa"/>
            <w:tcMar>
              <w:top w:w="28" w:type="dxa"/>
            </w:tcMar>
          </w:tcPr>
          <w:p w:rsidR="00B3567E" w:rsidRPr="00487162" w:rsidRDefault="00B3567E" w:rsidP="00CD7E26">
            <w:pPr>
              <w:pStyle w:val="Address"/>
            </w:pPr>
            <w:r w:rsidRPr="00487162">
              <w:t>PO Box 100 Woden ACT 2606 Australia</w:t>
            </w:r>
          </w:p>
          <w:p w:rsidR="00B3567E" w:rsidRPr="00487162" w:rsidRDefault="00B3567E" w:rsidP="00CD7E26">
            <w:pPr>
              <w:pStyle w:val="Address"/>
            </w:pPr>
            <w:r w:rsidRPr="00487162">
              <w:t xml:space="preserve">Email: </w:t>
            </w:r>
            <w:hyperlink r:id="rId112" w:history="1">
              <w:r w:rsidRPr="008D770F">
                <w:rPr>
                  <w:rStyle w:val="Hyperlink"/>
                </w:rPr>
                <w:t>info@tga.gov.au</w:t>
              </w:r>
            </w:hyperlink>
            <w:r w:rsidRPr="00487162">
              <w:t xml:space="preserve">  Phone: 1800 020 653  Fax: 02 6232 8605</w:t>
            </w:r>
          </w:p>
          <w:p w:rsidR="00B3567E" w:rsidRPr="008D770F" w:rsidRDefault="00B572CC" w:rsidP="00CD7E26">
            <w:pPr>
              <w:pStyle w:val="Address"/>
              <w:spacing w:line="260" w:lineRule="atLeast"/>
              <w:rPr>
                <w:b/>
                <w:color w:val="0000FF"/>
                <w:u w:val="single"/>
              </w:rPr>
            </w:pPr>
            <w:hyperlink r:id="rId113"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114"/>
      <w:headerReference w:type="default" r:id="rId115"/>
      <w:footerReference w:type="default" r:id="rId116"/>
      <w:headerReference w:type="first" r:id="rId117"/>
      <w:footerReference w:type="first" r:id="rId118"/>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2CC" w:rsidRDefault="00B572CC" w:rsidP="00C40A36">
      <w:pPr>
        <w:spacing w:after="0"/>
      </w:pPr>
      <w:r>
        <w:separator/>
      </w:r>
    </w:p>
  </w:endnote>
  <w:endnote w:type="continuationSeparator" w:id="0">
    <w:p w:rsidR="00B572CC" w:rsidRDefault="00B572C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roman"/>
    <w:notTrueType/>
    <w:pitch w:val="default"/>
    <w:sig w:usb0="00000001" w:usb1="08070000" w:usb2="00000010" w:usb3="00000000" w:csb0="0002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B572CC" w:rsidRPr="00487162" w:rsidTr="00733A7E">
      <w:trPr>
        <w:trHeight w:val="269"/>
      </w:trPr>
      <w:tc>
        <w:tcPr>
          <w:tcW w:w="7655" w:type="dxa"/>
          <w:tcMar>
            <w:top w:w="142" w:type="dxa"/>
            <w:bottom w:w="0" w:type="dxa"/>
          </w:tcMar>
        </w:tcPr>
        <w:p w:rsidR="00B572CC" w:rsidRPr="00487162" w:rsidRDefault="00B572CC" w:rsidP="008F51E2">
          <w:pPr>
            <w:pStyle w:val="Footer"/>
          </w:pPr>
          <w:r>
            <w:t>Submission</w:t>
          </w:r>
          <w:r w:rsidRPr="00487162">
            <w:t xml:space="preserve"> PM-20</w:t>
          </w:r>
          <w:r>
            <w:t>16</w:t>
          </w:r>
          <w:r w:rsidRPr="00487162">
            <w:t>-</w:t>
          </w:r>
          <w:r>
            <w:t>04459</w:t>
          </w:r>
          <w:r w:rsidRPr="00487162">
            <w:t>-</w:t>
          </w:r>
          <w:r>
            <w:t>1</w:t>
          </w:r>
          <w:r w:rsidRPr="00487162">
            <w:t>-</w:t>
          </w:r>
          <w:r>
            <w:t>4 Extract from the Clinical Evaluation Report for Cabometyx Final 18 October 2018</w:t>
          </w:r>
        </w:p>
      </w:tc>
      <w:tc>
        <w:tcPr>
          <w:tcW w:w="1206" w:type="dxa"/>
          <w:tcMar>
            <w:top w:w="142" w:type="dxa"/>
            <w:bottom w:w="0" w:type="dxa"/>
          </w:tcMar>
        </w:tcPr>
        <w:p w:rsidR="00B572CC" w:rsidRPr="00981D66" w:rsidRDefault="00B572CC"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5621E0">
            <w:rPr>
              <w:noProof/>
            </w:rPr>
            <w:t>3</w:t>
          </w:r>
          <w:r w:rsidRPr="00981D66">
            <w:fldChar w:fldCharType="end"/>
          </w:r>
          <w:r w:rsidRPr="00981D66">
            <w:t xml:space="preserve"> of </w:t>
          </w:r>
          <w:fldSimple w:instr=" NUMPAGES  \* Arabic  \* MERGEFORMAT ">
            <w:r w:rsidR="005621E0">
              <w:rPr>
                <w:noProof/>
              </w:rPr>
              <w:t>110</w:t>
            </w:r>
          </w:fldSimple>
        </w:p>
      </w:tc>
    </w:tr>
  </w:tbl>
  <w:p w:rsidR="00B572CC" w:rsidRDefault="00B572CC" w:rsidP="00BE6E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572CC" w:rsidRPr="00487162" w:rsidTr="00E45619">
      <w:trPr>
        <w:trHeight w:val="269"/>
      </w:trPr>
      <w:tc>
        <w:tcPr>
          <w:tcW w:w="4519" w:type="dxa"/>
          <w:tcBorders>
            <w:top w:val="single" w:sz="4" w:space="0" w:color="auto"/>
          </w:tcBorders>
          <w:tcMar>
            <w:top w:w="142" w:type="dxa"/>
            <w:bottom w:w="0" w:type="dxa"/>
          </w:tcMar>
        </w:tcPr>
        <w:p w:rsidR="00B572CC" w:rsidRPr="00487162" w:rsidRDefault="00B572CC" w:rsidP="00FE1DEE">
          <w:pPr>
            <w:pStyle w:val="Footer"/>
          </w:pPr>
          <w:r w:rsidRPr="00487162">
            <w:t>Document title, Part #, Section # - Section title</w:t>
          </w:r>
        </w:p>
        <w:p w:rsidR="00B572CC" w:rsidRPr="00487162" w:rsidRDefault="00B572CC" w:rsidP="00FE1DEE">
          <w:pPr>
            <w:pStyle w:val="Footer"/>
          </w:pPr>
          <w:r w:rsidRPr="00487162">
            <w:t>V1.0 October 2010</w:t>
          </w:r>
        </w:p>
      </w:tc>
      <w:tc>
        <w:tcPr>
          <w:tcW w:w="4342" w:type="dxa"/>
          <w:tcBorders>
            <w:top w:val="single" w:sz="4" w:space="0" w:color="auto"/>
          </w:tcBorders>
          <w:tcMar>
            <w:top w:w="142" w:type="dxa"/>
            <w:bottom w:w="0" w:type="dxa"/>
          </w:tcMar>
        </w:tcPr>
        <w:p w:rsidR="00B572CC" w:rsidRPr="00487162" w:rsidRDefault="00B572C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B572CC" w:rsidRDefault="00B572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CC" w:rsidRDefault="00B572CC"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572CC" w:rsidTr="0010601F">
      <w:trPr>
        <w:trHeight w:val="108"/>
      </w:trPr>
      <w:tc>
        <w:tcPr>
          <w:tcW w:w="8875" w:type="dxa"/>
          <w:gridSpan w:val="2"/>
          <w:tcBorders>
            <w:bottom w:val="single" w:sz="4" w:space="0" w:color="auto"/>
          </w:tcBorders>
          <w:tcMar>
            <w:right w:w="284" w:type="dxa"/>
          </w:tcMar>
        </w:tcPr>
        <w:p w:rsidR="00B572CC" w:rsidRDefault="00B572CC" w:rsidP="006E08B3">
          <w:pPr>
            <w:pStyle w:val="Heading3"/>
          </w:pPr>
          <w:r>
            <w:t>Copyright</w:t>
          </w:r>
        </w:p>
        <w:p w:rsidR="00B572CC" w:rsidRDefault="00B572CC" w:rsidP="006E08B3">
          <w:r>
            <w:rPr>
              <w:rFonts w:cs="Arial"/>
            </w:rPr>
            <w:t>©</w:t>
          </w:r>
          <w:r>
            <w:t xml:space="preserve"> Commonwealth of Australia [add year]</w:t>
          </w:r>
        </w:p>
        <w:p w:rsidR="00B572CC" w:rsidRDefault="00B572CC" w:rsidP="006E08B3"/>
        <w:p w:rsidR="00B572CC" w:rsidRDefault="00B572C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572CC" w:rsidRDefault="00B572CC" w:rsidP="006E08B3"/>
        <w:p w:rsidR="00B572CC" w:rsidRDefault="00B572CC" w:rsidP="006E08B3">
          <w:pPr>
            <w:pStyle w:val="Heading3"/>
          </w:pPr>
          <w:r>
            <w:t>Confidentiality</w:t>
          </w:r>
        </w:p>
        <w:p w:rsidR="00B572CC" w:rsidRDefault="00B572C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572CC" w:rsidRDefault="00B572CC" w:rsidP="006E08B3"/>
        <w:p w:rsidR="00B572CC" w:rsidRDefault="00B572CC" w:rsidP="006E08B3">
          <w:r>
            <w:t>For submission made by individuals, all personal details, other than your name, will be removed from your submission before it is published on the TGA’s Internet site.</w:t>
          </w:r>
        </w:p>
        <w:p w:rsidR="00B572CC" w:rsidRDefault="00B572CC" w:rsidP="006E08B3"/>
        <w:p w:rsidR="00B572CC" w:rsidRDefault="00B572CC"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572CC" w:rsidTr="0010601F">
      <w:trPr>
        <w:trHeight w:val="417"/>
      </w:trPr>
      <w:tc>
        <w:tcPr>
          <w:tcW w:w="4519" w:type="dxa"/>
          <w:tcBorders>
            <w:top w:val="single" w:sz="4" w:space="0" w:color="auto"/>
          </w:tcBorders>
          <w:tcMar>
            <w:top w:w="142" w:type="dxa"/>
            <w:bottom w:w="0" w:type="dxa"/>
          </w:tcMar>
        </w:tcPr>
        <w:p w:rsidR="00B572CC" w:rsidRDefault="00B572CC" w:rsidP="006E08B3">
          <w:r>
            <w:t>Document title, Part #, Section # - Section title</w:t>
          </w:r>
        </w:p>
        <w:p w:rsidR="00B572CC" w:rsidRDefault="00B572CC" w:rsidP="006E08B3">
          <w:r>
            <w:t>V1.0 October 2010</w:t>
          </w:r>
        </w:p>
      </w:tc>
      <w:tc>
        <w:tcPr>
          <w:tcW w:w="4356" w:type="dxa"/>
          <w:tcBorders>
            <w:top w:val="single" w:sz="4" w:space="0" w:color="auto"/>
          </w:tcBorders>
          <w:tcMar>
            <w:top w:w="142" w:type="dxa"/>
            <w:bottom w:w="0" w:type="dxa"/>
          </w:tcMar>
        </w:tcPr>
        <w:p w:rsidR="00B572CC" w:rsidRDefault="00B572C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B572CC" w:rsidRDefault="00B572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2CC" w:rsidRDefault="00B572CC" w:rsidP="00C40A36">
      <w:pPr>
        <w:spacing w:after="0"/>
      </w:pPr>
      <w:r>
        <w:separator/>
      </w:r>
    </w:p>
  </w:footnote>
  <w:footnote w:type="continuationSeparator" w:id="0">
    <w:p w:rsidR="00B572CC" w:rsidRDefault="00B572CC"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CC" w:rsidRDefault="00B572C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CC" w:rsidRDefault="00B572CC">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572CC" w:rsidRDefault="00B572CC"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CC" w:rsidRDefault="00B572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CC" w:rsidRDefault="00B572C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CC" w:rsidRDefault="00B572C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CC" w:rsidRDefault="00B572C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CC" w:rsidRDefault="00B572CC"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CC" w:rsidRDefault="00B572CC" w:rsidP="006E08B3">
    <w:r>
      <w:t>Therapeutic Goods Administration</w:t>
    </w:r>
  </w:p>
  <w:p w:rsidR="00B572CC" w:rsidRDefault="00B572C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02C1922"/>
    <w:multiLevelType w:val="hybridMultilevel"/>
    <w:tmpl w:val="6862D4B6"/>
    <w:lvl w:ilvl="0" w:tplc="F90AB154">
      <w:start w:val="1"/>
      <w:numFmt w:val="decimal"/>
      <w:pStyle w:val="Heading8"/>
      <w:lvlText w:val="Clinical question %1."/>
      <w:lvlJc w:val="left"/>
      <w:pPr>
        <w:ind w:left="360" w:hanging="360"/>
      </w:pPr>
      <w:rPr>
        <w:rFonts w:hint="default"/>
      </w:rPr>
    </w:lvl>
    <w:lvl w:ilvl="1" w:tplc="C2C46AFA">
      <w:numFmt w:val="bullet"/>
      <w:lvlText w:val="•"/>
      <w:lvlJc w:val="left"/>
      <w:pPr>
        <w:ind w:left="1080" w:hanging="360"/>
      </w:pPr>
      <w:rPr>
        <w:rFonts w:ascii="Cambria" w:eastAsia="Cambria" w:hAnsi="Cambria" w:cstheme="minorBid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0046E6E"/>
    <w:multiLevelType w:val="hybridMultilevel"/>
    <w:tmpl w:val="67FEE560"/>
    <w:lvl w:ilvl="0" w:tplc="7938E1DC">
      <w:start w:val="1"/>
      <w:numFmt w:val="decimal"/>
      <w:pStyle w:val="Heading9"/>
      <w:lvlText w:val="Sponsor respons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6DB5002"/>
    <w:multiLevelType w:val="hybridMultilevel"/>
    <w:tmpl w:val="47FCF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D0B1B75"/>
    <w:multiLevelType w:val="multilevel"/>
    <w:tmpl w:val="3F2E50DC"/>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cs="Times New Roman"/>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4"/>
  </w:num>
  <w:num w:numId="17">
    <w:abstractNumId w:val="4"/>
  </w:num>
  <w:num w:numId="18">
    <w:abstractNumId w:val="4"/>
  </w:num>
  <w:num w:numId="19">
    <w:abstractNumId w:val="6"/>
  </w:num>
  <w:num w:numId="20">
    <w:abstractNumId w:val="6"/>
  </w:num>
  <w:num w:numId="21">
    <w:abstractNumId w:val="6"/>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0"/>
  </w:num>
  <w:num w:numId="26">
    <w:abstractNumId w:val="11"/>
  </w:num>
  <w:num w:numId="27">
    <w:abstractNumId w:val="12"/>
  </w:num>
  <w:num w:numId="28">
    <w:abstractNumId w:val="13"/>
  </w:num>
  <w:num w:numId="29">
    <w:abstractNumId w:val="14"/>
  </w:num>
  <w:num w:numId="30">
    <w:abstractNumId w:val="14"/>
  </w:num>
  <w:num w:numId="31">
    <w:abstractNumId w:val="14"/>
  </w:num>
  <w:num w:numId="32">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3">
    <w:abstractNumId w:val="9"/>
  </w:num>
  <w:num w:numId="34">
    <w:abstractNumId w:val="15"/>
  </w:num>
  <w:num w:numId="35">
    <w:abstractNumId w:val="5"/>
  </w:num>
  <w:num w:numId="36">
    <w:abstractNumId w:val="7"/>
  </w:num>
  <w:num w:numId="37">
    <w:abstractNumId w:val="8"/>
  </w:num>
  <w:num w:numId="38">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E26"/>
    <w:rsid w:val="00002031"/>
    <w:rsid w:val="00004734"/>
    <w:rsid w:val="00006B22"/>
    <w:rsid w:val="0001276A"/>
    <w:rsid w:val="000246AE"/>
    <w:rsid w:val="00025C67"/>
    <w:rsid w:val="00026722"/>
    <w:rsid w:val="00040ACB"/>
    <w:rsid w:val="0005559E"/>
    <w:rsid w:val="000756FA"/>
    <w:rsid w:val="00077775"/>
    <w:rsid w:val="00090471"/>
    <w:rsid w:val="00097B5E"/>
    <w:rsid w:val="000A3AED"/>
    <w:rsid w:val="000A63AF"/>
    <w:rsid w:val="000B3532"/>
    <w:rsid w:val="000B3A75"/>
    <w:rsid w:val="000C071D"/>
    <w:rsid w:val="000C5872"/>
    <w:rsid w:val="000C690F"/>
    <w:rsid w:val="000D1295"/>
    <w:rsid w:val="000D391B"/>
    <w:rsid w:val="000D3D6D"/>
    <w:rsid w:val="000D4FC7"/>
    <w:rsid w:val="000F02F9"/>
    <w:rsid w:val="000F2E5D"/>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66FC4"/>
    <w:rsid w:val="0017078F"/>
    <w:rsid w:val="001708EC"/>
    <w:rsid w:val="0017693F"/>
    <w:rsid w:val="0018110E"/>
    <w:rsid w:val="00181684"/>
    <w:rsid w:val="001843C6"/>
    <w:rsid w:val="0018463E"/>
    <w:rsid w:val="001850E0"/>
    <w:rsid w:val="001A2158"/>
    <w:rsid w:val="001A525F"/>
    <w:rsid w:val="001B09F9"/>
    <w:rsid w:val="001B5D98"/>
    <w:rsid w:val="001B6448"/>
    <w:rsid w:val="001C657B"/>
    <w:rsid w:val="001E07CF"/>
    <w:rsid w:val="001E59F1"/>
    <w:rsid w:val="001F497A"/>
    <w:rsid w:val="001F49EB"/>
    <w:rsid w:val="001F6CBA"/>
    <w:rsid w:val="00201D4E"/>
    <w:rsid w:val="002076C9"/>
    <w:rsid w:val="00220B8A"/>
    <w:rsid w:val="002257F3"/>
    <w:rsid w:val="00233456"/>
    <w:rsid w:val="002339A5"/>
    <w:rsid w:val="00257848"/>
    <w:rsid w:val="002666AC"/>
    <w:rsid w:val="00267B6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11AC0"/>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428B2"/>
    <w:rsid w:val="00447B66"/>
    <w:rsid w:val="004564A7"/>
    <w:rsid w:val="004617BF"/>
    <w:rsid w:val="00463658"/>
    <w:rsid w:val="004722CC"/>
    <w:rsid w:val="004936E4"/>
    <w:rsid w:val="00494E60"/>
    <w:rsid w:val="00497487"/>
    <w:rsid w:val="004A7E13"/>
    <w:rsid w:val="004B7B76"/>
    <w:rsid w:val="004C2DCA"/>
    <w:rsid w:val="004F0F38"/>
    <w:rsid w:val="004F2FD1"/>
    <w:rsid w:val="004F4AF5"/>
    <w:rsid w:val="00501921"/>
    <w:rsid w:val="00530354"/>
    <w:rsid w:val="0053625B"/>
    <w:rsid w:val="005434C6"/>
    <w:rsid w:val="00543B39"/>
    <w:rsid w:val="00547330"/>
    <w:rsid w:val="00550096"/>
    <w:rsid w:val="00557FF9"/>
    <w:rsid w:val="005621E0"/>
    <w:rsid w:val="00575E67"/>
    <w:rsid w:val="00576378"/>
    <w:rsid w:val="00577945"/>
    <w:rsid w:val="00577E38"/>
    <w:rsid w:val="00585322"/>
    <w:rsid w:val="005857C6"/>
    <w:rsid w:val="00586F98"/>
    <w:rsid w:val="00592F6E"/>
    <w:rsid w:val="00593AD1"/>
    <w:rsid w:val="005A034E"/>
    <w:rsid w:val="005A68B6"/>
    <w:rsid w:val="005C5570"/>
    <w:rsid w:val="005C79A4"/>
    <w:rsid w:val="005D5442"/>
    <w:rsid w:val="00603F32"/>
    <w:rsid w:val="006170F0"/>
    <w:rsid w:val="00620406"/>
    <w:rsid w:val="00632398"/>
    <w:rsid w:val="00640FC3"/>
    <w:rsid w:val="00642020"/>
    <w:rsid w:val="00646206"/>
    <w:rsid w:val="0065337B"/>
    <w:rsid w:val="0065419D"/>
    <w:rsid w:val="006604D8"/>
    <w:rsid w:val="00664A5B"/>
    <w:rsid w:val="006763D2"/>
    <w:rsid w:val="00680C08"/>
    <w:rsid w:val="006931B1"/>
    <w:rsid w:val="006A15C0"/>
    <w:rsid w:val="006B4C50"/>
    <w:rsid w:val="006C130C"/>
    <w:rsid w:val="006C3E2A"/>
    <w:rsid w:val="006C642F"/>
    <w:rsid w:val="006D03E5"/>
    <w:rsid w:val="006D0F86"/>
    <w:rsid w:val="006D5D3E"/>
    <w:rsid w:val="006E08B3"/>
    <w:rsid w:val="006F17AC"/>
    <w:rsid w:val="006F1D37"/>
    <w:rsid w:val="006F26D0"/>
    <w:rsid w:val="006F2796"/>
    <w:rsid w:val="006F572E"/>
    <w:rsid w:val="006F6759"/>
    <w:rsid w:val="007046D6"/>
    <w:rsid w:val="00705DB0"/>
    <w:rsid w:val="00722B57"/>
    <w:rsid w:val="00733A7E"/>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7F3E00"/>
    <w:rsid w:val="00802EBA"/>
    <w:rsid w:val="00805D27"/>
    <w:rsid w:val="00821776"/>
    <w:rsid w:val="008321F5"/>
    <w:rsid w:val="00832369"/>
    <w:rsid w:val="00834660"/>
    <w:rsid w:val="00836BC2"/>
    <w:rsid w:val="008414A0"/>
    <w:rsid w:val="008463CC"/>
    <w:rsid w:val="0085641B"/>
    <w:rsid w:val="00857136"/>
    <w:rsid w:val="00884E48"/>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51E2"/>
    <w:rsid w:val="008F6943"/>
    <w:rsid w:val="008F69AF"/>
    <w:rsid w:val="00902A21"/>
    <w:rsid w:val="00906445"/>
    <w:rsid w:val="00920330"/>
    <w:rsid w:val="009219D7"/>
    <w:rsid w:val="00922D53"/>
    <w:rsid w:val="00923B70"/>
    <w:rsid w:val="00924482"/>
    <w:rsid w:val="00930237"/>
    <w:rsid w:val="009438E8"/>
    <w:rsid w:val="00943D71"/>
    <w:rsid w:val="0094614A"/>
    <w:rsid w:val="00946EA5"/>
    <w:rsid w:val="0095160F"/>
    <w:rsid w:val="00963C08"/>
    <w:rsid w:val="00981D66"/>
    <w:rsid w:val="0098585A"/>
    <w:rsid w:val="0098669D"/>
    <w:rsid w:val="00994C95"/>
    <w:rsid w:val="009A4CED"/>
    <w:rsid w:val="009A690D"/>
    <w:rsid w:val="009B1D12"/>
    <w:rsid w:val="009B416B"/>
    <w:rsid w:val="009B56F4"/>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C1A6A"/>
    <w:rsid w:val="00AC2B40"/>
    <w:rsid w:val="00AC2BB2"/>
    <w:rsid w:val="00AC2C3C"/>
    <w:rsid w:val="00AC512D"/>
    <w:rsid w:val="00AD380B"/>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6C8F"/>
    <w:rsid w:val="00B37D17"/>
    <w:rsid w:val="00B4175E"/>
    <w:rsid w:val="00B452CE"/>
    <w:rsid w:val="00B54C25"/>
    <w:rsid w:val="00B572CC"/>
    <w:rsid w:val="00B76B91"/>
    <w:rsid w:val="00B77EB1"/>
    <w:rsid w:val="00B811C6"/>
    <w:rsid w:val="00B85A87"/>
    <w:rsid w:val="00B92E08"/>
    <w:rsid w:val="00B96EBE"/>
    <w:rsid w:val="00BC622A"/>
    <w:rsid w:val="00BD45E3"/>
    <w:rsid w:val="00BE0A78"/>
    <w:rsid w:val="00BE32A6"/>
    <w:rsid w:val="00BE6252"/>
    <w:rsid w:val="00BE6E4E"/>
    <w:rsid w:val="00BE79F0"/>
    <w:rsid w:val="00BF046D"/>
    <w:rsid w:val="00BF1190"/>
    <w:rsid w:val="00BF5D04"/>
    <w:rsid w:val="00C031C9"/>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D7E26"/>
    <w:rsid w:val="00CF15C3"/>
    <w:rsid w:val="00CF2B6F"/>
    <w:rsid w:val="00CF58B6"/>
    <w:rsid w:val="00D017ED"/>
    <w:rsid w:val="00D026CC"/>
    <w:rsid w:val="00D040D3"/>
    <w:rsid w:val="00D04C65"/>
    <w:rsid w:val="00D224FE"/>
    <w:rsid w:val="00D53A31"/>
    <w:rsid w:val="00D6455B"/>
    <w:rsid w:val="00D6493E"/>
    <w:rsid w:val="00D7301E"/>
    <w:rsid w:val="00D83AE1"/>
    <w:rsid w:val="00D855D4"/>
    <w:rsid w:val="00D87961"/>
    <w:rsid w:val="00D93466"/>
    <w:rsid w:val="00D95671"/>
    <w:rsid w:val="00DA1124"/>
    <w:rsid w:val="00DB6CD6"/>
    <w:rsid w:val="00DB75B7"/>
    <w:rsid w:val="00DC156B"/>
    <w:rsid w:val="00DC6E02"/>
    <w:rsid w:val="00DE02AE"/>
    <w:rsid w:val="00DF1D7F"/>
    <w:rsid w:val="00DF4BE4"/>
    <w:rsid w:val="00E024DC"/>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77B22"/>
    <w:rsid w:val="00E936E3"/>
    <w:rsid w:val="00E979F4"/>
    <w:rsid w:val="00EB0798"/>
    <w:rsid w:val="00EB40AD"/>
    <w:rsid w:val="00EB586E"/>
    <w:rsid w:val="00EB5FC8"/>
    <w:rsid w:val="00ED3CAD"/>
    <w:rsid w:val="00ED5A41"/>
    <w:rsid w:val="00EE1DE8"/>
    <w:rsid w:val="00F008C0"/>
    <w:rsid w:val="00F033EC"/>
    <w:rsid w:val="00F04F68"/>
    <w:rsid w:val="00F12670"/>
    <w:rsid w:val="00F14B27"/>
    <w:rsid w:val="00F15862"/>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Heading7"/>
    <w:next w:val="Normal"/>
    <w:link w:val="Heading8Char"/>
    <w:uiPriority w:val="9"/>
    <w:unhideWhenUsed/>
    <w:qFormat/>
    <w:rsid w:val="00CD7E26"/>
    <w:pPr>
      <w:keepLines/>
      <w:numPr>
        <w:numId w:val="35"/>
      </w:numPr>
      <w:spacing w:before="200" w:after="0"/>
      <w:outlineLvl w:val="7"/>
    </w:pPr>
    <w:rPr>
      <w:rFonts w:asciiTheme="majorHAnsi" w:eastAsiaTheme="majorEastAsia" w:hAnsiTheme="majorHAnsi" w:cstheme="majorBidi"/>
      <w:b/>
      <w:i/>
      <w:color w:val="404040" w:themeColor="text1" w:themeTint="BF"/>
      <w:sz w:val="20"/>
      <w:szCs w:val="20"/>
    </w:rPr>
  </w:style>
  <w:style w:type="paragraph" w:styleId="Heading9">
    <w:name w:val="heading 9"/>
    <w:basedOn w:val="Normal"/>
    <w:next w:val="Normal"/>
    <w:link w:val="Heading9Char"/>
    <w:uiPriority w:val="9"/>
    <w:unhideWhenUsed/>
    <w:qFormat/>
    <w:rsid w:val="00CD7E26"/>
    <w:pPr>
      <w:keepNext/>
      <w:keepLines/>
      <w:numPr>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572CC"/>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uiPriority w:val="9"/>
    <w:rsid w:val="00CD7E26"/>
    <w:rPr>
      <w:rFonts w:asciiTheme="majorHAnsi" w:eastAsiaTheme="majorEastAsia" w:hAnsiTheme="majorHAnsi" w:cstheme="majorBidi"/>
      <w:b/>
      <w:bCs/>
      <w:i/>
      <w:color w:val="404040" w:themeColor="text1" w:themeTint="BF"/>
      <w:sz w:val="20"/>
      <w:szCs w:val="20"/>
    </w:rPr>
  </w:style>
  <w:style w:type="character" w:customStyle="1" w:styleId="Heading9Char">
    <w:name w:val="Heading 9 Char"/>
    <w:basedOn w:val="DefaultParagraphFont"/>
    <w:link w:val="Heading9"/>
    <w:uiPriority w:val="9"/>
    <w:rsid w:val="00CD7E26"/>
    <w:rPr>
      <w:rFonts w:asciiTheme="majorHAnsi" w:eastAsiaTheme="majorEastAsia" w:hAnsiTheme="majorHAnsi" w:cstheme="majorBidi"/>
      <w:i/>
      <w:iCs/>
      <w:color w:val="404040" w:themeColor="text1" w:themeTint="BF"/>
      <w:sz w:val="20"/>
      <w:szCs w:val="20"/>
    </w:rPr>
  </w:style>
  <w:style w:type="paragraph" w:customStyle="1" w:styleId="Bullet2">
    <w:name w:val="Bullet 2"/>
    <w:basedOn w:val="Normal"/>
    <w:rsid w:val="00CD7E26"/>
    <w:pPr>
      <w:numPr>
        <w:numId w:val="33"/>
      </w:numPr>
      <w:spacing w:after="0" w:line="240" w:lineRule="auto"/>
    </w:pPr>
    <w:rPr>
      <w:rFonts w:eastAsia="Times New Roman"/>
      <w:kern w:val="24"/>
      <w:szCs w:val="24"/>
      <w:lang w:eastAsia="en-AU"/>
    </w:rPr>
  </w:style>
  <w:style w:type="paragraph" w:customStyle="1" w:styleId="Instructions1">
    <w:name w:val="Instructions 1"/>
    <w:basedOn w:val="Normal"/>
    <w:qFormat/>
    <w:rsid w:val="00CD7E26"/>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CD7E26"/>
    <w:pPr>
      <w:numPr>
        <w:numId w:val="34"/>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CD7E26"/>
    <w:pPr>
      <w:shd w:val="clear" w:color="auto" w:fill="D9D9D9" w:themeFill="background1" w:themeFillShade="D9"/>
      <w:tabs>
        <w:tab w:val="left" w:pos="0"/>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CD7E26"/>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CD7E26"/>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CD7E26"/>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CD7E26"/>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CD7E26"/>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CD7E26"/>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CD7E26"/>
    <w:rPr>
      <w:i/>
      <w:color w:val="007099"/>
    </w:rPr>
  </w:style>
  <w:style w:type="paragraph" w:styleId="TableofFigures">
    <w:name w:val="table of figures"/>
    <w:basedOn w:val="Normal"/>
    <w:next w:val="Normal"/>
    <w:uiPriority w:val="99"/>
    <w:unhideWhenUsed/>
    <w:rsid w:val="00CD7E26"/>
    <w:pPr>
      <w:spacing w:after="0"/>
    </w:pPr>
  </w:style>
  <w:style w:type="paragraph" w:styleId="ListParagraph">
    <w:name w:val="List Paragraph"/>
    <w:basedOn w:val="Normal"/>
    <w:uiPriority w:val="34"/>
    <w:qFormat/>
    <w:rsid w:val="00CD7E26"/>
    <w:pPr>
      <w:ind w:left="720"/>
      <w:contextualSpacing/>
    </w:pPr>
  </w:style>
  <w:style w:type="numbering" w:customStyle="1" w:styleId="ListBullets1">
    <w:name w:val="ListBullets1"/>
    <w:uiPriority w:val="99"/>
    <w:locked/>
    <w:rsid w:val="00CD7E26"/>
  </w:style>
  <w:style w:type="numbering" w:customStyle="1" w:styleId="ListBullets2">
    <w:name w:val="ListBullets2"/>
    <w:uiPriority w:val="99"/>
    <w:locked/>
    <w:rsid w:val="00CD7E26"/>
  </w:style>
  <w:style w:type="numbering" w:customStyle="1" w:styleId="ListBullets3">
    <w:name w:val="ListBullets3"/>
    <w:uiPriority w:val="99"/>
    <w:locked/>
    <w:rsid w:val="00CD7E26"/>
  </w:style>
  <w:style w:type="character" w:customStyle="1" w:styleId="Mention1">
    <w:name w:val="Mention1"/>
    <w:basedOn w:val="DefaultParagraphFont"/>
    <w:uiPriority w:val="99"/>
    <w:semiHidden/>
    <w:unhideWhenUsed/>
    <w:rsid w:val="00CD7E26"/>
    <w:rPr>
      <w:color w:val="2B579A"/>
      <w:shd w:val="clear" w:color="auto" w:fill="E6E6E6"/>
    </w:rPr>
  </w:style>
  <w:style w:type="paragraph" w:customStyle="1" w:styleId="Default">
    <w:name w:val="Default"/>
    <w:rsid w:val="00CD7E2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Heading7"/>
    <w:next w:val="Normal"/>
    <w:link w:val="Heading8Char"/>
    <w:uiPriority w:val="9"/>
    <w:unhideWhenUsed/>
    <w:qFormat/>
    <w:rsid w:val="00CD7E26"/>
    <w:pPr>
      <w:keepLines/>
      <w:numPr>
        <w:numId w:val="35"/>
      </w:numPr>
      <w:spacing w:before="200" w:after="0"/>
      <w:outlineLvl w:val="7"/>
    </w:pPr>
    <w:rPr>
      <w:rFonts w:asciiTheme="majorHAnsi" w:eastAsiaTheme="majorEastAsia" w:hAnsiTheme="majorHAnsi" w:cstheme="majorBidi"/>
      <w:b/>
      <w:i/>
      <w:color w:val="404040" w:themeColor="text1" w:themeTint="BF"/>
      <w:sz w:val="20"/>
      <w:szCs w:val="20"/>
    </w:rPr>
  </w:style>
  <w:style w:type="paragraph" w:styleId="Heading9">
    <w:name w:val="heading 9"/>
    <w:basedOn w:val="Normal"/>
    <w:next w:val="Normal"/>
    <w:link w:val="Heading9Char"/>
    <w:uiPriority w:val="9"/>
    <w:unhideWhenUsed/>
    <w:qFormat/>
    <w:rsid w:val="00CD7E26"/>
    <w:pPr>
      <w:keepNext/>
      <w:keepLines/>
      <w:numPr>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572CC"/>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uiPriority w:val="9"/>
    <w:rsid w:val="00CD7E26"/>
    <w:rPr>
      <w:rFonts w:asciiTheme="majorHAnsi" w:eastAsiaTheme="majorEastAsia" w:hAnsiTheme="majorHAnsi" w:cstheme="majorBidi"/>
      <w:b/>
      <w:bCs/>
      <w:i/>
      <w:color w:val="404040" w:themeColor="text1" w:themeTint="BF"/>
      <w:sz w:val="20"/>
      <w:szCs w:val="20"/>
    </w:rPr>
  </w:style>
  <w:style w:type="character" w:customStyle="1" w:styleId="Heading9Char">
    <w:name w:val="Heading 9 Char"/>
    <w:basedOn w:val="DefaultParagraphFont"/>
    <w:link w:val="Heading9"/>
    <w:uiPriority w:val="9"/>
    <w:rsid w:val="00CD7E26"/>
    <w:rPr>
      <w:rFonts w:asciiTheme="majorHAnsi" w:eastAsiaTheme="majorEastAsia" w:hAnsiTheme="majorHAnsi" w:cstheme="majorBidi"/>
      <w:i/>
      <w:iCs/>
      <w:color w:val="404040" w:themeColor="text1" w:themeTint="BF"/>
      <w:sz w:val="20"/>
      <w:szCs w:val="20"/>
    </w:rPr>
  </w:style>
  <w:style w:type="paragraph" w:customStyle="1" w:styleId="Bullet2">
    <w:name w:val="Bullet 2"/>
    <w:basedOn w:val="Normal"/>
    <w:rsid w:val="00CD7E26"/>
    <w:pPr>
      <w:numPr>
        <w:numId w:val="33"/>
      </w:numPr>
      <w:spacing w:after="0" w:line="240" w:lineRule="auto"/>
    </w:pPr>
    <w:rPr>
      <w:rFonts w:eastAsia="Times New Roman"/>
      <w:kern w:val="24"/>
      <w:szCs w:val="24"/>
      <w:lang w:eastAsia="en-AU"/>
    </w:rPr>
  </w:style>
  <w:style w:type="paragraph" w:customStyle="1" w:styleId="Instructions1">
    <w:name w:val="Instructions 1"/>
    <w:basedOn w:val="Normal"/>
    <w:qFormat/>
    <w:rsid w:val="00CD7E26"/>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CD7E26"/>
    <w:pPr>
      <w:numPr>
        <w:numId w:val="34"/>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CD7E26"/>
    <w:pPr>
      <w:shd w:val="clear" w:color="auto" w:fill="D9D9D9" w:themeFill="background1" w:themeFillShade="D9"/>
      <w:tabs>
        <w:tab w:val="left" w:pos="0"/>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CD7E26"/>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CD7E26"/>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CD7E26"/>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CD7E26"/>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CD7E26"/>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CD7E26"/>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CD7E26"/>
    <w:rPr>
      <w:i/>
      <w:color w:val="007099"/>
    </w:rPr>
  </w:style>
  <w:style w:type="paragraph" w:styleId="TableofFigures">
    <w:name w:val="table of figures"/>
    <w:basedOn w:val="Normal"/>
    <w:next w:val="Normal"/>
    <w:uiPriority w:val="99"/>
    <w:unhideWhenUsed/>
    <w:rsid w:val="00CD7E26"/>
    <w:pPr>
      <w:spacing w:after="0"/>
    </w:pPr>
  </w:style>
  <w:style w:type="paragraph" w:styleId="ListParagraph">
    <w:name w:val="List Paragraph"/>
    <w:basedOn w:val="Normal"/>
    <w:uiPriority w:val="34"/>
    <w:qFormat/>
    <w:rsid w:val="00CD7E26"/>
    <w:pPr>
      <w:ind w:left="720"/>
      <w:contextualSpacing/>
    </w:pPr>
  </w:style>
  <w:style w:type="numbering" w:customStyle="1" w:styleId="ListBullets1">
    <w:name w:val="ListBullets1"/>
    <w:uiPriority w:val="99"/>
    <w:locked/>
    <w:rsid w:val="00CD7E26"/>
  </w:style>
  <w:style w:type="numbering" w:customStyle="1" w:styleId="ListBullets2">
    <w:name w:val="ListBullets2"/>
    <w:uiPriority w:val="99"/>
    <w:locked/>
    <w:rsid w:val="00CD7E26"/>
  </w:style>
  <w:style w:type="numbering" w:customStyle="1" w:styleId="ListBullets3">
    <w:name w:val="ListBullets3"/>
    <w:uiPriority w:val="99"/>
    <w:locked/>
    <w:rsid w:val="00CD7E26"/>
  </w:style>
  <w:style w:type="character" w:customStyle="1" w:styleId="Mention1">
    <w:name w:val="Mention1"/>
    <w:basedOn w:val="DefaultParagraphFont"/>
    <w:uiPriority w:val="99"/>
    <w:semiHidden/>
    <w:unhideWhenUsed/>
    <w:rsid w:val="00CD7E26"/>
    <w:rPr>
      <w:color w:val="2B579A"/>
      <w:shd w:val="clear" w:color="auto" w:fill="E6E6E6"/>
    </w:rPr>
  </w:style>
  <w:style w:type="paragraph" w:customStyle="1" w:styleId="Default">
    <w:name w:val="Default"/>
    <w:rsid w:val="00CD7E2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93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header" Target="header8.xml"/><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image" Target="media/image73.emf"/><Relationship Id="rId112" Type="http://schemas.openxmlformats.org/officeDocument/2006/relationships/hyperlink" Target="mailto:info@tga.gov.au" TargetMode="External"/><Relationship Id="rId16" Type="http://schemas.openxmlformats.org/officeDocument/2006/relationships/header" Target="header4.xml"/><Relationship Id="rId107" Type="http://schemas.microsoft.com/office/2007/relationships/hdphoto" Target="media/hdphoto8.wdp"/><Relationship Id="rId11" Type="http://schemas.openxmlformats.org/officeDocument/2006/relationships/hyperlink" Target="mailto:tga.copyright@tga.gov.au"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emf"/><Relationship Id="rId74" Type="http://schemas.openxmlformats.org/officeDocument/2006/relationships/image" Target="media/image58.emf"/><Relationship Id="rId79" Type="http://schemas.openxmlformats.org/officeDocument/2006/relationships/image" Target="media/image63.emf"/><Relationship Id="rId87" Type="http://schemas.openxmlformats.org/officeDocument/2006/relationships/image" Target="media/image71.emf"/><Relationship Id="rId102" Type="http://schemas.openxmlformats.org/officeDocument/2006/relationships/image" Target="media/image81.png"/><Relationship Id="rId110" Type="http://schemas.openxmlformats.org/officeDocument/2006/relationships/image" Target="media/image85.png"/><Relationship Id="rId115"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image" Target="media/image45.emf"/><Relationship Id="rId82" Type="http://schemas.openxmlformats.org/officeDocument/2006/relationships/image" Target="media/image66.emf"/><Relationship Id="rId90" Type="http://schemas.openxmlformats.org/officeDocument/2006/relationships/image" Target="media/image74.emf"/><Relationship Id="rId95" Type="http://schemas.microsoft.com/office/2007/relationships/hdphoto" Target="media/hdphoto2.wdp"/><Relationship Id="rId19" Type="http://schemas.openxmlformats.org/officeDocument/2006/relationships/image" Target="media/image3.emf"/><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image" Target="media/image61.emf"/><Relationship Id="rId100" Type="http://schemas.openxmlformats.org/officeDocument/2006/relationships/image" Target="media/image80.png"/><Relationship Id="rId105" Type="http://schemas.microsoft.com/office/2007/relationships/hdphoto" Target="media/hdphoto7.wdp"/><Relationship Id="rId113" Type="http://schemas.openxmlformats.org/officeDocument/2006/relationships/hyperlink" Target="https://www.tga.gov.au" TargetMode="External"/><Relationship Id="rId11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6.emf"/><Relationship Id="rId80" Type="http://schemas.openxmlformats.org/officeDocument/2006/relationships/image" Target="media/image64.emf"/><Relationship Id="rId85" Type="http://schemas.openxmlformats.org/officeDocument/2006/relationships/image" Target="media/image69.emf"/><Relationship Id="rId93" Type="http://schemas.openxmlformats.org/officeDocument/2006/relationships/image" Target="media/image76.emf"/><Relationship Id="rId98"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103" Type="http://schemas.microsoft.com/office/2007/relationships/hdphoto" Target="media/hdphoto6.wdp"/><Relationship Id="rId108" Type="http://schemas.openxmlformats.org/officeDocument/2006/relationships/image" Target="media/image84.png"/><Relationship Id="rId116" Type="http://schemas.openxmlformats.org/officeDocument/2006/relationships/footer" Target="footer3.xml"/><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78.png"/><Relationship Id="rId111"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png"/><Relationship Id="rId106" Type="http://schemas.openxmlformats.org/officeDocument/2006/relationships/image" Target="media/image83.png"/><Relationship Id="rId114" Type="http://schemas.openxmlformats.org/officeDocument/2006/relationships/header" Target="header6.xml"/><Relationship Id="rId119" Type="http://schemas.openxmlformats.org/officeDocument/2006/relationships/fontTable" Target="fontTable.xml"/><Relationship Id="rId10" Type="http://schemas.openxmlformats.org/officeDocument/2006/relationships/hyperlink" Target="https://www.tga.gov.au/product-information-pi" TargetMode="Externa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image" Target="media/image77.png"/><Relationship Id="rId99" Type="http://schemas.microsoft.com/office/2007/relationships/hdphoto" Target="media/hdphoto4.wdp"/><Relationship Id="rId101" Type="http://schemas.microsoft.com/office/2007/relationships/hdphoto" Target="media/hdphoto5.wdp"/><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image" Target="media/image23.png"/><Relationship Id="rId109" Type="http://schemas.microsoft.com/office/2007/relationships/hdphoto" Target="media/hdphoto9.wdp"/><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microsoft.com/office/2007/relationships/hdphoto" Target="media/hdphoto3.wdp"/><Relationship Id="rId104" Type="http://schemas.openxmlformats.org/officeDocument/2006/relationships/image" Target="media/image82.pn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emf"/><Relationship Id="rId92" Type="http://schemas.microsoft.com/office/2007/relationships/hdphoto" Target="media/hdphoto1.wdp"/><Relationship Id="rId2" Type="http://schemas.openxmlformats.org/officeDocument/2006/relationships/numbering" Target="numbering.xml"/><Relationship Id="rId29" Type="http://schemas.openxmlformats.org/officeDocument/2006/relationships/image" Target="media/image13.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90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49DEA-AAF6-4717-A555-B35D7FF69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19</TotalTime>
  <Pages>110</Pages>
  <Words>27051</Words>
  <Characters>153654</Characters>
  <Application>Microsoft Office Word</Application>
  <DocSecurity>0</DocSecurity>
  <Lines>3939</Lines>
  <Paragraphs>2177</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 TGA</Company>
  <LinksUpToDate>false</LinksUpToDate>
  <CharactersWithSpaces>178528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Cabozantinib</dc:title>
  <dc:subject>prescription medicines</dc:subject>
  <dc:creator>Therapeutic Goods Administration</dc:creator>
  <cp:keywords>AusPARs</cp:keywords>
  <cp:lastModifiedBy>LACK, Janet</cp:lastModifiedBy>
  <cp:revision>3</cp:revision>
  <cp:lastPrinted>2015-09-22T23:53:00Z</cp:lastPrinted>
  <dcterms:created xsi:type="dcterms:W3CDTF">2018-12-05T01:10:00Z</dcterms:created>
  <dcterms:modified xsi:type="dcterms:W3CDTF">2018-12-05T01:29:00Z</dcterms:modified>
</cp:coreProperties>
</file>