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CCA62" w14:textId="778579A9" w:rsidR="00375DF3" w:rsidRPr="00600F91" w:rsidRDefault="00375DF3" w:rsidP="006018AE">
      <w:pPr>
        <w:tabs>
          <w:tab w:val="left" w:pos="284"/>
        </w:tabs>
        <w:spacing w:after="480" w:line="240" w:lineRule="auto"/>
        <w:rPr>
          <w:rFonts w:cs="Times New Roman"/>
        </w:rPr>
      </w:pPr>
      <w:bookmarkStart w:id="0" w:name="_GoBack"/>
      <w:bookmarkEnd w:id="0"/>
      <w:r w:rsidRPr="00600F91">
        <w:rPr>
          <w:rFonts w:cs="Times New Roman"/>
          <w:noProof/>
          <w:lang w:eastAsia="en-AU"/>
        </w:rPr>
        <mc:AlternateContent>
          <mc:Choice Requires="wps">
            <w:drawing>
              <wp:inline distT="0" distB="0" distL="0" distR="0" wp14:anchorId="6659DE0F" wp14:editId="20A8C0DD">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FF7E5" w14:textId="77777777" w:rsidR="00AF2F93" w:rsidRPr="00BE2A26" w:rsidRDefault="00AF2F93" w:rsidP="00375DF3">
                            <w:pPr>
                              <w:spacing w:after="0"/>
                              <w:rPr>
                                <w:rFonts w:ascii="Wingdings 3" w:hAnsi="Wingdings 3"/>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" stroked="f">
                <v:textbox inset="0,0,0,0">
                  <w:txbxContent>
                    <w:p w14:paraId="1F6FF7E5" w14:textId="77777777" w:rsidR="00AF2F93" w:rsidRPr="00BE2A26" w:rsidRDefault="00AF2F93" w:rsidP="00375DF3">
                      <w:pPr>
                        <w:spacing w:after="0"/>
                        <w:rPr>
                          <w:rFonts w:ascii="Wingdings 3" w:hAnsi="Wingdings 3"/>
                        </w:rPr>
                      </w:pPr>
                      <w:r w:rsidRPr="00BE2A26">
                        <w:rPr>
                          <w:rFonts w:ascii="SimSun" w:eastAsia="SimSun" w:hAnsi="SimSun" w:cs="Arial" w:hint="eastAsia"/>
                          <w:sz w:val="40"/>
                        </w:rPr>
                        <w:t>▼</w:t>
                      </w:r>
                    </w:p>
                  </w:txbxContent>
                </v:textbox>
                <w10:anchorlock/>
              </v:shape>
            </w:pict>
          </mc:Fallback>
        </mc:AlternateContent>
      </w:r>
      <w:r w:rsidR="001A3992" w:rsidRPr="00600F91">
        <w:rPr>
          <w:rFonts w:cs="Times New Roman"/>
        </w:rPr>
        <w:t xml:space="preserve">This medicinal product is subject to additional monitoring in Australia. This will allow quick identification of new safety information. Healthcare professionals are asked to report any suspected adverse events at </w:t>
      </w:r>
      <w:hyperlink r:id="rId9" w:history="1">
        <w:r w:rsidR="00C72232" w:rsidRPr="00C430D4">
          <w:rPr>
            <w:rStyle w:val="Hyperlink"/>
            <w:rFonts w:cs="Times New Roman"/>
          </w:rPr>
          <w:t>www.tga.gov.au/reporting-problems</w:t>
        </w:r>
      </w:hyperlink>
      <w:r w:rsidRPr="00600F91">
        <w:rPr>
          <w:rFonts w:cs="Times New Roman"/>
        </w:rPr>
        <w:t>.</w:t>
      </w:r>
    </w:p>
    <w:p w14:paraId="053CB785" w14:textId="77777777" w:rsidR="006018AE" w:rsidRPr="00600F91" w:rsidRDefault="006018AE" w:rsidP="00600F91">
      <w:pPr>
        <w:pStyle w:val="Heading1"/>
        <w:numPr>
          <w:ilvl w:val="0"/>
          <w:numId w:val="0"/>
        </w:numPr>
        <w:spacing w:after="240"/>
        <w:jc w:val="center"/>
        <w:rPr>
          <w:rFonts w:ascii="Times New Roman" w:eastAsia="SimSun" w:hAnsi="Times New Roman" w:cs="Times New Roman"/>
        </w:rPr>
      </w:pPr>
      <w:r w:rsidRPr="00600F91">
        <w:rPr>
          <w:rFonts w:ascii="Times New Roman" w:eastAsia="SimSun" w:hAnsi="Times New Roman" w:cs="Times New Roman"/>
        </w:rPr>
        <w:t>Australian P</w:t>
      </w:r>
      <w:r w:rsidR="00ED31C9" w:rsidRPr="00600F91">
        <w:rPr>
          <w:rFonts w:ascii="Times New Roman" w:eastAsia="SimSun" w:hAnsi="Times New Roman" w:cs="Times New Roman"/>
        </w:rPr>
        <w:t xml:space="preserve">roduct </w:t>
      </w:r>
      <w:r w:rsidRPr="00600F91">
        <w:rPr>
          <w:rFonts w:ascii="Times New Roman" w:eastAsia="SimSun" w:hAnsi="Times New Roman" w:cs="Times New Roman"/>
        </w:rPr>
        <w:t>I</w:t>
      </w:r>
      <w:r w:rsidR="00600F91" w:rsidRPr="00600F91">
        <w:rPr>
          <w:rFonts w:ascii="Times New Roman" w:eastAsia="SimSun" w:hAnsi="Times New Roman" w:cs="Times New Roman"/>
        </w:rPr>
        <w:t xml:space="preserve">nformation </w:t>
      </w:r>
      <w:r w:rsidR="00600F91" w:rsidRPr="00600F91">
        <w:rPr>
          <w:rFonts w:ascii="Times New Roman" w:eastAsia="SimSun" w:hAnsi="Times New Roman" w:cs="Times New Roman"/>
        </w:rPr>
        <w:br/>
      </w:r>
      <w:r w:rsidR="00ED31C9" w:rsidRPr="00600F91">
        <w:rPr>
          <w:rFonts w:ascii="Times New Roman" w:eastAsia="SimSun" w:hAnsi="Times New Roman" w:cs="Times New Roman"/>
          <w:lang w:val="en-GB"/>
        </w:rPr>
        <w:t xml:space="preserve">CABOMETYX </w:t>
      </w:r>
      <w:r w:rsidRPr="00600F91">
        <w:rPr>
          <w:rFonts w:ascii="Times New Roman" w:eastAsia="SimSun" w:hAnsi="Times New Roman" w:cs="Times New Roman"/>
        </w:rPr>
        <w:t>(</w:t>
      </w:r>
      <w:r w:rsidR="00ED31C9" w:rsidRPr="00600F91">
        <w:rPr>
          <w:rFonts w:ascii="Times New Roman" w:hAnsi="Times New Roman" w:cs="Times New Roman"/>
          <w:lang w:val="en-GB"/>
        </w:rPr>
        <w:t>Cabozantinib</w:t>
      </w:r>
      <w:r w:rsidRPr="00600F91">
        <w:rPr>
          <w:rFonts w:ascii="Times New Roman" w:eastAsia="SimSun" w:hAnsi="Times New Roman" w:cs="Times New Roman"/>
        </w:rPr>
        <w:t>)</w:t>
      </w:r>
      <w:r w:rsidR="00600F91" w:rsidRPr="00600F91">
        <w:rPr>
          <w:rFonts w:ascii="Times New Roman" w:eastAsia="SimSun" w:hAnsi="Times New Roman" w:cs="Times New Roman"/>
        </w:rPr>
        <w:t xml:space="preserve"> </w:t>
      </w:r>
      <w:r w:rsidR="00ED31C9" w:rsidRPr="00600F91">
        <w:rPr>
          <w:rFonts w:ascii="Times New Roman" w:eastAsia="SimSun" w:hAnsi="Times New Roman" w:cs="Times New Roman"/>
          <w:lang w:val="en-GB"/>
        </w:rPr>
        <w:t>TABLETS 20, 40 and 60mg</w:t>
      </w:r>
    </w:p>
    <w:p w14:paraId="05591959" w14:textId="77777777" w:rsidR="001A3992" w:rsidRPr="00600F91" w:rsidRDefault="001A3992" w:rsidP="001A3992">
      <w:pPr>
        <w:pStyle w:val="Heading1"/>
        <w:spacing w:before="0" w:after="120"/>
        <w:rPr>
          <w:rFonts w:ascii="Times New Roman" w:hAnsi="Times New Roman" w:cs="Times New Roman"/>
        </w:rPr>
      </w:pPr>
      <w:r w:rsidRPr="00600F91">
        <w:rPr>
          <w:rFonts w:ascii="Times New Roman" w:hAnsi="Times New Roman" w:cs="Times New Roman"/>
        </w:rPr>
        <w:t>Name of the medicine</w:t>
      </w:r>
    </w:p>
    <w:p w14:paraId="462E2F5E" w14:textId="77777777" w:rsidR="00ED31C9" w:rsidRPr="00600F91" w:rsidRDefault="00ED31C9" w:rsidP="00ED31C9">
      <w:pPr>
        <w:rPr>
          <w:rFonts w:cs="Times New Roman"/>
          <w:lang w:val="en-GB"/>
        </w:rPr>
      </w:pPr>
      <w:r w:rsidRPr="00600F91">
        <w:rPr>
          <w:rFonts w:cs="Times New Roman"/>
          <w:lang w:val="en-GB"/>
        </w:rPr>
        <w:t>Cabozantinib (S)-malate</w:t>
      </w:r>
    </w:p>
    <w:p w14:paraId="74DC004A" w14:textId="77777777" w:rsidR="001A3992" w:rsidRDefault="001A3992" w:rsidP="001A3992">
      <w:pPr>
        <w:pStyle w:val="Heading1"/>
        <w:spacing w:before="0" w:after="120"/>
        <w:rPr>
          <w:rFonts w:ascii="Times New Roman" w:hAnsi="Times New Roman" w:cs="Times New Roman"/>
        </w:rPr>
      </w:pPr>
      <w:r w:rsidRPr="00600F91">
        <w:rPr>
          <w:rFonts w:ascii="Times New Roman" w:hAnsi="Times New Roman" w:cs="Times New Roman"/>
        </w:rPr>
        <w:t>Qualitative and quantitative composition</w:t>
      </w:r>
    </w:p>
    <w:p w14:paraId="2EA3CA9B" w14:textId="7E8FF85D" w:rsidR="00E03C13" w:rsidRDefault="00E03C13" w:rsidP="00E03C13">
      <w:pPr>
        <w:rPr>
          <w:lang w:val="en-GB"/>
        </w:rPr>
      </w:pPr>
      <w:r w:rsidRPr="00E03C13">
        <w:rPr>
          <w:lang w:val="en-GB"/>
        </w:rPr>
        <w:t>CABOMETYX tablets contain cabozantinib</w:t>
      </w:r>
      <w:r w:rsidRPr="00E03C13">
        <w:rPr>
          <w:i/>
          <w:lang w:val="en-GB"/>
        </w:rPr>
        <w:t>(S)</w:t>
      </w:r>
      <w:r w:rsidRPr="00E03C13">
        <w:rPr>
          <w:lang w:val="en-GB"/>
        </w:rPr>
        <w:t xml:space="preserve">-malate equivalent to either 20 mg, 40 mg or 60 mg of cabozantinib as the active ingredient. </w:t>
      </w:r>
    </w:p>
    <w:p w14:paraId="29BC94BA" w14:textId="77777777" w:rsidR="009021C3" w:rsidRPr="00E03C13" w:rsidDel="005C2617" w:rsidRDefault="009021C3" w:rsidP="009021C3">
      <w:pPr>
        <w:rPr>
          <w:lang w:val="en-GB"/>
        </w:rPr>
      </w:pPr>
      <w:r w:rsidRPr="00E03C13" w:rsidDel="005C2617">
        <w:rPr>
          <w:lang w:val="en-GB"/>
        </w:rPr>
        <w:t>Cabozantinib (</w:t>
      </w:r>
      <w:r w:rsidRPr="00E03C13" w:rsidDel="005C2617">
        <w:rPr>
          <w:i/>
          <w:lang w:val="en-GB"/>
        </w:rPr>
        <w:t>S</w:t>
      </w:r>
      <w:r w:rsidRPr="00E03C13" w:rsidDel="005C2617">
        <w:rPr>
          <w:lang w:val="en-GB"/>
        </w:rPr>
        <w:t>)-malate is a white to off-white, non-hygroscopic, crystalline substance. It is practically insoluble above pH of 4 and in water.</w:t>
      </w:r>
    </w:p>
    <w:p w14:paraId="29002110" w14:textId="1AF7C87C" w:rsidR="005C2617" w:rsidRPr="00E03C13" w:rsidRDefault="005C2617" w:rsidP="00E03C13">
      <w:pPr>
        <w:rPr>
          <w:lang w:val="en-GB"/>
        </w:rPr>
      </w:pPr>
      <w:r>
        <w:rPr>
          <w:lang w:val="en-GB"/>
        </w:rPr>
        <w:t>For the full list of excipients, see section 6.1 LIST OF EXCIPIENTS.</w:t>
      </w:r>
    </w:p>
    <w:p w14:paraId="5CA06AFB" w14:textId="77777777" w:rsidR="001A3992" w:rsidRDefault="001A3992" w:rsidP="001A3992">
      <w:pPr>
        <w:pStyle w:val="Heading1"/>
        <w:spacing w:before="0" w:after="120"/>
        <w:rPr>
          <w:rFonts w:ascii="Times New Roman" w:hAnsi="Times New Roman" w:cs="Times New Roman"/>
        </w:rPr>
      </w:pPr>
      <w:r w:rsidRPr="00600F91">
        <w:rPr>
          <w:rFonts w:ascii="Times New Roman" w:hAnsi="Times New Roman" w:cs="Times New Roman"/>
        </w:rPr>
        <w:t>Pharmaceutical form</w:t>
      </w:r>
    </w:p>
    <w:p w14:paraId="113514C0" w14:textId="77777777" w:rsidR="00600F91" w:rsidRDefault="00600F91" w:rsidP="00600F91">
      <w:pPr>
        <w:rPr>
          <w:lang w:val="en-GB"/>
        </w:rPr>
      </w:pPr>
      <w:r w:rsidRPr="00600F91">
        <w:rPr>
          <w:lang w:val="en-GB"/>
        </w:rPr>
        <w:t xml:space="preserve">CABOMETYX 20 mg film-coated tablets are yellow, round with no score, and debossed with “XL” on one side and “20” on the other side of the tablet. </w:t>
      </w:r>
    </w:p>
    <w:p w14:paraId="3C69BD00" w14:textId="77777777" w:rsidR="00600F91" w:rsidRDefault="00600F91" w:rsidP="00600F91">
      <w:pPr>
        <w:rPr>
          <w:lang w:val="en-GB"/>
        </w:rPr>
      </w:pPr>
      <w:r w:rsidRPr="00600F91">
        <w:rPr>
          <w:lang w:val="en-GB"/>
        </w:rPr>
        <w:t xml:space="preserve">CABOMETYX 40 mg film-coated tablets are yellow triangle shaped with no score, and debossed with “XL” on one side and “40” on the other side of the tablet. </w:t>
      </w:r>
    </w:p>
    <w:p w14:paraId="3F848C21" w14:textId="77777777" w:rsidR="00600F91" w:rsidRPr="00600F91" w:rsidRDefault="00600F91" w:rsidP="00600F91">
      <w:r w:rsidRPr="00600F91">
        <w:rPr>
          <w:lang w:val="en-GB"/>
        </w:rPr>
        <w:t xml:space="preserve">CABOMETYX 60 mg film-coated tablets are yellow oval shaped with no score, and debossed with “XL” on one side and “60” on the other side of the tablet. </w:t>
      </w:r>
    </w:p>
    <w:p w14:paraId="5B00B3BD" w14:textId="77777777" w:rsidR="001A3992" w:rsidRPr="00600F91" w:rsidRDefault="001A3992" w:rsidP="001A3992">
      <w:pPr>
        <w:pStyle w:val="Heading1"/>
        <w:spacing w:before="0" w:after="120"/>
        <w:rPr>
          <w:rFonts w:ascii="Times New Roman" w:hAnsi="Times New Roman" w:cs="Times New Roman"/>
        </w:rPr>
      </w:pPr>
      <w:r w:rsidRPr="00600F91">
        <w:rPr>
          <w:rFonts w:ascii="Times New Roman" w:hAnsi="Times New Roman" w:cs="Times New Roman"/>
        </w:rPr>
        <w:t>Clinical particulars</w:t>
      </w:r>
    </w:p>
    <w:p w14:paraId="44FC4D20" w14:textId="77777777" w:rsidR="001A3992" w:rsidRDefault="001A3992" w:rsidP="001A3992">
      <w:pPr>
        <w:pStyle w:val="Heading2"/>
        <w:spacing w:before="0" w:after="120"/>
        <w:rPr>
          <w:rFonts w:cs="Times New Roman"/>
        </w:rPr>
      </w:pPr>
      <w:r w:rsidRPr="00600F91">
        <w:rPr>
          <w:rFonts w:cs="Times New Roman"/>
        </w:rPr>
        <w:t xml:space="preserve">Therapeutic indications </w:t>
      </w:r>
    </w:p>
    <w:p w14:paraId="1E279AF2" w14:textId="77777777" w:rsidR="00A122D1" w:rsidRPr="00A122D1" w:rsidRDefault="00A122D1" w:rsidP="00A122D1">
      <w:r w:rsidRPr="00A122D1">
        <w:rPr>
          <w:lang w:val="en-GB"/>
        </w:rPr>
        <w:t>Cabometyx™ is indicated for the treatment of advanced renal cell carcinoma (RCC) in adults following prior treatment with vascular endothelial growth factor targeted therapy.</w:t>
      </w:r>
    </w:p>
    <w:p w14:paraId="706FF2FA" w14:textId="77777777" w:rsidR="001A3992" w:rsidRDefault="001A3992" w:rsidP="001A3992">
      <w:pPr>
        <w:pStyle w:val="Heading2"/>
        <w:spacing w:before="0" w:after="120"/>
        <w:rPr>
          <w:rFonts w:cs="Times New Roman"/>
        </w:rPr>
      </w:pPr>
      <w:r w:rsidRPr="00600F91">
        <w:rPr>
          <w:rFonts w:cs="Times New Roman"/>
        </w:rPr>
        <w:t xml:space="preserve">Dose and method of administration </w:t>
      </w:r>
    </w:p>
    <w:p w14:paraId="11C96273" w14:textId="77777777" w:rsidR="002063C4" w:rsidRPr="002063C4" w:rsidRDefault="002063C4" w:rsidP="002063C4">
      <w:pPr>
        <w:rPr>
          <w:lang w:val="en-GB"/>
        </w:rPr>
      </w:pPr>
      <w:r w:rsidRPr="002063C4">
        <w:rPr>
          <w:lang w:val="en-GB"/>
        </w:rPr>
        <w:t>Therapy with CABOMETYX should be initiated by a physician experienced in the administration of anticancer medicinal products.</w:t>
      </w:r>
    </w:p>
    <w:p w14:paraId="75D2928B" w14:textId="77777777" w:rsidR="002063C4" w:rsidRPr="002063C4" w:rsidRDefault="002063C4" w:rsidP="002063C4">
      <w:pPr>
        <w:rPr>
          <w:lang w:val="en-GB"/>
        </w:rPr>
      </w:pPr>
      <w:r w:rsidRPr="002063C4">
        <w:rPr>
          <w:lang w:val="en-GB"/>
        </w:rPr>
        <w:t xml:space="preserve">The recommended dose of CABOMETYX is 60 mg once daily. Treatment should continue until the patient is no longer clinically benefiting from therapy or until unacceptable toxicity occurs. </w:t>
      </w:r>
    </w:p>
    <w:p w14:paraId="2A4CC440" w14:textId="478698DA" w:rsidR="002063C4" w:rsidRPr="002063C4" w:rsidRDefault="002063C4" w:rsidP="002063C4">
      <w:pPr>
        <w:rPr>
          <w:lang w:val="en-GB"/>
        </w:rPr>
      </w:pPr>
      <w:r w:rsidRPr="002063C4">
        <w:rPr>
          <w:lang w:val="en-GB"/>
        </w:rPr>
        <w:t xml:space="preserve"> Management of suspected adverse drug reactions may require temporary interruption and/or dose reduction of CABOMETYX therapy (see </w:t>
      </w:r>
      <w:r w:rsidRPr="002063C4">
        <w:rPr>
          <w:lang w:val="en-GB"/>
        </w:rPr>
        <w:fldChar w:fldCharType="begin"/>
      </w:r>
      <w:r w:rsidRPr="002063C4">
        <w:rPr>
          <w:lang w:val="en-GB"/>
        </w:rPr>
        <w:instrText xml:space="preserve"> REF _Ref467342143 \h  \* MERGEFORMAT </w:instrText>
      </w:r>
      <w:r w:rsidRPr="002063C4">
        <w:rPr>
          <w:lang w:val="en-GB"/>
        </w:rPr>
      </w:r>
      <w:r w:rsidRPr="002063C4">
        <w:rPr>
          <w:lang w:val="en-GB"/>
        </w:rPr>
        <w:fldChar w:fldCharType="separate"/>
      </w:r>
      <w:r w:rsidR="00274F80" w:rsidRPr="00274F80">
        <w:rPr>
          <w:lang w:val="en-GB"/>
        </w:rPr>
        <w:t>Table 1</w:t>
      </w:r>
      <w:r w:rsidRPr="002063C4">
        <w:fldChar w:fldCharType="end"/>
      </w:r>
      <w:r w:rsidRPr="002063C4">
        <w:rPr>
          <w:lang w:val="en-GB"/>
        </w:rPr>
        <w:t xml:space="preserve"> and </w:t>
      </w:r>
      <w:r w:rsidR="00C6374B">
        <w:rPr>
          <w:lang w:val="en-GB"/>
        </w:rPr>
        <w:t xml:space="preserve">Section 4.4 SPECIAL </w:t>
      </w:r>
      <w:r w:rsidR="00C6374B">
        <w:rPr>
          <w:lang w:val="en-GB"/>
        </w:rPr>
        <w:lastRenderedPageBreak/>
        <w:t xml:space="preserve">WARNINGS AND </w:t>
      </w:r>
      <w:r w:rsidRPr="002063C4">
        <w:rPr>
          <w:lang w:val="en-GB"/>
        </w:rPr>
        <w:t>PRECAUTIONS</w:t>
      </w:r>
      <w:r w:rsidR="00C6374B">
        <w:rPr>
          <w:lang w:val="en-GB"/>
        </w:rPr>
        <w:t xml:space="preserve"> FOR USE</w:t>
      </w:r>
      <w:r w:rsidRPr="002063C4">
        <w:rPr>
          <w:lang w:val="en-GB"/>
        </w:rPr>
        <w:t xml:space="preserve">). When dose reduction is necessary, it is recommended to reduce to 40 mg daily, and then to 20 mg daily. Dose interruptions are recommended for management of CTCAE grade 3 or greater toxicities or intolerable grade 2 toxicities. Dose reductions are recommended for events that, if persistent, could become serious or intolerable. </w:t>
      </w:r>
    </w:p>
    <w:p w14:paraId="5E119880" w14:textId="77777777" w:rsidR="002063C4" w:rsidRPr="002063C4" w:rsidRDefault="002063C4" w:rsidP="002063C4">
      <w:pPr>
        <w:rPr>
          <w:lang w:val="en-GB"/>
        </w:rPr>
      </w:pPr>
      <w:r w:rsidRPr="002063C4">
        <w:rPr>
          <w:lang w:val="en-GB"/>
        </w:rPr>
        <w:t xml:space="preserve"> If a patient misses a dose, the missed dose should not be taken if it is less than 12 hours before the next dose.</w:t>
      </w:r>
    </w:p>
    <w:p w14:paraId="64144AC1" w14:textId="6F48F4A3" w:rsidR="002063C4" w:rsidRPr="002063C4" w:rsidRDefault="002063C4" w:rsidP="002063C4">
      <w:pPr>
        <w:rPr>
          <w:b/>
          <w:bCs/>
          <w:lang w:val="en-GB"/>
        </w:rPr>
      </w:pPr>
      <w:bookmarkStart w:id="1" w:name="_Ref467342143"/>
      <w:r w:rsidRPr="002063C4">
        <w:rPr>
          <w:b/>
          <w:bCs/>
          <w:lang w:val="en-GB"/>
        </w:rPr>
        <w:t xml:space="preserve">Table </w:t>
      </w:r>
      <w:r w:rsidRPr="002063C4">
        <w:rPr>
          <w:b/>
          <w:bCs/>
          <w:lang w:val="en-GB"/>
        </w:rPr>
        <w:fldChar w:fldCharType="begin"/>
      </w:r>
      <w:r w:rsidRPr="002063C4">
        <w:rPr>
          <w:b/>
          <w:bCs/>
          <w:lang w:val="en-GB"/>
        </w:rPr>
        <w:instrText xml:space="preserve"> SEQ Table \* ARABIC </w:instrText>
      </w:r>
      <w:r w:rsidRPr="002063C4">
        <w:rPr>
          <w:b/>
          <w:bCs/>
          <w:lang w:val="en-GB"/>
        </w:rPr>
        <w:fldChar w:fldCharType="separate"/>
      </w:r>
      <w:r w:rsidR="00274F80">
        <w:rPr>
          <w:b/>
          <w:bCs/>
          <w:noProof/>
          <w:lang w:val="en-GB"/>
        </w:rPr>
        <w:t>1</w:t>
      </w:r>
      <w:r w:rsidRPr="002063C4">
        <w:fldChar w:fldCharType="end"/>
      </w:r>
      <w:bookmarkEnd w:id="1"/>
      <w:r w:rsidRPr="002063C4">
        <w:rPr>
          <w:b/>
          <w:bCs/>
          <w:lang w:val="en-GB"/>
        </w:rPr>
        <w:t>: Recommended CABOMETYX dose modifications for adverse reactions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4618"/>
      </w:tblGrid>
      <w:tr w:rsidR="002063C4" w:rsidRPr="002063C4" w14:paraId="02FB017D" w14:textId="77777777" w:rsidTr="005C4884">
        <w:tc>
          <w:tcPr>
            <w:tcW w:w="4617" w:type="dxa"/>
            <w:shd w:val="clear" w:color="auto" w:fill="auto"/>
          </w:tcPr>
          <w:p w14:paraId="7984A94C" w14:textId="77777777" w:rsidR="002063C4" w:rsidRPr="002063C4" w:rsidRDefault="002063C4" w:rsidP="00C72232">
            <w:pPr>
              <w:spacing w:before="60" w:after="60" w:line="240" w:lineRule="auto"/>
              <w:ind w:right="-51"/>
              <w:rPr>
                <w:b/>
                <w:lang w:val="en-GB"/>
              </w:rPr>
            </w:pPr>
            <w:r w:rsidRPr="002063C4">
              <w:rPr>
                <w:b/>
                <w:lang w:val="en-GB"/>
              </w:rPr>
              <w:t>Adverse reaction and severity</w:t>
            </w:r>
          </w:p>
        </w:tc>
        <w:tc>
          <w:tcPr>
            <w:tcW w:w="4618" w:type="dxa"/>
            <w:shd w:val="clear" w:color="auto" w:fill="auto"/>
          </w:tcPr>
          <w:p w14:paraId="715FCAFB" w14:textId="77777777" w:rsidR="002063C4" w:rsidRPr="002063C4" w:rsidRDefault="002063C4" w:rsidP="00C72232">
            <w:pPr>
              <w:spacing w:before="60" w:after="60" w:line="240" w:lineRule="auto"/>
              <w:ind w:right="-51"/>
              <w:rPr>
                <w:b/>
                <w:lang w:val="en-GB"/>
              </w:rPr>
            </w:pPr>
            <w:r w:rsidRPr="002063C4">
              <w:rPr>
                <w:b/>
                <w:lang w:val="en-GB"/>
              </w:rPr>
              <w:t>Treatment Modification</w:t>
            </w:r>
          </w:p>
        </w:tc>
      </w:tr>
      <w:tr w:rsidR="002063C4" w:rsidRPr="002063C4" w14:paraId="3238DA3A" w14:textId="77777777" w:rsidTr="005C4884">
        <w:tc>
          <w:tcPr>
            <w:tcW w:w="4617" w:type="dxa"/>
            <w:shd w:val="clear" w:color="auto" w:fill="auto"/>
          </w:tcPr>
          <w:p w14:paraId="7274C716" w14:textId="77777777" w:rsidR="002063C4" w:rsidRPr="002063C4" w:rsidRDefault="002063C4" w:rsidP="00C72232">
            <w:pPr>
              <w:spacing w:before="60" w:after="60" w:line="240" w:lineRule="auto"/>
              <w:rPr>
                <w:lang w:val="en-GB"/>
              </w:rPr>
            </w:pPr>
            <w:r w:rsidRPr="002063C4">
              <w:rPr>
                <w:lang w:val="en-GB"/>
              </w:rPr>
              <w:t>Grade 1 and Grade 2 adverse reactions which are tolerable and easily managed</w:t>
            </w:r>
          </w:p>
        </w:tc>
        <w:tc>
          <w:tcPr>
            <w:tcW w:w="4618" w:type="dxa"/>
            <w:shd w:val="clear" w:color="auto" w:fill="auto"/>
          </w:tcPr>
          <w:p w14:paraId="05069D6B" w14:textId="77777777" w:rsidR="002063C4" w:rsidRPr="002063C4" w:rsidRDefault="002063C4" w:rsidP="00C72232">
            <w:pPr>
              <w:spacing w:before="60" w:after="60" w:line="240" w:lineRule="auto"/>
              <w:rPr>
                <w:lang w:val="en-GB"/>
              </w:rPr>
            </w:pPr>
            <w:r w:rsidRPr="002063C4">
              <w:rPr>
                <w:lang w:val="en-GB"/>
              </w:rPr>
              <w:t>Dose adjustment is usually not required.</w:t>
            </w:r>
          </w:p>
          <w:p w14:paraId="69D1D72D" w14:textId="77777777" w:rsidR="002063C4" w:rsidRPr="002063C4" w:rsidRDefault="002063C4" w:rsidP="00C72232">
            <w:pPr>
              <w:spacing w:before="60" w:after="60" w:line="240" w:lineRule="auto"/>
              <w:rPr>
                <w:lang w:val="en-GB"/>
              </w:rPr>
            </w:pPr>
            <w:r w:rsidRPr="002063C4">
              <w:rPr>
                <w:lang w:val="en-GB"/>
              </w:rPr>
              <w:t>Consider adding supportive case as indicated.</w:t>
            </w:r>
          </w:p>
        </w:tc>
      </w:tr>
      <w:tr w:rsidR="002063C4" w:rsidRPr="002063C4" w14:paraId="522F42B2" w14:textId="77777777" w:rsidTr="005C4884">
        <w:tc>
          <w:tcPr>
            <w:tcW w:w="4617" w:type="dxa"/>
            <w:shd w:val="clear" w:color="auto" w:fill="auto"/>
          </w:tcPr>
          <w:p w14:paraId="4A18A6BB" w14:textId="77777777" w:rsidR="002063C4" w:rsidRPr="002063C4" w:rsidRDefault="002063C4" w:rsidP="00C72232">
            <w:pPr>
              <w:spacing w:before="60" w:after="60" w:line="240" w:lineRule="auto"/>
              <w:rPr>
                <w:lang w:val="en-GB"/>
              </w:rPr>
            </w:pPr>
            <w:r w:rsidRPr="002063C4">
              <w:rPr>
                <w:lang w:val="en-GB"/>
              </w:rPr>
              <w:t>Grade 2 adverse reactions which are intolerable and cannot be managed with a dose reduction or supportive care</w:t>
            </w:r>
          </w:p>
        </w:tc>
        <w:tc>
          <w:tcPr>
            <w:tcW w:w="4618" w:type="dxa"/>
            <w:shd w:val="clear" w:color="auto" w:fill="auto"/>
          </w:tcPr>
          <w:p w14:paraId="2EC12E99" w14:textId="77777777" w:rsidR="002063C4" w:rsidRPr="002063C4" w:rsidRDefault="002063C4" w:rsidP="00C72232">
            <w:pPr>
              <w:spacing w:before="60" w:after="60" w:line="240" w:lineRule="auto"/>
              <w:rPr>
                <w:lang w:val="en-GB"/>
              </w:rPr>
            </w:pPr>
            <w:r w:rsidRPr="002063C4">
              <w:rPr>
                <w:lang w:val="en-GB"/>
              </w:rPr>
              <w:t xml:space="preserve">Interrupt treatment until the adverse reaction resolves to Grade ≤1.  </w:t>
            </w:r>
          </w:p>
          <w:p w14:paraId="4425752E" w14:textId="77777777" w:rsidR="002063C4" w:rsidRPr="002063C4" w:rsidRDefault="002063C4" w:rsidP="00C72232">
            <w:pPr>
              <w:spacing w:before="60" w:after="60" w:line="240" w:lineRule="auto"/>
              <w:rPr>
                <w:lang w:val="en-GB"/>
              </w:rPr>
            </w:pPr>
            <w:r w:rsidRPr="002063C4">
              <w:rPr>
                <w:lang w:val="en-GB"/>
              </w:rPr>
              <w:t xml:space="preserve">Add supportive care as indicated. </w:t>
            </w:r>
          </w:p>
          <w:p w14:paraId="6C0D3821" w14:textId="77777777" w:rsidR="002063C4" w:rsidRPr="002063C4" w:rsidRDefault="002063C4" w:rsidP="00C72232">
            <w:pPr>
              <w:spacing w:before="60" w:after="60" w:line="240" w:lineRule="auto"/>
              <w:rPr>
                <w:lang w:val="en-GB"/>
              </w:rPr>
            </w:pPr>
            <w:r w:rsidRPr="002063C4">
              <w:rPr>
                <w:lang w:val="en-GB"/>
              </w:rPr>
              <w:t>Consider re-initiating at a reduced dose.</w:t>
            </w:r>
          </w:p>
        </w:tc>
      </w:tr>
      <w:tr w:rsidR="002063C4" w:rsidRPr="002063C4" w14:paraId="27293FF4" w14:textId="77777777" w:rsidTr="005C4884">
        <w:tc>
          <w:tcPr>
            <w:tcW w:w="4617" w:type="dxa"/>
            <w:shd w:val="clear" w:color="auto" w:fill="auto"/>
          </w:tcPr>
          <w:p w14:paraId="7A1E987A" w14:textId="77777777" w:rsidR="002063C4" w:rsidRPr="002063C4" w:rsidRDefault="002063C4" w:rsidP="00C72232">
            <w:pPr>
              <w:spacing w:before="60" w:after="60" w:line="240" w:lineRule="auto"/>
              <w:rPr>
                <w:lang w:val="en-GB"/>
              </w:rPr>
            </w:pPr>
            <w:r w:rsidRPr="002063C4">
              <w:rPr>
                <w:lang w:val="en-GB"/>
              </w:rPr>
              <w:t>Grade 3 adverse reactions (except clinically nonrelevant laboratory abnormalities)</w:t>
            </w:r>
          </w:p>
        </w:tc>
        <w:tc>
          <w:tcPr>
            <w:tcW w:w="4618" w:type="dxa"/>
            <w:shd w:val="clear" w:color="auto" w:fill="auto"/>
          </w:tcPr>
          <w:p w14:paraId="02CC7D28" w14:textId="77777777" w:rsidR="002063C4" w:rsidRPr="002063C4" w:rsidRDefault="002063C4" w:rsidP="00C72232">
            <w:pPr>
              <w:spacing w:before="60" w:after="60" w:line="240" w:lineRule="auto"/>
              <w:rPr>
                <w:lang w:val="en-GB"/>
              </w:rPr>
            </w:pPr>
            <w:r w:rsidRPr="002063C4">
              <w:rPr>
                <w:lang w:val="en-GB"/>
              </w:rPr>
              <w:t xml:space="preserve">Interrupt treatment until the adverse reaction resolves to Grade ≤1.  </w:t>
            </w:r>
          </w:p>
          <w:p w14:paraId="79EA0C51" w14:textId="77777777" w:rsidR="002063C4" w:rsidRPr="002063C4" w:rsidRDefault="002063C4" w:rsidP="00C72232">
            <w:pPr>
              <w:spacing w:before="60" w:after="60" w:line="240" w:lineRule="auto"/>
              <w:rPr>
                <w:lang w:val="en-GB"/>
              </w:rPr>
            </w:pPr>
            <w:r w:rsidRPr="002063C4">
              <w:rPr>
                <w:lang w:val="en-GB"/>
              </w:rPr>
              <w:t xml:space="preserve">Add supportive care as indicated. </w:t>
            </w:r>
          </w:p>
          <w:p w14:paraId="22E786C0" w14:textId="77777777" w:rsidR="002063C4" w:rsidRPr="002063C4" w:rsidRDefault="002063C4" w:rsidP="00C72232">
            <w:pPr>
              <w:spacing w:before="60" w:after="60" w:line="240" w:lineRule="auto"/>
              <w:rPr>
                <w:lang w:val="en-GB"/>
              </w:rPr>
            </w:pPr>
            <w:r w:rsidRPr="002063C4">
              <w:rPr>
                <w:lang w:val="en-GB"/>
              </w:rPr>
              <w:t>Re-initiate at a reduced dose.</w:t>
            </w:r>
          </w:p>
        </w:tc>
      </w:tr>
      <w:tr w:rsidR="002063C4" w:rsidRPr="002063C4" w14:paraId="33E50016" w14:textId="77777777" w:rsidTr="005C4884">
        <w:tc>
          <w:tcPr>
            <w:tcW w:w="4617" w:type="dxa"/>
            <w:shd w:val="clear" w:color="auto" w:fill="auto"/>
          </w:tcPr>
          <w:p w14:paraId="74874310" w14:textId="77777777" w:rsidR="002063C4" w:rsidRPr="002063C4" w:rsidRDefault="002063C4" w:rsidP="00C72232">
            <w:pPr>
              <w:spacing w:before="60" w:after="60" w:line="240" w:lineRule="auto"/>
              <w:rPr>
                <w:lang w:val="en-GB"/>
              </w:rPr>
            </w:pPr>
            <w:r w:rsidRPr="002063C4">
              <w:rPr>
                <w:lang w:val="en-GB"/>
              </w:rPr>
              <w:t>Grade 4 adverse reactions (except clinically nonrelevant laboratory abnormalities)</w:t>
            </w:r>
          </w:p>
        </w:tc>
        <w:tc>
          <w:tcPr>
            <w:tcW w:w="4618" w:type="dxa"/>
            <w:shd w:val="clear" w:color="auto" w:fill="auto"/>
          </w:tcPr>
          <w:p w14:paraId="0424AB56" w14:textId="77777777" w:rsidR="002063C4" w:rsidRPr="002063C4" w:rsidRDefault="002063C4" w:rsidP="00C72232">
            <w:pPr>
              <w:spacing w:before="60" w:after="60" w:line="240" w:lineRule="auto"/>
              <w:rPr>
                <w:lang w:val="en-GB"/>
              </w:rPr>
            </w:pPr>
            <w:r w:rsidRPr="002063C4">
              <w:rPr>
                <w:lang w:val="en-GB"/>
              </w:rPr>
              <w:t xml:space="preserve">Interrupt treatment.  </w:t>
            </w:r>
          </w:p>
          <w:p w14:paraId="0DCDB2B9" w14:textId="77777777" w:rsidR="002063C4" w:rsidRPr="002063C4" w:rsidRDefault="002063C4" w:rsidP="00C72232">
            <w:pPr>
              <w:spacing w:before="60" w:after="60" w:line="240" w:lineRule="auto"/>
              <w:rPr>
                <w:lang w:val="en-GB"/>
              </w:rPr>
            </w:pPr>
            <w:r w:rsidRPr="002063C4">
              <w:rPr>
                <w:lang w:val="en-GB"/>
              </w:rPr>
              <w:t xml:space="preserve">Institute appropriate medical care. </w:t>
            </w:r>
          </w:p>
          <w:p w14:paraId="274E2AB1" w14:textId="77777777" w:rsidR="002063C4" w:rsidRPr="002063C4" w:rsidRDefault="002063C4" w:rsidP="00C72232">
            <w:pPr>
              <w:spacing w:before="60" w:after="60" w:line="240" w:lineRule="auto"/>
              <w:rPr>
                <w:lang w:val="en-GB"/>
              </w:rPr>
            </w:pPr>
            <w:r w:rsidRPr="002063C4">
              <w:rPr>
                <w:lang w:val="en-GB"/>
              </w:rPr>
              <w:t xml:space="preserve">If adverse reaction resolves to Grade ≤1, re-initiate at a reduced dose. </w:t>
            </w:r>
          </w:p>
          <w:p w14:paraId="7CC886B6" w14:textId="77777777" w:rsidR="002063C4" w:rsidRPr="002063C4" w:rsidRDefault="002063C4" w:rsidP="00C72232">
            <w:pPr>
              <w:spacing w:before="60" w:after="60" w:line="240" w:lineRule="auto"/>
              <w:rPr>
                <w:lang w:val="en-GB"/>
              </w:rPr>
            </w:pPr>
            <w:r w:rsidRPr="002063C4">
              <w:rPr>
                <w:lang w:val="en-GB"/>
              </w:rPr>
              <w:t>If adverse reaction does not resolve, permanently discontinue CABOMETYX.</w:t>
            </w:r>
          </w:p>
        </w:tc>
      </w:tr>
    </w:tbl>
    <w:p w14:paraId="73410B27" w14:textId="77777777" w:rsidR="002063C4" w:rsidRPr="00BD5387" w:rsidRDefault="002063C4" w:rsidP="002063C4">
      <w:pPr>
        <w:rPr>
          <w:sz w:val="20"/>
          <w:szCs w:val="20"/>
          <w:lang w:val="en-GB"/>
        </w:rPr>
      </w:pPr>
      <w:r w:rsidRPr="00BD5387">
        <w:rPr>
          <w:sz w:val="20"/>
          <w:szCs w:val="20"/>
          <w:u w:val="single"/>
          <w:lang w:val="en-GB"/>
        </w:rPr>
        <w:t>Note:</w:t>
      </w:r>
      <w:r w:rsidRPr="00BD5387">
        <w:rPr>
          <w:sz w:val="20"/>
          <w:szCs w:val="20"/>
          <w:lang w:val="en-GB"/>
        </w:rPr>
        <w:t xml:space="preserve"> Toxicity grades are in accordance with National Cancer Institute Common Terminology Criteria for Adverse Events Version 4.0 (NCI-CTCAE v4)</w:t>
      </w:r>
    </w:p>
    <w:p w14:paraId="2155DC18" w14:textId="77777777" w:rsidR="002063C4" w:rsidRPr="002063C4" w:rsidRDefault="002063C4" w:rsidP="004E7FD9">
      <w:pPr>
        <w:pStyle w:val="Heading3"/>
        <w:ind w:left="0"/>
        <w:rPr>
          <w:lang w:val="en-GB"/>
        </w:rPr>
      </w:pPr>
      <w:r w:rsidRPr="002063C4">
        <w:rPr>
          <w:lang w:val="en-GB"/>
        </w:rPr>
        <w:t xml:space="preserve">Special populations </w:t>
      </w:r>
    </w:p>
    <w:p w14:paraId="75E9412F" w14:textId="77777777" w:rsidR="002063C4" w:rsidRPr="002063C4" w:rsidRDefault="002063C4" w:rsidP="00C6374B">
      <w:pPr>
        <w:pStyle w:val="Heading4"/>
        <w:rPr>
          <w:lang w:val="en-GB"/>
        </w:rPr>
      </w:pPr>
      <w:r w:rsidRPr="002063C4">
        <w:rPr>
          <w:lang w:val="en-GB"/>
        </w:rPr>
        <w:t xml:space="preserve">Elderly patients </w:t>
      </w:r>
    </w:p>
    <w:p w14:paraId="10769852" w14:textId="77777777" w:rsidR="002063C4" w:rsidRPr="002063C4" w:rsidRDefault="002063C4" w:rsidP="002063C4">
      <w:pPr>
        <w:rPr>
          <w:lang w:val="en-GB"/>
        </w:rPr>
      </w:pPr>
      <w:r w:rsidRPr="002063C4">
        <w:rPr>
          <w:lang w:val="en-GB"/>
        </w:rPr>
        <w:t xml:space="preserve">No specific dose adjustment for the use of cabozantinib in older people (≥ 65 years) is recommended.  </w:t>
      </w:r>
    </w:p>
    <w:p w14:paraId="30BE392A" w14:textId="77777777" w:rsidR="002063C4" w:rsidRPr="002063C4" w:rsidRDefault="002063C4" w:rsidP="00C6374B">
      <w:pPr>
        <w:pStyle w:val="Heading4"/>
        <w:rPr>
          <w:lang w:val="en-GB"/>
        </w:rPr>
      </w:pPr>
      <w:r w:rsidRPr="002063C4">
        <w:rPr>
          <w:lang w:val="en-GB"/>
        </w:rPr>
        <w:t xml:space="preserve"> Race </w:t>
      </w:r>
    </w:p>
    <w:p w14:paraId="0CA3BCA7" w14:textId="77777777" w:rsidR="002063C4" w:rsidRPr="002063C4" w:rsidRDefault="002063C4" w:rsidP="002063C4">
      <w:pPr>
        <w:rPr>
          <w:lang w:val="en-GB"/>
        </w:rPr>
      </w:pPr>
      <w:r w:rsidRPr="002063C4">
        <w:rPr>
          <w:lang w:val="en-GB"/>
        </w:rPr>
        <w:t xml:space="preserve">There is little experience with cabozantinib in non-White patients.  </w:t>
      </w:r>
    </w:p>
    <w:p w14:paraId="00891595" w14:textId="77777777" w:rsidR="002063C4" w:rsidRPr="002063C4" w:rsidRDefault="002063C4" w:rsidP="00C6374B">
      <w:pPr>
        <w:pStyle w:val="Heading4"/>
        <w:rPr>
          <w:lang w:val="en-GB"/>
        </w:rPr>
      </w:pPr>
      <w:r w:rsidRPr="002063C4">
        <w:rPr>
          <w:lang w:val="en-GB"/>
        </w:rPr>
        <w:t xml:space="preserve"> Patients with renal impairment  </w:t>
      </w:r>
    </w:p>
    <w:p w14:paraId="260DB079" w14:textId="77777777" w:rsidR="002063C4" w:rsidRPr="002063C4" w:rsidRDefault="002063C4" w:rsidP="002063C4">
      <w:pPr>
        <w:rPr>
          <w:lang w:val="en-GB"/>
        </w:rPr>
      </w:pPr>
      <w:r w:rsidRPr="002063C4">
        <w:rPr>
          <w:lang w:val="en-GB"/>
        </w:rPr>
        <w:t xml:space="preserve">Cabozantinib should be used with caution in patients with mild or moderate renal impairment.  Cabozantinib is not recommended for use in patients with severe renal impairment as safety and efficacy have not been established in this population. </w:t>
      </w:r>
    </w:p>
    <w:p w14:paraId="7637E666" w14:textId="77777777" w:rsidR="002063C4" w:rsidRPr="002063C4" w:rsidRDefault="002063C4" w:rsidP="00C6374B">
      <w:pPr>
        <w:pStyle w:val="Heading4"/>
        <w:rPr>
          <w:lang w:val="en-GB"/>
        </w:rPr>
      </w:pPr>
      <w:r w:rsidRPr="002063C4">
        <w:rPr>
          <w:lang w:val="en-GB"/>
        </w:rPr>
        <w:lastRenderedPageBreak/>
        <w:t xml:space="preserve"> Patients with hepatic impairment </w:t>
      </w:r>
    </w:p>
    <w:p w14:paraId="598ED798" w14:textId="77777777" w:rsidR="002063C4" w:rsidRPr="002063C4" w:rsidRDefault="002063C4" w:rsidP="002063C4">
      <w:pPr>
        <w:rPr>
          <w:lang w:val="en-GB"/>
        </w:rPr>
      </w:pPr>
      <w:r w:rsidRPr="002063C4">
        <w:rPr>
          <w:lang w:val="en-GB"/>
        </w:rPr>
        <w:t>In patients with mild or moderate hepatic impairment the recommended dose is 40 mg once daily. Patients should be monitored for adverse events and dose adjustment or treatment interruption should be considered as needed. Cabozantinib is not recommended for use in patients with severe hepatic impairment as safety and efficacy have not been established in this population.</w:t>
      </w:r>
    </w:p>
    <w:p w14:paraId="57F1C01A" w14:textId="77777777" w:rsidR="002063C4" w:rsidRPr="002063C4" w:rsidRDefault="002063C4" w:rsidP="00C6374B">
      <w:pPr>
        <w:pStyle w:val="Heading4"/>
        <w:rPr>
          <w:lang w:val="en-GB"/>
        </w:rPr>
      </w:pPr>
      <w:r w:rsidRPr="002063C4">
        <w:rPr>
          <w:lang w:val="en-GB"/>
        </w:rPr>
        <w:t xml:space="preserve">Patients with cardiac impairment </w:t>
      </w:r>
    </w:p>
    <w:p w14:paraId="70639623" w14:textId="77777777" w:rsidR="002063C4" w:rsidRPr="002063C4" w:rsidRDefault="002063C4" w:rsidP="002063C4">
      <w:pPr>
        <w:rPr>
          <w:lang w:val="en-GB"/>
        </w:rPr>
      </w:pPr>
      <w:r w:rsidRPr="002063C4">
        <w:rPr>
          <w:lang w:val="en-GB"/>
        </w:rPr>
        <w:t xml:space="preserve">There is limited data in patients with cardiac impairment. No specific dosing recommendations can be made. </w:t>
      </w:r>
    </w:p>
    <w:p w14:paraId="37839DBF" w14:textId="77777777" w:rsidR="002063C4" w:rsidRPr="002063C4" w:rsidRDefault="002063C4" w:rsidP="00C6374B">
      <w:pPr>
        <w:pStyle w:val="Heading4"/>
        <w:rPr>
          <w:lang w:val="en-GB"/>
        </w:rPr>
      </w:pPr>
      <w:r w:rsidRPr="002063C4">
        <w:rPr>
          <w:lang w:val="en-GB"/>
        </w:rPr>
        <w:t xml:space="preserve"> Paediatric population </w:t>
      </w:r>
    </w:p>
    <w:p w14:paraId="4F478AEB" w14:textId="77777777" w:rsidR="002063C4" w:rsidRPr="002063C4" w:rsidRDefault="002063C4" w:rsidP="002063C4">
      <w:pPr>
        <w:rPr>
          <w:lang w:val="en-GB"/>
        </w:rPr>
      </w:pPr>
      <w:r w:rsidRPr="002063C4">
        <w:rPr>
          <w:lang w:val="en-GB"/>
        </w:rPr>
        <w:t xml:space="preserve">The safety and efficacy of cabozantinib in children and adolescents aged &lt;18 years have not yet been established. No data are available. </w:t>
      </w:r>
    </w:p>
    <w:p w14:paraId="06A92DBF" w14:textId="77777777" w:rsidR="002063C4" w:rsidRPr="002063C4" w:rsidRDefault="002063C4" w:rsidP="00C6374B">
      <w:pPr>
        <w:pStyle w:val="Heading4"/>
        <w:rPr>
          <w:lang w:val="en-GB"/>
        </w:rPr>
      </w:pPr>
      <w:r w:rsidRPr="002063C4">
        <w:rPr>
          <w:lang w:val="en-GB"/>
        </w:rPr>
        <w:t xml:space="preserve"> Method of administration </w:t>
      </w:r>
    </w:p>
    <w:p w14:paraId="234C99BB" w14:textId="77777777" w:rsidR="002063C4" w:rsidRPr="002063C4" w:rsidRDefault="002063C4" w:rsidP="002063C4">
      <w:pPr>
        <w:rPr>
          <w:lang w:val="en-GB"/>
        </w:rPr>
      </w:pPr>
      <w:r w:rsidRPr="002063C4">
        <w:rPr>
          <w:lang w:val="en-GB"/>
        </w:rPr>
        <w:t>CABOMETYX is for oral use. The tablets should be swallowed whole and not crushed. Patients should be instructed to not eat anything for at least 2 hours before through 1 hour after taking CABOMETYX.</w:t>
      </w:r>
    </w:p>
    <w:p w14:paraId="4CB26E41" w14:textId="77777777" w:rsidR="001A3992" w:rsidRDefault="001A3992" w:rsidP="001A3992">
      <w:pPr>
        <w:pStyle w:val="Heading2"/>
        <w:spacing w:before="0" w:after="120"/>
        <w:rPr>
          <w:rFonts w:cs="Times New Roman"/>
        </w:rPr>
      </w:pPr>
      <w:r w:rsidRPr="00600F91">
        <w:rPr>
          <w:rFonts w:cs="Times New Roman"/>
        </w:rPr>
        <w:t>Contraindications</w:t>
      </w:r>
    </w:p>
    <w:p w14:paraId="743C8CDA" w14:textId="14F7AE2A" w:rsidR="00A122D1" w:rsidRPr="00A122D1" w:rsidRDefault="00A122D1" w:rsidP="00A122D1">
      <w:r w:rsidRPr="00A122D1">
        <w:rPr>
          <w:lang w:val="en-GB"/>
        </w:rPr>
        <w:t xml:space="preserve">Hypersensitivity to the active substance or to any of the excipients (see </w:t>
      </w:r>
      <w:r w:rsidR="00C6374B">
        <w:rPr>
          <w:lang w:val="en-GB"/>
        </w:rPr>
        <w:t xml:space="preserve">Section </w:t>
      </w:r>
      <w:r w:rsidR="003B4662">
        <w:rPr>
          <w:lang w:val="en-GB"/>
        </w:rPr>
        <w:t xml:space="preserve">6.1 LIST OF </w:t>
      </w:r>
      <w:r w:rsidR="003B4662">
        <w:rPr>
          <w:lang w:val="en-GB"/>
        </w:rPr>
        <w:br/>
        <w:t>EXCIPIENTS</w:t>
      </w:r>
      <w:r w:rsidR="00C6374B">
        <w:rPr>
          <w:lang w:val="en-GB"/>
        </w:rPr>
        <w:t xml:space="preserve"> </w:t>
      </w:r>
      <w:r w:rsidRPr="00A122D1">
        <w:rPr>
          <w:lang w:val="en-GB"/>
        </w:rPr>
        <w:t>).</w:t>
      </w:r>
    </w:p>
    <w:p w14:paraId="51F46DD9" w14:textId="77777777" w:rsidR="001A3992" w:rsidRDefault="00E74A56" w:rsidP="001A3992">
      <w:pPr>
        <w:pStyle w:val="Heading2"/>
        <w:spacing w:before="0" w:after="120"/>
        <w:rPr>
          <w:rFonts w:cs="Times New Roman"/>
        </w:rPr>
      </w:pPr>
      <w:r w:rsidRPr="00600F91">
        <w:rPr>
          <w:rFonts w:cs="Times New Roman"/>
        </w:rPr>
        <w:t>Special warnings and p</w:t>
      </w:r>
      <w:r w:rsidR="001A3992" w:rsidRPr="00600F91">
        <w:rPr>
          <w:rFonts w:cs="Times New Roman"/>
        </w:rPr>
        <w:t xml:space="preserve">recautions </w:t>
      </w:r>
      <w:r w:rsidRPr="00600F91">
        <w:rPr>
          <w:rFonts w:cs="Times New Roman"/>
        </w:rPr>
        <w:t>for use</w:t>
      </w:r>
    </w:p>
    <w:p w14:paraId="2926F1FA" w14:textId="77777777" w:rsidR="00A122D1" w:rsidRPr="00A122D1" w:rsidRDefault="00A122D1" w:rsidP="00A122D1">
      <w:pPr>
        <w:rPr>
          <w:lang w:val="en-GB"/>
        </w:rPr>
      </w:pPr>
      <w:r w:rsidRPr="00A122D1">
        <w:rPr>
          <w:lang w:val="en-GB"/>
        </w:rPr>
        <w:t>As most events that require dose modification or interruption can occur early in the course of treatment, the physician should evaluate the patient closely during the first eight weeks of treatment to determine if this is necessary. Events that generally have early onset include hypocalcaemia, hypokalaemia, thrombocytopenia, hypertension, palmar-plantar erythrodysaesthesia syndrome (PPES), proteinuria, and gastrointestinal (GI) events (abdominal pain, mucosal inflammation, const</w:t>
      </w:r>
      <w:r w:rsidR="00C6374B">
        <w:rPr>
          <w:lang w:val="en-GB"/>
        </w:rPr>
        <w:t xml:space="preserve">ipation, diarrhoea, vomiting). </w:t>
      </w:r>
    </w:p>
    <w:p w14:paraId="561DDCFC" w14:textId="7CE15014" w:rsidR="00A122D1" w:rsidRPr="00A122D1" w:rsidRDefault="00A122D1" w:rsidP="00A122D1">
      <w:pPr>
        <w:rPr>
          <w:lang w:val="en-GB"/>
        </w:rPr>
      </w:pPr>
      <w:r w:rsidRPr="00A122D1">
        <w:rPr>
          <w:lang w:val="en-GB"/>
        </w:rPr>
        <w:t xml:space="preserve">Dose reductions and dose interruptions due to an </w:t>
      </w:r>
      <w:r w:rsidR="00D67A72">
        <w:rPr>
          <w:lang w:val="en-GB"/>
        </w:rPr>
        <w:t>adverse event</w:t>
      </w:r>
      <w:r w:rsidR="00D67A72" w:rsidRPr="00A122D1">
        <w:rPr>
          <w:lang w:val="en-GB"/>
        </w:rPr>
        <w:t xml:space="preserve"> </w:t>
      </w:r>
      <w:r w:rsidRPr="00A122D1">
        <w:rPr>
          <w:lang w:val="en-GB"/>
        </w:rPr>
        <w:t>occurred in 59.8% and 70%, respectively, of cabozantinib-treated patients in the pivotal clinical trial. The median daily dose of cabozantinib was 45.3 mg. Two dose reductions were required in 19.3% of patients. The median time to first dose reduction was 55 days, and to first dose interrupt</w:t>
      </w:r>
      <w:r w:rsidR="00C6374B">
        <w:rPr>
          <w:lang w:val="en-GB"/>
        </w:rPr>
        <w:t xml:space="preserve">ion was 38 days. </w:t>
      </w:r>
    </w:p>
    <w:p w14:paraId="52B38F3B" w14:textId="77777777" w:rsidR="00A122D1" w:rsidRPr="00A122D1" w:rsidRDefault="00A122D1" w:rsidP="00A122D1">
      <w:pPr>
        <w:rPr>
          <w:lang w:val="en-GB"/>
        </w:rPr>
      </w:pPr>
      <w:r w:rsidRPr="00A122D1">
        <w:rPr>
          <w:lang w:val="en-GB"/>
        </w:rPr>
        <w:t>Safety and efficacy of cabozantinib has not been evaluated in patients with NMYHA Class 3 or 4 Heart Failure and patients with endob</w:t>
      </w:r>
      <w:r w:rsidR="00C6374B">
        <w:rPr>
          <w:lang w:val="en-GB"/>
        </w:rPr>
        <w:t>ronchial manifestations of RCC.</w:t>
      </w:r>
    </w:p>
    <w:p w14:paraId="4D8AA28C" w14:textId="77777777" w:rsidR="00A122D1" w:rsidRPr="00A122D1" w:rsidRDefault="00A122D1" w:rsidP="004E7FD9">
      <w:pPr>
        <w:pStyle w:val="Heading3"/>
        <w:ind w:left="0"/>
        <w:rPr>
          <w:lang w:val="en-GB"/>
        </w:rPr>
      </w:pPr>
      <w:r w:rsidRPr="00A122D1">
        <w:rPr>
          <w:lang w:val="en-GB"/>
        </w:rPr>
        <w:t xml:space="preserve">Perforations and fistulas  </w:t>
      </w:r>
    </w:p>
    <w:p w14:paraId="5A8AC613" w14:textId="77777777" w:rsidR="00A122D1" w:rsidRPr="00A122D1" w:rsidRDefault="00A122D1" w:rsidP="00A122D1">
      <w:pPr>
        <w:rPr>
          <w:lang w:val="en-GB"/>
        </w:rPr>
      </w:pPr>
      <w:r w:rsidRPr="00A122D1">
        <w:rPr>
          <w:lang w:val="en-GB"/>
        </w:rPr>
        <w:t xml:space="preserve">Serious gastrointestinal (GI) perforations and fistulas, sometimes fatal, have been observed with cabozantinib. Patients who have inflammatory bowel disease (e.g., Crohn’s disease, </w:t>
      </w:r>
      <w:r w:rsidRPr="00A122D1">
        <w:rPr>
          <w:lang w:val="en-GB"/>
        </w:rPr>
        <w:lastRenderedPageBreak/>
        <w:t>ulcerative colitis, peritonitis, diverticulitis, or appendicitis), have tumour infiltration in the GI tract, or have complications from prior GI surgery (particularly when associated with delayed or incomplete healing) should be carefully evaluated before initiating cabozantinib therapy and subsequently they should be monitored closely for symptoms of perforations and fistulas including abscesses. Persistent or recurring diarrhoea while on treatment may be a risk factor for the development of anal fistula. Cabozantinib should be discontinued in patients who experience a GI perforation or a fistula that cannot be adequately</w:t>
      </w:r>
      <w:r w:rsidR="00C6374B">
        <w:rPr>
          <w:lang w:val="en-GB"/>
        </w:rPr>
        <w:t xml:space="preserve"> managed. </w:t>
      </w:r>
    </w:p>
    <w:p w14:paraId="18DDB25A" w14:textId="77777777" w:rsidR="00A122D1" w:rsidRPr="00A122D1" w:rsidRDefault="00A122D1" w:rsidP="004E7FD9">
      <w:pPr>
        <w:pStyle w:val="Heading3"/>
        <w:ind w:left="0"/>
        <w:rPr>
          <w:lang w:val="en-GB"/>
        </w:rPr>
      </w:pPr>
      <w:r w:rsidRPr="00A122D1">
        <w:rPr>
          <w:lang w:val="en-GB"/>
        </w:rPr>
        <w:t xml:space="preserve">Thromboembolic events </w:t>
      </w:r>
    </w:p>
    <w:p w14:paraId="0C0FEC4F" w14:textId="77777777" w:rsidR="00A122D1" w:rsidRPr="00A122D1" w:rsidRDefault="00A122D1" w:rsidP="00A122D1">
      <w:pPr>
        <w:rPr>
          <w:lang w:val="en-GB"/>
        </w:rPr>
      </w:pPr>
      <w:r w:rsidRPr="00A122D1">
        <w:rPr>
          <w:lang w:val="en-GB"/>
        </w:rPr>
        <w:t>Events of venous thromboembolism, including pulmonary embolism, and events of arterial thromboembolism have been observed with cabozantinib. Cabozantinib should be used with caution in patients who are at risk for, or who have a history of, these events. Cabozantinib should be discontinued in patients who develop an acute myocardial infarction or any other clinically significant arteria</w:t>
      </w:r>
      <w:r w:rsidR="00C6374B">
        <w:rPr>
          <w:lang w:val="en-GB"/>
        </w:rPr>
        <w:t xml:space="preserve">l thromboembolic complication. </w:t>
      </w:r>
    </w:p>
    <w:p w14:paraId="59E93C5C" w14:textId="77777777" w:rsidR="00A122D1" w:rsidRPr="00A122D1" w:rsidRDefault="00A122D1" w:rsidP="004E7FD9">
      <w:pPr>
        <w:pStyle w:val="Heading3"/>
        <w:ind w:left="0"/>
        <w:rPr>
          <w:lang w:val="en-GB"/>
        </w:rPr>
      </w:pPr>
      <w:r w:rsidRPr="00A122D1">
        <w:rPr>
          <w:lang w:val="en-GB"/>
        </w:rPr>
        <w:t xml:space="preserve">Haemorrhage </w:t>
      </w:r>
    </w:p>
    <w:p w14:paraId="63BD6EF6" w14:textId="77777777" w:rsidR="00A122D1" w:rsidRPr="00C6374B" w:rsidRDefault="00A122D1" w:rsidP="00A122D1">
      <w:pPr>
        <w:rPr>
          <w:lang w:val="en-GB"/>
        </w:rPr>
      </w:pPr>
      <w:r w:rsidRPr="00A122D1">
        <w:rPr>
          <w:lang w:val="en-GB"/>
        </w:rPr>
        <w:t>Severe haemorrhage has been observed with cabozantinib. Patients who have a history of severe bleeding prior to treatment initiation should be carefully evaluated before initiating cabozantinib therapy. Cabozantinib should not be administered to patients that have or are at risk for severe haemo</w:t>
      </w:r>
      <w:r w:rsidR="00C6374B">
        <w:rPr>
          <w:lang w:val="en-GB"/>
        </w:rPr>
        <w:t xml:space="preserve">rrhage. </w:t>
      </w:r>
    </w:p>
    <w:p w14:paraId="7556AF87" w14:textId="77777777" w:rsidR="00A122D1" w:rsidRPr="00A122D1" w:rsidRDefault="00A122D1" w:rsidP="004E7FD9">
      <w:pPr>
        <w:pStyle w:val="Heading3"/>
        <w:ind w:left="0"/>
        <w:rPr>
          <w:lang w:val="en-GB"/>
        </w:rPr>
      </w:pPr>
      <w:r w:rsidRPr="00A122D1">
        <w:rPr>
          <w:lang w:val="en-GB"/>
        </w:rPr>
        <w:t xml:space="preserve">Wound complications </w:t>
      </w:r>
    </w:p>
    <w:p w14:paraId="1998B7EB" w14:textId="77777777" w:rsidR="00A122D1" w:rsidRPr="00A122D1" w:rsidRDefault="00A122D1" w:rsidP="00A122D1">
      <w:pPr>
        <w:rPr>
          <w:lang w:val="en-GB"/>
        </w:rPr>
      </w:pPr>
      <w:r w:rsidRPr="00A122D1">
        <w:rPr>
          <w:lang w:val="en-GB"/>
        </w:rPr>
        <w:t xml:space="preserve">Wound complications have been observed with cabozantinib. Cabozantinib treatment should be stopped at least 28 days prior to scheduled surgery, including dental surgery, if possible. The decision to resume cabozantinib therapy after surgery should be based on clinical judgment of adequate wound healing. Cabozantinib should be discontinued in patients with wound healing complications </w:t>
      </w:r>
      <w:r w:rsidR="00C6374B">
        <w:rPr>
          <w:lang w:val="en-GB"/>
        </w:rPr>
        <w:t>requiring medical intervention.</w:t>
      </w:r>
    </w:p>
    <w:p w14:paraId="12D47F2D" w14:textId="77777777" w:rsidR="00A122D1" w:rsidRPr="00A122D1" w:rsidRDefault="00A122D1" w:rsidP="004E7FD9">
      <w:pPr>
        <w:pStyle w:val="Heading3"/>
        <w:ind w:left="0"/>
        <w:rPr>
          <w:lang w:val="en-GB"/>
        </w:rPr>
      </w:pPr>
      <w:r w:rsidRPr="00A122D1">
        <w:rPr>
          <w:lang w:val="en-GB"/>
        </w:rPr>
        <w:t xml:space="preserve">Hypertension </w:t>
      </w:r>
    </w:p>
    <w:p w14:paraId="7D1F9BCA" w14:textId="77777777" w:rsidR="00A122D1" w:rsidRPr="00A122D1" w:rsidRDefault="00A122D1" w:rsidP="00A122D1">
      <w:pPr>
        <w:rPr>
          <w:lang w:val="en-GB"/>
        </w:rPr>
      </w:pPr>
      <w:r w:rsidRPr="00A122D1">
        <w:rPr>
          <w:lang w:val="en-GB"/>
        </w:rPr>
        <w:t>Hypertension has been observed with cabozantinib. Blood pressure should be well-controlled prior to initiating cabozantinib. During treatment with cabozantinib, all patients should be monitored for hypertension and treated as needed with standard anti-hypertensive therapy. In the case of persistent hypertension despite use of anti-hypertensives, the cabozantinib dose should be reduced. Cabozantinib should be discontinued if hypertension is severe and persistent despite anti-hypertensive therapy and dose reduction of cabozantinib.  In case of hypertensive crisis, caboza</w:t>
      </w:r>
      <w:r w:rsidR="00C6374B">
        <w:rPr>
          <w:lang w:val="en-GB"/>
        </w:rPr>
        <w:t xml:space="preserve">ntinib should be discontinued. </w:t>
      </w:r>
    </w:p>
    <w:p w14:paraId="40A8884C" w14:textId="77777777" w:rsidR="00A122D1" w:rsidRPr="00A122D1" w:rsidRDefault="00A122D1" w:rsidP="004E7FD9">
      <w:pPr>
        <w:pStyle w:val="Heading3"/>
        <w:ind w:left="0"/>
        <w:rPr>
          <w:lang w:val="en-GB"/>
        </w:rPr>
      </w:pPr>
      <w:r w:rsidRPr="00A122D1">
        <w:rPr>
          <w:lang w:val="en-GB"/>
        </w:rPr>
        <w:t>Diarrhoea</w:t>
      </w:r>
    </w:p>
    <w:p w14:paraId="1C81A573" w14:textId="6ACA12C3" w:rsidR="00A122D1" w:rsidRPr="00A122D1" w:rsidRDefault="00A122D1" w:rsidP="00A122D1">
      <w:pPr>
        <w:rPr>
          <w:lang w:val="en-GB"/>
        </w:rPr>
      </w:pPr>
      <w:r w:rsidRPr="00A122D1">
        <w:t xml:space="preserve">Diarrhoea has been observed with cabozantinib, and can be severe. If diarrhoea </w:t>
      </w:r>
      <w:r w:rsidR="00CF21E4">
        <w:t>cannot</w:t>
      </w:r>
      <w:r w:rsidR="00CF21E4" w:rsidRPr="00A122D1">
        <w:t xml:space="preserve"> </w:t>
      </w:r>
      <w:r w:rsidRPr="00A122D1">
        <w:t>be managed with standard antidiarrhoeal treatment, interruption of treatment with cabozantinib should be considered. Cabozantinib should be restarted with a lower dose when diarrhoea has been resolved to grade 1.</w:t>
      </w:r>
    </w:p>
    <w:p w14:paraId="34B4FE73" w14:textId="77777777" w:rsidR="00A122D1" w:rsidRPr="00A122D1" w:rsidRDefault="00A122D1" w:rsidP="004E7FD9">
      <w:pPr>
        <w:pStyle w:val="Heading3"/>
        <w:ind w:left="0"/>
        <w:rPr>
          <w:lang w:val="en-GB"/>
        </w:rPr>
      </w:pPr>
      <w:r w:rsidRPr="00A122D1">
        <w:rPr>
          <w:lang w:val="en-GB"/>
        </w:rPr>
        <w:lastRenderedPageBreak/>
        <w:t xml:space="preserve">Palmar-plantar erythrodysaesthesia syndrome  </w:t>
      </w:r>
    </w:p>
    <w:p w14:paraId="1E925B2B" w14:textId="77777777" w:rsidR="00A122D1" w:rsidRPr="00A122D1" w:rsidRDefault="00A122D1" w:rsidP="00A122D1">
      <w:pPr>
        <w:rPr>
          <w:lang w:val="en-GB"/>
        </w:rPr>
      </w:pPr>
      <w:r w:rsidRPr="00A122D1">
        <w:rPr>
          <w:lang w:val="en-GB"/>
        </w:rPr>
        <w:t>Palmar-plantar erythrodysaesthesia syndrome (PPES) has been observed with cabozantinib.  When PPES is severe, interruption of treatment with cabozantinib should be considered. Cabozantinib should be restarted with a lower dose when PPES</w:t>
      </w:r>
      <w:r w:rsidR="00C6374B">
        <w:rPr>
          <w:lang w:val="en-GB"/>
        </w:rPr>
        <w:t xml:space="preserve"> has been resolved to grade 1. </w:t>
      </w:r>
    </w:p>
    <w:p w14:paraId="6FC04ED8" w14:textId="77777777" w:rsidR="00A122D1" w:rsidRPr="00A122D1" w:rsidRDefault="00A122D1" w:rsidP="004E7FD9">
      <w:pPr>
        <w:pStyle w:val="Heading3"/>
        <w:ind w:left="0"/>
        <w:rPr>
          <w:lang w:val="en-GB"/>
        </w:rPr>
      </w:pPr>
      <w:r w:rsidRPr="00A122D1">
        <w:rPr>
          <w:lang w:val="en-GB"/>
        </w:rPr>
        <w:t xml:space="preserve">Proteinuria </w:t>
      </w:r>
    </w:p>
    <w:p w14:paraId="3F9DA696" w14:textId="77777777" w:rsidR="00A122D1" w:rsidRPr="00A122D1" w:rsidRDefault="00A122D1" w:rsidP="00A122D1">
      <w:pPr>
        <w:rPr>
          <w:lang w:val="en-GB"/>
        </w:rPr>
      </w:pPr>
      <w:r w:rsidRPr="00A122D1">
        <w:rPr>
          <w:lang w:val="en-GB"/>
        </w:rPr>
        <w:t>Proteinuria has been observed with cabozantinib.  Urine protein should be monitored regularly during cabozantinib treatment. Cabozantinib should be discontinued in patients w</w:t>
      </w:r>
      <w:r w:rsidR="00C6374B">
        <w:rPr>
          <w:lang w:val="en-GB"/>
        </w:rPr>
        <w:t xml:space="preserve">ho develop nephrotic syndrome. </w:t>
      </w:r>
    </w:p>
    <w:p w14:paraId="1E0C948C" w14:textId="77777777" w:rsidR="00A122D1" w:rsidRPr="00A122D1" w:rsidRDefault="00A122D1" w:rsidP="004E7FD9">
      <w:pPr>
        <w:pStyle w:val="Heading3"/>
        <w:ind w:left="0"/>
        <w:rPr>
          <w:lang w:val="en-GB"/>
        </w:rPr>
      </w:pPr>
      <w:r w:rsidRPr="00A122D1">
        <w:rPr>
          <w:lang w:val="en-GB"/>
        </w:rPr>
        <w:t xml:space="preserve">Reversible posterior leukoencephalopathy syndrome  </w:t>
      </w:r>
    </w:p>
    <w:p w14:paraId="63AB8058" w14:textId="77777777" w:rsidR="00A122D1" w:rsidRPr="00A122D1" w:rsidRDefault="00A122D1" w:rsidP="00A122D1">
      <w:pPr>
        <w:rPr>
          <w:lang w:val="en-GB"/>
        </w:rPr>
      </w:pPr>
      <w:r w:rsidRPr="00A122D1">
        <w:rPr>
          <w:lang w:val="en-GB"/>
        </w:rPr>
        <w:t>Reversible Posterior Leukoencephalopathy Syndrome (RPLS), also known as Posterior Reversible Encephalopathy Syndrome (PRES), has been observed with cabozantinib. This syndrome should be considered in any patient presenting with multiple symptoms, including seizures, headache, visual disturbances, confusion or altered mental function. Cabozantinib treatment should be disco</w:t>
      </w:r>
      <w:r w:rsidR="00C6374B">
        <w:rPr>
          <w:lang w:val="en-GB"/>
        </w:rPr>
        <w:t xml:space="preserve">ntinued in patients with RPLS. </w:t>
      </w:r>
    </w:p>
    <w:p w14:paraId="4567A6BB" w14:textId="77777777" w:rsidR="00A122D1" w:rsidRPr="00A122D1" w:rsidRDefault="00A122D1" w:rsidP="004E7FD9">
      <w:pPr>
        <w:pStyle w:val="Heading3"/>
        <w:ind w:left="0"/>
        <w:rPr>
          <w:lang w:val="en-GB"/>
        </w:rPr>
      </w:pPr>
      <w:r w:rsidRPr="00A122D1">
        <w:rPr>
          <w:lang w:val="en-GB"/>
        </w:rPr>
        <w:t xml:space="preserve">Prolongation of QT interval  </w:t>
      </w:r>
    </w:p>
    <w:p w14:paraId="347429F4" w14:textId="77777777" w:rsidR="00A122D1" w:rsidRPr="00A122D1" w:rsidRDefault="00A122D1" w:rsidP="00A122D1">
      <w:pPr>
        <w:rPr>
          <w:lang w:val="en-GB"/>
        </w:rPr>
      </w:pPr>
      <w:r w:rsidRPr="00A122D1">
        <w:rPr>
          <w:lang w:val="en-GB"/>
        </w:rPr>
        <w:t>Cabozantinib should be used with caution in patients with a history of QT interval prolongation, patients who are taking antiarrhythmics, or patients with relevant pre-existing cardiac disease, bradycardia, or electrolyte disturbances. When using cabozantinib, periodic monitoring with on-treatment ECGs and electrolytes (serum calcium, potassium, and ma</w:t>
      </w:r>
      <w:r w:rsidR="00C6374B">
        <w:rPr>
          <w:lang w:val="en-GB"/>
        </w:rPr>
        <w:t xml:space="preserve">gnesium) should be considered. </w:t>
      </w:r>
    </w:p>
    <w:p w14:paraId="677A3D32" w14:textId="77777777" w:rsidR="00A122D1" w:rsidRPr="00A122D1" w:rsidRDefault="00A122D1" w:rsidP="004E7FD9">
      <w:pPr>
        <w:pStyle w:val="Heading3"/>
        <w:ind w:left="0"/>
        <w:rPr>
          <w:lang w:val="en-GB"/>
        </w:rPr>
      </w:pPr>
      <w:r w:rsidRPr="00A122D1">
        <w:rPr>
          <w:lang w:val="en-GB"/>
        </w:rPr>
        <w:t xml:space="preserve">Hepatic Function </w:t>
      </w:r>
    </w:p>
    <w:p w14:paraId="578A92E9" w14:textId="77777777" w:rsidR="00A122D1" w:rsidRPr="00A122D1" w:rsidRDefault="00A122D1" w:rsidP="00A122D1">
      <w:pPr>
        <w:rPr>
          <w:lang w:val="en-GB"/>
        </w:rPr>
      </w:pPr>
      <w:r w:rsidRPr="00A122D1">
        <w:rPr>
          <w:lang w:val="en-GB"/>
        </w:rPr>
        <w:t>Liver function should be monitored in patients with known intra-hepatic meta</w:t>
      </w:r>
      <w:r w:rsidR="00C6374B">
        <w:rPr>
          <w:lang w:val="en-GB"/>
        </w:rPr>
        <w:t>stasis as clinically indicated.</w:t>
      </w:r>
    </w:p>
    <w:p w14:paraId="7A32D61F" w14:textId="77777777" w:rsidR="00A122D1" w:rsidRPr="00A122D1" w:rsidRDefault="00A122D1" w:rsidP="004E7FD9">
      <w:pPr>
        <w:pStyle w:val="Heading3"/>
        <w:ind w:left="0"/>
        <w:rPr>
          <w:lang w:val="en-GB"/>
        </w:rPr>
      </w:pPr>
      <w:r w:rsidRPr="00A122D1">
        <w:rPr>
          <w:lang w:val="en-GB"/>
        </w:rPr>
        <w:t xml:space="preserve">CYP3A4 inducers and inhibitors </w:t>
      </w:r>
    </w:p>
    <w:p w14:paraId="0B4D6F88" w14:textId="653EBAA6" w:rsidR="00A122D1" w:rsidRPr="00A122D1" w:rsidRDefault="00A122D1" w:rsidP="00A122D1">
      <w:pPr>
        <w:rPr>
          <w:lang w:val="en-GB"/>
        </w:rPr>
      </w:pPr>
      <w:r w:rsidRPr="00A122D1">
        <w:rPr>
          <w:lang w:val="en-GB"/>
        </w:rPr>
        <w:t xml:space="preserve">Cabozantinib is a CYP3A4 substrate. Concurrent administration of cabozantinib with the strong CYP3A4 inhibitor ketoconazole resulted in an increase in cabozantinib plasma exposure. Caution is required when administering cabozantinib with agents that are strong CYP3A4 inhibitors. Concurrent administration of cabozantinib with the strong CYP3A4 inducer rifampicin resulted in a decrease in cabozantinib plasma exposure. Therefore, chronic administration of agents that are strong CYP3A4 inducers with cabozantinib should be avoided (see </w:t>
      </w:r>
      <w:r w:rsidR="00C6374B">
        <w:rPr>
          <w:lang w:val="en-GB"/>
        </w:rPr>
        <w:t xml:space="preserve">Section 4.2 </w:t>
      </w:r>
      <w:r w:rsidRPr="00A122D1">
        <w:rPr>
          <w:lang w:val="en-GB"/>
        </w:rPr>
        <w:t xml:space="preserve">DOSE and </w:t>
      </w:r>
      <w:r w:rsidR="00C6374B">
        <w:rPr>
          <w:lang w:val="en-GB"/>
        </w:rPr>
        <w:t xml:space="preserve">METHOD of </w:t>
      </w:r>
      <w:r w:rsidRPr="00A122D1">
        <w:rPr>
          <w:lang w:val="en-GB"/>
        </w:rPr>
        <w:t xml:space="preserve">ADMINISTRATION and </w:t>
      </w:r>
      <w:r w:rsidR="00C6374B">
        <w:rPr>
          <w:lang w:val="en-GB"/>
        </w:rPr>
        <w:t xml:space="preserve">Section 4.5 </w:t>
      </w:r>
      <w:r w:rsidRPr="00A122D1">
        <w:rPr>
          <w:lang w:val="en-GB"/>
        </w:rPr>
        <w:t>INTERACTIONS WITH OTHER MEDICINES</w:t>
      </w:r>
      <w:r w:rsidR="00C6374B">
        <w:rPr>
          <w:lang w:val="en-GB"/>
        </w:rPr>
        <w:t xml:space="preserve"> and OTHER FORMS OF INTERACTIONS). </w:t>
      </w:r>
    </w:p>
    <w:p w14:paraId="34BC6915" w14:textId="77777777" w:rsidR="00A122D1" w:rsidRPr="00A122D1" w:rsidRDefault="00A122D1" w:rsidP="004E7FD9">
      <w:pPr>
        <w:pStyle w:val="Heading3"/>
        <w:ind w:left="0"/>
        <w:rPr>
          <w:lang w:val="en-GB"/>
        </w:rPr>
      </w:pPr>
      <w:r w:rsidRPr="00A122D1">
        <w:rPr>
          <w:lang w:val="en-GB"/>
        </w:rPr>
        <w:t xml:space="preserve">P-glycoprotein substrates  </w:t>
      </w:r>
    </w:p>
    <w:p w14:paraId="3B1818B4" w14:textId="77777777" w:rsidR="00A122D1" w:rsidRPr="00C6374B" w:rsidRDefault="00A122D1" w:rsidP="00A122D1">
      <w:pPr>
        <w:rPr>
          <w:lang w:val="en-GB"/>
        </w:rPr>
      </w:pPr>
      <w:r w:rsidRPr="00A122D1">
        <w:rPr>
          <w:lang w:val="en-GB"/>
        </w:rPr>
        <w:t>Cabozantinib was an inhibitor (IC</w:t>
      </w:r>
      <w:r w:rsidRPr="00A122D1">
        <w:rPr>
          <w:vertAlign w:val="subscript"/>
          <w:lang w:val="en-GB"/>
        </w:rPr>
        <w:t>50</w:t>
      </w:r>
      <w:r w:rsidRPr="00A122D1">
        <w:rPr>
          <w:lang w:val="en-GB"/>
        </w:rPr>
        <w:t xml:space="preserve"> = 7.0 μM), but not a substrate, of P-glycoprotein (P-gp) transport activities </w:t>
      </w:r>
      <w:r w:rsidRPr="00A122D1">
        <w:rPr>
          <w:i/>
          <w:lang w:val="en-GB"/>
        </w:rPr>
        <w:t>in vitro</w:t>
      </w:r>
      <w:r w:rsidRPr="00A122D1">
        <w:rPr>
          <w:lang w:val="en-GB"/>
        </w:rPr>
        <w:t xml:space="preserve">. Therefore, cabozantinib may have the potential to increase plasma concentrations of co-administered substrates of P-gp. Subjects should be cautioned regarding taking a P-gp substrate (e.g., fexofenadine, ambrisentan, dabigatran etexilate, digoxin, colchicine, maraviroc, posaconazole, ranolazine, saxagliptin, sitagliptin, talinolol, tolvaptan) </w:t>
      </w:r>
      <w:r w:rsidRPr="00A122D1">
        <w:rPr>
          <w:lang w:val="en-GB"/>
        </w:rPr>
        <w:lastRenderedPageBreak/>
        <w:t>while receiving cabozantinib (see</w:t>
      </w:r>
      <w:r w:rsidR="00C6374B">
        <w:rPr>
          <w:lang w:val="en-GB"/>
        </w:rPr>
        <w:t xml:space="preserve"> Section 4.5</w:t>
      </w:r>
      <w:r w:rsidRPr="00A122D1">
        <w:rPr>
          <w:lang w:val="en-GB"/>
        </w:rPr>
        <w:t xml:space="preserve"> INTERACTIONS WITH OTHER MEDICINES</w:t>
      </w:r>
      <w:r w:rsidR="00C6374B">
        <w:rPr>
          <w:lang w:val="en-GB"/>
        </w:rPr>
        <w:t xml:space="preserve"> and OTHER FORMS OF INTERACTIONS). </w:t>
      </w:r>
    </w:p>
    <w:p w14:paraId="26789592" w14:textId="77777777" w:rsidR="00A122D1" w:rsidRPr="00A122D1" w:rsidRDefault="00A122D1" w:rsidP="004E7FD9">
      <w:pPr>
        <w:pStyle w:val="Heading3"/>
        <w:ind w:left="0"/>
        <w:rPr>
          <w:lang w:val="en-GB"/>
        </w:rPr>
      </w:pPr>
      <w:r w:rsidRPr="00A122D1">
        <w:rPr>
          <w:lang w:val="en-GB"/>
        </w:rPr>
        <w:t xml:space="preserve">MRP2 inhibitors </w:t>
      </w:r>
    </w:p>
    <w:p w14:paraId="7B0ED641" w14:textId="77777777" w:rsidR="00A122D1" w:rsidRPr="00A122D1" w:rsidRDefault="00A122D1" w:rsidP="00A122D1">
      <w:pPr>
        <w:rPr>
          <w:lang w:val="en-GB"/>
        </w:rPr>
      </w:pPr>
      <w:r w:rsidRPr="00A122D1">
        <w:rPr>
          <w:lang w:val="en-GB"/>
        </w:rPr>
        <w:t xml:space="preserve">Administration of MRP2 inhibitors may result in increases in cabozantinib plasma concentrations. Therefore, concomitant use of MRP2 inhibitors (e.g. cyclosporine, efavirenz, emtricitabine) should be approached with caution (see </w:t>
      </w:r>
      <w:r w:rsidR="00C6374B">
        <w:rPr>
          <w:lang w:val="en-GB"/>
        </w:rPr>
        <w:t xml:space="preserve">Section 4.5 </w:t>
      </w:r>
      <w:r w:rsidRPr="00A122D1">
        <w:rPr>
          <w:lang w:val="en-GB"/>
        </w:rPr>
        <w:t>INTERACTIONS WITH OTHER MEDICINES</w:t>
      </w:r>
      <w:r w:rsidR="00C6374B">
        <w:rPr>
          <w:lang w:val="en-GB"/>
        </w:rPr>
        <w:t xml:space="preserve"> and OTHER FORMS OF INTERACTIONS). </w:t>
      </w:r>
    </w:p>
    <w:p w14:paraId="033E821D" w14:textId="77777777" w:rsidR="00A122D1" w:rsidRPr="00A122D1" w:rsidRDefault="00A122D1" w:rsidP="004E7FD9">
      <w:pPr>
        <w:pStyle w:val="Heading3"/>
        <w:ind w:left="0"/>
        <w:rPr>
          <w:lang w:val="en-GB"/>
        </w:rPr>
      </w:pPr>
      <w:r w:rsidRPr="00A122D1">
        <w:rPr>
          <w:lang w:val="en-GB"/>
        </w:rPr>
        <w:t xml:space="preserve">Excipient related warnings </w:t>
      </w:r>
    </w:p>
    <w:p w14:paraId="101247D0" w14:textId="77777777" w:rsidR="00A122D1" w:rsidRPr="00C6374B" w:rsidRDefault="00A122D1" w:rsidP="00A122D1">
      <w:pPr>
        <w:rPr>
          <w:lang w:val="en-GB"/>
        </w:rPr>
      </w:pPr>
      <w:r w:rsidRPr="00A122D1">
        <w:rPr>
          <w:lang w:val="en-GB"/>
        </w:rPr>
        <w:t>Patients with rare hereditary problems of galactose intolerance, the Lapp lactase deficiency or glucose galactose malabsorption</w:t>
      </w:r>
      <w:r w:rsidR="00C6374B">
        <w:rPr>
          <w:lang w:val="en-GB"/>
        </w:rPr>
        <w:t xml:space="preserve"> should not take this medicine.</w:t>
      </w:r>
    </w:p>
    <w:p w14:paraId="2859AFA9" w14:textId="77777777" w:rsidR="001A3992" w:rsidRDefault="001A3992" w:rsidP="004E7FD9">
      <w:pPr>
        <w:pStyle w:val="Heading3"/>
        <w:spacing w:before="0" w:after="120"/>
        <w:ind w:left="0"/>
        <w:rPr>
          <w:rFonts w:cs="Times New Roman"/>
        </w:rPr>
      </w:pPr>
      <w:r w:rsidRPr="00600F91">
        <w:rPr>
          <w:rFonts w:cs="Times New Roman"/>
        </w:rPr>
        <w:t>Use in the elderly</w:t>
      </w:r>
    </w:p>
    <w:p w14:paraId="13B4C09C" w14:textId="77777777" w:rsidR="002063C4" w:rsidRPr="002063C4" w:rsidRDefault="002063C4" w:rsidP="002063C4">
      <w:r w:rsidRPr="002063C4">
        <w:rPr>
          <w:lang w:val="en-GB"/>
        </w:rPr>
        <w:t>No specific dose adjustment for the use of cabozantinib in older people (≥ 65 years) is recommended.</w:t>
      </w:r>
    </w:p>
    <w:p w14:paraId="184DEED3" w14:textId="77777777" w:rsidR="001A3992" w:rsidRDefault="001A3992" w:rsidP="004E7FD9">
      <w:pPr>
        <w:pStyle w:val="Heading3"/>
        <w:spacing w:before="0" w:after="120"/>
        <w:ind w:left="0"/>
        <w:rPr>
          <w:rFonts w:cs="Times New Roman"/>
        </w:rPr>
      </w:pPr>
      <w:r w:rsidRPr="00600F91">
        <w:rPr>
          <w:rFonts w:cs="Times New Roman"/>
        </w:rPr>
        <w:t>Paediatric use</w:t>
      </w:r>
    </w:p>
    <w:p w14:paraId="00CFD971" w14:textId="77777777" w:rsidR="002063C4" w:rsidRPr="002063C4" w:rsidRDefault="002063C4" w:rsidP="002063C4">
      <w:pPr>
        <w:rPr>
          <w:lang w:val="en-GB"/>
        </w:rPr>
      </w:pPr>
      <w:r w:rsidRPr="002063C4">
        <w:rPr>
          <w:lang w:val="en-GB"/>
        </w:rPr>
        <w:t>The safety and efficacy of cabozantinib in children and adolescents aged &lt;18 years have not yet been established. No data are available.</w:t>
      </w:r>
    </w:p>
    <w:p w14:paraId="40D56DC9" w14:textId="50E9A2D3" w:rsidR="002063C4" w:rsidRDefault="002063C4" w:rsidP="002063C4">
      <w:pPr>
        <w:rPr>
          <w:lang w:val="en-GB"/>
        </w:rPr>
      </w:pPr>
      <w:r w:rsidRPr="002063C4">
        <w:rPr>
          <w:lang w:val="en-GB"/>
        </w:rPr>
        <w:t>In juvenile rat studies, target organs for toxicity were generally similar to those seen in adult animals. Tooth abnormalities and whitening as well as effects on bones including reduced bone mineral content and density, physeal hypertrophy, and decreased cortical bone also occurred at all dose levels. Adverse effects on the developing reproductive systems were also noted. The findings in juvenile rats indicate a potential risk for children and adolescents.</w:t>
      </w:r>
    </w:p>
    <w:p w14:paraId="0F4C8BC5" w14:textId="77777777" w:rsidR="00964DA3" w:rsidRDefault="00964DA3" w:rsidP="00964DA3">
      <w:pPr>
        <w:pStyle w:val="Heading3"/>
        <w:spacing w:after="120"/>
        <w:ind w:left="0"/>
      </w:pPr>
      <w:r>
        <w:t>Effects on laboratory tests</w:t>
      </w:r>
    </w:p>
    <w:p w14:paraId="069ABC18" w14:textId="77777777" w:rsidR="00964DA3" w:rsidRDefault="00964DA3" w:rsidP="00964DA3">
      <w:r>
        <w:t>No data available</w:t>
      </w:r>
    </w:p>
    <w:p w14:paraId="56E19887" w14:textId="77777777" w:rsidR="001A3992" w:rsidRDefault="001A3992" w:rsidP="001A3992">
      <w:pPr>
        <w:pStyle w:val="Heading2"/>
        <w:keepNext/>
        <w:keepLines/>
        <w:spacing w:before="0" w:after="120"/>
        <w:rPr>
          <w:rFonts w:cs="Times New Roman"/>
        </w:rPr>
      </w:pPr>
      <w:r w:rsidRPr="00600F91">
        <w:rPr>
          <w:rFonts w:cs="Times New Roman"/>
        </w:rPr>
        <w:t>Interactions with other medicines and other forms of interactions</w:t>
      </w:r>
    </w:p>
    <w:p w14:paraId="27A5568D" w14:textId="77777777" w:rsidR="002063C4" w:rsidRPr="002063C4" w:rsidRDefault="002063C4" w:rsidP="004E7FD9">
      <w:pPr>
        <w:pStyle w:val="Heading3"/>
        <w:ind w:left="0"/>
        <w:rPr>
          <w:lang w:val="en-GB"/>
        </w:rPr>
      </w:pPr>
      <w:r w:rsidRPr="002063C4">
        <w:rPr>
          <w:lang w:val="en-GB"/>
        </w:rPr>
        <w:t xml:space="preserve">Effect of other medicinal products on cabozantinib </w:t>
      </w:r>
    </w:p>
    <w:p w14:paraId="0CF61B18" w14:textId="77777777" w:rsidR="002063C4" w:rsidRPr="002063C4" w:rsidRDefault="002063C4" w:rsidP="002063C4">
      <w:pPr>
        <w:pStyle w:val="Heading4"/>
        <w:rPr>
          <w:lang w:val="en-GB"/>
        </w:rPr>
      </w:pPr>
      <w:r w:rsidRPr="002063C4">
        <w:rPr>
          <w:lang w:val="en-GB"/>
        </w:rPr>
        <w:t xml:space="preserve">CYP3A4 inhibitors and inducers </w:t>
      </w:r>
    </w:p>
    <w:p w14:paraId="587A2037" w14:textId="77777777" w:rsidR="002063C4" w:rsidRPr="002063C4" w:rsidRDefault="002063C4" w:rsidP="002063C4">
      <w:pPr>
        <w:rPr>
          <w:lang w:val="en-GB"/>
        </w:rPr>
      </w:pPr>
      <w:r w:rsidRPr="002063C4">
        <w:rPr>
          <w:lang w:val="en-GB"/>
        </w:rPr>
        <w:t xml:space="preserve">Administration of the strong CYP3A4 inhibitor ketoconazole (400 mg daily for 27 days) to healthy volunteers decreased cabozantinib clearance (by 29%) and increased single-dose plasma cabozantinib exposure (AUC) by 38%. Therefore, co-administration of strong CYP3A4 inhibitors (e.g., ritonavir, itraconazole, erythromycin, clarithromycin, grapefruit juice) with cabozantinib should be approached with caution.  </w:t>
      </w:r>
    </w:p>
    <w:p w14:paraId="6032B62B" w14:textId="77777777" w:rsidR="002063C4" w:rsidRPr="002063C4" w:rsidRDefault="002063C4" w:rsidP="002063C4">
      <w:pPr>
        <w:rPr>
          <w:lang w:val="en-GB"/>
        </w:rPr>
      </w:pPr>
      <w:r w:rsidRPr="002063C4">
        <w:rPr>
          <w:lang w:val="en-GB"/>
        </w:rPr>
        <w:t xml:space="preserve">Administration of the strong CYP3A4 inducer rifampicin (600 mg daily for 31 days) to healthy volunteers increased cabozantinib clearance (4.3-fold) and decreased single-dose plasma cabozantinib exposure (AUC) by 77%. Chronic co-administration of strong CYP3A4 inducers (e.g., phenytoin, carbamazepine, rifampicin, phenobarbital or herbal preparations </w:t>
      </w:r>
      <w:r w:rsidRPr="002063C4">
        <w:rPr>
          <w:lang w:val="en-GB"/>
        </w:rPr>
        <w:lastRenderedPageBreak/>
        <w:t xml:space="preserve">containing St. John’s Wort [Hypericum perforatum]) with cabozantinib should therefore be avoided.  </w:t>
      </w:r>
    </w:p>
    <w:p w14:paraId="148387CF" w14:textId="77777777" w:rsidR="002063C4" w:rsidRPr="002063C4" w:rsidRDefault="002063C4" w:rsidP="002063C4">
      <w:pPr>
        <w:pStyle w:val="Heading4"/>
        <w:rPr>
          <w:lang w:val="en-GB"/>
        </w:rPr>
      </w:pPr>
      <w:r w:rsidRPr="002063C4">
        <w:rPr>
          <w:lang w:val="en-GB"/>
        </w:rPr>
        <w:t xml:space="preserve">Gastric pH modifying agents </w:t>
      </w:r>
    </w:p>
    <w:p w14:paraId="14FDD12A" w14:textId="77777777" w:rsidR="002063C4" w:rsidRPr="002063C4" w:rsidRDefault="002063C4" w:rsidP="002063C4">
      <w:pPr>
        <w:rPr>
          <w:lang w:val="en-GB"/>
        </w:rPr>
      </w:pPr>
      <w:r w:rsidRPr="002063C4">
        <w:rPr>
          <w:lang w:val="en-GB"/>
        </w:rPr>
        <w:t>Co-administration of proton pump inhibitor (PPI) esomeprazole (40 mg daily for 6 days) with a single dose of 100 mg cabozantinib to healthy volunteers resulted in no clinically-significant effect on plasma cabozantinib exposure (AUC). No dose adjustment is indicated when gastric pH modifying agents (i.e., PPIs, H</w:t>
      </w:r>
      <w:r w:rsidRPr="002063C4">
        <w:rPr>
          <w:vertAlign w:val="subscript"/>
          <w:lang w:val="en-GB"/>
        </w:rPr>
        <w:t xml:space="preserve">2 </w:t>
      </w:r>
      <w:r w:rsidRPr="002063C4">
        <w:rPr>
          <w:lang w:val="en-GB"/>
        </w:rPr>
        <w:t>receptor antagonists, and antacids) are co-a</w:t>
      </w:r>
      <w:r w:rsidR="00C6374B">
        <w:rPr>
          <w:lang w:val="en-GB"/>
        </w:rPr>
        <w:t xml:space="preserve">dministered with cabozantinib. </w:t>
      </w:r>
    </w:p>
    <w:p w14:paraId="684DFE3D" w14:textId="77777777" w:rsidR="002063C4" w:rsidRPr="002063C4" w:rsidRDefault="002063C4" w:rsidP="002063C4">
      <w:pPr>
        <w:pStyle w:val="Heading4"/>
        <w:rPr>
          <w:lang w:val="en-GB"/>
        </w:rPr>
      </w:pPr>
      <w:r w:rsidRPr="002063C4">
        <w:rPr>
          <w:lang w:val="en-GB"/>
        </w:rPr>
        <w:t xml:space="preserve">MRP2 inhibitors </w:t>
      </w:r>
    </w:p>
    <w:p w14:paraId="131F5D07" w14:textId="77777777" w:rsidR="002063C4" w:rsidRPr="002063C4" w:rsidRDefault="002063C4" w:rsidP="002063C4">
      <w:pPr>
        <w:rPr>
          <w:lang w:val="en-GB"/>
        </w:rPr>
      </w:pPr>
      <w:r w:rsidRPr="002063C4">
        <w:rPr>
          <w:lang w:val="en-GB"/>
        </w:rPr>
        <w:t>In vitro data demonstrate that cabozantinib is a substrate of MRP2. Therefore, administration of MRP2 inhibitors may result in increases in caboza</w:t>
      </w:r>
      <w:r w:rsidR="00C6374B">
        <w:rPr>
          <w:lang w:val="en-GB"/>
        </w:rPr>
        <w:t xml:space="preserve">ntinib plasma concentrations.  </w:t>
      </w:r>
      <w:r w:rsidRPr="002063C4">
        <w:rPr>
          <w:lang w:val="en-GB"/>
        </w:rPr>
        <w:t xml:space="preserve"> </w:t>
      </w:r>
    </w:p>
    <w:p w14:paraId="35409A7A" w14:textId="77777777" w:rsidR="002063C4" w:rsidRPr="002063C4" w:rsidRDefault="002063C4" w:rsidP="002063C4">
      <w:pPr>
        <w:pStyle w:val="Heading4"/>
        <w:rPr>
          <w:lang w:val="en-GB"/>
        </w:rPr>
      </w:pPr>
      <w:r w:rsidRPr="002063C4">
        <w:rPr>
          <w:lang w:val="en-GB"/>
        </w:rPr>
        <w:t xml:space="preserve">Bile salt-sequestering agents </w:t>
      </w:r>
    </w:p>
    <w:p w14:paraId="0A73185C" w14:textId="328B5D3A" w:rsidR="002063C4" w:rsidRPr="002063C4" w:rsidRDefault="002063C4" w:rsidP="002063C4">
      <w:pPr>
        <w:rPr>
          <w:lang w:val="en-GB"/>
        </w:rPr>
      </w:pPr>
      <w:r w:rsidRPr="002063C4">
        <w:rPr>
          <w:lang w:val="en-GB"/>
        </w:rPr>
        <w:t xml:space="preserve">Bile salt-sequestering agents such as cholestyramine and cholestagel may interact with cabozantinib and may impact absorption (or reabsorption) resulting in potentially decreased exposure (see </w:t>
      </w:r>
      <w:r w:rsidR="00C6374B">
        <w:rPr>
          <w:lang w:val="en-GB"/>
        </w:rPr>
        <w:t>Section 5.2 PHARMACOKINETIC PROPERTIES</w:t>
      </w:r>
      <w:r w:rsidRPr="002063C4">
        <w:rPr>
          <w:lang w:val="en-GB"/>
        </w:rPr>
        <w:t>). The clinical significance of these pote</w:t>
      </w:r>
      <w:r w:rsidR="00C6374B">
        <w:rPr>
          <w:lang w:val="en-GB"/>
        </w:rPr>
        <w:t xml:space="preserve">ntial interactions is unknown. </w:t>
      </w:r>
    </w:p>
    <w:p w14:paraId="7C7A3352" w14:textId="77777777" w:rsidR="002063C4" w:rsidRPr="002063C4" w:rsidRDefault="002063C4" w:rsidP="004E7FD9">
      <w:pPr>
        <w:pStyle w:val="Heading3"/>
        <w:ind w:left="0"/>
        <w:rPr>
          <w:lang w:val="en-GB"/>
        </w:rPr>
      </w:pPr>
      <w:r w:rsidRPr="002063C4">
        <w:rPr>
          <w:lang w:val="en-GB"/>
        </w:rPr>
        <w:t xml:space="preserve">Effect of cabozantinib on other medicinal products </w:t>
      </w:r>
    </w:p>
    <w:p w14:paraId="770FCFF0" w14:textId="77777777" w:rsidR="002063C4" w:rsidRPr="002063C4" w:rsidRDefault="002063C4" w:rsidP="002063C4">
      <w:pPr>
        <w:rPr>
          <w:lang w:val="en-GB"/>
        </w:rPr>
      </w:pPr>
      <w:r w:rsidRPr="002063C4">
        <w:rPr>
          <w:lang w:val="en-GB"/>
        </w:rPr>
        <w:t>The effect of cabozantinib on the pharmacokinetics of contraceptive steroids has not been investigated. As unchanged contraceptive effect may not be guaranteed, an additional contraceptive method, such as a b</w:t>
      </w:r>
      <w:r w:rsidR="00C6374B">
        <w:rPr>
          <w:lang w:val="en-GB"/>
        </w:rPr>
        <w:t xml:space="preserve">arrier method, is recommended. </w:t>
      </w:r>
    </w:p>
    <w:p w14:paraId="34A933D5" w14:textId="27845BA1" w:rsidR="002063C4" w:rsidRPr="002063C4" w:rsidRDefault="002063C4" w:rsidP="002063C4">
      <w:pPr>
        <w:rPr>
          <w:lang w:val="en-GB"/>
        </w:rPr>
      </w:pPr>
      <w:r w:rsidRPr="002063C4">
        <w:rPr>
          <w:lang w:val="en-GB"/>
        </w:rPr>
        <w:t xml:space="preserve">Because of high plasma protein binding levels of cabozantinib (see </w:t>
      </w:r>
      <w:r w:rsidR="00C6374B">
        <w:rPr>
          <w:lang w:val="en-GB"/>
        </w:rPr>
        <w:t>Section 5.2 PHARMACOKINETIC PROPERTIES</w:t>
      </w:r>
      <w:r w:rsidRPr="002063C4">
        <w:rPr>
          <w:lang w:val="en-GB"/>
        </w:rPr>
        <w:t xml:space="preserve">) a plasma protein displacement interaction with warfarin may be possible. In case of such combination, </w:t>
      </w:r>
      <w:r w:rsidR="00C6374B">
        <w:rPr>
          <w:lang w:val="en-GB"/>
        </w:rPr>
        <w:t>INR values should be monitored.</w:t>
      </w:r>
    </w:p>
    <w:p w14:paraId="5A363FC7" w14:textId="77777777" w:rsidR="002063C4" w:rsidRPr="002063C4" w:rsidRDefault="002063C4" w:rsidP="002063C4">
      <w:pPr>
        <w:rPr>
          <w:u w:val="single"/>
          <w:lang w:val="en-GB"/>
        </w:rPr>
      </w:pPr>
      <w:r w:rsidRPr="002063C4">
        <w:rPr>
          <w:u w:val="single"/>
          <w:lang w:val="en-GB"/>
        </w:rPr>
        <w:t xml:space="preserve">P-glycoprotein substrates  </w:t>
      </w:r>
    </w:p>
    <w:p w14:paraId="6E39A77B" w14:textId="77777777" w:rsidR="002063C4" w:rsidRPr="002063C4" w:rsidRDefault="002063C4" w:rsidP="002063C4">
      <w:pPr>
        <w:rPr>
          <w:lang w:val="en-GB"/>
        </w:rPr>
      </w:pPr>
      <w:r w:rsidRPr="002063C4">
        <w:rPr>
          <w:lang w:val="en-GB"/>
        </w:rPr>
        <w:t>Cabozantinib was an inhibitor (IC</w:t>
      </w:r>
      <w:r w:rsidRPr="002063C4">
        <w:rPr>
          <w:vertAlign w:val="subscript"/>
          <w:lang w:val="en-GB"/>
        </w:rPr>
        <w:t>50</w:t>
      </w:r>
      <w:r w:rsidRPr="002063C4">
        <w:rPr>
          <w:lang w:val="en-GB"/>
        </w:rPr>
        <w:t xml:space="preserve"> = 7.0 μM), but not a substrate, of P-gp transport activities </w:t>
      </w:r>
      <w:r w:rsidRPr="002063C4">
        <w:rPr>
          <w:i/>
          <w:lang w:val="en-GB"/>
        </w:rPr>
        <w:t>in vitro</w:t>
      </w:r>
      <w:r w:rsidRPr="002063C4">
        <w:rPr>
          <w:lang w:val="en-GB"/>
        </w:rPr>
        <w:t xml:space="preserve">. Therefore, cabozantinib may have the potential to increase plasma concentrations of co-administered substrates of P-gp. Subjects should be cautioned regarding taking a P-gp substrate (e.g., fexofenadine, ambrisentan, dabigatran etexilate, digoxin, colchicine, maraviroc, posaconazole, saxagliptin, sitagliptin, tolvaptan) while receiving cabozantinib. </w:t>
      </w:r>
    </w:p>
    <w:p w14:paraId="34DB12FE" w14:textId="77777777" w:rsidR="001A3992" w:rsidRPr="00600F91" w:rsidRDefault="001A3992" w:rsidP="001A3992">
      <w:pPr>
        <w:pStyle w:val="Heading2"/>
        <w:spacing w:before="0" w:after="120"/>
        <w:rPr>
          <w:rFonts w:cs="Times New Roman"/>
        </w:rPr>
      </w:pPr>
      <w:r w:rsidRPr="00600F91">
        <w:rPr>
          <w:rFonts w:cs="Times New Roman"/>
        </w:rPr>
        <w:t xml:space="preserve">Fertility, pregnancy and lactation </w:t>
      </w:r>
    </w:p>
    <w:p w14:paraId="5374771C" w14:textId="77777777" w:rsidR="001A3992" w:rsidRDefault="001A3992" w:rsidP="004E7FD9">
      <w:pPr>
        <w:pStyle w:val="Heading3"/>
        <w:spacing w:before="0" w:after="120"/>
        <w:ind w:left="0"/>
        <w:rPr>
          <w:rFonts w:cs="Times New Roman"/>
        </w:rPr>
      </w:pPr>
      <w:r w:rsidRPr="00600F91">
        <w:rPr>
          <w:rFonts w:cs="Times New Roman"/>
        </w:rPr>
        <w:t>Effects on fertility</w:t>
      </w:r>
    </w:p>
    <w:p w14:paraId="360A4909" w14:textId="77777777" w:rsidR="00A122D1" w:rsidRPr="00A122D1" w:rsidRDefault="00A122D1" w:rsidP="00A122D1">
      <w:pPr>
        <w:rPr>
          <w:lang w:val="en-GB"/>
        </w:rPr>
      </w:pPr>
      <w:r w:rsidRPr="00A122D1">
        <w:rPr>
          <w:lang w:val="en-GB"/>
        </w:rPr>
        <w:t>Fertility studies in rats have shown reduced male and female fertility at exposure levels (AUC) similar to human clinical exposure. Further, hypospermatogenesis was observed in male dogs at exposure levels below human clinical exposure levels at intended therapeutic dose.</w:t>
      </w:r>
    </w:p>
    <w:p w14:paraId="43A0AC45" w14:textId="77777777" w:rsidR="00A122D1" w:rsidRPr="00A122D1" w:rsidRDefault="00A122D1" w:rsidP="00A122D1">
      <w:pPr>
        <w:rPr>
          <w:lang w:val="en-GB"/>
        </w:rPr>
      </w:pPr>
      <w:r w:rsidRPr="00A122D1">
        <w:rPr>
          <w:lang w:val="en-GB"/>
        </w:rPr>
        <w:lastRenderedPageBreak/>
        <w:t xml:space="preserve">There are no data on human fertility. Based on non-clinical safety findings, male and female fertility may be compromised by treatment with cabozantinib. Both men and women should be advised to seek advice and consider fertility preservation before treatment. </w:t>
      </w:r>
    </w:p>
    <w:p w14:paraId="05FDB048" w14:textId="77777777" w:rsidR="001A3992" w:rsidRDefault="001A3992" w:rsidP="00964DA3">
      <w:pPr>
        <w:pStyle w:val="Heading3"/>
        <w:spacing w:before="0" w:after="120"/>
        <w:ind w:left="0"/>
        <w:rPr>
          <w:rFonts w:cs="Times New Roman"/>
        </w:rPr>
      </w:pPr>
      <w:r w:rsidRPr="00600F91">
        <w:rPr>
          <w:rFonts w:cs="Times New Roman"/>
        </w:rPr>
        <w:t xml:space="preserve">Use in pregnancy </w:t>
      </w:r>
      <w:r w:rsidR="00A122D1">
        <w:rPr>
          <w:rFonts w:cs="Times New Roman"/>
        </w:rPr>
        <w:t>(Category D)</w:t>
      </w:r>
    </w:p>
    <w:p w14:paraId="70606C21" w14:textId="77777777" w:rsidR="00A122D1" w:rsidRPr="00A122D1" w:rsidRDefault="00A122D1" w:rsidP="00A122D1">
      <w:pPr>
        <w:rPr>
          <w:lang w:val="en-GB"/>
        </w:rPr>
      </w:pPr>
      <w:r w:rsidRPr="00A122D1">
        <w:rPr>
          <w:lang w:val="en-GB"/>
        </w:rPr>
        <w:t>There are no studies in pregnant women using cabozantinib. Studies in animals have shown embryofoetal lethality and teratogenic effects. The potential risk for humans is unknown. Cabozantinib should not be used during pregnancy unless the clinical condition of the woman requires treatment with cabozantinib.</w:t>
      </w:r>
    </w:p>
    <w:p w14:paraId="3E21341C" w14:textId="77777777" w:rsidR="00A122D1" w:rsidRPr="00A122D1" w:rsidRDefault="00A122D1" w:rsidP="00A122D1">
      <w:pPr>
        <w:rPr>
          <w:lang w:val="en-GB"/>
        </w:rPr>
      </w:pPr>
      <w:r w:rsidRPr="00A122D1">
        <w:rPr>
          <w:lang w:val="en-GB"/>
        </w:rPr>
        <w:t xml:space="preserve">Women of childbearing potential must be advised to avoid pregnancy while on cabozantinib. Female partners of male patients taking cabozantinib must also avoid pregnancy. Effective methods of contraception should be used by male and female patients and their partners during therapy, and for at least 4 months after completing therapy. Because oral contraceptives might possibly not be considered as “effective methods of contraception”, they should be used together with another method, such as a barrier method (see </w:t>
      </w:r>
      <w:r w:rsidR="002063C4">
        <w:rPr>
          <w:lang w:val="en-GB"/>
        </w:rPr>
        <w:t xml:space="preserve">Section 4.5 - </w:t>
      </w:r>
      <w:r w:rsidRPr="00A122D1">
        <w:rPr>
          <w:lang w:val="en-GB"/>
        </w:rPr>
        <w:t>INTERACTIONS WITH OTHER MEDICINES</w:t>
      </w:r>
      <w:r>
        <w:rPr>
          <w:lang w:val="en-GB"/>
        </w:rPr>
        <w:t xml:space="preserve"> </w:t>
      </w:r>
      <w:r w:rsidR="002063C4">
        <w:rPr>
          <w:lang w:val="en-GB"/>
        </w:rPr>
        <w:t>AND OTHER FORMS OF INTERACTIONS</w:t>
      </w:r>
      <w:r w:rsidRPr="00A122D1">
        <w:rPr>
          <w:lang w:val="en-GB"/>
        </w:rPr>
        <w:t>).</w:t>
      </w:r>
    </w:p>
    <w:p w14:paraId="1AD8F569" w14:textId="77777777" w:rsidR="00A122D1" w:rsidRPr="00A122D1" w:rsidRDefault="00A122D1" w:rsidP="00A122D1">
      <w:r w:rsidRPr="00A122D1">
        <w:t xml:space="preserve">Cabozantinib crossed the placenta in rats and rabbits. In embryofetal development studies in pregnant rats, daily oral administration of cabozantinib throughout organogenesis caused increased embryofetal lethality at ≥0.03 mg/kg/day. Foetal findings included delayed ossification and skeletal variations at ≥0.01 mg/kg/day and foetal oedema, cleft palate/lip, dermal aplasia and kinked or rudimentary tail at 0.6 mg/kg/day. </w:t>
      </w:r>
    </w:p>
    <w:p w14:paraId="104B6B74" w14:textId="77777777" w:rsidR="00A122D1" w:rsidRPr="00A122D1" w:rsidRDefault="00A122D1" w:rsidP="00A122D1">
      <w:pPr>
        <w:rPr>
          <w:lang w:val="en-GB"/>
        </w:rPr>
      </w:pPr>
      <w:r w:rsidRPr="00A122D1">
        <w:t>In pregnant rabbits, daily oral administration of cabozantinib throughout organogenesis resulted in findings of visceral malformations and variations including reduced spleen size and missing lung lobe at 3 mg/kg/day. Exposures (AUC) at doses causing adverse embryofetal effects in rats and rabbits were well below the human AUC at the recommended dose.</w:t>
      </w:r>
    </w:p>
    <w:p w14:paraId="3865FE5C" w14:textId="77777777" w:rsidR="001A3992" w:rsidRDefault="001A3992" w:rsidP="004E7FD9">
      <w:pPr>
        <w:pStyle w:val="Heading3"/>
        <w:spacing w:before="0" w:after="120"/>
        <w:ind w:left="0"/>
        <w:rPr>
          <w:rFonts w:cs="Times New Roman"/>
        </w:rPr>
      </w:pPr>
      <w:r w:rsidRPr="00600F91">
        <w:rPr>
          <w:rFonts w:cs="Times New Roman"/>
        </w:rPr>
        <w:t xml:space="preserve">Use in lactation. </w:t>
      </w:r>
    </w:p>
    <w:p w14:paraId="3BDBD242" w14:textId="77777777" w:rsidR="00A122D1" w:rsidRPr="00A122D1" w:rsidRDefault="00A122D1" w:rsidP="00A122D1">
      <w:pPr>
        <w:rPr>
          <w:lang w:val="en-GB"/>
        </w:rPr>
      </w:pPr>
      <w:r w:rsidRPr="00A122D1">
        <w:rPr>
          <w:lang w:val="en-GB"/>
        </w:rPr>
        <w:t>It is not known whether cabozantinib and/or its metabolites are excreted in human milk. Cabozantinib appeared to be excreted in the milk of rats as significant levels of cabozantinib were detected in the plasma of breast-fed pups. Because of the potential harm to the infant, mothers should discontinue breast-feeding during treatment with cabozantinib, and for at least 4 months after completing therapy.</w:t>
      </w:r>
    </w:p>
    <w:p w14:paraId="7B1E08B6" w14:textId="77777777" w:rsidR="001A3992" w:rsidRDefault="001A3992" w:rsidP="001A3992">
      <w:pPr>
        <w:pStyle w:val="Heading2"/>
        <w:spacing w:before="0" w:after="120"/>
        <w:rPr>
          <w:rFonts w:cs="Times New Roman"/>
        </w:rPr>
      </w:pPr>
      <w:r w:rsidRPr="00600F91">
        <w:rPr>
          <w:rFonts w:cs="Times New Roman"/>
        </w:rPr>
        <w:t xml:space="preserve">Effects on ability to drive and use machines </w:t>
      </w:r>
    </w:p>
    <w:p w14:paraId="4A412D0C" w14:textId="77777777" w:rsidR="002063C4" w:rsidRPr="002063C4" w:rsidRDefault="002063C4" w:rsidP="002063C4">
      <w:r w:rsidRPr="002063C4">
        <w:rPr>
          <w:lang w:val="en-GB"/>
        </w:rPr>
        <w:t>Cabozantinib has minor influence on the ability to drive and use machines. Adverse reactions such as fatigue and weakness have been associated with cabozantinib.  Therefore, caution should be recommended when driving or operating machines.</w:t>
      </w:r>
    </w:p>
    <w:p w14:paraId="4169F3CF" w14:textId="77777777" w:rsidR="001A3992" w:rsidRDefault="001A3992" w:rsidP="001A3992">
      <w:pPr>
        <w:pStyle w:val="Heading2"/>
        <w:keepNext/>
        <w:keepLines/>
        <w:spacing w:before="0" w:after="120"/>
        <w:rPr>
          <w:rFonts w:cs="Times New Roman"/>
        </w:rPr>
      </w:pPr>
      <w:r w:rsidRPr="00600F91">
        <w:rPr>
          <w:rFonts w:cs="Times New Roman"/>
        </w:rPr>
        <w:lastRenderedPageBreak/>
        <w:t>Adverse effects (Undesirable effects)</w:t>
      </w:r>
    </w:p>
    <w:p w14:paraId="18BB2CDC" w14:textId="7F9BE20A" w:rsidR="002063C4" w:rsidRPr="002063C4" w:rsidRDefault="002063C4" w:rsidP="002063C4">
      <w:r w:rsidRPr="002063C4">
        <w:t>Reporting suspected adverse reactions after registration of the medicinal product is important. It allows continued monitoring of the benefit-risk balance of the medicinal product. Healthcare professionals are asked to report any suspected adverse reactio</w:t>
      </w:r>
      <w:r>
        <w:t xml:space="preserve">ns at </w:t>
      </w:r>
      <w:hyperlink r:id="rId10" w:history="1">
        <w:r w:rsidRPr="00C430D4">
          <w:rPr>
            <w:rStyle w:val="Hyperlink"/>
          </w:rPr>
          <w:t>www.tga.gov.au/reporting-problems</w:t>
        </w:r>
      </w:hyperlink>
      <w:r w:rsidRPr="002063C4">
        <w:t>.</w:t>
      </w:r>
    </w:p>
    <w:p w14:paraId="5FB4B389" w14:textId="77777777" w:rsidR="002063C4" w:rsidRPr="002063C4" w:rsidRDefault="002063C4" w:rsidP="00BB14D8">
      <w:pPr>
        <w:pStyle w:val="Heading3"/>
        <w:ind w:left="0"/>
        <w:rPr>
          <w:lang w:val="en-GB"/>
        </w:rPr>
      </w:pPr>
      <w:r w:rsidRPr="002063C4">
        <w:rPr>
          <w:lang w:val="en-GB"/>
        </w:rPr>
        <w:t>Summary of safety profile</w:t>
      </w:r>
    </w:p>
    <w:p w14:paraId="325870C7" w14:textId="66102C09" w:rsidR="002063C4" w:rsidRPr="002063C4" w:rsidRDefault="002063C4" w:rsidP="002063C4">
      <w:pPr>
        <w:rPr>
          <w:lang w:val="en-GB"/>
        </w:rPr>
      </w:pPr>
      <w:r w:rsidRPr="002063C4">
        <w:rPr>
          <w:lang w:val="en-GB"/>
        </w:rPr>
        <w:t xml:space="preserve">The most common serious adverse reactions associated with cabozantinib are diarrhoea (1.8%), pulmonary embolism (1.5%), fatigue (1.2%) and hypomagnesaemia (1.2%). The most frequent adverse reactions of any grade (experienced by at least 25% of patients) included diarrhoea (74%), fatigue (56%), nausea (50%), decreased appetite (46%), palmar-plantar erythrodysaesthesia syndrome (PPES) (42%), hypertension (37%), vomiting (32%), weight decreased (31%), and constipation (25%). </w:t>
      </w:r>
    </w:p>
    <w:p w14:paraId="05EB4C40" w14:textId="77777777" w:rsidR="002063C4" w:rsidRPr="002063C4" w:rsidRDefault="002063C4" w:rsidP="00BB14D8">
      <w:pPr>
        <w:pStyle w:val="Heading3"/>
        <w:ind w:left="0"/>
        <w:rPr>
          <w:lang w:val="en-GB"/>
        </w:rPr>
      </w:pPr>
      <w:r w:rsidRPr="002063C4">
        <w:rPr>
          <w:lang w:val="en-GB"/>
        </w:rPr>
        <w:t xml:space="preserve"> Tabulated list of adverse reactions </w:t>
      </w:r>
    </w:p>
    <w:p w14:paraId="2ED8F171" w14:textId="0E45CC9B" w:rsidR="002063C4" w:rsidRPr="002063C4" w:rsidRDefault="002063C4" w:rsidP="002063C4">
      <w:pPr>
        <w:rPr>
          <w:lang w:val="en-GB"/>
        </w:rPr>
      </w:pPr>
      <w:r w:rsidRPr="002063C4">
        <w:rPr>
          <w:lang w:val="en-GB"/>
        </w:rPr>
        <w:t xml:space="preserve">Adverse reactions are listed in </w:t>
      </w:r>
      <w:r w:rsidRPr="002063C4">
        <w:rPr>
          <w:lang w:val="en-GB"/>
        </w:rPr>
        <w:fldChar w:fldCharType="begin"/>
      </w:r>
      <w:r w:rsidRPr="002063C4">
        <w:rPr>
          <w:lang w:val="en-GB"/>
        </w:rPr>
        <w:instrText xml:space="preserve"> REF _Ref467341323 \h  \* MERGEFORMAT </w:instrText>
      </w:r>
      <w:r w:rsidRPr="002063C4">
        <w:rPr>
          <w:lang w:val="en-GB"/>
        </w:rPr>
      </w:r>
      <w:r w:rsidRPr="002063C4">
        <w:rPr>
          <w:lang w:val="en-GB"/>
        </w:rPr>
        <w:fldChar w:fldCharType="separate"/>
      </w:r>
      <w:r w:rsidR="00274F80" w:rsidRPr="00274F80">
        <w:rPr>
          <w:lang w:val="en-GB"/>
        </w:rPr>
        <w:t>Table 2</w:t>
      </w:r>
      <w:r w:rsidRPr="002063C4">
        <w:fldChar w:fldCharType="end"/>
      </w:r>
      <w:r w:rsidRPr="002063C4">
        <w:rPr>
          <w:lang w:val="en-GB"/>
        </w:rPr>
        <w:t xml:space="preserve"> according to MedDRA system organ class and frequency categories. Frequencies are based on all grades and defined as: very common (≥1/10), common (≥1/100 to &lt;1/10); uncommon (≥1/1,000 to &lt;1/100). Within each frequency grouping, adverse reactions are presented in order of decreasing seriousness.</w:t>
      </w:r>
    </w:p>
    <w:p w14:paraId="53B34CBF" w14:textId="58EAAF61" w:rsidR="002063C4" w:rsidRPr="002063C4" w:rsidRDefault="002063C4" w:rsidP="005C4884">
      <w:pPr>
        <w:keepNext/>
        <w:rPr>
          <w:bCs/>
          <w:lang w:val="en-GB"/>
        </w:rPr>
      </w:pPr>
      <w:bookmarkStart w:id="2" w:name="_Ref467341323"/>
      <w:r w:rsidRPr="002063C4">
        <w:rPr>
          <w:b/>
          <w:bCs/>
          <w:lang w:val="en-GB"/>
        </w:rPr>
        <w:t xml:space="preserve">Table </w:t>
      </w:r>
      <w:r w:rsidRPr="002063C4">
        <w:rPr>
          <w:b/>
          <w:bCs/>
          <w:lang w:val="en-GB"/>
        </w:rPr>
        <w:fldChar w:fldCharType="begin"/>
      </w:r>
      <w:r w:rsidRPr="002063C4">
        <w:rPr>
          <w:b/>
          <w:bCs/>
          <w:lang w:val="en-GB"/>
        </w:rPr>
        <w:instrText xml:space="preserve"> SEQ Table \* ARABIC </w:instrText>
      </w:r>
      <w:r w:rsidRPr="002063C4">
        <w:rPr>
          <w:b/>
          <w:bCs/>
          <w:lang w:val="en-GB"/>
        </w:rPr>
        <w:fldChar w:fldCharType="separate"/>
      </w:r>
      <w:r w:rsidR="00274F80">
        <w:rPr>
          <w:b/>
          <w:bCs/>
          <w:noProof/>
          <w:lang w:val="en-GB"/>
        </w:rPr>
        <w:t>2</w:t>
      </w:r>
      <w:r w:rsidRPr="002063C4">
        <w:fldChar w:fldCharType="end"/>
      </w:r>
      <w:bookmarkEnd w:id="2"/>
      <w:r w:rsidRPr="002063C4">
        <w:rPr>
          <w:b/>
          <w:bCs/>
          <w:lang w:val="en-GB"/>
        </w:rPr>
        <w:t>: Adverse reactions reported with cabozantinib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268"/>
        <w:gridCol w:w="2127"/>
        <w:gridCol w:w="1897"/>
      </w:tblGrid>
      <w:tr w:rsidR="002063C4" w:rsidRPr="002063C4" w14:paraId="51B7C650" w14:textId="77777777" w:rsidTr="00BB14D8">
        <w:trPr>
          <w:tblHeader/>
        </w:trPr>
        <w:tc>
          <w:tcPr>
            <w:tcW w:w="2943" w:type="dxa"/>
            <w:shd w:val="clear" w:color="auto" w:fill="auto"/>
          </w:tcPr>
          <w:p w14:paraId="20942D48" w14:textId="77777777" w:rsidR="002063C4" w:rsidRPr="002063C4" w:rsidRDefault="002063C4" w:rsidP="00C72232">
            <w:pPr>
              <w:spacing w:before="60" w:after="60" w:line="240" w:lineRule="auto"/>
              <w:rPr>
                <w:b/>
                <w:lang w:val="en-GB"/>
              </w:rPr>
            </w:pPr>
            <w:r w:rsidRPr="002063C4">
              <w:rPr>
                <w:b/>
                <w:lang w:val="en-GB"/>
              </w:rPr>
              <w:t>MedDRA System Organ Class</w:t>
            </w:r>
          </w:p>
        </w:tc>
        <w:tc>
          <w:tcPr>
            <w:tcW w:w="2268" w:type="dxa"/>
            <w:shd w:val="clear" w:color="auto" w:fill="auto"/>
          </w:tcPr>
          <w:p w14:paraId="6F99DA3A" w14:textId="77777777" w:rsidR="002063C4" w:rsidRPr="002063C4" w:rsidRDefault="002063C4" w:rsidP="00C72232">
            <w:pPr>
              <w:spacing w:before="60" w:after="60" w:line="240" w:lineRule="auto"/>
              <w:rPr>
                <w:b/>
                <w:lang w:val="en-GB"/>
              </w:rPr>
            </w:pPr>
            <w:r w:rsidRPr="002063C4">
              <w:rPr>
                <w:b/>
                <w:lang w:val="en-GB"/>
              </w:rPr>
              <w:t>Very Common</w:t>
            </w:r>
          </w:p>
        </w:tc>
        <w:tc>
          <w:tcPr>
            <w:tcW w:w="2127" w:type="dxa"/>
            <w:shd w:val="clear" w:color="auto" w:fill="auto"/>
          </w:tcPr>
          <w:p w14:paraId="7C55D050" w14:textId="77777777" w:rsidR="002063C4" w:rsidRPr="002063C4" w:rsidRDefault="002063C4" w:rsidP="00C72232">
            <w:pPr>
              <w:spacing w:before="60" w:after="60" w:line="240" w:lineRule="auto"/>
              <w:rPr>
                <w:b/>
                <w:lang w:val="en-GB"/>
              </w:rPr>
            </w:pPr>
            <w:r w:rsidRPr="002063C4">
              <w:rPr>
                <w:b/>
                <w:lang w:val="en-GB"/>
              </w:rPr>
              <w:t>Common</w:t>
            </w:r>
          </w:p>
        </w:tc>
        <w:tc>
          <w:tcPr>
            <w:tcW w:w="1897" w:type="dxa"/>
            <w:shd w:val="clear" w:color="auto" w:fill="auto"/>
          </w:tcPr>
          <w:p w14:paraId="032586FA" w14:textId="77777777" w:rsidR="002063C4" w:rsidRPr="002063C4" w:rsidRDefault="002063C4" w:rsidP="00C72232">
            <w:pPr>
              <w:spacing w:before="60" w:after="60" w:line="240" w:lineRule="auto"/>
              <w:rPr>
                <w:b/>
                <w:lang w:val="en-GB"/>
              </w:rPr>
            </w:pPr>
            <w:r w:rsidRPr="002063C4">
              <w:rPr>
                <w:b/>
                <w:lang w:val="en-GB"/>
              </w:rPr>
              <w:t>Uncommon</w:t>
            </w:r>
          </w:p>
        </w:tc>
      </w:tr>
      <w:tr w:rsidR="002063C4" w:rsidRPr="002063C4" w14:paraId="6BB47811" w14:textId="77777777" w:rsidTr="005C4884">
        <w:tc>
          <w:tcPr>
            <w:tcW w:w="2943" w:type="dxa"/>
            <w:shd w:val="clear" w:color="auto" w:fill="auto"/>
          </w:tcPr>
          <w:p w14:paraId="123FCC53" w14:textId="77777777" w:rsidR="002063C4" w:rsidRPr="002063C4" w:rsidRDefault="002063C4" w:rsidP="00C72232">
            <w:pPr>
              <w:spacing w:before="60" w:after="60" w:line="240" w:lineRule="auto"/>
              <w:rPr>
                <w:lang w:val="en-GB"/>
              </w:rPr>
            </w:pPr>
            <w:r w:rsidRPr="002063C4">
              <w:rPr>
                <w:lang w:val="en-GB"/>
              </w:rPr>
              <w:t>Infections and infestations</w:t>
            </w:r>
          </w:p>
        </w:tc>
        <w:tc>
          <w:tcPr>
            <w:tcW w:w="2268" w:type="dxa"/>
            <w:shd w:val="clear" w:color="auto" w:fill="auto"/>
          </w:tcPr>
          <w:p w14:paraId="348E4DCA" w14:textId="77777777" w:rsidR="002063C4" w:rsidRPr="002063C4" w:rsidRDefault="002063C4" w:rsidP="00C72232">
            <w:pPr>
              <w:spacing w:before="60" w:after="60" w:line="240" w:lineRule="auto"/>
              <w:rPr>
                <w:lang w:val="en-GB"/>
              </w:rPr>
            </w:pPr>
          </w:p>
        </w:tc>
        <w:tc>
          <w:tcPr>
            <w:tcW w:w="2127" w:type="dxa"/>
            <w:shd w:val="clear" w:color="auto" w:fill="auto"/>
          </w:tcPr>
          <w:p w14:paraId="524B1CB7" w14:textId="77777777" w:rsidR="002063C4" w:rsidRPr="002063C4" w:rsidRDefault="002063C4" w:rsidP="00C72232">
            <w:pPr>
              <w:spacing w:before="60" w:after="60" w:line="240" w:lineRule="auto"/>
              <w:rPr>
                <w:lang w:val="en-GB"/>
              </w:rPr>
            </w:pPr>
            <w:r w:rsidRPr="002063C4">
              <w:rPr>
                <w:lang w:val="en-GB"/>
              </w:rPr>
              <w:t>abscess</w:t>
            </w:r>
          </w:p>
        </w:tc>
        <w:tc>
          <w:tcPr>
            <w:tcW w:w="1897" w:type="dxa"/>
            <w:shd w:val="clear" w:color="auto" w:fill="auto"/>
          </w:tcPr>
          <w:p w14:paraId="26998C9F" w14:textId="77777777" w:rsidR="002063C4" w:rsidRPr="002063C4" w:rsidRDefault="002063C4" w:rsidP="00C72232">
            <w:pPr>
              <w:spacing w:before="60" w:after="60" w:line="240" w:lineRule="auto"/>
              <w:rPr>
                <w:lang w:val="en-GB"/>
              </w:rPr>
            </w:pPr>
          </w:p>
        </w:tc>
      </w:tr>
      <w:tr w:rsidR="002063C4" w:rsidRPr="002063C4" w14:paraId="1BBF4878" w14:textId="77777777" w:rsidTr="005C4884">
        <w:tc>
          <w:tcPr>
            <w:tcW w:w="2943" w:type="dxa"/>
            <w:shd w:val="clear" w:color="auto" w:fill="auto"/>
          </w:tcPr>
          <w:p w14:paraId="056F08E2" w14:textId="77777777" w:rsidR="002063C4" w:rsidRPr="002063C4" w:rsidRDefault="002063C4" w:rsidP="00C72232">
            <w:pPr>
              <w:spacing w:before="60" w:after="60" w:line="240" w:lineRule="auto"/>
              <w:rPr>
                <w:lang w:val="en-GB"/>
              </w:rPr>
            </w:pPr>
            <w:r w:rsidRPr="002063C4">
              <w:rPr>
                <w:lang w:val="en-GB"/>
              </w:rPr>
              <w:t>Blood and lymphatic disorders</w:t>
            </w:r>
          </w:p>
        </w:tc>
        <w:tc>
          <w:tcPr>
            <w:tcW w:w="2268" w:type="dxa"/>
            <w:shd w:val="clear" w:color="auto" w:fill="auto"/>
          </w:tcPr>
          <w:p w14:paraId="0FB47E60" w14:textId="77777777" w:rsidR="002063C4" w:rsidRPr="002063C4" w:rsidRDefault="002063C4" w:rsidP="00C72232">
            <w:pPr>
              <w:spacing w:before="60" w:after="60" w:line="240" w:lineRule="auto"/>
              <w:rPr>
                <w:lang w:val="en-GB"/>
              </w:rPr>
            </w:pPr>
            <w:r w:rsidRPr="002063C4">
              <w:rPr>
                <w:lang w:val="en-GB"/>
              </w:rPr>
              <w:t>anaemia</w:t>
            </w:r>
          </w:p>
        </w:tc>
        <w:tc>
          <w:tcPr>
            <w:tcW w:w="2127" w:type="dxa"/>
            <w:shd w:val="clear" w:color="auto" w:fill="auto"/>
          </w:tcPr>
          <w:p w14:paraId="1A60EC2A" w14:textId="77777777" w:rsidR="002063C4" w:rsidRPr="002063C4" w:rsidRDefault="002063C4" w:rsidP="00C72232">
            <w:pPr>
              <w:spacing w:before="60" w:after="60" w:line="240" w:lineRule="auto"/>
              <w:rPr>
                <w:lang w:val="en-GB"/>
              </w:rPr>
            </w:pPr>
          </w:p>
        </w:tc>
        <w:tc>
          <w:tcPr>
            <w:tcW w:w="1897" w:type="dxa"/>
            <w:shd w:val="clear" w:color="auto" w:fill="auto"/>
          </w:tcPr>
          <w:p w14:paraId="1350BF15" w14:textId="77777777" w:rsidR="002063C4" w:rsidRPr="002063C4" w:rsidRDefault="002063C4" w:rsidP="00C72232">
            <w:pPr>
              <w:spacing w:before="60" w:after="60" w:line="240" w:lineRule="auto"/>
              <w:rPr>
                <w:lang w:val="en-GB"/>
              </w:rPr>
            </w:pPr>
          </w:p>
        </w:tc>
      </w:tr>
      <w:tr w:rsidR="002063C4" w:rsidRPr="002063C4" w14:paraId="5CCD8D90" w14:textId="77777777" w:rsidTr="005C4884">
        <w:tc>
          <w:tcPr>
            <w:tcW w:w="2943" w:type="dxa"/>
            <w:shd w:val="clear" w:color="auto" w:fill="auto"/>
          </w:tcPr>
          <w:p w14:paraId="144BF425" w14:textId="77777777" w:rsidR="002063C4" w:rsidRPr="002063C4" w:rsidRDefault="002063C4" w:rsidP="00C72232">
            <w:pPr>
              <w:spacing w:before="60" w:after="60" w:line="240" w:lineRule="auto"/>
              <w:rPr>
                <w:lang w:val="en-GB"/>
              </w:rPr>
            </w:pPr>
            <w:r w:rsidRPr="002063C4">
              <w:rPr>
                <w:lang w:val="en-GB"/>
              </w:rPr>
              <w:t>Endocrine disorders</w:t>
            </w:r>
          </w:p>
        </w:tc>
        <w:tc>
          <w:tcPr>
            <w:tcW w:w="2268" w:type="dxa"/>
            <w:shd w:val="clear" w:color="auto" w:fill="auto"/>
          </w:tcPr>
          <w:p w14:paraId="40E1ED08" w14:textId="77777777" w:rsidR="002063C4" w:rsidRPr="002063C4" w:rsidRDefault="002063C4" w:rsidP="00C72232">
            <w:pPr>
              <w:spacing w:before="60" w:after="60" w:line="240" w:lineRule="auto"/>
              <w:rPr>
                <w:lang w:val="en-GB"/>
              </w:rPr>
            </w:pPr>
            <w:r w:rsidRPr="002063C4">
              <w:rPr>
                <w:lang w:val="en-GB"/>
              </w:rPr>
              <w:t>hypothyroidism</w:t>
            </w:r>
          </w:p>
        </w:tc>
        <w:tc>
          <w:tcPr>
            <w:tcW w:w="2127" w:type="dxa"/>
            <w:shd w:val="clear" w:color="auto" w:fill="auto"/>
          </w:tcPr>
          <w:p w14:paraId="364F3196" w14:textId="77777777" w:rsidR="002063C4" w:rsidRPr="002063C4" w:rsidRDefault="002063C4" w:rsidP="00C72232">
            <w:pPr>
              <w:spacing w:before="60" w:after="60" w:line="240" w:lineRule="auto"/>
              <w:rPr>
                <w:lang w:val="en-GB"/>
              </w:rPr>
            </w:pPr>
          </w:p>
        </w:tc>
        <w:tc>
          <w:tcPr>
            <w:tcW w:w="1897" w:type="dxa"/>
            <w:shd w:val="clear" w:color="auto" w:fill="auto"/>
          </w:tcPr>
          <w:p w14:paraId="172E0DA1" w14:textId="77777777" w:rsidR="002063C4" w:rsidRPr="002063C4" w:rsidRDefault="002063C4" w:rsidP="00C72232">
            <w:pPr>
              <w:spacing w:before="60" w:after="60" w:line="240" w:lineRule="auto"/>
              <w:rPr>
                <w:lang w:val="en-GB"/>
              </w:rPr>
            </w:pPr>
          </w:p>
        </w:tc>
      </w:tr>
      <w:tr w:rsidR="002063C4" w:rsidRPr="002063C4" w14:paraId="0540F0EE" w14:textId="77777777" w:rsidTr="005C4884">
        <w:tc>
          <w:tcPr>
            <w:tcW w:w="2943" w:type="dxa"/>
            <w:shd w:val="clear" w:color="auto" w:fill="auto"/>
          </w:tcPr>
          <w:p w14:paraId="54BCB05E" w14:textId="77777777" w:rsidR="002063C4" w:rsidRPr="002063C4" w:rsidRDefault="002063C4" w:rsidP="00C72232">
            <w:pPr>
              <w:spacing w:before="60" w:after="60" w:line="240" w:lineRule="auto"/>
              <w:rPr>
                <w:lang w:val="en-GB"/>
              </w:rPr>
            </w:pPr>
            <w:r w:rsidRPr="002063C4">
              <w:rPr>
                <w:lang w:val="en-GB"/>
              </w:rPr>
              <w:t>Metabolism and nutrition disorders</w:t>
            </w:r>
          </w:p>
        </w:tc>
        <w:tc>
          <w:tcPr>
            <w:tcW w:w="2268" w:type="dxa"/>
            <w:shd w:val="clear" w:color="auto" w:fill="auto"/>
          </w:tcPr>
          <w:p w14:paraId="65C6E4EE" w14:textId="77777777" w:rsidR="002063C4" w:rsidRPr="002063C4" w:rsidRDefault="002063C4" w:rsidP="00C72232">
            <w:pPr>
              <w:spacing w:before="60" w:after="60" w:line="240" w:lineRule="auto"/>
              <w:rPr>
                <w:lang w:val="en-GB"/>
              </w:rPr>
            </w:pPr>
            <w:r w:rsidRPr="002063C4">
              <w:rPr>
                <w:lang w:val="en-GB"/>
              </w:rPr>
              <w:t>decreased appetite, hypophosphataemia, hypoalbuminaemia, hypomagnesaemia, hyponatraemia, hypokalaemia, hyperkalaemia, hypocalcaemia, hyperbilirubinemia</w:t>
            </w:r>
          </w:p>
        </w:tc>
        <w:tc>
          <w:tcPr>
            <w:tcW w:w="2127" w:type="dxa"/>
            <w:shd w:val="clear" w:color="auto" w:fill="auto"/>
          </w:tcPr>
          <w:p w14:paraId="1A49760D" w14:textId="77777777" w:rsidR="002063C4" w:rsidRPr="002063C4" w:rsidRDefault="002063C4" w:rsidP="00C72232">
            <w:pPr>
              <w:spacing w:before="60" w:after="60" w:line="240" w:lineRule="auto"/>
              <w:rPr>
                <w:lang w:val="en-GB"/>
              </w:rPr>
            </w:pPr>
            <w:r w:rsidRPr="002063C4">
              <w:rPr>
                <w:lang w:val="en-GB"/>
              </w:rPr>
              <w:t>dehydration</w:t>
            </w:r>
          </w:p>
        </w:tc>
        <w:tc>
          <w:tcPr>
            <w:tcW w:w="1897" w:type="dxa"/>
            <w:shd w:val="clear" w:color="auto" w:fill="auto"/>
          </w:tcPr>
          <w:p w14:paraId="0F42804E" w14:textId="77777777" w:rsidR="002063C4" w:rsidRPr="002063C4" w:rsidRDefault="002063C4" w:rsidP="00C72232">
            <w:pPr>
              <w:spacing w:before="60" w:after="60" w:line="240" w:lineRule="auto"/>
              <w:rPr>
                <w:lang w:val="en-GB"/>
              </w:rPr>
            </w:pPr>
          </w:p>
        </w:tc>
      </w:tr>
      <w:tr w:rsidR="002063C4" w:rsidRPr="002063C4" w14:paraId="07035933" w14:textId="77777777" w:rsidTr="005C4884">
        <w:tc>
          <w:tcPr>
            <w:tcW w:w="2943" w:type="dxa"/>
            <w:shd w:val="clear" w:color="auto" w:fill="auto"/>
          </w:tcPr>
          <w:p w14:paraId="27677D9B" w14:textId="77777777" w:rsidR="002063C4" w:rsidRPr="002063C4" w:rsidRDefault="002063C4" w:rsidP="00C72232">
            <w:pPr>
              <w:spacing w:before="60" w:after="60" w:line="240" w:lineRule="auto"/>
              <w:rPr>
                <w:lang w:val="en-GB"/>
              </w:rPr>
            </w:pPr>
            <w:r w:rsidRPr="002063C4">
              <w:rPr>
                <w:lang w:val="en-GB"/>
              </w:rPr>
              <w:t>Nervous system disorders</w:t>
            </w:r>
          </w:p>
        </w:tc>
        <w:tc>
          <w:tcPr>
            <w:tcW w:w="2268" w:type="dxa"/>
            <w:shd w:val="clear" w:color="auto" w:fill="auto"/>
          </w:tcPr>
          <w:p w14:paraId="484A5E0D" w14:textId="77777777" w:rsidR="002063C4" w:rsidRPr="002063C4" w:rsidRDefault="002063C4" w:rsidP="00C72232">
            <w:pPr>
              <w:spacing w:before="60" w:after="60" w:line="240" w:lineRule="auto"/>
              <w:rPr>
                <w:lang w:val="en-GB"/>
              </w:rPr>
            </w:pPr>
            <w:r w:rsidRPr="002063C4">
              <w:rPr>
                <w:lang w:val="en-GB"/>
              </w:rPr>
              <w:t>dysgeusia, headache, dizziness</w:t>
            </w:r>
          </w:p>
        </w:tc>
        <w:tc>
          <w:tcPr>
            <w:tcW w:w="2127" w:type="dxa"/>
            <w:shd w:val="clear" w:color="auto" w:fill="auto"/>
          </w:tcPr>
          <w:p w14:paraId="68070225" w14:textId="77777777" w:rsidR="002063C4" w:rsidRPr="002063C4" w:rsidRDefault="002063C4" w:rsidP="00C72232">
            <w:pPr>
              <w:spacing w:before="60" w:after="60" w:line="240" w:lineRule="auto"/>
              <w:rPr>
                <w:lang w:val="en-GB"/>
              </w:rPr>
            </w:pPr>
          </w:p>
        </w:tc>
        <w:tc>
          <w:tcPr>
            <w:tcW w:w="1897" w:type="dxa"/>
            <w:shd w:val="clear" w:color="auto" w:fill="auto"/>
          </w:tcPr>
          <w:p w14:paraId="6FEA3515" w14:textId="77777777" w:rsidR="002063C4" w:rsidRPr="002063C4" w:rsidRDefault="002063C4" w:rsidP="00C72232">
            <w:pPr>
              <w:spacing w:before="60" w:after="60" w:line="240" w:lineRule="auto"/>
              <w:rPr>
                <w:lang w:val="en-GB"/>
              </w:rPr>
            </w:pPr>
            <w:r w:rsidRPr="002063C4">
              <w:rPr>
                <w:lang w:val="en-GB"/>
              </w:rPr>
              <w:t>convulsion</w:t>
            </w:r>
          </w:p>
        </w:tc>
      </w:tr>
      <w:tr w:rsidR="002063C4" w:rsidRPr="002063C4" w14:paraId="62B9DABE" w14:textId="77777777" w:rsidTr="005C4884">
        <w:tc>
          <w:tcPr>
            <w:tcW w:w="2943" w:type="dxa"/>
            <w:shd w:val="clear" w:color="auto" w:fill="auto"/>
          </w:tcPr>
          <w:p w14:paraId="2681A2AA" w14:textId="77777777" w:rsidR="002063C4" w:rsidRPr="002063C4" w:rsidRDefault="002063C4" w:rsidP="00C72232">
            <w:pPr>
              <w:spacing w:before="60" w:after="60" w:line="240" w:lineRule="auto"/>
              <w:rPr>
                <w:lang w:val="en-GB"/>
              </w:rPr>
            </w:pPr>
            <w:r w:rsidRPr="002063C4">
              <w:rPr>
                <w:lang w:val="en-GB"/>
              </w:rPr>
              <w:t>Ear and labyrinth disorders</w:t>
            </w:r>
          </w:p>
        </w:tc>
        <w:tc>
          <w:tcPr>
            <w:tcW w:w="2268" w:type="dxa"/>
            <w:shd w:val="clear" w:color="auto" w:fill="auto"/>
          </w:tcPr>
          <w:p w14:paraId="564A22E2" w14:textId="77777777" w:rsidR="002063C4" w:rsidRPr="002063C4" w:rsidRDefault="002063C4" w:rsidP="00C72232">
            <w:pPr>
              <w:spacing w:before="60" w:after="60" w:line="240" w:lineRule="auto"/>
              <w:rPr>
                <w:lang w:val="en-GB"/>
              </w:rPr>
            </w:pPr>
          </w:p>
        </w:tc>
        <w:tc>
          <w:tcPr>
            <w:tcW w:w="2127" w:type="dxa"/>
            <w:shd w:val="clear" w:color="auto" w:fill="auto"/>
          </w:tcPr>
          <w:p w14:paraId="75290ABF" w14:textId="77777777" w:rsidR="002063C4" w:rsidRPr="002063C4" w:rsidRDefault="002063C4" w:rsidP="00C72232">
            <w:pPr>
              <w:spacing w:before="60" w:after="60" w:line="240" w:lineRule="auto"/>
              <w:rPr>
                <w:lang w:val="en-GB"/>
              </w:rPr>
            </w:pPr>
            <w:r w:rsidRPr="002063C4">
              <w:rPr>
                <w:lang w:val="en-GB"/>
              </w:rPr>
              <w:t>tinnitus</w:t>
            </w:r>
          </w:p>
        </w:tc>
        <w:tc>
          <w:tcPr>
            <w:tcW w:w="1897" w:type="dxa"/>
            <w:shd w:val="clear" w:color="auto" w:fill="auto"/>
          </w:tcPr>
          <w:p w14:paraId="428E28A3" w14:textId="77777777" w:rsidR="002063C4" w:rsidRPr="002063C4" w:rsidRDefault="002063C4" w:rsidP="00C72232">
            <w:pPr>
              <w:spacing w:before="60" w:after="60" w:line="240" w:lineRule="auto"/>
              <w:rPr>
                <w:lang w:val="en-GB"/>
              </w:rPr>
            </w:pPr>
          </w:p>
        </w:tc>
      </w:tr>
      <w:tr w:rsidR="002063C4" w:rsidRPr="002063C4" w14:paraId="1F43B25F" w14:textId="77777777" w:rsidTr="005C4884">
        <w:tc>
          <w:tcPr>
            <w:tcW w:w="2943" w:type="dxa"/>
            <w:shd w:val="clear" w:color="auto" w:fill="auto"/>
          </w:tcPr>
          <w:p w14:paraId="0F098996" w14:textId="77777777" w:rsidR="002063C4" w:rsidRPr="002063C4" w:rsidRDefault="002063C4" w:rsidP="00C72232">
            <w:pPr>
              <w:spacing w:before="60" w:after="60" w:line="240" w:lineRule="auto"/>
              <w:rPr>
                <w:lang w:val="en-GB"/>
              </w:rPr>
            </w:pPr>
            <w:r w:rsidRPr="002063C4">
              <w:rPr>
                <w:lang w:val="en-GB"/>
              </w:rPr>
              <w:t>Vascular disorders</w:t>
            </w:r>
          </w:p>
        </w:tc>
        <w:tc>
          <w:tcPr>
            <w:tcW w:w="2268" w:type="dxa"/>
            <w:shd w:val="clear" w:color="auto" w:fill="auto"/>
          </w:tcPr>
          <w:p w14:paraId="7BEFFBCE" w14:textId="77777777" w:rsidR="002063C4" w:rsidRPr="002063C4" w:rsidRDefault="002063C4" w:rsidP="00C72232">
            <w:pPr>
              <w:spacing w:before="60" w:after="60" w:line="240" w:lineRule="auto"/>
              <w:rPr>
                <w:lang w:val="en-GB"/>
              </w:rPr>
            </w:pPr>
            <w:r w:rsidRPr="002063C4">
              <w:rPr>
                <w:lang w:val="en-GB"/>
              </w:rPr>
              <w:t>hypertension</w:t>
            </w:r>
          </w:p>
        </w:tc>
        <w:tc>
          <w:tcPr>
            <w:tcW w:w="2127" w:type="dxa"/>
            <w:shd w:val="clear" w:color="auto" w:fill="auto"/>
          </w:tcPr>
          <w:p w14:paraId="409C1681" w14:textId="77777777" w:rsidR="002063C4" w:rsidRPr="002063C4" w:rsidRDefault="002063C4" w:rsidP="00C72232">
            <w:pPr>
              <w:spacing w:before="60" w:after="60" w:line="240" w:lineRule="auto"/>
              <w:rPr>
                <w:lang w:val="en-GB"/>
              </w:rPr>
            </w:pPr>
            <w:r w:rsidRPr="002063C4">
              <w:rPr>
                <w:lang w:val="en-GB"/>
              </w:rPr>
              <w:t>Pulmonary embolism</w:t>
            </w:r>
          </w:p>
        </w:tc>
        <w:tc>
          <w:tcPr>
            <w:tcW w:w="1897" w:type="dxa"/>
            <w:shd w:val="clear" w:color="auto" w:fill="auto"/>
          </w:tcPr>
          <w:p w14:paraId="3F1838B1" w14:textId="77777777" w:rsidR="002063C4" w:rsidRPr="002063C4" w:rsidRDefault="002063C4" w:rsidP="00C72232">
            <w:pPr>
              <w:spacing w:before="60" w:after="60" w:line="240" w:lineRule="auto"/>
              <w:rPr>
                <w:lang w:val="en-GB"/>
              </w:rPr>
            </w:pPr>
          </w:p>
        </w:tc>
      </w:tr>
      <w:tr w:rsidR="002063C4" w:rsidRPr="002063C4" w14:paraId="137036D6" w14:textId="77777777" w:rsidTr="005C4884">
        <w:tc>
          <w:tcPr>
            <w:tcW w:w="2943" w:type="dxa"/>
            <w:shd w:val="clear" w:color="auto" w:fill="auto"/>
          </w:tcPr>
          <w:p w14:paraId="031EB8B6" w14:textId="77777777" w:rsidR="002063C4" w:rsidRPr="002063C4" w:rsidRDefault="002063C4" w:rsidP="00C72232">
            <w:pPr>
              <w:spacing w:before="60" w:after="60" w:line="240" w:lineRule="auto"/>
              <w:rPr>
                <w:lang w:val="en-GB"/>
              </w:rPr>
            </w:pPr>
            <w:r w:rsidRPr="002063C4">
              <w:rPr>
                <w:lang w:val="en-GB"/>
              </w:rPr>
              <w:t>Respiratory, thoracic, and mediastinal disorders</w:t>
            </w:r>
          </w:p>
        </w:tc>
        <w:tc>
          <w:tcPr>
            <w:tcW w:w="2268" w:type="dxa"/>
            <w:shd w:val="clear" w:color="auto" w:fill="auto"/>
          </w:tcPr>
          <w:p w14:paraId="4CA0DB8F" w14:textId="77777777" w:rsidR="002063C4" w:rsidRPr="002063C4" w:rsidRDefault="002063C4" w:rsidP="00C72232">
            <w:pPr>
              <w:spacing w:before="60" w:after="60" w:line="240" w:lineRule="auto"/>
              <w:rPr>
                <w:lang w:val="en-GB"/>
              </w:rPr>
            </w:pPr>
            <w:r w:rsidRPr="002063C4">
              <w:rPr>
                <w:lang w:val="en-GB"/>
              </w:rPr>
              <w:t>Dysphonia, dyspnoea, cough</w:t>
            </w:r>
          </w:p>
        </w:tc>
        <w:tc>
          <w:tcPr>
            <w:tcW w:w="2127" w:type="dxa"/>
            <w:shd w:val="clear" w:color="auto" w:fill="auto"/>
          </w:tcPr>
          <w:p w14:paraId="5213D4B1" w14:textId="77777777" w:rsidR="002063C4" w:rsidRPr="002063C4" w:rsidRDefault="002063C4" w:rsidP="00C72232">
            <w:pPr>
              <w:spacing w:before="60" w:after="60" w:line="240" w:lineRule="auto"/>
              <w:rPr>
                <w:lang w:val="en-GB"/>
              </w:rPr>
            </w:pPr>
          </w:p>
        </w:tc>
        <w:tc>
          <w:tcPr>
            <w:tcW w:w="1897" w:type="dxa"/>
            <w:shd w:val="clear" w:color="auto" w:fill="auto"/>
          </w:tcPr>
          <w:p w14:paraId="5DD36FAD" w14:textId="77777777" w:rsidR="002063C4" w:rsidRPr="002063C4" w:rsidRDefault="002063C4" w:rsidP="00C72232">
            <w:pPr>
              <w:spacing w:before="60" w:after="60" w:line="240" w:lineRule="auto"/>
              <w:rPr>
                <w:lang w:val="en-GB"/>
              </w:rPr>
            </w:pPr>
          </w:p>
        </w:tc>
      </w:tr>
      <w:tr w:rsidR="002063C4" w:rsidRPr="002063C4" w14:paraId="459C8684" w14:textId="77777777" w:rsidTr="005C4884">
        <w:tc>
          <w:tcPr>
            <w:tcW w:w="2943" w:type="dxa"/>
            <w:shd w:val="clear" w:color="auto" w:fill="auto"/>
          </w:tcPr>
          <w:p w14:paraId="52F4744D" w14:textId="77777777" w:rsidR="002063C4" w:rsidRPr="002063C4" w:rsidRDefault="002063C4" w:rsidP="00C72232">
            <w:pPr>
              <w:spacing w:before="60" w:after="60" w:line="240" w:lineRule="auto"/>
              <w:rPr>
                <w:lang w:val="en-GB"/>
              </w:rPr>
            </w:pPr>
            <w:r w:rsidRPr="002063C4">
              <w:rPr>
                <w:lang w:val="en-GB"/>
              </w:rPr>
              <w:lastRenderedPageBreak/>
              <w:t>Gastrointestinal disorders</w:t>
            </w:r>
          </w:p>
        </w:tc>
        <w:tc>
          <w:tcPr>
            <w:tcW w:w="2268" w:type="dxa"/>
            <w:shd w:val="clear" w:color="auto" w:fill="auto"/>
          </w:tcPr>
          <w:p w14:paraId="071E8F88" w14:textId="77777777" w:rsidR="002063C4" w:rsidRPr="002063C4" w:rsidRDefault="002063C4" w:rsidP="00C72232">
            <w:pPr>
              <w:spacing w:before="60" w:after="60" w:line="240" w:lineRule="auto"/>
              <w:rPr>
                <w:lang w:val="en-GB"/>
              </w:rPr>
            </w:pPr>
            <w:r w:rsidRPr="002063C4">
              <w:rPr>
                <w:lang w:val="en-GB"/>
              </w:rPr>
              <w:t xml:space="preserve">diarrhoea, nausea, vomiting, stomatitis, constipation, abdominal pain, dyspepsia </w:t>
            </w:r>
          </w:p>
        </w:tc>
        <w:tc>
          <w:tcPr>
            <w:tcW w:w="2127" w:type="dxa"/>
            <w:shd w:val="clear" w:color="auto" w:fill="auto"/>
          </w:tcPr>
          <w:p w14:paraId="3A751AEA" w14:textId="77777777" w:rsidR="002063C4" w:rsidRPr="002063C4" w:rsidRDefault="002063C4" w:rsidP="00C72232">
            <w:pPr>
              <w:spacing w:before="60" w:after="60" w:line="240" w:lineRule="auto"/>
              <w:rPr>
                <w:lang w:val="en-GB"/>
              </w:rPr>
            </w:pPr>
            <w:r w:rsidRPr="002063C4">
              <w:rPr>
                <w:lang w:val="en-GB"/>
              </w:rPr>
              <w:t>abdominal pain upper, gastrooesophageal reflux disease, haemorrhoids</w:t>
            </w:r>
          </w:p>
          <w:p w14:paraId="399659ED" w14:textId="77777777" w:rsidR="002063C4" w:rsidRPr="002063C4" w:rsidRDefault="002063C4" w:rsidP="00C72232">
            <w:pPr>
              <w:spacing w:before="60" w:after="60" w:line="240" w:lineRule="auto"/>
              <w:rPr>
                <w:lang w:val="en-GB"/>
              </w:rPr>
            </w:pPr>
          </w:p>
        </w:tc>
        <w:tc>
          <w:tcPr>
            <w:tcW w:w="1897" w:type="dxa"/>
            <w:shd w:val="clear" w:color="auto" w:fill="auto"/>
          </w:tcPr>
          <w:p w14:paraId="5804A78C" w14:textId="77777777" w:rsidR="002063C4" w:rsidRPr="002063C4" w:rsidRDefault="002063C4" w:rsidP="00C72232">
            <w:pPr>
              <w:spacing w:before="60" w:after="60" w:line="240" w:lineRule="auto"/>
              <w:rPr>
                <w:lang w:val="en-GB"/>
              </w:rPr>
            </w:pPr>
            <w:r w:rsidRPr="002063C4">
              <w:rPr>
                <w:lang w:val="en-GB"/>
              </w:rPr>
              <w:t>anal fistula, pancreatitis</w:t>
            </w:r>
          </w:p>
        </w:tc>
      </w:tr>
      <w:tr w:rsidR="002063C4" w:rsidRPr="002063C4" w14:paraId="380975AC" w14:textId="77777777" w:rsidTr="005C4884">
        <w:tc>
          <w:tcPr>
            <w:tcW w:w="2943" w:type="dxa"/>
            <w:shd w:val="clear" w:color="auto" w:fill="auto"/>
          </w:tcPr>
          <w:p w14:paraId="20E15BEF" w14:textId="77777777" w:rsidR="002063C4" w:rsidRPr="002063C4" w:rsidRDefault="002063C4" w:rsidP="00C72232">
            <w:pPr>
              <w:spacing w:before="60" w:after="60" w:line="240" w:lineRule="auto"/>
              <w:rPr>
                <w:lang w:val="en-GB"/>
              </w:rPr>
            </w:pPr>
            <w:r w:rsidRPr="002063C4">
              <w:rPr>
                <w:lang w:val="en-GB"/>
              </w:rPr>
              <w:t>Hepatobiliary disorders</w:t>
            </w:r>
          </w:p>
        </w:tc>
        <w:tc>
          <w:tcPr>
            <w:tcW w:w="2268" w:type="dxa"/>
            <w:shd w:val="clear" w:color="auto" w:fill="auto"/>
          </w:tcPr>
          <w:p w14:paraId="00909B79" w14:textId="77777777" w:rsidR="002063C4" w:rsidRPr="002063C4" w:rsidRDefault="002063C4" w:rsidP="00C72232">
            <w:pPr>
              <w:spacing w:before="60" w:after="60" w:line="240" w:lineRule="auto"/>
              <w:rPr>
                <w:lang w:val="en-GB"/>
              </w:rPr>
            </w:pPr>
          </w:p>
        </w:tc>
        <w:tc>
          <w:tcPr>
            <w:tcW w:w="2127" w:type="dxa"/>
            <w:shd w:val="clear" w:color="auto" w:fill="auto"/>
          </w:tcPr>
          <w:p w14:paraId="46A9148C" w14:textId="77777777" w:rsidR="002063C4" w:rsidRPr="002063C4" w:rsidRDefault="002063C4" w:rsidP="00C72232">
            <w:pPr>
              <w:spacing w:before="60" w:after="60" w:line="240" w:lineRule="auto"/>
              <w:rPr>
                <w:lang w:val="en-GB"/>
              </w:rPr>
            </w:pPr>
          </w:p>
        </w:tc>
        <w:tc>
          <w:tcPr>
            <w:tcW w:w="1897" w:type="dxa"/>
            <w:shd w:val="clear" w:color="auto" w:fill="auto"/>
          </w:tcPr>
          <w:p w14:paraId="5F86236A" w14:textId="77777777" w:rsidR="002063C4" w:rsidRPr="002063C4" w:rsidRDefault="002063C4" w:rsidP="00C72232">
            <w:pPr>
              <w:spacing w:before="60" w:after="60" w:line="240" w:lineRule="auto"/>
              <w:rPr>
                <w:lang w:val="en-GB"/>
              </w:rPr>
            </w:pPr>
            <w:r w:rsidRPr="002063C4">
              <w:rPr>
                <w:lang w:val="en-GB"/>
              </w:rPr>
              <w:t>Hepatitis cholestatic</w:t>
            </w:r>
          </w:p>
        </w:tc>
      </w:tr>
      <w:tr w:rsidR="002063C4" w:rsidRPr="002063C4" w14:paraId="72B41471" w14:textId="77777777" w:rsidTr="005C4884">
        <w:tc>
          <w:tcPr>
            <w:tcW w:w="2943" w:type="dxa"/>
            <w:shd w:val="clear" w:color="auto" w:fill="auto"/>
          </w:tcPr>
          <w:p w14:paraId="5DF40AFE" w14:textId="77777777" w:rsidR="002063C4" w:rsidRPr="002063C4" w:rsidRDefault="002063C4" w:rsidP="00C72232">
            <w:pPr>
              <w:spacing w:before="60" w:after="60" w:line="240" w:lineRule="auto"/>
              <w:rPr>
                <w:lang w:val="en-GB"/>
              </w:rPr>
            </w:pPr>
            <w:r w:rsidRPr="002063C4">
              <w:rPr>
                <w:lang w:val="en-GB"/>
              </w:rPr>
              <w:t>Skin and subcutaneous tissue disorders</w:t>
            </w:r>
          </w:p>
        </w:tc>
        <w:tc>
          <w:tcPr>
            <w:tcW w:w="2268" w:type="dxa"/>
            <w:shd w:val="clear" w:color="auto" w:fill="auto"/>
          </w:tcPr>
          <w:p w14:paraId="7656A55C" w14:textId="77777777" w:rsidR="002063C4" w:rsidRPr="002063C4" w:rsidRDefault="002063C4" w:rsidP="00C72232">
            <w:pPr>
              <w:spacing w:before="60" w:after="60" w:line="240" w:lineRule="auto"/>
              <w:rPr>
                <w:lang w:val="en-GB"/>
              </w:rPr>
            </w:pPr>
            <w:r w:rsidRPr="002063C4">
              <w:rPr>
                <w:lang w:val="en-GB"/>
              </w:rPr>
              <w:t>palmar-plantar erythrodysaesthesia syndrome, rash, dry skin</w:t>
            </w:r>
          </w:p>
        </w:tc>
        <w:tc>
          <w:tcPr>
            <w:tcW w:w="2127" w:type="dxa"/>
            <w:shd w:val="clear" w:color="auto" w:fill="auto"/>
          </w:tcPr>
          <w:p w14:paraId="7512BA9F" w14:textId="77777777" w:rsidR="002063C4" w:rsidRPr="002063C4" w:rsidRDefault="002063C4" w:rsidP="00C72232">
            <w:pPr>
              <w:spacing w:before="60" w:after="60" w:line="240" w:lineRule="auto"/>
              <w:rPr>
                <w:lang w:val="en-GB"/>
              </w:rPr>
            </w:pPr>
            <w:r w:rsidRPr="002063C4">
              <w:rPr>
                <w:lang w:val="en-GB"/>
              </w:rPr>
              <w:t>Pruritis, alopecia</w:t>
            </w:r>
          </w:p>
        </w:tc>
        <w:tc>
          <w:tcPr>
            <w:tcW w:w="1897" w:type="dxa"/>
            <w:shd w:val="clear" w:color="auto" w:fill="auto"/>
          </w:tcPr>
          <w:p w14:paraId="6A8E5DDF" w14:textId="77777777" w:rsidR="002063C4" w:rsidRPr="002063C4" w:rsidRDefault="002063C4" w:rsidP="00C72232">
            <w:pPr>
              <w:spacing w:before="60" w:after="60" w:line="240" w:lineRule="auto"/>
              <w:rPr>
                <w:lang w:val="en-GB"/>
              </w:rPr>
            </w:pPr>
          </w:p>
        </w:tc>
      </w:tr>
      <w:tr w:rsidR="002063C4" w:rsidRPr="002063C4" w14:paraId="77DC4C35" w14:textId="77777777" w:rsidTr="005C4884">
        <w:tc>
          <w:tcPr>
            <w:tcW w:w="2943" w:type="dxa"/>
            <w:shd w:val="clear" w:color="auto" w:fill="auto"/>
          </w:tcPr>
          <w:p w14:paraId="01812A7E" w14:textId="77777777" w:rsidR="002063C4" w:rsidRPr="002063C4" w:rsidRDefault="002063C4" w:rsidP="00C72232">
            <w:pPr>
              <w:spacing w:before="60" w:after="60" w:line="240" w:lineRule="auto"/>
              <w:rPr>
                <w:lang w:val="en-GB"/>
              </w:rPr>
            </w:pPr>
            <w:r w:rsidRPr="002063C4">
              <w:rPr>
                <w:lang w:val="en-GB"/>
              </w:rPr>
              <w:t>Musculoskeletal and connective tissue disorders</w:t>
            </w:r>
          </w:p>
        </w:tc>
        <w:tc>
          <w:tcPr>
            <w:tcW w:w="2268" w:type="dxa"/>
            <w:shd w:val="clear" w:color="auto" w:fill="auto"/>
          </w:tcPr>
          <w:p w14:paraId="5347C591" w14:textId="77777777" w:rsidR="002063C4" w:rsidRPr="002063C4" w:rsidRDefault="002063C4" w:rsidP="00C72232">
            <w:pPr>
              <w:spacing w:before="60" w:after="60" w:line="240" w:lineRule="auto"/>
              <w:rPr>
                <w:lang w:val="en-GB"/>
              </w:rPr>
            </w:pPr>
            <w:r w:rsidRPr="002063C4">
              <w:rPr>
                <w:lang w:val="en-GB"/>
              </w:rPr>
              <w:t>pain in extremity, muscle spasms, arthralgia</w:t>
            </w:r>
          </w:p>
        </w:tc>
        <w:tc>
          <w:tcPr>
            <w:tcW w:w="2127" w:type="dxa"/>
            <w:shd w:val="clear" w:color="auto" w:fill="auto"/>
          </w:tcPr>
          <w:p w14:paraId="03732273" w14:textId="77777777" w:rsidR="002063C4" w:rsidRPr="002063C4" w:rsidRDefault="002063C4" w:rsidP="00C72232">
            <w:pPr>
              <w:spacing w:before="60" w:after="60" w:line="240" w:lineRule="auto"/>
              <w:rPr>
                <w:lang w:val="en-GB"/>
              </w:rPr>
            </w:pPr>
          </w:p>
        </w:tc>
        <w:tc>
          <w:tcPr>
            <w:tcW w:w="1897" w:type="dxa"/>
            <w:shd w:val="clear" w:color="auto" w:fill="auto"/>
          </w:tcPr>
          <w:p w14:paraId="72FD3B63" w14:textId="77777777" w:rsidR="002063C4" w:rsidRPr="002063C4" w:rsidRDefault="002063C4" w:rsidP="00C72232">
            <w:pPr>
              <w:spacing w:before="60" w:after="60" w:line="240" w:lineRule="auto"/>
              <w:rPr>
                <w:lang w:val="en-GB"/>
              </w:rPr>
            </w:pPr>
            <w:r w:rsidRPr="002063C4">
              <w:rPr>
                <w:lang w:val="en-GB"/>
              </w:rPr>
              <w:t>Osteonecrosis of the jaw</w:t>
            </w:r>
          </w:p>
        </w:tc>
      </w:tr>
      <w:tr w:rsidR="002063C4" w:rsidRPr="002063C4" w14:paraId="24C75635" w14:textId="77777777" w:rsidTr="005C4884">
        <w:tc>
          <w:tcPr>
            <w:tcW w:w="2943" w:type="dxa"/>
            <w:shd w:val="clear" w:color="auto" w:fill="auto"/>
          </w:tcPr>
          <w:p w14:paraId="59648836" w14:textId="77777777" w:rsidR="002063C4" w:rsidRPr="002063C4" w:rsidRDefault="002063C4" w:rsidP="00C72232">
            <w:pPr>
              <w:spacing w:before="60" w:after="60" w:line="240" w:lineRule="auto"/>
              <w:rPr>
                <w:lang w:val="en-GB"/>
              </w:rPr>
            </w:pPr>
            <w:r w:rsidRPr="002063C4">
              <w:rPr>
                <w:lang w:val="en-GB"/>
              </w:rPr>
              <w:t>Renal and urinary disorders</w:t>
            </w:r>
          </w:p>
        </w:tc>
        <w:tc>
          <w:tcPr>
            <w:tcW w:w="2268" w:type="dxa"/>
            <w:shd w:val="clear" w:color="auto" w:fill="auto"/>
          </w:tcPr>
          <w:p w14:paraId="00CA5C4F" w14:textId="77777777" w:rsidR="002063C4" w:rsidRPr="002063C4" w:rsidRDefault="002063C4" w:rsidP="00C72232">
            <w:pPr>
              <w:spacing w:before="60" w:after="60" w:line="240" w:lineRule="auto"/>
              <w:rPr>
                <w:lang w:val="en-GB"/>
              </w:rPr>
            </w:pPr>
            <w:r w:rsidRPr="002063C4">
              <w:rPr>
                <w:lang w:val="en-GB"/>
              </w:rPr>
              <w:t>proteinuria</w:t>
            </w:r>
          </w:p>
        </w:tc>
        <w:tc>
          <w:tcPr>
            <w:tcW w:w="2127" w:type="dxa"/>
            <w:shd w:val="clear" w:color="auto" w:fill="auto"/>
          </w:tcPr>
          <w:p w14:paraId="6E43EA42" w14:textId="77777777" w:rsidR="002063C4" w:rsidRPr="002063C4" w:rsidRDefault="002063C4" w:rsidP="00C72232">
            <w:pPr>
              <w:spacing w:before="60" w:after="60" w:line="240" w:lineRule="auto"/>
              <w:rPr>
                <w:lang w:val="en-GB"/>
              </w:rPr>
            </w:pPr>
          </w:p>
        </w:tc>
        <w:tc>
          <w:tcPr>
            <w:tcW w:w="1897" w:type="dxa"/>
            <w:shd w:val="clear" w:color="auto" w:fill="auto"/>
          </w:tcPr>
          <w:p w14:paraId="3E7EE295" w14:textId="77777777" w:rsidR="002063C4" w:rsidRPr="002063C4" w:rsidRDefault="002063C4" w:rsidP="00C72232">
            <w:pPr>
              <w:spacing w:before="60" w:after="60" w:line="240" w:lineRule="auto"/>
              <w:rPr>
                <w:lang w:val="en-GB"/>
              </w:rPr>
            </w:pPr>
          </w:p>
        </w:tc>
      </w:tr>
      <w:tr w:rsidR="002063C4" w:rsidRPr="002063C4" w14:paraId="61295DD2" w14:textId="77777777" w:rsidTr="005C4884">
        <w:tc>
          <w:tcPr>
            <w:tcW w:w="2943" w:type="dxa"/>
            <w:shd w:val="clear" w:color="auto" w:fill="auto"/>
          </w:tcPr>
          <w:p w14:paraId="0E42EE32" w14:textId="77777777" w:rsidR="002063C4" w:rsidRPr="002063C4" w:rsidRDefault="002063C4" w:rsidP="00C72232">
            <w:pPr>
              <w:spacing w:before="60" w:after="60" w:line="240" w:lineRule="auto"/>
              <w:rPr>
                <w:lang w:val="en-GB"/>
              </w:rPr>
            </w:pPr>
            <w:r w:rsidRPr="002063C4">
              <w:rPr>
                <w:lang w:val="en-GB"/>
              </w:rPr>
              <w:t>General disorders and administration site conditions fatigue</w:t>
            </w:r>
          </w:p>
        </w:tc>
        <w:tc>
          <w:tcPr>
            <w:tcW w:w="2268" w:type="dxa"/>
            <w:shd w:val="clear" w:color="auto" w:fill="auto"/>
          </w:tcPr>
          <w:p w14:paraId="38B8BDD2" w14:textId="77777777" w:rsidR="002063C4" w:rsidRPr="002063C4" w:rsidRDefault="002063C4" w:rsidP="00C72232">
            <w:pPr>
              <w:spacing w:before="60" w:after="60" w:line="240" w:lineRule="auto"/>
              <w:rPr>
                <w:lang w:val="en-GB"/>
              </w:rPr>
            </w:pPr>
            <w:r w:rsidRPr="002063C4">
              <w:rPr>
                <w:lang w:val="en-GB"/>
              </w:rPr>
              <w:t>fatigue, mucosal inflammation, asthenia</w:t>
            </w:r>
          </w:p>
        </w:tc>
        <w:tc>
          <w:tcPr>
            <w:tcW w:w="2127" w:type="dxa"/>
            <w:shd w:val="clear" w:color="auto" w:fill="auto"/>
          </w:tcPr>
          <w:p w14:paraId="2256E9F9" w14:textId="77777777" w:rsidR="002063C4" w:rsidRPr="002063C4" w:rsidRDefault="002063C4" w:rsidP="00C72232">
            <w:pPr>
              <w:spacing w:before="60" w:after="60" w:line="240" w:lineRule="auto"/>
              <w:rPr>
                <w:lang w:val="en-GB"/>
              </w:rPr>
            </w:pPr>
            <w:r w:rsidRPr="002063C4">
              <w:rPr>
                <w:lang w:val="en-GB"/>
              </w:rPr>
              <w:t>Peripheral oedema</w:t>
            </w:r>
          </w:p>
        </w:tc>
        <w:tc>
          <w:tcPr>
            <w:tcW w:w="1897" w:type="dxa"/>
            <w:shd w:val="clear" w:color="auto" w:fill="auto"/>
          </w:tcPr>
          <w:p w14:paraId="7B5AB046" w14:textId="77777777" w:rsidR="002063C4" w:rsidRPr="002063C4" w:rsidRDefault="002063C4" w:rsidP="00C72232">
            <w:pPr>
              <w:spacing w:before="60" w:after="60" w:line="240" w:lineRule="auto"/>
              <w:rPr>
                <w:lang w:val="en-GB"/>
              </w:rPr>
            </w:pPr>
          </w:p>
        </w:tc>
      </w:tr>
      <w:tr w:rsidR="002063C4" w:rsidRPr="002063C4" w14:paraId="370C46B9" w14:textId="77777777" w:rsidTr="005C4884">
        <w:tc>
          <w:tcPr>
            <w:tcW w:w="2943" w:type="dxa"/>
            <w:shd w:val="clear" w:color="auto" w:fill="auto"/>
          </w:tcPr>
          <w:p w14:paraId="0B012CD1" w14:textId="77777777" w:rsidR="002063C4" w:rsidRPr="002063C4" w:rsidRDefault="002063C4" w:rsidP="00C72232">
            <w:pPr>
              <w:spacing w:before="60" w:after="60" w:line="240" w:lineRule="auto"/>
              <w:rPr>
                <w:lang w:val="en-GB"/>
              </w:rPr>
            </w:pPr>
            <w:r w:rsidRPr="002063C4">
              <w:rPr>
                <w:lang w:val="en-GB"/>
              </w:rPr>
              <w:t>Investigations</w:t>
            </w:r>
          </w:p>
        </w:tc>
        <w:tc>
          <w:tcPr>
            <w:tcW w:w="2268" w:type="dxa"/>
            <w:shd w:val="clear" w:color="auto" w:fill="auto"/>
          </w:tcPr>
          <w:p w14:paraId="4720F424" w14:textId="77777777" w:rsidR="002063C4" w:rsidRPr="002063C4" w:rsidRDefault="002063C4" w:rsidP="00C72232">
            <w:pPr>
              <w:spacing w:before="60" w:after="60" w:line="240" w:lineRule="auto"/>
              <w:rPr>
                <w:lang w:val="en-GB"/>
              </w:rPr>
            </w:pPr>
            <w:r w:rsidRPr="002063C4">
              <w:rPr>
                <w:lang w:val="en-GB"/>
              </w:rPr>
              <w:t>weight decreased, serum ALT, AST, and ALP increased, creatinine increased, triglycerides increased, hyperglycaemia, hypoglycaemia, lymphopenia, neutropenia, thrombocytopenia, GGT increased, amylase increased, blood cholesterol increased, lipase increased</w:t>
            </w:r>
          </w:p>
        </w:tc>
        <w:tc>
          <w:tcPr>
            <w:tcW w:w="2127" w:type="dxa"/>
            <w:shd w:val="clear" w:color="auto" w:fill="auto"/>
          </w:tcPr>
          <w:p w14:paraId="5642D4FB" w14:textId="77777777" w:rsidR="002063C4" w:rsidRPr="002063C4" w:rsidRDefault="002063C4" w:rsidP="00C72232">
            <w:pPr>
              <w:spacing w:before="60" w:after="60" w:line="240" w:lineRule="auto"/>
              <w:rPr>
                <w:lang w:val="en-GB"/>
              </w:rPr>
            </w:pPr>
          </w:p>
        </w:tc>
        <w:tc>
          <w:tcPr>
            <w:tcW w:w="1897" w:type="dxa"/>
            <w:shd w:val="clear" w:color="auto" w:fill="auto"/>
          </w:tcPr>
          <w:p w14:paraId="5CF17B19" w14:textId="77777777" w:rsidR="002063C4" w:rsidRPr="002063C4" w:rsidRDefault="002063C4" w:rsidP="00C72232">
            <w:pPr>
              <w:spacing w:before="60" w:after="60" w:line="240" w:lineRule="auto"/>
              <w:rPr>
                <w:lang w:val="en-GB"/>
              </w:rPr>
            </w:pPr>
          </w:p>
        </w:tc>
      </w:tr>
    </w:tbl>
    <w:p w14:paraId="6D01FC79" w14:textId="77777777" w:rsidR="002063C4" w:rsidRPr="002063C4" w:rsidRDefault="002063C4" w:rsidP="002063C4">
      <w:pPr>
        <w:rPr>
          <w:lang w:val="en-GB"/>
        </w:rPr>
      </w:pPr>
    </w:p>
    <w:p w14:paraId="003FA2ED" w14:textId="65657F27" w:rsidR="002063C4" w:rsidRPr="002063C4" w:rsidRDefault="002063C4" w:rsidP="002063C4">
      <w:pPr>
        <w:rPr>
          <w:lang w:val="en-GB"/>
        </w:rPr>
      </w:pPr>
      <w:r w:rsidRPr="002063C4">
        <w:rPr>
          <w:lang w:val="en-GB"/>
        </w:rPr>
        <w:t>Adverse events that were reported in at least 10% of patients in the randomi</w:t>
      </w:r>
      <w:r w:rsidR="00260B8C">
        <w:rPr>
          <w:lang w:val="en-GB"/>
        </w:rPr>
        <w:t>s</w:t>
      </w:r>
      <w:r w:rsidRPr="002063C4">
        <w:rPr>
          <w:lang w:val="en-GB"/>
        </w:rPr>
        <w:t xml:space="preserve">ed, open-label trial in which 331 patients with advanced renal cell carcinoma received 60 mg CABOMETYX and 322 patients received 10 mg everolimus administered daily until disease progression or unacceptable toxicity, are included in </w:t>
      </w:r>
      <w:r w:rsidRPr="002063C4">
        <w:rPr>
          <w:lang w:val="en-GB"/>
        </w:rPr>
        <w:fldChar w:fldCharType="begin"/>
      </w:r>
      <w:r w:rsidRPr="002063C4">
        <w:rPr>
          <w:lang w:val="en-GB"/>
        </w:rPr>
        <w:instrText xml:space="preserve"> REF _Ref467341616 \h  \* MERGEFORMAT </w:instrText>
      </w:r>
      <w:r w:rsidRPr="002063C4">
        <w:rPr>
          <w:lang w:val="en-GB"/>
        </w:rPr>
      </w:r>
      <w:r w:rsidRPr="002063C4">
        <w:rPr>
          <w:lang w:val="en-GB"/>
        </w:rPr>
        <w:fldChar w:fldCharType="separate"/>
      </w:r>
      <w:r w:rsidR="00274F80" w:rsidRPr="00274F80">
        <w:rPr>
          <w:lang w:val="en-GB"/>
        </w:rPr>
        <w:t>Table 3</w:t>
      </w:r>
      <w:r w:rsidRPr="002063C4">
        <w:fldChar w:fldCharType="end"/>
      </w:r>
      <w:r w:rsidRPr="002063C4">
        <w:rPr>
          <w:lang w:val="en-GB"/>
        </w:rPr>
        <w:t>.  The median duration of treatment was 7.6 months (range 0.3 – 20.5) for patients receiving CABOMETYX and 4.4 months (range 0.21 – 18.9) for patients receiving everolimus.</w:t>
      </w:r>
    </w:p>
    <w:p w14:paraId="2BC06457" w14:textId="7D74C49A" w:rsidR="002063C4" w:rsidRPr="002063C4" w:rsidRDefault="002063C4" w:rsidP="002063C4">
      <w:pPr>
        <w:rPr>
          <w:b/>
          <w:bCs/>
          <w:lang w:val="en-GB"/>
        </w:rPr>
      </w:pPr>
      <w:bookmarkStart w:id="3" w:name="_Ref467341616"/>
      <w:r w:rsidRPr="002063C4">
        <w:rPr>
          <w:b/>
          <w:bCs/>
          <w:lang w:val="en-GB"/>
        </w:rPr>
        <w:lastRenderedPageBreak/>
        <w:t xml:space="preserve">Table </w:t>
      </w:r>
      <w:r w:rsidRPr="002063C4">
        <w:rPr>
          <w:b/>
          <w:bCs/>
          <w:lang w:val="en-GB"/>
        </w:rPr>
        <w:fldChar w:fldCharType="begin"/>
      </w:r>
      <w:r w:rsidRPr="002063C4">
        <w:rPr>
          <w:b/>
          <w:bCs/>
          <w:lang w:val="en-GB"/>
        </w:rPr>
        <w:instrText xml:space="preserve"> SEQ Table \* ARABIC </w:instrText>
      </w:r>
      <w:r w:rsidRPr="002063C4">
        <w:rPr>
          <w:b/>
          <w:bCs/>
          <w:lang w:val="en-GB"/>
        </w:rPr>
        <w:fldChar w:fldCharType="separate"/>
      </w:r>
      <w:r w:rsidR="00274F80">
        <w:rPr>
          <w:b/>
          <w:bCs/>
          <w:noProof/>
          <w:lang w:val="en-GB"/>
        </w:rPr>
        <w:t>3</w:t>
      </w:r>
      <w:r w:rsidRPr="002063C4">
        <w:fldChar w:fldCharType="end"/>
      </w:r>
      <w:bookmarkEnd w:id="3"/>
      <w:r w:rsidRPr="002063C4">
        <w:rPr>
          <w:b/>
          <w:bCs/>
          <w:lang w:val="en-GB"/>
        </w:rPr>
        <w:t>: Adverse Reactions Occurring in ≥ 10% Patients Who Received CABOMETYX</w:t>
      </w:r>
    </w:p>
    <w:tbl>
      <w:tblPr>
        <w:tblW w:w="9356" w:type="dxa"/>
        <w:tblInd w:w="-137" w:type="dxa"/>
        <w:tblBorders>
          <w:top w:val="single" w:sz="4" w:space="0" w:color="000000"/>
          <w:left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4678"/>
        <w:gridCol w:w="1134"/>
        <w:gridCol w:w="1134"/>
        <w:gridCol w:w="1276"/>
        <w:gridCol w:w="1134"/>
      </w:tblGrid>
      <w:tr w:rsidR="002063C4" w:rsidRPr="002063C4" w14:paraId="259E197F" w14:textId="77777777" w:rsidTr="00BB14D8">
        <w:trPr>
          <w:trHeight w:hRule="exact" w:val="701"/>
          <w:tblHeader/>
        </w:trPr>
        <w:tc>
          <w:tcPr>
            <w:tcW w:w="4678" w:type="dxa"/>
            <w:vMerge w:val="restart"/>
          </w:tcPr>
          <w:p w14:paraId="0ED62444" w14:textId="77777777" w:rsidR="002063C4" w:rsidRPr="002063C4" w:rsidRDefault="002063C4" w:rsidP="00C6374B">
            <w:pPr>
              <w:spacing w:after="0"/>
              <w:rPr>
                <w:lang w:val="en-GB"/>
              </w:rPr>
            </w:pPr>
          </w:p>
          <w:p w14:paraId="483A0331" w14:textId="77777777" w:rsidR="002063C4" w:rsidRPr="002063C4" w:rsidRDefault="002063C4" w:rsidP="00C6374B">
            <w:pPr>
              <w:spacing w:after="0"/>
              <w:rPr>
                <w:lang w:val="en-GB"/>
              </w:rPr>
            </w:pPr>
            <w:r w:rsidRPr="002063C4">
              <w:rPr>
                <w:b/>
                <w:bCs/>
                <w:lang w:val="en-GB"/>
              </w:rPr>
              <w:t>Adverse Reaction</w:t>
            </w:r>
          </w:p>
        </w:tc>
        <w:tc>
          <w:tcPr>
            <w:tcW w:w="2268" w:type="dxa"/>
            <w:gridSpan w:val="2"/>
          </w:tcPr>
          <w:p w14:paraId="74995B5E" w14:textId="77777777" w:rsidR="002063C4" w:rsidRPr="002063C4" w:rsidRDefault="002063C4" w:rsidP="00C6374B">
            <w:pPr>
              <w:spacing w:after="0"/>
              <w:rPr>
                <w:lang w:val="en-GB"/>
              </w:rPr>
            </w:pPr>
            <w:r w:rsidRPr="002063C4">
              <w:rPr>
                <w:b/>
                <w:bCs/>
                <w:lang w:val="en-GB"/>
              </w:rPr>
              <w:t xml:space="preserve">CABOMETYX (n=331) </w:t>
            </w:r>
            <w:r w:rsidRPr="00BB14D8">
              <w:rPr>
                <w:b/>
                <w:bCs/>
                <w:vertAlign w:val="superscript"/>
                <w:lang w:val="en-GB"/>
              </w:rPr>
              <w:t>1</w:t>
            </w:r>
          </w:p>
        </w:tc>
        <w:tc>
          <w:tcPr>
            <w:tcW w:w="2410" w:type="dxa"/>
            <w:gridSpan w:val="2"/>
          </w:tcPr>
          <w:p w14:paraId="3A532CEB" w14:textId="77777777" w:rsidR="002063C4" w:rsidRPr="002063C4" w:rsidRDefault="002063C4" w:rsidP="00C6374B">
            <w:pPr>
              <w:spacing w:after="0"/>
              <w:rPr>
                <w:lang w:val="en-GB"/>
              </w:rPr>
            </w:pPr>
            <w:r w:rsidRPr="002063C4">
              <w:rPr>
                <w:b/>
                <w:bCs/>
                <w:lang w:val="en-GB"/>
              </w:rPr>
              <w:t>Everolimus</w:t>
            </w:r>
          </w:p>
          <w:p w14:paraId="23EF124F" w14:textId="77777777" w:rsidR="002063C4" w:rsidRPr="002063C4" w:rsidRDefault="002063C4" w:rsidP="00C6374B">
            <w:pPr>
              <w:spacing w:after="0"/>
              <w:rPr>
                <w:lang w:val="en-GB"/>
              </w:rPr>
            </w:pPr>
            <w:r w:rsidRPr="002063C4">
              <w:rPr>
                <w:b/>
                <w:bCs/>
                <w:lang w:val="en-GB"/>
              </w:rPr>
              <w:t>(n=322)</w:t>
            </w:r>
          </w:p>
        </w:tc>
      </w:tr>
      <w:tr w:rsidR="002063C4" w:rsidRPr="002063C4" w14:paraId="5C95F7BA" w14:textId="77777777" w:rsidTr="00BB14D8">
        <w:trPr>
          <w:trHeight w:hRule="exact" w:val="697"/>
          <w:tblHeader/>
        </w:trPr>
        <w:tc>
          <w:tcPr>
            <w:tcW w:w="4678" w:type="dxa"/>
            <w:vMerge/>
          </w:tcPr>
          <w:p w14:paraId="3D44EAD6" w14:textId="77777777" w:rsidR="002063C4" w:rsidRPr="002063C4" w:rsidRDefault="002063C4" w:rsidP="00C6374B">
            <w:pPr>
              <w:spacing w:after="0"/>
              <w:rPr>
                <w:lang w:val="en-GB"/>
              </w:rPr>
            </w:pPr>
          </w:p>
        </w:tc>
        <w:tc>
          <w:tcPr>
            <w:tcW w:w="1134" w:type="dxa"/>
          </w:tcPr>
          <w:p w14:paraId="17F1FB72" w14:textId="77777777" w:rsidR="002063C4" w:rsidRPr="002063C4" w:rsidRDefault="002063C4" w:rsidP="00C6374B">
            <w:pPr>
              <w:spacing w:after="0"/>
              <w:rPr>
                <w:lang w:val="en-GB"/>
              </w:rPr>
            </w:pPr>
            <w:r w:rsidRPr="002063C4">
              <w:rPr>
                <w:b/>
                <w:bCs/>
                <w:lang w:val="en-GB"/>
              </w:rPr>
              <w:t>All</w:t>
            </w:r>
          </w:p>
          <w:p w14:paraId="394806E0" w14:textId="466E29EF" w:rsidR="002063C4" w:rsidRPr="002063C4" w:rsidRDefault="002063C4" w:rsidP="00C6374B">
            <w:pPr>
              <w:spacing w:after="0"/>
              <w:rPr>
                <w:lang w:val="en-GB"/>
              </w:rPr>
            </w:pPr>
            <w:r w:rsidRPr="002063C4">
              <w:rPr>
                <w:b/>
                <w:bCs/>
                <w:lang w:val="en-GB"/>
              </w:rPr>
              <w:t>Grades</w:t>
            </w:r>
            <w:r w:rsidR="00260B8C">
              <w:rPr>
                <w:b/>
                <w:bCs/>
                <w:lang w:val="en-GB"/>
              </w:rPr>
              <w:t xml:space="preserve"> </w:t>
            </w:r>
            <w:r w:rsidRPr="00BB14D8">
              <w:rPr>
                <w:b/>
                <w:bCs/>
                <w:vertAlign w:val="superscript"/>
                <w:lang w:val="en-GB"/>
              </w:rPr>
              <w:t>2</w:t>
            </w:r>
          </w:p>
        </w:tc>
        <w:tc>
          <w:tcPr>
            <w:tcW w:w="1134" w:type="dxa"/>
          </w:tcPr>
          <w:p w14:paraId="1B3C9DA3" w14:textId="77777777" w:rsidR="002063C4" w:rsidRPr="002063C4" w:rsidRDefault="002063C4" w:rsidP="00C6374B">
            <w:pPr>
              <w:spacing w:after="0"/>
              <w:rPr>
                <w:lang w:val="en-GB"/>
              </w:rPr>
            </w:pPr>
            <w:r w:rsidRPr="002063C4">
              <w:rPr>
                <w:b/>
                <w:bCs/>
                <w:lang w:val="en-GB"/>
              </w:rPr>
              <w:t>Grade</w:t>
            </w:r>
          </w:p>
          <w:p w14:paraId="7F783D05" w14:textId="77777777" w:rsidR="002063C4" w:rsidRPr="002063C4" w:rsidRDefault="002063C4" w:rsidP="00C6374B">
            <w:pPr>
              <w:spacing w:after="0"/>
              <w:rPr>
                <w:lang w:val="en-GB"/>
              </w:rPr>
            </w:pPr>
            <w:r w:rsidRPr="002063C4">
              <w:rPr>
                <w:b/>
                <w:bCs/>
                <w:lang w:val="en-GB"/>
              </w:rPr>
              <w:t>3-4</w:t>
            </w:r>
          </w:p>
        </w:tc>
        <w:tc>
          <w:tcPr>
            <w:tcW w:w="1276" w:type="dxa"/>
          </w:tcPr>
          <w:p w14:paraId="42C9DB9B" w14:textId="77777777" w:rsidR="002063C4" w:rsidRPr="002063C4" w:rsidRDefault="002063C4" w:rsidP="00C6374B">
            <w:pPr>
              <w:spacing w:after="0"/>
              <w:rPr>
                <w:lang w:val="en-GB"/>
              </w:rPr>
            </w:pPr>
            <w:r w:rsidRPr="002063C4">
              <w:rPr>
                <w:b/>
                <w:bCs/>
                <w:lang w:val="en-GB"/>
              </w:rPr>
              <w:t>All</w:t>
            </w:r>
          </w:p>
          <w:p w14:paraId="54FAADA3" w14:textId="09AAE981" w:rsidR="002063C4" w:rsidRPr="002063C4" w:rsidRDefault="002063C4" w:rsidP="00C6374B">
            <w:pPr>
              <w:spacing w:after="0"/>
              <w:rPr>
                <w:lang w:val="en-GB"/>
              </w:rPr>
            </w:pPr>
            <w:r w:rsidRPr="002063C4">
              <w:rPr>
                <w:b/>
                <w:bCs/>
                <w:lang w:val="en-GB"/>
              </w:rPr>
              <w:t>Grades</w:t>
            </w:r>
            <w:r w:rsidR="00260B8C">
              <w:rPr>
                <w:b/>
                <w:bCs/>
                <w:lang w:val="en-GB"/>
              </w:rPr>
              <w:t xml:space="preserve"> </w:t>
            </w:r>
            <w:r w:rsidRPr="00BB14D8">
              <w:rPr>
                <w:b/>
                <w:bCs/>
                <w:vertAlign w:val="superscript"/>
                <w:lang w:val="en-GB"/>
              </w:rPr>
              <w:t>2</w:t>
            </w:r>
          </w:p>
        </w:tc>
        <w:tc>
          <w:tcPr>
            <w:tcW w:w="1134" w:type="dxa"/>
          </w:tcPr>
          <w:p w14:paraId="2FE4285F" w14:textId="77777777" w:rsidR="002063C4" w:rsidRPr="002063C4" w:rsidRDefault="002063C4" w:rsidP="00C6374B">
            <w:pPr>
              <w:spacing w:after="0"/>
              <w:rPr>
                <w:lang w:val="en-GB"/>
              </w:rPr>
            </w:pPr>
            <w:r w:rsidRPr="002063C4">
              <w:rPr>
                <w:b/>
                <w:bCs/>
                <w:lang w:val="en-GB"/>
              </w:rPr>
              <w:t>Grade</w:t>
            </w:r>
          </w:p>
          <w:p w14:paraId="5EED9C67" w14:textId="77777777" w:rsidR="002063C4" w:rsidRPr="002063C4" w:rsidRDefault="002063C4" w:rsidP="00C6374B">
            <w:pPr>
              <w:spacing w:after="0"/>
              <w:rPr>
                <w:lang w:val="en-GB"/>
              </w:rPr>
            </w:pPr>
            <w:r w:rsidRPr="002063C4">
              <w:rPr>
                <w:b/>
                <w:bCs/>
                <w:lang w:val="en-GB"/>
              </w:rPr>
              <w:t>3-4</w:t>
            </w:r>
          </w:p>
        </w:tc>
      </w:tr>
      <w:tr w:rsidR="002063C4" w:rsidRPr="002063C4" w14:paraId="76F2EC94" w14:textId="77777777" w:rsidTr="00C72232">
        <w:trPr>
          <w:trHeight w:hRule="exact" w:val="264"/>
        </w:trPr>
        <w:tc>
          <w:tcPr>
            <w:tcW w:w="4678" w:type="dxa"/>
          </w:tcPr>
          <w:p w14:paraId="004D9263" w14:textId="77777777" w:rsidR="002063C4" w:rsidRPr="002063C4" w:rsidRDefault="002063C4" w:rsidP="00C6374B">
            <w:pPr>
              <w:spacing w:after="0"/>
              <w:rPr>
                <w:lang w:val="en-GB"/>
              </w:rPr>
            </w:pPr>
          </w:p>
        </w:tc>
        <w:tc>
          <w:tcPr>
            <w:tcW w:w="4678" w:type="dxa"/>
            <w:gridSpan w:val="4"/>
          </w:tcPr>
          <w:p w14:paraId="3AF57E16" w14:textId="77777777" w:rsidR="002063C4" w:rsidRPr="002063C4" w:rsidRDefault="002063C4" w:rsidP="00C6374B">
            <w:pPr>
              <w:spacing w:after="0"/>
              <w:rPr>
                <w:lang w:val="en-GB"/>
              </w:rPr>
            </w:pPr>
            <w:r w:rsidRPr="002063C4">
              <w:rPr>
                <w:b/>
                <w:bCs/>
                <w:lang w:val="en-GB"/>
              </w:rPr>
              <w:t>Percentage (%) of Patients</w:t>
            </w:r>
          </w:p>
        </w:tc>
      </w:tr>
      <w:tr w:rsidR="002063C4" w:rsidRPr="002063C4" w14:paraId="080D0BC8" w14:textId="77777777" w:rsidTr="00C72232">
        <w:trPr>
          <w:trHeight w:hRule="exact" w:val="262"/>
        </w:trPr>
        <w:tc>
          <w:tcPr>
            <w:tcW w:w="4678" w:type="dxa"/>
          </w:tcPr>
          <w:p w14:paraId="606AE924" w14:textId="77777777" w:rsidR="002063C4" w:rsidRPr="002063C4" w:rsidRDefault="002063C4" w:rsidP="00C6374B">
            <w:pPr>
              <w:spacing w:after="0"/>
              <w:rPr>
                <w:lang w:val="en-GB"/>
              </w:rPr>
            </w:pPr>
            <w:r w:rsidRPr="002063C4">
              <w:rPr>
                <w:b/>
                <w:bCs/>
                <w:lang w:val="en-GB"/>
              </w:rPr>
              <w:t>Gastrointestinal Disorders</w:t>
            </w:r>
          </w:p>
        </w:tc>
        <w:tc>
          <w:tcPr>
            <w:tcW w:w="1134" w:type="dxa"/>
          </w:tcPr>
          <w:p w14:paraId="007F0231" w14:textId="77777777" w:rsidR="002063C4" w:rsidRPr="002063C4" w:rsidRDefault="002063C4" w:rsidP="00C6374B">
            <w:pPr>
              <w:spacing w:after="0"/>
              <w:rPr>
                <w:lang w:val="en-GB"/>
              </w:rPr>
            </w:pPr>
          </w:p>
        </w:tc>
        <w:tc>
          <w:tcPr>
            <w:tcW w:w="1134" w:type="dxa"/>
          </w:tcPr>
          <w:p w14:paraId="2383CBCC" w14:textId="77777777" w:rsidR="002063C4" w:rsidRPr="002063C4" w:rsidRDefault="002063C4" w:rsidP="00C6374B">
            <w:pPr>
              <w:spacing w:after="0"/>
              <w:rPr>
                <w:lang w:val="en-GB"/>
              </w:rPr>
            </w:pPr>
          </w:p>
        </w:tc>
        <w:tc>
          <w:tcPr>
            <w:tcW w:w="1276" w:type="dxa"/>
          </w:tcPr>
          <w:p w14:paraId="122E1B38" w14:textId="77777777" w:rsidR="002063C4" w:rsidRPr="002063C4" w:rsidRDefault="002063C4" w:rsidP="00C6374B">
            <w:pPr>
              <w:spacing w:after="0"/>
              <w:rPr>
                <w:lang w:val="en-GB"/>
              </w:rPr>
            </w:pPr>
          </w:p>
        </w:tc>
        <w:tc>
          <w:tcPr>
            <w:tcW w:w="1134" w:type="dxa"/>
          </w:tcPr>
          <w:p w14:paraId="0DD6E49D" w14:textId="77777777" w:rsidR="002063C4" w:rsidRPr="002063C4" w:rsidRDefault="002063C4" w:rsidP="00C6374B">
            <w:pPr>
              <w:spacing w:after="0"/>
              <w:rPr>
                <w:lang w:val="en-GB"/>
              </w:rPr>
            </w:pPr>
          </w:p>
        </w:tc>
      </w:tr>
      <w:tr w:rsidR="002063C4" w:rsidRPr="002063C4" w14:paraId="25B65F99" w14:textId="77777777" w:rsidTr="00C72232">
        <w:trPr>
          <w:trHeight w:hRule="exact" w:val="264"/>
        </w:trPr>
        <w:tc>
          <w:tcPr>
            <w:tcW w:w="4678" w:type="dxa"/>
          </w:tcPr>
          <w:p w14:paraId="77899DFB" w14:textId="77777777" w:rsidR="002063C4" w:rsidRPr="002063C4" w:rsidRDefault="002063C4" w:rsidP="00C6374B">
            <w:pPr>
              <w:spacing w:after="0"/>
              <w:rPr>
                <w:lang w:val="en-GB"/>
              </w:rPr>
            </w:pPr>
            <w:r w:rsidRPr="002063C4">
              <w:rPr>
                <w:lang w:val="en-GB"/>
              </w:rPr>
              <w:t>Diarrhoea</w:t>
            </w:r>
          </w:p>
        </w:tc>
        <w:tc>
          <w:tcPr>
            <w:tcW w:w="1134" w:type="dxa"/>
          </w:tcPr>
          <w:p w14:paraId="757E8FB8" w14:textId="77777777" w:rsidR="002063C4" w:rsidRPr="002063C4" w:rsidRDefault="002063C4" w:rsidP="00C6374B">
            <w:pPr>
              <w:spacing w:after="0"/>
              <w:rPr>
                <w:lang w:val="en-GB"/>
              </w:rPr>
            </w:pPr>
            <w:r w:rsidRPr="002063C4">
              <w:rPr>
                <w:lang w:val="en-GB"/>
              </w:rPr>
              <w:t>74</w:t>
            </w:r>
          </w:p>
        </w:tc>
        <w:tc>
          <w:tcPr>
            <w:tcW w:w="1134" w:type="dxa"/>
          </w:tcPr>
          <w:p w14:paraId="135C6CE0" w14:textId="77777777" w:rsidR="002063C4" w:rsidRPr="002063C4" w:rsidRDefault="002063C4" w:rsidP="00C6374B">
            <w:pPr>
              <w:spacing w:after="0"/>
              <w:rPr>
                <w:lang w:val="en-GB"/>
              </w:rPr>
            </w:pPr>
            <w:r w:rsidRPr="002063C4">
              <w:rPr>
                <w:lang w:val="en-GB"/>
              </w:rPr>
              <w:t>11</w:t>
            </w:r>
          </w:p>
        </w:tc>
        <w:tc>
          <w:tcPr>
            <w:tcW w:w="1276" w:type="dxa"/>
          </w:tcPr>
          <w:p w14:paraId="5BC9778F" w14:textId="77777777" w:rsidR="002063C4" w:rsidRPr="002063C4" w:rsidRDefault="002063C4" w:rsidP="00C6374B">
            <w:pPr>
              <w:spacing w:after="0"/>
              <w:rPr>
                <w:lang w:val="en-GB"/>
              </w:rPr>
            </w:pPr>
            <w:r w:rsidRPr="002063C4">
              <w:rPr>
                <w:lang w:val="en-GB"/>
              </w:rPr>
              <w:t>28</w:t>
            </w:r>
          </w:p>
        </w:tc>
        <w:tc>
          <w:tcPr>
            <w:tcW w:w="1134" w:type="dxa"/>
          </w:tcPr>
          <w:p w14:paraId="5AFC8CE7" w14:textId="77777777" w:rsidR="002063C4" w:rsidRPr="002063C4" w:rsidRDefault="002063C4" w:rsidP="00C6374B">
            <w:pPr>
              <w:spacing w:after="0"/>
              <w:rPr>
                <w:lang w:val="en-GB"/>
              </w:rPr>
            </w:pPr>
            <w:r w:rsidRPr="002063C4">
              <w:rPr>
                <w:lang w:val="en-GB"/>
              </w:rPr>
              <w:t>2</w:t>
            </w:r>
          </w:p>
        </w:tc>
      </w:tr>
      <w:tr w:rsidR="002063C4" w:rsidRPr="002063C4" w14:paraId="11476E99" w14:textId="77777777" w:rsidTr="00C72232">
        <w:trPr>
          <w:trHeight w:hRule="exact" w:val="262"/>
        </w:trPr>
        <w:tc>
          <w:tcPr>
            <w:tcW w:w="4678" w:type="dxa"/>
          </w:tcPr>
          <w:p w14:paraId="607E36B7" w14:textId="77777777" w:rsidR="002063C4" w:rsidRPr="002063C4" w:rsidRDefault="002063C4" w:rsidP="00C6374B">
            <w:pPr>
              <w:spacing w:after="0"/>
              <w:rPr>
                <w:lang w:val="en-GB"/>
              </w:rPr>
            </w:pPr>
            <w:r w:rsidRPr="002063C4">
              <w:rPr>
                <w:lang w:val="en-GB"/>
              </w:rPr>
              <w:t>Nausea</w:t>
            </w:r>
          </w:p>
        </w:tc>
        <w:tc>
          <w:tcPr>
            <w:tcW w:w="1134" w:type="dxa"/>
          </w:tcPr>
          <w:p w14:paraId="6505E4EB" w14:textId="77777777" w:rsidR="002063C4" w:rsidRPr="002063C4" w:rsidRDefault="002063C4" w:rsidP="00C6374B">
            <w:pPr>
              <w:spacing w:after="0"/>
              <w:rPr>
                <w:lang w:val="en-GB"/>
              </w:rPr>
            </w:pPr>
            <w:r w:rsidRPr="002063C4">
              <w:rPr>
                <w:lang w:val="en-GB"/>
              </w:rPr>
              <w:t>50</w:t>
            </w:r>
          </w:p>
        </w:tc>
        <w:tc>
          <w:tcPr>
            <w:tcW w:w="1134" w:type="dxa"/>
          </w:tcPr>
          <w:p w14:paraId="2E2BEE6D" w14:textId="77777777" w:rsidR="002063C4" w:rsidRPr="002063C4" w:rsidRDefault="002063C4" w:rsidP="00C6374B">
            <w:pPr>
              <w:spacing w:after="0"/>
              <w:rPr>
                <w:lang w:val="en-GB"/>
              </w:rPr>
            </w:pPr>
            <w:r w:rsidRPr="002063C4">
              <w:rPr>
                <w:lang w:val="en-GB"/>
              </w:rPr>
              <w:t>4</w:t>
            </w:r>
          </w:p>
        </w:tc>
        <w:tc>
          <w:tcPr>
            <w:tcW w:w="1276" w:type="dxa"/>
          </w:tcPr>
          <w:p w14:paraId="6666AA61" w14:textId="77777777" w:rsidR="002063C4" w:rsidRPr="002063C4" w:rsidRDefault="002063C4" w:rsidP="00C6374B">
            <w:pPr>
              <w:spacing w:after="0"/>
              <w:rPr>
                <w:lang w:val="en-GB"/>
              </w:rPr>
            </w:pPr>
            <w:r w:rsidRPr="002063C4">
              <w:rPr>
                <w:lang w:val="en-GB"/>
              </w:rPr>
              <w:t>28</w:t>
            </w:r>
          </w:p>
        </w:tc>
        <w:tc>
          <w:tcPr>
            <w:tcW w:w="1134" w:type="dxa"/>
          </w:tcPr>
          <w:p w14:paraId="0BA342D4" w14:textId="77777777" w:rsidR="002063C4" w:rsidRPr="002063C4" w:rsidRDefault="002063C4" w:rsidP="00C6374B">
            <w:pPr>
              <w:spacing w:after="0"/>
              <w:rPr>
                <w:lang w:val="en-GB"/>
              </w:rPr>
            </w:pPr>
            <w:r w:rsidRPr="002063C4">
              <w:rPr>
                <w:lang w:val="en-GB"/>
              </w:rPr>
              <w:t>&lt;1</w:t>
            </w:r>
          </w:p>
        </w:tc>
      </w:tr>
      <w:tr w:rsidR="002063C4" w:rsidRPr="002063C4" w14:paraId="4F5EDEB9" w14:textId="77777777" w:rsidTr="00C72232">
        <w:trPr>
          <w:trHeight w:hRule="exact" w:val="264"/>
        </w:trPr>
        <w:tc>
          <w:tcPr>
            <w:tcW w:w="4678" w:type="dxa"/>
          </w:tcPr>
          <w:p w14:paraId="7C6AA42B" w14:textId="77777777" w:rsidR="002063C4" w:rsidRPr="002063C4" w:rsidRDefault="002063C4" w:rsidP="00C6374B">
            <w:pPr>
              <w:spacing w:after="0"/>
              <w:rPr>
                <w:lang w:val="en-GB"/>
              </w:rPr>
            </w:pPr>
            <w:r w:rsidRPr="002063C4">
              <w:rPr>
                <w:lang w:val="en-GB"/>
              </w:rPr>
              <w:t>Vomiting</w:t>
            </w:r>
          </w:p>
        </w:tc>
        <w:tc>
          <w:tcPr>
            <w:tcW w:w="1134" w:type="dxa"/>
          </w:tcPr>
          <w:p w14:paraId="2228F57E" w14:textId="77777777" w:rsidR="002063C4" w:rsidRPr="002063C4" w:rsidRDefault="002063C4" w:rsidP="00C6374B">
            <w:pPr>
              <w:spacing w:after="0"/>
              <w:rPr>
                <w:lang w:val="en-GB"/>
              </w:rPr>
            </w:pPr>
            <w:r w:rsidRPr="002063C4">
              <w:rPr>
                <w:lang w:val="en-GB"/>
              </w:rPr>
              <w:t>32</w:t>
            </w:r>
          </w:p>
        </w:tc>
        <w:tc>
          <w:tcPr>
            <w:tcW w:w="1134" w:type="dxa"/>
          </w:tcPr>
          <w:p w14:paraId="185E9D98" w14:textId="77777777" w:rsidR="002063C4" w:rsidRPr="002063C4" w:rsidRDefault="002063C4" w:rsidP="00C6374B">
            <w:pPr>
              <w:spacing w:after="0"/>
              <w:rPr>
                <w:lang w:val="en-GB"/>
              </w:rPr>
            </w:pPr>
            <w:r w:rsidRPr="002063C4">
              <w:rPr>
                <w:lang w:val="en-GB"/>
              </w:rPr>
              <w:t>2</w:t>
            </w:r>
          </w:p>
        </w:tc>
        <w:tc>
          <w:tcPr>
            <w:tcW w:w="1276" w:type="dxa"/>
          </w:tcPr>
          <w:p w14:paraId="00D09A41" w14:textId="77777777" w:rsidR="002063C4" w:rsidRPr="002063C4" w:rsidRDefault="002063C4" w:rsidP="00C6374B">
            <w:pPr>
              <w:spacing w:after="0"/>
              <w:rPr>
                <w:lang w:val="en-GB"/>
              </w:rPr>
            </w:pPr>
            <w:r w:rsidRPr="002063C4">
              <w:rPr>
                <w:lang w:val="en-GB"/>
              </w:rPr>
              <w:t>14</w:t>
            </w:r>
          </w:p>
        </w:tc>
        <w:tc>
          <w:tcPr>
            <w:tcW w:w="1134" w:type="dxa"/>
          </w:tcPr>
          <w:p w14:paraId="5DBA4E68" w14:textId="77777777" w:rsidR="002063C4" w:rsidRPr="002063C4" w:rsidRDefault="002063C4" w:rsidP="00C6374B">
            <w:pPr>
              <w:spacing w:after="0"/>
              <w:rPr>
                <w:lang w:val="en-GB"/>
              </w:rPr>
            </w:pPr>
            <w:r w:rsidRPr="002063C4">
              <w:rPr>
                <w:lang w:val="en-GB"/>
              </w:rPr>
              <w:t>&lt;1</w:t>
            </w:r>
          </w:p>
        </w:tc>
      </w:tr>
      <w:tr w:rsidR="002063C4" w:rsidRPr="002063C4" w14:paraId="2188D513" w14:textId="77777777" w:rsidTr="00C72232">
        <w:trPr>
          <w:trHeight w:hRule="exact" w:val="264"/>
        </w:trPr>
        <w:tc>
          <w:tcPr>
            <w:tcW w:w="4678" w:type="dxa"/>
          </w:tcPr>
          <w:p w14:paraId="05933694" w14:textId="77777777" w:rsidR="002063C4" w:rsidRPr="002063C4" w:rsidRDefault="002063C4" w:rsidP="00C6374B">
            <w:pPr>
              <w:spacing w:after="0"/>
              <w:rPr>
                <w:lang w:val="en-GB"/>
              </w:rPr>
            </w:pPr>
            <w:r w:rsidRPr="002063C4">
              <w:rPr>
                <w:lang w:val="en-GB"/>
              </w:rPr>
              <w:t>Stomatitis</w:t>
            </w:r>
          </w:p>
        </w:tc>
        <w:tc>
          <w:tcPr>
            <w:tcW w:w="1134" w:type="dxa"/>
          </w:tcPr>
          <w:p w14:paraId="7BA1774C" w14:textId="77777777" w:rsidR="002063C4" w:rsidRPr="002063C4" w:rsidRDefault="002063C4" w:rsidP="00C6374B">
            <w:pPr>
              <w:spacing w:after="0"/>
              <w:rPr>
                <w:lang w:val="en-GB"/>
              </w:rPr>
            </w:pPr>
            <w:r w:rsidRPr="002063C4">
              <w:rPr>
                <w:lang w:val="en-GB"/>
              </w:rPr>
              <w:t>22</w:t>
            </w:r>
          </w:p>
        </w:tc>
        <w:tc>
          <w:tcPr>
            <w:tcW w:w="1134" w:type="dxa"/>
          </w:tcPr>
          <w:p w14:paraId="7C6A8CE7" w14:textId="77777777" w:rsidR="002063C4" w:rsidRPr="002063C4" w:rsidRDefault="002063C4" w:rsidP="00C6374B">
            <w:pPr>
              <w:spacing w:after="0"/>
              <w:rPr>
                <w:lang w:val="en-GB"/>
              </w:rPr>
            </w:pPr>
            <w:r w:rsidRPr="002063C4">
              <w:rPr>
                <w:lang w:val="en-GB"/>
              </w:rPr>
              <w:t>2</w:t>
            </w:r>
          </w:p>
        </w:tc>
        <w:tc>
          <w:tcPr>
            <w:tcW w:w="1276" w:type="dxa"/>
          </w:tcPr>
          <w:p w14:paraId="1EAC6225" w14:textId="77777777" w:rsidR="002063C4" w:rsidRPr="002063C4" w:rsidRDefault="002063C4" w:rsidP="00C6374B">
            <w:pPr>
              <w:spacing w:after="0"/>
              <w:rPr>
                <w:lang w:val="en-GB"/>
              </w:rPr>
            </w:pPr>
            <w:r w:rsidRPr="002063C4">
              <w:rPr>
                <w:lang w:val="en-GB"/>
              </w:rPr>
              <w:t>24</w:t>
            </w:r>
          </w:p>
        </w:tc>
        <w:tc>
          <w:tcPr>
            <w:tcW w:w="1134" w:type="dxa"/>
          </w:tcPr>
          <w:p w14:paraId="563DF264" w14:textId="77777777" w:rsidR="002063C4" w:rsidRPr="002063C4" w:rsidRDefault="002063C4" w:rsidP="00C6374B">
            <w:pPr>
              <w:spacing w:after="0"/>
              <w:rPr>
                <w:lang w:val="en-GB"/>
              </w:rPr>
            </w:pPr>
            <w:r w:rsidRPr="002063C4">
              <w:rPr>
                <w:lang w:val="en-GB"/>
              </w:rPr>
              <w:t>2</w:t>
            </w:r>
          </w:p>
        </w:tc>
      </w:tr>
      <w:tr w:rsidR="002063C4" w:rsidRPr="002063C4" w14:paraId="4C45278A" w14:textId="77777777" w:rsidTr="00C72232">
        <w:trPr>
          <w:trHeight w:hRule="exact" w:val="262"/>
        </w:trPr>
        <w:tc>
          <w:tcPr>
            <w:tcW w:w="4678" w:type="dxa"/>
          </w:tcPr>
          <w:p w14:paraId="1962FF37" w14:textId="77777777" w:rsidR="002063C4" w:rsidRPr="002063C4" w:rsidRDefault="002063C4" w:rsidP="00C6374B">
            <w:pPr>
              <w:spacing w:after="0"/>
              <w:rPr>
                <w:lang w:val="en-GB"/>
              </w:rPr>
            </w:pPr>
            <w:r w:rsidRPr="002063C4">
              <w:rPr>
                <w:lang w:val="en-GB"/>
              </w:rPr>
              <w:t>Constipation</w:t>
            </w:r>
          </w:p>
        </w:tc>
        <w:tc>
          <w:tcPr>
            <w:tcW w:w="1134" w:type="dxa"/>
          </w:tcPr>
          <w:p w14:paraId="05E59522" w14:textId="77777777" w:rsidR="002063C4" w:rsidRPr="002063C4" w:rsidRDefault="002063C4" w:rsidP="00C6374B">
            <w:pPr>
              <w:spacing w:after="0"/>
              <w:rPr>
                <w:lang w:val="en-GB"/>
              </w:rPr>
            </w:pPr>
            <w:r w:rsidRPr="002063C4">
              <w:rPr>
                <w:lang w:val="en-GB"/>
              </w:rPr>
              <w:t>25</w:t>
            </w:r>
          </w:p>
        </w:tc>
        <w:tc>
          <w:tcPr>
            <w:tcW w:w="1134" w:type="dxa"/>
          </w:tcPr>
          <w:p w14:paraId="5396FD03" w14:textId="77777777" w:rsidR="002063C4" w:rsidRPr="002063C4" w:rsidRDefault="002063C4" w:rsidP="00C6374B">
            <w:pPr>
              <w:spacing w:after="0"/>
              <w:rPr>
                <w:lang w:val="en-GB"/>
              </w:rPr>
            </w:pPr>
            <w:r w:rsidRPr="002063C4">
              <w:rPr>
                <w:lang w:val="en-GB"/>
              </w:rPr>
              <w:t>&lt;1</w:t>
            </w:r>
          </w:p>
        </w:tc>
        <w:tc>
          <w:tcPr>
            <w:tcW w:w="1276" w:type="dxa"/>
          </w:tcPr>
          <w:p w14:paraId="627536C0" w14:textId="77777777" w:rsidR="002063C4" w:rsidRPr="002063C4" w:rsidRDefault="002063C4" w:rsidP="00C6374B">
            <w:pPr>
              <w:spacing w:after="0"/>
              <w:rPr>
                <w:lang w:val="en-GB"/>
              </w:rPr>
            </w:pPr>
            <w:r w:rsidRPr="002063C4">
              <w:rPr>
                <w:lang w:val="en-GB"/>
              </w:rPr>
              <w:t>19</w:t>
            </w:r>
          </w:p>
        </w:tc>
        <w:tc>
          <w:tcPr>
            <w:tcW w:w="1134" w:type="dxa"/>
          </w:tcPr>
          <w:p w14:paraId="45C25BB6" w14:textId="77777777" w:rsidR="002063C4" w:rsidRPr="002063C4" w:rsidRDefault="002063C4" w:rsidP="00C6374B">
            <w:pPr>
              <w:spacing w:after="0"/>
              <w:rPr>
                <w:lang w:val="en-GB"/>
              </w:rPr>
            </w:pPr>
            <w:r w:rsidRPr="002063C4">
              <w:rPr>
                <w:lang w:val="en-GB"/>
              </w:rPr>
              <w:t>&lt;1</w:t>
            </w:r>
          </w:p>
        </w:tc>
      </w:tr>
      <w:tr w:rsidR="002063C4" w:rsidRPr="002063C4" w14:paraId="4B44C8C5" w14:textId="77777777" w:rsidTr="00C72232">
        <w:trPr>
          <w:trHeight w:hRule="exact" w:val="293"/>
        </w:trPr>
        <w:tc>
          <w:tcPr>
            <w:tcW w:w="4678" w:type="dxa"/>
          </w:tcPr>
          <w:p w14:paraId="140AAB7B" w14:textId="77777777" w:rsidR="002063C4" w:rsidRPr="002063C4" w:rsidRDefault="002063C4" w:rsidP="00C6374B">
            <w:pPr>
              <w:spacing w:after="0"/>
              <w:rPr>
                <w:lang w:val="en-GB"/>
              </w:rPr>
            </w:pPr>
            <w:r w:rsidRPr="002063C4">
              <w:rPr>
                <w:lang w:val="en-GB"/>
              </w:rPr>
              <w:t xml:space="preserve">Abdominal pain </w:t>
            </w:r>
            <w:r w:rsidRPr="002063C4">
              <w:rPr>
                <w:vertAlign w:val="superscript"/>
                <w:lang w:val="en-GB"/>
              </w:rPr>
              <w:t>3</w:t>
            </w:r>
          </w:p>
        </w:tc>
        <w:tc>
          <w:tcPr>
            <w:tcW w:w="1134" w:type="dxa"/>
          </w:tcPr>
          <w:p w14:paraId="7861590F" w14:textId="77777777" w:rsidR="002063C4" w:rsidRPr="002063C4" w:rsidRDefault="002063C4" w:rsidP="00C6374B">
            <w:pPr>
              <w:spacing w:after="0"/>
              <w:rPr>
                <w:lang w:val="en-GB"/>
              </w:rPr>
            </w:pPr>
            <w:r w:rsidRPr="002063C4">
              <w:rPr>
                <w:lang w:val="en-GB"/>
              </w:rPr>
              <w:t>23</w:t>
            </w:r>
          </w:p>
        </w:tc>
        <w:tc>
          <w:tcPr>
            <w:tcW w:w="1134" w:type="dxa"/>
          </w:tcPr>
          <w:p w14:paraId="49A28A50" w14:textId="77777777" w:rsidR="002063C4" w:rsidRPr="002063C4" w:rsidRDefault="002063C4" w:rsidP="00C6374B">
            <w:pPr>
              <w:spacing w:after="0"/>
              <w:rPr>
                <w:lang w:val="en-GB"/>
              </w:rPr>
            </w:pPr>
            <w:r w:rsidRPr="002063C4">
              <w:rPr>
                <w:lang w:val="en-GB"/>
              </w:rPr>
              <w:t>4</w:t>
            </w:r>
          </w:p>
        </w:tc>
        <w:tc>
          <w:tcPr>
            <w:tcW w:w="1276" w:type="dxa"/>
          </w:tcPr>
          <w:p w14:paraId="7BA0EE42" w14:textId="77777777" w:rsidR="002063C4" w:rsidRPr="002063C4" w:rsidRDefault="002063C4" w:rsidP="00C6374B">
            <w:pPr>
              <w:spacing w:after="0"/>
              <w:rPr>
                <w:lang w:val="en-GB"/>
              </w:rPr>
            </w:pPr>
            <w:r w:rsidRPr="002063C4">
              <w:rPr>
                <w:lang w:val="en-GB"/>
              </w:rPr>
              <w:t>13</w:t>
            </w:r>
          </w:p>
        </w:tc>
        <w:tc>
          <w:tcPr>
            <w:tcW w:w="1134" w:type="dxa"/>
          </w:tcPr>
          <w:p w14:paraId="67E159F4" w14:textId="77777777" w:rsidR="002063C4" w:rsidRPr="002063C4" w:rsidRDefault="002063C4" w:rsidP="00C6374B">
            <w:pPr>
              <w:spacing w:after="0"/>
              <w:rPr>
                <w:lang w:val="en-GB"/>
              </w:rPr>
            </w:pPr>
            <w:r w:rsidRPr="002063C4">
              <w:rPr>
                <w:lang w:val="en-GB"/>
              </w:rPr>
              <w:t>2</w:t>
            </w:r>
          </w:p>
        </w:tc>
      </w:tr>
      <w:tr w:rsidR="002063C4" w:rsidRPr="002063C4" w14:paraId="7E11BE68" w14:textId="77777777" w:rsidTr="00C72232">
        <w:trPr>
          <w:trHeight w:hRule="exact" w:val="262"/>
        </w:trPr>
        <w:tc>
          <w:tcPr>
            <w:tcW w:w="4678" w:type="dxa"/>
          </w:tcPr>
          <w:p w14:paraId="28D71352" w14:textId="77777777" w:rsidR="002063C4" w:rsidRPr="002063C4" w:rsidRDefault="002063C4" w:rsidP="00C6374B">
            <w:pPr>
              <w:spacing w:after="0"/>
              <w:rPr>
                <w:lang w:val="en-GB"/>
              </w:rPr>
            </w:pPr>
            <w:r w:rsidRPr="002063C4">
              <w:rPr>
                <w:lang w:val="en-GB"/>
              </w:rPr>
              <w:t>Dyspepsia</w:t>
            </w:r>
          </w:p>
        </w:tc>
        <w:tc>
          <w:tcPr>
            <w:tcW w:w="1134" w:type="dxa"/>
          </w:tcPr>
          <w:p w14:paraId="5E0CFDE4" w14:textId="77777777" w:rsidR="002063C4" w:rsidRPr="002063C4" w:rsidRDefault="002063C4" w:rsidP="00C6374B">
            <w:pPr>
              <w:spacing w:after="0"/>
              <w:rPr>
                <w:lang w:val="en-GB"/>
              </w:rPr>
            </w:pPr>
            <w:r w:rsidRPr="002063C4">
              <w:rPr>
                <w:lang w:val="en-GB"/>
              </w:rPr>
              <w:t>12</w:t>
            </w:r>
          </w:p>
        </w:tc>
        <w:tc>
          <w:tcPr>
            <w:tcW w:w="1134" w:type="dxa"/>
          </w:tcPr>
          <w:p w14:paraId="3374EA26" w14:textId="77777777" w:rsidR="002063C4" w:rsidRPr="002063C4" w:rsidRDefault="002063C4" w:rsidP="00C6374B">
            <w:pPr>
              <w:spacing w:after="0"/>
              <w:rPr>
                <w:lang w:val="en-GB"/>
              </w:rPr>
            </w:pPr>
            <w:r w:rsidRPr="002063C4">
              <w:rPr>
                <w:lang w:val="en-GB"/>
              </w:rPr>
              <w:t>&lt;1</w:t>
            </w:r>
          </w:p>
        </w:tc>
        <w:tc>
          <w:tcPr>
            <w:tcW w:w="1276" w:type="dxa"/>
          </w:tcPr>
          <w:p w14:paraId="274770E0" w14:textId="77777777" w:rsidR="002063C4" w:rsidRPr="002063C4" w:rsidRDefault="002063C4" w:rsidP="00C6374B">
            <w:pPr>
              <w:spacing w:after="0"/>
              <w:rPr>
                <w:lang w:val="en-GB"/>
              </w:rPr>
            </w:pPr>
            <w:r w:rsidRPr="002063C4">
              <w:rPr>
                <w:lang w:val="en-GB"/>
              </w:rPr>
              <w:t>5</w:t>
            </w:r>
          </w:p>
        </w:tc>
        <w:tc>
          <w:tcPr>
            <w:tcW w:w="1134" w:type="dxa"/>
          </w:tcPr>
          <w:p w14:paraId="7AC1F645" w14:textId="77777777" w:rsidR="002063C4" w:rsidRPr="002063C4" w:rsidRDefault="002063C4" w:rsidP="00C6374B">
            <w:pPr>
              <w:spacing w:after="0"/>
              <w:rPr>
                <w:lang w:val="en-GB"/>
              </w:rPr>
            </w:pPr>
            <w:r w:rsidRPr="002063C4">
              <w:rPr>
                <w:lang w:val="en-GB"/>
              </w:rPr>
              <w:t>0</w:t>
            </w:r>
          </w:p>
        </w:tc>
      </w:tr>
      <w:tr w:rsidR="002063C4" w:rsidRPr="002063C4" w14:paraId="60C7C2BE" w14:textId="77777777" w:rsidTr="00C72232">
        <w:trPr>
          <w:trHeight w:hRule="exact" w:val="702"/>
        </w:trPr>
        <w:tc>
          <w:tcPr>
            <w:tcW w:w="4678" w:type="dxa"/>
          </w:tcPr>
          <w:p w14:paraId="09C29A0A" w14:textId="77777777" w:rsidR="002063C4" w:rsidRPr="002063C4" w:rsidRDefault="002063C4" w:rsidP="00C6374B">
            <w:pPr>
              <w:spacing w:after="0"/>
              <w:rPr>
                <w:lang w:val="en-GB"/>
              </w:rPr>
            </w:pPr>
            <w:r w:rsidRPr="002063C4">
              <w:rPr>
                <w:b/>
                <w:bCs/>
                <w:lang w:val="en-GB"/>
              </w:rPr>
              <w:t>General Disorders and Administration Site</w:t>
            </w:r>
          </w:p>
          <w:p w14:paraId="099C27A9" w14:textId="77777777" w:rsidR="002063C4" w:rsidRPr="002063C4" w:rsidRDefault="002063C4" w:rsidP="00C6374B">
            <w:pPr>
              <w:spacing w:after="0"/>
              <w:rPr>
                <w:lang w:val="en-GB"/>
              </w:rPr>
            </w:pPr>
            <w:r w:rsidRPr="002063C4">
              <w:rPr>
                <w:b/>
                <w:bCs/>
                <w:lang w:val="en-GB"/>
              </w:rPr>
              <w:t>Conditions</w:t>
            </w:r>
          </w:p>
        </w:tc>
        <w:tc>
          <w:tcPr>
            <w:tcW w:w="1134" w:type="dxa"/>
          </w:tcPr>
          <w:p w14:paraId="46AA3072" w14:textId="77777777" w:rsidR="002063C4" w:rsidRPr="002063C4" w:rsidRDefault="002063C4" w:rsidP="00C6374B">
            <w:pPr>
              <w:spacing w:after="0"/>
              <w:rPr>
                <w:lang w:val="en-GB"/>
              </w:rPr>
            </w:pPr>
          </w:p>
        </w:tc>
        <w:tc>
          <w:tcPr>
            <w:tcW w:w="1134" w:type="dxa"/>
          </w:tcPr>
          <w:p w14:paraId="0A116C25" w14:textId="77777777" w:rsidR="002063C4" w:rsidRPr="002063C4" w:rsidRDefault="002063C4" w:rsidP="00C6374B">
            <w:pPr>
              <w:spacing w:after="0"/>
              <w:rPr>
                <w:lang w:val="en-GB"/>
              </w:rPr>
            </w:pPr>
          </w:p>
        </w:tc>
        <w:tc>
          <w:tcPr>
            <w:tcW w:w="1276" w:type="dxa"/>
          </w:tcPr>
          <w:p w14:paraId="596E7C0A" w14:textId="77777777" w:rsidR="002063C4" w:rsidRPr="002063C4" w:rsidRDefault="002063C4" w:rsidP="00C6374B">
            <w:pPr>
              <w:spacing w:after="0"/>
              <w:rPr>
                <w:lang w:val="en-GB"/>
              </w:rPr>
            </w:pPr>
          </w:p>
        </w:tc>
        <w:tc>
          <w:tcPr>
            <w:tcW w:w="1134" w:type="dxa"/>
          </w:tcPr>
          <w:p w14:paraId="7E997919" w14:textId="77777777" w:rsidR="002063C4" w:rsidRPr="002063C4" w:rsidRDefault="002063C4" w:rsidP="00C6374B">
            <w:pPr>
              <w:spacing w:after="0"/>
              <w:rPr>
                <w:lang w:val="en-GB"/>
              </w:rPr>
            </w:pPr>
          </w:p>
        </w:tc>
      </w:tr>
      <w:tr w:rsidR="002063C4" w:rsidRPr="002063C4" w14:paraId="0260D131" w14:textId="77777777" w:rsidTr="00C72232">
        <w:trPr>
          <w:trHeight w:hRule="exact" w:val="264"/>
        </w:trPr>
        <w:tc>
          <w:tcPr>
            <w:tcW w:w="4678" w:type="dxa"/>
          </w:tcPr>
          <w:p w14:paraId="6A86ED3B" w14:textId="77777777" w:rsidR="002063C4" w:rsidRPr="002063C4" w:rsidRDefault="002063C4" w:rsidP="00C6374B">
            <w:pPr>
              <w:spacing w:after="0"/>
              <w:rPr>
                <w:lang w:val="en-GB"/>
              </w:rPr>
            </w:pPr>
            <w:r w:rsidRPr="002063C4">
              <w:rPr>
                <w:lang w:val="en-GB"/>
              </w:rPr>
              <w:t>Fatigue</w:t>
            </w:r>
          </w:p>
        </w:tc>
        <w:tc>
          <w:tcPr>
            <w:tcW w:w="1134" w:type="dxa"/>
          </w:tcPr>
          <w:p w14:paraId="5547D416" w14:textId="77777777" w:rsidR="002063C4" w:rsidRPr="002063C4" w:rsidRDefault="002063C4" w:rsidP="00C6374B">
            <w:pPr>
              <w:spacing w:after="0"/>
              <w:rPr>
                <w:lang w:val="en-GB"/>
              </w:rPr>
            </w:pPr>
            <w:r w:rsidRPr="002063C4">
              <w:rPr>
                <w:lang w:val="en-GB"/>
              </w:rPr>
              <w:t>56</w:t>
            </w:r>
          </w:p>
        </w:tc>
        <w:tc>
          <w:tcPr>
            <w:tcW w:w="1134" w:type="dxa"/>
          </w:tcPr>
          <w:p w14:paraId="3FA04029" w14:textId="77777777" w:rsidR="002063C4" w:rsidRPr="002063C4" w:rsidRDefault="002063C4" w:rsidP="00C6374B">
            <w:pPr>
              <w:spacing w:after="0"/>
              <w:rPr>
                <w:lang w:val="en-GB"/>
              </w:rPr>
            </w:pPr>
            <w:r w:rsidRPr="002063C4">
              <w:rPr>
                <w:lang w:val="en-GB"/>
              </w:rPr>
              <w:t>9</w:t>
            </w:r>
          </w:p>
        </w:tc>
        <w:tc>
          <w:tcPr>
            <w:tcW w:w="1276" w:type="dxa"/>
          </w:tcPr>
          <w:p w14:paraId="01CA3B84" w14:textId="77777777" w:rsidR="002063C4" w:rsidRPr="002063C4" w:rsidRDefault="002063C4" w:rsidP="00C6374B">
            <w:pPr>
              <w:spacing w:after="0"/>
              <w:rPr>
                <w:lang w:val="en-GB"/>
              </w:rPr>
            </w:pPr>
            <w:r w:rsidRPr="002063C4">
              <w:rPr>
                <w:lang w:val="en-GB"/>
              </w:rPr>
              <w:t>47</w:t>
            </w:r>
          </w:p>
        </w:tc>
        <w:tc>
          <w:tcPr>
            <w:tcW w:w="1134" w:type="dxa"/>
          </w:tcPr>
          <w:p w14:paraId="4659E988" w14:textId="77777777" w:rsidR="002063C4" w:rsidRPr="002063C4" w:rsidRDefault="002063C4" w:rsidP="00C6374B">
            <w:pPr>
              <w:spacing w:after="0"/>
              <w:rPr>
                <w:lang w:val="en-GB"/>
              </w:rPr>
            </w:pPr>
            <w:r w:rsidRPr="002063C4">
              <w:rPr>
                <w:lang w:val="en-GB"/>
              </w:rPr>
              <w:t>7</w:t>
            </w:r>
          </w:p>
        </w:tc>
      </w:tr>
      <w:tr w:rsidR="002063C4" w:rsidRPr="002063C4" w14:paraId="7612B557"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5745F38E" w14:textId="77777777" w:rsidR="002063C4" w:rsidRPr="002063C4" w:rsidRDefault="002063C4" w:rsidP="00C6374B">
            <w:pPr>
              <w:spacing w:after="0"/>
              <w:rPr>
                <w:lang w:val="en-GB"/>
              </w:rPr>
            </w:pPr>
            <w:r w:rsidRPr="002063C4">
              <w:rPr>
                <w:lang w:val="en-GB"/>
              </w:rPr>
              <w:t>Mucosal inflammation</w:t>
            </w:r>
          </w:p>
        </w:tc>
        <w:tc>
          <w:tcPr>
            <w:tcW w:w="1134" w:type="dxa"/>
            <w:tcBorders>
              <w:top w:val="single" w:sz="4" w:space="0" w:color="000000"/>
              <w:left w:val="single" w:sz="4" w:space="0" w:color="000000"/>
              <w:bottom w:val="single" w:sz="4" w:space="0" w:color="000000"/>
              <w:right w:val="single" w:sz="4" w:space="0" w:color="000000"/>
            </w:tcBorders>
          </w:tcPr>
          <w:p w14:paraId="319D759E" w14:textId="77777777" w:rsidR="002063C4" w:rsidRPr="002063C4" w:rsidRDefault="002063C4" w:rsidP="00C6374B">
            <w:pPr>
              <w:spacing w:after="0"/>
              <w:rPr>
                <w:lang w:val="en-GB"/>
              </w:rPr>
            </w:pPr>
            <w:r w:rsidRPr="002063C4">
              <w:rPr>
                <w:lang w:val="en-GB"/>
              </w:rPr>
              <w:t>19</w:t>
            </w:r>
          </w:p>
        </w:tc>
        <w:tc>
          <w:tcPr>
            <w:tcW w:w="1134" w:type="dxa"/>
            <w:tcBorders>
              <w:top w:val="single" w:sz="4" w:space="0" w:color="000000"/>
              <w:left w:val="single" w:sz="4" w:space="0" w:color="000000"/>
              <w:bottom w:val="single" w:sz="4" w:space="0" w:color="000000"/>
              <w:right w:val="single" w:sz="4" w:space="0" w:color="000000"/>
            </w:tcBorders>
          </w:tcPr>
          <w:p w14:paraId="00B5EF84" w14:textId="77777777" w:rsidR="002063C4" w:rsidRPr="002063C4" w:rsidRDefault="002063C4" w:rsidP="00C6374B">
            <w:pPr>
              <w:spacing w:after="0"/>
              <w:rPr>
                <w:lang w:val="en-GB"/>
              </w:rPr>
            </w:pPr>
            <w:r w:rsidRPr="002063C4">
              <w:rPr>
                <w:lang w:val="en-GB"/>
              </w:rPr>
              <w:t>&lt;1</w:t>
            </w:r>
          </w:p>
        </w:tc>
        <w:tc>
          <w:tcPr>
            <w:tcW w:w="1276" w:type="dxa"/>
            <w:tcBorders>
              <w:top w:val="single" w:sz="4" w:space="0" w:color="000000"/>
              <w:left w:val="single" w:sz="4" w:space="0" w:color="000000"/>
              <w:bottom w:val="single" w:sz="4" w:space="0" w:color="000000"/>
              <w:right w:val="single" w:sz="4" w:space="0" w:color="000000"/>
            </w:tcBorders>
          </w:tcPr>
          <w:p w14:paraId="5EB24882" w14:textId="77777777" w:rsidR="002063C4" w:rsidRPr="002063C4" w:rsidRDefault="002063C4" w:rsidP="00C6374B">
            <w:pPr>
              <w:spacing w:after="0"/>
              <w:rPr>
                <w:lang w:val="en-GB"/>
              </w:rPr>
            </w:pPr>
            <w:r w:rsidRPr="002063C4">
              <w:rPr>
                <w:lang w:val="en-GB"/>
              </w:rPr>
              <w:t>23</w:t>
            </w:r>
          </w:p>
        </w:tc>
        <w:tc>
          <w:tcPr>
            <w:tcW w:w="1134" w:type="dxa"/>
            <w:tcBorders>
              <w:top w:val="single" w:sz="4" w:space="0" w:color="000000"/>
              <w:left w:val="single" w:sz="4" w:space="0" w:color="000000"/>
              <w:bottom w:val="single" w:sz="4" w:space="0" w:color="000000"/>
              <w:right w:val="single" w:sz="4" w:space="0" w:color="auto"/>
            </w:tcBorders>
          </w:tcPr>
          <w:p w14:paraId="78948DD9" w14:textId="77777777" w:rsidR="002063C4" w:rsidRPr="002063C4" w:rsidRDefault="002063C4" w:rsidP="00C6374B">
            <w:pPr>
              <w:spacing w:after="0"/>
              <w:rPr>
                <w:lang w:val="en-GB"/>
              </w:rPr>
            </w:pPr>
            <w:r w:rsidRPr="002063C4">
              <w:rPr>
                <w:lang w:val="en-GB"/>
              </w:rPr>
              <w:t>3</w:t>
            </w:r>
          </w:p>
        </w:tc>
      </w:tr>
      <w:tr w:rsidR="002063C4" w:rsidRPr="002063C4" w14:paraId="5E5BEF7B"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46C3C005" w14:textId="77777777" w:rsidR="002063C4" w:rsidRPr="002063C4" w:rsidRDefault="002063C4" w:rsidP="00C6374B">
            <w:pPr>
              <w:spacing w:after="0"/>
              <w:rPr>
                <w:lang w:val="en-GB"/>
              </w:rPr>
            </w:pPr>
            <w:r w:rsidRPr="002063C4">
              <w:rPr>
                <w:lang w:val="en-GB"/>
              </w:rPr>
              <w:t>Asthenia</w:t>
            </w:r>
          </w:p>
        </w:tc>
        <w:tc>
          <w:tcPr>
            <w:tcW w:w="1134" w:type="dxa"/>
            <w:tcBorders>
              <w:top w:val="single" w:sz="4" w:space="0" w:color="000000"/>
              <w:left w:val="single" w:sz="4" w:space="0" w:color="000000"/>
              <w:bottom w:val="single" w:sz="4" w:space="0" w:color="000000"/>
              <w:right w:val="single" w:sz="4" w:space="0" w:color="000000"/>
            </w:tcBorders>
          </w:tcPr>
          <w:p w14:paraId="5EAA4B91" w14:textId="77777777" w:rsidR="002063C4" w:rsidRPr="002063C4" w:rsidRDefault="002063C4" w:rsidP="00C6374B">
            <w:pPr>
              <w:spacing w:after="0"/>
              <w:rPr>
                <w:lang w:val="en-GB"/>
              </w:rPr>
            </w:pPr>
            <w:r w:rsidRPr="002063C4">
              <w:rPr>
                <w:lang w:val="en-GB"/>
              </w:rPr>
              <w:t>19</w:t>
            </w:r>
          </w:p>
        </w:tc>
        <w:tc>
          <w:tcPr>
            <w:tcW w:w="1134" w:type="dxa"/>
            <w:tcBorders>
              <w:top w:val="single" w:sz="4" w:space="0" w:color="000000"/>
              <w:left w:val="single" w:sz="4" w:space="0" w:color="000000"/>
              <w:bottom w:val="single" w:sz="4" w:space="0" w:color="000000"/>
              <w:right w:val="single" w:sz="4" w:space="0" w:color="000000"/>
            </w:tcBorders>
          </w:tcPr>
          <w:p w14:paraId="4621EC04" w14:textId="77777777" w:rsidR="002063C4" w:rsidRPr="002063C4" w:rsidRDefault="002063C4" w:rsidP="00C6374B">
            <w:pPr>
              <w:spacing w:after="0"/>
              <w:rPr>
                <w:lang w:val="en-GB"/>
              </w:rPr>
            </w:pPr>
            <w:r w:rsidRPr="002063C4">
              <w:rPr>
                <w:lang w:val="en-GB"/>
              </w:rPr>
              <w:t>4</w:t>
            </w:r>
          </w:p>
        </w:tc>
        <w:tc>
          <w:tcPr>
            <w:tcW w:w="1276" w:type="dxa"/>
            <w:tcBorders>
              <w:top w:val="single" w:sz="4" w:space="0" w:color="000000"/>
              <w:left w:val="single" w:sz="4" w:space="0" w:color="000000"/>
              <w:bottom w:val="single" w:sz="4" w:space="0" w:color="000000"/>
              <w:right w:val="single" w:sz="4" w:space="0" w:color="000000"/>
            </w:tcBorders>
          </w:tcPr>
          <w:p w14:paraId="1E683656" w14:textId="77777777" w:rsidR="002063C4" w:rsidRPr="002063C4" w:rsidRDefault="002063C4" w:rsidP="00C6374B">
            <w:pPr>
              <w:spacing w:after="0"/>
              <w:rPr>
                <w:lang w:val="en-GB"/>
              </w:rPr>
            </w:pPr>
            <w:r w:rsidRPr="002063C4">
              <w:rPr>
                <w:lang w:val="en-GB"/>
              </w:rPr>
              <w:t>16</w:t>
            </w:r>
          </w:p>
        </w:tc>
        <w:tc>
          <w:tcPr>
            <w:tcW w:w="1134" w:type="dxa"/>
            <w:tcBorders>
              <w:top w:val="single" w:sz="4" w:space="0" w:color="000000"/>
              <w:left w:val="single" w:sz="4" w:space="0" w:color="000000"/>
              <w:bottom w:val="single" w:sz="4" w:space="0" w:color="000000"/>
              <w:right w:val="single" w:sz="4" w:space="0" w:color="auto"/>
            </w:tcBorders>
          </w:tcPr>
          <w:p w14:paraId="1EF955C3" w14:textId="77777777" w:rsidR="002063C4" w:rsidRPr="002063C4" w:rsidRDefault="002063C4" w:rsidP="00C6374B">
            <w:pPr>
              <w:spacing w:after="0"/>
              <w:rPr>
                <w:lang w:val="en-GB"/>
              </w:rPr>
            </w:pPr>
            <w:r w:rsidRPr="002063C4">
              <w:rPr>
                <w:lang w:val="en-GB"/>
              </w:rPr>
              <w:t>2</w:t>
            </w:r>
          </w:p>
        </w:tc>
      </w:tr>
      <w:tr w:rsidR="002063C4" w:rsidRPr="002063C4" w14:paraId="6DA72B96"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07FF3321" w14:textId="77777777" w:rsidR="002063C4" w:rsidRPr="00BB14D8" w:rsidRDefault="002063C4" w:rsidP="00C6374B">
            <w:pPr>
              <w:spacing w:after="0"/>
              <w:rPr>
                <w:b/>
                <w:lang w:val="en-GB"/>
              </w:rPr>
            </w:pPr>
            <w:r w:rsidRPr="00BB14D8">
              <w:rPr>
                <w:b/>
                <w:lang w:val="en-GB"/>
              </w:rPr>
              <w:t>Metabolism and Nutrition Disorders</w:t>
            </w:r>
          </w:p>
        </w:tc>
        <w:tc>
          <w:tcPr>
            <w:tcW w:w="1134" w:type="dxa"/>
            <w:tcBorders>
              <w:top w:val="single" w:sz="4" w:space="0" w:color="000000"/>
              <w:left w:val="single" w:sz="4" w:space="0" w:color="000000"/>
              <w:bottom w:val="single" w:sz="4" w:space="0" w:color="000000"/>
              <w:right w:val="single" w:sz="4" w:space="0" w:color="000000"/>
            </w:tcBorders>
          </w:tcPr>
          <w:p w14:paraId="64592C9D" w14:textId="77777777" w:rsidR="002063C4" w:rsidRPr="002063C4" w:rsidRDefault="002063C4" w:rsidP="00C6374B">
            <w:pPr>
              <w:spacing w:after="0"/>
              <w:rPr>
                <w:lang w:val="en-GB"/>
              </w:rPr>
            </w:pPr>
          </w:p>
        </w:tc>
        <w:tc>
          <w:tcPr>
            <w:tcW w:w="1134" w:type="dxa"/>
            <w:tcBorders>
              <w:top w:val="single" w:sz="4" w:space="0" w:color="000000"/>
              <w:left w:val="single" w:sz="4" w:space="0" w:color="000000"/>
              <w:bottom w:val="single" w:sz="4" w:space="0" w:color="000000"/>
              <w:right w:val="single" w:sz="4" w:space="0" w:color="000000"/>
            </w:tcBorders>
          </w:tcPr>
          <w:p w14:paraId="4C1162A5" w14:textId="77777777" w:rsidR="002063C4" w:rsidRPr="002063C4" w:rsidRDefault="002063C4" w:rsidP="00C6374B">
            <w:pPr>
              <w:spacing w:after="0"/>
              <w:rPr>
                <w:lang w:val="en-GB"/>
              </w:rPr>
            </w:pPr>
          </w:p>
        </w:tc>
        <w:tc>
          <w:tcPr>
            <w:tcW w:w="1276" w:type="dxa"/>
            <w:tcBorders>
              <w:top w:val="single" w:sz="4" w:space="0" w:color="000000"/>
              <w:left w:val="single" w:sz="4" w:space="0" w:color="000000"/>
              <w:bottom w:val="single" w:sz="4" w:space="0" w:color="000000"/>
              <w:right w:val="single" w:sz="4" w:space="0" w:color="000000"/>
            </w:tcBorders>
          </w:tcPr>
          <w:p w14:paraId="52022517" w14:textId="77777777" w:rsidR="002063C4" w:rsidRPr="002063C4" w:rsidRDefault="002063C4" w:rsidP="00C6374B">
            <w:pPr>
              <w:spacing w:after="0"/>
              <w:rPr>
                <w:lang w:val="en-GB"/>
              </w:rPr>
            </w:pPr>
          </w:p>
        </w:tc>
        <w:tc>
          <w:tcPr>
            <w:tcW w:w="1134" w:type="dxa"/>
            <w:tcBorders>
              <w:top w:val="single" w:sz="4" w:space="0" w:color="000000"/>
              <w:left w:val="single" w:sz="4" w:space="0" w:color="000000"/>
              <w:bottom w:val="single" w:sz="4" w:space="0" w:color="000000"/>
              <w:right w:val="single" w:sz="4" w:space="0" w:color="auto"/>
            </w:tcBorders>
          </w:tcPr>
          <w:p w14:paraId="3755B255" w14:textId="77777777" w:rsidR="002063C4" w:rsidRPr="002063C4" w:rsidRDefault="002063C4" w:rsidP="00C6374B">
            <w:pPr>
              <w:spacing w:after="0"/>
              <w:rPr>
                <w:lang w:val="en-GB"/>
              </w:rPr>
            </w:pPr>
          </w:p>
        </w:tc>
      </w:tr>
      <w:tr w:rsidR="002063C4" w:rsidRPr="002063C4" w14:paraId="707D0E87"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414008FC" w14:textId="77777777" w:rsidR="002063C4" w:rsidRPr="002063C4" w:rsidRDefault="002063C4" w:rsidP="00C6374B">
            <w:pPr>
              <w:spacing w:after="0"/>
              <w:rPr>
                <w:lang w:val="en-GB"/>
              </w:rPr>
            </w:pPr>
            <w:r w:rsidRPr="002063C4">
              <w:rPr>
                <w:lang w:val="en-GB"/>
              </w:rPr>
              <w:t>Decreased appetite</w:t>
            </w:r>
          </w:p>
        </w:tc>
        <w:tc>
          <w:tcPr>
            <w:tcW w:w="1134" w:type="dxa"/>
            <w:tcBorders>
              <w:top w:val="single" w:sz="4" w:space="0" w:color="000000"/>
              <w:left w:val="single" w:sz="4" w:space="0" w:color="000000"/>
              <w:bottom w:val="single" w:sz="4" w:space="0" w:color="000000"/>
              <w:right w:val="single" w:sz="4" w:space="0" w:color="000000"/>
            </w:tcBorders>
          </w:tcPr>
          <w:p w14:paraId="50A5902D" w14:textId="77777777" w:rsidR="002063C4" w:rsidRPr="002063C4" w:rsidRDefault="002063C4" w:rsidP="00C6374B">
            <w:pPr>
              <w:spacing w:after="0"/>
              <w:rPr>
                <w:lang w:val="en-GB"/>
              </w:rPr>
            </w:pPr>
            <w:r w:rsidRPr="002063C4">
              <w:rPr>
                <w:lang w:val="en-GB"/>
              </w:rPr>
              <w:t>46</w:t>
            </w:r>
          </w:p>
        </w:tc>
        <w:tc>
          <w:tcPr>
            <w:tcW w:w="1134" w:type="dxa"/>
            <w:tcBorders>
              <w:top w:val="single" w:sz="4" w:space="0" w:color="000000"/>
              <w:left w:val="single" w:sz="4" w:space="0" w:color="000000"/>
              <w:bottom w:val="single" w:sz="4" w:space="0" w:color="000000"/>
              <w:right w:val="single" w:sz="4" w:space="0" w:color="000000"/>
            </w:tcBorders>
          </w:tcPr>
          <w:p w14:paraId="7A98E603" w14:textId="77777777" w:rsidR="002063C4" w:rsidRPr="002063C4" w:rsidRDefault="002063C4" w:rsidP="00C6374B">
            <w:pPr>
              <w:spacing w:after="0"/>
              <w:rPr>
                <w:lang w:val="en-GB"/>
              </w:rPr>
            </w:pPr>
            <w:r w:rsidRPr="002063C4">
              <w:rPr>
                <w:lang w:val="en-GB"/>
              </w:rPr>
              <w:t>3</w:t>
            </w:r>
          </w:p>
        </w:tc>
        <w:tc>
          <w:tcPr>
            <w:tcW w:w="1276" w:type="dxa"/>
            <w:tcBorders>
              <w:top w:val="single" w:sz="4" w:space="0" w:color="000000"/>
              <w:left w:val="single" w:sz="4" w:space="0" w:color="000000"/>
              <w:bottom w:val="single" w:sz="4" w:space="0" w:color="000000"/>
              <w:right w:val="single" w:sz="4" w:space="0" w:color="000000"/>
            </w:tcBorders>
          </w:tcPr>
          <w:p w14:paraId="56BCEEDC" w14:textId="77777777" w:rsidR="002063C4" w:rsidRPr="002063C4" w:rsidRDefault="002063C4" w:rsidP="00C6374B">
            <w:pPr>
              <w:spacing w:after="0"/>
              <w:rPr>
                <w:lang w:val="en-GB"/>
              </w:rPr>
            </w:pPr>
            <w:r w:rsidRPr="002063C4">
              <w:rPr>
                <w:lang w:val="en-GB"/>
              </w:rPr>
              <w:t>34</w:t>
            </w:r>
          </w:p>
        </w:tc>
        <w:tc>
          <w:tcPr>
            <w:tcW w:w="1134" w:type="dxa"/>
            <w:tcBorders>
              <w:top w:val="single" w:sz="4" w:space="0" w:color="000000"/>
              <w:left w:val="single" w:sz="4" w:space="0" w:color="000000"/>
              <w:bottom w:val="single" w:sz="4" w:space="0" w:color="000000"/>
              <w:right w:val="single" w:sz="4" w:space="0" w:color="auto"/>
            </w:tcBorders>
          </w:tcPr>
          <w:p w14:paraId="29244BCF" w14:textId="77777777" w:rsidR="002063C4" w:rsidRPr="002063C4" w:rsidRDefault="002063C4" w:rsidP="00C6374B">
            <w:pPr>
              <w:spacing w:after="0"/>
              <w:rPr>
                <w:lang w:val="en-GB"/>
              </w:rPr>
            </w:pPr>
            <w:r w:rsidRPr="002063C4">
              <w:rPr>
                <w:lang w:val="en-GB"/>
              </w:rPr>
              <w:t>&lt;1</w:t>
            </w:r>
          </w:p>
        </w:tc>
      </w:tr>
      <w:tr w:rsidR="002063C4" w:rsidRPr="002063C4" w14:paraId="410B6266"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08A33214" w14:textId="77777777" w:rsidR="002063C4" w:rsidRPr="00BB14D8" w:rsidRDefault="002063C4" w:rsidP="00C6374B">
            <w:pPr>
              <w:spacing w:after="0"/>
              <w:rPr>
                <w:b/>
                <w:lang w:val="en-GB"/>
              </w:rPr>
            </w:pPr>
            <w:r w:rsidRPr="00BB14D8">
              <w:rPr>
                <w:b/>
                <w:lang w:val="en-GB"/>
              </w:rPr>
              <w:t>Skin and Subcutaneous Tissue Disorders</w:t>
            </w:r>
          </w:p>
        </w:tc>
        <w:tc>
          <w:tcPr>
            <w:tcW w:w="1134" w:type="dxa"/>
            <w:tcBorders>
              <w:top w:val="single" w:sz="4" w:space="0" w:color="000000"/>
              <w:left w:val="single" w:sz="4" w:space="0" w:color="000000"/>
              <w:bottom w:val="single" w:sz="4" w:space="0" w:color="000000"/>
              <w:right w:val="single" w:sz="4" w:space="0" w:color="000000"/>
            </w:tcBorders>
          </w:tcPr>
          <w:p w14:paraId="77C4E56E"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000000"/>
            </w:tcBorders>
          </w:tcPr>
          <w:p w14:paraId="57A2A7B1" w14:textId="77777777" w:rsidR="002063C4" w:rsidRPr="00BB14D8" w:rsidRDefault="002063C4" w:rsidP="00C6374B">
            <w:pPr>
              <w:spacing w:after="0"/>
              <w:rPr>
                <w:b/>
                <w:lang w:val="en-GB"/>
              </w:rPr>
            </w:pPr>
          </w:p>
        </w:tc>
        <w:tc>
          <w:tcPr>
            <w:tcW w:w="1276" w:type="dxa"/>
            <w:tcBorders>
              <w:top w:val="single" w:sz="4" w:space="0" w:color="000000"/>
              <w:left w:val="single" w:sz="4" w:space="0" w:color="000000"/>
              <w:bottom w:val="single" w:sz="4" w:space="0" w:color="000000"/>
              <w:right w:val="single" w:sz="4" w:space="0" w:color="000000"/>
            </w:tcBorders>
          </w:tcPr>
          <w:p w14:paraId="16081F86"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auto"/>
            </w:tcBorders>
          </w:tcPr>
          <w:p w14:paraId="50AE1293" w14:textId="77777777" w:rsidR="002063C4" w:rsidRPr="00BB14D8" w:rsidRDefault="002063C4" w:rsidP="00C6374B">
            <w:pPr>
              <w:spacing w:after="0"/>
              <w:rPr>
                <w:b/>
                <w:lang w:val="en-GB"/>
              </w:rPr>
            </w:pPr>
          </w:p>
        </w:tc>
      </w:tr>
      <w:tr w:rsidR="002063C4" w:rsidRPr="002063C4" w14:paraId="34049F47"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6CCACA74" w14:textId="6FC0DC05" w:rsidR="002063C4" w:rsidRPr="002063C4" w:rsidRDefault="002063C4" w:rsidP="00C6374B">
            <w:pPr>
              <w:spacing w:after="0"/>
              <w:rPr>
                <w:lang w:val="en-GB"/>
              </w:rPr>
            </w:pPr>
            <w:r w:rsidRPr="002063C4">
              <w:rPr>
                <w:lang w:val="en-GB"/>
              </w:rPr>
              <w:t>Palmar-plantar erythrodys</w:t>
            </w:r>
            <w:r w:rsidR="00260B8C">
              <w:rPr>
                <w:lang w:val="en-GB"/>
              </w:rPr>
              <w:t>a</w:t>
            </w:r>
            <w:r w:rsidRPr="002063C4">
              <w:rPr>
                <w:lang w:val="en-GB"/>
              </w:rPr>
              <w:t>esthesia syndrome</w:t>
            </w:r>
          </w:p>
        </w:tc>
        <w:tc>
          <w:tcPr>
            <w:tcW w:w="1134" w:type="dxa"/>
            <w:tcBorders>
              <w:top w:val="single" w:sz="4" w:space="0" w:color="000000"/>
              <w:left w:val="single" w:sz="4" w:space="0" w:color="000000"/>
              <w:bottom w:val="single" w:sz="4" w:space="0" w:color="000000"/>
              <w:right w:val="single" w:sz="4" w:space="0" w:color="000000"/>
            </w:tcBorders>
          </w:tcPr>
          <w:p w14:paraId="3AC5B775" w14:textId="77777777" w:rsidR="002063C4" w:rsidRPr="002063C4" w:rsidRDefault="002063C4" w:rsidP="00C6374B">
            <w:pPr>
              <w:spacing w:after="0"/>
              <w:rPr>
                <w:lang w:val="en-GB"/>
              </w:rPr>
            </w:pPr>
            <w:r w:rsidRPr="002063C4">
              <w:rPr>
                <w:lang w:val="en-GB"/>
              </w:rPr>
              <w:t>42</w:t>
            </w:r>
          </w:p>
        </w:tc>
        <w:tc>
          <w:tcPr>
            <w:tcW w:w="1134" w:type="dxa"/>
            <w:tcBorders>
              <w:top w:val="single" w:sz="4" w:space="0" w:color="000000"/>
              <w:left w:val="single" w:sz="4" w:space="0" w:color="000000"/>
              <w:bottom w:val="single" w:sz="4" w:space="0" w:color="000000"/>
              <w:right w:val="single" w:sz="4" w:space="0" w:color="000000"/>
            </w:tcBorders>
          </w:tcPr>
          <w:p w14:paraId="4E1BCBF6" w14:textId="77777777" w:rsidR="002063C4" w:rsidRPr="002063C4" w:rsidRDefault="002063C4" w:rsidP="00C6374B">
            <w:pPr>
              <w:spacing w:after="0"/>
              <w:rPr>
                <w:lang w:val="en-GB"/>
              </w:rPr>
            </w:pPr>
            <w:r w:rsidRPr="002063C4">
              <w:rPr>
                <w:lang w:val="en-GB"/>
              </w:rPr>
              <w:t>8</w:t>
            </w:r>
          </w:p>
        </w:tc>
        <w:tc>
          <w:tcPr>
            <w:tcW w:w="1276" w:type="dxa"/>
            <w:tcBorders>
              <w:top w:val="single" w:sz="4" w:space="0" w:color="000000"/>
              <w:left w:val="single" w:sz="4" w:space="0" w:color="000000"/>
              <w:bottom w:val="single" w:sz="4" w:space="0" w:color="000000"/>
              <w:right w:val="single" w:sz="4" w:space="0" w:color="000000"/>
            </w:tcBorders>
          </w:tcPr>
          <w:p w14:paraId="1B6C68A6" w14:textId="77777777" w:rsidR="002063C4" w:rsidRPr="002063C4" w:rsidRDefault="002063C4" w:rsidP="00C6374B">
            <w:pPr>
              <w:spacing w:after="0"/>
              <w:rPr>
                <w:lang w:val="en-GB"/>
              </w:rPr>
            </w:pPr>
            <w:r w:rsidRPr="002063C4">
              <w:rPr>
                <w:lang w:val="en-GB"/>
              </w:rPr>
              <w:t>6</w:t>
            </w:r>
          </w:p>
        </w:tc>
        <w:tc>
          <w:tcPr>
            <w:tcW w:w="1134" w:type="dxa"/>
            <w:tcBorders>
              <w:top w:val="single" w:sz="4" w:space="0" w:color="000000"/>
              <w:left w:val="single" w:sz="4" w:space="0" w:color="000000"/>
              <w:bottom w:val="single" w:sz="4" w:space="0" w:color="000000"/>
              <w:right w:val="single" w:sz="4" w:space="0" w:color="auto"/>
            </w:tcBorders>
          </w:tcPr>
          <w:p w14:paraId="28F75856" w14:textId="77777777" w:rsidR="002063C4" w:rsidRPr="002063C4" w:rsidRDefault="002063C4" w:rsidP="00C6374B">
            <w:pPr>
              <w:spacing w:after="0"/>
              <w:rPr>
                <w:lang w:val="en-GB"/>
              </w:rPr>
            </w:pPr>
            <w:r w:rsidRPr="002063C4">
              <w:rPr>
                <w:lang w:val="en-GB"/>
              </w:rPr>
              <w:t>&lt;1</w:t>
            </w:r>
          </w:p>
        </w:tc>
      </w:tr>
      <w:tr w:rsidR="002063C4" w:rsidRPr="002063C4" w14:paraId="7ABC5A59"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305F3DF0" w14:textId="77777777" w:rsidR="002063C4" w:rsidRPr="002063C4" w:rsidRDefault="002063C4" w:rsidP="00C6374B">
            <w:pPr>
              <w:spacing w:after="0"/>
              <w:rPr>
                <w:lang w:val="en-GB"/>
              </w:rPr>
            </w:pPr>
            <w:r w:rsidRPr="002063C4">
              <w:rPr>
                <w:lang w:val="en-GB"/>
              </w:rPr>
              <w:t xml:space="preserve">Rash </w:t>
            </w:r>
            <w:r w:rsidRPr="002063C4">
              <w:rPr>
                <w:vertAlign w:val="superscript"/>
                <w:lang w:val="en-GB"/>
              </w:rPr>
              <w:t>4</w:t>
            </w:r>
          </w:p>
        </w:tc>
        <w:tc>
          <w:tcPr>
            <w:tcW w:w="1134" w:type="dxa"/>
            <w:tcBorders>
              <w:top w:val="single" w:sz="4" w:space="0" w:color="000000"/>
              <w:left w:val="single" w:sz="4" w:space="0" w:color="000000"/>
              <w:bottom w:val="single" w:sz="4" w:space="0" w:color="000000"/>
              <w:right w:val="single" w:sz="4" w:space="0" w:color="000000"/>
            </w:tcBorders>
          </w:tcPr>
          <w:p w14:paraId="50D7DD2E" w14:textId="77777777" w:rsidR="002063C4" w:rsidRPr="002063C4" w:rsidRDefault="002063C4" w:rsidP="00C6374B">
            <w:pPr>
              <w:spacing w:after="0"/>
              <w:rPr>
                <w:lang w:val="en-GB"/>
              </w:rPr>
            </w:pPr>
            <w:r w:rsidRPr="002063C4">
              <w:rPr>
                <w:lang w:val="en-GB"/>
              </w:rPr>
              <w:t>23</w:t>
            </w:r>
          </w:p>
        </w:tc>
        <w:tc>
          <w:tcPr>
            <w:tcW w:w="1134" w:type="dxa"/>
            <w:tcBorders>
              <w:top w:val="single" w:sz="4" w:space="0" w:color="000000"/>
              <w:left w:val="single" w:sz="4" w:space="0" w:color="000000"/>
              <w:bottom w:val="single" w:sz="4" w:space="0" w:color="000000"/>
              <w:right w:val="single" w:sz="4" w:space="0" w:color="000000"/>
            </w:tcBorders>
          </w:tcPr>
          <w:p w14:paraId="044D0202" w14:textId="77777777" w:rsidR="002063C4" w:rsidRPr="002063C4" w:rsidRDefault="002063C4" w:rsidP="00C6374B">
            <w:pPr>
              <w:spacing w:after="0"/>
              <w:rPr>
                <w:lang w:val="en-GB"/>
              </w:rPr>
            </w:pPr>
            <w:r w:rsidRPr="002063C4">
              <w:rPr>
                <w:lang w:val="en-GB"/>
              </w:rPr>
              <w:t>&lt;1</w:t>
            </w:r>
          </w:p>
        </w:tc>
        <w:tc>
          <w:tcPr>
            <w:tcW w:w="1276" w:type="dxa"/>
            <w:tcBorders>
              <w:top w:val="single" w:sz="4" w:space="0" w:color="000000"/>
              <w:left w:val="single" w:sz="4" w:space="0" w:color="000000"/>
              <w:bottom w:val="single" w:sz="4" w:space="0" w:color="000000"/>
              <w:right w:val="single" w:sz="4" w:space="0" w:color="000000"/>
            </w:tcBorders>
          </w:tcPr>
          <w:p w14:paraId="1952C778" w14:textId="77777777" w:rsidR="002063C4" w:rsidRPr="002063C4" w:rsidRDefault="002063C4" w:rsidP="00C6374B">
            <w:pPr>
              <w:spacing w:after="0"/>
              <w:rPr>
                <w:lang w:val="en-GB"/>
              </w:rPr>
            </w:pPr>
            <w:r w:rsidRPr="002063C4">
              <w:rPr>
                <w:lang w:val="en-GB"/>
              </w:rPr>
              <w:t>43</w:t>
            </w:r>
          </w:p>
        </w:tc>
        <w:tc>
          <w:tcPr>
            <w:tcW w:w="1134" w:type="dxa"/>
            <w:tcBorders>
              <w:top w:val="single" w:sz="4" w:space="0" w:color="000000"/>
              <w:left w:val="single" w:sz="4" w:space="0" w:color="000000"/>
              <w:bottom w:val="single" w:sz="4" w:space="0" w:color="000000"/>
              <w:right w:val="single" w:sz="4" w:space="0" w:color="auto"/>
            </w:tcBorders>
          </w:tcPr>
          <w:p w14:paraId="17BAF7AD" w14:textId="77777777" w:rsidR="002063C4" w:rsidRPr="002063C4" w:rsidRDefault="002063C4" w:rsidP="00C6374B">
            <w:pPr>
              <w:spacing w:after="0"/>
              <w:rPr>
                <w:lang w:val="en-GB"/>
              </w:rPr>
            </w:pPr>
            <w:r w:rsidRPr="002063C4">
              <w:rPr>
                <w:lang w:val="en-GB"/>
              </w:rPr>
              <w:t>&lt;1</w:t>
            </w:r>
          </w:p>
        </w:tc>
      </w:tr>
      <w:tr w:rsidR="002063C4" w:rsidRPr="002063C4" w14:paraId="0F1D78B7"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26E2F282" w14:textId="77777777" w:rsidR="002063C4" w:rsidRPr="002063C4" w:rsidRDefault="002063C4" w:rsidP="00C6374B">
            <w:pPr>
              <w:spacing w:after="0"/>
              <w:rPr>
                <w:lang w:val="en-GB"/>
              </w:rPr>
            </w:pPr>
            <w:r w:rsidRPr="002063C4">
              <w:rPr>
                <w:lang w:val="en-GB"/>
              </w:rPr>
              <w:t>Dry skin</w:t>
            </w:r>
          </w:p>
        </w:tc>
        <w:tc>
          <w:tcPr>
            <w:tcW w:w="1134" w:type="dxa"/>
            <w:tcBorders>
              <w:top w:val="single" w:sz="4" w:space="0" w:color="000000"/>
              <w:left w:val="single" w:sz="4" w:space="0" w:color="000000"/>
              <w:bottom w:val="single" w:sz="4" w:space="0" w:color="000000"/>
              <w:right w:val="single" w:sz="4" w:space="0" w:color="000000"/>
            </w:tcBorders>
          </w:tcPr>
          <w:p w14:paraId="6B7E2789" w14:textId="77777777" w:rsidR="002063C4" w:rsidRPr="002063C4" w:rsidRDefault="002063C4" w:rsidP="00C6374B">
            <w:pPr>
              <w:spacing w:after="0"/>
              <w:rPr>
                <w:lang w:val="en-GB"/>
              </w:rPr>
            </w:pPr>
            <w:r w:rsidRPr="002063C4">
              <w:rPr>
                <w:lang w:val="en-GB"/>
              </w:rPr>
              <w:t>11</w:t>
            </w:r>
          </w:p>
        </w:tc>
        <w:tc>
          <w:tcPr>
            <w:tcW w:w="1134" w:type="dxa"/>
            <w:tcBorders>
              <w:top w:val="single" w:sz="4" w:space="0" w:color="000000"/>
              <w:left w:val="single" w:sz="4" w:space="0" w:color="000000"/>
              <w:bottom w:val="single" w:sz="4" w:space="0" w:color="000000"/>
              <w:right w:val="single" w:sz="4" w:space="0" w:color="000000"/>
            </w:tcBorders>
          </w:tcPr>
          <w:p w14:paraId="61BFA974" w14:textId="77777777" w:rsidR="002063C4" w:rsidRPr="002063C4" w:rsidRDefault="002063C4" w:rsidP="00C6374B">
            <w:pPr>
              <w:spacing w:after="0"/>
              <w:rPr>
                <w:lang w:val="en-GB"/>
              </w:rPr>
            </w:pPr>
            <w:r w:rsidRPr="002063C4">
              <w:rPr>
                <w:lang w:val="en-GB"/>
              </w:rPr>
              <w:t>0</w:t>
            </w:r>
          </w:p>
        </w:tc>
        <w:tc>
          <w:tcPr>
            <w:tcW w:w="1276" w:type="dxa"/>
            <w:tcBorders>
              <w:top w:val="single" w:sz="4" w:space="0" w:color="000000"/>
              <w:left w:val="single" w:sz="4" w:space="0" w:color="000000"/>
              <w:bottom w:val="single" w:sz="4" w:space="0" w:color="000000"/>
              <w:right w:val="single" w:sz="4" w:space="0" w:color="000000"/>
            </w:tcBorders>
          </w:tcPr>
          <w:p w14:paraId="10D4BC8E" w14:textId="77777777" w:rsidR="002063C4" w:rsidRPr="002063C4" w:rsidRDefault="002063C4" w:rsidP="00C6374B">
            <w:pPr>
              <w:spacing w:after="0"/>
              <w:rPr>
                <w:lang w:val="en-GB"/>
              </w:rPr>
            </w:pPr>
            <w:r w:rsidRPr="002063C4">
              <w:rPr>
                <w:lang w:val="en-GB"/>
              </w:rPr>
              <w:t>10</w:t>
            </w:r>
          </w:p>
        </w:tc>
        <w:tc>
          <w:tcPr>
            <w:tcW w:w="1134" w:type="dxa"/>
            <w:tcBorders>
              <w:top w:val="single" w:sz="4" w:space="0" w:color="000000"/>
              <w:left w:val="single" w:sz="4" w:space="0" w:color="000000"/>
              <w:bottom w:val="single" w:sz="4" w:space="0" w:color="000000"/>
              <w:right w:val="single" w:sz="4" w:space="0" w:color="auto"/>
            </w:tcBorders>
          </w:tcPr>
          <w:p w14:paraId="4C525F43" w14:textId="77777777" w:rsidR="002063C4" w:rsidRPr="002063C4" w:rsidRDefault="002063C4" w:rsidP="00C6374B">
            <w:pPr>
              <w:spacing w:after="0"/>
              <w:rPr>
                <w:lang w:val="en-GB"/>
              </w:rPr>
            </w:pPr>
            <w:r w:rsidRPr="002063C4">
              <w:rPr>
                <w:lang w:val="en-GB"/>
              </w:rPr>
              <w:t>0</w:t>
            </w:r>
          </w:p>
        </w:tc>
      </w:tr>
      <w:tr w:rsidR="002063C4" w:rsidRPr="002063C4" w14:paraId="50B17015"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78ACC31E" w14:textId="77777777" w:rsidR="002063C4" w:rsidRPr="00BB14D8" w:rsidRDefault="002063C4" w:rsidP="00C6374B">
            <w:pPr>
              <w:spacing w:after="0"/>
              <w:rPr>
                <w:b/>
                <w:lang w:val="en-GB"/>
              </w:rPr>
            </w:pPr>
            <w:r w:rsidRPr="00BB14D8">
              <w:rPr>
                <w:b/>
                <w:lang w:val="en-GB"/>
              </w:rPr>
              <w:t>Vascular Disorders</w:t>
            </w:r>
          </w:p>
        </w:tc>
        <w:tc>
          <w:tcPr>
            <w:tcW w:w="1134" w:type="dxa"/>
            <w:tcBorders>
              <w:top w:val="single" w:sz="4" w:space="0" w:color="000000"/>
              <w:left w:val="single" w:sz="4" w:space="0" w:color="000000"/>
              <w:bottom w:val="single" w:sz="4" w:space="0" w:color="000000"/>
              <w:right w:val="single" w:sz="4" w:space="0" w:color="000000"/>
            </w:tcBorders>
          </w:tcPr>
          <w:p w14:paraId="16C65069"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000000"/>
            </w:tcBorders>
          </w:tcPr>
          <w:p w14:paraId="51077F05" w14:textId="77777777" w:rsidR="002063C4" w:rsidRPr="00BB14D8" w:rsidRDefault="002063C4" w:rsidP="00C6374B">
            <w:pPr>
              <w:spacing w:after="0"/>
              <w:rPr>
                <w:b/>
                <w:lang w:val="en-GB"/>
              </w:rPr>
            </w:pPr>
          </w:p>
        </w:tc>
        <w:tc>
          <w:tcPr>
            <w:tcW w:w="1276" w:type="dxa"/>
            <w:tcBorders>
              <w:top w:val="single" w:sz="4" w:space="0" w:color="000000"/>
              <w:left w:val="single" w:sz="4" w:space="0" w:color="000000"/>
              <w:bottom w:val="single" w:sz="4" w:space="0" w:color="000000"/>
              <w:right w:val="single" w:sz="4" w:space="0" w:color="000000"/>
            </w:tcBorders>
          </w:tcPr>
          <w:p w14:paraId="27A0C978"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auto"/>
            </w:tcBorders>
          </w:tcPr>
          <w:p w14:paraId="5E5DD496" w14:textId="77777777" w:rsidR="002063C4" w:rsidRPr="00BB14D8" w:rsidRDefault="002063C4" w:rsidP="00C6374B">
            <w:pPr>
              <w:spacing w:after="0"/>
              <w:rPr>
                <w:b/>
                <w:lang w:val="en-GB"/>
              </w:rPr>
            </w:pPr>
          </w:p>
        </w:tc>
      </w:tr>
      <w:tr w:rsidR="002063C4" w:rsidRPr="002063C4" w14:paraId="2DC4A983"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4225BD8E" w14:textId="77777777" w:rsidR="002063C4" w:rsidRPr="002063C4" w:rsidRDefault="002063C4" w:rsidP="00C6374B">
            <w:pPr>
              <w:spacing w:after="0"/>
              <w:rPr>
                <w:lang w:val="en-GB"/>
              </w:rPr>
            </w:pPr>
            <w:r w:rsidRPr="002063C4">
              <w:rPr>
                <w:lang w:val="en-GB"/>
              </w:rPr>
              <w:t xml:space="preserve">Hypertension </w:t>
            </w:r>
            <w:r w:rsidRPr="002063C4">
              <w:rPr>
                <w:vertAlign w:val="superscript"/>
                <w:lang w:val="en-GB"/>
              </w:rPr>
              <w:t>5</w:t>
            </w:r>
          </w:p>
        </w:tc>
        <w:tc>
          <w:tcPr>
            <w:tcW w:w="1134" w:type="dxa"/>
            <w:tcBorders>
              <w:top w:val="single" w:sz="4" w:space="0" w:color="000000"/>
              <w:left w:val="single" w:sz="4" w:space="0" w:color="000000"/>
              <w:bottom w:val="single" w:sz="4" w:space="0" w:color="000000"/>
              <w:right w:val="single" w:sz="4" w:space="0" w:color="000000"/>
            </w:tcBorders>
          </w:tcPr>
          <w:p w14:paraId="3CE5C7F4" w14:textId="77777777" w:rsidR="002063C4" w:rsidRPr="002063C4" w:rsidRDefault="002063C4" w:rsidP="00C6374B">
            <w:pPr>
              <w:spacing w:after="0"/>
              <w:rPr>
                <w:lang w:val="en-GB"/>
              </w:rPr>
            </w:pPr>
            <w:r w:rsidRPr="002063C4">
              <w:rPr>
                <w:lang w:val="en-GB"/>
              </w:rPr>
              <w:t>39</w:t>
            </w:r>
          </w:p>
        </w:tc>
        <w:tc>
          <w:tcPr>
            <w:tcW w:w="1134" w:type="dxa"/>
            <w:tcBorders>
              <w:top w:val="single" w:sz="4" w:space="0" w:color="000000"/>
              <w:left w:val="single" w:sz="4" w:space="0" w:color="000000"/>
              <w:bottom w:val="single" w:sz="4" w:space="0" w:color="000000"/>
              <w:right w:val="single" w:sz="4" w:space="0" w:color="000000"/>
            </w:tcBorders>
          </w:tcPr>
          <w:p w14:paraId="5634AD89" w14:textId="77777777" w:rsidR="002063C4" w:rsidRPr="002063C4" w:rsidRDefault="002063C4" w:rsidP="00C6374B">
            <w:pPr>
              <w:spacing w:after="0"/>
              <w:rPr>
                <w:lang w:val="en-GB"/>
              </w:rPr>
            </w:pPr>
            <w:r w:rsidRPr="002063C4">
              <w:rPr>
                <w:lang w:val="en-GB"/>
              </w:rPr>
              <w:t>16</w:t>
            </w:r>
          </w:p>
        </w:tc>
        <w:tc>
          <w:tcPr>
            <w:tcW w:w="1276" w:type="dxa"/>
            <w:tcBorders>
              <w:top w:val="single" w:sz="4" w:space="0" w:color="000000"/>
              <w:left w:val="single" w:sz="4" w:space="0" w:color="000000"/>
              <w:bottom w:val="single" w:sz="4" w:space="0" w:color="000000"/>
              <w:right w:val="single" w:sz="4" w:space="0" w:color="000000"/>
            </w:tcBorders>
          </w:tcPr>
          <w:p w14:paraId="3DF24F10" w14:textId="77777777" w:rsidR="002063C4" w:rsidRPr="002063C4" w:rsidRDefault="002063C4" w:rsidP="00C6374B">
            <w:pPr>
              <w:spacing w:after="0"/>
              <w:rPr>
                <w:lang w:val="en-GB"/>
              </w:rPr>
            </w:pPr>
            <w:r w:rsidRPr="002063C4">
              <w:rPr>
                <w:lang w:val="en-GB"/>
              </w:rPr>
              <w:t>8</w:t>
            </w:r>
          </w:p>
        </w:tc>
        <w:tc>
          <w:tcPr>
            <w:tcW w:w="1134" w:type="dxa"/>
            <w:tcBorders>
              <w:top w:val="single" w:sz="4" w:space="0" w:color="000000"/>
              <w:left w:val="single" w:sz="4" w:space="0" w:color="000000"/>
              <w:bottom w:val="single" w:sz="4" w:space="0" w:color="000000"/>
              <w:right w:val="single" w:sz="4" w:space="0" w:color="auto"/>
            </w:tcBorders>
          </w:tcPr>
          <w:p w14:paraId="13D0010A" w14:textId="77777777" w:rsidR="002063C4" w:rsidRPr="002063C4" w:rsidRDefault="002063C4" w:rsidP="00C6374B">
            <w:pPr>
              <w:spacing w:after="0"/>
              <w:rPr>
                <w:lang w:val="en-GB"/>
              </w:rPr>
            </w:pPr>
            <w:r w:rsidRPr="002063C4">
              <w:rPr>
                <w:lang w:val="en-GB"/>
              </w:rPr>
              <w:t>3</w:t>
            </w:r>
          </w:p>
        </w:tc>
      </w:tr>
      <w:tr w:rsidR="002063C4" w:rsidRPr="002063C4" w14:paraId="7268B93B"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6CA7C800" w14:textId="77777777" w:rsidR="002063C4" w:rsidRPr="00BB14D8" w:rsidRDefault="002063C4" w:rsidP="00C6374B">
            <w:pPr>
              <w:spacing w:after="0"/>
              <w:rPr>
                <w:b/>
                <w:lang w:val="en-GB"/>
              </w:rPr>
            </w:pPr>
            <w:r w:rsidRPr="00BB14D8">
              <w:rPr>
                <w:b/>
                <w:lang w:val="en-GB"/>
              </w:rPr>
              <w:t>Investigations</w:t>
            </w:r>
          </w:p>
        </w:tc>
        <w:tc>
          <w:tcPr>
            <w:tcW w:w="1134" w:type="dxa"/>
            <w:tcBorders>
              <w:top w:val="single" w:sz="4" w:space="0" w:color="000000"/>
              <w:left w:val="single" w:sz="4" w:space="0" w:color="000000"/>
              <w:bottom w:val="single" w:sz="4" w:space="0" w:color="000000"/>
              <w:right w:val="single" w:sz="4" w:space="0" w:color="000000"/>
            </w:tcBorders>
          </w:tcPr>
          <w:p w14:paraId="7BB097CA"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000000"/>
            </w:tcBorders>
          </w:tcPr>
          <w:p w14:paraId="40BC20E3" w14:textId="77777777" w:rsidR="002063C4" w:rsidRPr="00BB14D8" w:rsidRDefault="002063C4" w:rsidP="00C6374B">
            <w:pPr>
              <w:spacing w:after="0"/>
              <w:rPr>
                <w:b/>
                <w:lang w:val="en-GB"/>
              </w:rPr>
            </w:pPr>
          </w:p>
        </w:tc>
        <w:tc>
          <w:tcPr>
            <w:tcW w:w="1276" w:type="dxa"/>
            <w:tcBorders>
              <w:top w:val="single" w:sz="4" w:space="0" w:color="000000"/>
              <w:left w:val="single" w:sz="4" w:space="0" w:color="000000"/>
              <w:bottom w:val="single" w:sz="4" w:space="0" w:color="000000"/>
              <w:right w:val="single" w:sz="4" w:space="0" w:color="000000"/>
            </w:tcBorders>
          </w:tcPr>
          <w:p w14:paraId="0C466BBA"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auto"/>
            </w:tcBorders>
          </w:tcPr>
          <w:p w14:paraId="049F6816" w14:textId="77777777" w:rsidR="002063C4" w:rsidRPr="00BB14D8" w:rsidRDefault="002063C4" w:rsidP="00C6374B">
            <w:pPr>
              <w:spacing w:after="0"/>
              <w:rPr>
                <w:b/>
                <w:lang w:val="en-GB"/>
              </w:rPr>
            </w:pPr>
          </w:p>
        </w:tc>
      </w:tr>
      <w:tr w:rsidR="002063C4" w:rsidRPr="002063C4" w14:paraId="62117C9E"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3696F0D7" w14:textId="77777777" w:rsidR="002063C4" w:rsidRPr="002063C4" w:rsidRDefault="002063C4" w:rsidP="00C6374B">
            <w:pPr>
              <w:spacing w:after="0"/>
              <w:rPr>
                <w:lang w:val="en-GB"/>
              </w:rPr>
            </w:pPr>
            <w:r w:rsidRPr="002063C4">
              <w:rPr>
                <w:lang w:val="en-GB"/>
              </w:rPr>
              <w:t>Weight decreased</w:t>
            </w:r>
          </w:p>
        </w:tc>
        <w:tc>
          <w:tcPr>
            <w:tcW w:w="1134" w:type="dxa"/>
            <w:tcBorders>
              <w:top w:val="single" w:sz="4" w:space="0" w:color="000000"/>
              <w:left w:val="single" w:sz="4" w:space="0" w:color="000000"/>
              <w:bottom w:val="single" w:sz="4" w:space="0" w:color="000000"/>
              <w:right w:val="single" w:sz="4" w:space="0" w:color="000000"/>
            </w:tcBorders>
          </w:tcPr>
          <w:p w14:paraId="57A22ADE" w14:textId="77777777" w:rsidR="002063C4" w:rsidRPr="002063C4" w:rsidRDefault="002063C4" w:rsidP="00C6374B">
            <w:pPr>
              <w:spacing w:after="0"/>
              <w:rPr>
                <w:lang w:val="en-GB"/>
              </w:rPr>
            </w:pPr>
            <w:r w:rsidRPr="002063C4">
              <w:rPr>
                <w:lang w:val="en-GB"/>
              </w:rPr>
              <w:t>31</w:t>
            </w:r>
          </w:p>
        </w:tc>
        <w:tc>
          <w:tcPr>
            <w:tcW w:w="1134" w:type="dxa"/>
            <w:tcBorders>
              <w:top w:val="single" w:sz="4" w:space="0" w:color="000000"/>
              <w:left w:val="single" w:sz="4" w:space="0" w:color="000000"/>
              <w:bottom w:val="single" w:sz="4" w:space="0" w:color="000000"/>
              <w:right w:val="single" w:sz="4" w:space="0" w:color="000000"/>
            </w:tcBorders>
          </w:tcPr>
          <w:p w14:paraId="03535A6C" w14:textId="77777777" w:rsidR="002063C4" w:rsidRPr="002063C4" w:rsidRDefault="002063C4" w:rsidP="00C6374B">
            <w:pPr>
              <w:spacing w:after="0"/>
              <w:rPr>
                <w:lang w:val="en-GB"/>
              </w:rPr>
            </w:pPr>
            <w:r w:rsidRPr="002063C4">
              <w:rPr>
                <w:lang w:val="en-GB"/>
              </w:rPr>
              <w:t>2</w:t>
            </w:r>
          </w:p>
        </w:tc>
        <w:tc>
          <w:tcPr>
            <w:tcW w:w="1276" w:type="dxa"/>
            <w:tcBorders>
              <w:top w:val="single" w:sz="4" w:space="0" w:color="000000"/>
              <w:left w:val="single" w:sz="4" w:space="0" w:color="000000"/>
              <w:bottom w:val="single" w:sz="4" w:space="0" w:color="000000"/>
              <w:right w:val="single" w:sz="4" w:space="0" w:color="000000"/>
            </w:tcBorders>
          </w:tcPr>
          <w:p w14:paraId="2FC0978F" w14:textId="77777777" w:rsidR="002063C4" w:rsidRPr="002063C4" w:rsidRDefault="002063C4" w:rsidP="00C6374B">
            <w:pPr>
              <w:spacing w:after="0"/>
              <w:rPr>
                <w:lang w:val="en-GB"/>
              </w:rPr>
            </w:pPr>
            <w:r w:rsidRPr="002063C4">
              <w:rPr>
                <w:lang w:val="en-GB"/>
              </w:rPr>
              <w:t>12</w:t>
            </w:r>
          </w:p>
        </w:tc>
        <w:tc>
          <w:tcPr>
            <w:tcW w:w="1134" w:type="dxa"/>
            <w:tcBorders>
              <w:top w:val="single" w:sz="4" w:space="0" w:color="000000"/>
              <w:left w:val="single" w:sz="4" w:space="0" w:color="000000"/>
              <w:bottom w:val="single" w:sz="4" w:space="0" w:color="000000"/>
              <w:right w:val="single" w:sz="4" w:space="0" w:color="auto"/>
            </w:tcBorders>
          </w:tcPr>
          <w:p w14:paraId="0A8316E1" w14:textId="77777777" w:rsidR="002063C4" w:rsidRPr="002063C4" w:rsidRDefault="002063C4" w:rsidP="00C6374B">
            <w:pPr>
              <w:spacing w:after="0"/>
              <w:rPr>
                <w:lang w:val="en-GB"/>
              </w:rPr>
            </w:pPr>
            <w:r w:rsidRPr="002063C4">
              <w:rPr>
                <w:lang w:val="en-GB"/>
              </w:rPr>
              <w:t>0</w:t>
            </w:r>
          </w:p>
        </w:tc>
      </w:tr>
      <w:tr w:rsidR="002063C4" w:rsidRPr="002063C4" w14:paraId="689A265C"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53E6B328" w14:textId="77777777" w:rsidR="002063C4" w:rsidRPr="00BB14D8" w:rsidRDefault="002063C4" w:rsidP="00C6374B">
            <w:pPr>
              <w:spacing w:after="0"/>
              <w:rPr>
                <w:b/>
                <w:lang w:val="en-GB"/>
              </w:rPr>
            </w:pPr>
            <w:r w:rsidRPr="00BB14D8">
              <w:rPr>
                <w:b/>
                <w:lang w:val="en-GB"/>
              </w:rPr>
              <w:t>Nervous System Disorders</w:t>
            </w:r>
          </w:p>
        </w:tc>
        <w:tc>
          <w:tcPr>
            <w:tcW w:w="1134" w:type="dxa"/>
            <w:tcBorders>
              <w:top w:val="single" w:sz="4" w:space="0" w:color="000000"/>
              <w:left w:val="single" w:sz="4" w:space="0" w:color="000000"/>
              <w:bottom w:val="single" w:sz="4" w:space="0" w:color="000000"/>
              <w:right w:val="single" w:sz="4" w:space="0" w:color="000000"/>
            </w:tcBorders>
          </w:tcPr>
          <w:p w14:paraId="5473E5BD"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000000"/>
            </w:tcBorders>
          </w:tcPr>
          <w:p w14:paraId="7D416630" w14:textId="77777777" w:rsidR="002063C4" w:rsidRPr="00BB14D8" w:rsidRDefault="002063C4" w:rsidP="00C6374B">
            <w:pPr>
              <w:spacing w:after="0"/>
              <w:rPr>
                <w:b/>
                <w:lang w:val="en-GB"/>
              </w:rPr>
            </w:pPr>
          </w:p>
        </w:tc>
        <w:tc>
          <w:tcPr>
            <w:tcW w:w="1276" w:type="dxa"/>
            <w:tcBorders>
              <w:top w:val="single" w:sz="4" w:space="0" w:color="000000"/>
              <w:left w:val="single" w:sz="4" w:space="0" w:color="000000"/>
              <w:bottom w:val="single" w:sz="4" w:space="0" w:color="000000"/>
              <w:right w:val="single" w:sz="4" w:space="0" w:color="000000"/>
            </w:tcBorders>
          </w:tcPr>
          <w:p w14:paraId="50FA3A2B"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auto"/>
            </w:tcBorders>
          </w:tcPr>
          <w:p w14:paraId="2A9671D8" w14:textId="77777777" w:rsidR="002063C4" w:rsidRPr="00BB14D8" w:rsidRDefault="002063C4" w:rsidP="00C6374B">
            <w:pPr>
              <w:spacing w:after="0"/>
              <w:rPr>
                <w:b/>
                <w:lang w:val="en-GB"/>
              </w:rPr>
            </w:pPr>
          </w:p>
        </w:tc>
      </w:tr>
      <w:tr w:rsidR="002063C4" w:rsidRPr="002063C4" w14:paraId="20C4FD2C"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7CBE8EC7" w14:textId="77777777" w:rsidR="002063C4" w:rsidRPr="002063C4" w:rsidRDefault="002063C4" w:rsidP="00C6374B">
            <w:pPr>
              <w:spacing w:after="0"/>
              <w:rPr>
                <w:lang w:val="en-GB"/>
              </w:rPr>
            </w:pPr>
            <w:r w:rsidRPr="002063C4">
              <w:rPr>
                <w:lang w:val="en-GB"/>
              </w:rPr>
              <w:t>Dysgeusia</w:t>
            </w:r>
          </w:p>
        </w:tc>
        <w:tc>
          <w:tcPr>
            <w:tcW w:w="1134" w:type="dxa"/>
            <w:tcBorders>
              <w:top w:val="single" w:sz="4" w:space="0" w:color="000000"/>
              <w:left w:val="single" w:sz="4" w:space="0" w:color="000000"/>
              <w:bottom w:val="single" w:sz="4" w:space="0" w:color="000000"/>
              <w:right w:val="single" w:sz="4" w:space="0" w:color="000000"/>
            </w:tcBorders>
          </w:tcPr>
          <w:p w14:paraId="3578760F" w14:textId="77777777" w:rsidR="002063C4" w:rsidRPr="002063C4" w:rsidRDefault="002063C4" w:rsidP="00C6374B">
            <w:pPr>
              <w:spacing w:after="0"/>
              <w:rPr>
                <w:lang w:val="en-GB"/>
              </w:rPr>
            </w:pPr>
            <w:r w:rsidRPr="002063C4">
              <w:rPr>
                <w:lang w:val="en-GB"/>
              </w:rPr>
              <w:t>24</w:t>
            </w:r>
          </w:p>
        </w:tc>
        <w:tc>
          <w:tcPr>
            <w:tcW w:w="1134" w:type="dxa"/>
            <w:tcBorders>
              <w:top w:val="single" w:sz="4" w:space="0" w:color="000000"/>
              <w:left w:val="single" w:sz="4" w:space="0" w:color="000000"/>
              <w:bottom w:val="single" w:sz="4" w:space="0" w:color="000000"/>
              <w:right w:val="single" w:sz="4" w:space="0" w:color="000000"/>
            </w:tcBorders>
          </w:tcPr>
          <w:p w14:paraId="6955EA66" w14:textId="77777777" w:rsidR="002063C4" w:rsidRPr="002063C4" w:rsidRDefault="002063C4" w:rsidP="00C6374B">
            <w:pPr>
              <w:spacing w:after="0"/>
              <w:rPr>
                <w:lang w:val="en-GB"/>
              </w:rPr>
            </w:pPr>
            <w:r w:rsidRPr="002063C4">
              <w:rPr>
                <w:lang w:val="en-GB"/>
              </w:rPr>
              <w:t>0</w:t>
            </w:r>
          </w:p>
        </w:tc>
        <w:tc>
          <w:tcPr>
            <w:tcW w:w="1276" w:type="dxa"/>
            <w:tcBorders>
              <w:top w:val="single" w:sz="4" w:space="0" w:color="000000"/>
              <w:left w:val="single" w:sz="4" w:space="0" w:color="000000"/>
              <w:bottom w:val="single" w:sz="4" w:space="0" w:color="000000"/>
              <w:right w:val="single" w:sz="4" w:space="0" w:color="000000"/>
            </w:tcBorders>
          </w:tcPr>
          <w:p w14:paraId="200E39CD" w14:textId="77777777" w:rsidR="002063C4" w:rsidRPr="002063C4" w:rsidRDefault="002063C4" w:rsidP="00C6374B">
            <w:pPr>
              <w:spacing w:after="0"/>
              <w:rPr>
                <w:lang w:val="en-GB"/>
              </w:rPr>
            </w:pPr>
            <w:r w:rsidRPr="002063C4">
              <w:rPr>
                <w:lang w:val="en-GB"/>
              </w:rPr>
              <w:t>9</w:t>
            </w:r>
          </w:p>
        </w:tc>
        <w:tc>
          <w:tcPr>
            <w:tcW w:w="1134" w:type="dxa"/>
            <w:tcBorders>
              <w:top w:val="single" w:sz="4" w:space="0" w:color="000000"/>
              <w:left w:val="single" w:sz="4" w:space="0" w:color="000000"/>
              <w:bottom w:val="single" w:sz="4" w:space="0" w:color="000000"/>
              <w:right w:val="single" w:sz="4" w:space="0" w:color="auto"/>
            </w:tcBorders>
          </w:tcPr>
          <w:p w14:paraId="5CCC32C8" w14:textId="77777777" w:rsidR="002063C4" w:rsidRPr="002063C4" w:rsidRDefault="002063C4" w:rsidP="00C6374B">
            <w:pPr>
              <w:spacing w:after="0"/>
              <w:rPr>
                <w:lang w:val="en-GB"/>
              </w:rPr>
            </w:pPr>
            <w:r w:rsidRPr="002063C4">
              <w:rPr>
                <w:lang w:val="en-GB"/>
              </w:rPr>
              <w:t>0</w:t>
            </w:r>
          </w:p>
        </w:tc>
      </w:tr>
      <w:tr w:rsidR="002063C4" w:rsidRPr="002063C4" w14:paraId="21ECA20A"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403144A5" w14:textId="77777777" w:rsidR="002063C4" w:rsidRPr="002063C4" w:rsidRDefault="002063C4" w:rsidP="00C6374B">
            <w:pPr>
              <w:spacing w:after="0"/>
              <w:rPr>
                <w:lang w:val="en-GB"/>
              </w:rPr>
            </w:pPr>
            <w:r w:rsidRPr="002063C4">
              <w:rPr>
                <w:lang w:val="en-GB"/>
              </w:rPr>
              <w:t>Headache</w:t>
            </w:r>
          </w:p>
        </w:tc>
        <w:tc>
          <w:tcPr>
            <w:tcW w:w="1134" w:type="dxa"/>
            <w:tcBorders>
              <w:top w:val="single" w:sz="4" w:space="0" w:color="000000"/>
              <w:left w:val="single" w:sz="4" w:space="0" w:color="000000"/>
              <w:bottom w:val="single" w:sz="4" w:space="0" w:color="000000"/>
              <w:right w:val="single" w:sz="4" w:space="0" w:color="000000"/>
            </w:tcBorders>
          </w:tcPr>
          <w:p w14:paraId="3D23489B" w14:textId="77777777" w:rsidR="002063C4" w:rsidRPr="002063C4" w:rsidRDefault="002063C4" w:rsidP="00C6374B">
            <w:pPr>
              <w:spacing w:after="0"/>
              <w:rPr>
                <w:lang w:val="en-GB"/>
              </w:rPr>
            </w:pPr>
            <w:r w:rsidRPr="002063C4">
              <w:rPr>
                <w:lang w:val="en-GB"/>
              </w:rPr>
              <w:t>11</w:t>
            </w:r>
          </w:p>
        </w:tc>
        <w:tc>
          <w:tcPr>
            <w:tcW w:w="1134" w:type="dxa"/>
            <w:tcBorders>
              <w:top w:val="single" w:sz="4" w:space="0" w:color="000000"/>
              <w:left w:val="single" w:sz="4" w:space="0" w:color="000000"/>
              <w:bottom w:val="single" w:sz="4" w:space="0" w:color="000000"/>
              <w:right w:val="single" w:sz="4" w:space="0" w:color="000000"/>
            </w:tcBorders>
          </w:tcPr>
          <w:p w14:paraId="0DA533E9" w14:textId="77777777" w:rsidR="002063C4" w:rsidRPr="002063C4" w:rsidRDefault="002063C4" w:rsidP="00C6374B">
            <w:pPr>
              <w:spacing w:after="0"/>
              <w:rPr>
                <w:lang w:val="en-GB"/>
              </w:rPr>
            </w:pPr>
            <w:r w:rsidRPr="002063C4">
              <w:rPr>
                <w:lang w:val="en-GB"/>
              </w:rPr>
              <w:t>&lt;1</w:t>
            </w:r>
          </w:p>
        </w:tc>
        <w:tc>
          <w:tcPr>
            <w:tcW w:w="1276" w:type="dxa"/>
            <w:tcBorders>
              <w:top w:val="single" w:sz="4" w:space="0" w:color="000000"/>
              <w:left w:val="single" w:sz="4" w:space="0" w:color="000000"/>
              <w:bottom w:val="single" w:sz="4" w:space="0" w:color="000000"/>
              <w:right w:val="single" w:sz="4" w:space="0" w:color="000000"/>
            </w:tcBorders>
          </w:tcPr>
          <w:p w14:paraId="15C51DB5" w14:textId="77777777" w:rsidR="002063C4" w:rsidRPr="002063C4" w:rsidRDefault="002063C4" w:rsidP="00C6374B">
            <w:pPr>
              <w:spacing w:after="0"/>
              <w:rPr>
                <w:lang w:val="en-GB"/>
              </w:rPr>
            </w:pPr>
            <w:r w:rsidRPr="002063C4">
              <w:rPr>
                <w:lang w:val="en-GB"/>
              </w:rPr>
              <w:t>12</w:t>
            </w:r>
          </w:p>
        </w:tc>
        <w:tc>
          <w:tcPr>
            <w:tcW w:w="1134" w:type="dxa"/>
            <w:tcBorders>
              <w:top w:val="single" w:sz="4" w:space="0" w:color="000000"/>
              <w:left w:val="single" w:sz="4" w:space="0" w:color="000000"/>
              <w:bottom w:val="single" w:sz="4" w:space="0" w:color="000000"/>
              <w:right w:val="single" w:sz="4" w:space="0" w:color="auto"/>
            </w:tcBorders>
          </w:tcPr>
          <w:p w14:paraId="461154BD" w14:textId="77777777" w:rsidR="002063C4" w:rsidRPr="002063C4" w:rsidRDefault="002063C4" w:rsidP="00C6374B">
            <w:pPr>
              <w:spacing w:after="0"/>
              <w:rPr>
                <w:lang w:val="en-GB"/>
              </w:rPr>
            </w:pPr>
            <w:r w:rsidRPr="002063C4">
              <w:rPr>
                <w:lang w:val="en-GB"/>
              </w:rPr>
              <w:t>&lt;1</w:t>
            </w:r>
          </w:p>
        </w:tc>
      </w:tr>
      <w:tr w:rsidR="002063C4" w:rsidRPr="002063C4" w14:paraId="333366F0"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0E112923" w14:textId="77777777" w:rsidR="002063C4" w:rsidRPr="002063C4" w:rsidRDefault="002063C4" w:rsidP="00C6374B">
            <w:pPr>
              <w:spacing w:after="0"/>
              <w:rPr>
                <w:lang w:val="en-GB"/>
              </w:rPr>
            </w:pPr>
            <w:r w:rsidRPr="002063C4">
              <w:rPr>
                <w:lang w:val="en-GB"/>
              </w:rPr>
              <w:t>Dizziness</w:t>
            </w:r>
          </w:p>
        </w:tc>
        <w:tc>
          <w:tcPr>
            <w:tcW w:w="1134" w:type="dxa"/>
            <w:tcBorders>
              <w:top w:val="single" w:sz="4" w:space="0" w:color="000000"/>
              <w:left w:val="single" w:sz="4" w:space="0" w:color="000000"/>
              <w:bottom w:val="single" w:sz="4" w:space="0" w:color="000000"/>
              <w:right w:val="single" w:sz="4" w:space="0" w:color="000000"/>
            </w:tcBorders>
          </w:tcPr>
          <w:p w14:paraId="4363CC7A" w14:textId="77777777" w:rsidR="002063C4" w:rsidRPr="002063C4" w:rsidRDefault="002063C4" w:rsidP="00C6374B">
            <w:pPr>
              <w:spacing w:after="0"/>
              <w:rPr>
                <w:lang w:val="en-GB"/>
              </w:rPr>
            </w:pPr>
            <w:r w:rsidRPr="002063C4">
              <w:rPr>
                <w:lang w:val="en-GB"/>
              </w:rPr>
              <w:t>11</w:t>
            </w:r>
          </w:p>
        </w:tc>
        <w:tc>
          <w:tcPr>
            <w:tcW w:w="1134" w:type="dxa"/>
            <w:tcBorders>
              <w:top w:val="single" w:sz="4" w:space="0" w:color="000000"/>
              <w:left w:val="single" w:sz="4" w:space="0" w:color="000000"/>
              <w:bottom w:val="single" w:sz="4" w:space="0" w:color="000000"/>
              <w:right w:val="single" w:sz="4" w:space="0" w:color="000000"/>
            </w:tcBorders>
          </w:tcPr>
          <w:p w14:paraId="66A836F7" w14:textId="77777777" w:rsidR="002063C4" w:rsidRPr="002063C4" w:rsidRDefault="002063C4" w:rsidP="00C6374B">
            <w:pPr>
              <w:spacing w:after="0"/>
              <w:rPr>
                <w:lang w:val="en-GB"/>
              </w:rPr>
            </w:pPr>
            <w:r w:rsidRPr="002063C4">
              <w:rPr>
                <w:lang w:val="en-GB"/>
              </w:rPr>
              <w:t>0</w:t>
            </w:r>
          </w:p>
        </w:tc>
        <w:tc>
          <w:tcPr>
            <w:tcW w:w="1276" w:type="dxa"/>
            <w:tcBorders>
              <w:top w:val="single" w:sz="4" w:space="0" w:color="000000"/>
              <w:left w:val="single" w:sz="4" w:space="0" w:color="000000"/>
              <w:bottom w:val="single" w:sz="4" w:space="0" w:color="000000"/>
              <w:right w:val="single" w:sz="4" w:space="0" w:color="000000"/>
            </w:tcBorders>
          </w:tcPr>
          <w:p w14:paraId="5E5188FB" w14:textId="77777777" w:rsidR="002063C4" w:rsidRPr="002063C4" w:rsidRDefault="002063C4" w:rsidP="00C6374B">
            <w:pPr>
              <w:spacing w:after="0"/>
              <w:rPr>
                <w:lang w:val="en-GB"/>
              </w:rPr>
            </w:pPr>
            <w:r w:rsidRPr="002063C4">
              <w:rPr>
                <w:lang w:val="en-GB"/>
              </w:rPr>
              <w:t>7</w:t>
            </w:r>
          </w:p>
        </w:tc>
        <w:tc>
          <w:tcPr>
            <w:tcW w:w="1134" w:type="dxa"/>
            <w:tcBorders>
              <w:top w:val="single" w:sz="4" w:space="0" w:color="000000"/>
              <w:left w:val="single" w:sz="4" w:space="0" w:color="000000"/>
              <w:bottom w:val="single" w:sz="4" w:space="0" w:color="000000"/>
              <w:right w:val="single" w:sz="4" w:space="0" w:color="auto"/>
            </w:tcBorders>
          </w:tcPr>
          <w:p w14:paraId="7900EA8F" w14:textId="77777777" w:rsidR="002063C4" w:rsidRPr="002063C4" w:rsidRDefault="002063C4" w:rsidP="00C6374B">
            <w:pPr>
              <w:spacing w:after="0"/>
              <w:rPr>
                <w:lang w:val="en-GB"/>
              </w:rPr>
            </w:pPr>
            <w:r w:rsidRPr="002063C4">
              <w:rPr>
                <w:lang w:val="en-GB"/>
              </w:rPr>
              <w:t>0</w:t>
            </w:r>
          </w:p>
        </w:tc>
      </w:tr>
      <w:tr w:rsidR="002063C4" w:rsidRPr="002063C4" w14:paraId="1A89C2F3"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5600C9BF" w14:textId="77777777" w:rsidR="002063C4" w:rsidRPr="00BB14D8" w:rsidRDefault="002063C4" w:rsidP="00C6374B">
            <w:pPr>
              <w:spacing w:after="0"/>
              <w:rPr>
                <w:b/>
                <w:lang w:val="en-GB"/>
              </w:rPr>
            </w:pPr>
            <w:r w:rsidRPr="00BB14D8">
              <w:rPr>
                <w:b/>
                <w:lang w:val="en-GB"/>
              </w:rPr>
              <w:t>Endocrine Disorders</w:t>
            </w:r>
          </w:p>
        </w:tc>
        <w:tc>
          <w:tcPr>
            <w:tcW w:w="1134" w:type="dxa"/>
            <w:tcBorders>
              <w:top w:val="single" w:sz="4" w:space="0" w:color="000000"/>
              <w:left w:val="single" w:sz="4" w:space="0" w:color="000000"/>
              <w:bottom w:val="single" w:sz="4" w:space="0" w:color="000000"/>
              <w:right w:val="single" w:sz="4" w:space="0" w:color="000000"/>
            </w:tcBorders>
          </w:tcPr>
          <w:p w14:paraId="774885F1"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000000"/>
            </w:tcBorders>
          </w:tcPr>
          <w:p w14:paraId="34475B6C" w14:textId="77777777" w:rsidR="002063C4" w:rsidRPr="00BB14D8" w:rsidRDefault="002063C4" w:rsidP="00C6374B">
            <w:pPr>
              <w:spacing w:after="0"/>
              <w:rPr>
                <w:b/>
                <w:lang w:val="en-GB"/>
              </w:rPr>
            </w:pPr>
          </w:p>
        </w:tc>
        <w:tc>
          <w:tcPr>
            <w:tcW w:w="1276" w:type="dxa"/>
            <w:tcBorders>
              <w:top w:val="single" w:sz="4" w:space="0" w:color="000000"/>
              <w:left w:val="single" w:sz="4" w:space="0" w:color="000000"/>
              <w:bottom w:val="single" w:sz="4" w:space="0" w:color="000000"/>
              <w:right w:val="single" w:sz="4" w:space="0" w:color="000000"/>
            </w:tcBorders>
          </w:tcPr>
          <w:p w14:paraId="308B153A"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auto"/>
            </w:tcBorders>
          </w:tcPr>
          <w:p w14:paraId="62BA277D" w14:textId="77777777" w:rsidR="002063C4" w:rsidRPr="00BB14D8" w:rsidRDefault="002063C4" w:rsidP="00C6374B">
            <w:pPr>
              <w:spacing w:after="0"/>
              <w:rPr>
                <w:b/>
                <w:lang w:val="en-GB"/>
              </w:rPr>
            </w:pPr>
          </w:p>
        </w:tc>
      </w:tr>
      <w:tr w:rsidR="002063C4" w:rsidRPr="002063C4" w14:paraId="5FA5D40E"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3208A444" w14:textId="77777777" w:rsidR="002063C4" w:rsidRPr="002063C4" w:rsidRDefault="002063C4" w:rsidP="00C6374B">
            <w:pPr>
              <w:spacing w:after="0"/>
              <w:rPr>
                <w:lang w:val="en-GB"/>
              </w:rPr>
            </w:pPr>
            <w:r w:rsidRPr="002063C4">
              <w:rPr>
                <w:lang w:val="en-GB"/>
              </w:rPr>
              <w:t>Hypothyroidism</w:t>
            </w:r>
          </w:p>
        </w:tc>
        <w:tc>
          <w:tcPr>
            <w:tcW w:w="1134" w:type="dxa"/>
            <w:tcBorders>
              <w:top w:val="single" w:sz="4" w:space="0" w:color="000000"/>
              <w:left w:val="single" w:sz="4" w:space="0" w:color="000000"/>
              <w:bottom w:val="single" w:sz="4" w:space="0" w:color="000000"/>
              <w:right w:val="single" w:sz="4" w:space="0" w:color="000000"/>
            </w:tcBorders>
          </w:tcPr>
          <w:p w14:paraId="1092A331" w14:textId="77777777" w:rsidR="002063C4" w:rsidRPr="002063C4" w:rsidRDefault="002063C4" w:rsidP="00C6374B">
            <w:pPr>
              <w:spacing w:after="0"/>
              <w:rPr>
                <w:lang w:val="en-GB"/>
              </w:rPr>
            </w:pPr>
            <w:r w:rsidRPr="002063C4">
              <w:rPr>
                <w:lang w:val="en-GB"/>
              </w:rPr>
              <w:t>21</w:t>
            </w:r>
          </w:p>
        </w:tc>
        <w:tc>
          <w:tcPr>
            <w:tcW w:w="1134" w:type="dxa"/>
            <w:tcBorders>
              <w:top w:val="single" w:sz="4" w:space="0" w:color="000000"/>
              <w:left w:val="single" w:sz="4" w:space="0" w:color="000000"/>
              <w:bottom w:val="single" w:sz="4" w:space="0" w:color="000000"/>
              <w:right w:val="single" w:sz="4" w:space="0" w:color="000000"/>
            </w:tcBorders>
          </w:tcPr>
          <w:p w14:paraId="648B4426" w14:textId="77777777" w:rsidR="002063C4" w:rsidRPr="002063C4" w:rsidRDefault="002063C4" w:rsidP="00C6374B">
            <w:pPr>
              <w:spacing w:after="0"/>
              <w:rPr>
                <w:lang w:val="en-GB"/>
              </w:rPr>
            </w:pPr>
            <w:r w:rsidRPr="002063C4">
              <w:rPr>
                <w:lang w:val="en-GB"/>
              </w:rPr>
              <w:t>0</w:t>
            </w:r>
          </w:p>
        </w:tc>
        <w:tc>
          <w:tcPr>
            <w:tcW w:w="1276" w:type="dxa"/>
            <w:tcBorders>
              <w:top w:val="single" w:sz="4" w:space="0" w:color="000000"/>
              <w:left w:val="single" w:sz="4" w:space="0" w:color="000000"/>
              <w:bottom w:val="single" w:sz="4" w:space="0" w:color="000000"/>
              <w:right w:val="single" w:sz="4" w:space="0" w:color="000000"/>
            </w:tcBorders>
          </w:tcPr>
          <w:p w14:paraId="4DC24C3B" w14:textId="77777777" w:rsidR="002063C4" w:rsidRPr="002063C4" w:rsidRDefault="002063C4" w:rsidP="00C6374B">
            <w:pPr>
              <w:spacing w:after="0"/>
              <w:rPr>
                <w:lang w:val="en-GB"/>
              </w:rPr>
            </w:pPr>
            <w:r w:rsidRPr="002063C4">
              <w:rPr>
                <w:lang w:val="en-GB"/>
              </w:rPr>
              <w:t>&lt;1</w:t>
            </w:r>
          </w:p>
        </w:tc>
        <w:tc>
          <w:tcPr>
            <w:tcW w:w="1134" w:type="dxa"/>
            <w:tcBorders>
              <w:top w:val="single" w:sz="4" w:space="0" w:color="000000"/>
              <w:left w:val="single" w:sz="4" w:space="0" w:color="000000"/>
              <w:bottom w:val="single" w:sz="4" w:space="0" w:color="000000"/>
              <w:right w:val="single" w:sz="4" w:space="0" w:color="auto"/>
            </w:tcBorders>
          </w:tcPr>
          <w:p w14:paraId="31F358E3" w14:textId="77777777" w:rsidR="002063C4" w:rsidRPr="002063C4" w:rsidRDefault="002063C4" w:rsidP="00C6374B">
            <w:pPr>
              <w:spacing w:after="0"/>
              <w:rPr>
                <w:lang w:val="en-GB"/>
              </w:rPr>
            </w:pPr>
            <w:r w:rsidRPr="002063C4">
              <w:rPr>
                <w:lang w:val="en-GB"/>
              </w:rPr>
              <w:t>&lt;1</w:t>
            </w:r>
          </w:p>
        </w:tc>
      </w:tr>
      <w:tr w:rsidR="002063C4" w:rsidRPr="002063C4" w14:paraId="3F77677B" w14:textId="77777777" w:rsidTr="00BB14D8">
        <w:trPr>
          <w:trHeight w:hRule="exact" w:val="685"/>
        </w:trPr>
        <w:tc>
          <w:tcPr>
            <w:tcW w:w="4678" w:type="dxa"/>
            <w:tcBorders>
              <w:top w:val="single" w:sz="4" w:space="0" w:color="000000"/>
              <w:left w:val="single" w:sz="4" w:space="0" w:color="000000"/>
              <w:bottom w:val="single" w:sz="4" w:space="0" w:color="000000"/>
              <w:right w:val="single" w:sz="4" w:space="0" w:color="000000"/>
            </w:tcBorders>
          </w:tcPr>
          <w:p w14:paraId="77C503E2" w14:textId="4CA49159" w:rsidR="002063C4" w:rsidRPr="00BB14D8" w:rsidRDefault="002063C4" w:rsidP="00C6374B">
            <w:pPr>
              <w:spacing w:after="0"/>
              <w:rPr>
                <w:b/>
                <w:lang w:val="en-GB"/>
              </w:rPr>
            </w:pPr>
            <w:r w:rsidRPr="00BB14D8">
              <w:rPr>
                <w:b/>
                <w:lang w:val="en-GB"/>
              </w:rPr>
              <w:t>Respiratory, Thoracic, and Mediastinal</w:t>
            </w:r>
            <w:r w:rsidR="00260B8C" w:rsidRPr="00BB14D8">
              <w:rPr>
                <w:b/>
                <w:lang w:val="en-GB"/>
              </w:rPr>
              <w:t xml:space="preserve"> Disorders</w:t>
            </w:r>
          </w:p>
          <w:p w14:paraId="5C32FD65" w14:textId="77777777" w:rsidR="002063C4" w:rsidRPr="00BB14D8" w:rsidRDefault="002063C4" w:rsidP="00C6374B">
            <w:pPr>
              <w:spacing w:after="0"/>
              <w:rPr>
                <w:b/>
                <w:lang w:val="en-GB"/>
              </w:rPr>
            </w:pPr>
            <w:r w:rsidRPr="00BB14D8">
              <w:rPr>
                <w:b/>
                <w:lang w:val="en-GB"/>
              </w:rPr>
              <w:t>Disorders</w:t>
            </w:r>
          </w:p>
        </w:tc>
        <w:tc>
          <w:tcPr>
            <w:tcW w:w="1134" w:type="dxa"/>
            <w:tcBorders>
              <w:top w:val="single" w:sz="4" w:space="0" w:color="000000"/>
              <w:left w:val="single" w:sz="4" w:space="0" w:color="000000"/>
              <w:bottom w:val="single" w:sz="4" w:space="0" w:color="000000"/>
              <w:right w:val="single" w:sz="4" w:space="0" w:color="000000"/>
            </w:tcBorders>
          </w:tcPr>
          <w:p w14:paraId="2B2FF51E"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000000"/>
            </w:tcBorders>
          </w:tcPr>
          <w:p w14:paraId="69DB492D" w14:textId="77777777" w:rsidR="002063C4" w:rsidRPr="00BB14D8" w:rsidRDefault="002063C4" w:rsidP="00C6374B">
            <w:pPr>
              <w:spacing w:after="0"/>
              <w:rPr>
                <w:b/>
                <w:lang w:val="en-GB"/>
              </w:rPr>
            </w:pPr>
          </w:p>
        </w:tc>
        <w:tc>
          <w:tcPr>
            <w:tcW w:w="1276" w:type="dxa"/>
            <w:tcBorders>
              <w:top w:val="single" w:sz="4" w:space="0" w:color="000000"/>
              <w:left w:val="single" w:sz="4" w:space="0" w:color="000000"/>
              <w:bottom w:val="single" w:sz="4" w:space="0" w:color="000000"/>
              <w:right w:val="single" w:sz="4" w:space="0" w:color="000000"/>
            </w:tcBorders>
          </w:tcPr>
          <w:p w14:paraId="1C9335EA"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auto"/>
            </w:tcBorders>
          </w:tcPr>
          <w:p w14:paraId="5688216E" w14:textId="77777777" w:rsidR="002063C4" w:rsidRPr="00BB14D8" w:rsidRDefault="002063C4" w:rsidP="00C6374B">
            <w:pPr>
              <w:spacing w:after="0"/>
              <w:rPr>
                <w:b/>
                <w:lang w:val="en-GB"/>
              </w:rPr>
            </w:pPr>
          </w:p>
        </w:tc>
      </w:tr>
      <w:tr w:rsidR="002063C4" w:rsidRPr="002063C4" w14:paraId="64A0D8E5"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62C9B073" w14:textId="77777777" w:rsidR="002063C4" w:rsidRPr="002063C4" w:rsidRDefault="002063C4" w:rsidP="00C6374B">
            <w:pPr>
              <w:spacing w:after="0"/>
              <w:rPr>
                <w:lang w:val="en-GB"/>
              </w:rPr>
            </w:pPr>
            <w:r w:rsidRPr="002063C4">
              <w:rPr>
                <w:lang w:val="en-GB"/>
              </w:rPr>
              <w:t>Dysphonia</w:t>
            </w:r>
          </w:p>
        </w:tc>
        <w:tc>
          <w:tcPr>
            <w:tcW w:w="1134" w:type="dxa"/>
            <w:tcBorders>
              <w:top w:val="single" w:sz="4" w:space="0" w:color="000000"/>
              <w:left w:val="single" w:sz="4" w:space="0" w:color="000000"/>
              <w:bottom w:val="single" w:sz="4" w:space="0" w:color="000000"/>
              <w:right w:val="single" w:sz="4" w:space="0" w:color="000000"/>
            </w:tcBorders>
          </w:tcPr>
          <w:p w14:paraId="6E8312A7" w14:textId="77777777" w:rsidR="002063C4" w:rsidRPr="002063C4" w:rsidRDefault="002063C4" w:rsidP="00C6374B">
            <w:pPr>
              <w:spacing w:after="0"/>
              <w:rPr>
                <w:lang w:val="en-GB"/>
              </w:rPr>
            </w:pPr>
            <w:r w:rsidRPr="002063C4">
              <w:rPr>
                <w:lang w:val="en-GB"/>
              </w:rPr>
              <w:t>20</w:t>
            </w:r>
          </w:p>
        </w:tc>
        <w:tc>
          <w:tcPr>
            <w:tcW w:w="1134" w:type="dxa"/>
            <w:tcBorders>
              <w:top w:val="single" w:sz="4" w:space="0" w:color="000000"/>
              <w:left w:val="single" w:sz="4" w:space="0" w:color="000000"/>
              <w:bottom w:val="single" w:sz="4" w:space="0" w:color="000000"/>
              <w:right w:val="single" w:sz="4" w:space="0" w:color="000000"/>
            </w:tcBorders>
          </w:tcPr>
          <w:p w14:paraId="356F7992" w14:textId="77777777" w:rsidR="002063C4" w:rsidRPr="002063C4" w:rsidRDefault="002063C4" w:rsidP="00C6374B">
            <w:pPr>
              <w:spacing w:after="0"/>
              <w:rPr>
                <w:lang w:val="en-GB"/>
              </w:rPr>
            </w:pPr>
            <w:r w:rsidRPr="002063C4">
              <w:rPr>
                <w:lang w:val="en-GB"/>
              </w:rPr>
              <w:t>&lt;1</w:t>
            </w:r>
          </w:p>
        </w:tc>
        <w:tc>
          <w:tcPr>
            <w:tcW w:w="1276" w:type="dxa"/>
            <w:tcBorders>
              <w:top w:val="single" w:sz="4" w:space="0" w:color="000000"/>
              <w:left w:val="single" w:sz="4" w:space="0" w:color="000000"/>
              <w:bottom w:val="single" w:sz="4" w:space="0" w:color="000000"/>
              <w:right w:val="single" w:sz="4" w:space="0" w:color="000000"/>
            </w:tcBorders>
          </w:tcPr>
          <w:p w14:paraId="109794E8" w14:textId="77777777" w:rsidR="002063C4" w:rsidRPr="002063C4" w:rsidRDefault="002063C4" w:rsidP="00C6374B">
            <w:pPr>
              <w:spacing w:after="0"/>
              <w:rPr>
                <w:lang w:val="en-GB"/>
              </w:rPr>
            </w:pPr>
            <w:r w:rsidRPr="002063C4">
              <w:rPr>
                <w:lang w:val="en-GB"/>
              </w:rPr>
              <w:t>4</w:t>
            </w:r>
          </w:p>
        </w:tc>
        <w:tc>
          <w:tcPr>
            <w:tcW w:w="1134" w:type="dxa"/>
            <w:tcBorders>
              <w:top w:val="single" w:sz="4" w:space="0" w:color="000000"/>
              <w:left w:val="single" w:sz="4" w:space="0" w:color="000000"/>
              <w:bottom w:val="single" w:sz="4" w:space="0" w:color="000000"/>
              <w:right w:val="single" w:sz="4" w:space="0" w:color="auto"/>
            </w:tcBorders>
          </w:tcPr>
          <w:p w14:paraId="22384AF8" w14:textId="77777777" w:rsidR="002063C4" w:rsidRPr="002063C4" w:rsidRDefault="002063C4" w:rsidP="00C6374B">
            <w:pPr>
              <w:spacing w:after="0"/>
              <w:rPr>
                <w:lang w:val="en-GB"/>
              </w:rPr>
            </w:pPr>
            <w:r w:rsidRPr="002063C4">
              <w:rPr>
                <w:lang w:val="en-GB"/>
              </w:rPr>
              <w:t>0</w:t>
            </w:r>
          </w:p>
        </w:tc>
      </w:tr>
      <w:tr w:rsidR="002063C4" w:rsidRPr="002063C4" w14:paraId="7B6EF194"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09ADAA01" w14:textId="77777777" w:rsidR="002063C4" w:rsidRPr="002063C4" w:rsidRDefault="002063C4" w:rsidP="00C6374B">
            <w:pPr>
              <w:spacing w:after="0"/>
              <w:rPr>
                <w:lang w:val="en-GB"/>
              </w:rPr>
            </w:pPr>
            <w:r w:rsidRPr="002063C4">
              <w:rPr>
                <w:lang w:val="en-GB"/>
              </w:rPr>
              <w:t>Dyspnoea</w:t>
            </w:r>
          </w:p>
        </w:tc>
        <w:tc>
          <w:tcPr>
            <w:tcW w:w="1134" w:type="dxa"/>
            <w:tcBorders>
              <w:top w:val="single" w:sz="4" w:space="0" w:color="000000"/>
              <w:left w:val="single" w:sz="4" w:space="0" w:color="000000"/>
              <w:bottom w:val="single" w:sz="4" w:space="0" w:color="000000"/>
              <w:right w:val="single" w:sz="4" w:space="0" w:color="000000"/>
            </w:tcBorders>
          </w:tcPr>
          <w:p w14:paraId="665F8F8C" w14:textId="77777777" w:rsidR="002063C4" w:rsidRPr="002063C4" w:rsidRDefault="002063C4" w:rsidP="00C6374B">
            <w:pPr>
              <w:spacing w:after="0"/>
              <w:rPr>
                <w:lang w:val="en-GB"/>
              </w:rPr>
            </w:pPr>
            <w:r w:rsidRPr="002063C4">
              <w:rPr>
                <w:lang w:val="en-GB"/>
              </w:rPr>
              <w:t>19</w:t>
            </w:r>
          </w:p>
        </w:tc>
        <w:tc>
          <w:tcPr>
            <w:tcW w:w="1134" w:type="dxa"/>
            <w:tcBorders>
              <w:top w:val="single" w:sz="4" w:space="0" w:color="000000"/>
              <w:left w:val="single" w:sz="4" w:space="0" w:color="000000"/>
              <w:bottom w:val="single" w:sz="4" w:space="0" w:color="000000"/>
              <w:right w:val="single" w:sz="4" w:space="0" w:color="000000"/>
            </w:tcBorders>
          </w:tcPr>
          <w:p w14:paraId="7B12EDFC" w14:textId="77777777" w:rsidR="002063C4" w:rsidRPr="002063C4" w:rsidRDefault="002063C4" w:rsidP="00C6374B">
            <w:pPr>
              <w:spacing w:after="0"/>
              <w:rPr>
                <w:lang w:val="en-GB"/>
              </w:rPr>
            </w:pPr>
            <w:r w:rsidRPr="002063C4">
              <w:rPr>
                <w:lang w:val="en-GB"/>
              </w:rPr>
              <w:t>3</w:t>
            </w:r>
          </w:p>
        </w:tc>
        <w:tc>
          <w:tcPr>
            <w:tcW w:w="1276" w:type="dxa"/>
            <w:tcBorders>
              <w:top w:val="single" w:sz="4" w:space="0" w:color="000000"/>
              <w:left w:val="single" w:sz="4" w:space="0" w:color="000000"/>
              <w:bottom w:val="single" w:sz="4" w:space="0" w:color="000000"/>
              <w:right w:val="single" w:sz="4" w:space="0" w:color="000000"/>
            </w:tcBorders>
          </w:tcPr>
          <w:p w14:paraId="2040CD9E" w14:textId="77777777" w:rsidR="002063C4" w:rsidRPr="002063C4" w:rsidRDefault="002063C4" w:rsidP="00C6374B">
            <w:pPr>
              <w:spacing w:after="0"/>
              <w:rPr>
                <w:lang w:val="en-GB"/>
              </w:rPr>
            </w:pPr>
            <w:r w:rsidRPr="002063C4">
              <w:rPr>
                <w:lang w:val="en-GB"/>
              </w:rPr>
              <w:t>29</w:t>
            </w:r>
          </w:p>
        </w:tc>
        <w:tc>
          <w:tcPr>
            <w:tcW w:w="1134" w:type="dxa"/>
            <w:tcBorders>
              <w:top w:val="single" w:sz="4" w:space="0" w:color="000000"/>
              <w:left w:val="single" w:sz="4" w:space="0" w:color="000000"/>
              <w:bottom w:val="single" w:sz="4" w:space="0" w:color="000000"/>
              <w:right w:val="single" w:sz="4" w:space="0" w:color="auto"/>
            </w:tcBorders>
          </w:tcPr>
          <w:p w14:paraId="711CDD9E" w14:textId="77777777" w:rsidR="002063C4" w:rsidRPr="002063C4" w:rsidRDefault="002063C4" w:rsidP="00C6374B">
            <w:pPr>
              <w:spacing w:after="0"/>
              <w:rPr>
                <w:lang w:val="en-GB"/>
              </w:rPr>
            </w:pPr>
            <w:r w:rsidRPr="002063C4">
              <w:rPr>
                <w:lang w:val="en-GB"/>
              </w:rPr>
              <w:t>4</w:t>
            </w:r>
          </w:p>
        </w:tc>
      </w:tr>
      <w:tr w:rsidR="002063C4" w:rsidRPr="002063C4" w14:paraId="083ACA4F"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6A36AC48" w14:textId="77777777" w:rsidR="002063C4" w:rsidRPr="002063C4" w:rsidRDefault="002063C4" w:rsidP="00C6374B">
            <w:pPr>
              <w:spacing w:after="0"/>
              <w:rPr>
                <w:lang w:val="en-GB"/>
              </w:rPr>
            </w:pPr>
            <w:r w:rsidRPr="002063C4">
              <w:rPr>
                <w:lang w:val="en-GB"/>
              </w:rPr>
              <w:t>Cough</w:t>
            </w:r>
          </w:p>
        </w:tc>
        <w:tc>
          <w:tcPr>
            <w:tcW w:w="1134" w:type="dxa"/>
            <w:tcBorders>
              <w:top w:val="single" w:sz="4" w:space="0" w:color="000000"/>
              <w:left w:val="single" w:sz="4" w:space="0" w:color="000000"/>
              <w:bottom w:val="single" w:sz="4" w:space="0" w:color="000000"/>
              <w:right w:val="single" w:sz="4" w:space="0" w:color="000000"/>
            </w:tcBorders>
          </w:tcPr>
          <w:p w14:paraId="4E7C2730" w14:textId="77777777" w:rsidR="002063C4" w:rsidRPr="002063C4" w:rsidRDefault="002063C4" w:rsidP="00C6374B">
            <w:pPr>
              <w:spacing w:after="0"/>
              <w:rPr>
                <w:lang w:val="en-GB"/>
              </w:rPr>
            </w:pPr>
            <w:r w:rsidRPr="002063C4">
              <w:rPr>
                <w:lang w:val="en-GB"/>
              </w:rPr>
              <w:t>18</w:t>
            </w:r>
          </w:p>
        </w:tc>
        <w:tc>
          <w:tcPr>
            <w:tcW w:w="1134" w:type="dxa"/>
            <w:tcBorders>
              <w:top w:val="single" w:sz="4" w:space="0" w:color="000000"/>
              <w:left w:val="single" w:sz="4" w:space="0" w:color="000000"/>
              <w:bottom w:val="single" w:sz="4" w:space="0" w:color="000000"/>
              <w:right w:val="single" w:sz="4" w:space="0" w:color="000000"/>
            </w:tcBorders>
          </w:tcPr>
          <w:p w14:paraId="0BF83EE6" w14:textId="77777777" w:rsidR="002063C4" w:rsidRPr="002063C4" w:rsidRDefault="002063C4" w:rsidP="00C6374B">
            <w:pPr>
              <w:spacing w:after="0"/>
              <w:rPr>
                <w:lang w:val="en-GB"/>
              </w:rPr>
            </w:pPr>
            <w:r w:rsidRPr="002063C4">
              <w:rPr>
                <w:lang w:val="en-GB"/>
              </w:rPr>
              <w:t>&lt;1</w:t>
            </w:r>
          </w:p>
        </w:tc>
        <w:tc>
          <w:tcPr>
            <w:tcW w:w="1276" w:type="dxa"/>
            <w:tcBorders>
              <w:top w:val="single" w:sz="4" w:space="0" w:color="000000"/>
              <w:left w:val="single" w:sz="4" w:space="0" w:color="000000"/>
              <w:bottom w:val="single" w:sz="4" w:space="0" w:color="000000"/>
              <w:right w:val="single" w:sz="4" w:space="0" w:color="000000"/>
            </w:tcBorders>
          </w:tcPr>
          <w:p w14:paraId="4D91A498" w14:textId="77777777" w:rsidR="002063C4" w:rsidRPr="002063C4" w:rsidRDefault="002063C4" w:rsidP="00C6374B">
            <w:pPr>
              <w:spacing w:after="0"/>
              <w:rPr>
                <w:lang w:val="en-GB"/>
              </w:rPr>
            </w:pPr>
            <w:r w:rsidRPr="002063C4">
              <w:rPr>
                <w:lang w:val="en-GB"/>
              </w:rPr>
              <w:t>33</w:t>
            </w:r>
          </w:p>
        </w:tc>
        <w:tc>
          <w:tcPr>
            <w:tcW w:w="1134" w:type="dxa"/>
            <w:tcBorders>
              <w:top w:val="single" w:sz="4" w:space="0" w:color="000000"/>
              <w:left w:val="single" w:sz="4" w:space="0" w:color="000000"/>
              <w:bottom w:val="single" w:sz="4" w:space="0" w:color="000000"/>
              <w:right w:val="single" w:sz="4" w:space="0" w:color="auto"/>
            </w:tcBorders>
          </w:tcPr>
          <w:p w14:paraId="6764270B" w14:textId="77777777" w:rsidR="002063C4" w:rsidRPr="002063C4" w:rsidRDefault="002063C4" w:rsidP="00C6374B">
            <w:pPr>
              <w:spacing w:after="0"/>
              <w:rPr>
                <w:lang w:val="en-GB"/>
              </w:rPr>
            </w:pPr>
            <w:r w:rsidRPr="002063C4">
              <w:rPr>
                <w:lang w:val="en-GB"/>
              </w:rPr>
              <w:t>&lt;1</w:t>
            </w:r>
          </w:p>
        </w:tc>
      </w:tr>
      <w:tr w:rsidR="002063C4" w:rsidRPr="002063C4" w14:paraId="5B94D804"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526FEF19" w14:textId="77777777" w:rsidR="002063C4" w:rsidRPr="00BB14D8" w:rsidRDefault="002063C4" w:rsidP="00C6374B">
            <w:pPr>
              <w:spacing w:after="0"/>
              <w:rPr>
                <w:b/>
                <w:lang w:val="en-GB"/>
              </w:rPr>
            </w:pPr>
            <w:r w:rsidRPr="00BB14D8">
              <w:rPr>
                <w:b/>
                <w:lang w:val="en-GB"/>
              </w:rPr>
              <w:t>Blood and Lymphatic Disorders</w:t>
            </w:r>
          </w:p>
        </w:tc>
        <w:tc>
          <w:tcPr>
            <w:tcW w:w="1134" w:type="dxa"/>
            <w:tcBorders>
              <w:top w:val="single" w:sz="4" w:space="0" w:color="000000"/>
              <w:left w:val="single" w:sz="4" w:space="0" w:color="000000"/>
              <w:bottom w:val="single" w:sz="4" w:space="0" w:color="000000"/>
              <w:right w:val="single" w:sz="4" w:space="0" w:color="000000"/>
            </w:tcBorders>
          </w:tcPr>
          <w:p w14:paraId="2B3466FA"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000000"/>
            </w:tcBorders>
          </w:tcPr>
          <w:p w14:paraId="145F56F2" w14:textId="77777777" w:rsidR="002063C4" w:rsidRPr="00BB14D8" w:rsidRDefault="002063C4" w:rsidP="00C6374B">
            <w:pPr>
              <w:spacing w:after="0"/>
              <w:rPr>
                <w:b/>
                <w:lang w:val="en-GB"/>
              </w:rPr>
            </w:pPr>
          </w:p>
        </w:tc>
        <w:tc>
          <w:tcPr>
            <w:tcW w:w="1276" w:type="dxa"/>
            <w:tcBorders>
              <w:top w:val="single" w:sz="4" w:space="0" w:color="000000"/>
              <w:left w:val="single" w:sz="4" w:space="0" w:color="000000"/>
              <w:bottom w:val="single" w:sz="4" w:space="0" w:color="000000"/>
              <w:right w:val="single" w:sz="4" w:space="0" w:color="000000"/>
            </w:tcBorders>
          </w:tcPr>
          <w:p w14:paraId="28973864"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auto"/>
            </w:tcBorders>
          </w:tcPr>
          <w:p w14:paraId="4C5B09D4" w14:textId="77777777" w:rsidR="002063C4" w:rsidRPr="00BB14D8" w:rsidRDefault="002063C4" w:rsidP="00C6374B">
            <w:pPr>
              <w:spacing w:after="0"/>
              <w:rPr>
                <w:b/>
                <w:lang w:val="en-GB"/>
              </w:rPr>
            </w:pPr>
          </w:p>
        </w:tc>
      </w:tr>
      <w:tr w:rsidR="002063C4" w:rsidRPr="002063C4" w14:paraId="07C9B02D"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782FEEA9" w14:textId="77777777" w:rsidR="002063C4" w:rsidRPr="002063C4" w:rsidRDefault="002063C4" w:rsidP="00C6374B">
            <w:pPr>
              <w:spacing w:after="0"/>
              <w:rPr>
                <w:lang w:val="en-GB"/>
              </w:rPr>
            </w:pPr>
            <w:r w:rsidRPr="002063C4">
              <w:rPr>
                <w:lang w:val="en-GB"/>
              </w:rPr>
              <w:t>Anaemia</w:t>
            </w:r>
          </w:p>
        </w:tc>
        <w:tc>
          <w:tcPr>
            <w:tcW w:w="1134" w:type="dxa"/>
            <w:tcBorders>
              <w:top w:val="single" w:sz="4" w:space="0" w:color="000000"/>
              <w:left w:val="single" w:sz="4" w:space="0" w:color="000000"/>
              <w:bottom w:val="single" w:sz="4" w:space="0" w:color="000000"/>
              <w:right w:val="single" w:sz="4" w:space="0" w:color="000000"/>
            </w:tcBorders>
          </w:tcPr>
          <w:p w14:paraId="61E3C819" w14:textId="77777777" w:rsidR="002063C4" w:rsidRPr="002063C4" w:rsidRDefault="002063C4" w:rsidP="00C6374B">
            <w:pPr>
              <w:spacing w:after="0"/>
              <w:rPr>
                <w:lang w:val="en-GB"/>
              </w:rPr>
            </w:pPr>
            <w:r w:rsidRPr="002063C4">
              <w:rPr>
                <w:lang w:val="en-GB"/>
              </w:rPr>
              <w:t>17</w:t>
            </w:r>
          </w:p>
        </w:tc>
        <w:tc>
          <w:tcPr>
            <w:tcW w:w="1134" w:type="dxa"/>
            <w:tcBorders>
              <w:top w:val="single" w:sz="4" w:space="0" w:color="000000"/>
              <w:left w:val="single" w:sz="4" w:space="0" w:color="000000"/>
              <w:bottom w:val="single" w:sz="4" w:space="0" w:color="000000"/>
              <w:right w:val="single" w:sz="4" w:space="0" w:color="000000"/>
            </w:tcBorders>
          </w:tcPr>
          <w:p w14:paraId="7A8046E9" w14:textId="77777777" w:rsidR="002063C4" w:rsidRPr="002063C4" w:rsidRDefault="002063C4" w:rsidP="00C6374B">
            <w:pPr>
              <w:spacing w:after="0"/>
              <w:rPr>
                <w:lang w:val="en-GB"/>
              </w:rPr>
            </w:pPr>
            <w:r w:rsidRPr="002063C4">
              <w:rPr>
                <w:lang w:val="en-GB"/>
              </w:rPr>
              <w:t>5</w:t>
            </w:r>
          </w:p>
        </w:tc>
        <w:tc>
          <w:tcPr>
            <w:tcW w:w="1276" w:type="dxa"/>
            <w:tcBorders>
              <w:top w:val="single" w:sz="4" w:space="0" w:color="000000"/>
              <w:left w:val="single" w:sz="4" w:space="0" w:color="000000"/>
              <w:bottom w:val="single" w:sz="4" w:space="0" w:color="000000"/>
              <w:right w:val="single" w:sz="4" w:space="0" w:color="000000"/>
            </w:tcBorders>
          </w:tcPr>
          <w:p w14:paraId="262D6510" w14:textId="77777777" w:rsidR="002063C4" w:rsidRPr="002063C4" w:rsidRDefault="002063C4" w:rsidP="00C6374B">
            <w:pPr>
              <w:spacing w:after="0"/>
              <w:rPr>
                <w:lang w:val="en-GB"/>
              </w:rPr>
            </w:pPr>
            <w:r w:rsidRPr="002063C4">
              <w:rPr>
                <w:lang w:val="en-GB"/>
              </w:rPr>
              <w:t>38</w:t>
            </w:r>
          </w:p>
        </w:tc>
        <w:tc>
          <w:tcPr>
            <w:tcW w:w="1134" w:type="dxa"/>
            <w:tcBorders>
              <w:top w:val="single" w:sz="4" w:space="0" w:color="000000"/>
              <w:left w:val="single" w:sz="4" w:space="0" w:color="000000"/>
              <w:bottom w:val="single" w:sz="4" w:space="0" w:color="000000"/>
              <w:right w:val="single" w:sz="4" w:space="0" w:color="auto"/>
            </w:tcBorders>
          </w:tcPr>
          <w:p w14:paraId="368AD993" w14:textId="77777777" w:rsidR="002063C4" w:rsidRPr="002063C4" w:rsidRDefault="002063C4" w:rsidP="00C6374B">
            <w:pPr>
              <w:spacing w:after="0"/>
              <w:rPr>
                <w:lang w:val="en-GB"/>
              </w:rPr>
            </w:pPr>
            <w:r w:rsidRPr="002063C4">
              <w:rPr>
                <w:lang w:val="en-GB"/>
              </w:rPr>
              <w:t>16</w:t>
            </w:r>
          </w:p>
        </w:tc>
      </w:tr>
      <w:tr w:rsidR="002063C4" w:rsidRPr="002063C4" w14:paraId="773D67C9" w14:textId="77777777" w:rsidTr="00BB14D8">
        <w:trPr>
          <w:trHeight w:hRule="exact" w:val="667"/>
        </w:trPr>
        <w:tc>
          <w:tcPr>
            <w:tcW w:w="4678" w:type="dxa"/>
            <w:tcBorders>
              <w:top w:val="single" w:sz="4" w:space="0" w:color="000000"/>
              <w:left w:val="single" w:sz="4" w:space="0" w:color="000000"/>
              <w:bottom w:val="single" w:sz="4" w:space="0" w:color="000000"/>
              <w:right w:val="single" w:sz="4" w:space="0" w:color="000000"/>
            </w:tcBorders>
          </w:tcPr>
          <w:p w14:paraId="5F7864AB" w14:textId="77777777" w:rsidR="002063C4" w:rsidRPr="00BB14D8" w:rsidRDefault="002063C4" w:rsidP="00C6374B">
            <w:pPr>
              <w:spacing w:after="0"/>
              <w:rPr>
                <w:b/>
                <w:lang w:val="en-GB"/>
              </w:rPr>
            </w:pPr>
            <w:r w:rsidRPr="00BB14D8">
              <w:rPr>
                <w:b/>
                <w:lang w:val="en-GB"/>
              </w:rPr>
              <w:t>Musculoskeletal and Connective Tissue Disorders</w:t>
            </w:r>
          </w:p>
        </w:tc>
        <w:tc>
          <w:tcPr>
            <w:tcW w:w="1134" w:type="dxa"/>
            <w:tcBorders>
              <w:top w:val="single" w:sz="4" w:space="0" w:color="000000"/>
              <w:left w:val="single" w:sz="4" w:space="0" w:color="000000"/>
              <w:bottom w:val="single" w:sz="4" w:space="0" w:color="000000"/>
              <w:right w:val="single" w:sz="4" w:space="0" w:color="000000"/>
            </w:tcBorders>
          </w:tcPr>
          <w:p w14:paraId="28BAE869"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000000"/>
            </w:tcBorders>
          </w:tcPr>
          <w:p w14:paraId="2572DA64" w14:textId="77777777" w:rsidR="002063C4" w:rsidRPr="00BB14D8" w:rsidRDefault="002063C4" w:rsidP="00C6374B">
            <w:pPr>
              <w:spacing w:after="0"/>
              <w:rPr>
                <w:b/>
                <w:lang w:val="en-GB"/>
              </w:rPr>
            </w:pPr>
          </w:p>
        </w:tc>
        <w:tc>
          <w:tcPr>
            <w:tcW w:w="1276" w:type="dxa"/>
            <w:tcBorders>
              <w:top w:val="single" w:sz="4" w:space="0" w:color="000000"/>
              <w:left w:val="single" w:sz="4" w:space="0" w:color="000000"/>
              <w:bottom w:val="single" w:sz="4" w:space="0" w:color="000000"/>
              <w:right w:val="single" w:sz="4" w:space="0" w:color="000000"/>
            </w:tcBorders>
          </w:tcPr>
          <w:p w14:paraId="4230E46D"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auto"/>
            </w:tcBorders>
          </w:tcPr>
          <w:p w14:paraId="68B808FB" w14:textId="77777777" w:rsidR="002063C4" w:rsidRPr="00BB14D8" w:rsidRDefault="002063C4" w:rsidP="00C6374B">
            <w:pPr>
              <w:spacing w:after="0"/>
              <w:rPr>
                <w:b/>
                <w:lang w:val="en-GB"/>
              </w:rPr>
            </w:pPr>
          </w:p>
        </w:tc>
      </w:tr>
      <w:tr w:rsidR="002063C4" w:rsidRPr="002063C4" w14:paraId="1B40D946"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09C38BB9" w14:textId="77777777" w:rsidR="002063C4" w:rsidRPr="002063C4" w:rsidRDefault="002063C4" w:rsidP="00C6374B">
            <w:pPr>
              <w:spacing w:after="0"/>
              <w:rPr>
                <w:lang w:val="en-GB"/>
              </w:rPr>
            </w:pPr>
            <w:r w:rsidRPr="002063C4">
              <w:rPr>
                <w:lang w:val="en-GB"/>
              </w:rPr>
              <w:t>Pain in extremity</w:t>
            </w:r>
          </w:p>
        </w:tc>
        <w:tc>
          <w:tcPr>
            <w:tcW w:w="1134" w:type="dxa"/>
            <w:tcBorders>
              <w:top w:val="single" w:sz="4" w:space="0" w:color="000000"/>
              <w:left w:val="single" w:sz="4" w:space="0" w:color="000000"/>
              <w:bottom w:val="single" w:sz="4" w:space="0" w:color="000000"/>
              <w:right w:val="single" w:sz="4" w:space="0" w:color="000000"/>
            </w:tcBorders>
          </w:tcPr>
          <w:p w14:paraId="2DD3FBDE" w14:textId="77777777" w:rsidR="002063C4" w:rsidRPr="002063C4" w:rsidRDefault="002063C4" w:rsidP="00C6374B">
            <w:pPr>
              <w:spacing w:after="0"/>
              <w:rPr>
                <w:lang w:val="en-GB"/>
              </w:rPr>
            </w:pPr>
            <w:r w:rsidRPr="002063C4">
              <w:rPr>
                <w:lang w:val="en-GB"/>
              </w:rPr>
              <w:t>14</w:t>
            </w:r>
          </w:p>
        </w:tc>
        <w:tc>
          <w:tcPr>
            <w:tcW w:w="1134" w:type="dxa"/>
            <w:tcBorders>
              <w:top w:val="single" w:sz="4" w:space="0" w:color="000000"/>
              <w:left w:val="single" w:sz="4" w:space="0" w:color="000000"/>
              <w:bottom w:val="single" w:sz="4" w:space="0" w:color="000000"/>
              <w:right w:val="single" w:sz="4" w:space="0" w:color="000000"/>
            </w:tcBorders>
          </w:tcPr>
          <w:p w14:paraId="38724E50" w14:textId="77777777" w:rsidR="002063C4" w:rsidRPr="002063C4" w:rsidRDefault="002063C4" w:rsidP="00C6374B">
            <w:pPr>
              <w:spacing w:after="0"/>
              <w:rPr>
                <w:lang w:val="en-GB"/>
              </w:rPr>
            </w:pPr>
            <w:r w:rsidRPr="002063C4">
              <w:rPr>
                <w:lang w:val="en-GB"/>
              </w:rPr>
              <w:t>1</w:t>
            </w:r>
          </w:p>
        </w:tc>
        <w:tc>
          <w:tcPr>
            <w:tcW w:w="1276" w:type="dxa"/>
            <w:tcBorders>
              <w:top w:val="single" w:sz="4" w:space="0" w:color="000000"/>
              <w:left w:val="single" w:sz="4" w:space="0" w:color="000000"/>
              <w:bottom w:val="single" w:sz="4" w:space="0" w:color="000000"/>
              <w:right w:val="single" w:sz="4" w:space="0" w:color="000000"/>
            </w:tcBorders>
          </w:tcPr>
          <w:p w14:paraId="143324AA" w14:textId="77777777" w:rsidR="002063C4" w:rsidRPr="002063C4" w:rsidRDefault="002063C4" w:rsidP="00C6374B">
            <w:pPr>
              <w:spacing w:after="0"/>
              <w:rPr>
                <w:lang w:val="en-GB"/>
              </w:rPr>
            </w:pPr>
            <w:r w:rsidRPr="002063C4">
              <w:rPr>
                <w:lang w:val="en-GB"/>
              </w:rPr>
              <w:t>8</w:t>
            </w:r>
          </w:p>
        </w:tc>
        <w:tc>
          <w:tcPr>
            <w:tcW w:w="1134" w:type="dxa"/>
            <w:tcBorders>
              <w:top w:val="single" w:sz="4" w:space="0" w:color="000000"/>
              <w:left w:val="single" w:sz="4" w:space="0" w:color="000000"/>
              <w:bottom w:val="single" w:sz="4" w:space="0" w:color="000000"/>
              <w:right w:val="single" w:sz="4" w:space="0" w:color="auto"/>
            </w:tcBorders>
          </w:tcPr>
          <w:p w14:paraId="091239D2" w14:textId="77777777" w:rsidR="002063C4" w:rsidRPr="002063C4" w:rsidRDefault="002063C4" w:rsidP="00C6374B">
            <w:pPr>
              <w:spacing w:after="0"/>
              <w:rPr>
                <w:lang w:val="en-GB"/>
              </w:rPr>
            </w:pPr>
            <w:r w:rsidRPr="002063C4">
              <w:rPr>
                <w:lang w:val="en-GB"/>
              </w:rPr>
              <w:t>&lt;1</w:t>
            </w:r>
          </w:p>
        </w:tc>
      </w:tr>
      <w:tr w:rsidR="002063C4" w:rsidRPr="002063C4" w14:paraId="6D812BF0"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21DC1DCF" w14:textId="77777777" w:rsidR="002063C4" w:rsidRPr="002063C4" w:rsidRDefault="002063C4" w:rsidP="00C6374B">
            <w:pPr>
              <w:spacing w:after="0"/>
              <w:rPr>
                <w:lang w:val="en-GB"/>
              </w:rPr>
            </w:pPr>
            <w:r w:rsidRPr="002063C4">
              <w:rPr>
                <w:lang w:val="en-GB"/>
              </w:rPr>
              <w:t>Muscle spasms</w:t>
            </w:r>
          </w:p>
        </w:tc>
        <w:tc>
          <w:tcPr>
            <w:tcW w:w="1134" w:type="dxa"/>
            <w:tcBorders>
              <w:top w:val="single" w:sz="4" w:space="0" w:color="000000"/>
              <w:left w:val="single" w:sz="4" w:space="0" w:color="000000"/>
              <w:bottom w:val="single" w:sz="4" w:space="0" w:color="000000"/>
              <w:right w:val="single" w:sz="4" w:space="0" w:color="000000"/>
            </w:tcBorders>
          </w:tcPr>
          <w:p w14:paraId="14705DB3" w14:textId="77777777" w:rsidR="002063C4" w:rsidRPr="002063C4" w:rsidRDefault="002063C4" w:rsidP="00C6374B">
            <w:pPr>
              <w:spacing w:after="0"/>
              <w:rPr>
                <w:lang w:val="en-GB"/>
              </w:rPr>
            </w:pPr>
            <w:r w:rsidRPr="002063C4">
              <w:rPr>
                <w:lang w:val="en-GB"/>
              </w:rPr>
              <w:t>13</w:t>
            </w:r>
          </w:p>
        </w:tc>
        <w:tc>
          <w:tcPr>
            <w:tcW w:w="1134" w:type="dxa"/>
            <w:tcBorders>
              <w:top w:val="single" w:sz="4" w:space="0" w:color="000000"/>
              <w:left w:val="single" w:sz="4" w:space="0" w:color="000000"/>
              <w:bottom w:val="single" w:sz="4" w:space="0" w:color="000000"/>
              <w:right w:val="single" w:sz="4" w:space="0" w:color="000000"/>
            </w:tcBorders>
          </w:tcPr>
          <w:p w14:paraId="35C76B27" w14:textId="77777777" w:rsidR="002063C4" w:rsidRPr="002063C4" w:rsidRDefault="002063C4" w:rsidP="00C6374B">
            <w:pPr>
              <w:spacing w:after="0"/>
              <w:rPr>
                <w:lang w:val="en-GB"/>
              </w:rPr>
            </w:pPr>
            <w:r w:rsidRPr="002063C4">
              <w:rPr>
                <w:lang w:val="en-GB"/>
              </w:rPr>
              <w:t>0</w:t>
            </w:r>
          </w:p>
        </w:tc>
        <w:tc>
          <w:tcPr>
            <w:tcW w:w="1276" w:type="dxa"/>
            <w:tcBorders>
              <w:top w:val="single" w:sz="4" w:space="0" w:color="000000"/>
              <w:left w:val="single" w:sz="4" w:space="0" w:color="000000"/>
              <w:bottom w:val="single" w:sz="4" w:space="0" w:color="000000"/>
              <w:right w:val="single" w:sz="4" w:space="0" w:color="000000"/>
            </w:tcBorders>
          </w:tcPr>
          <w:p w14:paraId="3E6689D0" w14:textId="77777777" w:rsidR="002063C4" w:rsidRPr="002063C4" w:rsidRDefault="002063C4" w:rsidP="00C6374B">
            <w:pPr>
              <w:spacing w:after="0"/>
              <w:rPr>
                <w:lang w:val="en-GB"/>
              </w:rPr>
            </w:pPr>
            <w:r w:rsidRPr="002063C4">
              <w:rPr>
                <w:lang w:val="en-GB"/>
              </w:rPr>
              <w:t>5</w:t>
            </w:r>
          </w:p>
        </w:tc>
        <w:tc>
          <w:tcPr>
            <w:tcW w:w="1134" w:type="dxa"/>
            <w:tcBorders>
              <w:top w:val="single" w:sz="4" w:space="0" w:color="000000"/>
              <w:left w:val="single" w:sz="4" w:space="0" w:color="000000"/>
              <w:bottom w:val="single" w:sz="4" w:space="0" w:color="000000"/>
              <w:right w:val="single" w:sz="4" w:space="0" w:color="auto"/>
            </w:tcBorders>
          </w:tcPr>
          <w:p w14:paraId="7EC1D7CF" w14:textId="77777777" w:rsidR="002063C4" w:rsidRPr="002063C4" w:rsidRDefault="002063C4" w:rsidP="00C6374B">
            <w:pPr>
              <w:spacing w:after="0"/>
              <w:rPr>
                <w:lang w:val="en-GB"/>
              </w:rPr>
            </w:pPr>
            <w:r w:rsidRPr="002063C4">
              <w:rPr>
                <w:lang w:val="en-GB"/>
              </w:rPr>
              <w:t>0</w:t>
            </w:r>
          </w:p>
        </w:tc>
      </w:tr>
      <w:tr w:rsidR="002063C4" w:rsidRPr="002063C4" w14:paraId="0AC8945F"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0F7F8D40" w14:textId="77777777" w:rsidR="002063C4" w:rsidRPr="002063C4" w:rsidRDefault="002063C4" w:rsidP="00C6374B">
            <w:pPr>
              <w:spacing w:after="0"/>
              <w:rPr>
                <w:lang w:val="en-GB"/>
              </w:rPr>
            </w:pPr>
            <w:r w:rsidRPr="002063C4">
              <w:rPr>
                <w:lang w:val="en-GB"/>
              </w:rPr>
              <w:t>Arthralgia</w:t>
            </w:r>
          </w:p>
        </w:tc>
        <w:tc>
          <w:tcPr>
            <w:tcW w:w="1134" w:type="dxa"/>
            <w:tcBorders>
              <w:top w:val="single" w:sz="4" w:space="0" w:color="000000"/>
              <w:left w:val="single" w:sz="4" w:space="0" w:color="000000"/>
              <w:bottom w:val="single" w:sz="4" w:space="0" w:color="000000"/>
              <w:right w:val="single" w:sz="4" w:space="0" w:color="000000"/>
            </w:tcBorders>
          </w:tcPr>
          <w:p w14:paraId="2B5A9BDB" w14:textId="77777777" w:rsidR="002063C4" w:rsidRPr="002063C4" w:rsidRDefault="002063C4" w:rsidP="00C6374B">
            <w:pPr>
              <w:spacing w:after="0"/>
              <w:rPr>
                <w:lang w:val="en-GB"/>
              </w:rPr>
            </w:pPr>
            <w:r w:rsidRPr="002063C4">
              <w:rPr>
                <w:lang w:val="en-GB"/>
              </w:rPr>
              <w:t>11</w:t>
            </w:r>
          </w:p>
        </w:tc>
        <w:tc>
          <w:tcPr>
            <w:tcW w:w="1134" w:type="dxa"/>
            <w:tcBorders>
              <w:top w:val="single" w:sz="4" w:space="0" w:color="000000"/>
              <w:left w:val="single" w:sz="4" w:space="0" w:color="000000"/>
              <w:bottom w:val="single" w:sz="4" w:space="0" w:color="000000"/>
              <w:right w:val="single" w:sz="4" w:space="0" w:color="000000"/>
            </w:tcBorders>
          </w:tcPr>
          <w:p w14:paraId="4E19DE99" w14:textId="77777777" w:rsidR="002063C4" w:rsidRPr="002063C4" w:rsidRDefault="002063C4" w:rsidP="00C6374B">
            <w:pPr>
              <w:spacing w:after="0"/>
              <w:rPr>
                <w:lang w:val="en-GB"/>
              </w:rPr>
            </w:pPr>
            <w:r w:rsidRPr="002063C4">
              <w:rPr>
                <w:lang w:val="en-GB"/>
              </w:rPr>
              <w:t>&lt;1</w:t>
            </w:r>
          </w:p>
        </w:tc>
        <w:tc>
          <w:tcPr>
            <w:tcW w:w="1276" w:type="dxa"/>
            <w:tcBorders>
              <w:top w:val="single" w:sz="4" w:space="0" w:color="000000"/>
              <w:left w:val="single" w:sz="4" w:space="0" w:color="000000"/>
              <w:bottom w:val="single" w:sz="4" w:space="0" w:color="000000"/>
              <w:right w:val="single" w:sz="4" w:space="0" w:color="000000"/>
            </w:tcBorders>
          </w:tcPr>
          <w:p w14:paraId="517D7CB5" w14:textId="77777777" w:rsidR="002063C4" w:rsidRPr="002063C4" w:rsidRDefault="002063C4" w:rsidP="00C6374B">
            <w:pPr>
              <w:spacing w:after="0"/>
              <w:rPr>
                <w:lang w:val="en-GB"/>
              </w:rPr>
            </w:pPr>
            <w:r w:rsidRPr="002063C4">
              <w:rPr>
                <w:lang w:val="en-GB"/>
              </w:rPr>
              <w:t>14</w:t>
            </w:r>
          </w:p>
        </w:tc>
        <w:tc>
          <w:tcPr>
            <w:tcW w:w="1134" w:type="dxa"/>
            <w:tcBorders>
              <w:top w:val="single" w:sz="4" w:space="0" w:color="000000"/>
              <w:left w:val="single" w:sz="4" w:space="0" w:color="000000"/>
              <w:bottom w:val="single" w:sz="4" w:space="0" w:color="000000"/>
              <w:right w:val="single" w:sz="4" w:space="0" w:color="auto"/>
            </w:tcBorders>
          </w:tcPr>
          <w:p w14:paraId="5625FF86" w14:textId="77777777" w:rsidR="002063C4" w:rsidRPr="002063C4" w:rsidRDefault="002063C4" w:rsidP="00C6374B">
            <w:pPr>
              <w:spacing w:after="0"/>
              <w:rPr>
                <w:lang w:val="en-GB"/>
              </w:rPr>
            </w:pPr>
            <w:r w:rsidRPr="002063C4">
              <w:rPr>
                <w:lang w:val="en-GB"/>
              </w:rPr>
              <w:t>1</w:t>
            </w:r>
          </w:p>
        </w:tc>
      </w:tr>
      <w:tr w:rsidR="002063C4" w:rsidRPr="002063C4" w14:paraId="0AD2D41B"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4BF0A813" w14:textId="77777777" w:rsidR="002063C4" w:rsidRPr="00BB14D8" w:rsidRDefault="002063C4" w:rsidP="00C6374B">
            <w:pPr>
              <w:spacing w:after="0"/>
              <w:rPr>
                <w:b/>
                <w:lang w:val="en-GB"/>
              </w:rPr>
            </w:pPr>
            <w:r w:rsidRPr="00BB14D8">
              <w:rPr>
                <w:b/>
                <w:lang w:val="en-GB"/>
              </w:rPr>
              <w:t>Renal and Urinary Disorders</w:t>
            </w:r>
          </w:p>
        </w:tc>
        <w:tc>
          <w:tcPr>
            <w:tcW w:w="1134" w:type="dxa"/>
            <w:tcBorders>
              <w:top w:val="single" w:sz="4" w:space="0" w:color="000000"/>
              <w:left w:val="single" w:sz="4" w:space="0" w:color="000000"/>
              <w:bottom w:val="single" w:sz="4" w:space="0" w:color="000000"/>
              <w:right w:val="single" w:sz="4" w:space="0" w:color="000000"/>
            </w:tcBorders>
          </w:tcPr>
          <w:p w14:paraId="6A6CB724"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000000"/>
            </w:tcBorders>
          </w:tcPr>
          <w:p w14:paraId="67BAE2E7" w14:textId="77777777" w:rsidR="002063C4" w:rsidRPr="00BB14D8" w:rsidRDefault="002063C4" w:rsidP="00C6374B">
            <w:pPr>
              <w:spacing w:after="0"/>
              <w:rPr>
                <w:b/>
                <w:lang w:val="en-GB"/>
              </w:rPr>
            </w:pPr>
          </w:p>
        </w:tc>
        <w:tc>
          <w:tcPr>
            <w:tcW w:w="1276" w:type="dxa"/>
            <w:tcBorders>
              <w:top w:val="single" w:sz="4" w:space="0" w:color="000000"/>
              <w:left w:val="single" w:sz="4" w:space="0" w:color="000000"/>
              <w:bottom w:val="single" w:sz="4" w:space="0" w:color="000000"/>
              <w:right w:val="single" w:sz="4" w:space="0" w:color="000000"/>
            </w:tcBorders>
          </w:tcPr>
          <w:p w14:paraId="079F974E" w14:textId="77777777" w:rsidR="002063C4" w:rsidRPr="00BB14D8" w:rsidRDefault="002063C4" w:rsidP="00C6374B">
            <w:pPr>
              <w:spacing w:after="0"/>
              <w:rPr>
                <w:b/>
                <w:lang w:val="en-GB"/>
              </w:rPr>
            </w:pPr>
          </w:p>
        </w:tc>
        <w:tc>
          <w:tcPr>
            <w:tcW w:w="1134" w:type="dxa"/>
            <w:tcBorders>
              <w:top w:val="single" w:sz="4" w:space="0" w:color="000000"/>
              <w:left w:val="single" w:sz="4" w:space="0" w:color="000000"/>
              <w:bottom w:val="single" w:sz="4" w:space="0" w:color="000000"/>
              <w:right w:val="single" w:sz="4" w:space="0" w:color="auto"/>
            </w:tcBorders>
          </w:tcPr>
          <w:p w14:paraId="107C4795" w14:textId="77777777" w:rsidR="002063C4" w:rsidRPr="00BB14D8" w:rsidRDefault="002063C4" w:rsidP="00C6374B">
            <w:pPr>
              <w:spacing w:after="0"/>
              <w:rPr>
                <w:b/>
                <w:lang w:val="en-GB"/>
              </w:rPr>
            </w:pPr>
          </w:p>
        </w:tc>
      </w:tr>
      <w:tr w:rsidR="002063C4" w:rsidRPr="002063C4" w14:paraId="5F05C7A4" w14:textId="77777777" w:rsidTr="00C72232">
        <w:trPr>
          <w:trHeight w:hRule="exact" w:val="264"/>
        </w:trPr>
        <w:tc>
          <w:tcPr>
            <w:tcW w:w="4678" w:type="dxa"/>
            <w:tcBorders>
              <w:top w:val="single" w:sz="4" w:space="0" w:color="000000"/>
              <w:left w:val="single" w:sz="4" w:space="0" w:color="000000"/>
              <w:bottom w:val="single" w:sz="4" w:space="0" w:color="000000"/>
              <w:right w:val="single" w:sz="4" w:space="0" w:color="000000"/>
            </w:tcBorders>
          </w:tcPr>
          <w:p w14:paraId="551FD365" w14:textId="77777777" w:rsidR="002063C4" w:rsidRPr="002063C4" w:rsidRDefault="002063C4" w:rsidP="00C6374B">
            <w:pPr>
              <w:spacing w:after="0"/>
              <w:rPr>
                <w:lang w:val="en-GB"/>
              </w:rPr>
            </w:pPr>
            <w:r w:rsidRPr="002063C4">
              <w:rPr>
                <w:lang w:val="en-GB"/>
              </w:rPr>
              <w:lastRenderedPageBreak/>
              <w:t>Proteinuria</w:t>
            </w:r>
          </w:p>
          <w:p w14:paraId="40FD9D63" w14:textId="77777777" w:rsidR="002063C4" w:rsidRPr="002063C4" w:rsidRDefault="002063C4" w:rsidP="00C6374B">
            <w:pPr>
              <w:spacing w:after="0"/>
              <w:rPr>
                <w:lang w:val="en-GB"/>
              </w:rPr>
            </w:pPr>
          </w:p>
          <w:p w14:paraId="5C8BB4AE" w14:textId="77777777" w:rsidR="002063C4" w:rsidRPr="002063C4" w:rsidRDefault="002063C4" w:rsidP="00C6374B">
            <w:pPr>
              <w:spacing w:after="0"/>
              <w:rPr>
                <w:lang w:val="en-GB"/>
              </w:rPr>
            </w:pPr>
          </w:p>
        </w:tc>
        <w:tc>
          <w:tcPr>
            <w:tcW w:w="1134" w:type="dxa"/>
            <w:tcBorders>
              <w:top w:val="single" w:sz="4" w:space="0" w:color="000000"/>
              <w:left w:val="single" w:sz="4" w:space="0" w:color="000000"/>
              <w:bottom w:val="single" w:sz="4" w:space="0" w:color="000000"/>
              <w:right w:val="single" w:sz="4" w:space="0" w:color="000000"/>
            </w:tcBorders>
          </w:tcPr>
          <w:p w14:paraId="769F6F9E" w14:textId="77777777" w:rsidR="002063C4" w:rsidRPr="002063C4" w:rsidRDefault="002063C4" w:rsidP="00C6374B">
            <w:pPr>
              <w:spacing w:after="0"/>
              <w:rPr>
                <w:lang w:val="en-GB"/>
              </w:rPr>
            </w:pPr>
            <w:r w:rsidRPr="002063C4">
              <w:rPr>
                <w:lang w:val="en-GB"/>
              </w:rPr>
              <w:t>12</w:t>
            </w:r>
          </w:p>
        </w:tc>
        <w:tc>
          <w:tcPr>
            <w:tcW w:w="1134" w:type="dxa"/>
            <w:tcBorders>
              <w:top w:val="single" w:sz="4" w:space="0" w:color="000000"/>
              <w:left w:val="single" w:sz="4" w:space="0" w:color="000000"/>
              <w:bottom w:val="single" w:sz="4" w:space="0" w:color="000000"/>
              <w:right w:val="single" w:sz="4" w:space="0" w:color="000000"/>
            </w:tcBorders>
          </w:tcPr>
          <w:p w14:paraId="5D89FCA1" w14:textId="77777777" w:rsidR="002063C4" w:rsidRPr="002063C4" w:rsidRDefault="002063C4" w:rsidP="00C6374B">
            <w:pPr>
              <w:spacing w:after="0"/>
              <w:rPr>
                <w:lang w:val="en-GB"/>
              </w:rPr>
            </w:pPr>
            <w:r w:rsidRPr="002063C4">
              <w:rPr>
                <w:lang w:val="en-GB"/>
              </w:rPr>
              <w:t>2</w:t>
            </w:r>
          </w:p>
        </w:tc>
        <w:tc>
          <w:tcPr>
            <w:tcW w:w="1276" w:type="dxa"/>
            <w:tcBorders>
              <w:top w:val="single" w:sz="4" w:space="0" w:color="000000"/>
              <w:left w:val="single" w:sz="4" w:space="0" w:color="000000"/>
              <w:bottom w:val="single" w:sz="4" w:space="0" w:color="000000"/>
              <w:right w:val="single" w:sz="4" w:space="0" w:color="000000"/>
            </w:tcBorders>
          </w:tcPr>
          <w:p w14:paraId="11AD8CA0" w14:textId="77777777" w:rsidR="002063C4" w:rsidRPr="002063C4" w:rsidRDefault="002063C4" w:rsidP="00C6374B">
            <w:pPr>
              <w:spacing w:after="0"/>
              <w:rPr>
                <w:lang w:val="en-GB"/>
              </w:rPr>
            </w:pPr>
            <w:r w:rsidRPr="002063C4">
              <w:rPr>
                <w:lang w:val="en-GB"/>
              </w:rPr>
              <w:t>9</w:t>
            </w:r>
          </w:p>
        </w:tc>
        <w:tc>
          <w:tcPr>
            <w:tcW w:w="1134" w:type="dxa"/>
            <w:tcBorders>
              <w:top w:val="single" w:sz="4" w:space="0" w:color="000000"/>
              <w:left w:val="single" w:sz="4" w:space="0" w:color="000000"/>
              <w:bottom w:val="single" w:sz="4" w:space="0" w:color="000000"/>
              <w:right w:val="single" w:sz="4" w:space="0" w:color="auto"/>
            </w:tcBorders>
          </w:tcPr>
          <w:p w14:paraId="49F88B53" w14:textId="77777777" w:rsidR="002063C4" w:rsidRPr="002063C4" w:rsidRDefault="002063C4" w:rsidP="00C6374B">
            <w:pPr>
              <w:spacing w:after="0"/>
              <w:rPr>
                <w:lang w:val="en-GB"/>
              </w:rPr>
            </w:pPr>
            <w:r w:rsidRPr="002063C4">
              <w:rPr>
                <w:lang w:val="en-GB"/>
              </w:rPr>
              <w:t>&lt;1</w:t>
            </w:r>
          </w:p>
        </w:tc>
      </w:tr>
      <w:tr w:rsidR="002063C4" w:rsidRPr="002063C4" w14:paraId="567ED68C" w14:textId="77777777" w:rsidTr="00C72232">
        <w:tblPrEx>
          <w:tblBorders>
            <w:top w:val="none" w:sz="0" w:space="0" w:color="auto"/>
            <w:left w:val="none" w:sz="0" w:space="0" w:color="auto"/>
            <w:right w:val="none" w:sz="0" w:space="0" w:color="auto"/>
            <w:insideH w:val="none" w:sz="0" w:space="0" w:color="auto"/>
            <w:insideV w:val="none" w:sz="0" w:space="0" w:color="auto"/>
          </w:tblBorders>
        </w:tblPrEx>
        <w:trPr>
          <w:trHeight w:hRule="exact" w:val="1941"/>
        </w:trPr>
        <w:tc>
          <w:tcPr>
            <w:tcW w:w="9356" w:type="dxa"/>
            <w:gridSpan w:val="5"/>
            <w:tcBorders>
              <w:top w:val="single" w:sz="4" w:space="0" w:color="000000"/>
              <w:left w:val="single" w:sz="4" w:space="0" w:color="000000"/>
              <w:bottom w:val="single" w:sz="4" w:space="0" w:color="auto"/>
              <w:right w:val="single" w:sz="4" w:space="0" w:color="auto"/>
            </w:tcBorders>
          </w:tcPr>
          <w:p w14:paraId="7BC8CC45" w14:textId="72FFAB13" w:rsidR="002063C4" w:rsidRPr="002063C4" w:rsidRDefault="002063C4" w:rsidP="00C6374B">
            <w:pPr>
              <w:spacing w:after="0"/>
              <w:contextualSpacing/>
              <w:rPr>
                <w:sz w:val="20"/>
                <w:szCs w:val="20"/>
                <w:lang w:val="en-GB"/>
              </w:rPr>
            </w:pPr>
            <w:r w:rsidRPr="002063C4">
              <w:rPr>
                <w:sz w:val="20"/>
                <w:szCs w:val="20"/>
                <w:vertAlign w:val="superscript"/>
                <w:lang w:val="en-GB"/>
              </w:rPr>
              <w:t>1</w:t>
            </w:r>
            <w:r w:rsidRPr="002063C4">
              <w:rPr>
                <w:sz w:val="20"/>
                <w:szCs w:val="20"/>
                <w:lang w:val="en-GB"/>
              </w:rPr>
              <w:t xml:space="preserve"> One subject randomi</w:t>
            </w:r>
            <w:r w:rsidR="00260B8C">
              <w:rPr>
                <w:sz w:val="20"/>
                <w:szCs w:val="20"/>
                <w:lang w:val="en-GB"/>
              </w:rPr>
              <w:t>s</w:t>
            </w:r>
            <w:r w:rsidRPr="002063C4">
              <w:rPr>
                <w:sz w:val="20"/>
                <w:szCs w:val="20"/>
                <w:lang w:val="en-GB"/>
              </w:rPr>
              <w:t>ed to everolimus received cabozantinib.</w:t>
            </w:r>
          </w:p>
          <w:p w14:paraId="61517045" w14:textId="77777777" w:rsidR="002063C4" w:rsidRPr="002063C4" w:rsidRDefault="002063C4" w:rsidP="00C6374B">
            <w:pPr>
              <w:spacing w:after="0"/>
              <w:contextualSpacing/>
              <w:rPr>
                <w:sz w:val="20"/>
                <w:szCs w:val="20"/>
                <w:lang w:val="en-GB"/>
              </w:rPr>
            </w:pPr>
            <w:r w:rsidRPr="002063C4">
              <w:rPr>
                <w:sz w:val="20"/>
                <w:szCs w:val="20"/>
                <w:vertAlign w:val="superscript"/>
                <w:lang w:val="en-GB"/>
              </w:rPr>
              <w:t>2</w:t>
            </w:r>
            <w:r w:rsidRPr="002063C4">
              <w:rPr>
                <w:sz w:val="20"/>
                <w:szCs w:val="20"/>
                <w:lang w:val="en-GB"/>
              </w:rPr>
              <w:t xml:space="preserve"> National Cancer Institute Common Terminology Criteria for Adverse Events Version 4.0</w:t>
            </w:r>
          </w:p>
          <w:p w14:paraId="0C4CF4FD" w14:textId="77777777" w:rsidR="002063C4" w:rsidRPr="002063C4" w:rsidRDefault="002063C4" w:rsidP="00C6374B">
            <w:pPr>
              <w:spacing w:after="0"/>
              <w:contextualSpacing/>
              <w:rPr>
                <w:sz w:val="20"/>
                <w:szCs w:val="20"/>
                <w:lang w:val="en-GB"/>
              </w:rPr>
            </w:pPr>
            <w:r w:rsidRPr="002063C4">
              <w:rPr>
                <w:sz w:val="20"/>
                <w:szCs w:val="20"/>
                <w:vertAlign w:val="superscript"/>
                <w:lang w:val="en-GB"/>
              </w:rPr>
              <w:t>3</w:t>
            </w:r>
            <w:r w:rsidRPr="002063C4">
              <w:rPr>
                <w:sz w:val="20"/>
                <w:szCs w:val="20"/>
                <w:lang w:val="en-GB"/>
              </w:rPr>
              <w:t xml:space="preserve"> Includes PT terms abdominal pain, abdominal pain upper, and abdominal pain lower</w:t>
            </w:r>
          </w:p>
          <w:p w14:paraId="7F5F534A" w14:textId="77777777" w:rsidR="002063C4" w:rsidRPr="002063C4" w:rsidRDefault="002063C4" w:rsidP="00C6374B">
            <w:pPr>
              <w:spacing w:after="0"/>
              <w:contextualSpacing/>
              <w:rPr>
                <w:sz w:val="20"/>
                <w:szCs w:val="20"/>
                <w:lang w:val="en-GB"/>
              </w:rPr>
            </w:pPr>
            <w:r w:rsidRPr="002063C4">
              <w:rPr>
                <w:sz w:val="20"/>
                <w:szCs w:val="20"/>
                <w:vertAlign w:val="superscript"/>
                <w:lang w:val="en-GB"/>
              </w:rPr>
              <w:t>4</w:t>
            </w:r>
            <w:r w:rsidRPr="002063C4">
              <w:rPr>
                <w:sz w:val="20"/>
                <w:szCs w:val="20"/>
                <w:lang w:val="en-GB"/>
              </w:rPr>
              <w:t xml:space="preserve"> Includes PT terms rash, rash erythematous, rash follicular, rash macular, rash papular, rash pustular, rash vesicular, genital rash, intermittent leg rash, rash on scrotum and penis, rash maculo-papular, rash pruritic, contact dermatitis, dermatitis acneiform</w:t>
            </w:r>
          </w:p>
          <w:p w14:paraId="070B45BB" w14:textId="77777777" w:rsidR="002063C4" w:rsidRPr="002063C4" w:rsidRDefault="002063C4" w:rsidP="00C6374B">
            <w:pPr>
              <w:spacing w:after="0"/>
              <w:contextualSpacing/>
              <w:rPr>
                <w:sz w:val="20"/>
                <w:szCs w:val="20"/>
                <w:lang w:val="en-GB"/>
              </w:rPr>
            </w:pPr>
            <w:r w:rsidRPr="002063C4">
              <w:rPr>
                <w:sz w:val="20"/>
                <w:szCs w:val="20"/>
                <w:vertAlign w:val="superscript"/>
                <w:lang w:val="en-GB"/>
              </w:rPr>
              <w:t>5</w:t>
            </w:r>
            <w:r w:rsidRPr="002063C4">
              <w:rPr>
                <w:sz w:val="20"/>
                <w:szCs w:val="20"/>
                <w:lang w:val="en-GB"/>
              </w:rPr>
              <w:t xml:space="preserve"> Includes PT terms hypertension, blood pressure increased, hypertensive crisis, blood pressure </w:t>
            </w:r>
          </w:p>
        </w:tc>
      </w:tr>
    </w:tbl>
    <w:p w14:paraId="5AF99ADD" w14:textId="77777777" w:rsidR="002063C4" w:rsidRPr="002063C4" w:rsidRDefault="002063C4" w:rsidP="002063C4">
      <w:pPr>
        <w:contextualSpacing/>
        <w:rPr>
          <w:lang w:val="en-GB"/>
        </w:rPr>
      </w:pPr>
    </w:p>
    <w:p w14:paraId="34B7009B" w14:textId="77777777" w:rsidR="002063C4" w:rsidRPr="002063C4" w:rsidRDefault="002063C4" w:rsidP="00BB14D8">
      <w:pPr>
        <w:pStyle w:val="Heading3"/>
        <w:ind w:left="0"/>
        <w:rPr>
          <w:lang w:val="en-GB"/>
        </w:rPr>
      </w:pPr>
      <w:r w:rsidRPr="002063C4">
        <w:rPr>
          <w:lang w:val="en-GB"/>
        </w:rPr>
        <w:t xml:space="preserve">Description of selected adverse reactions </w:t>
      </w:r>
    </w:p>
    <w:p w14:paraId="6B9EF87F" w14:textId="77777777" w:rsidR="002063C4" w:rsidRPr="002063C4" w:rsidRDefault="002063C4" w:rsidP="002063C4">
      <w:pPr>
        <w:rPr>
          <w:lang w:val="en-GB"/>
        </w:rPr>
      </w:pPr>
      <w:r w:rsidRPr="002063C4">
        <w:rPr>
          <w:lang w:val="en-GB"/>
        </w:rPr>
        <w:t xml:space="preserve">Data for the following reactions are based on patients who received CABOMETYX 60 mg once daily in the pivotal RCC study (see </w:t>
      </w:r>
      <w:r w:rsidR="00C6374B">
        <w:rPr>
          <w:lang w:val="en-GB"/>
        </w:rPr>
        <w:t xml:space="preserve">Section 5.1 PHARMACODYNAMIC PROPERTIES – </w:t>
      </w:r>
      <w:r w:rsidRPr="002063C4">
        <w:rPr>
          <w:lang w:val="en-GB"/>
        </w:rPr>
        <w:t xml:space="preserve">CLINICAL TRIALS).  </w:t>
      </w:r>
    </w:p>
    <w:p w14:paraId="4CB01733" w14:textId="5552D9E8" w:rsidR="002063C4" w:rsidRPr="002063C4" w:rsidRDefault="002063C4" w:rsidP="00BB14D8">
      <w:pPr>
        <w:spacing w:after="0"/>
        <w:rPr>
          <w:i/>
          <w:lang w:val="en-GB"/>
        </w:rPr>
      </w:pPr>
      <w:r w:rsidRPr="002063C4">
        <w:rPr>
          <w:i/>
          <w:lang w:val="en-GB"/>
        </w:rPr>
        <w:t xml:space="preserve">Gastrointestinal (GI) perforation </w:t>
      </w:r>
    </w:p>
    <w:p w14:paraId="1A76CB22" w14:textId="77777777" w:rsidR="002063C4" w:rsidRPr="002063C4" w:rsidRDefault="002063C4" w:rsidP="002063C4">
      <w:pPr>
        <w:rPr>
          <w:lang w:val="en-GB"/>
        </w:rPr>
      </w:pPr>
      <w:r w:rsidRPr="002063C4">
        <w:rPr>
          <w:lang w:val="en-GB"/>
        </w:rPr>
        <w:t xml:space="preserve">GI perforations were reported in 0.9% of cabozantinib-treated RCC patients (3/331). Events were Grade 2 or 3. Median time to onset was 10.0 weeks. Fatal perforations have occurred in the cabozantinib clinical program. </w:t>
      </w:r>
    </w:p>
    <w:p w14:paraId="5A5B9564" w14:textId="667E8999" w:rsidR="002063C4" w:rsidRPr="002063C4" w:rsidRDefault="002063C4" w:rsidP="00BB14D8">
      <w:pPr>
        <w:spacing w:after="0"/>
        <w:rPr>
          <w:i/>
          <w:lang w:val="en-GB"/>
        </w:rPr>
      </w:pPr>
      <w:r w:rsidRPr="002063C4">
        <w:rPr>
          <w:i/>
          <w:lang w:val="en-GB"/>
        </w:rPr>
        <w:t xml:space="preserve">Fistulas </w:t>
      </w:r>
    </w:p>
    <w:p w14:paraId="067F0675" w14:textId="77777777" w:rsidR="002063C4" w:rsidRPr="002063C4" w:rsidRDefault="002063C4" w:rsidP="002063C4">
      <w:pPr>
        <w:rPr>
          <w:lang w:val="en-GB"/>
        </w:rPr>
      </w:pPr>
      <w:r w:rsidRPr="002063C4">
        <w:rPr>
          <w:lang w:val="en-GB"/>
        </w:rPr>
        <w:t xml:space="preserve">Fistulas were reported in 1.2% (4/331) of cabozantinib-treated patients, and included anal fistulas in 0.6% (2/331) cabozantinib-treated patients. One event was Grade 3; the remainder was Grade 2. Median time to onset was 30.3 weeks. </w:t>
      </w:r>
    </w:p>
    <w:p w14:paraId="522763E9" w14:textId="1F719723" w:rsidR="002063C4" w:rsidRPr="002063C4" w:rsidRDefault="002063C4" w:rsidP="00BB14D8">
      <w:pPr>
        <w:spacing w:after="0"/>
        <w:rPr>
          <w:i/>
          <w:lang w:val="en-GB"/>
        </w:rPr>
      </w:pPr>
      <w:r w:rsidRPr="002063C4">
        <w:rPr>
          <w:i/>
          <w:lang w:val="en-GB"/>
        </w:rPr>
        <w:t xml:space="preserve">Haemorrhage </w:t>
      </w:r>
    </w:p>
    <w:p w14:paraId="4C30BE55" w14:textId="77777777" w:rsidR="002063C4" w:rsidRPr="002063C4" w:rsidRDefault="002063C4" w:rsidP="002063C4">
      <w:pPr>
        <w:rPr>
          <w:lang w:val="en-GB"/>
        </w:rPr>
      </w:pPr>
      <w:r w:rsidRPr="002063C4">
        <w:rPr>
          <w:lang w:val="en-GB"/>
        </w:rPr>
        <w:t xml:space="preserve">The incidence of severe haemorrhagic events (Grade ≥ 3) was 2.1% in cabozantinib-treated RCC patients (7/331). Median time to onset was 20.9 weeks. Fatal haemorrhages have occurred in the cabozantinib clinical program.  </w:t>
      </w:r>
    </w:p>
    <w:p w14:paraId="050290CF" w14:textId="63BFEA69" w:rsidR="002063C4" w:rsidRPr="002063C4" w:rsidRDefault="002063C4" w:rsidP="00BB14D8">
      <w:pPr>
        <w:spacing w:after="0"/>
        <w:rPr>
          <w:i/>
          <w:lang w:val="en-GB"/>
        </w:rPr>
      </w:pPr>
      <w:r w:rsidRPr="002063C4">
        <w:rPr>
          <w:i/>
          <w:lang w:val="en-GB"/>
        </w:rPr>
        <w:t xml:space="preserve">Reversible Posterior Leukoencephalopathy Syndrome (RPLS) </w:t>
      </w:r>
    </w:p>
    <w:p w14:paraId="4E7A0514" w14:textId="77777777" w:rsidR="002063C4" w:rsidRPr="002063C4" w:rsidRDefault="002063C4" w:rsidP="002063C4">
      <w:pPr>
        <w:rPr>
          <w:lang w:val="en-GB"/>
        </w:rPr>
      </w:pPr>
      <w:r w:rsidRPr="002063C4">
        <w:rPr>
          <w:lang w:val="en-GB"/>
        </w:rPr>
        <w:t>No case of RPLS was reported in this study, but RPLS has been reported in other clinical studies.</w:t>
      </w:r>
    </w:p>
    <w:p w14:paraId="3A21ACBA" w14:textId="77777777" w:rsidR="001A3992" w:rsidRDefault="001A3992" w:rsidP="001A3992">
      <w:pPr>
        <w:pStyle w:val="Heading2"/>
        <w:keepNext/>
        <w:keepLines/>
        <w:spacing w:before="0" w:after="120"/>
        <w:rPr>
          <w:rFonts w:cs="Times New Roman"/>
        </w:rPr>
      </w:pPr>
      <w:r w:rsidRPr="00600F91">
        <w:rPr>
          <w:rFonts w:cs="Times New Roman"/>
        </w:rPr>
        <w:t>Overdose</w:t>
      </w:r>
    </w:p>
    <w:p w14:paraId="38EC3AF4" w14:textId="77777777" w:rsidR="002063C4" w:rsidRDefault="002063C4" w:rsidP="002063C4">
      <w:pPr>
        <w:rPr>
          <w:lang w:val="en-GB"/>
        </w:rPr>
      </w:pPr>
      <w:r w:rsidRPr="002063C4">
        <w:rPr>
          <w:lang w:val="en-GB"/>
        </w:rPr>
        <w:t>For information on the management of overdose, contact the Poisons Information Centre on 13 11 26 (Australia).</w:t>
      </w:r>
    </w:p>
    <w:p w14:paraId="599E853F" w14:textId="77777777" w:rsidR="002063C4" w:rsidRPr="002063C4" w:rsidRDefault="002063C4" w:rsidP="002063C4">
      <w:pPr>
        <w:rPr>
          <w:lang w:val="en-GB"/>
        </w:rPr>
      </w:pPr>
      <w:r w:rsidRPr="002063C4">
        <w:rPr>
          <w:lang w:val="en-GB"/>
        </w:rPr>
        <w:t xml:space="preserve">There is no specific treatment for cabozantinib overdose and possible symptoms of overdose have not been established. </w:t>
      </w:r>
    </w:p>
    <w:p w14:paraId="316A9D3A" w14:textId="77777777" w:rsidR="002063C4" w:rsidRPr="002063C4" w:rsidRDefault="002063C4" w:rsidP="002063C4">
      <w:pPr>
        <w:rPr>
          <w:lang w:val="en-GB"/>
        </w:rPr>
      </w:pPr>
      <w:r w:rsidRPr="002063C4">
        <w:rPr>
          <w:lang w:val="en-GB"/>
        </w:rPr>
        <w:t xml:space="preserve"> In the event of suspected overdose, cabozantinib should be withheld and supportive care instituted. Metabolic clinical laboratory parameters should be monitored at least weekly or as </w:t>
      </w:r>
      <w:r w:rsidRPr="002063C4">
        <w:rPr>
          <w:lang w:val="en-GB"/>
        </w:rPr>
        <w:lastRenderedPageBreak/>
        <w:t>deemed clinically appropriate to assess any possible changing trends. Adverse reactions associated with overdose are to be treated symptomatically.</w:t>
      </w:r>
    </w:p>
    <w:p w14:paraId="46C769BA" w14:textId="77777777" w:rsidR="001A3992" w:rsidRPr="00600F91" w:rsidRDefault="001A3992" w:rsidP="001A3992">
      <w:pPr>
        <w:pStyle w:val="Heading1"/>
        <w:spacing w:before="0" w:after="120"/>
        <w:rPr>
          <w:rFonts w:ascii="Times New Roman" w:hAnsi="Times New Roman" w:cs="Times New Roman"/>
          <w:lang w:val="en-US"/>
        </w:rPr>
      </w:pPr>
      <w:r w:rsidRPr="00600F91">
        <w:rPr>
          <w:rFonts w:ascii="Times New Roman" w:hAnsi="Times New Roman" w:cs="Times New Roman"/>
          <w:lang w:val="en-US"/>
        </w:rPr>
        <w:t>Pharmacological properties</w:t>
      </w:r>
    </w:p>
    <w:p w14:paraId="6B2FDA49" w14:textId="77777777" w:rsidR="001A3992" w:rsidRDefault="001A3992" w:rsidP="001A3992">
      <w:pPr>
        <w:pStyle w:val="Heading2"/>
        <w:spacing w:before="0" w:after="120"/>
        <w:rPr>
          <w:rFonts w:cs="Times New Roman"/>
          <w:lang w:val="en-US"/>
        </w:rPr>
      </w:pPr>
      <w:r w:rsidRPr="00600F91">
        <w:rPr>
          <w:rFonts w:cs="Times New Roman"/>
          <w:lang w:val="en-US"/>
        </w:rPr>
        <w:t xml:space="preserve">Pharmacodynamic properties </w:t>
      </w:r>
    </w:p>
    <w:p w14:paraId="25D61AEE" w14:textId="77777777" w:rsidR="00E03C13" w:rsidRPr="00E03C13" w:rsidRDefault="00E03C13" w:rsidP="00E03C13">
      <w:pPr>
        <w:rPr>
          <w:lang w:val="en-US"/>
        </w:rPr>
      </w:pPr>
      <w:r w:rsidRPr="00E03C13">
        <w:rPr>
          <w:lang w:val="en-GB"/>
        </w:rPr>
        <w:t xml:space="preserve">Pharmacotherapeutic group: antineoplastic agent, protein kinase inhibitor. </w:t>
      </w:r>
    </w:p>
    <w:p w14:paraId="21D3F268" w14:textId="77777777" w:rsidR="001A3992" w:rsidRDefault="001A3992" w:rsidP="004E7FD9">
      <w:pPr>
        <w:pStyle w:val="Heading3"/>
        <w:spacing w:before="0" w:after="120"/>
        <w:ind w:left="0"/>
        <w:rPr>
          <w:rFonts w:cs="Times New Roman"/>
        </w:rPr>
      </w:pPr>
      <w:r w:rsidRPr="00600F91">
        <w:rPr>
          <w:rFonts w:cs="Times New Roman"/>
        </w:rPr>
        <w:t>Mechanism of action</w:t>
      </w:r>
    </w:p>
    <w:p w14:paraId="5B07405E" w14:textId="77777777" w:rsidR="00E03C13" w:rsidRPr="00E03C13" w:rsidRDefault="00E03C13" w:rsidP="00E03C13">
      <w:pPr>
        <w:rPr>
          <w:lang w:val="en-GB"/>
        </w:rPr>
      </w:pPr>
      <w:r w:rsidRPr="00E03C13">
        <w:rPr>
          <w:lang w:val="en-GB"/>
        </w:rPr>
        <w:t>Cabozantinib is a small molecule that inhibits multiple receptor tyrosine kinases (RTKs) implicated in tumour growth and angiogenesis, pathologic bone remodelling, drug resistance, and metastatic progression of cancer. Cabozantinib was evaluated for its inhibitory activity against a variety of kinases and was identified as an inhibitor of MET (hepatocyte growth factor receptor protein) and VEGF (vascular endothelial growth factor) receptors. In addition, cabozantinib inhibits other tyrosine kinases including the GAS6 receptor (AXL), RET, ROS1, TYRO3, MER, the stem cell factor receptor (KIT), TRKB, Fms-like tyrosine kinase-3 (FLT3), and TIE-2.</w:t>
      </w:r>
    </w:p>
    <w:p w14:paraId="403D4604" w14:textId="77777777" w:rsidR="00E03C13" w:rsidRPr="00E03C13" w:rsidRDefault="00E03C13" w:rsidP="00E03C13">
      <w:pPr>
        <w:rPr>
          <w:u w:val="single"/>
          <w:lang w:val="en-GB"/>
        </w:rPr>
      </w:pPr>
      <w:r w:rsidRPr="00E03C13">
        <w:rPr>
          <w:u w:val="single"/>
          <w:lang w:val="en-GB"/>
        </w:rPr>
        <w:t>Pharmacodynamic effects</w:t>
      </w:r>
    </w:p>
    <w:p w14:paraId="09B3E890" w14:textId="77777777" w:rsidR="00E03C13" w:rsidRPr="00E03C13" w:rsidRDefault="00E03C13" w:rsidP="00E03C13">
      <w:pPr>
        <w:rPr>
          <w:lang w:val="en-GB"/>
        </w:rPr>
      </w:pPr>
      <w:r w:rsidRPr="00E03C13">
        <w:rPr>
          <w:lang w:val="en-GB"/>
        </w:rPr>
        <w:t>Cabozantinib exhibited dose-related tumour growth inhibition, tumour regression, and/or inhibited metastasis in a broad range of preclinical tumour models.</w:t>
      </w:r>
    </w:p>
    <w:p w14:paraId="55ED9F5F" w14:textId="77777777" w:rsidR="00E03C13" w:rsidRPr="00E03C13" w:rsidRDefault="00E03C13" w:rsidP="00E03C13">
      <w:pPr>
        <w:rPr>
          <w:u w:val="single"/>
          <w:lang w:val="en-GB"/>
        </w:rPr>
      </w:pPr>
      <w:r w:rsidRPr="00E03C13">
        <w:rPr>
          <w:u w:val="single"/>
          <w:lang w:val="en-GB"/>
        </w:rPr>
        <w:t xml:space="preserve">Cardiac electrophysiology </w:t>
      </w:r>
    </w:p>
    <w:p w14:paraId="1807EF28" w14:textId="77777777" w:rsidR="00E03C13" w:rsidRPr="00E03C13" w:rsidRDefault="00E03C13" w:rsidP="00E03C13">
      <w:pPr>
        <w:rPr>
          <w:lang w:val="en-GB"/>
        </w:rPr>
      </w:pPr>
      <w:r w:rsidRPr="00E03C13">
        <w:rPr>
          <w:lang w:val="en-GB"/>
        </w:rPr>
        <w:t>An increase from baseline in corrected QT interval by Fridericia (QTcF) of 10 – 15 ms on Day 29 (but not on Day 1) following initiation of cabozantinib treatment (at a dose of 140 mg once daily) was observed in a controlled clinical study in medullary thyroid cancer patients. This effect was not associated with a change in cardiac wave form morphology or new rhythms. No cabozantinib-treated subjects in this study had a confirmed QTcF &gt;500 ms, nor did any cabozantinib-treated subjects in the RCC study (at a dose of 60 mg).</w:t>
      </w:r>
    </w:p>
    <w:p w14:paraId="036E9DBD" w14:textId="77777777" w:rsidR="001A3992" w:rsidRDefault="001A3992" w:rsidP="004E7FD9">
      <w:pPr>
        <w:pStyle w:val="Heading3"/>
        <w:spacing w:before="0" w:after="120"/>
        <w:ind w:left="0"/>
        <w:rPr>
          <w:rFonts w:cs="Times New Roman"/>
          <w:lang w:val="en-US"/>
        </w:rPr>
      </w:pPr>
      <w:r w:rsidRPr="00600F91">
        <w:rPr>
          <w:rFonts w:cs="Times New Roman"/>
        </w:rPr>
        <w:t>Clinical</w:t>
      </w:r>
      <w:r w:rsidRPr="00600F91">
        <w:rPr>
          <w:rFonts w:cs="Times New Roman"/>
          <w:lang w:val="en-US"/>
        </w:rPr>
        <w:t xml:space="preserve"> trials</w:t>
      </w:r>
    </w:p>
    <w:p w14:paraId="45A604B9" w14:textId="77777777" w:rsidR="00A122D1" w:rsidRPr="00A122D1" w:rsidRDefault="00A122D1" w:rsidP="00A122D1">
      <w:pPr>
        <w:rPr>
          <w:b/>
          <w:lang w:val="en-GB"/>
        </w:rPr>
      </w:pPr>
      <w:r w:rsidRPr="00A122D1">
        <w:rPr>
          <w:b/>
          <w:lang w:val="en-GB"/>
        </w:rPr>
        <w:t>Renal Cell Carcinoma</w:t>
      </w:r>
    </w:p>
    <w:p w14:paraId="0D0FF55E" w14:textId="12DFB4A4" w:rsidR="00A122D1" w:rsidRPr="00A122D1" w:rsidRDefault="00A122D1" w:rsidP="00A122D1">
      <w:pPr>
        <w:rPr>
          <w:lang w:val="en-GB"/>
        </w:rPr>
      </w:pPr>
      <w:r w:rsidRPr="00A122D1">
        <w:rPr>
          <w:lang w:val="en-GB"/>
        </w:rPr>
        <w:t>The safety and efficacy of CABOMETYX were evaluated in a randomi</w:t>
      </w:r>
      <w:r w:rsidR="00260B8C">
        <w:rPr>
          <w:lang w:val="en-GB"/>
        </w:rPr>
        <w:t>s</w:t>
      </w:r>
      <w:r w:rsidRPr="00A122D1">
        <w:rPr>
          <w:lang w:val="en-GB"/>
        </w:rPr>
        <w:t>ed, open-label, multicentre Phase 3 study. Patients (N=658) with advanced RCC with a clear cell component who had previously received at least 1 prior VEGF receptor tyrosine kinase inhibitor (VEGFR TKI) were randomi</w:t>
      </w:r>
      <w:r w:rsidR="00260B8C">
        <w:rPr>
          <w:lang w:val="en-GB"/>
        </w:rPr>
        <w:t>s</w:t>
      </w:r>
      <w:r w:rsidRPr="00A122D1">
        <w:rPr>
          <w:lang w:val="en-GB"/>
        </w:rPr>
        <w:t>ed (1:1) to receive CABOMETYX (N=330) or everolimus (N=328). Patients could have received other prior therapies, including cytokines, and antibodies targeting VEGF, the programmed death 1 (PD-1) receptor, or its ligands. Patients with treated brain metastases were allowed. Progression-free survival (PFS) was assessed by a blinded independent radiology review committee, and the primary analysis was conducted among the first 375 subjects randomi</w:t>
      </w:r>
      <w:r w:rsidR="00260B8C">
        <w:rPr>
          <w:lang w:val="en-GB"/>
        </w:rPr>
        <w:t>s</w:t>
      </w:r>
      <w:r w:rsidRPr="00A122D1">
        <w:rPr>
          <w:lang w:val="en-GB"/>
        </w:rPr>
        <w:t xml:space="preserve">ed. Secondary efficacy endpoints were objective response rate (ORR) and overall survival (OS). Tumour assessments were conducted every 8 weeks for the first 12 months, then every 12 weeks thereafter. </w:t>
      </w:r>
    </w:p>
    <w:p w14:paraId="3844C78E" w14:textId="77777777" w:rsidR="00A122D1" w:rsidRPr="00A122D1" w:rsidRDefault="00A122D1" w:rsidP="00A122D1">
      <w:pPr>
        <w:rPr>
          <w:lang w:val="en-GB"/>
        </w:rPr>
      </w:pPr>
      <w:r w:rsidRPr="00A122D1">
        <w:rPr>
          <w:lang w:val="en-GB"/>
        </w:rPr>
        <w:lastRenderedPageBreak/>
        <w:t xml:space="preserve">The baseline demographic and disease characteristics were similar between the CABOMETYX and everolimus arms. The majority of the patients were male (75%), with a median age of 62 years. Seventy-one percent (71%) received only one prior VEGFR TKI; 41% of patients received sunitinib as their only prior VEGFR TKI. According to the Memorial Sloan Kettering Cancer Centre criteria for prognostic risk category, 46% were favourable (0 risk factors), 42% were intermediate (1 risk factor), and 13% were poor (2 or 3 risk factors). Fifty-four percent (54%) of patients had 3 or more organs with metastatic disease, including lung (63%), lymph nodes (62%), liver (29%), and bone (22%). The median duration of treatment was 7.6 months (range 0.3 – 20.5) for patients receiving CABOMETYX and 4.4 months (range 0.21 – 18.9) for patients receiving everolimus. </w:t>
      </w:r>
    </w:p>
    <w:p w14:paraId="41A85319" w14:textId="2E82FAB9" w:rsidR="00A122D1" w:rsidRPr="00A122D1" w:rsidRDefault="00A122D1" w:rsidP="00A122D1">
      <w:pPr>
        <w:rPr>
          <w:lang w:val="en-GB"/>
        </w:rPr>
      </w:pPr>
      <w:r w:rsidRPr="00A122D1">
        <w:rPr>
          <w:lang w:val="en-GB"/>
        </w:rPr>
        <w:t xml:space="preserve">A statistically significant improvement in PFS was demonstrated for CABOMETYX compared to everolimus </w:t>
      </w:r>
      <w:r w:rsidRPr="00810649">
        <w:rPr>
          <w:lang w:val="en-GB"/>
        </w:rPr>
        <w:t>(</w:t>
      </w:r>
      <w:r w:rsidR="00810649" w:rsidRPr="00810649">
        <w:rPr>
          <w:lang w:val="en-GB"/>
        </w:rPr>
        <w:fldChar w:fldCharType="begin"/>
      </w:r>
      <w:r w:rsidR="00810649" w:rsidRPr="00810649">
        <w:rPr>
          <w:lang w:val="en-GB"/>
        </w:rPr>
        <w:instrText xml:space="preserve"> REF _Ref504474666 \h  \* MERGEFORMAT </w:instrText>
      </w:r>
      <w:r w:rsidR="00810649" w:rsidRPr="00810649">
        <w:rPr>
          <w:lang w:val="en-GB"/>
        </w:rPr>
      </w:r>
      <w:r w:rsidR="00810649" w:rsidRPr="00810649">
        <w:rPr>
          <w:lang w:val="en-GB"/>
        </w:rPr>
        <w:fldChar w:fldCharType="separate"/>
      </w:r>
      <w:r w:rsidR="00274F80" w:rsidRPr="00274F80">
        <w:rPr>
          <w:bCs/>
          <w:lang w:val="en-GB"/>
        </w:rPr>
        <w:t xml:space="preserve">Figure </w:t>
      </w:r>
      <w:r w:rsidR="00274F80" w:rsidRPr="00274F80">
        <w:rPr>
          <w:bCs/>
          <w:noProof/>
          <w:lang w:val="en-GB"/>
        </w:rPr>
        <w:t>1</w:t>
      </w:r>
      <w:r w:rsidR="00810649" w:rsidRPr="00810649">
        <w:rPr>
          <w:lang w:val="en-GB"/>
        </w:rPr>
        <w:fldChar w:fldCharType="end"/>
      </w:r>
      <w:r w:rsidR="00810649">
        <w:rPr>
          <w:lang w:val="en-GB"/>
        </w:rPr>
        <w:t xml:space="preserve"> </w:t>
      </w:r>
      <w:r w:rsidRPr="00A122D1">
        <w:rPr>
          <w:lang w:val="en-GB"/>
        </w:rPr>
        <w:t xml:space="preserve">and </w:t>
      </w:r>
      <w:r w:rsidRPr="00A122D1">
        <w:rPr>
          <w:lang w:val="en-GB"/>
        </w:rPr>
        <w:fldChar w:fldCharType="begin"/>
      </w:r>
      <w:r w:rsidRPr="00A122D1">
        <w:rPr>
          <w:lang w:val="en-GB"/>
        </w:rPr>
        <w:instrText xml:space="preserve"> REF _Ref467258227 \h  \* MERGEFORMAT </w:instrText>
      </w:r>
      <w:r w:rsidRPr="00A122D1">
        <w:rPr>
          <w:lang w:val="en-GB"/>
        </w:rPr>
      </w:r>
      <w:r w:rsidRPr="00A122D1">
        <w:rPr>
          <w:lang w:val="en-GB"/>
        </w:rPr>
        <w:fldChar w:fldCharType="separate"/>
      </w:r>
      <w:r w:rsidR="00274F80" w:rsidRPr="00274F80">
        <w:rPr>
          <w:lang w:val="en-GB"/>
        </w:rPr>
        <w:t>Table 4</w:t>
      </w:r>
      <w:r w:rsidRPr="00A122D1">
        <w:rPr>
          <w:lang w:val="en-US"/>
        </w:rPr>
        <w:fldChar w:fldCharType="end"/>
      </w:r>
      <w:r w:rsidRPr="00A122D1">
        <w:rPr>
          <w:lang w:val="en-GB"/>
        </w:rPr>
        <w:t>). A planned interim analysis of OS was conducted at the time of the PFS analysis and did not reach the interim boundary for statistical significance (HR=0.68 [0.51, 0.90], p=0.006). In a subsequent unplanned interim analysis of OS, a statistically significant improvement was demonstrated for patients randomi</w:t>
      </w:r>
      <w:r w:rsidR="00260B8C">
        <w:rPr>
          <w:lang w:val="en-GB"/>
        </w:rPr>
        <w:t>s</w:t>
      </w:r>
      <w:r w:rsidRPr="00A122D1">
        <w:rPr>
          <w:lang w:val="en-GB"/>
        </w:rPr>
        <w:t xml:space="preserve">ed to CABOMETYX as compared with everolimus (median of 21.4 months vs. 16.5 months; HR=0.66 [0.53, 0.83], p=0.0003; </w:t>
      </w:r>
      <w:r w:rsidR="00810649" w:rsidRPr="00150CC4">
        <w:rPr>
          <w:lang w:val="en-GB"/>
        </w:rPr>
        <w:fldChar w:fldCharType="begin"/>
      </w:r>
      <w:r w:rsidR="00810649" w:rsidRPr="00150CC4">
        <w:rPr>
          <w:lang w:val="en-GB"/>
        </w:rPr>
        <w:instrText xml:space="preserve"> REF _Ref504474826 \h  \* MERGEFORMAT </w:instrText>
      </w:r>
      <w:r w:rsidR="00810649" w:rsidRPr="00150CC4">
        <w:rPr>
          <w:lang w:val="en-GB"/>
        </w:rPr>
      </w:r>
      <w:r w:rsidR="00810649" w:rsidRPr="00150CC4">
        <w:rPr>
          <w:lang w:val="en-GB"/>
        </w:rPr>
        <w:fldChar w:fldCharType="separate"/>
      </w:r>
      <w:r w:rsidR="00274F80" w:rsidRPr="00274F80">
        <w:rPr>
          <w:bCs/>
          <w:lang w:val="en-GB"/>
        </w:rPr>
        <w:t>Figure 2</w:t>
      </w:r>
      <w:r w:rsidR="00810649" w:rsidRPr="00150CC4">
        <w:rPr>
          <w:lang w:val="en-GB"/>
        </w:rPr>
        <w:fldChar w:fldCharType="end"/>
      </w:r>
      <w:r w:rsidR="00810649">
        <w:rPr>
          <w:lang w:val="en-GB"/>
        </w:rPr>
        <w:t xml:space="preserve"> </w:t>
      </w:r>
      <w:r w:rsidRPr="00CD1DA3">
        <w:rPr>
          <w:lang w:val="en-GB"/>
        </w:rPr>
        <w:t>and</w:t>
      </w:r>
      <w:r w:rsidR="00CD1DA3" w:rsidRPr="00CD1DA3">
        <w:rPr>
          <w:lang w:val="en-GB"/>
        </w:rPr>
        <w:t xml:space="preserve"> </w:t>
      </w:r>
      <w:r w:rsidR="00CD1DA3" w:rsidRPr="00CD1DA3">
        <w:rPr>
          <w:lang w:val="en-GB"/>
        </w:rPr>
        <w:fldChar w:fldCharType="begin"/>
      </w:r>
      <w:r w:rsidR="00CD1DA3" w:rsidRPr="00CD1DA3">
        <w:rPr>
          <w:lang w:val="en-GB"/>
        </w:rPr>
        <w:instrText xml:space="preserve"> REF _Ref504472452 \h  \* MERGEFORMAT </w:instrText>
      </w:r>
      <w:r w:rsidR="00CD1DA3" w:rsidRPr="00CD1DA3">
        <w:rPr>
          <w:lang w:val="en-GB"/>
        </w:rPr>
      </w:r>
      <w:r w:rsidR="00CD1DA3" w:rsidRPr="00CD1DA3">
        <w:rPr>
          <w:lang w:val="en-GB"/>
        </w:rPr>
        <w:fldChar w:fldCharType="separate"/>
      </w:r>
      <w:r w:rsidR="00274F80" w:rsidRPr="00274F80">
        <w:rPr>
          <w:bCs/>
          <w:lang w:val="en-GB"/>
        </w:rPr>
        <w:t xml:space="preserve">Table </w:t>
      </w:r>
      <w:r w:rsidR="00274F80" w:rsidRPr="00274F80">
        <w:rPr>
          <w:bCs/>
          <w:noProof/>
          <w:lang w:val="en-GB"/>
        </w:rPr>
        <w:t>5</w:t>
      </w:r>
      <w:r w:rsidR="00CD1DA3" w:rsidRPr="00CD1DA3">
        <w:rPr>
          <w:lang w:val="en-GB"/>
        </w:rPr>
        <w:fldChar w:fldCharType="end"/>
      </w:r>
      <w:r w:rsidR="00CD1DA3">
        <w:rPr>
          <w:lang w:val="en-GB"/>
        </w:rPr>
        <w:t>)</w:t>
      </w:r>
      <w:r w:rsidRPr="00A122D1">
        <w:rPr>
          <w:lang w:val="en-GB"/>
        </w:rPr>
        <w:t xml:space="preserve">. </w:t>
      </w:r>
    </w:p>
    <w:p w14:paraId="7188CEFB" w14:textId="77777777" w:rsidR="00A122D1" w:rsidRPr="00A122D1" w:rsidRDefault="00A122D1" w:rsidP="00A122D1">
      <w:pPr>
        <w:rPr>
          <w:lang w:val="en-GB"/>
        </w:rPr>
      </w:pPr>
      <w:r w:rsidRPr="00A122D1">
        <w:rPr>
          <w:lang w:val="en-GB"/>
        </w:rPr>
        <w:t>Exploratory analyses of PFS and OS in the ITT population have also shown consistent results in favour of CABOMETYX compared to everolimus across different subgroups according to age (&lt;65 vs. ≥65, sex, MSKCC risk group (favourable, intermediate, poor), ECOG status (0 vs. 1), time from diagnosis to randomisation (&lt;1 year vs. ≥1 year), tumour MET status (high vs. low vs. unknown), bone metastases (absence vs. presence), visceral metastases (absence vs. presence), visceral and bone metastases (absence vs. presence), number of prior VEGFR-TKIs (1 vs. ≥2), duration of first VEGFR-TKI (≤6 months vs. &gt;6 months).</w:t>
      </w:r>
    </w:p>
    <w:p w14:paraId="418144DD" w14:textId="3F186523" w:rsidR="00CD1DA3" w:rsidRDefault="00A122D1" w:rsidP="00A122D1">
      <w:pPr>
        <w:rPr>
          <w:lang w:val="en-GB"/>
        </w:rPr>
      </w:pPr>
      <w:r w:rsidRPr="00A122D1">
        <w:rPr>
          <w:lang w:val="en-GB"/>
        </w:rPr>
        <w:t>Objective response rate findings are summari</w:t>
      </w:r>
      <w:r w:rsidR="00260B8C">
        <w:rPr>
          <w:lang w:val="en-GB"/>
        </w:rPr>
        <w:t>s</w:t>
      </w:r>
      <w:r w:rsidRPr="00A122D1">
        <w:rPr>
          <w:lang w:val="en-GB"/>
        </w:rPr>
        <w:t>ed in</w:t>
      </w:r>
      <w:bookmarkStart w:id="4" w:name="_Ref467258195"/>
      <w:r w:rsidR="00CD1DA3">
        <w:rPr>
          <w:lang w:val="en-GB"/>
        </w:rPr>
        <w:t xml:space="preserve"> </w:t>
      </w:r>
      <w:bookmarkStart w:id="5" w:name="_Ref504472267"/>
      <w:r w:rsidR="00CD1DA3" w:rsidRPr="00CD1DA3">
        <w:rPr>
          <w:lang w:val="en-GB"/>
        </w:rPr>
        <w:fldChar w:fldCharType="begin"/>
      </w:r>
      <w:r w:rsidR="00CD1DA3" w:rsidRPr="00CD1DA3">
        <w:rPr>
          <w:lang w:val="en-GB"/>
        </w:rPr>
        <w:instrText xml:space="preserve"> REF _Ref504472691 \h  \* MERGEFORMAT </w:instrText>
      </w:r>
      <w:r w:rsidR="00CD1DA3" w:rsidRPr="00CD1DA3">
        <w:rPr>
          <w:lang w:val="en-GB"/>
        </w:rPr>
      </w:r>
      <w:r w:rsidR="00CD1DA3" w:rsidRPr="00CD1DA3">
        <w:rPr>
          <w:lang w:val="en-GB"/>
        </w:rPr>
        <w:fldChar w:fldCharType="separate"/>
      </w:r>
      <w:r w:rsidR="00274F80" w:rsidRPr="00274F80">
        <w:rPr>
          <w:bCs/>
          <w:lang w:val="en-GB"/>
        </w:rPr>
        <w:t xml:space="preserve">Table </w:t>
      </w:r>
      <w:r w:rsidR="00274F80" w:rsidRPr="00274F80">
        <w:rPr>
          <w:bCs/>
          <w:noProof/>
          <w:lang w:val="en-GB"/>
        </w:rPr>
        <w:t>6</w:t>
      </w:r>
      <w:r w:rsidR="00CD1DA3" w:rsidRPr="00CD1DA3">
        <w:rPr>
          <w:lang w:val="en-GB"/>
        </w:rPr>
        <w:fldChar w:fldCharType="end"/>
      </w:r>
      <w:r w:rsidR="00CD1DA3">
        <w:rPr>
          <w:lang w:val="en-GB"/>
        </w:rPr>
        <w:t>.</w:t>
      </w:r>
    </w:p>
    <w:p w14:paraId="49185D2D" w14:textId="77777777" w:rsidR="00810649" w:rsidRDefault="00810649" w:rsidP="00A122D1">
      <w:pPr>
        <w:rPr>
          <w:lang w:val="en-GB"/>
        </w:rPr>
      </w:pPr>
    </w:p>
    <w:p w14:paraId="66A62089" w14:textId="77777777" w:rsidR="00CD1DA3" w:rsidRDefault="00CD1DA3">
      <w:pPr>
        <w:rPr>
          <w:lang w:val="en-GB"/>
        </w:rPr>
      </w:pPr>
      <w:r>
        <w:rPr>
          <w:lang w:val="en-GB"/>
        </w:rPr>
        <w:br w:type="page"/>
      </w:r>
    </w:p>
    <w:p w14:paraId="5EEA8B73" w14:textId="77777777" w:rsidR="00810649" w:rsidRPr="00810649" w:rsidRDefault="00810649" w:rsidP="00810649"/>
    <w:p w14:paraId="52419D45" w14:textId="14FC7680" w:rsidR="00A122D1" w:rsidRPr="00A122D1" w:rsidRDefault="00A122D1" w:rsidP="00A122D1">
      <w:pPr>
        <w:rPr>
          <w:b/>
          <w:bCs/>
          <w:lang w:val="en-GB"/>
        </w:rPr>
      </w:pPr>
      <w:bookmarkStart w:id="6" w:name="_Ref504474666"/>
      <w:r w:rsidRPr="00A122D1">
        <w:rPr>
          <w:b/>
          <w:bCs/>
          <w:lang w:val="en-GB"/>
        </w:rPr>
        <w:t xml:space="preserve">Figure </w:t>
      </w:r>
      <w:r w:rsidRPr="00A122D1">
        <w:rPr>
          <w:b/>
          <w:bCs/>
          <w:lang w:val="en-GB"/>
        </w:rPr>
        <w:fldChar w:fldCharType="begin"/>
      </w:r>
      <w:r w:rsidRPr="00A122D1">
        <w:rPr>
          <w:b/>
          <w:bCs/>
          <w:lang w:val="en-GB"/>
        </w:rPr>
        <w:instrText xml:space="preserve"> SEQ Figure \* ARABIC </w:instrText>
      </w:r>
      <w:r w:rsidRPr="00A122D1">
        <w:rPr>
          <w:b/>
          <w:bCs/>
          <w:lang w:val="en-GB"/>
        </w:rPr>
        <w:fldChar w:fldCharType="separate"/>
      </w:r>
      <w:r w:rsidR="00274F80">
        <w:rPr>
          <w:b/>
          <w:bCs/>
          <w:noProof/>
          <w:lang w:val="en-GB"/>
        </w:rPr>
        <w:t>1</w:t>
      </w:r>
      <w:r w:rsidRPr="00A122D1">
        <w:rPr>
          <w:lang w:val="en-US"/>
        </w:rPr>
        <w:fldChar w:fldCharType="end"/>
      </w:r>
      <w:bookmarkEnd w:id="4"/>
      <w:bookmarkEnd w:id="5"/>
      <w:bookmarkEnd w:id="6"/>
      <w:r w:rsidRPr="00A122D1">
        <w:rPr>
          <w:b/>
          <w:bCs/>
          <w:lang w:val="en-GB"/>
        </w:rPr>
        <w:t>: Kaplan Meier curve for PFS by independent radiology review committee (Primary PFS analysis population - first 375 randomi</w:t>
      </w:r>
      <w:r w:rsidR="00260B8C">
        <w:rPr>
          <w:b/>
          <w:bCs/>
          <w:lang w:val="en-GB"/>
        </w:rPr>
        <w:t>s</w:t>
      </w:r>
      <w:r w:rsidRPr="00A122D1">
        <w:rPr>
          <w:b/>
          <w:bCs/>
          <w:lang w:val="en-GB"/>
        </w:rPr>
        <w:t>ed)</w:t>
      </w:r>
    </w:p>
    <w:p w14:paraId="3A3B33D6" w14:textId="77777777" w:rsidR="00A122D1" w:rsidRPr="00A122D1" w:rsidRDefault="00A122D1" w:rsidP="00A122D1">
      <w:pPr>
        <w:rPr>
          <w:lang w:val="en-GB"/>
        </w:rPr>
      </w:pPr>
      <w:r w:rsidRPr="00A122D1">
        <w:rPr>
          <w:noProof/>
          <w:lang w:eastAsia="en-AU"/>
        </w:rPr>
        <w:drawing>
          <wp:inline distT="0" distB="0" distL="0" distR="0" wp14:anchorId="04FBA8D8" wp14:editId="45890FAE">
            <wp:extent cx="5276850" cy="2952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2952750"/>
                    </a:xfrm>
                    <a:prstGeom prst="rect">
                      <a:avLst/>
                    </a:prstGeom>
                    <a:noFill/>
                    <a:ln>
                      <a:noFill/>
                    </a:ln>
                  </pic:spPr>
                </pic:pic>
              </a:graphicData>
            </a:graphic>
          </wp:inline>
        </w:drawing>
      </w:r>
    </w:p>
    <w:p w14:paraId="0C40756F" w14:textId="77777777" w:rsidR="00A122D1" w:rsidRPr="00A122D1" w:rsidRDefault="00A122D1" w:rsidP="00A122D1">
      <w:pPr>
        <w:rPr>
          <w:lang w:val="en-GB"/>
        </w:rPr>
      </w:pPr>
    </w:p>
    <w:p w14:paraId="1FE5CAE3" w14:textId="4FFABDE3" w:rsidR="00A122D1" w:rsidRPr="005C4884" w:rsidRDefault="00A122D1" w:rsidP="00A122D1">
      <w:pPr>
        <w:rPr>
          <w:bCs/>
          <w:lang w:val="en-GB"/>
        </w:rPr>
      </w:pPr>
      <w:bookmarkStart w:id="7" w:name="_Ref467258227"/>
      <w:r w:rsidRPr="00A122D1">
        <w:rPr>
          <w:b/>
          <w:bCs/>
          <w:lang w:val="en-GB"/>
        </w:rPr>
        <w:t xml:space="preserve">Table </w:t>
      </w:r>
      <w:r w:rsidRPr="00A122D1">
        <w:rPr>
          <w:b/>
          <w:bCs/>
          <w:lang w:val="en-GB"/>
        </w:rPr>
        <w:fldChar w:fldCharType="begin"/>
      </w:r>
      <w:r w:rsidRPr="00A122D1">
        <w:rPr>
          <w:b/>
          <w:bCs/>
          <w:lang w:val="en-GB"/>
        </w:rPr>
        <w:instrText xml:space="preserve"> SEQ Table \* ARABIC </w:instrText>
      </w:r>
      <w:r w:rsidRPr="00A122D1">
        <w:rPr>
          <w:b/>
          <w:bCs/>
          <w:lang w:val="en-GB"/>
        </w:rPr>
        <w:fldChar w:fldCharType="separate"/>
      </w:r>
      <w:r w:rsidR="00274F80">
        <w:rPr>
          <w:b/>
          <w:bCs/>
          <w:noProof/>
          <w:lang w:val="en-GB"/>
        </w:rPr>
        <w:t>4</w:t>
      </w:r>
      <w:r w:rsidRPr="00A122D1">
        <w:rPr>
          <w:lang w:val="en-US"/>
        </w:rPr>
        <w:fldChar w:fldCharType="end"/>
      </w:r>
      <w:bookmarkEnd w:id="7"/>
      <w:r w:rsidRPr="00A122D1">
        <w:rPr>
          <w:b/>
          <w:bCs/>
          <w:lang w:val="en-GB"/>
        </w:rPr>
        <w:t>:</w:t>
      </w:r>
      <w:r w:rsidRPr="00A122D1">
        <w:rPr>
          <w:bCs/>
          <w:lang w:val="en-GB"/>
        </w:rPr>
        <w:t xml:space="preserve"> </w:t>
      </w:r>
      <w:r w:rsidRPr="00A122D1">
        <w:rPr>
          <w:b/>
          <w:bCs/>
          <w:lang w:val="en-GB"/>
        </w:rPr>
        <w:t>Summary of PFS findings by independent radiology review committee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03"/>
        <w:gridCol w:w="1852"/>
        <w:gridCol w:w="1803"/>
        <w:gridCol w:w="1592"/>
      </w:tblGrid>
      <w:tr w:rsidR="00A122D1" w:rsidRPr="00A122D1" w14:paraId="7E9F6363" w14:textId="77777777" w:rsidTr="005C4884">
        <w:tc>
          <w:tcPr>
            <w:tcW w:w="1754" w:type="dxa"/>
            <w:shd w:val="clear" w:color="auto" w:fill="auto"/>
          </w:tcPr>
          <w:p w14:paraId="4DA53CB5" w14:textId="77777777" w:rsidR="00A122D1" w:rsidRPr="00A122D1" w:rsidRDefault="00A122D1" w:rsidP="00C72232">
            <w:pPr>
              <w:spacing w:before="60" w:after="60" w:line="240" w:lineRule="auto"/>
              <w:rPr>
                <w:b/>
                <w:lang w:val="en-GB"/>
              </w:rPr>
            </w:pPr>
          </w:p>
        </w:tc>
        <w:tc>
          <w:tcPr>
            <w:tcW w:w="3599" w:type="dxa"/>
            <w:gridSpan w:val="2"/>
            <w:shd w:val="clear" w:color="auto" w:fill="auto"/>
          </w:tcPr>
          <w:p w14:paraId="5716C837" w14:textId="77777777" w:rsidR="00A122D1" w:rsidRPr="00A122D1" w:rsidRDefault="00A122D1" w:rsidP="00C72232">
            <w:pPr>
              <w:spacing w:before="60" w:after="60" w:line="240" w:lineRule="auto"/>
              <w:rPr>
                <w:b/>
                <w:lang w:val="en-GB"/>
              </w:rPr>
            </w:pPr>
            <w:r w:rsidRPr="00A122D1">
              <w:rPr>
                <w:b/>
                <w:lang w:val="en-GB"/>
              </w:rPr>
              <w:t>Primary PFS analysis Population</w:t>
            </w:r>
          </w:p>
        </w:tc>
        <w:tc>
          <w:tcPr>
            <w:tcW w:w="3168" w:type="dxa"/>
            <w:gridSpan w:val="2"/>
            <w:shd w:val="clear" w:color="auto" w:fill="auto"/>
          </w:tcPr>
          <w:p w14:paraId="200BC55E" w14:textId="77777777" w:rsidR="00A122D1" w:rsidRPr="00A122D1" w:rsidRDefault="00A122D1" w:rsidP="00C72232">
            <w:pPr>
              <w:spacing w:before="60" w:after="60" w:line="240" w:lineRule="auto"/>
              <w:rPr>
                <w:b/>
                <w:lang w:val="en-GB"/>
              </w:rPr>
            </w:pPr>
            <w:r w:rsidRPr="00A122D1">
              <w:rPr>
                <w:b/>
                <w:lang w:val="en-GB"/>
              </w:rPr>
              <w:t>Intent-To-Treat Population</w:t>
            </w:r>
          </w:p>
        </w:tc>
      </w:tr>
      <w:tr w:rsidR="00A122D1" w:rsidRPr="00A122D1" w14:paraId="5F41A250" w14:textId="77777777" w:rsidTr="005C4884">
        <w:tc>
          <w:tcPr>
            <w:tcW w:w="1754" w:type="dxa"/>
            <w:shd w:val="clear" w:color="auto" w:fill="auto"/>
          </w:tcPr>
          <w:p w14:paraId="43B4CEAA" w14:textId="77777777" w:rsidR="00A122D1" w:rsidRPr="00A122D1" w:rsidRDefault="00A122D1" w:rsidP="00C72232">
            <w:pPr>
              <w:spacing w:before="60" w:after="60" w:line="240" w:lineRule="auto"/>
              <w:rPr>
                <w:b/>
                <w:lang w:val="en-GB"/>
              </w:rPr>
            </w:pPr>
            <w:r w:rsidRPr="00A122D1">
              <w:rPr>
                <w:b/>
                <w:lang w:val="en-GB"/>
              </w:rPr>
              <w:t>Endpoint</w:t>
            </w:r>
          </w:p>
        </w:tc>
        <w:tc>
          <w:tcPr>
            <w:tcW w:w="1747" w:type="dxa"/>
            <w:shd w:val="clear" w:color="auto" w:fill="auto"/>
          </w:tcPr>
          <w:p w14:paraId="0A6939C9" w14:textId="77777777" w:rsidR="00A122D1" w:rsidRPr="00A122D1" w:rsidRDefault="00A122D1" w:rsidP="00C72232">
            <w:pPr>
              <w:spacing w:before="60" w:after="60" w:line="240" w:lineRule="auto"/>
              <w:rPr>
                <w:b/>
                <w:lang w:val="en-GB"/>
              </w:rPr>
            </w:pPr>
            <w:r w:rsidRPr="00A122D1">
              <w:rPr>
                <w:b/>
                <w:lang w:val="en-GB"/>
              </w:rPr>
              <w:t>CABOMETYX</w:t>
            </w:r>
          </w:p>
        </w:tc>
        <w:tc>
          <w:tcPr>
            <w:tcW w:w="1852" w:type="dxa"/>
            <w:shd w:val="clear" w:color="auto" w:fill="auto"/>
          </w:tcPr>
          <w:p w14:paraId="01DA8853" w14:textId="77777777" w:rsidR="00A122D1" w:rsidRPr="00A122D1" w:rsidRDefault="00A122D1" w:rsidP="00C72232">
            <w:pPr>
              <w:spacing w:before="60" w:after="60" w:line="240" w:lineRule="auto"/>
              <w:rPr>
                <w:b/>
                <w:lang w:val="en-GB"/>
              </w:rPr>
            </w:pPr>
            <w:r w:rsidRPr="00A122D1">
              <w:rPr>
                <w:b/>
                <w:lang w:val="en-GB"/>
              </w:rPr>
              <w:t>Everolimus</w:t>
            </w:r>
          </w:p>
        </w:tc>
        <w:tc>
          <w:tcPr>
            <w:tcW w:w="1576" w:type="dxa"/>
            <w:shd w:val="clear" w:color="auto" w:fill="auto"/>
          </w:tcPr>
          <w:p w14:paraId="37AC8363" w14:textId="77777777" w:rsidR="00A122D1" w:rsidRPr="00A122D1" w:rsidRDefault="00A122D1" w:rsidP="00C72232">
            <w:pPr>
              <w:spacing w:before="60" w:after="60" w:line="240" w:lineRule="auto"/>
              <w:rPr>
                <w:b/>
                <w:lang w:val="en-GB"/>
              </w:rPr>
            </w:pPr>
            <w:r w:rsidRPr="00A122D1">
              <w:rPr>
                <w:b/>
                <w:lang w:val="en-GB"/>
              </w:rPr>
              <w:t>CABOMETYX</w:t>
            </w:r>
          </w:p>
        </w:tc>
        <w:tc>
          <w:tcPr>
            <w:tcW w:w="1592" w:type="dxa"/>
            <w:shd w:val="clear" w:color="auto" w:fill="auto"/>
          </w:tcPr>
          <w:p w14:paraId="70393F63" w14:textId="77777777" w:rsidR="00A122D1" w:rsidRPr="00A122D1" w:rsidRDefault="00A122D1" w:rsidP="00C72232">
            <w:pPr>
              <w:spacing w:before="60" w:after="60" w:line="240" w:lineRule="auto"/>
              <w:rPr>
                <w:b/>
                <w:lang w:val="en-GB"/>
              </w:rPr>
            </w:pPr>
            <w:r w:rsidRPr="00A122D1">
              <w:rPr>
                <w:b/>
                <w:lang w:val="en-GB"/>
              </w:rPr>
              <w:t>Everolimus</w:t>
            </w:r>
          </w:p>
        </w:tc>
      </w:tr>
      <w:tr w:rsidR="00A122D1" w:rsidRPr="00A122D1" w14:paraId="4AB4448E" w14:textId="77777777" w:rsidTr="005C4884">
        <w:tc>
          <w:tcPr>
            <w:tcW w:w="1754" w:type="dxa"/>
            <w:shd w:val="clear" w:color="auto" w:fill="auto"/>
          </w:tcPr>
          <w:p w14:paraId="73FCBFE2" w14:textId="77777777" w:rsidR="00A122D1" w:rsidRPr="00A122D1" w:rsidRDefault="00A122D1" w:rsidP="00C72232">
            <w:pPr>
              <w:spacing w:before="60" w:after="60" w:line="240" w:lineRule="auto"/>
              <w:rPr>
                <w:lang w:val="en-GB"/>
              </w:rPr>
            </w:pPr>
          </w:p>
        </w:tc>
        <w:tc>
          <w:tcPr>
            <w:tcW w:w="1747" w:type="dxa"/>
            <w:shd w:val="clear" w:color="auto" w:fill="auto"/>
          </w:tcPr>
          <w:p w14:paraId="425A45BA" w14:textId="77777777" w:rsidR="00A122D1" w:rsidRPr="00A122D1" w:rsidRDefault="00A122D1" w:rsidP="00C72232">
            <w:pPr>
              <w:spacing w:before="60" w:after="60" w:line="240" w:lineRule="auto"/>
              <w:rPr>
                <w:lang w:val="en-GB"/>
              </w:rPr>
            </w:pPr>
            <w:r w:rsidRPr="00A122D1">
              <w:rPr>
                <w:lang w:val="en-GB"/>
              </w:rPr>
              <w:t>N = 187</w:t>
            </w:r>
          </w:p>
        </w:tc>
        <w:tc>
          <w:tcPr>
            <w:tcW w:w="1852" w:type="dxa"/>
            <w:shd w:val="clear" w:color="auto" w:fill="auto"/>
          </w:tcPr>
          <w:p w14:paraId="1C31B788" w14:textId="77777777" w:rsidR="00A122D1" w:rsidRPr="00A122D1" w:rsidRDefault="00A122D1" w:rsidP="00C72232">
            <w:pPr>
              <w:spacing w:before="60" w:after="60" w:line="240" w:lineRule="auto"/>
              <w:rPr>
                <w:lang w:val="en-GB"/>
              </w:rPr>
            </w:pPr>
            <w:r w:rsidRPr="00A122D1">
              <w:rPr>
                <w:lang w:val="en-GB"/>
              </w:rPr>
              <w:t>N = 188</w:t>
            </w:r>
          </w:p>
        </w:tc>
        <w:tc>
          <w:tcPr>
            <w:tcW w:w="1576" w:type="dxa"/>
            <w:shd w:val="clear" w:color="auto" w:fill="auto"/>
          </w:tcPr>
          <w:p w14:paraId="3A5A9068" w14:textId="77777777" w:rsidR="00A122D1" w:rsidRPr="00A122D1" w:rsidRDefault="00A122D1" w:rsidP="00C72232">
            <w:pPr>
              <w:spacing w:before="60" w:after="60" w:line="240" w:lineRule="auto"/>
              <w:rPr>
                <w:lang w:val="en-GB"/>
              </w:rPr>
            </w:pPr>
            <w:r w:rsidRPr="00A122D1">
              <w:rPr>
                <w:lang w:val="en-GB"/>
              </w:rPr>
              <w:t>N = 330</w:t>
            </w:r>
          </w:p>
        </w:tc>
        <w:tc>
          <w:tcPr>
            <w:tcW w:w="1592" w:type="dxa"/>
            <w:shd w:val="clear" w:color="auto" w:fill="auto"/>
          </w:tcPr>
          <w:p w14:paraId="3F62C1DE" w14:textId="77777777" w:rsidR="00A122D1" w:rsidRPr="00A122D1" w:rsidRDefault="00A122D1" w:rsidP="00C72232">
            <w:pPr>
              <w:spacing w:before="60" w:after="60" w:line="240" w:lineRule="auto"/>
              <w:rPr>
                <w:lang w:val="en-GB"/>
              </w:rPr>
            </w:pPr>
            <w:r w:rsidRPr="00A122D1">
              <w:rPr>
                <w:lang w:val="en-GB"/>
              </w:rPr>
              <w:t>N = 328</w:t>
            </w:r>
          </w:p>
        </w:tc>
      </w:tr>
      <w:tr w:rsidR="00A122D1" w:rsidRPr="00A122D1" w14:paraId="5D245731" w14:textId="77777777" w:rsidTr="005C4884">
        <w:tc>
          <w:tcPr>
            <w:tcW w:w="1754" w:type="dxa"/>
            <w:shd w:val="clear" w:color="auto" w:fill="auto"/>
          </w:tcPr>
          <w:p w14:paraId="00B6CC70" w14:textId="77777777" w:rsidR="00A122D1" w:rsidRPr="00A122D1" w:rsidRDefault="00A122D1" w:rsidP="00C72232">
            <w:pPr>
              <w:spacing w:before="60" w:after="60" w:line="240" w:lineRule="auto"/>
              <w:rPr>
                <w:lang w:val="en-GB"/>
              </w:rPr>
            </w:pPr>
            <w:r w:rsidRPr="00A122D1">
              <w:rPr>
                <w:lang w:val="en-GB"/>
              </w:rPr>
              <w:t>Median PFS (95%CI), months</w:t>
            </w:r>
          </w:p>
        </w:tc>
        <w:tc>
          <w:tcPr>
            <w:tcW w:w="1747" w:type="dxa"/>
            <w:shd w:val="clear" w:color="auto" w:fill="auto"/>
          </w:tcPr>
          <w:p w14:paraId="7FCD97C9" w14:textId="77777777" w:rsidR="00A122D1" w:rsidRPr="00A122D1" w:rsidRDefault="00A122D1" w:rsidP="00C72232">
            <w:pPr>
              <w:spacing w:before="60" w:after="60" w:line="240" w:lineRule="auto"/>
              <w:rPr>
                <w:lang w:val="en-GB"/>
              </w:rPr>
            </w:pPr>
            <w:r w:rsidRPr="00A122D1">
              <w:rPr>
                <w:lang w:val="en-GB"/>
              </w:rPr>
              <w:t>7.4 (5.6, 9.1)</w:t>
            </w:r>
          </w:p>
        </w:tc>
        <w:tc>
          <w:tcPr>
            <w:tcW w:w="1852" w:type="dxa"/>
            <w:shd w:val="clear" w:color="auto" w:fill="auto"/>
          </w:tcPr>
          <w:p w14:paraId="0D44F595" w14:textId="77777777" w:rsidR="00A122D1" w:rsidRPr="00A122D1" w:rsidRDefault="00A122D1" w:rsidP="00C72232">
            <w:pPr>
              <w:spacing w:before="60" w:after="60" w:line="240" w:lineRule="auto"/>
              <w:rPr>
                <w:lang w:val="en-GB"/>
              </w:rPr>
            </w:pPr>
            <w:r w:rsidRPr="00A122D1">
              <w:rPr>
                <w:lang w:val="en-GB"/>
              </w:rPr>
              <w:t>3.8 (3.7, 5.4)</w:t>
            </w:r>
          </w:p>
        </w:tc>
        <w:tc>
          <w:tcPr>
            <w:tcW w:w="1576" w:type="dxa"/>
            <w:shd w:val="clear" w:color="auto" w:fill="auto"/>
          </w:tcPr>
          <w:p w14:paraId="298E0203" w14:textId="77777777" w:rsidR="00A122D1" w:rsidRPr="00A122D1" w:rsidRDefault="00A122D1" w:rsidP="00C72232">
            <w:pPr>
              <w:spacing w:before="60" w:after="60" w:line="240" w:lineRule="auto"/>
              <w:rPr>
                <w:lang w:val="en-GB"/>
              </w:rPr>
            </w:pPr>
            <w:r w:rsidRPr="00A122D1">
              <w:rPr>
                <w:lang w:val="en-GB"/>
              </w:rPr>
              <w:t>7.4 (6.6, 9.1)</w:t>
            </w:r>
          </w:p>
        </w:tc>
        <w:tc>
          <w:tcPr>
            <w:tcW w:w="1592" w:type="dxa"/>
            <w:shd w:val="clear" w:color="auto" w:fill="auto"/>
          </w:tcPr>
          <w:p w14:paraId="47EFFF5C" w14:textId="77777777" w:rsidR="00A122D1" w:rsidRPr="00A122D1" w:rsidRDefault="00A122D1" w:rsidP="00C72232">
            <w:pPr>
              <w:spacing w:before="60" w:after="60" w:line="240" w:lineRule="auto"/>
              <w:rPr>
                <w:lang w:val="en-GB"/>
              </w:rPr>
            </w:pPr>
            <w:r w:rsidRPr="00A122D1">
              <w:rPr>
                <w:lang w:val="en-GB"/>
              </w:rPr>
              <w:t>3.9 (3.7, 5.1)</w:t>
            </w:r>
          </w:p>
        </w:tc>
      </w:tr>
      <w:tr w:rsidR="00A122D1" w:rsidRPr="00A122D1" w14:paraId="4F14C1CA" w14:textId="77777777" w:rsidTr="005C4884">
        <w:tc>
          <w:tcPr>
            <w:tcW w:w="1754" w:type="dxa"/>
            <w:shd w:val="clear" w:color="auto" w:fill="auto"/>
          </w:tcPr>
          <w:p w14:paraId="5631ECC8" w14:textId="77777777" w:rsidR="00A122D1" w:rsidRPr="00A122D1" w:rsidRDefault="00A122D1" w:rsidP="00C72232">
            <w:pPr>
              <w:spacing w:before="60" w:after="60" w:line="240" w:lineRule="auto"/>
              <w:rPr>
                <w:lang w:val="en-GB"/>
              </w:rPr>
            </w:pPr>
            <w:r w:rsidRPr="00A122D1">
              <w:rPr>
                <w:lang w:val="en-GB"/>
              </w:rPr>
              <w:t>HR (95% CI), p-value</w:t>
            </w:r>
            <w:r w:rsidRPr="00A122D1">
              <w:rPr>
                <w:vertAlign w:val="superscript"/>
                <w:lang w:val="en-GB"/>
              </w:rPr>
              <w:t>1</w:t>
            </w:r>
          </w:p>
        </w:tc>
        <w:tc>
          <w:tcPr>
            <w:tcW w:w="3599" w:type="dxa"/>
            <w:gridSpan w:val="2"/>
            <w:shd w:val="clear" w:color="auto" w:fill="auto"/>
          </w:tcPr>
          <w:p w14:paraId="5455A9C5" w14:textId="77777777" w:rsidR="00A122D1" w:rsidRPr="00A122D1" w:rsidRDefault="00A122D1" w:rsidP="00C72232">
            <w:pPr>
              <w:spacing w:before="60" w:after="60" w:line="240" w:lineRule="auto"/>
              <w:rPr>
                <w:lang w:val="en-GB"/>
              </w:rPr>
            </w:pPr>
            <w:r w:rsidRPr="00A122D1">
              <w:rPr>
                <w:lang w:val="en-GB"/>
              </w:rPr>
              <w:t>0.58 (0.45, 0.74), p&lt;0.0001</w:t>
            </w:r>
          </w:p>
        </w:tc>
        <w:tc>
          <w:tcPr>
            <w:tcW w:w="3168" w:type="dxa"/>
            <w:gridSpan w:val="2"/>
            <w:shd w:val="clear" w:color="auto" w:fill="auto"/>
          </w:tcPr>
          <w:p w14:paraId="755EC0BB" w14:textId="77777777" w:rsidR="00A122D1" w:rsidRPr="00A122D1" w:rsidRDefault="00A122D1" w:rsidP="00C72232">
            <w:pPr>
              <w:spacing w:before="60" w:after="60" w:line="240" w:lineRule="auto"/>
              <w:rPr>
                <w:lang w:val="en-GB"/>
              </w:rPr>
            </w:pPr>
            <w:r w:rsidRPr="00A122D1">
              <w:rPr>
                <w:lang w:val="en-GB"/>
              </w:rPr>
              <w:t>0.51 (0.41, 0.62), p&lt;0.0001</w:t>
            </w:r>
          </w:p>
        </w:tc>
      </w:tr>
    </w:tbl>
    <w:p w14:paraId="6A5B45F6" w14:textId="77777777" w:rsidR="00A122D1" w:rsidRPr="00BB14D8" w:rsidRDefault="00A122D1" w:rsidP="00A122D1">
      <w:pPr>
        <w:rPr>
          <w:sz w:val="20"/>
          <w:szCs w:val="20"/>
          <w:u w:val="single"/>
          <w:lang w:val="en-GB"/>
        </w:rPr>
      </w:pPr>
      <w:r w:rsidRPr="00BB14D8">
        <w:rPr>
          <w:sz w:val="20"/>
          <w:szCs w:val="20"/>
          <w:u w:val="single"/>
          <w:vertAlign w:val="superscript"/>
          <w:lang w:val="en-GB"/>
        </w:rPr>
        <w:t>1</w:t>
      </w:r>
      <w:r w:rsidRPr="00BB14D8">
        <w:rPr>
          <w:sz w:val="20"/>
          <w:szCs w:val="20"/>
          <w:u w:val="single"/>
          <w:lang w:val="en-GB"/>
        </w:rPr>
        <w:t xml:space="preserve"> Stratified log-rank test</w:t>
      </w:r>
    </w:p>
    <w:p w14:paraId="2B541D13" w14:textId="358EB1CA" w:rsidR="00810649" w:rsidRDefault="00810649">
      <w:bookmarkStart w:id="8" w:name="_Ref467258479"/>
      <w:r>
        <w:br w:type="page"/>
      </w:r>
    </w:p>
    <w:p w14:paraId="3E47748A" w14:textId="77777777" w:rsidR="00810649" w:rsidRPr="00810649" w:rsidRDefault="00810649" w:rsidP="00810649"/>
    <w:p w14:paraId="4A97D791" w14:textId="082CF14D" w:rsidR="00A122D1" w:rsidRPr="00255176" w:rsidRDefault="00A122D1" w:rsidP="00810649">
      <w:pPr>
        <w:rPr>
          <w:b/>
          <w:bCs/>
          <w:lang w:val="en-GB"/>
        </w:rPr>
      </w:pPr>
      <w:bookmarkStart w:id="9" w:name="_Ref504474826"/>
      <w:r w:rsidRPr="00255176">
        <w:rPr>
          <w:b/>
          <w:bCs/>
          <w:lang w:val="en-GB"/>
        </w:rPr>
        <w:t xml:space="preserve">Figure </w:t>
      </w:r>
      <w:r w:rsidRPr="00810649">
        <w:rPr>
          <w:b/>
          <w:bCs/>
          <w:lang w:val="en-GB"/>
        </w:rPr>
        <w:fldChar w:fldCharType="begin"/>
      </w:r>
      <w:r w:rsidRPr="00BB14D8">
        <w:rPr>
          <w:b/>
          <w:bCs/>
          <w:lang w:val="en-GB"/>
        </w:rPr>
        <w:instrText xml:space="preserve"> SEQ Figure \* ARABIC </w:instrText>
      </w:r>
      <w:r w:rsidRPr="00810649">
        <w:rPr>
          <w:b/>
          <w:bCs/>
          <w:lang w:val="en-GB"/>
        </w:rPr>
        <w:fldChar w:fldCharType="separate"/>
      </w:r>
      <w:r w:rsidR="00274F80">
        <w:rPr>
          <w:b/>
          <w:bCs/>
          <w:noProof/>
          <w:lang w:val="en-GB"/>
        </w:rPr>
        <w:t>2</w:t>
      </w:r>
      <w:r w:rsidRPr="00810649">
        <w:rPr>
          <w:b/>
          <w:bCs/>
          <w:lang w:val="en-GB"/>
        </w:rPr>
        <w:fldChar w:fldCharType="end"/>
      </w:r>
      <w:bookmarkEnd w:id="8"/>
      <w:bookmarkEnd w:id="9"/>
      <w:r w:rsidRPr="00255176">
        <w:rPr>
          <w:b/>
          <w:bCs/>
          <w:lang w:val="en-GB"/>
        </w:rPr>
        <w:t>: Kaplan-Meier curve of overall survival</w:t>
      </w:r>
    </w:p>
    <w:p w14:paraId="3E35B06A" w14:textId="77777777" w:rsidR="00A122D1" w:rsidRPr="00A122D1" w:rsidRDefault="00A122D1" w:rsidP="00A122D1">
      <w:pPr>
        <w:rPr>
          <w:lang w:val="en-GB"/>
        </w:rPr>
      </w:pPr>
      <w:r w:rsidRPr="00A122D1">
        <w:rPr>
          <w:noProof/>
          <w:lang w:eastAsia="en-AU"/>
        </w:rPr>
        <w:drawing>
          <wp:inline distT="0" distB="0" distL="0" distR="0" wp14:anchorId="362B5C4E" wp14:editId="3880EADD">
            <wp:extent cx="5267325" cy="3048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048000"/>
                    </a:xfrm>
                    <a:prstGeom prst="rect">
                      <a:avLst/>
                    </a:prstGeom>
                    <a:noFill/>
                    <a:ln>
                      <a:noFill/>
                    </a:ln>
                  </pic:spPr>
                </pic:pic>
              </a:graphicData>
            </a:graphic>
          </wp:inline>
        </w:drawing>
      </w:r>
    </w:p>
    <w:p w14:paraId="6AFE8C20" w14:textId="77777777" w:rsidR="004E7FD9" w:rsidRDefault="004E7FD9" w:rsidP="00A122D1">
      <w:pPr>
        <w:rPr>
          <w:b/>
          <w:bCs/>
          <w:lang w:val="en-GB"/>
        </w:rPr>
      </w:pPr>
      <w:bookmarkStart w:id="10" w:name="_Ref490570225"/>
    </w:p>
    <w:p w14:paraId="2CBDAB13" w14:textId="75D960ED" w:rsidR="00A122D1" w:rsidRPr="005C4884" w:rsidRDefault="00A122D1" w:rsidP="00A122D1">
      <w:pPr>
        <w:rPr>
          <w:b/>
          <w:bCs/>
          <w:lang w:val="en-GB"/>
        </w:rPr>
      </w:pPr>
      <w:bookmarkStart w:id="11" w:name="_Ref504472452"/>
      <w:r w:rsidRPr="00A122D1">
        <w:rPr>
          <w:b/>
          <w:bCs/>
          <w:lang w:val="en-GB"/>
        </w:rPr>
        <w:t xml:space="preserve">Table </w:t>
      </w:r>
      <w:r w:rsidRPr="00A122D1">
        <w:rPr>
          <w:b/>
          <w:bCs/>
          <w:lang w:val="en-GB"/>
        </w:rPr>
        <w:fldChar w:fldCharType="begin"/>
      </w:r>
      <w:r w:rsidRPr="00A122D1">
        <w:rPr>
          <w:b/>
          <w:bCs/>
          <w:lang w:val="en-GB"/>
        </w:rPr>
        <w:instrText xml:space="preserve"> SEQ Table \* ARABIC </w:instrText>
      </w:r>
      <w:r w:rsidRPr="00A122D1">
        <w:rPr>
          <w:b/>
          <w:bCs/>
          <w:lang w:val="en-GB"/>
        </w:rPr>
        <w:fldChar w:fldCharType="separate"/>
      </w:r>
      <w:r w:rsidR="00274F80">
        <w:rPr>
          <w:b/>
          <w:bCs/>
          <w:noProof/>
          <w:lang w:val="en-GB"/>
        </w:rPr>
        <w:t>5</w:t>
      </w:r>
      <w:r w:rsidRPr="00A122D1">
        <w:rPr>
          <w:lang w:val="en-US"/>
        </w:rPr>
        <w:fldChar w:fldCharType="end"/>
      </w:r>
      <w:bookmarkEnd w:id="10"/>
      <w:bookmarkEnd w:id="11"/>
      <w:r w:rsidRPr="00A122D1">
        <w:rPr>
          <w:b/>
          <w:bCs/>
          <w:lang w:val="en-GB"/>
        </w:rPr>
        <w:t>: Summary of OS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3118"/>
      </w:tblGrid>
      <w:tr w:rsidR="00A122D1" w:rsidRPr="00A122D1" w14:paraId="1677852A" w14:textId="77777777" w:rsidTr="005C4884">
        <w:tc>
          <w:tcPr>
            <w:tcW w:w="3085" w:type="dxa"/>
            <w:shd w:val="clear" w:color="auto" w:fill="auto"/>
          </w:tcPr>
          <w:p w14:paraId="0358C635" w14:textId="77777777" w:rsidR="00A122D1" w:rsidRPr="00A122D1" w:rsidRDefault="00A122D1" w:rsidP="00C72232">
            <w:pPr>
              <w:spacing w:before="60" w:after="60" w:line="240" w:lineRule="auto"/>
              <w:rPr>
                <w:b/>
                <w:lang w:val="en-GB"/>
              </w:rPr>
            </w:pPr>
          </w:p>
        </w:tc>
        <w:tc>
          <w:tcPr>
            <w:tcW w:w="2552" w:type="dxa"/>
            <w:shd w:val="clear" w:color="auto" w:fill="auto"/>
          </w:tcPr>
          <w:p w14:paraId="7FB88B9C" w14:textId="77777777" w:rsidR="00A122D1" w:rsidRPr="00A122D1" w:rsidRDefault="00A122D1" w:rsidP="00C72232">
            <w:pPr>
              <w:spacing w:before="60" w:after="60" w:line="240" w:lineRule="auto"/>
              <w:rPr>
                <w:b/>
                <w:lang w:val="en-GB"/>
              </w:rPr>
            </w:pPr>
            <w:r w:rsidRPr="00A122D1">
              <w:rPr>
                <w:b/>
                <w:lang w:val="en-GB"/>
              </w:rPr>
              <w:t>CABOMETYX</w:t>
            </w:r>
          </w:p>
        </w:tc>
        <w:tc>
          <w:tcPr>
            <w:tcW w:w="3118" w:type="dxa"/>
            <w:shd w:val="clear" w:color="auto" w:fill="auto"/>
          </w:tcPr>
          <w:p w14:paraId="65D0CDE4" w14:textId="77777777" w:rsidR="00A122D1" w:rsidRPr="00A122D1" w:rsidRDefault="00A122D1" w:rsidP="00C72232">
            <w:pPr>
              <w:spacing w:before="60" w:after="60" w:line="240" w:lineRule="auto"/>
              <w:rPr>
                <w:b/>
                <w:lang w:val="en-GB"/>
              </w:rPr>
            </w:pPr>
            <w:r w:rsidRPr="00A122D1">
              <w:rPr>
                <w:b/>
                <w:lang w:val="en-GB"/>
              </w:rPr>
              <w:t>Everolimus</w:t>
            </w:r>
          </w:p>
        </w:tc>
      </w:tr>
      <w:tr w:rsidR="00A122D1" w:rsidRPr="00A122D1" w14:paraId="3525EC35" w14:textId="77777777" w:rsidTr="005C4884">
        <w:trPr>
          <w:trHeight w:val="351"/>
        </w:trPr>
        <w:tc>
          <w:tcPr>
            <w:tcW w:w="3085" w:type="dxa"/>
            <w:shd w:val="clear" w:color="auto" w:fill="auto"/>
          </w:tcPr>
          <w:p w14:paraId="023C4DDD" w14:textId="77777777" w:rsidR="00A122D1" w:rsidRPr="00A122D1" w:rsidRDefault="00A122D1" w:rsidP="00C72232">
            <w:pPr>
              <w:spacing w:before="60" w:after="60" w:line="240" w:lineRule="auto"/>
              <w:rPr>
                <w:lang w:val="en-GB"/>
              </w:rPr>
            </w:pPr>
          </w:p>
        </w:tc>
        <w:tc>
          <w:tcPr>
            <w:tcW w:w="2552" w:type="dxa"/>
            <w:shd w:val="clear" w:color="auto" w:fill="auto"/>
          </w:tcPr>
          <w:p w14:paraId="5E83D433" w14:textId="77777777" w:rsidR="00A122D1" w:rsidRPr="00A122D1" w:rsidRDefault="00A122D1" w:rsidP="00C72232">
            <w:pPr>
              <w:spacing w:before="60" w:after="60" w:line="240" w:lineRule="auto"/>
              <w:rPr>
                <w:lang w:val="en-GB"/>
              </w:rPr>
            </w:pPr>
            <w:r w:rsidRPr="00A122D1">
              <w:rPr>
                <w:lang w:val="en-GB"/>
              </w:rPr>
              <w:t>N = 330</w:t>
            </w:r>
          </w:p>
        </w:tc>
        <w:tc>
          <w:tcPr>
            <w:tcW w:w="3118" w:type="dxa"/>
            <w:shd w:val="clear" w:color="auto" w:fill="auto"/>
          </w:tcPr>
          <w:p w14:paraId="02709C39" w14:textId="77777777" w:rsidR="00A122D1" w:rsidRPr="00A122D1" w:rsidRDefault="00A122D1" w:rsidP="00C72232">
            <w:pPr>
              <w:spacing w:before="60" w:after="60" w:line="240" w:lineRule="auto"/>
              <w:rPr>
                <w:lang w:val="en-GB"/>
              </w:rPr>
            </w:pPr>
            <w:r w:rsidRPr="00A122D1">
              <w:rPr>
                <w:lang w:val="en-GB"/>
              </w:rPr>
              <w:t>N = 328</w:t>
            </w:r>
          </w:p>
        </w:tc>
      </w:tr>
      <w:tr w:rsidR="00A122D1" w:rsidRPr="00A122D1" w14:paraId="7C491B76" w14:textId="77777777" w:rsidTr="005C4884">
        <w:tc>
          <w:tcPr>
            <w:tcW w:w="3085" w:type="dxa"/>
            <w:shd w:val="clear" w:color="auto" w:fill="auto"/>
          </w:tcPr>
          <w:p w14:paraId="0AE37B43" w14:textId="77777777" w:rsidR="00A122D1" w:rsidRPr="00A122D1" w:rsidRDefault="00A122D1" w:rsidP="00C72232">
            <w:pPr>
              <w:spacing w:before="60" w:after="60" w:line="240" w:lineRule="auto"/>
              <w:rPr>
                <w:lang w:val="en-GB"/>
              </w:rPr>
            </w:pPr>
            <w:r w:rsidRPr="00A122D1">
              <w:rPr>
                <w:lang w:val="en-GB"/>
              </w:rPr>
              <w:t>Death n (%)</w:t>
            </w:r>
          </w:p>
        </w:tc>
        <w:tc>
          <w:tcPr>
            <w:tcW w:w="2552" w:type="dxa"/>
            <w:shd w:val="clear" w:color="auto" w:fill="auto"/>
          </w:tcPr>
          <w:p w14:paraId="53FC60D3" w14:textId="77777777" w:rsidR="00A122D1" w:rsidRPr="00A122D1" w:rsidRDefault="00A122D1" w:rsidP="00C72232">
            <w:pPr>
              <w:spacing w:before="60" w:after="60" w:line="240" w:lineRule="auto"/>
              <w:rPr>
                <w:lang w:val="en-GB"/>
              </w:rPr>
            </w:pPr>
            <w:r w:rsidRPr="00A122D1">
              <w:rPr>
                <w:lang w:val="en-GB"/>
              </w:rPr>
              <w:t>140 (42)</w:t>
            </w:r>
          </w:p>
        </w:tc>
        <w:tc>
          <w:tcPr>
            <w:tcW w:w="3118" w:type="dxa"/>
            <w:shd w:val="clear" w:color="auto" w:fill="auto"/>
          </w:tcPr>
          <w:p w14:paraId="141B744B" w14:textId="77777777" w:rsidR="00A122D1" w:rsidRPr="00A122D1" w:rsidRDefault="00A122D1" w:rsidP="00C72232">
            <w:pPr>
              <w:spacing w:before="60" w:after="60" w:line="240" w:lineRule="auto"/>
              <w:rPr>
                <w:lang w:val="en-GB"/>
              </w:rPr>
            </w:pPr>
            <w:r w:rsidRPr="00A122D1">
              <w:rPr>
                <w:lang w:val="en-GB"/>
              </w:rPr>
              <w:t>180 (55)</w:t>
            </w:r>
          </w:p>
        </w:tc>
      </w:tr>
      <w:tr w:rsidR="00A122D1" w:rsidRPr="00A122D1" w14:paraId="1F805FF2" w14:textId="77777777" w:rsidTr="005C4884">
        <w:tc>
          <w:tcPr>
            <w:tcW w:w="3085" w:type="dxa"/>
            <w:shd w:val="clear" w:color="auto" w:fill="auto"/>
          </w:tcPr>
          <w:p w14:paraId="1BAF833E" w14:textId="77777777" w:rsidR="00A122D1" w:rsidRPr="00A122D1" w:rsidRDefault="00A122D1" w:rsidP="00C72232">
            <w:pPr>
              <w:spacing w:before="60" w:after="60" w:line="240" w:lineRule="auto"/>
              <w:rPr>
                <w:lang w:val="en-GB"/>
              </w:rPr>
            </w:pPr>
            <w:r w:rsidRPr="00A122D1">
              <w:rPr>
                <w:lang w:val="en-GB"/>
              </w:rPr>
              <w:t>Median OS (95%CI), months</w:t>
            </w:r>
          </w:p>
        </w:tc>
        <w:tc>
          <w:tcPr>
            <w:tcW w:w="2552" w:type="dxa"/>
            <w:shd w:val="clear" w:color="auto" w:fill="auto"/>
          </w:tcPr>
          <w:p w14:paraId="374AA14A" w14:textId="77777777" w:rsidR="00A122D1" w:rsidRPr="00A122D1" w:rsidRDefault="00A122D1" w:rsidP="00C72232">
            <w:pPr>
              <w:spacing w:before="60" w:after="60" w:line="240" w:lineRule="auto"/>
              <w:rPr>
                <w:lang w:val="en-GB"/>
              </w:rPr>
            </w:pPr>
            <w:r w:rsidRPr="00A122D1">
              <w:rPr>
                <w:lang w:val="en-GB"/>
              </w:rPr>
              <w:t>21.4 (18.7, NE)</w:t>
            </w:r>
          </w:p>
        </w:tc>
        <w:tc>
          <w:tcPr>
            <w:tcW w:w="3118" w:type="dxa"/>
            <w:shd w:val="clear" w:color="auto" w:fill="auto"/>
          </w:tcPr>
          <w:p w14:paraId="451A5D76" w14:textId="77777777" w:rsidR="00A122D1" w:rsidRPr="00A122D1" w:rsidRDefault="00A122D1" w:rsidP="00C72232">
            <w:pPr>
              <w:spacing w:before="60" w:after="60" w:line="240" w:lineRule="auto"/>
              <w:rPr>
                <w:lang w:val="en-GB"/>
              </w:rPr>
            </w:pPr>
            <w:r w:rsidRPr="00A122D1">
              <w:rPr>
                <w:lang w:val="en-GB"/>
              </w:rPr>
              <w:t>16.5 (14.7, 18.8)</w:t>
            </w:r>
          </w:p>
        </w:tc>
      </w:tr>
      <w:tr w:rsidR="00A122D1" w:rsidRPr="00A122D1" w14:paraId="7A56C2A8" w14:textId="77777777" w:rsidTr="005C4884">
        <w:tc>
          <w:tcPr>
            <w:tcW w:w="3085" w:type="dxa"/>
            <w:shd w:val="clear" w:color="auto" w:fill="auto"/>
          </w:tcPr>
          <w:p w14:paraId="1AED85DB" w14:textId="77777777" w:rsidR="00A122D1" w:rsidRPr="00A122D1" w:rsidRDefault="00A122D1" w:rsidP="00C72232">
            <w:pPr>
              <w:spacing w:before="60" w:after="60" w:line="240" w:lineRule="auto"/>
              <w:rPr>
                <w:lang w:val="en-GB"/>
              </w:rPr>
            </w:pPr>
            <w:r w:rsidRPr="00A122D1">
              <w:rPr>
                <w:lang w:val="en-GB"/>
              </w:rPr>
              <w:t>HR (95% CI), p-value</w:t>
            </w:r>
            <w:r w:rsidRPr="00A122D1">
              <w:rPr>
                <w:vertAlign w:val="superscript"/>
                <w:lang w:val="en-GB"/>
              </w:rPr>
              <w:t>1</w:t>
            </w:r>
          </w:p>
        </w:tc>
        <w:tc>
          <w:tcPr>
            <w:tcW w:w="5670" w:type="dxa"/>
            <w:gridSpan w:val="2"/>
            <w:shd w:val="clear" w:color="auto" w:fill="auto"/>
          </w:tcPr>
          <w:p w14:paraId="2534EC37" w14:textId="77777777" w:rsidR="00A122D1" w:rsidRPr="00A122D1" w:rsidRDefault="00A122D1" w:rsidP="00C72232">
            <w:pPr>
              <w:spacing w:before="60" w:after="60" w:line="240" w:lineRule="auto"/>
              <w:rPr>
                <w:lang w:val="en-GB"/>
              </w:rPr>
            </w:pPr>
            <w:r w:rsidRPr="00A122D1">
              <w:rPr>
                <w:lang w:val="en-GB"/>
              </w:rPr>
              <w:t>0.66 (0.53, 0.83), p=0.0003</w:t>
            </w:r>
          </w:p>
        </w:tc>
      </w:tr>
    </w:tbl>
    <w:p w14:paraId="6D76AE93" w14:textId="77777777" w:rsidR="00A122D1" w:rsidRPr="00BB14D8" w:rsidRDefault="00A122D1" w:rsidP="00A122D1">
      <w:pPr>
        <w:rPr>
          <w:sz w:val="20"/>
          <w:szCs w:val="20"/>
          <w:lang w:val="en-GB"/>
        </w:rPr>
      </w:pPr>
      <w:r w:rsidRPr="00BB14D8">
        <w:rPr>
          <w:sz w:val="20"/>
          <w:szCs w:val="20"/>
          <w:vertAlign w:val="superscript"/>
          <w:lang w:val="en-GB"/>
        </w:rPr>
        <w:t>1</w:t>
      </w:r>
      <w:r w:rsidRPr="00BB14D8">
        <w:rPr>
          <w:sz w:val="20"/>
          <w:szCs w:val="20"/>
          <w:lang w:val="en-GB"/>
        </w:rPr>
        <w:t xml:space="preserve"> Stratified log-rank test</w:t>
      </w:r>
    </w:p>
    <w:p w14:paraId="7D142DDE" w14:textId="77777777" w:rsidR="004E3D44" w:rsidRDefault="004E3D44">
      <w:pPr>
        <w:rPr>
          <w:b/>
          <w:bCs/>
          <w:lang w:val="en-GB"/>
        </w:rPr>
      </w:pPr>
      <w:bookmarkStart w:id="12" w:name="_Ref490570343"/>
      <w:r>
        <w:rPr>
          <w:b/>
          <w:bCs/>
          <w:lang w:val="en-GB"/>
        </w:rPr>
        <w:br w:type="page"/>
      </w:r>
    </w:p>
    <w:p w14:paraId="0A309038" w14:textId="58B90A3B" w:rsidR="00A122D1" w:rsidRPr="00A122D1" w:rsidRDefault="00A122D1" w:rsidP="00A122D1">
      <w:pPr>
        <w:rPr>
          <w:b/>
          <w:bCs/>
          <w:lang w:val="en-GB"/>
        </w:rPr>
      </w:pPr>
      <w:bookmarkStart w:id="13" w:name="_Ref504472691"/>
      <w:r w:rsidRPr="00A122D1">
        <w:rPr>
          <w:b/>
          <w:bCs/>
          <w:lang w:val="en-GB"/>
        </w:rPr>
        <w:lastRenderedPageBreak/>
        <w:t xml:space="preserve">Table </w:t>
      </w:r>
      <w:r w:rsidRPr="00150CC4">
        <w:rPr>
          <w:b/>
          <w:bCs/>
          <w:lang w:val="en-GB"/>
        </w:rPr>
        <w:fldChar w:fldCharType="begin"/>
      </w:r>
      <w:r w:rsidRPr="00A122D1">
        <w:rPr>
          <w:b/>
          <w:bCs/>
          <w:lang w:val="en-GB"/>
        </w:rPr>
        <w:instrText xml:space="preserve"> SEQ Table \* ARABIC </w:instrText>
      </w:r>
      <w:r w:rsidRPr="00150CC4">
        <w:rPr>
          <w:b/>
          <w:bCs/>
          <w:lang w:val="en-GB"/>
        </w:rPr>
        <w:fldChar w:fldCharType="separate"/>
      </w:r>
      <w:r w:rsidR="00274F80">
        <w:rPr>
          <w:b/>
          <w:bCs/>
          <w:noProof/>
          <w:lang w:val="en-GB"/>
        </w:rPr>
        <w:t>6</w:t>
      </w:r>
      <w:r w:rsidRPr="00150CC4">
        <w:rPr>
          <w:b/>
          <w:bCs/>
          <w:lang w:val="en-GB"/>
        </w:rPr>
        <w:fldChar w:fldCharType="end"/>
      </w:r>
      <w:bookmarkEnd w:id="12"/>
      <w:bookmarkEnd w:id="13"/>
      <w:r w:rsidRPr="00A122D1">
        <w:rPr>
          <w:b/>
          <w:bCs/>
          <w:lang w:val="en-GB"/>
        </w:rPr>
        <w:t>: Summary of ORR findings per independent radiology committee review (IRC) and investigator review</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07"/>
        <w:gridCol w:w="1594"/>
        <w:gridCol w:w="1803"/>
        <w:gridCol w:w="1617"/>
      </w:tblGrid>
      <w:tr w:rsidR="00A122D1" w:rsidRPr="00A122D1" w14:paraId="3263765F" w14:textId="77777777" w:rsidTr="005C4884">
        <w:tc>
          <w:tcPr>
            <w:tcW w:w="1843" w:type="dxa"/>
            <w:shd w:val="clear" w:color="auto" w:fill="auto"/>
          </w:tcPr>
          <w:p w14:paraId="04195D7C" w14:textId="77777777" w:rsidR="00A122D1" w:rsidRPr="00A122D1" w:rsidRDefault="00A122D1" w:rsidP="00C72232">
            <w:pPr>
              <w:spacing w:before="60" w:after="60" w:line="240" w:lineRule="auto"/>
              <w:rPr>
                <w:b/>
                <w:lang w:val="en-GB"/>
              </w:rPr>
            </w:pPr>
          </w:p>
        </w:tc>
        <w:tc>
          <w:tcPr>
            <w:tcW w:w="3408" w:type="dxa"/>
            <w:gridSpan w:val="2"/>
            <w:shd w:val="clear" w:color="auto" w:fill="auto"/>
          </w:tcPr>
          <w:p w14:paraId="5C2406CE" w14:textId="77777777" w:rsidR="00A122D1" w:rsidRPr="00A122D1" w:rsidRDefault="00A122D1" w:rsidP="00C72232">
            <w:pPr>
              <w:spacing w:before="60" w:after="60" w:line="240" w:lineRule="auto"/>
              <w:rPr>
                <w:b/>
                <w:lang w:val="en-GB"/>
              </w:rPr>
            </w:pPr>
            <w:r w:rsidRPr="00A122D1">
              <w:rPr>
                <w:b/>
                <w:lang w:val="en-GB"/>
              </w:rPr>
              <w:t>Primary Analysis ORR</w:t>
            </w:r>
          </w:p>
          <w:p w14:paraId="6D2605D8" w14:textId="77777777" w:rsidR="00A122D1" w:rsidRPr="00A122D1" w:rsidRDefault="00A122D1" w:rsidP="00C72232">
            <w:pPr>
              <w:spacing w:before="60" w:after="60" w:line="240" w:lineRule="auto"/>
              <w:rPr>
                <w:b/>
                <w:lang w:val="en-GB"/>
              </w:rPr>
            </w:pPr>
            <w:r w:rsidRPr="00A122D1">
              <w:rPr>
                <w:b/>
                <w:lang w:val="en-GB"/>
              </w:rPr>
              <w:t>Intent-To-Treat Population (IRC)</w:t>
            </w:r>
          </w:p>
        </w:tc>
        <w:tc>
          <w:tcPr>
            <w:tcW w:w="3396" w:type="dxa"/>
            <w:gridSpan w:val="2"/>
            <w:shd w:val="clear" w:color="auto" w:fill="auto"/>
          </w:tcPr>
          <w:p w14:paraId="66BB16B8" w14:textId="77777777" w:rsidR="00A122D1" w:rsidRPr="00A122D1" w:rsidRDefault="00A122D1" w:rsidP="00C72232">
            <w:pPr>
              <w:spacing w:before="60" w:after="60" w:line="240" w:lineRule="auto"/>
              <w:rPr>
                <w:b/>
                <w:lang w:val="en-GB"/>
              </w:rPr>
            </w:pPr>
            <w:r w:rsidRPr="00A122D1">
              <w:rPr>
                <w:b/>
                <w:lang w:val="en-GB"/>
              </w:rPr>
              <w:t>ORR per Investigator Review Intent-To-Treat Population</w:t>
            </w:r>
          </w:p>
        </w:tc>
      </w:tr>
      <w:tr w:rsidR="00A122D1" w:rsidRPr="00A122D1" w14:paraId="433933BA" w14:textId="77777777" w:rsidTr="005C4884">
        <w:tc>
          <w:tcPr>
            <w:tcW w:w="1843" w:type="dxa"/>
            <w:shd w:val="clear" w:color="auto" w:fill="auto"/>
          </w:tcPr>
          <w:p w14:paraId="2CC0F913" w14:textId="77777777" w:rsidR="00A122D1" w:rsidRPr="00A122D1" w:rsidRDefault="00A122D1" w:rsidP="00C72232">
            <w:pPr>
              <w:spacing w:before="60" w:after="60" w:line="240" w:lineRule="auto"/>
              <w:rPr>
                <w:b/>
                <w:lang w:val="en-GB"/>
              </w:rPr>
            </w:pPr>
            <w:r w:rsidRPr="00A122D1">
              <w:rPr>
                <w:b/>
                <w:lang w:val="en-GB"/>
              </w:rPr>
              <w:t>Endpoint</w:t>
            </w:r>
          </w:p>
        </w:tc>
        <w:tc>
          <w:tcPr>
            <w:tcW w:w="1807" w:type="dxa"/>
            <w:shd w:val="clear" w:color="auto" w:fill="auto"/>
          </w:tcPr>
          <w:p w14:paraId="02200A39" w14:textId="77777777" w:rsidR="00A122D1" w:rsidRPr="00A122D1" w:rsidRDefault="00A122D1" w:rsidP="00C72232">
            <w:pPr>
              <w:spacing w:before="60" w:after="60" w:line="240" w:lineRule="auto"/>
              <w:rPr>
                <w:b/>
                <w:lang w:val="en-GB"/>
              </w:rPr>
            </w:pPr>
            <w:r w:rsidRPr="00A122D1">
              <w:rPr>
                <w:b/>
                <w:lang w:val="en-GB"/>
              </w:rPr>
              <w:t>CABOMETYX</w:t>
            </w:r>
          </w:p>
        </w:tc>
        <w:tc>
          <w:tcPr>
            <w:tcW w:w="1601" w:type="dxa"/>
            <w:shd w:val="clear" w:color="auto" w:fill="auto"/>
          </w:tcPr>
          <w:p w14:paraId="2234E8A7" w14:textId="77777777" w:rsidR="00A122D1" w:rsidRPr="00A122D1" w:rsidRDefault="00A122D1" w:rsidP="00C72232">
            <w:pPr>
              <w:spacing w:before="60" w:after="60" w:line="240" w:lineRule="auto"/>
              <w:rPr>
                <w:b/>
                <w:lang w:val="en-GB"/>
              </w:rPr>
            </w:pPr>
            <w:r w:rsidRPr="00A122D1">
              <w:rPr>
                <w:b/>
                <w:lang w:val="en-GB"/>
              </w:rPr>
              <w:t>Everolimus</w:t>
            </w:r>
          </w:p>
        </w:tc>
        <w:tc>
          <w:tcPr>
            <w:tcW w:w="1771" w:type="dxa"/>
            <w:shd w:val="clear" w:color="auto" w:fill="auto"/>
          </w:tcPr>
          <w:p w14:paraId="62CE0E22" w14:textId="77777777" w:rsidR="00A122D1" w:rsidRPr="00A122D1" w:rsidRDefault="00A122D1" w:rsidP="00C72232">
            <w:pPr>
              <w:spacing w:before="60" w:after="60" w:line="240" w:lineRule="auto"/>
              <w:rPr>
                <w:b/>
                <w:lang w:val="en-GB"/>
              </w:rPr>
            </w:pPr>
            <w:r w:rsidRPr="00A122D1">
              <w:rPr>
                <w:b/>
                <w:lang w:val="en-GB"/>
              </w:rPr>
              <w:t>CABOMETYX</w:t>
            </w:r>
          </w:p>
        </w:tc>
        <w:tc>
          <w:tcPr>
            <w:tcW w:w="1625" w:type="dxa"/>
            <w:shd w:val="clear" w:color="auto" w:fill="auto"/>
          </w:tcPr>
          <w:p w14:paraId="1601196D" w14:textId="77777777" w:rsidR="00A122D1" w:rsidRPr="00A122D1" w:rsidRDefault="00A122D1" w:rsidP="00C72232">
            <w:pPr>
              <w:spacing w:before="60" w:after="60" w:line="240" w:lineRule="auto"/>
              <w:rPr>
                <w:b/>
                <w:lang w:val="en-GB"/>
              </w:rPr>
            </w:pPr>
            <w:r w:rsidRPr="00A122D1">
              <w:rPr>
                <w:b/>
                <w:lang w:val="en-GB"/>
              </w:rPr>
              <w:t>Everolimus</w:t>
            </w:r>
          </w:p>
        </w:tc>
      </w:tr>
      <w:tr w:rsidR="00A122D1" w:rsidRPr="00A122D1" w14:paraId="5B2254BD" w14:textId="77777777" w:rsidTr="005C4884">
        <w:tc>
          <w:tcPr>
            <w:tcW w:w="1843" w:type="dxa"/>
            <w:shd w:val="clear" w:color="auto" w:fill="auto"/>
          </w:tcPr>
          <w:p w14:paraId="04824B34" w14:textId="77777777" w:rsidR="00A122D1" w:rsidRPr="00A122D1" w:rsidRDefault="00A122D1" w:rsidP="00C72232">
            <w:pPr>
              <w:spacing w:before="60" w:after="60" w:line="240" w:lineRule="auto"/>
              <w:rPr>
                <w:lang w:val="en-GB"/>
              </w:rPr>
            </w:pPr>
          </w:p>
        </w:tc>
        <w:tc>
          <w:tcPr>
            <w:tcW w:w="1807" w:type="dxa"/>
            <w:shd w:val="clear" w:color="auto" w:fill="auto"/>
          </w:tcPr>
          <w:p w14:paraId="158BBB32" w14:textId="77777777" w:rsidR="00A122D1" w:rsidRPr="00A122D1" w:rsidRDefault="00A122D1" w:rsidP="00C72232">
            <w:pPr>
              <w:spacing w:before="60" w:after="60" w:line="240" w:lineRule="auto"/>
              <w:rPr>
                <w:lang w:val="en-GB"/>
              </w:rPr>
            </w:pPr>
            <w:r w:rsidRPr="00A122D1">
              <w:rPr>
                <w:lang w:val="en-GB"/>
              </w:rPr>
              <w:t>N = 330</w:t>
            </w:r>
          </w:p>
        </w:tc>
        <w:tc>
          <w:tcPr>
            <w:tcW w:w="1601" w:type="dxa"/>
            <w:shd w:val="clear" w:color="auto" w:fill="auto"/>
          </w:tcPr>
          <w:p w14:paraId="2C993492" w14:textId="77777777" w:rsidR="00A122D1" w:rsidRPr="00A122D1" w:rsidRDefault="00A122D1" w:rsidP="00C72232">
            <w:pPr>
              <w:spacing w:before="60" w:after="60" w:line="240" w:lineRule="auto"/>
              <w:rPr>
                <w:lang w:val="en-GB"/>
              </w:rPr>
            </w:pPr>
            <w:r w:rsidRPr="00A122D1">
              <w:rPr>
                <w:lang w:val="en-GB"/>
              </w:rPr>
              <w:t>N = 328</w:t>
            </w:r>
          </w:p>
        </w:tc>
        <w:tc>
          <w:tcPr>
            <w:tcW w:w="1771" w:type="dxa"/>
            <w:shd w:val="clear" w:color="auto" w:fill="auto"/>
          </w:tcPr>
          <w:p w14:paraId="0C82A2DA" w14:textId="77777777" w:rsidR="00A122D1" w:rsidRPr="00A122D1" w:rsidRDefault="00A122D1" w:rsidP="00C72232">
            <w:pPr>
              <w:spacing w:before="60" w:after="60" w:line="240" w:lineRule="auto"/>
              <w:rPr>
                <w:lang w:val="en-GB"/>
              </w:rPr>
            </w:pPr>
            <w:r w:rsidRPr="00A122D1">
              <w:rPr>
                <w:lang w:val="en-GB"/>
              </w:rPr>
              <w:t>N = 330</w:t>
            </w:r>
          </w:p>
        </w:tc>
        <w:tc>
          <w:tcPr>
            <w:tcW w:w="1625" w:type="dxa"/>
            <w:shd w:val="clear" w:color="auto" w:fill="auto"/>
          </w:tcPr>
          <w:p w14:paraId="0AAE488F" w14:textId="77777777" w:rsidR="00A122D1" w:rsidRPr="00A122D1" w:rsidRDefault="00A122D1" w:rsidP="00C72232">
            <w:pPr>
              <w:spacing w:before="60" w:after="60" w:line="240" w:lineRule="auto"/>
              <w:rPr>
                <w:lang w:val="en-GB"/>
              </w:rPr>
            </w:pPr>
            <w:r w:rsidRPr="00A122D1">
              <w:rPr>
                <w:lang w:val="en-GB"/>
              </w:rPr>
              <w:t>N = 328</w:t>
            </w:r>
          </w:p>
        </w:tc>
      </w:tr>
      <w:tr w:rsidR="00A122D1" w:rsidRPr="00A122D1" w14:paraId="08B8DAF5" w14:textId="77777777" w:rsidTr="005C4884">
        <w:tc>
          <w:tcPr>
            <w:tcW w:w="1843" w:type="dxa"/>
            <w:shd w:val="clear" w:color="auto" w:fill="auto"/>
          </w:tcPr>
          <w:p w14:paraId="4F19B8BE" w14:textId="77777777" w:rsidR="00A122D1" w:rsidRPr="00A122D1" w:rsidRDefault="00A122D1" w:rsidP="00C72232">
            <w:pPr>
              <w:spacing w:before="60" w:after="60" w:line="240" w:lineRule="auto"/>
              <w:rPr>
                <w:lang w:val="en-GB"/>
              </w:rPr>
            </w:pPr>
            <w:r w:rsidRPr="00A122D1">
              <w:rPr>
                <w:lang w:val="en-GB"/>
              </w:rPr>
              <w:t>ORR (partial responses only) (95% CI)</w:t>
            </w:r>
          </w:p>
        </w:tc>
        <w:tc>
          <w:tcPr>
            <w:tcW w:w="1807" w:type="dxa"/>
            <w:shd w:val="clear" w:color="auto" w:fill="auto"/>
          </w:tcPr>
          <w:p w14:paraId="28D121F3" w14:textId="77777777" w:rsidR="00A122D1" w:rsidRPr="00A122D1" w:rsidRDefault="00A122D1" w:rsidP="00C72232">
            <w:pPr>
              <w:spacing w:before="60" w:after="60" w:line="240" w:lineRule="auto"/>
              <w:rPr>
                <w:lang w:val="en-GB"/>
              </w:rPr>
            </w:pPr>
            <w:r w:rsidRPr="00A122D1">
              <w:rPr>
                <w:lang w:val="en-GB"/>
              </w:rPr>
              <w:t>17% (13%, 22%)</w:t>
            </w:r>
          </w:p>
        </w:tc>
        <w:tc>
          <w:tcPr>
            <w:tcW w:w="1601" w:type="dxa"/>
            <w:shd w:val="clear" w:color="auto" w:fill="auto"/>
          </w:tcPr>
          <w:p w14:paraId="7A102158" w14:textId="77777777" w:rsidR="00A122D1" w:rsidRPr="00A122D1" w:rsidRDefault="00A122D1" w:rsidP="00C72232">
            <w:pPr>
              <w:spacing w:before="60" w:after="60" w:line="240" w:lineRule="auto"/>
              <w:rPr>
                <w:lang w:val="en-GB"/>
              </w:rPr>
            </w:pPr>
            <w:r w:rsidRPr="00A122D1">
              <w:rPr>
                <w:lang w:val="en-GB"/>
              </w:rPr>
              <w:t>3% (2%, 6%)</w:t>
            </w:r>
          </w:p>
        </w:tc>
        <w:tc>
          <w:tcPr>
            <w:tcW w:w="1771" w:type="dxa"/>
            <w:shd w:val="clear" w:color="auto" w:fill="auto"/>
          </w:tcPr>
          <w:p w14:paraId="57DC2467" w14:textId="77777777" w:rsidR="00A122D1" w:rsidRPr="00A122D1" w:rsidRDefault="00A122D1" w:rsidP="00C72232">
            <w:pPr>
              <w:spacing w:before="60" w:after="60" w:line="240" w:lineRule="auto"/>
              <w:rPr>
                <w:lang w:val="en-GB"/>
              </w:rPr>
            </w:pPr>
            <w:r w:rsidRPr="00A122D1">
              <w:rPr>
                <w:lang w:val="en-GB"/>
              </w:rPr>
              <w:t>24% (19%, 29%)</w:t>
            </w:r>
          </w:p>
        </w:tc>
        <w:tc>
          <w:tcPr>
            <w:tcW w:w="1625" w:type="dxa"/>
            <w:shd w:val="clear" w:color="auto" w:fill="auto"/>
          </w:tcPr>
          <w:p w14:paraId="336D71F0" w14:textId="77777777" w:rsidR="00A122D1" w:rsidRPr="00A122D1" w:rsidRDefault="00A122D1" w:rsidP="00C72232">
            <w:pPr>
              <w:spacing w:before="60" w:after="60" w:line="240" w:lineRule="auto"/>
              <w:rPr>
                <w:lang w:val="en-GB"/>
              </w:rPr>
            </w:pPr>
            <w:r w:rsidRPr="00A122D1">
              <w:rPr>
                <w:lang w:val="en-GB"/>
              </w:rPr>
              <w:t>4% (2%, 7%)</w:t>
            </w:r>
          </w:p>
        </w:tc>
      </w:tr>
      <w:tr w:rsidR="00A122D1" w:rsidRPr="00A122D1" w14:paraId="7D33E548" w14:textId="77777777" w:rsidTr="005C4884">
        <w:tc>
          <w:tcPr>
            <w:tcW w:w="1843" w:type="dxa"/>
            <w:shd w:val="clear" w:color="auto" w:fill="auto"/>
          </w:tcPr>
          <w:p w14:paraId="36B4A985" w14:textId="77777777" w:rsidR="00A122D1" w:rsidRPr="00A122D1" w:rsidRDefault="00A122D1" w:rsidP="00C72232">
            <w:pPr>
              <w:spacing w:before="60" w:after="60" w:line="240" w:lineRule="auto"/>
              <w:rPr>
                <w:lang w:val="en-GB"/>
              </w:rPr>
            </w:pPr>
            <w:r w:rsidRPr="00A122D1">
              <w:rPr>
                <w:lang w:val="en-GB"/>
              </w:rPr>
              <w:t>p-value</w:t>
            </w:r>
            <w:r w:rsidRPr="00A122D1">
              <w:rPr>
                <w:vertAlign w:val="superscript"/>
                <w:lang w:val="en-GB"/>
              </w:rPr>
              <w:t>1</w:t>
            </w:r>
          </w:p>
        </w:tc>
        <w:tc>
          <w:tcPr>
            <w:tcW w:w="3408" w:type="dxa"/>
            <w:gridSpan w:val="2"/>
            <w:shd w:val="clear" w:color="auto" w:fill="auto"/>
          </w:tcPr>
          <w:p w14:paraId="4BD815DA" w14:textId="77777777" w:rsidR="00A122D1" w:rsidRPr="00A122D1" w:rsidRDefault="00A122D1" w:rsidP="00C72232">
            <w:pPr>
              <w:spacing w:before="60" w:after="60" w:line="240" w:lineRule="auto"/>
              <w:rPr>
                <w:lang w:val="en-GB"/>
              </w:rPr>
            </w:pPr>
            <w:r w:rsidRPr="00A122D1">
              <w:rPr>
                <w:lang w:val="en-GB"/>
              </w:rPr>
              <w:t>p&lt;0.0001</w:t>
            </w:r>
          </w:p>
        </w:tc>
        <w:tc>
          <w:tcPr>
            <w:tcW w:w="3396" w:type="dxa"/>
            <w:gridSpan w:val="2"/>
            <w:shd w:val="clear" w:color="auto" w:fill="auto"/>
          </w:tcPr>
          <w:p w14:paraId="3BCB316D" w14:textId="77777777" w:rsidR="00A122D1" w:rsidRPr="00A122D1" w:rsidRDefault="00A122D1" w:rsidP="00C72232">
            <w:pPr>
              <w:spacing w:before="60" w:after="60" w:line="240" w:lineRule="auto"/>
              <w:rPr>
                <w:lang w:val="en-GB"/>
              </w:rPr>
            </w:pPr>
            <w:r w:rsidRPr="00A122D1">
              <w:rPr>
                <w:lang w:val="en-GB"/>
              </w:rPr>
              <w:t>p&lt;0.0001</w:t>
            </w:r>
          </w:p>
        </w:tc>
      </w:tr>
      <w:tr w:rsidR="00A122D1" w:rsidRPr="00A122D1" w14:paraId="7FC696F9" w14:textId="77777777" w:rsidTr="005C4884">
        <w:tc>
          <w:tcPr>
            <w:tcW w:w="1843" w:type="dxa"/>
            <w:shd w:val="clear" w:color="auto" w:fill="auto"/>
          </w:tcPr>
          <w:p w14:paraId="4AEFEE52" w14:textId="77777777" w:rsidR="00A122D1" w:rsidRPr="00A122D1" w:rsidRDefault="00A122D1" w:rsidP="00C72232">
            <w:pPr>
              <w:spacing w:before="60" w:after="60" w:line="240" w:lineRule="auto"/>
              <w:rPr>
                <w:lang w:val="en-GB"/>
              </w:rPr>
            </w:pPr>
            <w:r w:rsidRPr="00A122D1">
              <w:rPr>
                <w:lang w:val="en-GB"/>
              </w:rPr>
              <w:t>Partial Response</w:t>
            </w:r>
          </w:p>
        </w:tc>
        <w:tc>
          <w:tcPr>
            <w:tcW w:w="1807" w:type="dxa"/>
            <w:shd w:val="clear" w:color="auto" w:fill="auto"/>
          </w:tcPr>
          <w:p w14:paraId="7196A0AB" w14:textId="77777777" w:rsidR="00A122D1" w:rsidRPr="00A122D1" w:rsidRDefault="00A122D1" w:rsidP="00C72232">
            <w:pPr>
              <w:spacing w:before="60" w:after="60" w:line="240" w:lineRule="auto"/>
              <w:rPr>
                <w:lang w:val="en-GB"/>
              </w:rPr>
            </w:pPr>
            <w:r w:rsidRPr="00A122D1">
              <w:rPr>
                <w:lang w:val="en-GB"/>
              </w:rPr>
              <w:t>17%</w:t>
            </w:r>
          </w:p>
        </w:tc>
        <w:tc>
          <w:tcPr>
            <w:tcW w:w="1601" w:type="dxa"/>
            <w:shd w:val="clear" w:color="auto" w:fill="auto"/>
          </w:tcPr>
          <w:p w14:paraId="3A9EBB01" w14:textId="77777777" w:rsidR="00A122D1" w:rsidRPr="00A122D1" w:rsidRDefault="00A122D1" w:rsidP="00C72232">
            <w:pPr>
              <w:spacing w:before="60" w:after="60" w:line="240" w:lineRule="auto"/>
              <w:rPr>
                <w:lang w:val="en-GB"/>
              </w:rPr>
            </w:pPr>
            <w:r w:rsidRPr="00A122D1">
              <w:rPr>
                <w:lang w:val="en-GB"/>
              </w:rPr>
              <w:t>3%</w:t>
            </w:r>
          </w:p>
        </w:tc>
        <w:tc>
          <w:tcPr>
            <w:tcW w:w="1771" w:type="dxa"/>
            <w:shd w:val="clear" w:color="auto" w:fill="auto"/>
          </w:tcPr>
          <w:p w14:paraId="7678EB01" w14:textId="77777777" w:rsidR="00A122D1" w:rsidRPr="00A122D1" w:rsidRDefault="00A122D1" w:rsidP="00C72232">
            <w:pPr>
              <w:spacing w:before="60" w:after="60" w:line="240" w:lineRule="auto"/>
              <w:rPr>
                <w:lang w:val="en-GB"/>
              </w:rPr>
            </w:pPr>
            <w:r w:rsidRPr="00A122D1">
              <w:rPr>
                <w:lang w:val="en-GB"/>
              </w:rPr>
              <w:t>24%</w:t>
            </w:r>
          </w:p>
        </w:tc>
        <w:tc>
          <w:tcPr>
            <w:tcW w:w="1625" w:type="dxa"/>
            <w:shd w:val="clear" w:color="auto" w:fill="auto"/>
          </w:tcPr>
          <w:p w14:paraId="17DC76CF" w14:textId="77777777" w:rsidR="00A122D1" w:rsidRPr="00A122D1" w:rsidRDefault="00A122D1" w:rsidP="00C72232">
            <w:pPr>
              <w:spacing w:before="60" w:after="60" w:line="240" w:lineRule="auto"/>
              <w:rPr>
                <w:lang w:val="en-GB"/>
              </w:rPr>
            </w:pPr>
            <w:r w:rsidRPr="00A122D1">
              <w:rPr>
                <w:lang w:val="en-GB"/>
              </w:rPr>
              <w:t>4%</w:t>
            </w:r>
          </w:p>
        </w:tc>
      </w:tr>
      <w:tr w:rsidR="00A122D1" w:rsidRPr="00A122D1" w14:paraId="062F47C5" w14:textId="77777777" w:rsidTr="005C4884">
        <w:tc>
          <w:tcPr>
            <w:tcW w:w="1843" w:type="dxa"/>
            <w:shd w:val="clear" w:color="auto" w:fill="auto"/>
          </w:tcPr>
          <w:p w14:paraId="009ABC02" w14:textId="77777777" w:rsidR="00A122D1" w:rsidRPr="00A122D1" w:rsidRDefault="00A122D1" w:rsidP="00C72232">
            <w:pPr>
              <w:spacing w:before="60" w:after="60" w:line="240" w:lineRule="auto"/>
              <w:rPr>
                <w:lang w:val="en-GB"/>
              </w:rPr>
            </w:pPr>
            <w:r w:rsidRPr="00A122D1">
              <w:rPr>
                <w:lang w:val="en-GB"/>
              </w:rPr>
              <w:t>Median time to First Response, months (95%CI)</w:t>
            </w:r>
          </w:p>
        </w:tc>
        <w:tc>
          <w:tcPr>
            <w:tcW w:w="1807" w:type="dxa"/>
            <w:shd w:val="clear" w:color="auto" w:fill="auto"/>
          </w:tcPr>
          <w:p w14:paraId="4B2B3B6B" w14:textId="77777777" w:rsidR="00A122D1" w:rsidRPr="00A122D1" w:rsidRDefault="00A122D1" w:rsidP="00C72232">
            <w:pPr>
              <w:spacing w:before="60" w:after="60" w:line="240" w:lineRule="auto"/>
              <w:rPr>
                <w:lang w:val="en-GB"/>
              </w:rPr>
            </w:pPr>
            <w:r w:rsidRPr="00A122D1">
              <w:rPr>
                <w:lang w:val="en-GB"/>
              </w:rPr>
              <w:t>1.91 (1.6, 11.0)</w:t>
            </w:r>
          </w:p>
        </w:tc>
        <w:tc>
          <w:tcPr>
            <w:tcW w:w="1601" w:type="dxa"/>
            <w:shd w:val="clear" w:color="auto" w:fill="auto"/>
          </w:tcPr>
          <w:p w14:paraId="54935588" w14:textId="77777777" w:rsidR="00A122D1" w:rsidRPr="00A122D1" w:rsidRDefault="00A122D1" w:rsidP="00C72232">
            <w:pPr>
              <w:spacing w:before="60" w:after="60" w:line="240" w:lineRule="auto"/>
              <w:rPr>
                <w:lang w:val="en-GB"/>
              </w:rPr>
            </w:pPr>
            <w:r w:rsidRPr="00A122D1">
              <w:rPr>
                <w:lang w:val="en-GB"/>
              </w:rPr>
              <w:t>2.14 (1.9, 9.2)</w:t>
            </w:r>
          </w:p>
        </w:tc>
        <w:tc>
          <w:tcPr>
            <w:tcW w:w="1771" w:type="dxa"/>
            <w:shd w:val="clear" w:color="auto" w:fill="auto"/>
          </w:tcPr>
          <w:p w14:paraId="334529A9" w14:textId="77777777" w:rsidR="00A122D1" w:rsidRPr="00A122D1" w:rsidRDefault="00A122D1" w:rsidP="00C72232">
            <w:pPr>
              <w:spacing w:before="60" w:after="60" w:line="240" w:lineRule="auto"/>
              <w:rPr>
                <w:lang w:val="en-GB"/>
              </w:rPr>
            </w:pPr>
            <w:r w:rsidRPr="00A122D1">
              <w:rPr>
                <w:lang w:val="en-GB"/>
              </w:rPr>
              <w:t>1.91 (1.3, 9.8)</w:t>
            </w:r>
          </w:p>
        </w:tc>
        <w:tc>
          <w:tcPr>
            <w:tcW w:w="1625" w:type="dxa"/>
            <w:shd w:val="clear" w:color="auto" w:fill="auto"/>
          </w:tcPr>
          <w:p w14:paraId="7F5BF768" w14:textId="77777777" w:rsidR="00A122D1" w:rsidRPr="00A122D1" w:rsidRDefault="00A122D1" w:rsidP="00C72232">
            <w:pPr>
              <w:spacing w:before="60" w:after="60" w:line="240" w:lineRule="auto"/>
              <w:rPr>
                <w:lang w:val="en-GB"/>
              </w:rPr>
            </w:pPr>
            <w:r w:rsidRPr="00A122D1">
              <w:rPr>
                <w:lang w:val="en-GB"/>
              </w:rPr>
              <w:t>3.50 (1.8, 5.6)</w:t>
            </w:r>
          </w:p>
        </w:tc>
      </w:tr>
      <w:tr w:rsidR="00A122D1" w:rsidRPr="00A122D1" w14:paraId="6678C7BF" w14:textId="77777777" w:rsidTr="005C4884">
        <w:tc>
          <w:tcPr>
            <w:tcW w:w="1843" w:type="dxa"/>
            <w:shd w:val="clear" w:color="auto" w:fill="auto"/>
          </w:tcPr>
          <w:p w14:paraId="5EE11520" w14:textId="77777777" w:rsidR="00A122D1" w:rsidRPr="00A122D1" w:rsidRDefault="00A122D1" w:rsidP="00C72232">
            <w:pPr>
              <w:spacing w:before="60" w:after="60" w:line="240" w:lineRule="auto"/>
              <w:rPr>
                <w:lang w:val="en-GB"/>
              </w:rPr>
            </w:pPr>
            <w:r w:rsidRPr="00A122D1">
              <w:rPr>
                <w:lang w:val="en-GB"/>
              </w:rPr>
              <w:t>Stable Disease as Best Response</w:t>
            </w:r>
          </w:p>
        </w:tc>
        <w:tc>
          <w:tcPr>
            <w:tcW w:w="1807" w:type="dxa"/>
            <w:shd w:val="clear" w:color="auto" w:fill="auto"/>
          </w:tcPr>
          <w:p w14:paraId="7BF44E2E" w14:textId="77777777" w:rsidR="00A122D1" w:rsidRPr="00A122D1" w:rsidRDefault="00A122D1" w:rsidP="00C72232">
            <w:pPr>
              <w:spacing w:before="60" w:after="60" w:line="240" w:lineRule="auto"/>
              <w:rPr>
                <w:lang w:val="en-GB"/>
              </w:rPr>
            </w:pPr>
            <w:r w:rsidRPr="00A122D1">
              <w:rPr>
                <w:lang w:val="en-GB"/>
              </w:rPr>
              <w:t>65%</w:t>
            </w:r>
          </w:p>
        </w:tc>
        <w:tc>
          <w:tcPr>
            <w:tcW w:w="1601" w:type="dxa"/>
            <w:shd w:val="clear" w:color="auto" w:fill="auto"/>
          </w:tcPr>
          <w:p w14:paraId="66682794" w14:textId="77777777" w:rsidR="00A122D1" w:rsidRPr="00A122D1" w:rsidRDefault="00A122D1" w:rsidP="00C72232">
            <w:pPr>
              <w:spacing w:before="60" w:after="60" w:line="240" w:lineRule="auto"/>
              <w:rPr>
                <w:lang w:val="en-GB"/>
              </w:rPr>
            </w:pPr>
            <w:r w:rsidRPr="00A122D1">
              <w:rPr>
                <w:lang w:val="en-GB"/>
              </w:rPr>
              <w:t>62%</w:t>
            </w:r>
          </w:p>
        </w:tc>
        <w:tc>
          <w:tcPr>
            <w:tcW w:w="1771" w:type="dxa"/>
            <w:shd w:val="clear" w:color="auto" w:fill="auto"/>
          </w:tcPr>
          <w:p w14:paraId="44C3561F" w14:textId="77777777" w:rsidR="00A122D1" w:rsidRPr="00A122D1" w:rsidRDefault="00A122D1" w:rsidP="00C72232">
            <w:pPr>
              <w:spacing w:before="60" w:after="60" w:line="240" w:lineRule="auto"/>
              <w:rPr>
                <w:lang w:val="en-GB"/>
              </w:rPr>
            </w:pPr>
            <w:r w:rsidRPr="00A122D1">
              <w:rPr>
                <w:lang w:val="en-GB"/>
              </w:rPr>
              <w:t>63%</w:t>
            </w:r>
          </w:p>
        </w:tc>
        <w:tc>
          <w:tcPr>
            <w:tcW w:w="1625" w:type="dxa"/>
            <w:shd w:val="clear" w:color="auto" w:fill="auto"/>
          </w:tcPr>
          <w:p w14:paraId="14CBB8AF" w14:textId="77777777" w:rsidR="00A122D1" w:rsidRPr="00A122D1" w:rsidRDefault="00A122D1" w:rsidP="00C72232">
            <w:pPr>
              <w:spacing w:before="60" w:after="60" w:line="240" w:lineRule="auto"/>
              <w:rPr>
                <w:lang w:val="en-GB"/>
              </w:rPr>
            </w:pPr>
            <w:r w:rsidRPr="00A122D1">
              <w:rPr>
                <w:lang w:val="en-GB"/>
              </w:rPr>
              <w:t>63%</w:t>
            </w:r>
          </w:p>
        </w:tc>
      </w:tr>
      <w:tr w:rsidR="00A122D1" w:rsidRPr="00A122D1" w14:paraId="5864DC13" w14:textId="77777777" w:rsidTr="005C4884">
        <w:tc>
          <w:tcPr>
            <w:tcW w:w="1843" w:type="dxa"/>
            <w:shd w:val="clear" w:color="auto" w:fill="auto"/>
          </w:tcPr>
          <w:p w14:paraId="4293D0BD" w14:textId="77777777" w:rsidR="00A122D1" w:rsidRPr="00A122D1" w:rsidRDefault="00A122D1" w:rsidP="00C72232">
            <w:pPr>
              <w:spacing w:before="60" w:after="60" w:line="240" w:lineRule="auto"/>
              <w:rPr>
                <w:lang w:val="en-GB"/>
              </w:rPr>
            </w:pPr>
            <w:r w:rsidRPr="00A122D1">
              <w:rPr>
                <w:lang w:val="en-GB"/>
              </w:rPr>
              <w:t>Progressive Disease as Best Response</w:t>
            </w:r>
          </w:p>
        </w:tc>
        <w:tc>
          <w:tcPr>
            <w:tcW w:w="1807" w:type="dxa"/>
            <w:shd w:val="clear" w:color="auto" w:fill="auto"/>
          </w:tcPr>
          <w:p w14:paraId="3BBBC125" w14:textId="77777777" w:rsidR="00A122D1" w:rsidRPr="00A122D1" w:rsidRDefault="00A122D1" w:rsidP="00C72232">
            <w:pPr>
              <w:spacing w:before="60" w:after="60" w:line="240" w:lineRule="auto"/>
              <w:rPr>
                <w:lang w:val="en-GB"/>
              </w:rPr>
            </w:pPr>
            <w:r w:rsidRPr="00A122D1">
              <w:rPr>
                <w:lang w:val="en-GB"/>
              </w:rPr>
              <w:t>12%</w:t>
            </w:r>
          </w:p>
        </w:tc>
        <w:tc>
          <w:tcPr>
            <w:tcW w:w="1601" w:type="dxa"/>
            <w:shd w:val="clear" w:color="auto" w:fill="auto"/>
          </w:tcPr>
          <w:p w14:paraId="2CED8428" w14:textId="77777777" w:rsidR="00A122D1" w:rsidRPr="00A122D1" w:rsidRDefault="00A122D1" w:rsidP="00C72232">
            <w:pPr>
              <w:spacing w:before="60" w:after="60" w:line="240" w:lineRule="auto"/>
              <w:rPr>
                <w:lang w:val="en-GB"/>
              </w:rPr>
            </w:pPr>
            <w:r w:rsidRPr="00A122D1">
              <w:rPr>
                <w:lang w:val="en-GB"/>
              </w:rPr>
              <w:t>27%</w:t>
            </w:r>
          </w:p>
        </w:tc>
        <w:tc>
          <w:tcPr>
            <w:tcW w:w="1771" w:type="dxa"/>
            <w:shd w:val="clear" w:color="auto" w:fill="auto"/>
          </w:tcPr>
          <w:p w14:paraId="2EF3B299" w14:textId="77777777" w:rsidR="00A122D1" w:rsidRPr="00A122D1" w:rsidRDefault="00A122D1" w:rsidP="00C72232">
            <w:pPr>
              <w:spacing w:before="60" w:after="60" w:line="240" w:lineRule="auto"/>
              <w:rPr>
                <w:lang w:val="en-GB"/>
              </w:rPr>
            </w:pPr>
            <w:r w:rsidRPr="00A122D1">
              <w:rPr>
                <w:lang w:val="en-GB"/>
              </w:rPr>
              <w:t>9%</w:t>
            </w:r>
          </w:p>
        </w:tc>
        <w:tc>
          <w:tcPr>
            <w:tcW w:w="1625" w:type="dxa"/>
            <w:shd w:val="clear" w:color="auto" w:fill="auto"/>
          </w:tcPr>
          <w:p w14:paraId="561756AC" w14:textId="77777777" w:rsidR="00A122D1" w:rsidRPr="00A122D1" w:rsidRDefault="00A122D1" w:rsidP="00C72232">
            <w:pPr>
              <w:spacing w:before="60" w:after="60" w:line="240" w:lineRule="auto"/>
              <w:rPr>
                <w:lang w:val="en-GB"/>
              </w:rPr>
            </w:pPr>
            <w:r w:rsidRPr="00A122D1">
              <w:rPr>
                <w:lang w:val="en-GB"/>
              </w:rPr>
              <w:t>27%</w:t>
            </w:r>
          </w:p>
        </w:tc>
      </w:tr>
    </w:tbl>
    <w:p w14:paraId="305BABB5" w14:textId="77777777" w:rsidR="00A122D1" w:rsidRPr="00A122D1" w:rsidRDefault="00A122D1" w:rsidP="00A122D1">
      <w:pPr>
        <w:rPr>
          <w:lang w:val="en-GB"/>
        </w:rPr>
      </w:pPr>
      <w:r w:rsidRPr="00A122D1">
        <w:rPr>
          <w:vertAlign w:val="superscript"/>
          <w:lang w:val="en-GB"/>
        </w:rPr>
        <w:t>1</w:t>
      </w:r>
      <w:r w:rsidRPr="00A122D1">
        <w:rPr>
          <w:lang w:val="en-GB"/>
        </w:rPr>
        <w:t xml:space="preserve"> chi-squared test</w:t>
      </w:r>
    </w:p>
    <w:p w14:paraId="47D6FA52" w14:textId="77777777" w:rsidR="001A3992" w:rsidRPr="00600F91" w:rsidRDefault="001A3992" w:rsidP="001A3992">
      <w:pPr>
        <w:pStyle w:val="Heading2"/>
        <w:keepNext/>
        <w:spacing w:before="0" w:after="120"/>
        <w:rPr>
          <w:rFonts w:cs="Times New Roman"/>
          <w:lang w:val="en-US"/>
        </w:rPr>
      </w:pPr>
      <w:r w:rsidRPr="00600F91">
        <w:rPr>
          <w:rFonts w:cs="Times New Roman"/>
          <w:lang w:val="en-US"/>
        </w:rPr>
        <w:t xml:space="preserve">Pharmacokinetic properties </w:t>
      </w:r>
    </w:p>
    <w:p w14:paraId="1D4E0524" w14:textId="77777777" w:rsidR="001A3992" w:rsidRDefault="001A3992" w:rsidP="004E7FD9">
      <w:pPr>
        <w:pStyle w:val="Heading3"/>
        <w:spacing w:before="0" w:after="120"/>
        <w:ind w:left="0"/>
        <w:rPr>
          <w:rFonts w:cs="Times New Roman"/>
        </w:rPr>
      </w:pPr>
      <w:r w:rsidRPr="00600F91">
        <w:rPr>
          <w:rFonts w:cs="Times New Roman"/>
        </w:rPr>
        <w:t>Absorption</w:t>
      </w:r>
    </w:p>
    <w:p w14:paraId="5527F864" w14:textId="77777777" w:rsidR="00E03C13" w:rsidRPr="00E03C13" w:rsidRDefault="00E03C13" w:rsidP="00E03C13">
      <w:pPr>
        <w:rPr>
          <w:lang w:val="en-GB"/>
        </w:rPr>
      </w:pPr>
      <w:r w:rsidRPr="00E03C13">
        <w:rPr>
          <w:lang w:val="en-GB"/>
        </w:rPr>
        <w:t xml:space="preserve">Following oral administration of cabozantinib, peak cabozantinib plasma concentrations are reached at 2 to 3 hours post-dose. Plasma-concentration time profiles show a second absorption peak approximately 24 hours after administration, which suggests that cabozantinib may undergo enterohepatic recirculation. </w:t>
      </w:r>
    </w:p>
    <w:p w14:paraId="7970E4A6" w14:textId="77777777" w:rsidR="00E03C13" w:rsidRPr="00E03C13" w:rsidRDefault="00E03C13" w:rsidP="00E03C13">
      <w:pPr>
        <w:rPr>
          <w:lang w:val="en-GB"/>
        </w:rPr>
      </w:pPr>
      <w:r w:rsidRPr="00E03C13">
        <w:rPr>
          <w:lang w:val="en-GB"/>
        </w:rPr>
        <w:t>Repeat daily dosing of cabozantinib at 140 mg for 19 days resulted in an approximately a 4- to 5-fold mean cabozantinib accumulation (based on AUC) compared to a single dose administration; steady state is achieved by approximately Day 15.</w:t>
      </w:r>
    </w:p>
    <w:p w14:paraId="7B00A9B7" w14:textId="77777777" w:rsidR="00E03C13" w:rsidRPr="00E03C13" w:rsidRDefault="00E03C13" w:rsidP="00E03C13">
      <w:pPr>
        <w:rPr>
          <w:lang w:val="en-GB"/>
        </w:rPr>
      </w:pPr>
      <w:r w:rsidRPr="00E03C13">
        <w:rPr>
          <w:lang w:val="en-GB"/>
        </w:rPr>
        <w:t>A high-fat meal moderately increased C</w:t>
      </w:r>
      <w:r w:rsidRPr="00E03C13">
        <w:rPr>
          <w:vertAlign w:val="subscript"/>
          <w:lang w:val="en-GB"/>
        </w:rPr>
        <w:t>max</w:t>
      </w:r>
      <w:r w:rsidRPr="00E03C13">
        <w:rPr>
          <w:lang w:val="en-GB"/>
        </w:rPr>
        <w:t xml:space="preserve"> and AUC values (41% and 57%, respectively) relative to fasted conditions in healthy volunteers administered a single 140 mg oral cabozantinib dose. There is no information on the precise food-effect when taken 1 hour after administration of cabozantinib. </w:t>
      </w:r>
    </w:p>
    <w:p w14:paraId="637BC398" w14:textId="77777777" w:rsidR="00E03C13" w:rsidRPr="00E03C13" w:rsidRDefault="00E03C13" w:rsidP="00E03C13">
      <w:pPr>
        <w:rPr>
          <w:lang w:val="en-GB"/>
        </w:rPr>
      </w:pPr>
      <w:r w:rsidRPr="00E03C13">
        <w:rPr>
          <w:lang w:val="en-GB"/>
        </w:rPr>
        <w:t>Bioequivalence could not be demonstrated between the cabozantinib capsule and tablet formulations following a single 140 mg dose in healthy subjects. A 19% increase in the C</w:t>
      </w:r>
      <w:r w:rsidRPr="00E03C13">
        <w:rPr>
          <w:vertAlign w:val="subscript"/>
          <w:lang w:val="en-GB"/>
        </w:rPr>
        <w:t>max</w:t>
      </w:r>
      <w:r w:rsidRPr="00E03C13">
        <w:rPr>
          <w:lang w:val="en-GB"/>
        </w:rPr>
        <w:t xml:space="preserve"> of the tablet formulation (CABOMETYX) compared to the capsule formulation </w:t>
      </w:r>
      <w:r w:rsidRPr="00E03C13">
        <w:rPr>
          <w:lang w:val="en-GB"/>
        </w:rPr>
        <w:lastRenderedPageBreak/>
        <w:t xml:space="preserve">(COMETRIQ) was observed. A less than 10% difference in the AUC was observed between cabozantinib tablet (CABOMETYX) and capsule (COMETRIQ) formulations. </w:t>
      </w:r>
    </w:p>
    <w:p w14:paraId="1E0B90A3" w14:textId="77777777" w:rsidR="001A3992" w:rsidRDefault="001A3992" w:rsidP="004E7FD9">
      <w:pPr>
        <w:pStyle w:val="Heading3"/>
        <w:spacing w:before="0" w:after="120"/>
        <w:ind w:left="0"/>
        <w:rPr>
          <w:rFonts w:cs="Times New Roman"/>
        </w:rPr>
      </w:pPr>
      <w:r w:rsidRPr="00600F91">
        <w:rPr>
          <w:rFonts w:cs="Times New Roman"/>
        </w:rPr>
        <w:t>Distribution</w:t>
      </w:r>
    </w:p>
    <w:p w14:paraId="3CB87EB4" w14:textId="77777777" w:rsidR="00E03C13" w:rsidRPr="00E03C13" w:rsidRDefault="00E03C13" w:rsidP="00E03C13">
      <w:r w:rsidRPr="00E03C13">
        <w:rPr>
          <w:lang w:val="en-GB"/>
        </w:rPr>
        <w:t>Cabozantinib is highly protein bound in vitro in human plasma (≥ 99.7%). Based on the population pharmacokinetic (PK) model, the volume of distribution (Vz) is approximately 319 L (SE: ± 2.7%). Protein binding was not altered in subjects with mild or moderately impaired renal or hepatic function</w:t>
      </w:r>
      <w:r>
        <w:rPr>
          <w:lang w:val="en-GB"/>
        </w:rPr>
        <w:t>.</w:t>
      </w:r>
    </w:p>
    <w:p w14:paraId="0CE18FCB" w14:textId="77777777" w:rsidR="001A3992" w:rsidRDefault="001A3992" w:rsidP="004E7FD9">
      <w:pPr>
        <w:pStyle w:val="Heading3"/>
        <w:spacing w:before="0" w:after="120"/>
        <w:ind w:left="0"/>
        <w:rPr>
          <w:rFonts w:cs="Times New Roman"/>
        </w:rPr>
      </w:pPr>
      <w:r w:rsidRPr="00600F91">
        <w:rPr>
          <w:rFonts w:cs="Times New Roman"/>
        </w:rPr>
        <w:t>Metabolism</w:t>
      </w:r>
    </w:p>
    <w:p w14:paraId="44560E67" w14:textId="2CCBE0DA" w:rsidR="00E03C13" w:rsidRPr="00E03C13" w:rsidRDefault="00E03C13" w:rsidP="00E03C13">
      <w:pPr>
        <w:rPr>
          <w:lang w:val="en-GB"/>
        </w:rPr>
      </w:pPr>
      <w:r w:rsidRPr="00E03C13">
        <w:rPr>
          <w:lang w:val="en-GB"/>
        </w:rPr>
        <w:t>Cabozantinib was metaboli</w:t>
      </w:r>
      <w:r w:rsidR="00260B8C">
        <w:rPr>
          <w:lang w:val="en-GB"/>
        </w:rPr>
        <w:t>s</w:t>
      </w:r>
      <w:r w:rsidRPr="00E03C13">
        <w:rPr>
          <w:lang w:val="en-GB"/>
        </w:rPr>
        <w:t>ed in vivo. Four metabolites were present in plasma at exposures (AUC) greater than 10% of parent: cabozantinib-N-oxide, cabozantinib amide cleavage product, cabozantinib monohydroxy sulfate, and 6-desmethyl amide cleavage product sulfate. Two non-conjugated metabolites (cabozantinib</w:t>
      </w:r>
      <w:r w:rsidRPr="00E03C13" w:rsidDel="00154BB6">
        <w:rPr>
          <w:lang w:val="en-GB"/>
        </w:rPr>
        <w:t xml:space="preserve"> </w:t>
      </w:r>
      <w:r w:rsidRPr="00E03C13">
        <w:rPr>
          <w:lang w:val="en-GB"/>
        </w:rPr>
        <w:t xml:space="preserve">-N-oxide and cabozantinib amide cleavage product), which possess &lt;1% of the on-target kinase inhibition potency of parent cabozantinib, each represent &lt;10% of total drug-related plasma exposure. </w:t>
      </w:r>
    </w:p>
    <w:p w14:paraId="34734CFA" w14:textId="77777777" w:rsidR="00E03C13" w:rsidRPr="00E03C13" w:rsidRDefault="00E03C13" w:rsidP="00E03C13">
      <w:pPr>
        <w:rPr>
          <w:lang w:val="en-GB"/>
        </w:rPr>
      </w:pPr>
      <w:r w:rsidRPr="00E03C13">
        <w:rPr>
          <w:lang w:val="en-GB"/>
        </w:rPr>
        <w:t>Cabozantinib is a substrate for CYP3A4 metabolism in vitro.</w:t>
      </w:r>
    </w:p>
    <w:p w14:paraId="465CD834" w14:textId="77777777" w:rsidR="001A3992" w:rsidRDefault="001A3992" w:rsidP="004E7FD9">
      <w:pPr>
        <w:pStyle w:val="Heading3"/>
        <w:spacing w:before="0" w:after="120"/>
        <w:ind w:left="0"/>
        <w:rPr>
          <w:rFonts w:cs="Times New Roman"/>
        </w:rPr>
      </w:pPr>
      <w:r w:rsidRPr="00600F91">
        <w:rPr>
          <w:rFonts w:cs="Times New Roman"/>
        </w:rPr>
        <w:t>Excretion</w:t>
      </w:r>
    </w:p>
    <w:p w14:paraId="72DF245F" w14:textId="77777777" w:rsidR="00E03C13" w:rsidRDefault="00E03C13" w:rsidP="00E03C13">
      <w:pPr>
        <w:rPr>
          <w:lang w:val="en-GB"/>
        </w:rPr>
      </w:pPr>
      <w:r w:rsidRPr="00E03C13">
        <w:rPr>
          <w:lang w:val="en-GB"/>
        </w:rPr>
        <w:t xml:space="preserve">In a population PK analysis of cabozantinib using data collected from 318 patients with RCC and 63 normal healthy volunteers following oral administration of doses of 60 mg, 40 mg, and 20 mg, the plasma terminal half-life of cabozantinib is approximately 99 hours. Mean clearance (CL/F) at steady-state was estimated to be 2.2 L/hr. Within a 48-day collection period after a single dose of 14C-cabozantinib in healthy volunteers, approximately 81% of the total administered radioactivity was recovered with 54% in faeces and 27% in urine.  </w:t>
      </w:r>
    </w:p>
    <w:p w14:paraId="75833669" w14:textId="77777777" w:rsidR="00E03C13" w:rsidRPr="00E03C13" w:rsidRDefault="00E03C13" w:rsidP="004E7FD9">
      <w:pPr>
        <w:pStyle w:val="Heading3"/>
        <w:ind w:left="0"/>
        <w:rPr>
          <w:lang w:val="en-GB"/>
        </w:rPr>
      </w:pPr>
      <w:r w:rsidRPr="00E03C13">
        <w:rPr>
          <w:lang w:val="en-GB"/>
        </w:rPr>
        <w:t xml:space="preserve">Pharmacokinetics in special patient populations </w:t>
      </w:r>
    </w:p>
    <w:p w14:paraId="45CB5B8C" w14:textId="77777777" w:rsidR="00E03C13" w:rsidRPr="00E03C13" w:rsidRDefault="00E03C13" w:rsidP="00E03C13">
      <w:pPr>
        <w:pStyle w:val="Heading4"/>
        <w:rPr>
          <w:lang w:val="en-GB"/>
        </w:rPr>
      </w:pPr>
      <w:r w:rsidRPr="00E03C13">
        <w:rPr>
          <w:lang w:val="en-GB"/>
        </w:rPr>
        <w:t xml:space="preserve">Renal impairment </w:t>
      </w:r>
    </w:p>
    <w:p w14:paraId="2583D803" w14:textId="77777777" w:rsidR="00E03C13" w:rsidRPr="00E03C13" w:rsidRDefault="00E03C13" w:rsidP="00E03C13">
      <w:pPr>
        <w:rPr>
          <w:lang w:val="en-GB"/>
        </w:rPr>
      </w:pPr>
      <w:r w:rsidRPr="00E03C13">
        <w:rPr>
          <w:lang w:val="en-GB"/>
        </w:rPr>
        <w:t>Results from a study in patients with renal impairment indicate that the ratios of geometric LS mean for plasma cabozantinib, C</w:t>
      </w:r>
      <w:r w:rsidRPr="00E03C13">
        <w:rPr>
          <w:vertAlign w:val="subscript"/>
          <w:lang w:val="en-GB"/>
        </w:rPr>
        <w:t>max</w:t>
      </w:r>
      <w:r w:rsidRPr="00E03C13">
        <w:rPr>
          <w:lang w:val="en-GB"/>
        </w:rPr>
        <w:t xml:space="preserve"> and AUC</w:t>
      </w:r>
      <w:r w:rsidRPr="00E03C13">
        <w:rPr>
          <w:vertAlign w:val="subscript"/>
          <w:lang w:val="en-GB"/>
        </w:rPr>
        <w:t xml:space="preserve">0-inf </w:t>
      </w:r>
      <w:r w:rsidRPr="00E03C13">
        <w:rPr>
          <w:lang w:val="en-GB"/>
        </w:rPr>
        <w:t>were 19% and 30% higher, for subjects with mild renal impairment (90% CI for C</w:t>
      </w:r>
      <w:r w:rsidRPr="00E03C13">
        <w:rPr>
          <w:vertAlign w:val="subscript"/>
          <w:lang w:val="en-GB"/>
        </w:rPr>
        <w:t>max</w:t>
      </w:r>
      <w:r w:rsidRPr="00E03C13">
        <w:rPr>
          <w:lang w:val="en-GB"/>
        </w:rPr>
        <w:t xml:space="preserve"> 91.60% to 155.51%; AUC</w:t>
      </w:r>
      <w:r w:rsidRPr="00E03C13">
        <w:rPr>
          <w:vertAlign w:val="subscript"/>
          <w:lang w:val="en-GB"/>
        </w:rPr>
        <w:t>0-inf</w:t>
      </w:r>
      <w:r w:rsidRPr="00E03C13">
        <w:rPr>
          <w:lang w:val="en-GB"/>
        </w:rPr>
        <w:t xml:space="preserve"> 98.79% to 171.26%) and 2% and 6-7% higher (90% CI for C</w:t>
      </w:r>
      <w:r w:rsidRPr="00E03C13">
        <w:rPr>
          <w:vertAlign w:val="subscript"/>
          <w:lang w:val="en-GB"/>
        </w:rPr>
        <w:t>max</w:t>
      </w:r>
      <w:r w:rsidRPr="00E03C13">
        <w:rPr>
          <w:lang w:val="en-GB"/>
        </w:rPr>
        <w:t xml:space="preserve"> 78.64% to 133.52%; AUC</w:t>
      </w:r>
      <w:r w:rsidRPr="00E03C13">
        <w:rPr>
          <w:vertAlign w:val="subscript"/>
          <w:lang w:val="en-GB"/>
        </w:rPr>
        <w:t xml:space="preserve">0-inf </w:t>
      </w:r>
      <w:r w:rsidRPr="00E03C13">
        <w:rPr>
          <w:lang w:val="en-GB"/>
        </w:rPr>
        <w:t>79.61% to 140.11%), for subjects with moderate renal impairment compared to subjects with normal renal function. Patients with severe renal impairment have not been studied.</w:t>
      </w:r>
    </w:p>
    <w:p w14:paraId="4E02AFE0" w14:textId="77777777" w:rsidR="00E03C13" w:rsidRPr="00E03C13" w:rsidRDefault="00E03C13" w:rsidP="00E03C13">
      <w:pPr>
        <w:pStyle w:val="Heading4"/>
        <w:rPr>
          <w:lang w:val="en-GB"/>
        </w:rPr>
      </w:pPr>
      <w:r w:rsidRPr="00E03C13">
        <w:rPr>
          <w:lang w:val="en-GB"/>
        </w:rPr>
        <w:t xml:space="preserve">Hepatic impairment </w:t>
      </w:r>
    </w:p>
    <w:p w14:paraId="5821F479" w14:textId="77777777" w:rsidR="00E03C13" w:rsidRPr="00E03C13" w:rsidRDefault="00E03C13" w:rsidP="00E03C13">
      <w:pPr>
        <w:rPr>
          <w:lang w:val="en-GB"/>
        </w:rPr>
      </w:pPr>
      <w:r w:rsidRPr="00E03C13">
        <w:rPr>
          <w:lang w:val="en-GB"/>
        </w:rPr>
        <w:t>Results from a study in patients with hepatic impairment indicate that exposure (AUC</w:t>
      </w:r>
      <w:r w:rsidRPr="00E03C13">
        <w:rPr>
          <w:vertAlign w:val="subscript"/>
          <w:lang w:val="en-GB"/>
        </w:rPr>
        <w:t>0-inf</w:t>
      </w:r>
      <w:r w:rsidRPr="00E03C13">
        <w:rPr>
          <w:lang w:val="en-GB"/>
        </w:rPr>
        <w:t>) increased by 81% and 63% in subjects with mild and moderate hepatic impairment, respectively (90% CI for AUC</w:t>
      </w:r>
      <w:r w:rsidRPr="00E03C13">
        <w:rPr>
          <w:vertAlign w:val="subscript"/>
          <w:lang w:val="en-GB"/>
        </w:rPr>
        <w:t>0-inf</w:t>
      </w:r>
      <w:r w:rsidRPr="00E03C13">
        <w:rPr>
          <w:lang w:val="en-GB"/>
        </w:rPr>
        <w:t xml:space="preserve">: 121.44% to 270.34% for mild and 107.37% to 246.67% for moderate). Patients with severe hepatic impairment have not been studied. </w:t>
      </w:r>
    </w:p>
    <w:p w14:paraId="29ACA677" w14:textId="77777777" w:rsidR="00E03C13" w:rsidRPr="00E03C13" w:rsidRDefault="00E03C13" w:rsidP="00E03C13">
      <w:pPr>
        <w:pStyle w:val="Heading4"/>
        <w:rPr>
          <w:lang w:val="en-GB"/>
        </w:rPr>
      </w:pPr>
      <w:r w:rsidRPr="00E03C13">
        <w:rPr>
          <w:lang w:val="en-GB"/>
        </w:rPr>
        <w:lastRenderedPageBreak/>
        <w:t xml:space="preserve">Race </w:t>
      </w:r>
    </w:p>
    <w:p w14:paraId="5F7AFB45" w14:textId="77777777" w:rsidR="00E03C13" w:rsidRPr="00E03C13" w:rsidRDefault="00E03C13" w:rsidP="00E03C13">
      <w:pPr>
        <w:rPr>
          <w:lang w:val="en-GB"/>
        </w:rPr>
      </w:pPr>
      <w:r w:rsidRPr="00E03C13">
        <w:rPr>
          <w:lang w:val="en-GB"/>
        </w:rPr>
        <w:t>A population PK analysis did not identify clinically relevant differences in PK of cabozantinib based on race.</w:t>
      </w:r>
    </w:p>
    <w:p w14:paraId="0C067051" w14:textId="77777777" w:rsidR="001A3992" w:rsidRPr="00600F91" w:rsidRDefault="001A3992" w:rsidP="00C6374B">
      <w:pPr>
        <w:pStyle w:val="Heading2"/>
        <w:keepNext/>
        <w:spacing w:before="0" w:after="120"/>
        <w:rPr>
          <w:rFonts w:cs="Times New Roman"/>
          <w:lang w:val="en-US"/>
        </w:rPr>
      </w:pPr>
      <w:r w:rsidRPr="00600F91">
        <w:rPr>
          <w:rFonts w:cs="Times New Roman"/>
          <w:lang w:val="en-US"/>
        </w:rPr>
        <w:t>Preclinical safety data</w:t>
      </w:r>
    </w:p>
    <w:p w14:paraId="6E0F9CA1" w14:textId="77777777" w:rsidR="001A3992" w:rsidRDefault="001A3992" w:rsidP="004E7FD9">
      <w:pPr>
        <w:pStyle w:val="Heading3"/>
        <w:spacing w:before="0" w:after="120"/>
        <w:ind w:left="0"/>
        <w:rPr>
          <w:rFonts w:cs="Times New Roman"/>
        </w:rPr>
      </w:pPr>
      <w:r w:rsidRPr="00600F91">
        <w:rPr>
          <w:rFonts w:cs="Times New Roman"/>
        </w:rPr>
        <w:t>Genotoxicity</w:t>
      </w:r>
    </w:p>
    <w:p w14:paraId="67F8B815" w14:textId="77777777" w:rsidR="002063C4" w:rsidRPr="002063C4" w:rsidRDefault="002063C4" w:rsidP="002063C4">
      <w:r w:rsidRPr="002063C4">
        <w:rPr>
          <w:lang w:val="en-GB"/>
        </w:rPr>
        <w:t>Cabozantinib has shown no mutagenic or clastogenic potential in a standard battery of genotoxicity assays (bacterial reverse mutation assay, chromosomal aberration assay using human lymphocytes and a mouse micronucleus test).</w:t>
      </w:r>
    </w:p>
    <w:p w14:paraId="4BBAF789" w14:textId="77777777" w:rsidR="001A3992" w:rsidRDefault="001A3992" w:rsidP="004E7FD9">
      <w:pPr>
        <w:pStyle w:val="Heading3"/>
        <w:spacing w:before="0" w:after="120"/>
        <w:ind w:left="0"/>
        <w:rPr>
          <w:rFonts w:cs="Times New Roman"/>
          <w:lang w:val="en-US"/>
        </w:rPr>
      </w:pPr>
      <w:r w:rsidRPr="00600F91">
        <w:rPr>
          <w:rFonts w:cs="Times New Roman"/>
        </w:rPr>
        <w:t>Carcin</w:t>
      </w:r>
      <w:r w:rsidRPr="00600F91">
        <w:rPr>
          <w:rFonts w:cs="Times New Roman"/>
          <w:lang w:val="en-US"/>
        </w:rPr>
        <w:t>ogenicity</w:t>
      </w:r>
    </w:p>
    <w:p w14:paraId="5EB730EA" w14:textId="77777777" w:rsidR="002063C4" w:rsidRPr="002063C4" w:rsidRDefault="002063C4" w:rsidP="002063C4">
      <w:pPr>
        <w:rPr>
          <w:iCs/>
          <w:lang w:val="en-GB"/>
        </w:rPr>
      </w:pPr>
      <w:r w:rsidRPr="002063C4">
        <w:rPr>
          <w:iCs/>
          <w:lang w:val="en-GB"/>
        </w:rPr>
        <w:t xml:space="preserve">The carcinogenic potential of cabozantinib has been evaluated in two species: rasH2 transgenic mice and Sprague-Dawley rats. </w:t>
      </w:r>
      <w:r w:rsidRPr="002063C4">
        <w:t xml:space="preserve">Cabozantinib was not carcinogenic in the 26-week carcinogenicity study in rasH2 transgenic mice at doses ≤15 mg/kg/day, resulting in exposures approximately 4 times the human AUC at the recommended clinical dose of 60 mg/day. </w:t>
      </w:r>
      <w:r w:rsidRPr="002063C4">
        <w:rPr>
          <w:iCs/>
          <w:lang w:val="en-GB"/>
        </w:rPr>
        <w:t>In the 2-year rat carcinogenicity study, cabozantinib-related neoplastic findings consisted of an increased incidence of benign pheochromocytoma, alone or in combination with malignant pheochromocytoma of the adrenal medulla in both sexes at doses ≥0.1 mg/kg/day, resulting in exposures well below the intended exposure in humans. The clinical relevance of the observed neoplastic lesions in rats is uncertain, but likely to be low.</w:t>
      </w:r>
    </w:p>
    <w:p w14:paraId="34DC5B4C" w14:textId="77777777" w:rsidR="002063C4" w:rsidRPr="002063C4" w:rsidRDefault="002063C4" w:rsidP="002063C4">
      <w:pPr>
        <w:rPr>
          <w:lang w:val="en-US"/>
        </w:rPr>
      </w:pPr>
      <w:r w:rsidRPr="002063C4">
        <w:rPr>
          <w:lang w:val="en-GB"/>
        </w:rPr>
        <w:t>Cabozantinib was not carcinogenic in the rasH2 mouse model at a slightly higher exposure than the intended human therapeutic exposure.</w:t>
      </w:r>
    </w:p>
    <w:p w14:paraId="04A747BB" w14:textId="77777777" w:rsidR="001A3992" w:rsidRPr="00600F91" w:rsidRDefault="001A3992" w:rsidP="001A3992">
      <w:pPr>
        <w:pStyle w:val="Heading1"/>
        <w:spacing w:before="0" w:after="120"/>
        <w:rPr>
          <w:rFonts w:ascii="Times New Roman" w:hAnsi="Times New Roman" w:cs="Times New Roman"/>
          <w:lang w:val="en-US"/>
        </w:rPr>
      </w:pPr>
      <w:r w:rsidRPr="00600F91">
        <w:rPr>
          <w:rFonts w:ascii="Times New Roman" w:hAnsi="Times New Roman" w:cs="Times New Roman"/>
          <w:lang w:val="en-US"/>
        </w:rPr>
        <w:t>Pharmaceutical particulars</w:t>
      </w:r>
    </w:p>
    <w:p w14:paraId="20779199" w14:textId="77777777" w:rsidR="001A3992" w:rsidRDefault="001A3992" w:rsidP="001A3992">
      <w:pPr>
        <w:pStyle w:val="Heading2"/>
        <w:spacing w:before="0" w:after="120"/>
        <w:rPr>
          <w:rFonts w:cs="Times New Roman"/>
          <w:lang w:val="en-US"/>
        </w:rPr>
      </w:pPr>
      <w:r w:rsidRPr="00600F91">
        <w:rPr>
          <w:rFonts w:cs="Times New Roman"/>
          <w:lang w:val="en-US"/>
        </w:rPr>
        <w:t xml:space="preserve">List of excipients </w:t>
      </w:r>
    </w:p>
    <w:p w14:paraId="26196B0F" w14:textId="77777777" w:rsidR="004E3D44" w:rsidRPr="00BB14D8" w:rsidRDefault="004E3D44" w:rsidP="00BB14D8">
      <w:pPr>
        <w:spacing w:after="0"/>
        <w:rPr>
          <w:u w:val="single"/>
          <w:lang w:val="en-GB"/>
        </w:rPr>
      </w:pPr>
      <w:r w:rsidRPr="00BB14D8">
        <w:rPr>
          <w:u w:val="single"/>
          <w:lang w:val="en-GB"/>
        </w:rPr>
        <w:t>Tablet content</w:t>
      </w:r>
    </w:p>
    <w:p w14:paraId="382CD513" w14:textId="77777777" w:rsidR="004E3D44" w:rsidRDefault="00980FFE" w:rsidP="00BB14D8">
      <w:pPr>
        <w:spacing w:after="0"/>
        <w:rPr>
          <w:lang w:val="en-GB"/>
        </w:rPr>
      </w:pPr>
      <w:r>
        <w:rPr>
          <w:lang w:val="en-GB"/>
        </w:rPr>
        <w:t>M</w:t>
      </w:r>
      <w:r w:rsidR="004E3D44" w:rsidRPr="00E03C13">
        <w:rPr>
          <w:lang w:val="en-GB"/>
        </w:rPr>
        <w:t xml:space="preserve">icrocrystalline cellulose, </w:t>
      </w:r>
    </w:p>
    <w:p w14:paraId="2AF6FD57" w14:textId="77777777" w:rsidR="004E3D44" w:rsidRDefault="00980FFE" w:rsidP="00BB14D8">
      <w:pPr>
        <w:spacing w:after="0"/>
        <w:rPr>
          <w:lang w:val="en-GB"/>
        </w:rPr>
      </w:pPr>
      <w:r>
        <w:rPr>
          <w:lang w:val="en-GB"/>
        </w:rPr>
        <w:t>L</w:t>
      </w:r>
      <w:r w:rsidR="004E3D44" w:rsidRPr="00E03C13">
        <w:rPr>
          <w:lang w:val="en-GB"/>
        </w:rPr>
        <w:t xml:space="preserve">actose, </w:t>
      </w:r>
    </w:p>
    <w:p w14:paraId="6061B85D" w14:textId="77777777" w:rsidR="004E3D44" w:rsidRDefault="00980FFE" w:rsidP="00BB14D8">
      <w:pPr>
        <w:spacing w:after="0"/>
        <w:rPr>
          <w:lang w:val="en-GB"/>
        </w:rPr>
      </w:pPr>
      <w:r>
        <w:rPr>
          <w:lang w:val="en-GB"/>
        </w:rPr>
        <w:t>H</w:t>
      </w:r>
      <w:r w:rsidR="004E3D44" w:rsidRPr="00E03C13">
        <w:rPr>
          <w:lang w:val="en-GB"/>
        </w:rPr>
        <w:t xml:space="preserve">yprolose, </w:t>
      </w:r>
    </w:p>
    <w:p w14:paraId="1FEAA5BF" w14:textId="77777777" w:rsidR="004E3D44" w:rsidRDefault="00980FFE" w:rsidP="00BB14D8">
      <w:pPr>
        <w:spacing w:after="0"/>
        <w:rPr>
          <w:lang w:val="en-GB"/>
        </w:rPr>
      </w:pPr>
      <w:r>
        <w:rPr>
          <w:lang w:val="en-GB"/>
        </w:rPr>
        <w:t>C</w:t>
      </w:r>
      <w:r w:rsidR="004E3D44" w:rsidRPr="00E03C13">
        <w:rPr>
          <w:lang w:val="en-GB"/>
        </w:rPr>
        <w:t xml:space="preserve">roscarmellose sodium, </w:t>
      </w:r>
    </w:p>
    <w:p w14:paraId="07E561B0" w14:textId="77777777" w:rsidR="004E3D44" w:rsidRDefault="00980FFE" w:rsidP="00BB14D8">
      <w:pPr>
        <w:spacing w:after="0"/>
        <w:rPr>
          <w:lang w:val="en-GB"/>
        </w:rPr>
      </w:pPr>
      <w:r>
        <w:rPr>
          <w:lang w:val="en-GB"/>
        </w:rPr>
        <w:t>C</w:t>
      </w:r>
      <w:r w:rsidR="004E3D44" w:rsidRPr="00E03C13">
        <w:rPr>
          <w:lang w:val="en-GB"/>
        </w:rPr>
        <w:t xml:space="preserve">olloidal anhydrous silica </w:t>
      </w:r>
    </w:p>
    <w:p w14:paraId="05E1537D" w14:textId="77777777" w:rsidR="004E3D44" w:rsidRDefault="00980FFE" w:rsidP="004E3D44">
      <w:pPr>
        <w:spacing w:after="0"/>
        <w:rPr>
          <w:lang w:val="en-GB"/>
        </w:rPr>
      </w:pPr>
      <w:r>
        <w:rPr>
          <w:lang w:val="en-GB"/>
        </w:rPr>
        <w:t>M</w:t>
      </w:r>
      <w:r w:rsidR="004E3D44" w:rsidRPr="00E03C13">
        <w:rPr>
          <w:lang w:val="en-GB"/>
        </w:rPr>
        <w:t>agnesium stearate</w:t>
      </w:r>
    </w:p>
    <w:p w14:paraId="304C9EE1" w14:textId="77777777" w:rsidR="00980FFE" w:rsidRDefault="00980FFE" w:rsidP="00BB14D8">
      <w:pPr>
        <w:spacing w:after="0"/>
        <w:rPr>
          <w:lang w:val="en-GB"/>
        </w:rPr>
      </w:pPr>
    </w:p>
    <w:p w14:paraId="0677E79F" w14:textId="77777777" w:rsidR="004E3D44" w:rsidRPr="00BB14D8" w:rsidRDefault="004E3D44" w:rsidP="00BB14D8">
      <w:pPr>
        <w:spacing w:after="0"/>
        <w:rPr>
          <w:u w:val="single"/>
          <w:lang w:val="en-GB"/>
        </w:rPr>
      </w:pPr>
      <w:r w:rsidRPr="00BB14D8">
        <w:rPr>
          <w:u w:val="single"/>
          <w:lang w:val="en-GB"/>
        </w:rPr>
        <w:t xml:space="preserve">Film-coating </w:t>
      </w:r>
    </w:p>
    <w:p w14:paraId="40FD75FC" w14:textId="77777777" w:rsidR="004E3D44" w:rsidRDefault="00980FFE" w:rsidP="00BB14D8">
      <w:pPr>
        <w:spacing w:after="0"/>
        <w:rPr>
          <w:lang w:val="en-GB"/>
        </w:rPr>
      </w:pPr>
      <w:r>
        <w:rPr>
          <w:lang w:val="en-GB"/>
        </w:rPr>
        <w:t>H</w:t>
      </w:r>
      <w:r w:rsidR="004E3D44" w:rsidRPr="00E03C13">
        <w:rPr>
          <w:lang w:val="en-GB"/>
        </w:rPr>
        <w:t xml:space="preserve">ypromellose, </w:t>
      </w:r>
    </w:p>
    <w:p w14:paraId="56A4195D" w14:textId="77777777" w:rsidR="004E3D44" w:rsidRDefault="00980FFE" w:rsidP="00BB14D8">
      <w:pPr>
        <w:spacing w:after="0"/>
        <w:rPr>
          <w:lang w:val="en-GB"/>
        </w:rPr>
      </w:pPr>
      <w:r>
        <w:rPr>
          <w:lang w:val="en-GB"/>
        </w:rPr>
        <w:t>T</w:t>
      </w:r>
      <w:r w:rsidR="004E3D44" w:rsidRPr="00E03C13">
        <w:rPr>
          <w:lang w:val="en-GB"/>
        </w:rPr>
        <w:t xml:space="preserve">itanium dioxide, </w:t>
      </w:r>
    </w:p>
    <w:p w14:paraId="706DF64D" w14:textId="77777777" w:rsidR="004E3D44" w:rsidRDefault="00980FFE" w:rsidP="00BB14D8">
      <w:pPr>
        <w:spacing w:after="0"/>
        <w:rPr>
          <w:lang w:val="en-GB"/>
        </w:rPr>
      </w:pPr>
      <w:r>
        <w:rPr>
          <w:lang w:val="en-GB"/>
        </w:rPr>
        <w:t>T</w:t>
      </w:r>
      <w:r w:rsidR="004E3D44" w:rsidRPr="00E03C13">
        <w:rPr>
          <w:lang w:val="en-GB"/>
        </w:rPr>
        <w:t xml:space="preserve">riacetin </w:t>
      </w:r>
    </w:p>
    <w:p w14:paraId="458EC8EE" w14:textId="77777777" w:rsidR="004E3D44" w:rsidRPr="00E03C13" w:rsidRDefault="00980FFE" w:rsidP="00BB14D8">
      <w:pPr>
        <w:spacing w:after="0"/>
        <w:rPr>
          <w:lang w:val="en-GB"/>
        </w:rPr>
      </w:pPr>
      <w:r>
        <w:rPr>
          <w:lang w:val="en-GB"/>
        </w:rPr>
        <w:t>I</w:t>
      </w:r>
      <w:r w:rsidR="004E3D44" w:rsidRPr="00E03C13">
        <w:rPr>
          <w:lang w:val="en-GB"/>
        </w:rPr>
        <w:t>ron oxide yellow.</w:t>
      </w:r>
    </w:p>
    <w:p w14:paraId="11BF2E1A" w14:textId="0D131895" w:rsidR="00E03C13" w:rsidRPr="00E03C13" w:rsidRDefault="00E03C13" w:rsidP="00E03C13">
      <w:pPr>
        <w:rPr>
          <w:lang w:val="en-US"/>
        </w:rPr>
      </w:pPr>
    </w:p>
    <w:p w14:paraId="6E58548A" w14:textId="77777777" w:rsidR="001A3992" w:rsidRDefault="001A3992" w:rsidP="001A3992">
      <w:pPr>
        <w:pStyle w:val="Heading2"/>
        <w:keepNext/>
        <w:keepLines/>
        <w:spacing w:before="0" w:after="120"/>
        <w:rPr>
          <w:rFonts w:cs="Times New Roman"/>
          <w:lang w:val="en-US"/>
        </w:rPr>
      </w:pPr>
      <w:r w:rsidRPr="00600F91">
        <w:rPr>
          <w:rFonts w:cs="Times New Roman"/>
          <w:lang w:val="en-US"/>
        </w:rPr>
        <w:t xml:space="preserve">Incompatibilities </w:t>
      </w:r>
    </w:p>
    <w:p w14:paraId="167FAD4B" w14:textId="699C65FA" w:rsidR="005C2617" w:rsidRPr="005C2617" w:rsidRDefault="00980FFE">
      <w:pPr>
        <w:rPr>
          <w:lang w:val="en-US"/>
        </w:rPr>
      </w:pPr>
      <w:r>
        <w:rPr>
          <w:lang w:val="en-US"/>
        </w:rPr>
        <w:t xml:space="preserve"> Not applicable</w:t>
      </w:r>
    </w:p>
    <w:p w14:paraId="7823C60B" w14:textId="77777777" w:rsidR="001A3992" w:rsidRDefault="001A3992" w:rsidP="001A3992">
      <w:pPr>
        <w:pStyle w:val="Heading2"/>
        <w:spacing w:before="0" w:after="120"/>
        <w:rPr>
          <w:rFonts w:cs="Times New Roman"/>
          <w:lang w:val="en-US"/>
        </w:rPr>
      </w:pPr>
      <w:r w:rsidRPr="00600F91">
        <w:rPr>
          <w:rFonts w:cs="Times New Roman"/>
          <w:lang w:val="en-US"/>
        </w:rPr>
        <w:lastRenderedPageBreak/>
        <w:t xml:space="preserve">Shelf life </w:t>
      </w:r>
    </w:p>
    <w:p w14:paraId="0F71854A" w14:textId="77777777" w:rsidR="00C6374B" w:rsidRPr="00C6374B" w:rsidRDefault="00C6374B" w:rsidP="00C6374B">
      <w:pPr>
        <w:rPr>
          <w:lang w:val="en-US"/>
        </w:rPr>
      </w:pPr>
      <w:r w:rsidRPr="00C6374B">
        <w:rPr>
          <w:lang w:val="en-US"/>
        </w:rPr>
        <w:t>In Australia, information on the shelf life can be found on the public summary of the Australian Register of Therapeutic Goods (ARTG). The expiry date can be found on the packaging</w:t>
      </w:r>
      <w:r>
        <w:rPr>
          <w:lang w:val="en-US"/>
        </w:rPr>
        <w:t>.</w:t>
      </w:r>
    </w:p>
    <w:p w14:paraId="111333F0" w14:textId="77777777" w:rsidR="001A3992" w:rsidRDefault="001A3992" w:rsidP="001A3992">
      <w:pPr>
        <w:pStyle w:val="Heading2"/>
        <w:keepNext/>
        <w:keepLines/>
        <w:spacing w:before="0" w:after="120"/>
        <w:rPr>
          <w:rFonts w:cs="Times New Roman"/>
          <w:lang w:val="en-US"/>
        </w:rPr>
      </w:pPr>
      <w:r w:rsidRPr="00600F91">
        <w:rPr>
          <w:rFonts w:cs="Times New Roman"/>
          <w:lang w:val="en-US"/>
        </w:rPr>
        <w:t xml:space="preserve">Special precautions for storage </w:t>
      </w:r>
    </w:p>
    <w:p w14:paraId="28BC3FAD" w14:textId="77777777" w:rsidR="00E03C13" w:rsidRPr="00E03C13" w:rsidRDefault="00E03C13" w:rsidP="00E03C13">
      <w:pPr>
        <w:rPr>
          <w:lang w:val="en-GB"/>
        </w:rPr>
      </w:pPr>
      <w:r w:rsidRPr="00E03C13">
        <w:rPr>
          <w:lang w:val="en-GB"/>
        </w:rPr>
        <w:t>Store below 25˚C</w:t>
      </w:r>
    </w:p>
    <w:p w14:paraId="58E3A03F" w14:textId="77777777" w:rsidR="001A3992" w:rsidRDefault="001A3992" w:rsidP="001A3992">
      <w:pPr>
        <w:pStyle w:val="Heading2"/>
        <w:spacing w:before="0" w:after="120"/>
        <w:rPr>
          <w:rFonts w:cs="Times New Roman"/>
          <w:lang w:val="en-US"/>
        </w:rPr>
      </w:pPr>
      <w:r w:rsidRPr="00600F91">
        <w:rPr>
          <w:rFonts w:cs="Times New Roman"/>
          <w:lang w:val="en-US"/>
        </w:rPr>
        <w:t xml:space="preserve">Nature and contents of container </w:t>
      </w:r>
    </w:p>
    <w:p w14:paraId="2F8766E8" w14:textId="77777777" w:rsidR="001B75E6" w:rsidRPr="001B75E6" w:rsidRDefault="001B75E6" w:rsidP="001B75E6">
      <w:pPr>
        <w:rPr>
          <w:lang w:val="en-GB"/>
        </w:rPr>
      </w:pPr>
      <w:r w:rsidRPr="001B75E6">
        <w:rPr>
          <w:lang w:val="en-GB"/>
        </w:rPr>
        <w:t>CABOMETYX 20 mg film-coated tablets are available as a pack size of 30 film-coated tablets in a HDPE bottle with a polypropylene child-resistant closure and three silica gel desiccant canisters.</w:t>
      </w:r>
    </w:p>
    <w:p w14:paraId="788399D6" w14:textId="77777777" w:rsidR="001B75E6" w:rsidRPr="001B75E6" w:rsidRDefault="001B75E6" w:rsidP="001B75E6">
      <w:pPr>
        <w:rPr>
          <w:lang w:val="en-GB"/>
        </w:rPr>
      </w:pPr>
      <w:r w:rsidRPr="001B75E6">
        <w:rPr>
          <w:lang w:val="en-GB"/>
        </w:rPr>
        <w:t>CABOMETYX 40 mg film-coated tablets are available as a pack size of 30 film-coated tablets in a HDPE bottle with a polypropylene child-resistant closure and three silica gel desiccant canisters.</w:t>
      </w:r>
    </w:p>
    <w:p w14:paraId="6BB1927D" w14:textId="77777777" w:rsidR="001B75E6" w:rsidRPr="00C6374B" w:rsidRDefault="001B75E6" w:rsidP="001B75E6">
      <w:pPr>
        <w:rPr>
          <w:lang w:val="en-GB"/>
        </w:rPr>
      </w:pPr>
      <w:r w:rsidRPr="001B75E6">
        <w:rPr>
          <w:lang w:val="en-GB"/>
        </w:rPr>
        <w:t xml:space="preserve">CABOMETYX 60 mg film-coated tablets are available as a pack size of 30 film-coated tablets in a HDPE bottle with a polypropylene child-resistant closure and three </w:t>
      </w:r>
      <w:r w:rsidR="00C6374B">
        <w:rPr>
          <w:lang w:val="en-GB"/>
        </w:rPr>
        <w:t>silica gel desiccant canisters.</w:t>
      </w:r>
    </w:p>
    <w:p w14:paraId="164DA70B" w14:textId="77777777" w:rsidR="001A3992" w:rsidRDefault="001A3992" w:rsidP="001A3992">
      <w:pPr>
        <w:pStyle w:val="Heading2"/>
        <w:spacing w:before="0" w:after="120"/>
        <w:rPr>
          <w:rFonts w:cs="Times New Roman"/>
          <w:lang w:val="en-US"/>
        </w:rPr>
      </w:pPr>
      <w:r w:rsidRPr="00600F91">
        <w:rPr>
          <w:rFonts w:cs="Times New Roman"/>
          <w:lang w:val="en-US"/>
        </w:rPr>
        <w:t xml:space="preserve">Special precautions for disposal </w:t>
      </w:r>
    </w:p>
    <w:p w14:paraId="3C0E1E8C" w14:textId="77777777" w:rsidR="00C6374B" w:rsidRPr="00C6374B" w:rsidRDefault="00C6374B" w:rsidP="00C6374B">
      <w:pPr>
        <w:rPr>
          <w:lang w:val="en-US"/>
        </w:rPr>
      </w:pPr>
      <w:r w:rsidRPr="00C6374B">
        <w:rPr>
          <w:lang w:val="en-US"/>
        </w:rPr>
        <w:t>In Australia, any unused medicine or waste material should be disposed of by taking to your local pharmacy</w:t>
      </w:r>
      <w:r>
        <w:rPr>
          <w:lang w:val="en-US"/>
        </w:rPr>
        <w:t>.</w:t>
      </w:r>
    </w:p>
    <w:p w14:paraId="04B6BAA1" w14:textId="578E7B2A" w:rsidR="001A3992" w:rsidRDefault="001A3992" w:rsidP="001A3992">
      <w:pPr>
        <w:pStyle w:val="Heading2"/>
        <w:spacing w:before="0" w:after="120"/>
        <w:rPr>
          <w:rFonts w:cs="Times New Roman"/>
          <w:lang w:val="en-US"/>
        </w:rPr>
      </w:pPr>
      <w:r w:rsidRPr="00600F91">
        <w:rPr>
          <w:rFonts w:cs="Times New Roman"/>
          <w:lang w:val="en-US"/>
        </w:rPr>
        <w:t>Physicochemical properties</w:t>
      </w:r>
    </w:p>
    <w:p w14:paraId="712256D3" w14:textId="77777777" w:rsidR="001A3992" w:rsidRDefault="001A3992" w:rsidP="00A80EF8">
      <w:pPr>
        <w:pStyle w:val="Heading3"/>
        <w:spacing w:before="0" w:after="120"/>
        <w:ind w:left="0"/>
        <w:rPr>
          <w:rFonts w:cs="Times New Roman"/>
          <w:lang w:val="en-US"/>
        </w:rPr>
      </w:pPr>
      <w:r w:rsidRPr="00600F91">
        <w:rPr>
          <w:rFonts w:cs="Times New Roman"/>
          <w:lang w:val="en-US"/>
        </w:rPr>
        <w:t>Chemical structure</w:t>
      </w:r>
    </w:p>
    <w:p w14:paraId="4D69E087" w14:textId="77777777" w:rsidR="00E03C13" w:rsidRPr="00E03C13" w:rsidRDefault="00E03C13" w:rsidP="00E03C13">
      <w:pPr>
        <w:rPr>
          <w:lang w:val="en-GB"/>
        </w:rPr>
      </w:pPr>
      <w:r w:rsidRPr="00E03C13">
        <w:rPr>
          <w:lang w:val="en-GB"/>
        </w:rPr>
        <w:t xml:space="preserve">CABOMETYX contains the (S)-malate salt of cabozantinib, a kinase inhibitor. Cabozantinib (S)-malate is described chemically as N-(4-(6,7-dimethoxyquinolin-4-yloxy)phenyl)-N’-(4fluorophenyl)cyclopropane-1,1-dicarboxamide, (2S)-hydroxybutanedioate. </w:t>
      </w:r>
    </w:p>
    <w:p w14:paraId="6FDFE877" w14:textId="30011A03" w:rsidR="00E03C13" w:rsidRPr="00E03C13" w:rsidRDefault="00E03C13" w:rsidP="00E03C13">
      <w:pPr>
        <w:rPr>
          <w:lang w:val="en-GB"/>
        </w:rPr>
      </w:pPr>
      <w:r w:rsidRPr="00E03C13">
        <w:rPr>
          <w:lang w:val="en-GB"/>
        </w:rPr>
        <w:t>The molecular formula is C</w:t>
      </w:r>
      <w:r w:rsidRPr="00E03C13">
        <w:rPr>
          <w:vertAlign w:val="subscript"/>
          <w:lang w:val="en-GB"/>
        </w:rPr>
        <w:t>28</w:t>
      </w:r>
      <w:r w:rsidRPr="00E03C13">
        <w:rPr>
          <w:lang w:val="en-GB"/>
        </w:rPr>
        <w:t>H</w:t>
      </w:r>
      <w:r w:rsidRPr="00E03C13">
        <w:rPr>
          <w:vertAlign w:val="subscript"/>
          <w:lang w:val="en-GB"/>
        </w:rPr>
        <w:t>24</w:t>
      </w:r>
      <w:r w:rsidRPr="00E03C13">
        <w:rPr>
          <w:lang w:val="en-GB"/>
        </w:rPr>
        <w:t>FN</w:t>
      </w:r>
      <w:r w:rsidRPr="00E03C13">
        <w:rPr>
          <w:vertAlign w:val="subscript"/>
          <w:lang w:val="en-GB"/>
        </w:rPr>
        <w:t>3</w:t>
      </w:r>
      <w:r w:rsidRPr="00E03C13">
        <w:rPr>
          <w:lang w:val="en-GB"/>
        </w:rPr>
        <w:t>O</w:t>
      </w:r>
      <w:r w:rsidRPr="00E03C13">
        <w:rPr>
          <w:vertAlign w:val="subscript"/>
          <w:lang w:val="en-GB"/>
        </w:rPr>
        <w:t>5</w:t>
      </w:r>
      <w:r w:rsidRPr="00E03C13">
        <w:rPr>
          <w:lang w:val="en-GB"/>
        </w:rPr>
        <w:t>·C</w:t>
      </w:r>
      <w:r w:rsidRPr="00E03C13">
        <w:rPr>
          <w:vertAlign w:val="subscript"/>
          <w:lang w:val="en-GB"/>
        </w:rPr>
        <w:t>4</w:t>
      </w:r>
      <w:r w:rsidRPr="00E03C13">
        <w:rPr>
          <w:lang w:val="en-GB"/>
        </w:rPr>
        <w:t>H</w:t>
      </w:r>
      <w:r w:rsidRPr="00E03C13">
        <w:rPr>
          <w:vertAlign w:val="subscript"/>
          <w:lang w:val="en-GB"/>
        </w:rPr>
        <w:t>6</w:t>
      </w:r>
      <w:r w:rsidRPr="00E03C13">
        <w:rPr>
          <w:lang w:val="en-GB"/>
        </w:rPr>
        <w:t>O</w:t>
      </w:r>
      <w:r w:rsidRPr="00E03C13">
        <w:rPr>
          <w:vertAlign w:val="subscript"/>
          <w:lang w:val="en-GB"/>
        </w:rPr>
        <w:t>5</w:t>
      </w:r>
      <w:r w:rsidRPr="00E03C13">
        <w:rPr>
          <w:lang w:val="en-GB"/>
        </w:rPr>
        <w:t xml:space="preserve"> and the molecular weight is 635.6 Daltons as malate salt.</w:t>
      </w:r>
    </w:p>
    <w:p w14:paraId="7BE5FDF6" w14:textId="77777777" w:rsidR="00E03C13" w:rsidRPr="00E03C13" w:rsidRDefault="00E03C13" w:rsidP="00E03C13">
      <w:pPr>
        <w:rPr>
          <w:lang w:val="en-US"/>
        </w:rPr>
      </w:pPr>
      <w:r w:rsidRPr="00E03C13">
        <w:rPr>
          <w:noProof/>
          <w:lang w:eastAsia="en-AU"/>
        </w:rPr>
        <w:drawing>
          <wp:inline distT="0" distB="0" distL="0" distR="0" wp14:anchorId="44BEE18C" wp14:editId="69DF99B7">
            <wp:extent cx="3590925" cy="1581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0925" cy="1581150"/>
                    </a:xfrm>
                    <a:prstGeom prst="rect">
                      <a:avLst/>
                    </a:prstGeom>
                    <a:noFill/>
                    <a:ln>
                      <a:noFill/>
                    </a:ln>
                  </pic:spPr>
                </pic:pic>
              </a:graphicData>
            </a:graphic>
          </wp:inline>
        </w:drawing>
      </w:r>
    </w:p>
    <w:p w14:paraId="414CB363" w14:textId="77777777" w:rsidR="001A3992" w:rsidRDefault="001A3992" w:rsidP="00A80EF8">
      <w:pPr>
        <w:pStyle w:val="Heading3"/>
        <w:spacing w:before="0" w:after="120"/>
        <w:ind w:left="0"/>
        <w:rPr>
          <w:rFonts w:cs="Times New Roman"/>
          <w:lang w:val="en-US"/>
        </w:rPr>
      </w:pPr>
      <w:r w:rsidRPr="00600F91">
        <w:rPr>
          <w:rFonts w:cs="Times New Roman"/>
          <w:lang w:val="en-US"/>
        </w:rPr>
        <w:lastRenderedPageBreak/>
        <w:t>CAS number</w:t>
      </w:r>
    </w:p>
    <w:p w14:paraId="368AC1E5" w14:textId="77777777" w:rsidR="00E03C13" w:rsidRPr="00E03C13" w:rsidRDefault="00E03C13" w:rsidP="00E03C13">
      <w:pPr>
        <w:rPr>
          <w:lang w:val="en-GB"/>
        </w:rPr>
      </w:pPr>
      <w:r w:rsidRPr="00E03C13">
        <w:rPr>
          <w:lang w:val="en-GB"/>
        </w:rPr>
        <w:t>CAS Number: 1140909-48-3</w:t>
      </w:r>
    </w:p>
    <w:p w14:paraId="043D3B5F" w14:textId="77777777" w:rsidR="001A3992" w:rsidRDefault="001A3992" w:rsidP="001A3992">
      <w:pPr>
        <w:pStyle w:val="Heading1"/>
        <w:spacing w:before="0" w:after="120"/>
        <w:rPr>
          <w:rFonts w:ascii="Times New Roman" w:hAnsi="Times New Roman" w:cs="Times New Roman"/>
          <w:lang w:val="en-US"/>
        </w:rPr>
      </w:pPr>
      <w:r w:rsidRPr="00600F91">
        <w:rPr>
          <w:rFonts w:ascii="Times New Roman" w:hAnsi="Times New Roman" w:cs="Times New Roman"/>
          <w:lang w:val="en-US"/>
        </w:rPr>
        <w:t>Medicine schedule (Poisons Standard)</w:t>
      </w:r>
    </w:p>
    <w:p w14:paraId="3C1B626F" w14:textId="77777777" w:rsidR="00E03C13" w:rsidRPr="00E03C13" w:rsidRDefault="00E03C13" w:rsidP="00E03C13">
      <w:pPr>
        <w:rPr>
          <w:lang w:val="en-GB"/>
        </w:rPr>
      </w:pPr>
      <w:r w:rsidRPr="00E03C13">
        <w:rPr>
          <w:lang w:val="en-GB"/>
        </w:rPr>
        <w:t>S4</w:t>
      </w:r>
    </w:p>
    <w:p w14:paraId="019C1BA3" w14:textId="77777777" w:rsidR="00285173" w:rsidRDefault="001A3992" w:rsidP="00285173">
      <w:pPr>
        <w:pStyle w:val="Heading1"/>
        <w:spacing w:before="0" w:after="120"/>
        <w:rPr>
          <w:rFonts w:ascii="Times New Roman" w:hAnsi="Times New Roman" w:cs="Times New Roman"/>
          <w:lang w:val="en-US"/>
        </w:rPr>
      </w:pPr>
      <w:r w:rsidRPr="00600F91">
        <w:rPr>
          <w:rFonts w:ascii="Times New Roman" w:hAnsi="Times New Roman" w:cs="Times New Roman"/>
          <w:lang w:val="en-US"/>
        </w:rPr>
        <w:t>Sponsor</w:t>
      </w:r>
      <w:r w:rsidR="00285173" w:rsidRPr="00600F91">
        <w:rPr>
          <w:rFonts w:ascii="Times New Roman" w:hAnsi="Times New Roman" w:cs="Times New Roman"/>
          <w:lang w:val="en-US"/>
        </w:rPr>
        <w:t xml:space="preserve"> </w:t>
      </w:r>
    </w:p>
    <w:p w14:paraId="5CDCF17D" w14:textId="77777777" w:rsidR="00E03C13" w:rsidRPr="00E03C13" w:rsidRDefault="00E03C13" w:rsidP="00E03C13">
      <w:pPr>
        <w:contextualSpacing/>
        <w:rPr>
          <w:lang w:val="en-GB"/>
        </w:rPr>
      </w:pPr>
      <w:r w:rsidRPr="00E03C13">
        <w:rPr>
          <w:lang w:val="en-GB"/>
        </w:rPr>
        <w:t>Ipsen Pty Ltd</w:t>
      </w:r>
    </w:p>
    <w:p w14:paraId="232927DF" w14:textId="77777777" w:rsidR="00E03C13" w:rsidRPr="00E03C13" w:rsidRDefault="00E03C13" w:rsidP="00E03C13">
      <w:pPr>
        <w:contextualSpacing/>
        <w:rPr>
          <w:lang w:val="en-GB"/>
        </w:rPr>
      </w:pPr>
      <w:r w:rsidRPr="00E03C13">
        <w:rPr>
          <w:lang w:val="en-GB"/>
        </w:rPr>
        <w:t>Level 2, Building 4</w:t>
      </w:r>
    </w:p>
    <w:p w14:paraId="7CEB64AF" w14:textId="77777777" w:rsidR="00E03C13" w:rsidRPr="00E03C13" w:rsidRDefault="00E03C13" w:rsidP="00E03C13">
      <w:pPr>
        <w:contextualSpacing/>
        <w:rPr>
          <w:lang w:val="en-GB"/>
        </w:rPr>
      </w:pPr>
      <w:r w:rsidRPr="00E03C13">
        <w:rPr>
          <w:lang w:val="en-GB"/>
        </w:rPr>
        <w:t>Brandon Office Park</w:t>
      </w:r>
    </w:p>
    <w:p w14:paraId="6D828322" w14:textId="77777777" w:rsidR="00E03C13" w:rsidRPr="00E03C13" w:rsidRDefault="00E03C13" w:rsidP="00E03C13">
      <w:pPr>
        <w:contextualSpacing/>
        <w:rPr>
          <w:lang w:val="en-GB"/>
        </w:rPr>
      </w:pPr>
      <w:r w:rsidRPr="00E03C13">
        <w:rPr>
          <w:lang w:val="en-GB"/>
        </w:rPr>
        <w:t>540 Springvale Road</w:t>
      </w:r>
    </w:p>
    <w:p w14:paraId="42EDAF67" w14:textId="77777777" w:rsidR="00E03C13" w:rsidRPr="00E03C13" w:rsidRDefault="00E03C13" w:rsidP="00E03C13">
      <w:pPr>
        <w:contextualSpacing/>
        <w:rPr>
          <w:lang w:val="en-GB"/>
        </w:rPr>
      </w:pPr>
      <w:r w:rsidRPr="00E03C13">
        <w:rPr>
          <w:lang w:val="en-GB"/>
        </w:rPr>
        <w:t>Glen Waverley Victoria 3150</w:t>
      </w:r>
    </w:p>
    <w:p w14:paraId="336EEC98" w14:textId="77777777" w:rsidR="00E03C13" w:rsidRPr="00E03C13" w:rsidRDefault="00E03C13" w:rsidP="00E03C13">
      <w:pPr>
        <w:contextualSpacing/>
        <w:rPr>
          <w:lang w:val="en-GB"/>
        </w:rPr>
      </w:pPr>
    </w:p>
    <w:p w14:paraId="41774575" w14:textId="77777777" w:rsidR="00E03C13" w:rsidRPr="00E03C13" w:rsidRDefault="00E03C13" w:rsidP="00E03C13">
      <w:pPr>
        <w:contextualSpacing/>
        <w:rPr>
          <w:lang w:val="en-GB"/>
        </w:rPr>
      </w:pPr>
      <w:r w:rsidRPr="00E03C13">
        <w:rPr>
          <w:lang w:val="en-GB"/>
        </w:rPr>
        <w:t>Telephone: 1800 317 033</w:t>
      </w:r>
    </w:p>
    <w:p w14:paraId="17B062DD" w14:textId="77777777" w:rsidR="00E03C13" w:rsidRPr="00E03C13" w:rsidRDefault="00E03C13" w:rsidP="00E03C13">
      <w:pPr>
        <w:rPr>
          <w:lang w:val="en-US"/>
        </w:rPr>
      </w:pPr>
    </w:p>
    <w:p w14:paraId="64CD6517" w14:textId="77777777" w:rsidR="00285173" w:rsidRDefault="00285173" w:rsidP="00285173">
      <w:pPr>
        <w:pStyle w:val="Heading1"/>
        <w:spacing w:before="0" w:after="120"/>
        <w:rPr>
          <w:rFonts w:ascii="Times New Roman" w:hAnsi="Times New Roman" w:cs="Times New Roman"/>
          <w:lang w:val="en-US"/>
        </w:rPr>
      </w:pPr>
      <w:r w:rsidRPr="00600F91">
        <w:rPr>
          <w:rFonts w:ascii="Times New Roman" w:hAnsi="Times New Roman" w:cs="Times New Roman"/>
          <w:lang w:val="en-US"/>
        </w:rPr>
        <w:t xml:space="preserve">Date of first approval  </w:t>
      </w:r>
    </w:p>
    <w:p w14:paraId="36AC1506" w14:textId="163CDA6B" w:rsidR="00E03C13" w:rsidRPr="00E03C13" w:rsidRDefault="00B73C60" w:rsidP="00E03C13">
      <w:pPr>
        <w:rPr>
          <w:lang w:val="en-US"/>
        </w:rPr>
      </w:pPr>
      <w:r>
        <w:rPr>
          <w:lang w:val="en-US"/>
        </w:rPr>
        <w:t>19 January 201</w:t>
      </w:r>
      <w:r w:rsidR="000E1A44">
        <w:rPr>
          <w:lang w:val="en-US"/>
        </w:rPr>
        <w:t>8</w:t>
      </w:r>
    </w:p>
    <w:p w14:paraId="02AF4FB7" w14:textId="77777777" w:rsidR="00285173" w:rsidRPr="00600F91" w:rsidRDefault="00285173" w:rsidP="00285173">
      <w:pPr>
        <w:pStyle w:val="Heading1"/>
        <w:spacing w:before="0" w:after="120"/>
        <w:rPr>
          <w:rFonts w:ascii="Times New Roman" w:hAnsi="Times New Roman" w:cs="Times New Roman"/>
          <w:lang w:val="en-US"/>
        </w:rPr>
      </w:pPr>
      <w:r w:rsidRPr="00600F91">
        <w:rPr>
          <w:rFonts w:ascii="Times New Roman" w:hAnsi="Times New Roman" w:cs="Times New Roman"/>
          <w:lang w:val="en-US"/>
        </w:rPr>
        <w:t xml:space="preserve">Date of revision </w:t>
      </w:r>
    </w:p>
    <w:p w14:paraId="1A91CC5D" w14:textId="79025B67" w:rsidR="00960CD5" w:rsidRPr="00600F91" w:rsidRDefault="000E1A44" w:rsidP="00E03C13">
      <w:r>
        <w:t>N/A</w:t>
      </w:r>
    </w:p>
    <w:sectPr w:rsidR="00960CD5" w:rsidRPr="00600F9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6EAED" w14:textId="77777777" w:rsidR="00AF2F93" w:rsidRDefault="00AF2F93" w:rsidP="001A3992">
      <w:pPr>
        <w:spacing w:after="0" w:line="240" w:lineRule="auto"/>
      </w:pPr>
      <w:r>
        <w:separator/>
      </w:r>
    </w:p>
  </w:endnote>
  <w:endnote w:type="continuationSeparator" w:id="0">
    <w:p w14:paraId="754CEF9B" w14:textId="77777777" w:rsidR="00AF2F93" w:rsidRDefault="00AF2F93"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63430"/>
      <w:docPartObj>
        <w:docPartGallery w:val="Page Numbers (Bottom of Page)"/>
        <w:docPartUnique/>
      </w:docPartObj>
    </w:sdtPr>
    <w:sdtEndPr>
      <w:rPr>
        <w:noProof/>
        <w:sz w:val="20"/>
      </w:rPr>
    </w:sdtEndPr>
    <w:sdtContent>
      <w:p w14:paraId="6D4786A0" w14:textId="07829031" w:rsidR="00AF2F93" w:rsidRPr="00B8074A" w:rsidRDefault="00AF2F93" w:rsidP="00D1216C">
        <w:pPr>
          <w:pStyle w:val="Footer"/>
          <w:jc w:val="right"/>
          <w:rPr>
            <w:sz w:val="20"/>
          </w:rPr>
        </w:pPr>
        <w:r w:rsidRPr="00C72232">
          <w:rPr>
            <w:rFonts w:ascii="Times New Roman" w:hAnsi="Times New Roman" w:cs="Times New Roman"/>
            <w:sz w:val="20"/>
            <w:lang w:val="en-GB"/>
          </w:rPr>
          <w:t xml:space="preserve">CABOMETYX Product Information </w:t>
        </w:r>
        <w:r w:rsidRPr="00BB14D8">
          <w:rPr>
            <w:rFonts w:ascii="Times New Roman" w:hAnsi="Times New Roman" w:cs="Times New Roman"/>
            <w:sz w:val="20"/>
            <w:lang w:val="en-GB"/>
          </w:rPr>
          <w:t>V</w:t>
        </w:r>
        <w:r>
          <w:rPr>
            <w:rFonts w:ascii="Times New Roman" w:hAnsi="Times New Roman" w:cs="Times New Roman"/>
            <w:sz w:val="20"/>
            <w:lang w:val="en-GB"/>
          </w:rPr>
          <w:t>1.0</w:t>
        </w:r>
        <w:r w:rsidRPr="00C72232">
          <w:rPr>
            <w:rFonts w:ascii="Times New Roman" w:hAnsi="Times New Roman" w:cs="Times New Roman"/>
            <w:sz w:val="20"/>
            <w:lang w:val="en-GB"/>
          </w:rPr>
          <w:t xml:space="preserve"> </w:t>
        </w:r>
        <w:r w:rsidRPr="00C72232" w:rsidDel="007E60C3">
          <w:rPr>
            <w:rFonts w:ascii="Times New Roman" w:hAnsi="Times New Roman" w:cs="Times New Roman"/>
            <w:sz w:val="20"/>
            <w:lang w:val="en-GB"/>
          </w:rPr>
          <w:tab/>
        </w:r>
        <w:r w:rsidRPr="00C72232" w:rsidDel="007E60C3">
          <w:rPr>
            <w:rFonts w:ascii="Times New Roman" w:hAnsi="Times New Roman" w:cs="Times New Roman"/>
            <w:sz w:val="20"/>
            <w:lang w:val="en-GB"/>
          </w:rPr>
          <w:tab/>
        </w:r>
        <w:r w:rsidRPr="00C72232">
          <w:rPr>
            <w:rFonts w:ascii="Times New Roman" w:hAnsi="Times New Roman" w:cs="Times New Roman"/>
            <w:sz w:val="20"/>
            <w:lang w:val="en-GB"/>
          </w:rPr>
          <w:fldChar w:fldCharType="begin"/>
        </w:r>
        <w:r w:rsidRPr="00C72232">
          <w:rPr>
            <w:rFonts w:ascii="Times New Roman" w:hAnsi="Times New Roman" w:cs="Times New Roman"/>
            <w:sz w:val="20"/>
            <w:lang w:val="en-GB"/>
          </w:rPr>
          <w:instrText xml:space="preserve"> PAGE </w:instrText>
        </w:r>
        <w:r w:rsidRPr="00C72232">
          <w:rPr>
            <w:rFonts w:ascii="Times New Roman" w:hAnsi="Times New Roman" w:cs="Times New Roman"/>
            <w:sz w:val="20"/>
            <w:lang w:val="en-GB"/>
          </w:rPr>
          <w:fldChar w:fldCharType="separate"/>
        </w:r>
        <w:r w:rsidR="00AC4578">
          <w:rPr>
            <w:rFonts w:ascii="Times New Roman" w:hAnsi="Times New Roman" w:cs="Times New Roman"/>
            <w:noProof/>
            <w:sz w:val="20"/>
            <w:lang w:val="en-GB"/>
          </w:rPr>
          <w:t>4</w:t>
        </w:r>
        <w:r w:rsidRPr="00C72232">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D22F5" w14:textId="77777777" w:rsidR="00AF2F93" w:rsidRDefault="00AF2F93" w:rsidP="001A3992">
      <w:pPr>
        <w:spacing w:after="0" w:line="240" w:lineRule="auto"/>
      </w:pPr>
      <w:r>
        <w:separator/>
      </w:r>
    </w:p>
  </w:footnote>
  <w:footnote w:type="continuationSeparator" w:id="0">
    <w:p w14:paraId="768A1F67" w14:textId="77777777" w:rsidR="00AF2F93" w:rsidRDefault="00AF2F93" w:rsidP="001A3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B80234" w:rsidRPr="002E7F61" w14:paraId="4BDEF365" w14:textId="77777777" w:rsidTr="009B1974">
      <w:trPr>
        <w:trHeight w:val="602"/>
      </w:trPr>
      <w:tc>
        <w:tcPr>
          <w:tcW w:w="8720" w:type="dxa"/>
          <w:shd w:val="clear" w:color="auto" w:fill="E4F2E0"/>
        </w:tcPr>
        <w:p w14:paraId="2B32832C" w14:textId="77777777" w:rsidR="00B80234" w:rsidRPr="002E7F61" w:rsidRDefault="00B80234" w:rsidP="009B1974">
          <w:pPr>
            <w:pStyle w:val="Footer"/>
            <w:rPr>
              <w:b/>
              <w:sz w:val="18"/>
              <w:szCs w:val="18"/>
            </w:rPr>
          </w:pPr>
          <w:r w:rsidRPr="002E7F61">
            <w:rPr>
              <w:b/>
              <w:sz w:val="18"/>
              <w:szCs w:val="18"/>
            </w:rPr>
            <w:t xml:space="preserve">Attachment 1: Product information </w:t>
          </w:r>
          <w:r w:rsidRPr="00B55ECF">
            <w:rPr>
              <w:b/>
              <w:sz w:val="18"/>
              <w:szCs w:val="18"/>
            </w:rPr>
            <w:t>AusPAR Cabometyx Cabozantinib Ibsen Pty Ltd PM-2016-04459-1-4 Final 18 October 2018</w:t>
          </w:r>
          <w:r w:rsidRPr="002E7F61">
            <w:rPr>
              <w:b/>
              <w:sz w:val="18"/>
              <w:szCs w:val="18"/>
            </w:rPr>
            <w:t>. This Product information was approved at the time this AusPAR was published.</w:t>
          </w:r>
        </w:p>
      </w:tc>
    </w:tr>
  </w:tbl>
  <w:p w14:paraId="1D81EE5E" w14:textId="6BC5904F" w:rsidR="00B80234" w:rsidRDefault="00B80234">
    <w:pPr>
      <w:pStyle w:val="Header"/>
    </w:pPr>
  </w:p>
  <w:p w14:paraId="0B159FB3" w14:textId="77777777" w:rsidR="00B80234" w:rsidRDefault="00B80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9"/>
  </w:num>
  <w:num w:numId="6">
    <w:abstractNumId w:val="7"/>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FF"/>
    <w:rsid w:val="000031F6"/>
    <w:rsid w:val="00042302"/>
    <w:rsid w:val="000E1A44"/>
    <w:rsid w:val="00150CC4"/>
    <w:rsid w:val="001A3992"/>
    <w:rsid w:val="001B75E6"/>
    <w:rsid w:val="002063C4"/>
    <w:rsid w:val="00255176"/>
    <w:rsid w:val="00260B8C"/>
    <w:rsid w:val="00274F80"/>
    <w:rsid w:val="00285173"/>
    <w:rsid w:val="002E277D"/>
    <w:rsid w:val="00304CF1"/>
    <w:rsid w:val="00322033"/>
    <w:rsid w:val="00375DF3"/>
    <w:rsid w:val="003B4662"/>
    <w:rsid w:val="003C4C3E"/>
    <w:rsid w:val="00430EFC"/>
    <w:rsid w:val="00431ACD"/>
    <w:rsid w:val="004B6B19"/>
    <w:rsid w:val="004E3D44"/>
    <w:rsid w:val="004E7FD9"/>
    <w:rsid w:val="005027F1"/>
    <w:rsid w:val="00593CD6"/>
    <w:rsid w:val="005C2617"/>
    <w:rsid w:val="005C4884"/>
    <w:rsid w:val="005F214F"/>
    <w:rsid w:val="0060076B"/>
    <w:rsid w:val="00600F91"/>
    <w:rsid w:val="006018AE"/>
    <w:rsid w:val="00754F01"/>
    <w:rsid w:val="00780B6D"/>
    <w:rsid w:val="007C66C8"/>
    <w:rsid w:val="007D31B7"/>
    <w:rsid w:val="007F2A72"/>
    <w:rsid w:val="00810649"/>
    <w:rsid w:val="0083769C"/>
    <w:rsid w:val="0089168F"/>
    <w:rsid w:val="008C4C00"/>
    <w:rsid w:val="009021C3"/>
    <w:rsid w:val="00905FE6"/>
    <w:rsid w:val="009435FF"/>
    <w:rsid w:val="00960CD5"/>
    <w:rsid w:val="00964DA3"/>
    <w:rsid w:val="00980FFE"/>
    <w:rsid w:val="009B1594"/>
    <w:rsid w:val="00A122D1"/>
    <w:rsid w:val="00A2793F"/>
    <w:rsid w:val="00A80EF8"/>
    <w:rsid w:val="00A84ABB"/>
    <w:rsid w:val="00AA154C"/>
    <w:rsid w:val="00AC4578"/>
    <w:rsid w:val="00AF238D"/>
    <w:rsid w:val="00AF2F93"/>
    <w:rsid w:val="00B41D96"/>
    <w:rsid w:val="00B457B9"/>
    <w:rsid w:val="00B51DEE"/>
    <w:rsid w:val="00B73C60"/>
    <w:rsid w:val="00B80234"/>
    <w:rsid w:val="00BB14D8"/>
    <w:rsid w:val="00BD5387"/>
    <w:rsid w:val="00BE2A26"/>
    <w:rsid w:val="00C07806"/>
    <w:rsid w:val="00C6374B"/>
    <w:rsid w:val="00C652DD"/>
    <w:rsid w:val="00C71AFD"/>
    <w:rsid w:val="00C72232"/>
    <w:rsid w:val="00CD1DA3"/>
    <w:rsid w:val="00CF21E4"/>
    <w:rsid w:val="00D1216C"/>
    <w:rsid w:val="00D30443"/>
    <w:rsid w:val="00D67A72"/>
    <w:rsid w:val="00DF7D56"/>
    <w:rsid w:val="00E03C13"/>
    <w:rsid w:val="00E07211"/>
    <w:rsid w:val="00E331C7"/>
    <w:rsid w:val="00E4748F"/>
    <w:rsid w:val="00E74A56"/>
    <w:rsid w:val="00ED31C9"/>
    <w:rsid w:val="00F1521C"/>
    <w:rsid w:val="00FC492C"/>
    <w:rsid w:val="00FF0A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F3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91"/>
    <w:rPr>
      <w:rFonts w:ascii="Times New Roman" w:hAnsi="Times New Roman"/>
      <w:sz w:val="24"/>
    </w:rPr>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C6374B"/>
    <w:pPr>
      <w:numPr>
        <w:ilvl w:val="1"/>
        <w:numId w:val="1"/>
      </w:numPr>
      <w:spacing w:before="240"/>
      <w:ind w:left="578" w:hanging="578"/>
      <w:outlineLvl w:val="1"/>
    </w:pPr>
    <w:rPr>
      <w:b/>
      <w:caps/>
    </w:rPr>
  </w:style>
  <w:style w:type="paragraph" w:styleId="Heading3">
    <w:name w:val="heading 3"/>
    <w:basedOn w:val="Normal"/>
    <w:next w:val="Normal"/>
    <w:link w:val="Heading3Char"/>
    <w:uiPriority w:val="9"/>
    <w:unhideWhenUsed/>
    <w:qFormat/>
    <w:rsid w:val="00C6374B"/>
    <w:pPr>
      <w:keepNext/>
      <w:keepLines/>
      <w:spacing w:before="200" w:after="0"/>
      <w:ind w:left="227"/>
      <w:outlineLvl w:val="2"/>
    </w:pPr>
    <w:rPr>
      <w:rFonts w:eastAsiaTheme="majorEastAsia" w:cstheme="majorBidi"/>
      <w:b/>
      <w:bCs/>
    </w:rPr>
  </w:style>
  <w:style w:type="paragraph" w:styleId="Heading4">
    <w:name w:val="heading 4"/>
    <w:basedOn w:val="Normal"/>
    <w:next w:val="Normal"/>
    <w:link w:val="Heading4Char"/>
    <w:uiPriority w:val="9"/>
    <w:unhideWhenUsed/>
    <w:qFormat/>
    <w:rsid w:val="00E03C13"/>
    <w:pPr>
      <w:keepNext/>
      <w:keepLines/>
      <w:spacing w:before="200" w:after="120"/>
      <w:outlineLvl w:val="3"/>
    </w:pPr>
    <w:rPr>
      <w:rFonts w:eastAsiaTheme="majorEastAsia" w:cstheme="majorBidi"/>
      <w:bCs/>
      <w:i/>
      <w:iCs/>
      <w:u w:val="single"/>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C6374B"/>
    <w:rPr>
      <w:rFonts w:ascii="Times New Roman" w:hAnsi="Times New Roman"/>
      <w:b/>
      <w:caps/>
      <w:sz w:val="24"/>
    </w:rPr>
  </w:style>
  <w:style w:type="character" w:customStyle="1" w:styleId="Heading3Char">
    <w:name w:val="Heading 3 Char"/>
    <w:basedOn w:val="DefaultParagraphFont"/>
    <w:link w:val="Heading3"/>
    <w:uiPriority w:val="9"/>
    <w:rsid w:val="00C6374B"/>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E03C13"/>
    <w:rPr>
      <w:rFonts w:ascii="Times New Roman" w:eastAsiaTheme="majorEastAsia" w:hAnsi="Times New Roman" w:cstheme="majorBidi"/>
      <w:bCs/>
      <w:i/>
      <w:iCs/>
      <w:sz w:val="24"/>
      <w:u w:val="single"/>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063C4"/>
    <w:rPr>
      <w:rFonts w:ascii="Times New Roman" w:hAnsi="Times New Roman"/>
      <w:b/>
      <w:bCs/>
    </w:rPr>
  </w:style>
  <w:style w:type="character" w:customStyle="1" w:styleId="CommentSubjectChar">
    <w:name w:val="Comment Subject Char"/>
    <w:basedOn w:val="CommentTextChar"/>
    <w:link w:val="CommentSubject"/>
    <w:uiPriority w:val="99"/>
    <w:semiHidden/>
    <w:rsid w:val="002063C4"/>
    <w:rPr>
      <w:rFonts w:ascii="Times New Roman" w:hAnsi="Times New Roman"/>
      <w:b/>
      <w:bCs/>
      <w:sz w:val="20"/>
      <w:szCs w:val="20"/>
    </w:rPr>
  </w:style>
  <w:style w:type="paragraph" w:styleId="Header">
    <w:name w:val="header"/>
    <w:basedOn w:val="Normal"/>
    <w:link w:val="HeaderChar"/>
    <w:uiPriority w:val="99"/>
    <w:unhideWhenUsed/>
    <w:rsid w:val="00C72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232"/>
    <w:rPr>
      <w:rFonts w:ascii="Times New Roman" w:hAnsi="Times New Roman"/>
      <w:sz w:val="24"/>
    </w:rPr>
  </w:style>
  <w:style w:type="table" w:styleId="TableGrid">
    <w:name w:val="Table Grid"/>
    <w:basedOn w:val="TableNormal"/>
    <w:uiPriority w:val="59"/>
    <w:rsid w:val="00B80234"/>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91"/>
    <w:rPr>
      <w:rFonts w:ascii="Times New Roman" w:hAnsi="Times New Roman"/>
      <w:sz w:val="24"/>
    </w:rPr>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C6374B"/>
    <w:pPr>
      <w:numPr>
        <w:ilvl w:val="1"/>
        <w:numId w:val="1"/>
      </w:numPr>
      <w:spacing w:before="240"/>
      <w:ind w:left="578" w:hanging="578"/>
      <w:outlineLvl w:val="1"/>
    </w:pPr>
    <w:rPr>
      <w:b/>
      <w:caps/>
    </w:rPr>
  </w:style>
  <w:style w:type="paragraph" w:styleId="Heading3">
    <w:name w:val="heading 3"/>
    <w:basedOn w:val="Normal"/>
    <w:next w:val="Normal"/>
    <w:link w:val="Heading3Char"/>
    <w:uiPriority w:val="9"/>
    <w:unhideWhenUsed/>
    <w:qFormat/>
    <w:rsid w:val="00C6374B"/>
    <w:pPr>
      <w:keepNext/>
      <w:keepLines/>
      <w:spacing w:before="200" w:after="0"/>
      <w:ind w:left="227"/>
      <w:outlineLvl w:val="2"/>
    </w:pPr>
    <w:rPr>
      <w:rFonts w:eastAsiaTheme="majorEastAsia" w:cstheme="majorBidi"/>
      <w:b/>
      <w:bCs/>
    </w:rPr>
  </w:style>
  <w:style w:type="paragraph" w:styleId="Heading4">
    <w:name w:val="heading 4"/>
    <w:basedOn w:val="Normal"/>
    <w:next w:val="Normal"/>
    <w:link w:val="Heading4Char"/>
    <w:uiPriority w:val="9"/>
    <w:unhideWhenUsed/>
    <w:qFormat/>
    <w:rsid w:val="00E03C13"/>
    <w:pPr>
      <w:keepNext/>
      <w:keepLines/>
      <w:spacing w:before="200" w:after="120"/>
      <w:outlineLvl w:val="3"/>
    </w:pPr>
    <w:rPr>
      <w:rFonts w:eastAsiaTheme="majorEastAsia" w:cstheme="majorBidi"/>
      <w:bCs/>
      <w:i/>
      <w:iCs/>
      <w:u w:val="single"/>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C6374B"/>
    <w:rPr>
      <w:rFonts w:ascii="Times New Roman" w:hAnsi="Times New Roman"/>
      <w:b/>
      <w:caps/>
      <w:sz w:val="24"/>
    </w:rPr>
  </w:style>
  <w:style w:type="character" w:customStyle="1" w:styleId="Heading3Char">
    <w:name w:val="Heading 3 Char"/>
    <w:basedOn w:val="DefaultParagraphFont"/>
    <w:link w:val="Heading3"/>
    <w:uiPriority w:val="9"/>
    <w:rsid w:val="00C6374B"/>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E03C13"/>
    <w:rPr>
      <w:rFonts w:ascii="Times New Roman" w:eastAsiaTheme="majorEastAsia" w:hAnsi="Times New Roman" w:cstheme="majorBidi"/>
      <w:bCs/>
      <w:i/>
      <w:iCs/>
      <w:sz w:val="24"/>
      <w:u w:val="single"/>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063C4"/>
    <w:rPr>
      <w:rFonts w:ascii="Times New Roman" w:hAnsi="Times New Roman"/>
      <w:b/>
      <w:bCs/>
    </w:rPr>
  </w:style>
  <w:style w:type="character" w:customStyle="1" w:styleId="CommentSubjectChar">
    <w:name w:val="Comment Subject Char"/>
    <w:basedOn w:val="CommentTextChar"/>
    <w:link w:val="CommentSubject"/>
    <w:uiPriority w:val="99"/>
    <w:semiHidden/>
    <w:rsid w:val="002063C4"/>
    <w:rPr>
      <w:rFonts w:ascii="Times New Roman" w:hAnsi="Times New Roman"/>
      <w:b/>
      <w:bCs/>
      <w:sz w:val="20"/>
      <w:szCs w:val="20"/>
    </w:rPr>
  </w:style>
  <w:style w:type="paragraph" w:styleId="Header">
    <w:name w:val="header"/>
    <w:basedOn w:val="Normal"/>
    <w:link w:val="HeaderChar"/>
    <w:uiPriority w:val="99"/>
    <w:unhideWhenUsed/>
    <w:rsid w:val="00C72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232"/>
    <w:rPr>
      <w:rFonts w:ascii="Times New Roman" w:hAnsi="Times New Roman"/>
      <w:sz w:val="24"/>
    </w:rPr>
  </w:style>
  <w:style w:type="table" w:styleId="TableGrid">
    <w:name w:val="Table Grid"/>
    <w:basedOn w:val="TableNormal"/>
    <w:uiPriority w:val="59"/>
    <w:rsid w:val="00B80234"/>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3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ga.gov.au/reporting-problems" TargetMode="External"/><Relationship Id="rId4" Type="http://schemas.microsoft.com/office/2007/relationships/stylesWithEffects" Target="stylesWithEffects.xml"/><Relationship Id="rId9" Type="http://schemas.openxmlformats.org/officeDocument/2006/relationships/hyperlink" Target="http://www.tga.gov.au/reporting-problem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AA\pi-template-black-triang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BB"/>
    <w:rsid w:val="003E1B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4F7AC04E3B4135BBA67F76D9F0295A">
    <w:name w:val="9F4F7AC04E3B4135BBA67F76D9F0295A"/>
    <w:rsid w:val="003E1B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4F7AC04E3B4135BBA67F76D9F0295A">
    <w:name w:val="9F4F7AC04E3B4135BBA67F76D9F0295A"/>
    <w:rsid w:val="003E1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8BCC-1C2E-4CC0-B909-C8544ACB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pi-template-black-triangle.dotx</Template>
  <TotalTime>0</TotalTime>
  <Pages>22</Pages>
  <Words>6053</Words>
  <Characters>34080</Characters>
  <Application>Microsoft Office Word</Application>
  <DocSecurity>0</DocSecurity>
  <Lines>668</Lines>
  <Paragraphs>358</Paragraphs>
  <ScaleCrop>false</ScaleCrop>
  <HeadingPairs>
    <vt:vector size="2" baseType="variant">
      <vt:variant>
        <vt:lpstr>Title</vt:lpstr>
      </vt:variant>
      <vt:variant>
        <vt:i4>1</vt:i4>
      </vt:variant>
    </vt:vector>
  </HeadingPairs>
  <TitlesOfParts>
    <vt:vector size="1" baseType="lpstr">
      <vt:lpstr>Attachment: Product Information: Cabozantinib</vt:lpstr>
    </vt:vector>
  </TitlesOfParts>
  <Company>Therapeutic Goods Administration</Company>
  <LinksUpToDate>false</LinksUpToDate>
  <CharactersWithSpaces>39775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Cabozantinib</dc:title>
  <dc:subject>prescription medicines</dc:subject>
  <dc:creator>Ipsen Pty Ltd</dc:creator>
  <cp:keywords>AusPARs</cp:keywords>
  <cp:lastModifiedBy>LACK, Janet</cp:lastModifiedBy>
  <cp:revision>2</cp:revision>
  <cp:lastPrinted>2018-01-23T01:50:00Z</cp:lastPrinted>
  <dcterms:created xsi:type="dcterms:W3CDTF">2018-12-05T02:50:00Z</dcterms:created>
  <dcterms:modified xsi:type="dcterms:W3CDTF">2018-12-05T02:50:00Z</dcterms:modified>
</cp:coreProperties>
</file>