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80B" w:rsidRPr="00457669" w:rsidRDefault="0001567F" w:rsidP="0022622E">
      <w:pPr>
        <w:pStyle w:val="Title"/>
      </w:pPr>
      <w:bookmarkStart w:id="0" w:name="_GoBack"/>
      <w:bookmarkEnd w:id="0"/>
      <w:r w:rsidRPr="00457669">
        <w:t>I</w:t>
      </w:r>
      <w:r w:rsidR="00762A9B" w:rsidRPr="00457669">
        <w:t>LARIS</w:t>
      </w:r>
      <w:r w:rsidR="0066180B" w:rsidRPr="00457669">
        <w:rPr>
          <w:vertAlign w:val="superscript"/>
        </w:rPr>
        <w:sym w:font="Symbol" w:char="F0D2"/>
      </w:r>
    </w:p>
    <w:p w:rsidR="0066180B" w:rsidRPr="00D8368C" w:rsidRDefault="002969B0" w:rsidP="0022622E">
      <w:pPr>
        <w:pStyle w:val="Subtitle"/>
      </w:pPr>
      <w:r w:rsidRPr="00D8368C">
        <w:t>canakinumab</w:t>
      </w:r>
    </w:p>
    <w:p w:rsidR="0066180B" w:rsidRPr="00D8368C" w:rsidRDefault="0066180B" w:rsidP="0022622E"/>
    <w:p w:rsidR="0066180B" w:rsidRPr="00D8368C" w:rsidRDefault="0066180B" w:rsidP="0022622E">
      <w:pPr>
        <w:pStyle w:val="Heading1"/>
      </w:pPr>
      <w:r w:rsidRPr="00D8368C">
        <w:t>NAME OF THE MEDICINE</w:t>
      </w:r>
    </w:p>
    <w:p w:rsidR="00777D39" w:rsidRPr="00457669" w:rsidRDefault="00777D39" w:rsidP="0022622E"/>
    <w:p w:rsidR="003253F9" w:rsidRPr="00D8368C" w:rsidRDefault="003253F9" w:rsidP="0022622E">
      <w:r w:rsidRPr="00D8368C">
        <w:t>Active ingredient</w:t>
      </w:r>
      <w:r w:rsidR="00457669" w:rsidRPr="00D8368C">
        <w:t>:</w:t>
      </w:r>
      <w:r w:rsidR="00457669" w:rsidRPr="00D8368C">
        <w:tab/>
      </w:r>
      <w:r w:rsidR="00C0798A" w:rsidRPr="00D8368C">
        <w:t>C</w:t>
      </w:r>
      <w:r w:rsidRPr="00D8368C">
        <w:t>anakinumab</w:t>
      </w:r>
    </w:p>
    <w:p w:rsidR="0066180B" w:rsidRPr="00D8368C" w:rsidRDefault="00457669" w:rsidP="0022622E">
      <w:r w:rsidRPr="00D8368C">
        <w:t xml:space="preserve">Chemical name: </w:t>
      </w:r>
      <w:r w:rsidRPr="00D8368C">
        <w:tab/>
      </w:r>
      <w:r w:rsidR="003253F9" w:rsidRPr="00D8368C">
        <w:t>Immunoglobulin G1, anti-(human interleukin-1beta (IL-1β)) human monoclonal ACZ885; (1Glu&gt;Glp)-γ1 heavy chain (221-214’)-disulfide with kappa light chain, dimer (227-227”:230-230”)-bisdisulfide</w:t>
      </w:r>
    </w:p>
    <w:p w:rsidR="003253F9" w:rsidRPr="00D8368C" w:rsidRDefault="008A7865" w:rsidP="0022622E">
      <w:r w:rsidRPr="00D8368C">
        <w:t xml:space="preserve">CAS number: </w:t>
      </w:r>
      <w:r w:rsidR="003253F9" w:rsidRPr="00D8368C">
        <w:tab/>
      </w:r>
      <w:r w:rsidR="00457669" w:rsidRPr="00D8368C">
        <w:tab/>
      </w:r>
      <w:r w:rsidR="003253F9" w:rsidRPr="00D8368C">
        <w:t>402710-25-2 (variable heavy γ1 chain)</w:t>
      </w:r>
    </w:p>
    <w:p w:rsidR="0066180B" w:rsidRPr="00D8368C" w:rsidRDefault="003253F9" w:rsidP="0022622E">
      <w:r w:rsidRPr="00D8368C">
        <w:tab/>
      </w:r>
      <w:r w:rsidR="00457669" w:rsidRPr="00D8368C">
        <w:tab/>
      </w:r>
      <w:r w:rsidR="00457669" w:rsidRPr="00D8368C">
        <w:tab/>
      </w:r>
      <w:r w:rsidRPr="00D8368C">
        <w:t>402710-27-4 (variable light κ chain)</w:t>
      </w:r>
    </w:p>
    <w:p w:rsidR="0066180B" w:rsidRPr="00D8368C" w:rsidRDefault="0066180B" w:rsidP="0022622E">
      <w:r w:rsidRPr="00D8368C">
        <w:t xml:space="preserve">Molecular weight: </w:t>
      </w:r>
      <w:r w:rsidRPr="00D8368C">
        <w:tab/>
      </w:r>
      <w:r w:rsidR="003253F9" w:rsidRPr="00D8368C">
        <w:t>Approximately 145.157kDa</w:t>
      </w:r>
    </w:p>
    <w:p w:rsidR="0066180B" w:rsidRPr="00D8368C" w:rsidRDefault="0066180B" w:rsidP="0022622E">
      <w:r w:rsidRPr="00D8368C">
        <w:t>Structur</w:t>
      </w:r>
      <w:r w:rsidR="003253F9" w:rsidRPr="00D8368C">
        <w:t>e</w:t>
      </w:r>
      <w:r w:rsidRPr="00D8368C">
        <w:t>:</w:t>
      </w:r>
      <w:r w:rsidRPr="00D8368C">
        <w:tab/>
      </w:r>
      <w:r w:rsidR="000F0174" w:rsidRPr="00D8368C">
        <w:t>Canakinumab comprise</w:t>
      </w:r>
      <w:r w:rsidR="00DA0B16" w:rsidRPr="00D8368C">
        <w:t>s</w:t>
      </w:r>
      <w:r w:rsidR="000F0174" w:rsidRPr="00D8368C">
        <w:t xml:space="preserve"> two 447(or 448)</w:t>
      </w:r>
      <w:r w:rsidR="00B07C65" w:rsidRPr="00D8368C">
        <w:t>-</w:t>
      </w:r>
      <w:r w:rsidR="000F0174" w:rsidRPr="00D8368C">
        <w:t>residue heavy chains and two 214-residue light chains.</w:t>
      </w:r>
    </w:p>
    <w:p w:rsidR="0066180B" w:rsidRPr="00457669" w:rsidRDefault="0066180B" w:rsidP="0022622E"/>
    <w:p w:rsidR="0066180B" w:rsidRPr="00457669" w:rsidRDefault="0066180B" w:rsidP="0022622E">
      <w:pPr>
        <w:pStyle w:val="Heading1"/>
      </w:pPr>
      <w:r w:rsidRPr="00457669">
        <w:t>DESCRIPTION</w:t>
      </w:r>
    </w:p>
    <w:p w:rsidR="00777D39" w:rsidRPr="00D8368C" w:rsidRDefault="00777D39" w:rsidP="0022622E"/>
    <w:p w:rsidR="008B6543" w:rsidRPr="00D8368C" w:rsidRDefault="008B6543" w:rsidP="0022622E">
      <w:r w:rsidRPr="00D8368C">
        <w:t>Canakinumab is a high-affinity fully human anti-human-IL-1β monoclonal antibody that belongs to the IgG1/κ isotype subclass. It is expressed in a murine SP2/0 cell line.</w:t>
      </w:r>
    </w:p>
    <w:p w:rsidR="00015118" w:rsidRPr="00D8368C" w:rsidRDefault="00015118" w:rsidP="0022622E"/>
    <w:p w:rsidR="008B6543" w:rsidRPr="00D8368C" w:rsidRDefault="008B6543" w:rsidP="0022622E">
      <w:r w:rsidRPr="00D8368C">
        <w:t xml:space="preserve">Ilaris is a sterile, white, lyophilised powder that is reconstituted with water for injections and administered as a subcutaneous (SC) injection. A reconstituted single-use vial delivers 150 mg canakinumab per </w:t>
      </w:r>
      <w:r w:rsidR="005D5EAF" w:rsidRPr="00D8368C">
        <w:t>1</w:t>
      </w:r>
      <w:r w:rsidRPr="00D8368C">
        <w:t xml:space="preserve"> mL</w:t>
      </w:r>
      <w:r w:rsidR="00CA3C35" w:rsidRPr="00D8368C">
        <w:t>.</w:t>
      </w:r>
    </w:p>
    <w:p w:rsidR="0066180B" w:rsidRPr="00D8368C" w:rsidRDefault="0066180B" w:rsidP="0022622E"/>
    <w:p w:rsidR="008B6543" w:rsidRPr="00D8368C" w:rsidRDefault="0066180B" w:rsidP="0022622E">
      <w:r w:rsidRPr="00D8368C">
        <w:t xml:space="preserve">Excipients: </w:t>
      </w:r>
      <w:r w:rsidR="00DE3F07" w:rsidRPr="00D8368C">
        <w:t>S</w:t>
      </w:r>
      <w:r w:rsidR="008B6543" w:rsidRPr="00D8368C">
        <w:t xml:space="preserve">ucrose, histidine, histidine </w:t>
      </w:r>
      <w:r w:rsidR="00BC59AA" w:rsidRPr="00D8368C">
        <w:t>hydrochloride</w:t>
      </w:r>
      <w:r w:rsidR="008B6543" w:rsidRPr="00D8368C">
        <w:t xml:space="preserve"> monohydrate, polysorbate 80</w:t>
      </w:r>
      <w:r w:rsidR="0099690B" w:rsidRPr="00D8368C">
        <w:t>, dilute hydrochloric acid</w:t>
      </w:r>
      <w:r w:rsidR="00DE3F07" w:rsidRPr="00D8368C">
        <w:t>.</w:t>
      </w:r>
    </w:p>
    <w:p w:rsidR="0066180B" w:rsidRPr="00D8368C" w:rsidRDefault="0066180B" w:rsidP="0022622E"/>
    <w:p w:rsidR="0066180B" w:rsidRPr="00BA6603" w:rsidRDefault="0066180B" w:rsidP="0022622E">
      <w:pPr>
        <w:pStyle w:val="Heading1"/>
      </w:pPr>
      <w:r w:rsidRPr="00BA6603">
        <w:t>PHARMACOLOGY</w:t>
      </w:r>
    </w:p>
    <w:p w:rsidR="00F32258" w:rsidRPr="00D8368C" w:rsidRDefault="00F32258" w:rsidP="0022622E">
      <w:pPr>
        <w:pStyle w:val="Heading3"/>
      </w:pPr>
      <w:r w:rsidRPr="00D8368C">
        <w:t>Pharmacotherapeutic group, ATC</w:t>
      </w:r>
    </w:p>
    <w:p w:rsidR="00F32258" w:rsidRPr="00BA6603" w:rsidRDefault="00F32258" w:rsidP="0022622E">
      <w:r w:rsidRPr="00BA6603">
        <w:t>Interleukin inhibitors; ATC code: L04AC08.</w:t>
      </w:r>
    </w:p>
    <w:p w:rsidR="00F32258" w:rsidRPr="00BA6603" w:rsidRDefault="00F32258" w:rsidP="0022622E"/>
    <w:p w:rsidR="0066180B" w:rsidRPr="00D8368C" w:rsidRDefault="0066180B" w:rsidP="0022622E">
      <w:pPr>
        <w:pStyle w:val="Heading2"/>
      </w:pPr>
      <w:r w:rsidRPr="00D8368C">
        <w:t>Pharmacodynamics</w:t>
      </w:r>
    </w:p>
    <w:p w:rsidR="0066180B" w:rsidRPr="00BA6603" w:rsidRDefault="002969B0" w:rsidP="0022622E">
      <w:r w:rsidRPr="00BA6603">
        <w:t>Canakinumab is a fully human monoclonal anti-human interleukin-1beta (IL-1beta) antibody of the IgG1/kappa isotype. Canakinumab binds with high affinity to human IL-1beta and neutralises the biological activity of human IL-1beta by blocking its interaction with IL-1 receptors, thereby preventing IL-1beta-induced gene activation and the production of inflammatory mediators such as interleukin-6 or cyclooxygenase-2. Canakinumab is therefore suited to treat diseases and pathologies characterised by local or systemic overproduction of IL-1beta.</w:t>
      </w:r>
    </w:p>
    <w:p w:rsidR="002969B0" w:rsidRPr="00BA6603" w:rsidRDefault="002969B0" w:rsidP="0022622E"/>
    <w:p w:rsidR="00C74F66" w:rsidRDefault="002969B0" w:rsidP="0022622E">
      <w:r w:rsidRPr="00BA6603">
        <w:t>Excess production of IL-1beta in inflammatory diseases leads to local or systemic inflammation, increased production of the inflammatory markers C-reactive protein (CRP) or se</w:t>
      </w:r>
      <w:r w:rsidR="00D8368C">
        <w:t>rum amyloid A (SAA), and fever.</w:t>
      </w:r>
    </w:p>
    <w:p w:rsidR="00D8368C" w:rsidRPr="00BA6603" w:rsidRDefault="00D8368C" w:rsidP="0022622E"/>
    <w:p w:rsidR="00C74F66" w:rsidRPr="00BA6603" w:rsidRDefault="00C74F66" w:rsidP="0022622E">
      <w:pPr>
        <w:pStyle w:val="Heading3"/>
      </w:pPr>
      <w:r w:rsidRPr="00BA6603">
        <w:lastRenderedPageBreak/>
        <w:t>CAPS</w:t>
      </w:r>
    </w:p>
    <w:p w:rsidR="002969B0" w:rsidRPr="00BA6603" w:rsidRDefault="00117CD1" w:rsidP="0022622E">
      <w:r w:rsidRPr="00BA6603">
        <w:t>Cryopyrin-Associated Periodic Syndromes (CAPS)</w:t>
      </w:r>
      <w:r w:rsidR="002969B0" w:rsidRPr="00BA6603">
        <w:t xml:space="preserve"> patients who have uncontrolled overproduction of IL-1beta manifest in fever, fatigue, skin rash, arthritis, intense leukocytosis, high platelet count, and acute phase protein elevation show a rapid response to therapy with canakinumab. Following canakinumab treatment, CRP and SAA levels, leukocytosis and high platelet count rapidly returned to normal</w:t>
      </w:r>
      <w:r w:rsidR="00CA3C35" w:rsidRPr="00BA6603">
        <w:t>.</w:t>
      </w:r>
    </w:p>
    <w:p w:rsidR="00C74F66" w:rsidRPr="00BA6603" w:rsidRDefault="00C74F66" w:rsidP="0022622E"/>
    <w:p w:rsidR="00C74F66" w:rsidRPr="00BA6603" w:rsidRDefault="00C74F66" w:rsidP="0022622E">
      <w:pPr>
        <w:pStyle w:val="Heading3"/>
      </w:pPr>
      <w:r w:rsidRPr="00BA6603">
        <w:t>sJIA</w:t>
      </w:r>
    </w:p>
    <w:p w:rsidR="00C74F66" w:rsidRPr="00BA6603" w:rsidRDefault="00C74F66" w:rsidP="0022622E">
      <w:r w:rsidRPr="00BA6603">
        <w:t>Systemic Juvenile Idiopathic Arthritis is a severe auto-inflammatory disease, driven by innate immunity by means of pro-inflammatory cytokines, a key one being interleukin 1beta (IL-1β).</w:t>
      </w:r>
    </w:p>
    <w:p w:rsidR="00C74F66" w:rsidRPr="00BA6603" w:rsidRDefault="00C74F66" w:rsidP="0022622E"/>
    <w:p w:rsidR="00C74F66" w:rsidRPr="00BA6603" w:rsidRDefault="00C74F66" w:rsidP="0022622E">
      <w:r w:rsidRPr="00BA6603">
        <w:t>Common features of sJIA include fever, rash, hepatosplenomegaly, lymphadenopathy, polyserositis and arthritis. Treatment with canakinumab resulted in a rapid and sustained improvement of both the articular and the systemic features of sJIA with significant reduction of the number of inflamed joints, prompt resolution of fever and reduction of acute phase reactants in the majority of patients (see ‘Clinical Trials’).</w:t>
      </w:r>
    </w:p>
    <w:p w:rsidR="00C0798A" w:rsidRPr="00BA6603" w:rsidRDefault="00C0798A" w:rsidP="0022622E"/>
    <w:p w:rsidR="0066180B" w:rsidRPr="00BA6603" w:rsidRDefault="0066180B" w:rsidP="0022622E">
      <w:pPr>
        <w:pStyle w:val="Heading2"/>
      </w:pPr>
      <w:r w:rsidRPr="00BA6603">
        <w:t>Pharmacokinetics</w:t>
      </w:r>
    </w:p>
    <w:p w:rsidR="00E5673D" w:rsidRPr="00BA6603" w:rsidRDefault="00E5673D" w:rsidP="0022622E">
      <w:pPr>
        <w:pStyle w:val="heading4"/>
      </w:pPr>
      <w:r w:rsidRPr="00BA6603">
        <w:t>Absorption</w:t>
      </w:r>
    </w:p>
    <w:p w:rsidR="00E5673D" w:rsidRPr="00BA6603" w:rsidRDefault="002969B0" w:rsidP="0022622E">
      <w:r w:rsidRPr="00BA6603">
        <w:t>The peak serum canakinumab concentration (C</w:t>
      </w:r>
      <w:r w:rsidRPr="00BA6603">
        <w:rPr>
          <w:vertAlign w:val="subscript"/>
        </w:rPr>
        <w:t>max</w:t>
      </w:r>
      <w:r w:rsidRPr="00BA6603">
        <w:t>) occurred approximately 7 days following single subcutaneous administration of 150 mg in adult CAPS patients. The mean terminal half-life was 26 days. Based on a population pharmacokinetic analysis</w:t>
      </w:r>
      <w:r w:rsidR="009E3030" w:rsidRPr="00BA6603">
        <w:t xml:space="preserve"> in the CAPS population including children from 2 years of age</w:t>
      </w:r>
      <w:r w:rsidRPr="00BA6603">
        <w:t>, the absolute bioavailability of subcutaneous administration of canakinumab was estimated to be</w:t>
      </w:r>
      <w:r w:rsidR="00F35EB4" w:rsidRPr="00BA6603">
        <w:t xml:space="preserve"> </w:t>
      </w:r>
      <w:r w:rsidR="009E3030" w:rsidRPr="00BA6603">
        <w:t>66</w:t>
      </w:r>
      <w:r w:rsidRPr="00BA6603">
        <w:t xml:space="preserve">%. </w:t>
      </w:r>
      <w:r w:rsidR="00E5673D" w:rsidRPr="00BA6603">
        <w:t>Exposure parameters (such as AUC and C</w:t>
      </w:r>
      <w:r w:rsidR="00E5673D" w:rsidRPr="00BA6603">
        <w:rPr>
          <w:vertAlign w:val="subscript"/>
        </w:rPr>
        <w:t>max</w:t>
      </w:r>
      <w:r w:rsidR="00E5673D" w:rsidRPr="00BA6603">
        <w:t>) increased in proportion to dose over the dose range of 0.30 to 10.0 mg/kg given as intravenous infusion or from 150 to 600 mg as subcutaneous injection.</w:t>
      </w:r>
    </w:p>
    <w:p w:rsidR="00934744" w:rsidRPr="00BA6603" w:rsidRDefault="00934744" w:rsidP="0022622E"/>
    <w:p w:rsidR="00934744" w:rsidRPr="00BA6603" w:rsidRDefault="00934744" w:rsidP="0022622E">
      <w:pPr>
        <w:pStyle w:val="heading4"/>
      </w:pPr>
      <w:r w:rsidRPr="00BA6603">
        <w:t>Distribution</w:t>
      </w:r>
    </w:p>
    <w:p w:rsidR="00E5673D" w:rsidRPr="00BA6603" w:rsidRDefault="00934744" w:rsidP="0022622E">
      <w:pPr>
        <w:pStyle w:val="Text"/>
      </w:pPr>
      <w:r w:rsidRPr="00BA6603">
        <w:t>Canakinumab binds to serum IL-1β. The distribution volume (Vss) of canakinumab varied according to body weight. It was estimated to be 6.2 litres in a CAPS patient of body weight 70 kg, 3.2 litres in a SJIA patient of body weight 33 kg. The expected accumulation ratio was 1.3-fold and 1.6-fold following 6 months of subcutaneous administration of 150 mg canakinumab every 8 weeks and 4 mg/kg every 4 weeks respectively (see ‘Dosage and administration’).</w:t>
      </w:r>
    </w:p>
    <w:p w:rsidR="00F4013E" w:rsidRPr="00BA6603" w:rsidRDefault="00F4013E" w:rsidP="0022622E"/>
    <w:p w:rsidR="00F4013E" w:rsidRPr="00BA6603" w:rsidRDefault="009E3030" w:rsidP="0022622E">
      <w:pPr>
        <w:pStyle w:val="heading4"/>
      </w:pPr>
      <w:r w:rsidRPr="00BA6603">
        <w:t>Excretion</w:t>
      </w:r>
    </w:p>
    <w:p w:rsidR="000F5EF0" w:rsidRPr="00BA6603" w:rsidRDefault="002969B0" w:rsidP="0022622E">
      <w:pPr>
        <w:pStyle w:val="Text"/>
      </w:pPr>
      <w:r w:rsidRPr="00BA6603">
        <w:t xml:space="preserve">The clearance (CL) of canakinumab varied </w:t>
      </w:r>
      <w:r w:rsidRPr="00BA6603">
        <w:rPr>
          <w:lang w:eastAsia="ja-JP" w:bidi="th-TH"/>
        </w:rPr>
        <w:t>according to</w:t>
      </w:r>
      <w:r w:rsidRPr="00BA6603">
        <w:t xml:space="preserve"> body weight and were estimated to be 0.17 L/day in a CAPS patient of body weight 70 kg</w:t>
      </w:r>
      <w:r w:rsidR="000F5EF0" w:rsidRPr="00BA6603">
        <w:t>, and 0.11 L/day in a sJIA patient of body weight 33 kg</w:t>
      </w:r>
      <w:r w:rsidRPr="00BA6603">
        <w:t xml:space="preserve">. </w:t>
      </w:r>
      <w:r w:rsidR="000F5EF0" w:rsidRPr="00BA6603">
        <w:t>After accounting for body weight differences, no clinically significant differences in the pharmacokinetic properties of canakinumab were observed between CAPS and sJIA patients.</w:t>
      </w:r>
    </w:p>
    <w:p w:rsidR="002969B0" w:rsidRPr="00BA6603" w:rsidRDefault="002969B0" w:rsidP="0022622E">
      <w:pPr>
        <w:pStyle w:val="Text"/>
      </w:pPr>
      <w:r w:rsidRPr="00BA6603">
        <w:t>There was no indication of accelerated clearance or time-dependent change in the pharmacokinetic properties of canakinumab following repeated administration. No gender or age-related pharmacokinetic differences were observed after correction for body weight.</w:t>
      </w:r>
    </w:p>
    <w:p w:rsidR="0066180B" w:rsidRPr="00BA6603" w:rsidRDefault="0066180B" w:rsidP="0022622E"/>
    <w:p w:rsidR="0066180B" w:rsidRPr="00BA6603" w:rsidRDefault="0066180B" w:rsidP="0022622E">
      <w:pPr>
        <w:pStyle w:val="Heading3"/>
      </w:pPr>
      <w:r w:rsidRPr="00BA6603">
        <w:t>Pharmacokinetics in children:</w:t>
      </w:r>
    </w:p>
    <w:p w:rsidR="002969B0" w:rsidRPr="00BA6603" w:rsidRDefault="002969B0" w:rsidP="0022622E">
      <w:r w:rsidRPr="00BA6603">
        <w:t>Peak concentrations of canakinumab occurred between 2 to 7 days following single subcutaneous administration of canakinumab 150 mg or 2 mg/kg in paediatric patients</w:t>
      </w:r>
      <w:r w:rsidR="00944E2B" w:rsidRPr="00BA6603">
        <w:t xml:space="preserve"> 4 years of age and older</w:t>
      </w:r>
      <w:r w:rsidRPr="00BA6603">
        <w:t xml:space="preserve">. The terminal half-life ranged from 22.9 to 25.7 days, similar to the </w:t>
      </w:r>
      <w:r w:rsidRPr="00BA6603">
        <w:rPr>
          <w:lang w:eastAsia="ja-JP" w:bidi="th-TH"/>
        </w:rPr>
        <w:t xml:space="preserve">pharmacokinetic </w:t>
      </w:r>
      <w:r w:rsidRPr="00BA6603">
        <w:t>properties observed in adults</w:t>
      </w:r>
      <w:r w:rsidR="00CF2F32" w:rsidRPr="00BA6603">
        <w:t>.</w:t>
      </w:r>
      <w:r w:rsidR="00944E2B" w:rsidRPr="00BA6603">
        <w:t xml:space="preserve"> Based on the population PK modeling analysis, the pharmacokinetics of canakinumab in children 2 to &lt;4 years of age were similar to patients 4 years of age and older.</w:t>
      </w:r>
      <w:r w:rsidR="004A3643" w:rsidRPr="00BA6603">
        <w:t xml:space="preserve"> </w:t>
      </w:r>
    </w:p>
    <w:p w:rsidR="0066180B" w:rsidRPr="00BA6603" w:rsidRDefault="0066180B" w:rsidP="0022622E"/>
    <w:p w:rsidR="005F3F81" w:rsidRPr="00BA6603" w:rsidRDefault="005F3F81" w:rsidP="0022622E">
      <w:r w:rsidRPr="00BA6603">
        <w:t>Pharmacokinetic properties are similar in CAPS and sJIA paediatric populations.</w:t>
      </w:r>
    </w:p>
    <w:p w:rsidR="005F3F81" w:rsidRPr="00BA6603" w:rsidRDefault="005F3F81" w:rsidP="0022622E"/>
    <w:p w:rsidR="005F3F81" w:rsidRPr="00BA6603" w:rsidRDefault="005F3F81" w:rsidP="0022622E">
      <w:r w:rsidRPr="00BA6603">
        <w:t>In sJIA, exposure parameters (such as AUC and C</w:t>
      </w:r>
      <w:r w:rsidRPr="00BA6603">
        <w:rPr>
          <w:vertAlign w:val="subscript"/>
        </w:rPr>
        <w:t>max</w:t>
      </w:r>
      <w:r w:rsidRPr="00BA6603">
        <w:t>) were comparable across age groups from 2 to &lt;20 years following subcutaneous administration of canakinumab 4 mg/kg every 4 weeks.</w:t>
      </w:r>
    </w:p>
    <w:p w:rsidR="005F3F81" w:rsidRPr="00BA6603" w:rsidRDefault="005F3F81" w:rsidP="0022622E"/>
    <w:p w:rsidR="0066180B" w:rsidRPr="00BA6603" w:rsidRDefault="0066180B" w:rsidP="0022622E">
      <w:pPr>
        <w:pStyle w:val="Heading1"/>
      </w:pPr>
      <w:r w:rsidRPr="00BA6603">
        <w:t>CLINICAL TRIALS</w:t>
      </w:r>
    </w:p>
    <w:p w:rsidR="00777D39" w:rsidRPr="00BA6603" w:rsidRDefault="00777D39" w:rsidP="0022622E"/>
    <w:p w:rsidR="00C24BA0" w:rsidRPr="00BA6603" w:rsidRDefault="00C24BA0" w:rsidP="0022622E">
      <w:pPr>
        <w:pStyle w:val="Heading3"/>
      </w:pPr>
      <w:r w:rsidRPr="00BA6603">
        <w:t>CAPS</w:t>
      </w:r>
    </w:p>
    <w:p w:rsidR="00C24BA0" w:rsidRPr="00BA6603" w:rsidRDefault="00C24BA0" w:rsidP="0022622E"/>
    <w:p w:rsidR="00117CD1" w:rsidRPr="00BA6603" w:rsidRDefault="002969B0" w:rsidP="0022622E">
      <w:r w:rsidRPr="00BA6603">
        <w:t xml:space="preserve">The efficacy and safety of canakinumab have been demonstrated in patients with varying degrees of disease severity and </w:t>
      </w:r>
      <w:r w:rsidRPr="00BA6603">
        <w:rPr>
          <w:lang w:eastAsia="ja-JP" w:bidi="th-TH"/>
        </w:rPr>
        <w:t>different CAPS</w:t>
      </w:r>
      <w:r w:rsidRPr="00BA6603">
        <w:t xml:space="preserve"> phenotypes including</w:t>
      </w:r>
      <w:r w:rsidR="00117CD1" w:rsidRPr="00BA6603">
        <w:t>:</w:t>
      </w:r>
    </w:p>
    <w:p w:rsidR="00117CD1" w:rsidRPr="00BA6603" w:rsidRDefault="00117CD1" w:rsidP="0022622E">
      <w:pPr>
        <w:numPr>
          <w:ilvl w:val="0"/>
          <w:numId w:val="3"/>
        </w:numPr>
        <w:rPr>
          <w:lang w:val="it-IT"/>
        </w:rPr>
      </w:pPr>
      <w:r w:rsidRPr="00BA6603">
        <w:rPr>
          <w:lang w:val="it-IT"/>
        </w:rPr>
        <w:t>Familial Cold Autoinflammatory Syndrome (FCAS) /Familial Cold Urticaria (FCU)</w:t>
      </w:r>
    </w:p>
    <w:p w:rsidR="00A52A2C" w:rsidRPr="00BA6603" w:rsidRDefault="00117CD1" w:rsidP="0022622E">
      <w:pPr>
        <w:numPr>
          <w:ilvl w:val="0"/>
          <w:numId w:val="3"/>
        </w:numPr>
      </w:pPr>
      <w:r w:rsidRPr="00BA6603">
        <w:t>Muckle-Wells Syndrome (MWS) and</w:t>
      </w:r>
    </w:p>
    <w:p w:rsidR="00117CD1" w:rsidRPr="00BA6603" w:rsidRDefault="00117CD1" w:rsidP="0022622E">
      <w:pPr>
        <w:numPr>
          <w:ilvl w:val="0"/>
          <w:numId w:val="3"/>
        </w:numPr>
      </w:pPr>
      <w:r w:rsidRPr="00BA6603">
        <w:t>Neonatal-Onset Multisystem Inflammatory Disease (NOMID) / Chronic Infantile Neurological, Cutaneous, Articular Syndrome (CINCA).</w:t>
      </w:r>
    </w:p>
    <w:p w:rsidR="00C0798A" w:rsidRPr="00BA6603" w:rsidRDefault="00C0798A" w:rsidP="0022622E"/>
    <w:p w:rsidR="002969B0" w:rsidRPr="00BA6603" w:rsidRDefault="002969B0" w:rsidP="0022622E">
      <w:r w:rsidRPr="00BA6603">
        <w:t>In the Phase I/II study, treatment with canakinumab had a rapid onset, with disappearance or clinically significant improvement of symptoms within one day after dosing. Laboratory parameters such as high CRP and SAA, high neutrophils and platelet counts normalised rapidly within days of canakinumab injection.</w:t>
      </w:r>
    </w:p>
    <w:p w:rsidR="00C0798A" w:rsidRPr="00BA6603" w:rsidRDefault="00C0798A" w:rsidP="0022622E">
      <w:pPr>
        <w:rPr>
          <w:rtl/>
          <w:cs/>
        </w:rPr>
      </w:pPr>
    </w:p>
    <w:p w:rsidR="002969B0" w:rsidRPr="00BA6603" w:rsidRDefault="002969B0" w:rsidP="0022622E">
      <w:r w:rsidRPr="00BA6603">
        <w:t xml:space="preserve">The pivotal study consisted of a 48-week three-part multicentre study, i.e. a 8-week open-label period (Part I), a 24-week randomised, double-blind, placebo-controlled withdrawal </w:t>
      </w:r>
      <w:r w:rsidRPr="00BA6603">
        <w:rPr>
          <w:lang w:eastAsia="ja-JP" w:bidi="th-TH"/>
        </w:rPr>
        <w:t>period</w:t>
      </w:r>
      <w:r w:rsidRPr="00BA6603">
        <w:t xml:space="preserve"> (Part II), followed by a 16-week open-label period (Part III)</w:t>
      </w:r>
      <w:r w:rsidRPr="00BA6603">
        <w:rPr>
          <w:lang w:eastAsia="ja-JP" w:bidi="th-TH"/>
        </w:rPr>
        <w:t>. The aim of the study was</w:t>
      </w:r>
      <w:r w:rsidRPr="00BA6603">
        <w:t xml:space="preserve"> to assess efficacy, safety, and tolerability of canakinumab in patients with CAPS</w:t>
      </w:r>
      <w:r w:rsidR="00637A01" w:rsidRPr="00BA6603">
        <w:t>.</w:t>
      </w:r>
    </w:p>
    <w:p w:rsidR="00B21687" w:rsidRPr="00BA6603" w:rsidRDefault="00B21687" w:rsidP="0022622E"/>
    <w:p w:rsidR="002969B0" w:rsidRPr="00BA6603" w:rsidRDefault="002969B0" w:rsidP="0022622E">
      <w:pPr>
        <w:numPr>
          <w:ilvl w:val="0"/>
          <w:numId w:val="4"/>
        </w:numPr>
      </w:pPr>
      <w:r w:rsidRPr="00BA6603">
        <w:t>Part I: A complete clinical and biomarker response to canakinumab (defined as composite of: physician’s global assessment on autoinflammatory and on skin disease ≤ minimal and CRP or SAA values &lt;10 mg/L) was observed in 97% of patients and appeared within 7 days of initiation of treatment. Significant improvements were seen in physician’s clinical assessment of autoinflammatory disease activity: global assessment of autoinflammatory disease activity, assessment of skin disease (urticarial skin rash), arthralgia, myalgia, headache/migraine, conjunctivitis, fatigue/malaise, assessment of other related symptoms and pa</w:t>
      </w:r>
      <w:r w:rsidR="00B21687" w:rsidRPr="00BA6603">
        <w:t>tient’s assessment of symptoms.</w:t>
      </w:r>
    </w:p>
    <w:p w:rsidR="00B21687" w:rsidRPr="00BA6603" w:rsidRDefault="00B21687" w:rsidP="0022622E"/>
    <w:p w:rsidR="002969B0" w:rsidRPr="00BA6603" w:rsidRDefault="002969B0" w:rsidP="0022622E">
      <w:pPr>
        <w:numPr>
          <w:ilvl w:val="0"/>
          <w:numId w:val="4"/>
        </w:numPr>
      </w:pPr>
      <w:r w:rsidRPr="00BA6603">
        <w:t>Part II: In the withdrawal period of the pivotal study, the primary endpoint was defined as disease relapse/flare: none (0%) of the patients randomi</w:t>
      </w:r>
      <w:r w:rsidR="005540CB" w:rsidRPr="00BA6603">
        <w:t>s</w:t>
      </w:r>
      <w:r w:rsidRPr="00BA6603">
        <w:t>ed to canakinumab flared, compared with 81% of the patients randomi</w:t>
      </w:r>
      <w:r w:rsidR="005540CB" w:rsidRPr="00BA6603">
        <w:t>s</w:t>
      </w:r>
      <w:r w:rsidR="00B21687" w:rsidRPr="00BA6603">
        <w:t>ed to placebo.</w:t>
      </w:r>
    </w:p>
    <w:p w:rsidR="00B21687" w:rsidRPr="00BA6603" w:rsidRDefault="00B21687" w:rsidP="0022622E"/>
    <w:p w:rsidR="002969B0" w:rsidRPr="00BA6603" w:rsidRDefault="002969B0" w:rsidP="0022622E">
      <w:pPr>
        <w:numPr>
          <w:ilvl w:val="0"/>
          <w:numId w:val="4"/>
        </w:numPr>
      </w:pPr>
      <w:r w:rsidRPr="00BA6603">
        <w:t>Part III: Patients treated with placebo in Part II who entered the open-label extension on canakinumab, again showed a significant clinical and serological improvement of disease activity, comparable to patients continuously treated with canakinumab.</w:t>
      </w:r>
    </w:p>
    <w:p w:rsidR="00C0798A" w:rsidRPr="00BA6603" w:rsidRDefault="00C0798A" w:rsidP="0022622E"/>
    <w:p w:rsidR="00944E2B" w:rsidRPr="00BA6603" w:rsidRDefault="00944E2B" w:rsidP="0022622E">
      <w:r w:rsidRPr="00BA6603">
        <w:t>Two open-label, uncontrolled, long-term phase III studies were performed. One was a safety, tolerability, and efficacy study of canakinumab in patients with CAPS. The total treatment duration ranged from 6 months to 2 years. The other was an open-label study with canakinumab to evaluate the efficacy and safety in Japanese CAPS patients for 24 weeks with an extension phase up to 48 weeks. The primary objective was to assess the proportion of patients who were free of relapse at week 24 including those patients whose dose was increased.</w:t>
      </w:r>
    </w:p>
    <w:p w:rsidR="00944E2B" w:rsidRPr="00BA6603" w:rsidRDefault="00944E2B" w:rsidP="0022622E"/>
    <w:p w:rsidR="00944E2B" w:rsidRPr="00BA6603" w:rsidRDefault="00944E2B" w:rsidP="0022622E">
      <w:r w:rsidRPr="00BA6603">
        <w:t>In the pooled efficacy analysis for these two studies (n=185), 65.6% of patients who had not previously been treated with canakinumab achieved complete response at 150 mg or 2 mg/kg, while 85.2% of patients achieved complete response at any dose. Of the patients treated with 600 mg or 8 mg/kg (or even higher), 43.8% achieved complete response. Fewer patients aged 2 to &lt;4 years achieved complete response (57.1%) than older pediatric and adult patients. Of the patients who had achieved a complete response, 89.3% maintained response without relapsing.</w:t>
      </w:r>
    </w:p>
    <w:p w:rsidR="00F35EB4" w:rsidRPr="00BA6603" w:rsidRDefault="00F35EB4" w:rsidP="0022622E"/>
    <w:p w:rsidR="002969B0" w:rsidRPr="00BA6603" w:rsidRDefault="002969B0" w:rsidP="0022622E">
      <w:r w:rsidRPr="00BA6603">
        <w:rPr>
          <w:lang w:eastAsia="ja-JP" w:bidi="th-TH"/>
        </w:rPr>
        <w:t xml:space="preserve">Experience from individual patients who </w:t>
      </w:r>
      <w:r w:rsidR="00944E2B" w:rsidRPr="00BA6603">
        <w:rPr>
          <w:lang w:eastAsia="ja-JP" w:bidi="th-TH"/>
        </w:rPr>
        <w:t xml:space="preserve">achieved a complete response following dose escalation to 600 mg (8 mg/kg) every eight weeks </w:t>
      </w:r>
      <w:r w:rsidRPr="00BA6603">
        <w:rPr>
          <w:lang w:eastAsia="ja-JP" w:bidi="th-TH"/>
        </w:rPr>
        <w:t>suggest</w:t>
      </w:r>
      <w:r w:rsidR="006D6F1A" w:rsidRPr="00BA6603">
        <w:rPr>
          <w:lang w:eastAsia="ja-JP" w:bidi="th-TH"/>
        </w:rPr>
        <w:t>s</w:t>
      </w:r>
      <w:r w:rsidRPr="00BA6603">
        <w:rPr>
          <w:lang w:eastAsia="ja-JP" w:bidi="th-TH"/>
        </w:rPr>
        <w:t xml:space="preserve"> that a higher dose may be beneficial in patients not achieving complete response or not maintaining complete response with the recommended doses (150 mg or 2 mg/kg for patients ≥15 kg and ≤40 kg)</w:t>
      </w:r>
      <w:r w:rsidRPr="00BA6603">
        <w:t xml:space="preserve">. </w:t>
      </w:r>
      <w:r w:rsidR="00046A05" w:rsidRPr="00BA6603">
        <w:t xml:space="preserve">An increased dose was administered more frequently to </w:t>
      </w:r>
      <w:r w:rsidR="00944E2B" w:rsidRPr="00BA6603">
        <w:t xml:space="preserve">patients aged 2 to &lt;4 years and </w:t>
      </w:r>
      <w:r w:rsidR="00046A05" w:rsidRPr="00BA6603">
        <w:t>patients with NOMID/CINCA symptoms compared with FCAS or MWS.</w:t>
      </w:r>
    </w:p>
    <w:p w:rsidR="002969B0" w:rsidRPr="00BA6603" w:rsidRDefault="002969B0" w:rsidP="0022622E"/>
    <w:p w:rsidR="0066180B" w:rsidRPr="00BA6603" w:rsidRDefault="002969B0" w:rsidP="0022622E">
      <w:r w:rsidRPr="00BA6603">
        <w:t>The CAPS trials with canakinumab included a total of</w:t>
      </w:r>
      <w:r w:rsidR="00F35EB4" w:rsidRPr="00BA6603">
        <w:t xml:space="preserve"> </w:t>
      </w:r>
      <w:r w:rsidR="00944E2B" w:rsidRPr="00BA6603">
        <w:t>69</w:t>
      </w:r>
      <w:r w:rsidR="00562374" w:rsidRPr="00BA6603">
        <w:t xml:space="preserve"> </w:t>
      </w:r>
      <w:r w:rsidRPr="00BA6603">
        <w:t>p</w:t>
      </w:r>
      <w:r w:rsidR="000B45A9" w:rsidRPr="00BA6603">
        <w:t>a</w:t>
      </w:r>
      <w:r w:rsidRPr="00BA6603">
        <w:t>ediatric patients with an age range from</w:t>
      </w:r>
      <w:r w:rsidR="00F35EB4" w:rsidRPr="00BA6603">
        <w:t xml:space="preserve"> </w:t>
      </w:r>
      <w:r w:rsidR="00944E2B" w:rsidRPr="00BA6603">
        <w:t>2</w:t>
      </w:r>
      <w:r w:rsidRPr="00BA6603">
        <w:t xml:space="preserve"> to 17 years. Overall, </w:t>
      </w:r>
      <w:r w:rsidR="006D6F1A" w:rsidRPr="00BA6603">
        <w:t xml:space="preserve">there were no clinically meaningful differences for </w:t>
      </w:r>
      <w:r w:rsidRPr="00BA6603">
        <w:t>the efficacy, safety and tolerability profile of canakinumab in p</w:t>
      </w:r>
      <w:r w:rsidR="000B45A9" w:rsidRPr="00BA6603">
        <w:t>a</w:t>
      </w:r>
      <w:r w:rsidRPr="00BA6603">
        <w:t>ediatric patients</w:t>
      </w:r>
      <w:r w:rsidR="00F35EB4" w:rsidRPr="00BA6603">
        <w:t xml:space="preserve"> </w:t>
      </w:r>
      <w:r w:rsidR="006D6F1A" w:rsidRPr="00BA6603">
        <w:t>compared to the overall CAPS population (comprised of adult and paediatric patients, N=194)</w:t>
      </w:r>
      <w:r w:rsidR="00F35EB4" w:rsidRPr="00BA6603">
        <w:t>.</w:t>
      </w:r>
      <w:r w:rsidR="006D6F1A" w:rsidRPr="00BA6603">
        <w:t xml:space="preserve"> The majority of paediatric patients achieved improvement in clinical symptoms and objective markers of inflammation (e.g. SAA and CRP).</w:t>
      </w:r>
      <w:r w:rsidR="00562374" w:rsidRPr="00BA6603">
        <w:t xml:space="preserve"> </w:t>
      </w:r>
    </w:p>
    <w:p w:rsidR="00781E38" w:rsidRPr="00BA6603" w:rsidRDefault="00781E38" w:rsidP="0022622E"/>
    <w:p w:rsidR="00C24BA0" w:rsidRPr="00BA6603" w:rsidRDefault="00C24BA0" w:rsidP="0022622E">
      <w:pPr>
        <w:pStyle w:val="Heading3"/>
      </w:pPr>
      <w:r w:rsidRPr="00BA6603">
        <w:t>sJIA</w:t>
      </w:r>
    </w:p>
    <w:p w:rsidR="00C24BA0" w:rsidRPr="00BA6603" w:rsidRDefault="00C24BA0" w:rsidP="0022622E"/>
    <w:p w:rsidR="00C24BA0" w:rsidRPr="00BA6603" w:rsidRDefault="00C24BA0" w:rsidP="0022622E">
      <w:r w:rsidRPr="00BA6603">
        <w:t>The efficacy of Ilaris for the treatment of active sJIA was assessed in two pivotal phase III studies (G2305 and G2301). Patients enrolled were aged 2 to &lt;20 years (mean age at baseline: 8.5 years) with a confirmed diagnosis of sJIA at least 2 months before enrolment (mean disease duration at baseline: 3.5 years). Patients had active disease defined as ≥2 joints with active arthritis (mean number of active joints at baseline: 15.4), documented spiking, intermittent fever (body temperature &gt;38°C) for at least 1 day within 1 week before study drug administration, and CRP &gt;30 mg/L (normal range &lt;10 mg/L) (mean CRP at baseline: 200.5 mg/L). Patients were allowed to continue their stable dose of methotrexate, corticosteroids, and/or NSAIDs without change, except for tapering of the corticosteroid dose as per study design in Study G2301.</w:t>
      </w:r>
    </w:p>
    <w:p w:rsidR="00C24BA0" w:rsidRPr="00BA6603" w:rsidRDefault="00C24BA0" w:rsidP="0022622E"/>
    <w:p w:rsidR="00C24BA0" w:rsidRPr="00BA6603" w:rsidRDefault="00C24BA0" w:rsidP="0022622E">
      <w:pPr>
        <w:pStyle w:val="heading4"/>
      </w:pPr>
      <w:r w:rsidRPr="00BA6603">
        <w:lastRenderedPageBreak/>
        <w:t>Study G2305</w:t>
      </w:r>
    </w:p>
    <w:p w:rsidR="00C24BA0" w:rsidRPr="00BA6603" w:rsidRDefault="00C24BA0" w:rsidP="0022622E">
      <w:r w:rsidRPr="00BA6603">
        <w:t xml:space="preserve">Study G2305 was a randomised, double-blind, placebo-controlled, single-dose 4-week study assessing the short term efficacy of Ilaris in 84 patients randomised to receive a single subcutaneous (s.c.) dose of 4 mg/kg Ilaris or placebo (43 patients received Ilaris and 41 patients received placebo). The primary objective of this study was to demonstrate the superiority of Ilaris versus placebo in the proportion of patients who achieved at least 30% improvement in an adapted paediatric American College of Rheumatology (ACR) response criterion which included both the paediatric ACR core set (ACR30 response) and absence of fever (temperature ≤38°C in the preceding 7 days) at Day 15. Additionally, “inactive disease” (defined as no active arthritis, no fever, no rash, no serositis, no hepatomegaly or lymphadenopathy attributable to sJIA, normal CRP, and physician global assessment indicating no disease activity) was evaluated.  </w:t>
      </w:r>
    </w:p>
    <w:p w:rsidR="00C24BA0" w:rsidRPr="00BA6603" w:rsidRDefault="00C24BA0" w:rsidP="0022622E"/>
    <w:p w:rsidR="00C24BA0" w:rsidRPr="00BA6603" w:rsidRDefault="00C24BA0" w:rsidP="0022622E">
      <w:r w:rsidRPr="00BA6603">
        <w:t xml:space="preserve">Paediatric ACR responses are defined as the percentage improvement (30%, 50%, 70%, 90%, and 100%) from baseline in 3 of any 6 core outcome variables, with worsening of ≥30% in no more than one of the remaining variables. Core outcome variables included a physician global assessment of disease activity, parent or patient global assessment of wellbeing, number of joints with active arthritis, number of joints with limited range of motion, CRP and functional ability (Childhood Health Assessment Questionnaire - CHAQ). </w:t>
      </w:r>
    </w:p>
    <w:p w:rsidR="00C24BA0" w:rsidRPr="00BA6603" w:rsidRDefault="00C24BA0" w:rsidP="0022622E"/>
    <w:p w:rsidR="00C24BA0" w:rsidRPr="00BA6603" w:rsidRDefault="00C24BA0" w:rsidP="0022622E">
      <w:r w:rsidRPr="00BA6603">
        <w:t>All primary and secondary endpoints were met. Percentage of patients by paediatric ACR response and inactive disease are presented in Table 1.</w:t>
      </w:r>
    </w:p>
    <w:p w:rsidR="00C24BA0" w:rsidRPr="00BA6603" w:rsidRDefault="00C24BA0" w:rsidP="0022622E">
      <w:pPr>
        <w:pStyle w:val="Heading6"/>
      </w:pPr>
      <w:r w:rsidRPr="00BA6603">
        <w:t>Table 1</w:t>
      </w:r>
      <w:r w:rsidRPr="00BA6603">
        <w:tab/>
        <w:t>Paediatric ACR response and disease status at Days 15 and 29</w:t>
      </w:r>
    </w:p>
    <w:tbl>
      <w:tblPr>
        <w:tblW w:w="9378" w:type="dxa"/>
        <w:tblBorders>
          <w:top w:val="single" w:sz="4" w:space="0" w:color="auto"/>
          <w:bottom w:val="single" w:sz="4" w:space="0" w:color="auto"/>
        </w:tblBorders>
        <w:tblLayout w:type="fixed"/>
        <w:tblLook w:val="0000" w:firstRow="0" w:lastRow="0" w:firstColumn="0" w:lastColumn="0" w:noHBand="0" w:noVBand="0"/>
      </w:tblPr>
      <w:tblGrid>
        <w:gridCol w:w="3099"/>
        <w:gridCol w:w="1689"/>
        <w:gridCol w:w="1530"/>
        <w:gridCol w:w="1530"/>
        <w:gridCol w:w="1530"/>
      </w:tblGrid>
      <w:tr w:rsidR="00FB3211" w:rsidRPr="00BA6603" w:rsidTr="00CB11A9">
        <w:tblPrEx>
          <w:tblCellMar>
            <w:top w:w="0" w:type="dxa"/>
            <w:bottom w:w="0" w:type="dxa"/>
          </w:tblCellMar>
        </w:tblPrEx>
        <w:trPr>
          <w:tblHeader/>
        </w:trPr>
        <w:tc>
          <w:tcPr>
            <w:tcW w:w="3099" w:type="dxa"/>
            <w:tcBorders>
              <w:top w:val="single" w:sz="4" w:space="0" w:color="auto"/>
              <w:bottom w:val="single" w:sz="4" w:space="0" w:color="auto"/>
            </w:tcBorders>
            <w:shd w:val="clear" w:color="auto" w:fill="auto"/>
          </w:tcPr>
          <w:p w:rsidR="00FB3211" w:rsidRPr="00BA6603" w:rsidRDefault="00FB3211" w:rsidP="0022622E">
            <w:pPr>
              <w:pStyle w:val="Table"/>
            </w:pPr>
          </w:p>
        </w:tc>
        <w:tc>
          <w:tcPr>
            <w:tcW w:w="3219" w:type="dxa"/>
            <w:gridSpan w:val="2"/>
            <w:tcBorders>
              <w:top w:val="single" w:sz="4" w:space="0" w:color="auto"/>
              <w:bottom w:val="single" w:sz="4" w:space="0" w:color="auto"/>
            </w:tcBorders>
            <w:shd w:val="clear" w:color="auto" w:fill="auto"/>
          </w:tcPr>
          <w:p w:rsidR="00FB3211" w:rsidRPr="00BA6603" w:rsidRDefault="00FB3211" w:rsidP="0022622E">
            <w:pPr>
              <w:pStyle w:val="Table"/>
            </w:pPr>
            <w:r w:rsidRPr="00BA6603">
              <w:t>Day 15</w:t>
            </w:r>
          </w:p>
        </w:tc>
        <w:tc>
          <w:tcPr>
            <w:tcW w:w="3060" w:type="dxa"/>
            <w:gridSpan w:val="2"/>
            <w:tcBorders>
              <w:top w:val="single" w:sz="4" w:space="0" w:color="auto"/>
              <w:bottom w:val="single" w:sz="4" w:space="0" w:color="auto"/>
            </w:tcBorders>
          </w:tcPr>
          <w:p w:rsidR="00FB3211" w:rsidRPr="00BA6603" w:rsidRDefault="00FB3211" w:rsidP="0022622E">
            <w:pPr>
              <w:pStyle w:val="Table"/>
            </w:pPr>
            <w:r w:rsidRPr="00BA6603">
              <w:t>Day 29</w:t>
            </w:r>
          </w:p>
        </w:tc>
      </w:tr>
      <w:tr w:rsidR="00FB3211" w:rsidRPr="00BA6603" w:rsidTr="00CB11A9">
        <w:tblPrEx>
          <w:tblCellMar>
            <w:top w:w="0" w:type="dxa"/>
            <w:bottom w:w="0" w:type="dxa"/>
          </w:tblCellMar>
        </w:tblPrEx>
        <w:trPr>
          <w:tblHeader/>
        </w:trPr>
        <w:tc>
          <w:tcPr>
            <w:tcW w:w="3099" w:type="dxa"/>
            <w:tcBorders>
              <w:top w:val="single" w:sz="4" w:space="0" w:color="auto"/>
              <w:bottom w:val="single" w:sz="4" w:space="0" w:color="auto"/>
            </w:tcBorders>
            <w:shd w:val="clear" w:color="auto" w:fill="auto"/>
          </w:tcPr>
          <w:p w:rsidR="00FB3211" w:rsidRPr="00BA6603" w:rsidRDefault="00FB3211" w:rsidP="0022622E">
            <w:pPr>
              <w:pStyle w:val="Table"/>
            </w:pPr>
          </w:p>
        </w:tc>
        <w:tc>
          <w:tcPr>
            <w:tcW w:w="1689" w:type="dxa"/>
            <w:tcBorders>
              <w:top w:val="single" w:sz="4" w:space="0" w:color="auto"/>
              <w:bottom w:val="single" w:sz="4" w:space="0" w:color="auto"/>
            </w:tcBorders>
            <w:shd w:val="clear" w:color="auto" w:fill="auto"/>
          </w:tcPr>
          <w:p w:rsidR="00FB3211" w:rsidRPr="00BA6603" w:rsidRDefault="00FB3211" w:rsidP="0022622E">
            <w:pPr>
              <w:pStyle w:val="Table"/>
            </w:pPr>
            <w:r w:rsidRPr="00BA6603">
              <w:t>ILARIS</w:t>
            </w:r>
          </w:p>
          <w:p w:rsidR="00FB3211" w:rsidRPr="00BA6603" w:rsidRDefault="00FB3211" w:rsidP="0022622E">
            <w:pPr>
              <w:pStyle w:val="Table"/>
            </w:pPr>
            <w:r w:rsidRPr="00BA6603">
              <w:t>N=43</w:t>
            </w:r>
          </w:p>
        </w:tc>
        <w:tc>
          <w:tcPr>
            <w:tcW w:w="1530" w:type="dxa"/>
            <w:tcBorders>
              <w:top w:val="single" w:sz="4" w:space="0" w:color="auto"/>
              <w:bottom w:val="single" w:sz="4" w:space="0" w:color="auto"/>
            </w:tcBorders>
            <w:shd w:val="clear" w:color="auto" w:fill="auto"/>
          </w:tcPr>
          <w:p w:rsidR="00FB3211" w:rsidRPr="00BA6603" w:rsidRDefault="00FB3211" w:rsidP="0022622E">
            <w:pPr>
              <w:pStyle w:val="Table"/>
            </w:pPr>
            <w:r w:rsidRPr="00BA6603">
              <w:t>Placebo</w:t>
            </w:r>
          </w:p>
          <w:p w:rsidR="00FB3211" w:rsidRPr="00BA6603" w:rsidRDefault="00FB3211" w:rsidP="0022622E">
            <w:pPr>
              <w:pStyle w:val="Table"/>
            </w:pPr>
            <w:r w:rsidRPr="00BA6603">
              <w:t>N=41</w:t>
            </w:r>
          </w:p>
        </w:tc>
        <w:tc>
          <w:tcPr>
            <w:tcW w:w="1530" w:type="dxa"/>
            <w:tcBorders>
              <w:top w:val="single" w:sz="4" w:space="0" w:color="auto"/>
              <w:bottom w:val="single" w:sz="4" w:space="0" w:color="auto"/>
            </w:tcBorders>
          </w:tcPr>
          <w:p w:rsidR="00FB3211" w:rsidRPr="00BA6603" w:rsidRDefault="00FB3211" w:rsidP="0022622E">
            <w:pPr>
              <w:pStyle w:val="Table"/>
            </w:pPr>
            <w:r w:rsidRPr="00BA6603">
              <w:t>ILARIS</w:t>
            </w:r>
          </w:p>
          <w:p w:rsidR="00FB3211" w:rsidRPr="00BA6603" w:rsidRDefault="00FB3211" w:rsidP="0022622E">
            <w:pPr>
              <w:pStyle w:val="Table"/>
            </w:pPr>
            <w:r w:rsidRPr="00BA6603">
              <w:t>N=43</w:t>
            </w:r>
          </w:p>
        </w:tc>
        <w:tc>
          <w:tcPr>
            <w:tcW w:w="1530" w:type="dxa"/>
            <w:tcBorders>
              <w:top w:val="single" w:sz="4" w:space="0" w:color="auto"/>
              <w:bottom w:val="single" w:sz="4" w:space="0" w:color="auto"/>
            </w:tcBorders>
          </w:tcPr>
          <w:p w:rsidR="00FB3211" w:rsidRPr="00BA6603" w:rsidRDefault="00FB3211" w:rsidP="0022622E">
            <w:pPr>
              <w:pStyle w:val="Table"/>
            </w:pPr>
            <w:r w:rsidRPr="00BA6603">
              <w:t>Placebo</w:t>
            </w:r>
          </w:p>
          <w:p w:rsidR="00FB3211" w:rsidRPr="00BA6603" w:rsidRDefault="00FB3211" w:rsidP="0022622E">
            <w:pPr>
              <w:pStyle w:val="Table"/>
            </w:pPr>
            <w:r w:rsidRPr="00BA6603">
              <w:t>N=41</w:t>
            </w:r>
          </w:p>
        </w:tc>
      </w:tr>
      <w:tr w:rsidR="00FB3211" w:rsidRPr="00BA6603" w:rsidTr="00CB11A9">
        <w:tblPrEx>
          <w:tblCellMar>
            <w:top w:w="0" w:type="dxa"/>
            <w:bottom w:w="0" w:type="dxa"/>
          </w:tblCellMar>
        </w:tblPrEx>
        <w:tc>
          <w:tcPr>
            <w:tcW w:w="3099" w:type="dxa"/>
            <w:tcBorders>
              <w:top w:val="nil"/>
            </w:tcBorders>
            <w:shd w:val="clear" w:color="auto" w:fill="auto"/>
          </w:tcPr>
          <w:p w:rsidR="00FB3211" w:rsidRPr="00BA6603" w:rsidRDefault="00FB3211" w:rsidP="0022622E">
            <w:pPr>
              <w:pStyle w:val="Table"/>
            </w:pPr>
            <w:r w:rsidRPr="00BA6603">
              <w:t>ACR30</w:t>
            </w:r>
          </w:p>
        </w:tc>
        <w:tc>
          <w:tcPr>
            <w:tcW w:w="1689" w:type="dxa"/>
            <w:tcBorders>
              <w:top w:val="nil"/>
            </w:tcBorders>
            <w:shd w:val="clear" w:color="auto" w:fill="auto"/>
          </w:tcPr>
          <w:p w:rsidR="00FB3211" w:rsidRPr="00BA6603" w:rsidRDefault="00FB3211" w:rsidP="0022622E">
            <w:pPr>
              <w:pStyle w:val="Table"/>
            </w:pPr>
            <w:r w:rsidRPr="00BA6603">
              <w:t>84%</w:t>
            </w:r>
          </w:p>
        </w:tc>
        <w:tc>
          <w:tcPr>
            <w:tcW w:w="1530" w:type="dxa"/>
            <w:tcBorders>
              <w:top w:val="nil"/>
            </w:tcBorders>
            <w:shd w:val="clear" w:color="auto" w:fill="auto"/>
          </w:tcPr>
          <w:p w:rsidR="00FB3211" w:rsidRPr="00BA6603" w:rsidRDefault="00FB3211" w:rsidP="0022622E">
            <w:pPr>
              <w:pStyle w:val="Table"/>
            </w:pPr>
            <w:r w:rsidRPr="00BA6603">
              <w:t>10%</w:t>
            </w:r>
          </w:p>
        </w:tc>
        <w:tc>
          <w:tcPr>
            <w:tcW w:w="1530" w:type="dxa"/>
            <w:tcBorders>
              <w:top w:val="nil"/>
            </w:tcBorders>
          </w:tcPr>
          <w:p w:rsidR="00FB3211" w:rsidRPr="00BA6603" w:rsidRDefault="00FB3211" w:rsidP="0022622E">
            <w:pPr>
              <w:pStyle w:val="Table"/>
            </w:pPr>
            <w:r w:rsidRPr="00BA6603">
              <w:t>81%</w:t>
            </w:r>
          </w:p>
        </w:tc>
        <w:tc>
          <w:tcPr>
            <w:tcW w:w="1530" w:type="dxa"/>
            <w:tcBorders>
              <w:top w:val="nil"/>
            </w:tcBorders>
          </w:tcPr>
          <w:p w:rsidR="00FB3211" w:rsidRPr="00BA6603" w:rsidRDefault="00FB3211" w:rsidP="0022622E">
            <w:pPr>
              <w:pStyle w:val="Table"/>
            </w:pPr>
            <w:r w:rsidRPr="00BA6603">
              <w:t>10%</w:t>
            </w:r>
          </w:p>
        </w:tc>
      </w:tr>
      <w:tr w:rsidR="00FB3211" w:rsidRPr="00BA6603" w:rsidTr="00CB11A9">
        <w:tblPrEx>
          <w:tblCellMar>
            <w:top w:w="0" w:type="dxa"/>
            <w:bottom w:w="0" w:type="dxa"/>
          </w:tblCellMar>
        </w:tblPrEx>
        <w:tc>
          <w:tcPr>
            <w:tcW w:w="3099" w:type="dxa"/>
            <w:shd w:val="clear" w:color="auto" w:fill="auto"/>
          </w:tcPr>
          <w:p w:rsidR="00FB3211" w:rsidRPr="00BA6603" w:rsidRDefault="00FB3211" w:rsidP="0022622E">
            <w:pPr>
              <w:pStyle w:val="Table"/>
            </w:pPr>
            <w:r w:rsidRPr="00BA6603">
              <w:t>ACR50</w:t>
            </w:r>
          </w:p>
        </w:tc>
        <w:tc>
          <w:tcPr>
            <w:tcW w:w="1689" w:type="dxa"/>
            <w:shd w:val="clear" w:color="auto" w:fill="auto"/>
          </w:tcPr>
          <w:p w:rsidR="00FB3211" w:rsidRPr="00BA6603" w:rsidRDefault="00FB3211" w:rsidP="0022622E">
            <w:pPr>
              <w:pStyle w:val="Table"/>
            </w:pPr>
            <w:r w:rsidRPr="00BA6603">
              <w:t>67%</w:t>
            </w:r>
          </w:p>
        </w:tc>
        <w:tc>
          <w:tcPr>
            <w:tcW w:w="1530" w:type="dxa"/>
            <w:shd w:val="clear" w:color="auto" w:fill="auto"/>
          </w:tcPr>
          <w:p w:rsidR="00FB3211" w:rsidRPr="00BA6603" w:rsidRDefault="00FB3211" w:rsidP="0022622E">
            <w:pPr>
              <w:pStyle w:val="Table"/>
            </w:pPr>
            <w:r w:rsidRPr="00BA6603">
              <w:t>5%</w:t>
            </w:r>
          </w:p>
        </w:tc>
        <w:tc>
          <w:tcPr>
            <w:tcW w:w="1530" w:type="dxa"/>
          </w:tcPr>
          <w:p w:rsidR="00FB3211" w:rsidRPr="00BA6603" w:rsidRDefault="00FB3211" w:rsidP="0022622E">
            <w:pPr>
              <w:pStyle w:val="Table"/>
            </w:pPr>
            <w:r w:rsidRPr="00BA6603">
              <w:t>79%</w:t>
            </w:r>
          </w:p>
        </w:tc>
        <w:tc>
          <w:tcPr>
            <w:tcW w:w="1530" w:type="dxa"/>
          </w:tcPr>
          <w:p w:rsidR="00FB3211" w:rsidRPr="00BA6603" w:rsidRDefault="00FB3211" w:rsidP="0022622E">
            <w:pPr>
              <w:pStyle w:val="Table"/>
            </w:pPr>
            <w:r w:rsidRPr="00BA6603">
              <w:t>5%</w:t>
            </w:r>
          </w:p>
        </w:tc>
      </w:tr>
      <w:tr w:rsidR="00FB3211" w:rsidRPr="00BA6603" w:rsidTr="00CB11A9">
        <w:tblPrEx>
          <w:tblCellMar>
            <w:top w:w="0" w:type="dxa"/>
            <w:bottom w:w="0" w:type="dxa"/>
          </w:tblCellMar>
        </w:tblPrEx>
        <w:tc>
          <w:tcPr>
            <w:tcW w:w="3099" w:type="dxa"/>
            <w:tcBorders>
              <w:bottom w:val="nil"/>
            </w:tcBorders>
            <w:shd w:val="clear" w:color="auto" w:fill="auto"/>
          </w:tcPr>
          <w:p w:rsidR="00FB3211" w:rsidRPr="00BA6603" w:rsidRDefault="00FB3211" w:rsidP="0022622E">
            <w:pPr>
              <w:pStyle w:val="Table"/>
            </w:pPr>
            <w:r w:rsidRPr="00BA6603">
              <w:t>ACR70</w:t>
            </w:r>
          </w:p>
        </w:tc>
        <w:tc>
          <w:tcPr>
            <w:tcW w:w="1689" w:type="dxa"/>
            <w:tcBorders>
              <w:bottom w:val="nil"/>
            </w:tcBorders>
            <w:shd w:val="clear" w:color="auto" w:fill="auto"/>
          </w:tcPr>
          <w:p w:rsidR="00FB3211" w:rsidRPr="00BA6603" w:rsidRDefault="00FB3211" w:rsidP="0022622E">
            <w:pPr>
              <w:pStyle w:val="Table"/>
            </w:pPr>
            <w:r w:rsidRPr="00BA6603">
              <w:t>61%</w:t>
            </w:r>
          </w:p>
        </w:tc>
        <w:tc>
          <w:tcPr>
            <w:tcW w:w="1530" w:type="dxa"/>
            <w:tcBorders>
              <w:bottom w:val="nil"/>
            </w:tcBorders>
            <w:shd w:val="clear" w:color="auto" w:fill="auto"/>
          </w:tcPr>
          <w:p w:rsidR="00FB3211" w:rsidRPr="00BA6603" w:rsidRDefault="00FB3211" w:rsidP="0022622E">
            <w:pPr>
              <w:pStyle w:val="Table"/>
            </w:pPr>
            <w:r w:rsidRPr="00BA6603">
              <w:t>2%</w:t>
            </w:r>
          </w:p>
        </w:tc>
        <w:tc>
          <w:tcPr>
            <w:tcW w:w="1530" w:type="dxa"/>
            <w:tcBorders>
              <w:bottom w:val="nil"/>
            </w:tcBorders>
          </w:tcPr>
          <w:p w:rsidR="00FB3211" w:rsidRPr="00BA6603" w:rsidRDefault="00FB3211" w:rsidP="0022622E">
            <w:pPr>
              <w:pStyle w:val="Table"/>
            </w:pPr>
            <w:r w:rsidRPr="00BA6603">
              <w:t>67%</w:t>
            </w:r>
          </w:p>
        </w:tc>
        <w:tc>
          <w:tcPr>
            <w:tcW w:w="1530" w:type="dxa"/>
            <w:tcBorders>
              <w:bottom w:val="nil"/>
            </w:tcBorders>
          </w:tcPr>
          <w:p w:rsidR="00FB3211" w:rsidRPr="00BA6603" w:rsidRDefault="00FB3211" w:rsidP="0022622E">
            <w:pPr>
              <w:pStyle w:val="Table"/>
            </w:pPr>
            <w:r w:rsidRPr="00BA6603">
              <w:t>2%</w:t>
            </w:r>
          </w:p>
        </w:tc>
      </w:tr>
      <w:tr w:rsidR="00FB3211" w:rsidRPr="00BA6603" w:rsidTr="00CB11A9">
        <w:tblPrEx>
          <w:tblCellMar>
            <w:top w:w="0" w:type="dxa"/>
            <w:bottom w:w="0" w:type="dxa"/>
          </w:tblCellMar>
        </w:tblPrEx>
        <w:tc>
          <w:tcPr>
            <w:tcW w:w="3099" w:type="dxa"/>
            <w:tcBorders>
              <w:top w:val="nil"/>
              <w:bottom w:val="nil"/>
            </w:tcBorders>
            <w:shd w:val="clear" w:color="auto" w:fill="auto"/>
          </w:tcPr>
          <w:p w:rsidR="00FB3211" w:rsidRPr="00BA6603" w:rsidRDefault="00FB3211" w:rsidP="0022622E">
            <w:pPr>
              <w:pStyle w:val="Table"/>
            </w:pPr>
            <w:r w:rsidRPr="00BA6603">
              <w:t>ACR90</w:t>
            </w:r>
          </w:p>
        </w:tc>
        <w:tc>
          <w:tcPr>
            <w:tcW w:w="1689" w:type="dxa"/>
            <w:tcBorders>
              <w:top w:val="nil"/>
              <w:bottom w:val="nil"/>
            </w:tcBorders>
            <w:shd w:val="clear" w:color="auto" w:fill="auto"/>
          </w:tcPr>
          <w:p w:rsidR="00FB3211" w:rsidRPr="00BA6603" w:rsidRDefault="00FB3211" w:rsidP="0022622E">
            <w:pPr>
              <w:pStyle w:val="Table"/>
            </w:pPr>
            <w:r w:rsidRPr="00BA6603">
              <w:t>42%</w:t>
            </w:r>
          </w:p>
        </w:tc>
        <w:tc>
          <w:tcPr>
            <w:tcW w:w="1530" w:type="dxa"/>
            <w:tcBorders>
              <w:top w:val="nil"/>
              <w:bottom w:val="nil"/>
            </w:tcBorders>
            <w:shd w:val="clear" w:color="auto" w:fill="auto"/>
          </w:tcPr>
          <w:p w:rsidR="00FB3211" w:rsidRPr="00BA6603" w:rsidRDefault="00FB3211" w:rsidP="0022622E">
            <w:pPr>
              <w:pStyle w:val="Table"/>
            </w:pPr>
            <w:r w:rsidRPr="00BA6603">
              <w:t>0%</w:t>
            </w:r>
          </w:p>
        </w:tc>
        <w:tc>
          <w:tcPr>
            <w:tcW w:w="1530" w:type="dxa"/>
            <w:tcBorders>
              <w:top w:val="nil"/>
              <w:bottom w:val="nil"/>
            </w:tcBorders>
          </w:tcPr>
          <w:p w:rsidR="00FB3211" w:rsidRPr="00BA6603" w:rsidRDefault="00FB3211" w:rsidP="0022622E">
            <w:pPr>
              <w:pStyle w:val="Table"/>
            </w:pPr>
            <w:r w:rsidRPr="00BA6603">
              <w:t>47%</w:t>
            </w:r>
          </w:p>
        </w:tc>
        <w:tc>
          <w:tcPr>
            <w:tcW w:w="1530" w:type="dxa"/>
            <w:tcBorders>
              <w:top w:val="nil"/>
              <w:bottom w:val="nil"/>
            </w:tcBorders>
          </w:tcPr>
          <w:p w:rsidR="00FB3211" w:rsidRPr="00BA6603" w:rsidRDefault="00FB3211" w:rsidP="0022622E">
            <w:pPr>
              <w:pStyle w:val="Table"/>
            </w:pPr>
            <w:r w:rsidRPr="00BA6603">
              <w:t>2%</w:t>
            </w:r>
          </w:p>
        </w:tc>
      </w:tr>
      <w:tr w:rsidR="00FB3211" w:rsidRPr="00BA6603" w:rsidTr="00CB11A9">
        <w:tblPrEx>
          <w:tblCellMar>
            <w:top w:w="0" w:type="dxa"/>
            <w:bottom w:w="0" w:type="dxa"/>
          </w:tblCellMar>
        </w:tblPrEx>
        <w:tc>
          <w:tcPr>
            <w:tcW w:w="3099" w:type="dxa"/>
            <w:tcBorders>
              <w:top w:val="nil"/>
              <w:bottom w:val="nil"/>
            </w:tcBorders>
            <w:shd w:val="clear" w:color="auto" w:fill="auto"/>
          </w:tcPr>
          <w:p w:rsidR="00FB3211" w:rsidRPr="00BA6603" w:rsidRDefault="00FB3211" w:rsidP="0022622E">
            <w:pPr>
              <w:pStyle w:val="Table"/>
            </w:pPr>
            <w:r w:rsidRPr="00BA6603">
              <w:t>ACR100</w:t>
            </w:r>
          </w:p>
        </w:tc>
        <w:tc>
          <w:tcPr>
            <w:tcW w:w="1689" w:type="dxa"/>
            <w:tcBorders>
              <w:top w:val="nil"/>
              <w:bottom w:val="nil"/>
            </w:tcBorders>
            <w:shd w:val="clear" w:color="auto" w:fill="auto"/>
          </w:tcPr>
          <w:p w:rsidR="00FB3211" w:rsidRPr="00BA6603" w:rsidRDefault="00FB3211" w:rsidP="0022622E">
            <w:pPr>
              <w:pStyle w:val="Table"/>
            </w:pPr>
            <w:r w:rsidRPr="00BA6603">
              <w:t>33%</w:t>
            </w:r>
          </w:p>
        </w:tc>
        <w:tc>
          <w:tcPr>
            <w:tcW w:w="1530" w:type="dxa"/>
            <w:tcBorders>
              <w:top w:val="nil"/>
              <w:bottom w:val="nil"/>
            </w:tcBorders>
            <w:shd w:val="clear" w:color="auto" w:fill="auto"/>
          </w:tcPr>
          <w:p w:rsidR="00FB3211" w:rsidRPr="00BA6603" w:rsidRDefault="00FB3211" w:rsidP="0022622E">
            <w:pPr>
              <w:pStyle w:val="Table"/>
            </w:pPr>
            <w:r w:rsidRPr="00BA6603">
              <w:t>0%</w:t>
            </w:r>
          </w:p>
        </w:tc>
        <w:tc>
          <w:tcPr>
            <w:tcW w:w="1530" w:type="dxa"/>
            <w:tcBorders>
              <w:top w:val="nil"/>
              <w:bottom w:val="nil"/>
            </w:tcBorders>
          </w:tcPr>
          <w:p w:rsidR="00FB3211" w:rsidRPr="00BA6603" w:rsidRDefault="00FB3211" w:rsidP="0022622E">
            <w:pPr>
              <w:pStyle w:val="Table"/>
            </w:pPr>
            <w:r w:rsidRPr="00BA6603">
              <w:t>33%</w:t>
            </w:r>
          </w:p>
        </w:tc>
        <w:tc>
          <w:tcPr>
            <w:tcW w:w="1530" w:type="dxa"/>
            <w:tcBorders>
              <w:top w:val="nil"/>
              <w:bottom w:val="nil"/>
            </w:tcBorders>
          </w:tcPr>
          <w:p w:rsidR="00FB3211" w:rsidRPr="00BA6603" w:rsidRDefault="00FB3211" w:rsidP="0022622E">
            <w:pPr>
              <w:pStyle w:val="Table"/>
            </w:pPr>
            <w:r w:rsidRPr="00BA6603">
              <w:t>2%</w:t>
            </w:r>
          </w:p>
        </w:tc>
      </w:tr>
      <w:tr w:rsidR="00FB3211" w:rsidRPr="00BA6603" w:rsidTr="00CB11A9">
        <w:tblPrEx>
          <w:tblCellMar>
            <w:top w:w="0" w:type="dxa"/>
            <w:bottom w:w="0" w:type="dxa"/>
          </w:tblCellMar>
        </w:tblPrEx>
        <w:tc>
          <w:tcPr>
            <w:tcW w:w="3099" w:type="dxa"/>
            <w:tcBorders>
              <w:top w:val="nil"/>
              <w:bottom w:val="single" w:sz="4" w:space="0" w:color="auto"/>
            </w:tcBorders>
            <w:shd w:val="clear" w:color="auto" w:fill="auto"/>
          </w:tcPr>
          <w:p w:rsidR="00FB3211" w:rsidRPr="00BA6603" w:rsidRDefault="00FB3211" w:rsidP="0022622E">
            <w:pPr>
              <w:pStyle w:val="Table"/>
            </w:pPr>
            <w:r w:rsidRPr="00BA6603">
              <w:t>Inactive disease</w:t>
            </w:r>
          </w:p>
        </w:tc>
        <w:tc>
          <w:tcPr>
            <w:tcW w:w="1689" w:type="dxa"/>
            <w:tcBorders>
              <w:top w:val="nil"/>
              <w:bottom w:val="single" w:sz="4" w:space="0" w:color="auto"/>
            </w:tcBorders>
            <w:shd w:val="clear" w:color="auto" w:fill="auto"/>
          </w:tcPr>
          <w:p w:rsidR="00FB3211" w:rsidRPr="00BA6603" w:rsidRDefault="00FB3211" w:rsidP="0022622E">
            <w:pPr>
              <w:pStyle w:val="Table"/>
            </w:pPr>
            <w:r w:rsidRPr="00BA6603">
              <w:t>33%</w:t>
            </w:r>
          </w:p>
        </w:tc>
        <w:tc>
          <w:tcPr>
            <w:tcW w:w="1530" w:type="dxa"/>
            <w:tcBorders>
              <w:top w:val="nil"/>
              <w:bottom w:val="single" w:sz="4" w:space="0" w:color="auto"/>
            </w:tcBorders>
            <w:shd w:val="clear" w:color="auto" w:fill="auto"/>
          </w:tcPr>
          <w:p w:rsidR="00FB3211" w:rsidRPr="00BA6603" w:rsidRDefault="00FB3211" w:rsidP="0022622E">
            <w:pPr>
              <w:pStyle w:val="Table"/>
            </w:pPr>
            <w:r w:rsidRPr="00BA6603">
              <w:t>0%</w:t>
            </w:r>
          </w:p>
        </w:tc>
        <w:tc>
          <w:tcPr>
            <w:tcW w:w="1530" w:type="dxa"/>
            <w:tcBorders>
              <w:top w:val="nil"/>
              <w:bottom w:val="single" w:sz="4" w:space="0" w:color="auto"/>
            </w:tcBorders>
          </w:tcPr>
          <w:p w:rsidR="00FB3211" w:rsidRPr="00BA6603" w:rsidRDefault="00FB3211" w:rsidP="0022622E">
            <w:pPr>
              <w:pStyle w:val="Table"/>
            </w:pPr>
            <w:r w:rsidRPr="00BA6603">
              <w:t>30%</w:t>
            </w:r>
          </w:p>
        </w:tc>
        <w:tc>
          <w:tcPr>
            <w:tcW w:w="1530" w:type="dxa"/>
            <w:tcBorders>
              <w:top w:val="nil"/>
              <w:bottom w:val="single" w:sz="4" w:space="0" w:color="auto"/>
            </w:tcBorders>
          </w:tcPr>
          <w:p w:rsidR="00FB3211" w:rsidRPr="00BA6603" w:rsidRDefault="00FB3211" w:rsidP="0022622E">
            <w:pPr>
              <w:pStyle w:val="Table"/>
            </w:pPr>
            <w:r w:rsidRPr="00BA6603">
              <w:t>0%</w:t>
            </w:r>
          </w:p>
        </w:tc>
      </w:tr>
    </w:tbl>
    <w:p w:rsidR="00FB3211" w:rsidRPr="00BA6603" w:rsidRDefault="00FB3211" w:rsidP="0022622E">
      <w:pPr>
        <w:pStyle w:val="Legend"/>
      </w:pPr>
      <w:r w:rsidRPr="00BA6603">
        <w:t>Treatment difference for all ACR scores was p≤0.0001 and not available for inactive disease.</w:t>
      </w:r>
    </w:p>
    <w:p w:rsidR="00C24BA0" w:rsidRPr="00BA6603" w:rsidRDefault="00C24BA0" w:rsidP="0022622E"/>
    <w:p w:rsidR="00FB3211" w:rsidRPr="00BA6603" w:rsidRDefault="00FB30B5" w:rsidP="0022622E">
      <w:r w:rsidRPr="00BA6603">
        <w:t>Ilaris treatment improved components of paediatric ACR core set as compared to placebo at Days 15 and 29 (Table 2). All patients treated with Ilaris had no fever at Day 3 compared to 86.8% of patients treated with placebo (p=0.0098).</w:t>
      </w:r>
    </w:p>
    <w:p w:rsidR="00FB30B5" w:rsidRPr="00BA6603" w:rsidRDefault="00FB30B5" w:rsidP="0022622E"/>
    <w:p w:rsidR="00FB30B5" w:rsidRPr="00BA6603" w:rsidRDefault="00F37B34" w:rsidP="0022622E">
      <w:pPr>
        <w:pStyle w:val="Heading6"/>
      </w:pPr>
      <w:r>
        <w:br w:type="page"/>
      </w:r>
      <w:r w:rsidR="00FB30B5" w:rsidRPr="00BA6603">
        <w:lastRenderedPageBreak/>
        <w:t>Table 2</w:t>
      </w:r>
      <w:r w:rsidR="00FB30B5" w:rsidRPr="00BA6603">
        <w:tab/>
        <w:t>Median value (median percent change from baseline) at days 15 and 29 for paediatric ACR core components and pain</w:t>
      </w:r>
    </w:p>
    <w:tbl>
      <w:tblPr>
        <w:tblW w:w="0" w:type="auto"/>
        <w:tblBorders>
          <w:top w:val="single" w:sz="4" w:space="0" w:color="auto"/>
          <w:bottom w:val="single" w:sz="4" w:space="0" w:color="auto"/>
        </w:tblBorders>
        <w:tblLook w:val="0000" w:firstRow="0" w:lastRow="0" w:firstColumn="0" w:lastColumn="0" w:noHBand="0" w:noVBand="0"/>
      </w:tblPr>
      <w:tblGrid>
        <w:gridCol w:w="2651"/>
        <w:gridCol w:w="939"/>
        <w:gridCol w:w="939"/>
        <w:gridCol w:w="1215"/>
        <w:gridCol w:w="1130"/>
        <w:gridCol w:w="1128"/>
        <w:gridCol w:w="1241"/>
      </w:tblGrid>
      <w:tr w:rsidR="00FB30B5" w:rsidRPr="00BA6603" w:rsidTr="00CB11A9">
        <w:tblPrEx>
          <w:tblCellMar>
            <w:top w:w="0" w:type="dxa"/>
            <w:bottom w:w="0" w:type="dxa"/>
          </w:tblCellMar>
        </w:tblPrEx>
        <w:trPr>
          <w:trHeight w:val="293"/>
          <w:tblHeader/>
        </w:trPr>
        <w:tc>
          <w:tcPr>
            <w:tcW w:w="2675" w:type="dxa"/>
            <w:vMerge w:val="restart"/>
            <w:tcBorders>
              <w:top w:val="single" w:sz="4" w:space="0" w:color="auto"/>
              <w:right w:val="single" w:sz="4" w:space="0" w:color="auto"/>
            </w:tcBorders>
            <w:shd w:val="clear" w:color="auto" w:fill="auto"/>
          </w:tcPr>
          <w:p w:rsidR="00FB30B5" w:rsidRPr="00BA6603" w:rsidRDefault="00FB30B5" w:rsidP="0022622E">
            <w:pPr>
              <w:pStyle w:val="Table"/>
            </w:pPr>
            <w:r w:rsidRPr="00BA6603">
              <w:t>Pediatric ACR component</w:t>
            </w:r>
          </w:p>
        </w:tc>
        <w:tc>
          <w:tcPr>
            <w:tcW w:w="1880" w:type="dxa"/>
            <w:gridSpan w:val="2"/>
            <w:tcBorders>
              <w:top w:val="single" w:sz="4" w:space="0" w:color="auto"/>
              <w:left w:val="single" w:sz="4" w:space="0" w:color="auto"/>
              <w:bottom w:val="single" w:sz="4" w:space="0" w:color="auto"/>
            </w:tcBorders>
          </w:tcPr>
          <w:p w:rsidR="00FB30B5" w:rsidRPr="00BA6603" w:rsidRDefault="00FB30B5" w:rsidP="0022622E">
            <w:pPr>
              <w:pStyle w:val="Table"/>
            </w:pPr>
            <w:r w:rsidRPr="00BA6603">
              <w:t>Baseline</w:t>
            </w:r>
          </w:p>
        </w:tc>
        <w:tc>
          <w:tcPr>
            <w:tcW w:w="2357" w:type="dxa"/>
            <w:gridSpan w:val="2"/>
            <w:tcBorders>
              <w:top w:val="single" w:sz="4" w:space="0" w:color="auto"/>
              <w:left w:val="single" w:sz="4" w:space="0" w:color="auto"/>
              <w:bottom w:val="single" w:sz="4" w:space="0" w:color="auto"/>
              <w:right w:val="single" w:sz="4" w:space="0" w:color="auto"/>
            </w:tcBorders>
            <w:shd w:val="clear" w:color="auto" w:fill="auto"/>
          </w:tcPr>
          <w:p w:rsidR="00FB30B5" w:rsidRPr="00BA6603" w:rsidRDefault="00FB30B5" w:rsidP="0022622E">
            <w:pPr>
              <w:pStyle w:val="Table"/>
            </w:pPr>
            <w:r w:rsidRPr="00BA6603">
              <w:t>Day 15</w:t>
            </w:r>
          </w:p>
        </w:tc>
        <w:tc>
          <w:tcPr>
            <w:tcW w:w="2381" w:type="dxa"/>
            <w:gridSpan w:val="2"/>
            <w:tcBorders>
              <w:top w:val="single" w:sz="4" w:space="0" w:color="auto"/>
              <w:left w:val="single" w:sz="4" w:space="0" w:color="auto"/>
              <w:bottom w:val="single" w:sz="4" w:space="0" w:color="auto"/>
            </w:tcBorders>
            <w:shd w:val="clear" w:color="auto" w:fill="auto"/>
          </w:tcPr>
          <w:p w:rsidR="00FB30B5" w:rsidRPr="00BA6603" w:rsidRDefault="00FB30B5" w:rsidP="0022622E">
            <w:pPr>
              <w:pStyle w:val="Table"/>
            </w:pPr>
            <w:r w:rsidRPr="00BA6603">
              <w:t>Day 29</w:t>
            </w:r>
          </w:p>
        </w:tc>
      </w:tr>
      <w:tr w:rsidR="00FB30B5" w:rsidRPr="00BA6603" w:rsidTr="00CB11A9">
        <w:tblPrEx>
          <w:tblCellMar>
            <w:top w:w="0" w:type="dxa"/>
            <w:bottom w:w="0" w:type="dxa"/>
          </w:tblCellMar>
        </w:tblPrEx>
        <w:trPr>
          <w:trHeight w:val="293"/>
        </w:trPr>
        <w:tc>
          <w:tcPr>
            <w:tcW w:w="2675" w:type="dxa"/>
            <w:vMerge/>
            <w:tcBorders>
              <w:bottom w:val="single" w:sz="4" w:space="0" w:color="auto"/>
              <w:right w:val="single" w:sz="4" w:space="0" w:color="auto"/>
            </w:tcBorders>
            <w:shd w:val="clear" w:color="auto" w:fill="auto"/>
          </w:tcPr>
          <w:p w:rsidR="00FB30B5" w:rsidRPr="00BA6603" w:rsidRDefault="00FB30B5" w:rsidP="0022622E">
            <w:pPr>
              <w:pStyle w:val="Table"/>
            </w:pPr>
          </w:p>
        </w:tc>
        <w:tc>
          <w:tcPr>
            <w:tcW w:w="941" w:type="dxa"/>
            <w:tcBorders>
              <w:top w:val="single" w:sz="4" w:space="0" w:color="auto"/>
              <w:left w:val="single" w:sz="4" w:space="0" w:color="auto"/>
              <w:bottom w:val="single" w:sz="4" w:space="0" w:color="auto"/>
            </w:tcBorders>
          </w:tcPr>
          <w:p w:rsidR="00FB30B5" w:rsidRPr="00BA6603" w:rsidRDefault="00FB30B5" w:rsidP="0022622E">
            <w:pPr>
              <w:pStyle w:val="Table"/>
            </w:pPr>
            <w:r w:rsidRPr="00BA6603">
              <w:t>ILARIS</w:t>
            </w:r>
          </w:p>
          <w:p w:rsidR="00FB30B5" w:rsidRPr="00BA6603" w:rsidRDefault="00FB30B5" w:rsidP="0022622E">
            <w:pPr>
              <w:pStyle w:val="Table"/>
            </w:pPr>
            <w:r w:rsidRPr="00BA6603">
              <w:t>N=43</w:t>
            </w:r>
          </w:p>
        </w:tc>
        <w:tc>
          <w:tcPr>
            <w:tcW w:w="939" w:type="dxa"/>
            <w:tcBorders>
              <w:top w:val="single" w:sz="4" w:space="0" w:color="auto"/>
              <w:left w:val="single" w:sz="4" w:space="0" w:color="auto"/>
              <w:bottom w:val="single" w:sz="4" w:space="0" w:color="auto"/>
            </w:tcBorders>
          </w:tcPr>
          <w:p w:rsidR="00FB30B5" w:rsidRPr="00BA6603" w:rsidRDefault="00FB30B5" w:rsidP="0022622E">
            <w:pPr>
              <w:pStyle w:val="Table"/>
            </w:pPr>
            <w:r w:rsidRPr="00BA6603">
              <w:t>Placebo</w:t>
            </w:r>
          </w:p>
          <w:p w:rsidR="00FB30B5" w:rsidRPr="00BA6603" w:rsidRDefault="00FB30B5" w:rsidP="0022622E">
            <w:pPr>
              <w:pStyle w:val="Table"/>
            </w:pPr>
            <w:r w:rsidRPr="00BA6603">
              <w:t>N=41</w:t>
            </w:r>
          </w:p>
        </w:tc>
        <w:tc>
          <w:tcPr>
            <w:tcW w:w="1223" w:type="dxa"/>
            <w:tcBorders>
              <w:top w:val="single" w:sz="4" w:space="0" w:color="auto"/>
              <w:left w:val="single" w:sz="4" w:space="0" w:color="auto"/>
              <w:bottom w:val="single" w:sz="4" w:space="0" w:color="auto"/>
              <w:right w:val="single" w:sz="4" w:space="0" w:color="auto"/>
            </w:tcBorders>
          </w:tcPr>
          <w:p w:rsidR="00FB30B5" w:rsidRPr="00BA6603" w:rsidRDefault="00FB30B5" w:rsidP="0022622E">
            <w:pPr>
              <w:pStyle w:val="Table"/>
            </w:pPr>
            <w:r w:rsidRPr="00BA6603">
              <w:t>ILARIS</w:t>
            </w:r>
          </w:p>
          <w:p w:rsidR="00FB30B5" w:rsidRPr="00BA6603" w:rsidRDefault="00FB30B5" w:rsidP="0022622E">
            <w:pPr>
              <w:pStyle w:val="Table"/>
            </w:pPr>
            <w:r w:rsidRPr="00BA6603">
              <w:t>N=43</w:t>
            </w:r>
          </w:p>
        </w:tc>
        <w:tc>
          <w:tcPr>
            <w:tcW w:w="1134" w:type="dxa"/>
            <w:tcBorders>
              <w:top w:val="single" w:sz="4" w:space="0" w:color="auto"/>
              <w:left w:val="single" w:sz="4" w:space="0" w:color="auto"/>
              <w:bottom w:val="single" w:sz="4" w:space="0" w:color="auto"/>
            </w:tcBorders>
            <w:shd w:val="clear" w:color="auto" w:fill="auto"/>
          </w:tcPr>
          <w:p w:rsidR="00FB30B5" w:rsidRPr="00BA6603" w:rsidRDefault="00FB30B5" w:rsidP="0022622E">
            <w:pPr>
              <w:pStyle w:val="Table"/>
            </w:pPr>
            <w:r w:rsidRPr="00BA6603">
              <w:t>Placebo</w:t>
            </w:r>
          </w:p>
          <w:p w:rsidR="00FB30B5" w:rsidRPr="00BA6603" w:rsidRDefault="00FB30B5" w:rsidP="0022622E">
            <w:pPr>
              <w:pStyle w:val="Table"/>
            </w:pPr>
            <w:r w:rsidRPr="00BA6603">
              <w:t>N=25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30B5" w:rsidRPr="00BA6603" w:rsidRDefault="00FB30B5" w:rsidP="0022622E">
            <w:pPr>
              <w:pStyle w:val="Table"/>
            </w:pPr>
            <w:r w:rsidRPr="00BA6603">
              <w:t>ILARIS</w:t>
            </w:r>
          </w:p>
          <w:p w:rsidR="00FB30B5" w:rsidRPr="00BA6603" w:rsidRDefault="00FB30B5" w:rsidP="0022622E">
            <w:pPr>
              <w:pStyle w:val="Table"/>
            </w:pPr>
            <w:r w:rsidRPr="00BA6603">
              <w:t>N=38*</w:t>
            </w:r>
          </w:p>
        </w:tc>
        <w:tc>
          <w:tcPr>
            <w:tcW w:w="1247" w:type="dxa"/>
            <w:tcBorders>
              <w:top w:val="single" w:sz="4" w:space="0" w:color="auto"/>
              <w:left w:val="single" w:sz="4" w:space="0" w:color="auto"/>
              <w:bottom w:val="single" w:sz="4" w:space="0" w:color="auto"/>
            </w:tcBorders>
          </w:tcPr>
          <w:p w:rsidR="00FB30B5" w:rsidRPr="00BA6603" w:rsidRDefault="00FB30B5" w:rsidP="0022622E">
            <w:pPr>
              <w:pStyle w:val="Table"/>
            </w:pPr>
            <w:r w:rsidRPr="00BA6603">
              <w:t>Placebo</w:t>
            </w:r>
          </w:p>
          <w:p w:rsidR="00FB30B5" w:rsidRPr="00BA6603" w:rsidRDefault="00FB30B5" w:rsidP="0022622E">
            <w:pPr>
              <w:pStyle w:val="Table"/>
            </w:pPr>
            <w:r w:rsidRPr="00BA6603">
              <w:t>N=7</w:t>
            </w:r>
          </w:p>
        </w:tc>
      </w:tr>
      <w:tr w:rsidR="00FB30B5" w:rsidRPr="00BA6603" w:rsidTr="00CB11A9">
        <w:tblPrEx>
          <w:tblCellMar>
            <w:top w:w="0" w:type="dxa"/>
            <w:bottom w:w="0" w:type="dxa"/>
          </w:tblCellMar>
        </w:tblPrEx>
        <w:trPr>
          <w:trHeight w:val="308"/>
        </w:trPr>
        <w:tc>
          <w:tcPr>
            <w:tcW w:w="2675" w:type="dxa"/>
            <w:tcBorders>
              <w:right w:val="single" w:sz="4" w:space="0" w:color="auto"/>
            </w:tcBorders>
            <w:shd w:val="clear" w:color="auto" w:fill="auto"/>
          </w:tcPr>
          <w:p w:rsidR="00FB30B5" w:rsidRPr="00BA6603" w:rsidRDefault="00FB30B5" w:rsidP="0022622E">
            <w:pPr>
              <w:pStyle w:val="Table"/>
            </w:pPr>
            <w:r w:rsidRPr="00BA6603">
              <w:t>Joints with active arthritis</w:t>
            </w:r>
          </w:p>
        </w:tc>
        <w:tc>
          <w:tcPr>
            <w:tcW w:w="941" w:type="dxa"/>
            <w:tcBorders>
              <w:top w:val="single" w:sz="4" w:space="0" w:color="auto"/>
              <w:left w:val="single" w:sz="4" w:space="0" w:color="auto"/>
              <w:bottom w:val="nil"/>
            </w:tcBorders>
          </w:tcPr>
          <w:p w:rsidR="00FB30B5" w:rsidRPr="00BA6603" w:rsidRDefault="00FB30B5" w:rsidP="0022622E">
            <w:pPr>
              <w:pStyle w:val="Table"/>
            </w:pPr>
            <w:r w:rsidRPr="00BA6603">
              <w:t>10</w:t>
            </w:r>
          </w:p>
        </w:tc>
        <w:tc>
          <w:tcPr>
            <w:tcW w:w="939" w:type="dxa"/>
            <w:tcBorders>
              <w:top w:val="single" w:sz="4" w:space="0" w:color="auto"/>
              <w:left w:val="single" w:sz="4" w:space="0" w:color="auto"/>
              <w:bottom w:val="nil"/>
            </w:tcBorders>
          </w:tcPr>
          <w:p w:rsidR="00FB30B5" w:rsidRPr="00BA6603" w:rsidRDefault="00FB30B5" w:rsidP="0022622E">
            <w:pPr>
              <w:pStyle w:val="Table"/>
            </w:pPr>
            <w:r w:rsidRPr="00BA6603">
              <w:t>7</w:t>
            </w:r>
          </w:p>
        </w:tc>
        <w:tc>
          <w:tcPr>
            <w:tcW w:w="1223" w:type="dxa"/>
            <w:tcBorders>
              <w:top w:val="single" w:sz="4" w:space="0" w:color="auto"/>
              <w:left w:val="single" w:sz="4" w:space="0" w:color="auto"/>
              <w:bottom w:val="nil"/>
              <w:right w:val="single" w:sz="4" w:space="0" w:color="auto"/>
            </w:tcBorders>
          </w:tcPr>
          <w:p w:rsidR="00FB30B5" w:rsidRPr="00BA6603" w:rsidRDefault="00FB30B5" w:rsidP="0022622E">
            <w:pPr>
              <w:pStyle w:val="Table"/>
            </w:pPr>
            <w:r w:rsidRPr="00BA6603">
              <w:t>2 (-67%)</w:t>
            </w:r>
          </w:p>
        </w:tc>
        <w:tc>
          <w:tcPr>
            <w:tcW w:w="1134" w:type="dxa"/>
            <w:tcBorders>
              <w:top w:val="single" w:sz="4" w:space="0" w:color="auto"/>
              <w:left w:val="single" w:sz="4" w:space="0" w:color="auto"/>
              <w:bottom w:val="nil"/>
              <w:right w:val="single" w:sz="4" w:space="0" w:color="auto"/>
            </w:tcBorders>
            <w:shd w:val="clear" w:color="auto" w:fill="auto"/>
          </w:tcPr>
          <w:p w:rsidR="00FB30B5" w:rsidRPr="00BA6603" w:rsidRDefault="00FB30B5" w:rsidP="0022622E">
            <w:pPr>
              <w:pStyle w:val="Table"/>
            </w:pPr>
            <w:r w:rsidRPr="00BA6603">
              <w:t xml:space="preserve">9 (0%) </w:t>
            </w:r>
          </w:p>
        </w:tc>
        <w:tc>
          <w:tcPr>
            <w:tcW w:w="1134" w:type="dxa"/>
            <w:tcBorders>
              <w:top w:val="single" w:sz="4" w:space="0" w:color="auto"/>
              <w:left w:val="single" w:sz="4" w:space="0" w:color="auto"/>
              <w:bottom w:val="nil"/>
              <w:right w:val="single" w:sz="4" w:space="0" w:color="auto"/>
            </w:tcBorders>
            <w:shd w:val="clear" w:color="auto" w:fill="auto"/>
          </w:tcPr>
          <w:p w:rsidR="00FB30B5" w:rsidRPr="00BA6603" w:rsidRDefault="00FB30B5" w:rsidP="0022622E">
            <w:pPr>
              <w:pStyle w:val="Table"/>
            </w:pPr>
            <w:r w:rsidRPr="00BA6603">
              <w:t>1 (-86%)</w:t>
            </w:r>
          </w:p>
        </w:tc>
        <w:tc>
          <w:tcPr>
            <w:tcW w:w="1247" w:type="dxa"/>
            <w:tcBorders>
              <w:left w:val="single" w:sz="4" w:space="0" w:color="auto"/>
            </w:tcBorders>
          </w:tcPr>
          <w:p w:rsidR="00FB30B5" w:rsidRPr="00BA6603" w:rsidRDefault="00FB30B5" w:rsidP="0022622E">
            <w:pPr>
              <w:pStyle w:val="Table"/>
            </w:pPr>
            <w:r w:rsidRPr="00BA6603">
              <w:t>4 (-32%)</w:t>
            </w:r>
          </w:p>
        </w:tc>
      </w:tr>
      <w:tr w:rsidR="00FB30B5" w:rsidRPr="00BA6603" w:rsidTr="00CB11A9">
        <w:tblPrEx>
          <w:tblCellMar>
            <w:top w:w="0" w:type="dxa"/>
            <w:bottom w:w="0" w:type="dxa"/>
          </w:tblCellMar>
        </w:tblPrEx>
        <w:trPr>
          <w:trHeight w:val="228"/>
        </w:trPr>
        <w:tc>
          <w:tcPr>
            <w:tcW w:w="2675" w:type="dxa"/>
            <w:tcBorders>
              <w:bottom w:val="nil"/>
              <w:right w:val="single" w:sz="4" w:space="0" w:color="auto"/>
            </w:tcBorders>
            <w:shd w:val="clear" w:color="auto" w:fill="auto"/>
          </w:tcPr>
          <w:p w:rsidR="00FB30B5" w:rsidRPr="00BA6603" w:rsidRDefault="00FB30B5" w:rsidP="0022622E">
            <w:pPr>
              <w:pStyle w:val="Table"/>
            </w:pPr>
            <w:r w:rsidRPr="00BA6603">
              <w:t>Joints with limited range of motion</w:t>
            </w:r>
          </w:p>
        </w:tc>
        <w:tc>
          <w:tcPr>
            <w:tcW w:w="941" w:type="dxa"/>
            <w:tcBorders>
              <w:top w:val="nil"/>
              <w:left w:val="single" w:sz="4" w:space="0" w:color="auto"/>
              <w:bottom w:val="nil"/>
            </w:tcBorders>
          </w:tcPr>
          <w:p w:rsidR="00FB30B5" w:rsidRPr="00BA6603" w:rsidRDefault="00FB30B5" w:rsidP="0022622E">
            <w:pPr>
              <w:pStyle w:val="Table"/>
            </w:pPr>
            <w:r w:rsidRPr="00BA6603">
              <w:t>8</w:t>
            </w:r>
          </w:p>
        </w:tc>
        <w:tc>
          <w:tcPr>
            <w:tcW w:w="939" w:type="dxa"/>
            <w:tcBorders>
              <w:top w:val="nil"/>
              <w:left w:val="single" w:sz="4" w:space="0" w:color="auto"/>
              <w:bottom w:val="nil"/>
            </w:tcBorders>
          </w:tcPr>
          <w:p w:rsidR="00FB30B5" w:rsidRPr="00BA6603" w:rsidRDefault="00FB30B5" w:rsidP="0022622E">
            <w:pPr>
              <w:pStyle w:val="Table"/>
            </w:pPr>
            <w:r w:rsidRPr="00BA6603">
              <w:t>6</w:t>
            </w:r>
          </w:p>
        </w:tc>
        <w:tc>
          <w:tcPr>
            <w:tcW w:w="1223" w:type="dxa"/>
            <w:tcBorders>
              <w:top w:val="nil"/>
              <w:left w:val="single" w:sz="4" w:space="0" w:color="auto"/>
              <w:bottom w:val="nil"/>
              <w:right w:val="single" w:sz="4" w:space="0" w:color="auto"/>
            </w:tcBorders>
          </w:tcPr>
          <w:p w:rsidR="00FB30B5" w:rsidRPr="00BA6603" w:rsidRDefault="00FB30B5" w:rsidP="0022622E">
            <w:pPr>
              <w:pStyle w:val="Table"/>
            </w:pPr>
            <w:r w:rsidRPr="00BA6603">
              <w:t>2 (-73%)</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8 (0%)</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2 (-83%)</w:t>
            </w:r>
          </w:p>
        </w:tc>
        <w:tc>
          <w:tcPr>
            <w:tcW w:w="1247" w:type="dxa"/>
            <w:tcBorders>
              <w:left w:val="single" w:sz="4" w:space="0" w:color="auto"/>
              <w:bottom w:val="nil"/>
            </w:tcBorders>
          </w:tcPr>
          <w:p w:rsidR="00FB30B5" w:rsidRPr="00BA6603" w:rsidRDefault="00FB30B5" w:rsidP="0022622E">
            <w:pPr>
              <w:pStyle w:val="Table"/>
            </w:pPr>
            <w:r w:rsidRPr="00BA6603">
              <w:t>2 (-33%)</w:t>
            </w:r>
          </w:p>
        </w:tc>
      </w:tr>
      <w:tr w:rsidR="00FB30B5" w:rsidRPr="00BA6603" w:rsidTr="00CB11A9">
        <w:tblPrEx>
          <w:tblCellMar>
            <w:top w:w="0" w:type="dxa"/>
            <w:bottom w:w="0" w:type="dxa"/>
          </w:tblCellMar>
        </w:tblPrEx>
        <w:trPr>
          <w:trHeight w:val="293"/>
        </w:trPr>
        <w:tc>
          <w:tcPr>
            <w:tcW w:w="2675" w:type="dxa"/>
            <w:tcBorders>
              <w:top w:val="nil"/>
              <w:bottom w:val="nil"/>
              <w:right w:val="single" w:sz="4" w:space="0" w:color="auto"/>
            </w:tcBorders>
            <w:shd w:val="clear" w:color="auto" w:fill="auto"/>
          </w:tcPr>
          <w:p w:rsidR="00FB30B5" w:rsidRPr="00BA6603" w:rsidRDefault="00FB30B5" w:rsidP="0022622E">
            <w:pPr>
              <w:pStyle w:val="Table"/>
            </w:pPr>
            <w:r w:rsidRPr="00BA6603">
              <w:t>CRP (mg/L)</w:t>
            </w:r>
          </w:p>
        </w:tc>
        <w:tc>
          <w:tcPr>
            <w:tcW w:w="941" w:type="dxa"/>
            <w:tcBorders>
              <w:top w:val="nil"/>
              <w:bottom w:val="nil"/>
              <w:right w:val="single" w:sz="4" w:space="0" w:color="auto"/>
            </w:tcBorders>
          </w:tcPr>
          <w:p w:rsidR="00FB30B5" w:rsidRPr="00BA6603" w:rsidRDefault="00FB30B5" w:rsidP="0022622E">
            <w:pPr>
              <w:pStyle w:val="Table"/>
            </w:pPr>
            <w:r w:rsidRPr="00BA6603">
              <w:t>141</w:t>
            </w:r>
          </w:p>
        </w:tc>
        <w:tc>
          <w:tcPr>
            <w:tcW w:w="939" w:type="dxa"/>
            <w:tcBorders>
              <w:top w:val="nil"/>
              <w:bottom w:val="nil"/>
              <w:right w:val="single" w:sz="4" w:space="0" w:color="auto"/>
            </w:tcBorders>
          </w:tcPr>
          <w:p w:rsidR="00FB30B5" w:rsidRPr="00BA6603" w:rsidRDefault="00FB30B5" w:rsidP="0022622E">
            <w:pPr>
              <w:pStyle w:val="Table"/>
            </w:pPr>
            <w:r w:rsidRPr="00BA6603">
              <w:t>137</w:t>
            </w:r>
          </w:p>
        </w:tc>
        <w:tc>
          <w:tcPr>
            <w:tcW w:w="1223" w:type="dxa"/>
            <w:tcBorders>
              <w:top w:val="nil"/>
              <w:left w:val="single" w:sz="4" w:space="0" w:color="auto"/>
              <w:bottom w:val="nil"/>
              <w:right w:val="single" w:sz="4" w:space="0" w:color="auto"/>
            </w:tcBorders>
          </w:tcPr>
          <w:p w:rsidR="00FB30B5" w:rsidRPr="00BA6603" w:rsidRDefault="00FB30B5" w:rsidP="0022622E">
            <w:pPr>
              <w:pStyle w:val="Table"/>
            </w:pPr>
            <w:r w:rsidRPr="00BA6603">
              <w:t>10 (-91%)</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99 (5%)</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12 (-91%)</w:t>
            </w:r>
          </w:p>
          <w:p w:rsidR="00FB30B5" w:rsidRPr="00BA6603" w:rsidRDefault="00FB30B5" w:rsidP="0022622E">
            <w:pPr>
              <w:pStyle w:val="Table"/>
            </w:pPr>
          </w:p>
        </w:tc>
        <w:tc>
          <w:tcPr>
            <w:tcW w:w="1247" w:type="dxa"/>
            <w:tcBorders>
              <w:top w:val="nil"/>
              <w:left w:val="single" w:sz="4" w:space="0" w:color="auto"/>
              <w:bottom w:val="nil"/>
            </w:tcBorders>
          </w:tcPr>
          <w:p w:rsidR="00FB30B5" w:rsidRPr="00BA6603" w:rsidRDefault="00FB30B5" w:rsidP="0022622E">
            <w:pPr>
              <w:pStyle w:val="Table"/>
            </w:pPr>
            <w:r w:rsidRPr="00BA6603">
              <w:t>81 (-13%)</w:t>
            </w:r>
          </w:p>
        </w:tc>
      </w:tr>
      <w:tr w:rsidR="00FB30B5" w:rsidRPr="00BA6603" w:rsidTr="00CB11A9">
        <w:tblPrEx>
          <w:tblCellMar>
            <w:top w:w="0" w:type="dxa"/>
            <w:bottom w:w="0" w:type="dxa"/>
          </w:tblCellMar>
        </w:tblPrEx>
        <w:trPr>
          <w:trHeight w:val="293"/>
        </w:trPr>
        <w:tc>
          <w:tcPr>
            <w:tcW w:w="2675" w:type="dxa"/>
            <w:tcBorders>
              <w:top w:val="nil"/>
              <w:bottom w:val="nil"/>
              <w:right w:val="single" w:sz="4" w:space="0" w:color="auto"/>
            </w:tcBorders>
            <w:shd w:val="clear" w:color="auto" w:fill="auto"/>
          </w:tcPr>
          <w:p w:rsidR="00FB30B5" w:rsidRPr="00BA6603" w:rsidRDefault="00FB30B5" w:rsidP="0022622E">
            <w:pPr>
              <w:pStyle w:val="Table"/>
            </w:pPr>
            <w:r w:rsidRPr="00BA6603">
              <w:t>CHAQ disability score</w:t>
            </w:r>
          </w:p>
        </w:tc>
        <w:tc>
          <w:tcPr>
            <w:tcW w:w="941" w:type="dxa"/>
            <w:tcBorders>
              <w:top w:val="nil"/>
              <w:bottom w:val="nil"/>
              <w:right w:val="single" w:sz="4" w:space="0" w:color="auto"/>
            </w:tcBorders>
          </w:tcPr>
          <w:p w:rsidR="00FB30B5" w:rsidRPr="00BA6603" w:rsidRDefault="00FB30B5" w:rsidP="0022622E">
            <w:pPr>
              <w:pStyle w:val="Table"/>
            </w:pPr>
            <w:r w:rsidRPr="00BA6603">
              <w:t>1.63</w:t>
            </w:r>
          </w:p>
        </w:tc>
        <w:tc>
          <w:tcPr>
            <w:tcW w:w="939" w:type="dxa"/>
            <w:tcBorders>
              <w:top w:val="nil"/>
              <w:bottom w:val="nil"/>
              <w:right w:val="single" w:sz="4" w:space="0" w:color="auto"/>
            </w:tcBorders>
          </w:tcPr>
          <w:p w:rsidR="00FB30B5" w:rsidRPr="00BA6603" w:rsidRDefault="00FB30B5" w:rsidP="0022622E">
            <w:pPr>
              <w:pStyle w:val="Table"/>
            </w:pPr>
            <w:r w:rsidRPr="00BA6603">
              <w:t>1.50</w:t>
            </w:r>
          </w:p>
        </w:tc>
        <w:tc>
          <w:tcPr>
            <w:tcW w:w="1223" w:type="dxa"/>
            <w:tcBorders>
              <w:top w:val="nil"/>
              <w:left w:val="single" w:sz="4" w:space="0" w:color="auto"/>
              <w:bottom w:val="nil"/>
              <w:right w:val="single" w:sz="4" w:space="0" w:color="auto"/>
            </w:tcBorders>
          </w:tcPr>
          <w:p w:rsidR="00FB30B5" w:rsidRPr="00BA6603" w:rsidRDefault="00FB30B5" w:rsidP="0022622E">
            <w:pPr>
              <w:pStyle w:val="Table"/>
            </w:pPr>
            <w:r w:rsidRPr="00BA6603">
              <w:t xml:space="preserve">0.63 </w:t>
            </w:r>
          </w:p>
          <w:p w:rsidR="00FB30B5" w:rsidRPr="00BA6603" w:rsidRDefault="00FB30B5" w:rsidP="0022622E">
            <w:pPr>
              <w:pStyle w:val="Table"/>
            </w:pPr>
            <w:r w:rsidRPr="00BA6603">
              <w:t>(-68%)</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 xml:space="preserve">1.63 </w:t>
            </w:r>
          </w:p>
          <w:p w:rsidR="00FB30B5" w:rsidRPr="00BA6603" w:rsidRDefault="00FB30B5" w:rsidP="0022622E">
            <w:pPr>
              <w:pStyle w:val="Table"/>
            </w:pPr>
            <w:r w:rsidRPr="00BA6603">
              <w:t>(-11%)</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 xml:space="preserve">0.19 </w:t>
            </w:r>
          </w:p>
          <w:p w:rsidR="00FB30B5" w:rsidRPr="00BA6603" w:rsidRDefault="00FB30B5" w:rsidP="0022622E">
            <w:pPr>
              <w:pStyle w:val="Table"/>
            </w:pPr>
            <w:r w:rsidRPr="00BA6603">
              <w:t>(-85%)</w:t>
            </w:r>
          </w:p>
        </w:tc>
        <w:tc>
          <w:tcPr>
            <w:tcW w:w="1247" w:type="dxa"/>
            <w:tcBorders>
              <w:top w:val="nil"/>
              <w:left w:val="single" w:sz="4" w:space="0" w:color="auto"/>
              <w:bottom w:val="nil"/>
            </w:tcBorders>
          </w:tcPr>
          <w:p w:rsidR="00FB30B5" w:rsidRPr="00BA6603" w:rsidRDefault="00FB30B5" w:rsidP="0022622E">
            <w:pPr>
              <w:pStyle w:val="Table"/>
            </w:pPr>
            <w:r w:rsidRPr="00BA6603">
              <w:t>1.5 (20%)</w:t>
            </w:r>
          </w:p>
        </w:tc>
      </w:tr>
      <w:tr w:rsidR="00FB30B5" w:rsidRPr="00BA6603" w:rsidTr="00CB11A9">
        <w:tblPrEx>
          <w:tblCellMar>
            <w:top w:w="0" w:type="dxa"/>
            <w:bottom w:w="0" w:type="dxa"/>
          </w:tblCellMar>
        </w:tblPrEx>
        <w:trPr>
          <w:trHeight w:val="308"/>
        </w:trPr>
        <w:tc>
          <w:tcPr>
            <w:tcW w:w="2675" w:type="dxa"/>
            <w:tcBorders>
              <w:top w:val="nil"/>
              <w:bottom w:val="nil"/>
              <w:right w:val="single" w:sz="4" w:space="0" w:color="auto"/>
            </w:tcBorders>
            <w:shd w:val="clear" w:color="auto" w:fill="auto"/>
          </w:tcPr>
          <w:p w:rsidR="00FB30B5" w:rsidRPr="00BA6603" w:rsidRDefault="00FB30B5" w:rsidP="0022622E">
            <w:pPr>
              <w:pStyle w:val="Table"/>
            </w:pPr>
            <w:r w:rsidRPr="00BA6603">
              <w:t>Physician global assessment of disease activity VAS (mm)</w:t>
            </w:r>
          </w:p>
        </w:tc>
        <w:tc>
          <w:tcPr>
            <w:tcW w:w="941" w:type="dxa"/>
            <w:tcBorders>
              <w:top w:val="nil"/>
              <w:bottom w:val="nil"/>
              <w:right w:val="single" w:sz="4" w:space="0" w:color="auto"/>
            </w:tcBorders>
          </w:tcPr>
          <w:p w:rsidR="00FB30B5" w:rsidRPr="00BA6603" w:rsidRDefault="00FB30B5" w:rsidP="0022622E">
            <w:pPr>
              <w:pStyle w:val="Table"/>
            </w:pPr>
            <w:r w:rsidRPr="00BA6603">
              <w:t>67</w:t>
            </w:r>
          </w:p>
        </w:tc>
        <w:tc>
          <w:tcPr>
            <w:tcW w:w="939" w:type="dxa"/>
            <w:tcBorders>
              <w:top w:val="nil"/>
              <w:bottom w:val="nil"/>
              <w:right w:val="single" w:sz="4" w:space="0" w:color="auto"/>
            </w:tcBorders>
          </w:tcPr>
          <w:p w:rsidR="00FB30B5" w:rsidRPr="00BA6603" w:rsidRDefault="00FB30B5" w:rsidP="0022622E">
            <w:pPr>
              <w:pStyle w:val="Table"/>
            </w:pPr>
            <w:r w:rsidRPr="00BA6603">
              <w:t>66</w:t>
            </w:r>
          </w:p>
        </w:tc>
        <w:tc>
          <w:tcPr>
            <w:tcW w:w="1223" w:type="dxa"/>
            <w:tcBorders>
              <w:top w:val="nil"/>
              <w:left w:val="single" w:sz="4" w:space="0" w:color="auto"/>
              <w:bottom w:val="nil"/>
              <w:right w:val="single" w:sz="4" w:space="0" w:color="auto"/>
            </w:tcBorders>
          </w:tcPr>
          <w:p w:rsidR="00FB30B5" w:rsidRPr="00BA6603" w:rsidRDefault="00FB30B5" w:rsidP="0022622E">
            <w:pPr>
              <w:pStyle w:val="Table"/>
            </w:pPr>
            <w:r w:rsidRPr="00BA6603">
              <w:t>20 (-69%)</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56 (-5%)</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11 (-83%)</w:t>
            </w:r>
          </w:p>
        </w:tc>
        <w:tc>
          <w:tcPr>
            <w:tcW w:w="1247" w:type="dxa"/>
            <w:tcBorders>
              <w:top w:val="nil"/>
              <w:left w:val="single" w:sz="4" w:space="0" w:color="auto"/>
              <w:bottom w:val="nil"/>
            </w:tcBorders>
          </w:tcPr>
          <w:p w:rsidR="00FB30B5" w:rsidRPr="00BA6603" w:rsidRDefault="00FB30B5" w:rsidP="0022622E">
            <w:pPr>
              <w:pStyle w:val="Table"/>
            </w:pPr>
            <w:r w:rsidRPr="00BA6603">
              <w:t>28 (-38%)</w:t>
            </w:r>
          </w:p>
        </w:tc>
      </w:tr>
      <w:tr w:rsidR="00FB30B5" w:rsidRPr="00BA6603" w:rsidTr="00CB11A9">
        <w:tblPrEx>
          <w:tblCellMar>
            <w:top w:w="0" w:type="dxa"/>
            <w:bottom w:w="0" w:type="dxa"/>
          </w:tblCellMar>
        </w:tblPrEx>
        <w:trPr>
          <w:trHeight w:val="308"/>
        </w:trPr>
        <w:tc>
          <w:tcPr>
            <w:tcW w:w="2675" w:type="dxa"/>
            <w:tcBorders>
              <w:top w:val="nil"/>
              <w:bottom w:val="nil"/>
              <w:right w:val="single" w:sz="4" w:space="0" w:color="auto"/>
            </w:tcBorders>
            <w:shd w:val="clear" w:color="auto" w:fill="auto"/>
          </w:tcPr>
          <w:p w:rsidR="00FB30B5" w:rsidRPr="00BA6603" w:rsidRDefault="00FB30B5" w:rsidP="0022622E">
            <w:pPr>
              <w:pStyle w:val="Table"/>
            </w:pPr>
            <w:r w:rsidRPr="00BA6603">
              <w:t>Parent/patient global assessment of overall wellbeing VAS (mm)</w:t>
            </w:r>
          </w:p>
        </w:tc>
        <w:tc>
          <w:tcPr>
            <w:tcW w:w="941" w:type="dxa"/>
            <w:tcBorders>
              <w:top w:val="nil"/>
              <w:bottom w:val="nil"/>
              <w:right w:val="single" w:sz="4" w:space="0" w:color="auto"/>
            </w:tcBorders>
          </w:tcPr>
          <w:p w:rsidR="00FB30B5" w:rsidRPr="00BA6603" w:rsidRDefault="00FB30B5" w:rsidP="0022622E">
            <w:pPr>
              <w:pStyle w:val="Table"/>
            </w:pPr>
            <w:r w:rsidRPr="00BA6603">
              <w:t>63</w:t>
            </w:r>
          </w:p>
        </w:tc>
        <w:tc>
          <w:tcPr>
            <w:tcW w:w="939" w:type="dxa"/>
            <w:tcBorders>
              <w:top w:val="nil"/>
              <w:bottom w:val="nil"/>
              <w:right w:val="single" w:sz="4" w:space="0" w:color="auto"/>
            </w:tcBorders>
          </w:tcPr>
          <w:p w:rsidR="00FB30B5" w:rsidRPr="00BA6603" w:rsidRDefault="00FB30B5" w:rsidP="0022622E">
            <w:pPr>
              <w:pStyle w:val="Table"/>
            </w:pPr>
            <w:r w:rsidRPr="00BA6603">
              <w:t>61</w:t>
            </w:r>
          </w:p>
        </w:tc>
        <w:tc>
          <w:tcPr>
            <w:tcW w:w="1223"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15 (-73%)</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65 (1%)</w:t>
            </w:r>
          </w:p>
        </w:tc>
        <w:tc>
          <w:tcPr>
            <w:tcW w:w="1134" w:type="dxa"/>
            <w:tcBorders>
              <w:top w:val="nil"/>
              <w:left w:val="single" w:sz="4" w:space="0" w:color="auto"/>
              <w:bottom w:val="nil"/>
              <w:right w:val="single" w:sz="4" w:space="0" w:color="auto"/>
            </w:tcBorders>
            <w:shd w:val="clear" w:color="auto" w:fill="auto"/>
          </w:tcPr>
          <w:p w:rsidR="00FB30B5" w:rsidRPr="00BA6603" w:rsidRDefault="00FB30B5" w:rsidP="0022622E">
            <w:pPr>
              <w:pStyle w:val="Table"/>
            </w:pPr>
            <w:r w:rsidRPr="00BA6603">
              <w:t>7 (-91%)</w:t>
            </w:r>
          </w:p>
        </w:tc>
        <w:tc>
          <w:tcPr>
            <w:tcW w:w="1247" w:type="dxa"/>
            <w:tcBorders>
              <w:top w:val="nil"/>
              <w:left w:val="single" w:sz="4" w:space="0" w:color="auto"/>
              <w:bottom w:val="nil"/>
            </w:tcBorders>
            <w:shd w:val="clear" w:color="auto" w:fill="auto"/>
          </w:tcPr>
          <w:p w:rsidR="00FB30B5" w:rsidRPr="00BA6603" w:rsidRDefault="00FB30B5" w:rsidP="0022622E">
            <w:pPr>
              <w:pStyle w:val="Table"/>
            </w:pPr>
            <w:r w:rsidRPr="00BA6603">
              <w:t>60 (-17%)</w:t>
            </w:r>
          </w:p>
        </w:tc>
      </w:tr>
      <w:tr w:rsidR="00FB30B5" w:rsidRPr="00BA6603" w:rsidTr="00CB11A9">
        <w:tblPrEx>
          <w:tblCellMar>
            <w:top w:w="0" w:type="dxa"/>
            <w:bottom w:w="0" w:type="dxa"/>
          </w:tblCellMar>
        </w:tblPrEx>
        <w:trPr>
          <w:trHeight w:val="308"/>
        </w:trPr>
        <w:tc>
          <w:tcPr>
            <w:tcW w:w="2675" w:type="dxa"/>
            <w:tcBorders>
              <w:top w:val="nil"/>
              <w:bottom w:val="single" w:sz="4" w:space="0" w:color="auto"/>
              <w:right w:val="single" w:sz="4" w:space="0" w:color="auto"/>
            </w:tcBorders>
            <w:shd w:val="clear" w:color="auto" w:fill="auto"/>
          </w:tcPr>
          <w:p w:rsidR="00FB30B5" w:rsidRPr="00BA6603" w:rsidRDefault="00FB30B5" w:rsidP="0022622E">
            <w:pPr>
              <w:pStyle w:val="Table"/>
              <w:rPr>
                <w:lang w:val="fr-FR"/>
              </w:rPr>
            </w:pPr>
            <w:r w:rsidRPr="00BA6603">
              <w:rPr>
                <w:lang w:val="fr-FR"/>
              </w:rPr>
              <w:t>Patient pain score VAS (mm)</w:t>
            </w:r>
          </w:p>
        </w:tc>
        <w:tc>
          <w:tcPr>
            <w:tcW w:w="941" w:type="dxa"/>
            <w:tcBorders>
              <w:top w:val="nil"/>
              <w:bottom w:val="single" w:sz="4" w:space="0" w:color="auto"/>
              <w:right w:val="single" w:sz="4" w:space="0" w:color="auto"/>
            </w:tcBorders>
          </w:tcPr>
          <w:p w:rsidR="00FB30B5" w:rsidRPr="00BA6603" w:rsidRDefault="00FB30B5" w:rsidP="0022622E">
            <w:pPr>
              <w:pStyle w:val="Table"/>
            </w:pPr>
            <w:r w:rsidRPr="00BA6603">
              <w:t>73</w:t>
            </w:r>
          </w:p>
        </w:tc>
        <w:tc>
          <w:tcPr>
            <w:tcW w:w="939" w:type="dxa"/>
            <w:tcBorders>
              <w:top w:val="nil"/>
              <w:bottom w:val="single" w:sz="4" w:space="0" w:color="auto"/>
              <w:right w:val="single" w:sz="4" w:space="0" w:color="auto"/>
            </w:tcBorders>
          </w:tcPr>
          <w:p w:rsidR="00FB30B5" w:rsidRPr="00BA6603" w:rsidRDefault="00FB30B5" w:rsidP="0022622E">
            <w:pPr>
              <w:pStyle w:val="Table"/>
            </w:pPr>
            <w:r w:rsidRPr="00BA6603">
              <w:t>67</w:t>
            </w:r>
          </w:p>
        </w:tc>
        <w:tc>
          <w:tcPr>
            <w:tcW w:w="1223" w:type="dxa"/>
            <w:tcBorders>
              <w:top w:val="nil"/>
              <w:left w:val="single" w:sz="4" w:space="0" w:color="auto"/>
              <w:bottom w:val="single" w:sz="4" w:space="0" w:color="auto"/>
              <w:right w:val="single" w:sz="4" w:space="0" w:color="auto"/>
            </w:tcBorders>
          </w:tcPr>
          <w:p w:rsidR="00FB30B5" w:rsidRPr="00BA6603" w:rsidRDefault="00FB30B5" w:rsidP="0022622E">
            <w:pPr>
              <w:pStyle w:val="Table"/>
            </w:pPr>
            <w:r w:rsidRPr="00BA6603">
              <w:t>8 (-87%)</w:t>
            </w:r>
          </w:p>
        </w:tc>
        <w:tc>
          <w:tcPr>
            <w:tcW w:w="1134" w:type="dxa"/>
            <w:tcBorders>
              <w:top w:val="nil"/>
              <w:left w:val="single" w:sz="4" w:space="0" w:color="auto"/>
              <w:bottom w:val="single" w:sz="4" w:space="0" w:color="auto"/>
              <w:right w:val="single" w:sz="4" w:space="0" w:color="auto"/>
            </w:tcBorders>
            <w:shd w:val="clear" w:color="auto" w:fill="auto"/>
          </w:tcPr>
          <w:p w:rsidR="00FB30B5" w:rsidRPr="00BA6603" w:rsidRDefault="00FB30B5" w:rsidP="0022622E">
            <w:pPr>
              <w:pStyle w:val="Table"/>
            </w:pPr>
            <w:r w:rsidRPr="00BA6603">
              <w:t>66 (15%)</w:t>
            </w:r>
          </w:p>
        </w:tc>
        <w:tc>
          <w:tcPr>
            <w:tcW w:w="1134" w:type="dxa"/>
            <w:tcBorders>
              <w:top w:val="nil"/>
              <w:left w:val="single" w:sz="4" w:space="0" w:color="auto"/>
              <w:bottom w:val="single" w:sz="4" w:space="0" w:color="auto"/>
              <w:right w:val="single" w:sz="4" w:space="0" w:color="auto"/>
            </w:tcBorders>
            <w:shd w:val="clear" w:color="auto" w:fill="auto"/>
          </w:tcPr>
          <w:p w:rsidR="00FB30B5" w:rsidRPr="00BA6603" w:rsidRDefault="00FB30B5" w:rsidP="0022622E">
            <w:pPr>
              <w:pStyle w:val="Table"/>
            </w:pPr>
            <w:r w:rsidRPr="00BA6603">
              <w:t>7 (-89%)</w:t>
            </w:r>
          </w:p>
        </w:tc>
        <w:tc>
          <w:tcPr>
            <w:tcW w:w="1247" w:type="dxa"/>
            <w:tcBorders>
              <w:top w:val="nil"/>
              <w:left w:val="single" w:sz="4" w:space="0" w:color="auto"/>
              <w:bottom w:val="single" w:sz="4" w:space="0" w:color="auto"/>
            </w:tcBorders>
          </w:tcPr>
          <w:p w:rsidR="00FB30B5" w:rsidRPr="00BA6603" w:rsidRDefault="00FB30B5" w:rsidP="0022622E">
            <w:pPr>
              <w:pStyle w:val="Table"/>
            </w:pPr>
            <w:r w:rsidRPr="00BA6603">
              <w:t>56 (-12%)</w:t>
            </w:r>
          </w:p>
        </w:tc>
      </w:tr>
    </w:tbl>
    <w:p w:rsidR="00FB30B5" w:rsidRPr="00BA6603" w:rsidRDefault="00FB30B5" w:rsidP="0022622E">
      <w:pPr>
        <w:pStyle w:val="Legend"/>
      </w:pPr>
      <w:r w:rsidRPr="00BA6603">
        <w:t>VAS – Visual analog scale (0-100 mm)</w:t>
      </w:r>
    </w:p>
    <w:p w:rsidR="00FB30B5" w:rsidRPr="00BA6603" w:rsidRDefault="00FB30B5" w:rsidP="0022622E">
      <w:pPr>
        <w:pStyle w:val="Legend"/>
      </w:pPr>
      <w:r w:rsidRPr="00BA6603">
        <w:t>A negative value indicates improvement compared to baseline</w:t>
      </w:r>
    </w:p>
    <w:p w:rsidR="00FB30B5" w:rsidRPr="00BA6603" w:rsidRDefault="00FB30B5" w:rsidP="0022622E">
      <w:pPr>
        <w:pStyle w:val="Legend"/>
      </w:pPr>
      <w:r w:rsidRPr="00BA6603">
        <w:t>*Only patients with values at baseline and Days 15 and 29 are represented</w:t>
      </w:r>
    </w:p>
    <w:p w:rsidR="00FB30B5" w:rsidRPr="00BA6603" w:rsidRDefault="00FB30B5" w:rsidP="0022622E"/>
    <w:p w:rsidR="002879D5" w:rsidRPr="00BA6603" w:rsidRDefault="002879D5" w:rsidP="0022622E">
      <w:r w:rsidRPr="00BA6603">
        <w:t>No patient in study G2305 discontinued because of an adverse event.</w:t>
      </w:r>
    </w:p>
    <w:p w:rsidR="002879D5" w:rsidRPr="00BA6603" w:rsidRDefault="002879D5" w:rsidP="0022622E"/>
    <w:p w:rsidR="00FA33EC" w:rsidRPr="00BA6603" w:rsidRDefault="00FA33EC" w:rsidP="0022622E">
      <w:pPr>
        <w:pStyle w:val="heading4"/>
      </w:pPr>
      <w:r w:rsidRPr="00BA6603">
        <w:t>Study G2301</w:t>
      </w:r>
    </w:p>
    <w:p w:rsidR="004C4C6A" w:rsidRPr="00BA6603" w:rsidRDefault="00FA33EC" w:rsidP="0022622E">
      <w:r w:rsidRPr="00BA6603">
        <w:t xml:space="preserve">Study G2301 was a randomized, double-blind, placebo-controlled withdrawal study of flare prevention by Ilaris in patients with active sJIA. </w:t>
      </w:r>
      <w:r w:rsidR="00BD420A" w:rsidRPr="00BA6603">
        <w:t xml:space="preserve"> </w:t>
      </w:r>
      <w:r w:rsidR="004C4C6A" w:rsidRPr="00BA6603">
        <w:t>Flare events were defined as reappearance of fever &gt;38°C for at least 2 consecutive days not due to infections and/or all JIA paediatric flare criteria</w:t>
      </w:r>
      <w:r w:rsidR="002C631C" w:rsidRPr="00BA6603">
        <w:t xml:space="preserve"> (≥30% worsening in at least 3 of 6 response variables; not more than 1 of 6 response variable improving by ≥30%; ≥20 mm VAS for overall well-being if physician or parent global assessment is measured; worsening in ≥2 joints; CRP &gt;30 mg/L)</w:t>
      </w:r>
      <w:r w:rsidR="004C4C6A" w:rsidRPr="00BA6603">
        <w:t xml:space="preserve">. </w:t>
      </w:r>
    </w:p>
    <w:p w:rsidR="004C4C6A" w:rsidRPr="00BA6603" w:rsidRDefault="004C4C6A" w:rsidP="0022622E"/>
    <w:p w:rsidR="002879D5" w:rsidRPr="00BA6603" w:rsidRDefault="00FA33EC" w:rsidP="0022622E">
      <w:r w:rsidRPr="00BA6603">
        <w:t xml:space="preserve">The study consisted of two major parts with two independent primary endpoints.  177 patients were enrolled in the study and received 4mg/kg s.c. Ilaris every 4 weeks </w:t>
      </w:r>
      <w:r w:rsidR="00BA5383" w:rsidRPr="00BA6603">
        <w:t xml:space="preserve">for </w:t>
      </w:r>
      <w:r w:rsidR="00302CDF" w:rsidRPr="00BA6603">
        <w:t>up</w:t>
      </w:r>
      <w:r w:rsidR="00BA5383" w:rsidRPr="00BA6603">
        <w:t xml:space="preserve"> to 32 weeks </w:t>
      </w:r>
      <w:r w:rsidR="0075046C" w:rsidRPr="00BA6603">
        <w:t xml:space="preserve">(median 16 weeks) </w:t>
      </w:r>
      <w:r w:rsidRPr="00BA6603">
        <w:t>in Part I</w:t>
      </w:r>
      <w:r w:rsidR="002C631C" w:rsidRPr="00BA6603">
        <w:t>,</w:t>
      </w:r>
      <w:r w:rsidRPr="00BA6603">
        <w:t xml:space="preserve"> and either s.c. Ilaris 4mg/kg or placebo every 4 weeks in Part II.</w:t>
      </w:r>
      <w:r w:rsidR="0087261A" w:rsidRPr="00BA6603">
        <w:t xml:space="preserve">  The study was stopped when the 37 flare events had occurred in Part II.</w:t>
      </w:r>
    </w:p>
    <w:p w:rsidR="008F14B1" w:rsidRPr="00BA6603" w:rsidRDefault="008F14B1" w:rsidP="0022622E"/>
    <w:p w:rsidR="0087261A" w:rsidRPr="00BA6603" w:rsidRDefault="0087261A" w:rsidP="0022622E">
      <w:r w:rsidRPr="00BA6603">
        <w:t>In Part I, a total of 77</w:t>
      </w:r>
      <w:r w:rsidR="002070EC" w:rsidRPr="00BA6603">
        <w:t>/</w:t>
      </w:r>
      <w:r w:rsidRPr="00BA6603">
        <w:t xml:space="preserve">177 patients (44%) discontinued the study, with the most frequently reported reasons being a lack of response to therapy by day 29 (34 patients, 19%) or inability to </w:t>
      </w:r>
      <w:r w:rsidR="002070EC" w:rsidRPr="00BA6603">
        <w:t xml:space="preserve">successfully reduce their </w:t>
      </w:r>
      <w:r w:rsidRPr="00BA6603">
        <w:t xml:space="preserve">corticosteroid </w:t>
      </w:r>
      <w:r w:rsidR="002070EC" w:rsidRPr="00BA6603">
        <w:t>dose</w:t>
      </w:r>
      <w:r w:rsidRPr="00BA6603">
        <w:t xml:space="preserve"> (24 patients, 14%).  A total of 48 of the</w:t>
      </w:r>
      <w:r w:rsidR="002070EC" w:rsidRPr="00BA6603">
        <w:t xml:space="preserve"> 77 patients who discontinued in Part I </w:t>
      </w:r>
      <w:r w:rsidR="00272CFB" w:rsidRPr="00BA6603">
        <w:t>enrolled</w:t>
      </w:r>
      <w:r w:rsidR="002070EC" w:rsidRPr="00BA6603">
        <w:t xml:space="preserve"> into a long term extension trial to continue treatment with Ilaris. </w:t>
      </w:r>
    </w:p>
    <w:p w:rsidR="00FA33EC" w:rsidRPr="00BA6603" w:rsidRDefault="00FA33EC" w:rsidP="0022622E"/>
    <w:p w:rsidR="00FA33EC" w:rsidRPr="0022622E" w:rsidRDefault="0022622E" w:rsidP="0022622E">
      <w:pPr>
        <w:rPr>
          <w:b/>
        </w:rPr>
      </w:pPr>
      <w:r>
        <w:br w:type="page"/>
      </w:r>
      <w:r w:rsidR="00FA33EC" w:rsidRPr="0022622E">
        <w:rPr>
          <w:b/>
        </w:rPr>
        <w:lastRenderedPageBreak/>
        <w:t>Corticosteroid dose tapering:</w:t>
      </w:r>
    </w:p>
    <w:p w:rsidR="00FA33EC" w:rsidRPr="00BA6603" w:rsidRDefault="00FA33EC" w:rsidP="0022622E"/>
    <w:p w:rsidR="00FA33EC" w:rsidRPr="00BA6603" w:rsidRDefault="00FA33EC" w:rsidP="0022622E">
      <w:r w:rsidRPr="00BA6603">
        <w:t>Part I had an open-label design to assess whether Ilaris allowed successful tapering of corticosteroids in at least 25% of the patients entering the study using a corticosteroid. The primary endpoint of Part I was met. Of the 128 patients who entered the study taking corticosteroids, 57 (45%) successfully tapered the corticosteroid dose (p&lt;0.0001) and 42 (33%) discontinued their corticosteroids. Of the 92 patients who attempted corticosteroid tapering, 57 (62%) successfully tapered the corticosteroid dose, 42 (46%) discontinued corticosteroids, 24 (26%) patients still on corticosteroids had the dose reduced to ≤0.2mg/kg/day (prednisone equivalent).  Successful corticosteroid dose taperers reduced their mean corticosteroid dose from 0.34 mg/kg/day prednisone equivalent at baseline to 0.05mg/kg/day representing a mean 90% dose reduction. For patients attempting corticosteroid dose reduction who entered with a prednisone equivalent dose of ≥0.5mg/kg/day (N=28), 15 (54%) had their dose reduced by at least 0.3mg/kg which resulted in a prednisone equivalent dose of ≤0.5mg/kg/day, including 7 (25%) who discontinued corticosteroids.</w:t>
      </w:r>
    </w:p>
    <w:p w:rsidR="00FA33EC" w:rsidRPr="00BA6603" w:rsidRDefault="00FA33EC" w:rsidP="0022622E"/>
    <w:p w:rsidR="00FA33EC" w:rsidRPr="003D3C37" w:rsidRDefault="00FA33EC" w:rsidP="0022622E">
      <w:pPr>
        <w:rPr>
          <w:b/>
        </w:rPr>
      </w:pPr>
      <w:r w:rsidRPr="003D3C37">
        <w:rPr>
          <w:b/>
        </w:rPr>
        <w:t>Time to flare:</w:t>
      </w:r>
    </w:p>
    <w:p w:rsidR="00FA33EC" w:rsidRPr="00BA6603" w:rsidRDefault="00FA33EC" w:rsidP="0022622E"/>
    <w:p w:rsidR="00C223E7" w:rsidRPr="00BA6603" w:rsidRDefault="00FA33EC" w:rsidP="0022622E">
      <w:r w:rsidRPr="00BA6603">
        <w:t>Part II was a</w:t>
      </w:r>
      <w:r w:rsidR="0075046C" w:rsidRPr="00BA6603">
        <w:t>n event-driven</w:t>
      </w:r>
      <w:r w:rsidRPr="00BA6603">
        <w:t xml:space="preserve"> withdrawal design to demonstrate that the time to flare was longer with Ilaris than with placebo.  The primary endpoint of Part II was met</w:t>
      </w:r>
      <w:r w:rsidR="0075046C" w:rsidRPr="00BA6603">
        <w:t xml:space="preserve"> after a median duration </w:t>
      </w:r>
      <w:r w:rsidR="00797276" w:rsidRPr="00BA6603">
        <w:t xml:space="preserve">to flare </w:t>
      </w:r>
      <w:r w:rsidR="0075046C" w:rsidRPr="00BA6603">
        <w:t>of 31.6 weeks with canakinumab and 23.4 weeks with placebo</w:t>
      </w:r>
      <w:r w:rsidRPr="00BA6603">
        <w:t>. The probability of experiencing a flare in Part II was statistically lower for the Ilaris treatment group than for the placebo group. The median time to flare was 236 days for the placebo group and could not be determined for the Ilaris group because less than 50% of the patients treated with Ilaris experienced a flare event over the observation period (maximum of &gt; 80 weeks).  This corresponded to a statistically significant 64% relative reduced risk for patients in the Ilaris group to experience a flare event as compared to those in the placebo group (hazard ratio of 0.36; 95% CI: 0.17 to 0.75; p=0.0032).</w:t>
      </w:r>
    </w:p>
    <w:p w:rsidR="00425C13" w:rsidRPr="00BA6603" w:rsidRDefault="00425C13" w:rsidP="0022622E"/>
    <w:p w:rsidR="00425C13" w:rsidRPr="00BA6603" w:rsidRDefault="00425C13" w:rsidP="0022622E">
      <w:r w:rsidRPr="00BA6603">
        <w:t xml:space="preserve">In Part II, </w:t>
      </w:r>
      <w:r w:rsidR="00A12F9D" w:rsidRPr="00BA6603">
        <w:t>37 patients discontinued the study</w:t>
      </w:r>
      <w:r w:rsidR="00CD335C" w:rsidRPr="00BA6603">
        <w:t>:</w:t>
      </w:r>
      <w:r w:rsidR="00A12F9D" w:rsidRPr="00BA6603">
        <w:t xml:space="preserve"> 11</w:t>
      </w:r>
      <w:r w:rsidR="002070EC" w:rsidRPr="00BA6603">
        <w:t>/</w:t>
      </w:r>
      <w:r w:rsidR="008F5D2C" w:rsidRPr="00BA6603">
        <w:t xml:space="preserve">50 </w:t>
      </w:r>
      <w:r w:rsidR="00A12F9D" w:rsidRPr="00BA6603">
        <w:t xml:space="preserve">patients on canakinumab and </w:t>
      </w:r>
      <w:r w:rsidR="00302CDF" w:rsidRPr="00BA6603">
        <w:t>20</w:t>
      </w:r>
      <w:r w:rsidR="002070EC" w:rsidRPr="00BA6603">
        <w:t>/</w:t>
      </w:r>
      <w:r w:rsidR="008F5D2C" w:rsidRPr="00BA6603">
        <w:t>50</w:t>
      </w:r>
      <w:r w:rsidR="00A12F9D" w:rsidRPr="00BA6603">
        <w:t xml:space="preserve"> patients on placebo discontinued due to unsatisfactory therapeutic effect </w:t>
      </w:r>
      <w:r w:rsidR="00CD335C" w:rsidRPr="00BA6603">
        <w:t xml:space="preserve">which occurred </w:t>
      </w:r>
      <w:r w:rsidR="002070EC" w:rsidRPr="00BA6603">
        <w:t xml:space="preserve">between day </w:t>
      </w:r>
      <w:r w:rsidR="00CD335C" w:rsidRPr="00BA6603">
        <w:t xml:space="preserve">113 </w:t>
      </w:r>
      <w:r w:rsidR="002070EC" w:rsidRPr="00BA6603">
        <w:t>and</w:t>
      </w:r>
      <w:r w:rsidR="00CD335C" w:rsidRPr="00BA6603">
        <w:t xml:space="preserve"> </w:t>
      </w:r>
      <w:r w:rsidR="002070EC" w:rsidRPr="00BA6603">
        <w:t xml:space="preserve">day </w:t>
      </w:r>
      <w:r w:rsidR="00CD335C" w:rsidRPr="00BA6603">
        <w:t>398</w:t>
      </w:r>
      <w:r w:rsidR="00A12F9D" w:rsidRPr="00BA6603">
        <w:t xml:space="preserve">. </w:t>
      </w:r>
      <w:r w:rsidR="002070EC" w:rsidRPr="00BA6603">
        <w:t>Four</w:t>
      </w:r>
      <w:r w:rsidR="00CD335C" w:rsidRPr="00BA6603">
        <w:t xml:space="preserve"> patients on placebo</w:t>
      </w:r>
      <w:r w:rsidR="002070EC" w:rsidRPr="00BA6603">
        <w:t xml:space="preserve"> and </w:t>
      </w:r>
      <w:r w:rsidR="00797276" w:rsidRPr="00BA6603">
        <w:t>none (</w:t>
      </w:r>
      <w:r w:rsidR="00C719B2" w:rsidRPr="00BA6603">
        <w:t>0</w:t>
      </w:r>
      <w:r w:rsidR="00797276" w:rsidRPr="00BA6603">
        <w:t>)</w:t>
      </w:r>
      <w:r w:rsidR="00CD335C" w:rsidRPr="00BA6603">
        <w:t xml:space="preserve"> on canakinumab discontinued due to an adverse event.</w:t>
      </w:r>
    </w:p>
    <w:p w:rsidR="00FA33EC" w:rsidRPr="00BA6603" w:rsidRDefault="00FA33EC" w:rsidP="0022622E"/>
    <w:p w:rsidR="00FA33EC" w:rsidRPr="00BA6603" w:rsidRDefault="00FA33EC" w:rsidP="0022622E">
      <w:r w:rsidRPr="00BA6603">
        <w:t>Paediatric adapted ACR response and paediatric ACR core components:</w:t>
      </w:r>
    </w:p>
    <w:p w:rsidR="00FA33EC" w:rsidRPr="00BA6603" w:rsidRDefault="00FA33EC" w:rsidP="0022622E"/>
    <w:p w:rsidR="00FA33EC" w:rsidRPr="00BA6603" w:rsidRDefault="00FA33EC" w:rsidP="0022622E">
      <w:r w:rsidRPr="00BA6603">
        <w:t xml:space="preserve">Improvements in the paediatric ACR responses and in each of the paediatric ACR core components observed in Study G2305 (Table 1 and Table 2) were similarly observed during open-label Ilaris treatment in Part I of G2301. </w:t>
      </w:r>
    </w:p>
    <w:p w:rsidR="00FA33EC" w:rsidRPr="00BA6603" w:rsidRDefault="00FA33EC" w:rsidP="0022622E"/>
    <w:p w:rsidR="00FA33EC" w:rsidRPr="00BA6603" w:rsidRDefault="00FA33EC" w:rsidP="0022622E">
      <w:r w:rsidRPr="00BA6603">
        <w:t xml:space="preserve">Nearly all (139/141, 98.6%) the patients treated with ILARIS had no fever at Day 3. </w:t>
      </w:r>
    </w:p>
    <w:p w:rsidR="00FA33EC" w:rsidRPr="00BA6603" w:rsidRDefault="00FA33EC" w:rsidP="0022622E">
      <w:r w:rsidRPr="00BA6603">
        <w:t>In 46 of the 120 patients (38.3%) who entered the study with a low h</w:t>
      </w:r>
      <w:r w:rsidR="00956AF5" w:rsidRPr="00BA6603">
        <w:t>a</w:t>
      </w:r>
      <w:r w:rsidRPr="00BA6603">
        <w:t>emoglobin the level had increased to within the normal range at their last visit of Part I.</w:t>
      </w:r>
    </w:p>
    <w:p w:rsidR="00FA33EC" w:rsidRPr="00BA6603" w:rsidRDefault="00FA33EC" w:rsidP="0022622E"/>
    <w:p w:rsidR="00FA33EC" w:rsidRPr="00BA6603" w:rsidRDefault="00FA33EC" w:rsidP="0022622E">
      <w:pPr>
        <w:pStyle w:val="heading4"/>
      </w:pPr>
      <w:r w:rsidRPr="00BA6603">
        <w:t>Health-related and quality of life outcomes in studies G2305 and G2301</w:t>
      </w:r>
    </w:p>
    <w:p w:rsidR="00FA33EC" w:rsidRPr="00BA6603" w:rsidRDefault="00FA33EC" w:rsidP="0022622E">
      <w:r w:rsidRPr="00BA6603">
        <w:t>Treatment with I</w:t>
      </w:r>
      <w:r w:rsidR="00956AF5" w:rsidRPr="00BA6603">
        <w:t>laris</w:t>
      </w:r>
      <w:r w:rsidRPr="00BA6603">
        <w:t xml:space="preserve"> resulted in rapid, and clinically relevant improvements in patients’ quality of life and daily functioning.</w:t>
      </w:r>
    </w:p>
    <w:p w:rsidR="00FA33EC" w:rsidRPr="00BA6603" w:rsidRDefault="00FA33EC" w:rsidP="0022622E"/>
    <w:p w:rsidR="00FA33EC" w:rsidRPr="00BA6603" w:rsidRDefault="00FA33EC" w:rsidP="0022622E">
      <w:r w:rsidRPr="00BA6603">
        <w:t xml:space="preserve">In </w:t>
      </w:r>
      <w:r w:rsidR="0095143F" w:rsidRPr="00BA6603">
        <w:t xml:space="preserve">the open-label </w:t>
      </w:r>
      <w:r w:rsidRPr="00BA6603">
        <w:t>Study G2305, statistically significant improvement from baseline in the CHAQ score for patients treated with Ilaris versus placebo (p=0.0002) was observed, with an estimated difference of the LS means between the treatment groups of -0.69 representing 3.6 times the minimal clinically important difference (MCID) of −0.19.  Statistically significant improvements were also observed with Ilaris on the CHQ-PF50 Physical Health score and CHQ-PF50 Psychosocial Health score with an estimated difference in LS means between the Ilaris and placebo treatment groups of 12.1 (p=0.0012) and 7.3 (p=0.0017), respectively.</w:t>
      </w:r>
    </w:p>
    <w:p w:rsidR="00FA33EC" w:rsidRPr="00BA6603" w:rsidRDefault="00FA33EC" w:rsidP="0022622E"/>
    <w:p w:rsidR="00FA33EC" w:rsidRPr="00BA6603" w:rsidRDefault="00FA33EC" w:rsidP="0022622E">
      <w:r w:rsidRPr="00BA6603">
        <w:t>Similar improvements in the CHAQ score and each of the CHQ-PF50 Health scores observed in Study G2305 were observed during the open-label Ilaris treatment in Part I of Study G2301. The median improvement from baseline to end of Part I for the CHAQ score was -0.88 (-79%), 21.8 (+74%) for the CHQ-PF50 Physical Health score, and 8.2 (+22%) for the CHQ-PF50 Psychosocial Health score.</w:t>
      </w:r>
    </w:p>
    <w:p w:rsidR="00FA33EC" w:rsidRPr="00BA6603" w:rsidRDefault="00FA33EC" w:rsidP="0022622E"/>
    <w:p w:rsidR="00B66AFB" w:rsidRPr="00BA6603" w:rsidRDefault="00B66AFB" w:rsidP="0022622E">
      <w:pPr>
        <w:pStyle w:val="heading4"/>
      </w:pPr>
      <w:r w:rsidRPr="00BA6603">
        <w:t>Long-term data</w:t>
      </w:r>
    </w:p>
    <w:p w:rsidR="00B66AFB" w:rsidRPr="00BA6603" w:rsidRDefault="00B66AFB" w:rsidP="0022622E">
      <w:r w:rsidRPr="00BA6603">
        <w:t xml:space="preserve">147 patients entered a long-term extension trial and received 4 mg/kg open label Ilaris every 4 weeks. Patients who were strong responders and who did not require a concomitant corticosteroid were allowed to reduce their Ilaris dose to 2 mg/kg every 4 weeks. </w:t>
      </w:r>
    </w:p>
    <w:p w:rsidR="00B66AFB" w:rsidRPr="00BA6603" w:rsidRDefault="00B66AFB" w:rsidP="0022622E"/>
    <w:p w:rsidR="00B66AFB" w:rsidRPr="00BA6603" w:rsidRDefault="00B66AFB" w:rsidP="0022622E">
      <w:r w:rsidRPr="00BA6603">
        <w:t xml:space="preserve">At the time of the interim results, </w:t>
      </w:r>
      <w:r w:rsidR="000A201D" w:rsidRPr="00BA6603">
        <w:t xml:space="preserve">25 patients who had a strong ACR response for a minimum of 5 months reduced their Ilaris doe to 2 mg/kg every 4 weeks and maintained </w:t>
      </w:r>
      <w:r w:rsidRPr="00BA6603">
        <w:t>a paediatric ACR 100 response throughout the time the reduced dose was given</w:t>
      </w:r>
      <w:r w:rsidR="000A201D" w:rsidRPr="00BA6603">
        <w:t xml:space="preserve"> (median 32 weeks, </w:t>
      </w:r>
      <w:r w:rsidR="00797276" w:rsidRPr="00BA6603">
        <w:t xml:space="preserve">range </w:t>
      </w:r>
      <w:r w:rsidR="000A201D" w:rsidRPr="00BA6603">
        <w:t>8-124 weeks)</w:t>
      </w:r>
      <w:r w:rsidRPr="00BA6603">
        <w:t>.</w:t>
      </w:r>
    </w:p>
    <w:p w:rsidR="00B66AFB" w:rsidRPr="00BA6603" w:rsidRDefault="00B66AFB" w:rsidP="0022622E"/>
    <w:p w:rsidR="00FA33EC" w:rsidRPr="00BA6603" w:rsidRDefault="00B66AFB" w:rsidP="0022622E">
      <w:r w:rsidRPr="00BA6603">
        <w:t>Interim results with a median 49 weeks of follow-up showed that of the 40 patients (27%) who entered the study as non-responders (&lt;Paediatric ACR30), 58% (23/40) were able to regain and maintain a minimum Paediatric ACR30 response.  The remaining 107 patients (73%) entered the study as responders (≥Paediatric ACR30) and of these, 94 % (101/107) maintained their responder status and 6% (6/107) lost it (&lt;Paediatric ACR30) at the time of the interim analysis.  Seventy six (52%) of the 147 patients who entered the study had inactive disease at the time of the interim analysis. Furthermore, 43% (17/40) of patients who were not successful in tapering their corticosteroid dose in study G2301 were successful in this study including 10/40 (25%) patients who were able to discontinue their corticosteroids.</w:t>
      </w:r>
    </w:p>
    <w:p w:rsidR="004F1E83" w:rsidRPr="00BA6603" w:rsidRDefault="004F1E83" w:rsidP="0022622E"/>
    <w:p w:rsidR="004F1E83" w:rsidRPr="00BA6603" w:rsidRDefault="004F1E83" w:rsidP="0022622E">
      <w:pPr>
        <w:pStyle w:val="heading4"/>
      </w:pPr>
      <w:r w:rsidRPr="00BA6603">
        <w:t>Incidence of Macrophage Activation Syndrome (MAS)</w:t>
      </w:r>
    </w:p>
    <w:p w:rsidR="004F1E83" w:rsidRPr="00BA6603" w:rsidRDefault="000A201D" w:rsidP="0022622E">
      <w:r w:rsidRPr="00BA6603">
        <w:t xml:space="preserve">Eleven cases of </w:t>
      </w:r>
      <w:r w:rsidR="004F1E83" w:rsidRPr="00BA6603">
        <w:t>MAS w</w:t>
      </w:r>
      <w:r w:rsidRPr="00BA6603">
        <w:t>ere observed in 201 sJIA patients treated with canakinumab in clinical trials (see ‘Precautions’).</w:t>
      </w:r>
    </w:p>
    <w:p w:rsidR="00C24BA0" w:rsidRPr="00BA6603" w:rsidRDefault="00C24BA0" w:rsidP="0022622E"/>
    <w:p w:rsidR="0066180B" w:rsidRPr="00BA6603" w:rsidRDefault="00BA6603" w:rsidP="0022622E">
      <w:pPr>
        <w:pStyle w:val="Heading1"/>
      </w:pPr>
      <w:r w:rsidRPr="00BA6603">
        <w:br w:type="page"/>
      </w:r>
      <w:r w:rsidR="0066180B" w:rsidRPr="00BA6603">
        <w:lastRenderedPageBreak/>
        <w:t>INDICATIONS</w:t>
      </w:r>
    </w:p>
    <w:p w:rsidR="00777D39" w:rsidRPr="00BA6603" w:rsidRDefault="00777D39" w:rsidP="0022622E"/>
    <w:p w:rsidR="002969B0" w:rsidRPr="00BA6603" w:rsidRDefault="002969B0" w:rsidP="0022622E">
      <w:r w:rsidRPr="00BA6603">
        <w:t>I</w:t>
      </w:r>
      <w:r w:rsidR="00117CD1" w:rsidRPr="00BA6603">
        <w:t>laris</w:t>
      </w:r>
      <w:r w:rsidRPr="00BA6603">
        <w:t xml:space="preserve"> is indicated for the treatment of Cryopyrin-Associated Periodic Syndromes (CAPS), in adults and children aged</w:t>
      </w:r>
      <w:r w:rsidR="00437F6E" w:rsidRPr="00BA6603">
        <w:t xml:space="preserve"> </w:t>
      </w:r>
      <w:r w:rsidR="006D6F1A" w:rsidRPr="00BA6603">
        <w:t>2</w:t>
      </w:r>
      <w:r w:rsidR="009B2E8A" w:rsidRPr="00BA6603">
        <w:rPr>
          <w:color w:val="00B050"/>
        </w:rPr>
        <w:t> </w:t>
      </w:r>
      <w:r w:rsidRPr="00BA6603">
        <w:t xml:space="preserve">years </w:t>
      </w:r>
      <w:r w:rsidR="00A905CE" w:rsidRPr="00BA6603">
        <w:t xml:space="preserve">or </w:t>
      </w:r>
      <w:r w:rsidRPr="00BA6603">
        <w:t>older including</w:t>
      </w:r>
      <w:r w:rsidRPr="00BA6603">
        <w:rPr>
          <w:noProof/>
        </w:rPr>
        <w:t>:</w:t>
      </w:r>
    </w:p>
    <w:p w:rsidR="002969B0" w:rsidRPr="00BA6603" w:rsidRDefault="002969B0" w:rsidP="0022622E">
      <w:pPr>
        <w:numPr>
          <w:ilvl w:val="0"/>
          <w:numId w:val="5"/>
        </w:numPr>
        <w:rPr>
          <w:lang w:val="it-IT"/>
        </w:rPr>
      </w:pPr>
      <w:r w:rsidRPr="00BA6603">
        <w:rPr>
          <w:lang w:val="it-IT"/>
        </w:rPr>
        <w:t>Familial Cold Autoinflammatory Syndrome (FCAS)</w:t>
      </w:r>
      <w:r w:rsidR="00CA3C35" w:rsidRPr="00BA6603">
        <w:rPr>
          <w:lang w:val="it-IT"/>
        </w:rPr>
        <w:t xml:space="preserve"> /Familial Cold Urticaria (FCU)</w:t>
      </w:r>
    </w:p>
    <w:p w:rsidR="00CA3C35" w:rsidRPr="00BA6603" w:rsidRDefault="002969B0" w:rsidP="0022622E">
      <w:pPr>
        <w:numPr>
          <w:ilvl w:val="0"/>
          <w:numId w:val="5"/>
        </w:numPr>
      </w:pPr>
      <w:r w:rsidRPr="00BA6603">
        <w:t>Muckle-Wells Syndrome (MWS)</w:t>
      </w:r>
    </w:p>
    <w:p w:rsidR="0066180B" w:rsidRPr="00BA6603" w:rsidRDefault="002969B0" w:rsidP="0022622E">
      <w:pPr>
        <w:numPr>
          <w:ilvl w:val="0"/>
          <w:numId w:val="5"/>
        </w:numPr>
      </w:pPr>
      <w:r w:rsidRPr="00BA6603">
        <w:t>Neonatal-Onset Multisystem Inflammatory Disease (NOMID) / Chronic Infantile Neurological, Cutaneous, Articular Syndrome (CINCA).</w:t>
      </w:r>
    </w:p>
    <w:p w:rsidR="002969B0" w:rsidRPr="00BA6603" w:rsidRDefault="002969B0" w:rsidP="0022622E"/>
    <w:p w:rsidR="0039116F" w:rsidRPr="00BA6603" w:rsidRDefault="0039116F" w:rsidP="0022622E">
      <w:r w:rsidRPr="00BA6603">
        <w:t xml:space="preserve">Ilaris is indicated for the treatment of active Systemic Juvenile Idiopathic Arthritis (sJIA) in patients aged 2 years </w:t>
      </w:r>
      <w:r w:rsidR="00A905CE" w:rsidRPr="00BA6603">
        <w:t>or</w:t>
      </w:r>
      <w:r w:rsidRPr="00BA6603">
        <w:t xml:space="preserve"> older.</w:t>
      </w:r>
    </w:p>
    <w:p w:rsidR="0039116F" w:rsidRPr="00BA6603" w:rsidRDefault="0039116F" w:rsidP="0022622E"/>
    <w:p w:rsidR="0066180B" w:rsidRPr="00BA6603" w:rsidRDefault="0066180B" w:rsidP="0022622E">
      <w:pPr>
        <w:pStyle w:val="Heading1"/>
      </w:pPr>
      <w:r w:rsidRPr="00BA6603">
        <w:t>CONTRAINDICATIONS</w:t>
      </w:r>
    </w:p>
    <w:p w:rsidR="00777D39" w:rsidRPr="00BA6603" w:rsidRDefault="00777D39" w:rsidP="0022622E"/>
    <w:p w:rsidR="00C0798A" w:rsidRPr="00BA6603" w:rsidRDefault="00703749" w:rsidP="0022622E">
      <w:r w:rsidRPr="00BA6603">
        <w:t>C</w:t>
      </w:r>
      <w:r w:rsidR="000256A0" w:rsidRPr="00BA6603">
        <w:t>onfirmed hypersensitivity to the active substance or to any of the excipients (see ‘Precautions’ and ‘Adverse Effects’).</w:t>
      </w:r>
    </w:p>
    <w:p w:rsidR="000256A0" w:rsidRPr="00BA6603" w:rsidRDefault="000256A0" w:rsidP="0022622E"/>
    <w:p w:rsidR="0066180B" w:rsidRPr="00BA6603" w:rsidRDefault="0066180B" w:rsidP="0022622E">
      <w:pPr>
        <w:pStyle w:val="Heading1"/>
      </w:pPr>
      <w:r w:rsidRPr="00BA6603">
        <w:t>PRECAUTIONS</w:t>
      </w:r>
    </w:p>
    <w:p w:rsidR="00777D39" w:rsidRPr="00BA6603" w:rsidRDefault="00777D39" w:rsidP="0022622E"/>
    <w:p w:rsidR="00E04ADD" w:rsidRPr="00BA6603" w:rsidRDefault="00C0798A" w:rsidP="0022622E">
      <w:pPr>
        <w:pStyle w:val="Heading2"/>
      </w:pPr>
      <w:r w:rsidRPr="00BA6603">
        <w:t>I</w:t>
      </w:r>
      <w:r w:rsidR="00E04ADD" w:rsidRPr="00BA6603">
        <w:t>nfections</w:t>
      </w:r>
    </w:p>
    <w:p w:rsidR="00E04ADD" w:rsidRPr="00BA6603" w:rsidRDefault="0001567F" w:rsidP="0022622E">
      <w:r w:rsidRPr="00BA6603">
        <w:t>Ilaris</w:t>
      </w:r>
      <w:r w:rsidR="00E04ADD" w:rsidRPr="00BA6603">
        <w:t xml:space="preserve"> </w:t>
      </w:r>
      <w:r w:rsidR="00D82A2D" w:rsidRPr="00BA6603">
        <w:t>is</w:t>
      </w:r>
      <w:r w:rsidR="00E04ADD" w:rsidRPr="00BA6603">
        <w:t xml:space="preserve"> associated with an increased incidence of serious infections. Physicians should exercise caution when administering </w:t>
      </w:r>
      <w:r w:rsidRPr="00BA6603">
        <w:t>Ilaris</w:t>
      </w:r>
      <w:r w:rsidR="00E04ADD" w:rsidRPr="00BA6603">
        <w:t xml:space="preserve"> to patients with infections, a history of recurring infections or underlying conditions which may predispose them to infections. Treatment with </w:t>
      </w:r>
      <w:r w:rsidRPr="00BA6603">
        <w:t>Ilaris</w:t>
      </w:r>
      <w:r w:rsidR="00E04ADD" w:rsidRPr="00BA6603">
        <w:t xml:space="preserve"> should not be</w:t>
      </w:r>
      <w:r w:rsidR="00437F6E" w:rsidRPr="00BA6603">
        <w:t xml:space="preserve"> </w:t>
      </w:r>
      <w:r w:rsidR="006D6F1A" w:rsidRPr="00BA6603">
        <w:t xml:space="preserve">initiated or </w:t>
      </w:r>
      <w:r w:rsidR="00437F6E" w:rsidRPr="00BA6603">
        <w:t>continued</w:t>
      </w:r>
      <w:r w:rsidR="005433D5" w:rsidRPr="00BA6603">
        <w:t xml:space="preserve"> </w:t>
      </w:r>
      <w:r w:rsidR="00E04ADD" w:rsidRPr="00BA6603">
        <w:t>in patients with active infection requiring medical intervention.</w:t>
      </w:r>
    </w:p>
    <w:p w:rsidR="00C0798A" w:rsidRPr="00BA6603" w:rsidRDefault="00C0798A" w:rsidP="0022622E"/>
    <w:p w:rsidR="00E04ADD" w:rsidRPr="00BA6603" w:rsidRDefault="00E04ADD" w:rsidP="0022622E">
      <w:pPr>
        <w:rPr>
          <w:lang w:eastAsia="ja-JP" w:bidi="th-TH"/>
        </w:rPr>
      </w:pPr>
      <w:r w:rsidRPr="00BA6603">
        <w:t xml:space="preserve">Infections, predominantly of the upper respiratory tract, in some instances serious, have been reported more frequently with </w:t>
      </w:r>
      <w:r w:rsidR="0001567F" w:rsidRPr="00BA6603">
        <w:t>Ilaris</w:t>
      </w:r>
      <w:r w:rsidRPr="00BA6603">
        <w:t xml:space="preserve"> than with placebo treatment. </w:t>
      </w:r>
      <w:r w:rsidRPr="00BA6603">
        <w:rPr>
          <w:lang w:eastAsia="ja-JP" w:bidi="th-TH"/>
        </w:rPr>
        <w:t xml:space="preserve">All infections responded to standard therapy. </w:t>
      </w:r>
      <w:r w:rsidR="00B152BB" w:rsidRPr="00BA6603">
        <w:rPr>
          <w:iCs/>
          <w:noProof/>
        </w:rPr>
        <w:t xml:space="preserve">In canakinumab-treated patients with serious and systemic infections, a physiological inflammatory response was maintained as evidenced by concomitant C-reactive protein (CRP) elevation and fever. A blunted inflammatory response to infections cannot be excluded and increased vigilance is therefore recommended. </w:t>
      </w:r>
      <w:r w:rsidR="00D82A2D" w:rsidRPr="00BA6603">
        <w:rPr>
          <w:lang w:eastAsia="ja-JP" w:bidi="th-TH"/>
        </w:rPr>
        <w:t>Isolated cases of unusual or opportunistic infections</w:t>
      </w:r>
      <w:r w:rsidR="00977AEF" w:rsidRPr="00BA6603">
        <w:rPr>
          <w:lang w:eastAsia="ja-JP" w:bidi="th-TH"/>
        </w:rPr>
        <w:t xml:space="preserve"> (including aspergillosis, atypical mycobacterial infections, herpes zoster)</w:t>
      </w:r>
      <w:r w:rsidR="00437F6E" w:rsidRPr="00BA6603">
        <w:rPr>
          <w:lang w:eastAsia="ja-JP" w:bidi="th-TH"/>
        </w:rPr>
        <w:t xml:space="preserve"> </w:t>
      </w:r>
      <w:r w:rsidR="006D6F1A" w:rsidRPr="00BA6603">
        <w:rPr>
          <w:lang w:eastAsia="ja-JP" w:bidi="th-TH"/>
        </w:rPr>
        <w:t>have been</w:t>
      </w:r>
      <w:r w:rsidR="00D77067" w:rsidRPr="00BA6603">
        <w:rPr>
          <w:lang w:eastAsia="ja-JP" w:bidi="th-TH"/>
        </w:rPr>
        <w:t xml:space="preserve"> </w:t>
      </w:r>
      <w:r w:rsidR="00D82A2D" w:rsidRPr="00BA6603">
        <w:rPr>
          <w:lang w:eastAsia="ja-JP" w:bidi="th-TH"/>
        </w:rPr>
        <w:t>reported during Ilaris treatment</w:t>
      </w:r>
      <w:r w:rsidR="00647B02" w:rsidRPr="00BA6603">
        <w:rPr>
          <w:lang w:eastAsia="ja-JP" w:bidi="th-TH"/>
        </w:rPr>
        <w:t xml:space="preserve">. </w:t>
      </w:r>
      <w:r w:rsidR="00977AEF" w:rsidRPr="00BA6603">
        <w:rPr>
          <w:lang w:eastAsia="ja-JP" w:bidi="th-TH"/>
        </w:rPr>
        <w:t>A</w:t>
      </w:r>
      <w:r w:rsidR="00D82A2D" w:rsidRPr="00BA6603">
        <w:rPr>
          <w:lang w:eastAsia="ja-JP" w:bidi="th-TH"/>
        </w:rPr>
        <w:t xml:space="preserve"> causal relationship of Ilaris to these events</w:t>
      </w:r>
      <w:r w:rsidR="00977AEF" w:rsidRPr="00BA6603">
        <w:rPr>
          <w:lang w:eastAsia="ja-JP" w:bidi="th-TH"/>
        </w:rPr>
        <w:t xml:space="preserve"> cannot be excluded</w:t>
      </w:r>
      <w:r w:rsidRPr="00BA6603">
        <w:rPr>
          <w:lang w:eastAsia="ja-JP" w:bidi="th-TH"/>
        </w:rPr>
        <w:t>.</w:t>
      </w:r>
    </w:p>
    <w:p w:rsidR="00C0798A" w:rsidRPr="00BA6603" w:rsidRDefault="00C0798A" w:rsidP="0022622E">
      <w:pPr>
        <w:rPr>
          <w:lang w:eastAsia="ja-JP" w:bidi="th-TH"/>
        </w:rPr>
      </w:pPr>
    </w:p>
    <w:p w:rsidR="00E04ADD" w:rsidRPr="00BA6603" w:rsidRDefault="00E04ADD" w:rsidP="0022622E">
      <w:r w:rsidRPr="00BA6603">
        <w:t xml:space="preserve">Concomitant use of </w:t>
      </w:r>
      <w:r w:rsidR="0001567F" w:rsidRPr="00BA6603">
        <w:t>Ilaris</w:t>
      </w:r>
      <w:r w:rsidRPr="00BA6603">
        <w:t xml:space="preserve"> with </w:t>
      </w:r>
      <w:r w:rsidRPr="00BA6603">
        <w:rPr>
          <w:noProof/>
        </w:rPr>
        <w:t>tumour necrosis factor (</w:t>
      </w:r>
      <w:r w:rsidRPr="00BA6603">
        <w:t xml:space="preserve">TNF) inhibitors is not recommended because this may increase the risk of serious infections (see </w:t>
      </w:r>
      <w:r w:rsidR="0001567F" w:rsidRPr="00BA6603">
        <w:t xml:space="preserve">‘Interactions with </w:t>
      </w:r>
      <w:r w:rsidR="00654610" w:rsidRPr="00BA6603">
        <w:t>O</w:t>
      </w:r>
      <w:r w:rsidR="0001567F" w:rsidRPr="00BA6603">
        <w:t xml:space="preserve">ther </w:t>
      </w:r>
      <w:r w:rsidR="002957CF" w:rsidRPr="00BA6603">
        <w:t>Medicines</w:t>
      </w:r>
      <w:r w:rsidR="0001567F" w:rsidRPr="00BA6603">
        <w:t>’</w:t>
      </w:r>
      <w:r w:rsidRPr="00BA6603">
        <w:t>).</w:t>
      </w:r>
    </w:p>
    <w:p w:rsidR="0053651B" w:rsidRPr="00BA6603" w:rsidRDefault="0053651B" w:rsidP="0022622E"/>
    <w:p w:rsidR="004B3B9F" w:rsidRPr="00BA6603" w:rsidRDefault="0053651B" w:rsidP="0022622E">
      <w:pPr>
        <w:rPr>
          <w:noProof/>
        </w:rPr>
      </w:pPr>
      <w:r w:rsidRPr="00BA6603">
        <w:rPr>
          <w:noProof/>
        </w:rPr>
        <w:t xml:space="preserve">In approximately 12% of CAPS patients tested with a PPD skin test in clinical trials, follow-up testing yielded a positive test result while treated with Ilaris without clinical evidence of a latent or active tuberculosis infection. </w:t>
      </w:r>
    </w:p>
    <w:p w:rsidR="004B3B9F" w:rsidRPr="00BA6603" w:rsidRDefault="004B3B9F" w:rsidP="0022622E">
      <w:pPr>
        <w:rPr>
          <w:noProof/>
        </w:rPr>
      </w:pPr>
    </w:p>
    <w:p w:rsidR="0053651B" w:rsidRPr="00BA6603" w:rsidRDefault="004B3B9F" w:rsidP="0022622E">
      <w:r w:rsidRPr="00BA6603">
        <w:rPr>
          <w:noProof/>
        </w:rPr>
        <w:t xml:space="preserve">It is unknown whether the use of IL-1 inhibitors such as Ilaris increases the risk of reactivation of tuberculosis. </w:t>
      </w:r>
      <w:r w:rsidR="0053651B" w:rsidRPr="00BA6603">
        <w:rPr>
          <w:noProof/>
        </w:rPr>
        <w:t xml:space="preserve">Before initiation of therapy, all patients must be evaluated for </w:t>
      </w:r>
      <w:r w:rsidR="0053651B" w:rsidRPr="00BA6603">
        <w:rPr>
          <w:noProof/>
        </w:rPr>
        <w:lastRenderedPageBreak/>
        <w:t xml:space="preserve">both active and latent tuberculosis infection. Particularly in adult patients, this evaluation should include a detailed medical history and appropriate screening tests. Patients must be monitored closely for signs and symptoms of tuberculosis during and after treatment with </w:t>
      </w:r>
      <w:r w:rsidR="00F06235" w:rsidRPr="00BA6603">
        <w:rPr>
          <w:noProof/>
        </w:rPr>
        <w:t>Ilaris</w:t>
      </w:r>
      <w:r w:rsidR="0053651B" w:rsidRPr="00BA6603">
        <w:rPr>
          <w:noProof/>
        </w:rPr>
        <w:t>. In the event of conversion from a negative to a positive PPD test, especially in high-risk patients, alternative means of screening for a tuberculosis infection should be considered.</w:t>
      </w:r>
    </w:p>
    <w:p w:rsidR="00C0798A" w:rsidRPr="00BA6603" w:rsidRDefault="00C0798A" w:rsidP="0022622E"/>
    <w:p w:rsidR="00E04ADD" w:rsidRPr="00BA6603" w:rsidRDefault="004B3B9F" w:rsidP="0022622E">
      <w:pPr>
        <w:pStyle w:val="Heading2"/>
      </w:pPr>
      <w:r w:rsidRPr="00BA6603">
        <w:t>Malignancies</w:t>
      </w:r>
    </w:p>
    <w:p w:rsidR="00E04ADD" w:rsidRPr="00BA6603" w:rsidRDefault="004B3B9F" w:rsidP="0022622E">
      <w:r w:rsidRPr="00BA6603">
        <w:t xml:space="preserve">Malignancy events have been reported in patients treated with Ilaris. </w:t>
      </w:r>
      <w:r w:rsidR="00E04ADD" w:rsidRPr="00BA6603">
        <w:t>The risk for the development of malignancies with anti-</w:t>
      </w:r>
      <w:r w:rsidR="00E04ADD" w:rsidRPr="00BA6603">
        <w:rPr>
          <w:lang w:eastAsia="ja-JP" w:bidi="th-TH"/>
        </w:rPr>
        <w:t>interleukin (</w:t>
      </w:r>
      <w:r w:rsidR="00E04ADD" w:rsidRPr="00BA6603">
        <w:t xml:space="preserve">IL)-1 therapy is unknown. A potential risk cannot be excluded in patients treated with </w:t>
      </w:r>
      <w:r w:rsidR="0001567F" w:rsidRPr="00BA6603">
        <w:t>Ilaris</w:t>
      </w:r>
      <w:r w:rsidR="00E04ADD" w:rsidRPr="00BA6603">
        <w:t>.</w:t>
      </w:r>
    </w:p>
    <w:p w:rsidR="00C0798A" w:rsidRPr="00BA6603" w:rsidRDefault="00C0798A" w:rsidP="0022622E"/>
    <w:p w:rsidR="00E04ADD" w:rsidRPr="00BA6603" w:rsidRDefault="00E04ADD" w:rsidP="0022622E">
      <w:pPr>
        <w:pStyle w:val="Heading2"/>
      </w:pPr>
      <w:r w:rsidRPr="00BA6603">
        <w:t xml:space="preserve">Hypersensitivity </w:t>
      </w:r>
      <w:r w:rsidR="00C0798A" w:rsidRPr="00BA6603">
        <w:t>R</w:t>
      </w:r>
      <w:r w:rsidRPr="00BA6603">
        <w:t>eactions</w:t>
      </w:r>
    </w:p>
    <w:p w:rsidR="00E04ADD" w:rsidRPr="00BA6603" w:rsidRDefault="00DD5B8C" w:rsidP="0022622E">
      <w:r w:rsidRPr="00BA6603">
        <w:rPr>
          <w:noProof/>
        </w:rPr>
        <w:t>H</w:t>
      </w:r>
      <w:r w:rsidR="0024550C" w:rsidRPr="00BA6603">
        <w:rPr>
          <w:noProof/>
        </w:rPr>
        <w:t xml:space="preserve">ypersensitivity reactions with </w:t>
      </w:r>
      <w:r w:rsidR="00F06235" w:rsidRPr="00BA6603">
        <w:rPr>
          <w:noProof/>
        </w:rPr>
        <w:t>Ilaris</w:t>
      </w:r>
      <w:r w:rsidR="0024550C" w:rsidRPr="00BA6603">
        <w:rPr>
          <w:noProof/>
        </w:rPr>
        <w:t xml:space="preserve"> therapy have been reported. The majority of these events were mild in severity. </w:t>
      </w:r>
      <w:r w:rsidR="00437F6E" w:rsidRPr="00BA6603">
        <w:rPr>
          <w:noProof/>
        </w:rPr>
        <w:t xml:space="preserve"> </w:t>
      </w:r>
      <w:r w:rsidR="006D6F1A" w:rsidRPr="00BA6603">
        <w:rPr>
          <w:noProof/>
        </w:rPr>
        <w:t>During clinical development of Ilaris, n</w:t>
      </w:r>
      <w:r w:rsidR="0024550C" w:rsidRPr="00BA6603">
        <w:rPr>
          <w:noProof/>
        </w:rPr>
        <w:t xml:space="preserve">o anaphylactoid or anaphylactic reactions have been reported. </w:t>
      </w:r>
      <w:r w:rsidR="00E04ADD" w:rsidRPr="00BA6603">
        <w:t xml:space="preserve">However, the risk for </w:t>
      </w:r>
      <w:r w:rsidR="0024550C" w:rsidRPr="00BA6603">
        <w:t xml:space="preserve">severe </w:t>
      </w:r>
      <w:r w:rsidR="00E04ADD" w:rsidRPr="00BA6603">
        <w:t>hypersensitivity reactions, which is not uncommon for injectable proteins, can not be excluded</w:t>
      </w:r>
      <w:r w:rsidR="0024550C" w:rsidRPr="00BA6603">
        <w:t xml:space="preserve"> (see ‘Contraindications’ and ‘Adverse effects’)</w:t>
      </w:r>
      <w:r w:rsidR="00E04ADD" w:rsidRPr="00BA6603">
        <w:t>.</w:t>
      </w:r>
    </w:p>
    <w:p w:rsidR="003F17D5" w:rsidRPr="00BA6603" w:rsidRDefault="003F17D5" w:rsidP="0022622E"/>
    <w:p w:rsidR="00E04ADD" w:rsidRPr="00BA6603" w:rsidRDefault="00E04ADD" w:rsidP="0022622E">
      <w:pPr>
        <w:pStyle w:val="Heading2"/>
      </w:pPr>
      <w:r w:rsidRPr="00BA6603">
        <w:t>Vaccinations</w:t>
      </w:r>
    </w:p>
    <w:p w:rsidR="00E04ADD" w:rsidRPr="00BA6603" w:rsidRDefault="00E04ADD" w:rsidP="0022622E">
      <w:r w:rsidRPr="00BA6603">
        <w:t xml:space="preserve">Live vaccines should not be given concurrently with </w:t>
      </w:r>
      <w:r w:rsidR="0001567F" w:rsidRPr="00BA6603">
        <w:t>Ilaris</w:t>
      </w:r>
      <w:r w:rsidRPr="00BA6603">
        <w:t xml:space="preserve"> (see </w:t>
      </w:r>
      <w:r w:rsidR="00F17A06" w:rsidRPr="00BA6603">
        <w:t>‘</w:t>
      </w:r>
      <w:r w:rsidRPr="00BA6603">
        <w:t>Interactions</w:t>
      </w:r>
      <w:r w:rsidR="00F17A06" w:rsidRPr="00BA6603">
        <w:t xml:space="preserve"> with </w:t>
      </w:r>
      <w:r w:rsidR="00654610" w:rsidRPr="00BA6603">
        <w:t>O</w:t>
      </w:r>
      <w:r w:rsidR="00F17A06" w:rsidRPr="00BA6603">
        <w:t xml:space="preserve">ther </w:t>
      </w:r>
      <w:r w:rsidR="002957CF" w:rsidRPr="00BA6603">
        <w:t>Medicines</w:t>
      </w:r>
      <w:r w:rsidR="00F17A06" w:rsidRPr="00BA6603">
        <w:t>’</w:t>
      </w:r>
      <w:r w:rsidRPr="00BA6603">
        <w:t>).</w:t>
      </w:r>
    </w:p>
    <w:p w:rsidR="0066180B" w:rsidRPr="00BA6603" w:rsidRDefault="0066180B" w:rsidP="0022622E"/>
    <w:p w:rsidR="000831DC" w:rsidRPr="00BA6603" w:rsidRDefault="000831DC" w:rsidP="0022622E">
      <w:pPr>
        <w:pStyle w:val="Heading2"/>
      </w:pPr>
      <w:r w:rsidRPr="00BA6603">
        <w:t>Neutropenia</w:t>
      </w:r>
      <w:r w:rsidR="00797276" w:rsidRPr="00BA6603">
        <w:t xml:space="preserve"> and leukopenia</w:t>
      </w:r>
    </w:p>
    <w:p w:rsidR="000831DC" w:rsidRPr="00BA6603" w:rsidRDefault="000831DC" w:rsidP="0022622E">
      <w:r w:rsidRPr="00BA6603">
        <w:t xml:space="preserve">Neutropenia </w:t>
      </w:r>
      <w:r w:rsidR="00797276" w:rsidRPr="00BA6603">
        <w:t>(absolute neutrophil count [ANC] &lt; 1.5 x 10</w:t>
      </w:r>
      <w:r w:rsidR="00797276" w:rsidRPr="00BA6603">
        <w:rPr>
          <w:vertAlign w:val="superscript"/>
        </w:rPr>
        <w:t>9</w:t>
      </w:r>
      <w:r w:rsidR="00797276" w:rsidRPr="00BA6603">
        <w:t>/l) and leukopenia have</w:t>
      </w:r>
      <w:r w:rsidRPr="00BA6603">
        <w:t xml:space="preserve"> been observed with medicinal products that inhibit IL-1, including Ilaris</w:t>
      </w:r>
      <w:r w:rsidR="00797276" w:rsidRPr="00BA6603">
        <w:t xml:space="preserve"> (see ‘Adverse Effects’)</w:t>
      </w:r>
      <w:r w:rsidRPr="00BA6603">
        <w:t>. Treatment with Ilaris should not be initiated in patients with neutropenia</w:t>
      </w:r>
      <w:r w:rsidR="00797276" w:rsidRPr="00BA6603">
        <w:t xml:space="preserve"> or leukopenia</w:t>
      </w:r>
      <w:r w:rsidRPr="00BA6603">
        <w:t xml:space="preserve">. It is recommended that </w:t>
      </w:r>
      <w:r w:rsidR="00390EDC" w:rsidRPr="00BA6603">
        <w:t xml:space="preserve">white blood cell (WBC) counts including </w:t>
      </w:r>
      <w:r w:rsidRPr="00BA6603">
        <w:t>neutrophil counts be assessed prior to initiating treatment</w:t>
      </w:r>
      <w:r w:rsidR="00390EDC" w:rsidRPr="00BA6603">
        <w:t xml:space="preserve"> and again after 1 to 2 months. For chronic or repeated therapies, it is also recommended to assess WBC counts periodically during treatment. If a patient becomes neutropenic or leukopenic, the WBC counts should be monitored closely and treatment discontinuation should be considered</w:t>
      </w:r>
      <w:r w:rsidRPr="00BA6603">
        <w:t>.</w:t>
      </w:r>
    </w:p>
    <w:p w:rsidR="00390EDC" w:rsidRPr="00BA6603" w:rsidRDefault="00390EDC" w:rsidP="0022622E"/>
    <w:p w:rsidR="00390EDC" w:rsidRPr="00BA6603" w:rsidRDefault="00390EDC" w:rsidP="0022622E">
      <w:pPr>
        <w:pStyle w:val="Heading2"/>
      </w:pPr>
      <w:r w:rsidRPr="00BA6603">
        <w:t>Hepatic function</w:t>
      </w:r>
    </w:p>
    <w:p w:rsidR="00390EDC" w:rsidRPr="00BA6603" w:rsidRDefault="00390EDC" w:rsidP="0022622E">
      <w:r w:rsidRPr="00BA6603">
        <w:t>Transient and asymptomatic cases of elevations of serum transaminases or bilirubin have been reported in clinical trials (see ‘Adverse Effects’).</w:t>
      </w:r>
    </w:p>
    <w:p w:rsidR="00DD5B8C" w:rsidRPr="00BA6603" w:rsidRDefault="00DD5B8C" w:rsidP="0022622E"/>
    <w:p w:rsidR="00DD5B8C" w:rsidRPr="00BA6603" w:rsidRDefault="00DD5B8C" w:rsidP="0022622E">
      <w:pPr>
        <w:pStyle w:val="Heading2"/>
      </w:pPr>
      <w:r w:rsidRPr="00BA6603">
        <w:t>Macrophage activation syndrome (in sJIA patients)</w:t>
      </w:r>
    </w:p>
    <w:p w:rsidR="00DD5B8C" w:rsidRPr="00BA6603" w:rsidRDefault="00DD5B8C" w:rsidP="0022622E">
      <w:r w:rsidRPr="00BA6603">
        <w:t>Macrophage activation syndrome (MAS) is a known, life-threatening disorder that may develop in patients with rheumatic conditions, in particular SJIA, and should be aggressively treated. Physicians should be attentive to symptoms of infection or worsening of SJIA, as these are known triggers for MAS. Based on clinical trial experience, ILARIS does not appear to increase the incidence of MAS in SJIA patients, but no definitive conclusion can be made.</w:t>
      </w:r>
    </w:p>
    <w:p w:rsidR="00DD5B8C" w:rsidRPr="00BA6603" w:rsidRDefault="00DD5B8C" w:rsidP="0022622E"/>
    <w:p w:rsidR="0066180B" w:rsidRPr="00BA6603" w:rsidRDefault="0066180B" w:rsidP="0022622E">
      <w:pPr>
        <w:pStyle w:val="Heading2"/>
      </w:pPr>
      <w:r w:rsidRPr="00BA6603">
        <w:t xml:space="preserve">Use in Pregnancy (Category </w:t>
      </w:r>
      <w:r w:rsidR="00C67983" w:rsidRPr="00BA6603">
        <w:t>B3</w:t>
      </w:r>
      <w:r w:rsidRPr="00BA6603">
        <w:t>)</w:t>
      </w:r>
    </w:p>
    <w:p w:rsidR="00C67983" w:rsidRPr="00BA6603" w:rsidRDefault="00C67983" w:rsidP="0022622E">
      <w:r w:rsidRPr="00BA6603">
        <w:t>There are no adequate and well-controlled studies of canakinumab in pregnant women</w:t>
      </w:r>
      <w:r w:rsidR="00977AEF" w:rsidRPr="00BA6603">
        <w:t xml:space="preserve"> or women of child-bearing potential</w:t>
      </w:r>
      <w:r w:rsidRPr="00BA6603">
        <w:t>.</w:t>
      </w:r>
    </w:p>
    <w:p w:rsidR="00C67983" w:rsidRPr="00BA6603" w:rsidRDefault="00C67983" w:rsidP="0022622E"/>
    <w:p w:rsidR="00C67983" w:rsidRPr="00BA6603" w:rsidRDefault="00C67983" w:rsidP="0022622E">
      <w:r w:rsidRPr="00BA6603">
        <w:t>Studies on embryof</w:t>
      </w:r>
      <w:r w:rsidR="00B97644" w:rsidRPr="00BA6603">
        <w:t>o</w:t>
      </w:r>
      <w:r w:rsidRPr="00BA6603">
        <w:t>etal development were performed in marmoset monkeys dosed with canakinumab and in mice dosed with a murine anti-murine IL-1 beta antibody. There was no evidence of teratogenicity. Pregnant marmosets dosed with canakinumab subcutaneously at doses of 15, 50 or 150 mg/kg twice weekly (30 to 306 times the human dose based on AUC) during organogenesis (gestation days 25 to 109) showed an increase in the incidence of incomplete ossification, misalignment and/or bipartite of the terminal caudal vertebra in fetuses at all dose levels. In mice subcutaneously administered the murine anti-murine</w:t>
      </w:r>
      <w:r w:rsidR="00637A01" w:rsidRPr="00BA6603">
        <w:t xml:space="preserve"> </w:t>
      </w:r>
      <w:r w:rsidRPr="00BA6603">
        <w:t xml:space="preserve">IL-1 beta antibody at doses of 15, 50 or 150 mg/kg on gestation days </w:t>
      </w:r>
      <w:r w:rsidRPr="00BA6603">
        <w:rPr>
          <w:sz w:val="25"/>
          <w:szCs w:val="25"/>
        </w:rPr>
        <w:t xml:space="preserve">6, </w:t>
      </w:r>
      <w:r w:rsidRPr="00BA6603">
        <w:t>11 and 17, the incidence of incomplete ossification of the parietal and frontal skull bones of fetuses was increased at all dose levels.</w:t>
      </w:r>
    </w:p>
    <w:p w:rsidR="00C67983" w:rsidRPr="00BA6603" w:rsidRDefault="00C67983" w:rsidP="0022622E"/>
    <w:p w:rsidR="00C67983" w:rsidRPr="00BA6603" w:rsidRDefault="00C67983" w:rsidP="0022622E">
      <w:r w:rsidRPr="00BA6603">
        <w:t>The risk for the f</w:t>
      </w:r>
      <w:r w:rsidR="00B97644" w:rsidRPr="00BA6603">
        <w:t>o</w:t>
      </w:r>
      <w:r w:rsidRPr="00BA6603">
        <w:t>etus</w:t>
      </w:r>
      <w:r w:rsidR="000831DC" w:rsidRPr="00BA6603">
        <w:t xml:space="preserve"> or mother</w:t>
      </w:r>
      <w:r w:rsidRPr="00BA6603">
        <w:t xml:space="preserve"> is unknown because animal reproduction studies are not always predictive of the human response. Canakinumab should be given to a pregnant woman only if clearly needed.</w:t>
      </w:r>
    </w:p>
    <w:p w:rsidR="00E04ADD" w:rsidRPr="00BA6603" w:rsidRDefault="00E04ADD" w:rsidP="0022622E"/>
    <w:p w:rsidR="0066180B" w:rsidRPr="00BA6603" w:rsidRDefault="0066180B" w:rsidP="0022622E">
      <w:pPr>
        <w:pStyle w:val="Heading2"/>
      </w:pPr>
      <w:r w:rsidRPr="00BA6603">
        <w:t>Use in Lactation</w:t>
      </w:r>
    </w:p>
    <w:p w:rsidR="003F17D5" w:rsidRPr="00BA6603" w:rsidRDefault="00E04ADD" w:rsidP="0022622E">
      <w:r w:rsidRPr="00BA6603">
        <w:t>It is not known whether canakinumab is excreted in human milk.</w:t>
      </w:r>
      <w:r w:rsidR="003F17D5" w:rsidRPr="00BA6603">
        <w:t xml:space="preserve"> </w:t>
      </w:r>
      <w:r w:rsidRPr="00BA6603">
        <w:t xml:space="preserve">Breast-feeding is not recommended during </w:t>
      </w:r>
      <w:r w:rsidR="0001567F" w:rsidRPr="00BA6603">
        <w:t>Ilaris</w:t>
      </w:r>
      <w:r w:rsidRPr="00BA6603">
        <w:t xml:space="preserve"> therapy.</w:t>
      </w:r>
    </w:p>
    <w:p w:rsidR="003F17D5" w:rsidRPr="00BA6603" w:rsidRDefault="003F17D5" w:rsidP="0022622E"/>
    <w:p w:rsidR="003F17D5" w:rsidRPr="00BA6603" w:rsidRDefault="003F17D5" w:rsidP="0022622E">
      <w:r w:rsidRPr="00BA6603">
        <w:t>In a mouse study, a murine anti-murine IL-l beta antibody at up to 150 mg/kg SC weekly administered to the dam during gestation and lactation had no effects on pup development. High serum levels of the antibody were detected in the pups.</w:t>
      </w:r>
    </w:p>
    <w:p w:rsidR="003F17D5" w:rsidRPr="00BA6603" w:rsidRDefault="003F17D5" w:rsidP="0022622E"/>
    <w:p w:rsidR="0066180B" w:rsidRPr="00BA6603" w:rsidRDefault="0066180B" w:rsidP="0022622E">
      <w:pPr>
        <w:pStyle w:val="Heading2"/>
      </w:pPr>
      <w:r w:rsidRPr="00BA6603">
        <w:t xml:space="preserve">Effects on </w:t>
      </w:r>
      <w:r w:rsidR="00B21687" w:rsidRPr="00BA6603">
        <w:t>F</w:t>
      </w:r>
      <w:r w:rsidRPr="00BA6603">
        <w:t>ertility</w:t>
      </w:r>
    </w:p>
    <w:p w:rsidR="00E04ADD" w:rsidRPr="00BA6603" w:rsidRDefault="003F17D5" w:rsidP="0022622E">
      <w:r w:rsidRPr="00BA6603">
        <w:t>S</w:t>
      </w:r>
      <w:r w:rsidR="00E04ADD" w:rsidRPr="00BA6603">
        <w:t xml:space="preserve">tudies of the potential effect of </w:t>
      </w:r>
      <w:r w:rsidR="0001567F" w:rsidRPr="00BA6603">
        <w:t>Ilaris</w:t>
      </w:r>
      <w:r w:rsidR="00E04ADD" w:rsidRPr="00BA6603">
        <w:rPr>
          <w:bCs/>
        </w:rPr>
        <w:t xml:space="preserve"> </w:t>
      </w:r>
      <w:r w:rsidR="00E04ADD" w:rsidRPr="00BA6603">
        <w:t>on human fertility have not been conducted.</w:t>
      </w:r>
    </w:p>
    <w:p w:rsidR="003F17D5" w:rsidRPr="00BA6603" w:rsidRDefault="003F17D5" w:rsidP="0022622E"/>
    <w:p w:rsidR="00F36EA3" w:rsidRPr="00BA6603" w:rsidRDefault="00E04ADD" w:rsidP="0022622E">
      <w:r w:rsidRPr="00BA6603">
        <w:t xml:space="preserve">Canakinumab had no effect on </w:t>
      </w:r>
      <w:r w:rsidR="003E440A" w:rsidRPr="00BA6603">
        <w:t>sperm motility and morphology</w:t>
      </w:r>
      <w:r w:rsidRPr="00BA6603">
        <w:t xml:space="preserve"> in </w:t>
      </w:r>
      <w:r w:rsidR="003E440A" w:rsidRPr="00BA6603">
        <w:t xml:space="preserve">male </w:t>
      </w:r>
      <w:r w:rsidRPr="00BA6603">
        <w:t xml:space="preserve">marmoset </w:t>
      </w:r>
      <w:r w:rsidRPr="00BA6603">
        <w:rPr>
          <w:lang w:eastAsia="ja-JP" w:bidi="th-TH"/>
        </w:rPr>
        <w:t>(</w:t>
      </w:r>
      <w:r w:rsidRPr="00BA6603">
        <w:rPr>
          <w:i/>
          <w:iCs/>
          <w:lang w:eastAsia="ja-JP" w:bidi="th-TH"/>
        </w:rPr>
        <w:t>C. jacchus</w:t>
      </w:r>
      <w:r w:rsidRPr="00BA6603">
        <w:rPr>
          <w:lang w:eastAsia="ja-JP" w:bidi="th-TH"/>
        </w:rPr>
        <w:t>)</w:t>
      </w:r>
      <w:r w:rsidR="003E440A" w:rsidRPr="00BA6603">
        <w:rPr>
          <w:lang w:eastAsia="ja-JP" w:bidi="th-TH"/>
        </w:rPr>
        <w:t xml:space="preserve"> at SC doses up to 269 times the clinical dose based on AUC</w:t>
      </w:r>
      <w:r w:rsidRPr="00BA6603">
        <w:rPr>
          <w:lang w:eastAsia="ja-JP" w:bidi="th-TH"/>
        </w:rPr>
        <w:t>.</w:t>
      </w:r>
      <w:r w:rsidRPr="00BA6603">
        <w:t xml:space="preserve"> A murine anti-murine IL-1</w:t>
      </w:r>
      <w:r w:rsidR="003E440A" w:rsidRPr="00BA6603">
        <w:t xml:space="preserve"> </w:t>
      </w:r>
      <w:r w:rsidRPr="00BA6603">
        <w:t xml:space="preserve">beta antibody had no undesirable effects on fertility in male or female </w:t>
      </w:r>
      <w:r w:rsidR="00DD7F65" w:rsidRPr="00BA6603">
        <w:t>mice. The high dose</w:t>
      </w:r>
      <w:r w:rsidR="003E440A" w:rsidRPr="00BA6603">
        <w:t xml:space="preserve"> (150 mg/kg)</w:t>
      </w:r>
      <w:r w:rsidR="00DD7F65" w:rsidRPr="00BA6603">
        <w:t xml:space="preserve"> in the</w:t>
      </w:r>
      <w:r w:rsidR="003E440A" w:rsidRPr="00BA6603">
        <w:t xml:space="preserve"> mouse study</w:t>
      </w:r>
      <w:r w:rsidR="00DD7F65" w:rsidRPr="00BA6603">
        <w:t xml:space="preserve"> was in excess of the maximally effective dose in terms of IL-1</w:t>
      </w:r>
      <w:r w:rsidR="003E440A" w:rsidRPr="00BA6603">
        <w:t xml:space="preserve"> </w:t>
      </w:r>
      <w:r w:rsidR="00DD7F65" w:rsidRPr="00BA6603">
        <w:t>beta suppression and activity</w:t>
      </w:r>
      <w:r w:rsidR="00101442" w:rsidRPr="00BA6603">
        <w:t>.</w:t>
      </w:r>
    </w:p>
    <w:p w:rsidR="003F17D5" w:rsidRPr="00BA6603" w:rsidRDefault="003F17D5" w:rsidP="0022622E"/>
    <w:p w:rsidR="0066180B" w:rsidRPr="00BA6603" w:rsidRDefault="0066180B" w:rsidP="0022622E">
      <w:pPr>
        <w:pStyle w:val="Heading2"/>
      </w:pPr>
      <w:r w:rsidRPr="00BA6603">
        <w:t>Carcinogenicity</w:t>
      </w:r>
    </w:p>
    <w:p w:rsidR="007E3755" w:rsidRPr="00BA6603" w:rsidRDefault="003F17D5" w:rsidP="0022622E">
      <w:r w:rsidRPr="00BA6603">
        <w:t>C</w:t>
      </w:r>
      <w:r w:rsidR="007E3755" w:rsidRPr="00BA6603">
        <w:t>arcinogenicity studies have not been conducted with canakinumab.</w:t>
      </w:r>
    </w:p>
    <w:p w:rsidR="008F309F" w:rsidRPr="00BA6603" w:rsidRDefault="008F309F" w:rsidP="0022622E"/>
    <w:p w:rsidR="006401B9" w:rsidRPr="00BA6603" w:rsidRDefault="006401B9" w:rsidP="0022622E">
      <w:pPr>
        <w:pStyle w:val="Heading2"/>
      </w:pPr>
      <w:r w:rsidRPr="00BA6603">
        <w:t>Immunogenicity</w:t>
      </w:r>
    </w:p>
    <w:p w:rsidR="008F309F" w:rsidRPr="00BA6603" w:rsidRDefault="00E717D0" w:rsidP="0022622E">
      <w:r w:rsidRPr="00BA6603">
        <w:t>N</w:t>
      </w:r>
      <w:r w:rsidR="00A660D1" w:rsidRPr="00BA6603">
        <w:t xml:space="preserve">o </w:t>
      </w:r>
      <w:r w:rsidR="00822E57" w:rsidRPr="00BA6603">
        <w:t xml:space="preserve">anaphylactic reactions were observed </w:t>
      </w:r>
      <w:r w:rsidRPr="00BA6603">
        <w:t>in patients treated with Ilaris</w:t>
      </w:r>
      <w:r w:rsidR="00F63D7A" w:rsidRPr="00BA6603">
        <w:t>.</w:t>
      </w:r>
    </w:p>
    <w:p w:rsidR="00F63D7A" w:rsidRPr="00BA6603" w:rsidRDefault="00F63D7A" w:rsidP="0022622E"/>
    <w:p w:rsidR="00F63D7A" w:rsidRPr="00BA6603" w:rsidRDefault="00A660D1" w:rsidP="0022622E">
      <w:r w:rsidRPr="00BA6603">
        <w:lastRenderedPageBreak/>
        <w:t xml:space="preserve">Antibodies against Ilaris were observed in approximately </w:t>
      </w:r>
      <w:r w:rsidR="006401B9" w:rsidRPr="00BA6603">
        <w:t xml:space="preserve">1.5% and </w:t>
      </w:r>
      <w:r w:rsidRPr="00BA6603">
        <w:t xml:space="preserve">3% of </w:t>
      </w:r>
      <w:r w:rsidR="0038091E" w:rsidRPr="00BA6603">
        <w:t xml:space="preserve">the </w:t>
      </w:r>
      <w:r w:rsidRPr="00BA6603">
        <w:t xml:space="preserve">patients treated with Ilaris for </w:t>
      </w:r>
      <w:r w:rsidR="006401B9" w:rsidRPr="00BA6603">
        <w:t xml:space="preserve">CAPS and </w:t>
      </w:r>
      <w:r w:rsidR="00E717D0" w:rsidRPr="00BA6603">
        <w:t>sJIA</w:t>
      </w:r>
      <w:r w:rsidR="006401B9" w:rsidRPr="00BA6603">
        <w:t xml:space="preserve"> respectively</w:t>
      </w:r>
      <w:r w:rsidR="00F63D7A" w:rsidRPr="00BA6603">
        <w:t>.</w:t>
      </w:r>
      <w:r w:rsidR="00E717D0" w:rsidRPr="00BA6603">
        <w:t xml:space="preserve"> Most of the sJIA clinical studies employed a higher sensitivity bridging assay. No neutralizing antibodies were detected. No apparent correlation of antibody development to clinical response or adverse events was observed.</w:t>
      </w:r>
    </w:p>
    <w:p w:rsidR="00F63D7A" w:rsidRPr="00BA6603" w:rsidRDefault="00F63D7A" w:rsidP="0022622E"/>
    <w:p w:rsidR="0047223B" w:rsidRPr="00BA6603" w:rsidRDefault="0047223B" w:rsidP="0022622E">
      <w:pPr>
        <w:pStyle w:val="Heading2"/>
      </w:pPr>
      <w:r w:rsidRPr="00BA6603">
        <w:t>Effects on Laboratory Tests</w:t>
      </w:r>
    </w:p>
    <w:p w:rsidR="0047223B" w:rsidRPr="00BA6603" w:rsidRDefault="0047223B" w:rsidP="0022622E">
      <w:pPr>
        <w:pStyle w:val="Heading3"/>
      </w:pPr>
      <w:r w:rsidRPr="00BA6603">
        <w:t>Haematology:</w:t>
      </w:r>
    </w:p>
    <w:p w:rsidR="0047223B" w:rsidRPr="00BA6603" w:rsidRDefault="0047223B" w:rsidP="0022622E">
      <w:r w:rsidRPr="00BA6603">
        <w:t xml:space="preserve">During clinical trials with canakinumab mean values for haemoglobin increased and decreased for white blood cell, neutrophils and platelets. </w:t>
      </w:r>
    </w:p>
    <w:p w:rsidR="0047223B" w:rsidRPr="00BA6603" w:rsidRDefault="0047223B" w:rsidP="0022622E"/>
    <w:p w:rsidR="0047223B" w:rsidRPr="00BA6603" w:rsidRDefault="0047223B" w:rsidP="0022622E">
      <w:pPr>
        <w:pStyle w:val="Heading3"/>
      </w:pPr>
      <w:r w:rsidRPr="00BA6603">
        <w:t>Hepatic transaminases:</w:t>
      </w:r>
    </w:p>
    <w:p w:rsidR="0047223B" w:rsidRPr="00BA6603" w:rsidRDefault="0047223B" w:rsidP="0022622E">
      <w:r w:rsidRPr="00BA6603">
        <w:t>Elevations of transaminases have been observed rarely in CAPS patients.</w:t>
      </w:r>
    </w:p>
    <w:p w:rsidR="0047223B" w:rsidRPr="00BA6603" w:rsidRDefault="0047223B" w:rsidP="0022622E"/>
    <w:p w:rsidR="0047223B" w:rsidRPr="00BA6603" w:rsidRDefault="0047223B" w:rsidP="0022622E">
      <w:pPr>
        <w:pStyle w:val="Heading3"/>
      </w:pPr>
      <w:r w:rsidRPr="00BA6603">
        <w:t>Bilirubin:</w:t>
      </w:r>
    </w:p>
    <w:p w:rsidR="0047223B" w:rsidRPr="00BA6603" w:rsidRDefault="0047223B" w:rsidP="0022622E">
      <w:r w:rsidRPr="00BA6603">
        <w:t>Asymptomatic and mild elevations of serum bilirubin have been observed in CAPS patients treated with canakinumab without concomitant elevations of transaminases.</w:t>
      </w:r>
    </w:p>
    <w:p w:rsidR="00390EDC" w:rsidRPr="00BA6603" w:rsidRDefault="00390EDC" w:rsidP="0022622E"/>
    <w:p w:rsidR="0047223B" w:rsidRPr="00BA6603" w:rsidRDefault="0047223B" w:rsidP="0022622E"/>
    <w:p w:rsidR="0066180B" w:rsidRPr="00BA6603" w:rsidRDefault="0066180B" w:rsidP="0022622E">
      <w:pPr>
        <w:pStyle w:val="Heading1"/>
      </w:pPr>
      <w:r w:rsidRPr="00BA6603">
        <w:t xml:space="preserve">Interactions with Other </w:t>
      </w:r>
      <w:r w:rsidR="002957CF" w:rsidRPr="00BA6603">
        <w:t>Medicines</w:t>
      </w:r>
    </w:p>
    <w:p w:rsidR="0008400F" w:rsidRPr="00BA6603" w:rsidRDefault="0008400F" w:rsidP="0022622E"/>
    <w:p w:rsidR="00E04ADD" w:rsidRPr="00BA6603" w:rsidRDefault="00E04ADD" w:rsidP="0022622E">
      <w:r w:rsidRPr="00BA6603">
        <w:t xml:space="preserve">Interactions between </w:t>
      </w:r>
      <w:r w:rsidR="0001567F" w:rsidRPr="00BA6603">
        <w:t>Ilaris</w:t>
      </w:r>
      <w:r w:rsidRPr="00BA6603">
        <w:t xml:space="preserve"> and other medicinal products</w:t>
      </w:r>
      <w:r w:rsidR="00E979F5" w:rsidRPr="00BA6603">
        <w:t>, including combinations with other biologics such as tocilizumab,</w:t>
      </w:r>
      <w:r w:rsidRPr="00BA6603">
        <w:t xml:space="preserve"> have not been investigated in formal studies.</w:t>
      </w:r>
    </w:p>
    <w:p w:rsidR="00B322A9" w:rsidRPr="00BA6603" w:rsidRDefault="00B322A9" w:rsidP="0022622E"/>
    <w:p w:rsidR="00F56C50" w:rsidRPr="00BA6603" w:rsidRDefault="00F56C50" w:rsidP="0022622E">
      <w:pPr>
        <w:rPr>
          <w:bCs/>
        </w:rPr>
      </w:pPr>
      <w:r w:rsidRPr="00BA6603">
        <w:rPr>
          <w:noProof/>
        </w:rPr>
        <w:t>The expression of hepatic CYP450 enzymes may be suppressed by the cytokines that stimulate chronic inflammation, such as IL-1 beta. Thus, CYP450 expression may be normalised when potent cytokine inhibitory therapy, such as canakinumab, is introduced. This is clinically relevant for CYP450 substrates with a narrow therapeutic index where the dose is individually adjusted. On initiation of canakinumab in patients being treated with this type of medicinal product, therapeutic monitoring of the effect or of the active substance concentration should be performed and the individual dose of the medicinal product adjusted as necessary.</w:t>
      </w:r>
    </w:p>
    <w:p w:rsidR="00F56C50" w:rsidRPr="00BA6603" w:rsidRDefault="00F56C50" w:rsidP="0022622E"/>
    <w:p w:rsidR="00CA3C35" w:rsidRPr="00BA6603" w:rsidRDefault="00E04ADD" w:rsidP="0022622E">
      <w:r w:rsidRPr="00BA6603">
        <w:t xml:space="preserve">An increased incidence of serious infections has been associated with administration of another IL-1 blocker in combination with TNF inhibitors. </w:t>
      </w:r>
      <w:r w:rsidRPr="00BA6603">
        <w:rPr>
          <w:bCs/>
          <w:noProof/>
        </w:rPr>
        <w:t xml:space="preserve">Use of </w:t>
      </w:r>
      <w:r w:rsidR="0001567F" w:rsidRPr="00BA6603">
        <w:t>Ilaris</w:t>
      </w:r>
      <w:r w:rsidRPr="00BA6603">
        <w:t xml:space="preserve"> with TNF inhibitors is not recommended because this may increase</w:t>
      </w:r>
      <w:r w:rsidR="00CA3C35" w:rsidRPr="00BA6603">
        <w:t xml:space="preserve"> the risk of serious infections.</w:t>
      </w:r>
    </w:p>
    <w:p w:rsidR="00B322A9" w:rsidRPr="00BA6603" w:rsidRDefault="00B322A9" w:rsidP="0022622E"/>
    <w:p w:rsidR="0066180B" w:rsidRPr="00BA6603" w:rsidRDefault="00E04ADD" w:rsidP="0022622E">
      <w:r w:rsidRPr="00BA6603">
        <w:t xml:space="preserve">No data are available on either the effects of live vaccination or the secondary transmission of infection by live vaccines in patients receiving </w:t>
      </w:r>
      <w:r w:rsidR="0001567F" w:rsidRPr="00BA6603">
        <w:t>Ilaris</w:t>
      </w:r>
      <w:r w:rsidRPr="00BA6603">
        <w:t xml:space="preserve">. Therefore, live vaccines should not be given concurrently with </w:t>
      </w:r>
      <w:r w:rsidR="0001567F" w:rsidRPr="00BA6603">
        <w:t>Ilaris</w:t>
      </w:r>
      <w:r w:rsidRPr="00BA6603">
        <w:t xml:space="preserve">. It is recommended that, if possible, paediatric and adult patients should complete all immunisations in accordance with current immunisation guidelines prior to initiating </w:t>
      </w:r>
      <w:r w:rsidR="0001567F" w:rsidRPr="00BA6603">
        <w:t>Ilaris</w:t>
      </w:r>
      <w:r w:rsidRPr="00BA6603">
        <w:t xml:space="preserve"> therapy.</w:t>
      </w:r>
    </w:p>
    <w:p w:rsidR="00967084" w:rsidRPr="00BA6603" w:rsidRDefault="00967084" w:rsidP="0022622E"/>
    <w:p w:rsidR="0066180B" w:rsidRPr="00BA6603" w:rsidRDefault="0066180B" w:rsidP="0022622E">
      <w:pPr>
        <w:pStyle w:val="Heading1"/>
      </w:pPr>
      <w:r w:rsidRPr="00BA6603">
        <w:t>ADVERSE EFFECTS</w:t>
      </w:r>
    </w:p>
    <w:p w:rsidR="00777D39" w:rsidRPr="00BA6603" w:rsidRDefault="00777D39" w:rsidP="0022622E">
      <w:bookmarkStart w:id="1" w:name="_Toc425574037"/>
    </w:p>
    <w:p w:rsidR="00E04ADD" w:rsidRPr="00BA6603" w:rsidRDefault="005A34EB" w:rsidP="0022622E">
      <w:r w:rsidRPr="00BA6603">
        <w:t>I</w:t>
      </w:r>
      <w:r w:rsidR="00E04ADD" w:rsidRPr="00BA6603">
        <w:t xml:space="preserve">n blinded and open-label clinical trials in patients with CAPS </w:t>
      </w:r>
      <w:r w:rsidRPr="00BA6603">
        <w:t xml:space="preserve">and </w:t>
      </w:r>
      <w:r w:rsidR="00715EF3" w:rsidRPr="00BA6603">
        <w:t>sJIA</w:t>
      </w:r>
      <w:r w:rsidRPr="00BA6603">
        <w:t>,</w:t>
      </w:r>
      <w:r w:rsidR="00715EF3" w:rsidRPr="00BA6603">
        <w:t xml:space="preserve"> </w:t>
      </w:r>
      <w:r w:rsidRPr="00BA6603">
        <w:t>t</w:t>
      </w:r>
      <w:r w:rsidR="00E04ADD" w:rsidRPr="00BA6603">
        <w:t xml:space="preserve">he most frequently reported adverse drug reactions </w:t>
      </w:r>
      <w:r w:rsidR="0030700F" w:rsidRPr="00BA6603">
        <w:t xml:space="preserve">were infections </w:t>
      </w:r>
      <w:r w:rsidR="00715EF3" w:rsidRPr="00BA6603">
        <w:t>predominantly of the upper respiratory tract</w:t>
      </w:r>
      <w:r w:rsidR="00E04ADD" w:rsidRPr="00BA6603">
        <w:t xml:space="preserve">. </w:t>
      </w:r>
      <w:r w:rsidR="007F6FA8" w:rsidRPr="00BA6603">
        <w:t xml:space="preserve">The majority of the events were mild to moderate </w:t>
      </w:r>
      <w:r w:rsidR="00715EF3" w:rsidRPr="00BA6603">
        <w:t>although serious infections were observed</w:t>
      </w:r>
      <w:r w:rsidR="000D2A47" w:rsidRPr="00BA6603">
        <w:t xml:space="preserve">. </w:t>
      </w:r>
      <w:r w:rsidR="00E04ADD" w:rsidRPr="00BA6603">
        <w:lastRenderedPageBreak/>
        <w:t>No impact on the type or frequency of adverse drug reactions was s</w:t>
      </w:r>
      <w:r w:rsidR="00B322A9" w:rsidRPr="00BA6603">
        <w:t>een with longer-term treatment.</w:t>
      </w:r>
    </w:p>
    <w:p w:rsidR="003C79E7" w:rsidRPr="00BA6603" w:rsidRDefault="003C79E7" w:rsidP="0022622E"/>
    <w:p w:rsidR="00973778" w:rsidRPr="00BA6603" w:rsidRDefault="00B4005B" w:rsidP="0022622E">
      <w:r w:rsidRPr="00BA6603">
        <w:t>H</w:t>
      </w:r>
      <w:r w:rsidR="003C79E7" w:rsidRPr="00BA6603">
        <w:t>ypersensitivity reactions have been reported in patients treated with Ilaris in clinical trials (see ‘Contraindications’ and ‘Precautions’).</w:t>
      </w:r>
    </w:p>
    <w:p w:rsidR="00B4005B" w:rsidRPr="00BA6603" w:rsidRDefault="00B4005B" w:rsidP="0022622E"/>
    <w:p w:rsidR="00B4005B" w:rsidRPr="00BA6603" w:rsidRDefault="00B4005B" w:rsidP="0022622E">
      <w:r w:rsidRPr="00BA6603">
        <w:t>Opportunistic infections have been reported in patients treated with Ilaris (see ‘Precautions’).</w:t>
      </w:r>
    </w:p>
    <w:p w:rsidR="0062283A" w:rsidRPr="00BA6603" w:rsidRDefault="0062283A" w:rsidP="0022622E">
      <w:pPr>
        <w:pStyle w:val="Heading2"/>
      </w:pPr>
      <w:r w:rsidRPr="00BA6603">
        <w:t>CAPS</w:t>
      </w:r>
    </w:p>
    <w:p w:rsidR="00E04ADD" w:rsidRPr="00BA6603" w:rsidRDefault="00E04ADD" w:rsidP="0022622E">
      <w:r w:rsidRPr="00BA6603">
        <w:t>A total of</w:t>
      </w:r>
      <w:r w:rsidR="007F6FA8" w:rsidRPr="00BA6603">
        <w:t xml:space="preserve"> 1</w:t>
      </w:r>
      <w:r w:rsidR="003C79E7" w:rsidRPr="00BA6603">
        <w:t>9</w:t>
      </w:r>
      <w:r w:rsidR="007F6FA8" w:rsidRPr="00BA6603">
        <w:t>4</w:t>
      </w:r>
      <w:r w:rsidR="00E1388F" w:rsidRPr="00BA6603">
        <w:t xml:space="preserve"> </w:t>
      </w:r>
      <w:r w:rsidRPr="00BA6603">
        <w:t xml:space="preserve">adult and paediatric CAPS patients (including FCAS/FCU, MWS, and NOMID/CINCA) have received </w:t>
      </w:r>
      <w:r w:rsidR="0001567F" w:rsidRPr="00BA6603">
        <w:t>Ilaris</w:t>
      </w:r>
      <w:r w:rsidRPr="00BA6603">
        <w:t xml:space="preserve"> in clinical trials. The safety of canakinumab compared with placebo was investigated in a pivotal phase III trial that consisted of an 8-week, open-label period (Part I), followed by a 24-week, randomised, double-blind and placebo-controlled withdrawal period (Part II)</w:t>
      </w:r>
      <w:r w:rsidR="00550172" w:rsidRPr="00BA6603">
        <w:t xml:space="preserve"> and a 16-week open label period on canakinumab treatment (Part III)</w:t>
      </w:r>
      <w:r w:rsidRPr="00BA6603">
        <w:t xml:space="preserve">. All patients were treated with </w:t>
      </w:r>
      <w:r w:rsidR="0001567F" w:rsidRPr="00BA6603">
        <w:t>Ilaris</w:t>
      </w:r>
      <w:r w:rsidRPr="00BA6603">
        <w:t xml:space="preserve"> 150 mg subcutaneous or 2 mg/kg if body weight was ≥15 kg and ≤40 kg.</w:t>
      </w:r>
    </w:p>
    <w:p w:rsidR="00E04ADD" w:rsidRPr="00BA6603" w:rsidRDefault="00E04ADD" w:rsidP="0022622E">
      <w:pPr>
        <w:pStyle w:val="Heading6"/>
      </w:pPr>
      <w:r w:rsidRPr="00BA6603">
        <w:t xml:space="preserve">Table </w:t>
      </w:r>
      <w:r w:rsidR="00C24BA0" w:rsidRPr="00BA6603">
        <w:t>4</w:t>
      </w:r>
      <w:r w:rsidR="008A7865" w:rsidRPr="00BA6603">
        <w:tab/>
      </w:r>
      <w:r w:rsidRPr="00BA6603">
        <w:t>Tabulated summary of reported adverse drug reactions from pivotal CAPS clinical trial</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1559"/>
        <w:gridCol w:w="1276"/>
        <w:gridCol w:w="1548"/>
      </w:tblGrid>
      <w:tr w:rsidR="004F5669" w:rsidRPr="00BA6603" w:rsidTr="00DC41C2">
        <w:tblPrEx>
          <w:tblCellMar>
            <w:top w:w="0" w:type="dxa"/>
            <w:bottom w:w="0" w:type="dxa"/>
          </w:tblCellMar>
        </w:tblPrEx>
        <w:trPr>
          <w:tblHeader/>
        </w:trPr>
        <w:tc>
          <w:tcPr>
            <w:tcW w:w="9311" w:type="dxa"/>
            <w:gridSpan w:val="5"/>
            <w:shd w:val="clear" w:color="auto" w:fill="auto"/>
          </w:tcPr>
          <w:p w:rsidR="004F5669" w:rsidRPr="00BA6603" w:rsidRDefault="004F5669" w:rsidP="0022622E">
            <w:pPr>
              <w:pStyle w:val="Table"/>
              <w:rPr>
                <w:noProof/>
              </w:rPr>
            </w:pPr>
            <w:r w:rsidRPr="00BA6603">
              <w:rPr>
                <w:noProof/>
              </w:rPr>
              <w:t>Phase III trial</w:t>
            </w:r>
          </w:p>
        </w:tc>
      </w:tr>
      <w:tr w:rsidR="00550172" w:rsidRPr="00BA6603" w:rsidTr="004F5669">
        <w:tblPrEx>
          <w:tblCellMar>
            <w:top w:w="0" w:type="dxa"/>
            <w:bottom w:w="0" w:type="dxa"/>
          </w:tblCellMar>
        </w:tblPrEx>
        <w:tc>
          <w:tcPr>
            <w:tcW w:w="3369" w:type="dxa"/>
            <w:tcBorders>
              <w:bottom w:val="nil"/>
            </w:tcBorders>
            <w:shd w:val="clear" w:color="auto" w:fill="auto"/>
          </w:tcPr>
          <w:p w:rsidR="00550172" w:rsidRPr="00BA6603" w:rsidRDefault="00550172" w:rsidP="0022622E">
            <w:pPr>
              <w:pStyle w:val="Table"/>
              <w:rPr>
                <w:noProof/>
              </w:rPr>
            </w:pPr>
          </w:p>
        </w:tc>
        <w:tc>
          <w:tcPr>
            <w:tcW w:w="1559" w:type="dxa"/>
            <w:shd w:val="clear" w:color="auto" w:fill="auto"/>
          </w:tcPr>
          <w:p w:rsidR="00550172" w:rsidRPr="00BA6603" w:rsidRDefault="00550172" w:rsidP="0022622E">
            <w:pPr>
              <w:pStyle w:val="Table"/>
              <w:rPr>
                <w:noProof/>
              </w:rPr>
            </w:pPr>
            <w:r w:rsidRPr="00BA6603">
              <w:rPr>
                <w:noProof/>
              </w:rPr>
              <w:t>Part I</w:t>
            </w:r>
          </w:p>
        </w:tc>
        <w:tc>
          <w:tcPr>
            <w:tcW w:w="2835" w:type="dxa"/>
            <w:gridSpan w:val="2"/>
            <w:shd w:val="clear" w:color="auto" w:fill="auto"/>
          </w:tcPr>
          <w:p w:rsidR="00550172" w:rsidRPr="00BA6603" w:rsidRDefault="00550172" w:rsidP="0022622E">
            <w:pPr>
              <w:pStyle w:val="Table"/>
              <w:rPr>
                <w:noProof/>
              </w:rPr>
            </w:pPr>
            <w:r w:rsidRPr="00BA6603">
              <w:rPr>
                <w:noProof/>
              </w:rPr>
              <w:t>Part II</w:t>
            </w:r>
          </w:p>
        </w:tc>
        <w:tc>
          <w:tcPr>
            <w:tcW w:w="1548" w:type="dxa"/>
          </w:tcPr>
          <w:p w:rsidR="00550172" w:rsidRPr="00BA6603" w:rsidRDefault="00550172" w:rsidP="0022622E">
            <w:pPr>
              <w:pStyle w:val="Table"/>
              <w:rPr>
                <w:noProof/>
              </w:rPr>
            </w:pPr>
            <w:r w:rsidRPr="00BA6603">
              <w:rPr>
                <w:noProof/>
              </w:rPr>
              <w:t>Part III</w:t>
            </w:r>
          </w:p>
        </w:tc>
      </w:tr>
      <w:tr w:rsidR="00550172" w:rsidRPr="00BA6603" w:rsidTr="004F5669">
        <w:tblPrEx>
          <w:tblCellMar>
            <w:top w:w="0" w:type="dxa"/>
            <w:bottom w:w="0" w:type="dxa"/>
          </w:tblCellMar>
        </w:tblPrEx>
        <w:tc>
          <w:tcPr>
            <w:tcW w:w="3369" w:type="dxa"/>
            <w:tcBorders>
              <w:top w:val="nil"/>
            </w:tcBorders>
            <w:shd w:val="clear" w:color="auto" w:fill="auto"/>
          </w:tcPr>
          <w:p w:rsidR="00550172" w:rsidRPr="00BA6603" w:rsidRDefault="00550172" w:rsidP="0022622E">
            <w:pPr>
              <w:pStyle w:val="Table"/>
              <w:rPr>
                <w:noProof/>
              </w:rPr>
            </w:pPr>
          </w:p>
        </w:tc>
        <w:tc>
          <w:tcPr>
            <w:tcW w:w="1559" w:type="dxa"/>
            <w:shd w:val="clear" w:color="auto" w:fill="auto"/>
          </w:tcPr>
          <w:p w:rsidR="00550172" w:rsidRPr="00BA6603" w:rsidRDefault="00550172" w:rsidP="0022622E">
            <w:pPr>
              <w:pStyle w:val="Table"/>
              <w:rPr>
                <w:noProof/>
              </w:rPr>
            </w:pPr>
            <w:r w:rsidRPr="00BA6603">
              <w:rPr>
                <w:noProof/>
              </w:rPr>
              <w:t>Canakinumab</w:t>
            </w:r>
          </w:p>
          <w:p w:rsidR="00550172" w:rsidRPr="00BA6603" w:rsidRDefault="004317EE" w:rsidP="0022622E">
            <w:pPr>
              <w:pStyle w:val="Table"/>
              <w:rPr>
                <w:noProof/>
              </w:rPr>
            </w:pPr>
            <w:r w:rsidRPr="00BA6603">
              <w:rPr>
                <w:noProof/>
              </w:rPr>
              <w:t>N</w:t>
            </w:r>
            <w:r w:rsidR="00550172" w:rsidRPr="00BA6603">
              <w:rPr>
                <w:noProof/>
              </w:rPr>
              <w:t>=35</w:t>
            </w:r>
            <w:r w:rsidRPr="00BA6603">
              <w:rPr>
                <w:noProof/>
              </w:rPr>
              <w:t xml:space="preserve"> (n%)</w:t>
            </w:r>
          </w:p>
        </w:tc>
        <w:tc>
          <w:tcPr>
            <w:tcW w:w="1559" w:type="dxa"/>
            <w:shd w:val="clear" w:color="auto" w:fill="auto"/>
          </w:tcPr>
          <w:p w:rsidR="00550172" w:rsidRPr="00BA6603" w:rsidRDefault="00550172" w:rsidP="0022622E">
            <w:pPr>
              <w:pStyle w:val="Table"/>
              <w:rPr>
                <w:noProof/>
              </w:rPr>
            </w:pPr>
            <w:r w:rsidRPr="00BA6603">
              <w:rPr>
                <w:noProof/>
              </w:rPr>
              <w:t>Canakinumab</w:t>
            </w:r>
          </w:p>
          <w:p w:rsidR="00550172" w:rsidRPr="00BA6603" w:rsidRDefault="004317EE" w:rsidP="0022622E">
            <w:pPr>
              <w:pStyle w:val="Table"/>
              <w:rPr>
                <w:noProof/>
              </w:rPr>
            </w:pPr>
            <w:r w:rsidRPr="00BA6603">
              <w:rPr>
                <w:noProof/>
              </w:rPr>
              <w:t>N</w:t>
            </w:r>
            <w:r w:rsidR="00550172" w:rsidRPr="00BA6603">
              <w:rPr>
                <w:noProof/>
              </w:rPr>
              <w:t>=15</w:t>
            </w:r>
            <w:r w:rsidRPr="00BA6603">
              <w:rPr>
                <w:noProof/>
              </w:rPr>
              <w:t xml:space="preserve"> (n%)</w:t>
            </w:r>
          </w:p>
        </w:tc>
        <w:tc>
          <w:tcPr>
            <w:tcW w:w="1276" w:type="dxa"/>
            <w:shd w:val="clear" w:color="auto" w:fill="auto"/>
          </w:tcPr>
          <w:p w:rsidR="00550172" w:rsidRPr="00BA6603" w:rsidRDefault="00550172" w:rsidP="0022622E">
            <w:pPr>
              <w:pStyle w:val="Table"/>
              <w:rPr>
                <w:noProof/>
              </w:rPr>
            </w:pPr>
            <w:r w:rsidRPr="00BA6603">
              <w:rPr>
                <w:noProof/>
              </w:rPr>
              <w:t>Placebo</w:t>
            </w:r>
          </w:p>
          <w:p w:rsidR="00550172" w:rsidRPr="00BA6603" w:rsidRDefault="004317EE" w:rsidP="0022622E">
            <w:pPr>
              <w:pStyle w:val="Table"/>
              <w:rPr>
                <w:noProof/>
              </w:rPr>
            </w:pPr>
            <w:r w:rsidRPr="00BA6603">
              <w:rPr>
                <w:noProof/>
              </w:rPr>
              <w:t>N</w:t>
            </w:r>
            <w:r w:rsidR="00550172" w:rsidRPr="00BA6603">
              <w:rPr>
                <w:noProof/>
              </w:rPr>
              <w:t>=16</w:t>
            </w:r>
            <w:r w:rsidRPr="00BA6603">
              <w:rPr>
                <w:noProof/>
              </w:rPr>
              <w:t xml:space="preserve"> (n%)</w:t>
            </w:r>
          </w:p>
        </w:tc>
        <w:tc>
          <w:tcPr>
            <w:tcW w:w="1548" w:type="dxa"/>
          </w:tcPr>
          <w:p w:rsidR="00550172" w:rsidRPr="00BA6603" w:rsidRDefault="00550172" w:rsidP="0022622E">
            <w:pPr>
              <w:pStyle w:val="Table"/>
              <w:rPr>
                <w:noProof/>
              </w:rPr>
            </w:pPr>
            <w:r w:rsidRPr="00BA6603">
              <w:rPr>
                <w:noProof/>
              </w:rPr>
              <w:t>Canakinumab</w:t>
            </w:r>
          </w:p>
          <w:p w:rsidR="00550172" w:rsidRPr="00BA6603" w:rsidRDefault="004317EE" w:rsidP="0022622E">
            <w:pPr>
              <w:pStyle w:val="Table"/>
              <w:rPr>
                <w:noProof/>
              </w:rPr>
            </w:pPr>
            <w:r w:rsidRPr="00BA6603">
              <w:rPr>
                <w:noProof/>
              </w:rPr>
              <w:t>N</w:t>
            </w:r>
            <w:r w:rsidR="00550172" w:rsidRPr="00BA6603">
              <w:rPr>
                <w:noProof/>
              </w:rPr>
              <w:t>=31</w:t>
            </w:r>
            <w:r w:rsidRPr="00BA6603">
              <w:rPr>
                <w:noProof/>
              </w:rPr>
              <w:t xml:space="preserve"> (n%)</w:t>
            </w:r>
          </w:p>
        </w:tc>
      </w:tr>
      <w:tr w:rsidR="009B2E8A" w:rsidRPr="00BA6603" w:rsidTr="00550172">
        <w:tblPrEx>
          <w:tblCellMar>
            <w:top w:w="0" w:type="dxa"/>
            <w:bottom w:w="0" w:type="dxa"/>
          </w:tblCellMar>
        </w:tblPrEx>
        <w:tc>
          <w:tcPr>
            <w:tcW w:w="3369" w:type="dxa"/>
            <w:shd w:val="clear" w:color="auto" w:fill="auto"/>
          </w:tcPr>
          <w:p w:rsidR="009B2E8A" w:rsidRPr="00BA6603" w:rsidRDefault="009B2E8A" w:rsidP="0022622E">
            <w:pPr>
              <w:pStyle w:val="Table"/>
              <w:rPr>
                <w:noProof/>
              </w:rPr>
            </w:pPr>
            <w:r w:rsidRPr="00BA6603">
              <w:rPr>
                <w:noProof/>
              </w:rPr>
              <w:t>Infections and infestations</w:t>
            </w:r>
          </w:p>
        </w:tc>
        <w:tc>
          <w:tcPr>
            <w:tcW w:w="1559" w:type="dxa"/>
            <w:shd w:val="clear" w:color="auto" w:fill="auto"/>
          </w:tcPr>
          <w:p w:rsidR="009B2E8A" w:rsidRPr="00BA6603" w:rsidRDefault="009B2E8A" w:rsidP="0022622E">
            <w:pPr>
              <w:pStyle w:val="Table"/>
              <w:rPr>
                <w:noProof/>
              </w:rPr>
            </w:pPr>
          </w:p>
        </w:tc>
        <w:tc>
          <w:tcPr>
            <w:tcW w:w="1559" w:type="dxa"/>
            <w:shd w:val="clear" w:color="auto" w:fill="auto"/>
          </w:tcPr>
          <w:p w:rsidR="009B2E8A" w:rsidRPr="00BA6603" w:rsidRDefault="009B2E8A" w:rsidP="0022622E">
            <w:pPr>
              <w:pStyle w:val="Table"/>
              <w:rPr>
                <w:noProof/>
              </w:rPr>
            </w:pPr>
          </w:p>
        </w:tc>
        <w:tc>
          <w:tcPr>
            <w:tcW w:w="1276" w:type="dxa"/>
            <w:shd w:val="clear" w:color="auto" w:fill="auto"/>
          </w:tcPr>
          <w:p w:rsidR="009B2E8A" w:rsidRPr="00BA6603" w:rsidRDefault="009B2E8A" w:rsidP="0022622E">
            <w:pPr>
              <w:pStyle w:val="Table"/>
              <w:rPr>
                <w:noProof/>
              </w:rPr>
            </w:pPr>
          </w:p>
        </w:tc>
        <w:tc>
          <w:tcPr>
            <w:tcW w:w="1548" w:type="dxa"/>
          </w:tcPr>
          <w:p w:rsidR="009B2E8A" w:rsidRPr="00BA6603" w:rsidRDefault="009B2E8A" w:rsidP="0022622E">
            <w:pPr>
              <w:pStyle w:val="Table"/>
              <w:rPr>
                <w:noProof/>
              </w:rPr>
            </w:pPr>
          </w:p>
        </w:tc>
      </w:tr>
      <w:tr w:rsidR="00550172" w:rsidRPr="00BA6603" w:rsidTr="00550172">
        <w:tblPrEx>
          <w:tblCellMar>
            <w:top w:w="0" w:type="dxa"/>
            <w:bottom w:w="0" w:type="dxa"/>
          </w:tblCellMar>
        </w:tblPrEx>
        <w:tc>
          <w:tcPr>
            <w:tcW w:w="3369" w:type="dxa"/>
            <w:shd w:val="clear" w:color="auto" w:fill="auto"/>
          </w:tcPr>
          <w:p w:rsidR="00550172" w:rsidRPr="00BA6603" w:rsidRDefault="00550172" w:rsidP="0022622E">
            <w:pPr>
              <w:pStyle w:val="Table"/>
              <w:rPr>
                <w:noProof/>
              </w:rPr>
            </w:pPr>
            <w:r w:rsidRPr="00BA6603">
              <w:rPr>
                <w:noProof/>
              </w:rPr>
              <w:t xml:space="preserve">   Nasopharyngitis</w:t>
            </w:r>
          </w:p>
        </w:tc>
        <w:tc>
          <w:tcPr>
            <w:tcW w:w="1559" w:type="dxa"/>
            <w:shd w:val="clear" w:color="auto" w:fill="auto"/>
          </w:tcPr>
          <w:p w:rsidR="00550172" w:rsidRPr="00BA6603" w:rsidRDefault="00550172" w:rsidP="0022622E">
            <w:pPr>
              <w:pStyle w:val="Table"/>
              <w:rPr>
                <w:noProof/>
              </w:rPr>
            </w:pPr>
            <w:r w:rsidRPr="00BA6603">
              <w:rPr>
                <w:noProof/>
              </w:rPr>
              <w:t>4 (11.4%)</w:t>
            </w:r>
          </w:p>
        </w:tc>
        <w:tc>
          <w:tcPr>
            <w:tcW w:w="1559" w:type="dxa"/>
            <w:shd w:val="clear" w:color="auto" w:fill="auto"/>
          </w:tcPr>
          <w:p w:rsidR="00550172" w:rsidRPr="00BA6603" w:rsidRDefault="00550172" w:rsidP="0022622E">
            <w:pPr>
              <w:pStyle w:val="Table"/>
              <w:rPr>
                <w:noProof/>
              </w:rPr>
            </w:pPr>
            <w:r w:rsidRPr="00BA6603">
              <w:rPr>
                <w:noProof/>
              </w:rPr>
              <w:t>5 (33.3%)</w:t>
            </w:r>
          </w:p>
        </w:tc>
        <w:tc>
          <w:tcPr>
            <w:tcW w:w="1276" w:type="dxa"/>
            <w:shd w:val="clear" w:color="auto" w:fill="auto"/>
          </w:tcPr>
          <w:p w:rsidR="00550172" w:rsidRPr="00BA6603" w:rsidRDefault="00550172" w:rsidP="0022622E">
            <w:pPr>
              <w:pStyle w:val="Table"/>
              <w:rPr>
                <w:noProof/>
              </w:rPr>
            </w:pPr>
            <w:r w:rsidRPr="00BA6603">
              <w:rPr>
                <w:noProof/>
              </w:rPr>
              <w:t>3 (18.8%)</w:t>
            </w:r>
          </w:p>
        </w:tc>
        <w:tc>
          <w:tcPr>
            <w:tcW w:w="1548" w:type="dxa"/>
          </w:tcPr>
          <w:p w:rsidR="00550172" w:rsidRPr="00BA6603" w:rsidRDefault="00550172" w:rsidP="0022622E">
            <w:pPr>
              <w:pStyle w:val="Table"/>
              <w:rPr>
                <w:noProof/>
              </w:rPr>
            </w:pPr>
            <w:r w:rsidRPr="00BA6603">
              <w:rPr>
                <w:noProof/>
              </w:rPr>
              <w:t>4 (12.9%)</w:t>
            </w:r>
          </w:p>
        </w:tc>
      </w:tr>
      <w:tr w:rsidR="00550172" w:rsidRPr="00BA6603" w:rsidTr="00550172">
        <w:tblPrEx>
          <w:tblCellMar>
            <w:top w:w="0" w:type="dxa"/>
            <w:bottom w:w="0" w:type="dxa"/>
          </w:tblCellMar>
        </w:tblPrEx>
        <w:tc>
          <w:tcPr>
            <w:tcW w:w="3369" w:type="dxa"/>
            <w:shd w:val="clear" w:color="auto" w:fill="auto"/>
          </w:tcPr>
          <w:p w:rsidR="00550172" w:rsidRPr="00BA6603" w:rsidRDefault="00550172" w:rsidP="0022622E">
            <w:pPr>
              <w:pStyle w:val="Table"/>
              <w:rPr>
                <w:noProof/>
              </w:rPr>
            </w:pPr>
            <w:r w:rsidRPr="00BA6603">
              <w:rPr>
                <w:noProof/>
              </w:rPr>
              <w:t xml:space="preserve">   Urinary tract infection</w:t>
            </w:r>
          </w:p>
        </w:tc>
        <w:tc>
          <w:tcPr>
            <w:tcW w:w="1559" w:type="dxa"/>
            <w:shd w:val="clear" w:color="auto" w:fill="auto"/>
          </w:tcPr>
          <w:p w:rsidR="00550172" w:rsidRPr="00BA6603" w:rsidRDefault="00550172" w:rsidP="0022622E">
            <w:pPr>
              <w:pStyle w:val="Table"/>
              <w:rPr>
                <w:noProof/>
              </w:rPr>
            </w:pPr>
            <w:r w:rsidRPr="00BA6603">
              <w:rPr>
                <w:noProof/>
              </w:rPr>
              <w:t>0</w:t>
            </w:r>
          </w:p>
        </w:tc>
        <w:tc>
          <w:tcPr>
            <w:tcW w:w="1559" w:type="dxa"/>
            <w:shd w:val="clear" w:color="auto" w:fill="auto"/>
          </w:tcPr>
          <w:p w:rsidR="00550172" w:rsidRPr="00BA6603" w:rsidRDefault="00550172" w:rsidP="0022622E">
            <w:pPr>
              <w:pStyle w:val="Table"/>
              <w:rPr>
                <w:noProof/>
              </w:rPr>
            </w:pPr>
            <w:r w:rsidRPr="00BA6603">
              <w:rPr>
                <w:noProof/>
              </w:rPr>
              <w:t>2 (13.3%)</w:t>
            </w:r>
          </w:p>
        </w:tc>
        <w:tc>
          <w:tcPr>
            <w:tcW w:w="1276" w:type="dxa"/>
            <w:shd w:val="clear" w:color="auto" w:fill="auto"/>
          </w:tcPr>
          <w:p w:rsidR="00550172" w:rsidRPr="00BA6603" w:rsidRDefault="00550172" w:rsidP="0022622E">
            <w:pPr>
              <w:pStyle w:val="Table"/>
              <w:rPr>
                <w:noProof/>
              </w:rPr>
            </w:pPr>
            <w:r w:rsidRPr="00BA6603">
              <w:rPr>
                <w:noProof/>
              </w:rPr>
              <w:t>0</w:t>
            </w:r>
          </w:p>
        </w:tc>
        <w:tc>
          <w:tcPr>
            <w:tcW w:w="1548" w:type="dxa"/>
          </w:tcPr>
          <w:p w:rsidR="00550172" w:rsidRPr="00BA6603" w:rsidRDefault="00550172" w:rsidP="0022622E">
            <w:pPr>
              <w:pStyle w:val="Table"/>
              <w:rPr>
                <w:noProof/>
              </w:rPr>
            </w:pPr>
            <w:r w:rsidRPr="00BA6603">
              <w:rPr>
                <w:noProof/>
              </w:rPr>
              <w:t>1 (3.2%)</w:t>
            </w:r>
          </w:p>
        </w:tc>
      </w:tr>
      <w:tr w:rsidR="00550172" w:rsidRPr="00BA6603" w:rsidTr="00550172">
        <w:tblPrEx>
          <w:tblCellMar>
            <w:top w:w="0" w:type="dxa"/>
            <w:bottom w:w="0" w:type="dxa"/>
          </w:tblCellMar>
        </w:tblPrEx>
        <w:tc>
          <w:tcPr>
            <w:tcW w:w="3369" w:type="dxa"/>
            <w:shd w:val="clear" w:color="auto" w:fill="auto"/>
          </w:tcPr>
          <w:p w:rsidR="00550172" w:rsidRPr="00BA6603" w:rsidRDefault="00550172" w:rsidP="0022622E">
            <w:pPr>
              <w:pStyle w:val="Table"/>
              <w:rPr>
                <w:noProof/>
              </w:rPr>
            </w:pPr>
            <w:r w:rsidRPr="00BA6603">
              <w:rPr>
                <w:noProof/>
              </w:rPr>
              <w:t xml:space="preserve">   Upper respiratory tract infection</w:t>
            </w:r>
          </w:p>
        </w:tc>
        <w:tc>
          <w:tcPr>
            <w:tcW w:w="1559" w:type="dxa"/>
            <w:shd w:val="clear" w:color="auto" w:fill="auto"/>
          </w:tcPr>
          <w:p w:rsidR="00550172" w:rsidRPr="00BA6603" w:rsidRDefault="00550172" w:rsidP="0022622E">
            <w:pPr>
              <w:pStyle w:val="Table"/>
              <w:rPr>
                <w:noProof/>
              </w:rPr>
            </w:pPr>
            <w:r w:rsidRPr="00BA6603">
              <w:rPr>
                <w:noProof/>
              </w:rPr>
              <w:t>1 (2.9%)</w:t>
            </w:r>
          </w:p>
        </w:tc>
        <w:tc>
          <w:tcPr>
            <w:tcW w:w="1559" w:type="dxa"/>
            <w:shd w:val="clear" w:color="auto" w:fill="auto"/>
          </w:tcPr>
          <w:p w:rsidR="00550172" w:rsidRPr="00BA6603" w:rsidRDefault="00550172" w:rsidP="0022622E">
            <w:pPr>
              <w:pStyle w:val="Table"/>
              <w:rPr>
                <w:noProof/>
              </w:rPr>
            </w:pPr>
            <w:r w:rsidRPr="00BA6603">
              <w:rPr>
                <w:noProof/>
              </w:rPr>
              <w:t>1 ( 6.7%)</w:t>
            </w:r>
          </w:p>
        </w:tc>
        <w:tc>
          <w:tcPr>
            <w:tcW w:w="1276" w:type="dxa"/>
            <w:shd w:val="clear" w:color="auto" w:fill="auto"/>
          </w:tcPr>
          <w:p w:rsidR="00550172" w:rsidRPr="00BA6603" w:rsidRDefault="00550172" w:rsidP="0022622E">
            <w:pPr>
              <w:pStyle w:val="Table"/>
              <w:rPr>
                <w:noProof/>
              </w:rPr>
            </w:pPr>
            <w:r w:rsidRPr="00BA6603">
              <w:rPr>
                <w:noProof/>
              </w:rPr>
              <w:t>1 (6.3%)</w:t>
            </w:r>
          </w:p>
        </w:tc>
        <w:tc>
          <w:tcPr>
            <w:tcW w:w="1548" w:type="dxa"/>
          </w:tcPr>
          <w:p w:rsidR="00550172" w:rsidRPr="00BA6603" w:rsidRDefault="00550172" w:rsidP="0022622E">
            <w:pPr>
              <w:pStyle w:val="Table"/>
              <w:rPr>
                <w:noProof/>
              </w:rPr>
            </w:pPr>
            <w:r w:rsidRPr="00BA6603">
              <w:rPr>
                <w:noProof/>
              </w:rPr>
              <w:t>1 (3.2%)</w:t>
            </w:r>
          </w:p>
        </w:tc>
      </w:tr>
      <w:tr w:rsidR="00550172" w:rsidRPr="00BA6603" w:rsidTr="00550172">
        <w:tblPrEx>
          <w:tblCellMar>
            <w:top w:w="0" w:type="dxa"/>
            <w:bottom w:w="0" w:type="dxa"/>
          </w:tblCellMar>
        </w:tblPrEx>
        <w:tc>
          <w:tcPr>
            <w:tcW w:w="3369" w:type="dxa"/>
            <w:shd w:val="clear" w:color="auto" w:fill="auto"/>
          </w:tcPr>
          <w:p w:rsidR="00550172" w:rsidRPr="00BA6603" w:rsidRDefault="00550172" w:rsidP="0022622E">
            <w:pPr>
              <w:pStyle w:val="Table"/>
              <w:rPr>
                <w:noProof/>
              </w:rPr>
            </w:pPr>
            <w:r w:rsidRPr="00BA6603">
              <w:rPr>
                <w:noProof/>
              </w:rPr>
              <w:t xml:space="preserve">   Viral infection</w:t>
            </w:r>
          </w:p>
        </w:tc>
        <w:tc>
          <w:tcPr>
            <w:tcW w:w="1559" w:type="dxa"/>
            <w:shd w:val="clear" w:color="auto" w:fill="auto"/>
          </w:tcPr>
          <w:p w:rsidR="00550172" w:rsidRPr="00BA6603" w:rsidRDefault="00550172" w:rsidP="0022622E">
            <w:pPr>
              <w:pStyle w:val="Table"/>
              <w:rPr>
                <w:noProof/>
              </w:rPr>
            </w:pPr>
            <w:r w:rsidRPr="00BA6603">
              <w:rPr>
                <w:noProof/>
              </w:rPr>
              <w:t>3 (8.6%)</w:t>
            </w:r>
          </w:p>
        </w:tc>
        <w:tc>
          <w:tcPr>
            <w:tcW w:w="1559" w:type="dxa"/>
            <w:shd w:val="clear" w:color="auto" w:fill="auto"/>
          </w:tcPr>
          <w:p w:rsidR="00550172" w:rsidRPr="00BA6603" w:rsidRDefault="00550172" w:rsidP="0022622E">
            <w:pPr>
              <w:pStyle w:val="Table"/>
              <w:rPr>
                <w:noProof/>
              </w:rPr>
            </w:pPr>
            <w:r w:rsidRPr="00BA6603">
              <w:rPr>
                <w:noProof/>
              </w:rPr>
              <w:t>2 (13.3%)</w:t>
            </w:r>
          </w:p>
        </w:tc>
        <w:tc>
          <w:tcPr>
            <w:tcW w:w="1276" w:type="dxa"/>
            <w:shd w:val="clear" w:color="auto" w:fill="auto"/>
          </w:tcPr>
          <w:p w:rsidR="00550172" w:rsidRPr="00BA6603" w:rsidRDefault="00550172" w:rsidP="0022622E">
            <w:pPr>
              <w:pStyle w:val="Table"/>
              <w:rPr>
                <w:noProof/>
              </w:rPr>
            </w:pPr>
            <w:r w:rsidRPr="00BA6603">
              <w:rPr>
                <w:noProof/>
              </w:rPr>
              <w:t>3 (18.7%)</w:t>
            </w:r>
          </w:p>
        </w:tc>
        <w:tc>
          <w:tcPr>
            <w:tcW w:w="1548" w:type="dxa"/>
          </w:tcPr>
          <w:p w:rsidR="00550172" w:rsidRPr="00BA6603" w:rsidRDefault="00550172" w:rsidP="0022622E">
            <w:pPr>
              <w:pStyle w:val="Table"/>
              <w:rPr>
                <w:noProof/>
              </w:rPr>
            </w:pPr>
            <w:r w:rsidRPr="00BA6603">
              <w:rPr>
                <w:noProof/>
              </w:rPr>
              <w:t>1 (3.2%)</w:t>
            </w:r>
          </w:p>
        </w:tc>
      </w:tr>
      <w:tr w:rsidR="00550172" w:rsidRPr="00BA6603" w:rsidTr="00550172">
        <w:tblPrEx>
          <w:tblCellMar>
            <w:top w:w="0" w:type="dxa"/>
            <w:bottom w:w="0" w:type="dxa"/>
          </w:tblCellMar>
        </w:tblPrEx>
        <w:tc>
          <w:tcPr>
            <w:tcW w:w="7763" w:type="dxa"/>
            <w:gridSpan w:val="4"/>
            <w:shd w:val="clear" w:color="auto" w:fill="auto"/>
          </w:tcPr>
          <w:p w:rsidR="00550172" w:rsidRPr="00BA6603" w:rsidRDefault="00550172" w:rsidP="0022622E">
            <w:pPr>
              <w:pStyle w:val="Table"/>
              <w:rPr>
                <w:noProof/>
              </w:rPr>
            </w:pPr>
            <w:r w:rsidRPr="00BA6603">
              <w:rPr>
                <w:noProof/>
              </w:rPr>
              <w:t>Skin and subcutaneous tissue disorders</w:t>
            </w:r>
          </w:p>
        </w:tc>
        <w:tc>
          <w:tcPr>
            <w:tcW w:w="1548" w:type="dxa"/>
          </w:tcPr>
          <w:p w:rsidR="00550172" w:rsidRPr="00BA6603" w:rsidRDefault="00550172" w:rsidP="0022622E">
            <w:pPr>
              <w:pStyle w:val="Table"/>
              <w:rPr>
                <w:noProof/>
              </w:rPr>
            </w:pPr>
          </w:p>
        </w:tc>
      </w:tr>
      <w:tr w:rsidR="00550172" w:rsidRPr="00BA6603" w:rsidTr="00550172">
        <w:tblPrEx>
          <w:tblCellMar>
            <w:top w:w="0" w:type="dxa"/>
            <w:bottom w:w="0" w:type="dxa"/>
          </w:tblCellMar>
        </w:tblPrEx>
        <w:tc>
          <w:tcPr>
            <w:tcW w:w="3369" w:type="dxa"/>
            <w:shd w:val="clear" w:color="auto" w:fill="auto"/>
          </w:tcPr>
          <w:p w:rsidR="00550172" w:rsidRPr="00BA6603" w:rsidRDefault="00550172" w:rsidP="0022622E">
            <w:pPr>
              <w:pStyle w:val="Table"/>
              <w:rPr>
                <w:noProof/>
              </w:rPr>
            </w:pPr>
            <w:r w:rsidRPr="00BA6603">
              <w:rPr>
                <w:noProof/>
              </w:rPr>
              <w:t xml:space="preserve">   Injection site reaction</w:t>
            </w:r>
          </w:p>
        </w:tc>
        <w:tc>
          <w:tcPr>
            <w:tcW w:w="1559" w:type="dxa"/>
            <w:shd w:val="clear" w:color="auto" w:fill="auto"/>
          </w:tcPr>
          <w:p w:rsidR="00550172" w:rsidRPr="00BA6603" w:rsidRDefault="00550172" w:rsidP="0022622E">
            <w:pPr>
              <w:pStyle w:val="Table"/>
              <w:rPr>
                <w:noProof/>
              </w:rPr>
            </w:pPr>
            <w:r w:rsidRPr="00BA6603">
              <w:rPr>
                <w:noProof/>
              </w:rPr>
              <w:t>3 (8.6%)</w:t>
            </w:r>
          </w:p>
        </w:tc>
        <w:tc>
          <w:tcPr>
            <w:tcW w:w="1559" w:type="dxa"/>
            <w:shd w:val="clear" w:color="auto" w:fill="auto"/>
          </w:tcPr>
          <w:p w:rsidR="00550172" w:rsidRPr="00BA6603" w:rsidRDefault="00550172" w:rsidP="0022622E">
            <w:pPr>
              <w:pStyle w:val="Table"/>
              <w:rPr>
                <w:noProof/>
              </w:rPr>
            </w:pPr>
            <w:r w:rsidRPr="00BA6603">
              <w:rPr>
                <w:noProof/>
              </w:rPr>
              <w:t>2 (13.4%)</w:t>
            </w:r>
          </w:p>
        </w:tc>
        <w:tc>
          <w:tcPr>
            <w:tcW w:w="1276" w:type="dxa"/>
            <w:shd w:val="clear" w:color="auto" w:fill="auto"/>
          </w:tcPr>
          <w:p w:rsidR="00550172" w:rsidRPr="00BA6603" w:rsidRDefault="00550172" w:rsidP="0022622E">
            <w:pPr>
              <w:pStyle w:val="Table"/>
              <w:rPr>
                <w:noProof/>
              </w:rPr>
            </w:pPr>
            <w:r w:rsidRPr="00BA6603">
              <w:rPr>
                <w:noProof/>
              </w:rPr>
              <w:t>1 (6.3%)</w:t>
            </w:r>
          </w:p>
        </w:tc>
        <w:tc>
          <w:tcPr>
            <w:tcW w:w="1548" w:type="dxa"/>
          </w:tcPr>
          <w:p w:rsidR="00550172" w:rsidRPr="00BA6603" w:rsidRDefault="00550172" w:rsidP="0022622E">
            <w:pPr>
              <w:pStyle w:val="Table"/>
              <w:rPr>
                <w:noProof/>
              </w:rPr>
            </w:pPr>
            <w:r w:rsidRPr="00BA6603">
              <w:rPr>
                <w:noProof/>
              </w:rPr>
              <w:t>1 (3.2%)</w:t>
            </w:r>
          </w:p>
        </w:tc>
      </w:tr>
      <w:tr w:rsidR="003C79E7" w:rsidRPr="00BA6603" w:rsidTr="00DF2BCD">
        <w:tblPrEx>
          <w:tblCellMar>
            <w:top w:w="0" w:type="dxa"/>
            <w:bottom w:w="0" w:type="dxa"/>
          </w:tblCellMar>
        </w:tblPrEx>
        <w:tc>
          <w:tcPr>
            <w:tcW w:w="7763" w:type="dxa"/>
            <w:gridSpan w:val="4"/>
            <w:shd w:val="clear" w:color="auto" w:fill="auto"/>
          </w:tcPr>
          <w:p w:rsidR="003C79E7" w:rsidRPr="00BA6603" w:rsidRDefault="003C79E7" w:rsidP="0022622E">
            <w:pPr>
              <w:pStyle w:val="Table"/>
              <w:rPr>
                <w:noProof/>
              </w:rPr>
            </w:pPr>
            <w:r w:rsidRPr="00BA6603">
              <w:rPr>
                <w:noProof/>
              </w:rPr>
              <w:t>Nervous system disorders</w:t>
            </w:r>
          </w:p>
        </w:tc>
        <w:tc>
          <w:tcPr>
            <w:tcW w:w="1548" w:type="dxa"/>
          </w:tcPr>
          <w:p w:rsidR="003C79E7" w:rsidRPr="00BA6603" w:rsidRDefault="003C79E7" w:rsidP="0022622E">
            <w:pPr>
              <w:pStyle w:val="Table"/>
              <w:rPr>
                <w:noProof/>
              </w:rPr>
            </w:pPr>
          </w:p>
        </w:tc>
      </w:tr>
      <w:tr w:rsidR="003C79E7" w:rsidRPr="00BA6603" w:rsidTr="00DF2BCD">
        <w:tblPrEx>
          <w:tblCellMar>
            <w:top w:w="0" w:type="dxa"/>
            <w:bottom w:w="0" w:type="dxa"/>
          </w:tblCellMar>
        </w:tblPrEx>
        <w:tc>
          <w:tcPr>
            <w:tcW w:w="3369" w:type="dxa"/>
            <w:shd w:val="clear" w:color="auto" w:fill="auto"/>
          </w:tcPr>
          <w:p w:rsidR="003C79E7" w:rsidRPr="00BA6603" w:rsidRDefault="003C79E7" w:rsidP="0022622E">
            <w:pPr>
              <w:pStyle w:val="Table"/>
              <w:rPr>
                <w:noProof/>
              </w:rPr>
            </w:pPr>
            <w:r w:rsidRPr="00BA6603">
              <w:rPr>
                <w:noProof/>
              </w:rPr>
              <w:t xml:space="preserve">   Dizziness/vertigo</w:t>
            </w:r>
          </w:p>
        </w:tc>
        <w:tc>
          <w:tcPr>
            <w:tcW w:w="1559" w:type="dxa"/>
            <w:shd w:val="clear" w:color="auto" w:fill="auto"/>
          </w:tcPr>
          <w:p w:rsidR="003C79E7" w:rsidRPr="00BA6603" w:rsidRDefault="003C79E7" w:rsidP="0022622E">
            <w:pPr>
              <w:pStyle w:val="Table"/>
              <w:rPr>
                <w:noProof/>
              </w:rPr>
            </w:pPr>
            <w:r w:rsidRPr="00BA6603">
              <w:rPr>
                <w:noProof/>
              </w:rPr>
              <w:t>3 (8.6%)</w:t>
            </w:r>
          </w:p>
        </w:tc>
        <w:tc>
          <w:tcPr>
            <w:tcW w:w="1559" w:type="dxa"/>
            <w:shd w:val="clear" w:color="auto" w:fill="auto"/>
          </w:tcPr>
          <w:p w:rsidR="003C79E7" w:rsidRPr="00BA6603" w:rsidRDefault="003C79E7" w:rsidP="0022622E">
            <w:pPr>
              <w:pStyle w:val="Table"/>
              <w:rPr>
                <w:noProof/>
              </w:rPr>
            </w:pPr>
            <w:r w:rsidRPr="00BA6603">
              <w:rPr>
                <w:noProof/>
              </w:rPr>
              <w:t>0</w:t>
            </w:r>
          </w:p>
        </w:tc>
        <w:tc>
          <w:tcPr>
            <w:tcW w:w="1276" w:type="dxa"/>
            <w:shd w:val="clear" w:color="auto" w:fill="auto"/>
          </w:tcPr>
          <w:p w:rsidR="003C79E7" w:rsidRPr="00BA6603" w:rsidRDefault="003C79E7" w:rsidP="0022622E">
            <w:pPr>
              <w:pStyle w:val="Table"/>
              <w:rPr>
                <w:noProof/>
              </w:rPr>
            </w:pPr>
            <w:r w:rsidRPr="00BA6603">
              <w:rPr>
                <w:noProof/>
              </w:rPr>
              <w:t>0</w:t>
            </w:r>
          </w:p>
        </w:tc>
        <w:tc>
          <w:tcPr>
            <w:tcW w:w="1548" w:type="dxa"/>
          </w:tcPr>
          <w:p w:rsidR="003C79E7" w:rsidRPr="00BA6603" w:rsidRDefault="003C79E7" w:rsidP="0022622E">
            <w:pPr>
              <w:pStyle w:val="Table"/>
              <w:rPr>
                <w:noProof/>
              </w:rPr>
            </w:pPr>
            <w:r w:rsidRPr="00BA6603">
              <w:rPr>
                <w:noProof/>
              </w:rPr>
              <w:t>3 (9.7%)</w:t>
            </w:r>
          </w:p>
        </w:tc>
      </w:tr>
    </w:tbl>
    <w:p w:rsidR="00B322A9" w:rsidRPr="00BA6603" w:rsidRDefault="00B322A9" w:rsidP="0022622E"/>
    <w:p w:rsidR="007D144A" w:rsidRPr="00BA6603" w:rsidRDefault="003C79E7" w:rsidP="0022622E">
      <w:r w:rsidRPr="00BA6603">
        <w:t xml:space="preserve">In the long-term, open label studies with dose-escalation, events of infections (gastroenteritis, respiratory tract infection, and upper respiratory tract infection), vomiting and dizziness were more frequently reported in the 600 mg or 8 mg/kg dose group than in other dose groups. </w:t>
      </w:r>
    </w:p>
    <w:p w:rsidR="007D144A" w:rsidRPr="00BA6603" w:rsidRDefault="007D144A" w:rsidP="0022622E"/>
    <w:p w:rsidR="00E04ADD" w:rsidRPr="00BA6603" w:rsidRDefault="00E04ADD" w:rsidP="0022622E">
      <w:pPr>
        <w:pStyle w:val="Heading2"/>
      </w:pPr>
      <w:r w:rsidRPr="00BA6603">
        <w:t xml:space="preserve">Paediatric </w:t>
      </w:r>
      <w:r w:rsidR="00B322A9" w:rsidRPr="00BA6603">
        <w:t>P</w:t>
      </w:r>
      <w:r w:rsidRPr="00BA6603">
        <w:t>opulation</w:t>
      </w:r>
    </w:p>
    <w:p w:rsidR="00E04ADD" w:rsidRPr="00BA6603" w:rsidRDefault="00B80F31" w:rsidP="0022622E">
      <w:r w:rsidRPr="00BA6603">
        <w:t>There were 69</w:t>
      </w:r>
      <w:r w:rsidR="00550172" w:rsidRPr="00BA6603">
        <w:t xml:space="preserve"> </w:t>
      </w:r>
      <w:r w:rsidR="00E04ADD" w:rsidRPr="00BA6603">
        <w:t>paediatric</w:t>
      </w:r>
      <w:r w:rsidR="00F00B40" w:rsidRPr="00BA6603">
        <w:t xml:space="preserve"> </w:t>
      </w:r>
      <w:r w:rsidR="00E04ADD" w:rsidRPr="00BA6603">
        <w:t xml:space="preserve">patients </w:t>
      </w:r>
      <w:r w:rsidR="00550172" w:rsidRPr="00BA6603">
        <w:t>with an age range from</w:t>
      </w:r>
      <w:r w:rsidR="00F00B40" w:rsidRPr="00BA6603">
        <w:t xml:space="preserve"> </w:t>
      </w:r>
      <w:r w:rsidRPr="00BA6603">
        <w:t xml:space="preserve">2 </w:t>
      </w:r>
      <w:r w:rsidR="00550172" w:rsidRPr="00BA6603">
        <w:t>years to 17 years</w:t>
      </w:r>
      <w:r w:rsidRPr="00BA6603">
        <w:t xml:space="preserve"> in the CAPS studies.</w:t>
      </w:r>
      <w:r w:rsidR="00E04ADD" w:rsidRPr="00BA6603">
        <w:t xml:space="preserve"> </w:t>
      </w:r>
      <w:r w:rsidRPr="00BA6603">
        <w:t xml:space="preserve">Overall, there were no clinically meaningful differences for the safety and tolerability profile of Ilaris in paediatric patients compared to the overall CAPS population (comprised of adult and paediatric patients, N=194) including </w:t>
      </w:r>
      <w:r w:rsidR="00E04ADD" w:rsidRPr="00BA6603">
        <w:t xml:space="preserve">the overall frequency and severity of infectious episodes. </w:t>
      </w:r>
      <w:r w:rsidRPr="00BA6603">
        <w:t xml:space="preserve">However, the risk of infection in younger children (aged &lt;11 years) is higher than in older children and adolescents. </w:t>
      </w:r>
      <w:r w:rsidR="00E04ADD" w:rsidRPr="00BA6603">
        <w:t>Infection</w:t>
      </w:r>
      <w:r w:rsidRPr="00BA6603">
        <w:t>s</w:t>
      </w:r>
      <w:r w:rsidR="00E04ADD" w:rsidRPr="00BA6603">
        <w:t xml:space="preserve"> of the upper respiratory tract</w:t>
      </w:r>
      <w:r w:rsidR="00F00B40" w:rsidRPr="00BA6603">
        <w:t xml:space="preserve"> </w:t>
      </w:r>
      <w:r w:rsidRPr="00BA6603">
        <w:t>were</w:t>
      </w:r>
      <w:r w:rsidR="00812959" w:rsidRPr="00BA6603">
        <w:t xml:space="preserve"> </w:t>
      </w:r>
      <w:r w:rsidR="00E04ADD" w:rsidRPr="00BA6603">
        <w:t>the most frequently reported infection</w:t>
      </w:r>
      <w:r w:rsidRPr="00BA6603">
        <w:t xml:space="preserve"> events</w:t>
      </w:r>
      <w:r w:rsidR="00101442" w:rsidRPr="00BA6603">
        <w:t>.</w:t>
      </w:r>
    </w:p>
    <w:p w:rsidR="0066180B" w:rsidRPr="00BA6603" w:rsidRDefault="0066180B" w:rsidP="0022622E"/>
    <w:p w:rsidR="0062283A" w:rsidRPr="00BA6603" w:rsidRDefault="0062283A" w:rsidP="0022622E">
      <w:pPr>
        <w:pStyle w:val="Heading2"/>
      </w:pPr>
      <w:r w:rsidRPr="00BA6603">
        <w:lastRenderedPageBreak/>
        <w:t>sJIA</w:t>
      </w:r>
    </w:p>
    <w:p w:rsidR="0062283A" w:rsidRPr="00BA6603" w:rsidRDefault="0062283A" w:rsidP="0022622E">
      <w:r w:rsidRPr="00BA6603">
        <w:t xml:space="preserve">A total of 201 sJIA patients aged 2 to &lt;20 years have received Ilaris in clinical trials. The safety of Ilaris compared to placebo was investigated in two pivotal phase III studies (see ‘Clinical trials’). </w:t>
      </w:r>
    </w:p>
    <w:p w:rsidR="0062283A" w:rsidRPr="00BA6603" w:rsidRDefault="0062283A" w:rsidP="0022622E"/>
    <w:p w:rsidR="0062283A" w:rsidRPr="00BA6603" w:rsidRDefault="0062283A" w:rsidP="0022622E">
      <w:r w:rsidRPr="00BA6603">
        <w:t>Adverse reactions are listed according to MedDRA version 15.0 system organ class. Within each system organ class, the adverse drug reactions are ranked by frequency category with the most common first. Frequency categories are defined using the following convention: very common (≥1/10); common (≥1/100 to &lt;1/10); uncommon (≥1/1,000 to &lt;1/100); rare (≥1/10,000 to &lt;1/1,000); very rare (&lt;1/10,000); not known (cannot be estimated from the available data). Within each frequency grouping, adverse reactions are presented in order of decreasing seriousness.</w:t>
      </w:r>
    </w:p>
    <w:p w:rsidR="0062283A" w:rsidRPr="00BA6603" w:rsidRDefault="0062283A" w:rsidP="0022622E">
      <w:pPr>
        <w:pStyle w:val="Heading6"/>
      </w:pPr>
      <w:r w:rsidRPr="00BA6603">
        <w:t xml:space="preserve">Table </w:t>
      </w:r>
      <w:r w:rsidR="00C24BA0" w:rsidRPr="00BA6603">
        <w:t>5</w:t>
      </w:r>
      <w:r w:rsidRPr="00BA6603">
        <w:tab/>
        <w:t>Tabulated summary of adverse drug reactions from pivotal sJIA clinical trials</w:t>
      </w: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142"/>
        <w:gridCol w:w="1134"/>
        <w:gridCol w:w="992"/>
        <w:gridCol w:w="992"/>
        <w:gridCol w:w="1040"/>
        <w:gridCol w:w="94"/>
        <w:gridCol w:w="992"/>
        <w:gridCol w:w="1276"/>
      </w:tblGrid>
      <w:tr w:rsidR="0062283A" w:rsidRPr="00BA6603" w:rsidTr="004D66CD">
        <w:tc>
          <w:tcPr>
            <w:tcW w:w="2802" w:type="dxa"/>
            <w:gridSpan w:val="2"/>
            <w:shd w:val="clear" w:color="auto" w:fill="auto"/>
            <w:vAlign w:val="center"/>
          </w:tcPr>
          <w:p w:rsidR="0062283A" w:rsidRPr="00BA6603" w:rsidRDefault="0062283A" w:rsidP="0022622E">
            <w:pPr>
              <w:pStyle w:val="Table"/>
            </w:pPr>
          </w:p>
        </w:tc>
        <w:tc>
          <w:tcPr>
            <w:tcW w:w="3118" w:type="dxa"/>
            <w:gridSpan w:val="3"/>
            <w:tcBorders>
              <w:right w:val="single" w:sz="4" w:space="0" w:color="auto"/>
            </w:tcBorders>
            <w:shd w:val="clear" w:color="auto" w:fill="auto"/>
            <w:vAlign w:val="center"/>
          </w:tcPr>
          <w:p w:rsidR="0062283A" w:rsidRPr="00BA6603" w:rsidRDefault="0062283A" w:rsidP="0022622E">
            <w:pPr>
              <w:pStyle w:val="Table"/>
              <w:rPr>
                <w:lang w:val="de-CH"/>
              </w:rPr>
            </w:pPr>
            <w:r w:rsidRPr="00BA6603">
              <w:rPr>
                <w:lang w:val="de-CH"/>
              </w:rPr>
              <w:t>G2301</w:t>
            </w:r>
          </w:p>
        </w:tc>
        <w:tc>
          <w:tcPr>
            <w:tcW w:w="2126" w:type="dxa"/>
            <w:gridSpan w:val="3"/>
            <w:vMerge w:val="restart"/>
            <w:tcBorders>
              <w:top w:val="single" w:sz="4" w:space="0" w:color="auto"/>
              <w:left w:val="single" w:sz="4" w:space="0" w:color="auto"/>
              <w:bottom w:val="nil"/>
              <w:right w:val="single" w:sz="4" w:space="0" w:color="auto"/>
            </w:tcBorders>
          </w:tcPr>
          <w:p w:rsidR="0062283A" w:rsidRPr="00BA6603" w:rsidRDefault="0062283A" w:rsidP="0022622E">
            <w:pPr>
              <w:pStyle w:val="Table"/>
              <w:rPr>
                <w:lang w:val="de-CH"/>
              </w:rPr>
            </w:pPr>
            <w:r w:rsidRPr="00BA6603">
              <w:rPr>
                <w:lang w:val="de-CH"/>
              </w:rPr>
              <w:t>G2305</w:t>
            </w:r>
          </w:p>
        </w:tc>
        <w:tc>
          <w:tcPr>
            <w:tcW w:w="1276" w:type="dxa"/>
            <w:vMerge w:val="restart"/>
            <w:tcBorders>
              <w:top w:val="single" w:sz="4" w:space="0" w:color="auto"/>
              <w:left w:val="single" w:sz="4" w:space="0" w:color="auto"/>
            </w:tcBorders>
          </w:tcPr>
          <w:p w:rsidR="0062283A" w:rsidRPr="00BA6603" w:rsidRDefault="0062283A" w:rsidP="0022622E">
            <w:pPr>
              <w:pStyle w:val="Table"/>
              <w:rPr>
                <w:lang w:val="de-CH"/>
              </w:rPr>
            </w:pPr>
            <w:r w:rsidRPr="00BA6603">
              <w:rPr>
                <w:lang w:val="de-CH"/>
              </w:rPr>
              <w:t>Frequency category</w:t>
            </w:r>
          </w:p>
        </w:tc>
      </w:tr>
      <w:tr w:rsidR="0062283A" w:rsidRPr="00BA6603" w:rsidTr="004D66CD">
        <w:tc>
          <w:tcPr>
            <w:tcW w:w="2802" w:type="dxa"/>
            <w:gridSpan w:val="2"/>
            <w:shd w:val="clear" w:color="auto" w:fill="auto"/>
            <w:vAlign w:val="center"/>
          </w:tcPr>
          <w:p w:rsidR="0062283A" w:rsidRPr="00BA6603" w:rsidRDefault="0062283A" w:rsidP="0022622E">
            <w:pPr>
              <w:pStyle w:val="Table"/>
            </w:pPr>
          </w:p>
        </w:tc>
        <w:tc>
          <w:tcPr>
            <w:tcW w:w="1134" w:type="dxa"/>
            <w:shd w:val="clear" w:color="auto" w:fill="auto"/>
            <w:vAlign w:val="center"/>
          </w:tcPr>
          <w:p w:rsidR="0062283A" w:rsidRPr="00BA6603" w:rsidRDefault="0062283A" w:rsidP="0022622E">
            <w:pPr>
              <w:pStyle w:val="Table"/>
            </w:pPr>
            <w:r w:rsidRPr="00BA6603">
              <w:t>Part I</w:t>
            </w:r>
          </w:p>
        </w:tc>
        <w:tc>
          <w:tcPr>
            <w:tcW w:w="1984" w:type="dxa"/>
            <w:gridSpan w:val="2"/>
            <w:tcBorders>
              <w:right w:val="single" w:sz="4" w:space="0" w:color="auto"/>
            </w:tcBorders>
            <w:shd w:val="clear" w:color="auto" w:fill="auto"/>
            <w:vAlign w:val="center"/>
          </w:tcPr>
          <w:p w:rsidR="0062283A" w:rsidRPr="00BA6603" w:rsidRDefault="0062283A" w:rsidP="0022622E">
            <w:pPr>
              <w:pStyle w:val="Table"/>
            </w:pPr>
            <w:r w:rsidRPr="00BA6603">
              <w:t>Part II</w:t>
            </w:r>
          </w:p>
        </w:tc>
        <w:tc>
          <w:tcPr>
            <w:tcW w:w="2126" w:type="dxa"/>
            <w:gridSpan w:val="3"/>
            <w:vMerge/>
            <w:tcBorders>
              <w:top w:val="nil"/>
              <w:left w:val="single" w:sz="4" w:space="0" w:color="auto"/>
              <w:bottom w:val="nil"/>
              <w:right w:val="single" w:sz="4" w:space="0" w:color="auto"/>
            </w:tcBorders>
          </w:tcPr>
          <w:p w:rsidR="0062283A" w:rsidRPr="00BA6603" w:rsidRDefault="0062283A" w:rsidP="0022622E">
            <w:pPr>
              <w:pStyle w:val="Table"/>
            </w:pPr>
          </w:p>
        </w:tc>
        <w:tc>
          <w:tcPr>
            <w:tcW w:w="1276" w:type="dxa"/>
            <w:vMerge/>
            <w:tcBorders>
              <w:left w:val="single" w:sz="4" w:space="0" w:color="auto"/>
            </w:tcBorders>
          </w:tcPr>
          <w:p w:rsidR="0062283A" w:rsidRPr="00BA6603" w:rsidRDefault="0062283A" w:rsidP="0022622E">
            <w:pPr>
              <w:pStyle w:val="Table"/>
            </w:pPr>
          </w:p>
        </w:tc>
      </w:tr>
      <w:tr w:rsidR="0062283A" w:rsidRPr="00BA6603" w:rsidTr="004D66CD">
        <w:tc>
          <w:tcPr>
            <w:tcW w:w="2802" w:type="dxa"/>
            <w:gridSpan w:val="2"/>
            <w:tcBorders>
              <w:bottom w:val="single" w:sz="4" w:space="0" w:color="auto"/>
            </w:tcBorders>
            <w:shd w:val="clear" w:color="auto" w:fill="auto"/>
          </w:tcPr>
          <w:p w:rsidR="0062283A" w:rsidRPr="00BA6603" w:rsidRDefault="0062283A" w:rsidP="0022622E">
            <w:pPr>
              <w:pStyle w:val="Table"/>
            </w:pPr>
          </w:p>
        </w:tc>
        <w:tc>
          <w:tcPr>
            <w:tcW w:w="1134" w:type="dxa"/>
            <w:tcBorders>
              <w:bottom w:val="single" w:sz="4" w:space="0" w:color="auto"/>
            </w:tcBorders>
            <w:shd w:val="clear" w:color="auto" w:fill="auto"/>
          </w:tcPr>
          <w:p w:rsidR="0062283A" w:rsidRPr="00BA6603" w:rsidRDefault="0062283A" w:rsidP="0022622E">
            <w:pPr>
              <w:pStyle w:val="Table"/>
              <w:rPr>
                <w:bCs/>
              </w:rPr>
            </w:pPr>
            <w:r w:rsidRPr="00BA6603">
              <w:t>Ilaris</w:t>
            </w:r>
          </w:p>
          <w:p w:rsidR="0062283A" w:rsidRPr="00BA6603" w:rsidRDefault="0062283A" w:rsidP="0022622E">
            <w:pPr>
              <w:pStyle w:val="Table"/>
              <w:rPr>
                <w:lang w:val="de-CH"/>
              </w:rPr>
            </w:pPr>
            <w:r w:rsidRPr="00BA6603">
              <w:t>N=</w:t>
            </w:r>
            <w:r w:rsidRPr="00BA6603">
              <w:rPr>
                <w:lang w:val="de-CH"/>
              </w:rPr>
              <w:t xml:space="preserve">177 </w:t>
            </w:r>
          </w:p>
          <w:p w:rsidR="0062283A" w:rsidRPr="00BA6603" w:rsidRDefault="004D66CD" w:rsidP="0022622E">
            <w:pPr>
              <w:pStyle w:val="Table"/>
              <w:rPr>
                <w:lang w:val="de-CH"/>
              </w:rPr>
            </w:pPr>
            <w:r w:rsidRPr="00BA6603">
              <w:rPr>
                <w:lang w:val="de-CH"/>
              </w:rPr>
              <w:t>(</w:t>
            </w:r>
            <w:r w:rsidR="0062283A" w:rsidRPr="00BA6603">
              <w:rPr>
                <w:lang w:val="de-CH"/>
              </w:rPr>
              <w:t>n</w:t>
            </w:r>
            <w:r w:rsidRPr="00BA6603">
              <w:rPr>
                <w:lang w:val="de-CH"/>
              </w:rPr>
              <w:t xml:space="preserve"> </w:t>
            </w:r>
            <w:r w:rsidR="0062283A" w:rsidRPr="00BA6603">
              <w:rPr>
                <w:lang w:val="de-CH"/>
              </w:rPr>
              <w:t>%)</w:t>
            </w:r>
          </w:p>
        </w:tc>
        <w:tc>
          <w:tcPr>
            <w:tcW w:w="992" w:type="dxa"/>
            <w:tcBorders>
              <w:bottom w:val="single" w:sz="4" w:space="0" w:color="auto"/>
            </w:tcBorders>
            <w:shd w:val="clear" w:color="auto" w:fill="auto"/>
          </w:tcPr>
          <w:p w:rsidR="0062283A" w:rsidRPr="00BA6603" w:rsidRDefault="0062283A" w:rsidP="0022622E">
            <w:pPr>
              <w:pStyle w:val="Table"/>
              <w:rPr>
                <w:bCs/>
                <w:lang w:val="de-CH"/>
              </w:rPr>
            </w:pPr>
            <w:r w:rsidRPr="00BA6603">
              <w:t>Ilaris</w:t>
            </w:r>
            <w:r w:rsidRPr="00BA6603">
              <w:br/>
            </w:r>
            <w:r w:rsidRPr="00BA6603">
              <w:rPr>
                <w:bCs/>
              </w:rPr>
              <w:t>N=</w:t>
            </w:r>
            <w:r w:rsidRPr="00BA6603">
              <w:rPr>
                <w:bCs/>
                <w:lang w:val="de-CH"/>
              </w:rPr>
              <w:t xml:space="preserve">50 </w:t>
            </w:r>
          </w:p>
          <w:p w:rsidR="0062283A" w:rsidRPr="00BA6603" w:rsidRDefault="004D66CD" w:rsidP="0022622E">
            <w:pPr>
              <w:pStyle w:val="Table"/>
              <w:rPr>
                <w:lang w:val="de-CH"/>
              </w:rPr>
            </w:pPr>
            <w:r w:rsidRPr="00BA6603">
              <w:rPr>
                <w:lang w:val="de-CH"/>
              </w:rPr>
              <w:t>(</w:t>
            </w:r>
            <w:r w:rsidR="0062283A" w:rsidRPr="00BA6603">
              <w:rPr>
                <w:lang w:val="de-CH"/>
              </w:rPr>
              <w:t>n %)</w:t>
            </w:r>
          </w:p>
        </w:tc>
        <w:tc>
          <w:tcPr>
            <w:tcW w:w="992" w:type="dxa"/>
            <w:tcBorders>
              <w:bottom w:val="single" w:sz="4" w:space="0" w:color="auto"/>
              <w:right w:val="single" w:sz="4" w:space="0" w:color="auto"/>
            </w:tcBorders>
            <w:shd w:val="clear" w:color="auto" w:fill="auto"/>
          </w:tcPr>
          <w:p w:rsidR="0062283A" w:rsidRPr="00BA6603" w:rsidRDefault="0062283A" w:rsidP="0022622E">
            <w:pPr>
              <w:pStyle w:val="Table"/>
            </w:pPr>
            <w:r w:rsidRPr="00BA6603">
              <w:t>Placebo</w:t>
            </w:r>
          </w:p>
          <w:p w:rsidR="0062283A" w:rsidRPr="00BA6603" w:rsidRDefault="0062283A" w:rsidP="0022622E">
            <w:pPr>
              <w:pStyle w:val="Table"/>
              <w:rPr>
                <w:lang w:val="de-CH"/>
              </w:rPr>
            </w:pPr>
            <w:r w:rsidRPr="00BA6603">
              <w:t>N=</w:t>
            </w:r>
            <w:r w:rsidRPr="00BA6603">
              <w:rPr>
                <w:lang w:val="de-CH"/>
              </w:rPr>
              <w:t>50</w:t>
            </w:r>
          </w:p>
          <w:p w:rsidR="0062283A" w:rsidRPr="00BA6603" w:rsidRDefault="004D66CD" w:rsidP="0022622E">
            <w:pPr>
              <w:pStyle w:val="Table"/>
              <w:rPr>
                <w:lang w:val="de-CH"/>
              </w:rPr>
            </w:pPr>
            <w:r w:rsidRPr="00BA6603">
              <w:rPr>
                <w:lang w:val="de-CH"/>
              </w:rPr>
              <w:t>(</w:t>
            </w:r>
            <w:r w:rsidR="0062283A" w:rsidRPr="00BA6603">
              <w:rPr>
                <w:lang w:val="de-CH"/>
              </w:rPr>
              <w:t>n %)</w:t>
            </w:r>
          </w:p>
        </w:tc>
        <w:tc>
          <w:tcPr>
            <w:tcW w:w="1134" w:type="dxa"/>
            <w:gridSpan w:val="2"/>
            <w:tcBorders>
              <w:top w:val="nil"/>
              <w:left w:val="single" w:sz="4" w:space="0" w:color="auto"/>
              <w:bottom w:val="single" w:sz="4" w:space="0" w:color="auto"/>
            </w:tcBorders>
          </w:tcPr>
          <w:p w:rsidR="0062283A" w:rsidRPr="00BA6603" w:rsidRDefault="0062283A" w:rsidP="0022622E">
            <w:pPr>
              <w:pStyle w:val="Table"/>
              <w:rPr>
                <w:bCs/>
              </w:rPr>
            </w:pPr>
            <w:r w:rsidRPr="00BA6603">
              <w:t>Ilaris</w:t>
            </w:r>
            <w:r w:rsidRPr="00BA6603">
              <w:br/>
            </w:r>
            <w:r w:rsidRPr="00BA6603">
              <w:rPr>
                <w:bCs/>
              </w:rPr>
              <w:t>N=43</w:t>
            </w:r>
          </w:p>
          <w:p w:rsidR="0062283A" w:rsidRPr="00BA6603" w:rsidRDefault="004D66CD" w:rsidP="0022622E">
            <w:pPr>
              <w:pStyle w:val="Table"/>
            </w:pPr>
            <w:r w:rsidRPr="00BA6603">
              <w:t>(</w:t>
            </w:r>
            <w:r w:rsidR="0062283A" w:rsidRPr="00BA6603">
              <w:t>n %)</w:t>
            </w:r>
          </w:p>
        </w:tc>
        <w:tc>
          <w:tcPr>
            <w:tcW w:w="992" w:type="dxa"/>
            <w:tcBorders>
              <w:bottom w:val="single" w:sz="4" w:space="0" w:color="auto"/>
              <w:right w:val="single" w:sz="4" w:space="0" w:color="auto"/>
            </w:tcBorders>
          </w:tcPr>
          <w:p w:rsidR="0062283A" w:rsidRPr="00BA6603" w:rsidRDefault="0062283A" w:rsidP="0022622E">
            <w:pPr>
              <w:pStyle w:val="Table"/>
            </w:pPr>
            <w:r w:rsidRPr="00BA6603">
              <w:t>Placebo</w:t>
            </w:r>
          </w:p>
          <w:p w:rsidR="0062283A" w:rsidRPr="00BA6603" w:rsidRDefault="0062283A" w:rsidP="0022622E">
            <w:pPr>
              <w:pStyle w:val="Table"/>
            </w:pPr>
            <w:r w:rsidRPr="00BA6603">
              <w:t>N=41</w:t>
            </w:r>
          </w:p>
          <w:p w:rsidR="0062283A" w:rsidRPr="00BA6603" w:rsidRDefault="004D66CD" w:rsidP="0022622E">
            <w:pPr>
              <w:pStyle w:val="Table"/>
            </w:pPr>
            <w:r w:rsidRPr="00BA6603">
              <w:t>(</w:t>
            </w:r>
            <w:r w:rsidR="0062283A" w:rsidRPr="00BA6603">
              <w:t>n %)</w:t>
            </w:r>
          </w:p>
        </w:tc>
        <w:tc>
          <w:tcPr>
            <w:tcW w:w="1276" w:type="dxa"/>
            <w:tcBorders>
              <w:left w:val="single" w:sz="4" w:space="0" w:color="auto"/>
              <w:bottom w:val="single" w:sz="4" w:space="0" w:color="auto"/>
            </w:tcBorders>
          </w:tcPr>
          <w:p w:rsidR="0062283A" w:rsidRPr="00BA6603" w:rsidRDefault="0062283A" w:rsidP="0022622E">
            <w:pPr>
              <w:pStyle w:val="Table"/>
            </w:pPr>
          </w:p>
        </w:tc>
      </w:tr>
      <w:tr w:rsidR="004D66CD" w:rsidRPr="00BA6603" w:rsidTr="004D66CD">
        <w:tc>
          <w:tcPr>
            <w:tcW w:w="5920" w:type="dxa"/>
            <w:gridSpan w:val="5"/>
            <w:tcBorders>
              <w:top w:val="single" w:sz="4" w:space="0" w:color="auto"/>
              <w:bottom w:val="nil"/>
              <w:right w:val="single" w:sz="4" w:space="0" w:color="auto"/>
            </w:tcBorders>
            <w:shd w:val="clear" w:color="auto" w:fill="auto"/>
          </w:tcPr>
          <w:p w:rsidR="004D66CD" w:rsidRPr="00BA6603" w:rsidRDefault="004D66CD" w:rsidP="0022622E">
            <w:pPr>
              <w:pStyle w:val="Table"/>
            </w:pPr>
            <w:r w:rsidRPr="00BA6603">
              <w:t>Infections and infestations</w:t>
            </w:r>
          </w:p>
        </w:tc>
        <w:tc>
          <w:tcPr>
            <w:tcW w:w="2126" w:type="dxa"/>
            <w:gridSpan w:val="3"/>
            <w:tcBorders>
              <w:top w:val="single" w:sz="4" w:space="0" w:color="auto"/>
              <w:left w:val="single" w:sz="4" w:space="0" w:color="auto"/>
              <w:bottom w:val="nil"/>
            </w:tcBorders>
            <w:shd w:val="clear" w:color="auto" w:fill="auto"/>
          </w:tcPr>
          <w:p w:rsidR="004D66CD" w:rsidRPr="00BA6603" w:rsidRDefault="004D66CD" w:rsidP="0022622E">
            <w:pPr>
              <w:pStyle w:val="Table"/>
            </w:pPr>
          </w:p>
        </w:tc>
        <w:tc>
          <w:tcPr>
            <w:tcW w:w="1276" w:type="dxa"/>
            <w:tcBorders>
              <w:top w:val="single" w:sz="4" w:space="0" w:color="auto"/>
              <w:left w:val="single" w:sz="4" w:space="0" w:color="auto"/>
              <w:bottom w:val="nil"/>
            </w:tcBorders>
            <w:shd w:val="clear" w:color="auto" w:fill="auto"/>
          </w:tcPr>
          <w:p w:rsidR="004D66CD" w:rsidRPr="00BA6603" w:rsidRDefault="004D66CD" w:rsidP="0022622E">
            <w:pPr>
              <w:pStyle w:val="Table"/>
            </w:pPr>
          </w:p>
        </w:tc>
      </w:tr>
      <w:tr w:rsidR="0062283A" w:rsidRPr="00BA6603" w:rsidTr="004D66CD">
        <w:tc>
          <w:tcPr>
            <w:tcW w:w="2660" w:type="dxa"/>
            <w:tcBorders>
              <w:bottom w:val="single" w:sz="4" w:space="0" w:color="auto"/>
            </w:tcBorders>
            <w:shd w:val="clear" w:color="auto" w:fill="auto"/>
          </w:tcPr>
          <w:p w:rsidR="0062283A" w:rsidRPr="00BA6603" w:rsidRDefault="0062283A" w:rsidP="0022622E">
            <w:pPr>
              <w:pStyle w:val="Table"/>
            </w:pPr>
            <w:r w:rsidRPr="00BA6603">
              <w:t>Infection (e.g. nasopharyngitis, (viral) upper respiratory tract infection, pneumonia, rhinitis, pharyngitis, tonsillitis, sinusitis, urinary tract infection, gastroenteritis, viral infection)</w:t>
            </w:r>
          </w:p>
        </w:tc>
        <w:tc>
          <w:tcPr>
            <w:tcW w:w="1276" w:type="dxa"/>
            <w:gridSpan w:val="2"/>
            <w:tcBorders>
              <w:bottom w:val="single" w:sz="4" w:space="0" w:color="auto"/>
            </w:tcBorders>
            <w:shd w:val="clear" w:color="auto" w:fill="auto"/>
          </w:tcPr>
          <w:p w:rsidR="0062283A" w:rsidRPr="00BA6603" w:rsidRDefault="0062283A" w:rsidP="0022622E">
            <w:pPr>
              <w:pStyle w:val="Table"/>
              <w:rPr>
                <w:lang w:val="de-CH"/>
              </w:rPr>
            </w:pPr>
            <w:r w:rsidRPr="00BA6603">
              <w:rPr>
                <w:lang w:val="de-CH"/>
              </w:rPr>
              <w:t>97   (54.8%)</w:t>
            </w:r>
          </w:p>
        </w:tc>
        <w:tc>
          <w:tcPr>
            <w:tcW w:w="992" w:type="dxa"/>
            <w:tcBorders>
              <w:bottom w:val="single" w:sz="4" w:space="0" w:color="auto"/>
            </w:tcBorders>
            <w:shd w:val="clear" w:color="auto" w:fill="auto"/>
          </w:tcPr>
          <w:p w:rsidR="0062283A" w:rsidRPr="00BA6603" w:rsidRDefault="0062283A" w:rsidP="0022622E">
            <w:pPr>
              <w:pStyle w:val="Table"/>
              <w:rPr>
                <w:lang w:val="de-CH"/>
              </w:rPr>
            </w:pPr>
            <w:r w:rsidRPr="00BA6603">
              <w:rPr>
                <w:lang w:val="de-CH"/>
              </w:rPr>
              <w:t>27 (54%)</w:t>
            </w:r>
          </w:p>
        </w:tc>
        <w:tc>
          <w:tcPr>
            <w:tcW w:w="992" w:type="dxa"/>
            <w:tcBorders>
              <w:bottom w:val="single" w:sz="4" w:space="0" w:color="auto"/>
              <w:right w:val="single" w:sz="4" w:space="0" w:color="auto"/>
            </w:tcBorders>
            <w:shd w:val="clear" w:color="auto" w:fill="auto"/>
          </w:tcPr>
          <w:p w:rsidR="0062283A" w:rsidRPr="00BA6603" w:rsidRDefault="0062283A" w:rsidP="0022622E">
            <w:pPr>
              <w:pStyle w:val="Table"/>
              <w:rPr>
                <w:lang w:val="de-CH"/>
              </w:rPr>
            </w:pPr>
            <w:r w:rsidRPr="00BA6603">
              <w:rPr>
                <w:lang w:val="de-CH"/>
              </w:rPr>
              <w:t>19 (38%)</w:t>
            </w:r>
          </w:p>
        </w:tc>
        <w:tc>
          <w:tcPr>
            <w:tcW w:w="1040" w:type="dxa"/>
            <w:tcBorders>
              <w:top w:val="nil"/>
              <w:left w:val="single" w:sz="4" w:space="0" w:color="auto"/>
              <w:bottom w:val="single" w:sz="4" w:space="0" w:color="auto"/>
              <w:right w:val="nil"/>
            </w:tcBorders>
          </w:tcPr>
          <w:p w:rsidR="0062283A" w:rsidRPr="00BA6603" w:rsidRDefault="0062283A" w:rsidP="0022622E">
            <w:pPr>
              <w:pStyle w:val="Table"/>
              <w:rPr>
                <w:lang w:val="de-CH"/>
              </w:rPr>
            </w:pPr>
            <w:r w:rsidRPr="00BA6603">
              <w:rPr>
                <w:lang w:val="de-CH"/>
              </w:rPr>
              <w:t>13 (30.2%)</w:t>
            </w:r>
          </w:p>
        </w:tc>
        <w:tc>
          <w:tcPr>
            <w:tcW w:w="1086" w:type="dxa"/>
            <w:gridSpan w:val="2"/>
            <w:tcBorders>
              <w:top w:val="nil"/>
              <w:left w:val="nil"/>
              <w:bottom w:val="single" w:sz="4" w:space="0" w:color="auto"/>
              <w:right w:val="single" w:sz="4" w:space="0" w:color="auto"/>
            </w:tcBorders>
          </w:tcPr>
          <w:p w:rsidR="0062283A" w:rsidRPr="00BA6603" w:rsidRDefault="0062283A" w:rsidP="0022622E">
            <w:pPr>
              <w:pStyle w:val="Table"/>
              <w:rPr>
                <w:lang w:val="de-CH"/>
              </w:rPr>
            </w:pPr>
            <w:r w:rsidRPr="00BA6603">
              <w:rPr>
                <w:lang w:val="de-CH"/>
              </w:rPr>
              <w:t>5     (12.2%)</w:t>
            </w:r>
          </w:p>
        </w:tc>
        <w:tc>
          <w:tcPr>
            <w:tcW w:w="1276" w:type="dxa"/>
            <w:tcBorders>
              <w:left w:val="single" w:sz="4" w:space="0" w:color="auto"/>
              <w:bottom w:val="single" w:sz="4" w:space="0" w:color="auto"/>
            </w:tcBorders>
          </w:tcPr>
          <w:p w:rsidR="0062283A" w:rsidRPr="00BA6603" w:rsidRDefault="0062283A" w:rsidP="0022622E">
            <w:pPr>
              <w:pStyle w:val="Table"/>
              <w:rPr>
                <w:lang w:val="de-CH"/>
              </w:rPr>
            </w:pPr>
            <w:r w:rsidRPr="00BA6603">
              <w:rPr>
                <w:lang w:val="de-CH"/>
              </w:rPr>
              <w:t>Very common</w:t>
            </w:r>
          </w:p>
        </w:tc>
      </w:tr>
      <w:tr w:rsidR="004D66CD" w:rsidRPr="00BA6603" w:rsidTr="004D66CD">
        <w:tc>
          <w:tcPr>
            <w:tcW w:w="5920" w:type="dxa"/>
            <w:gridSpan w:val="5"/>
            <w:tcBorders>
              <w:top w:val="single" w:sz="4" w:space="0" w:color="auto"/>
              <w:bottom w:val="nil"/>
              <w:right w:val="single" w:sz="4" w:space="0" w:color="auto"/>
            </w:tcBorders>
            <w:shd w:val="clear" w:color="auto" w:fill="auto"/>
          </w:tcPr>
          <w:p w:rsidR="004D66CD" w:rsidRPr="00BA6603" w:rsidRDefault="004D66CD" w:rsidP="0022622E">
            <w:pPr>
              <w:pStyle w:val="Table"/>
            </w:pPr>
            <w:r w:rsidRPr="00BA6603">
              <w:t>Gastrointestinal disorders</w:t>
            </w:r>
          </w:p>
        </w:tc>
        <w:tc>
          <w:tcPr>
            <w:tcW w:w="2126" w:type="dxa"/>
            <w:gridSpan w:val="3"/>
            <w:tcBorders>
              <w:top w:val="single" w:sz="4" w:space="0" w:color="auto"/>
              <w:left w:val="single" w:sz="4" w:space="0" w:color="auto"/>
              <w:bottom w:val="nil"/>
            </w:tcBorders>
            <w:shd w:val="clear" w:color="auto" w:fill="auto"/>
          </w:tcPr>
          <w:p w:rsidR="004D66CD" w:rsidRPr="00BA6603" w:rsidRDefault="004D66CD" w:rsidP="0022622E">
            <w:pPr>
              <w:pStyle w:val="Table"/>
            </w:pPr>
          </w:p>
        </w:tc>
        <w:tc>
          <w:tcPr>
            <w:tcW w:w="1276" w:type="dxa"/>
            <w:tcBorders>
              <w:top w:val="single" w:sz="4" w:space="0" w:color="auto"/>
              <w:left w:val="single" w:sz="4" w:space="0" w:color="auto"/>
              <w:bottom w:val="nil"/>
            </w:tcBorders>
            <w:shd w:val="clear" w:color="auto" w:fill="auto"/>
          </w:tcPr>
          <w:p w:rsidR="004D66CD" w:rsidRPr="00BA6603" w:rsidRDefault="004D66CD" w:rsidP="0022622E">
            <w:pPr>
              <w:pStyle w:val="Table"/>
            </w:pPr>
          </w:p>
        </w:tc>
      </w:tr>
      <w:tr w:rsidR="004D66CD" w:rsidRPr="00BA6603" w:rsidTr="004D66CD">
        <w:tc>
          <w:tcPr>
            <w:tcW w:w="2660" w:type="dxa"/>
            <w:tcBorders>
              <w:bottom w:val="single" w:sz="4" w:space="0" w:color="auto"/>
            </w:tcBorders>
            <w:shd w:val="clear" w:color="auto" w:fill="auto"/>
          </w:tcPr>
          <w:p w:rsidR="004D66CD" w:rsidRPr="00BA6603" w:rsidRDefault="004D66CD" w:rsidP="0022622E">
            <w:pPr>
              <w:pStyle w:val="Table"/>
            </w:pPr>
            <w:r w:rsidRPr="00BA6603">
              <w:t>Abdominal pain (upper)</w:t>
            </w:r>
          </w:p>
        </w:tc>
        <w:tc>
          <w:tcPr>
            <w:tcW w:w="1276" w:type="dxa"/>
            <w:gridSpan w:val="2"/>
            <w:tcBorders>
              <w:bottom w:val="single" w:sz="4" w:space="0" w:color="auto"/>
            </w:tcBorders>
            <w:shd w:val="clear" w:color="auto" w:fill="auto"/>
          </w:tcPr>
          <w:p w:rsidR="004D66CD" w:rsidRPr="00BA6603" w:rsidRDefault="004D66CD" w:rsidP="0022622E">
            <w:pPr>
              <w:pStyle w:val="Table"/>
              <w:rPr>
                <w:lang w:val="de-CH"/>
              </w:rPr>
            </w:pPr>
            <w:r w:rsidRPr="00BA6603">
              <w:rPr>
                <w:lang w:val="de-CH"/>
              </w:rPr>
              <w:t>25   (14.1%)</w:t>
            </w:r>
          </w:p>
        </w:tc>
        <w:tc>
          <w:tcPr>
            <w:tcW w:w="992" w:type="dxa"/>
            <w:tcBorders>
              <w:bottom w:val="single" w:sz="4" w:space="0" w:color="auto"/>
            </w:tcBorders>
            <w:shd w:val="clear" w:color="auto" w:fill="auto"/>
          </w:tcPr>
          <w:p w:rsidR="004D66CD" w:rsidRPr="00BA6603" w:rsidRDefault="004D66CD" w:rsidP="0022622E">
            <w:pPr>
              <w:pStyle w:val="Table"/>
              <w:rPr>
                <w:lang w:val="de-CH"/>
              </w:rPr>
            </w:pPr>
            <w:r w:rsidRPr="00BA6603">
              <w:rPr>
                <w:lang w:val="de-CH"/>
              </w:rPr>
              <w:t>8   (16%)</w:t>
            </w:r>
          </w:p>
        </w:tc>
        <w:tc>
          <w:tcPr>
            <w:tcW w:w="992" w:type="dxa"/>
            <w:tcBorders>
              <w:bottom w:val="single" w:sz="4" w:space="0" w:color="auto"/>
              <w:right w:val="single" w:sz="4" w:space="0" w:color="auto"/>
            </w:tcBorders>
            <w:shd w:val="clear" w:color="auto" w:fill="auto"/>
          </w:tcPr>
          <w:p w:rsidR="004D66CD" w:rsidRPr="00BA6603" w:rsidRDefault="004D66CD" w:rsidP="0022622E">
            <w:pPr>
              <w:pStyle w:val="Table"/>
              <w:rPr>
                <w:lang w:val="de-CH"/>
              </w:rPr>
            </w:pPr>
            <w:r w:rsidRPr="00BA6603">
              <w:rPr>
                <w:lang w:val="de-CH"/>
              </w:rPr>
              <w:t>6   (12%)</w:t>
            </w:r>
          </w:p>
        </w:tc>
        <w:tc>
          <w:tcPr>
            <w:tcW w:w="1040" w:type="dxa"/>
            <w:tcBorders>
              <w:top w:val="nil"/>
              <w:left w:val="single" w:sz="4" w:space="0" w:color="auto"/>
              <w:bottom w:val="single" w:sz="4" w:space="0" w:color="auto"/>
              <w:right w:val="nil"/>
            </w:tcBorders>
          </w:tcPr>
          <w:p w:rsidR="004D66CD" w:rsidRPr="00BA6603" w:rsidRDefault="004D66CD" w:rsidP="0022622E">
            <w:pPr>
              <w:pStyle w:val="Table"/>
              <w:rPr>
                <w:lang w:val="de-CH"/>
              </w:rPr>
            </w:pPr>
            <w:r w:rsidRPr="00BA6603">
              <w:rPr>
                <w:lang w:val="de-CH"/>
              </w:rPr>
              <w:t>3     (7%)</w:t>
            </w:r>
          </w:p>
        </w:tc>
        <w:tc>
          <w:tcPr>
            <w:tcW w:w="1086" w:type="dxa"/>
            <w:gridSpan w:val="2"/>
            <w:tcBorders>
              <w:top w:val="nil"/>
              <w:left w:val="nil"/>
              <w:bottom w:val="single" w:sz="4" w:space="0" w:color="auto"/>
              <w:right w:val="single" w:sz="4" w:space="0" w:color="auto"/>
            </w:tcBorders>
          </w:tcPr>
          <w:p w:rsidR="004D66CD" w:rsidRPr="00BA6603" w:rsidRDefault="004D66CD" w:rsidP="0022622E">
            <w:pPr>
              <w:pStyle w:val="Table"/>
              <w:rPr>
                <w:lang w:val="de-CH"/>
              </w:rPr>
            </w:pPr>
            <w:r w:rsidRPr="00BA6603">
              <w:rPr>
                <w:lang w:val="de-CH"/>
              </w:rPr>
              <w:t>1     (2.4%)</w:t>
            </w:r>
          </w:p>
        </w:tc>
        <w:tc>
          <w:tcPr>
            <w:tcW w:w="1276" w:type="dxa"/>
            <w:tcBorders>
              <w:left w:val="single" w:sz="4" w:space="0" w:color="auto"/>
              <w:bottom w:val="single" w:sz="4" w:space="0" w:color="auto"/>
            </w:tcBorders>
          </w:tcPr>
          <w:p w:rsidR="004D66CD" w:rsidRPr="00BA6603" w:rsidRDefault="004D66CD" w:rsidP="0022622E">
            <w:pPr>
              <w:pStyle w:val="Table"/>
              <w:rPr>
                <w:lang w:val="de-CH"/>
              </w:rPr>
            </w:pPr>
            <w:r w:rsidRPr="00BA6603">
              <w:rPr>
                <w:lang w:val="de-CH"/>
              </w:rPr>
              <w:t>Very common</w:t>
            </w:r>
          </w:p>
        </w:tc>
      </w:tr>
      <w:tr w:rsidR="004D66CD" w:rsidRPr="00BA6603" w:rsidTr="004D66CD">
        <w:tc>
          <w:tcPr>
            <w:tcW w:w="5920" w:type="dxa"/>
            <w:gridSpan w:val="5"/>
            <w:tcBorders>
              <w:top w:val="single" w:sz="4" w:space="0" w:color="auto"/>
              <w:bottom w:val="nil"/>
              <w:right w:val="single" w:sz="4" w:space="0" w:color="auto"/>
            </w:tcBorders>
            <w:shd w:val="clear" w:color="auto" w:fill="auto"/>
          </w:tcPr>
          <w:p w:rsidR="004D66CD" w:rsidRPr="00BA6603" w:rsidRDefault="004D66CD" w:rsidP="0022622E">
            <w:pPr>
              <w:pStyle w:val="Table"/>
            </w:pPr>
            <w:r w:rsidRPr="00BA6603">
              <w:t>Skin and subcutaneous tissue disorders</w:t>
            </w:r>
          </w:p>
        </w:tc>
        <w:tc>
          <w:tcPr>
            <w:tcW w:w="2126" w:type="dxa"/>
            <w:gridSpan w:val="3"/>
            <w:tcBorders>
              <w:top w:val="single" w:sz="4" w:space="0" w:color="auto"/>
              <w:left w:val="single" w:sz="4" w:space="0" w:color="auto"/>
              <w:bottom w:val="nil"/>
            </w:tcBorders>
            <w:shd w:val="clear" w:color="auto" w:fill="auto"/>
          </w:tcPr>
          <w:p w:rsidR="004D66CD" w:rsidRPr="00BA6603" w:rsidRDefault="004D66CD" w:rsidP="0022622E">
            <w:pPr>
              <w:pStyle w:val="Table"/>
            </w:pPr>
          </w:p>
        </w:tc>
        <w:tc>
          <w:tcPr>
            <w:tcW w:w="1276" w:type="dxa"/>
            <w:tcBorders>
              <w:top w:val="single" w:sz="4" w:space="0" w:color="auto"/>
              <w:left w:val="single" w:sz="4" w:space="0" w:color="auto"/>
              <w:bottom w:val="nil"/>
            </w:tcBorders>
            <w:shd w:val="clear" w:color="auto" w:fill="auto"/>
          </w:tcPr>
          <w:p w:rsidR="004D66CD" w:rsidRPr="00BA6603" w:rsidRDefault="004D66CD" w:rsidP="0022622E">
            <w:pPr>
              <w:pStyle w:val="Table"/>
            </w:pPr>
          </w:p>
        </w:tc>
      </w:tr>
      <w:tr w:rsidR="0062283A" w:rsidRPr="00BA6603" w:rsidTr="004D66CD">
        <w:tc>
          <w:tcPr>
            <w:tcW w:w="2660" w:type="dxa"/>
            <w:shd w:val="clear" w:color="auto" w:fill="auto"/>
          </w:tcPr>
          <w:p w:rsidR="0062283A" w:rsidRPr="00BA6603" w:rsidRDefault="0062283A" w:rsidP="0022622E">
            <w:pPr>
              <w:pStyle w:val="Table"/>
              <w:rPr>
                <w:lang w:val="de-CH"/>
              </w:rPr>
            </w:pPr>
            <w:r w:rsidRPr="00BA6603">
              <w:rPr>
                <w:lang w:val="de-CH"/>
              </w:rPr>
              <w:t>Injection site reaction*</w:t>
            </w:r>
          </w:p>
        </w:tc>
        <w:tc>
          <w:tcPr>
            <w:tcW w:w="1276" w:type="dxa"/>
            <w:gridSpan w:val="2"/>
            <w:shd w:val="clear" w:color="auto" w:fill="auto"/>
          </w:tcPr>
          <w:p w:rsidR="0062283A" w:rsidRPr="00BA6603" w:rsidRDefault="0062283A" w:rsidP="0022622E">
            <w:pPr>
              <w:pStyle w:val="Table"/>
              <w:rPr>
                <w:lang w:val="de-CH"/>
              </w:rPr>
            </w:pPr>
          </w:p>
        </w:tc>
        <w:tc>
          <w:tcPr>
            <w:tcW w:w="992" w:type="dxa"/>
            <w:shd w:val="clear" w:color="auto" w:fill="auto"/>
          </w:tcPr>
          <w:p w:rsidR="0062283A" w:rsidRPr="00BA6603" w:rsidRDefault="0062283A" w:rsidP="0022622E">
            <w:pPr>
              <w:pStyle w:val="Table"/>
              <w:rPr>
                <w:lang w:val="de-CH"/>
              </w:rPr>
            </w:pPr>
          </w:p>
        </w:tc>
        <w:tc>
          <w:tcPr>
            <w:tcW w:w="992" w:type="dxa"/>
            <w:tcBorders>
              <w:right w:val="single" w:sz="4" w:space="0" w:color="auto"/>
            </w:tcBorders>
            <w:shd w:val="clear" w:color="auto" w:fill="auto"/>
          </w:tcPr>
          <w:p w:rsidR="0062283A" w:rsidRPr="00BA6603" w:rsidRDefault="0062283A" w:rsidP="0022622E">
            <w:pPr>
              <w:pStyle w:val="Table"/>
              <w:rPr>
                <w:lang w:val="de-CH"/>
              </w:rPr>
            </w:pPr>
          </w:p>
        </w:tc>
        <w:tc>
          <w:tcPr>
            <w:tcW w:w="1040" w:type="dxa"/>
            <w:tcBorders>
              <w:top w:val="nil"/>
              <w:left w:val="single" w:sz="4" w:space="0" w:color="auto"/>
              <w:bottom w:val="nil"/>
              <w:right w:val="nil"/>
            </w:tcBorders>
          </w:tcPr>
          <w:p w:rsidR="0062283A" w:rsidRPr="00BA6603" w:rsidRDefault="0062283A" w:rsidP="0022622E">
            <w:pPr>
              <w:pStyle w:val="Table"/>
              <w:rPr>
                <w:lang w:val="de-CH"/>
              </w:rPr>
            </w:pPr>
          </w:p>
        </w:tc>
        <w:tc>
          <w:tcPr>
            <w:tcW w:w="1086" w:type="dxa"/>
            <w:gridSpan w:val="2"/>
            <w:tcBorders>
              <w:top w:val="nil"/>
              <w:left w:val="nil"/>
              <w:bottom w:val="nil"/>
              <w:right w:val="single" w:sz="4" w:space="0" w:color="auto"/>
            </w:tcBorders>
          </w:tcPr>
          <w:p w:rsidR="0062283A" w:rsidRPr="00BA6603" w:rsidRDefault="0062283A" w:rsidP="0022622E">
            <w:pPr>
              <w:pStyle w:val="Table"/>
              <w:rPr>
                <w:lang w:val="de-CH"/>
              </w:rPr>
            </w:pPr>
          </w:p>
        </w:tc>
        <w:tc>
          <w:tcPr>
            <w:tcW w:w="1276" w:type="dxa"/>
            <w:tcBorders>
              <w:left w:val="single" w:sz="4" w:space="0" w:color="auto"/>
            </w:tcBorders>
          </w:tcPr>
          <w:p w:rsidR="0062283A" w:rsidRPr="00BA6603" w:rsidRDefault="0062283A" w:rsidP="0022622E">
            <w:pPr>
              <w:pStyle w:val="Table"/>
              <w:rPr>
                <w:lang w:val="de-CH"/>
              </w:rPr>
            </w:pPr>
          </w:p>
        </w:tc>
      </w:tr>
      <w:tr w:rsidR="0062283A" w:rsidRPr="00BA6603" w:rsidTr="004D66CD">
        <w:tc>
          <w:tcPr>
            <w:tcW w:w="2660" w:type="dxa"/>
            <w:shd w:val="clear" w:color="auto" w:fill="auto"/>
          </w:tcPr>
          <w:p w:rsidR="0062283A" w:rsidRPr="00BA6603" w:rsidRDefault="0062283A" w:rsidP="0022622E">
            <w:pPr>
              <w:pStyle w:val="Table"/>
              <w:rPr>
                <w:lang w:val="de-CH"/>
              </w:rPr>
            </w:pPr>
            <w:r w:rsidRPr="00BA6603">
              <w:rPr>
                <w:lang w:val="de-CH"/>
              </w:rPr>
              <w:t xml:space="preserve">                             mild</w:t>
            </w:r>
          </w:p>
        </w:tc>
        <w:tc>
          <w:tcPr>
            <w:tcW w:w="1276" w:type="dxa"/>
            <w:gridSpan w:val="2"/>
            <w:shd w:val="clear" w:color="auto" w:fill="auto"/>
          </w:tcPr>
          <w:p w:rsidR="0062283A" w:rsidRPr="00BA6603" w:rsidRDefault="0062283A" w:rsidP="0022622E">
            <w:pPr>
              <w:pStyle w:val="Table"/>
              <w:rPr>
                <w:lang w:val="de-CH"/>
              </w:rPr>
            </w:pPr>
            <w:r w:rsidRPr="00BA6603">
              <w:t>19 (10.7%)</w:t>
            </w:r>
          </w:p>
        </w:tc>
        <w:tc>
          <w:tcPr>
            <w:tcW w:w="992" w:type="dxa"/>
            <w:shd w:val="clear" w:color="auto" w:fill="auto"/>
          </w:tcPr>
          <w:p w:rsidR="0062283A" w:rsidRPr="00BA6603" w:rsidRDefault="0062283A" w:rsidP="0022622E">
            <w:pPr>
              <w:pStyle w:val="Table"/>
              <w:rPr>
                <w:lang w:val="de-CH"/>
              </w:rPr>
            </w:pPr>
            <w:r w:rsidRPr="00BA6603">
              <w:t>6 (12.0%)</w:t>
            </w:r>
          </w:p>
        </w:tc>
        <w:tc>
          <w:tcPr>
            <w:tcW w:w="992" w:type="dxa"/>
            <w:tcBorders>
              <w:right w:val="single" w:sz="4" w:space="0" w:color="auto"/>
            </w:tcBorders>
            <w:shd w:val="clear" w:color="auto" w:fill="auto"/>
          </w:tcPr>
          <w:p w:rsidR="0062283A" w:rsidRPr="00BA6603" w:rsidRDefault="0062283A" w:rsidP="0022622E">
            <w:pPr>
              <w:pStyle w:val="Table"/>
              <w:rPr>
                <w:lang w:val="de-CH"/>
              </w:rPr>
            </w:pPr>
            <w:r w:rsidRPr="00BA6603">
              <w:t>2 (4.0%)</w:t>
            </w:r>
          </w:p>
        </w:tc>
        <w:tc>
          <w:tcPr>
            <w:tcW w:w="1040" w:type="dxa"/>
            <w:tcBorders>
              <w:top w:val="nil"/>
              <w:left w:val="single" w:sz="4" w:space="0" w:color="auto"/>
              <w:bottom w:val="nil"/>
              <w:right w:val="nil"/>
            </w:tcBorders>
          </w:tcPr>
          <w:p w:rsidR="0062283A" w:rsidRPr="00BA6603" w:rsidRDefault="0062283A" w:rsidP="0022622E">
            <w:pPr>
              <w:pStyle w:val="Table"/>
              <w:rPr>
                <w:lang w:val="de-CH"/>
              </w:rPr>
            </w:pPr>
            <w:r w:rsidRPr="00BA6603">
              <w:rPr>
                <w:lang w:val="de-CH"/>
              </w:rPr>
              <w:t>0</w:t>
            </w:r>
          </w:p>
        </w:tc>
        <w:tc>
          <w:tcPr>
            <w:tcW w:w="1086" w:type="dxa"/>
            <w:gridSpan w:val="2"/>
            <w:tcBorders>
              <w:top w:val="nil"/>
              <w:left w:val="nil"/>
              <w:bottom w:val="nil"/>
              <w:right w:val="single" w:sz="4" w:space="0" w:color="auto"/>
            </w:tcBorders>
          </w:tcPr>
          <w:p w:rsidR="0062283A" w:rsidRPr="00BA6603" w:rsidRDefault="0062283A" w:rsidP="0022622E">
            <w:pPr>
              <w:pStyle w:val="Table"/>
              <w:rPr>
                <w:lang w:val="de-CH"/>
              </w:rPr>
            </w:pPr>
            <w:r w:rsidRPr="00BA6603">
              <w:t>3 (7.3%)</w:t>
            </w:r>
          </w:p>
        </w:tc>
        <w:tc>
          <w:tcPr>
            <w:tcW w:w="1276" w:type="dxa"/>
            <w:tcBorders>
              <w:left w:val="single" w:sz="4" w:space="0" w:color="auto"/>
            </w:tcBorders>
          </w:tcPr>
          <w:p w:rsidR="0062283A" w:rsidRPr="00BA6603" w:rsidRDefault="0062283A" w:rsidP="0022622E">
            <w:pPr>
              <w:pStyle w:val="Table"/>
              <w:rPr>
                <w:lang w:val="de-CH"/>
              </w:rPr>
            </w:pPr>
            <w:r w:rsidRPr="00BA6603">
              <w:t>Very common</w:t>
            </w:r>
          </w:p>
        </w:tc>
      </w:tr>
      <w:tr w:rsidR="0062283A" w:rsidRPr="00BA6603" w:rsidTr="004D66CD">
        <w:tc>
          <w:tcPr>
            <w:tcW w:w="2660" w:type="dxa"/>
            <w:shd w:val="clear" w:color="auto" w:fill="auto"/>
          </w:tcPr>
          <w:p w:rsidR="0062283A" w:rsidRPr="00BA6603" w:rsidRDefault="0062283A" w:rsidP="0022622E">
            <w:pPr>
              <w:pStyle w:val="Table"/>
              <w:rPr>
                <w:lang w:val="de-CH"/>
              </w:rPr>
            </w:pPr>
            <w:r w:rsidRPr="00BA6603">
              <w:rPr>
                <w:lang w:val="de-CH"/>
              </w:rPr>
              <w:t xml:space="preserve">                     moderate</w:t>
            </w:r>
          </w:p>
        </w:tc>
        <w:tc>
          <w:tcPr>
            <w:tcW w:w="1276" w:type="dxa"/>
            <w:gridSpan w:val="2"/>
            <w:shd w:val="clear" w:color="auto" w:fill="auto"/>
          </w:tcPr>
          <w:p w:rsidR="0062283A" w:rsidRPr="00BA6603" w:rsidRDefault="0062283A" w:rsidP="0022622E">
            <w:pPr>
              <w:pStyle w:val="Table"/>
              <w:rPr>
                <w:lang w:val="de-CH"/>
              </w:rPr>
            </w:pPr>
            <w:r w:rsidRPr="00BA6603">
              <w:t>2 (1.1%)</w:t>
            </w:r>
          </w:p>
        </w:tc>
        <w:tc>
          <w:tcPr>
            <w:tcW w:w="992" w:type="dxa"/>
            <w:shd w:val="clear" w:color="auto" w:fill="auto"/>
          </w:tcPr>
          <w:p w:rsidR="0062283A" w:rsidRPr="00BA6603" w:rsidRDefault="0062283A" w:rsidP="0022622E">
            <w:pPr>
              <w:pStyle w:val="Table"/>
              <w:rPr>
                <w:lang w:val="de-CH"/>
              </w:rPr>
            </w:pPr>
            <w:r w:rsidRPr="00BA6603">
              <w:t>1 (2.0%)</w:t>
            </w:r>
          </w:p>
        </w:tc>
        <w:tc>
          <w:tcPr>
            <w:tcW w:w="992" w:type="dxa"/>
            <w:tcBorders>
              <w:right w:val="single" w:sz="4" w:space="0" w:color="auto"/>
            </w:tcBorders>
            <w:shd w:val="clear" w:color="auto" w:fill="auto"/>
          </w:tcPr>
          <w:p w:rsidR="0062283A" w:rsidRPr="00BA6603" w:rsidRDefault="0062283A" w:rsidP="0022622E">
            <w:pPr>
              <w:pStyle w:val="Table"/>
              <w:rPr>
                <w:lang w:val="de-CH"/>
              </w:rPr>
            </w:pPr>
            <w:r w:rsidRPr="00BA6603">
              <w:rPr>
                <w:lang w:val="de-CH"/>
              </w:rPr>
              <w:t>0</w:t>
            </w:r>
          </w:p>
        </w:tc>
        <w:tc>
          <w:tcPr>
            <w:tcW w:w="1040" w:type="dxa"/>
            <w:tcBorders>
              <w:top w:val="nil"/>
              <w:left w:val="single" w:sz="4" w:space="0" w:color="auto"/>
              <w:bottom w:val="single" w:sz="4" w:space="0" w:color="auto"/>
              <w:right w:val="nil"/>
            </w:tcBorders>
          </w:tcPr>
          <w:p w:rsidR="0062283A" w:rsidRPr="00BA6603" w:rsidRDefault="0062283A" w:rsidP="0022622E">
            <w:pPr>
              <w:pStyle w:val="Table"/>
              <w:rPr>
                <w:lang w:val="de-CH"/>
              </w:rPr>
            </w:pPr>
            <w:r w:rsidRPr="00BA6603">
              <w:rPr>
                <w:lang w:val="de-CH"/>
              </w:rPr>
              <w:t>0</w:t>
            </w:r>
          </w:p>
        </w:tc>
        <w:tc>
          <w:tcPr>
            <w:tcW w:w="1086" w:type="dxa"/>
            <w:gridSpan w:val="2"/>
            <w:tcBorders>
              <w:top w:val="nil"/>
              <w:left w:val="nil"/>
              <w:bottom w:val="single" w:sz="4" w:space="0" w:color="auto"/>
              <w:right w:val="single" w:sz="4" w:space="0" w:color="auto"/>
            </w:tcBorders>
          </w:tcPr>
          <w:p w:rsidR="0062283A" w:rsidRPr="00BA6603" w:rsidRDefault="0062283A" w:rsidP="0022622E">
            <w:pPr>
              <w:pStyle w:val="Table"/>
              <w:rPr>
                <w:lang w:val="de-CH"/>
              </w:rPr>
            </w:pPr>
            <w:r w:rsidRPr="00BA6603">
              <w:rPr>
                <w:lang w:val="de-CH"/>
              </w:rPr>
              <w:t>0</w:t>
            </w:r>
          </w:p>
        </w:tc>
        <w:tc>
          <w:tcPr>
            <w:tcW w:w="1276" w:type="dxa"/>
            <w:tcBorders>
              <w:left w:val="single" w:sz="4" w:space="0" w:color="auto"/>
              <w:bottom w:val="single" w:sz="4" w:space="0" w:color="auto"/>
            </w:tcBorders>
          </w:tcPr>
          <w:p w:rsidR="0062283A" w:rsidRPr="00BA6603" w:rsidRDefault="0062283A" w:rsidP="0022622E">
            <w:pPr>
              <w:pStyle w:val="Table"/>
              <w:rPr>
                <w:lang w:val="de-CH"/>
              </w:rPr>
            </w:pPr>
            <w:r w:rsidRPr="00BA6603">
              <w:rPr>
                <w:lang w:val="de-CH"/>
              </w:rPr>
              <w:t>Common</w:t>
            </w:r>
          </w:p>
        </w:tc>
      </w:tr>
    </w:tbl>
    <w:p w:rsidR="0062283A" w:rsidRPr="00BA6603" w:rsidRDefault="0062283A" w:rsidP="0022622E">
      <w:pPr>
        <w:pStyle w:val="Legend"/>
      </w:pPr>
      <w:r w:rsidRPr="00BA6603">
        <w:t>* No injection site reaction led to study discontinuation</w:t>
      </w:r>
    </w:p>
    <w:p w:rsidR="0062283A" w:rsidRPr="00BA6603" w:rsidRDefault="0062283A" w:rsidP="0022622E"/>
    <w:p w:rsidR="009851A6" w:rsidRPr="00BA6603" w:rsidRDefault="009851A6" w:rsidP="0022622E">
      <w:pPr>
        <w:pStyle w:val="Heading3"/>
      </w:pPr>
      <w:r w:rsidRPr="00BA6603">
        <w:t>Laboratory abnormalities (in sJIA)</w:t>
      </w:r>
    </w:p>
    <w:p w:rsidR="004317EE" w:rsidRPr="00BA6603" w:rsidRDefault="004317EE" w:rsidP="0022622E"/>
    <w:p w:rsidR="009851A6" w:rsidRPr="00BA6603" w:rsidRDefault="009851A6" w:rsidP="0022622E">
      <w:pPr>
        <w:pStyle w:val="heading4"/>
      </w:pPr>
      <w:r w:rsidRPr="00BA6603">
        <w:t>Haematology</w:t>
      </w:r>
    </w:p>
    <w:p w:rsidR="009851A6" w:rsidRPr="00BA6603" w:rsidRDefault="009851A6" w:rsidP="0022622E">
      <w:r w:rsidRPr="00BA6603">
        <w:t xml:space="preserve">Decreased white blood cell counts (WBC) ≤0.8× lower limit of normal (LLN) were reported in 5 patients (10.4%) in the Ilaris group compared to 2 (4.0%) in the placebo group. </w:t>
      </w:r>
    </w:p>
    <w:p w:rsidR="009851A6" w:rsidRPr="00BA6603" w:rsidRDefault="009851A6" w:rsidP="0022622E"/>
    <w:p w:rsidR="009851A6" w:rsidRPr="00BA6603" w:rsidRDefault="009851A6" w:rsidP="0022622E">
      <w:r w:rsidRPr="00BA6603">
        <w:t>Transient decreases in absolute neutrophils counts (ANC) to less than 1x10</w:t>
      </w:r>
      <w:r w:rsidRPr="00BA6603">
        <w:rPr>
          <w:vertAlign w:val="superscript"/>
        </w:rPr>
        <w:t>9</w:t>
      </w:r>
      <w:r w:rsidRPr="00BA6603">
        <w:t xml:space="preserve">/L were reported in 3 patients (6.0%) in the Ilaris group compared to 1 patient (2.0%) in the placebo group. </w:t>
      </w:r>
      <w:r w:rsidRPr="00BA6603">
        <w:lastRenderedPageBreak/>
        <w:t>One case of ANC counts &lt;0.5x10</w:t>
      </w:r>
      <w:r w:rsidRPr="00BA6603">
        <w:rPr>
          <w:vertAlign w:val="superscript"/>
        </w:rPr>
        <w:t>9</w:t>
      </w:r>
      <w:r w:rsidRPr="00BA6603">
        <w:t>/L was observed in the Ilaris group and none in the placebo group (see ‘Precautions’).</w:t>
      </w:r>
    </w:p>
    <w:p w:rsidR="009851A6" w:rsidRPr="00BA6603" w:rsidRDefault="009851A6" w:rsidP="0022622E"/>
    <w:p w:rsidR="009851A6" w:rsidRPr="00BA6603" w:rsidRDefault="009851A6" w:rsidP="0022622E">
      <w:r w:rsidRPr="00BA6603">
        <w:t>Mild (&lt;LLN and &gt;75x10</w:t>
      </w:r>
      <w:r w:rsidRPr="00BA6603">
        <w:rPr>
          <w:vertAlign w:val="superscript"/>
        </w:rPr>
        <w:t>9</w:t>
      </w:r>
      <w:r w:rsidRPr="00BA6603">
        <w:t>/L) and transient decreases in platelet counts were observed in 3 (6.3%) Ilaris-treated patients versus 1 (2.0%) placebo-treated patient.</w:t>
      </w:r>
    </w:p>
    <w:p w:rsidR="009851A6" w:rsidRPr="00BA6603" w:rsidRDefault="009851A6" w:rsidP="0022622E"/>
    <w:p w:rsidR="009851A6" w:rsidRPr="00BA6603" w:rsidRDefault="009851A6" w:rsidP="0022622E">
      <w:pPr>
        <w:pStyle w:val="heading4"/>
      </w:pPr>
      <w:r w:rsidRPr="00BA6603">
        <w:t>ALT/AST</w:t>
      </w:r>
    </w:p>
    <w:p w:rsidR="009851A6" w:rsidRPr="00BA6603" w:rsidRDefault="009851A6" w:rsidP="0022622E">
      <w:r w:rsidRPr="00BA6603">
        <w:t>High ALT and/or AST &gt;3× upper limit of normal (ULN) were reported in 2 (4.1%) Ilaris-treated patients and 1 (2.0%) placebo patient. All patients had normal values at the next visit.</w:t>
      </w:r>
    </w:p>
    <w:p w:rsidR="009851A6" w:rsidRPr="00BA6603" w:rsidRDefault="009851A6" w:rsidP="0022622E"/>
    <w:bookmarkEnd w:id="1"/>
    <w:p w:rsidR="0066180B" w:rsidRPr="00BA6603" w:rsidRDefault="0066180B" w:rsidP="0022622E">
      <w:pPr>
        <w:pStyle w:val="Heading1"/>
      </w:pPr>
      <w:r w:rsidRPr="00BA6603">
        <w:t>DOSAGE AND ADMINISTRATION</w:t>
      </w:r>
    </w:p>
    <w:p w:rsidR="00777D39" w:rsidRPr="00BA6603" w:rsidRDefault="00777D39" w:rsidP="0022622E"/>
    <w:p w:rsidR="00352643" w:rsidRPr="00BA6603" w:rsidRDefault="00352643" w:rsidP="0022622E">
      <w:pPr>
        <w:pStyle w:val="Heading2"/>
      </w:pPr>
      <w:r w:rsidRPr="00BA6603">
        <w:t>Dosage for CAPS:</w:t>
      </w:r>
    </w:p>
    <w:p w:rsidR="00B80F31" w:rsidRPr="00BA6603" w:rsidRDefault="00B80F31" w:rsidP="0022622E">
      <w:r w:rsidRPr="00BA6603">
        <w:t>Treatment should be initiated and supervised by a specialist physician experienced in the diagnosis and treatment of CAPS.</w:t>
      </w:r>
    </w:p>
    <w:p w:rsidR="00B80F31" w:rsidRPr="00BA6603" w:rsidRDefault="00B80F31" w:rsidP="0022622E"/>
    <w:p w:rsidR="00C36535" w:rsidRPr="00BA6603" w:rsidRDefault="00D537BC" w:rsidP="0022622E">
      <w:r w:rsidRPr="00BA6603">
        <w:t xml:space="preserve">The recommended </w:t>
      </w:r>
      <w:r w:rsidR="00C36535" w:rsidRPr="00BA6603">
        <w:t xml:space="preserve">starting </w:t>
      </w:r>
      <w:r w:rsidRPr="00BA6603">
        <w:t xml:space="preserve">dose of </w:t>
      </w:r>
      <w:r w:rsidR="0001567F" w:rsidRPr="00BA6603">
        <w:t>Ilaris</w:t>
      </w:r>
      <w:r w:rsidR="00F00B40" w:rsidRPr="00BA6603">
        <w:t xml:space="preserve"> </w:t>
      </w:r>
      <w:r w:rsidRPr="00BA6603">
        <w:t>for CAPS patients</w:t>
      </w:r>
      <w:r w:rsidR="00D163A4" w:rsidRPr="00BA6603">
        <w:t xml:space="preserve"> </w:t>
      </w:r>
      <w:r w:rsidR="00C36535" w:rsidRPr="00BA6603">
        <w:t>is:</w:t>
      </w:r>
    </w:p>
    <w:p w:rsidR="00C36535" w:rsidRPr="00BA6603" w:rsidRDefault="00C36535" w:rsidP="0022622E">
      <w:r w:rsidRPr="00BA6603">
        <w:t>Adults and children ≥4 years of age:</w:t>
      </w:r>
    </w:p>
    <w:p w:rsidR="00C36535" w:rsidRPr="00BA6603" w:rsidRDefault="00C36535" w:rsidP="0022622E">
      <w:pPr>
        <w:numPr>
          <w:ilvl w:val="0"/>
          <w:numId w:val="8"/>
        </w:numPr>
      </w:pPr>
      <w:r w:rsidRPr="00BA6603">
        <w:t xml:space="preserve">150mg </w:t>
      </w:r>
      <w:r w:rsidR="00D537BC" w:rsidRPr="00BA6603">
        <w:t>with body weight &gt;40 kg</w:t>
      </w:r>
    </w:p>
    <w:p w:rsidR="00D163A4" w:rsidRPr="00BA6603" w:rsidRDefault="00D537BC" w:rsidP="0022622E">
      <w:pPr>
        <w:numPr>
          <w:ilvl w:val="0"/>
          <w:numId w:val="8"/>
        </w:numPr>
      </w:pPr>
      <w:r w:rsidRPr="00BA6603">
        <w:t>2 mg/kg</w:t>
      </w:r>
      <w:r w:rsidR="00F00B40" w:rsidRPr="00BA6603">
        <w:t xml:space="preserve"> </w:t>
      </w:r>
      <w:r w:rsidRPr="00BA6603">
        <w:t>with body weight ≥15 kg and ≤40 kg</w:t>
      </w:r>
    </w:p>
    <w:p w:rsidR="00C36535" w:rsidRPr="00BA6603" w:rsidRDefault="00C36535" w:rsidP="0022622E">
      <w:pPr>
        <w:numPr>
          <w:ilvl w:val="0"/>
          <w:numId w:val="8"/>
        </w:numPr>
      </w:pPr>
      <w:r w:rsidRPr="00BA6603">
        <w:t xml:space="preserve">4 mg/kg with body weight </w:t>
      </w:r>
      <w:r w:rsidR="00DF2BCD" w:rsidRPr="00BA6603">
        <w:t>≥7.5 kg and &lt;15 kg</w:t>
      </w:r>
    </w:p>
    <w:p w:rsidR="00DF2BCD" w:rsidRPr="00BA6603" w:rsidRDefault="00DF2BCD" w:rsidP="0022622E">
      <w:r w:rsidRPr="00BA6603">
        <w:t>Children 2 to &lt;4 years of age:</w:t>
      </w:r>
    </w:p>
    <w:p w:rsidR="00DF2BCD" w:rsidRPr="00BA6603" w:rsidRDefault="00DF2BCD" w:rsidP="0022622E">
      <w:pPr>
        <w:numPr>
          <w:ilvl w:val="0"/>
          <w:numId w:val="8"/>
        </w:numPr>
      </w:pPr>
      <w:r w:rsidRPr="00BA6603">
        <w:t>4 mg/kg for patients with body weight ≥7.5 kg</w:t>
      </w:r>
    </w:p>
    <w:p w:rsidR="00D163A4" w:rsidRPr="00BA6603" w:rsidRDefault="00D163A4" w:rsidP="0022622E"/>
    <w:p w:rsidR="00D537BC" w:rsidRPr="00BA6603" w:rsidRDefault="00D537BC" w:rsidP="0022622E">
      <w:r w:rsidRPr="00BA6603">
        <w:t>This is administered every eight weeks as a single dose via subcutaneous injection</w:t>
      </w:r>
      <w:r w:rsidR="00B322A9" w:rsidRPr="00BA6603">
        <w:t>.</w:t>
      </w:r>
    </w:p>
    <w:p w:rsidR="00DA7A84" w:rsidRPr="00BA6603" w:rsidRDefault="00DA7A84" w:rsidP="0022622E"/>
    <w:p w:rsidR="00DF2BCD" w:rsidRPr="00BA6603" w:rsidRDefault="00DF2BCD" w:rsidP="0022622E">
      <w:r w:rsidRPr="00BA6603">
        <w:t>For patients with a starting dose of 150 mg or 2mg/kg, i</w:t>
      </w:r>
      <w:r w:rsidR="00F00B40" w:rsidRPr="00BA6603">
        <w:t xml:space="preserve">f </w:t>
      </w:r>
      <w:r w:rsidR="00550172" w:rsidRPr="00BA6603">
        <w:t>a satisfactory clinical response (resolution of rash and other generalised inflammatory symptoms) has not been achieved 7 days after treatment start, a second dose of ILARIS at 150 mg or 2 mg/kg can be considered. If a full treatment response is subsequently achieved, the intensified dosing regimen of 300 mg</w:t>
      </w:r>
      <w:r w:rsidR="00F00B40" w:rsidRPr="00BA6603">
        <w:t xml:space="preserve"> </w:t>
      </w:r>
      <w:r w:rsidRPr="00BA6603">
        <w:t>or</w:t>
      </w:r>
      <w:r w:rsidR="00D163A4" w:rsidRPr="00BA6603">
        <w:t xml:space="preserve"> </w:t>
      </w:r>
      <w:r w:rsidR="00550172" w:rsidRPr="00BA6603">
        <w:t xml:space="preserve">4 mg/kg every 8 weeks should be maintained. </w:t>
      </w:r>
      <w:r w:rsidRPr="00BA6603">
        <w:t>If a satisfactory clinical response has not been achieved 7 days after this increased dose, a third dose of ILARIS at 300 mg or 4 mg/kg can be considered. If a full treatment response is subsequently achieved, maintaining the intensified dosing regimen of 600 mg or 8 mg/kg every 8 weeks should be considered.</w:t>
      </w:r>
    </w:p>
    <w:p w:rsidR="00DF2BCD" w:rsidRPr="00BA6603" w:rsidRDefault="00DF2BCD" w:rsidP="0022622E">
      <w:pPr>
        <w:rPr>
          <w:highlight w:val="yellow"/>
        </w:rPr>
      </w:pPr>
    </w:p>
    <w:p w:rsidR="00D163A4" w:rsidRPr="00BA6603" w:rsidRDefault="00DF2BCD" w:rsidP="0022622E">
      <w:r w:rsidRPr="00BA6603">
        <w:t>For patients with a starting dose of 4 mg/kg, if a satisfactory clinical response has not been achieved 7 days after treatment start, a second dose of ILARIS 4 mg/kg can be considered. If a full treatment response is subsequently achieved, maintaining the intensified dosing regimen of 8 mg/kg every 8 weeks should be considered.</w:t>
      </w:r>
      <w:r w:rsidR="00D163A4" w:rsidRPr="00BA6603">
        <w:t xml:space="preserve"> </w:t>
      </w:r>
    </w:p>
    <w:p w:rsidR="00D163A4" w:rsidRPr="00BA6603" w:rsidRDefault="00D163A4" w:rsidP="0022622E"/>
    <w:p w:rsidR="00B322A9" w:rsidRPr="00BA6603" w:rsidRDefault="00550172" w:rsidP="0022622E">
      <w:r w:rsidRPr="00BA6603">
        <w:t>Clinical experience with dosing at intervals of less than 4 weeks</w:t>
      </w:r>
      <w:r w:rsidR="00D163A4" w:rsidRPr="00BA6603">
        <w:t xml:space="preserve"> </w:t>
      </w:r>
      <w:r w:rsidR="00DF2BCD" w:rsidRPr="00BA6603">
        <w:t xml:space="preserve">or at doses above 600 mg or 8 mg/kg </w:t>
      </w:r>
      <w:r w:rsidRPr="00BA6603">
        <w:t>is limited.</w:t>
      </w:r>
    </w:p>
    <w:p w:rsidR="00DF2BCD" w:rsidRPr="00BA6603" w:rsidRDefault="00DF2BCD" w:rsidP="0022622E"/>
    <w:p w:rsidR="00352643" w:rsidRPr="00BA6603" w:rsidRDefault="00DF2BCD" w:rsidP="0022622E">
      <w:pPr>
        <w:pStyle w:val="Heading2"/>
      </w:pPr>
      <w:r w:rsidRPr="00BA6603">
        <w:rPr>
          <w:u w:val="none"/>
        </w:rPr>
        <w:object w:dxaOrig="7183"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35pt;height:339.65pt" o:ole="">
            <v:imagedata r:id="rId9" o:title=""/>
          </v:shape>
          <o:OLEObject Type="Embed" ProgID="PowerPoint.Show.12" ShapeID="_x0000_i1025" DrawAspect="Content" ObjectID="_1482753324" r:id="rId10"/>
        </w:object>
      </w:r>
      <w:r w:rsidR="00352643" w:rsidRPr="00BA6603">
        <w:t>Dosage for sJIA:</w:t>
      </w:r>
    </w:p>
    <w:p w:rsidR="009F1758" w:rsidRPr="00BA6603" w:rsidRDefault="009F1758" w:rsidP="0022622E">
      <w:r w:rsidRPr="00BA6603">
        <w:t>Treatment should be initiated and supervised by a specialist physician experienced in the diagnosis and treatment of sJIA.</w:t>
      </w:r>
    </w:p>
    <w:p w:rsidR="009F1758" w:rsidRPr="00BA6603" w:rsidRDefault="009F1758" w:rsidP="0022622E"/>
    <w:p w:rsidR="00352643" w:rsidRPr="00BA6603" w:rsidRDefault="00352643" w:rsidP="0022622E">
      <w:r w:rsidRPr="00BA6603">
        <w:t>The recommended dose of Ilaris for sJIA patients with body weight ≥7.5 kg is 4 mg/kg (up to maximum of 300 mg) administered every four weeks via subcutaneous injection.</w:t>
      </w:r>
      <w:r w:rsidR="00A905CE" w:rsidRPr="00BA6603">
        <w:t xml:space="preserve"> </w:t>
      </w:r>
      <w:r w:rsidR="00201F33" w:rsidRPr="00BA6603">
        <w:t>The treating physician should consider whether patients without clinical improvement</w:t>
      </w:r>
      <w:r w:rsidR="007E02AB" w:rsidRPr="00BA6603">
        <w:t xml:space="preserve"> should continue treatment with Ilaris</w:t>
      </w:r>
      <w:r w:rsidR="00201F33" w:rsidRPr="00BA6603">
        <w:t>.</w:t>
      </w:r>
    </w:p>
    <w:p w:rsidR="00352643" w:rsidRPr="00BA6603" w:rsidRDefault="00352643" w:rsidP="0022622E"/>
    <w:p w:rsidR="00D537BC" w:rsidRPr="00BA6603" w:rsidRDefault="00D537BC" w:rsidP="0022622E">
      <w:pPr>
        <w:pStyle w:val="Heading2"/>
      </w:pPr>
      <w:r w:rsidRPr="00BA6603">
        <w:t>Renal</w:t>
      </w:r>
      <w:r w:rsidR="0078107B" w:rsidRPr="00BA6603">
        <w:t xml:space="preserve"> and </w:t>
      </w:r>
      <w:r w:rsidR="00B322A9" w:rsidRPr="00BA6603">
        <w:t>H</w:t>
      </w:r>
      <w:r w:rsidR="0078107B" w:rsidRPr="00BA6603">
        <w:t xml:space="preserve">epatic </w:t>
      </w:r>
      <w:r w:rsidR="00B322A9" w:rsidRPr="00BA6603">
        <w:t>I</w:t>
      </w:r>
      <w:r w:rsidRPr="00BA6603">
        <w:t>mpairment</w:t>
      </w:r>
    </w:p>
    <w:p w:rsidR="00D537BC" w:rsidRPr="00BA6603" w:rsidRDefault="00D537BC" w:rsidP="0022622E">
      <w:r w:rsidRPr="00BA6603">
        <w:t xml:space="preserve">No dose adjustment is needed in patients with renal impairment. However, clinical </w:t>
      </w:r>
      <w:r w:rsidR="00886A02" w:rsidRPr="00BA6603">
        <w:t>e</w:t>
      </w:r>
      <w:r w:rsidRPr="00BA6603">
        <w:t>xperience in such patients is limited.</w:t>
      </w:r>
    </w:p>
    <w:p w:rsidR="00B322A9" w:rsidRPr="00BA6603" w:rsidRDefault="00B322A9" w:rsidP="0022622E"/>
    <w:p w:rsidR="00D537BC" w:rsidRPr="00BA6603" w:rsidRDefault="0001567F" w:rsidP="0022622E">
      <w:r w:rsidRPr="00BA6603">
        <w:t>Ilaris</w:t>
      </w:r>
      <w:r w:rsidR="00D537BC" w:rsidRPr="00BA6603">
        <w:t xml:space="preserve"> has not been studied in pa</w:t>
      </w:r>
      <w:r w:rsidR="00B322A9" w:rsidRPr="00BA6603">
        <w:t>tients with hepatic impairment.</w:t>
      </w:r>
    </w:p>
    <w:p w:rsidR="00B322A9" w:rsidRPr="00BA6603" w:rsidRDefault="00B322A9" w:rsidP="0022622E"/>
    <w:p w:rsidR="00D537BC" w:rsidRPr="00BA6603" w:rsidRDefault="00D537BC" w:rsidP="0022622E">
      <w:pPr>
        <w:pStyle w:val="Heading2"/>
      </w:pPr>
      <w:r w:rsidRPr="00BA6603">
        <w:t xml:space="preserve">Paediatric </w:t>
      </w:r>
      <w:r w:rsidR="00B322A9" w:rsidRPr="00BA6603">
        <w:t>P</w:t>
      </w:r>
      <w:r w:rsidRPr="00BA6603">
        <w:t>atients</w:t>
      </w:r>
    </w:p>
    <w:p w:rsidR="00D537BC" w:rsidRPr="00BA6603" w:rsidRDefault="0001567F" w:rsidP="0022622E">
      <w:r w:rsidRPr="00BA6603">
        <w:t>Ilaris</w:t>
      </w:r>
      <w:r w:rsidR="00D537BC" w:rsidRPr="00BA6603">
        <w:t xml:space="preserve"> is not </w:t>
      </w:r>
      <w:r w:rsidR="008F2CC8" w:rsidRPr="00BA6603">
        <w:t xml:space="preserve">indicated </w:t>
      </w:r>
      <w:r w:rsidR="00D537BC" w:rsidRPr="00BA6603">
        <w:t xml:space="preserve">for use in children below age </w:t>
      </w:r>
      <w:r w:rsidR="008F2CC8" w:rsidRPr="00BA6603">
        <w:t>2 </w:t>
      </w:r>
      <w:r w:rsidR="00D537BC" w:rsidRPr="00BA6603">
        <w:t xml:space="preserve">years or with body weight below </w:t>
      </w:r>
      <w:r w:rsidR="008F2CC8" w:rsidRPr="00BA6603">
        <w:t>7.5 </w:t>
      </w:r>
      <w:r w:rsidR="00D537BC" w:rsidRPr="00BA6603">
        <w:t>kg due to a lack of clinical data</w:t>
      </w:r>
      <w:r w:rsidR="006A4435" w:rsidRPr="00BA6603">
        <w:t>.</w:t>
      </w:r>
    </w:p>
    <w:p w:rsidR="00B322A9" w:rsidRPr="00BA6603" w:rsidRDefault="00B322A9" w:rsidP="0022622E"/>
    <w:p w:rsidR="00D537BC" w:rsidRPr="00BA6603" w:rsidRDefault="00D537BC" w:rsidP="0022622E">
      <w:pPr>
        <w:pStyle w:val="Heading2"/>
      </w:pPr>
      <w:r w:rsidRPr="00BA6603">
        <w:lastRenderedPageBreak/>
        <w:t xml:space="preserve">Geriatric </w:t>
      </w:r>
      <w:r w:rsidR="00B322A9" w:rsidRPr="00BA6603">
        <w:t>P</w:t>
      </w:r>
      <w:r w:rsidRPr="00BA6603">
        <w:t>atients</w:t>
      </w:r>
    </w:p>
    <w:p w:rsidR="00D537BC" w:rsidRPr="00BA6603" w:rsidRDefault="00D537BC" w:rsidP="0022622E">
      <w:r w:rsidRPr="00BA6603">
        <w:t>No dose adjustment is required in geriatric patients. However, clinical experience in such patients is limited</w:t>
      </w:r>
      <w:r w:rsidR="00B322A9" w:rsidRPr="00BA6603">
        <w:t>.</w:t>
      </w:r>
    </w:p>
    <w:p w:rsidR="00D537BC" w:rsidRPr="00BA6603" w:rsidRDefault="00B322A9" w:rsidP="0022622E">
      <w:pPr>
        <w:pStyle w:val="Heading2"/>
      </w:pPr>
      <w:r w:rsidRPr="00BA6603">
        <w:t>Method of A</w:t>
      </w:r>
      <w:r w:rsidR="00D537BC" w:rsidRPr="00BA6603">
        <w:t>dministration</w:t>
      </w:r>
    </w:p>
    <w:p w:rsidR="00D537BC" w:rsidRPr="00BA6603" w:rsidRDefault="00B322A9" w:rsidP="0022622E">
      <w:r w:rsidRPr="00BA6603">
        <w:t>Subcutaneous injection.</w:t>
      </w:r>
    </w:p>
    <w:p w:rsidR="00B322A9" w:rsidRPr="00BA6603" w:rsidRDefault="00B322A9" w:rsidP="0022622E"/>
    <w:p w:rsidR="00D537BC" w:rsidRPr="00BA6603" w:rsidRDefault="00D537BC" w:rsidP="0022622E">
      <w:r w:rsidRPr="00BA6603">
        <w:t xml:space="preserve">After proper training in injection technique, patients </w:t>
      </w:r>
      <w:r w:rsidR="00647B02" w:rsidRPr="00BA6603">
        <w:t xml:space="preserve">or caregivers </w:t>
      </w:r>
      <w:r w:rsidRPr="00BA6603">
        <w:t xml:space="preserve">may inject </w:t>
      </w:r>
      <w:r w:rsidR="0001567F" w:rsidRPr="00BA6603">
        <w:t>Ilaris</w:t>
      </w:r>
      <w:r w:rsidRPr="00BA6603">
        <w:t xml:space="preserve"> if their physician determines that it is appropriate and with medical follow-up as necessary.</w:t>
      </w:r>
    </w:p>
    <w:p w:rsidR="0066180B" w:rsidRPr="00BA6603" w:rsidRDefault="0066180B" w:rsidP="0022622E">
      <w:pPr>
        <w:pStyle w:val="Heading2"/>
      </w:pPr>
      <w:r w:rsidRPr="00BA6603">
        <w:t>Instructions for Use and Handling</w:t>
      </w:r>
    </w:p>
    <w:p w:rsidR="00D537BC" w:rsidRPr="00BA6603" w:rsidRDefault="00D537BC" w:rsidP="0022622E">
      <w:r w:rsidRPr="00BA6603">
        <w:t xml:space="preserve">Reconstitute each vial of </w:t>
      </w:r>
      <w:r w:rsidR="0001567F" w:rsidRPr="00BA6603">
        <w:t>Ilaris</w:t>
      </w:r>
      <w:r w:rsidRPr="00BA6603">
        <w:t xml:space="preserve"> by slowly injecting 1.0 mL water for injections with a 1 mL syringe and a 18 G x 2” needle. Swirl the vial slowly at an angle of about 45° for approximately 1 minute and allow to stand for 5 minutes. Then gently turn the vial upside down and back again ten times. If possible, avoid touching the rubber stopper with your fingers. Allow to stand for about 15 minutes at room temperature to obtain a clear solution. Do not shake. Do not use if particles are present in the solution.</w:t>
      </w:r>
    </w:p>
    <w:p w:rsidR="00B322A9" w:rsidRPr="00BA6603" w:rsidRDefault="00B322A9" w:rsidP="0022622E"/>
    <w:p w:rsidR="00D537BC" w:rsidRPr="00BA6603" w:rsidRDefault="00D537BC" w:rsidP="0022622E">
      <w:pPr>
        <w:rPr>
          <w:lang w:eastAsia="ja-JP" w:bidi="th-TH"/>
        </w:rPr>
      </w:pPr>
      <w:r w:rsidRPr="00BA6603">
        <w:t xml:space="preserve">Tap the side of the vial to remove any residual liquid from the stopper. The solution should be essentially free of visible particles and clear to opalescent. </w:t>
      </w:r>
      <w:r w:rsidR="00B4005B" w:rsidRPr="00BA6603">
        <w:t xml:space="preserve">The solution should be colourless or may have a slightly brownish-yellow tint. </w:t>
      </w:r>
      <w:r w:rsidRPr="00BA6603">
        <w:t>If not used within 60 minutes of reconstitution, the solution should be stored in the refrigerator (2°C to 8°C) and used within 24 hours</w:t>
      </w:r>
      <w:r w:rsidRPr="00BA6603">
        <w:rPr>
          <w:lang w:eastAsia="ja-JP" w:bidi="th-TH"/>
        </w:rPr>
        <w:t>.</w:t>
      </w:r>
    </w:p>
    <w:p w:rsidR="00B322A9" w:rsidRPr="00BA6603" w:rsidRDefault="00B322A9" w:rsidP="0022622E"/>
    <w:p w:rsidR="00D537BC" w:rsidRPr="00BA6603" w:rsidRDefault="00D537BC" w:rsidP="0022622E">
      <w:r w:rsidRPr="00BA6603">
        <w:t>Carefully withdraw the required volume depending on the dose to be administered (0.2 mL to 1.0 mL</w:t>
      </w:r>
      <w:r w:rsidR="00021757" w:rsidRPr="00BA6603">
        <w:t>)</w:t>
      </w:r>
      <w:r w:rsidRPr="00BA6603">
        <w:t xml:space="preserve"> and subcutaneously inject using a 27 G x 0.5” needle.</w:t>
      </w:r>
    </w:p>
    <w:p w:rsidR="00B322A9" w:rsidRPr="00BA6603" w:rsidRDefault="00B322A9" w:rsidP="0022622E"/>
    <w:p w:rsidR="00D537BC" w:rsidRPr="00BA6603" w:rsidRDefault="00D537BC" w:rsidP="0022622E">
      <w:r w:rsidRPr="00BA6603">
        <w:t xml:space="preserve">Injection into scar-tissue should be avoided as this may result to insufficient exposure to </w:t>
      </w:r>
      <w:r w:rsidR="0001567F" w:rsidRPr="00BA6603">
        <w:t>Ilaris</w:t>
      </w:r>
      <w:r w:rsidRPr="00BA6603">
        <w:t>.</w:t>
      </w:r>
    </w:p>
    <w:p w:rsidR="00B322A9" w:rsidRPr="00BA6603" w:rsidRDefault="00B322A9" w:rsidP="0022622E"/>
    <w:p w:rsidR="00D537BC" w:rsidRPr="00BA6603" w:rsidRDefault="0001567F" w:rsidP="0022622E">
      <w:r w:rsidRPr="00BA6603">
        <w:t>Ilaris</w:t>
      </w:r>
      <w:r w:rsidR="00D537BC" w:rsidRPr="00BA6603">
        <w:t xml:space="preserve"> 150 mg/mL</w:t>
      </w:r>
      <w:r w:rsidR="00BC1506" w:rsidRPr="00BA6603">
        <w:t xml:space="preserve"> </w:t>
      </w:r>
      <w:r w:rsidR="00D537BC" w:rsidRPr="00BA6603">
        <w:t xml:space="preserve">powder for injection is supplied in a single-use vial. </w:t>
      </w:r>
      <w:r w:rsidR="001A4D1A" w:rsidRPr="00BA6603">
        <w:t xml:space="preserve">Ilaris 150mg/mL powder for injection is for single use in one patient only. </w:t>
      </w:r>
      <w:r w:rsidR="00D537BC" w:rsidRPr="00BA6603">
        <w:t>Any unused product or waste material should be disposed of in accordance with local requirements</w:t>
      </w:r>
      <w:r w:rsidR="00530030" w:rsidRPr="00BA6603">
        <w:t>.</w:t>
      </w:r>
    </w:p>
    <w:p w:rsidR="0066180B" w:rsidRPr="00BA6603" w:rsidRDefault="0066180B" w:rsidP="0022622E"/>
    <w:p w:rsidR="0066180B" w:rsidRPr="00BA6603" w:rsidRDefault="0066180B" w:rsidP="0022622E">
      <w:pPr>
        <w:pStyle w:val="Heading1"/>
      </w:pPr>
      <w:r w:rsidRPr="00BA6603">
        <w:t>OVERDOSAGE</w:t>
      </w:r>
    </w:p>
    <w:p w:rsidR="00777D39" w:rsidRPr="00BA6603" w:rsidRDefault="00777D39" w:rsidP="0022622E"/>
    <w:p w:rsidR="00574323" w:rsidRPr="00BA6603" w:rsidRDefault="00B4005B" w:rsidP="0022622E">
      <w:r w:rsidRPr="00BA6603">
        <w:t>There is limited experience with overdosage. In case of overdosage, it is recommended that the patient be monitored for any signs and symptoms of adverse reactions or effects and appropriate symptomatic treatment instituted as necessary.</w:t>
      </w:r>
    </w:p>
    <w:p w:rsidR="00574323" w:rsidRPr="00BA6603" w:rsidRDefault="00574323" w:rsidP="0022622E"/>
    <w:p w:rsidR="00574323" w:rsidRPr="00BA6603" w:rsidRDefault="00574323" w:rsidP="0022622E">
      <w:r w:rsidRPr="00BA6603">
        <w:t>Contact the Poisons Information Centre on 13 11 26 for advice on management.</w:t>
      </w:r>
    </w:p>
    <w:p w:rsidR="0066180B" w:rsidRPr="00BA6603" w:rsidRDefault="0066180B" w:rsidP="0022622E"/>
    <w:p w:rsidR="0066180B" w:rsidRPr="00BA6603" w:rsidRDefault="0066180B" w:rsidP="0022622E">
      <w:pPr>
        <w:pStyle w:val="Heading1"/>
      </w:pPr>
      <w:r w:rsidRPr="00BA6603">
        <w:t>PRESENTATION AND STORAGE CONDITIONS</w:t>
      </w:r>
    </w:p>
    <w:p w:rsidR="00777D39" w:rsidRPr="00BA6603" w:rsidRDefault="00777D39" w:rsidP="0022622E">
      <w:pPr>
        <w:rPr>
          <w:noProof/>
        </w:rPr>
      </w:pPr>
    </w:p>
    <w:p w:rsidR="006154FC" w:rsidRPr="00BA6603" w:rsidRDefault="006154FC" w:rsidP="0022622E">
      <w:r w:rsidRPr="00BA6603">
        <w:rPr>
          <w:noProof/>
        </w:rPr>
        <w:t xml:space="preserve">Ilaris </w:t>
      </w:r>
      <w:r w:rsidRPr="00BA6603">
        <w:t>is supplied as a pack containing 1 or 4 single-use vial</w:t>
      </w:r>
      <w:r w:rsidR="00021757" w:rsidRPr="00BA6603">
        <w:t>s</w:t>
      </w:r>
      <w:r w:rsidRPr="00BA6603">
        <w:t xml:space="preserve"> of 150 mg sterile, lyophilised powder.</w:t>
      </w:r>
      <w:r w:rsidR="004F5669" w:rsidRPr="00BA6603">
        <w:t xml:space="preserve"> Composite packs also contain 1 or 4 vials of water for injections diluent.</w:t>
      </w:r>
    </w:p>
    <w:p w:rsidR="006154FC" w:rsidRPr="00BA6603" w:rsidRDefault="006154FC" w:rsidP="0022622E">
      <w:r w:rsidRPr="00BA6603">
        <w:rPr>
          <w:u w:val="single"/>
        </w:rPr>
        <w:t>Storage</w:t>
      </w:r>
      <w:r w:rsidRPr="00BA6603">
        <w:t>: Store at 2</w:t>
      </w:r>
      <w:r w:rsidRPr="00BA6603">
        <w:sym w:font="Symbol" w:char="F0B0"/>
      </w:r>
      <w:r w:rsidRPr="00BA6603">
        <w:t xml:space="preserve"> to 8</w:t>
      </w:r>
      <w:r w:rsidRPr="00BA6603">
        <w:sym w:font="Symbol" w:char="F0B0"/>
      </w:r>
      <w:r w:rsidRPr="00BA6603">
        <w:t xml:space="preserve">C. Refrigerate. </w:t>
      </w:r>
      <w:r w:rsidR="00235A19" w:rsidRPr="00BA6603">
        <w:t>Do not freeze.</w:t>
      </w:r>
      <w:r w:rsidRPr="00BA6603">
        <w:t xml:space="preserve"> Protect from light</w:t>
      </w:r>
      <w:r w:rsidR="00514587" w:rsidRPr="00BA6603">
        <w:t>.</w:t>
      </w:r>
    </w:p>
    <w:p w:rsidR="0066180B" w:rsidRPr="00BA6603" w:rsidRDefault="0066180B" w:rsidP="0022622E"/>
    <w:p w:rsidR="0066180B" w:rsidRPr="00BA6603" w:rsidRDefault="0066180B" w:rsidP="0022622E">
      <w:pPr>
        <w:pStyle w:val="Heading1"/>
      </w:pPr>
      <w:r w:rsidRPr="00BA6603">
        <w:t>NAME AND ADDRESS OF THE SPONSOR</w:t>
      </w:r>
    </w:p>
    <w:p w:rsidR="00777D39" w:rsidRPr="00BA6603" w:rsidRDefault="00777D39" w:rsidP="0022622E"/>
    <w:p w:rsidR="0066180B" w:rsidRPr="00BA6603" w:rsidRDefault="0066180B" w:rsidP="0022622E">
      <w:r w:rsidRPr="00BA6603">
        <w:t>Novartis Pharmaceuticals Australia Pty Limited</w:t>
      </w:r>
    </w:p>
    <w:p w:rsidR="0066180B" w:rsidRPr="00BA6603" w:rsidRDefault="0066180B" w:rsidP="0022622E">
      <w:r w:rsidRPr="00BA6603">
        <w:t>ABN 18 004 244 160</w:t>
      </w:r>
    </w:p>
    <w:p w:rsidR="0066180B" w:rsidRPr="00BA6603" w:rsidRDefault="0066180B" w:rsidP="0022622E">
      <w:r w:rsidRPr="00BA6603">
        <w:t>54 Waterloo Road</w:t>
      </w:r>
    </w:p>
    <w:p w:rsidR="0066180B" w:rsidRPr="00BA6603" w:rsidRDefault="0066180B" w:rsidP="0022622E">
      <w:r w:rsidRPr="00BA6603">
        <w:t>North Ryde NSW 2113</w:t>
      </w:r>
    </w:p>
    <w:p w:rsidR="0066180B" w:rsidRPr="00BA6603" w:rsidRDefault="0066180B" w:rsidP="0022622E"/>
    <w:p w:rsidR="0066180B" w:rsidRPr="00BA6603" w:rsidRDefault="0066180B" w:rsidP="0022622E">
      <w:r w:rsidRPr="00BA6603">
        <w:rPr>
          <w:vertAlign w:val="superscript"/>
        </w:rPr>
        <w:sym w:font="Symbol" w:char="F0D2"/>
      </w:r>
      <w:r w:rsidRPr="00BA6603">
        <w:t xml:space="preserve"> = Registered Trademark</w:t>
      </w:r>
    </w:p>
    <w:p w:rsidR="0066180B" w:rsidRPr="00BA6603" w:rsidRDefault="0066180B" w:rsidP="0022622E"/>
    <w:p w:rsidR="0066180B" w:rsidRPr="00BA6603" w:rsidRDefault="0066180B" w:rsidP="0022622E">
      <w:pPr>
        <w:pStyle w:val="Heading1"/>
      </w:pPr>
      <w:r w:rsidRPr="00BA6603">
        <w:t>POISON SCHEDULE OF THE MEDICINE</w:t>
      </w:r>
    </w:p>
    <w:p w:rsidR="00777D39" w:rsidRPr="00BA6603" w:rsidRDefault="00777D39" w:rsidP="0022622E"/>
    <w:p w:rsidR="0066180B" w:rsidRPr="00BA6603" w:rsidRDefault="004F5669" w:rsidP="0022622E">
      <w:r w:rsidRPr="00BA6603">
        <w:t>Schedule 4 – Prescription Only Medicine</w:t>
      </w:r>
    </w:p>
    <w:p w:rsidR="00F44550" w:rsidRPr="00BA6603" w:rsidRDefault="00F44550" w:rsidP="0022622E"/>
    <w:p w:rsidR="0066180B" w:rsidRPr="00BA6603" w:rsidRDefault="0066180B" w:rsidP="0022622E">
      <w:pPr>
        <w:pStyle w:val="Heading1"/>
        <w:rPr>
          <w:color w:val="00B050"/>
        </w:rPr>
      </w:pPr>
      <w:r w:rsidRPr="00BA6603">
        <w:t>DATE OF</w:t>
      </w:r>
      <w:r w:rsidR="00F84F8B" w:rsidRPr="00BA6603">
        <w:t xml:space="preserve"> FIRST INCLUSION IN THE ARTG</w:t>
      </w:r>
    </w:p>
    <w:p w:rsidR="00777D39" w:rsidRPr="00BA6603" w:rsidRDefault="00777D39" w:rsidP="0022622E"/>
    <w:p w:rsidR="0066180B" w:rsidRPr="00BA6603" w:rsidRDefault="00F84F8B" w:rsidP="0022622E">
      <w:pPr>
        <w:rPr>
          <w:color w:val="00B050"/>
        </w:rPr>
      </w:pPr>
      <w:r w:rsidRPr="00BA6603">
        <w:t>10 May 2010</w:t>
      </w:r>
    </w:p>
    <w:p w:rsidR="00770E86" w:rsidRPr="00BA6603" w:rsidRDefault="00770E86" w:rsidP="0022622E"/>
    <w:p w:rsidR="00DE3CBC" w:rsidRPr="00BA6603" w:rsidRDefault="00F84F8B" w:rsidP="0022622E">
      <w:pPr>
        <w:pStyle w:val="Heading1"/>
      </w:pPr>
      <w:r w:rsidRPr="00BA6603">
        <w:t>DATE OF MOST RECENT AMENDMENT</w:t>
      </w:r>
    </w:p>
    <w:p w:rsidR="00DE3CBC" w:rsidRPr="00BA6603" w:rsidRDefault="00DE3CBC" w:rsidP="0022622E"/>
    <w:p w:rsidR="00393936" w:rsidRPr="00BA6603" w:rsidRDefault="00BD6095" w:rsidP="0022622E">
      <w:r w:rsidRPr="00BA6603">
        <w:t>07 August 2014</w:t>
      </w:r>
    </w:p>
    <w:p w:rsidR="0066180B" w:rsidRPr="00BA6603" w:rsidRDefault="0066180B" w:rsidP="0022622E">
      <w:r w:rsidRPr="00BA6603">
        <w:t>_________________________________________________________________________</w:t>
      </w:r>
    </w:p>
    <w:p w:rsidR="00272917" w:rsidRPr="00BA6603" w:rsidRDefault="00272917" w:rsidP="0022622E">
      <w:r w:rsidRPr="00BA6603">
        <w:t>For Internal Use Only</w:t>
      </w:r>
    </w:p>
    <w:p w:rsidR="0066180B" w:rsidRPr="00BA6603" w:rsidRDefault="0066180B" w:rsidP="0022622E">
      <w:r w:rsidRPr="00BA6603">
        <w:t>(</w:t>
      </w:r>
      <w:r w:rsidR="00D22F42" w:rsidRPr="00BA6603">
        <w:t>ila</w:t>
      </w:r>
      <w:r w:rsidR="00BD6095" w:rsidRPr="00BA6603">
        <w:t>0708</w:t>
      </w:r>
      <w:r w:rsidR="00D22F42" w:rsidRPr="00BA6603">
        <w:t>14i</w:t>
      </w:r>
      <w:r w:rsidR="00AB69DF" w:rsidRPr="00BA6603">
        <w:t>.doc</w:t>
      </w:r>
      <w:r w:rsidRPr="00BA6603">
        <w:t xml:space="preserve">) based </w:t>
      </w:r>
      <w:r w:rsidR="00277342" w:rsidRPr="00BA6603">
        <w:t>on CDS of</w:t>
      </w:r>
      <w:r w:rsidR="006A4435" w:rsidRPr="00BA6603" w:rsidDel="006A4435">
        <w:t xml:space="preserve"> </w:t>
      </w:r>
      <w:r w:rsidR="00AB69DF" w:rsidRPr="00BA6603">
        <w:t>27-Feb-2014</w:t>
      </w:r>
    </w:p>
    <w:sectPr w:rsidR="0066180B" w:rsidRPr="00BA6603" w:rsidSect="00474079">
      <w:headerReference w:type="even" r:id="rId11"/>
      <w:headerReference w:type="default" r:id="rId12"/>
      <w:type w:val="continuous"/>
      <w:pgSz w:w="11907" w:h="16840" w:code="9"/>
      <w:pgMar w:top="1440"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159" w:rsidRDefault="00201159" w:rsidP="0022622E">
      <w:r>
        <w:separator/>
      </w:r>
    </w:p>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endnote>
  <w:endnote w:type="continuationSeparator" w:id="0">
    <w:p w:rsidR="00201159" w:rsidRDefault="00201159" w:rsidP="0022622E">
      <w:r>
        <w:continuationSeparator/>
      </w:r>
    </w:p>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159" w:rsidRDefault="00201159" w:rsidP="0022622E">
      <w:r>
        <w:separator/>
      </w:r>
    </w:p>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footnote>
  <w:footnote w:type="continuationSeparator" w:id="0">
    <w:p w:rsidR="00201159" w:rsidRDefault="00201159" w:rsidP="0022622E">
      <w:r>
        <w:continuationSeparator/>
      </w:r>
    </w:p>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p w:rsidR="00201159" w:rsidRDefault="00201159" w:rsidP="002262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p w:rsidR="00BA6603" w:rsidRDefault="00BA6603" w:rsidP="002262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03" w:rsidRPr="008A7865" w:rsidRDefault="00BA6603" w:rsidP="0022622E">
    <w:pPr>
      <w:pStyle w:val="Header"/>
    </w:pPr>
    <w:r>
      <w:tab/>
    </w:r>
    <w:r>
      <w:tab/>
    </w:r>
    <w:r w:rsidRPr="008A7865">
      <w:fldChar w:fldCharType="begin"/>
    </w:r>
    <w:r w:rsidRPr="008A7865">
      <w:instrText>PAGE</w:instrText>
    </w:r>
    <w:r w:rsidRPr="008A7865">
      <w:fldChar w:fldCharType="separate"/>
    </w:r>
    <w:r w:rsidR="009D7385">
      <w:rPr>
        <w:noProof/>
      </w:rPr>
      <w:t>1</w:t>
    </w:r>
    <w:r w:rsidRPr="008A7865">
      <w:fldChar w:fldCharType="end"/>
    </w:r>
  </w:p>
  <w:tbl>
    <w:tblPr>
      <w:tblW w:w="0" w:type="auto"/>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shd w:val="clear" w:color="auto" w:fill="E4F2E0"/>
      <w:tblLook w:val="04A0" w:firstRow="1" w:lastRow="0" w:firstColumn="1" w:lastColumn="0" w:noHBand="0" w:noVBand="1"/>
    </w:tblPr>
    <w:tblGrid>
      <w:gridCol w:w="8720"/>
    </w:tblGrid>
    <w:tr w:rsidR="00BA6603" w:rsidTr="0071428E">
      <w:tc>
        <w:tcPr>
          <w:tcW w:w="8720" w:type="dxa"/>
          <w:shd w:val="clear" w:color="auto" w:fill="E4F2E0"/>
        </w:tcPr>
        <w:p w:rsidR="00BA6603" w:rsidRPr="00BA6603" w:rsidRDefault="00BA6603" w:rsidP="0022622E">
          <w:r w:rsidRPr="00BA6603">
            <w:t xml:space="preserve">Attachment 1: Product information for AusPAR Ilaris </w:t>
          </w:r>
          <w:r w:rsidRPr="00BA6603">
            <w:rPr>
              <w:rFonts w:cs="Cambria"/>
            </w:rPr>
            <w:t>Canakinumab Novartis Pharmaceuticals Australia Pty Ltd</w:t>
          </w:r>
          <w:r w:rsidRPr="00BA6603">
            <w:t xml:space="preserve"> PM-2013-01501-1-3 Final 25 November 2014. This Product Information was approved at the time this AusPAR was published.</w:t>
          </w:r>
        </w:p>
      </w:tc>
    </w:tr>
  </w:tbl>
  <w:p w:rsidR="00BA6603" w:rsidRDefault="00BA6603" w:rsidP="0022622E">
    <w:pPr>
      <w:pStyle w:val="Header"/>
    </w:pPr>
  </w:p>
  <w:p w:rsidR="00BA6603" w:rsidRDefault="00BA6603" w:rsidP="00226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686"/>
    <w:multiLevelType w:val="hybridMultilevel"/>
    <w:tmpl w:val="52445496"/>
    <w:lvl w:ilvl="0" w:tplc="7152BED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93FFE"/>
    <w:multiLevelType w:val="hybridMultilevel"/>
    <w:tmpl w:val="6CE2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EB6EE9"/>
    <w:multiLevelType w:val="hybridMultilevel"/>
    <w:tmpl w:val="6498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EF7A13"/>
    <w:multiLevelType w:val="singleLevel"/>
    <w:tmpl w:val="45541546"/>
    <w:lvl w:ilvl="0">
      <w:start w:val="1"/>
      <w:numFmt w:val="bullet"/>
      <w:lvlText w:val=""/>
      <w:lvlJc w:val="left"/>
      <w:pPr>
        <w:tabs>
          <w:tab w:val="num" w:pos="357"/>
        </w:tabs>
        <w:ind w:left="357" w:hanging="357"/>
      </w:pPr>
      <w:rPr>
        <w:rFonts w:ascii="Symbol" w:hAnsi="Symbol" w:hint="default"/>
      </w:rPr>
    </w:lvl>
  </w:abstractNum>
  <w:abstractNum w:abstractNumId="4">
    <w:nsid w:val="4B1479B0"/>
    <w:multiLevelType w:val="hybridMultilevel"/>
    <w:tmpl w:val="31B44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ED6621"/>
    <w:multiLevelType w:val="hybridMultilevel"/>
    <w:tmpl w:val="B148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AE2341"/>
    <w:multiLevelType w:val="hybridMultilevel"/>
    <w:tmpl w:val="64DCDA6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7">
    <w:nsid w:val="7CB3229D"/>
    <w:multiLevelType w:val="hybridMultilevel"/>
    <w:tmpl w:val="2AB2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CF"/>
    <w:rsid w:val="00001553"/>
    <w:rsid w:val="0000232E"/>
    <w:rsid w:val="000045E1"/>
    <w:rsid w:val="0000474D"/>
    <w:rsid w:val="00007304"/>
    <w:rsid w:val="0001203D"/>
    <w:rsid w:val="000131BD"/>
    <w:rsid w:val="00015118"/>
    <w:rsid w:val="0001567F"/>
    <w:rsid w:val="00017127"/>
    <w:rsid w:val="00021757"/>
    <w:rsid w:val="00022876"/>
    <w:rsid w:val="000237C1"/>
    <w:rsid w:val="00023EB2"/>
    <w:rsid w:val="00024CC9"/>
    <w:rsid w:val="000256A0"/>
    <w:rsid w:val="00026CEC"/>
    <w:rsid w:val="00027782"/>
    <w:rsid w:val="00030865"/>
    <w:rsid w:val="00032087"/>
    <w:rsid w:val="00032BFF"/>
    <w:rsid w:val="00034542"/>
    <w:rsid w:val="00037DC5"/>
    <w:rsid w:val="0004025B"/>
    <w:rsid w:val="00044481"/>
    <w:rsid w:val="0004602D"/>
    <w:rsid w:val="000464D5"/>
    <w:rsid w:val="00046A05"/>
    <w:rsid w:val="00047578"/>
    <w:rsid w:val="0005032F"/>
    <w:rsid w:val="0005164D"/>
    <w:rsid w:val="000522A4"/>
    <w:rsid w:val="00053B23"/>
    <w:rsid w:val="00057EF0"/>
    <w:rsid w:val="00060D23"/>
    <w:rsid w:val="00061B10"/>
    <w:rsid w:val="00063908"/>
    <w:rsid w:val="0006393D"/>
    <w:rsid w:val="00065A68"/>
    <w:rsid w:val="000673B7"/>
    <w:rsid w:val="0007142F"/>
    <w:rsid w:val="00072EA4"/>
    <w:rsid w:val="000801E0"/>
    <w:rsid w:val="000831DC"/>
    <w:rsid w:val="00083D5F"/>
    <w:rsid w:val="0008400F"/>
    <w:rsid w:val="00085866"/>
    <w:rsid w:val="00085945"/>
    <w:rsid w:val="0009100B"/>
    <w:rsid w:val="0009651C"/>
    <w:rsid w:val="00096ED8"/>
    <w:rsid w:val="000A0E9E"/>
    <w:rsid w:val="000A0F84"/>
    <w:rsid w:val="000A114D"/>
    <w:rsid w:val="000A201D"/>
    <w:rsid w:val="000B45A9"/>
    <w:rsid w:val="000B6238"/>
    <w:rsid w:val="000B764E"/>
    <w:rsid w:val="000B7D47"/>
    <w:rsid w:val="000B7DFB"/>
    <w:rsid w:val="000C07CC"/>
    <w:rsid w:val="000C76BC"/>
    <w:rsid w:val="000D0674"/>
    <w:rsid w:val="000D1AA9"/>
    <w:rsid w:val="000D2A47"/>
    <w:rsid w:val="000D4CA4"/>
    <w:rsid w:val="000D6A0A"/>
    <w:rsid w:val="000D7F7D"/>
    <w:rsid w:val="000E4893"/>
    <w:rsid w:val="000E524C"/>
    <w:rsid w:val="000E5581"/>
    <w:rsid w:val="000E5D96"/>
    <w:rsid w:val="000E777A"/>
    <w:rsid w:val="000F0174"/>
    <w:rsid w:val="000F06EB"/>
    <w:rsid w:val="000F2222"/>
    <w:rsid w:val="000F2FF9"/>
    <w:rsid w:val="000F3A52"/>
    <w:rsid w:val="000F5EF0"/>
    <w:rsid w:val="000F6602"/>
    <w:rsid w:val="00100A39"/>
    <w:rsid w:val="00101442"/>
    <w:rsid w:val="0010399D"/>
    <w:rsid w:val="00103ED5"/>
    <w:rsid w:val="00104832"/>
    <w:rsid w:val="0010529E"/>
    <w:rsid w:val="00115172"/>
    <w:rsid w:val="00117A70"/>
    <w:rsid w:val="00117CD1"/>
    <w:rsid w:val="001253AC"/>
    <w:rsid w:val="0012740C"/>
    <w:rsid w:val="0013236C"/>
    <w:rsid w:val="00133807"/>
    <w:rsid w:val="00135D24"/>
    <w:rsid w:val="00136427"/>
    <w:rsid w:val="00140DA0"/>
    <w:rsid w:val="00142284"/>
    <w:rsid w:val="0014254A"/>
    <w:rsid w:val="001428C0"/>
    <w:rsid w:val="001442F8"/>
    <w:rsid w:val="0014632F"/>
    <w:rsid w:val="0015066F"/>
    <w:rsid w:val="001541C0"/>
    <w:rsid w:val="0015690D"/>
    <w:rsid w:val="0015780B"/>
    <w:rsid w:val="00167ECD"/>
    <w:rsid w:val="00175A91"/>
    <w:rsid w:val="001805F0"/>
    <w:rsid w:val="00180B9A"/>
    <w:rsid w:val="00186FA1"/>
    <w:rsid w:val="001A18B5"/>
    <w:rsid w:val="001A4D1A"/>
    <w:rsid w:val="001C0DEC"/>
    <w:rsid w:val="001C2488"/>
    <w:rsid w:val="001C411D"/>
    <w:rsid w:val="001C5839"/>
    <w:rsid w:val="001C63D5"/>
    <w:rsid w:val="001C7F3B"/>
    <w:rsid w:val="001D2411"/>
    <w:rsid w:val="001D2CDE"/>
    <w:rsid w:val="001D3867"/>
    <w:rsid w:val="001E13A8"/>
    <w:rsid w:val="001E216B"/>
    <w:rsid w:val="001E70B6"/>
    <w:rsid w:val="001F0397"/>
    <w:rsid w:val="001F03B1"/>
    <w:rsid w:val="001F28EF"/>
    <w:rsid w:val="001F2B0F"/>
    <w:rsid w:val="001F4A4C"/>
    <w:rsid w:val="001F5252"/>
    <w:rsid w:val="001F6D35"/>
    <w:rsid w:val="001F74C6"/>
    <w:rsid w:val="00201159"/>
    <w:rsid w:val="00201F33"/>
    <w:rsid w:val="00203BFA"/>
    <w:rsid w:val="00206428"/>
    <w:rsid w:val="002070EC"/>
    <w:rsid w:val="0021061C"/>
    <w:rsid w:val="002132A4"/>
    <w:rsid w:val="00215C8B"/>
    <w:rsid w:val="00216DD8"/>
    <w:rsid w:val="00217362"/>
    <w:rsid w:val="00224248"/>
    <w:rsid w:val="0022566B"/>
    <w:rsid w:val="00225B5E"/>
    <w:rsid w:val="0022622E"/>
    <w:rsid w:val="0022661F"/>
    <w:rsid w:val="00227F9D"/>
    <w:rsid w:val="002344C2"/>
    <w:rsid w:val="00234759"/>
    <w:rsid w:val="00234D2C"/>
    <w:rsid w:val="00234D7C"/>
    <w:rsid w:val="00235A19"/>
    <w:rsid w:val="00243739"/>
    <w:rsid w:val="0024374E"/>
    <w:rsid w:val="0024550C"/>
    <w:rsid w:val="002459BE"/>
    <w:rsid w:val="00246414"/>
    <w:rsid w:val="00250DEC"/>
    <w:rsid w:val="00252BBD"/>
    <w:rsid w:val="00254302"/>
    <w:rsid w:val="0025631F"/>
    <w:rsid w:val="002572CF"/>
    <w:rsid w:val="002600F2"/>
    <w:rsid w:val="00272917"/>
    <w:rsid w:val="00272CFB"/>
    <w:rsid w:val="00272D99"/>
    <w:rsid w:val="00277342"/>
    <w:rsid w:val="00277B08"/>
    <w:rsid w:val="00280B2E"/>
    <w:rsid w:val="00283558"/>
    <w:rsid w:val="00286876"/>
    <w:rsid w:val="00286D00"/>
    <w:rsid w:val="002879D5"/>
    <w:rsid w:val="0029017F"/>
    <w:rsid w:val="00291A8B"/>
    <w:rsid w:val="0029292A"/>
    <w:rsid w:val="002938DA"/>
    <w:rsid w:val="002956CE"/>
    <w:rsid w:val="002957CF"/>
    <w:rsid w:val="002969B0"/>
    <w:rsid w:val="00297728"/>
    <w:rsid w:val="002A136A"/>
    <w:rsid w:val="002A15CF"/>
    <w:rsid w:val="002A46AF"/>
    <w:rsid w:val="002A48CD"/>
    <w:rsid w:val="002A5674"/>
    <w:rsid w:val="002B710C"/>
    <w:rsid w:val="002B742B"/>
    <w:rsid w:val="002C05D0"/>
    <w:rsid w:val="002C118A"/>
    <w:rsid w:val="002C1A6B"/>
    <w:rsid w:val="002C2536"/>
    <w:rsid w:val="002C631C"/>
    <w:rsid w:val="002C7625"/>
    <w:rsid w:val="002D14C8"/>
    <w:rsid w:val="002D2088"/>
    <w:rsid w:val="002D3309"/>
    <w:rsid w:val="002D4AA1"/>
    <w:rsid w:val="002D52E5"/>
    <w:rsid w:val="002E2408"/>
    <w:rsid w:val="002F106C"/>
    <w:rsid w:val="002F2E53"/>
    <w:rsid w:val="002F31F9"/>
    <w:rsid w:val="0030022A"/>
    <w:rsid w:val="00300B58"/>
    <w:rsid w:val="00302596"/>
    <w:rsid w:val="00302CDF"/>
    <w:rsid w:val="0030700F"/>
    <w:rsid w:val="00307F5D"/>
    <w:rsid w:val="00312517"/>
    <w:rsid w:val="0031364A"/>
    <w:rsid w:val="00322B42"/>
    <w:rsid w:val="003233DC"/>
    <w:rsid w:val="003253F9"/>
    <w:rsid w:val="00326ACA"/>
    <w:rsid w:val="00326CD5"/>
    <w:rsid w:val="003270BA"/>
    <w:rsid w:val="00330278"/>
    <w:rsid w:val="003302F6"/>
    <w:rsid w:val="003315E1"/>
    <w:rsid w:val="00331EB9"/>
    <w:rsid w:val="00333A85"/>
    <w:rsid w:val="00333AB2"/>
    <w:rsid w:val="00336733"/>
    <w:rsid w:val="00340357"/>
    <w:rsid w:val="00342FC4"/>
    <w:rsid w:val="0034428D"/>
    <w:rsid w:val="0034514E"/>
    <w:rsid w:val="00352643"/>
    <w:rsid w:val="00362F02"/>
    <w:rsid w:val="003659DF"/>
    <w:rsid w:val="0036683D"/>
    <w:rsid w:val="00367153"/>
    <w:rsid w:val="00370868"/>
    <w:rsid w:val="0037358D"/>
    <w:rsid w:val="0038091E"/>
    <w:rsid w:val="003847CC"/>
    <w:rsid w:val="00386F8A"/>
    <w:rsid w:val="00390EDC"/>
    <w:rsid w:val="0039116F"/>
    <w:rsid w:val="003918B0"/>
    <w:rsid w:val="00392F08"/>
    <w:rsid w:val="00393936"/>
    <w:rsid w:val="00397487"/>
    <w:rsid w:val="003A10D9"/>
    <w:rsid w:val="003A3177"/>
    <w:rsid w:val="003B3470"/>
    <w:rsid w:val="003B7E9E"/>
    <w:rsid w:val="003C0CBA"/>
    <w:rsid w:val="003C1581"/>
    <w:rsid w:val="003C2D98"/>
    <w:rsid w:val="003C5E08"/>
    <w:rsid w:val="003C670F"/>
    <w:rsid w:val="003C706C"/>
    <w:rsid w:val="003C79E7"/>
    <w:rsid w:val="003D1B98"/>
    <w:rsid w:val="003D1C26"/>
    <w:rsid w:val="003D2551"/>
    <w:rsid w:val="003D3C37"/>
    <w:rsid w:val="003E440A"/>
    <w:rsid w:val="003E5A7C"/>
    <w:rsid w:val="003F08D0"/>
    <w:rsid w:val="003F0995"/>
    <w:rsid w:val="003F1748"/>
    <w:rsid w:val="003F17D5"/>
    <w:rsid w:val="003F1CA0"/>
    <w:rsid w:val="003F4506"/>
    <w:rsid w:val="003F4855"/>
    <w:rsid w:val="003F5624"/>
    <w:rsid w:val="003F5E7A"/>
    <w:rsid w:val="003F76F9"/>
    <w:rsid w:val="00404000"/>
    <w:rsid w:val="0040492A"/>
    <w:rsid w:val="0040638C"/>
    <w:rsid w:val="004067C0"/>
    <w:rsid w:val="00407593"/>
    <w:rsid w:val="00414452"/>
    <w:rsid w:val="00421866"/>
    <w:rsid w:val="00424DC7"/>
    <w:rsid w:val="00425C13"/>
    <w:rsid w:val="00426532"/>
    <w:rsid w:val="00427439"/>
    <w:rsid w:val="00430355"/>
    <w:rsid w:val="0043093F"/>
    <w:rsid w:val="004317EE"/>
    <w:rsid w:val="00434432"/>
    <w:rsid w:val="00434C64"/>
    <w:rsid w:val="00435BF9"/>
    <w:rsid w:val="004362C3"/>
    <w:rsid w:val="00437EAB"/>
    <w:rsid w:val="00437F6E"/>
    <w:rsid w:val="004422AD"/>
    <w:rsid w:val="004457B6"/>
    <w:rsid w:val="0045088C"/>
    <w:rsid w:val="00451DB1"/>
    <w:rsid w:val="00452C44"/>
    <w:rsid w:val="00457336"/>
    <w:rsid w:val="00457451"/>
    <w:rsid w:val="00457669"/>
    <w:rsid w:val="0046264C"/>
    <w:rsid w:val="00464DAB"/>
    <w:rsid w:val="00470ECE"/>
    <w:rsid w:val="00471DE8"/>
    <w:rsid w:val="0047223B"/>
    <w:rsid w:val="00472B1B"/>
    <w:rsid w:val="00473845"/>
    <w:rsid w:val="00474079"/>
    <w:rsid w:val="004802E9"/>
    <w:rsid w:val="00485EDA"/>
    <w:rsid w:val="00487305"/>
    <w:rsid w:val="00490880"/>
    <w:rsid w:val="0049313B"/>
    <w:rsid w:val="00493730"/>
    <w:rsid w:val="00494A70"/>
    <w:rsid w:val="004A3101"/>
    <w:rsid w:val="004A3327"/>
    <w:rsid w:val="004A3643"/>
    <w:rsid w:val="004A65D9"/>
    <w:rsid w:val="004B23AF"/>
    <w:rsid w:val="004B3B9F"/>
    <w:rsid w:val="004B5641"/>
    <w:rsid w:val="004B5DFE"/>
    <w:rsid w:val="004B6224"/>
    <w:rsid w:val="004B6BED"/>
    <w:rsid w:val="004C0B7D"/>
    <w:rsid w:val="004C2F20"/>
    <w:rsid w:val="004C3E10"/>
    <w:rsid w:val="004C4C6A"/>
    <w:rsid w:val="004C4CF1"/>
    <w:rsid w:val="004C6D12"/>
    <w:rsid w:val="004D4AC4"/>
    <w:rsid w:val="004D66CD"/>
    <w:rsid w:val="004E002C"/>
    <w:rsid w:val="004E39FB"/>
    <w:rsid w:val="004E5E2C"/>
    <w:rsid w:val="004F0390"/>
    <w:rsid w:val="004F1540"/>
    <w:rsid w:val="004F1E83"/>
    <w:rsid w:val="004F2FE1"/>
    <w:rsid w:val="004F5669"/>
    <w:rsid w:val="00501668"/>
    <w:rsid w:val="005035E1"/>
    <w:rsid w:val="00504959"/>
    <w:rsid w:val="00504AF1"/>
    <w:rsid w:val="0050751D"/>
    <w:rsid w:val="00511C30"/>
    <w:rsid w:val="00514587"/>
    <w:rsid w:val="005170FC"/>
    <w:rsid w:val="00522A0C"/>
    <w:rsid w:val="00524BAF"/>
    <w:rsid w:val="00530030"/>
    <w:rsid w:val="00531083"/>
    <w:rsid w:val="005311B2"/>
    <w:rsid w:val="00531FC3"/>
    <w:rsid w:val="005321AD"/>
    <w:rsid w:val="00532BAB"/>
    <w:rsid w:val="005359C4"/>
    <w:rsid w:val="0053651B"/>
    <w:rsid w:val="00540911"/>
    <w:rsid w:val="00542B29"/>
    <w:rsid w:val="005433D5"/>
    <w:rsid w:val="00544521"/>
    <w:rsid w:val="00547BFE"/>
    <w:rsid w:val="00550172"/>
    <w:rsid w:val="00551605"/>
    <w:rsid w:val="005517F0"/>
    <w:rsid w:val="00552735"/>
    <w:rsid w:val="005540CB"/>
    <w:rsid w:val="00554128"/>
    <w:rsid w:val="00556621"/>
    <w:rsid w:val="005606E8"/>
    <w:rsid w:val="00562374"/>
    <w:rsid w:val="00565251"/>
    <w:rsid w:val="00565F8E"/>
    <w:rsid w:val="0057119E"/>
    <w:rsid w:val="00571772"/>
    <w:rsid w:val="00574323"/>
    <w:rsid w:val="00575873"/>
    <w:rsid w:val="005778EB"/>
    <w:rsid w:val="0058309D"/>
    <w:rsid w:val="00583DB6"/>
    <w:rsid w:val="005854CD"/>
    <w:rsid w:val="00590D05"/>
    <w:rsid w:val="00592093"/>
    <w:rsid w:val="00596A45"/>
    <w:rsid w:val="005A34EB"/>
    <w:rsid w:val="005A5366"/>
    <w:rsid w:val="005A6355"/>
    <w:rsid w:val="005A73F0"/>
    <w:rsid w:val="005B32E0"/>
    <w:rsid w:val="005B34B2"/>
    <w:rsid w:val="005B39E7"/>
    <w:rsid w:val="005B64BC"/>
    <w:rsid w:val="005B6C1B"/>
    <w:rsid w:val="005B70E8"/>
    <w:rsid w:val="005D1184"/>
    <w:rsid w:val="005D2C7E"/>
    <w:rsid w:val="005D4B9A"/>
    <w:rsid w:val="005D5D2D"/>
    <w:rsid w:val="005D5EAF"/>
    <w:rsid w:val="005D72AB"/>
    <w:rsid w:val="005D76A3"/>
    <w:rsid w:val="005E4CB4"/>
    <w:rsid w:val="005E593C"/>
    <w:rsid w:val="005E60DF"/>
    <w:rsid w:val="005E7BE5"/>
    <w:rsid w:val="005F14AA"/>
    <w:rsid w:val="005F350E"/>
    <w:rsid w:val="005F3F81"/>
    <w:rsid w:val="005F568F"/>
    <w:rsid w:val="0060471A"/>
    <w:rsid w:val="006057B7"/>
    <w:rsid w:val="006072F6"/>
    <w:rsid w:val="00611E8B"/>
    <w:rsid w:val="0061294A"/>
    <w:rsid w:val="006154FC"/>
    <w:rsid w:val="00615639"/>
    <w:rsid w:val="00616D48"/>
    <w:rsid w:val="0062045F"/>
    <w:rsid w:val="0062283A"/>
    <w:rsid w:val="0062442A"/>
    <w:rsid w:val="00631DA4"/>
    <w:rsid w:val="00636F79"/>
    <w:rsid w:val="00637A01"/>
    <w:rsid w:val="006401B9"/>
    <w:rsid w:val="006418E2"/>
    <w:rsid w:val="00645EE2"/>
    <w:rsid w:val="00647B02"/>
    <w:rsid w:val="00651FE1"/>
    <w:rsid w:val="00654610"/>
    <w:rsid w:val="00654B42"/>
    <w:rsid w:val="0065646C"/>
    <w:rsid w:val="00660D76"/>
    <w:rsid w:val="0066180B"/>
    <w:rsid w:val="0066306B"/>
    <w:rsid w:val="00664E12"/>
    <w:rsid w:val="006713CF"/>
    <w:rsid w:val="006732A5"/>
    <w:rsid w:val="006756D5"/>
    <w:rsid w:val="006759B4"/>
    <w:rsid w:val="00675BAE"/>
    <w:rsid w:val="00675EAB"/>
    <w:rsid w:val="00682018"/>
    <w:rsid w:val="0068220C"/>
    <w:rsid w:val="00683F68"/>
    <w:rsid w:val="00687475"/>
    <w:rsid w:val="00687FBA"/>
    <w:rsid w:val="0069098C"/>
    <w:rsid w:val="00693989"/>
    <w:rsid w:val="006971FA"/>
    <w:rsid w:val="006A4435"/>
    <w:rsid w:val="006B130E"/>
    <w:rsid w:val="006B1906"/>
    <w:rsid w:val="006B1DBF"/>
    <w:rsid w:val="006B299F"/>
    <w:rsid w:val="006B4AAF"/>
    <w:rsid w:val="006B5509"/>
    <w:rsid w:val="006C2D1A"/>
    <w:rsid w:val="006D2A2B"/>
    <w:rsid w:val="006D5C94"/>
    <w:rsid w:val="006D6EC6"/>
    <w:rsid w:val="006D6F1A"/>
    <w:rsid w:val="006E4489"/>
    <w:rsid w:val="006E505C"/>
    <w:rsid w:val="006E6AC9"/>
    <w:rsid w:val="006E6E1C"/>
    <w:rsid w:val="006F01C6"/>
    <w:rsid w:val="006F1D7A"/>
    <w:rsid w:val="006F3ECC"/>
    <w:rsid w:val="006F55CD"/>
    <w:rsid w:val="00703749"/>
    <w:rsid w:val="007047F2"/>
    <w:rsid w:val="00704C09"/>
    <w:rsid w:val="00706358"/>
    <w:rsid w:val="00706E4F"/>
    <w:rsid w:val="00711B24"/>
    <w:rsid w:val="007139CD"/>
    <w:rsid w:val="0071428E"/>
    <w:rsid w:val="00714EA6"/>
    <w:rsid w:val="00715EF3"/>
    <w:rsid w:val="007235C2"/>
    <w:rsid w:val="00723877"/>
    <w:rsid w:val="00724608"/>
    <w:rsid w:val="00725A14"/>
    <w:rsid w:val="00725B4C"/>
    <w:rsid w:val="007305A9"/>
    <w:rsid w:val="007307C8"/>
    <w:rsid w:val="00733941"/>
    <w:rsid w:val="00735E40"/>
    <w:rsid w:val="007371A2"/>
    <w:rsid w:val="00740FE2"/>
    <w:rsid w:val="00741571"/>
    <w:rsid w:val="007418CE"/>
    <w:rsid w:val="00741DFA"/>
    <w:rsid w:val="00741E17"/>
    <w:rsid w:val="007444EB"/>
    <w:rsid w:val="00744502"/>
    <w:rsid w:val="00744E76"/>
    <w:rsid w:val="00747834"/>
    <w:rsid w:val="0075046C"/>
    <w:rsid w:val="00751762"/>
    <w:rsid w:val="00752CB2"/>
    <w:rsid w:val="007537C2"/>
    <w:rsid w:val="007553B7"/>
    <w:rsid w:val="007556FF"/>
    <w:rsid w:val="00757A2C"/>
    <w:rsid w:val="00761509"/>
    <w:rsid w:val="00761F8C"/>
    <w:rsid w:val="00762892"/>
    <w:rsid w:val="00762A9B"/>
    <w:rsid w:val="007655E5"/>
    <w:rsid w:val="007661FD"/>
    <w:rsid w:val="00766C6A"/>
    <w:rsid w:val="00770E86"/>
    <w:rsid w:val="00771B28"/>
    <w:rsid w:val="00772107"/>
    <w:rsid w:val="007729E1"/>
    <w:rsid w:val="00775537"/>
    <w:rsid w:val="00777D39"/>
    <w:rsid w:val="0078107B"/>
    <w:rsid w:val="00781BCB"/>
    <w:rsid w:val="00781E38"/>
    <w:rsid w:val="00784E33"/>
    <w:rsid w:val="007869AA"/>
    <w:rsid w:val="007935BC"/>
    <w:rsid w:val="00797276"/>
    <w:rsid w:val="007A5D0D"/>
    <w:rsid w:val="007B11BE"/>
    <w:rsid w:val="007B1E70"/>
    <w:rsid w:val="007B22B9"/>
    <w:rsid w:val="007B3F8C"/>
    <w:rsid w:val="007B69EE"/>
    <w:rsid w:val="007C2020"/>
    <w:rsid w:val="007C5403"/>
    <w:rsid w:val="007C57A4"/>
    <w:rsid w:val="007C7AD1"/>
    <w:rsid w:val="007C7B14"/>
    <w:rsid w:val="007D0860"/>
    <w:rsid w:val="007D10EF"/>
    <w:rsid w:val="007D144A"/>
    <w:rsid w:val="007D1942"/>
    <w:rsid w:val="007D58EF"/>
    <w:rsid w:val="007D7791"/>
    <w:rsid w:val="007D7F3B"/>
    <w:rsid w:val="007E0150"/>
    <w:rsid w:val="007E02AB"/>
    <w:rsid w:val="007E1D30"/>
    <w:rsid w:val="007E3755"/>
    <w:rsid w:val="007E52AF"/>
    <w:rsid w:val="007E74AB"/>
    <w:rsid w:val="007F0FE3"/>
    <w:rsid w:val="007F19C7"/>
    <w:rsid w:val="007F2A88"/>
    <w:rsid w:val="007F3446"/>
    <w:rsid w:val="007F68FF"/>
    <w:rsid w:val="007F6FA8"/>
    <w:rsid w:val="007F7EB1"/>
    <w:rsid w:val="00800772"/>
    <w:rsid w:val="00802E9F"/>
    <w:rsid w:val="008033E8"/>
    <w:rsid w:val="008060D0"/>
    <w:rsid w:val="00810DD2"/>
    <w:rsid w:val="0081218C"/>
    <w:rsid w:val="00812959"/>
    <w:rsid w:val="00814A53"/>
    <w:rsid w:val="008161DD"/>
    <w:rsid w:val="00817A08"/>
    <w:rsid w:val="00817B94"/>
    <w:rsid w:val="00821F93"/>
    <w:rsid w:val="00822E57"/>
    <w:rsid w:val="00826AF2"/>
    <w:rsid w:val="00827104"/>
    <w:rsid w:val="008346C1"/>
    <w:rsid w:val="00840589"/>
    <w:rsid w:val="008422A9"/>
    <w:rsid w:val="008427EE"/>
    <w:rsid w:val="00842B21"/>
    <w:rsid w:val="00844AE6"/>
    <w:rsid w:val="00844CAD"/>
    <w:rsid w:val="00844E8A"/>
    <w:rsid w:val="008475CA"/>
    <w:rsid w:val="0086398C"/>
    <w:rsid w:val="008664C0"/>
    <w:rsid w:val="008711AA"/>
    <w:rsid w:val="0087261A"/>
    <w:rsid w:val="00872FA2"/>
    <w:rsid w:val="0087324D"/>
    <w:rsid w:val="0087430C"/>
    <w:rsid w:val="00877F82"/>
    <w:rsid w:val="00881F45"/>
    <w:rsid w:val="008824F9"/>
    <w:rsid w:val="008842A4"/>
    <w:rsid w:val="008860AF"/>
    <w:rsid w:val="00886A02"/>
    <w:rsid w:val="00892048"/>
    <w:rsid w:val="00893764"/>
    <w:rsid w:val="00895205"/>
    <w:rsid w:val="008966D2"/>
    <w:rsid w:val="008A0F5F"/>
    <w:rsid w:val="008A7865"/>
    <w:rsid w:val="008B0ED1"/>
    <w:rsid w:val="008B2EBF"/>
    <w:rsid w:val="008B3DE3"/>
    <w:rsid w:val="008B6543"/>
    <w:rsid w:val="008B71BE"/>
    <w:rsid w:val="008B7A87"/>
    <w:rsid w:val="008C0B2E"/>
    <w:rsid w:val="008C1172"/>
    <w:rsid w:val="008C2D72"/>
    <w:rsid w:val="008C335A"/>
    <w:rsid w:val="008C5277"/>
    <w:rsid w:val="008C7572"/>
    <w:rsid w:val="008D53EF"/>
    <w:rsid w:val="008D6D56"/>
    <w:rsid w:val="008E0AD6"/>
    <w:rsid w:val="008E1148"/>
    <w:rsid w:val="008E1324"/>
    <w:rsid w:val="008E7ACB"/>
    <w:rsid w:val="008F0F2F"/>
    <w:rsid w:val="008F14B1"/>
    <w:rsid w:val="008F1FE7"/>
    <w:rsid w:val="008F268B"/>
    <w:rsid w:val="008F2789"/>
    <w:rsid w:val="008F2CC8"/>
    <w:rsid w:val="008F309F"/>
    <w:rsid w:val="008F3B8E"/>
    <w:rsid w:val="008F3EB1"/>
    <w:rsid w:val="008F5279"/>
    <w:rsid w:val="008F5D2C"/>
    <w:rsid w:val="00900768"/>
    <w:rsid w:val="009068CC"/>
    <w:rsid w:val="00906A2B"/>
    <w:rsid w:val="009107D1"/>
    <w:rsid w:val="00912362"/>
    <w:rsid w:val="00917420"/>
    <w:rsid w:val="0092060A"/>
    <w:rsid w:val="00921A45"/>
    <w:rsid w:val="00923452"/>
    <w:rsid w:val="00925D1A"/>
    <w:rsid w:val="00926148"/>
    <w:rsid w:val="00926F4F"/>
    <w:rsid w:val="009275E2"/>
    <w:rsid w:val="00933360"/>
    <w:rsid w:val="00934744"/>
    <w:rsid w:val="00935880"/>
    <w:rsid w:val="009376D7"/>
    <w:rsid w:val="0094110B"/>
    <w:rsid w:val="00941C5A"/>
    <w:rsid w:val="00941F8B"/>
    <w:rsid w:val="00944E2B"/>
    <w:rsid w:val="00944E59"/>
    <w:rsid w:val="00946DF6"/>
    <w:rsid w:val="0095143F"/>
    <w:rsid w:val="009521C6"/>
    <w:rsid w:val="00954A1D"/>
    <w:rsid w:val="00956AF5"/>
    <w:rsid w:val="00956B57"/>
    <w:rsid w:val="009573DB"/>
    <w:rsid w:val="00960274"/>
    <w:rsid w:val="00961651"/>
    <w:rsid w:val="00961E63"/>
    <w:rsid w:val="00965305"/>
    <w:rsid w:val="00967084"/>
    <w:rsid w:val="00967AA4"/>
    <w:rsid w:val="00967ED5"/>
    <w:rsid w:val="00970AC7"/>
    <w:rsid w:val="009723B0"/>
    <w:rsid w:val="00973778"/>
    <w:rsid w:val="0097773F"/>
    <w:rsid w:val="00977AEF"/>
    <w:rsid w:val="00983035"/>
    <w:rsid w:val="009851A6"/>
    <w:rsid w:val="0098665E"/>
    <w:rsid w:val="00991E36"/>
    <w:rsid w:val="00993B03"/>
    <w:rsid w:val="00993BA4"/>
    <w:rsid w:val="009944F3"/>
    <w:rsid w:val="009950E0"/>
    <w:rsid w:val="0099690B"/>
    <w:rsid w:val="00996C1A"/>
    <w:rsid w:val="009A046D"/>
    <w:rsid w:val="009A4BA1"/>
    <w:rsid w:val="009A7EDE"/>
    <w:rsid w:val="009B0FFE"/>
    <w:rsid w:val="009B2E8A"/>
    <w:rsid w:val="009B705A"/>
    <w:rsid w:val="009C3318"/>
    <w:rsid w:val="009C4671"/>
    <w:rsid w:val="009D1E46"/>
    <w:rsid w:val="009D3F65"/>
    <w:rsid w:val="009D44F1"/>
    <w:rsid w:val="009D6571"/>
    <w:rsid w:val="009D66EE"/>
    <w:rsid w:val="009D7385"/>
    <w:rsid w:val="009D7DAC"/>
    <w:rsid w:val="009E1273"/>
    <w:rsid w:val="009E3030"/>
    <w:rsid w:val="009E6AE0"/>
    <w:rsid w:val="009E78F5"/>
    <w:rsid w:val="009F1758"/>
    <w:rsid w:val="009F31A8"/>
    <w:rsid w:val="009F68C5"/>
    <w:rsid w:val="009F747D"/>
    <w:rsid w:val="009F7F0A"/>
    <w:rsid w:val="00A01860"/>
    <w:rsid w:val="00A07F3B"/>
    <w:rsid w:val="00A12F9D"/>
    <w:rsid w:val="00A144FD"/>
    <w:rsid w:val="00A14EA4"/>
    <w:rsid w:val="00A176AD"/>
    <w:rsid w:val="00A44CC5"/>
    <w:rsid w:val="00A475BF"/>
    <w:rsid w:val="00A5164B"/>
    <w:rsid w:val="00A52A2C"/>
    <w:rsid w:val="00A52CAC"/>
    <w:rsid w:val="00A541B3"/>
    <w:rsid w:val="00A61CB5"/>
    <w:rsid w:val="00A62844"/>
    <w:rsid w:val="00A660D1"/>
    <w:rsid w:val="00A67972"/>
    <w:rsid w:val="00A71258"/>
    <w:rsid w:val="00A77C40"/>
    <w:rsid w:val="00A812E6"/>
    <w:rsid w:val="00A817F9"/>
    <w:rsid w:val="00A82568"/>
    <w:rsid w:val="00A8560C"/>
    <w:rsid w:val="00A85CDE"/>
    <w:rsid w:val="00A86EA9"/>
    <w:rsid w:val="00A905CE"/>
    <w:rsid w:val="00A906E1"/>
    <w:rsid w:val="00A94406"/>
    <w:rsid w:val="00A95724"/>
    <w:rsid w:val="00A97A94"/>
    <w:rsid w:val="00AA11BC"/>
    <w:rsid w:val="00AA574E"/>
    <w:rsid w:val="00AA7FD0"/>
    <w:rsid w:val="00AA7FE7"/>
    <w:rsid w:val="00AB09EF"/>
    <w:rsid w:val="00AB2787"/>
    <w:rsid w:val="00AB3D16"/>
    <w:rsid w:val="00AB69DF"/>
    <w:rsid w:val="00AC0F7A"/>
    <w:rsid w:val="00AC2935"/>
    <w:rsid w:val="00AC41AD"/>
    <w:rsid w:val="00AC45D8"/>
    <w:rsid w:val="00AC4BBA"/>
    <w:rsid w:val="00AD13C3"/>
    <w:rsid w:val="00AD21DA"/>
    <w:rsid w:val="00AE1166"/>
    <w:rsid w:val="00AE34F2"/>
    <w:rsid w:val="00AE7B57"/>
    <w:rsid w:val="00AF13A1"/>
    <w:rsid w:val="00AF7B3F"/>
    <w:rsid w:val="00B0259E"/>
    <w:rsid w:val="00B05D64"/>
    <w:rsid w:val="00B06B11"/>
    <w:rsid w:val="00B0786B"/>
    <w:rsid w:val="00B07C65"/>
    <w:rsid w:val="00B12DF2"/>
    <w:rsid w:val="00B152BB"/>
    <w:rsid w:val="00B21687"/>
    <w:rsid w:val="00B21B52"/>
    <w:rsid w:val="00B21DAD"/>
    <w:rsid w:val="00B322A9"/>
    <w:rsid w:val="00B4005B"/>
    <w:rsid w:val="00B40624"/>
    <w:rsid w:val="00B42188"/>
    <w:rsid w:val="00B43C51"/>
    <w:rsid w:val="00B4558A"/>
    <w:rsid w:val="00B46DD7"/>
    <w:rsid w:val="00B54CA5"/>
    <w:rsid w:val="00B65B98"/>
    <w:rsid w:val="00B66AFB"/>
    <w:rsid w:val="00B701AA"/>
    <w:rsid w:val="00B71491"/>
    <w:rsid w:val="00B72C4D"/>
    <w:rsid w:val="00B73106"/>
    <w:rsid w:val="00B73F65"/>
    <w:rsid w:val="00B74779"/>
    <w:rsid w:val="00B75390"/>
    <w:rsid w:val="00B76FC8"/>
    <w:rsid w:val="00B77BFD"/>
    <w:rsid w:val="00B80F31"/>
    <w:rsid w:val="00B82A53"/>
    <w:rsid w:val="00B84C77"/>
    <w:rsid w:val="00B85DA0"/>
    <w:rsid w:val="00B90203"/>
    <w:rsid w:val="00B9173E"/>
    <w:rsid w:val="00B94EA2"/>
    <w:rsid w:val="00B97644"/>
    <w:rsid w:val="00BA312F"/>
    <w:rsid w:val="00BA5383"/>
    <w:rsid w:val="00BA6603"/>
    <w:rsid w:val="00BB1A3A"/>
    <w:rsid w:val="00BB5794"/>
    <w:rsid w:val="00BC1506"/>
    <w:rsid w:val="00BC59AA"/>
    <w:rsid w:val="00BC6697"/>
    <w:rsid w:val="00BD0028"/>
    <w:rsid w:val="00BD0098"/>
    <w:rsid w:val="00BD171C"/>
    <w:rsid w:val="00BD1AA7"/>
    <w:rsid w:val="00BD420A"/>
    <w:rsid w:val="00BD4D3B"/>
    <w:rsid w:val="00BD524B"/>
    <w:rsid w:val="00BD6095"/>
    <w:rsid w:val="00BD63E5"/>
    <w:rsid w:val="00BD71CD"/>
    <w:rsid w:val="00BE30C5"/>
    <w:rsid w:val="00BE71A5"/>
    <w:rsid w:val="00BF27CC"/>
    <w:rsid w:val="00BF3ABE"/>
    <w:rsid w:val="00BF75E7"/>
    <w:rsid w:val="00C05418"/>
    <w:rsid w:val="00C070D4"/>
    <w:rsid w:val="00C0798A"/>
    <w:rsid w:val="00C13F2D"/>
    <w:rsid w:val="00C150C4"/>
    <w:rsid w:val="00C16785"/>
    <w:rsid w:val="00C223E7"/>
    <w:rsid w:val="00C24B7F"/>
    <w:rsid w:val="00C24BA0"/>
    <w:rsid w:val="00C275BA"/>
    <w:rsid w:val="00C31DF4"/>
    <w:rsid w:val="00C36535"/>
    <w:rsid w:val="00C43218"/>
    <w:rsid w:val="00C447E7"/>
    <w:rsid w:val="00C47E92"/>
    <w:rsid w:val="00C53012"/>
    <w:rsid w:val="00C6073E"/>
    <w:rsid w:val="00C61002"/>
    <w:rsid w:val="00C65662"/>
    <w:rsid w:val="00C663E2"/>
    <w:rsid w:val="00C67983"/>
    <w:rsid w:val="00C719B2"/>
    <w:rsid w:val="00C72FB1"/>
    <w:rsid w:val="00C7408B"/>
    <w:rsid w:val="00C74F66"/>
    <w:rsid w:val="00C75B09"/>
    <w:rsid w:val="00C80252"/>
    <w:rsid w:val="00C8033E"/>
    <w:rsid w:val="00C82242"/>
    <w:rsid w:val="00C83B17"/>
    <w:rsid w:val="00C86285"/>
    <w:rsid w:val="00C87DFD"/>
    <w:rsid w:val="00C90F5B"/>
    <w:rsid w:val="00C95ECC"/>
    <w:rsid w:val="00CA04C3"/>
    <w:rsid w:val="00CA3C35"/>
    <w:rsid w:val="00CA454F"/>
    <w:rsid w:val="00CA456B"/>
    <w:rsid w:val="00CA710B"/>
    <w:rsid w:val="00CB11A9"/>
    <w:rsid w:val="00CB2CD2"/>
    <w:rsid w:val="00CB3467"/>
    <w:rsid w:val="00CB4158"/>
    <w:rsid w:val="00CC10E5"/>
    <w:rsid w:val="00CC1287"/>
    <w:rsid w:val="00CC36A2"/>
    <w:rsid w:val="00CC5E4F"/>
    <w:rsid w:val="00CD061F"/>
    <w:rsid w:val="00CD335C"/>
    <w:rsid w:val="00CD5514"/>
    <w:rsid w:val="00CD5C1B"/>
    <w:rsid w:val="00CD5D31"/>
    <w:rsid w:val="00CD610F"/>
    <w:rsid w:val="00CE08FC"/>
    <w:rsid w:val="00CE1A37"/>
    <w:rsid w:val="00CE292C"/>
    <w:rsid w:val="00CE2C0C"/>
    <w:rsid w:val="00CE528B"/>
    <w:rsid w:val="00CE55CF"/>
    <w:rsid w:val="00CF2F32"/>
    <w:rsid w:val="00CF37BA"/>
    <w:rsid w:val="00CF477B"/>
    <w:rsid w:val="00CF7092"/>
    <w:rsid w:val="00D0461B"/>
    <w:rsid w:val="00D068AD"/>
    <w:rsid w:val="00D11FF1"/>
    <w:rsid w:val="00D149F7"/>
    <w:rsid w:val="00D163A4"/>
    <w:rsid w:val="00D17B51"/>
    <w:rsid w:val="00D21476"/>
    <w:rsid w:val="00D2229D"/>
    <w:rsid w:val="00D22F42"/>
    <w:rsid w:val="00D259CA"/>
    <w:rsid w:val="00D30183"/>
    <w:rsid w:val="00D30342"/>
    <w:rsid w:val="00D33FD5"/>
    <w:rsid w:val="00D34820"/>
    <w:rsid w:val="00D34F28"/>
    <w:rsid w:val="00D3549B"/>
    <w:rsid w:val="00D40A2D"/>
    <w:rsid w:val="00D40D84"/>
    <w:rsid w:val="00D43E83"/>
    <w:rsid w:val="00D44B51"/>
    <w:rsid w:val="00D4757A"/>
    <w:rsid w:val="00D47FA8"/>
    <w:rsid w:val="00D537BC"/>
    <w:rsid w:val="00D5518E"/>
    <w:rsid w:val="00D61534"/>
    <w:rsid w:val="00D62D6A"/>
    <w:rsid w:val="00D64552"/>
    <w:rsid w:val="00D663D2"/>
    <w:rsid w:val="00D67255"/>
    <w:rsid w:val="00D71D14"/>
    <w:rsid w:val="00D7454C"/>
    <w:rsid w:val="00D77067"/>
    <w:rsid w:val="00D77132"/>
    <w:rsid w:val="00D80D0A"/>
    <w:rsid w:val="00D81C34"/>
    <w:rsid w:val="00D82A2D"/>
    <w:rsid w:val="00D82B46"/>
    <w:rsid w:val="00D83410"/>
    <w:rsid w:val="00D8368C"/>
    <w:rsid w:val="00D91CB6"/>
    <w:rsid w:val="00D94DC6"/>
    <w:rsid w:val="00D95F6A"/>
    <w:rsid w:val="00D960B6"/>
    <w:rsid w:val="00D97434"/>
    <w:rsid w:val="00DA09DD"/>
    <w:rsid w:val="00DA0B16"/>
    <w:rsid w:val="00DA1F01"/>
    <w:rsid w:val="00DA2E61"/>
    <w:rsid w:val="00DA3E5E"/>
    <w:rsid w:val="00DA76B8"/>
    <w:rsid w:val="00DA7A84"/>
    <w:rsid w:val="00DB0597"/>
    <w:rsid w:val="00DB09FF"/>
    <w:rsid w:val="00DB1128"/>
    <w:rsid w:val="00DB164C"/>
    <w:rsid w:val="00DB3DD1"/>
    <w:rsid w:val="00DB42A0"/>
    <w:rsid w:val="00DB75D9"/>
    <w:rsid w:val="00DC27AC"/>
    <w:rsid w:val="00DC3351"/>
    <w:rsid w:val="00DC41C2"/>
    <w:rsid w:val="00DC4F9F"/>
    <w:rsid w:val="00DC7D4F"/>
    <w:rsid w:val="00DD2569"/>
    <w:rsid w:val="00DD51DF"/>
    <w:rsid w:val="00DD5B8C"/>
    <w:rsid w:val="00DD6012"/>
    <w:rsid w:val="00DD7F65"/>
    <w:rsid w:val="00DE0987"/>
    <w:rsid w:val="00DE33F7"/>
    <w:rsid w:val="00DE3CBC"/>
    <w:rsid w:val="00DE3F07"/>
    <w:rsid w:val="00DE457C"/>
    <w:rsid w:val="00DE486E"/>
    <w:rsid w:val="00DE7203"/>
    <w:rsid w:val="00DF0038"/>
    <w:rsid w:val="00DF0632"/>
    <w:rsid w:val="00DF07C8"/>
    <w:rsid w:val="00DF2455"/>
    <w:rsid w:val="00DF2BCD"/>
    <w:rsid w:val="00DF7838"/>
    <w:rsid w:val="00E01B69"/>
    <w:rsid w:val="00E020DB"/>
    <w:rsid w:val="00E0395C"/>
    <w:rsid w:val="00E04ADD"/>
    <w:rsid w:val="00E10D3E"/>
    <w:rsid w:val="00E12232"/>
    <w:rsid w:val="00E1388F"/>
    <w:rsid w:val="00E15724"/>
    <w:rsid w:val="00E15EB0"/>
    <w:rsid w:val="00E16924"/>
    <w:rsid w:val="00E21D64"/>
    <w:rsid w:val="00E251E2"/>
    <w:rsid w:val="00E26B9F"/>
    <w:rsid w:val="00E3150B"/>
    <w:rsid w:val="00E36A8E"/>
    <w:rsid w:val="00E402C3"/>
    <w:rsid w:val="00E40538"/>
    <w:rsid w:val="00E44BA3"/>
    <w:rsid w:val="00E44C8C"/>
    <w:rsid w:val="00E53432"/>
    <w:rsid w:val="00E5673D"/>
    <w:rsid w:val="00E569A4"/>
    <w:rsid w:val="00E601AF"/>
    <w:rsid w:val="00E6189F"/>
    <w:rsid w:val="00E6365A"/>
    <w:rsid w:val="00E7108C"/>
    <w:rsid w:val="00E717D0"/>
    <w:rsid w:val="00E723D5"/>
    <w:rsid w:val="00E72E75"/>
    <w:rsid w:val="00E72EEE"/>
    <w:rsid w:val="00E82A96"/>
    <w:rsid w:val="00E85264"/>
    <w:rsid w:val="00E8629C"/>
    <w:rsid w:val="00E901B5"/>
    <w:rsid w:val="00E91BC9"/>
    <w:rsid w:val="00E938AB"/>
    <w:rsid w:val="00E94132"/>
    <w:rsid w:val="00E95641"/>
    <w:rsid w:val="00E979F5"/>
    <w:rsid w:val="00EA196F"/>
    <w:rsid w:val="00EB455E"/>
    <w:rsid w:val="00EB5A5C"/>
    <w:rsid w:val="00EB6A2E"/>
    <w:rsid w:val="00EC0E52"/>
    <w:rsid w:val="00EC1592"/>
    <w:rsid w:val="00EC2A75"/>
    <w:rsid w:val="00EC4E96"/>
    <w:rsid w:val="00ED11A4"/>
    <w:rsid w:val="00ED24C2"/>
    <w:rsid w:val="00ED30BE"/>
    <w:rsid w:val="00ED5533"/>
    <w:rsid w:val="00ED5E96"/>
    <w:rsid w:val="00ED62AD"/>
    <w:rsid w:val="00ED72CC"/>
    <w:rsid w:val="00EE6C2B"/>
    <w:rsid w:val="00EF2C52"/>
    <w:rsid w:val="00EF32B4"/>
    <w:rsid w:val="00EF40CD"/>
    <w:rsid w:val="00EF59F4"/>
    <w:rsid w:val="00EF5E34"/>
    <w:rsid w:val="00EF744D"/>
    <w:rsid w:val="00F00B40"/>
    <w:rsid w:val="00F06235"/>
    <w:rsid w:val="00F10EEE"/>
    <w:rsid w:val="00F1155B"/>
    <w:rsid w:val="00F134FD"/>
    <w:rsid w:val="00F17A06"/>
    <w:rsid w:val="00F255CF"/>
    <w:rsid w:val="00F271FA"/>
    <w:rsid w:val="00F32258"/>
    <w:rsid w:val="00F35747"/>
    <w:rsid w:val="00F35EB4"/>
    <w:rsid w:val="00F36EA3"/>
    <w:rsid w:val="00F36FEB"/>
    <w:rsid w:val="00F37B34"/>
    <w:rsid w:val="00F4013E"/>
    <w:rsid w:val="00F417D5"/>
    <w:rsid w:val="00F4292F"/>
    <w:rsid w:val="00F436AC"/>
    <w:rsid w:val="00F44550"/>
    <w:rsid w:val="00F56A7F"/>
    <w:rsid w:val="00F56C50"/>
    <w:rsid w:val="00F61ADD"/>
    <w:rsid w:val="00F61E29"/>
    <w:rsid w:val="00F63D7A"/>
    <w:rsid w:val="00F6497C"/>
    <w:rsid w:val="00F64DC8"/>
    <w:rsid w:val="00F6596B"/>
    <w:rsid w:val="00F664DF"/>
    <w:rsid w:val="00F66AE7"/>
    <w:rsid w:val="00F67A4F"/>
    <w:rsid w:val="00F738B3"/>
    <w:rsid w:val="00F74C86"/>
    <w:rsid w:val="00F74CAB"/>
    <w:rsid w:val="00F75F07"/>
    <w:rsid w:val="00F83713"/>
    <w:rsid w:val="00F842A7"/>
    <w:rsid w:val="00F84F8B"/>
    <w:rsid w:val="00F9566A"/>
    <w:rsid w:val="00FA126E"/>
    <w:rsid w:val="00FA29E3"/>
    <w:rsid w:val="00FA33EC"/>
    <w:rsid w:val="00FA47F8"/>
    <w:rsid w:val="00FA684A"/>
    <w:rsid w:val="00FB2A5E"/>
    <w:rsid w:val="00FB30B5"/>
    <w:rsid w:val="00FB3211"/>
    <w:rsid w:val="00FB6C9D"/>
    <w:rsid w:val="00FC0B30"/>
    <w:rsid w:val="00FC1465"/>
    <w:rsid w:val="00FC3226"/>
    <w:rsid w:val="00FC4591"/>
    <w:rsid w:val="00FC6C34"/>
    <w:rsid w:val="00FD1511"/>
    <w:rsid w:val="00FD3F4E"/>
    <w:rsid w:val="00FD7EBF"/>
    <w:rsid w:val="00FE2240"/>
    <w:rsid w:val="00FE2E62"/>
    <w:rsid w:val="00FE3403"/>
    <w:rsid w:val="00FE4CCF"/>
    <w:rsid w:val="00FE6672"/>
    <w:rsid w:val="00FF24C6"/>
    <w:rsid w:val="00FF3332"/>
    <w:rsid w:val="00FF4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2622E"/>
    <w:rPr>
      <w:rFonts w:eastAsia="Cambria"/>
      <w:sz w:val="24"/>
      <w:szCs w:val="24"/>
      <w:lang w:val="en-GB" w:eastAsia="en-US"/>
    </w:rPr>
  </w:style>
  <w:style w:type="paragraph" w:styleId="Heading1">
    <w:name w:val="heading 1"/>
    <w:basedOn w:val="Normal"/>
    <w:next w:val="paragraph"/>
    <w:autoRedefine/>
    <w:qFormat/>
    <w:rsid w:val="00D8368C"/>
    <w:pPr>
      <w:keepNext/>
      <w:keepLines/>
      <w:tabs>
        <w:tab w:val="right" w:pos="9073"/>
      </w:tabs>
      <w:outlineLvl w:val="0"/>
    </w:pPr>
    <w:rPr>
      <w:b/>
      <w:caps/>
      <w:color w:val="000000"/>
      <w:sz w:val="30"/>
      <w:u w:val="single"/>
    </w:rPr>
  </w:style>
  <w:style w:type="paragraph" w:styleId="Heading2">
    <w:name w:val="heading 2"/>
    <w:basedOn w:val="Normal"/>
    <w:next w:val="paragraph"/>
    <w:autoRedefine/>
    <w:qFormat/>
    <w:rsid w:val="00D8368C"/>
    <w:pPr>
      <w:keepNext/>
      <w:spacing w:before="120" w:after="120"/>
      <w:outlineLvl w:val="1"/>
    </w:pPr>
    <w:rPr>
      <w:b/>
      <w:color w:val="000000"/>
      <w:u w:val="single"/>
    </w:rPr>
  </w:style>
  <w:style w:type="paragraph" w:styleId="Heading3">
    <w:name w:val="heading 3"/>
    <w:basedOn w:val="Normal"/>
    <w:next w:val="paragraph"/>
    <w:autoRedefine/>
    <w:qFormat/>
    <w:rsid w:val="00D8368C"/>
    <w:pPr>
      <w:keepNext/>
      <w:keepLines/>
      <w:outlineLvl w:val="2"/>
    </w:pPr>
    <w:rPr>
      <w:b/>
    </w:rPr>
  </w:style>
  <w:style w:type="paragraph" w:styleId="Heading6">
    <w:name w:val="heading 6"/>
    <w:basedOn w:val="Normal"/>
    <w:next w:val="Normal"/>
    <w:link w:val="Heading6Char"/>
    <w:qFormat/>
    <w:rsid w:val="00E04ADD"/>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6180B"/>
    <w:pPr>
      <w:tabs>
        <w:tab w:val="center" w:pos="4540"/>
        <w:tab w:val="right" w:pos="9080"/>
      </w:tabs>
    </w:pPr>
    <w:rPr>
      <w:rFonts w:ascii="Arial" w:hAnsi="Arial"/>
      <w:sz w:val="20"/>
    </w:rPr>
  </w:style>
  <w:style w:type="paragraph" w:customStyle="1" w:styleId="paragraph">
    <w:name w:val="paragraph"/>
    <w:basedOn w:val="Normal"/>
    <w:rsid w:val="0066180B"/>
    <w:pPr>
      <w:spacing w:before="120"/>
      <w:jc w:val="both"/>
    </w:pPr>
  </w:style>
  <w:style w:type="paragraph" w:customStyle="1" w:styleId="Text">
    <w:name w:val="Text"/>
    <w:aliases w:val="Graphic"/>
    <w:basedOn w:val="Normal"/>
    <w:link w:val="TextChar"/>
    <w:rsid w:val="0066180B"/>
    <w:pPr>
      <w:spacing w:before="120"/>
      <w:jc w:val="both"/>
    </w:pPr>
  </w:style>
  <w:style w:type="character" w:customStyle="1" w:styleId="TextChar">
    <w:name w:val="Text Char"/>
    <w:link w:val="Text"/>
    <w:rsid w:val="0066180B"/>
    <w:rPr>
      <w:sz w:val="24"/>
      <w:lang w:val="en-US" w:eastAsia="en-US" w:bidi="ar-SA"/>
    </w:rPr>
  </w:style>
  <w:style w:type="paragraph" w:styleId="Subtitle">
    <w:name w:val="Subtitle"/>
    <w:basedOn w:val="Normal"/>
    <w:autoRedefine/>
    <w:qFormat/>
    <w:rsid w:val="00457669"/>
    <w:pPr>
      <w:outlineLvl w:val="1"/>
    </w:pPr>
    <w:rPr>
      <w:b/>
      <w:sz w:val="28"/>
    </w:rPr>
  </w:style>
  <w:style w:type="paragraph" w:styleId="Title">
    <w:name w:val="Title"/>
    <w:basedOn w:val="Normal"/>
    <w:autoRedefine/>
    <w:qFormat/>
    <w:rsid w:val="00457669"/>
    <w:pPr>
      <w:outlineLvl w:val="0"/>
    </w:pPr>
    <w:rPr>
      <w:b/>
      <w:bCs/>
      <w:kern w:val="28"/>
      <w:sz w:val="34"/>
      <w:szCs w:val="34"/>
    </w:rPr>
  </w:style>
  <w:style w:type="paragraph" w:styleId="BodyText">
    <w:name w:val="Body Text"/>
    <w:basedOn w:val="Normal"/>
    <w:rsid w:val="0066180B"/>
    <w:pPr>
      <w:spacing w:after="120"/>
    </w:pPr>
  </w:style>
  <w:style w:type="paragraph" w:customStyle="1" w:styleId="CharCharCharCharCharCharCharCharChar">
    <w:name w:val=" Char Char Char Char Char Char Char Char Char"/>
    <w:basedOn w:val="Normal"/>
    <w:rsid w:val="002969B0"/>
    <w:pPr>
      <w:spacing w:after="160" w:line="240" w:lineRule="exact"/>
    </w:pPr>
    <w:rPr>
      <w:rFonts w:ascii="Verdana" w:hAnsi="Verdana" w:cs="Verdana"/>
      <w:sz w:val="20"/>
    </w:rPr>
  </w:style>
  <w:style w:type="paragraph" w:customStyle="1" w:styleId="Listlevel1">
    <w:name w:val="List level 1"/>
    <w:basedOn w:val="Normal"/>
    <w:link w:val="Listlevel1Char"/>
    <w:rsid w:val="002969B0"/>
    <w:pPr>
      <w:spacing w:before="40" w:after="20"/>
      <w:ind w:left="425" w:hanging="425"/>
    </w:pPr>
    <w:rPr>
      <w:rFonts w:eastAsia="MS Mincho"/>
    </w:rPr>
  </w:style>
  <w:style w:type="character" w:customStyle="1" w:styleId="Listlevel1Char">
    <w:name w:val="List level 1 Char"/>
    <w:link w:val="Listlevel1"/>
    <w:rsid w:val="002969B0"/>
    <w:rPr>
      <w:rFonts w:eastAsia="MS Mincho"/>
      <w:sz w:val="24"/>
      <w:lang w:val="en-US" w:eastAsia="en-US" w:bidi="ar-SA"/>
    </w:rPr>
  </w:style>
  <w:style w:type="paragraph" w:customStyle="1" w:styleId="Nottoc-headings">
    <w:name w:val="Not toc-headings"/>
    <w:basedOn w:val="Normal"/>
    <w:next w:val="Text"/>
    <w:link w:val="Nottoc-headingsChar"/>
    <w:rsid w:val="00E04ADD"/>
    <w:pPr>
      <w:keepNext/>
      <w:keepLines/>
      <w:spacing w:before="240" w:after="60"/>
      <w:ind w:left="1701" w:hanging="1701"/>
    </w:pPr>
    <w:rPr>
      <w:rFonts w:ascii="Arial" w:eastAsia="MS Mincho" w:hAnsi="Arial"/>
      <w:b/>
    </w:rPr>
  </w:style>
  <w:style w:type="character" w:customStyle="1" w:styleId="Nottoc-headingsChar">
    <w:name w:val="Not toc-headings Char"/>
    <w:link w:val="Nottoc-headings"/>
    <w:rsid w:val="00E04ADD"/>
    <w:rPr>
      <w:rFonts w:ascii="Arial" w:eastAsia="MS Mincho" w:hAnsi="Arial"/>
      <w:b/>
      <w:sz w:val="24"/>
      <w:lang w:val="en-US" w:eastAsia="en-US" w:bidi="ar-SA"/>
    </w:rPr>
  </w:style>
  <w:style w:type="paragraph" w:customStyle="1" w:styleId="Comment">
    <w:name w:val="Comment"/>
    <w:basedOn w:val="Normal"/>
    <w:next w:val="Text"/>
    <w:link w:val="CommentChar"/>
    <w:rsid w:val="00E04ADD"/>
    <w:pPr>
      <w:keepLines/>
      <w:spacing w:before="120"/>
      <w:jc w:val="both"/>
    </w:pPr>
    <w:rPr>
      <w:rFonts w:eastAsia="MS Mincho"/>
      <w:i/>
      <w:color w:val="BF30B5"/>
    </w:rPr>
  </w:style>
  <w:style w:type="character" w:customStyle="1" w:styleId="CommentChar">
    <w:name w:val="Comment Char"/>
    <w:link w:val="Comment"/>
    <w:rsid w:val="00E04ADD"/>
    <w:rPr>
      <w:rFonts w:eastAsia="MS Mincho"/>
      <w:i/>
      <w:color w:val="BF30B5"/>
      <w:sz w:val="24"/>
      <w:szCs w:val="24"/>
      <w:lang w:val="en-US" w:eastAsia="en-US" w:bidi="ar-SA"/>
    </w:rPr>
  </w:style>
  <w:style w:type="paragraph" w:customStyle="1" w:styleId="Table">
    <w:name w:val="Table"/>
    <w:aliases w:val="10 pt  Bold,9 pt,10 pt"/>
    <w:basedOn w:val="Nottoc-headings"/>
    <w:link w:val="TableChar"/>
    <w:rsid w:val="00E04ADD"/>
    <w:pPr>
      <w:keepNext w:val="0"/>
      <w:tabs>
        <w:tab w:val="left" w:pos="284"/>
      </w:tabs>
      <w:spacing w:before="40" w:after="20"/>
      <w:ind w:left="0" w:firstLine="0"/>
    </w:pPr>
    <w:rPr>
      <w:b w:val="0"/>
      <w:sz w:val="20"/>
    </w:rPr>
  </w:style>
  <w:style w:type="paragraph" w:styleId="EndnoteText">
    <w:name w:val="endnote text"/>
    <w:basedOn w:val="Normal"/>
    <w:semiHidden/>
    <w:rsid w:val="006154FC"/>
    <w:pPr>
      <w:tabs>
        <w:tab w:val="left" w:pos="567"/>
      </w:tabs>
    </w:pPr>
    <w:rPr>
      <w:sz w:val="22"/>
    </w:rPr>
  </w:style>
  <w:style w:type="paragraph" w:styleId="BalloonText">
    <w:name w:val="Balloon Text"/>
    <w:basedOn w:val="Normal"/>
    <w:semiHidden/>
    <w:rsid w:val="00DA0B16"/>
    <w:rPr>
      <w:rFonts w:ascii="Tahoma" w:hAnsi="Tahoma" w:cs="Tahoma"/>
      <w:sz w:val="16"/>
      <w:szCs w:val="16"/>
    </w:rPr>
  </w:style>
  <w:style w:type="paragraph" w:styleId="FootnoteText">
    <w:name w:val="footnote text"/>
    <w:basedOn w:val="Normal"/>
    <w:semiHidden/>
    <w:rsid w:val="00B07C65"/>
    <w:rPr>
      <w:sz w:val="20"/>
    </w:rPr>
  </w:style>
  <w:style w:type="character" w:styleId="FootnoteReference">
    <w:name w:val="footnote reference"/>
    <w:semiHidden/>
    <w:rsid w:val="00B07C65"/>
    <w:rPr>
      <w:vertAlign w:val="superscript"/>
    </w:rPr>
  </w:style>
  <w:style w:type="character" w:styleId="CommentReference">
    <w:name w:val="annotation reference"/>
    <w:semiHidden/>
    <w:rsid w:val="00B97644"/>
    <w:rPr>
      <w:sz w:val="16"/>
      <w:szCs w:val="16"/>
    </w:rPr>
  </w:style>
  <w:style w:type="paragraph" w:styleId="CommentText">
    <w:name w:val="annotation text"/>
    <w:basedOn w:val="Normal"/>
    <w:semiHidden/>
    <w:rsid w:val="00B97644"/>
    <w:rPr>
      <w:sz w:val="20"/>
    </w:rPr>
  </w:style>
  <w:style w:type="paragraph" w:styleId="CommentSubject">
    <w:name w:val="annotation subject"/>
    <w:basedOn w:val="CommentText"/>
    <w:next w:val="CommentText"/>
    <w:semiHidden/>
    <w:rsid w:val="00B97644"/>
    <w:rPr>
      <w:b/>
      <w:bCs/>
    </w:rPr>
  </w:style>
  <w:style w:type="character" w:styleId="FollowedHyperlink">
    <w:name w:val="FollowedHyperlink"/>
    <w:rsid w:val="001A4D1A"/>
    <w:rPr>
      <w:color w:val="606420"/>
      <w:u w:val="single"/>
    </w:rPr>
  </w:style>
  <w:style w:type="paragraph" w:customStyle="1" w:styleId="Compound">
    <w:name w:val="Compound"/>
    <w:basedOn w:val="Normal"/>
    <w:rsid w:val="009950E0"/>
    <w:pPr>
      <w:keepNext/>
      <w:spacing w:before="720"/>
      <w:jc w:val="center"/>
    </w:pPr>
    <w:rPr>
      <w:rFonts w:ascii="Arial" w:eastAsia="MS Gothic" w:hAnsi="Arial"/>
      <w:sz w:val="32"/>
    </w:rPr>
  </w:style>
  <w:style w:type="paragraph" w:styleId="Revision">
    <w:name w:val="Revision"/>
    <w:hidden/>
    <w:uiPriority w:val="99"/>
    <w:semiHidden/>
    <w:rsid w:val="009F747D"/>
    <w:rPr>
      <w:sz w:val="24"/>
      <w:lang w:val="en-US" w:eastAsia="en-US"/>
    </w:rPr>
  </w:style>
  <w:style w:type="paragraph" w:styleId="Footer">
    <w:name w:val="footer"/>
    <w:basedOn w:val="Normal"/>
    <w:link w:val="FooterChar"/>
    <w:uiPriority w:val="99"/>
    <w:unhideWhenUsed/>
    <w:rsid w:val="00AC2935"/>
    <w:pPr>
      <w:tabs>
        <w:tab w:val="center" w:pos="4680"/>
        <w:tab w:val="right" w:pos="9360"/>
      </w:tabs>
    </w:pPr>
  </w:style>
  <w:style w:type="character" w:customStyle="1" w:styleId="FooterChar">
    <w:name w:val="Footer Char"/>
    <w:link w:val="Footer"/>
    <w:uiPriority w:val="99"/>
    <w:rsid w:val="00AC2935"/>
    <w:rPr>
      <w:sz w:val="24"/>
    </w:rPr>
  </w:style>
  <w:style w:type="paragraph" w:customStyle="1" w:styleId="Legend">
    <w:name w:val="Legend"/>
    <w:basedOn w:val="Table"/>
    <w:link w:val="LegendChar"/>
    <w:rsid w:val="0062283A"/>
    <w:rPr>
      <w:lang w:val="x-none" w:eastAsia="x-none"/>
    </w:rPr>
  </w:style>
  <w:style w:type="character" w:customStyle="1" w:styleId="TableChar">
    <w:name w:val="Table Char"/>
    <w:aliases w:val="10 pt  Bold Char,9 pt Char,10 pt Char"/>
    <w:link w:val="Table"/>
    <w:rsid w:val="0062283A"/>
    <w:rPr>
      <w:rFonts w:ascii="Arial" w:eastAsia="MS Mincho" w:hAnsi="Arial"/>
    </w:rPr>
  </w:style>
  <w:style w:type="character" w:customStyle="1" w:styleId="LegendChar">
    <w:name w:val="Legend Char"/>
    <w:link w:val="Legend"/>
    <w:locked/>
    <w:rsid w:val="0062283A"/>
    <w:rPr>
      <w:rFonts w:ascii="Arial" w:eastAsia="MS Mincho" w:hAnsi="Arial"/>
      <w:szCs w:val="24"/>
      <w:lang w:val="x-none" w:eastAsia="x-none"/>
    </w:rPr>
  </w:style>
  <w:style w:type="paragraph" w:customStyle="1" w:styleId="heading4">
    <w:name w:val="heading 4"/>
    <w:basedOn w:val="Heading6"/>
    <w:link w:val="heading4Char"/>
    <w:autoRedefine/>
    <w:qFormat/>
    <w:rsid w:val="00286D00"/>
    <w:pPr>
      <w:keepNext/>
      <w:spacing w:before="0" w:after="200"/>
    </w:pPr>
    <w:rPr>
      <w:b w:val="0"/>
      <w:i/>
    </w:rPr>
  </w:style>
  <w:style w:type="character" w:styleId="Hyperlink">
    <w:name w:val="Hyperlink"/>
    <w:uiPriority w:val="99"/>
    <w:unhideWhenUsed/>
    <w:rsid w:val="00F32258"/>
    <w:rPr>
      <w:color w:val="0000FF"/>
      <w:u w:val="single"/>
    </w:rPr>
  </w:style>
  <w:style w:type="character" w:customStyle="1" w:styleId="Heading6Char">
    <w:name w:val="Heading 6 Char"/>
    <w:link w:val="Heading6"/>
    <w:rsid w:val="009851A6"/>
    <w:rPr>
      <w:b/>
      <w:bCs/>
      <w:sz w:val="22"/>
      <w:szCs w:val="22"/>
    </w:rPr>
  </w:style>
  <w:style w:type="character" w:customStyle="1" w:styleId="heading4Char">
    <w:name w:val="heading 4 Char"/>
    <w:link w:val="heading4"/>
    <w:rsid w:val="00286D00"/>
    <w:rPr>
      <w:bCs/>
      <w:i/>
      <w:sz w:val="22"/>
      <w:szCs w:val="22"/>
    </w:rPr>
  </w:style>
  <w:style w:type="table" w:styleId="TableGrid">
    <w:name w:val="Table Grid"/>
    <w:basedOn w:val="TableNormal"/>
    <w:uiPriority w:val="59"/>
    <w:rsid w:val="004E39FB"/>
    <w:pPr>
      <w:spacing w:after="200" w:line="0" w:lineRule="auto"/>
    </w:pPr>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2622E"/>
    <w:rPr>
      <w:rFonts w:eastAsia="Cambria"/>
      <w:sz w:val="24"/>
      <w:szCs w:val="24"/>
      <w:lang w:val="en-GB" w:eastAsia="en-US"/>
    </w:rPr>
  </w:style>
  <w:style w:type="paragraph" w:styleId="Heading1">
    <w:name w:val="heading 1"/>
    <w:basedOn w:val="Normal"/>
    <w:next w:val="paragraph"/>
    <w:autoRedefine/>
    <w:qFormat/>
    <w:rsid w:val="00D8368C"/>
    <w:pPr>
      <w:keepNext/>
      <w:keepLines/>
      <w:tabs>
        <w:tab w:val="right" w:pos="9073"/>
      </w:tabs>
      <w:outlineLvl w:val="0"/>
    </w:pPr>
    <w:rPr>
      <w:b/>
      <w:caps/>
      <w:color w:val="000000"/>
      <w:sz w:val="30"/>
      <w:u w:val="single"/>
    </w:rPr>
  </w:style>
  <w:style w:type="paragraph" w:styleId="Heading2">
    <w:name w:val="heading 2"/>
    <w:basedOn w:val="Normal"/>
    <w:next w:val="paragraph"/>
    <w:autoRedefine/>
    <w:qFormat/>
    <w:rsid w:val="00D8368C"/>
    <w:pPr>
      <w:keepNext/>
      <w:spacing w:before="120" w:after="120"/>
      <w:outlineLvl w:val="1"/>
    </w:pPr>
    <w:rPr>
      <w:b/>
      <w:color w:val="000000"/>
      <w:u w:val="single"/>
    </w:rPr>
  </w:style>
  <w:style w:type="paragraph" w:styleId="Heading3">
    <w:name w:val="heading 3"/>
    <w:basedOn w:val="Normal"/>
    <w:next w:val="paragraph"/>
    <w:autoRedefine/>
    <w:qFormat/>
    <w:rsid w:val="00D8368C"/>
    <w:pPr>
      <w:keepNext/>
      <w:keepLines/>
      <w:outlineLvl w:val="2"/>
    </w:pPr>
    <w:rPr>
      <w:b/>
    </w:rPr>
  </w:style>
  <w:style w:type="paragraph" w:styleId="Heading6">
    <w:name w:val="heading 6"/>
    <w:basedOn w:val="Normal"/>
    <w:next w:val="Normal"/>
    <w:link w:val="Heading6Char"/>
    <w:qFormat/>
    <w:rsid w:val="00E04ADD"/>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6180B"/>
    <w:pPr>
      <w:tabs>
        <w:tab w:val="center" w:pos="4540"/>
        <w:tab w:val="right" w:pos="9080"/>
      </w:tabs>
    </w:pPr>
    <w:rPr>
      <w:rFonts w:ascii="Arial" w:hAnsi="Arial"/>
      <w:sz w:val="20"/>
    </w:rPr>
  </w:style>
  <w:style w:type="paragraph" w:customStyle="1" w:styleId="paragraph">
    <w:name w:val="paragraph"/>
    <w:basedOn w:val="Normal"/>
    <w:rsid w:val="0066180B"/>
    <w:pPr>
      <w:spacing w:before="120"/>
      <w:jc w:val="both"/>
    </w:pPr>
  </w:style>
  <w:style w:type="paragraph" w:customStyle="1" w:styleId="Text">
    <w:name w:val="Text"/>
    <w:aliases w:val="Graphic"/>
    <w:basedOn w:val="Normal"/>
    <w:link w:val="TextChar"/>
    <w:rsid w:val="0066180B"/>
    <w:pPr>
      <w:spacing w:before="120"/>
      <w:jc w:val="both"/>
    </w:pPr>
  </w:style>
  <w:style w:type="character" w:customStyle="1" w:styleId="TextChar">
    <w:name w:val="Text Char"/>
    <w:link w:val="Text"/>
    <w:rsid w:val="0066180B"/>
    <w:rPr>
      <w:sz w:val="24"/>
      <w:lang w:val="en-US" w:eastAsia="en-US" w:bidi="ar-SA"/>
    </w:rPr>
  </w:style>
  <w:style w:type="paragraph" w:styleId="Subtitle">
    <w:name w:val="Subtitle"/>
    <w:basedOn w:val="Normal"/>
    <w:autoRedefine/>
    <w:qFormat/>
    <w:rsid w:val="00457669"/>
    <w:pPr>
      <w:outlineLvl w:val="1"/>
    </w:pPr>
    <w:rPr>
      <w:b/>
      <w:sz w:val="28"/>
    </w:rPr>
  </w:style>
  <w:style w:type="paragraph" w:styleId="Title">
    <w:name w:val="Title"/>
    <w:basedOn w:val="Normal"/>
    <w:autoRedefine/>
    <w:qFormat/>
    <w:rsid w:val="00457669"/>
    <w:pPr>
      <w:outlineLvl w:val="0"/>
    </w:pPr>
    <w:rPr>
      <w:b/>
      <w:bCs/>
      <w:kern w:val="28"/>
      <w:sz w:val="34"/>
      <w:szCs w:val="34"/>
    </w:rPr>
  </w:style>
  <w:style w:type="paragraph" w:styleId="BodyText">
    <w:name w:val="Body Text"/>
    <w:basedOn w:val="Normal"/>
    <w:rsid w:val="0066180B"/>
    <w:pPr>
      <w:spacing w:after="120"/>
    </w:pPr>
  </w:style>
  <w:style w:type="paragraph" w:customStyle="1" w:styleId="CharCharCharCharCharCharCharCharChar">
    <w:name w:val=" Char Char Char Char Char Char Char Char Char"/>
    <w:basedOn w:val="Normal"/>
    <w:rsid w:val="002969B0"/>
    <w:pPr>
      <w:spacing w:after="160" w:line="240" w:lineRule="exact"/>
    </w:pPr>
    <w:rPr>
      <w:rFonts w:ascii="Verdana" w:hAnsi="Verdana" w:cs="Verdana"/>
      <w:sz w:val="20"/>
    </w:rPr>
  </w:style>
  <w:style w:type="paragraph" w:customStyle="1" w:styleId="Listlevel1">
    <w:name w:val="List level 1"/>
    <w:basedOn w:val="Normal"/>
    <w:link w:val="Listlevel1Char"/>
    <w:rsid w:val="002969B0"/>
    <w:pPr>
      <w:spacing w:before="40" w:after="20"/>
      <w:ind w:left="425" w:hanging="425"/>
    </w:pPr>
    <w:rPr>
      <w:rFonts w:eastAsia="MS Mincho"/>
    </w:rPr>
  </w:style>
  <w:style w:type="character" w:customStyle="1" w:styleId="Listlevel1Char">
    <w:name w:val="List level 1 Char"/>
    <w:link w:val="Listlevel1"/>
    <w:rsid w:val="002969B0"/>
    <w:rPr>
      <w:rFonts w:eastAsia="MS Mincho"/>
      <w:sz w:val="24"/>
      <w:lang w:val="en-US" w:eastAsia="en-US" w:bidi="ar-SA"/>
    </w:rPr>
  </w:style>
  <w:style w:type="paragraph" w:customStyle="1" w:styleId="Nottoc-headings">
    <w:name w:val="Not toc-headings"/>
    <w:basedOn w:val="Normal"/>
    <w:next w:val="Text"/>
    <w:link w:val="Nottoc-headingsChar"/>
    <w:rsid w:val="00E04ADD"/>
    <w:pPr>
      <w:keepNext/>
      <w:keepLines/>
      <w:spacing w:before="240" w:after="60"/>
      <w:ind w:left="1701" w:hanging="1701"/>
    </w:pPr>
    <w:rPr>
      <w:rFonts w:ascii="Arial" w:eastAsia="MS Mincho" w:hAnsi="Arial"/>
      <w:b/>
    </w:rPr>
  </w:style>
  <w:style w:type="character" w:customStyle="1" w:styleId="Nottoc-headingsChar">
    <w:name w:val="Not toc-headings Char"/>
    <w:link w:val="Nottoc-headings"/>
    <w:rsid w:val="00E04ADD"/>
    <w:rPr>
      <w:rFonts w:ascii="Arial" w:eastAsia="MS Mincho" w:hAnsi="Arial"/>
      <w:b/>
      <w:sz w:val="24"/>
      <w:lang w:val="en-US" w:eastAsia="en-US" w:bidi="ar-SA"/>
    </w:rPr>
  </w:style>
  <w:style w:type="paragraph" w:customStyle="1" w:styleId="Comment">
    <w:name w:val="Comment"/>
    <w:basedOn w:val="Normal"/>
    <w:next w:val="Text"/>
    <w:link w:val="CommentChar"/>
    <w:rsid w:val="00E04ADD"/>
    <w:pPr>
      <w:keepLines/>
      <w:spacing w:before="120"/>
      <w:jc w:val="both"/>
    </w:pPr>
    <w:rPr>
      <w:rFonts w:eastAsia="MS Mincho"/>
      <w:i/>
      <w:color w:val="BF30B5"/>
    </w:rPr>
  </w:style>
  <w:style w:type="character" w:customStyle="1" w:styleId="CommentChar">
    <w:name w:val="Comment Char"/>
    <w:link w:val="Comment"/>
    <w:rsid w:val="00E04ADD"/>
    <w:rPr>
      <w:rFonts w:eastAsia="MS Mincho"/>
      <w:i/>
      <w:color w:val="BF30B5"/>
      <w:sz w:val="24"/>
      <w:szCs w:val="24"/>
      <w:lang w:val="en-US" w:eastAsia="en-US" w:bidi="ar-SA"/>
    </w:rPr>
  </w:style>
  <w:style w:type="paragraph" w:customStyle="1" w:styleId="Table">
    <w:name w:val="Table"/>
    <w:aliases w:val="10 pt  Bold,9 pt,10 pt"/>
    <w:basedOn w:val="Nottoc-headings"/>
    <w:link w:val="TableChar"/>
    <w:rsid w:val="00E04ADD"/>
    <w:pPr>
      <w:keepNext w:val="0"/>
      <w:tabs>
        <w:tab w:val="left" w:pos="284"/>
      </w:tabs>
      <w:spacing w:before="40" w:after="20"/>
      <w:ind w:left="0" w:firstLine="0"/>
    </w:pPr>
    <w:rPr>
      <w:b w:val="0"/>
      <w:sz w:val="20"/>
    </w:rPr>
  </w:style>
  <w:style w:type="paragraph" w:styleId="EndnoteText">
    <w:name w:val="endnote text"/>
    <w:basedOn w:val="Normal"/>
    <w:semiHidden/>
    <w:rsid w:val="006154FC"/>
    <w:pPr>
      <w:tabs>
        <w:tab w:val="left" w:pos="567"/>
      </w:tabs>
    </w:pPr>
    <w:rPr>
      <w:sz w:val="22"/>
    </w:rPr>
  </w:style>
  <w:style w:type="paragraph" w:styleId="BalloonText">
    <w:name w:val="Balloon Text"/>
    <w:basedOn w:val="Normal"/>
    <w:semiHidden/>
    <w:rsid w:val="00DA0B16"/>
    <w:rPr>
      <w:rFonts w:ascii="Tahoma" w:hAnsi="Tahoma" w:cs="Tahoma"/>
      <w:sz w:val="16"/>
      <w:szCs w:val="16"/>
    </w:rPr>
  </w:style>
  <w:style w:type="paragraph" w:styleId="FootnoteText">
    <w:name w:val="footnote text"/>
    <w:basedOn w:val="Normal"/>
    <w:semiHidden/>
    <w:rsid w:val="00B07C65"/>
    <w:rPr>
      <w:sz w:val="20"/>
    </w:rPr>
  </w:style>
  <w:style w:type="character" w:styleId="FootnoteReference">
    <w:name w:val="footnote reference"/>
    <w:semiHidden/>
    <w:rsid w:val="00B07C65"/>
    <w:rPr>
      <w:vertAlign w:val="superscript"/>
    </w:rPr>
  </w:style>
  <w:style w:type="character" w:styleId="CommentReference">
    <w:name w:val="annotation reference"/>
    <w:semiHidden/>
    <w:rsid w:val="00B97644"/>
    <w:rPr>
      <w:sz w:val="16"/>
      <w:szCs w:val="16"/>
    </w:rPr>
  </w:style>
  <w:style w:type="paragraph" w:styleId="CommentText">
    <w:name w:val="annotation text"/>
    <w:basedOn w:val="Normal"/>
    <w:semiHidden/>
    <w:rsid w:val="00B97644"/>
    <w:rPr>
      <w:sz w:val="20"/>
    </w:rPr>
  </w:style>
  <w:style w:type="paragraph" w:styleId="CommentSubject">
    <w:name w:val="annotation subject"/>
    <w:basedOn w:val="CommentText"/>
    <w:next w:val="CommentText"/>
    <w:semiHidden/>
    <w:rsid w:val="00B97644"/>
    <w:rPr>
      <w:b/>
      <w:bCs/>
    </w:rPr>
  </w:style>
  <w:style w:type="character" w:styleId="FollowedHyperlink">
    <w:name w:val="FollowedHyperlink"/>
    <w:rsid w:val="001A4D1A"/>
    <w:rPr>
      <w:color w:val="606420"/>
      <w:u w:val="single"/>
    </w:rPr>
  </w:style>
  <w:style w:type="paragraph" w:customStyle="1" w:styleId="Compound">
    <w:name w:val="Compound"/>
    <w:basedOn w:val="Normal"/>
    <w:rsid w:val="009950E0"/>
    <w:pPr>
      <w:keepNext/>
      <w:spacing w:before="720"/>
      <w:jc w:val="center"/>
    </w:pPr>
    <w:rPr>
      <w:rFonts w:ascii="Arial" w:eastAsia="MS Gothic" w:hAnsi="Arial"/>
      <w:sz w:val="32"/>
    </w:rPr>
  </w:style>
  <w:style w:type="paragraph" w:styleId="Revision">
    <w:name w:val="Revision"/>
    <w:hidden/>
    <w:uiPriority w:val="99"/>
    <w:semiHidden/>
    <w:rsid w:val="009F747D"/>
    <w:rPr>
      <w:sz w:val="24"/>
      <w:lang w:val="en-US" w:eastAsia="en-US"/>
    </w:rPr>
  </w:style>
  <w:style w:type="paragraph" w:styleId="Footer">
    <w:name w:val="footer"/>
    <w:basedOn w:val="Normal"/>
    <w:link w:val="FooterChar"/>
    <w:uiPriority w:val="99"/>
    <w:unhideWhenUsed/>
    <w:rsid w:val="00AC2935"/>
    <w:pPr>
      <w:tabs>
        <w:tab w:val="center" w:pos="4680"/>
        <w:tab w:val="right" w:pos="9360"/>
      </w:tabs>
    </w:pPr>
  </w:style>
  <w:style w:type="character" w:customStyle="1" w:styleId="FooterChar">
    <w:name w:val="Footer Char"/>
    <w:link w:val="Footer"/>
    <w:uiPriority w:val="99"/>
    <w:rsid w:val="00AC2935"/>
    <w:rPr>
      <w:sz w:val="24"/>
    </w:rPr>
  </w:style>
  <w:style w:type="paragraph" w:customStyle="1" w:styleId="Legend">
    <w:name w:val="Legend"/>
    <w:basedOn w:val="Table"/>
    <w:link w:val="LegendChar"/>
    <w:rsid w:val="0062283A"/>
    <w:rPr>
      <w:lang w:val="x-none" w:eastAsia="x-none"/>
    </w:rPr>
  </w:style>
  <w:style w:type="character" w:customStyle="1" w:styleId="TableChar">
    <w:name w:val="Table Char"/>
    <w:aliases w:val="10 pt  Bold Char,9 pt Char,10 pt Char"/>
    <w:link w:val="Table"/>
    <w:rsid w:val="0062283A"/>
    <w:rPr>
      <w:rFonts w:ascii="Arial" w:eastAsia="MS Mincho" w:hAnsi="Arial"/>
    </w:rPr>
  </w:style>
  <w:style w:type="character" w:customStyle="1" w:styleId="LegendChar">
    <w:name w:val="Legend Char"/>
    <w:link w:val="Legend"/>
    <w:locked/>
    <w:rsid w:val="0062283A"/>
    <w:rPr>
      <w:rFonts w:ascii="Arial" w:eastAsia="MS Mincho" w:hAnsi="Arial"/>
      <w:szCs w:val="24"/>
      <w:lang w:val="x-none" w:eastAsia="x-none"/>
    </w:rPr>
  </w:style>
  <w:style w:type="paragraph" w:customStyle="1" w:styleId="heading4">
    <w:name w:val="heading 4"/>
    <w:basedOn w:val="Heading6"/>
    <w:link w:val="heading4Char"/>
    <w:autoRedefine/>
    <w:qFormat/>
    <w:rsid w:val="00286D00"/>
    <w:pPr>
      <w:keepNext/>
      <w:spacing w:before="0" w:after="200"/>
    </w:pPr>
    <w:rPr>
      <w:b w:val="0"/>
      <w:i/>
    </w:rPr>
  </w:style>
  <w:style w:type="character" w:styleId="Hyperlink">
    <w:name w:val="Hyperlink"/>
    <w:uiPriority w:val="99"/>
    <w:unhideWhenUsed/>
    <w:rsid w:val="00F32258"/>
    <w:rPr>
      <w:color w:val="0000FF"/>
      <w:u w:val="single"/>
    </w:rPr>
  </w:style>
  <w:style w:type="character" w:customStyle="1" w:styleId="Heading6Char">
    <w:name w:val="Heading 6 Char"/>
    <w:link w:val="Heading6"/>
    <w:rsid w:val="009851A6"/>
    <w:rPr>
      <w:b/>
      <w:bCs/>
      <w:sz w:val="22"/>
      <w:szCs w:val="22"/>
    </w:rPr>
  </w:style>
  <w:style w:type="character" w:customStyle="1" w:styleId="heading4Char">
    <w:name w:val="heading 4 Char"/>
    <w:link w:val="heading4"/>
    <w:rsid w:val="00286D00"/>
    <w:rPr>
      <w:bCs/>
      <w:i/>
      <w:sz w:val="22"/>
      <w:szCs w:val="22"/>
    </w:rPr>
  </w:style>
  <w:style w:type="table" w:styleId="TableGrid">
    <w:name w:val="Table Grid"/>
    <w:basedOn w:val="TableNormal"/>
    <w:uiPriority w:val="59"/>
    <w:rsid w:val="004E39FB"/>
    <w:pPr>
      <w:spacing w:after="200" w:line="0" w:lineRule="auto"/>
    </w:pPr>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PowerPoint_Presentation1.ppt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E815-17D5-4305-9E12-E7ED0C4C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6280</Words>
  <Characters>34984</Characters>
  <Application>Microsoft Office Word</Application>
  <DocSecurity>0</DocSecurity>
  <Lines>971</Lines>
  <Paragraphs>497</Paragraphs>
  <ScaleCrop>false</ScaleCrop>
  <HeadingPairs>
    <vt:vector size="2" baseType="variant">
      <vt:variant>
        <vt:lpstr>Title</vt:lpstr>
      </vt:variant>
      <vt:variant>
        <vt:i4>1</vt:i4>
      </vt:variant>
    </vt:vector>
  </HeadingPairs>
  <TitlesOfParts>
    <vt:vector size="1" baseType="lpstr">
      <vt:lpstr>AusPAR Attachment 1: Product Information for Canakinumab</vt:lpstr>
    </vt:vector>
  </TitlesOfParts>
  <Company>Novartis</Company>
  <LinksUpToDate>false</LinksUpToDate>
  <CharactersWithSpaces>40767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Canakinumab</dc:title>
  <dc:subject>prescription medicine regulation</dc:subject>
  <dc:creator>Novartis Pharmaceuticals Australia Pty Ltd</dc:creator>
  <cp:keywords>product, information, prescription, medicine, regulation, canakinumab, ilaris, novartis pharmaceuticals, australia</cp:keywords>
  <cp:lastModifiedBy>Sheppard, Fran</cp:lastModifiedBy>
  <cp:revision>2</cp:revision>
  <cp:lastPrinted>2013-04-24T05:52:00Z</cp:lastPrinted>
  <dcterms:created xsi:type="dcterms:W3CDTF">2015-01-14T04:09:00Z</dcterms:created>
  <dcterms:modified xsi:type="dcterms:W3CDTF">2015-01-14T04:09:00Z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ed">
    <vt:lpwstr>0</vt:lpwstr>
  </property>
  <property fmtid="{D5CDD505-2E9C-101B-9397-08002B2CF9AE}" pid="3" name="Generic Name">
    <vt:lpwstr>canakinumab</vt:lpwstr>
  </property>
  <property fmtid="{D5CDD505-2E9C-101B-9397-08002B2CF9AE}" pid="4" name="PI Date">
    <vt:lpwstr>2012-03-21T00:00:00Z</vt:lpwstr>
  </property>
  <property fmtid="{D5CDD505-2E9C-101B-9397-08002B2CF9AE}" pid="5" name="Dosage Form">
    <vt:lpwstr>Injection, powder for</vt:lpwstr>
  </property>
  <property fmtid="{D5CDD505-2E9C-101B-9397-08002B2CF9AE}" pid="6" name="ContentType">
    <vt:lpwstr>PI Document</vt:lpwstr>
  </property>
  <property fmtid="{D5CDD505-2E9C-101B-9397-08002B2CF9AE}" pid="7" name="Brand Name">
    <vt:lpwstr>Ilaris</vt:lpwstr>
  </property>
  <property fmtid="{D5CDD505-2E9C-101B-9397-08002B2CF9AE}" pid="8" name="Image">
    <vt:lpwstr/>
  </property>
  <property fmtid="{D5CDD505-2E9C-101B-9397-08002B2CF9AE}" pid="9" name="Revision Flag">
    <vt:lpwstr/>
  </property>
</Properties>
</file>