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903AE" w:rsidP="007B7B02">
            <w:pPr>
              <w:rPr>
                <w:rFonts w:ascii="Arial" w:hAnsi="Arial" w:cs="Arial"/>
                <w:b/>
                <w:color w:val="002C47"/>
                <w:sz w:val="36"/>
                <w:szCs w:val="36"/>
              </w:rPr>
            </w:pPr>
            <w:bookmarkStart w:id="0" w:name="_GoBack"/>
            <w:bookmarkEnd w:id="0"/>
            <w:r>
              <w:rPr>
                <w:rFonts w:ascii="Arial" w:hAnsi="Arial" w:cs="Arial"/>
                <w:b/>
                <w:color w:val="002C47"/>
                <w:sz w:val="36"/>
                <w:szCs w:val="36"/>
              </w:rPr>
              <w:t xml:space="preserve">November </w:t>
            </w:r>
            <w:r w:rsidR="007B7B02">
              <w:rPr>
                <w:rFonts w:ascii="Arial" w:hAnsi="Arial" w:cs="Arial"/>
                <w:b/>
                <w:color w:val="002C47"/>
                <w:sz w:val="36"/>
                <w:szCs w:val="36"/>
              </w:rPr>
              <w:t>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7B7B02" w:rsidRDefault="0032583B" w:rsidP="007B7B02">
            <w:pPr>
              <w:pStyle w:val="Title"/>
              <w:rPr>
                <w:color w:val="FFFFFF" w:themeColor="background1"/>
              </w:rPr>
            </w:pPr>
            <w:r w:rsidRPr="007B7B02">
              <w:rPr>
                <w:color w:val="FFFFFF" w:themeColor="background1"/>
              </w:rPr>
              <w:t xml:space="preserve">Australian Public Assessment Report for </w:t>
            </w:r>
            <w:r w:rsidR="007B7B02" w:rsidRPr="007B7B02">
              <w:rPr>
                <w:rFonts w:cstheme="majorHAnsi"/>
                <w:color w:val="FFFFFF" w:themeColor="background1"/>
              </w:rPr>
              <w:t>Canakinumab</w:t>
            </w:r>
          </w:p>
        </w:tc>
      </w:tr>
      <w:tr w:rsidR="0032583B" w:rsidRPr="00B64760" w:rsidTr="0032583B">
        <w:tc>
          <w:tcPr>
            <w:tcW w:w="9079" w:type="dxa"/>
          </w:tcPr>
          <w:p w:rsidR="0032583B" w:rsidRPr="007B7B02" w:rsidRDefault="0032583B" w:rsidP="00103FBF">
            <w:pPr>
              <w:pStyle w:val="Subtitle"/>
              <w:rPr>
                <w:color w:val="FFFFFF" w:themeColor="background1"/>
              </w:rPr>
            </w:pPr>
            <w:r w:rsidRPr="007B7B02">
              <w:rPr>
                <w:color w:val="FFFFFF" w:themeColor="background1"/>
              </w:rPr>
              <w:t xml:space="preserve">Proprietary Product Name: </w:t>
            </w:r>
            <w:r w:rsidR="00103FBF">
              <w:rPr>
                <w:color w:val="FFFFFF" w:themeColor="background1"/>
              </w:rPr>
              <w:t>I</w:t>
            </w:r>
            <w:r w:rsidR="007B7B02" w:rsidRPr="007B7B02">
              <w:rPr>
                <w:color w:val="FFFFFF" w:themeColor="background1"/>
              </w:rPr>
              <w:t>laris</w:t>
            </w:r>
          </w:p>
        </w:tc>
      </w:tr>
      <w:tr w:rsidR="0032583B" w:rsidRPr="00B64760" w:rsidTr="0032583B">
        <w:trPr>
          <w:trHeight w:val="486"/>
        </w:trPr>
        <w:tc>
          <w:tcPr>
            <w:tcW w:w="9079" w:type="dxa"/>
          </w:tcPr>
          <w:p w:rsidR="0032583B" w:rsidRPr="007B7B02" w:rsidRDefault="0032583B" w:rsidP="0032583B">
            <w:pPr>
              <w:pStyle w:val="Subtitle"/>
              <w:rPr>
                <w:color w:val="FFFFFF" w:themeColor="background1"/>
              </w:rPr>
            </w:pPr>
            <w:r w:rsidRPr="007B7B02">
              <w:rPr>
                <w:color w:val="FFFFFF" w:themeColor="background1"/>
              </w:rPr>
              <w:t>Sponsor:</w:t>
            </w:r>
            <w:r w:rsidR="00404BA5">
              <w:rPr>
                <w:color w:val="FFFFFF" w:themeColor="background1"/>
              </w:rPr>
              <w:t xml:space="preserve"> </w:t>
            </w:r>
            <w:r w:rsidR="007B7B02" w:rsidRPr="00391316">
              <w:rPr>
                <w:rFonts w:cs="Arial"/>
                <w:color w:val="FFFFFF" w:themeColor="background1"/>
                <w:szCs w:val="40"/>
              </w:rPr>
              <w:t>Novartis Pharmaceuticals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BE49D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BE49D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E49D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E49D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E49D7">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BE49D7">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prescription medicine submission.</w:t>
      </w:r>
    </w:p>
    <w:p w:rsidR="008E7846" w:rsidRDefault="008E7846" w:rsidP="00BE49D7">
      <w:pPr>
        <w:pStyle w:val="ListBullet"/>
        <w:numPr>
          <w:ilvl w:val="0"/>
          <w:numId w:val="1"/>
        </w:numPr>
        <w:ind w:left="357" w:hanging="357"/>
      </w:pPr>
      <w:r>
        <w:t>AusPARs are prepared and published by the TGA.</w:t>
      </w:r>
    </w:p>
    <w:p w:rsidR="008E7846" w:rsidRDefault="008E7846" w:rsidP="00BE49D7">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BE49D7">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BE49D7">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8280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8471899" w:history="1">
            <w:r w:rsidR="00F82804" w:rsidRPr="00243091">
              <w:rPr>
                <w:rStyle w:val="Hyperlink"/>
                <w:noProof/>
              </w:rPr>
              <w:t>List of the commonly used abbreviations</w:t>
            </w:r>
            <w:r w:rsidR="00F82804">
              <w:rPr>
                <w:noProof/>
                <w:webHidden/>
              </w:rPr>
              <w:tab/>
            </w:r>
            <w:r w:rsidR="00F82804">
              <w:rPr>
                <w:noProof/>
                <w:webHidden/>
              </w:rPr>
              <w:fldChar w:fldCharType="begin"/>
            </w:r>
            <w:r w:rsidR="00F82804">
              <w:rPr>
                <w:noProof/>
                <w:webHidden/>
              </w:rPr>
              <w:instrText xml:space="preserve"> PAGEREF _Toc408471899 \h </w:instrText>
            </w:r>
            <w:r w:rsidR="00F82804">
              <w:rPr>
                <w:noProof/>
                <w:webHidden/>
              </w:rPr>
            </w:r>
            <w:r w:rsidR="00F82804">
              <w:rPr>
                <w:noProof/>
                <w:webHidden/>
              </w:rPr>
              <w:fldChar w:fldCharType="separate"/>
            </w:r>
            <w:r w:rsidR="00F82804">
              <w:rPr>
                <w:noProof/>
                <w:webHidden/>
              </w:rPr>
              <w:t>5</w:t>
            </w:r>
            <w:r w:rsidR="00F82804">
              <w:rPr>
                <w:noProof/>
                <w:webHidden/>
              </w:rPr>
              <w:fldChar w:fldCharType="end"/>
            </w:r>
          </w:hyperlink>
        </w:p>
        <w:p w:rsidR="00F82804" w:rsidRDefault="00FB68D3">
          <w:pPr>
            <w:pStyle w:val="TOC2"/>
            <w:rPr>
              <w:rFonts w:asciiTheme="minorHAnsi" w:eastAsiaTheme="minorEastAsia" w:hAnsiTheme="minorHAnsi" w:cstheme="minorBidi"/>
              <w:b w:val="0"/>
              <w:noProof/>
              <w:sz w:val="22"/>
              <w:lang w:eastAsia="en-AU"/>
            </w:rPr>
          </w:pPr>
          <w:hyperlink w:anchor="_Toc408471900" w:history="1">
            <w:r w:rsidR="00F82804" w:rsidRPr="00243091">
              <w:rPr>
                <w:rStyle w:val="Hyperlink"/>
                <w:noProof/>
              </w:rPr>
              <w:t>I. Introduction to product submission</w:t>
            </w:r>
            <w:r w:rsidR="00F82804">
              <w:rPr>
                <w:noProof/>
                <w:webHidden/>
              </w:rPr>
              <w:tab/>
            </w:r>
            <w:r w:rsidR="00F82804">
              <w:rPr>
                <w:noProof/>
                <w:webHidden/>
              </w:rPr>
              <w:fldChar w:fldCharType="begin"/>
            </w:r>
            <w:r w:rsidR="00F82804">
              <w:rPr>
                <w:noProof/>
                <w:webHidden/>
              </w:rPr>
              <w:instrText xml:space="preserve"> PAGEREF _Toc408471900 \h </w:instrText>
            </w:r>
            <w:r w:rsidR="00F82804">
              <w:rPr>
                <w:noProof/>
                <w:webHidden/>
              </w:rPr>
            </w:r>
            <w:r w:rsidR="00F82804">
              <w:rPr>
                <w:noProof/>
                <w:webHidden/>
              </w:rPr>
              <w:fldChar w:fldCharType="separate"/>
            </w:r>
            <w:r w:rsidR="00F82804">
              <w:rPr>
                <w:noProof/>
                <w:webHidden/>
              </w:rPr>
              <w:t>8</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01" w:history="1">
            <w:r w:rsidR="00F82804" w:rsidRPr="00243091">
              <w:rPr>
                <w:rStyle w:val="Hyperlink"/>
                <w:noProof/>
                <w:lang w:eastAsia="en-AU"/>
              </w:rPr>
              <w:t>Submission details</w:t>
            </w:r>
            <w:r w:rsidR="00F82804">
              <w:rPr>
                <w:noProof/>
                <w:webHidden/>
              </w:rPr>
              <w:tab/>
            </w:r>
            <w:r w:rsidR="00F82804">
              <w:rPr>
                <w:noProof/>
                <w:webHidden/>
              </w:rPr>
              <w:fldChar w:fldCharType="begin"/>
            </w:r>
            <w:r w:rsidR="00F82804">
              <w:rPr>
                <w:noProof/>
                <w:webHidden/>
              </w:rPr>
              <w:instrText xml:space="preserve"> PAGEREF _Toc408471901 \h </w:instrText>
            </w:r>
            <w:r w:rsidR="00F82804">
              <w:rPr>
                <w:noProof/>
                <w:webHidden/>
              </w:rPr>
            </w:r>
            <w:r w:rsidR="00F82804">
              <w:rPr>
                <w:noProof/>
                <w:webHidden/>
              </w:rPr>
              <w:fldChar w:fldCharType="separate"/>
            </w:r>
            <w:r w:rsidR="00F82804">
              <w:rPr>
                <w:noProof/>
                <w:webHidden/>
              </w:rPr>
              <w:t>8</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02" w:history="1">
            <w:r w:rsidR="00F82804" w:rsidRPr="00243091">
              <w:rPr>
                <w:rStyle w:val="Hyperlink"/>
                <w:noProof/>
              </w:rPr>
              <w:t>Product background</w:t>
            </w:r>
            <w:r w:rsidR="00F82804">
              <w:rPr>
                <w:noProof/>
                <w:webHidden/>
              </w:rPr>
              <w:tab/>
            </w:r>
            <w:r w:rsidR="00F82804">
              <w:rPr>
                <w:noProof/>
                <w:webHidden/>
              </w:rPr>
              <w:fldChar w:fldCharType="begin"/>
            </w:r>
            <w:r w:rsidR="00F82804">
              <w:rPr>
                <w:noProof/>
                <w:webHidden/>
              </w:rPr>
              <w:instrText xml:space="preserve"> PAGEREF _Toc408471902 \h </w:instrText>
            </w:r>
            <w:r w:rsidR="00F82804">
              <w:rPr>
                <w:noProof/>
                <w:webHidden/>
              </w:rPr>
            </w:r>
            <w:r w:rsidR="00F82804">
              <w:rPr>
                <w:noProof/>
                <w:webHidden/>
              </w:rPr>
              <w:fldChar w:fldCharType="separate"/>
            </w:r>
            <w:r w:rsidR="00F82804">
              <w:rPr>
                <w:noProof/>
                <w:webHidden/>
              </w:rPr>
              <w:t>8</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03" w:history="1">
            <w:r w:rsidR="00F82804" w:rsidRPr="00243091">
              <w:rPr>
                <w:rStyle w:val="Hyperlink"/>
                <w:noProof/>
              </w:rPr>
              <w:t>Regulatory status</w:t>
            </w:r>
            <w:r w:rsidR="00F82804">
              <w:rPr>
                <w:noProof/>
                <w:webHidden/>
              </w:rPr>
              <w:tab/>
            </w:r>
            <w:r w:rsidR="00F82804">
              <w:rPr>
                <w:noProof/>
                <w:webHidden/>
              </w:rPr>
              <w:fldChar w:fldCharType="begin"/>
            </w:r>
            <w:r w:rsidR="00F82804">
              <w:rPr>
                <w:noProof/>
                <w:webHidden/>
              </w:rPr>
              <w:instrText xml:space="preserve"> PAGEREF _Toc408471903 \h </w:instrText>
            </w:r>
            <w:r w:rsidR="00F82804">
              <w:rPr>
                <w:noProof/>
                <w:webHidden/>
              </w:rPr>
            </w:r>
            <w:r w:rsidR="00F82804">
              <w:rPr>
                <w:noProof/>
                <w:webHidden/>
              </w:rPr>
              <w:fldChar w:fldCharType="separate"/>
            </w:r>
            <w:r w:rsidR="00F82804">
              <w:rPr>
                <w:noProof/>
                <w:webHidden/>
              </w:rPr>
              <w:t>10</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04" w:history="1">
            <w:r w:rsidR="00F82804" w:rsidRPr="00243091">
              <w:rPr>
                <w:rStyle w:val="Hyperlink"/>
                <w:noProof/>
              </w:rPr>
              <w:t>Product Information</w:t>
            </w:r>
            <w:r w:rsidR="00F82804">
              <w:rPr>
                <w:noProof/>
                <w:webHidden/>
              </w:rPr>
              <w:tab/>
            </w:r>
            <w:r w:rsidR="00F82804">
              <w:rPr>
                <w:noProof/>
                <w:webHidden/>
              </w:rPr>
              <w:fldChar w:fldCharType="begin"/>
            </w:r>
            <w:r w:rsidR="00F82804">
              <w:rPr>
                <w:noProof/>
                <w:webHidden/>
              </w:rPr>
              <w:instrText xml:space="preserve"> PAGEREF _Toc408471904 \h </w:instrText>
            </w:r>
            <w:r w:rsidR="00F82804">
              <w:rPr>
                <w:noProof/>
                <w:webHidden/>
              </w:rPr>
            </w:r>
            <w:r w:rsidR="00F82804">
              <w:rPr>
                <w:noProof/>
                <w:webHidden/>
              </w:rPr>
              <w:fldChar w:fldCharType="separate"/>
            </w:r>
            <w:r w:rsidR="00F82804">
              <w:rPr>
                <w:noProof/>
                <w:webHidden/>
              </w:rPr>
              <w:t>10</w:t>
            </w:r>
            <w:r w:rsidR="00F82804">
              <w:rPr>
                <w:noProof/>
                <w:webHidden/>
              </w:rPr>
              <w:fldChar w:fldCharType="end"/>
            </w:r>
          </w:hyperlink>
        </w:p>
        <w:p w:rsidR="00F82804" w:rsidRDefault="00FB68D3">
          <w:pPr>
            <w:pStyle w:val="TOC2"/>
            <w:rPr>
              <w:rFonts w:asciiTheme="minorHAnsi" w:eastAsiaTheme="minorEastAsia" w:hAnsiTheme="minorHAnsi" w:cstheme="minorBidi"/>
              <w:b w:val="0"/>
              <w:noProof/>
              <w:sz w:val="22"/>
              <w:lang w:eastAsia="en-AU"/>
            </w:rPr>
          </w:pPr>
          <w:hyperlink w:anchor="_Toc408471905" w:history="1">
            <w:r w:rsidR="00F82804" w:rsidRPr="00243091">
              <w:rPr>
                <w:rStyle w:val="Hyperlink"/>
                <w:noProof/>
              </w:rPr>
              <w:t>II. Quality findings</w:t>
            </w:r>
            <w:r w:rsidR="00F82804">
              <w:rPr>
                <w:noProof/>
                <w:webHidden/>
              </w:rPr>
              <w:tab/>
            </w:r>
            <w:r w:rsidR="00F82804">
              <w:rPr>
                <w:noProof/>
                <w:webHidden/>
              </w:rPr>
              <w:fldChar w:fldCharType="begin"/>
            </w:r>
            <w:r w:rsidR="00F82804">
              <w:rPr>
                <w:noProof/>
                <w:webHidden/>
              </w:rPr>
              <w:instrText xml:space="preserve"> PAGEREF _Toc408471905 \h </w:instrText>
            </w:r>
            <w:r w:rsidR="00F82804">
              <w:rPr>
                <w:noProof/>
                <w:webHidden/>
              </w:rPr>
            </w:r>
            <w:r w:rsidR="00F82804">
              <w:rPr>
                <w:noProof/>
                <w:webHidden/>
              </w:rPr>
              <w:fldChar w:fldCharType="separate"/>
            </w:r>
            <w:r w:rsidR="00F82804">
              <w:rPr>
                <w:noProof/>
                <w:webHidden/>
              </w:rPr>
              <w:t>10</w:t>
            </w:r>
            <w:r w:rsidR="00F82804">
              <w:rPr>
                <w:noProof/>
                <w:webHidden/>
              </w:rPr>
              <w:fldChar w:fldCharType="end"/>
            </w:r>
          </w:hyperlink>
        </w:p>
        <w:p w:rsidR="00F82804" w:rsidRDefault="00FB68D3">
          <w:pPr>
            <w:pStyle w:val="TOC2"/>
            <w:rPr>
              <w:rFonts w:asciiTheme="minorHAnsi" w:eastAsiaTheme="minorEastAsia" w:hAnsiTheme="minorHAnsi" w:cstheme="minorBidi"/>
              <w:b w:val="0"/>
              <w:noProof/>
              <w:sz w:val="22"/>
              <w:lang w:eastAsia="en-AU"/>
            </w:rPr>
          </w:pPr>
          <w:hyperlink w:anchor="_Toc408471906" w:history="1">
            <w:r w:rsidR="00F82804" w:rsidRPr="00243091">
              <w:rPr>
                <w:rStyle w:val="Hyperlink"/>
                <w:noProof/>
              </w:rPr>
              <w:t>III. Nonclinical findings</w:t>
            </w:r>
            <w:r w:rsidR="00F82804">
              <w:rPr>
                <w:noProof/>
                <w:webHidden/>
              </w:rPr>
              <w:tab/>
            </w:r>
            <w:r w:rsidR="00F82804">
              <w:rPr>
                <w:noProof/>
                <w:webHidden/>
              </w:rPr>
              <w:fldChar w:fldCharType="begin"/>
            </w:r>
            <w:r w:rsidR="00F82804">
              <w:rPr>
                <w:noProof/>
                <w:webHidden/>
              </w:rPr>
              <w:instrText xml:space="preserve"> PAGEREF _Toc408471906 \h </w:instrText>
            </w:r>
            <w:r w:rsidR="00F82804">
              <w:rPr>
                <w:noProof/>
                <w:webHidden/>
              </w:rPr>
            </w:r>
            <w:r w:rsidR="00F82804">
              <w:rPr>
                <w:noProof/>
                <w:webHidden/>
              </w:rPr>
              <w:fldChar w:fldCharType="separate"/>
            </w:r>
            <w:r w:rsidR="00F82804">
              <w:rPr>
                <w:noProof/>
                <w:webHidden/>
              </w:rPr>
              <w:t>11</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07" w:history="1">
            <w:r w:rsidR="00F82804" w:rsidRPr="00243091">
              <w:rPr>
                <w:rStyle w:val="Hyperlink"/>
                <w:noProof/>
              </w:rPr>
              <w:t>Introduction</w:t>
            </w:r>
            <w:r w:rsidR="00F82804">
              <w:rPr>
                <w:noProof/>
                <w:webHidden/>
              </w:rPr>
              <w:tab/>
            </w:r>
            <w:r w:rsidR="00F82804">
              <w:rPr>
                <w:noProof/>
                <w:webHidden/>
              </w:rPr>
              <w:fldChar w:fldCharType="begin"/>
            </w:r>
            <w:r w:rsidR="00F82804">
              <w:rPr>
                <w:noProof/>
                <w:webHidden/>
              </w:rPr>
              <w:instrText xml:space="preserve"> PAGEREF _Toc408471907 \h </w:instrText>
            </w:r>
            <w:r w:rsidR="00F82804">
              <w:rPr>
                <w:noProof/>
                <w:webHidden/>
              </w:rPr>
            </w:r>
            <w:r w:rsidR="00F82804">
              <w:rPr>
                <w:noProof/>
                <w:webHidden/>
              </w:rPr>
              <w:fldChar w:fldCharType="separate"/>
            </w:r>
            <w:r w:rsidR="00F82804">
              <w:rPr>
                <w:noProof/>
                <w:webHidden/>
              </w:rPr>
              <w:t>11</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08" w:history="1">
            <w:r w:rsidR="00F82804" w:rsidRPr="00243091">
              <w:rPr>
                <w:rStyle w:val="Hyperlink"/>
                <w:noProof/>
              </w:rPr>
              <w:t>Pharmacokinetics</w:t>
            </w:r>
            <w:r w:rsidR="00F82804">
              <w:rPr>
                <w:noProof/>
                <w:webHidden/>
              </w:rPr>
              <w:tab/>
            </w:r>
            <w:r w:rsidR="00F82804">
              <w:rPr>
                <w:noProof/>
                <w:webHidden/>
              </w:rPr>
              <w:fldChar w:fldCharType="begin"/>
            </w:r>
            <w:r w:rsidR="00F82804">
              <w:rPr>
                <w:noProof/>
                <w:webHidden/>
              </w:rPr>
              <w:instrText xml:space="preserve"> PAGEREF _Toc408471908 \h </w:instrText>
            </w:r>
            <w:r w:rsidR="00F82804">
              <w:rPr>
                <w:noProof/>
                <w:webHidden/>
              </w:rPr>
            </w:r>
            <w:r w:rsidR="00F82804">
              <w:rPr>
                <w:noProof/>
                <w:webHidden/>
              </w:rPr>
              <w:fldChar w:fldCharType="separate"/>
            </w:r>
            <w:r w:rsidR="00F82804">
              <w:rPr>
                <w:noProof/>
                <w:webHidden/>
              </w:rPr>
              <w:t>11</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09" w:history="1">
            <w:r w:rsidR="00F82804" w:rsidRPr="00243091">
              <w:rPr>
                <w:rStyle w:val="Hyperlink"/>
                <w:noProof/>
              </w:rPr>
              <w:t>Nonclinical summary</w:t>
            </w:r>
            <w:r w:rsidR="00F82804">
              <w:rPr>
                <w:noProof/>
                <w:webHidden/>
              </w:rPr>
              <w:tab/>
            </w:r>
            <w:r w:rsidR="00F82804">
              <w:rPr>
                <w:noProof/>
                <w:webHidden/>
              </w:rPr>
              <w:fldChar w:fldCharType="begin"/>
            </w:r>
            <w:r w:rsidR="00F82804">
              <w:rPr>
                <w:noProof/>
                <w:webHidden/>
              </w:rPr>
              <w:instrText xml:space="preserve"> PAGEREF _Toc408471909 \h </w:instrText>
            </w:r>
            <w:r w:rsidR="00F82804">
              <w:rPr>
                <w:noProof/>
                <w:webHidden/>
              </w:rPr>
            </w:r>
            <w:r w:rsidR="00F82804">
              <w:rPr>
                <w:noProof/>
                <w:webHidden/>
              </w:rPr>
              <w:fldChar w:fldCharType="separate"/>
            </w:r>
            <w:r w:rsidR="00F82804">
              <w:rPr>
                <w:noProof/>
                <w:webHidden/>
              </w:rPr>
              <w:t>11</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10" w:history="1">
            <w:r w:rsidR="00F82804" w:rsidRPr="00243091">
              <w:rPr>
                <w:rStyle w:val="Hyperlink"/>
                <w:noProof/>
              </w:rPr>
              <w:t>Nonclinical conclusions and recommendation</w:t>
            </w:r>
            <w:r w:rsidR="00F82804">
              <w:rPr>
                <w:noProof/>
                <w:webHidden/>
              </w:rPr>
              <w:tab/>
            </w:r>
            <w:r w:rsidR="00F82804">
              <w:rPr>
                <w:noProof/>
                <w:webHidden/>
              </w:rPr>
              <w:fldChar w:fldCharType="begin"/>
            </w:r>
            <w:r w:rsidR="00F82804">
              <w:rPr>
                <w:noProof/>
                <w:webHidden/>
              </w:rPr>
              <w:instrText xml:space="preserve"> PAGEREF _Toc408471910 \h </w:instrText>
            </w:r>
            <w:r w:rsidR="00F82804">
              <w:rPr>
                <w:noProof/>
                <w:webHidden/>
              </w:rPr>
            </w:r>
            <w:r w:rsidR="00F82804">
              <w:rPr>
                <w:noProof/>
                <w:webHidden/>
              </w:rPr>
              <w:fldChar w:fldCharType="separate"/>
            </w:r>
            <w:r w:rsidR="00F82804">
              <w:rPr>
                <w:noProof/>
                <w:webHidden/>
              </w:rPr>
              <w:t>12</w:t>
            </w:r>
            <w:r w:rsidR="00F82804">
              <w:rPr>
                <w:noProof/>
                <w:webHidden/>
              </w:rPr>
              <w:fldChar w:fldCharType="end"/>
            </w:r>
          </w:hyperlink>
        </w:p>
        <w:p w:rsidR="00F82804" w:rsidRDefault="00FB68D3">
          <w:pPr>
            <w:pStyle w:val="TOC2"/>
            <w:rPr>
              <w:rFonts w:asciiTheme="minorHAnsi" w:eastAsiaTheme="minorEastAsia" w:hAnsiTheme="minorHAnsi" w:cstheme="minorBidi"/>
              <w:b w:val="0"/>
              <w:noProof/>
              <w:sz w:val="22"/>
              <w:lang w:eastAsia="en-AU"/>
            </w:rPr>
          </w:pPr>
          <w:hyperlink w:anchor="_Toc408471911" w:history="1">
            <w:r w:rsidR="00F82804" w:rsidRPr="00243091">
              <w:rPr>
                <w:rStyle w:val="Hyperlink"/>
                <w:noProof/>
              </w:rPr>
              <w:t>IV. Clinical findings</w:t>
            </w:r>
            <w:r w:rsidR="00F82804">
              <w:rPr>
                <w:noProof/>
                <w:webHidden/>
              </w:rPr>
              <w:tab/>
            </w:r>
            <w:r w:rsidR="00F82804">
              <w:rPr>
                <w:noProof/>
                <w:webHidden/>
              </w:rPr>
              <w:fldChar w:fldCharType="begin"/>
            </w:r>
            <w:r w:rsidR="00F82804">
              <w:rPr>
                <w:noProof/>
                <w:webHidden/>
              </w:rPr>
              <w:instrText xml:space="preserve"> PAGEREF _Toc408471911 \h </w:instrText>
            </w:r>
            <w:r w:rsidR="00F82804">
              <w:rPr>
                <w:noProof/>
                <w:webHidden/>
              </w:rPr>
            </w:r>
            <w:r w:rsidR="00F82804">
              <w:rPr>
                <w:noProof/>
                <w:webHidden/>
              </w:rPr>
              <w:fldChar w:fldCharType="separate"/>
            </w:r>
            <w:r w:rsidR="00F82804">
              <w:rPr>
                <w:noProof/>
                <w:webHidden/>
              </w:rPr>
              <w:t>12</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12" w:history="1">
            <w:r w:rsidR="00F82804" w:rsidRPr="00243091">
              <w:rPr>
                <w:rStyle w:val="Hyperlink"/>
                <w:noProof/>
              </w:rPr>
              <w:t>Introduction</w:t>
            </w:r>
            <w:r w:rsidR="00F82804">
              <w:rPr>
                <w:noProof/>
                <w:webHidden/>
              </w:rPr>
              <w:tab/>
            </w:r>
            <w:r w:rsidR="00F82804">
              <w:rPr>
                <w:noProof/>
                <w:webHidden/>
              </w:rPr>
              <w:fldChar w:fldCharType="begin"/>
            </w:r>
            <w:r w:rsidR="00F82804">
              <w:rPr>
                <w:noProof/>
                <w:webHidden/>
              </w:rPr>
              <w:instrText xml:space="preserve"> PAGEREF _Toc408471912 \h </w:instrText>
            </w:r>
            <w:r w:rsidR="00F82804">
              <w:rPr>
                <w:noProof/>
                <w:webHidden/>
              </w:rPr>
            </w:r>
            <w:r w:rsidR="00F82804">
              <w:rPr>
                <w:noProof/>
                <w:webHidden/>
              </w:rPr>
              <w:fldChar w:fldCharType="separate"/>
            </w:r>
            <w:r w:rsidR="00F82804">
              <w:rPr>
                <w:noProof/>
                <w:webHidden/>
              </w:rPr>
              <w:t>12</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13" w:history="1">
            <w:r w:rsidR="00F82804" w:rsidRPr="00243091">
              <w:rPr>
                <w:rStyle w:val="Hyperlink"/>
                <w:noProof/>
              </w:rPr>
              <w:t>Pharmacokinetics</w:t>
            </w:r>
            <w:r w:rsidR="00F82804">
              <w:rPr>
                <w:noProof/>
                <w:webHidden/>
              </w:rPr>
              <w:tab/>
            </w:r>
            <w:r w:rsidR="00F82804">
              <w:rPr>
                <w:noProof/>
                <w:webHidden/>
              </w:rPr>
              <w:fldChar w:fldCharType="begin"/>
            </w:r>
            <w:r w:rsidR="00F82804">
              <w:rPr>
                <w:noProof/>
                <w:webHidden/>
              </w:rPr>
              <w:instrText xml:space="preserve"> PAGEREF _Toc408471913 \h </w:instrText>
            </w:r>
            <w:r w:rsidR="00F82804">
              <w:rPr>
                <w:noProof/>
                <w:webHidden/>
              </w:rPr>
            </w:r>
            <w:r w:rsidR="00F82804">
              <w:rPr>
                <w:noProof/>
                <w:webHidden/>
              </w:rPr>
              <w:fldChar w:fldCharType="separate"/>
            </w:r>
            <w:r w:rsidR="00F82804">
              <w:rPr>
                <w:noProof/>
                <w:webHidden/>
              </w:rPr>
              <w:t>14</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14" w:history="1">
            <w:r w:rsidR="00F82804" w:rsidRPr="00243091">
              <w:rPr>
                <w:rStyle w:val="Hyperlink"/>
                <w:noProof/>
              </w:rPr>
              <w:t>Pharmacodynamics</w:t>
            </w:r>
            <w:r w:rsidR="00F82804">
              <w:rPr>
                <w:noProof/>
                <w:webHidden/>
              </w:rPr>
              <w:tab/>
            </w:r>
            <w:r w:rsidR="00F82804">
              <w:rPr>
                <w:noProof/>
                <w:webHidden/>
              </w:rPr>
              <w:fldChar w:fldCharType="begin"/>
            </w:r>
            <w:r w:rsidR="00F82804">
              <w:rPr>
                <w:noProof/>
                <w:webHidden/>
              </w:rPr>
              <w:instrText xml:space="preserve"> PAGEREF _Toc408471914 \h </w:instrText>
            </w:r>
            <w:r w:rsidR="00F82804">
              <w:rPr>
                <w:noProof/>
                <w:webHidden/>
              </w:rPr>
            </w:r>
            <w:r w:rsidR="00F82804">
              <w:rPr>
                <w:noProof/>
                <w:webHidden/>
              </w:rPr>
              <w:fldChar w:fldCharType="separate"/>
            </w:r>
            <w:r w:rsidR="00F82804">
              <w:rPr>
                <w:noProof/>
                <w:webHidden/>
              </w:rPr>
              <w:t>16</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15" w:history="1">
            <w:r w:rsidR="00F82804" w:rsidRPr="00243091">
              <w:rPr>
                <w:rStyle w:val="Hyperlink"/>
                <w:noProof/>
              </w:rPr>
              <w:t>Dosage selection for the pivotal studies</w:t>
            </w:r>
            <w:r w:rsidR="00F82804">
              <w:rPr>
                <w:noProof/>
                <w:webHidden/>
              </w:rPr>
              <w:tab/>
            </w:r>
            <w:r w:rsidR="00F82804">
              <w:rPr>
                <w:noProof/>
                <w:webHidden/>
              </w:rPr>
              <w:fldChar w:fldCharType="begin"/>
            </w:r>
            <w:r w:rsidR="00F82804">
              <w:rPr>
                <w:noProof/>
                <w:webHidden/>
              </w:rPr>
              <w:instrText xml:space="preserve"> PAGEREF _Toc408471915 \h </w:instrText>
            </w:r>
            <w:r w:rsidR="00F82804">
              <w:rPr>
                <w:noProof/>
                <w:webHidden/>
              </w:rPr>
            </w:r>
            <w:r w:rsidR="00F82804">
              <w:rPr>
                <w:noProof/>
                <w:webHidden/>
              </w:rPr>
              <w:fldChar w:fldCharType="separate"/>
            </w:r>
            <w:r w:rsidR="00F82804">
              <w:rPr>
                <w:noProof/>
                <w:webHidden/>
              </w:rPr>
              <w:t>17</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16" w:history="1">
            <w:r w:rsidR="00F82804" w:rsidRPr="00243091">
              <w:rPr>
                <w:rStyle w:val="Hyperlink"/>
                <w:noProof/>
              </w:rPr>
              <w:t>Efficacy</w:t>
            </w:r>
            <w:r w:rsidR="00F82804">
              <w:rPr>
                <w:noProof/>
                <w:webHidden/>
              </w:rPr>
              <w:tab/>
            </w:r>
            <w:r w:rsidR="00F82804">
              <w:rPr>
                <w:noProof/>
                <w:webHidden/>
              </w:rPr>
              <w:fldChar w:fldCharType="begin"/>
            </w:r>
            <w:r w:rsidR="00F82804">
              <w:rPr>
                <w:noProof/>
                <w:webHidden/>
              </w:rPr>
              <w:instrText xml:space="preserve"> PAGEREF _Toc408471916 \h </w:instrText>
            </w:r>
            <w:r w:rsidR="00F82804">
              <w:rPr>
                <w:noProof/>
                <w:webHidden/>
              </w:rPr>
            </w:r>
            <w:r w:rsidR="00F82804">
              <w:rPr>
                <w:noProof/>
                <w:webHidden/>
              </w:rPr>
              <w:fldChar w:fldCharType="separate"/>
            </w:r>
            <w:r w:rsidR="00F82804">
              <w:rPr>
                <w:noProof/>
                <w:webHidden/>
              </w:rPr>
              <w:t>17</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17" w:history="1">
            <w:r w:rsidR="00F82804" w:rsidRPr="00243091">
              <w:rPr>
                <w:rStyle w:val="Hyperlink"/>
                <w:noProof/>
              </w:rPr>
              <w:t>Safety</w:t>
            </w:r>
            <w:r w:rsidR="00F82804">
              <w:rPr>
                <w:noProof/>
                <w:webHidden/>
              </w:rPr>
              <w:tab/>
            </w:r>
            <w:r w:rsidR="00F82804">
              <w:rPr>
                <w:noProof/>
                <w:webHidden/>
              </w:rPr>
              <w:fldChar w:fldCharType="begin"/>
            </w:r>
            <w:r w:rsidR="00F82804">
              <w:rPr>
                <w:noProof/>
                <w:webHidden/>
              </w:rPr>
              <w:instrText xml:space="preserve"> PAGEREF _Toc408471917 \h </w:instrText>
            </w:r>
            <w:r w:rsidR="00F82804">
              <w:rPr>
                <w:noProof/>
                <w:webHidden/>
              </w:rPr>
            </w:r>
            <w:r w:rsidR="00F82804">
              <w:rPr>
                <w:noProof/>
                <w:webHidden/>
              </w:rPr>
              <w:fldChar w:fldCharType="separate"/>
            </w:r>
            <w:r w:rsidR="00F82804">
              <w:rPr>
                <w:noProof/>
                <w:webHidden/>
              </w:rPr>
              <w:t>19</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18" w:history="1">
            <w:r w:rsidR="00F82804" w:rsidRPr="00243091">
              <w:rPr>
                <w:rStyle w:val="Hyperlink"/>
                <w:noProof/>
              </w:rPr>
              <w:t>First round benefit-risk assessment</w:t>
            </w:r>
            <w:r w:rsidR="00F82804">
              <w:rPr>
                <w:noProof/>
                <w:webHidden/>
              </w:rPr>
              <w:tab/>
            </w:r>
            <w:r w:rsidR="00F82804">
              <w:rPr>
                <w:noProof/>
                <w:webHidden/>
              </w:rPr>
              <w:fldChar w:fldCharType="begin"/>
            </w:r>
            <w:r w:rsidR="00F82804">
              <w:rPr>
                <w:noProof/>
                <w:webHidden/>
              </w:rPr>
              <w:instrText xml:space="preserve"> PAGEREF _Toc408471918 \h </w:instrText>
            </w:r>
            <w:r w:rsidR="00F82804">
              <w:rPr>
                <w:noProof/>
                <w:webHidden/>
              </w:rPr>
            </w:r>
            <w:r w:rsidR="00F82804">
              <w:rPr>
                <w:noProof/>
                <w:webHidden/>
              </w:rPr>
              <w:fldChar w:fldCharType="separate"/>
            </w:r>
            <w:r w:rsidR="00F82804">
              <w:rPr>
                <w:noProof/>
                <w:webHidden/>
              </w:rPr>
              <w:t>25</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19" w:history="1">
            <w:r w:rsidR="00F82804" w:rsidRPr="00243091">
              <w:rPr>
                <w:rStyle w:val="Hyperlink"/>
                <w:noProof/>
              </w:rPr>
              <w:t>First round recommendation regarding authorisation</w:t>
            </w:r>
            <w:r w:rsidR="00F82804">
              <w:rPr>
                <w:noProof/>
                <w:webHidden/>
              </w:rPr>
              <w:tab/>
            </w:r>
            <w:r w:rsidR="00F82804">
              <w:rPr>
                <w:noProof/>
                <w:webHidden/>
              </w:rPr>
              <w:fldChar w:fldCharType="begin"/>
            </w:r>
            <w:r w:rsidR="00F82804">
              <w:rPr>
                <w:noProof/>
                <w:webHidden/>
              </w:rPr>
              <w:instrText xml:space="preserve"> PAGEREF _Toc408471919 \h </w:instrText>
            </w:r>
            <w:r w:rsidR="00F82804">
              <w:rPr>
                <w:noProof/>
                <w:webHidden/>
              </w:rPr>
            </w:r>
            <w:r w:rsidR="00F82804">
              <w:rPr>
                <w:noProof/>
                <w:webHidden/>
              </w:rPr>
              <w:fldChar w:fldCharType="separate"/>
            </w:r>
            <w:r w:rsidR="00F82804">
              <w:rPr>
                <w:noProof/>
                <w:webHidden/>
              </w:rPr>
              <w:t>26</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20" w:history="1">
            <w:r w:rsidR="00F82804" w:rsidRPr="00243091">
              <w:rPr>
                <w:rStyle w:val="Hyperlink"/>
                <w:noProof/>
              </w:rPr>
              <w:t>Clinical questions</w:t>
            </w:r>
            <w:r w:rsidR="00F82804">
              <w:rPr>
                <w:noProof/>
                <w:webHidden/>
              </w:rPr>
              <w:tab/>
            </w:r>
            <w:r w:rsidR="00F82804">
              <w:rPr>
                <w:noProof/>
                <w:webHidden/>
              </w:rPr>
              <w:fldChar w:fldCharType="begin"/>
            </w:r>
            <w:r w:rsidR="00F82804">
              <w:rPr>
                <w:noProof/>
                <w:webHidden/>
              </w:rPr>
              <w:instrText xml:space="preserve"> PAGEREF _Toc408471920 \h </w:instrText>
            </w:r>
            <w:r w:rsidR="00F82804">
              <w:rPr>
                <w:noProof/>
                <w:webHidden/>
              </w:rPr>
            </w:r>
            <w:r w:rsidR="00F82804">
              <w:rPr>
                <w:noProof/>
                <w:webHidden/>
              </w:rPr>
              <w:fldChar w:fldCharType="separate"/>
            </w:r>
            <w:r w:rsidR="00F82804">
              <w:rPr>
                <w:noProof/>
                <w:webHidden/>
              </w:rPr>
              <w:t>27</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21" w:history="1">
            <w:r w:rsidR="00F82804" w:rsidRPr="00243091">
              <w:rPr>
                <w:rStyle w:val="Hyperlink"/>
                <w:noProof/>
              </w:rPr>
              <w:t>Second round evaluation of clinical data submitted in response to questions</w:t>
            </w:r>
            <w:r w:rsidR="00F82804">
              <w:rPr>
                <w:noProof/>
                <w:webHidden/>
              </w:rPr>
              <w:tab/>
            </w:r>
            <w:r w:rsidR="00F82804">
              <w:rPr>
                <w:noProof/>
                <w:webHidden/>
              </w:rPr>
              <w:fldChar w:fldCharType="begin"/>
            </w:r>
            <w:r w:rsidR="00F82804">
              <w:rPr>
                <w:noProof/>
                <w:webHidden/>
              </w:rPr>
              <w:instrText xml:space="preserve"> PAGEREF _Toc408471921 \h </w:instrText>
            </w:r>
            <w:r w:rsidR="00F82804">
              <w:rPr>
                <w:noProof/>
                <w:webHidden/>
              </w:rPr>
            </w:r>
            <w:r w:rsidR="00F82804">
              <w:rPr>
                <w:noProof/>
                <w:webHidden/>
              </w:rPr>
              <w:fldChar w:fldCharType="separate"/>
            </w:r>
            <w:r w:rsidR="00F82804">
              <w:rPr>
                <w:noProof/>
                <w:webHidden/>
              </w:rPr>
              <w:t>28</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22" w:history="1">
            <w:r w:rsidR="00F82804" w:rsidRPr="00243091">
              <w:rPr>
                <w:rStyle w:val="Hyperlink"/>
                <w:noProof/>
              </w:rPr>
              <w:t>Second round benefit-risk assessment</w:t>
            </w:r>
            <w:r w:rsidR="00F82804">
              <w:rPr>
                <w:noProof/>
                <w:webHidden/>
              </w:rPr>
              <w:tab/>
            </w:r>
            <w:r w:rsidR="00F82804">
              <w:rPr>
                <w:noProof/>
                <w:webHidden/>
              </w:rPr>
              <w:fldChar w:fldCharType="begin"/>
            </w:r>
            <w:r w:rsidR="00F82804">
              <w:rPr>
                <w:noProof/>
                <w:webHidden/>
              </w:rPr>
              <w:instrText xml:space="preserve"> PAGEREF _Toc408471922 \h </w:instrText>
            </w:r>
            <w:r w:rsidR="00F82804">
              <w:rPr>
                <w:noProof/>
                <w:webHidden/>
              </w:rPr>
            </w:r>
            <w:r w:rsidR="00F82804">
              <w:rPr>
                <w:noProof/>
                <w:webHidden/>
              </w:rPr>
              <w:fldChar w:fldCharType="separate"/>
            </w:r>
            <w:r w:rsidR="00F82804">
              <w:rPr>
                <w:noProof/>
                <w:webHidden/>
              </w:rPr>
              <w:t>29</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23" w:history="1">
            <w:r w:rsidR="00F82804" w:rsidRPr="00243091">
              <w:rPr>
                <w:rStyle w:val="Hyperlink"/>
                <w:noProof/>
              </w:rPr>
              <w:t>Second round recommendation regarding authorisation</w:t>
            </w:r>
            <w:r w:rsidR="00F82804">
              <w:rPr>
                <w:noProof/>
                <w:webHidden/>
              </w:rPr>
              <w:tab/>
            </w:r>
            <w:r w:rsidR="00F82804">
              <w:rPr>
                <w:noProof/>
                <w:webHidden/>
              </w:rPr>
              <w:fldChar w:fldCharType="begin"/>
            </w:r>
            <w:r w:rsidR="00F82804">
              <w:rPr>
                <w:noProof/>
                <w:webHidden/>
              </w:rPr>
              <w:instrText xml:space="preserve"> PAGEREF _Toc408471923 \h </w:instrText>
            </w:r>
            <w:r w:rsidR="00F82804">
              <w:rPr>
                <w:noProof/>
                <w:webHidden/>
              </w:rPr>
            </w:r>
            <w:r w:rsidR="00F82804">
              <w:rPr>
                <w:noProof/>
                <w:webHidden/>
              </w:rPr>
              <w:fldChar w:fldCharType="separate"/>
            </w:r>
            <w:r w:rsidR="00F82804">
              <w:rPr>
                <w:noProof/>
                <w:webHidden/>
              </w:rPr>
              <w:t>29</w:t>
            </w:r>
            <w:r w:rsidR="00F82804">
              <w:rPr>
                <w:noProof/>
                <w:webHidden/>
              </w:rPr>
              <w:fldChar w:fldCharType="end"/>
            </w:r>
          </w:hyperlink>
        </w:p>
        <w:p w:rsidR="00F82804" w:rsidRDefault="00FB68D3">
          <w:pPr>
            <w:pStyle w:val="TOC2"/>
            <w:rPr>
              <w:rFonts w:asciiTheme="minorHAnsi" w:eastAsiaTheme="minorEastAsia" w:hAnsiTheme="minorHAnsi" w:cstheme="minorBidi"/>
              <w:b w:val="0"/>
              <w:noProof/>
              <w:sz w:val="22"/>
              <w:lang w:eastAsia="en-AU"/>
            </w:rPr>
          </w:pPr>
          <w:hyperlink w:anchor="_Toc408471924" w:history="1">
            <w:r w:rsidR="00F82804" w:rsidRPr="00243091">
              <w:rPr>
                <w:rStyle w:val="Hyperlink"/>
                <w:noProof/>
              </w:rPr>
              <w:t>V. Pharmacovigilance findings</w:t>
            </w:r>
            <w:r w:rsidR="00F82804">
              <w:rPr>
                <w:noProof/>
                <w:webHidden/>
              </w:rPr>
              <w:tab/>
            </w:r>
            <w:r w:rsidR="00F82804">
              <w:rPr>
                <w:noProof/>
                <w:webHidden/>
              </w:rPr>
              <w:fldChar w:fldCharType="begin"/>
            </w:r>
            <w:r w:rsidR="00F82804">
              <w:rPr>
                <w:noProof/>
                <w:webHidden/>
              </w:rPr>
              <w:instrText xml:space="preserve"> PAGEREF _Toc408471924 \h </w:instrText>
            </w:r>
            <w:r w:rsidR="00F82804">
              <w:rPr>
                <w:noProof/>
                <w:webHidden/>
              </w:rPr>
            </w:r>
            <w:r w:rsidR="00F82804">
              <w:rPr>
                <w:noProof/>
                <w:webHidden/>
              </w:rPr>
              <w:fldChar w:fldCharType="separate"/>
            </w:r>
            <w:r w:rsidR="00F82804">
              <w:rPr>
                <w:noProof/>
                <w:webHidden/>
              </w:rPr>
              <w:t>29</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25" w:history="1">
            <w:r w:rsidR="00F82804" w:rsidRPr="00243091">
              <w:rPr>
                <w:rStyle w:val="Hyperlink"/>
                <w:noProof/>
                <w:lang w:eastAsia="en-AU"/>
              </w:rPr>
              <w:t>Risk management plan</w:t>
            </w:r>
            <w:r w:rsidR="00F82804">
              <w:rPr>
                <w:noProof/>
                <w:webHidden/>
              </w:rPr>
              <w:tab/>
            </w:r>
            <w:r w:rsidR="00F82804">
              <w:rPr>
                <w:noProof/>
                <w:webHidden/>
              </w:rPr>
              <w:fldChar w:fldCharType="begin"/>
            </w:r>
            <w:r w:rsidR="00F82804">
              <w:rPr>
                <w:noProof/>
                <w:webHidden/>
              </w:rPr>
              <w:instrText xml:space="preserve"> PAGEREF _Toc408471925 \h </w:instrText>
            </w:r>
            <w:r w:rsidR="00F82804">
              <w:rPr>
                <w:noProof/>
                <w:webHidden/>
              </w:rPr>
            </w:r>
            <w:r w:rsidR="00F82804">
              <w:rPr>
                <w:noProof/>
                <w:webHidden/>
              </w:rPr>
              <w:fldChar w:fldCharType="separate"/>
            </w:r>
            <w:r w:rsidR="00F82804">
              <w:rPr>
                <w:noProof/>
                <w:webHidden/>
              </w:rPr>
              <w:t>29</w:t>
            </w:r>
            <w:r w:rsidR="00F82804">
              <w:rPr>
                <w:noProof/>
                <w:webHidden/>
              </w:rPr>
              <w:fldChar w:fldCharType="end"/>
            </w:r>
          </w:hyperlink>
        </w:p>
        <w:p w:rsidR="00F82804" w:rsidRDefault="00FB68D3">
          <w:pPr>
            <w:pStyle w:val="TOC2"/>
            <w:rPr>
              <w:rFonts w:asciiTheme="minorHAnsi" w:eastAsiaTheme="minorEastAsia" w:hAnsiTheme="minorHAnsi" w:cstheme="minorBidi"/>
              <w:b w:val="0"/>
              <w:noProof/>
              <w:sz w:val="22"/>
              <w:lang w:eastAsia="en-AU"/>
            </w:rPr>
          </w:pPr>
          <w:hyperlink w:anchor="_Toc408471926" w:history="1">
            <w:r w:rsidR="00F82804" w:rsidRPr="00243091">
              <w:rPr>
                <w:rStyle w:val="Hyperlink"/>
                <w:noProof/>
              </w:rPr>
              <w:t>VI. Overall conclusion and risk/benefit assessment</w:t>
            </w:r>
            <w:r w:rsidR="00F82804">
              <w:rPr>
                <w:noProof/>
                <w:webHidden/>
              </w:rPr>
              <w:tab/>
            </w:r>
            <w:r w:rsidR="00F82804">
              <w:rPr>
                <w:noProof/>
                <w:webHidden/>
              </w:rPr>
              <w:fldChar w:fldCharType="begin"/>
            </w:r>
            <w:r w:rsidR="00F82804">
              <w:rPr>
                <w:noProof/>
                <w:webHidden/>
              </w:rPr>
              <w:instrText xml:space="preserve"> PAGEREF _Toc408471926 \h </w:instrText>
            </w:r>
            <w:r w:rsidR="00F82804">
              <w:rPr>
                <w:noProof/>
                <w:webHidden/>
              </w:rPr>
            </w:r>
            <w:r w:rsidR="00F82804">
              <w:rPr>
                <w:noProof/>
                <w:webHidden/>
              </w:rPr>
              <w:fldChar w:fldCharType="separate"/>
            </w:r>
            <w:r w:rsidR="00F82804">
              <w:rPr>
                <w:noProof/>
                <w:webHidden/>
              </w:rPr>
              <w:t>43</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27" w:history="1">
            <w:r w:rsidR="00F82804" w:rsidRPr="00243091">
              <w:rPr>
                <w:rStyle w:val="Hyperlink"/>
                <w:noProof/>
              </w:rPr>
              <w:t>Quality</w:t>
            </w:r>
            <w:r w:rsidR="00F82804">
              <w:rPr>
                <w:noProof/>
                <w:webHidden/>
              </w:rPr>
              <w:tab/>
            </w:r>
            <w:r w:rsidR="00F82804">
              <w:rPr>
                <w:noProof/>
                <w:webHidden/>
              </w:rPr>
              <w:fldChar w:fldCharType="begin"/>
            </w:r>
            <w:r w:rsidR="00F82804">
              <w:rPr>
                <w:noProof/>
                <w:webHidden/>
              </w:rPr>
              <w:instrText xml:space="preserve"> PAGEREF _Toc408471927 \h </w:instrText>
            </w:r>
            <w:r w:rsidR="00F82804">
              <w:rPr>
                <w:noProof/>
                <w:webHidden/>
              </w:rPr>
            </w:r>
            <w:r w:rsidR="00F82804">
              <w:rPr>
                <w:noProof/>
                <w:webHidden/>
              </w:rPr>
              <w:fldChar w:fldCharType="separate"/>
            </w:r>
            <w:r w:rsidR="00F82804">
              <w:rPr>
                <w:noProof/>
                <w:webHidden/>
              </w:rPr>
              <w:t>43</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28" w:history="1">
            <w:r w:rsidR="00F82804" w:rsidRPr="00243091">
              <w:rPr>
                <w:rStyle w:val="Hyperlink"/>
                <w:noProof/>
              </w:rPr>
              <w:t>Nonclinical</w:t>
            </w:r>
            <w:r w:rsidR="00F82804">
              <w:rPr>
                <w:noProof/>
                <w:webHidden/>
              </w:rPr>
              <w:tab/>
            </w:r>
            <w:r w:rsidR="00F82804">
              <w:rPr>
                <w:noProof/>
                <w:webHidden/>
              </w:rPr>
              <w:fldChar w:fldCharType="begin"/>
            </w:r>
            <w:r w:rsidR="00F82804">
              <w:rPr>
                <w:noProof/>
                <w:webHidden/>
              </w:rPr>
              <w:instrText xml:space="preserve"> PAGEREF _Toc408471928 \h </w:instrText>
            </w:r>
            <w:r w:rsidR="00F82804">
              <w:rPr>
                <w:noProof/>
                <w:webHidden/>
              </w:rPr>
            </w:r>
            <w:r w:rsidR="00F82804">
              <w:rPr>
                <w:noProof/>
                <w:webHidden/>
              </w:rPr>
              <w:fldChar w:fldCharType="separate"/>
            </w:r>
            <w:r w:rsidR="00F82804">
              <w:rPr>
                <w:noProof/>
                <w:webHidden/>
              </w:rPr>
              <w:t>43</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29" w:history="1">
            <w:r w:rsidR="00F82804" w:rsidRPr="00243091">
              <w:rPr>
                <w:rStyle w:val="Hyperlink"/>
                <w:noProof/>
              </w:rPr>
              <w:t>Clinical</w:t>
            </w:r>
            <w:r w:rsidR="00F82804">
              <w:rPr>
                <w:noProof/>
                <w:webHidden/>
              </w:rPr>
              <w:tab/>
            </w:r>
            <w:r w:rsidR="00F82804">
              <w:rPr>
                <w:noProof/>
                <w:webHidden/>
              </w:rPr>
              <w:fldChar w:fldCharType="begin"/>
            </w:r>
            <w:r w:rsidR="00F82804">
              <w:rPr>
                <w:noProof/>
                <w:webHidden/>
              </w:rPr>
              <w:instrText xml:space="preserve"> PAGEREF _Toc408471929 \h </w:instrText>
            </w:r>
            <w:r w:rsidR="00F82804">
              <w:rPr>
                <w:noProof/>
                <w:webHidden/>
              </w:rPr>
            </w:r>
            <w:r w:rsidR="00F82804">
              <w:rPr>
                <w:noProof/>
                <w:webHidden/>
              </w:rPr>
              <w:fldChar w:fldCharType="separate"/>
            </w:r>
            <w:r w:rsidR="00F82804">
              <w:rPr>
                <w:noProof/>
                <w:webHidden/>
              </w:rPr>
              <w:t>43</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30" w:history="1">
            <w:r w:rsidR="00F82804" w:rsidRPr="00243091">
              <w:rPr>
                <w:rStyle w:val="Hyperlink"/>
                <w:noProof/>
                <w:lang w:eastAsia="en-AU"/>
              </w:rPr>
              <w:t>Risk management plan</w:t>
            </w:r>
            <w:r w:rsidR="00F82804">
              <w:rPr>
                <w:noProof/>
                <w:webHidden/>
              </w:rPr>
              <w:tab/>
            </w:r>
            <w:r w:rsidR="00F82804">
              <w:rPr>
                <w:noProof/>
                <w:webHidden/>
              </w:rPr>
              <w:fldChar w:fldCharType="begin"/>
            </w:r>
            <w:r w:rsidR="00F82804">
              <w:rPr>
                <w:noProof/>
                <w:webHidden/>
              </w:rPr>
              <w:instrText xml:space="preserve"> PAGEREF _Toc408471930 \h </w:instrText>
            </w:r>
            <w:r w:rsidR="00F82804">
              <w:rPr>
                <w:noProof/>
                <w:webHidden/>
              </w:rPr>
            </w:r>
            <w:r w:rsidR="00F82804">
              <w:rPr>
                <w:noProof/>
                <w:webHidden/>
              </w:rPr>
              <w:fldChar w:fldCharType="separate"/>
            </w:r>
            <w:r w:rsidR="00F82804">
              <w:rPr>
                <w:noProof/>
                <w:webHidden/>
              </w:rPr>
              <w:t>59</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31" w:history="1">
            <w:r w:rsidR="00F82804" w:rsidRPr="00243091">
              <w:rPr>
                <w:rStyle w:val="Hyperlink"/>
                <w:noProof/>
              </w:rPr>
              <w:t>Risk-benefit analysis</w:t>
            </w:r>
            <w:r w:rsidR="00F82804">
              <w:rPr>
                <w:noProof/>
                <w:webHidden/>
              </w:rPr>
              <w:tab/>
            </w:r>
            <w:r w:rsidR="00F82804">
              <w:rPr>
                <w:noProof/>
                <w:webHidden/>
              </w:rPr>
              <w:fldChar w:fldCharType="begin"/>
            </w:r>
            <w:r w:rsidR="00F82804">
              <w:rPr>
                <w:noProof/>
                <w:webHidden/>
              </w:rPr>
              <w:instrText xml:space="preserve"> PAGEREF _Toc408471931 \h </w:instrText>
            </w:r>
            <w:r w:rsidR="00F82804">
              <w:rPr>
                <w:noProof/>
                <w:webHidden/>
              </w:rPr>
            </w:r>
            <w:r w:rsidR="00F82804">
              <w:rPr>
                <w:noProof/>
                <w:webHidden/>
              </w:rPr>
              <w:fldChar w:fldCharType="separate"/>
            </w:r>
            <w:r w:rsidR="00F82804">
              <w:rPr>
                <w:noProof/>
                <w:webHidden/>
              </w:rPr>
              <w:t>60</w:t>
            </w:r>
            <w:r w:rsidR="00F82804">
              <w:rPr>
                <w:noProof/>
                <w:webHidden/>
              </w:rPr>
              <w:fldChar w:fldCharType="end"/>
            </w:r>
          </w:hyperlink>
        </w:p>
        <w:p w:rsidR="00F82804" w:rsidRDefault="00FB68D3">
          <w:pPr>
            <w:pStyle w:val="TOC3"/>
            <w:rPr>
              <w:rFonts w:asciiTheme="minorHAnsi" w:eastAsiaTheme="minorEastAsia" w:hAnsiTheme="minorHAnsi" w:cstheme="minorBidi"/>
              <w:noProof/>
              <w:lang w:eastAsia="en-AU"/>
            </w:rPr>
          </w:pPr>
          <w:hyperlink w:anchor="_Toc408471932" w:history="1">
            <w:r w:rsidR="00F82804" w:rsidRPr="00243091">
              <w:rPr>
                <w:rStyle w:val="Hyperlink"/>
                <w:noProof/>
              </w:rPr>
              <w:t>Outcome</w:t>
            </w:r>
            <w:r w:rsidR="00F82804">
              <w:rPr>
                <w:noProof/>
                <w:webHidden/>
              </w:rPr>
              <w:tab/>
            </w:r>
            <w:r w:rsidR="00F82804">
              <w:rPr>
                <w:noProof/>
                <w:webHidden/>
              </w:rPr>
              <w:fldChar w:fldCharType="begin"/>
            </w:r>
            <w:r w:rsidR="00F82804">
              <w:rPr>
                <w:noProof/>
                <w:webHidden/>
              </w:rPr>
              <w:instrText xml:space="preserve"> PAGEREF _Toc408471932 \h </w:instrText>
            </w:r>
            <w:r w:rsidR="00F82804">
              <w:rPr>
                <w:noProof/>
                <w:webHidden/>
              </w:rPr>
            </w:r>
            <w:r w:rsidR="00F82804">
              <w:rPr>
                <w:noProof/>
                <w:webHidden/>
              </w:rPr>
              <w:fldChar w:fldCharType="separate"/>
            </w:r>
            <w:r w:rsidR="00F82804">
              <w:rPr>
                <w:noProof/>
                <w:webHidden/>
              </w:rPr>
              <w:t>73</w:t>
            </w:r>
            <w:r w:rsidR="00F82804">
              <w:rPr>
                <w:noProof/>
                <w:webHidden/>
              </w:rPr>
              <w:fldChar w:fldCharType="end"/>
            </w:r>
          </w:hyperlink>
        </w:p>
        <w:p w:rsidR="00F82804" w:rsidRDefault="00FB68D3">
          <w:pPr>
            <w:pStyle w:val="TOC2"/>
            <w:tabs>
              <w:tab w:val="left" w:pos="2448"/>
            </w:tabs>
            <w:rPr>
              <w:rFonts w:asciiTheme="minorHAnsi" w:eastAsiaTheme="minorEastAsia" w:hAnsiTheme="minorHAnsi" w:cstheme="minorBidi"/>
              <w:b w:val="0"/>
              <w:noProof/>
              <w:sz w:val="22"/>
              <w:lang w:eastAsia="en-AU"/>
            </w:rPr>
          </w:pPr>
          <w:hyperlink w:anchor="_Toc408471933" w:history="1">
            <w:r w:rsidR="00F82804" w:rsidRPr="00243091">
              <w:rPr>
                <w:rStyle w:val="Hyperlink"/>
                <w:noProof/>
              </w:rPr>
              <w:t>Attachment 1.</w:t>
            </w:r>
            <w:r w:rsidR="00F82804">
              <w:rPr>
                <w:rFonts w:asciiTheme="minorHAnsi" w:eastAsiaTheme="minorEastAsia" w:hAnsiTheme="minorHAnsi" w:cstheme="minorBidi"/>
                <w:b w:val="0"/>
                <w:noProof/>
                <w:sz w:val="22"/>
                <w:lang w:eastAsia="en-AU"/>
              </w:rPr>
              <w:tab/>
            </w:r>
            <w:r w:rsidR="00F82804" w:rsidRPr="00243091">
              <w:rPr>
                <w:rStyle w:val="Hyperlink"/>
                <w:noProof/>
              </w:rPr>
              <w:t>Product Information</w:t>
            </w:r>
            <w:r w:rsidR="00F82804">
              <w:rPr>
                <w:noProof/>
                <w:webHidden/>
              </w:rPr>
              <w:tab/>
            </w:r>
            <w:r w:rsidR="00F82804">
              <w:rPr>
                <w:noProof/>
                <w:webHidden/>
              </w:rPr>
              <w:fldChar w:fldCharType="begin"/>
            </w:r>
            <w:r w:rsidR="00F82804">
              <w:rPr>
                <w:noProof/>
                <w:webHidden/>
              </w:rPr>
              <w:instrText xml:space="preserve"> PAGEREF _Toc408471933 \h </w:instrText>
            </w:r>
            <w:r w:rsidR="00F82804">
              <w:rPr>
                <w:noProof/>
                <w:webHidden/>
              </w:rPr>
            </w:r>
            <w:r w:rsidR="00F82804">
              <w:rPr>
                <w:noProof/>
                <w:webHidden/>
              </w:rPr>
              <w:fldChar w:fldCharType="separate"/>
            </w:r>
            <w:r w:rsidR="00F82804">
              <w:rPr>
                <w:noProof/>
                <w:webHidden/>
              </w:rPr>
              <w:t>74</w:t>
            </w:r>
            <w:r w:rsidR="00F82804">
              <w:rPr>
                <w:noProof/>
                <w:webHidden/>
              </w:rPr>
              <w:fldChar w:fldCharType="end"/>
            </w:r>
          </w:hyperlink>
        </w:p>
        <w:p w:rsidR="00F82804" w:rsidRDefault="00FB68D3">
          <w:pPr>
            <w:pStyle w:val="TOC2"/>
            <w:rPr>
              <w:rFonts w:asciiTheme="minorHAnsi" w:eastAsiaTheme="minorEastAsia" w:hAnsiTheme="minorHAnsi" w:cstheme="minorBidi"/>
              <w:b w:val="0"/>
              <w:noProof/>
              <w:sz w:val="22"/>
              <w:lang w:eastAsia="en-AU"/>
            </w:rPr>
          </w:pPr>
          <w:hyperlink w:anchor="_Toc408471934" w:history="1">
            <w:r w:rsidR="00F82804" w:rsidRPr="00243091">
              <w:rPr>
                <w:rStyle w:val="Hyperlink"/>
                <w:noProof/>
                <w:lang w:eastAsia="en-AU"/>
              </w:rPr>
              <w:t>Attachment 2. Extract from the Clinical Evaluation Report</w:t>
            </w:r>
            <w:r w:rsidR="00F82804">
              <w:rPr>
                <w:noProof/>
                <w:webHidden/>
              </w:rPr>
              <w:tab/>
            </w:r>
            <w:r w:rsidR="00F82804">
              <w:rPr>
                <w:noProof/>
                <w:webHidden/>
              </w:rPr>
              <w:fldChar w:fldCharType="begin"/>
            </w:r>
            <w:r w:rsidR="00F82804">
              <w:rPr>
                <w:noProof/>
                <w:webHidden/>
              </w:rPr>
              <w:instrText xml:space="preserve"> PAGEREF _Toc408471934 \h </w:instrText>
            </w:r>
            <w:r w:rsidR="00F82804">
              <w:rPr>
                <w:noProof/>
                <w:webHidden/>
              </w:rPr>
            </w:r>
            <w:r w:rsidR="00F82804">
              <w:rPr>
                <w:noProof/>
                <w:webHidden/>
              </w:rPr>
              <w:fldChar w:fldCharType="separate"/>
            </w:r>
            <w:r w:rsidR="00F82804">
              <w:rPr>
                <w:noProof/>
                <w:webHidden/>
              </w:rPr>
              <w:t>74</w:t>
            </w:r>
            <w:r w:rsidR="00F82804">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Default="00FD119B" w:rsidP="00894586">
      <w:pPr>
        <w:pStyle w:val="Heading2"/>
      </w:pPr>
      <w:bookmarkStart w:id="4" w:name="_Toc351716269"/>
      <w:bookmarkStart w:id="5" w:name="_Toc351718881"/>
      <w:bookmarkStart w:id="6" w:name="_Toc355338616"/>
      <w:bookmarkStart w:id="7" w:name="_Toc356306144"/>
      <w:bookmarkStart w:id="8" w:name="_Toc408471899"/>
      <w:r w:rsidRPr="00FD119B">
        <w:lastRenderedPageBreak/>
        <w:t xml:space="preserve">List of the </w:t>
      </w:r>
      <w:r w:rsidRPr="00894586">
        <w:t>common</w:t>
      </w:r>
      <w:r w:rsidR="00B24FB5" w:rsidRPr="00894586">
        <w:t>ly</w:t>
      </w:r>
      <w:r w:rsidR="00B24FB5">
        <w:t xml:space="preserve"> used</w:t>
      </w:r>
      <w:r w:rsidRPr="00FD119B">
        <w:t xml:space="preserve"> abbreviations</w:t>
      </w:r>
      <w:bookmarkEnd w:id="4"/>
      <w:bookmarkEnd w:id="5"/>
      <w:bookmarkEnd w:id="6"/>
      <w:bookmarkEnd w:id="7"/>
      <w:bookmarkEnd w:id="8"/>
      <w:r w:rsidRPr="00FD119B">
        <w:t xml:space="preserve"> </w:t>
      </w:r>
    </w:p>
    <w:tbl>
      <w:tblPr>
        <w:tblStyle w:val="TableTGAblue"/>
        <w:tblW w:w="9039" w:type="dxa"/>
        <w:tblLayout w:type="fixed"/>
        <w:tblLook w:val="04A0" w:firstRow="1" w:lastRow="0" w:firstColumn="1" w:lastColumn="0" w:noHBand="0" w:noVBand="1"/>
      </w:tblPr>
      <w:tblGrid>
        <w:gridCol w:w="1951"/>
        <w:gridCol w:w="7088"/>
      </w:tblGrid>
      <w:tr w:rsidR="007B7B02" w:rsidRPr="00FD2119" w:rsidTr="00103FBF">
        <w:trPr>
          <w:cnfStyle w:val="100000000000" w:firstRow="1" w:lastRow="0" w:firstColumn="0" w:lastColumn="0" w:oddVBand="0" w:evenVBand="0" w:oddHBand="0" w:evenHBand="0" w:firstRowFirstColumn="0" w:firstRowLastColumn="0" w:lastRowFirstColumn="0" w:lastRowLastColumn="0"/>
        </w:trPr>
        <w:tc>
          <w:tcPr>
            <w:tcW w:w="1951" w:type="dxa"/>
          </w:tcPr>
          <w:p w:rsidR="007B7B02" w:rsidRPr="00B24FB5" w:rsidRDefault="00C95FA3" w:rsidP="00103FBF">
            <w:r w:rsidRPr="00B24FB5">
              <w:t>Abbreviation</w:t>
            </w:r>
          </w:p>
        </w:tc>
        <w:tc>
          <w:tcPr>
            <w:tcW w:w="7088" w:type="dxa"/>
          </w:tcPr>
          <w:p w:rsidR="007B7B02" w:rsidRPr="00B24FB5" w:rsidRDefault="00C95FA3" w:rsidP="00103FBF">
            <w:r w:rsidRPr="00B24FB5">
              <w:t>Meaning</w:t>
            </w:r>
          </w:p>
        </w:tc>
      </w:tr>
      <w:tr w:rsidR="00C95FA3" w:rsidRPr="00FD2119" w:rsidTr="00103FBF">
        <w:trPr>
          <w:trHeight w:val="510"/>
        </w:trPr>
        <w:tc>
          <w:tcPr>
            <w:tcW w:w="1951" w:type="dxa"/>
          </w:tcPr>
          <w:p w:rsidR="00C95FA3" w:rsidRPr="00B24FB5" w:rsidRDefault="00C95FA3" w:rsidP="00103FBF">
            <w:r w:rsidRPr="00B24FB5">
              <w:t>ACR</w:t>
            </w:r>
          </w:p>
        </w:tc>
        <w:tc>
          <w:tcPr>
            <w:tcW w:w="7088" w:type="dxa"/>
          </w:tcPr>
          <w:p w:rsidR="00C95FA3" w:rsidRPr="00B24FB5" w:rsidRDefault="00C95FA3" w:rsidP="00103FBF">
            <w:r w:rsidRPr="00B24FB5">
              <w:t>American College of Rheumatology</w:t>
            </w:r>
          </w:p>
        </w:tc>
      </w:tr>
      <w:tr w:rsidR="00C95FA3" w:rsidRPr="00FD2119" w:rsidTr="00103FBF">
        <w:tc>
          <w:tcPr>
            <w:tcW w:w="1951" w:type="dxa"/>
          </w:tcPr>
          <w:p w:rsidR="00C95FA3" w:rsidRPr="00B24FB5" w:rsidRDefault="00C95FA3" w:rsidP="00103FBF">
            <w:r w:rsidRPr="00B24FB5">
              <w:t>ADA</w:t>
            </w:r>
          </w:p>
        </w:tc>
        <w:tc>
          <w:tcPr>
            <w:tcW w:w="7088" w:type="dxa"/>
          </w:tcPr>
          <w:p w:rsidR="00C95FA3" w:rsidRPr="00B24FB5" w:rsidRDefault="00C95FA3" w:rsidP="00103FBF">
            <w:r w:rsidRPr="00B24FB5">
              <w:t>anti-drug antibody</w:t>
            </w:r>
          </w:p>
        </w:tc>
      </w:tr>
      <w:tr w:rsidR="00C95FA3" w:rsidRPr="00FD2119" w:rsidTr="00103FBF">
        <w:tc>
          <w:tcPr>
            <w:tcW w:w="1951" w:type="dxa"/>
          </w:tcPr>
          <w:p w:rsidR="00C95FA3" w:rsidRPr="00B24FB5" w:rsidRDefault="00C95FA3" w:rsidP="00103FBF">
            <w:r w:rsidRPr="00B24FB5">
              <w:t>ADR</w:t>
            </w:r>
          </w:p>
        </w:tc>
        <w:tc>
          <w:tcPr>
            <w:tcW w:w="7088" w:type="dxa"/>
          </w:tcPr>
          <w:p w:rsidR="00C95FA3" w:rsidRPr="00B24FB5" w:rsidRDefault="00C95FA3" w:rsidP="00103FBF">
            <w:r w:rsidRPr="00B24FB5">
              <w:t>adverse drug reaction</w:t>
            </w:r>
          </w:p>
        </w:tc>
      </w:tr>
      <w:tr w:rsidR="00C95FA3" w:rsidRPr="00FD2119" w:rsidTr="00103FBF">
        <w:tc>
          <w:tcPr>
            <w:tcW w:w="1951" w:type="dxa"/>
          </w:tcPr>
          <w:p w:rsidR="00C95FA3" w:rsidRPr="00B24FB5" w:rsidRDefault="00C95FA3" w:rsidP="00103FBF">
            <w:r w:rsidRPr="00B24FB5">
              <w:t>ALT</w:t>
            </w:r>
            <w:r w:rsidR="00856969">
              <w:t>/</w:t>
            </w:r>
            <w:r w:rsidRPr="00B24FB5">
              <w:t>AST</w:t>
            </w:r>
          </w:p>
        </w:tc>
        <w:tc>
          <w:tcPr>
            <w:tcW w:w="7088" w:type="dxa"/>
          </w:tcPr>
          <w:p w:rsidR="00C95FA3" w:rsidRPr="00B24FB5" w:rsidRDefault="00C95FA3" w:rsidP="00103FBF">
            <w:r w:rsidRPr="00B24FB5">
              <w:t>alanine aminotransferase</w:t>
            </w:r>
            <w:r w:rsidR="00856969">
              <w:t>/</w:t>
            </w:r>
            <w:r w:rsidRPr="00B24FB5">
              <w:t>aspartate aminotransferase</w:t>
            </w:r>
          </w:p>
        </w:tc>
      </w:tr>
      <w:tr w:rsidR="00C95FA3" w:rsidRPr="00FD2119" w:rsidTr="00103FBF">
        <w:tc>
          <w:tcPr>
            <w:tcW w:w="1951" w:type="dxa"/>
          </w:tcPr>
          <w:p w:rsidR="00C95FA3" w:rsidRPr="00B24FB5" w:rsidRDefault="00C95FA3" w:rsidP="00103FBF">
            <w:r w:rsidRPr="00B24FB5">
              <w:t>AE</w:t>
            </w:r>
          </w:p>
        </w:tc>
        <w:tc>
          <w:tcPr>
            <w:tcW w:w="7088" w:type="dxa"/>
          </w:tcPr>
          <w:p w:rsidR="00C95FA3" w:rsidRPr="00B24FB5" w:rsidRDefault="00C95FA3" w:rsidP="00103FBF">
            <w:r w:rsidRPr="00B24FB5">
              <w:t>adverse event</w:t>
            </w:r>
          </w:p>
        </w:tc>
      </w:tr>
      <w:tr w:rsidR="00C95FA3" w:rsidRPr="00FD2119" w:rsidTr="00103FBF">
        <w:tc>
          <w:tcPr>
            <w:tcW w:w="1951" w:type="dxa"/>
          </w:tcPr>
          <w:p w:rsidR="00C95FA3" w:rsidRPr="00B24FB5" w:rsidRDefault="00C95FA3" w:rsidP="00103FBF">
            <w:r w:rsidRPr="00B24FB5">
              <w:t>APTT</w:t>
            </w:r>
          </w:p>
        </w:tc>
        <w:tc>
          <w:tcPr>
            <w:tcW w:w="7088" w:type="dxa"/>
          </w:tcPr>
          <w:p w:rsidR="00C95FA3" w:rsidRPr="00B24FB5" w:rsidRDefault="00C95FA3" w:rsidP="00103FBF">
            <w:r w:rsidRPr="00B24FB5">
              <w:t>activated partial thromboplastin time</w:t>
            </w:r>
          </w:p>
        </w:tc>
      </w:tr>
      <w:tr w:rsidR="00C95FA3" w:rsidRPr="00FD2119" w:rsidTr="00103FBF">
        <w:tc>
          <w:tcPr>
            <w:tcW w:w="1951" w:type="dxa"/>
          </w:tcPr>
          <w:p w:rsidR="00C95FA3" w:rsidRPr="00B24FB5" w:rsidRDefault="00C95FA3" w:rsidP="00103FBF">
            <w:r w:rsidRPr="00B24FB5">
              <w:t>AUC</w:t>
            </w:r>
          </w:p>
        </w:tc>
        <w:tc>
          <w:tcPr>
            <w:tcW w:w="7088" w:type="dxa"/>
          </w:tcPr>
          <w:p w:rsidR="00C95FA3" w:rsidRPr="00B24FB5" w:rsidRDefault="00C95FA3" w:rsidP="00103FBF">
            <w:r w:rsidRPr="00B24FB5">
              <w:t>Area under the serum concentration-time curve</w:t>
            </w:r>
          </w:p>
        </w:tc>
      </w:tr>
      <w:tr w:rsidR="00C95FA3" w:rsidRPr="00FD2119" w:rsidTr="00103FBF">
        <w:tc>
          <w:tcPr>
            <w:tcW w:w="1951" w:type="dxa"/>
          </w:tcPr>
          <w:p w:rsidR="00C95FA3" w:rsidRPr="00B24FB5" w:rsidRDefault="00C95FA3" w:rsidP="00103FBF">
            <w:r w:rsidRPr="00B24FB5">
              <w:t>AUCss</w:t>
            </w:r>
          </w:p>
        </w:tc>
        <w:tc>
          <w:tcPr>
            <w:tcW w:w="7088" w:type="dxa"/>
          </w:tcPr>
          <w:p w:rsidR="00C95FA3" w:rsidRPr="00B24FB5" w:rsidRDefault="00C95FA3" w:rsidP="00103FBF">
            <w:r w:rsidRPr="00B24FB5">
              <w:t>Area under the serum concentration-time curve at steady-state</w:t>
            </w:r>
          </w:p>
        </w:tc>
      </w:tr>
      <w:tr w:rsidR="00C95FA3" w:rsidRPr="00FD2119" w:rsidTr="00103FBF">
        <w:tc>
          <w:tcPr>
            <w:tcW w:w="1951" w:type="dxa"/>
          </w:tcPr>
          <w:p w:rsidR="00C95FA3" w:rsidRPr="00B24FB5" w:rsidRDefault="00C95FA3" w:rsidP="00103FBF">
            <w:r w:rsidRPr="00B24FB5">
              <w:t>BP</w:t>
            </w:r>
          </w:p>
        </w:tc>
        <w:tc>
          <w:tcPr>
            <w:tcW w:w="7088" w:type="dxa"/>
          </w:tcPr>
          <w:p w:rsidR="00C95FA3" w:rsidRPr="00B24FB5" w:rsidRDefault="00C95FA3" w:rsidP="00103FBF">
            <w:r w:rsidRPr="00B24FB5">
              <w:t>blood pressure</w:t>
            </w:r>
          </w:p>
        </w:tc>
      </w:tr>
      <w:tr w:rsidR="00C95FA3" w:rsidRPr="00FD2119" w:rsidTr="00103FBF">
        <w:tc>
          <w:tcPr>
            <w:tcW w:w="1951" w:type="dxa"/>
          </w:tcPr>
          <w:p w:rsidR="00C95FA3" w:rsidRPr="00B24FB5" w:rsidRDefault="00C95FA3" w:rsidP="00103FBF">
            <w:r w:rsidRPr="00B24FB5">
              <w:t>BMI</w:t>
            </w:r>
          </w:p>
        </w:tc>
        <w:tc>
          <w:tcPr>
            <w:tcW w:w="7088" w:type="dxa"/>
          </w:tcPr>
          <w:p w:rsidR="00C95FA3" w:rsidRPr="00B24FB5" w:rsidRDefault="00C95FA3" w:rsidP="00103FBF">
            <w:r w:rsidRPr="00B24FB5">
              <w:t>body mass index</w:t>
            </w:r>
          </w:p>
        </w:tc>
      </w:tr>
      <w:tr w:rsidR="00C95FA3" w:rsidRPr="00FD2119" w:rsidTr="00103FBF">
        <w:tc>
          <w:tcPr>
            <w:tcW w:w="1951" w:type="dxa"/>
          </w:tcPr>
          <w:p w:rsidR="00C95FA3" w:rsidRPr="00B24FB5" w:rsidRDefault="00C95FA3" w:rsidP="00103FBF">
            <w:r w:rsidRPr="00B24FB5">
              <w:t>CAPS</w:t>
            </w:r>
          </w:p>
        </w:tc>
        <w:tc>
          <w:tcPr>
            <w:tcW w:w="7088" w:type="dxa"/>
          </w:tcPr>
          <w:p w:rsidR="00C95FA3" w:rsidRPr="00B24FB5" w:rsidRDefault="00C95FA3" w:rsidP="00103FBF">
            <w:r w:rsidRPr="00B24FB5">
              <w:t>Cryopyrin-Associated Periodic Syndromes</w:t>
            </w:r>
          </w:p>
        </w:tc>
      </w:tr>
      <w:tr w:rsidR="00C95FA3" w:rsidRPr="00FD2119" w:rsidTr="00103FBF">
        <w:tc>
          <w:tcPr>
            <w:tcW w:w="1951" w:type="dxa"/>
          </w:tcPr>
          <w:p w:rsidR="00C95FA3" w:rsidRPr="00B24FB5" w:rsidRDefault="00C95FA3" w:rsidP="00103FBF">
            <w:r w:rsidRPr="00B24FB5">
              <w:t>CDS</w:t>
            </w:r>
          </w:p>
        </w:tc>
        <w:tc>
          <w:tcPr>
            <w:tcW w:w="7088" w:type="dxa"/>
          </w:tcPr>
          <w:p w:rsidR="00C95FA3" w:rsidRPr="00B24FB5" w:rsidRDefault="00C95FA3" w:rsidP="00103FBF">
            <w:r w:rsidRPr="00B24FB5">
              <w:t>Company core data sheet</w:t>
            </w:r>
          </w:p>
        </w:tc>
      </w:tr>
      <w:tr w:rsidR="00C95FA3" w:rsidRPr="00FD2119" w:rsidTr="00103FBF">
        <w:tc>
          <w:tcPr>
            <w:tcW w:w="1951" w:type="dxa"/>
          </w:tcPr>
          <w:p w:rsidR="00C95FA3" w:rsidRPr="00B24FB5" w:rsidRDefault="00C95FA3" w:rsidP="00103FBF">
            <w:r w:rsidRPr="00B24FB5">
              <w:t>CHAQ</w:t>
            </w:r>
          </w:p>
        </w:tc>
        <w:tc>
          <w:tcPr>
            <w:tcW w:w="7088" w:type="dxa"/>
          </w:tcPr>
          <w:p w:rsidR="00C95FA3" w:rsidRPr="00B24FB5" w:rsidRDefault="00C95FA3" w:rsidP="00103FBF">
            <w:r w:rsidRPr="00B24FB5">
              <w:t>Childhood Health Assessment questionnaire</w:t>
            </w:r>
          </w:p>
        </w:tc>
      </w:tr>
      <w:tr w:rsidR="00C95FA3" w:rsidRPr="00FD2119" w:rsidTr="00103FBF">
        <w:tc>
          <w:tcPr>
            <w:tcW w:w="1951" w:type="dxa"/>
          </w:tcPr>
          <w:p w:rsidR="00C95FA3" w:rsidRPr="00B24FB5" w:rsidRDefault="00C95FA3" w:rsidP="00103FBF">
            <w:r w:rsidRPr="00B24FB5">
              <w:t>CHQ-PF50</w:t>
            </w:r>
          </w:p>
        </w:tc>
        <w:tc>
          <w:tcPr>
            <w:tcW w:w="7088" w:type="dxa"/>
          </w:tcPr>
          <w:p w:rsidR="00C95FA3" w:rsidRPr="00B24FB5" w:rsidRDefault="00C95FA3" w:rsidP="00103FBF">
            <w:r w:rsidRPr="00B24FB5">
              <w:t>Child Health Questionnaire – parent form</w:t>
            </w:r>
          </w:p>
        </w:tc>
      </w:tr>
      <w:tr w:rsidR="00C95FA3" w:rsidRPr="00FD2119" w:rsidTr="00103FBF">
        <w:tc>
          <w:tcPr>
            <w:tcW w:w="1951" w:type="dxa"/>
          </w:tcPr>
          <w:p w:rsidR="00C95FA3" w:rsidRPr="00B24FB5" w:rsidRDefault="00C95FA3" w:rsidP="00103FBF">
            <w:r w:rsidRPr="00B24FB5">
              <w:t>CI</w:t>
            </w:r>
          </w:p>
        </w:tc>
        <w:tc>
          <w:tcPr>
            <w:tcW w:w="7088" w:type="dxa"/>
          </w:tcPr>
          <w:p w:rsidR="00C95FA3" w:rsidRPr="00B24FB5" w:rsidRDefault="00C95FA3" w:rsidP="00103FBF">
            <w:r w:rsidRPr="00B24FB5">
              <w:t>confidence interval</w:t>
            </w:r>
          </w:p>
        </w:tc>
      </w:tr>
      <w:tr w:rsidR="00C95FA3" w:rsidRPr="00FD2119" w:rsidTr="00103FBF">
        <w:tc>
          <w:tcPr>
            <w:tcW w:w="1951" w:type="dxa"/>
          </w:tcPr>
          <w:p w:rsidR="00C95FA3" w:rsidRPr="00B24FB5" w:rsidRDefault="00C95FA3" w:rsidP="00103FBF">
            <w:r w:rsidRPr="00B24FB5">
              <w:t>CINCA</w:t>
            </w:r>
          </w:p>
        </w:tc>
        <w:tc>
          <w:tcPr>
            <w:tcW w:w="7088" w:type="dxa"/>
          </w:tcPr>
          <w:p w:rsidR="00C95FA3" w:rsidRPr="00B24FB5" w:rsidRDefault="00C95FA3" w:rsidP="00103FBF">
            <w:r w:rsidRPr="00B24FB5">
              <w:t>Chronic Infantile Neurological, Cutaneous, Articular Syndrome</w:t>
            </w:r>
          </w:p>
        </w:tc>
      </w:tr>
      <w:tr w:rsidR="00C95FA3" w:rsidRPr="00FD2119" w:rsidTr="00103FBF">
        <w:tc>
          <w:tcPr>
            <w:tcW w:w="1951" w:type="dxa"/>
          </w:tcPr>
          <w:p w:rsidR="00C95FA3" w:rsidRPr="00B24FB5" w:rsidRDefault="00C95FA3" w:rsidP="00103FBF">
            <w:r w:rsidRPr="00B24FB5">
              <w:t>CL</w:t>
            </w:r>
            <w:r w:rsidRPr="00B24FB5">
              <w:rPr>
                <w:vertAlign w:val="subscript"/>
              </w:rPr>
              <w:t>D</w:t>
            </w:r>
          </w:p>
        </w:tc>
        <w:tc>
          <w:tcPr>
            <w:tcW w:w="7088" w:type="dxa"/>
          </w:tcPr>
          <w:p w:rsidR="00C95FA3" w:rsidRPr="00B24FB5" w:rsidRDefault="00C95FA3" w:rsidP="00103FBF">
            <w:r w:rsidRPr="00B24FB5">
              <w:t>Clearance from serum of canakinumab (same as CL defined under noncompartmental analysis) [L/day)]</w:t>
            </w:r>
          </w:p>
        </w:tc>
      </w:tr>
      <w:tr w:rsidR="00C95FA3" w:rsidRPr="00FD2119" w:rsidTr="00103FBF">
        <w:tc>
          <w:tcPr>
            <w:tcW w:w="1951" w:type="dxa"/>
          </w:tcPr>
          <w:p w:rsidR="00C95FA3" w:rsidRPr="00B24FB5" w:rsidRDefault="00C95FA3" w:rsidP="00103FBF">
            <w:r w:rsidRPr="00B24FB5">
              <w:t>CL/F</w:t>
            </w:r>
          </w:p>
        </w:tc>
        <w:tc>
          <w:tcPr>
            <w:tcW w:w="7088" w:type="dxa"/>
          </w:tcPr>
          <w:p w:rsidR="00C95FA3" w:rsidRPr="00B24FB5" w:rsidRDefault="00C95FA3" w:rsidP="00103FBF">
            <w:r w:rsidRPr="00B24FB5">
              <w:t>apparent clearance</w:t>
            </w:r>
          </w:p>
        </w:tc>
      </w:tr>
      <w:tr w:rsidR="00C95FA3" w:rsidRPr="00FD2119" w:rsidTr="00103FBF">
        <w:tc>
          <w:tcPr>
            <w:tcW w:w="1951" w:type="dxa"/>
          </w:tcPr>
          <w:p w:rsidR="00C95FA3" w:rsidRPr="00B24FB5" w:rsidRDefault="00C95FA3" w:rsidP="00103FBF">
            <w:pPr>
              <w:rPr>
                <w:rFonts w:cs="ArialMT"/>
              </w:rPr>
            </w:pPr>
            <w:r w:rsidRPr="00B24FB5">
              <w:rPr>
                <w:rFonts w:cs="ArialMT"/>
              </w:rPr>
              <w:t>CL</w:t>
            </w:r>
            <w:r w:rsidRPr="00B24FB5">
              <w:rPr>
                <w:rFonts w:cs="ArialMT"/>
                <w:vertAlign w:val="subscript"/>
              </w:rPr>
              <w:t>L</w:t>
            </w:r>
          </w:p>
        </w:tc>
        <w:tc>
          <w:tcPr>
            <w:tcW w:w="7088" w:type="dxa"/>
          </w:tcPr>
          <w:p w:rsidR="00C95FA3" w:rsidRPr="00B24FB5" w:rsidRDefault="00C95FA3" w:rsidP="00103FBF">
            <w:pPr>
              <w:rPr>
                <w:rFonts w:cs="ArialMT"/>
              </w:rPr>
            </w:pPr>
            <w:r w:rsidRPr="00B24FB5">
              <w:rPr>
                <w:rFonts w:cs="ArialMT"/>
              </w:rPr>
              <w:t>Clearance of uncomplexed ligand, IL-1β [L/day]</w:t>
            </w:r>
          </w:p>
        </w:tc>
      </w:tr>
      <w:tr w:rsidR="00C95FA3" w:rsidRPr="00FD2119" w:rsidTr="00103FBF">
        <w:tc>
          <w:tcPr>
            <w:tcW w:w="1951" w:type="dxa"/>
          </w:tcPr>
          <w:p w:rsidR="00C95FA3" w:rsidRPr="00B24FB5" w:rsidRDefault="00C95FA3" w:rsidP="00103FBF">
            <w:pPr>
              <w:rPr>
                <w:rFonts w:cs="ArialMT"/>
              </w:rPr>
            </w:pPr>
            <w:r w:rsidRPr="00B24FB5">
              <w:rPr>
                <w:rFonts w:cs="ArialMT"/>
              </w:rPr>
              <w:t>Cmax</w:t>
            </w:r>
          </w:p>
        </w:tc>
        <w:tc>
          <w:tcPr>
            <w:tcW w:w="7088" w:type="dxa"/>
          </w:tcPr>
          <w:p w:rsidR="00C95FA3" w:rsidRPr="00B24FB5" w:rsidRDefault="00C95FA3" w:rsidP="00103FBF">
            <w:pPr>
              <w:rPr>
                <w:rFonts w:cs="ArialMT"/>
              </w:rPr>
            </w:pPr>
            <w:r w:rsidRPr="00B24FB5">
              <w:rPr>
                <w:rFonts w:cs="ArialMT"/>
              </w:rPr>
              <w:t>maximum serum concentration</w:t>
            </w:r>
          </w:p>
        </w:tc>
      </w:tr>
      <w:tr w:rsidR="00C95FA3" w:rsidRPr="00FD2119" w:rsidTr="00103FBF">
        <w:tc>
          <w:tcPr>
            <w:tcW w:w="1951" w:type="dxa"/>
          </w:tcPr>
          <w:p w:rsidR="00C95FA3" w:rsidRPr="00B24FB5" w:rsidRDefault="00C95FA3" w:rsidP="00103FBF">
            <w:pPr>
              <w:rPr>
                <w:rFonts w:cs="ArialMT"/>
              </w:rPr>
            </w:pPr>
            <w:r w:rsidRPr="00B24FB5">
              <w:rPr>
                <w:rFonts w:cs="ArialMT"/>
              </w:rPr>
              <w:t>Cmin</w:t>
            </w:r>
          </w:p>
        </w:tc>
        <w:tc>
          <w:tcPr>
            <w:tcW w:w="7088" w:type="dxa"/>
          </w:tcPr>
          <w:p w:rsidR="00C95FA3" w:rsidRPr="00B24FB5" w:rsidRDefault="00C95FA3" w:rsidP="00103FBF">
            <w:pPr>
              <w:rPr>
                <w:rFonts w:cs="ArialMT"/>
              </w:rPr>
            </w:pPr>
            <w:r w:rsidRPr="00B24FB5">
              <w:rPr>
                <w:rFonts w:cs="ArialMT"/>
              </w:rPr>
              <w:t>minimum serum concentration</w:t>
            </w:r>
          </w:p>
        </w:tc>
      </w:tr>
      <w:tr w:rsidR="00C95FA3" w:rsidRPr="00FD2119" w:rsidTr="00103FBF">
        <w:tc>
          <w:tcPr>
            <w:tcW w:w="1951" w:type="dxa"/>
          </w:tcPr>
          <w:p w:rsidR="00C95FA3" w:rsidRPr="00B24FB5" w:rsidRDefault="00C95FA3" w:rsidP="00103FBF">
            <w:r w:rsidRPr="00B24FB5">
              <w:t>CMH</w:t>
            </w:r>
          </w:p>
        </w:tc>
        <w:tc>
          <w:tcPr>
            <w:tcW w:w="7088" w:type="dxa"/>
          </w:tcPr>
          <w:p w:rsidR="00C95FA3" w:rsidRPr="00B24FB5" w:rsidRDefault="00C95FA3" w:rsidP="00103FBF">
            <w:r w:rsidRPr="00B24FB5">
              <w:t>Cochran-Mantel Haenszel</w:t>
            </w:r>
          </w:p>
        </w:tc>
      </w:tr>
      <w:tr w:rsidR="00C95FA3" w:rsidRPr="00FD2119" w:rsidTr="00103FBF">
        <w:tc>
          <w:tcPr>
            <w:tcW w:w="1951" w:type="dxa"/>
          </w:tcPr>
          <w:p w:rsidR="00C95FA3" w:rsidRPr="00B24FB5" w:rsidRDefault="00C95FA3" w:rsidP="00103FBF">
            <w:r w:rsidRPr="00B24FB5">
              <w:t>CRP</w:t>
            </w:r>
          </w:p>
        </w:tc>
        <w:tc>
          <w:tcPr>
            <w:tcW w:w="7088" w:type="dxa"/>
          </w:tcPr>
          <w:p w:rsidR="00C95FA3" w:rsidRPr="00B24FB5" w:rsidRDefault="00C95FA3" w:rsidP="00103FBF">
            <w:r w:rsidRPr="00B24FB5">
              <w:t>C-reactive protein</w:t>
            </w:r>
          </w:p>
        </w:tc>
      </w:tr>
      <w:tr w:rsidR="00C95FA3" w:rsidRPr="00FD2119" w:rsidTr="00103FBF">
        <w:tc>
          <w:tcPr>
            <w:tcW w:w="1951" w:type="dxa"/>
          </w:tcPr>
          <w:p w:rsidR="00C95FA3" w:rsidRPr="00B24FB5" w:rsidRDefault="00C95FA3" w:rsidP="00103FBF">
            <w:r w:rsidRPr="00B24FB5">
              <w:t>CTD</w:t>
            </w:r>
          </w:p>
        </w:tc>
        <w:tc>
          <w:tcPr>
            <w:tcW w:w="7088" w:type="dxa"/>
          </w:tcPr>
          <w:p w:rsidR="00C95FA3" w:rsidRPr="00B24FB5" w:rsidRDefault="00C95FA3" w:rsidP="00103FBF">
            <w:r w:rsidRPr="00B24FB5">
              <w:t>Common Technical Document</w:t>
            </w:r>
          </w:p>
        </w:tc>
      </w:tr>
      <w:tr w:rsidR="00C95FA3" w:rsidRPr="00FD2119" w:rsidTr="00103FBF">
        <w:tc>
          <w:tcPr>
            <w:tcW w:w="1951" w:type="dxa"/>
          </w:tcPr>
          <w:p w:rsidR="00C95FA3" w:rsidRPr="00B24FB5" w:rsidRDefault="00C95FA3" w:rsidP="00103FBF">
            <w:r w:rsidRPr="00B24FB5">
              <w:lastRenderedPageBreak/>
              <w:t>CV</w:t>
            </w:r>
          </w:p>
        </w:tc>
        <w:tc>
          <w:tcPr>
            <w:tcW w:w="7088" w:type="dxa"/>
          </w:tcPr>
          <w:p w:rsidR="00C95FA3" w:rsidRPr="00B24FB5" w:rsidRDefault="00C95FA3" w:rsidP="00103FBF">
            <w:r w:rsidRPr="00B24FB5">
              <w:t>coefficient of variation, or standard deviation as a percentage of the parameter value</w:t>
            </w:r>
          </w:p>
        </w:tc>
      </w:tr>
      <w:tr w:rsidR="00C95FA3" w:rsidRPr="00FD2119" w:rsidTr="00103FBF">
        <w:tc>
          <w:tcPr>
            <w:tcW w:w="1951" w:type="dxa"/>
          </w:tcPr>
          <w:p w:rsidR="00C95FA3" w:rsidRPr="00B24FB5" w:rsidRDefault="00C95FA3" w:rsidP="00103FBF">
            <w:r w:rsidRPr="00B24FB5">
              <w:t>ECG</w:t>
            </w:r>
          </w:p>
        </w:tc>
        <w:tc>
          <w:tcPr>
            <w:tcW w:w="7088" w:type="dxa"/>
          </w:tcPr>
          <w:p w:rsidR="00C95FA3" w:rsidRPr="00B24FB5" w:rsidRDefault="00C95FA3" w:rsidP="00103FBF">
            <w:r w:rsidRPr="00B24FB5">
              <w:t>electrocardiogram</w:t>
            </w:r>
          </w:p>
        </w:tc>
      </w:tr>
      <w:tr w:rsidR="00C95FA3" w:rsidRPr="00FD2119" w:rsidTr="00103FBF">
        <w:tc>
          <w:tcPr>
            <w:tcW w:w="1951" w:type="dxa"/>
          </w:tcPr>
          <w:p w:rsidR="00C95FA3" w:rsidRPr="00B24FB5" w:rsidRDefault="00C95FA3" w:rsidP="00103FBF">
            <w:r w:rsidRPr="00B24FB5">
              <w:t>ELISA</w:t>
            </w:r>
          </w:p>
        </w:tc>
        <w:tc>
          <w:tcPr>
            <w:tcW w:w="7088" w:type="dxa"/>
          </w:tcPr>
          <w:p w:rsidR="00C95FA3" w:rsidRPr="00B24FB5" w:rsidRDefault="00C95FA3" w:rsidP="00103FBF">
            <w:r w:rsidRPr="00B24FB5">
              <w:t>enzyme-linked immunosorbent assay</w:t>
            </w:r>
          </w:p>
        </w:tc>
      </w:tr>
      <w:tr w:rsidR="00C95FA3" w:rsidRPr="00FD2119" w:rsidTr="00103FBF">
        <w:tc>
          <w:tcPr>
            <w:tcW w:w="1951" w:type="dxa"/>
          </w:tcPr>
          <w:p w:rsidR="00C95FA3" w:rsidRPr="00B24FB5" w:rsidRDefault="00C95FA3" w:rsidP="00103FBF">
            <w:r w:rsidRPr="00B24FB5">
              <w:t>ESR</w:t>
            </w:r>
          </w:p>
        </w:tc>
        <w:tc>
          <w:tcPr>
            <w:tcW w:w="7088" w:type="dxa"/>
          </w:tcPr>
          <w:p w:rsidR="00C95FA3" w:rsidRPr="00B24FB5" w:rsidRDefault="00C95FA3" w:rsidP="00103FBF">
            <w:r w:rsidRPr="00B24FB5">
              <w:t>erythrocyte sedimentation rate</w:t>
            </w:r>
          </w:p>
        </w:tc>
      </w:tr>
      <w:tr w:rsidR="00C95FA3" w:rsidRPr="00FD2119" w:rsidTr="00103FBF">
        <w:tc>
          <w:tcPr>
            <w:tcW w:w="1951" w:type="dxa"/>
          </w:tcPr>
          <w:p w:rsidR="00C95FA3" w:rsidRPr="00B24FB5" w:rsidRDefault="00C95FA3" w:rsidP="00103FBF">
            <w:r w:rsidRPr="00B24FB5">
              <w:t>EU</w:t>
            </w:r>
          </w:p>
        </w:tc>
        <w:tc>
          <w:tcPr>
            <w:tcW w:w="7088" w:type="dxa"/>
          </w:tcPr>
          <w:p w:rsidR="00C95FA3" w:rsidRPr="00B24FB5" w:rsidRDefault="00C95FA3" w:rsidP="00103FBF">
            <w:r w:rsidRPr="00B24FB5">
              <w:t>European Union</w:t>
            </w:r>
          </w:p>
        </w:tc>
      </w:tr>
      <w:tr w:rsidR="00C95FA3" w:rsidRPr="00FD2119" w:rsidTr="00103FBF">
        <w:tc>
          <w:tcPr>
            <w:tcW w:w="1951" w:type="dxa"/>
          </w:tcPr>
          <w:p w:rsidR="00C95FA3" w:rsidRPr="00B24FB5" w:rsidRDefault="00C95FA3" w:rsidP="00103FBF">
            <w:r w:rsidRPr="00B24FB5">
              <w:t>FAS</w:t>
            </w:r>
          </w:p>
        </w:tc>
        <w:tc>
          <w:tcPr>
            <w:tcW w:w="7088" w:type="dxa"/>
          </w:tcPr>
          <w:p w:rsidR="00C95FA3" w:rsidRPr="00B24FB5" w:rsidRDefault="00C95FA3" w:rsidP="00103FBF">
            <w:r w:rsidRPr="00B24FB5">
              <w:t>full analysis set</w:t>
            </w:r>
          </w:p>
        </w:tc>
      </w:tr>
      <w:tr w:rsidR="00C95FA3" w:rsidRPr="00FD2119" w:rsidTr="00103FBF">
        <w:tc>
          <w:tcPr>
            <w:tcW w:w="1951" w:type="dxa"/>
          </w:tcPr>
          <w:p w:rsidR="00C95FA3" w:rsidRPr="00B24FB5" w:rsidRDefault="00C95FA3" w:rsidP="00103FBF">
            <w:r w:rsidRPr="00B24FB5">
              <w:t>FCAS</w:t>
            </w:r>
          </w:p>
        </w:tc>
        <w:tc>
          <w:tcPr>
            <w:tcW w:w="7088" w:type="dxa"/>
          </w:tcPr>
          <w:p w:rsidR="00C95FA3" w:rsidRPr="00B24FB5" w:rsidRDefault="00C95FA3" w:rsidP="00103FBF">
            <w:r w:rsidRPr="00B24FB5">
              <w:t>Familial Cold Autoinflammatory Syndrome</w:t>
            </w:r>
          </w:p>
        </w:tc>
      </w:tr>
      <w:tr w:rsidR="00C95FA3" w:rsidRPr="00FD2119" w:rsidTr="00103FBF">
        <w:tc>
          <w:tcPr>
            <w:tcW w:w="1951" w:type="dxa"/>
          </w:tcPr>
          <w:p w:rsidR="00C95FA3" w:rsidRPr="00B24FB5" w:rsidRDefault="00C95FA3" w:rsidP="00103FBF">
            <w:r w:rsidRPr="00B24FB5">
              <w:t>FCU</w:t>
            </w:r>
          </w:p>
        </w:tc>
        <w:tc>
          <w:tcPr>
            <w:tcW w:w="7088" w:type="dxa"/>
          </w:tcPr>
          <w:p w:rsidR="00C95FA3" w:rsidRPr="00B24FB5" w:rsidRDefault="00C95FA3" w:rsidP="00103FBF">
            <w:r w:rsidRPr="00B24FB5">
              <w:t>Familial Cold Urticaria</w:t>
            </w:r>
          </w:p>
        </w:tc>
      </w:tr>
      <w:tr w:rsidR="00C95FA3" w:rsidRPr="00FD2119" w:rsidTr="00103FBF">
        <w:tc>
          <w:tcPr>
            <w:tcW w:w="1951" w:type="dxa"/>
          </w:tcPr>
          <w:p w:rsidR="00C95FA3" w:rsidRPr="00B24FB5" w:rsidRDefault="00C95FA3" w:rsidP="00103FBF">
            <w:r w:rsidRPr="00B24FB5">
              <w:t>FDA</w:t>
            </w:r>
          </w:p>
        </w:tc>
        <w:tc>
          <w:tcPr>
            <w:tcW w:w="7088" w:type="dxa"/>
          </w:tcPr>
          <w:p w:rsidR="00C95FA3" w:rsidRPr="00B24FB5" w:rsidRDefault="00C95FA3" w:rsidP="00103FBF">
            <w:r w:rsidRPr="00B24FB5">
              <w:t>Food and Drug Administration</w:t>
            </w:r>
          </w:p>
        </w:tc>
      </w:tr>
      <w:tr w:rsidR="00C95FA3" w:rsidRPr="00FD2119" w:rsidTr="00103FBF">
        <w:tc>
          <w:tcPr>
            <w:tcW w:w="1951" w:type="dxa"/>
          </w:tcPr>
          <w:p w:rsidR="00C95FA3" w:rsidRPr="00B24FB5" w:rsidRDefault="00C95FA3" w:rsidP="00103FBF">
            <w:r w:rsidRPr="00B24FB5">
              <w:t>GCP</w:t>
            </w:r>
          </w:p>
        </w:tc>
        <w:tc>
          <w:tcPr>
            <w:tcW w:w="7088" w:type="dxa"/>
          </w:tcPr>
          <w:p w:rsidR="00C95FA3" w:rsidRPr="00B24FB5" w:rsidRDefault="00C95FA3" w:rsidP="00103FBF">
            <w:r w:rsidRPr="00B24FB5">
              <w:t>Good Clinical Practice</w:t>
            </w:r>
          </w:p>
        </w:tc>
      </w:tr>
      <w:tr w:rsidR="00C95FA3" w:rsidRPr="00FD2119" w:rsidTr="00103FBF">
        <w:tc>
          <w:tcPr>
            <w:tcW w:w="1951" w:type="dxa"/>
          </w:tcPr>
          <w:p w:rsidR="00C95FA3" w:rsidRPr="00B24FB5" w:rsidRDefault="00C95FA3" w:rsidP="00103FBF">
            <w:r w:rsidRPr="00B24FB5">
              <w:t>HR</w:t>
            </w:r>
          </w:p>
        </w:tc>
        <w:tc>
          <w:tcPr>
            <w:tcW w:w="7088" w:type="dxa"/>
          </w:tcPr>
          <w:p w:rsidR="00C95FA3" w:rsidRPr="00B24FB5" w:rsidRDefault="00C95FA3" w:rsidP="00103FBF">
            <w:r w:rsidRPr="00B24FB5">
              <w:t>hazard ratio</w:t>
            </w:r>
          </w:p>
        </w:tc>
      </w:tr>
      <w:tr w:rsidR="00C95FA3" w:rsidRPr="00FD2119" w:rsidTr="00103FBF">
        <w:tc>
          <w:tcPr>
            <w:tcW w:w="1951" w:type="dxa"/>
          </w:tcPr>
          <w:p w:rsidR="00C95FA3" w:rsidRPr="00B24FB5" w:rsidRDefault="00C95FA3" w:rsidP="00103FBF">
            <w:r w:rsidRPr="00B24FB5">
              <w:t>HRQoL</w:t>
            </w:r>
          </w:p>
        </w:tc>
        <w:tc>
          <w:tcPr>
            <w:tcW w:w="7088" w:type="dxa"/>
          </w:tcPr>
          <w:p w:rsidR="00C95FA3" w:rsidRPr="00B24FB5" w:rsidRDefault="00C95FA3" w:rsidP="00103FBF">
            <w:r w:rsidRPr="00B24FB5">
              <w:t>Health-Related Quality of Life</w:t>
            </w:r>
          </w:p>
        </w:tc>
      </w:tr>
      <w:tr w:rsidR="00C95FA3" w:rsidRPr="00FD2119" w:rsidTr="00103FBF">
        <w:tc>
          <w:tcPr>
            <w:tcW w:w="1951" w:type="dxa"/>
          </w:tcPr>
          <w:p w:rsidR="00C95FA3" w:rsidRPr="00B24FB5" w:rsidRDefault="00C95FA3" w:rsidP="00103FBF">
            <w:r w:rsidRPr="00B24FB5">
              <w:t>Ig</w:t>
            </w:r>
          </w:p>
        </w:tc>
        <w:tc>
          <w:tcPr>
            <w:tcW w:w="7088" w:type="dxa"/>
          </w:tcPr>
          <w:p w:rsidR="00C95FA3" w:rsidRPr="00B24FB5" w:rsidRDefault="00C95FA3" w:rsidP="00103FBF">
            <w:r w:rsidRPr="00B24FB5">
              <w:t>Immunoglobulin</w:t>
            </w:r>
          </w:p>
        </w:tc>
      </w:tr>
      <w:tr w:rsidR="00C95FA3" w:rsidRPr="00FD2119" w:rsidTr="00103FBF">
        <w:tc>
          <w:tcPr>
            <w:tcW w:w="1951" w:type="dxa"/>
          </w:tcPr>
          <w:p w:rsidR="00C95FA3" w:rsidRPr="00B24FB5" w:rsidRDefault="00C95FA3" w:rsidP="00103FBF">
            <w:r w:rsidRPr="00B24FB5">
              <w:t>ILAR</w:t>
            </w:r>
          </w:p>
        </w:tc>
        <w:tc>
          <w:tcPr>
            <w:tcW w:w="7088" w:type="dxa"/>
          </w:tcPr>
          <w:p w:rsidR="00C95FA3" w:rsidRPr="00B24FB5" w:rsidRDefault="00C95FA3" w:rsidP="00103FBF">
            <w:r w:rsidRPr="00B24FB5">
              <w:t>International League against Rheumatism</w:t>
            </w:r>
          </w:p>
        </w:tc>
      </w:tr>
      <w:tr w:rsidR="00C95FA3" w:rsidRPr="00FD2119" w:rsidTr="00103FBF">
        <w:tc>
          <w:tcPr>
            <w:tcW w:w="1951" w:type="dxa"/>
          </w:tcPr>
          <w:p w:rsidR="00C95FA3" w:rsidRPr="00B24FB5" w:rsidRDefault="00C95FA3" w:rsidP="00103FBF">
            <w:r w:rsidRPr="00B24FB5">
              <w:t>IL</w:t>
            </w:r>
          </w:p>
        </w:tc>
        <w:tc>
          <w:tcPr>
            <w:tcW w:w="7088" w:type="dxa"/>
          </w:tcPr>
          <w:p w:rsidR="00C95FA3" w:rsidRPr="00B24FB5" w:rsidRDefault="00C95FA3" w:rsidP="00103FBF">
            <w:r w:rsidRPr="00B24FB5">
              <w:t>interleukin</w:t>
            </w:r>
          </w:p>
        </w:tc>
      </w:tr>
      <w:tr w:rsidR="00C95FA3" w:rsidRPr="00FD2119" w:rsidTr="00103FBF">
        <w:tc>
          <w:tcPr>
            <w:tcW w:w="1951" w:type="dxa"/>
          </w:tcPr>
          <w:p w:rsidR="00C95FA3" w:rsidRPr="00B24FB5" w:rsidRDefault="00C95FA3" w:rsidP="00103FBF">
            <w:r w:rsidRPr="00B24FB5">
              <w:t>IL-1β</w:t>
            </w:r>
          </w:p>
        </w:tc>
        <w:tc>
          <w:tcPr>
            <w:tcW w:w="7088" w:type="dxa"/>
          </w:tcPr>
          <w:p w:rsidR="00C95FA3" w:rsidRPr="00B24FB5" w:rsidRDefault="00C95FA3" w:rsidP="00103FBF">
            <w:r w:rsidRPr="00B24FB5">
              <w:t>interleukin-1-beta</w:t>
            </w:r>
          </w:p>
        </w:tc>
      </w:tr>
      <w:tr w:rsidR="00C95FA3" w:rsidRPr="00FD2119" w:rsidTr="00103FBF">
        <w:tc>
          <w:tcPr>
            <w:tcW w:w="1951" w:type="dxa"/>
          </w:tcPr>
          <w:p w:rsidR="00C95FA3" w:rsidRPr="00B24FB5" w:rsidRDefault="00856969" w:rsidP="00103FBF">
            <w:r>
              <w:t>IV</w:t>
            </w:r>
          </w:p>
        </w:tc>
        <w:tc>
          <w:tcPr>
            <w:tcW w:w="7088" w:type="dxa"/>
          </w:tcPr>
          <w:p w:rsidR="00C95FA3" w:rsidRPr="00B24FB5" w:rsidRDefault="00C95FA3" w:rsidP="00103FBF">
            <w:r w:rsidRPr="00B24FB5">
              <w:t>intravenous</w:t>
            </w:r>
          </w:p>
        </w:tc>
      </w:tr>
      <w:tr w:rsidR="00C95FA3" w:rsidRPr="00FD2119" w:rsidTr="00103FBF">
        <w:tc>
          <w:tcPr>
            <w:tcW w:w="1951" w:type="dxa"/>
          </w:tcPr>
          <w:p w:rsidR="00C95FA3" w:rsidRPr="00B24FB5" w:rsidRDefault="00C95FA3" w:rsidP="00103FBF">
            <w:r w:rsidRPr="00B24FB5">
              <w:t>JIA</w:t>
            </w:r>
          </w:p>
        </w:tc>
        <w:tc>
          <w:tcPr>
            <w:tcW w:w="7088" w:type="dxa"/>
          </w:tcPr>
          <w:p w:rsidR="00C95FA3" w:rsidRPr="00B24FB5" w:rsidRDefault="00C95FA3" w:rsidP="00103FBF">
            <w:r w:rsidRPr="00B24FB5">
              <w:t>juvenile idiopathic arthritis</w:t>
            </w:r>
          </w:p>
        </w:tc>
      </w:tr>
      <w:tr w:rsidR="00C95FA3" w:rsidRPr="00FD2119" w:rsidTr="00103FBF">
        <w:tc>
          <w:tcPr>
            <w:tcW w:w="1951" w:type="dxa"/>
          </w:tcPr>
          <w:p w:rsidR="00C95FA3" w:rsidRPr="00B24FB5" w:rsidRDefault="00C95FA3" w:rsidP="00103FBF">
            <w:r w:rsidRPr="00B24FB5">
              <w:t>K</w:t>
            </w:r>
            <w:r w:rsidRPr="00B24FB5">
              <w:rPr>
                <w:vertAlign w:val="subscript"/>
              </w:rPr>
              <w:t>A</w:t>
            </w:r>
          </w:p>
        </w:tc>
        <w:tc>
          <w:tcPr>
            <w:tcW w:w="7088" w:type="dxa"/>
          </w:tcPr>
          <w:p w:rsidR="00C95FA3" w:rsidRPr="00B24FB5" w:rsidRDefault="00C95FA3" w:rsidP="00103FBF">
            <w:r w:rsidRPr="00B24FB5">
              <w:t>Absorption rate constant for</w:t>
            </w:r>
            <w:r w:rsidR="00404BA5">
              <w:t xml:space="preserve"> SC</w:t>
            </w:r>
            <w:r w:rsidRPr="00B24FB5">
              <w:t xml:space="preserve"> administration [1/day]</w:t>
            </w:r>
          </w:p>
        </w:tc>
      </w:tr>
      <w:tr w:rsidR="00C95FA3" w:rsidRPr="00FD2119" w:rsidTr="00103FBF">
        <w:tc>
          <w:tcPr>
            <w:tcW w:w="1951" w:type="dxa"/>
          </w:tcPr>
          <w:p w:rsidR="00C95FA3" w:rsidRPr="00B24FB5" w:rsidRDefault="00C95FA3" w:rsidP="00103FBF">
            <w:r w:rsidRPr="00B24FB5">
              <w:t>K</w:t>
            </w:r>
            <w:r w:rsidRPr="00B24FB5">
              <w:rPr>
                <w:vertAlign w:val="subscript"/>
              </w:rPr>
              <w:t>D</w:t>
            </w:r>
          </w:p>
        </w:tc>
        <w:tc>
          <w:tcPr>
            <w:tcW w:w="7088" w:type="dxa"/>
          </w:tcPr>
          <w:p w:rsidR="00C95FA3" w:rsidRPr="00B24FB5" w:rsidRDefault="00C95FA3" w:rsidP="00103FBF">
            <w:r w:rsidRPr="00B24FB5">
              <w:t>equilibrium dissociation constant for binding of canakinumab to IL-1β [nM]</w:t>
            </w:r>
          </w:p>
        </w:tc>
      </w:tr>
      <w:tr w:rsidR="00C95FA3" w:rsidRPr="00FD2119" w:rsidTr="00103FBF">
        <w:tc>
          <w:tcPr>
            <w:tcW w:w="1951" w:type="dxa"/>
          </w:tcPr>
          <w:p w:rsidR="00C95FA3" w:rsidRPr="00B24FB5" w:rsidRDefault="00C95FA3" w:rsidP="00103FBF">
            <w:r w:rsidRPr="00B24FB5">
              <w:t>Ki</w:t>
            </w:r>
          </w:p>
        </w:tc>
        <w:tc>
          <w:tcPr>
            <w:tcW w:w="7088" w:type="dxa"/>
          </w:tcPr>
          <w:p w:rsidR="00C95FA3" w:rsidRPr="00B24FB5" w:rsidRDefault="00C95FA3" w:rsidP="00103FBF">
            <w:r w:rsidRPr="00B24FB5">
              <w:t>critical flare concentration at which there is a 50% probability of clinical relapse (flare)</w:t>
            </w:r>
          </w:p>
        </w:tc>
      </w:tr>
      <w:tr w:rsidR="00C95FA3" w:rsidRPr="00FD2119" w:rsidTr="00103FBF">
        <w:tc>
          <w:tcPr>
            <w:tcW w:w="1951" w:type="dxa"/>
          </w:tcPr>
          <w:p w:rsidR="00C95FA3" w:rsidRPr="00B24FB5" w:rsidRDefault="00C95FA3" w:rsidP="00103FBF">
            <w:r w:rsidRPr="00B24FB5">
              <w:t>LLN</w:t>
            </w:r>
          </w:p>
        </w:tc>
        <w:tc>
          <w:tcPr>
            <w:tcW w:w="7088" w:type="dxa"/>
          </w:tcPr>
          <w:p w:rsidR="00C95FA3" w:rsidRPr="00B24FB5" w:rsidRDefault="00C95FA3" w:rsidP="00103FBF">
            <w:r w:rsidRPr="00B24FB5">
              <w:t>lower limit of normal</w:t>
            </w:r>
          </w:p>
        </w:tc>
      </w:tr>
      <w:tr w:rsidR="00C95FA3" w:rsidRPr="00FD2119" w:rsidTr="00103FBF">
        <w:tc>
          <w:tcPr>
            <w:tcW w:w="1951" w:type="dxa"/>
          </w:tcPr>
          <w:p w:rsidR="00C95FA3" w:rsidRPr="00B24FB5" w:rsidRDefault="00C95FA3" w:rsidP="00103FBF">
            <w:r w:rsidRPr="00B24FB5">
              <w:t>mAb</w:t>
            </w:r>
          </w:p>
        </w:tc>
        <w:tc>
          <w:tcPr>
            <w:tcW w:w="7088" w:type="dxa"/>
          </w:tcPr>
          <w:p w:rsidR="00C95FA3" w:rsidRPr="00B24FB5" w:rsidRDefault="00C95FA3" w:rsidP="00103FBF">
            <w:r w:rsidRPr="00B24FB5">
              <w:t>monoclonal antibody</w:t>
            </w:r>
          </w:p>
        </w:tc>
      </w:tr>
      <w:tr w:rsidR="00C95FA3" w:rsidRPr="00FD2119" w:rsidTr="00103FBF">
        <w:tc>
          <w:tcPr>
            <w:tcW w:w="1951" w:type="dxa"/>
          </w:tcPr>
          <w:p w:rsidR="00C95FA3" w:rsidRPr="00B24FB5" w:rsidRDefault="00C95FA3" w:rsidP="00103FBF">
            <w:r w:rsidRPr="00B24FB5">
              <w:t>MAS</w:t>
            </w:r>
          </w:p>
        </w:tc>
        <w:tc>
          <w:tcPr>
            <w:tcW w:w="7088" w:type="dxa"/>
          </w:tcPr>
          <w:p w:rsidR="00C95FA3" w:rsidRPr="00B24FB5" w:rsidRDefault="00C95FA3" w:rsidP="00103FBF">
            <w:r w:rsidRPr="00B24FB5">
              <w:t>macrophage activation syndrome</w:t>
            </w:r>
          </w:p>
        </w:tc>
      </w:tr>
      <w:tr w:rsidR="00C95FA3" w:rsidRPr="00FD2119" w:rsidTr="00103FBF">
        <w:tc>
          <w:tcPr>
            <w:tcW w:w="1951" w:type="dxa"/>
          </w:tcPr>
          <w:p w:rsidR="00C95FA3" w:rsidRPr="00B24FB5" w:rsidRDefault="00C95FA3" w:rsidP="00103FBF">
            <w:r w:rsidRPr="00B24FB5">
              <w:lastRenderedPageBreak/>
              <w:t>MASAC</w:t>
            </w:r>
          </w:p>
        </w:tc>
        <w:tc>
          <w:tcPr>
            <w:tcW w:w="7088" w:type="dxa"/>
          </w:tcPr>
          <w:p w:rsidR="00C95FA3" w:rsidRPr="00B24FB5" w:rsidRDefault="00C95FA3" w:rsidP="00103FBF">
            <w:r w:rsidRPr="00B24FB5">
              <w:t>macrophage activation syndrome adjudication committee</w:t>
            </w:r>
          </w:p>
        </w:tc>
      </w:tr>
      <w:tr w:rsidR="00C95FA3" w:rsidRPr="00FD2119" w:rsidTr="00103FBF">
        <w:tc>
          <w:tcPr>
            <w:tcW w:w="1951" w:type="dxa"/>
          </w:tcPr>
          <w:p w:rsidR="00C95FA3" w:rsidRPr="00B24FB5" w:rsidRDefault="00C95FA3" w:rsidP="00103FBF">
            <w:r w:rsidRPr="00B24FB5">
              <w:t>MSD</w:t>
            </w:r>
          </w:p>
        </w:tc>
        <w:tc>
          <w:tcPr>
            <w:tcW w:w="7088" w:type="dxa"/>
          </w:tcPr>
          <w:p w:rsidR="00C95FA3" w:rsidRPr="00B24FB5" w:rsidRDefault="00C95FA3" w:rsidP="00103FBF">
            <w:r w:rsidRPr="00B24FB5">
              <w:t>Meso Scale Discovery</w:t>
            </w:r>
          </w:p>
        </w:tc>
      </w:tr>
      <w:tr w:rsidR="00C95FA3" w:rsidRPr="00FD2119" w:rsidTr="00103FBF">
        <w:tc>
          <w:tcPr>
            <w:tcW w:w="1951" w:type="dxa"/>
          </w:tcPr>
          <w:p w:rsidR="00C95FA3" w:rsidRPr="00B24FB5" w:rsidRDefault="00C95FA3" w:rsidP="00103FBF">
            <w:r w:rsidRPr="00B24FB5">
              <w:t>MTX</w:t>
            </w:r>
          </w:p>
        </w:tc>
        <w:tc>
          <w:tcPr>
            <w:tcW w:w="7088" w:type="dxa"/>
          </w:tcPr>
          <w:p w:rsidR="00C95FA3" w:rsidRPr="00B24FB5" w:rsidRDefault="00C95FA3" w:rsidP="00103FBF">
            <w:r w:rsidRPr="00B24FB5">
              <w:t>methotrexate</w:t>
            </w:r>
          </w:p>
        </w:tc>
      </w:tr>
      <w:tr w:rsidR="00C95FA3" w:rsidRPr="00FD2119" w:rsidTr="00103FBF">
        <w:tc>
          <w:tcPr>
            <w:tcW w:w="1951" w:type="dxa"/>
          </w:tcPr>
          <w:p w:rsidR="00C95FA3" w:rsidRPr="00B24FB5" w:rsidRDefault="00C95FA3" w:rsidP="00103FBF">
            <w:r w:rsidRPr="00B24FB5">
              <w:t>NOMID</w:t>
            </w:r>
          </w:p>
        </w:tc>
        <w:tc>
          <w:tcPr>
            <w:tcW w:w="7088" w:type="dxa"/>
          </w:tcPr>
          <w:p w:rsidR="00C95FA3" w:rsidRPr="00B24FB5" w:rsidRDefault="00C95FA3" w:rsidP="00103FBF">
            <w:r w:rsidRPr="00B24FB5">
              <w:t>Neonatal-Onset Multisystem Inflammatory Disease</w:t>
            </w:r>
          </w:p>
        </w:tc>
      </w:tr>
      <w:tr w:rsidR="00C95FA3" w:rsidRPr="00407CC5" w:rsidTr="00103FBF">
        <w:tc>
          <w:tcPr>
            <w:tcW w:w="1951" w:type="dxa"/>
          </w:tcPr>
          <w:p w:rsidR="00C95FA3" w:rsidRPr="00B24FB5" w:rsidRDefault="00C95FA3" w:rsidP="00103FBF">
            <w:r w:rsidRPr="00B24FB5">
              <w:t>NSAIDs</w:t>
            </w:r>
          </w:p>
        </w:tc>
        <w:tc>
          <w:tcPr>
            <w:tcW w:w="7088" w:type="dxa"/>
          </w:tcPr>
          <w:p w:rsidR="00C95FA3" w:rsidRPr="00407CC5" w:rsidRDefault="00C95FA3" w:rsidP="00103FBF">
            <w:r w:rsidRPr="00407CC5">
              <w:t>Non</w:t>
            </w:r>
            <w:r w:rsidR="00856969" w:rsidRPr="00407CC5">
              <w:t>-</w:t>
            </w:r>
            <w:r w:rsidRPr="00407CC5">
              <w:t>steroidal Anti-Inflammatory Drugs</w:t>
            </w:r>
          </w:p>
        </w:tc>
      </w:tr>
      <w:tr w:rsidR="00C95FA3" w:rsidRPr="00FD2119" w:rsidTr="00103FBF">
        <w:tc>
          <w:tcPr>
            <w:tcW w:w="1951" w:type="dxa"/>
          </w:tcPr>
          <w:p w:rsidR="00C95FA3" w:rsidRPr="00B24FB5" w:rsidRDefault="00C95FA3" w:rsidP="00103FBF">
            <w:r w:rsidRPr="00B24FB5">
              <w:t>OR</w:t>
            </w:r>
          </w:p>
        </w:tc>
        <w:tc>
          <w:tcPr>
            <w:tcW w:w="7088" w:type="dxa"/>
          </w:tcPr>
          <w:p w:rsidR="00C95FA3" w:rsidRPr="00B24FB5" w:rsidRDefault="00C95FA3" w:rsidP="00103FBF">
            <w:r w:rsidRPr="00B24FB5">
              <w:t>odds ratio</w:t>
            </w:r>
          </w:p>
        </w:tc>
      </w:tr>
      <w:tr w:rsidR="00C95FA3" w:rsidRPr="00FD2119" w:rsidTr="00103FBF">
        <w:tc>
          <w:tcPr>
            <w:tcW w:w="1951" w:type="dxa"/>
          </w:tcPr>
          <w:p w:rsidR="00C95FA3" w:rsidRPr="00B24FB5" w:rsidRDefault="00C95FA3" w:rsidP="00103FBF">
            <w:r w:rsidRPr="00B24FB5">
              <w:t>PD</w:t>
            </w:r>
          </w:p>
        </w:tc>
        <w:tc>
          <w:tcPr>
            <w:tcW w:w="7088" w:type="dxa"/>
          </w:tcPr>
          <w:p w:rsidR="00C95FA3" w:rsidRPr="00B24FB5" w:rsidRDefault="00C95FA3" w:rsidP="00103FBF">
            <w:r w:rsidRPr="00B24FB5">
              <w:t>pharmacodynamics</w:t>
            </w:r>
          </w:p>
        </w:tc>
      </w:tr>
      <w:tr w:rsidR="00C95FA3" w:rsidRPr="00FD2119" w:rsidTr="00103FBF">
        <w:tc>
          <w:tcPr>
            <w:tcW w:w="1951" w:type="dxa"/>
          </w:tcPr>
          <w:p w:rsidR="00C95FA3" w:rsidRPr="00B24FB5" w:rsidRDefault="00C95FA3" w:rsidP="00103FBF">
            <w:r w:rsidRPr="00B24FB5">
              <w:t>PI</w:t>
            </w:r>
          </w:p>
        </w:tc>
        <w:tc>
          <w:tcPr>
            <w:tcW w:w="7088" w:type="dxa"/>
          </w:tcPr>
          <w:p w:rsidR="00C95FA3" w:rsidRPr="00B24FB5" w:rsidRDefault="00C95FA3" w:rsidP="00103FBF">
            <w:r w:rsidRPr="00B24FB5">
              <w:t>Product Information</w:t>
            </w:r>
          </w:p>
        </w:tc>
      </w:tr>
      <w:tr w:rsidR="00C95FA3" w:rsidRPr="00FD2119" w:rsidTr="00103FBF">
        <w:tc>
          <w:tcPr>
            <w:tcW w:w="1951" w:type="dxa"/>
          </w:tcPr>
          <w:p w:rsidR="00C95FA3" w:rsidRPr="00B24FB5" w:rsidRDefault="00C95FA3" w:rsidP="00103FBF">
            <w:r w:rsidRPr="00B24FB5">
              <w:t>PK</w:t>
            </w:r>
          </w:p>
        </w:tc>
        <w:tc>
          <w:tcPr>
            <w:tcW w:w="7088" w:type="dxa"/>
          </w:tcPr>
          <w:p w:rsidR="00C95FA3" w:rsidRPr="00B24FB5" w:rsidRDefault="00C95FA3" w:rsidP="00103FBF">
            <w:r w:rsidRPr="00B24FB5">
              <w:t>pharmacokinetics</w:t>
            </w:r>
          </w:p>
        </w:tc>
      </w:tr>
      <w:tr w:rsidR="00C95FA3" w:rsidRPr="00FD2119" w:rsidTr="00103FBF">
        <w:tc>
          <w:tcPr>
            <w:tcW w:w="1951" w:type="dxa"/>
          </w:tcPr>
          <w:p w:rsidR="00C95FA3" w:rsidRPr="00B24FB5" w:rsidRDefault="00C95FA3" w:rsidP="00103FBF">
            <w:r w:rsidRPr="00B24FB5">
              <w:t>Pop PK</w:t>
            </w:r>
          </w:p>
        </w:tc>
        <w:tc>
          <w:tcPr>
            <w:tcW w:w="7088" w:type="dxa"/>
          </w:tcPr>
          <w:p w:rsidR="00C95FA3" w:rsidRPr="00B24FB5" w:rsidRDefault="00C95FA3" w:rsidP="00103FBF">
            <w:r w:rsidRPr="00B24FB5">
              <w:t>population pharmacokinetics</w:t>
            </w:r>
          </w:p>
        </w:tc>
      </w:tr>
      <w:tr w:rsidR="00C95FA3" w:rsidRPr="00FD2119" w:rsidTr="00103FBF">
        <w:tc>
          <w:tcPr>
            <w:tcW w:w="1951" w:type="dxa"/>
          </w:tcPr>
          <w:p w:rsidR="00C95FA3" w:rsidRPr="00B24FB5" w:rsidRDefault="00C95FA3" w:rsidP="00103FBF">
            <w:r w:rsidRPr="00B24FB5">
              <w:t>Pop PK/PD</w:t>
            </w:r>
          </w:p>
        </w:tc>
        <w:tc>
          <w:tcPr>
            <w:tcW w:w="7088" w:type="dxa"/>
          </w:tcPr>
          <w:p w:rsidR="00C95FA3" w:rsidRPr="00B24FB5" w:rsidRDefault="00C95FA3" w:rsidP="00103FBF">
            <w:r w:rsidRPr="00B24FB5">
              <w:t>population pharmacokinetics/pharmacodynamics</w:t>
            </w:r>
          </w:p>
        </w:tc>
      </w:tr>
      <w:tr w:rsidR="00C95FA3" w:rsidRPr="00FD2119" w:rsidTr="00103FBF">
        <w:tc>
          <w:tcPr>
            <w:tcW w:w="1951" w:type="dxa"/>
          </w:tcPr>
          <w:p w:rsidR="00C95FA3" w:rsidRPr="00B24FB5" w:rsidRDefault="00C95FA3" w:rsidP="00103FBF">
            <w:r w:rsidRPr="00B24FB5">
              <w:t>PSUR</w:t>
            </w:r>
          </w:p>
        </w:tc>
        <w:tc>
          <w:tcPr>
            <w:tcW w:w="7088" w:type="dxa"/>
          </w:tcPr>
          <w:p w:rsidR="00C95FA3" w:rsidRPr="00B24FB5" w:rsidRDefault="00C95FA3" w:rsidP="00103FBF">
            <w:r w:rsidRPr="00B24FB5">
              <w:t>Periodic Safety Update Report</w:t>
            </w:r>
          </w:p>
        </w:tc>
      </w:tr>
      <w:tr w:rsidR="00C95FA3" w:rsidRPr="00FD2119" w:rsidTr="00103FBF">
        <w:tc>
          <w:tcPr>
            <w:tcW w:w="1951" w:type="dxa"/>
          </w:tcPr>
          <w:p w:rsidR="00C95FA3" w:rsidRPr="00B24FB5" w:rsidRDefault="00C95FA3" w:rsidP="00103FBF">
            <w:r w:rsidRPr="00B24FB5">
              <w:t>PT</w:t>
            </w:r>
          </w:p>
        </w:tc>
        <w:tc>
          <w:tcPr>
            <w:tcW w:w="7088" w:type="dxa"/>
          </w:tcPr>
          <w:p w:rsidR="00C95FA3" w:rsidRPr="00B24FB5" w:rsidRDefault="00C95FA3" w:rsidP="00103FBF">
            <w:r w:rsidRPr="00B24FB5">
              <w:t>preferred term</w:t>
            </w:r>
          </w:p>
        </w:tc>
      </w:tr>
      <w:tr w:rsidR="00C95FA3" w:rsidRPr="00FD2119" w:rsidTr="00103FBF">
        <w:tc>
          <w:tcPr>
            <w:tcW w:w="1951" w:type="dxa"/>
          </w:tcPr>
          <w:p w:rsidR="00C95FA3" w:rsidRPr="00B24FB5" w:rsidRDefault="00C95FA3" w:rsidP="00103FBF">
            <w:r w:rsidRPr="00B24FB5">
              <w:t>QTc(F)</w:t>
            </w:r>
          </w:p>
        </w:tc>
        <w:tc>
          <w:tcPr>
            <w:tcW w:w="7088" w:type="dxa"/>
          </w:tcPr>
          <w:p w:rsidR="00C95FA3" w:rsidRPr="00B24FB5" w:rsidRDefault="00C95FA3" w:rsidP="00103FBF">
            <w:r w:rsidRPr="00B24FB5">
              <w:t>QT interval cor</w:t>
            </w:r>
            <w:r w:rsidR="00B24FB5">
              <w:t>r</w:t>
            </w:r>
            <w:r w:rsidRPr="00B24FB5">
              <w:t>ected using Fridericia’s formula</w:t>
            </w:r>
          </w:p>
        </w:tc>
      </w:tr>
      <w:tr w:rsidR="00C95FA3" w:rsidRPr="00FD2119" w:rsidTr="00103FBF">
        <w:tc>
          <w:tcPr>
            <w:tcW w:w="1951" w:type="dxa"/>
          </w:tcPr>
          <w:p w:rsidR="00C95FA3" w:rsidRPr="00B24FB5" w:rsidRDefault="00C95FA3" w:rsidP="00103FBF">
            <w:r w:rsidRPr="00B24FB5">
              <w:t>RA</w:t>
            </w:r>
          </w:p>
        </w:tc>
        <w:tc>
          <w:tcPr>
            <w:tcW w:w="7088" w:type="dxa"/>
          </w:tcPr>
          <w:p w:rsidR="00C95FA3" w:rsidRPr="00B24FB5" w:rsidRDefault="00C95FA3" w:rsidP="00103FBF">
            <w:r w:rsidRPr="00B24FB5">
              <w:t>Rheumatoid Arthritis</w:t>
            </w:r>
          </w:p>
        </w:tc>
      </w:tr>
      <w:tr w:rsidR="00C95FA3" w:rsidRPr="00FD2119" w:rsidTr="00103FBF">
        <w:tc>
          <w:tcPr>
            <w:tcW w:w="1951" w:type="dxa"/>
          </w:tcPr>
          <w:p w:rsidR="00C95FA3" w:rsidRPr="00B24FB5" w:rsidRDefault="00C95FA3" w:rsidP="00103FBF">
            <w:pPr>
              <w:rPr>
                <w:rFonts w:cs="ArialMT"/>
              </w:rPr>
            </w:pPr>
            <w:r w:rsidRPr="00B24FB5">
              <w:rPr>
                <w:rFonts w:cs="ArialMT"/>
              </w:rPr>
              <w:t>R</w:t>
            </w:r>
            <w:r w:rsidRPr="00B24FB5">
              <w:rPr>
                <w:rFonts w:cs="ArialMT"/>
                <w:vertAlign w:val="subscript"/>
              </w:rPr>
              <w:t>LI</w:t>
            </w:r>
          </w:p>
        </w:tc>
        <w:tc>
          <w:tcPr>
            <w:tcW w:w="7088" w:type="dxa"/>
          </w:tcPr>
          <w:p w:rsidR="00C95FA3" w:rsidRPr="00B24FB5" w:rsidRDefault="00C95FA3" w:rsidP="00103FBF">
            <w:pPr>
              <w:rPr>
                <w:rFonts w:cs="ArialMT"/>
              </w:rPr>
            </w:pPr>
            <w:r w:rsidRPr="00B24FB5">
              <w:rPr>
                <w:rFonts w:cs="ArialMT"/>
              </w:rPr>
              <w:t>production or release rate of uncomplexed ligand, IL-1β [ng/day]</w:t>
            </w:r>
          </w:p>
        </w:tc>
      </w:tr>
      <w:tr w:rsidR="00C95FA3" w:rsidRPr="00FD2119" w:rsidTr="00103FBF">
        <w:tc>
          <w:tcPr>
            <w:tcW w:w="1951" w:type="dxa"/>
          </w:tcPr>
          <w:p w:rsidR="00C95FA3" w:rsidRPr="00B24FB5" w:rsidRDefault="00C95FA3" w:rsidP="00103FBF">
            <w:r w:rsidRPr="00B24FB5">
              <w:rPr>
                <w:rFonts w:cs="ArialMT"/>
              </w:rPr>
              <w:t>RMP</w:t>
            </w:r>
          </w:p>
        </w:tc>
        <w:tc>
          <w:tcPr>
            <w:tcW w:w="7088" w:type="dxa"/>
          </w:tcPr>
          <w:p w:rsidR="00C95FA3" w:rsidRPr="00B24FB5" w:rsidRDefault="00C95FA3" w:rsidP="00103FBF">
            <w:pPr>
              <w:rPr>
                <w:rFonts w:cs="ArialMT"/>
              </w:rPr>
            </w:pPr>
            <w:r w:rsidRPr="00B24FB5">
              <w:rPr>
                <w:rFonts w:cs="ArialMT"/>
              </w:rPr>
              <w:t>Risk Management Plan</w:t>
            </w:r>
          </w:p>
        </w:tc>
      </w:tr>
      <w:tr w:rsidR="00C95FA3" w:rsidRPr="00FD2119" w:rsidTr="00103FBF">
        <w:tc>
          <w:tcPr>
            <w:tcW w:w="1951" w:type="dxa"/>
          </w:tcPr>
          <w:p w:rsidR="00C95FA3" w:rsidRPr="00B24FB5" w:rsidRDefault="00C95FA3" w:rsidP="00103FBF">
            <w:pPr>
              <w:rPr>
                <w:rFonts w:cs="ArialMT"/>
              </w:rPr>
            </w:pPr>
            <w:r w:rsidRPr="00B24FB5">
              <w:rPr>
                <w:rFonts w:cs="ArialMT"/>
              </w:rPr>
              <w:t>SAE</w:t>
            </w:r>
          </w:p>
        </w:tc>
        <w:tc>
          <w:tcPr>
            <w:tcW w:w="7088" w:type="dxa"/>
          </w:tcPr>
          <w:p w:rsidR="00C95FA3" w:rsidRPr="00B24FB5" w:rsidRDefault="00C95FA3" w:rsidP="00103FBF">
            <w:pPr>
              <w:rPr>
                <w:rFonts w:cs="ArialMT"/>
              </w:rPr>
            </w:pPr>
            <w:r w:rsidRPr="00B24FB5">
              <w:rPr>
                <w:rFonts w:cs="ArialMT"/>
              </w:rPr>
              <w:t>serious adverse event</w:t>
            </w:r>
          </w:p>
        </w:tc>
      </w:tr>
      <w:tr w:rsidR="00C95FA3" w:rsidRPr="00FD2119" w:rsidTr="00103FBF">
        <w:tc>
          <w:tcPr>
            <w:tcW w:w="1951" w:type="dxa"/>
          </w:tcPr>
          <w:p w:rsidR="00C95FA3" w:rsidRPr="00B24FB5" w:rsidRDefault="00856969" w:rsidP="00103FBF">
            <w:r>
              <w:t>SC</w:t>
            </w:r>
          </w:p>
        </w:tc>
        <w:tc>
          <w:tcPr>
            <w:tcW w:w="7088" w:type="dxa"/>
          </w:tcPr>
          <w:p w:rsidR="00C95FA3" w:rsidRPr="00B24FB5" w:rsidRDefault="00C95FA3" w:rsidP="00103FBF">
            <w:r w:rsidRPr="00B24FB5">
              <w:t>Subcutaneous</w:t>
            </w:r>
          </w:p>
        </w:tc>
      </w:tr>
      <w:tr w:rsidR="00C95FA3" w:rsidRPr="00FD2119" w:rsidTr="00103FBF">
        <w:tc>
          <w:tcPr>
            <w:tcW w:w="1951" w:type="dxa"/>
          </w:tcPr>
          <w:p w:rsidR="00C95FA3" w:rsidRPr="00B24FB5" w:rsidRDefault="00C95FA3" w:rsidP="00103FBF">
            <w:r w:rsidRPr="00B24FB5">
              <w:t>SD</w:t>
            </w:r>
          </w:p>
        </w:tc>
        <w:tc>
          <w:tcPr>
            <w:tcW w:w="7088" w:type="dxa"/>
          </w:tcPr>
          <w:p w:rsidR="00C95FA3" w:rsidRPr="00B24FB5" w:rsidRDefault="00C95FA3" w:rsidP="00103FBF">
            <w:r w:rsidRPr="00B24FB5">
              <w:t>standard deviation</w:t>
            </w:r>
          </w:p>
        </w:tc>
      </w:tr>
      <w:tr w:rsidR="00C95FA3" w:rsidRPr="00FD2119" w:rsidTr="00103FBF">
        <w:tc>
          <w:tcPr>
            <w:tcW w:w="1951" w:type="dxa"/>
          </w:tcPr>
          <w:p w:rsidR="00C95FA3" w:rsidRPr="00B24FB5" w:rsidRDefault="00C95FA3" w:rsidP="00103FBF">
            <w:r w:rsidRPr="00B24FB5">
              <w:t>sJIA</w:t>
            </w:r>
          </w:p>
        </w:tc>
        <w:tc>
          <w:tcPr>
            <w:tcW w:w="7088" w:type="dxa"/>
          </w:tcPr>
          <w:p w:rsidR="00C95FA3" w:rsidRPr="00B24FB5" w:rsidRDefault="00C95FA3" w:rsidP="00103FBF">
            <w:r w:rsidRPr="00B24FB5">
              <w:t>Systemic Juvenile Idiopathic Arthritis</w:t>
            </w:r>
          </w:p>
        </w:tc>
      </w:tr>
      <w:tr w:rsidR="00C95FA3" w:rsidRPr="00FD2119" w:rsidTr="00103FBF">
        <w:tc>
          <w:tcPr>
            <w:tcW w:w="1951" w:type="dxa"/>
          </w:tcPr>
          <w:p w:rsidR="00C95FA3" w:rsidRPr="00B24FB5" w:rsidRDefault="00C95FA3" w:rsidP="00103FBF">
            <w:r w:rsidRPr="00B24FB5">
              <w:t>SOC</w:t>
            </w:r>
          </w:p>
        </w:tc>
        <w:tc>
          <w:tcPr>
            <w:tcW w:w="7088" w:type="dxa"/>
          </w:tcPr>
          <w:p w:rsidR="00C95FA3" w:rsidRPr="00B24FB5" w:rsidRDefault="00C95FA3" w:rsidP="00103FBF">
            <w:r w:rsidRPr="00B24FB5">
              <w:t>system organ class</w:t>
            </w:r>
          </w:p>
        </w:tc>
      </w:tr>
      <w:tr w:rsidR="00C95FA3" w:rsidRPr="00FD2119" w:rsidTr="00103FBF">
        <w:tc>
          <w:tcPr>
            <w:tcW w:w="1951" w:type="dxa"/>
          </w:tcPr>
          <w:p w:rsidR="00C95FA3" w:rsidRPr="00B24FB5" w:rsidRDefault="00C95FA3" w:rsidP="00103FBF">
            <w:r w:rsidRPr="00B24FB5">
              <w:t>SS</w:t>
            </w:r>
          </w:p>
        </w:tc>
        <w:tc>
          <w:tcPr>
            <w:tcW w:w="7088" w:type="dxa"/>
          </w:tcPr>
          <w:p w:rsidR="00C95FA3" w:rsidRPr="00B24FB5" w:rsidRDefault="00C95FA3" w:rsidP="00103FBF">
            <w:r w:rsidRPr="00B24FB5">
              <w:t>safety set</w:t>
            </w:r>
          </w:p>
        </w:tc>
      </w:tr>
      <w:tr w:rsidR="00C95FA3" w:rsidRPr="00FD2119" w:rsidTr="00103FBF">
        <w:tc>
          <w:tcPr>
            <w:tcW w:w="1951" w:type="dxa"/>
          </w:tcPr>
          <w:p w:rsidR="00C95FA3" w:rsidRPr="00B24FB5" w:rsidRDefault="00C95FA3" w:rsidP="00103FBF">
            <w:r w:rsidRPr="00B24FB5">
              <w:t>T</w:t>
            </w:r>
            <w:r w:rsidRPr="00B24FB5">
              <w:rPr>
                <w:vertAlign w:val="subscript"/>
              </w:rPr>
              <w:t>1/2</w:t>
            </w:r>
          </w:p>
        </w:tc>
        <w:tc>
          <w:tcPr>
            <w:tcW w:w="7088" w:type="dxa"/>
          </w:tcPr>
          <w:p w:rsidR="00C95FA3" w:rsidRPr="00B24FB5" w:rsidRDefault="00C95FA3" w:rsidP="00103FBF">
            <w:r w:rsidRPr="00B24FB5">
              <w:t>half-life</w:t>
            </w:r>
          </w:p>
        </w:tc>
      </w:tr>
      <w:tr w:rsidR="00C95FA3" w:rsidRPr="00FD2119" w:rsidTr="00103FBF">
        <w:tc>
          <w:tcPr>
            <w:tcW w:w="1951" w:type="dxa"/>
          </w:tcPr>
          <w:p w:rsidR="00C95FA3" w:rsidRPr="00B24FB5" w:rsidRDefault="00C95FA3" w:rsidP="00103FBF">
            <w:r w:rsidRPr="00B24FB5">
              <w:t>Tmax</w:t>
            </w:r>
          </w:p>
        </w:tc>
        <w:tc>
          <w:tcPr>
            <w:tcW w:w="7088" w:type="dxa"/>
          </w:tcPr>
          <w:p w:rsidR="00C95FA3" w:rsidRPr="00B24FB5" w:rsidRDefault="00C95FA3" w:rsidP="00103FBF">
            <w:r w:rsidRPr="00B24FB5">
              <w:t>time to maximum serum concentration</w:t>
            </w:r>
          </w:p>
        </w:tc>
      </w:tr>
      <w:tr w:rsidR="00C95FA3" w:rsidRPr="00FD2119" w:rsidTr="00103FBF">
        <w:tc>
          <w:tcPr>
            <w:tcW w:w="1951" w:type="dxa"/>
          </w:tcPr>
          <w:p w:rsidR="00C95FA3" w:rsidRPr="00B24FB5" w:rsidRDefault="00C95FA3" w:rsidP="00103FBF">
            <w:r w:rsidRPr="00B24FB5">
              <w:t>TNF-α</w:t>
            </w:r>
          </w:p>
        </w:tc>
        <w:tc>
          <w:tcPr>
            <w:tcW w:w="7088" w:type="dxa"/>
          </w:tcPr>
          <w:p w:rsidR="00C95FA3" w:rsidRPr="00B24FB5" w:rsidRDefault="00C95FA3" w:rsidP="00103FBF">
            <w:r w:rsidRPr="00B24FB5">
              <w:t>Tumour Necrosis Factor alpha</w:t>
            </w:r>
          </w:p>
        </w:tc>
      </w:tr>
      <w:tr w:rsidR="00C95FA3" w:rsidRPr="00FD2119" w:rsidTr="00103FBF">
        <w:tc>
          <w:tcPr>
            <w:tcW w:w="1951" w:type="dxa"/>
          </w:tcPr>
          <w:p w:rsidR="00C95FA3" w:rsidRPr="00B24FB5" w:rsidRDefault="00C95FA3" w:rsidP="00103FBF">
            <w:r w:rsidRPr="00B24FB5">
              <w:lastRenderedPageBreak/>
              <w:t>ULN</w:t>
            </w:r>
          </w:p>
        </w:tc>
        <w:tc>
          <w:tcPr>
            <w:tcW w:w="7088" w:type="dxa"/>
          </w:tcPr>
          <w:p w:rsidR="00C95FA3" w:rsidRPr="00B24FB5" w:rsidRDefault="00C95FA3" w:rsidP="00103FBF">
            <w:r w:rsidRPr="00B24FB5">
              <w:t>upper limit of normal</w:t>
            </w:r>
          </w:p>
        </w:tc>
      </w:tr>
      <w:tr w:rsidR="00C95FA3" w:rsidRPr="00FD2119" w:rsidTr="00103FBF">
        <w:tc>
          <w:tcPr>
            <w:tcW w:w="1951" w:type="dxa"/>
          </w:tcPr>
          <w:p w:rsidR="00C95FA3" w:rsidRPr="00B24FB5" w:rsidRDefault="00C95FA3" w:rsidP="00103FBF">
            <w:r w:rsidRPr="00B24FB5">
              <w:t>V</w:t>
            </w:r>
            <w:r w:rsidRPr="00B24FB5">
              <w:rPr>
                <w:vertAlign w:val="subscript"/>
              </w:rPr>
              <w:t>D</w:t>
            </w:r>
          </w:p>
        </w:tc>
        <w:tc>
          <w:tcPr>
            <w:tcW w:w="7088" w:type="dxa"/>
          </w:tcPr>
          <w:p w:rsidR="00C95FA3" w:rsidRPr="00B24FB5" w:rsidRDefault="00C95FA3" w:rsidP="00103FBF">
            <w:r w:rsidRPr="00B24FB5">
              <w:t>volume of distribution of the central, systemic, serum compartment of canakinumab or IL-1β [L]</w:t>
            </w:r>
          </w:p>
        </w:tc>
      </w:tr>
      <w:tr w:rsidR="00C95FA3" w:rsidRPr="00FD2119" w:rsidTr="00103FBF">
        <w:tc>
          <w:tcPr>
            <w:tcW w:w="1951" w:type="dxa"/>
          </w:tcPr>
          <w:p w:rsidR="00C95FA3" w:rsidRPr="00B24FB5" w:rsidRDefault="00C95FA3" w:rsidP="00103FBF">
            <w:r w:rsidRPr="00B24FB5">
              <w:t>V</w:t>
            </w:r>
            <w:r w:rsidRPr="00B24FB5">
              <w:rPr>
                <w:vertAlign w:val="subscript"/>
              </w:rPr>
              <w:t>P</w:t>
            </w:r>
          </w:p>
        </w:tc>
        <w:tc>
          <w:tcPr>
            <w:tcW w:w="7088" w:type="dxa"/>
          </w:tcPr>
          <w:p w:rsidR="00C95FA3" w:rsidRPr="00B24FB5" w:rsidRDefault="00C95FA3" w:rsidP="00103FBF">
            <w:r w:rsidRPr="00B24FB5">
              <w:t>volume of distribution of the peripheral, tissue fluid compartment of canakinumab or IL-1β [L]</w:t>
            </w:r>
          </w:p>
        </w:tc>
      </w:tr>
      <w:tr w:rsidR="00C95FA3" w:rsidRPr="00FD2119" w:rsidTr="00103FBF">
        <w:tc>
          <w:tcPr>
            <w:tcW w:w="1951" w:type="dxa"/>
          </w:tcPr>
          <w:p w:rsidR="00C95FA3" w:rsidRPr="00B24FB5" w:rsidRDefault="00C95FA3" w:rsidP="00103FBF">
            <w:r w:rsidRPr="00B24FB5">
              <w:t>V</w:t>
            </w:r>
            <w:r w:rsidRPr="00B24FB5">
              <w:rPr>
                <w:vertAlign w:val="subscript"/>
              </w:rPr>
              <w:t>Z</w:t>
            </w:r>
            <w:r w:rsidRPr="00B24FB5">
              <w:t>/F</w:t>
            </w:r>
          </w:p>
        </w:tc>
        <w:tc>
          <w:tcPr>
            <w:tcW w:w="7088" w:type="dxa"/>
          </w:tcPr>
          <w:p w:rsidR="00C95FA3" w:rsidRPr="00B24FB5" w:rsidRDefault="00C95FA3" w:rsidP="00103FBF">
            <w:r w:rsidRPr="00B24FB5">
              <w:t>apparent volume of distribution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94586">
      <w:pPr>
        <w:pStyle w:val="Heading2"/>
      </w:pPr>
      <w:bookmarkStart w:id="9" w:name="_Toc408471900"/>
      <w:r>
        <w:lastRenderedPageBreak/>
        <w:t>I.</w:t>
      </w:r>
      <w:r w:rsidR="008E7846">
        <w:t xml:space="preserve"> </w:t>
      </w:r>
      <w:r w:rsidR="008E7846" w:rsidRPr="00894586">
        <w:t>Introduction</w:t>
      </w:r>
      <w:r w:rsidR="008E7846">
        <w:t xml:space="preserve"> to product submission</w:t>
      </w:r>
      <w:bookmarkEnd w:id="9"/>
      <w:bookmarkEnd w:id="3"/>
      <w:bookmarkEnd w:id="1"/>
    </w:p>
    <w:p w:rsidR="008E7846" w:rsidRDefault="008E7846" w:rsidP="008E7846">
      <w:pPr>
        <w:pStyle w:val="Heading3"/>
        <w:rPr>
          <w:lang w:eastAsia="en-AU"/>
        </w:rPr>
      </w:pPr>
      <w:bookmarkStart w:id="10" w:name="_Toc247691502"/>
      <w:bookmarkStart w:id="11" w:name="_Toc314842483"/>
      <w:bookmarkStart w:id="12" w:name="_Toc408471901"/>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276DF9">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7B7B02" w:rsidP="007B7B02">
            <w:r>
              <w:t>Extension of Indications</w:t>
            </w:r>
          </w:p>
        </w:tc>
      </w:tr>
      <w:tr w:rsidR="008E7846" w:rsidRPr="003D1E62" w:rsidTr="00276DF9">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94586" w:rsidP="00EC412B">
            <w:r>
              <w:t>Approved</w:t>
            </w:r>
          </w:p>
        </w:tc>
      </w:tr>
      <w:tr w:rsidR="008E7846" w:rsidRPr="003D1E62" w:rsidTr="00276DF9">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EC412B" w:rsidP="001B5C90">
            <w:r>
              <w:t>7 August 2014</w:t>
            </w:r>
          </w:p>
        </w:tc>
      </w:tr>
      <w:tr w:rsidR="008E7846" w:rsidRPr="00487162" w:rsidTr="00276DF9">
        <w:trPr>
          <w:gridAfter w:val="1"/>
          <w:wAfter w:w="283" w:type="dxa"/>
        </w:trPr>
        <w:tc>
          <w:tcPr>
            <w:tcW w:w="2907" w:type="dxa"/>
          </w:tcPr>
          <w:p w:rsidR="008E7846" w:rsidRPr="00487162" w:rsidRDefault="00103FBF" w:rsidP="00103FBF">
            <w:pPr>
              <w:rPr>
                <w:i/>
              </w:rPr>
            </w:pPr>
            <w:r>
              <w:rPr>
                <w:i/>
              </w:rPr>
              <w:t>Active ingredient</w:t>
            </w:r>
            <w:r w:rsidR="001B5C90">
              <w:rPr>
                <w:i/>
              </w:rPr>
              <w:t>:</w:t>
            </w:r>
          </w:p>
        </w:tc>
        <w:tc>
          <w:tcPr>
            <w:tcW w:w="6307" w:type="dxa"/>
          </w:tcPr>
          <w:p w:rsidR="008E7846" w:rsidRPr="00487162" w:rsidRDefault="007B7B02" w:rsidP="00E45619">
            <w:r>
              <w:rPr>
                <w:rFonts w:cstheme="majorHAnsi"/>
              </w:rPr>
              <w:t>Canakinumab</w:t>
            </w:r>
          </w:p>
        </w:tc>
      </w:tr>
      <w:tr w:rsidR="008E7846" w:rsidRPr="00487162" w:rsidTr="00276DF9">
        <w:trPr>
          <w:gridAfter w:val="1"/>
          <w:wAfter w:w="283" w:type="dxa"/>
        </w:trPr>
        <w:tc>
          <w:tcPr>
            <w:tcW w:w="2907" w:type="dxa"/>
          </w:tcPr>
          <w:p w:rsidR="008E7846" w:rsidRPr="00487162" w:rsidRDefault="008E7846" w:rsidP="00103FBF">
            <w:pPr>
              <w:rPr>
                <w:i/>
              </w:rPr>
            </w:pPr>
            <w:r w:rsidRPr="00487162">
              <w:rPr>
                <w:i/>
              </w:rPr>
              <w:t>Product</w:t>
            </w:r>
            <w:r w:rsidR="00103FBF">
              <w:rPr>
                <w:i/>
              </w:rPr>
              <w:t xml:space="preserve"> name</w:t>
            </w:r>
            <w:r w:rsidR="001B5C90">
              <w:rPr>
                <w:i/>
              </w:rPr>
              <w:t>:</w:t>
            </w:r>
          </w:p>
        </w:tc>
        <w:tc>
          <w:tcPr>
            <w:tcW w:w="6307" w:type="dxa"/>
          </w:tcPr>
          <w:p w:rsidR="008E7846" w:rsidRPr="00487162" w:rsidRDefault="007B7B02" w:rsidP="00E45619">
            <w:r>
              <w:t>Ilaris</w:t>
            </w:r>
          </w:p>
        </w:tc>
      </w:tr>
      <w:tr w:rsidR="008E7846" w:rsidRPr="00487162" w:rsidTr="00276DF9">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7B7B02" w:rsidP="00E45619">
            <w:r w:rsidRPr="0006723D">
              <w:rPr>
                <w:kern w:val="2"/>
              </w:rPr>
              <w:t>Novartis Pharmaceuticals Australia Pty Ltd</w:t>
            </w:r>
          </w:p>
        </w:tc>
      </w:tr>
      <w:tr w:rsidR="008E7846" w:rsidRPr="00487162" w:rsidTr="00276DF9">
        <w:trPr>
          <w:gridAfter w:val="1"/>
          <w:wAfter w:w="283" w:type="dxa"/>
        </w:trPr>
        <w:tc>
          <w:tcPr>
            <w:tcW w:w="2907" w:type="dxa"/>
          </w:tcPr>
          <w:p w:rsidR="008E7846" w:rsidRPr="00487162" w:rsidRDefault="001B5C90" w:rsidP="00772124">
            <w:pPr>
              <w:rPr>
                <w:i/>
              </w:rPr>
            </w:pPr>
            <w:r>
              <w:rPr>
                <w:i/>
              </w:rPr>
              <w:t>Dose forms:</w:t>
            </w:r>
          </w:p>
        </w:tc>
        <w:tc>
          <w:tcPr>
            <w:tcW w:w="6307" w:type="dxa"/>
          </w:tcPr>
          <w:p w:rsidR="008E7846" w:rsidRPr="00487162" w:rsidRDefault="007B7B02" w:rsidP="00E45619">
            <w:r w:rsidRPr="0006723D">
              <w:rPr>
                <w:kern w:val="2"/>
              </w:rPr>
              <w:t>Powder for injection</w:t>
            </w:r>
            <w:r>
              <w:rPr>
                <w:kern w:val="2"/>
              </w:rPr>
              <w:t xml:space="preserve"> ± </w:t>
            </w:r>
            <w:r w:rsidRPr="0006723D">
              <w:rPr>
                <w:kern w:val="2"/>
              </w:rPr>
              <w:t>water for injection</w:t>
            </w:r>
          </w:p>
        </w:tc>
      </w:tr>
      <w:tr w:rsidR="008E7846" w:rsidRPr="00487162" w:rsidTr="00276DF9">
        <w:trPr>
          <w:gridAfter w:val="1"/>
          <w:wAfter w:w="283" w:type="dxa"/>
        </w:trPr>
        <w:tc>
          <w:tcPr>
            <w:tcW w:w="2907" w:type="dxa"/>
          </w:tcPr>
          <w:p w:rsidR="008E7846" w:rsidRPr="00487162" w:rsidRDefault="00103FBF" w:rsidP="00103FBF">
            <w:pPr>
              <w:rPr>
                <w:i/>
              </w:rPr>
            </w:pPr>
            <w:r>
              <w:rPr>
                <w:i/>
              </w:rPr>
              <w:t>Strength</w:t>
            </w:r>
            <w:r w:rsidR="00772124">
              <w:rPr>
                <w:i/>
              </w:rPr>
              <w:t>:</w:t>
            </w:r>
          </w:p>
        </w:tc>
        <w:tc>
          <w:tcPr>
            <w:tcW w:w="6307" w:type="dxa"/>
          </w:tcPr>
          <w:p w:rsidR="008E7846" w:rsidRPr="00487162" w:rsidRDefault="007B7B02" w:rsidP="00E45619">
            <w:r w:rsidRPr="0006723D">
              <w:rPr>
                <w:kern w:val="2"/>
              </w:rPr>
              <w:t>150 mg</w:t>
            </w:r>
          </w:p>
        </w:tc>
      </w:tr>
      <w:tr w:rsidR="008E7846" w:rsidRPr="00487162" w:rsidTr="00276DF9">
        <w:trPr>
          <w:gridAfter w:val="1"/>
          <w:wAfter w:w="283" w:type="dxa"/>
        </w:trPr>
        <w:tc>
          <w:tcPr>
            <w:tcW w:w="2907" w:type="dxa"/>
          </w:tcPr>
          <w:p w:rsidR="008E7846" w:rsidRPr="00487162" w:rsidRDefault="00103FBF" w:rsidP="00103FBF">
            <w:pPr>
              <w:rPr>
                <w:i/>
              </w:rPr>
            </w:pPr>
            <w:r>
              <w:rPr>
                <w:i/>
              </w:rPr>
              <w:t>Container</w:t>
            </w:r>
            <w:r w:rsidR="008E7846" w:rsidRPr="00487162">
              <w:rPr>
                <w:i/>
              </w:rPr>
              <w:t>:</w:t>
            </w:r>
          </w:p>
        </w:tc>
        <w:tc>
          <w:tcPr>
            <w:tcW w:w="6307" w:type="dxa"/>
          </w:tcPr>
          <w:p w:rsidR="008E7846" w:rsidRPr="00487162" w:rsidRDefault="00276DF9" w:rsidP="00E45619">
            <w:r>
              <w:t>Vials</w:t>
            </w:r>
          </w:p>
        </w:tc>
      </w:tr>
      <w:tr w:rsidR="008E7846" w:rsidRPr="00487162" w:rsidTr="00276DF9">
        <w:trPr>
          <w:gridAfter w:val="1"/>
          <w:wAfter w:w="283" w:type="dxa"/>
        </w:trPr>
        <w:tc>
          <w:tcPr>
            <w:tcW w:w="2907" w:type="dxa"/>
          </w:tcPr>
          <w:p w:rsidR="008E7846" w:rsidRPr="00487162" w:rsidRDefault="008E7846" w:rsidP="00772124">
            <w:pPr>
              <w:rPr>
                <w:i/>
              </w:rPr>
            </w:pPr>
            <w:r w:rsidRPr="00487162">
              <w:rPr>
                <w:i/>
              </w:rPr>
              <w:t>Pack sizes:</w:t>
            </w:r>
          </w:p>
        </w:tc>
        <w:tc>
          <w:tcPr>
            <w:tcW w:w="6307" w:type="dxa"/>
          </w:tcPr>
          <w:p w:rsidR="008E7846" w:rsidRPr="00487162" w:rsidRDefault="00276DF9" w:rsidP="00E45619">
            <w:r>
              <w:t>1 or 4</w:t>
            </w:r>
          </w:p>
        </w:tc>
      </w:tr>
      <w:tr w:rsidR="008E7846" w:rsidRPr="00EC412B" w:rsidTr="00276DF9">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EC412B" w:rsidRDefault="00EC412B" w:rsidP="00EC412B">
            <w:pPr>
              <w:rPr>
                <w:i/>
              </w:rPr>
            </w:pPr>
            <w:r w:rsidRPr="00EC412B">
              <w:rPr>
                <w:i/>
              </w:rPr>
              <w:t xml:space="preserve">Ilaris is indicated for the treatment of active Systemic Juvenile Idiopathic Arthritis (SIIA) in patients aged 2 years or older. </w:t>
            </w:r>
          </w:p>
        </w:tc>
      </w:tr>
      <w:tr w:rsidR="008E7846" w:rsidRPr="00487162" w:rsidTr="00276DF9">
        <w:trPr>
          <w:gridAfter w:val="1"/>
          <w:wAfter w:w="283" w:type="dxa"/>
        </w:trPr>
        <w:tc>
          <w:tcPr>
            <w:tcW w:w="2907" w:type="dxa"/>
          </w:tcPr>
          <w:p w:rsidR="008E7846" w:rsidRPr="00487162" w:rsidRDefault="00103FBF" w:rsidP="00103FBF">
            <w:pPr>
              <w:rPr>
                <w:i/>
              </w:rPr>
            </w:pPr>
            <w:r>
              <w:rPr>
                <w:i/>
              </w:rPr>
              <w:t>Route</w:t>
            </w:r>
            <w:r w:rsidR="008E7846" w:rsidRPr="00487162">
              <w:rPr>
                <w:i/>
              </w:rPr>
              <w:t xml:space="preserve"> of administration:</w:t>
            </w:r>
          </w:p>
        </w:tc>
        <w:tc>
          <w:tcPr>
            <w:tcW w:w="6307" w:type="dxa"/>
          </w:tcPr>
          <w:p w:rsidR="008E7846" w:rsidRPr="00487162" w:rsidRDefault="00EC412B" w:rsidP="00E45619">
            <w:r>
              <w:t>Subcutaneous (SC) injection</w:t>
            </w:r>
          </w:p>
        </w:tc>
      </w:tr>
      <w:tr w:rsidR="008E7846" w:rsidRPr="00487162" w:rsidTr="00276DF9">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E539B4" w:rsidRDefault="00EC412B" w:rsidP="00276DF9">
            <w:r w:rsidRPr="00276DF9">
              <w:t xml:space="preserve">Treatment should be initiated and supervised by a specialist physician experienced in the diagnosis and treatment of </w:t>
            </w:r>
            <w:r w:rsidR="00E539B4">
              <w:t>sJIA.</w:t>
            </w:r>
          </w:p>
          <w:p w:rsidR="00EC412B" w:rsidRPr="00276DF9" w:rsidRDefault="00E539B4" w:rsidP="00276DF9">
            <w:r>
              <w:t>The recommended dose of Ilaris for sJIA patients with body weight ≥7.5 kg is 4 mg/kg (up to maximum of 300 mg</w:t>
            </w:r>
            <w:r w:rsidR="00A61430">
              <w:t>)</w:t>
            </w:r>
            <w:r>
              <w:t xml:space="preserve"> administered every four weeks via subcutaneous injection. The treating physician should consider whether patients without clinical improvement should continue treatment with Ilaris.</w:t>
            </w:r>
          </w:p>
          <w:p w:rsidR="008E7846" w:rsidRPr="00487162" w:rsidRDefault="00EC412B" w:rsidP="00276DF9">
            <w:r w:rsidRPr="00276DF9">
              <w:t xml:space="preserve">See </w:t>
            </w:r>
            <w:r w:rsidR="00276DF9">
              <w:t>Product Information (PI) (</w:t>
            </w:r>
            <w:r w:rsidRPr="00276DF9">
              <w:t>Attachment 1) for details.</w:t>
            </w:r>
          </w:p>
        </w:tc>
      </w:tr>
      <w:tr w:rsidR="008E7846" w:rsidRPr="00487162" w:rsidTr="00276DF9">
        <w:trPr>
          <w:gridAfter w:val="1"/>
          <w:wAfter w:w="283" w:type="dxa"/>
        </w:trPr>
        <w:tc>
          <w:tcPr>
            <w:tcW w:w="2907" w:type="dxa"/>
          </w:tcPr>
          <w:p w:rsidR="008E7846" w:rsidRPr="00487162" w:rsidRDefault="008E7846" w:rsidP="00772124">
            <w:pPr>
              <w:rPr>
                <w:i/>
              </w:rPr>
            </w:pPr>
            <w:r w:rsidRPr="00487162">
              <w:rPr>
                <w:i/>
              </w:rPr>
              <w:t xml:space="preserve">ARTG </w:t>
            </w:r>
            <w:r w:rsidR="001B5C90">
              <w:rPr>
                <w:i/>
              </w:rPr>
              <w:t>n</w:t>
            </w:r>
            <w:r w:rsidRPr="00487162">
              <w:rPr>
                <w:i/>
              </w:rPr>
              <w:t>umbers</w:t>
            </w:r>
            <w:r w:rsidR="001B5C90">
              <w:rPr>
                <w:i/>
              </w:rPr>
              <w:t>:</w:t>
            </w:r>
          </w:p>
        </w:tc>
        <w:tc>
          <w:tcPr>
            <w:tcW w:w="6307" w:type="dxa"/>
          </w:tcPr>
          <w:p w:rsidR="008E7846" w:rsidRPr="00487162" w:rsidRDefault="00EC412B" w:rsidP="00EC412B">
            <w:r>
              <w:t>159573</w:t>
            </w:r>
            <w:r w:rsidR="00EC589E">
              <w:t xml:space="preserve"> </w:t>
            </w:r>
            <w:r w:rsidR="00EC589E" w:rsidRPr="00EC589E">
              <w:t>and 187078</w:t>
            </w:r>
          </w:p>
        </w:tc>
      </w:tr>
    </w:tbl>
    <w:p w:rsidR="008E7846" w:rsidRDefault="008E7846" w:rsidP="00772124">
      <w:pPr>
        <w:pStyle w:val="Heading3"/>
      </w:pPr>
      <w:bookmarkStart w:id="13" w:name="_Toc247691503"/>
      <w:bookmarkStart w:id="14" w:name="_Toc314842484"/>
      <w:bookmarkStart w:id="15" w:name="_Toc408471902"/>
      <w:r>
        <w:t xml:space="preserve">Product </w:t>
      </w:r>
      <w:r w:rsidRPr="00772124">
        <w:t>background</w:t>
      </w:r>
      <w:bookmarkEnd w:id="13"/>
      <w:bookmarkEnd w:id="14"/>
      <w:bookmarkEnd w:id="15"/>
    </w:p>
    <w:p w:rsidR="00276DF9" w:rsidRDefault="00276DF9" w:rsidP="00103FBF">
      <w:r>
        <w:t xml:space="preserve">Ilaris (canakinumab 150 mg powder for injection) is currently registered in Australia by </w:t>
      </w:r>
      <w:r w:rsidRPr="0006723D">
        <w:rPr>
          <w:kern w:val="2"/>
        </w:rPr>
        <w:t>Novartis Pharmaceuticals Australia Pty Ltd</w:t>
      </w:r>
      <w:r w:rsidR="00103FBF">
        <w:t xml:space="preserve"> for</w:t>
      </w:r>
    </w:p>
    <w:p w:rsidR="00276DF9" w:rsidRPr="00103FBF" w:rsidRDefault="00276DF9" w:rsidP="00103FBF">
      <w:pPr>
        <w:rPr>
          <w:b/>
          <w:i/>
        </w:rPr>
      </w:pPr>
      <w:r w:rsidRPr="00103FBF">
        <w:rPr>
          <w:i/>
        </w:rPr>
        <w:t>the treatment of Cryopyrin-Associated Periodic Syndromes (CAPS), in adults and children aged 2 years and older including:</w:t>
      </w:r>
    </w:p>
    <w:p w:rsidR="00276DF9" w:rsidRPr="00103FBF" w:rsidRDefault="00276DF9" w:rsidP="00103FBF">
      <w:pPr>
        <w:pStyle w:val="ListBullet"/>
        <w:rPr>
          <w:i/>
        </w:rPr>
      </w:pPr>
      <w:r w:rsidRPr="00103FBF">
        <w:rPr>
          <w:i/>
        </w:rPr>
        <w:t>Familial Cold Autoinflammatory Syndrome (FCAS) /Familial Cold Urticaria (FCU)</w:t>
      </w:r>
    </w:p>
    <w:p w:rsidR="00276DF9" w:rsidRPr="00103FBF" w:rsidRDefault="00276DF9" w:rsidP="00103FBF">
      <w:pPr>
        <w:pStyle w:val="ListBullet"/>
        <w:rPr>
          <w:i/>
        </w:rPr>
      </w:pPr>
      <w:r w:rsidRPr="00103FBF">
        <w:rPr>
          <w:i/>
        </w:rPr>
        <w:t>Muckle-Wells Syndrome (MWS)</w:t>
      </w:r>
    </w:p>
    <w:p w:rsidR="00276DF9" w:rsidRPr="00103FBF" w:rsidRDefault="00276DF9" w:rsidP="00103FBF">
      <w:pPr>
        <w:pStyle w:val="ListBullet"/>
        <w:rPr>
          <w:i/>
        </w:rPr>
      </w:pPr>
      <w:r w:rsidRPr="00103FBF">
        <w:rPr>
          <w:i/>
        </w:rPr>
        <w:t>Neonatal-Onset Multisystem Inflammatory Disease (NOMID)/Chronic Infantile Neurological, Cutaneous, Articular Syndrome (CINCA).</w:t>
      </w:r>
    </w:p>
    <w:p w:rsidR="00B24FB5" w:rsidRDefault="00940A89" w:rsidP="00103FBF">
      <w:pPr>
        <w:rPr>
          <w:rFonts w:asciiTheme="minorHAnsi" w:hAnsiTheme="minorHAnsi"/>
        </w:rPr>
      </w:pPr>
      <w:r w:rsidRPr="00940A89">
        <w:lastRenderedPageBreak/>
        <w:t xml:space="preserve">This AusPAR describes the application by the sponsor to </w:t>
      </w:r>
      <w:r w:rsidR="00B24FB5">
        <w:t>extend the indications for</w:t>
      </w:r>
      <w:r w:rsidRPr="00940A89">
        <w:t xml:space="preserve"> </w:t>
      </w:r>
      <w:r w:rsidR="00B24FB5">
        <w:t>Ilaris</w:t>
      </w:r>
      <w:r w:rsidRPr="00940A89">
        <w:t xml:space="preserve"> </w:t>
      </w:r>
      <w:r w:rsidR="00B81244">
        <w:rPr>
          <w:rFonts w:asciiTheme="minorHAnsi" w:hAnsiTheme="minorHAnsi"/>
        </w:rPr>
        <w:t>to include</w:t>
      </w:r>
      <w:r w:rsidR="007A53C4">
        <w:rPr>
          <w:rFonts w:asciiTheme="minorHAnsi" w:hAnsiTheme="minorHAnsi"/>
        </w:rPr>
        <w:t>:-</w:t>
      </w:r>
    </w:p>
    <w:p w:rsidR="003C306F" w:rsidRPr="00103FBF" w:rsidRDefault="00B81244" w:rsidP="00103FBF">
      <w:pPr>
        <w:rPr>
          <w:i/>
        </w:rPr>
      </w:pPr>
      <w:r w:rsidRPr="00103FBF">
        <w:rPr>
          <w:i/>
        </w:rPr>
        <w:t>‘treatment of active Systemic Juvenile Idiopathic Arthritis (sJIA) in patients 2 years and older’.</w:t>
      </w:r>
    </w:p>
    <w:p w:rsidR="00276DF9" w:rsidRDefault="00276DF9" w:rsidP="00103FBF">
      <w:bookmarkStart w:id="16" w:name="_Toc314842485"/>
      <w:bookmarkStart w:id="17" w:name="_Toc247691504"/>
      <w:r>
        <w:t>Canakinumab is a fully human monoclonal anti-human interleukin-1beta (IL-1beta) antibody of the IgG/kappa isotype. It binds with high affinity to human IL-1beta and neutralises the biological activity of human IL-1beta by blocking its interaction with IL-1 receptors, thereby preventing IL-1beta-induced gene activation and the production of inflammatory mediators such as interleukin-6 or cyclooxygenase-2. Canakinumab is therefore suited to treat diseases and pathologies characterised by local or systemic overproduction of IL-1beta.</w:t>
      </w:r>
    </w:p>
    <w:p w:rsidR="00E22D1F" w:rsidRDefault="00E22D1F" w:rsidP="00103FBF">
      <w:r w:rsidRPr="002B727E">
        <w:t>Systemic onset</w:t>
      </w:r>
      <w:r>
        <w:t xml:space="preserve"> Juvenile Idiopathic Arthritis (sJIA) (WHO ICD-10 code</w:t>
      </w:r>
      <w:r w:rsidR="00B24FB5">
        <w:rPr>
          <w:rStyle w:val="FootnoteReference"/>
          <w:rFonts w:asciiTheme="minorHAnsi" w:hAnsiTheme="minorHAnsi"/>
        </w:rPr>
        <w:footnoteReference w:id="1"/>
      </w:r>
      <w:r>
        <w:t>: M08.2</w:t>
      </w:r>
      <w:r w:rsidR="00B24FB5">
        <w:rPr>
          <w:rStyle w:val="FootnoteReference"/>
          <w:rFonts w:asciiTheme="minorHAnsi" w:hAnsiTheme="minorHAnsi"/>
        </w:rPr>
        <w:footnoteReference w:id="2"/>
      </w:r>
      <w:r>
        <w:t>) is a subset of Juvenile Idiopathic Arthritis (JIA/JA/JRA/JCA</w:t>
      </w:r>
      <w:r w:rsidR="00992362">
        <w:rPr>
          <w:rStyle w:val="FootnoteReference"/>
          <w:rFonts w:asciiTheme="minorHAnsi" w:hAnsiTheme="minorHAnsi"/>
        </w:rPr>
        <w:footnoteReference w:id="3"/>
      </w:r>
      <w:r>
        <w:t>: WHO ICD-10 Code: M08).</w:t>
      </w:r>
      <w:r w:rsidR="00404BA5">
        <w:t xml:space="preserve"> </w:t>
      </w:r>
      <w:r>
        <w:t>The latter, Juvenile Idiopathic Arthritis, is a general term used to describe inflammatory arthritis diagnosed in children 16 years of age or younger.</w:t>
      </w:r>
      <w:r w:rsidR="00404BA5">
        <w:t xml:space="preserve"> </w:t>
      </w:r>
      <w:r>
        <w:t>Systemic onset Juvenile Idiopathic Arthritis or sJIA accounts for approximately 6</w:t>
      </w:r>
      <w:r w:rsidR="00B24FB5">
        <w:t xml:space="preserve"> to </w:t>
      </w:r>
      <w:r>
        <w:t xml:space="preserve">11% of the cases of Juvenile Idiopathic Arthritis and is characterised by fever, rash, swollen lymph glands </w:t>
      </w:r>
      <w:r w:rsidR="00B24FB5">
        <w:t>and</w:t>
      </w:r>
      <w:r>
        <w:t>/or other systemic symptoms.</w:t>
      </w:r>
    </w:p>
    <w:p w:rsidR="00E22D1F" w:rsidRDefault="00E22D1F" w:rsidP="00103FBF">
      <w:r>
        <w:t>The peak onset of sJIA is between the ages of 18 months and 2 years</w:t>
      </w:r>
      <w:r w:rsidR="00E539B4">
        <w:t xml:space="preserve"> but may develop at any age</w:t>
      </w:r>
      <w:r>
        <w:t>.</w:t>
      </w:r>
      <w:r w:rsidR="00404BA5">
        <w:t xml:space="preserve"> </w:t>
      </w:r>
      <w:r>
        <w:t>Patients are classified as having:</w:t>
      </w:r>
    </w:p>
    <w:p w:rsidR="00E22D1F" w:rsidRDefault="00E22D1F" w:rsidP="00103FBF">
      <w:pPr>
        <w:pStyle w:val="ListBullet"/>
      </w:pPr>
      <w:r>
        <w:t>a monocyclic course, with remission within 2</w:t>
      </w:r>
      <w:r w:rsidR="00B24FB5">
        <w:t xml:space="preserve"> to </w:t>
      </w:r>
      <w:r>
        <w:t>4 years (about 42% of patients),</w:t>
      </w:r>
    </w:p>
    <w:p w:rsidR="00E22D1F" w:rsidRDefault="00E22D1F" w:rsidP="00103FBF">
      <w:pPr>
        <w:pStyle w:val="ListBullet"/>
      </w:pPr>
      <w:r>
        <w:t>persistent disease with arthritis becoming more prominent on remission of the systemic features and lasting no more than 5 years (about 51%), or</w:t>
      </w:r>
    </w:p>
    <w:p w:rsidR="00E22D1F" w:rsidRDefault="00E22D1F" w:rsidP="00772124">
      <w:pPr>
        <w:pStyle w:val="ListBullet"/>
      </w:pPr>
      <w:r>
        <w:t>a relapsing course characterised by flares of systemic features and mild arthritis (about 7%).</w:t>
      </w:r>
    </w:p>
    <w:p w:rsidR="00E22D1F" w:rsidRDefault="00E22D1F" w:rsidP="00103FBF">
      <w:r>
        <w:t>Up to 30% of patients still have the active disease after 10 years.</w:t>
      </w:r>
      <w:r w:rsidR="00404BA5">
        <w:t xml:space="preserve"> </w:t>
      </w:r>
      <w:r>
        <w:t>There are 368 new cases of JIA estimated to occur each year in Australia, with (as noted previously) 6</w:t>
      </w:r>
      <w:r w:rsidR="00992362">
        <w:t xml:space="preserve"> to </w:t>
      </w:r>
      <w:r>
        <w:t xml:space="preserve">11% of these being systemic onset, </w:t>
      </w:r>
      <w:r w:rsidR="00992362">
        <w:t>that is,</w:t>
      </w:r>
      <w:r>
        <w:t xml:space="preserve"> sJIA.</w:t>
      </w:r>
    </w:p>
    <w:p w:rsidR="00B81244" w:rsidRDefault="00B81244" w:rsidP="00103FBF">
      <w:r>
        <w:t xml:space="preserve">The </w:t>
      </w:r>
      <w:r w:rsidR="00992362">
        <w:t>p</w:t>
      </w:r>
      <w:r w:rsidR="00992362" w:rsidRPr="001F32FA">
        <w:t>roposed</w:t>
      </w:r>
      <w:r w:rsidR="00992362">
        <w:t xml:space="preserve"> </w:t>
      </w:r>
      <w:r>
        <w:t xml:space="preserve">dose of Ilaris for sJIA patients with body weight </w:t>
      </w:r>
      <w:r w:rsidR="00992362">
        <w:t>≥</w:t>
      </w:r>
      <w:r>
        <w:t xml:space="preserve"> 7.5 kg is 4</w:t>
      </w:r>
      <w:r w:rsidR="00404BA5">
        <w:t xml:space="preserve"> mg/kg</w:t>
      </w:r>
      <w:r>
        <w:t xml:space="preserve"> (up to a maximum of 300 mg) administered every four weeks by subcutaneous </w:t>
      </w:r>
      <w:r w:rsidR="00992362">
        <w:t xml:space="preserve">(SC) </w:t>
      </w:r>
      <w:r>
        <w:t>injection.</w:t>
      </w:r>
    </w:p>
    <w:p w:rsidR="003C306F" w:rsidRDefault="003C306F" w:rsidP="00103FBF">
      <w:r w:rsidRPr="003A684C">
        <w:t xml:space="preserve">The currently approved dose/dosage regimen </w:t>
      </w:r>
      <w:r w:rsidR="004D1551">
        <w:t xml:space="preserve">for CAPS </w:t>
      </w:r>
      <w:r w:rsidRPr="003A684C">
        <w:t>is as follows:</w:t>
      </w:r>
    </w:p>
    <w:p w:rsidR="004D1551" w:rsidRPr="00103FBF" w:rsidRDefault="004D1551" w:rsidP="00103FBF">
      <w:pPr>
        <w:rPr>
          <w:i/>
        </w:rPr>
      </w:pPr>
      <w:r w:rsidRPr="00103FBF">
        <w:rPr>
          <w:i/>
        </w:rPr>
        <w:t xml:space="preserve">Treatment should be initiated and supervised by a specialist physician experienced in the diagnosis and treatment of CAPS. The recommended starting dose of </w:t>
      </w:r>
      <w:r w:rsidRPr="00103FBF">
        <w:rPr>
          <w:i/>
          <w:lang w:val="en-GB"/>
        </w:rPr>
        <w:t xml:space="preserve">Ilaris </w:t>
      </w:r>
      <w:r w:rsidRPr="00103FBF">
        <w:rPr>
          <w:i/>
        </w:rPr>
        <w:t>for CAPS patients is:</w:t>
      </w:r>
    </w:p>
    <w:p w:rsidR="004D1551" w:rsidRPr="00017444" w:rsidRDefault="004D1551" w:rsidP="00103FBF">
      <w:r w:rsidRPr="00103FBF">
        <w:rPr>
          <w:b/>
        </w:rPr>
        <w:t>Adults and children ≥4 years of age</w:t>
      </w:r>
      <w:r w:rsidRPr="00017444">
        <w:t>:</w:t>
      </w:r>
    </w:p>
    <w:p w:rsidR="004D1551" w:rsidRPr="00017444" w:rsidRDefault="004D1551" w:rsidP="00103FBF">
      <w:pPr>
        <w:pStyle w:val="ListBullet"/>
      </w:pPr>
      <w:r w:rsidRPr="00017444">
        <w:t>150mg with body weight &gt;40 kg</w:t>
      </w:r>
    </w:p>
    <w:p w:rsidR="004D1551" w:rsidRPr="00017444" w:rsidRDefault="004D1551" w:rsidP="00103FBF">
      <w:pPr>
        <w:pStyle w:val="ListBullet"/>
      </w:pPr>
      <w:r w:rsidRPr="00017444">
        <w:t>2 mg/kg with body weight ≥15 kg and ≤40 kg</w:t>
      </w:r>
    </w:p>
    <w:p w:rsidR="004D1551" w:rsidRPr="00017444" w:rsidRDefault="004D1551" w:rsidP="00103FBF">
      <w:pPr>
        <w:pStyle w:val="ListBullet"/>
      </w:pPr>
      <w:r w:rsidRPr="00017444">
        <w:t>4 mg/kg with body weight ≥7.5 kg and &lt;15 kg</w:t>
      </w:r>
    </w:p>
    <w:p w:rsidR="004D1551" w:rsidRPr="00017444" w:rsidRDefault="004D1551" w:rsidP="00103FBF">
      <w:r w:rsidRPr="00103FBF">
        <w:rPr>
          <w:b/>
        </w:rPr>
        <w:t>Children 2 to &lt;4 years of age</w:t>
      </w:r>
      <w:r w:rsidRPr="00017444">
        <w:t>:</w:t>
      </w:r>
    </w:p>
    <w:p w:rsidR="004D1551" w:rsidRPr="00017444" w:rsidRDefault="004D1551" w:rsidP="00103FBF">
      <w:pPr>
        <w:pStyle w:val="ListBullet"/>
      </w:pPr>
      <w:r w:rsidRPr="00017444">
        <w:t>4 mg/kg for patients with body weight ≥7.5 kg</w:t>
      </w:r>
    </w:p>
    <w:p w:rsidR="004D1551" w:rsidRPr="00103FBF" w:rsidRDefault="004D1551" w:rsidP="00103FBF">
      <w:pPr>
        <w:rPr>
          <w:i/>
        </w:rPr>
      </w:pPr>
      <w:r w:rsidRPr="00103FBF">
        <w:rPr>
          <w:i/>
        </w:rPr>
        <w:lastRenderedPageBreak/>
        <w:t>This is administered every eight weeks as a single dose via subcutaneous injection.</w:t>
      </w:r>
    </w:p>
    <w:p w:rsidR="008E7846" w:rsidRPr="003F31A2" w:rsidRDefault="00386150" w:rsidP="00103FBF">
      <w:pPr>
        <w:pStyle w:val="Heading3"/>
      </w:pPr>
      <w:bookmarkStart w:id="19" w:name="_Toc408471903"/>
      <w:r>
        <w:t>Regulatory s</w:t>
      </w:r>
      <w:r w:rsidR="008E7846">
        <w:t>tatus</w:t>
      </w:r>
      <w:bookmarkEnd w:id="16"/>
      <w:bookmarkEnd w:id="19"/>
      <w:bookmarkEnd w:id="17"/>
    </w:p>
    <w:p w:rsidR="00992362" w:rsidRDefault="00992362" w:rsidP="00103FBF">
      <w:bookmarkStart w:id="20" w:name="_Toc247691505"/>
      <w:bookmarkStart w:id="21" w:name="_Toc314842486"/>
      <w:r>
        <w:t>Canakinumab was designated as an orphan drug on 11 April 2013 for the treatment of active systemic Juvenile Idiopathic Arthritis (sJIA) in patients aged 2 years and older.</w:t>
      </w:r>
    </w:p>
    <w:p w:rsidR="00992362" w:rsidRDefault="006A666D" w:rsidP="00103FBF">
      <w:r w:rsidRPr="00B20E39">
        <w:t>Canakinumab</w:t>
      </w:r>
      <w:r w:rsidRPr="00B20E39">
        <w:rPr>
          <w:smallCaps/>
        </w:rPr>
        <w:t xml:space="preserve"> (</w:t>
      </w:r>
      <w:r w:rsidRPr="00992362">
        <w:t>Ilaris</w:t>
      </w:r>
      <w:r w:rsidRPr="00B20E39">
        <w:t xml:space="preserve">) was initially </w:t>
      </w:r>
      <w:r>
        <w:t>approved</w:t>
      </w:r>
      <w:r w:rsidRPr="00B20E39">
        <w:t xml:space="preserve"> by the TGA in </w:t>
      </w:r>
      <w:r w:rsidR="00992362">
        <w:t xml:space="preserve">April 2010 for the indication of </w:t>
      </w:r>
      <w:r w:rsidR="00992362" w:rsidRPr="006A666D">
        <w:rPr>
          <w:i/>
        </w:rPr>
        <w:t>Cryopyrin-Associated Periodic Syndromes (CAPS) in adults and children aged 4 years and older</w:t>
      </w:r>
      <w:r>
        <w:t>.</w:t>
      </w:r>
      <w:r w:rsidR="00404BA5">
        <w:t xml:space="preserve"> </w:t>
      </w:r>
      <w:r w:rsidRPr="000E2F30">
        <w:t>I</w:t>
      </w:r>
      <w:r w:rsidR="00992362" w:rsidRPr="000E2F30">
        <w:t xml:space="preserve">n February of </w:t>
      </w:r>
      <w:r w:rsidR="000E2F30" w:rsidRPr="000E2F30">
        <w:t>2014</w:t>
      </w:r>
      <w:r w:rsidR="00992362">
        <w:t xml:space="preserve"> the patient group covered by the indication was extended to include children between the ages of 2 and 4. </w:t>
      </w:r>
      <w:r w:rsidR="008F6698">
        <w:t>Ca</w:t>
      </w:r>
      <w:r w:rsidR="00992362">
        <w:t xml:space="preserve">nakinumab is presently approved for the indication of CAPS, in </w:t>
      </w:r>
      <w:r w:rsidR="00992362" w:rsidRPr="00757EF7">
        <w:t>adults and children aged 2 years and older</w:t>
      </w:r>
      <w:r w:rsidR="000E2F30">
        <w:t xml:space="preserve"> as follows</w:t>
      </w:r>
      <w:r>
        <w:t>;</w:t>
      </w:r>
    </w:p>
    <w:p w:rsidR="007B7B02" w:rsidRPr="00103FBF" w:rsidRDefault="006A666D" w:rsidP="00103FBF">
      <w:pPr>
        <w:rPr>
          <w:i/>
        </w:rPr>
      </w:pPr>
      <w:r w:rsidRPr="00103FBF">
        <w:rPr>
          <w:i/>
        </w:rPr>
        <w:t>F</w:t>
      </w:r>
      <w:r w:rsidR="007B7B02" w:rsidRPr="00103FBF">
        <w:rPr>
          <w:i/>
        </w:rPr>
        <w:t>or the treatment of CAPS, in adults and children aged 4 years and older including:</w:t>
      </w:r>
    </w:p>
    <w:p w:rsidR="007B7B02" w:rsidRPr="00103FBF" w:rsidRDefault="007B7B02" w:rsidP="00103FBF">
      <w:pPr>
        <w:pStyle w:val="ListBullet"/>
        <w:rPr>
          <w:i/>
        </w:rPr>
      </w:pPr>
      <w:r w:rsidRPr="00103FBF">
        <w:rPr>
          <w:i/>
        </w:rPr>
        <w:t>Familial Cold Autoinflammatory Syndrome (FCAS) /Familial Cold Urticaria (FCU);</w:t>
      </w:r>
    </w:p>
    <w:p w:rsidR="007B7B02" w:rsidRPr="00103FBF" w:rsidRDefault="007B7B02" w:rsidP="00103FBF">
      <w:pPr>
        <w:pStyle w:val="ListBullet"/>
        <w:rPr>
          <w:i/>
        </w:rPr>
      </w:pPr>
      <w:r w:rsidRPr="00103FBF">
        <w:rPr>
          <w:i/>
        </w:rPr>
        <w:t>Muckle-Wells Syndrome (MWS);</w:t>
      </w:r>
    </w:p>
    <w:p w:rsidR="007B7B02" w:rsidRPr="00103FBF" w:rsidRDefault="007B7B02" w:rsidP="00103FBF">
      <w:pPr>
        <w:pStyle w:val="ListBullet"/>
        <w:rPr>
          <w:i/>
        </w:rPr>
      </w:pPr>
      <w:r w:rsidRPr="00103FBF">
        <w:rPr>
          <w:i/>
        </w:rPr>
        <w:t>Neonatal-Onset Multisystem Inflammatory Disease (NOMID)/Chronic Infantile Neurological, Cutaneous, Articular Syndrome (CINCA).</w:t>
      </w:r>
    </w:p>
    <w:p w:rsidR="007B7B02" w:rsidRDefault="007B7B02" w:rsidP="00103FBF">
      <w:r w:rsidRPr="00733D2B">
        <w:t>Applications for the same indication have been approved by the US FDA (9 May 2013)</w:t>
      </w:r>
      <w:r w:rsidR="00E22D1F">
        <w:t>,</w:t>
      </w:r>
      <w:r w:rsidRPr="00733D2B">
        <w:t xml:space="preserve"> EU (</w:t>
      </w:r>
      <w:r w:rsidR="00E22D1F">
        <w:t>26 August 2013</w:t>
      </w:r>
      <w:r w:rsidRPr="00733D2B">
        <w:t>) and Canada (</w:t>
      </w:r>
      <w:r w:rsidR="00E22D1F">
        <w:t>12 December 2013</w:t>
      </w:r>
      <w:r w:rsidRPr="00733D2B">
        <w:t>)</w:t>
      </w:r>
      <w:r w:rsidR="006A666D">
        <w:t xml:space="preserve"> (See Table 1 below)</w:t>
      </w:r>
      <w:r w:rsidR="00017444">
        <w:t xml:space="preserve"> as well as Singapore (1 April 2014) and Switzerland (15 May 2014)</w:t>
      </w:r>
      <w:r w:rsidR="00374E30">
        <w:t>.</w:t>
      </w:r>
    </w:p>
    <w:p w:rsidR="006A666D" w:rsidRDefault="006A666D" w:rsidP="00374E30">
      <w:pPr>
        <w:pStyle w:val="TableTitle"/>
      </w:pPr>
      <w:r>
        <w:t>Table 1. Indications approved overseas</w:t>
      </w:r>
    </w:p>
    <w:p w:rsidR="006A666D" w:rsidRDefault="006A666D" w:rsidP="00374E30">
      <w:r>
        <w:rPr>
          <w:noProof/>
          <w:lang w:eastAsia="en-AU"/>
        </w:rPr>
        <w:drawing>
          <wp:inline distT="0" distB="0" distL="0" distR="0" wp14:anchorId="01B115EB" wp14:editId="01A280E9">
            <wp:extent cx="3347049" cy="2343401"/>
            <wp:effectExtent l="0" t="0" r="6350" b="0"/>
            <wp:docPr id="19" name="Picture 19" descr="Table 1. Indications approved over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Lst>
                    </a:blip>
                    <a:srcRect t="-1" b="2349"/>
                    <a:stretch/>
                  </pic:blipFill>
                  <pic:spPr bwMode="auto">
                    <a:xfrm>
                      <a:off x="0" y="0"/>
                      <a:ext cx="3358006" cy="2351072"/>
                    </a:xfrm>
                    <a:prstGeom prst="rect">
                      <a:avLst/>
                    </a:prstGeom>
                    <a:ln>
                      <a:noFill/>
                    </a:ln>
                    <a:extLst>
                      <a:ext uri="{53640926-AAD7-44D8-BBD7-CCE9431645EC}">
                        <a14:shadowObscured xmlns:a14="http://schemas.microsoft.com/office/drawing/2010/main"/>
                      </a:ext>
                    </a:extLst>
                  </pic:spPr>
                </pic:pic>
              </a:graphicData>
            </a:graphic>
          </wp:inline>
        </w:drawing>
      </w:r>
    </w:p>
    <w:p w:rsidR="008E7846" w:rsidRDefault="008E7846" w:rsidP="00374E30">
      <w:pPr>
        <w:pStyle w:val="Heading3"/>
      </w:pPr>
      <w:bookmarkStart w:id="22" w:name="_Toc408471904"/>
      <w:r>
        <w:t>Product Information</w:t>
      </w:r>
      <w:bookmarkEnd w:id="20"/>
      <w:bookmarkEnd w:id="21"/>
      <w:bookmarkEnd w:id="22"/>
    </w:p>
    <w:p w:rsidR="00940A89" w:rsidRDefault="00940A89" w:rsidP="00940A89">
      <w:pPr>
        <w:rPr>
          <w:b/>
          <w:bCs/>
        </w:rPr>
      </w:pPr>
      <w:bookmarkStart w:id="23" w:name="_Toc247691506"/>
      <w:bookmarkStart w:id="24" w:name="_Toc314842487"/>
      <w:r w:rsidRPr="00940A89">
        <w:t>The approved Product Information (PI) current at the time this AusPAR was prepared can be found as Attachment 1. For the most recent Product Information please refer to the TGA website at &lt;</w:t>
      </w:r>
      <w:hyperlink r:id="rId16" w:history="1">
        <w:r w:rsidR="00772124">
          <w:rPr>
            <w:rStyle w:val="Hyperlink"/>
          </w:rPr>
          <w:t>http://www.tga.gov.au/product-information-pi</w:t>
        </w:r>
      </w:hyperlink>
      <w:r w:rsidRPr="00940A89">
        <w:t>&gt;.</w:t>
      </w:r>
    </w:p>
    <w:p w:rsidR="008E7846" w:rsidRPr="003602A9" w:rsidRDefault="008E7846" w:rsidP="00374E30">
      <w:pPr>
        <w:pStyle w:val="Heading2"/>
      </w:pPr>
      <w:bookmarkStart w:id="25" w:name="_Toc408471905"/>
      <w:r>
        <w:t>II. Quality</w:t>
      </w:r>
      <w:bookmarkEnd w:id="2"/>
      <w:r>
        <w:t xml:space="preserve"> findings</w:t>
      </w:r>
      <w:bookmarkEnd w:id="23"/>
      <w:bookmarkEnd w:id="24"/>
      <w:bookmarkEnd w:id="25"/>
    </w:p>
    <w:p w:rsidR="00940A89" w:rsidRPr="00940A89" w:rsidRDefault="00940A89" w:rsidP="00374E30">
      <w:bookmarkStart w:id="26" w:name="_Toc247691507"/>
      <w:bookmarkStart w:id="27" w:name="_Toc314842488"/>
      <w:r w:rsidRPr="00940A89">
        <w:t>There was no requirement for a quality evaluation in a submission of this type.</w:t>
      </w:r>
    </w:p>
    <w:p w:rsidR="008E7846" w:rsidRDefault="008E7846" w:rsidP="00374E30">
      <w:pPr>
        <w:pStyle w:val="Heading2"/>
      </w:pPr>
      <w:bookmarkStart w:id="28" w:name="_Toc196046439"/>
      <w:bookmarkStart w:id="29" w:name="_Toc247691510"/>
      <w:bookmarkStart w:id="30" w:name="_Toc314842494"/>
      <w:bookmarkStart w:id="31" w:name="_Toc408471906"/>
      <w:bookmarkEnd w:id="26"/>
      <w:bookmarkEnd w:id="27"/>
      <w:r>
        <w:lastRenderedPageBreak/>
        <w:t>III. Nonclinical</w:t>
      </w:r>
      <w:bookmarkEnd w:id="28"/>
      <w:r>
        <w:t xml:space="preserve"> findings</w:t>
      </w:r>
      <w:bookmarkEnd w:id="29"/>
      <w:bookmarkEnd w:id="30"/>
      <w:bookmarkEnd w:id="31"/>
    </w:p>
    <w:p w:rsidR="008E7846" w:rsidRDefault="008E7846" w:rsidP="00374E30">
      <w:pPr>
        <w:pStyle w:val="Heading3"/>
      </w:pPr>
      <w:bookmarkStart w:id="32" w:name="_Toc247691511"/>
      <w:bookmarkStart w:id="33" w:name="_Toc314842495"/>
      <w:bookmarkStart w:id="34" w:name="_Toc408471907"/>
      <w:r>
        <w:t>Introduction</w:t>
      </w:r>
      <w:bookmarkEnd w:id="32"/>
      <w:bookmarkEnd w:id="33"/>
      <w:bookmarkEnd w:id="34"/>
    </w:p>
    <w:p w:rsidR="007B7B02" w:rsidRPr="00B36574" w:rsidRDefault="007B7B02" w:rsidP="00374E30">
      <w:r>
        <w:t xml:space="preserve">No new </w:t>
      </w:r>
      <w:r w:rsidR="003C306F">
        <w:t>nonclinical</w:t>
      </w:r>
      <w:r w:rsidRPr="00B36574">
        <w:t xml:space="preserve"> data </w:t>
      </w:r>
      <w:r>
        <w:t xml:space="preserve">were submitted. An </w:t>
      </w:r>
      <w:r w:rsidRPr="005940AC">
        <w:t xml:space="preserve">Addendum to the </w:t>
      </w:r>
      <w:r w:rsidR="000E2F30">
        <w:t xml:space="preserve">sponsor’s </w:t>
      </w:r>
      <w:r w:rsidRPr="005940AC">
        <w:t xml:space="preserve">Nonclinical Overview </w:t>
      </w:r>
      <w:r>
        <w:t xml:space="preserve">plus 18 cited references were submitted to discuss </w:t>
      </w:r>
      <w:r w:rsidRPr="005940AC">
        <w:t>the specific</w:t>
      </w:r>
      <w:r>
        <w:t xml:space="preserve"> </w:t>
      </w:r>
      <w:r w:rsidRPr="005940AC">
        <w:t>systemic juvenile idiopathic arthritis indication</w:t>
      </w:r>
      <w:r>
        <w:t>.</w:t>
      </w:r>
    </w:p>
    <w:p w:rsidR="008E7846" w:rsidRDefault="008E7846" w:rsidP="00374E30">
      <w:pPr>
        <w:pStyle w:val="Heading3"/>
      </w:pPr>
      <w:bookmarkStart w:id="35" w:name="_Toc247691513"/>
      <w:bookmarkStart w:id="36" w:name="_Toc314842497"/>
      <w:bookmarkStart w:id="37" w:name="_Toc408471908"/>
      <w:r>
        <w:t>Pharmacokinetics</w:t>
      </w:r>
      <w:bookmarkEnd w:id="35"/>
      <w:bookmarkEnd w:id="36"/>
      <w:bookmarkEnd w:id="37"/>
    </w:p>
    <w:p w:rsidR="007B7B02" w:rsidRDefault="007B7B02" w:rsidP="00374E30">
      <w:pPr>
        <w:pStyle w:val="Heading4"/>
      </w:pPr>
      <w:bookmarkStart w:id="38" w:name="_Toc295290893"/>
      <w:bookmarkStart w:id="39" w:name="_Toc374449724"/>
      <w:r>
        <w:t>Comparative systemic exposure</w:t>
      </w:r>
      <w:bookmarkEnd w:id="38"/>
      <w:bookmarkEnd w:id="39"/>
    </w:p>
    <w:p w:rsidR="007B7B02" w:rsidRDefault="007B7B02" w:rsidP="00374E30">
      <w:bookmarkStart w:id="40" w:name="_Toc295290894"/>
      <w:r w:rsidRPr="00C76570">
        <w:t>The comparative systemic exposure data from previously submitted nonclinical studies needs to be updated for the clinical da</w:t>
      </w:r>
      <w:r w:rsidR="003C306F">
        <w:t>ta for the new indication. The s</w:t>
      </w:r>
      <w:r w:rsidRPr="00C76570">
        <w:t xml:space="preserve">ponsor submitted human </w:t>
      </w:r>
      <w:r w:rsidR="003C306F">
        <w:t>pharmacokinetic (</w:t>
      </w:r>
      <w:r w:rsidRPr="00C76570">
        <w:t>PK</w:t>
      </w:r>
      <w:r w:rsidR="003C306F">
        <w:t>)</w:t>
      </w:r>
      <w:r w:rsidRPr="00C76570">
        <w:t xml:space="preserve"> and total IL-1</w:t>
      </w:r>
      <w:r w:rsidR="003C306F">
        <w:t>β</w:t>
      </w:r>
      <w:r w:rsidRPr="00C76570">
        <w:t xml:space="preserve"> data described by a population based PK-binding model [ACZ885 sJIA Modeling Report]. This model was updated from the original model included in the CAPS submission [ACZ885 CAPS Modelling Report] with data from sJIA clinical trials, as well as data from gouty arthritis patients and additional new data from RA and CAPS patients. The kinetics of canakinumab and its binding to IL-1β is presented fully across the age group of sJIA population. Using the population PK parameter values from the PK binding model, canakinumab concentration-time profiles were simulated for a typical sJIA patient weighing 33 kg, based on a dosing regimen of 4</w:t>
      </w:r>
      <w:r w:rsidR="00404BA5">
        <w:t xml:space="preserve"> mg/kg</w:t>
      </w:r>
      <w:r w:rsidRPr="00C76570">
        <w:t xml:space="preserve"> every 4 weeks for six months, to ensure that steady state is achieved. The </w:t>
      </w:r>
      <w:r w:rsidR="003C306F">
        <w:t xml:space="preserve">area under the </w:t>
      </w:r>
      <w:r w:rsidR="00856969">
        <w:t>serum</w:t>
      </w:r>
      <w:r w:rsidR="003C306F">
        <w:t xml:space="preserve"> concentration versus time curve (</w:t>
      </w:r>
      <w:r w:rsidRPr="00C76570">
        <w:t>AUC</w:t>
      </w:r>
      <w:r w:rsidR="003C306F">
        <w:t>)</w:t>
      </w:r>
      <w:r w:rsidRPr="00C76570">
        <w:t xml:space="preserve"> and </w:t>
      </w:r>
      <w:r w:rsidR="003C306F">
        <w:t xml:space="preserve">peak </w:t>
      </w:r>
      <w:r w:rsidR="00856969">
        <w:t>serum</w:t>
      </w:r>
      <w:r w:rsidR="003C306F">
        <w:t xml:space="preserve"> concentration (</w:t>
      </w:r>
      <w:r w:rsidRPr="00C76570">
        <w:t>C</w:t>
      </w:r>
      <w:r w:rsidRPr="003C306F">
        <w:rPr>
          <w:vertAlign w:val="subscript"/>
        </w:rPr>
        <w:t>max</w:t>
      </w:r>
      <w:r w:rsidR="003C306F">
        <w:t>)</w:t>
      </w:r>
      <w:r w:rsidRPr="00C76570">
        <w:t xml:space="preserve"> from the last dosing interval were estimated for each subject in sJIA trials, and summary statistics were calculated for these two exposure metrics. The AUC</w:t>
      </w:r>
      <w:r w:rsidRPr="00C76570">
        <w:rPr>
          <w:vertAlign w:val="subscript"/>
        </w:rPr>
        <w:t>0-τ</w:t>
      </w:r>
      <w:r w:rsidRPr="00C76570">
        <w:t xml:space="preserve"> at steady state was calculated, and divided by </w:t>
      </w:r>
      <w:r w:rsidR="003C306F">
        <w:t>τ</w:t>
      </w:r>
      <w:r w:rsidRPr="00C76570">
        <w:t xml:space="preserve"> (dose interval) to obtain the average steady-state (Cavg,ss) concentration. The simulated exposure data and exposure multiples were compared to data from the marmoset </w:t>
      </w:r>
      <w:r w:rsidR="003C306F">
        <w:t>Good Laboratory Practice (</w:t>
      </w:r>
      <w:r w:rsidRPr="00C76570">
        <w:t>GLP</w:t>
      </w:r>
      <w:r w:rsidR="003C306F">
        <w:t>)</w:t>
      </w:r>
      <w:r w:rsidRPr="00C76570">
        <w:t xml:space="preserve"> toxicology study (Table 2).</w:t>
      </w:r>
    </w:p>
    <w:p w:rsidR="007B7B02" w:rsidRPr="0066495E" w:rsidRDefault="007B7B02" w:rsidP="00374E30">
      <w:pPr>
        <w:pStyle w:val="TableTitle"/>
      </w:pPr>
      <w:r w:rsidRPr="0066495E">
        <w:t>Table 2</w:t>
      </w:r>
      <w:r w:rsidR="003C306F">
        <w:t>.</w:t>
      </w:r>
      <w:r w:rsidRPr="0066495E">
        <w:t xml:space="preserve"> Comparative systemic exposure in marmosets and sJIA patients</w:t>
      </w:r>
    </w:p>
    <w:p w:rsidR="007B7B02" w:rsidRDefault="007B7B02" w:rsidP="00374E30">
      <w:r>
        <w:rPr>
          <w:noProof/>
          <w:lang w:eastAsia="en-AU"/>
        </w:rPr>
        <w:drawing>
          <wp:inline distT="0" distB="0" distL="0" distR="0" wp14:anchorId="21AFA7E2" wp14:editId="6AC855C0">
            <wp:extent cx="4157932" cy="2109513"/>
            <wp:effectExtent l="0" t="0" r="0" b="5080"/>
            <wp:docPr id="3" name="Picture 1" descr="Table 2. Comparative systemic exposure in marmosets and sJI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lum bright="-20000" contrast="40000"/>
                    </a:blip>
                    <a:srcRect b="3031"/>
                    <a:stretch/>
                  </pic:blipFill>
                  <pic:spPr bwMode="auto">
                    <a:xfrm>
                      <a:off x="0" y="0"/>
                      <a:ext cx="4154153" cy="2107596"/>
                    </a:xfrm>
                    <a:prstGeom prst="rect">
                      <a:avLst/>
                    </a:prstGeom>
                    <a:noFill/>
                    <a:ln>
                      <a:noFill/>
                    </a:ln>
                    <a:extLst>
                      <a:ext uri="{53640926-AAD7-44D8-BBD7-CCE9431645EC}">
                        <a14:shadowObscured xmlns:a14="http://schemas.microsoft.com/office/drawing/2010/main"/>
                      </a:ext>
                    </a:extLst>
                  </pic:spPr>
                </pic:pic>
              </a:graphicData>
            </a:graphic>
          </wp:inline>
        </w:drawing>
      </w:r>
      <w:bookmarkEnd w:id="40"/>
    </w:p>
    <w:p w:rsidR="008E7846" w:rsidRDefault="008E7846" w:rsidP="00374E30">
      <w:pPr>
        <w:pStyle w:val="Heading3"/>
      </w:pPr>
      <w:bookmarkStart w:id="41" w:name="_Toc408471909"/>
      <w:bookmarkStart w:id="42" w:name="_Toc247691515"/>
      <w:bookmarkStart w:id="43" w:name="_Toc314842499"/>
      <w:r>
        <w:t>Nonclinical summary</w:t>
      </w:r>
      <w:bookmarkEnd w:id="41"/>
      <w:bookmarkEnd w:id="42"/>
      <w:bookmarkEnd w:id="43"/>
    </w:p>
    <w:p w:rsidR="007B7B02" w:rsidRDefault="007B7B02" w:rsidP="00374E30">
      <w:pPr>
        <w:pStyle w:val="ListBullet"/>
      </w:pPr>
      <w:r>
        <w:t xml:space="preserve">No new </w:t>
      </w:r>
      <w:r w:rsidR="003C306F">
        <w:t>nonclinical</w:t>
      </w:r>
      <w:r>
        <w:t xml:space="preserve"> data were submitted. This is acceptable as the efficacy of canakinumab in sJIA was appropriately derived from clinical studies and a thorough nonclinical hazard assessment was previously performed for the CAPS indication and its subsequent variation to extend the patient group to children 2 to 4 years old.</w:t>
      </w:r>
    </w:p>
    <w:p w:rsidR="007B7B02" w:rsidRDefault="007B7B02" w:rsidP="00374E30">
      <w:pPr>
        <w:pStyle w:val="ListBullet"/>
      </w:pPr>
      <w:r>
        <w:lastRenderedPageBreak/>
        <w:t xml:space="preserve">The </w:t>
      </w:r>
      <w:r w:rsidR="003C306F">
        <w:t>s</w:t>
      </w:r>
      <w:r>
        <w:t>ponsor submitted an Addendum to the Nonclinical Overview (plus 18 cited references) which discussed the specific systemic juvenile idiopathic arthritis indication and also updated the nonclinical exposure margins.</w:t>
      </w:r>
    </w:p>
    <w:p w:rsidR="007B7B02" w:rsidRDefault="007B7B02" w:rsidP="00374E30">
      <w:pPr>
        <w:pStyle w:val="ListBullet"/>
      </w:pPr>
      <w:r>
        <w:t>Simulated exposure data from a population-based PK model (typical sJIA patient; 33 kg, dosing regimen of 4</w:t>
      </w:r>
      <w:r w:rsidR="00404BA5">
        <w:t xml:space="preserve"> mg/kg</w:t>
      </w:r>
      <w:r>
        <w:t xml:space="preserve"> every 4 weeks for six months, steady state) were compared to exposure data obtained from the previously submitted marmoset 13 week SC and 26 week </w:t>
      </w:r>
      <w:r w:rsidR="003C306F">
        <w:t>intravenous (</w:t>
      </w:r>
      <w:r>
        <w:t>IV</w:t>
      </w:r>
      <w:r w:rsidR="003C306F">
        <w:t>)</w:t>
      </w:r>
      <w:r>
        <w:t xml:space="preserve"> toxicology studies. The relative exposure ratios at the </w:t>
      </w:r>
      <w:r w:rsidR="003C306F">
        <w:t>No observable Adverse Effect Levels (</w:t>
      </w:r>
      <w:r>
        <w:t>NOAELs</w:t>
      </w:r>
      <w:r w:rsidR="003C306F">
        <w:t>)</w:t>
      </w:r>
      <w:r>
        <w:t xml:space="preserve"> from the pivotal marmoset toxicology studies were approximately 80 to 100. Therefore, the new indication and its associated dosage regimen do not significantly affect the risk assessment of canakinumab toxicity as the relative exposure ratios are very high.</w:t>
      </w:r>
    </w:p>
    <w:p w:rsidR="007B7B02" w:rsidRDefault="007B7B02" w:rsidP="00374E30">
      <w:pPr>
        <w:pStyle w:val="Heading3"/>
      </w:pPr>
      <w:bookmarkStart w:id="44" w:name="_Toc374449716"/>
      <w:bookmarkStart w:id="45" w:name="_Toc295290862"/>
      <w:bookmarkStart w:id="46" w:name="_Toc294861479"/>
      <w:bookmarkStart w:id="47" w:name="_Toc408471910"/>
      <w:r>
        <w:t>Nonclinical conclusions and recommendation</w:t>
      </w:r>
      <w:bookmarkEnd w:id="44"/>
      <w:bookmarkEnd w:id="45"/>
      <w:bookmarkEnd w:id="46"/>
      <w:bookmarkEnd w:id="47"/>
    </w:p>
    <w:p w:rsidR="007B7B02" w:rsidRDefault="007B7B02" w:rsidP="00374E30">
      <w:pPr>
        <w:pStyle w:val="ListBullet"/>
      </w:pPr>
      <w:r>
        <w:t>There are no nonclinical objections to the registration of canakinumab for the treatment of active Systemic Juvenile Idiopathic Arthritis (sJIA) in p</w:t>
      </w:r>
      <w:r w:rsidR="00374E30">
        <w:t>atients aged 2 years and older.</w:t>
      </w:r>
    </w:p>
    <w:p w:rsidR="007B7B02" w:rsidRDefault="007B7B02" w:rsidP="00374E30">
      <w:pPr>
        <w:pStyle w:val="ListBullet"/>
      </w:pPr>
      <w:r>
        <w:t>No changes to the Product Information are recommended.</w:t>
      </w:r>
    </w:p>
    <w:p w:rsidR="008E7846" w:rsidRPr="00254787" w:rsidRDefault="008E7846" w:rsidP="00374E30">
      <w:pPr>
        <w:pStyle w:val="Heading2"/>
      </w:pPr>
      <w:bookmarkStart w:id="48" w:name="_Toc196046462"/>
      <w:bookmarkStart w:id="49" w:name="_Toc247691516"/>
      <w:bookmarkStart w:id="50" w:name="_Toc314842500"/>
      <w:bookmarkStart w:id="51" w:name="_Toc408471911"/>
      <w:bookmarkStart w:id="52" w:name="_Toc163441353"/>
      <w:bookmarkStart w:id="53" w:name="_Toc163441348"/>
      <w:r>
        <w:t xml:space="preserve">IV. </w:t>
      </w:r>
      <w:r w:rsidRPr="00254787">
        <w:t>Clinical</w:t>
      </w:r>
      <w:bookmarkEnd w:id="48"/>
      <w:r>
        <w:t xml:space="preserve"> </w:t>
      </w:r>
      <w:r w:rsidR="003A7F6C">
        <w:t>f</w:t>
      </w:r>
      <w:r>
        <w:t>indings</w:t>
      </w:r>
      <w:bookmarkEnd w:id="49"/>
      <w:bookmarkEnd w:id="50"/>
      <w:bookmarkEnd w:id="51"/>
    </w:p>
    <w:p w:rsidR="00C80137" w:rsidRDefault="00C80137" w:rsidP="00374E30">
      <w:bookmarkStart w:id="5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374E30">
      <w:pPr>
        <w:pStyle w:val="Heading3"/>
      </w:pPr>
      <w:bookmarkStart w:id="55" w:name="_Toc247691517"/>
      <w:bookmarkStart w:id="56" w:name="_Toc314842501"/>
      <w:bookmarkStart w:id="57" w:name="_Toc408471912"/>
      <w:r w:rsidRPr="00254787">
        <w:t>Introduction</w:t>
      </w:r>
      <w:bookmarkEnd w:id="54"/>
      <w:bookmarkEnd w:id="55"/>
      <w:bookmarkEnd w:id="56"/>
      <w:bookmarkEnd w:id="57"/>
    </w:p>
    <w:p w:rsidR="00605AD4" w:rsidRDefault="00605AD4" w:rsidP="00374E30">
      <w:pPr>
        <w:pStyle w:val="Heading4"/>
      </w:pPr>
      <w:bookmarkStart w:id="58" w:name="_Toc196046464"/>
      <w:bookmarkStart w:id="59" w:name="_Toc247691518"/>
      <w:bookmarkStart w:id="60" w:name="_Toc314842502"/>
      <w:r w:rsidRPr="00605AD4">
        <w:t xml:space="preserve">Clinical </w:t>
      </w:r>
      <w:r w:rsidR="00374E30">
        <w:t>r</w:t>
      </w:r>
      <w:r w:rsidRPr="00605AD4">
        <w:t>ationale</w:t>
      </w:r>
    </w:p>
    <w:p w:rsidR="00D979B8" w:rsidRDefault="00D979B8" w:rsidP="00374E30">
      <w:r w:rsidRPr="00FE4A76">
        <w:t>The sponsor has explained the rationale for this indication as follows:</w:t>
      </w:r>
    </w:p>
    <w:p w:rsidR="00D979B8" w:rsidRPr="00374E30" w:rsidRDefault="00D979B8" w:rsidP="00374E30">
      <w:pPr>
        <w:ind w:left="567"/>
        <w:rPr>
          <w:i/>
        </w:rPr>
      </w:pPr>
      <w:r w:rsidRPr="00374E30">
        <w:rPr>
          <w:i/>
        </w:rPr>
        <w:t>SJIA is a unique type of childhood arthritis that is rare and meets the definition of an orphan disease. It is classed as a subtype of juvenile idiopathic arthritis (JIA), and accounts for about 10% of JIA cases in Europe and North America, and about 30% in India and 50% in Japan.</w:t>
      </w:r>
      <w:bookmarkStart w:id="61" w:name="_Ref401654084"/>
      <w:r w:rsidR="000E2F30" w:rsidRPr="00374E30">
        <w:rPr>
          <w:rStyle w:val="FootnoteReference"/>
          <w:rFonts w:cs="TimesNewRoman"/>
          <w:i/>
          <w:color w:val="000000"/>
        </w:rPr>
        <w:footnoteReference w:id="4"/>
      </w:r>
      <w:bookmarkEnd w:id="61"/>
    </w:p>
    <w:p w:rsidR="00D979B8" w:rsidRPr="00374E30" w:rsidRDefault="00D979B8" w:rsidP="00374E30">
      <w:pPr>
        <w:ind w:left="567"/>
        <w:rPr>
          <w:i/>
        </w:rPr>
      </w:pPr>
      <w:r w:rsidRPr="00374E30">
        <w:rPr>
          <w:i/>
        </w:rPr>
        <w:t>SJIA presents as recurrent systemic symptoms, including spiking fevers, rash, lymphadenopathy, hepatosplenomegaly and serositis. It is also associated with elevated erythrocyte sedimentation rate (ESR), C-reactive protein (CRP), neutrophil and platelet counts from systemic inflammation, anemia, and elevated transaminases.</w:t>
      </w:r>
      <w:r w:rsidR="000E2F30" w:rsidRPr="00374E30">
        <w:rPr>
          <w:rStyle w:val="FootnoteReference"/>
          <w:rFonts w:cs="TimesNewRoman"/>
          <w:i/>
          <w:color w:val="000000"/>
        </w:rPr>
        <w:footnoteReference w:id="5"/>
      </w:r>
      <w:r w:rsidR="000E2F30" w:rsidRPr="00374E30">
        <w:rPr>
          <w:i/>
          <w:vertAlign w:val="superscript"/>
        </w:rPr>
        <w:t>,</w:t>
      </w:r>
      <w:bookmarkStart w:id="62" w:name="_Ref401653932"/>
      <w:r w:rsidR="000E2F30" w:rsidRPr="00374E30">
        <w:rPr>
          <w:rStyle w:val="FootnoteReference"/>
          <w:rFonts w:cs="TimesNewRoman"/>
          <w:i/>
          <w:color w:val="000000"/>
        </w:rPr>
        <w:footnoteReference w:id="6"/>
      </w:r>
      <w:bookmarkEnd w:id="62"/>
      <w:r w:rsidR="000E2F30" w:rsidRPr="00374E30">
        <w:rPr>
          <w:i/>
          <w:vertAlign w:val="superscript"/>
        </w:rPr>
        <w:t>,</w:t>
      </w:r>
      <w:r w:rsidR="000E2F30" w:rsidRPr="00374E30">
        <w:rPr>
          <w:rStyle w:val="FootnoteReference"/>
          <w:rFonts w:cs="TimesNewRoman"/>
          <w:i/>
          <w:color w:val="000000"/>
        </w:rPr>
        <w:footnoteReference w:id="7"/>
      </w:r>
      <w:r w:rsidRPr="00374E30">
        <w:rPr>
          <w:i/>
        </w:rPr>
        <w:t xml:space="preserve"> Joint symptoms usually arise later and the clinical course of the disease is highly variable.</w:t>
      </w:r>
    </w:p>
    <w:p w:rsidR="00D979B8" w:rsidRPr="00112643" w:rsidRDefault="00D979B8" w:rsidP="00D979B8">
      <w:pPr>
        <w:autoSpaceDE w:val="0"/>
        <w:autoSpaceDN w:val="0"/>
        <w:adjustRightInd w:val="0"/>
        <w:ind w:left="567"/>
        <w:rPr>
          <w:rFonts w:cs="TimesNewRoman"/>
          <w:i/>
          <w:color w:val="000000"/>
        </w:rPr>
      </w:pPr>
      <w:r w:rsidRPr="00112643">
        <w:rPr>
          <w:rFonts w:cs="TimesNewRoman"/>
          <w:i/>
          <w:color w:val="000000"/>
        </w:rPr>
        <w:lastRenderedPageBreak/>
        <w:t>SJIA is associated with a significant mortality (10-14%)</w:t>
      </w:r>
      <w:r w:rsidR="000E2F30">
        <w:rPr>
          <w:rStyle w:val="FootnoteReference"/>
          <w:rFonts w:cs="TimesNewRoman"/>
          <w:i/>
          <w:color w:val="000000"/>
        </w:rPr>
        <w:footnoteReference w:id="8"/>
      </w:r>
      <w:r w:rsidRPr="00112643">
        <w:rPr>
          <w:rFonts w:cs="TimesNewRoman"/>
          <w:i/>
          <w:color w:val="000000"/>
        </w:rPr>
        <w:t>, the highest of</w:t>
      </w:r>
      <w:r>
        <w:rPr>
          <w:rFonts w:cs="TimesNewRoman"/>
          <w:i/>
          <w:color w:val="000000"/>
        </w:rPr>
        <w:t xml:space="preserve"> </w:t>
      </w:r>
      <w:r w:rsidRPr="00112643">
        <w:rPr>
          <w:rFonts w:cs="TimesNewRoman"/>
          <w:i/>
          <w:color w:val="000000"/>
        </w:rPr>
        <w:t>all forms of JIA. The main causes of death include infection and macrophage activation</w:t>
      </w:r>
      <w:r>
        <w:rPr>
          <w:rFonts w:cs="TimesNewRoman"/>
          <w:i/>
          <w:color w:val="000000"/>
        </w:rPr>
        <w:t xml:space="preserve"> </w:t>
      </w:r>
      <w:r w:rsidRPr="00112643">
        <w:rPr>
          <w:rFonts w:cs="TimesNewRoman"/>
          <w:i/>
          <w:color w:val="000000"/>
        </w:rPr>
        <w:t>syndrome (MAS)</w:t>
      </w:r>
      <w:r w:rsidR="000E2F30" w:rsidRPr="000E2F30">
        <w:rPr>
          <w:rFonts w:cs="TimesNewRoman"/>
          <w:i/>
          <w:color w:val="000000"/>
          <w:vertAlign w:val="superscript"/>
        </w:rPr>
        <w:fldChar w:fldCharType="begin"/>
      </w:r>
      <w:r w:rsidR="000E2F30" w:rsidRPr="000E2F30">
        <w:rPr>
          <w:rFonts w:cs="TimesNewRoman"/>
          <w:i/>
          <w:color w:val="000000"/>
          <w:vertAlign w:val="superscript"/>
        </w:rPr>
        <w:instrText xml:space="preserve"> NOTEREF _Ref401653932 \h </w:instrText>
      </w:r>
      <w:r w:rsidR="000E2F30">
        <w:rPr>
          <w:rFonts w:cs="TimesNewRoman"/>
          <w:i/>
          <w:color w:val="000000"/>
          <w:vertAlign w:val="superscript"/>
        </w:rPr>
        <w:instrText xml:space="preserve"> \* MERGEFORMAT </w:instrText>
      </w:r>
      <w:r w:rsidR="000E2F30" w:rsidRPr="000E2F30">
        <w:rPr>
          <w:rFonts w:cs="TimesNewRoman"/>
          <w:i/>
          <w:color w:val="000000"/>
          <w:vertAlign w:val="superscript"/>
        </w:rPr>
      </w:r>
      <w:r w:rsidR="000E2F30" w:rsidRPr="000E2F30">
        <w:rPr>
          <w:rFonts w:cs="TimesNewRoman"/>
          <w:i/>
          <w:color w:val="000000"/>
          <w:vertAlign w:val="superscript"/>
        </w:rPr>
        <w:fldChar w:fldCharType="separate"/>
      </w:r>
      <w:r w:rsidR="00C2681F">
        <w:rPr>
          <w:rFonts w:cs="TimesNewRoman"/>
          <w:i/>
          <w:color w:val="000000"/>
          <w:vertAlign w:val="superscript"/>
        </w:rPr>
        <w:t>6</w:t>
      </w:r>
      <w:r w:rsidR="000E2F30" w:rsidRPr="000E2F30">
        <w:rPr>
          <w:rFonts w:cs="TimesNewRoman"/>
          <w:i/>
          <w:color w:val="000000"/>
          <w:vertAlign w:val="superscript"/>
        </w:rPr>
        <w:fldChar w:fldCharType="end"/>
      </w:r>
      <w:r w:rsidRPr="00112643">
        <w:rPr>
          <w:rFonts w:cs="TimesNewRoman"/>
          <w:i/>
          <w:color w:val="000000"/>
        </w:rPr>
        <w:t>. Morbidity is high as most never achieve long-term</w:t>
      </w:r>
      <w:r>
        <w:rPr>
          <w:rFonts w:cs="TimesNewRoman"/>
          <w:i/>
          <w:color w:val="000000"/>
        </w:rPr>
        <w:t xml:space="preserve"> </w:t>
      </w:r>
      <w:r w:rsidRPr="00112643">
        <w:rPr>
          <w:rFonts w:cs="TimesNewRoman"/>
          <w:i/>
          <w:color w:val="000000"/>
        </w:rPr>
        <w:t>remission. Joint damage is seen within 2 years, up to 50% have active arthritis as adults, up to</w:t>
      </w:r>
      <w:r>
        <w:rPr>
          <w:rFonts w:cs="TimesNewRoman"/>
          <w:i/>
          <w:color w:val="000000"/>
        </w:rPr>
        <w:t xml:space="preserve"> </w:t>
      </w:r>
      <w:r w:rsidRPr="00112643">
        <w:rPr>
          <w:rFonts w:cs="TimesNewRoman"/>
          <w:i/>
          <w:color w:val="000000"/>
        </w:rPr>
        <w:t>30% have long-term disabilities, and over 25% need major surgery including joint</w:t>
      </w:r>
      <w:r>
        <w:rPr>
          <w:rFonts w:cs="TimesNewRoman"/>
          <w:i/>
          <w:color w:val="000000"/>
        </w:rPr>
        <w:t xml:space="preserve"> </w:t>
      </w:r>
      <w:r w:rsidRPr="00112643">
        <w:rPr>
          <w:rFonts w:cs="TimesNewRoman"/>
          <w:i/>
          <w:color w:val="000000"/>
        </w:rPr>
        <w:t>replacement.</w:t>
      </w:r>
      <w:r w:rsidR="000E2F30">
        <w:rPr>
          <w:rStyle w:val="FootnoteReference"/>
          <w:rFonts w:cs="TimesNewRoman"/>
          <w:i/>
          <w:color w:val="000000"/>
        </w:rPr>
        <w:footnoteReference w:id="9"/>
      </w:r>
    </w:p>
    <w:p w:rsidR="00D979B8" w:rsidRDefault="00D979B8" w:rsidP="00D979B8">
      <w:pPr>
        <w:autoSpaceDE w:val="0"/>
        <w:autoSpaceDN w:val="0"/>
        <w:adjustRightInd w:val="0"/>
        <w:ind w:left="567"/>
        <w:rPr>
          <w:rFonts w:cs="TimesNewRoman"/>
          <w:i/>
          <w:color w:val="000000"/>
        </w:rPr>
      </w:pPr>
      <w:r w:rsidRPr="001B223A">
        <w:rPr>
          <w:rFonts w:cs="TimesNewRoman"/>
          <w:i/>
          <w:color w:val="000000"/>
        </w:rPr>
        <w:t>Unfortunately, there is no cure yet for sJIA. The goal of treatment is clinical remission of</w:t>
      </w:r>
      <w:r>
        <w:rPr>
          <w:rFonts w:cs="TimesNewRoman"/>
          <w:i/>
          <w:color w:val="000000"/>
        </w:rPr>
        <w:t xml:space="preserve"> </w:t>
      </w:r>
      <w:r w:rsidRPr="001B223A">
        <w:rPr>
          <w:rFonts w:cs="TimesNewRoman"/>
          <w:i/>
          <w:color w:val="000000"/>
        </w:rPr>
        <w:t>systemic features and joint inflammation, improved quality of life and reduced need of</w:t>
      </w:r>
      <w:r>
        <w:rPr>
          <w:rFonts w:cs="TimesNewRoman"/>
          <w:i/>
          <w:color w:val="000000"/>
        </w:rPr>
        <w:t xml:space="preserve"> </w:t>
      </w:r>
      <w:r w:rsidRPr="001B223A">
        <w:rPr>
          <w:rFonts w:cs="TimesNewRoman"/>
          <w:i/>
          <w:color w:val="000000"/>
        </w:rPr>
        <w:t>corticosteroids. Other medicines used for other JA subtypes are also currently used for sJIA –</w:t>
      </w:r>
      <w:r>
        <w:rPr>
          <w:rFonts w:cs="TimesNewRoman"/>
          <w:i/>
          <w:color w:val="000000"/>
        </w:rPr>
        <w:t xml:space="preserve"> </w:t>
      </w:r>
      <w:r w:rsidRPr="001B223A">
        <w:rPr>
          <w:rFonts w:cs="TimesNewRoman"/>
          <w:i/>
          <w:color w:val="000000"/>
        </w:rPr>
        <w:t>starting with NSAIDs, followed by corticosteroids, DMARDs and/or biologicals such as TNF-α</w:t>
      </w:r>
      <w:r>
        <w:rPr>
          <w:rFonts w:cs="TimesNewRoman"/>
          <w:i/>
          <w:color w:val="000000"/>
        </w:rPr>
        <w:t xml:space="preserve"> </w:t>
      </w:r>
      <w:r w:rsidRPr="001B223A">
        <w:rPr>
          <w:rFonts w:cs="TimesNewRoman"/>
          <w:i/>
          <w:color w:val="000000"/>
        </w:rPr>
        <w:t>or interleukin inhibitors. NSAIDs may provide symptomatic relief but have no significant</w:t>
      </w:r>
      <w:r>
        <w:rPr>
          <w:rFonts w:cs="TimesNewRoman"/>
          <w:i/>
          <w:color w:val="000000"/>
        </w:rPr>
        <w:t xml:space="preserve"> </w:t>
      </w:r>
      <w:r w:rsidRPr="001B223A">
        <w:rPr>
          <w:rFonts w:cs="TimesNewRoman"/>
          <w:i/>
          <w:color w:val="000000"/>
        </w:rPr>
        <w:t>influence on long-term outcomes. Corticosteroids are potent anti-inflammatory agents but do not</w:t>
      </w:r>
      <w:r>
        <w:rPr>
          <w:rFonts w:cs="TimesNewRoman"/>
          <w:i/>
          <w:color w:val="000000"/>
        </w:rPr>
        <w:t xml:space="preserve"> </w:t>
      </w:r>
      <w:r w:rsidRPr="001B223A">
        <w:rPr>
          <w:rFonts w:cs="TimesNewRoman"/>
          <w:i/>
          <w:color w:val="000000"/>
        </w:rPr>
        <w:t>prevent long-term joint destruction and may result in significant adverse effects, particularly in</w:t>
      </w:r>
      <w:r>
        <w:rPr>
          <w:rFonts w:cs="TimesNewRoman"/>
          <w:i/>
          <w:color w:val="000000"/>
        </w:rPr>
        <w:t xml:space="preserve"> </w:t>
      </w:r>
      <w:r w:rsidRPr="001B223A">
        <w:rPr>
          <w:rFonts w:cs="TimesNewRoman"/>
          <w:i/>
          <w:color w:val="000000"/>
        </w:rPr>
        <w:t>children, when used systemically over a long period of time. DMARDs and anti-TNFα may not</w:t>
      </w:r>
      <w:r>
        <w:rPr>
          <w:rFonts w:cs="TimesNewRoman"/>
          <w:i/>
          <w:color w:val="000000"/>
        </w:rPr>
        <w:t xml:space="preserve"> </w:t>
      </w:r>
      <w:r w:rsidRPr="001B223A">
        <w:rPr>
          <w:rFonts w:cs="TimesNewRoman"/>
          <w:i/>
          <w:color w:val="000000"/>
        </w:rPr>
        <w:t>always be effective in sJIA, may lose efficacy over time or discontinued due to adverse effects.</w:t>
      </w:r>
    </w:p>
    <w:p w:rsidR="00D979B8" w:rsidRPr="001C1D06" w:rsidRDefault="00D979B8" w:rsidP="00D979B8">
      <w:pPr>
        <w:autoSpaceDE w:val="0"/>
        <w:autoSpaceDN w:val="0"/>
        <w:adjustRightInd w:val="0"/>
        <w:ind w:left="567"/>
        <w:rPr>
          <w:rFonts w:cs="TimesNewRoman"/>
          <w:i/>
          <w:color w:val="000000"/>
        </w:rPr>
      </w:pPr>
      <w:r w:rsidRPr="001C1D06">
        <w:rPr>
          <w:rFonts w:cs="TimesNewRoman"/>
          <w:i/>
          <w:color w:val="000000"/>
        </w:rPr>
        <w:t xml:space="preserve">Although the underlying cause of </w:t>
      </w:r>
      <w:r>
        <w:rPr>
          <w:rFonts w:cs="TimesNewRoman"/>
          <w:i/>
          <w:color w:val="000000"/>
        </w:rPr>
        <w:t>s</w:t>
      </w:r>
      <w:r w:rsidRPr="001C1D06">
        <w:rPr>
          <w:rFonts w:cs="TimesNewRoman"/>
          <w:i/>
          <w:color w:val="000000"/>
        </w:rPr>
        <w:t xml:space="preserve">JIA is not yet clear, </w:t>
      </w:r>
      <w:r>
        <w:rPr>
          <w:rFonts w:cs="TimesNewRoman"/>
          <w:i/>
          <w:color w:val="000000"/>
        </w:rPr>
        <w:t>s</w:t>
      </w:r>
      <w:r w:rsidRPr="001C1D06">
        <w:rPr>
          <w:rFonts w:cs="TimesNewRoman"/>
          <w:i/>
          <w:color w:val="000000"/>
        </w:rPr>
        <w:t>JIA, like CAPS, is widely seen as an</w:t>
      </w:r>
      <w:r>
        <w:rPr>
          <w:rFonts w:cs="TimesNewRoman"/>
          <w:i/>
          <w:color w:val="000000"/>
        </w:rPr>
        <w:t xml:space="preserve"> </w:t>
      </w:r>
      <w:r w:rsidRPr="001C1D06">
        <w:rPr>
          <w:rFonts w:cs="TimesNewRoman"/>
          <w:i/>
          <w:color w:val="000000"/>
        </w:rPr>
        <w:t>auto-inflammatory condition driven by innate pro-inflammatory cytokines, including the</w:t>
      </w:r>
      <w:r>
        <w:rPr>
          <w:rFonts w:cs="TimesNewRoman"/>
          <w:i/>
          <w:color w:val="000000"/>
        </w:rPr>
        <w:t xml:space="preserve"> </w:t>
      </w:r>
      <w:r w:rsidRPr="001C1D06">
        <w:rPr>
          <w:rFonts w:cs="TimesNewRoman"/>
          <w:i/>
          <w:color w:val="000000"/>
        </w:rPr>
        <w:t>interleukins 1 and 6 (IL-1 and IL-6). IL-1 is a protein with pleiotropic effects, which up-regulates its own transcription and that of IL-6, and other cytokines. Beyond driving systemic</w:t>
      </w:r>
      <w:r>
        <w:rPr>
          <w:rFonts w:cs="TimesNewRoman"/>
          <w:i/>
          <w:color w:val="000000"/>
        </w:rPr>
        <w:t xml:space="preserve"> </w:t>
      </w:r>
      <w:r w:rsidRPr="001C1D06">
        <w:rPr>
          <w:rFonts w:cs="TimesNewRoman"/>
          <w:i/>
          <w:color w:val="000000"/>
        </w:rPr>
        <w:t>inflammation, IL-1 can lead to the destruction of cartilage and bone.</w:t>
      </w:r>
      <w:r w:rsidR="00203720" w:rsidRPr="00203720">
        <w:rPr>
          <w:rFonts w:cs="TimesNewRoman"/>
          <w:i/>
          <w:color w:val="000000"/>
          <w:vertAlign w:val="superscript"/>
        </w:rPr>
        <w:fldChar w:fldCharType="begin"/>
      </w:r>
      <w:r w:rsidR="00203720" w:rsidRPr="00203720">
        <w:rPr>
          <w:rFonts w:cs="TimesNewRoman"/>
          <w:i/>
          <w:color w:val="000000"/>
          <w:vertAlign w:val="superscript"/>
        </w:rPr>
        <w:instrText xml:space="preserve"> NOTEREF _Ref401654084 \h </w:instrText>
      </w:r>
      <w:r w:rsidR="00203720">
        <w:rPr>
          <w:rFonts w:cs="TimesNewRoman"/>
          <w:i/>
          <w:color w:val="000000"/>
          <w:vertAlign w:val="superscript"/>
        </w:rPr>
        <w:instrText xml:space="preserve"> \* MERGEFORMAT </w:instrText>
      </w:r>
      <w:r w:rsidR="00203720" w:rsidRPr="00203720">
        <w:rPr>
          <w:rFonts w:cs="TimesNewRoman"/>
          <w:i/>
          <w:color w:val="000000"/>
          <w:vertAlign w:val="superscript"/>
        </w:rPr>
      </w:r>
      <w:r w:rsidR="00203720" w:rsidRPr="00203720">
        <w:rPr>
          <w:rFonts w:cs="TimesNewRoman"/>
          <w:i/>
          <w:color w:val="000000"/>
          <w:vertAlign w:val="superscript"/>
        </w:rPr>
        <w:fldChar w:fldCharType="separate"/>
      </w:r>
      <w:r w:rsidR="00C2681F">
        <w:rPr>
          <w:rFonts w:cs="TimesNewRoman"/>
          <w:i/>
          <w:color w:val="000000"/>
          <w:vertAlign w:val="superscript"/>
        </w:rPr>
        <w:t>4</w:t>
      </w:r>
      <w:r w:rsidR="00203720" w:rsidRPr="00203720">
        <w:rPr>
          <w:rFonts w:cs="TimesNewRoman"/>
          <w:i/>
          <w:color w:val="000000"/>
          <w:vertAlign w:val="superscript"/>
        </w:rPr>
        <w:fldChar w:fldCharType="end"/>
      </w:r>
    </w:p>
    <w:p w:rsidR="00D979B8" w:rsidRDefault="00D979B8" w:rsidP="00D979B8">
      <w:pPr>
        <w:autoSpaceDE w:val="0"/>
        <w:autoSpaceDN w:val="0"/>
        <w:adjustRightInd w:val="0"/>
        <w:ind w:left="567"/>
        <w:rPr>
          <w:rFonts w:cs="TimesNewRoman"/>
          <w:i/>
          <w:color w:val="000000"/>
        </w:rPr>
      </w:pPr>
      <w:r w:rsidRPr="001C1D06">
        <w:rPr>
          <w:rFonts w:cs="TimesNewRoman"/>
          <w:i/>
          <w:color w:val="000000"/>
        </w:rPr>
        <w:t>IL-1β is considered to be a major cytokine effector of inflammasome-driven inflammation in</w:t>
      </w:r>
      <w:r>
        <w:rPr>
          <w:rFonts w:cs="TimesNewRoman"/>
          <w:i/>
          <w:color w:val="000000"/>
        </w:rPr>
        <w:t xml:space="preserve"> s</w:t>
      </w:r>
      <w:r w:rsidRPr="001C1D06">
        <w:rPr>
          <w:rFonts w:cs="TimesNewRoman"/>
          <w:i/>
          <w:color w:val="000000"/>
        </w:rPr>
        <w:t>JIA. Canakinumab was designed to specifically inhibit IL-1β without interfering with other</w:t>
      </w:r>
      <w:r>
        <w:rPr>
          <w:rFonts w:cs="TimesNewRoman"/>
          <w:i/>
          <w:color w:val="000000"/>
        </w:rPr>
        <w:t xml:space="preserve"> </w:t>
      </w:r>
      <w:r w:rsidRPr="001C1D06">
        <w:rPr>
          <w:rFonts w:cs="TimesNewRoman"/>
          <w:i/>
          <w:color w:val="000000"/>
        </w:rPr>
        <w:t>pathways of IL-1 signalling, such as IL-1α. Thus, canakinumab represents a targeted therapy</w:t>
      </w:r>
      <w:r>
        <w:rPr>
          <w:rFonts w:cs="TimesNewRoman"/>
          <w:i/>
          <w:color w:val="000000"/>
        </w:rPr>
        <w:t xml:space="preserve"> </w:t>
      </w:r>
      <w:r w:rsidRPr="001C1D06">
        <w:rPr>
          <w:rFonts w:cs="TimesNewRoman"/>
          <w:i/>
          <w:color w:val="000000"/>
        </w:rPr>
        <w:t xml:space="preserve">against the inflammatory process in </w:t>
      </w:r>
      <w:r>
        <w:rPr>
          <w:rFonts w:cs="TimesNewRoman"/>
          <w:i/>
          <w:color w:val="000000"/>
        </w:rPr>
        <w:t>s</w:t>
      </w:r>
      <w:r w:rsidRPr="001C1D06">
        <w:rPr>
          <w:rFonts w:cs="TimesNewRoman"/>
          <w:i/>
          <w:color w:val="000000"/>
        </w:rPr>
        <w:t>JIA. It was therefore investigated to determine its impact</w:t>
      </w:r>
      <w:r>
        <w:rPr>
          <w:rFonts w:cs="TimesNewRoman"/>
          <w:i/>
          <w:color w:val="000000"/>
        </w:rPr>
        <w:t xml:space="preserve"> </w:t>
      </w:r>
      <w:r w:rsidRPr="001C1D06">
        <w:rPr>
          <w:rFonts w:cs="TimesNewRoman"/>
          <w:i/>
          <w:color w:val="000000"/>
        </w:rPr>
        <w:t>on fever and other disease symptoms, as well as composite measures of clinical response and</w:t>
      </w:r>
      <w:r>
        <w:rPr>
          <w:rFonts w:cs="TimesNewRoman"/>
          <w:i/>
          <w:color w:val="000000"/>
        </w:rPr>
        <w:t xml:space="preserve"> </w:t>
      </w:r>
      <w:r w:rsidRPr="001C1D06">
        <w:rPr>
          <w:rFonts w:cs="TimesNewRoman"/>
          <w:i/>
          <w:color w:val="000000"/>
        </w:rPr>
        <w:t>flares.</w:t>
      </w:r>
    </w:p>
    <w:p w:rsidR="00D979B8" w:rsidRPr="00D979B8" w:rsidRDefault="00120B43" w:rsidP="00AA0F95">
      <w:r w:rsidRPr="00120B43">
        <w:t>Evaluator’s comment:</w:t>
      </w:r>
      <w:r w:rsidR="00404BA5">
        <w:t xml:space="preserve"> </w:t>
      </w:r>
      <w:r w:rsidRPr="00120B43">
        <w:t>This rationale is valid and acceptable</w:t>
      </w:r>
    </w:p>
    <w:p w:rsidR="00605AD4" w:rsidRDefault="00605AD4" w:rsidP="00AA0F95">
      <w:pPr>
        <w:pStyle w:val="Heading4"/>
      </w:pPr>
      <w:r w:rsidRPr="00605AD4">
        <w:t>Guidance</w:t>
      </w:r>
    </w:p>
    <w:p w:rsidR="00D979B8" w:rsidRPr="00265382" w:rsidRDefault="00D979B8" w:rsidP="00AA0F95">
      <w:r>
        <w:t>The general paediatric guidelines include:</w:t>
      </w:r>
    </w:p>
    <w:p w:rsidR="00D979B8" w:rsidRPr="00884923" w:rsidRDefault="00D979B8" w:rsidP="00AA0F95">
      <w:pPr>
        <w:pStyle w:val="ListBullet"/>
      </w:pPr>
      <w:r w:rsidRPr="001A6613">
        <w:t xml:space="preserve">CPMP/ICH/2711/99 </w:t>
      </w:r>
      <w:r w:rsidRPr="00884923">
        <w:t>Note for Guidance on Clinical Investigation of Medicinal Produc</w:t>
      </w:r>
      <w:r>
        <w:t xml:space="preserve">ts in the Paediatric Population. </w:t>
      </w:r>
      <w:r w:rsidRPr="00884923">
        <w:t>Effective: 19 April 2001</w:t>
      </w:r>
    </w:p>
    <w:p w:rsidR="00D979B8" w:rsidRPr="00884923" w:rsidRDefault="00D979B8" w:rsidP="00AA0F95">
      <w:pPr>
        <w:pStyle w:val="ListBullet"/>
      </w:pPr>
      <w:r w:rsidRPr="001A6613">
        <w:t xml:space="preserve">EMEA/CHMP/PEG/194810/2005 </w:t>
      </w:r>
      <w:r w:rsidRPr="00884923">
        <w:t>Reflection Paper: Formulations of Choice for the Paediatric Population</w:t>
      </w:r>
      <w:r>
        <w:t xml:space="preserve">. </w:t>
      </w:r>
      <w:r w:rsidRPr="00884923">
        <w:t>Effective: 29 June 2009</w:t>
      </w:r>
    </w:p>
    <w:p w:rsidR="00D979B8" w:rsidRPr="009755A3" w:rsidRDefault="00D979B8" w:rsidP="00AA0F95">
      <w:pPr>
        <w:pStyle w:val="ListBullet"/>
      </w:pPr>
      <w:r>
        <w:t xml:space="preserve">CHMP/EWP/147013/2004 </w:t>
      </w:r>
      <w:r w:rsidRPr="009755A3">
        <w:t>Guideline on the role of Pharmacokinetics in the Development of Medicinal Products in the Paediatric Population (</w:t>
      </w:r>
      <w:r>
        <w:t>corrigendum</w:t>
      </w:r>
      <w:r w:rsidRPr="009755A3">
        <w:t>)</w:t>
      </w:r>
      <w:r>
        <w:t xml:space="preserve">. </w:t>
      </w:r>
      <w:r w:rsidRPr="009755A3">
        <w:t>Effective: 24 August 2009</w:t>
      </w:r>
    </w:p>
    <w:p w:rsidR="00D979B8" w:rsidRPr="00FE4A76" w:rsidRDefault="00D979B8" w:rsidP="00AA0F95">
      <w:r w:rsidRPr="00FE4A76">
        <w:t xml:space="preserve">In addition, there is one TGA adopted European guideline for </w:t>
      </w:r>
      <w:r>
        <w:t>juvenile idiopathic arthritis</w:t>
      </w:r>
      <w:r w:rsidRPr="00FE4A76">
        <w:t xml:space="preserve"> that is related to the submission:</w:t>
      </w:r>
    </w:p>
    <w:p w:rsidR="00D979B8" w:rsidRDefault="00D979B8" w:rsidP="00AA0F95">
      <w:pPr>
        <w:pStyle w:val="ListBullet"/>
      </w:pPr>
      <w:r w:rsidRPr="00265382">
        <w:t>CPMP/EWP/422/04 Guideline on Clinical Investigation of Medicinal Products for the Treatment of Juvenile Idiopathic Arthritis. Effective: 26 June 2009</w:t>
      </w:r>
    </w:p>
    <w:p w:rsidR="00605AD4" w:rsidRDefault="00605AD4" w:rsidP="00C47C38">
      <w:pPr>
        <w:pStyle w:val="Heading4"/>
      </w:pPr>
      <w:r w:rsidRPr="00605AD4">
        <w:lastRenderedPageBreak/>
        <w:t xml:space="preserve">Contents of the </w:t>
      </w:r>
      <w:r w:rsidRPr="00C47C38">
        <w:t>clinical</w:t>
      </w:r>
      <w:r w:rsidRPr="00605AD4">
        <w:t xml:space="preserve"> dossier</w:t>
      </w:r>
    </w:p>
    <w:p w:rsidR="00D979B8" w:rsidRPr="00E138D4" w:rsidRDefault="00D979B8" w:rsidP="00AA0F95">
      <w:r w:rsidRPr="00E138D4">
        <w:t>The submission contained the following clinical information:</w:t>
      </w:r>
    </w:p>
    <w:p w:rsidR="00D979B8" w:rsidRPr="00E138D4" w:rsidRDefault="00C10A78" w:rsidP="00AA0F95">
      <w:pPr>
        <w:pStyle w:val="ListBullet"/>
      </w:pPr>
      <w:r>
        <w:t>2</w:t>
      </w:r>
      <w:r w:rsidRPr="00E138D4">
        <w:t xml:space="preserve"> </w:t>
      </w:r>
      <w:r w:rsidR="00D979B8" w:rsidRPr="00E138D4">
        <w:t>population pharmacokinetic</w:t>
      </w:r>
      <w:r w:rsidR="00D979B8">
        <w:t xml:space="preserve"> and/or pharmacodynamic</w:t>
      </w:r>
      <w:r w:rsidR="00D979B8" w:rsidRPr="00E138D4">
        <w:t xml:space="preserve"> </w:t>
      </w:r>
      <w:r w:rsidR="00D979B8">
        <w:t xml:space="preserve">(Pop PK/PD) </w:t>
      </w:r>
      <w:r w:rsidR="00C47C38">
        <w:t>analyses.</w:t>
      </w:r>
    </w:p>
    <w:p w:rsidR="00D979B8" w:rsidRPr="00E138D4" w:rsidRDefault="00D979B8" w:rsidP="00AA0F95">
      <w:pPr>
        <w:pStyle w:val="ListBullet"/>
      </w:pPr>
      <w:r w:rsidRPr="00E138D4">
        <w:t xml:space="preserve">2 pivotal </w:t>
      </w:r>
      <w:r w:rsidR="00120B43">
        <w:t>P</w:t>
      </w:r>
      <w:r w:rsidRPr="00E138D4">
        <w:t>hase III efficacy/safety studies (G230</w:t>
      </w:r>
      <w:r>
        <w:t>1</w:t>
      </w:r>
      <w:r w:rsidRPr="00E138D4">
        <w:t xml:space="preserve"> and G230</w:t>
      </w:r>
      <w:r>
        <w:t>5</w:t>
      </w:r>
      <w:r w:rsidRPr="00E138D4">
        <w:t>)</w:t>
      </w:r>
    </w:p>
    <w:p w:rsidR="00D979B8" w:rsidRPr="00E138D4" w:rsidRDefault="00D979B8" w:rsidP="00AA0F95">
      <w:pPr>
        <w:pStyle w:val="ListBullet"/>
      </w:pPr>
      <w:r w:rsidRPr="00E138D4">
        <w:t xml:space="preserve">1 </w:t>
      </w:r>
      <w:r w:rsidR="00120B43">
        <w:t>P</w:t>
      </w:r>
      <w:r w:rsidRPr="00E138D4">
        <w:t>hase II repeated dose finding study (</w:t>
      </w:r>
      <w:r w:rsidR="00017444">
        <w:t>S</w:t>
      </w:r>
      <w:r w:rsidRPr="00E138D4">
        <w:t>tudy A2203)</w:t>
      </w:r>
    </w:p>
    <w:p w:rsidR="00D979B8" w:rsidRPr="00E138D4" w:rsidRDefault="00D979B8" w:rsidP="00AA0F95">
      <w:pPr>
        <w:pStyle w:val="ListBullet"/>
      </w:pPr>
      <w:r w:rsidRPr="00E138D4">
        <w:t xml:space="preserve">1 </w:t>
      </w:r>
      <w:r>
        <w:t xml:space="preserve">uncontrolled </w:t>
      </w:r>
      <w:r w:rsidRPr="00E138D4">
        <w:t>extension study (G2301E1)</w:t>
      </w:r>
    </w:p>
    <w:p w:rsidR="00D979B8" w:rsidRDefault="00D979B8" w:rsidP="00AA0F95">
      <w:pPr>
        <w:pStyle w:val="ListBullet"/>
      </w:pPr>
      <w:r w:rsidRPr="000F26E7">
        <w:t>1 integrated immunogenicity report of patients tr</w:t>
      </w:r>
      <w:r>
        <w:t>eated with canakinumab in sJIA.</w:t>
      </w:r>
    </w:p>
    <w:p w:rsidR="00D979B8" w:rsidRPr="000F26E7" w:rsidRDefault="00D979B8" w:rsidP="00AA0F95">
      <w:pPr>
        <w:pStyle w:val="ListBullet"/>
      </w:pPr>
      <w:r w:rsidRPr="000F26E7">
        <w:t>1 amendment to integrated immunogenicity report of patients treated with canakinumab</w:t>
      </w:r>
      <w:r>
        <w:t xml:space="preserve"> (this was a simple correction to a typographical error in the percentage of treatment-related immunogenicity positive rate for gouty arthritis [from 1.7 to 2.1%] and no evaluation was required).</w:t>
      </w:r>
    </w:p>
    <w:p w:rsidR="00D979B8" w:rsidRPr="00D46396" w:rsidRDefault="00D979B8" w:rsidP="00AA0F95">
      <w:pPr>
        <w:pStyle w:val="ListBullet"/>
      </w:pPr>
      <w:r w:rsidRPr="00D46396">
        <w:t>13 bioanalytic reports from studies in sJIA patients, 2 bioanalytic reports from studies in CAPS patients.</w:t>
      </w:r>
    </w:p>
    <w:p w:rsidR="00D979B8" w:rsidRPr="00004057" w:rsidRDefault="00D979B8" w:rsidP="00AA0F95">
      <w:pPr>
        <w:pStyle w:val="ListBullet"/>
      </w:pPr>
      <w:r>
        <w:t>1 i</w:t>
      </w:r>
      <w:r w:rsidRPr="00004057">
        <w:t xml:space="preserve">ntegrated Summary of Efficacy, </w:t>
      </w:r>
      <w:r>
        <w:t>1 i</w:t>
      </w:r>
      <w:r w:rsidRPr="00004057">
        <w:t>ntegrated Summary of Safety</w:t>
      </w:r>
    </w:p>
    <w:p w:rsidR="00605AD4" w:rsidRDefault="00605AD4" w:rsidP="00AA0F95">
      <w:pPr>
        <w:pStyle w:val="Heading4"/>
      </w:pPr>
      <w:r w:rsidRPr="00605AD4">
        <w:t>Paediatric data</w:t>
      </w:r>
    </w:p>
    <w:p w:rsidR="00D979B8" w:rsidRDefault="00D979B8" w:rsidP="00AA0F95">
      <w:r w:rsidRPr="004A71A1">
        <w:t xml:space="preserve">The submission included paediatric </w:t>
      </w:r>
      <w:r w:rsidRPr="00136B88">
        <w:t>pharmacokinetic, pharmacodynamic, efficacy and safety data.</w:t>
      </w:r>
    </w:p>
    <w:p w:rsidR="00605AD4" w:rsidRDefault="00605AD4" w:rsidP="00AA0F95">
      <w:pPr>
        <w:pStyle w:val="Heading4"/>
      </w:pPr>
      <w:r w:rsidRPr="00605AD4">
        <w:t>Good clinical practice</w:t>
      </w:r>
    </w:p>
    <w:p w:rsidR="00D979B8" w:rsidRPr="00E4699C" w:rsidRDefault="00D979B8" w:rsidP="00AA0F95">
      <w:bookmarkStart w:id="63" w:name="_Toc241374282"/>
      <w:r w:rsidRPr="00E4699C">
        <w:t xml:space="preserve">The sponsor has </w:t>
      </w:r>
      <w:r w:rsidR="00120B43">
        <w:t>stated that the submitted S</w:t>
      </w:r>
      <w:r w:rsidRPr="00E4699C">
        <w:t>tud</w:t>
      </w:r>
      <w:r>
        <w:t>ies</w:t>
      </w:r>
      <w:r w:rsidRPr="00E4699C">
        <w:t xml:space="preserve"> </w:t>
      </w:r>
      <w:r>
        <w:t xml:space="preserve">A2203, </w:t>
      </w:r>
      <w:r w:rsidRPr="00C82883">
        <w:t>G2301, G2301E1 and G2305</w:t>
      </w:r>
      <w:r>
        <w:t xml:space="preserve"> were conducted </w:t>
      </w:r>
      <w:r w:rsidRPr="002475AD">
        <w:t xml:space="preserve">in compliance with Good Clinical Practice (GCP), and </w:t>
      </w:r>
      <w:r>
        <w:t xml:space="preserve">in </w:t>
      </w:r>
      <w:r w:rsidRPr="00BE5CC3">
        <w:t xml:space="preserve">accordance with the ethical principles </w:t>
      </w:r>
      <w:r>
        <w:t>of</w:t>
      </w:r>
      <w:r w:rsidRPr="00BE5CC3">
        <w:t xml:space="preserve"> the Declaration of Helsinki.</w:t>
      </w:r>
      <w:r w:rsidR="00404BA5">
        <w:t xml:space="preserve"> </w:t>
      </w:r>
      <w:r w:rsidRPr="004C147E">
        <w:t xml:space="preserve">The study protocols and all amendments were reviewed by the Independent Ethics Committee or Institutional Review Board for each </w:t>
      </w:r>
      <w:r>
        <w:t xml:space="preserve">participating </w:t>
      </w:r>
      <w:r w:rsidRPr="004C147E">
        <w:t>centre, and informed consent was obtained from each patient in writing before randomi</w:t>
      </w:r>
      <w:r>
        <w:t>s</w:t>
      </w:r>
      <w:r w:rsidRPr="004C147E">
        <w:t>ation</w:t>
      </w:r>
      <w:r>
        <w:t>.</w:t>
      </w:r>
    </w:p>
    <w:p w:rsidR="008E7846" w:rsidRPr="00254787" w:rsidRDefault="008E7846" w:rsidP="00AA0F95">
      <w:pPr>
        <w:pStyle w:val="Heading3"/>
      </w:pPr>
      <w:bookmarkStart w:id="64" w:name="_Toc408471913"/>
      <w:bookmarkEnd w:id="63"/>
      <w:r w:rsidRPr="00254787">
        <w:t>Pharmacokinetics</w:t>
      </w:r>
      <w:bookmarkEnd w:id="52"/>
      <w:bookmarkEnd w:id="58"/>
      <w:bookmarkEnd w:id="59"/>
      <w:bookmarkEnd w:id="60"/>
      <w:bookmarkEnd w:id="64"/>
    </w:p>
    <w:p w:rsidR="00605AD4" w:rsidRDefault="00605AD4" w:rsidP="00AA0F95">
      <w:pPr>
        <w:pStyle w:val="Heading4"/>
      </w:pPr>
      <w:r>
        <w:t>Studies</w:t>
      </w:r>
      <w:r w:rsidR="00AA0F95">
        <w:t xml:space="preserve"> providing pharmacokinetic data</w:t>
      </w:r>
    </w:p>
    <w:p w:rsidR="00D979B8" w:rsidRDefault="00D979B8" w:rsidP="00AA0F95">
      <w:r w:rsidRPr="000632EB">
        <w:t>Clinical pharmacokinetic (PK) data in the sJIA population were collected in the Phase II dose-finding study (A2203), the pivotal Phase III studies (G2301</w:t>
      </w:r>
      <w:r w:rsidR="00120B43">
        <w:t xml:space="preserve"> and</w:t>
      </w:r>
      <w:r w:rsidRPr="000632EB">
        <w:t xml:space="preserve"> G2305), and the extension study (G2301E1)</w:t>
      </w:r>
      <w:r>
        <w:t xml:space="preserve"> based on a sparse sampling approach</w:t>
      </w:r>
      <w:r w:rsidRPr="000632EB">
        <w:t>.</w:t>
      </w:r>
      <w:r w:rsidR="00404BA5">
        <w:t xml:space="preserve"> </w:t>
      </w:r>
      <w:r>
        <w:t xml:space="preserve">Study </w:t>
      </w:r>
      <w:r w:rsidRPr="00A407BF">
        <w:t xml:space="preserve">A2203 </w:t>
      </w:r>
      <w:r>
        <w:t xml:space="preserve">also collected </w:t>
      </w:r>
      <w:r w:rsidRPr="00A407BF">
        <w:t>single dose PK</w:t>
      </w:r>
      <w:r>
        <w:t xml:space="preserve"> data.</w:t>
      </w:r>
      <w:r w:rsidR="00404BA5">
        <w:t xml:space="preserve"> </w:t>
      </w:r>
      <w:r>
        <w:t xml:space="preserve">An overview of these studies is presented in </w:t>
      </w:r>
      <w:r w:rsidR="00120B43">
        <w:t>Table 3</w:t>
      </w:r>
      <w:r>
        <w:t xml:space="preserve"> below.</w:t>
      </w:r>
      <w:r w:rsidR="00404BA5">
        <w:t xml:space="preserve"> </w:t>
      </w:r>
      <w:r>
        <w:t>It was planned for</w:t>
      </w:r>
      <w:r w:rsidRPr="000632EB">
        <w:t xml:space="preserve"> the PK data from the</w:t>
      </w:r>
      <w:r>
        <w:t>se</w:t>
      </w:r>
      <w:r w:rsidRPr="000632EB">
        <w:t xml:space="preserve"> studies to be pooled with other canakinumab studies to ensure a broader demographic range for the </w:t>
      </w:r>
      <w:r w:rsidRPr="002E3DC4">
        <w:t xml:space="preserve">population and to </w:t>
      </w:r>
      <w:r w:rsidRPr="002E3DC4">
        <w:rPr>
          <w:kern w:val="24"/>
        </w:rPr>
        <w:t>support estimation from the original PK-Binding model in CAPS</w:t>
      </w:r>
      <w:r w:rsidRPr="002E3DC4">
        <w:t>.</w:t>
      </w:r>
      <w:r w:rsidR="00404BA5">
        <w:t xml:space="preserve"> </w:t>
      </w:r>
      <w:r>
        <w:t xml:space="preserve">This model has been updated with sJIA study </w:t>
      </w:r>
      <w:r w:rsidRPr="00203720">
        <w:t xml:space="preserve">data and is presented in </w:t>
      </w:r>
      <w:r w:rsidR="00203720" w:rsidRPr="00203720">
        <w:rPr>
          <w:i/>
        </w:rPr>
        <w:t>Population Pharmacokinetics in the target population</w:t>
      </w:r>
      <w:r w:rsidR="00203720" w:rsidRPr="00203720">
        <w:t xml:space="preserve"> (Attachment 2).</w:t>
      </w:r>
      <w:r w:rsidR="00404BA5" w:rsidRPr="00203720">
        <w:t xml:space="preserve"> </w:t>
      </w:r>
      <w:r w:rsidRPr="00203720">
        <w:t>Therefore only summary results for the individual Phase III and extension studies have been presented.</w:t>
      </w:r>
    </w:p>
    <w:p w:rsidR="00D979B8" w:rsidRDefault="00120B43" w:rsidP="00C47C38">
      <w:pPr>
        <w:pStyle w:val="TableTitle"/>
      </w:pPr>
      <w:bookmarkStart w:id="65" w:name="_Ref373054607"/>
      <w:bookmarkStart w:id="66" w:name="_Toc380156143"/>
      <w:r>
        <w:lastRenderedPageBreak/>
        <w:t>Table 3.</w:t>
      </w:r>
      <w:bookmarkEnd w:id="65"/>
      <w:r w:rsidR="00D979B8">
        <w:t xml:space="preserve"> Tabular </w:t>
      </w:r>
      <w:r w:rsidR="00D979B8" w:rsidRPr="00C47C38">
        <w:t>overview</w:t>
      </w:r>
      <w:r w:rsidR="00D979B8">
        <w:t xml:space="preserve"> of clinical studies providing PK/PD data</w:t>
      </w:r>
      <w:bookmarkEnd w:id="66"/>
    </w:p>
    <w:p w:rsidR="00D979B8" w:rsidRDefault="00D979B8" w:rsidP="00AA0F95">
      <w:r>
        <w:rPr>
          <w:noProof/>
          <w:lang w:eastAsia="en-AU"/>
        </w:rPr>
        <w:drawing>
          <wp:inline distT="0" distB="0" distL="0" distR="0" wp14:anchorId="534DFC9B" wp14:editId="71E0A949">
            <wp:extent cx="5397940" cy="2340864"/>
            <wp:effectExtent l="0" t="0" r="0" b="2540"/>
            <wp:docPr id="2" name="Picture 2" descr="Table 3. Tabular overview of clinical studies providing PK/P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5402308" cy="2342758"/>
                    </a:xfrm>
                    <a:prstGeom prst="rect">
                      <a:avLst/>
                    </a:prstGeom>
                    <a:noFill/>
                    <a:ln>
                      <a:noFill/>
                    </a:ln>
                  </pic:spPr>
                </pic:pic>
              </a:graphicData>
            </a:graphic>
          </wp:inline>
        </w:drawing>
      </w:r>
    </w:p>
    <w:p w:rsidR="00D979B8" w:rsidRDefault="00D979B8" w:rsidP="00AA0F95">
      <w:r w:rsidRPr="001E7148">
        <w:t>The sponsor also submitted 15 bioanalytical reports: 13 from studies in sJIA patients and 2 from studies in CAPS patients.</w:t>
      </w:r>
    </w:p>
    <w:p w:rsidR="00D979B8" w:rsidRDefault="00D979B8" w:rsidP="00AA0F95">
      <w:r>
        <w:t>None of the pharmacokinetic studies had deficiencies that excluded their results from consideration.</w:t>
      </w:r>
    </w:p>
    <w:p w:rsidR="00605AD4" w:rsidRPr="00404BA5" w:rsidRDefault="00605AD4" w:rsidP="00AA0F95">
      <w:pPr>
        <w:pStyle w:val="Heading4"/>
      </w:pPr>
      <w:r>
        <w:t>Evaluator’s conclusions on pharmacokinetics</w:t>
      </w:r>
    </w:p>
    <w:p w:rsidR="00D979B8" w:rsidRDefault="00D979B8" w:rsidP="00AA0F95">
      <w:pPr>
        <w:pStyle w:val="ListBullet"/>
      </w:pPr>
      <w:r>
        <w:t xml:space="preserve">Sparse PK data were collected as part of the 4 Phase II/III clinical studies in sJIA </w:t>
      </w:r>
      <w:r w:rsidRPr="00001563">
        <w:t>(A2203, G2305, G2301 and G2301E1)</w:t>
      </w:r>
      <w:r>
        <w:t>.</w:t>
      </w:r>
    </w:p>
    <w:p w:rsidR="00D979B8" w:rsidRDefault="00404BA5" w:rsidP="00AA0F95">
      <w:pPr>
        <w:pStyle w:val="ListBullet"/>
      </w:pPr>
      <w:r>
        <w:t>Time to peak plasma concentration (</w:t>
      </w:r>
      <w:r w:rsidR="00D979B8">
        <w:t>T</w:t>
      </w:r>
      <w:r w:rsidR="00D979B8" w:rsidRPr="00787CBE">
        <w:rPr>
          <w:vertAlign w:val="subscript"/>
        </w:rPr>
        <w:t>max</w:t>
      </w:r>
      <w:r>
        <w:t xml:space="preserve">) </w:t>
      </w:r>
      <w:r w:rsidR="00D979B8">
        <w:t xml:space="preserve">occurred after a median of </w:t>
      </w:r>
      <w:r>
        <w:t xml:space="preserve">approximately </w:t>
      </w:r>
      <w:r w:rsidR="00D979B8">
        <w:t xml:space="preserve">2 days (mean 2.6, range 1.6 </w:t>
      </w:r>
      <w:r>
        <w:t>to</w:t>
      </w:r>
      <w:r w:rsidR="00D979B8">
        <w:t xml:space="preserve"> 6.9 days) in sJIA patients.</w:t>
      </w:r>
      <w:r>
        <w:t xml:space="preserve"> </w:t>
      </w:r>
      <w:r w:rsidR="00D979B8">
        <w:t>This compares with a reported T</w:t>
      </w:r>
      <w:r w:rsidR="00D979B8" w:rsidRPr="00787CBE">
        <w:rPr>
          <w:vertAlign w:val="subscript"/>
        </w:rPr>
        <w:t>max</w:t>
      </w:r>
      <w:r w:rsidR="00D979B8">
        <w:t xml:space="preserve"> of </w:t>
      </w:r>
      <w:r>
        <w:t xml:space="preserve">approximately </w:t>
      </w:r>
      <w:r w:rsidR="00D979B8">
        <w:t>7 days in the current approved PI for CAPS patients.</w:t>
      </w:r>
    </w:p>
    <w:p w:rsidR="00D979B8" w:rsidRDefault="00D979B8" w:rsidP="00AA0F95">
      <w:pPr>
        <w:pStyle w:val="ListBullet"/>
      </w:pPr>
      <w:r>
        <w:t>Based on AUC, dose-proportionality between 0.5 and 9.0</w:t>
      </w:r>
      <w:r w:rsidR="00404BA5">
        <w:t xml:space="preserve"> mg/kg</w:t>
      </w:r>
      <w:r>
        <w:t xml:space="preserve"> was demonstrated.</w:t>
      </w:r>
    </w:p>
    <w:p w:rsidR="00D979B8" w:rsidRPr="00F30C45" w:rsidRDefault="00D979B8" w:rsidP="00AA0F95">
      <w:pPr>
        <w:pStyle w:val="ListBullet"/>
      </w:pPr>
      <w:r>
        <w:t xml:space="preserve">Data from the sJIA studies were incorporated into </w:t>
      </w:r>
      <w:r w:rsidRPr="003E7D23">
        <w:t>a previously developed population-based PK-Binding model</w:t>
      </w:r>
      <w:r>
        <w:t xml:space="preserve">, which adequately described the </w:t>
      </w:r>
      <w:r w:rsidRPr="00F30C45">
        <w:t>canakinumab and IL-1β concentration-time data</w:t>
      </w:r>
      <w:r>
        <w:t>.</w:t>
      </w:r>
    </w:p>
    <w:p w:rsidR="00D979B8" w:rsidRDefault="00D979B8" w:rsidP="00AA0F95">
      <w:pPr>
        <w:pStyle w:val="ListBullet"/>
      </w:pPr>
      <w:r>
        <w:t xml:space="preserve">Previously identified covariate-parameter relationships </w:t>
      </w:r>
      <w:r w:rsidRPr="003E7D23">
        <w:t xml:space="preserve">(weight on </w:t>
      </w:r>
      <w:r w:rsidR="00404BA5">
        <w:t>c</w:t>
      </w:r>
      <w:r w:rsidR="00404BA5" w:rsidRPr="00A23648">
        <w:t>learance from serum of canakinumab</w:t>
      </w:r>
      <w:r w:rsidR="00404BA5">
        <w:t xml:space="preserve"> (</w:t>
      </w:r>
      <w:r>
        <w:t>CL</w:t>
      </w:r>
      <w:r w:rsidRPr="00F30C45">
        <w:rPr>
          <w:vertAlign w:val="subscript"/>
        </w:rPr>
        <w:t>D</w:t>
      </w:r>
      <w:r w:rsidR="00404BA5">
        <w:t>),</w:t>
      </w:r>
      <w:r w:rsidRPr="003D5496">
        <w:t xml:space="preserve"> </w:t>
      </w:r>
      <w:r w:rsidR="00404BA5" w:rsidRPr="00A23648">
        <w:t xml:space="preserve">volume of distribution of the central, systemic, serum compartment of canakinumab </w:t>
      </w:r>
      <w:r w:rsidR="00404BA5">
        <w:t>(</w:t>
      </w:r>
      <w:r w:rsidRPr="00D62353">
        <w:t>V</w:t>
      </w:r>
      <w:r w:rsidRPr="00D62353">
        <w:rPr>
          <w:vertAlign w:val="subscript"/>
        </w:rPr>
        <w:t>D</w:t>
      </w:r>
      <w:r w:rsidR="00404BA5">
        <w:t>)</w:t>
      </w:r>
      <w:r w:rsidRPr="00D62353">
        <w:t xml:space="preserve"> and </w:t>
      </w:r>
      <w:r w:rsidR="00404BA5" w:rsidRPr="00A23648">
        <w:t xml:space="preserve">volume of distribution of the peripheral, tissue fluid compartment of canakinumab </w:t>
      </w:r>
      <w:r w:rsidR="00404BA5">
        <w:t>(</w:t>
      </w:r>
      <w:r w:rsidRPr="00D62353">
        <w:t>V</w:t>
      </w:r>
      <w:r w:rsidRPr="00D62353">
        <w:rPr>
          <w:vertAlign w:val="subscript"/>
        </w:rPr>
        <w:t>P</w:t>
      </w:r>
      <w:r w:rsidR="00404BA5">
        <w:t>),</w:t>
      </w:r>
      <w:r w:rsidRPr="003E7D23">
        <w:t xml:space="preserve"> serum albumin on </w:t>
      </w:r>
      <w:r>
        <w:t>CL</w:t>
      </w:r>
      <w:r w:rsidRPr="00F30C45">
        <w:rPr>
          <w:vertAlign w:val="subscript"/>
        </w:rPr>
        <w:t>D</w:t>
      </w:r>
      <w:r>
        <w:t>,</w:t>
      </w:r>
      <w:r w:rsidRPr="003E7D23">
        <w:t xml:space="preserve"> and age on the subcutaneous drug absorption rate) were confirmed to be statistically significant (p-value &lt; 0.0001)</w:t>
      </w:r>
      <w:r>
        <w:t>, with weight and age being the most clinically relevant.</w:t>
      </w:r>
      <w:r w:rsidR="00404BA5">
        <w:t xml:space="preserve"> </w:t>
      </w:r>
      <w:r w:rsidRPr="00C00E87">
        <w:t>Clearance increased as weight increased</w:t>
      </w:r>
      <w:r>
        <w:t>, and there was a reduction in absorption with increasing age.</w:t>
      </w:r>
      <w:r w:rsidR="00404BA5">
        <w:t xml:space="preserve"> </w:t>
      </w:r>
      <w:r>
        <w:t>No other significant covariates were identified.</w:t>
      </w:r>
    </w:p>
    <w:p w:rsidR="00D979B8" w:rsidRPr="001E3DD7" w:rsidRDefault="00D979B8" w:rsidP="00AA0F95">
      <w:pPr>
        <w:pStyle w:val="ListBullet"/>
      </w:pPr>
      <w:r>
        <w:t xml:space="preserve">Based on a typical </w:t>
      </w:r>
      <w:r w:rsidRPr="00D62353">
        <w:t xml:space="preserve">weight of 33 kg and serum albumin of 43 g/L, the estimated clearance of canakinumab </w:t>
      </w:r>
      <w:r>
        <w:t xml:space="preserve">in sJIA patients </w:t>
      </w:r>
      <w:r w:rsidRPr="00D62353">
        <w:t xml:space="preserve">was 0.106 L/day, </w:t>
      </w:r>
      <w:r>
        <w:t xml:space="preserve">and </w:t>
      </w:r>
      <w:r w:rsidRPr="00D62353">
        <w:t xml:space="preserve">the volume of distribution </w:t>
      </w:r>
      <w:r>
        <w:t>was</w:t>
      </w:r>
      <w:r w:rsidRPr="00D62353">
        <w:t xml:space="preserve"> </w:t>
      </w:r>
      <w:r>
        <w:t>3.21</w:t>
      </w:r>
      <w:r w:rsidRPr="00D62353">
        <w:t xml:space="preserve"> L</w:t>
      </w:r>
      <w:r>
        <w:t>.</w:t>
      </w:r>
    </w:p>
    <w:p w:rsidR="00D979B8" w:rsidRPr="003E7D23" w:rsidRDefault="00D979B8" w:rsidP="00AA0F95">
      <w:pPr>
        <w:pStyle w:val="ListBullet"/>
      </w:pPr>
      <w:r>
        <w:t>The accumulation ratio of canakinumab 4</w:t>
      </w:r>
      <w:r w:rsidR="00404BA5">
        <w:t xml:space="preserve"> mg/kg</w:t>
      </w:r>
      <w:r>
        <w:t xml:space="preserve"> </w:t>
      </w:r>
      <w:r w:rsidR="00404BA5">
        <w:t>SC</w:t>
      </w:r>
      <w:r>
        <w:t xml:space="preserve"> every 4 weeks in sJIA patients was 1.6 fold</w:t>
      </w:r>
      <w:r w:rsidR="00404BA5">
        <w:t>.</w:t>
      </w:r>
    </w:p>
    <w:p w:rsidR="00D979B8" w:rsidRPr="00191A3E" w:rsidRDefault="00D979B8" w:rsidP="00AA0F95">
      <w:pPr>
        <w:pStyle w:val="ListBullet"/>
      </w:pPr>
      <w:r>
        <w:t xml:space="preserve">Canakinumab clearance was comparable to that seen in patients with other diseases, including </w:t>
      </w:r>
      <w:r w:rsidRPr="00191A3E">
        <w:t>CAPS</w:t>
      </w:r>
      <w:r>
        <w:t>,</w:t>
      </w:r>
      <w:r w:rsidRPr="00191A3E">
        <w:t xml:space="preserve"> asthma, rheumatoid arthritis, </w:t>
      </w:r>
      <w:r>
        <w:t>psoriasis and</w:t>
      </w:r>
      <w:r w:rsidRPr="00191A3E">
        <w:t xml:space="preserve"> gout</w:t>
      </w:r>
      <w:r>
        <w:t>.</w:t>
      </w:r>
    </w:p>
    <w:p w:rsidR="00D979B8" w:rsidRPr="008B6F67" w:rsidRDefault="00D979B8" w:rsidP="00AA0F95">
      <w:pPr>
        <w:pStyle w:val="ListBullet"/>
      </w:pPr>
      <w:r>
        <w:t>Increased</w:t>
      </w:r>
      <w:r w:rsidRPr="00C00E87">
        <w:t xml:space="preserve"> canakinumab clearance at higher body weights is not entirely compensated by dosing</w:t>
      </w:r>
      <w:r>
        <w:t xml:space="preserve"> by weight, therefore increased exposure was observed in sJIA patients &gt;40 kg (although exposure distributions overlapped).</w:t>
      </w:r>
    </w:p>
    <w:p w:rsidR="00D979B8" w:rsidRDefault="00D979B8" w:rsidP="00AA0F95">
      <w:pPr>
        <w:pStyle w:val="ListBullet"/>
      </w:pPr>
      <w:r>
        <w:lastRenderedPageBreak/>
        <w:t xml:space="preserve">Canakinumab absorption is inversely related to age (faster in younger patients) but this is not reflected in steady state exposure which was comparable </w:t>
      </w:r>
      <w:r w:rsidRPr="001E3DD7">
        <w:t xml:space="preserve">across the different age groups (2-3, 4-5, 6-11, and </w:t>
      </w:r>
      <w:r>
        <w:t>&gt;11 years).</w:t>
      </w:r>
      <w:r w:rsidR="00404BA5">
        <w:t xml:space="preserve"> </w:t>
      </w:r>
      <w:r w:rsidRPr="006706D5">
        <w:t>This may explain the shorter T</w:t>
      </w:r>
      <w:r w:rsidRPr="006706D5">
        <w:rPr>
          <w:vertAlign w:val="subscript"/>
        </w:rPr>
        <w:t>max</w:t>
      </w:r>
      <w:r w:rsidRPr="006706D5">
        <w:t xml:space="preserve"> in sJIA compared with CAPS.</w:t>
      </w:r>
    </w:p>
    <w:p w:rsidR="00D979B8" w:rsidRDefault="00D979B8" w:rsidP="00AA0F95">
      <w:pPr>
        <w:pStyle w:val="ListBullet"/>
      </w:pPr>
      <w:r>
        <w:t>The IL-1β clearance was lower and IL-1β production rate and the dissociation constant were generally higher in sJIA than in the other indications.</w:t>
      </w:r>
      <w:r w:rsidR="00404BA5">
        <w:t xml:space="preserve"> </w:t>
      </w:r>
      <w:r>
        <w:t>The resulting higher levels of IL-1β in sJIA patients may explain the need for a higher canakinumab dose.</w:t>
      </w:r>
    </w:p>
    <w:p w:rsidR="00D979B8" w:rsidRDefault="00D979B8" w:rsidP="00AA0F95">
      <w:pPr>
        <w:pStyle w:val="ListBullet"/>
      </w:pPr>
      <w:r>
        <w:t>Turnover of IL-1β was modestly higher in younger children.</w:t>
      </w:r>
    </w:p>
    <w:p w:rsidR="008E7846" w:rsidRDefault="008E7846" w:rsidP="00AA0F95">
      <w:pPr>
        <w:pStyle w:val="Heading3"/>
      </w:pPr>
      <w:bookmarkStart w:id="67" w:name="_Toc196046481"/>
      <w:bookmarkStart w:id="68" w:name="_Toc247691520"/>
      <w:bookmarkStart w:id="69" w:name="_Toc314842503"/>
      <w:bookmarkStart w:id="70" w:name="_Toc408471914"/>
      <w:r w:rsidRPr="00254787">
        <w:t>Pharmacodynamics</w:t>
      </w:r>
      <w:bookmarkEnd w:id="53"/>
      <w:bookmarkEnd w:id="67"/>
      <w:bookmarkEnd w:id="68"/>
      <w:bookmarkEnd w:id="69"/>
      <w:bookmarkEnd w:id="70"/>
    </w:p>
    <w:p w:rsidR="00605AD4" w:rsidRDefault="00605AD4" w:rsidP="00AA0F95">
      <w:pPr>
        <w:pStyle w:val="Heading4"/>
      </w:pPr>
      <w:r>
        <w:t>Studies providing pharmacodynamic data</w:t>
      </w:r>
    </w:p>
    <w:p w:rsidR="00D979B8" w:rsidRDefault="00D979B8" w:rsidP="00AA0F95">
      <w:r>
        <w:t>PK data collected in the Phase II</w:t>
      </w:r>
      <w:r w:rsidR="00404BA5">
        <w:t>/</w:t>
      </w:r>
      <w:r>
        <w:t>III studies were used in the development of PK-flare models to explore the canakinumab exposure-efficacy relationship.</w:t>
      </w:r>
      <w:r w:rsidR="00404BA5">
        <w:t xml:space="preserve"> </w:t>
      </w:r>
      <w:r>
        <w:t xml:space="preserve">The PK-flare model enabled the </w:t>
      </w:r>
      <w:r w:rsidRPr="009C06D2">
        <w:t xml:space="preserve">estimation of the critical flare concentration, </w:t>
      </w:r>
      <w:r w:rsidRPr="009C06D2">
        <w:rPr>
          <w:i/>
        </w:rPr>
        <w:t>Ki</w:t>
      </w:r>
      <w:r w:rsidRPr="009C06D2">
        <w:t>, at which there is a 50% probability of clin</w:t>
      </w:r>
      <w:r>
        <w:t>ical relapse (flare)</w:t>
      </w:r>
      <w:r w:rsidRPr="009C06D2">
        <w:t>.</w:t>
      </w:r>
    </w:p>
    <w:p w:rsidR="00D979B8" w:rsidRDefault="00605AD4" w:rsidP="00AA0F95">
      <w:pPr>
        <w:pStyle w:val="Heading4"/>
      </w:pPr>
      <w:r>
        <w:t>Evaluator’s conclusions on pharmacodynamics</w:t>
      </w:r>
    </w:p>
    <w:p w:rsidR="00D979B8" w:rsidRDefault="00D979B8" w:rsidP="00AA0F95">
      <w:pPr>
        <w:pStyle w:val="ListBullet"/>
      </w:pPr>
      <w:r>
        <w:t xml:space="preserve">Predicted </w:t>
      </w:r>
      <w:r w:rsidRPr="00713491">
        <w:t xml:space="preserve">concentrations of canakinumab at flare varied widely both within and between the sJIA studies, ranging from 0 </w:t>
      </w:r>
      <w:r w:rsidR="00404BA5">
        <w:t>to</w:t>
      </w:r>
      <w:r w:rsidRPr="00713491">
        <w:t xml:space="preserve"> 41 </w:t>
      </w:r>
      <w:r w:rsidR="00404BA5">
        <w:t>µ</w:t>
      </w:r>
      <w:r w:rsidRPr="00713491">
        <w:t>g/mL</w:t>
      </w:r>
      <w:r w:rsidR="00C47C38">
        <w:t>.</w:t>
      </w:r>
    </w:p>
    <w:p w:rsidR="00D979B8" w:rsidRDefault="00D979B8" w:rsidP="00AA0F95">
      <w:pPr>
        <w:pStyle w:val="ListBullet"/>
      </w:pPr>
      <w:r w:rsidRPr="00713491">
        <w:t xml:space="preserve">Predicted mean concentration at flare was statistically different from the predicted </w:t>
      </w:r>
      <w:r>
        <w:t xml:space="preserve">mean </w:t>
      </w:r>
      <w:r w:rsidRPr="00713491">
        <w:t xml:space="preserve">concentration at no flare (8.1 </w:t>
      </w:r>
      <w:r w:rsidR="00404BA5">
        <w:t>±</w:t>
      </w:r>
      <w:r w:rsidRPr="00713491">
        <w:t xml:space="preserve"> 9.1 μg/mL</w:t>
      </w:r>
      <w:r w:rsidR="00B60592">
        <w:t xml:space="preserve"> versus</w:t>
      </w:r>
      <w:r w:rsidRPr="00713491">
        <w:t xml:space="preserve"> 14.5 </w:t>
      </w:r>
      <w:r w:rsidR="00404BA5">
        <w:t>±</w:t>
      </w:r>
      <w:r w:rsidRPr="00713491">
        <w:t xml:space="preserve"> 10.4 μg/mL; p &lt; 0.0001)</w:t>
      </w:r>
      <w:r>
        <w:t>.</w:t>
      </w:r>
      <w:r w:rsidR="00404BA5">
        <w:t xml:space="preserve"> </w:t>
      </w:r>
      <w:r w:rsidRPr="009C430B">
        <w:t>This predicted concentration at flare is lower than the PK-binding model simulations of C</w:t>
      </w:r>
      <w:r w:rsidRPr="00984E9E">
        <w:rPr>
          <w:vertAlign w:val="subscript"/>
        </w:rPr>
        <w:t>MINss</w:t>
      </w:r>
      <w:r w:rsidRPr="009C430B">
        <w:t xml:space="preserve"> (14.68 </w:t>
      </w:r>
      <w:r w:rsidR="00404BA5">
        <w:t>±</w:t>
      </w:r>
      <w:r w:rsidRPr="009C430B">
        <w:t xml:space="preserve"> 8.80 μg/mL) suggesting that the proposed 4</w:t>
      </w:r>
      <w:r w:rsidR="00404BA5">
        <w:t xml:space="preserve"> mg/kg</w:t>
      </w:r>
      <w:r w:rsidRPr="009C430B">
        <w:t xml:space="preserve"> dose of canakinumab is appropriate.</w:t>
      </w:r>
    </w:p>
    <w:p w:rsidR="00D979B8" w:rsidRDefault="00D979B8" w:rsidP="00AA0F95">
      <w:pPr>
        <w:pStyle w:val="ListBullet"/>
      </w:pPr>
      <w:r>
        <w:t xml:space="preserve">More than </w:t>
      </w:r>
      <w:r w:rsidRPr="00C10FE4">
        <w:t>95% of subjects administered 4</w:t>
      </w:r>
      <w:r w:rsidR="00404BA5">
        <w:t xml:space="preserve"> mg/kg SC</w:t>
      </w:r>
      <w:r w:rsidRPr="00C10FE4">
        <w:t xml:space="preserve"> dose of canakinumab had their steady-state trough levels above the </w:t>
      </w:r>
      <w:r w:rsidRPr="00984E9E">
        <w:rPr>
          <w:i/>
        </w:rPr>
        <w:t>Ki</w:t>
      </w:r>
      <w:r>
        <w:t xml:space="preserve"> </w:t>
      </w:r>
      <w:r w:rsidRPr="00C10FE4">
        <w:t>estimated</w:t>
      </w:r>
      <w:r>
        <w:t xml:space="preserve"> in study A2203 (</w:t>
      </w:r>
      <w:r w:rsidRPr="006706D5">
        <w:t xml:space="preserve">2 </w:t>
      </w:r>
      <w:r w:rsidR="00404BA5">
        <w:t>µ</w:t>
      </w:r>
      <w:r w:rsidRPr="006706D5">
        <w:t>g/mL)</w:t>
      </w:r>
      <w:r w:rsidRPr="00C10FE4">
        <w:t>.</w:t>
      </w:r>
    </w:p>
    <w:p w:rsidR="00D979B8" w:rsidRDefault="00D979B8" w:rsidP="00AA0F95">
      <w:pPr>
        <w:pStyle w:val="ListBullet"/>
      </w:pPr>
      <w:r>
        <w:t>The PK-flare model based on Study A2203 data predicted a 6% median probability</w:t>
      </w:r>
      <w:r w:rsidRPr="008824A9">
        <w:t xml:space="preserve"> of flare</w:t>
      </w:r>
      <w:r>
        <w:t xml:space="preserve"> with </w:t>
      </w:r>
      <w:r w:rsidRPr="008824A9">
        <w:t>4</w:t>
      </w:r>
      <w:r w:rsidR="00404BA5">
        <w:t xml:space="preserve"> </w:t>
      </w:r>
      <w:r w:rsidRPr="008824A9">
        <w:t xml:space="preserve">weekly canakinumab </w:t>
      </w:r>
      <w:r w:rsidRPr="00C10FE4">
        <w:t>4</w:t>
      </w:r>
      <w:r w:rsidR="00404BA5">
        <w:t xml:space="preserve"> mg/kg SC</w:t>
      </w:r>
      <w:r w:rsidRPr="008824A9">
        <w:t xml:space="preserve"> </w:t>
      </w:r>
      <w:r>
        <w:t>treatment.</w:t>
      </w:r>
      <w:r w:rsidR="00404BA5">
        <w:t xml:space="preserve"> </w:t>
      </w:r>
      <w:r w:rsidRPr="00780B52">
        <w:t xml:space="preserve">While higher doses </w:t>
      </w:r>
      <w:r>
        <w:t>further reduced the probability of flare (down to 2% with 7</w:t>
      </w:r>
      <w:r w:rsidR="00404BA5">
        <w:t xml:space="preserve"> mg/kg</w:t>
      </w:r>
      <w:r>
        <w:t>),</w:t>
      </w:r>
      <w:r w:rsidRPr="00780B52">
        <w:t xml:space="preserve"> the 4</w:t>
      </w:r>
      <w:r w:rsidR="00404BA5">
        <w:t xml:space="preserve"> mg/kg</w:t>
      </w:r>
      <w:r w:rsidRPr="00780B52">
        <w:t xml:space="preserve"> dose is approaching saturation of the response</w:t>
      </w:r>
      <w:r>
        <w:t>.</w:t>
      </w:r>
    </w:p>
    <w:p w:rsidR="00D979B8" w:rsidRDefault="00D979B8" w:rsidP="00AA0F95">
      <w:pPr>
        <w:pStyle w:val="ListBullet"/>
      </w:pPr>
      <w:r w:rsidRPr="000D648E">
        <w:t xml:space="preserve">The exposure-hazard model based on G2301 Part II data </w:t>
      </w:r>
      <w:r>
        <w:t>predicted</w:t>
      </w:r>
      <w:r w:rsidRPr="000D648E">
        <w:t xml:space="preserve"> that </w:t>
      </w:r>
      <w:r w:rsidRPr="00F440B7">
        <w:t>4</w:t>
      </w:r>
      <w:r w:rsidR="00404BA5">
        <w:t xml:space="preserve"> mg/kg</w:t>
      </w:r>
      <w:r w:rsidRPr="00F440B7">
        <w:t xml:space="preserve"> of canakinumab</w:t>
      </w:r>
      <w:r w:rsidR="00404BA5">
        <w:t xml:space="preserve"> SC</w:t>
      </w:r>
      <w:r w:rsidRPr="00F440B7">
        <w:t xml:space="preserve"> every 4 weeks reduced the flare rate over placebo by </w:t>
      </w:r>
      <w:r w:rsidR="00404BA5">
        <w:t xml:space="preserve">approximately </w:t>
      </w:r>
      <w:r w:rsidRPr="00F440B7">
        <w:t xml:space="preserve">39% (90% </w:t>
      </w:r>
      <w:r w:rsidR="00404BA5">
        <w:t>confidence interval (</w:t>
      </w:r>
      <w:r w:rsidRPr="00F440B7">
        <w:t>CI</w:t>
      </w:r>
      <w:r w:rsidR="00404BA5">
        <w:t>)</w:t>
      </w:r>
      <w:r w:rsidRPr="00F440B7">
        <w:t>: 28% to 49%) over 12 months.</w:t>
      </w:r>
      <w:r w:rsidR="00404BA5">
        <w:t xml:space="preserve"> </w:t>
      </w:r>
      <w:r w:rsidRPr="00F440B7">
        <w:t>Doses greater than 4</w:t>
      </w:r>
      <w:r w:rsidR="00404BA5">
        <w:t xml:space="preserve"> mg/kg</w:t>
      </w:r>
      <w:r w:rsidRPr="00F440B7">
        <w:t xml:space="preserve"> were predicted to provide only marginal gain in flare reduction whereas doses less than 4</w:t>
      </w:r>
      <w:r w:rsidR="00404BA5">
        <w:t xml:space="preserve"> mg/kg</w:t>
      </w:r>
      <w:r w:rsidRPr="00F440B7">
        <w:t xml:space="preserve"> would significantly increase risk of flare over 6 and 12 months.</w:t>
      </w:r>
    </w:p>
    <w:p w:rsidR="00D979B8" w:rsidRPr="000D648E" w:rsidRDefault="00D979B8" w:rsidP="00AA0F95">
      <w:pPr>
        <w:pStyle w:val="ListBullet"/>
      </w:pPr>
      <w:r w:rsidRPr="00FD00B0">
        <w:t>An exposure-hazard model demonstrates that canakinumab decreases significantly</w:t>
      </w:r>
      <w:r>
        <w:t xml:space="preserve"> </w:t>
      </w:r>
      <w:r w:rsidRPr="00FD00B0">
        <w:t>(p&lt;0.001) the likelihood of flare with potentially full flare suppression in a concentration</w:t>
      </w:r>
      <w:r>
        <w:t xml:space="preserve"> </w:t>
      </w:r>
      <w:r w:rsidRPr="00FD00B0">
        <w:t>dependent</w:t>
      </w:r>
      <w:r>
        <w:t xml:space="preserve"> </w:t>
      </w:r>
      <w:r w:rsidRPr="00FD00B0">
        <w:t>manner.</w:t>
      </w:r>
    </w:p>
    <w:p w:rsidR="00D979B8" w:rsidRDefault="00D979B8" w:rsidP="00AA0F95">
      <w:pPr>
        <w:pStyle w:val="ListBullet"/>
      </w:pPr>
      <w:r w:rsidRPr="00823689">
        <w:t xml:space="preserve">After accounting for the baseline steroid use, no other covariates (age, gender, body weight, daily steroid usage, and baseline </w:t>
      </w:r>
      <w:r w:rsidR="00404BA5" w:rsidRPr="00A23648">
        <w:t>American College of Rheumatology</w:t>
      </w:r>
      <w:r w:rsidR="00404BA5" w:rsidRPr="00823689">
        <w:t xml:space="preserve"> </w:t>
      </w:r>
      <w:r w:rsidR="00404BA5">
        <w:t>(</w:t>
      </w:r>
      <w:r w:rsidRPr="00823689">
        <w:t>ACR</w:t>
      </w:r>
      <w:r w:rsidR="00404BA5">
        <w:t>)</w:t>
      </w:r>
      <w:r w:rsidRPr="00823689">
        <w:t xml:space="preserve"> strata) offered further improvement to the hazard model.</w:t>
      </w:r>
    </w:p>
    <w:p w:rsidR="00D979B8" w:rsidRPr="00823689" w:rsidRDefault="00D979B8" w:rsidP="00AA0F95">
      <w:pPr>
        <w:pStyle w:val="ListBullet"/>
      </w:pPr>
      <w:r w:rsidRPr="00696840">
        <w:t>The exposure-flare reduction model is based on the Part II of the G2301 study.</w:t>
      </w:r>
      <w:r w:rsidR="00404BA5">
        <w:t xml:space="preserve"> </w:t>
      </w:r>
      <w:r w:rsidRPr="00696840">
        <w:t>All patients</w:t>
      </w:r>
      <w:r>
        <w:t xml:space="preserve"> </w:t>
      </w:r>
      <w:r w:rsidRPr="00696840">
        <w:t>have successfully completed Part I of the study as responders to canakinumab therapy at</w:t>
      </w:r>
      <w:r>
        <w:t xml:space="preserve"> </w:t>
      </w:r>
      <w:r w:rsidRPr="00696840">
        <w:t>4</w:t>
      </w:r>
      <w:r w:rsidR="00404BA5">
        <w:t xml:space="preserve"> mg/kg</w:t>
      </w:r>
      <w:r w:rsidRPr="00696840">
        <w:t xml:space="preserve"> canakinumab</w:t>
      </w:r>
      <w:r w:rsidR="00404BA5">
        <w:t xml:space="preserve"> SC</w:t>
      </w:r>
      <w:r w:rsidRPr="00696840">
        <w:t xml:space="preserve"> every 4 weeks.</w:t>
      </w:r>
      <w:r w:rsidR="00404BA5">
        <w:t xml:space="preserve"> </w:t>
      </w:r>
      <w:r w:rsidRPr="00696840">
        <w:t xml:space="preserve">The predicted flare rates of </w:t>
      </w:r>
      <w:r w:rsidRPr="00696840">
        <w:lastRenderedPageBreak/>
        <w:t>different canakinumab</w:t>
      </w:r>
      <w:r>
        <w:t xml:space="preserve"> </w:t>
      </w:r>
      <w:r w:rsidRPr="00696840">
        <w:t>doses are therefore valid for patients who have successfully tapered steroid while receiving 4</w:t>
      </w:r>
      <w:r w:rsidR="00404BA5">
        <w:t xml:space="preserve"> mg/kg</w:t>
      </w:r>
      <w:r w:rsidRPr="00696840">
        <w:t xml:space="preserve"> canakinumab every 4 weeks.</w:t>
      </w:r>
    </w:p>
    <w:p w:rsidR="008E7846" w:rsidRDefault="00605AD4" w:rsidP="00C47C38">
      <w:pPr>
        <w:pStyle w:val="Heading3"/>
      </w:pPr>
      <w:bookmarkStart w:id="71" w:name="_Toc408471915"/>
      <w:r>
        <w:t xml:space="preserve">Dosage selection for the </w:t>
      </w:r>
      <w:r w:rsidRPr="00C47C38">
        <w:t>pivotal</w:t>
      </w:r>
      <w:r>
        <w:t xml:space="preserve"> studies</w:t>
      </w:r>
      <w:bookmarkEnd w:id="71"/>
    </w:p>
    <w:p w:rsidR="00404BA5" w:rsidRDefault="00D979B8" w:rsidP="00AA0F95">
      <w:r>
        <w:t>The dose used in the Phase III studies was based on the PK/PD model analysis performed in Study A2203.</w:t>
      </w:r>
      <w:r w:rsidR="00404BA5">
        <w:t xml:space="preserve"> </w:t>
      </w:r>
      <w:r w:rsidRPr="00384D8F">
        <w:t xml:space="preserve">Study A2203 was a </w:t>
      </w:r>
      <w:r w:rsidR="00404BA5">
        <w:t>P</w:t>
      </w:r>
      <w:r w:rsidRPr="00384D8F">
        <w:t>hase II, multi-centre, open-label, repeated dose range finding study that evaluated the safety, tolerability, immunogenicity, PK, PK/PD relationships and efficacy of canakinumab</w:t>
      </w:r>
      <w:r w:rsidR="00404BA5">
        <w:t xml:space="preserve"> SC</w:t>
      </w:r>
      <w:r w:rsidRPr="00384D8F">
        <w:t xml:space="preserve"> in </w:t>
      </w:r>
      <w:r w:rsidR="00404BA5">
        <w:t>p</w:t>
      </w:r>
      <w:r>
        <w:t>aediatric</w:t>
      </w:r>
      <w:r w:rsidRPr="00384D8F">
        <w:t xml:space="preserve"> patients with active sJIA.</w:t>
      </w:r>
    </w:p>
    <w:p w:rsidR="00404BA5" w:rsidRDefault="00D979B8" w:rsidP="00AA0F95">
      <w:r w:rsidRPr="00311FB6">
        <w:t>Data on the relapse history was combined with the sampled concentrations of canakinumab in order to construct a PK/PD model describing disease relapse in the responding patients. Based on the model analysis, it was estimated that 94% of sJIA patients would not flare at a dose of 4</w:t>
      </w:r>
      <w:r w:rsidR="00404BA5">
        <w:t xml:space="preserve"> mg/kg</w:t>
      </w:r>
      <w:r w:rsidRPr="00311FB6">
        <w:t xml:space="preserve"> over a 4</w:t>
      </w:r>
      <w:r w:rsidR="00404BA5">
        <w:t xml:space="preserve"> </w:t>
      </w:r>
      <w:r w:rsidRPr="00311FB6">
        <w:t xml:space="preserve">week period. </w:t>
      </w:r>
      <w:r>
        <w:t>While there was an</w:t>
      </w:r>
      <w:r w:rsidRPr="00311FB6">
        <w:t xml:space="preserve"> incremental efficacy gain at doses above 4</w:t>
      </w:r>
      <w:r w:rsidR="00404BA5">
        <w:t xml:space="preserve"> mg/kg</w:t>
      </w:r>
      <w:r>
        <w:t>, it</w:t>
      </w:r>
      <w:r w:rsidRPr="00311FB6">
        <w:t xml:space="preserve"> was not considered large enough to justify higher monthly dosing.</w:t>
      </w:r>
      <w:r w:rsidR="00404BA5">
        <w:t xml:space="preserve"> </w:t>
      </w:r>
      <w:r w:rsidRPr="00311FB6">
        <w:t>Therefore a dose of 4</w:t>
      </w:r>
      <w:r w:rsidR="00404BA5">
        <w:t xml:space="preserve"> mg/kg</w:t>
      </w:r>
      <w:r w:rsidRPr="00311FB6">
        <w:t xml:space="preserve"> every 4 weeks was chosen to ensure that the majority of patients would benefit from the treatment.</w:t>
      </w:r>
    </w:p>
    <w:p w:rsidR="00D979B8" w:rsidRPr="00404BA5" w:rsidRDefault="00404BA5" w:rsidP="00AA0F95">
      <w:r w:rsidRPr="00AA0F95">
        <w:t>Evaluator’s comment</w:t>
      </w:r>
      <w:r w:rsidRPr="00404BA5">
        <w:t>: The justification for selecting the 4 mg/kg dose of canakinumab for the Phase III studies in sJIA is acceptable.</w:t>
      </w:r>
    </w:p>
    <w:p w:rsidR="008E7846" w:rsidRPr="00254787" w:rsidRDefault="008E7846" w:rsidP="00AA0F95">
      <w:pPr>
        <w:pStyle w:val="Heading3"/>
      </w:pPr>
      <w:bookmarkStart w:id="72" w:name="_Toc163441372"/>
      <w:bookmarkStart w:id="73" w:name="_Toc196046485"/>
      <w:bookmarkStart w:id="74" w:name="_Toc247691521"/>
      <w:bookmarkStart w:id="75" w:name="_Toc314842504"/>
      <w:bookmarkStart w:id="76" w:name="_Toc408471916"/>
      <w:r w:rsidRPr="00254787">
        <w:t>Efficacy</w:t>
      </w:r>
      <w:bookmarkEnd w:id="72"/>
      <w:bookmarkEnd w:id="73"/>
      <w:bookmarkEnd w:id="74"/>
      <w:bookmarkEnd w:id="75"/>
      <w:bookmarkEnd w:id="76"/>
    </w:p>
    <w:p w:rsidR="00605AD4" w:rsidRDefault="00605AD4" w:rsidP="00AA0F95">
      <w:pPr>
        <w:pStyle w:val="Heading4"/>
      </w:pPr>
      <w:bookmarkStart w:id="77" w:name="_Toc184439992"/>
      <w:bookmarkStart w:id="78" w:name="_Toc184440279"/>
      <w:bookmarkStart w:id="79" w:name="_Toc184444657"/>
      <w:bookmarkStart w:id="80" w:name="_Toc196046487"/>
      <w:r w:rsidRPr="00203720">
        <w:t>Studies providing efficacy data</w:t>
      </w:r>
    </w:p>
    <w:p w:rsidR="00203720" w:rsidRPr="00203720" w:rsidRDefault="00203720" w:rsidP="008F6698">
      <w:r>
        <w:t xml:space="preserve">The sponsor submitted </w:t>
      </w:r>
      <w:r w:rsidRPr="00E138D4">
        <w:t xml:space="preserve">2 pivotal </w:t>
      </w:r>
      <w:r>
        <w:t>P</w:t>
      </w:r>
      <w:r w:rsidRPr="00E138D4">
        <w:t>hase III efficacy/safety studies (G230</w:t>
      </w:r>
      <w:r>
        <w:t>1</w:t>
      </w:r>
      <w:r w:rsidRPr="00E138D4">
        <w:t xml:space="preserve"> and G230</w:t>
      </w:r>
      <w:r>
        <w:t>5)</w:t>
      </w:r>
      <w:r w:rsidR="008F6698" w:rsidRPr="008F6698">
        <w:t xml:space="preserve"> </w:t>
      </w:r>
      <w:r w:rsidR="008F6698">
        <w:t>in patients with sJIA.</w:t>
      </w:r>
    </w:p>
    <w:p w:rsidR="008E7846" w:rsidRDefault="00605AD4" w:rsidP="00AA0F95">
      <w:pPr>
        <w:pStyle w:val="Heading4"/>
      </w:pPr>
      <w:r>
        <w:t>Evaluator’s conclusions on efficacy</w:t>
      </w:r>
    </w:p>
    <w:p w:rsidR="00D979B8" w:rsidRDefault="00D979B8" w:rsidP="00AA0F95">
      <w:r>
        <w:t xml:space="preserve">Study G2305 </w:t>
      </w:r>
      <w:r w:rsidRPr="009A0568">
        <w:t>was a random</w:t>
      </w:r>
      <w:r>
        <w:t>is</w:t>
      </w:r>
      <w:r w:rsidRPr="009A0568">
        <w:t xml:space="preserve">ed, double-blind, placebo-controlled, single-dose, </w:t>
      </w:r>
      <w:r w:rsidR="00404BA5">
        <w:t xml:space="preserve">4 week study </w:t>
      </w:r>
      <w:r w:rsidRPr="009A0568">
        <w:t xml:space="preserve">assessing the short term efficacy of canakinumab </w:t>
      </w:r>
      <w:r>
        <w:t>4</w:t>
      </w:r>
      <w:r w:rsidR="00404BA5">
        <w:t xml:space="preserve"> mg/kg</w:t>
      </w:r>
      <w:r>
        <w:t xml:space="preserve"> </w:t>
      </w:r>
      <w:r w:rsidRPr="009A0568">
        <w:t xml:space="preserve">in </w:t>
      </w:r>
      <w:r>
        <w:t xml:space="preserve">84 </w:t>
      </w:r>
      <w:r w:rsidRPr="009A0568">
        <w:t xml:space="preserve">patients </w:t>
      </w:r>
      <w:r>
        <w:t xml:space="preserve">(43 on canakinumab, 41 on placebo) </w:t>
      </w:r>
      <w:r w:rsidRPr="009A0568">
        <w:t>aged 2 to 19 years with</w:t>
      </w:r>
      <w:r>
        <w:t xml:space="preserve"> </w:t>
      </w:r>
      <w:r w:rsidRPr="009A0568">
        <w:t xml:space="preserve">active </w:t>
      </w:r>
      <w:r>
        <w:t>s</w:t>
      </w:r>
      <w:r w:rsidRPr="009A0568">
        <w:t>JIA</w:t>
      </w:r>
      <w:r>
        <w:t>.</w:t>
      </w:r>
      <w:r w:rsidR="00404BA5">
        <w:t xml:space="preserve"> </w:t>
      </w:r>
      <w:r>
        <w:t xml:space="preserve">Study G2301 consisted of </w:t>
      </w:r>
      <w:r w:rsidRPr="002475AD">
        <w:t>a</w:t>
      </w:r>
      <w:r>
        <w:t xml:space="preserve"> 32</w:t>
      </w:r>
      <w:r w:rsidR="00404BA5">
        <w:t xml:space="preserve"> </w:t>
      </w:r>
      <w:r>
        <w:t>week</w:t>
      </w:r>
      <w:r w:rsidRPr="002475AD">
        <w:t xml:space="preserve"> open-label, single-arm active treatment</w:t>
      </w:r>
      <w:r>
        <w:t xml:space="preserve"> period (+ steroid tapering) in 177 patients, followed by a</w:t>
      </w:r>
      <w:r w:rsidRPr="002475AD">
        <w:t xml:space="preserve"> randomi</w:t>
      </w:r>
      <w:r>
        <w:t>s</w:t>
      </w:r>
      <w:r w:rsidRPr="002475AD">
        <w:t>ed, double-blind, placebo controlled, and event-driven withdrawal study of flare</w:t>
      </w:r>
      <w:r>
        <w:t xml:space="preserve"> prevention in 100 patients.</w:t>
      </w:r>
      <w:r w:rsidR="00404BA5">
        <w:t xml:space="preserve"> </w:t>
      </w:r>
      <w:r>
        <w:t>Supportive evidence was provided by a Phase II dose finding study (23 patients), and a long-term extension study (147 patients).</w:t>
      </w:r>
      <w:r w:rsidR="00404BA5">
        <w:t xml:space="preserve"> </w:t>
      </w:r>
      <w:r>
        <w:t>Overall, 201 patients aged 2 to 19 years (24 aged 2 - &lt;4, 40 aged ≥4 - &lt;6, 86 aged ≥6 - &lt;12, and 51 aged ≥12 - &lt;20 years) were followed for 301.2 patient-years.</w:t>
      </w:r>
      <w:r w:rsidR="00404BA5">
        <w:t xml:space="preserve"> </w:t>
      </w:r>
      <w:r>
        <w:t>Collectively, the studies</w:t>
      </w:r>
      <w:r w:rsidRPr="0093559A">
        <w:t xml:space="preserve"> </w:t>
      </w:r>
      <w:r>
        <w:t>observed an adequate number of patients for an acceptable duration of time to assess efficacy and safety of canakinumab 4</w:t>
      </w:r>
      <w:r w:rsidR="00404BA5">
        <w:t xml:space="preserve"> mg/kg SC</w:t>
      </w:r>
      <w:r>
        <w:t xml:space="preserve"> in the sJIA indication.</w:t>
      </w:r>
      <w:r w:rsidR="00404BA5">
        <w:t xml:space="preserve"> </w:t>
      </w:r>
      <w:r>
        <w:t>Study designs and conduct, choice of efficacy endpoints, and statistical analyses were appropriate, and consistent with the relevant EU guidelines.</w:t>
      </w:r>
    </w:p>
    <w:p w:rsidR="00D979B8" w:rsidRDefault="00D979B8" w:rsidP="00AA0F95">
      <w:r>
        <w:t>T</w:t>
      </w:r>
      <w:r w:rsidRPr="00003AB6">
        <w:t>here are no established national data about the incidence of juvenile arthritis in Australia</w:t>
      </w:r>
      <w:r>
        <w:t xml:space="preserve"> but global incidence has been reported in the range of 7 to 23 per 100,000 person years in the USA and northern Europe</w:t>
      </w:r>
      <w:r w:rsidR="00B60592">
        <w:t>.</w:t>
      </w:r>
      <w:r w:rsidR="00B60592">
        <w:rPr>
          <w:rStyle w:val="FootnoteReference"/>
        </w:rPr>
        <w:footnoteReference w:id="10"/>
      </w:r>
      <w:r w:rsidR="00404BA5">
        <w:t xml:space="preserve"> </w:t>
      </w:r>
      <w:r>
        <w:t>In addition, due to the low occurrence, diverse nature and use of overlapping definitions, characterising the epidemiology of juvenile arthritis is difficult.</w:t>
      </w:r>
      <w:r w:rsidR="00404BA5">
        <w:t xml:space="preserve"> </w:t>
      </w:r>
      <w:r>
        <w:t xml:space="preserve">However, it is not unreasonable to assume that the baseline demographic and </w:t>
      </w:r>
      <w:r>
        <w:lastRenderedPageBreak/>
        <w:t>disease characteristics of the study participants reflect the sJIA population in Australia.</w:t>
      </w:r>
      <w:r w:rsidR="00404BA5">
        <w:t xml:space="preserve"> </w:t>
      </w:r>
      <w:r>
        <w:t>Therefore, the study results should be generalisable to potential sJIA recipients in Australian clinical practice.</w:t>
      </w:r>
      <w:r w:rsidR="00404BA5">
        <w:t xml:space="preserve"> </w:t>
      </w:r>
      <w:r>
        <w:t>The majority of patients were female (55%), Caucasian (86%), with a mean age at study baseline of 8.6 years (range 1 to 19 years).</w:t>
      </w:r>
    </w:p>
    <w:p w:rsidR="00D979B8" w:rsidRDefault="00D979B8" w:rsidP="00AA0F95">
      <w:r>
        <w:t>Study G2305 demonstrated that canakinumab was more effective than placebo in achieving an ACR30 response</w:t>
      </w:r>
      <w:r w:rsidR="00B60592">
        <w:rPr>
          <w:rStyle w:val="FootnoteReference"/>
        </w:rPr>
        <w:footnoteReference w:id="11"/>
      </w:r>
      <w:r>
        <w:t xml:space="preserve"> at Day 15.</w:t>
      </w:r>
      <w:r w:rsidR="00404BA5">
        <w:t xml:space="preserve"> </w:t>
      </w:r>
      <w:r>
        <w:t>Overall, 83.7% on canakinumab and 9.8% on placebo achieved this outcome.</w:t>
      </w:r>
      <w:r w:rsidR="00404BA5">
        <w:t xml:space="preserve"> </w:t>
      </w:r>
      <w:r>
        <w:t xml:space="preserve">The </w:t>
      </w:r>
      <w:r w:rsidR="00B60592">
        <w:t>odds ratio (</w:t>
      </w:r>
      <w:r>
        <w:t>OR</w:t>
      </w:r>
      <w:r w:rsidR="00B60592">
        <w:t>)</w:t>
      </w:r>
      <w:r>
        <w:t xml:space="preserve"> for this comparison was statistically significant and represents a clinically meaningful outcome (OR 62.29; 95% CI: 12.68, 306.07; p &lt; 0.0001).</w:t>
      </w:r>
      <w:r w:rsidR="00404BA5">
        <w:t xml:space="preserve"> </w:t>
      </w:r>
      <w:r>
        <w:t>The proportion of patients achieving an ACR30 at Day 29 (81.4%</w:t>
      </w:r>
      <w:r w:rsidR="00B60592">
        <w:t xml:space="preserve"> versus</w:t>
      </w:r>
      <w:r>
        <w:t xml:space="preserve"> 9.8%), and achieving higher levels of ACR response at Day 15 and Day 29 were also higher with canakinumab than placebo.</w:t>
      </w:r>
      <w:r w:rsidR="00404BA5">
        <w:t xml:space="preserve"> </w:t>
      </w:r>
      <w:r>
        <w:t>The superiority of canakinumab compared with placebo was also observed with other secondary efficacy measures including the individual components of the ACR criteria, fever at Day 3 (0%</w:t>
      </w:r>
      <w:r w:rsidR="00B60592">
        <w:t xml:space="preserve"> versus</w:t>
      </w:r>
      <w:r>
        <w:t xml:space="preserve"> 13.2%), pain intensity, quality of life (</w:t>
      </w:r>
      <w:r w:rsidR="00B60592">
        <w:t>Child Health Q</w:t>
      </w:r>
      <w:r w:rsidR="00B60592" w:rsidRPr="00E0783D">
        <w:t>uestionnaire</w:t>
      </w:r>
      <w:r w:rsidR="00B60592">
        <w:t xml:space="preserve"> – parent form (</w:t>
      </w:r>
      <w:r>
        <w:t>CHQ-PF50</w:t>
      </w:r>
      <w:r w:rsidR="00B60592">
        <w:t>)</w:t>
      </w:r>
      <w:r>
        <w:t>), number of flares (3</w:t>
      </w:r>
      <w:r w:rsidR="00B60592">
        <w:t xml:space="preserve"> versus</w:t>
      </w:r>
      <w:r>
        <w:t xml:space="preserve"> 31) and percentage who achieved inactive disease at Day 15 (32.6%</w:t>
      </w:r>
      <w:r w:rsidR="00B60592">
        <w:t xml:space="preserve"> versus</w:t>
      </w:r>
      <w:r>
        <w:t xml:space="preserve"> 0%).</w:t>
      </w:r>
      <w:r w:rsidR="00404BA5">
        <w:t xml:space="preserve"> </w:t>
      </w:r>
      <w:r>
        <w:t>Subgroup analysis by age, gender, and the stratification factors (anakinra responder status, level of baseline corticosteroids, and number of active joints), generally showed no effect on the response to canakinumab.</w:t>
      </w:r>
    </w:p>
    <w:p w:rsidR="00D979B8" w:rsidRDefault="00D979B8" w:rsidP="00AA0F95">
      <w:r>
        <w:t>The active treatment phase of Study G2301 achieved the primary objective, with 44.5% (90% CI: 37.1, 52.2; p&lt;0.0001) of patients able to taper their steroids.</w:t>
      </w:r>
      <w:r w:rsidR="00404BA5">
        <w:t xml:space="preserve"> </w:t>
      </w:r>
      <w:r>
        <w:t>In Part II, patients on canakinumab had a statistically significant reduction in flare compared with placebo (</w:t>
      </w:r>
      <w:r w:rsidR="00B60592">
        <w:t>Hazard ratio (</w:t>
      </w:r>
      <w:r>
        <w:t>HR</w:t>
      </w:r>
      <w:r w:rsidR="00B60592">
        <w:t>)</w:t>
      </w:r>
      <w:r>
        <w:t xml:space="preserve"> 0.36; 95% CI: 0.17, 0.75; p=0.0032).</w:t>
      </w:r>
      <w:r w:rsidR="00404BA5">
        <w:t xml:space="preserve"> </w:t>
      </w:r>
      <w:r>
        <w:t>A clinically relevant reduction in flare remained if patients who discontinued the study were censored rather than counted as flared but the result lost its statistical significance (HR 0.51; 95% CI: 0.23, 1.12; p=0.0445).</w:t>
      </w:r>
      <w:r w:rsidR="00404BA5">
        <w:t xml:space="preserve"> </w:t>
      </w:r>
      <w:r>
        <w:t>Median time to flare was 236 days in patients on placebo and could not be estimated in the canakinumab group as less than 50% flared during the study.</w:t>
      </w:r>
      <w:r w:rsidR="00404BA5">
        <w:t xml:space="preserve"> </w:t>
      </w:r>
      <w:r>
        <w:t>The proportion of patients who achieved an ACR30 by Day 15 and 29 in Part I was 81.3% and 88.8%</w:t>
      </w:r>
      <w:r w:rsidR="00B60592">
        <w:t>;</w:t>
      </w:r>
      <w:r>
        <w:t xml:space="preserve"> similar to that seen in Study G2305.</w:t>
      </w:r>
      <w:r w:rsidR="00404BA5">
        <w:t xml:space="preserve"> </w:t>
      </w:r>
      <w:r>
        <w:t>ACR responses were largely maintained or improved throughout the 32 weeks of Part I of the study.</w:t>
      </w:r>
      <w:r w:rsidR="00404BA5">
        <w:t xml:space="preserve"> </w:t>
      </w:r>
      <w:r>
        <w:t>Clinically relevant reductions in steroid dose were achieved, with reductions from a mean of 0.34</w:t>
      </w:r>
      <w:r w:rsidR="00404BA5">
        <w:t xml:space="preserve"> mg/kg</w:t>
      </w:r>
      <w:r>
        <w:t xml:space="preserve"> to 0.05</w:t>
      </w:r>
      <w:r w:rsidR="00404BA5">
        <w:t xml:space="preserve"> mg/kg</w:t>
      </w:r>
      <w:r>
        <w:t xml:space="preserve"> in those patients who were successful steroid taperers.</w:t>
      </w:r>
      <w:r w:rsidR="00404BA5">
        <w:t xml:space="preserve"> </w:t>
      </w:r>
      <w:r>
        <w:t>In Part II only the first of the secondary endpoints achieved a statistically significant result, with a lower probability of experiencing a worsening in ACR level in the canakinumab group compared with the placebo group (HR 0.49; 95% CI: 0.27, 0.90; p=0.0131).</w:t>
      </w:r>
      <w:r w:rsidR="00404BA5">
        <w:t xml:space="preserve"> </w:t>
      </w:r>
      <w:r w:rsidRPr="00873CCE">
        <w:t>No significant improvement in disability (</w:t>
      </w:r>
      <w:r w:rsidR="00EE3DCE" w:rsidRPr="00E0783D">
        <w:t>Childhood Health Assessment questionnaire</w:t>
      </w:r>
      <w:r w:rsidR="00EE3DCE" w:rsidRPr="00873CCE">
        <w:t xml:space="preserve"> </w:t>
      </w:r>
      <w:r w:rsidR="00EE3DCE">
        <w:t>(</w:t>
      </w:r>
      <w:r w:rsidRPr="00873CCE">
        <w:t>CHAQ</w:t>
      </w:r>
      <w:r w:rsidR="00EE3DCE">
        <w:t>)</w:t>
      </w:r>
      <w:r w:rsidRPr="00873CCE">
        <w:t>) or quality of life (CHQ-PF50) was noted, and the difference to placebo was smaller than seen with these outcomes in Study G2305.</w:t>
      </w:r>
      <w:r w:rsidR="00404BA5">
        <w:t xml:space="preserve"> </w:t>
      </w:r>
      <w:r w:rsidRPr="00873CCE">
        <w:t>This may reflect</w:t>
      </w:r>
      <w:r>
        <w:t xml:space="preserve"> the fact that patients in G2305 were canakinumab naïve or that patients in G2301 had already responded to canakinumab in Part I of the study.</w:t>
      </w:r>
      <w:r w:rsidR="00404BA5">
        <w:t xml:space="preserve"> </w:t>
      </w:r>
      <w:r>
        <w:t>The proportion of patients with inactive disease (an exploratory outcome) was higher in the canakinumab treatment group (62%) than in the placebo group (34%).</w:t>
      </w:r>
    </w:p>
    <w:p w:rsidR="00D979B8" w:rsidRPr="00C10F99" w:rsidRDefault="00D979B8" w:rsidP="00AA0F95">
      <w:pPr>
        <w:rPr>
          <w:kern w:val="24"/>
        </w:rPr>
      </w:pPr>
      <w:r>
        <w:t>The dose-finding study (</w:t>
      </w:r>
      <w:r w:rsidRPr="00702FEB">
        <w:t>patients on doses of 0.5 to 9</w:t>
      </w:r>
      <w:r w:rsidR="00404BA5">
        <w:t xml:space="preserve"> mg/kg</w:t>
      </w:r>
      <w:r>
        <w:t>) was supportive of the pivotal studies, with 59% patients achieving an ACR30, 18% with inactive disease and 42% of steroid users able to reduce or discontinue steroid use.</w:t>
      </w:r>
      <w:r w:rsidR="00404BA5">
        <w:t xml:space="preserve"> </w:t>
      </w:r>
      <w:r>
        <w:t>Study G2301E1 followed a diverse group of sJIA patients from previous canakinumab studies (responders and non-responders).</w:t>
      </w:r>
      <w:r w:rsidR="00404BA5">
        <w:t xml:space="preserve"> </w:t>
      </w:r>
      <w:r>
        <w:t>The results demonstrated that 25</w:t>
      </w:r>
      <w:r w:rsidR="00404BA5">
        <w:t>/</w:t>
      </w:r>
      <w:r>
        <w:t>40 (62.5%) who were non-responders at entry became a responder by Month 3, and 23</w:t>
      </w:r>
      <w:r w:rsidR="00404BA5">
        <w:t>/</w:t>
      </w:r>
      <w:r>
        <w:t>40 (57.5%) were responders at the time of the interim analysis.</w:t>
      </w:r>
      <w:r w:rsidR="00404BA5">
        <w:t xml:space="preserve"> </w:t>
      </w:r>
      <w:r>
        <w:t>Among the responders, 103</w:t>
      </w:r>
      <w:r w:rsidR="00404BA5">
        <w:t>/</w:t>
      </w:r>
      <w:r>
        <w:t>107 (96%) remained responders at Month 3 and 101</w:t>
      </w:r>
      <w:r w:rsidR="00404BA5">
        <w:t>/</w:t>
      </w:r>
      <w:r>
        <w:t>107 (94%) were responders at the time of the interim analysis.</w:t>
      </w:r>
      <w:r w:rsidR="00404BA5">
        <w:t xml:space="preserve"> </w:t>
      </w:r>
      <w:r>
        <w:t xml:space="preserve">Higher </w:t>
      </w:r>
      <w:r>
        <w:lastRenderedPageBreak/>
        <w:t>ACR responses were also largely maintained.</w:t>
      </w:r>
      <w:r w:rsidR="00404BA5">
        <w:t xml:space="preserve"> </w:t>
      </w:r>
      <w:r>
        <w:rPr>
          <w:kern w:val="24"/>
        </w:rPr>
        <w:t>Of interest</w:t>
      </w:r>
      <w:r w:rsidRPr="00E41E1E">
        <w:rPr>
          <w:kern w:val="24"/>
        </w:rPr>
        <w:t xml:space="preserve">, 26 patients </w:t>
      </w:r>
      <w:r w:rsidRPr="00C10F99">
        <w:rPr>
          <w:kern w:val="24"/>
        </w:rPr>
        <w:t>who had achieved steroid ta</w:t>
      </w:r>
      <w:r>
        <w:rPr>
          <w:kern w:val="24"/>
        </w:rPr>
        <w:t>pering or who were steroid free</w:t>
      </w:r>
      <w:r w:rsidRPr="00C10F99">
        <w:rPr>
          <w:kern w:val="24"/>
        </w:rPr>
        <w:t xml:space="preserve"> </w:t>
      </w:r>
      <w:r w:rsidRPr="00E41E1E">
        <w:rPr>
          <w:kern w:val="24"/>
        </w:rPr>
        <w:t xml:space="preserve">received at least 3 consecutive doses </w:t>
      </w:r>
      <w:r>
        <w:rPr>
          <w:kern w:val="24"/>
        </w:rPr>
        <w:t>of canakinumab 2</w:t>
      </w:r>
      <w:r w:rsidR="00404BA5">
        <w:rPr>
          <w:kern w:val="24"/>
        </w:rPr>
        <w:t xml:space="preserve"> mg/kg</w:t>
      </w:r>
      <w:r>
        <w:rPr>
          <w:kern w:val="24"/>
        </w:rPr>
        <w:t xml:space="preserve"> </w:t>
      </w:r>
      <w:r w:rsidRPr="00E41E1E">
        <w:rPr>
          <w:kern w:val="24"/>
        </w:rPr>
        <w:t>for a median duration of 224 days (range 59 to 511 days).</w:t>
      </w:r>
      <w:r w:rsidR="00404BA5">
        <w:rPr>
          <w:kern w:val="24"/>
        </w:rPr>
        <w:t xml:space="preserve"> </w:t>
      </w:r>
      <w:r w:rsidRPr="00E41E1E">
        <w:rPr>
          <w:kern w:val="24"/>
        </w:rPr>
        <w:t>All 26 patients (17 patients previously treated with canakinumab and 9 patients previously treated with placebo) maintained an ACR100</w:t>
      </w:r>
      <w:r w:rsidR="006B35DD">
        <w:rPr>
          <w:rStyle w:val="FootnoteReference"/>
          <w:kern w:val="24"/>
        </w:rPr>
        <w:footnoteReference w:id="12"/>
      </w:r>
      <w:r w:rsidRPr="00E41E1E">
        <w:rPr>
          <w:kern w:val="24"/>
        </w:rPr>
        <w:t xml:space="preserve"> during the time they received the reduced dose and none discontinued the</w:t>
      </w:r>
      <w:r>
        <w:rPr>
          <w:kern w:val="24"/>
        </w:rPr>
        <w:t xml:space="preserve"> study due to lack of efficacy.</w:t>
      </w:r>
      <w:r w:rsidR="00404BA5">
        <w:rPr>
          <w:kern w:val="24"/>
        </w:rPr>
        <w:t xml:space="preserve"> </w:t>
      </w:r>
      <w:r>
        <w:rPr>
          <w:kern w:val="24"/>
        </w:rPr>
        <w:t>Therefore there is a possibility that some sJIA patients may be able to be controlled on a canakinumab dose lower than is currently proposed.</w:t>
      </w:r>
      <w:r w:rsidR="00404BA5">
        <w:rPr>
          <w:kern w:val="24"/>
        </w:rPr>
        <w:t xml:space="preserve"> </w:t>
      </w:r>
      <w:r>
        <w:rPr>
          <w:kern w:val="24"/>
        </w:rPr>
        <w:t xml:space="preserve">This possibility needs further investigation </w:t>
      </w:r>
      <w:r w:rsidRPr="00C10F99">
        <w:rPr>
          <w:kern w:val="24"/>
        </w:rPr>
        <w:t xml:space="preserve">and the sponsor has committed within the </w:t>
      </w:r>
      <w:r w:rsidR="00EE3DCE">
        <w:rPr>
          <w:kern w:val="24"/>
        </w:rPr>
        <w:t>Risk Management Plan (</w:t>
      </w:r>
      <w:r w:rsidRPr="00C10F99">
        <w:rPr>
          <w:kern w:val="24"/>
        </w:rPr>
        <w:t>RMP</w:t>
      </w:r>
      <w:r w:rsidR="00EE3DCE">
        <w:rPr>
          <w:kern w:val="24"/>
        </w:rPr>
        <w:t>)</w:t>
      </w:r>
      <w:r w:rsidRPr="00C10F99">
        <w:rPr>
          <w:kern w:val="24"/>
        </w:rPr>
        <w:t xml:space="preserve"> to a new </w:t>
      </w:r>
      <w:r w:rsidR="00EE3DCE">
        <w:rPr>
          <w:kern w:val="24"/>
        </w:rPr>
        <w:t>P</w:t>
      </w:r>
      <w:r w:rsidRPr="00C10F99">
        <w:rPr>
          <w:kern w:val="24"/>
        </w:rPr>
        <w:t>hase IV study to evaluate the efficacy and safety of canakinumab dose reduction or dose interval prolong</w:t>
      </w:r>
      <w:r>
        <w:rPr>
          <w:kern w:val="24"/>
        </w:rPr>
        <w:t>ation in canakinumab treatment-</w:t>
      </w:r>
      <w:r w:rsidRPr="00C10F99">
        <w:rPr>
          <w:kern w:val="24"/>
        </w:rPr>
        <w:t>naïve patients who are both responders and who satisfy pre-defined criteria.</w:t>
      </w:r>
    </w:p>
    <w:p w:rsidR="00D979B8" w:rsidRDefault="00D979B8" w:rsidP="00AA0F95">
      <w:r>
        <w:t>It is important to note that in Study G2305 14% of participants receiving canakinumab discontinued the study due to unsatisfactory therapeutic response.</w:t>
      </w:r>
      <w:r w:rsidR="00404BA5">
        <w:t xml:space="preserve"> </w:t>
      </w:r>
      <w:r>
        <w:t>In Part I of study G2301 this percentage was 41%, including 15% who did not achieve an initial response by Day 15, 8% who lost their initial response after Day 15, and 15% who failed steroid-tapering.</w:t>
      </w:r>
      <w:r w:rsidR="00404BA5">
        <w:t xml:space="preserve"> </w:t>
      </w:r>
      <w:r>
        <w:t xml:space="preserve">While </w:t>
      </w:r>
      <w:r w:rsidR="00EE3DCE">
        <w:t>S</w:t>
      </w:r>
      <w:r>
        <w:t>tudy G2301E1 did show that some non-responders can subsequently achieve a response, it is important to consider how long a patient should receive the drug if no response is seen.</w:t>
      </w:r>
    </w:p>
    <w:p w:rsidR="00D979B8" w:rsidRDefault="00D979B8" w:rsidP="00AA0F95">
      <w:r>
        <w:t>In the pooled analysis some differences in efficacy were noted in some subgroups (</w:t>
      </w:r>
      <w:r w:rsidR="006B35DD">
        <w:t>for example,</w:t>
      </w:r>
      <w:r>
        <w:t xml:space="preserve"> ACR responses tended to be lower in the two younger age-groups compared with the two older age-groups, in females compared with males, and in those ≤40 kg compared with those &gt;40 kg).</w:t>
      </w:r>
      <w:r w:rsidR="00404BA5">
        <w:t xml:space="preserve"> </w:t>
      </w:r>
      <w:r>
        <w:t>However, the CIs overlapped suggesting that efficacy in the subgroups was consistent with overall efficacy.</w:t>
      </w:r>
      <w:r w:rsidR="00404BA5">
        <w:t xml:space="preserve"> </w:t>
      </w:r>
      <w:r>
        <w:t>The pooled analysis also suggests a reduced response in patients with a more severe disease state, however overall the data support the efficacy of canakinumab in the treatment of active sJIA in patients aged 2 to 19 years.</w:t>
      </w:r>
    </w:p>
    <w:p w:rsidR="008E7846" w:rsidRPr="002E238E" w:rsidRDefault="008E7846" w:rsidP="00AA0F95">
      <w:pPr>
        <w:pStyle w:val="Heading3"/>
      </w:pPr>
      <w:bookmarkStart w:id="81" w:name="_Toc163441378"/>
      <w:bookmarkStart w:id="82" w:name="_Toc196046495"/>
      <w:bookmarkStart w:id="83" w:name="_Toc247691522"/>
      <w:bookmarkStart w:id="84" w:name="_Toc314842505"/>
      <w:bookmarkStart w:id="85" w:name="_Toc408471917"/>
      <w:bookmarkEnd w:id="77"/>
      <w:bookmarkEnd w:id="78"/>
      <w:bookmarkEnd w:id="79"/>
      <w:bookmarkEnd w:id="80"/>
      <w:r w:rsidRPr="002E238E">
        <w:t>Safety</w:t>
      </w:r>
      <w:bookmarkEnd w:id="81"/>
      <w:bookmarkEnd w:id="82"/>
      <w:bookmarkEnd w:id="83"/>
      <w:bookmarkEnd w:id="84"/>
      <w:bookmarkEnd w:id="85"/>
    </w:p>
    <w:p w:rsidR="00605AD4" w:rsidRDefault="00605AD4" w:rsidP="00AA0F95">
      <w:pPr>
        <w:pStyle w:val="Heading4"/>
      </w:pPr>
      <w:bookmarkStart w:id="86" w:name="_Toc247691524"/>
      <w:bookmarkStart w:id="87" w:name="_Toc314842508"/>
      <w:bookmarkStart w:id="88" w:name="_Toc196046504"/>
      <w:bookmarkStart w:id="89" w:name="_Toc163441390"/>
      <w:r w:rsidRPr="00605AD4">
        <w:t>Studies providing safety data</w:t>
      </w:r>
    </w:p>
    <w:p w:rsidR="00D979B8" w:rsidRDefault="00D979B8" w:rsidP="00AA0F95">
      <w:r>
        <w:t>Safety data from the sJIA studies were pooled to increase the sample size to detect rarer events, and are presented here (where relevant) in addition to study-specific safety results.</w:t>
      </w:r>
      <w:r w:rsidR="00404BA5">
        <w:t xml:space="preserve"> </w:t>
      </w:r>
      <w:r>
        <w:t xml:space="preserve">In the pooled analyses, all events that occurred in the placebo arm of Part II of </w:t>
      </w:r>
      <w:r w:rsidR="006B35DD">
        <w:t>S</w:t>
      </w:r>
      <w:r>
        <w:t>tudy G2301 were assigned to the canakinumab arm because of the long half-life of canakinumab and because all patients had received at least one dose of canakinumab prior to being randomised to placebo.</w:t>
      </w:r>
    </w:p>
    <w:p w:rsidR="00D979B8" w:rsidRPr="004B259C" w:rsidRDefault="00D979B8" w:rsidP="00AA0F95">
      <w:pPr>
        <w:pStyle w:val="Heading4"/>
      </w:pPr>
      <w:bookmarkStart w:id="90" w:name="_Toc272414659"/>
      <w:bookmarkStart w:id="91" w:name="_Toc290846284"/>
      <w:bookmarkStart w:id="92" w:name="_Toc380156082"/>
      <w:r>
        <w:t>Studies providing evaluable safety data</w:t>
      </w:r>
      <w:bookmarkEnd w:id="90"/>
      <w:bookmarkEnd w:id="91"/>
      <w:bookmarkEnd w:id="92"/>
    </w:p>
    <w:p w:rsidR="00D979B8" w:rsidRDefault="00D979B8" w:rsidP="00AA0F95">
      <w:bookmarkStart w:id="93" w:name="_Ref268776745"/>
      <w:r>
        <w:t>The following studies provided evaluable safety data:</w:t>
      </w:r>
    </w:p>
    <w:bookmarkEnd w:id="93"/>
    <w:p w:rsidR="00D979B8" w:rsidRDefault="00D979B8" w:rsidP="00AA0F95">
      <w:pPr>
        <w:pStyle w:val="ListBullet"/>
      </w:pPr>
      <w:r>
        <w:t xml:space="preserve">In the pivotal efficacy studies, safety assessments </w:t>
      </w:r>
      <w:r w:rsidRPr="002779A4">
        <w:t xml:space="preserve">included </w:t>
      </w:r>
      <w:r>
        <w:t xml:space="preserve">the collection of all adverse events (AEs), serious adverse events (SAEs), pregnancies, </w:t>
      </w:r>
      <w:r w:rsidRPr="002779A4">
        <w:t>the regular monitoring of haematology, blood chemistry</w:t>
      </w:r>
      <w:r>
        <w:t xml:space="preserve"> </w:t>
      </w:r>
      <w:r w:rsidRPr="002779A4">
        <w:t>and urine performed at a central laboratory</w:t>
      </w:r>
      <w:r>
        <w:t>,</w:t>
      </w:r>
      <w:r w:rsidRPr="002779A4">
        <w:t xml:space="preserve"> and regular assessments of vital signs, physical</w:t>
      </w:r>
      <w:r>
        <w:t xml:space="preserve"> </w:t>
      </w:r>
      <w:r w:rsidRPr="002779A4">
        <w:t>condition and body weight.</w:t>
      </w:r>
    </w:p>
    <w:p w:rsidR="00D979B8" w:rsidRDefault="00D979B8" w:rsidP="00AA0F95">
      <w:pPr>
        <w:pStyle w:val="ListBullet"/>
      </w:pPr>
      <w:r>
        <w:t>The dose-response and non-pivotal efficacy studies provided safety data, as follows:</w:t>
      </w:r>
    </w:p>
    <w:p w:rsidR="00D979B8" w:rsidRPr="00356D3A" w:rsidRDefault="00D979B8" w:rsidP="00AA0F95">
      <w:pPr>
        <w:pStyle w:val="ListBullet2"/>
      </w:pPr>
      <w:r>
        <w:t>Study A2203</w:t>
      </w:r>
      <w:r w:rsidRPr="00E72A2A">
        <w:t xml:space="preserve"> provided data on </w:t>
      </w:r>
      <w:r w:rsidRPr="00356D3A">
        <w:t xml:space="preserve">AEs, SAEs and pregnancies. </w:t>
      </w:r>
      <w:r>
        <w:t>Safety assessments</w:t>
      </w:r>
      <w:r w:rsidRPr="00356D3A">
        <w:t xml:space="preserve"> included the</w:t>
      </w:r>
      <w:r>
        <w:t xml:space="preserve"> </w:t>
      </w:r>
      <w:r w:rsidRPr="00356D3A">
        <w:t>regular monitoring of haematology, blood chemistry and urine and regular assessments of vital signs, physical condition and body weight. CRP</w:t>
      </w:r>
      <w:r>
        <w:t xml:space="preserve"> </w:t>
      </w:r>
      <w:r w:rsidRPr="00356D3A">
        <w:t xml:space="preserve">and </w:t>
      </w:r>
      <w:r w:rsidRPr="00356D3A">
        <w:lastRenderedPageBreak/>
        <w:t>ESR were monitored more frequently than the</w:t>
      </w:r>
      <w:r>
        <w:t xml:space="preserve"> </w:t>
      </w:r>
      <w:r w:rsidRPr="00356D3A">
        <w:t>standard laboratory tests and both were used as part of the clinical response. In addition</w:t>
      </w:r>
      <w:r>
        <w:t xml:space="preserve"> </w:t>
      </w:r>
      <w:r w:rsidRPr="00356D3A">
        <w:t>infection occurrence was monitored during the study. Local tolerability at the site of the</w:t>
      </w:r>
      <w:r>
        <w:t xml:space="preserve"> </w:t>
      </w:r>
      <w:r w:rsidRPr="00356D3A">
        <w:t xml:space="preserve">subcutaneous injection was measured at 48 hours after </w:t>
      </w:r>
      <w:r>
        <w:t xml:space="preserve">the </w:t>
      </w:r>
      <w:r w:rsidR="001924C8">
        <w:t>first</w:t>
      </w:r>
      <w:r>
        <w:t xml:space="preserve"> and </w:t>
      </w:r>
      <w:r w:rsidR="001924C8">
        <w:t>second</w:t>
      </w:r>
      <w:r>
        <w:t xml:space="preserve"> doses</w:t>
      </w:r>
      <w:r w:rsidRPr="00356D3A">
        <w:t xml:space="preserve"> </w:t>
      </w:r>
      <w:r>
        <w:t>of canakinumab.</w:t>
      </w:r>
    </w:p>
    <w:p w:rsidR="00D979B8" w:rsidRPr="00E72A2A" w:rsidRDefault="00D979B8" w:rsidP="00AA0F95">
      <w:pPr>
        <w:pStyle w:val="ListBullet2"/>
      </w:pPr>
      <w:r w:rsidRPr="00E72A2A">
        <w:t xml:space="preserve">Study </w:t>
      </w:r>
      <w:r>
        <w:t>G2301E1</w:t>
      </w:r>
      <w:r w:rsidRPr="00E72A2A">
        <w:t xml:space="preserve"> provided </w:t>
      </w:r>
      <w:r>
        <w:t xml:space="preserve">the same safety </w:t>
      </w:r>
      <w:r w:rsidRPr="00E72A2A">
        <w:t xml:space="preserve">data </w:t>
      </w:r>
      <w:r>
        <w:t>as the pivotal efficacy studies.</w:t>
      </w:r>
    </w:p>
    <w:p w:rsidR="00605AD4" w:rsidRDefault="00605AD4" w:rsidP="00AA0F95">
      <w:pPr>
        <w:pStyle w:val="Heading4"/>
      </w:pPr>
      <w:r w:rsidRPr="00605AD4">
        <w:t>Patient exposure</w:t>
      </w:r>
    </w:p>
    <w:p w:rsidR="00D979B8" w:rsidRDefault="00D979B8" w:rsidP="00AA0F95">
      <w:r>
        <w:t xml:space="preserve">Patient exposure to canakinumab in Phase III studies in sJIA is summarised in </w:t>
      </w:r>
      <w:r w:rsidR="001924C8">
        <w:t>Table 4</w:t>
      </w:r>
      <w:r>
        <w:t>, below.</w:t>
      </w:r>
    </w:p>
    <w:p w:rsidR="00D979B8" w:rsidRDefault="00D979B8" w:rsidP="00AA0F95">
      <w:pPr>
        <w:pStyle w:val="TableTitle"/>
      </w:pPr>
      <w:bookmarkStart w:id="94" w:name="_Ref372550394"/>
      <w:bookmarkStart w:id="95" w:name="_Toc380156161"/>
      <w:r>
        <w:t>Table</w:t>
      </w:r>
      <w:bookmarkEnd w:id="94"/>
      <w:r w:rsidR="001924C8">
        <w:t xml:space="preserve"> 4.</w:t>
      </w:r>
      <w:r>
        <w:t xml:space="preserve"> Exposure to Canakinumab and comparators in Phase III sJIA clinical studies (patient years).</w:t>
      </w:r>
      <w:bookmarkEnd w:id="95"/>
    </w:p>
    <w:tbl>
      <w:tblPr>
        <w:tblStyle w:val="TableTGAblue"/>
        <w:tblW w:w="4958" w:type="pct"/>
        <w:tblInd w:w="108" w:type="dxa"/>
        <w:tblLook w:val="04A0" w:firstRow="1" w:lastRow="0" w:firstColumn="1" w:lastColumn="0" w:noHBand="0" w:noVBand="1"/>
      </w:tblPr>
      <w:tblGrid>
        <w:gridCol w:w="2702"/>
        <w:gridCol w:w="1958"/>
        <w:gridCol w:w="1622"/>
        <w:gridCol w:w="2365"/>
      </w:tblGrid>
      <w:tr w:rsidR="00D979B8" w:rsidTr="0030656A">
        <w:trPr>
          <w:cnfStyle w:val="100000000000" w:firstRow="1" w:lastRow="0" w:firstColumn="0" w:lastColumn="0" w:oddVBand="0" w:evenVBand="0" w:oddHBand="0" w:evenHBand="0" w:firstRowFirstColumn="0" w:firstRowLastColumn="0" w:lastRowFirstColumn="0" w:lastRowLastColumn="0"/>
        </w:trPr>
        <w:tc>
          <w:tcPr>
            <w:tcW w:w="1587" w:type="pct"/>
            <w:vMerge w:val="restart"/>
          </w:tcPr>
          <w:p w:rsidR="00D979B8" w:rsidRPr="001924C8" w:rsidRDefault="00D979B8" w:rsidP="00AA0F95">
            <w:r w:rsidRPr="001924C8">
              <w:t>Study type</w:t>
            </w:r>
            <w:r w:rsidR="00404BA5" w:rsidRPr="001924C8">
              <w:t>/</w:t>
            </w:r>
            <w:r w:rsidRPr="001924C8">
              <w:t>Indication</w:t>
            </w:r>
          </w:p>
        </w:tc>
        <w:tc>
          <w:tcPr>
            <w:tcW w:w="2020" w:type="pct"/>
            <w:gridSpan w:val="2"/>
          </w:tcPr>
          <w:p w:rsidR="00D979B8" w:rsidRPr="001924C8" w:rsidRDefault="00D979B8" w:rsidP="00AA0F95">
            <w:r w:rsidRPr="001924C8">
              <w:t>Controlled studies</w:t>
            </w:r>
          </w:p>
        </w:tc>
        <w:tc>
          <w:tcPr>
            <w:tcW w:w="1392" w:type="pct"/>
          </w:tcPr>
          <w:p w:rsidR="00D979B8" w:rsidRPr="001924C8" w:rsidRDefault="00D979B8" w:rsidP="00AA0F95"/>
        </w:tc>
      </w:tr>
      <w:tr w:rsidR="00D979B8" w:rsidTr="0030656A">
        <w:tc>
          <w:tcPr>
            <w:tcW w:w="1587" w:type="pct"/>
            <w:vMerge/>
          </w:tcPr>
          <w:p w:rsidR="00D979B8" w:rsidRPr="00090722" w:rsidRDefault="00D979B8" w:rsidP="00AA0F95">
            <w:pPr>
              <w:rPr>
                <w:b/>
              </w:rPr>
            </w:pPr>
          </w:p>
        </w:tc>
        <w:tc>
          <w:tcPr>
            <w:tcW w:w="1059" w:type="pct"/>
            <w:shd w:val="clear" w:color="auto" w:fill="006DA7"/>
          </w:tcPr>
          <w:p w:rsidR="00D979B8" w:rsidRPr="0030656A" w:rsidRDefault="00D979B8" w:rsidP="00AA0F95">
            <w:pPr>
              <w:rPr>
                <w:b/>
                <w:color w:val="FFFFFF" w:themeColor="background1"/>
              </w:rPr>
            </w:pPr>
            <w:r w:rsidRPr="0030656A">
              <w:rPr>
                <w:b/>
                <w:color w:val="FFFFFF" w:themeColor="background1"/>
              </w:rPr>
              <w:t>Canakinumab</w:t>
            </w:r>
          </w:p>
        </w:tc>
        <w:tc>
          <w:tcPr>
            <w:tcW w:w="962" w:type="pct"/>
            <w:shd w:val="clear" w:color="auto" w:fill="006DA7"/>
          </w:tcPr>
          <w:p w:rsidR="00D979B8" w:rsidRPr="0030656A" w:rsidRDefault="00D979B8" w:rsidP="00AA0F95">
            <w:pPr>
              <w:rPr>
                <w:b/>
                <w:color w:val="FFFFFF" w:themeColor="background1"/>
              </w:rPr>
            </w:pPr>
            <w:r w:rsidRPr="0030656A">
              <w:rPr>
                <w:b/>
                <w:color w:val="FFFFFF" w:themeColor="background1"/>
              </w:rPr>
              <w:t>Placebo</w:t>
            </w:r>
          </w:p>
        </w:tc>
        <w:tc>
          <w:tcPr>
            <w:tcW w:w="1392" w:type="pct"/>
            <w:shd w:val="clear" w:color="auto" w:fill="006DA7"/>
          </w:tcPr>
          <w:p w:rsidR="00D979B8" w:rsidRPr="0030656A" w:rsidRDefault="001924C8" w:rsidP="0074699E">
            <w:pPr>
              <w:ind w:left="-11" w:right="0"/>
              <w:rPr>
                <w:b/>
                <w:color w:val="FFFFFF" w:themeColor="background1"/>
              </w:rPr>
            </w:pPr>
            <w:r w:rsidRPr="0030656A">
              <w:rPr>
                <w:b/>
                <w:color w:val="FFFFFF" w:themeColor="background1"/>
              </w:rPr>
              <w:t>Total Canakinumab</w:t>
            </w:r>
          </w:p>
        </w:tc>
      </w:tr>
      <w:tr w:rsidR="00D979B8" w:rsidTr="008F6698">
        <w:tc>
          <w:tcPr>
            <w:tcW w:w="1587" w:type="pct"/>
          </w:tcPr>
          <w:p w:rsidR="00D979B8" w:rsidRPr="001924C8" w:rsidRDefault="00D979B8" w:rsidP="00AA0F95">
            <w:r w:rsidRPr="001924C8">
              <w:t>G2305</w:t>
            </w:r>
          </w:p>
        </w:tc>
        <w:tc>
          <w:tcPr>
            <w:tcW w:w="1059" w:type="pct"/>
          </w:tcPr>
          <w:p w:rsidR="00D979B8" w:rsidRPr="006B14DE" w:rsidRDefault="00D979B8" w:rsidP="00AA0F95">
            <w:r>
              <w:t>3.25</w:t>
            </w:r>
          </w:p>
        </w:tc>
        <w:tc>
          <w:tcPr>
            <w:tcW w:w="962" w:type="pct"/>
          </w:tcPr>
          <w:p w:rsidR="00D979B8" w:rsidRPr="006B14DE" w:rsidRDefault="00D979B8" w:rsidP="00AA0F95">
            <w:r>
              <w:t>1.20</w:t>
            </w:r>
          </w:p>
        </w:tc>
        <w:tc>
          <w:tcPr>
            <w:tcW w:w="1392" w:type="pct"/>
          </w:tcPr>
          <w:p w:rsidR="00D979B8" w:rsidRPr="006B14DE" w:rsidRDefault="00D979B8" w:rsidP="00AA0F95">
            <w:r>
              <w:t>3.25</w:t>
            </w:r>
          </w:p>
        </w:tc>
      </w:tr>
      <w:tr w:rsidR="00D979B8" w:rsidTr="008F6698">
        <w:tc>
          <w:tcPr>
            <w:tcW w:w="1587" w:type="pct"/>
          </w:tcPr>
          <w:p w:rsidR="00D979B8" w:rsidRPr="001924C8" w:rsidRDefault="00D979B8" w:rsidP="00AA0F95">
            <w:r w:rsidRPr="001924C8">
              <w:t>G2301 Part I</w:t>
            </w:r>
          </w:p>
        </w:tc>
        <w:tc>
          <w:tcPr>
            <w:tcW w:w="1059" w:type="pct"/>
          </w:tcPr>
          <w:p w:rsidR="00D979B8" w:rsidRPr="006B14DE" w:rsidRDefault="00D979B8" w:rsidP="00AA0F95">
            <w:r>
              <w:t>58.05</w:t>
            </w:r>
          </w:p>
        </w:tc>
        <w:tc>
          <w:tcPr>
            <w:tcW w:w="962" w:type="pct"/>
          </w:tcPr>
          <w:p w:rsidR="00D979B8" w:rsidRPr="006B14DE" w:rsidRDefault="00D979B8" w:rsidP="00AA0F95">
            <w:r>
              <w:t>-</w:t>
            </w:r>
          </w:p>
        </w:tc>
        <w:tc>
          <w:tcPr>
            <w:tcW w:w="1392" w:type="pct"/>
          </w:tcPr>
          <w:p w:rsidR="00D979B8" w:rsidRPr="006B14DE" w:rsidRDefault="00D979B8" w:rsidP="00AA0F95">
            <w:r>
              <w:t>58.05</w:t>
            </w:r>
          </w:p>
        </w:tc>
      </w:tr>
      <w:tr w:rsidR="00D979B8" w:rsidTr="008F6698">
        <w:tc>
          <w:tcPr>
            <w:tcW w:w="1587" w:type="pct"/>
          </w:tcPr>
          <w:p w:rsidR="00D979B8" w:rsidRPr="001924C8" w:rsidRDefault="00D979B8" w:rsidP="00AA0F95">
            <w:r w:rsidRPr="001924C8">
              <w:t>G2301 Part II</w:t>
            </w:r>
          </w:p>
        </w:tc>
        <w:tc>
          <w:tcPr>
            <w:tcW w:w="1059" w:type="pct"/>
          </w:tcPr>
          <w:p w:rsidR="00D979B8" w:rsidRPr="006B14DE" w:rsidRDefault="00D979B8" w:rsidP="00AA0F95">
            <w:r>
              <w:t>31.84</w:t>
            </w:r>
          </w:p>
        </w:tc>
        <w:tc>
          <w:tcPr>
            <w:tcW w:w="962" w:type="pct"/>
          </w:tcPr>
          <w:p w:rsidR="00D979B8" w:rsidRPr="006B14DE" w:rsidRDefault="00D979B8" w:rsidP="00AA0F95">
            <w:r>
              <w:t>24.78</w:t>
            </w:r>
          </w:p>
        </w:tc>
        <w:tc>
          <w:tcPr>
            <w:tcW w:w="1392" w:type="pct"/>
          </w:tcPr>
          <w:p w:rsidR="00D979B8" w:rsidRPr="006B14DE" w:rsidRDefault="00D979B8" w:rsidP="00AA0F95">
            <w:r>
              <w:t>31.84</w:t>
            </w:r>
          </w:p>
        </w:tc>
      </w:tr>
      <w:tr w:rsidR="00D979B8" w:rsidTr="008F6698">
        <w:tc>
          <w:tcPr>
            <w:tcW w:w="1587" w:type="pct"/>
          </w:tcPr>
          <w:p w:rsidR="00D979B8" w:rsidRPr="001924C8" w:rsidRDefault="00D979B8" w:rsidP="00AA0F95">
            <w:r w:rsidRPr="001924C8">
              <w:t>G2301E1</w:t>
            </w:r>
          </w:p>
        </w:tc>
        <w:tc>
          <w:tcPr>
            <w:tcW w:w="1059" w:type="pct"/>
          </w:tcPr>
          <w:p w:rsidR="00D979B8" w:rsidRDefault="00D979B8" w:rsidP="00AA0F95">
            <w:r>
              <w:t>155.94</w:t>
            </w:r>
          </w:p>
        </w:tc>
        <w:tc>
          <w:tcPr>
            <w:tcW w:w="962" w:type="pct"/>
          </w:tcPr>
          <w:p w:rsidR="00D979B8" w:rsidRDefault="00D979B8" w:rsidP="00AA0F95">
            <w:r>
              <w:t>-</w:t>
            </w:r>
          </w:p>
        </w:tc>
        <w:tc>
          <w:tcPr>
            <w:tcW w:w="1392" w:type="pct"/>
          </w:tcPr>
          <w:p w:rsidR="00D979B8" w:rsidRDefault="00D979B8" w:rsidP="00AA0F95">
            <w:r>
              <w:t>155.94</w:t>
            </w:r>
          </w:p>
        </w:tc>
      </w:tr>
      <w:tr w:rsidR="00D979B8" w:rsidTr="008F6698">
        <w:tc>
          <w:tcPr>
            <w:tcW w:w="1587" w:type="pct"/>
          </w:tcPr>
          <w:p w:rsidR="00D979B8" w:rsidRPr="005C5FA2" w:rsidRDefault="00D979B8" w:rsidP="00AA0F95">
            <w:r w:rsidRPr="005C5FA2">
              <w:t>TOTAL</w:t>
            </w:r>
          </w:p>
        </w:tc>
        <w:tc>
          <w:tcPr>
            <w:tcW w:w="1059" w:type="pct"/>
          </w:tcPr>
          <w:p w:rsidR="00D979B8" w:rsidRPr="00C805F5" w:rsidRDefault="00D979B8" w:rsidP="00AA0F95">
            <w:r w:rsidRPr="00C805F5">
              <w:t>249.08</w:t>
            </w:r>
          </w:p>
        </w:tc>
        <w:tc>
          <w:tcPr>
            <w:tcW w:w="962" w:type="pct"/>
          </w:tcPr>
          <w:p w:rsidR="00D979B8" w:rsidRPr="00DF05CD" w:rsidRDefault="00D979B8" w:rsidP="00AA0F95">
            <w:r>
              <w:t>25.98</w:t>
            </w:r>
          </w:p>
        </w:tc>
        <w:tc>
          <w:tcPr>
            <w:tcW w:w="1392" w:type="pct"/>
          </w:tcPr>
          <w:p w:rsidR="00D979B8" w:rsidRPr="00C805F5" w:rsidRDefault="00D979B8" w:rsidP="00AA0F95">
            <w:r w:rsidRPr="00C805F5">
              <w:t>249.08</w:t>
            </w:r>
          </w:p>
        </w:tc>
      </w:tr>
    </w:tbl>
    <w:p w:rsidR="00D979B8" w:rsidRDefault="00D979B8" w:rsidP="00AA0F95">
      <w:r>
        <w:t>In the combined Phase II and III sJIA studies, 201 patients were exposed to canakinumab for a total of 301.2 patient years (</w:t>
      </w:r>
      <w:r w:rsidR="001924C8">
        <w:t>Table 5</w:t>
      </w:r>
      <w:r>
        <w:t>, below).</w:t>
      </w:r>
    </w:p>
    <w:p w:rsidR="00D979B8" w:rsidRDefault="001924C8" w:rsidP="00AA0F95">
      <w:r w:rsidRPr="001924C8">
        <w:t>Evaluator’s comment: The limited placebo exposure somewhat compromises a comparison of safety issues with canakinumab in the sJIA population.</w:t>
      </w:r>
    </w:p>
    <w:p w:rsidR="00D979B8" w:rsidRDefault="00D979B8" w:rsidP="00AA0F95">
      <w:pPr>
        <w:pStyle w:val="TableTitle"/>
      </w:pPr>
      <w:bookmarkStart w:id="96" w:name="_Ref373480788"/>
      <w:bookmarkStart w:id="97" w:name="_Toc380156162"/>
      <w:r>
        <w:t>Table</w:t>
      </w:r>
      <w:bookmarkEnd w:id="96"/>
      <w:r w:rsidR="001924C8">
        <w:t xml:space="preserve"> 5.</w:t>
      </w:r>
      <w:r>
        <w:t xml:space="preserve"> Duration of exposure to canakinumab in pooled sJIA studies</w:t>
      </w:r>
      <w:r w:rsidR="00203720">
        <w:t xml:space="preserve">. </w:t>
      </w:r>
      <w:r>
        <w:t>Safety Population</w:t>
      </w:r>
      <w:r w:rsidR="00203720">
        <w:t>.</w:t>
      </w:r>
      <w:bookmarkEnd w:id="97"/>
    </w:p>
    <w:p w:rsidR="00D979B8" w:rsidRDefault="00D979B8" w:rsidP="00AA0F95">
      <w:r>
        <w:rPr>
          <w:noProof/>
          <w:lang w:eastAsia="en-AU"/>
        </w:rPr>
        <w:drawing>
          <wp:inline distT="0" distB="0" distL="0" distR="0" wp14:anchorId="0E4E01E1" wp14:editId="61AACF8E">
            <wp:extent cx="2231136" cy="2581314"/>
            <wp:effectExtent l="0" t="0" r="0" b="0"/>
            <wp:docPr id="29" name="Picture 29" descr="Table 5. Duration of exposure to canakinumab in pooled sJIA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lum bright="-20000" contrast="40000"/>
                      <a:extLst>
                        <a:ext uri="{28A0092B-C50C-407E-A947-70E740481C1C}">
                          <a14:useLocalDpi xmlns:a14="http://schemas.microsoft.com/office/drawing/2010/main" val="0"/>
                        </a:ext>
                      </a:extLst>
                    </a:blip>
                    <a:srcRect/>
                    <a:stretch>
                      <a:fillRect/>
                    </a:stretch>
                  </pic:blipFill>
                  <pic:spPr bwMode="auto">
                    <a:xfrm>
                      <a:off x="0" y="0"/>
                      <a:ext cx="2229894" cy="2579878"/>
                    </a:xfrm>
                    <a:prstGeom prst="rect">
                      <a:avLst/>
                    </a:prstGeom>
                    <a:noFill/>
                    <a:ln>
                      <a:noFill/>
                    </a:ln>
                  </pic:spPr>
                </pic:pic>
              </a:graphicData>
            </a:graphic>
          </wp:inline>
        </w:drawing>
      </w:r>
    </w:p>
    <w:p w:rsidR="00D979B8" w:rsidRPr="003C0A48" w:rsidRDefault="00D979B8" w:rsidP="00AA0F95">
      <w:pPr>
        <w:pStyle w:val="Heading5"/>
      </w:pPr>
      <w:bookmarkStart w:id="98" w:name="_Toc380156085"/>
      <w:r>
        <w:lastRenderedPageBreak/>
        <w:t>Study A2203</w:t>
      </w:r>
      <w:bookmarkEnd w:id="98"/>
    </w:p>
    <w:p w:rsidR="00D979B8" w:rsidRDefault="00D979B8" w:rsidP="00AA0F95">
      <w:r w:rsidRPr="005C17CC">
        <w:t>All patients received at least one dose study drug</w:t>
      </w:r>
      <w:r>
        <w:t xml:space="preserve"> (0.5</w:t>
      </w:r>
      <w:r w:rsidR="00404BA5">
        <w:t xml:space="preserve"> mg/kg</w:t>
      </w:r>
      <w:r>
        <w:t>, 1.5</w:t>
      </w:r>
      <w:r w:rsidR="00404BA5">
        <w:t xml:space="preserve"> mg/kg</w:t>
      </w:r>
      <w:r>
        <w:t xml:space="preserve"> and/or 4.5</w:t>
      </w:r>
      <w:r w:rsidR="00404BA5">
        <w:t xml:space="preserve"> mg/kg</w:t>
      </w:r>
      <w:r>
        <w:t>)</w:t>
      </w:r>
      <w:r w:rsidRPr="005C17CC">
        <w:t>.</w:t>
      </w:r>
      <w:r w:rsidR="00404BA5">
        <w:t xml:space="preserve"> </w:t>
      </w:r>
      <w:r>
        <w:t xml:space="preserve">Total patient years of exposure were not presented but one patient (4%) had 2 </w:t>
      </w:r>
      <w:r w:rsidR="001924C8">
        <w:t>to</w:t>
      </w:r>
      <w:r>
        <w:t xml:space="preserve"> &lt;</w:t>
      </w:r>
      <w:r w:rsidRPr="00701AF0">
        <w:t>4 months exposure, 9 (36%) had 4</w:t>
      </w:r>
      <w:r>
        <w:t xml:space="preserve"> - &lt;</w:t>
      </w:r>
      <w:r w:rsidRPr="00701AF0">
        <w:t>6 months, 1 (4%) had 10 - &lt;12 months, 5 (22%) had 12 - &lt;24 months, and 7 (30%) had 24 months or more exposure.</w:t>
      </w:r>
    </w:p>
    <w:p w:rsidR="00D979B8" w:rsidRPr="003C0A48" w:rsidRDefault="00D979B8" w:rsidP="00AA0F95">
      <w:pPr>
        <w:pStyle w:val="Heading5"/>
      </w:pPr>
      <w:bookmarkStart w:id="99" w:name="_Toc380156086"/>
      <w:r>
        <w:t>Study G2305</w:t>
      </w:r>
      <w:bookmarkEnd w:id="99"/>
    </w:p>
    <w:p w:rsidR="00D979B8" w:rsidRDefault="00D979B8" w:rsidP="00AA0F95">
      <w:r w:rsidRPr="00D15106">
        <w:t>All random</w:t>
      </w:r>
      <w:r>
        <w:t>is</w:t>
      </w:r>
      <w:r w:rsidRPr="00D15106">
        <w:t>ed patients</w:t>
      </w:r>
      <w:r>
        <w:t xml:space="preserve"> </w:t>
      </w:r>
      <w:r w:rsidRPr="00D15106">
        <w:t>received one dose of canakinumab or placebo on Day 1 only.</w:t>
      </w:r>
      <w:r w:rsidR="00404BA5">
        <w:t xml:space="preserve"> </w:t>
      </w:r>
      <w:r w:rsidRPr="00D15106">
        <w:t>The mean duration in the study</w:t>
      </w:r>
      <w:r>
        <w:t xml:space="preserve"> </w:t>
      </w:r>
      <w:r w:rsidRPr="00D15106">
        <w:t xml:space="preserve">was higher in the canakinumab group </w:t>
      </w:r>
      <w:r>
        <w:t xml:space="preserve">(27.6 days) </w:t>
      </w:r>
      <w:r w:rsidRPr="00D15106">
        <w:t xml:space="preserve">compared to the placebo group </w:t>
      </w:r>
      <w:r>
        <w:t xml:space="preserve">(10.7 days) </w:t>
      </w:r>
      <w:r w:rsidRPr="00D15106">
        <w:t>as more patients in the</w:t>
      </w:r>
      <w:r>
        <w:t xml:space="preserve"> </w:t>
      </w:r>
      <w:r w:rsidRPr="00D15106">
        <w:t>placebo group discontinued early from the study due to unsatisfactory therapeutic effect</w:t>
      </w:r>
      <w:r>
        <w:t>.</w:t>
      </w:r>
      <w:r w:rsidR="00404BA5">
        <w:t xml:space="preserve"> </w:t>
      </w:r>
      <w:r>
        <w:t>Total patient years of exposure were 3.25</w:t>
      </w:r>
      <w:r w:rsidRPr="00950F6D">
        <w:t xml:space="preserve"> </w:t>
      </w:r>
      <w:r>
        <w:t>for the canakinumab group, and 1.20 for the placebo group.</w:t>
      </w:r>
    </w:p>
    <w:p w:rsidR="00D979B8" w:rsidRPr="003C0A48" w:rsidRDefault="00D979B8" w:rsidP="00AA0F95">
      <w:pPr>
        <w:pStyle w:val="Heading5"/>
      </w:pPr>
      <w:bookmarkStart w:id="100" w:name="_Toc380156087"/>
      <w:r>
        <w:t>Study G2301</w:t>
      </w:r>
      <w:bookmarkEnd w:id="100"/>
    </w:p>
    <w:p w:rsidR="00D979B8" w:rsidRDefault="00D979B8" w:rsidP="00AA0F95">
      <w:r w:rsidRPr="00255C84">
        <w:t>In Part I, patients received a s</w:t>
      </w:r>
      <w:r>
        <w:t>ingle dose of canakinumab 4</w:t>
      </w:r>
      <w:r w:rsidR="00404BA5">
        <w:t xml:space="preserve"> mg/kg SC</w:t>
      </w:r>
      <w:r w:rsidRPr="00255C84">
        <w:t>, with a maximum total single dose of 300 mg every 4 weeks.</w:t>
      </w:r>
      <w:r w:rsidR="00404BA5">
        <w:t xml:space="preserve"> </w:t>
      </w:r>
      <w:r w:rsidRPr="00255C84">
        <w:t>The median</w:t>
      </w:r>
      <w:r>
        <w:t xml:space="preserve"> </w:t>
      </w:r>
      <w:r w:rsidRPr="00255C84">
        <w:t xml:space="preserve">duration of exposure in Part I was 113 days </w:t>
      </w:r>
      <w:r>
        <w:t>(this</w:t>
      </w:r>
      <w:r w:rsidRPr="00255C84">
        <w:t xml:space="preserve"> includes an additional 28 days of exposure to canakinumab for the 32 patients who had</w:t>
      </w:r>
      <w:r>
        <w:t xml:space="preserve"> </w:t>
      </w:r>
      <w:r w:rsidRPr="00255C84">
        <w:t xml:space="preserve">received canakinumab in </w:t>
      </w:r>
      <w:r w:rsidR="001924C8">
        <w:t>S</w:t>
      </w:r>
      <w:r w:rsidRPr="00255C84">
        <w:t>tudy G2305 and completed the study before entering</w:t>
      </w:r>
      <w:r>
        <w:t xml:space="preserve"> </w:t>
      </w:r>
      <w:r w:rsidRPr="00255C84">
        <w:t>Part Ib of the present study</w:t>
      </w:r>
      <w:r>
        <w:t>)</w:t>
      </w:r>
      <w:r w:rsidRPr="00255C84">
        <w:t>. Most patients (80.2%) received between 2 and 8 doses of</w:t>
      </w:r>
      <w:r>
        <w:t xml:space="preserve"> </w:t>
      </w:r>
      <w:r w:rsidRPr="00255C84">
        <w:t>canakinumab. Overall, the mean</w:t>
      </w:r>
      <w:r w:rsidR="00404BA5">
        <w:t>/</w:t>
      </w:r>
      <w:r w:rsidRPr="00255C84">
        <w:t>median number of doses in Part I was 4.25</w:t>
      </w:r>
      <w:r w:rsidR="00404BA5">
        <w:t>/</w:t>
      </w:r>
      <w:r w:rsidRPr="00255C84">
        <w:t>4.0.</w:t>
      </w:r>
      <w:r w:rsidR="00404BA5">
        <w:t xml:space="preserve"> </w:t>
      </w:r>
      <w:r>
        <w:t>The total patient years of exposure were 58.05 in Part I.</w:t>
      </w:r>
    </w:p>
    <w:p w:rsidR="00D979B8" w:rsidRPr="00255C84" w:rsidRDefault="00D979B8" w:rsidP="00AA0F95">
      <w:r w:rsidRPr="00255C84">
        <w:t>In Part II, patients were random</w:t>
      </w:r>
      <w:r>
        <w:t>ise</w:t>
      </w:r>
      <w:r w:rsidRPr="00255C84">
        <w:t>d to canakinumab or placebo in a 1:1 ratio, and received a</w:t>
      </w:r>
      <w:r>
        <w:t xml:space="preserve"> single dose of canakinumab 4</w:t>
      </w:r>
      <w:r w:rsidR="00404BA5">
        <w:t xml:space="preserve"> mg/kg</w:t>
      </w:r>
      <w:r w:rsidRPr="00255C84">
        <w:t xml:space="preserve"> or placebo</w:t>
      </w:r>
      <w:r w:rsidR="00404BA5">
        <w:t xml:space="preserve"> SC</w:t>
      </w:r>
      <w:r w:rsidRPr="00255C84">
        <w:t xml:space="preserve"> every 4 weeks.</w:t>
      </w:r>
      <w:r w:rsidR="00404BA5">
        <w:t xml:space="preserve"> </w:t>
      </w:r>
      <w:r w:rsidRPr="00255C84">
        <w:t>The median</w:t>
      </w:r>
      <w:r>
        <w:t xml:space="preserve"> </w:t>
      </w:r>
      <w:r w:rsidRPr="00255C84">
        <w:t>duration of exposure in Part II was higher in the canakinumab group than in the placebo group</w:t>
      </w:r>
      <w:r>
        <w:t xml:space="preserve"> </w:t>
      </w:r>
      <w:r w:rsidRPr="00255C84">
        <w:t>(221.5</w:t>
      </w:r>
      <w:r w:rsidR="00B60592">
        <w:t xml:space="preserve"> versus</w:t>
      </w:r>
      <w:r w:rsidRPr="00255C84">
        <w:t xml:space="preserve"> 163.5 days</w:t>
      </w:r>
      <w:r>
        <w:t>, and a</w:t>
      </w:r>
      <w:r w:rsidRPr="00255C84">
        <w:t xml:space="preserve"> higher percentage of patients in the</w:t>
      </w:r>
      <w:r>
        <w:t xml:space="preserve"> </w:t>
      </w:r>
      <w:r w:rsidRPr="00255C84">
        <w:t>canakinumab group received more than 8 doses of study drug compared with those in the</w:t>
      </w:r>
      <w:r>
        <w:t xml:space="preserve"> placebo group (46.0%</w:t>
      </w:r>
      <w:r w:rsidR="00B60592">
        <w:t xml:space="preserve"> versus</w:t>
      </w:r>
      <w:r>
        <w:t xml:space="preserve"> 28.0%).</w:t>
      </w:r>
      <w:r w:rsidR="00404BA5">
        <w:t xml:space="preserve"> </w:t>
      </w:r>
      <w:r>
        <w:t>This was the result of</w:t>
      </w:r>
      <w:r w:rsidRPr="00255C84">
        <w:t xml:space="preserve"> the </w:t>
      </w:r>
      <w:r>
        <w:t xml:space="preserve">earlier and </w:t>
      </w:r>
      <w:r w:rsidRPr="00255C84">
        <w:t>higher rate of discontinuation in placebo</w:t>
      </w:r>
      <w:r>
        <w:t xml:space="preserve"> </w:t>
      </w:r>
      <w:r w:rsidRPr="00255C84">
        <w:t>patients.</w:t>
      </w:r>
      <w:r w:rsidR="00404BA5">
        <w:t xml:space="preserve"> </w:t>
      </w:r>
      <w:r>
        <w:t>The total patient years of exposure were 31.84 for the canakinumab group, and 24.78 for the placebo group in Part II.</w:t>
      </w:r>
    </w:p>
    <w:p w:rsidR="00D979B8" w:rsidRPr="003C0A48" w:rsidRDefault="00D979B8" w:rsidP="00AA0F95">
      <w:pPr>
        <w:pStyle w:val="Heading5"/>
      </w:pPr>
      <w:bookmarkStart w:id="101" w:name="_Toc380156088"/>
      <w:r>
        <w:t>Study G2301E1</w:t>
      </w:r>
      <w:bookmarkEnd w:id="101"/>
    </w:p>
    <w:p w:rsidR="00D979B8" w:rsidRDefault="00D979B8" w:rsidP="00AA0F95">
      <w:r>
        <w:t xml:space="preserve">All </w:t>
      </w:r>
      <w:r w:rsidRPr="00255C84">
        <w:t>patients received a</w:t>
      </w:r>
      <w:r>
        <w:t>t least one dose of canakinumab 4</w:t>
      </w:r>
      <w:r w:rsidR="00404BA5">
        <w:t xml:space="preserve"> mg/kg SC</w:t>
      </w:r>
      <w:r w:rsidRPr="00255C84">
        <w:t>, with a maximum total single dose of 300 mg every 4 weeks.</w:t>
      </w:r>
      <w:r w:rsidR="00404BA5">
        <w:t xml:space="preserve"> </w:t>
      </w:r>
      <w:r>
        <w:t xml:space="preserve">A total of 31 </w:t>
      </w:r>
      <w:r w:rsidRPr="00255C84">
        <w:t>patients received a</w:t>
      </w:r>
      <w:r>
        <w:t>t least one</w:t>
      </w:r>
      <w:r w:rsidRPr="00255C84">
        <w:t xml:space="preserve"> </w:t>
      </w:r>
      <w:r>
        <w:t xml:space="preserve">reduced </w:t>
      </w:r>
      <w:r w:rsidRPr="00255C84">
        <w:t xml:space="preserve">dose of canakinumab </w:t>
      </w:r>
      <w:r>
        <w:t>(</w:t>
      </w:r>
      <w:r w:rsidRPr="007571A4">
        <w:t>2</w:t>
      </w:r>
      <w:r w:rsidR="00404BA5">
        <w:t xml:space="preserve"> mg/kg</w:t>
      </w:r>
      <w:r>
        <w:t>)</w:t>
      </w:r>
      <w:r w:rsidR="00404BA5">
        <w:t xml:space="preserve"> SC</w:t>
      </w:r>
      <w:r w:rsidRPr="007571A4">
        <w:t xml:space="preserve"> every 4 weeks</w:t>
      </w:r>
      <w:r>
        <w:t xml:space="preserve">, with </w:t>
      </w:r>
      <w:r w:rsidRPr="007571A4">
        <w:t>26 patients receiving at least three consecutive doses</w:t>
      </w:r>
      <w:r>
        <w:t>.</w:t>
      </w:r>
      <w:r w:rsidR="00404BA5">
        <w:t xml:space="preserve"> </w:t>
      </w:r>
      <w:r w:rsidRPr="007571A4">
        <w:t>The median duration of study participation was 49.0 weeks (range 3 to 144 weeks) with a mean duration of 55.3 weeks.</w:t>
      </w:r>
      <w:r w:rsidR="00404BA5">
        <w:t xml:space="preserve"> </w:t>
      </w:r>
      <w:r>
        <w:t>The total patient years of exposure were 155.94.</w:t>
      </w:r>
    </w:p>
    <w:p w:rsidR="00605AD4" w:rsidRDefault="00605AD4" w:rsidP="00AA0F95">
      <w:pPr>
        <w:pStyle w:val="Heading4"/>
      </w:pPr>
      <w:r w:rsidRPr="00605AD4">
        <w:t>Safety issues with the potential for major regulatory impact</w:t>
      </w:r>
    </w:p>
    <w:p w:rsidR="00D979B8" w:rsidRPr="0032428D" w:rsidRDefault="00D979B8" w:rsidP="00AA0F95">
      <w:pPr>
        <w:pStyle w:val="Heading5"/>
      </w:pPr>
      <w:bookmarkStart w:id="102" w:name="_Toc380156107"/>
      <w:r w:rsidRPr="0032428D">
        <w:t>Unwanted immunological events</w:t>
      </w:r>
      <w:bookmarkEnd w:id="102"/>
    </w:p>
    <w:p w:rsidR="00D979B8" w:rsidRPr="001C1E97" w:rsidRDefault="00D979B8" w:rsidP="00AA0F95">
      <w:pPr>
        <w:pStyle w:val="Heading6"/>
      </w:pPr>
      <w:r w:rsidRPr="001C1E97">
        <w:t>Immunogenicity</w:t>
      </w:r>
    </w:p>
    <w:p w:rsidR="00D979B8" w:rsidRPr="001C1E97" w:rsidRDefault="00D979B8" w:rsidP="00AA0F95">
      <w:r w:rsidRPr="001C1E97">
        <w:t xml:space="preserve">Development of anti-canakinumab antibodies was </w:t>
      </w:r>
      <w:r>
        <w:t>assessed</w:t>
      </w:r>
      <w:r w:rsidRPr="001C1E97">
        <w:t xml:space="preserve"> in </w:t>
      </w:r>
      <w:r>
        <w:t xml:space="preserve">the </w:t>
      </w:r>
      <w:r w:rsidRPr="001C1E97">
        <w:t>individual studies and in a</w:t>
      </w:r>
      <w:r>
        <w:t xml:space="preserve"> </w:t>
      </w:r>
      <w:r w:rsidRPr="001C1E97">
        <w:t>separate analysis for data from all studies.</w:t>
      </w:r>
    </w:p>
    <w:p w:rsidR="00D979B8" w:rsidRPr="003D1295" w:rsidRDefault="00D979B8" w:rsidP="00F47EF9">
      <w:pPr>
        <w:pStyle w:val="Heading7"/>
      </w:pPr>
      <w:r>
        <w:t>Study G2305</w:t>
      </w:r>
    </w:p>
    <w:p w:rsidR="003B7970" w:rsidRDefault="00D979B8" w:rsidP="003B7970">
      <w:r>
        <w:t>No a</w:t>
      </w:r>
      <w:r w:rsidRPr="002C0DC3">
        <w:t>nti-canakinumab antibodies were detected</w:t>
      </w:r>
      <w:r w:rsidRPr="009A5BC1">
        <w:t>.</w:t>
      </w:r>
      <w:r w:rsidR="00404BA5">
        <w:t xml:space="preserve"> </w:t>
      </w:r>
      <w:r w:rsidRPr="009A5BC1">
        <w:t>One patient, in the placebo</w:t>
      </w:r>
      <w:r>
        <w:t xml:space="preserve"> </w:t>
      </w:r>
      <w:r w:rsidRPr="009A5BC1">
        <w:t>group, showed a positive immune response at both Screening and end of study</w:t>
      </w:r>
      <w:r>
        <w:t xml:space="preserve"> </w:t>
      </w:r>
      <w:r w:rsidRPr="009A5BC1">
        <w:t>that was not considered to be treatment related.</w:t>
      </w:r>
      <w:r w:rsidR="00404BA5">
        <w:t xml:space="preserve"> </w:t>
      </w:r>
      <w:r>
        <w:t>I</w:t>
      </w:r>
      <w:r w:rsidRPr="009A5BC1">
        <w:t xml:space="preserve">mmunogenicity was not assessable </w:t>
      </w:r>
      <w:r>
        <w:t>f</w:t>
      </w:r>
      <w:r w:rsidRPr="009A5BC1">
        <w:t xml:space="preserve">or </w:t>
      </w:r>
      <w:r>
        <w:t>7</w:t>
      </w:r>
      <w:r w:rsidRPr="009A5BC1">
        <w:t xml:space="preserve"> patients in the canakinumab group due to drug</w:t>
      </w:r>
      <w:r>
        <w:t xml:space="preserve"> </w:t>
      </w:r>
      <w:r w:rsidRPr="009A5BC1">
        <w:t>concentration above the acceptable level.</w:t>
      </w:r>
      <w:r w:rsidR="00404BA5">
        <w:t xml:space="preserve"> </w:t>
      </w:r>
      <w:r w:rsidRPr="009A5BC1">
        <w:t>However, as they did not exhibit an unexpected PK/PD profile and no</w:t>
      </w:r>
      <w:r>
        <w:t xml:space="preserve"> </w:t>
      </w:r>
      <w:r w:rsidRPr="009A5BC1">
        <w:t>immunogenic</w:t>
      </w:r>
      <w:r>
        <w:t xml:space="preserve">ity-related AEs were reported, </w:t>
      </w:r>
      <w:r w:rsidRPr="009A5BC1">
        <w:t>it was felt unlikely that these patients</w:t>
      </w:r>
      <w:r>
        <w:t xml:space="preserve"> </w:t>
      </w:r>
      <w:r w:rsidRPr="009A5BC1">
        <w:t>produced antibody</w:t>
      </w:r>
      <w:r>
        <w:t>.</w:t>
      </w:r>
      <w:r w:rsidR="00404BA5">
        <w:t xml:space="preserve"> </w:t>
      </w:r>
      <w:r>
        <w:t>One p</w:t>
      </w:r>
      <w:r w:rsidRPr="009A5BC1">
        <w:t>atient reported a mild allergic</w:t>
      </w:r>
      <w:r>
        <w:t xml:space="preserve"> </w:t>
      </w:r>
      <w:r w:rsidRPr="009A5BC1">
        <w:t>(skin) reaction of one day</w:t>
      </w:r>
      <w:r w:rsidR="001924C8">
        <w:t>’</w:t>
      </w:r>
      <w:r w:rsidRPr="009A5BC1">
        <w:t xml:space="preserve">s duration on Day 2 that was not </w:t>
      </w:r>
      <w:r>
        <w:lastRenderedPageBreak/>
        <w:t>considered by the investigator</w:t>
      </w:r>
      <w:r w:rsidRPr="009A5BC1">
        <w:t xml:space="preserve"> to be related to study</w:t>
      </w:r>
      <w:r>
        <w:t xml:space="preserve"> </w:t>
      </w:r>
      <w:r w:rsidRPr="009A5BC1">
        <w:t xml:space="preserve">medication </w:t>
      </w:r>
      <w:r>
        <w:t>and</w:t>
      </w:r>
      <w:r w:rsidRPr="009A5BC1">
        <w:t xml:space="preserve"> </w:t>
      </w:r>
      <w:r>
        <w:t xml:space="preserve">with further follow-up </w:t>
      </w:r>
      <w:r w:rsidRPr="009A5BC1">
        <w:t>was believed to be due to a food allergy.</w:t>
      </w:r>
    </w:p>
    <w:p w:rsidR="00D979B8" w:rsidRPr="003D1295" w:rsidRDefault="00D979B8" w:rsidP="00F47EF9">
      <w:pPr>
        <w:pStyle w:val="Heading7"/>
      </w:pPr>
      <w:r w:rsidRPr="003D1295">
        <w:t>Study G2301</w:t>
      </w:r>
    </w:p>
    <w:p w:rsidR="00D979B8" w:rsidRPr="001B3638" w:rsidRDefault="00D979B8" w:rsidP="003B7970">
      <w:r w:rsidRPr="001B3638">
        <w:t>Anti-</w:t>
      </w:r>
      <w:r w:rsidRPr="001C1E97">
        <w:t xml:space="preserve">canakinumab </w:t>
      </w:r>
      <w:r w:rsidRPr="001B3638">
        <w:t>antibodies were detected in 12 patients. For 8 patients, the</w:t>
      </w:r>
      <w:r>
        <w:t xml:space="preserve"> </w:t>
      </w:r>
      <w:r w:rsidRPr="001B3638">
        <w:t>antibodies detected were not considered to be treatment related because they were detected</w:t>
      </w:r>
      <w:r>
        <w:t xml:space="preserve"> </w:t>
      </w:r>
      <w:r w:rsidRPr="001B3638">
        <w:t>before the start of canakinumab treatment. For the 4 remaining patients, no immunogenicity</w:t>
      </w:r>
      <w:r>
        <w:t xml:space="preserve"> </w:t>
      </w:r>
      <w:r w:rsidRPr="001B3638">
        <w:t>associated</w:t>
      </w:r>
      <w:r>
        <w:t xml:space="preserve"> </w:t>
      </w:r>
      <w:r w:rsidRPr="001B3638">
        <w:t>AEs were reported and there were no observed effects on the PK/PD</w:t>
      </w:r>
      <w:r>
        <w:t xml:space="preserve"> profile</w:t>
      </w:r>
      <w:r w:rsidRPr="001B3638">
        <w:t>.</w:t>
      </w:r>
    </w:p>
    <w:p w:rsidR="00D979B8" w:rsidRPr="001C1E97" w:rsidRDefault="00D979B8" w:rsidP="00F47EF9">
      <w:pPr>
        <w:pStyle w:val="Heading7"/>
      </w:pPr>
      <w:r w:rsidRPr="001C1E97">
        <w:t xml:space="preserve">Study </w:t>
      </w:r>
      <w:r>
        <w:t>A2203</w:t>
      </w:r>
    </w:p>
    <w:p w:rsidR="00D979B8" w:rsidRDefault="00D979B8" w:rsidP="003B7970">
      <w:r>
        <w:t>No a</w:t>
      </w:r>
      <w:r w:rsidRPr="002C0DC3">
        <w:t>nti-canakinumab antibodies were detected</w:t>
      </w:r>
      <w:r>
        <w:t>.</w:t>
      </w:r>
    </w:p>
    <w:p w:rsidR="00D979B8" w:rsidRPr="001C1E97" w:rsidRDefault="00D979B8" w:rsidP="00F47EF9">
      <w:pPr>
        <w:pStyle w:val="Heading7"/>
      </w:pPr>
      <w:r w:rsidRPr="001C1E97">
        <w:t>Study G2301E1</w:t>
      </w:r>
    </w:p>
    <w:p w:rsidR="00D979B8" w:rsidRDefault="00D979B8" w:rsidP="003B7970">
      <w:r w:rsidRPr="002C0DC3">
        <w:t xml:space="preserve">Anti-canakinumab antibodies were detected in </w:t>
      </w:r>
      <w:r>
        <w:t>5</w:t>
      </w:r>
      <w:r w:rsidRPr="002C0DC3">
        <w:t xml:space="preserve"> patients</w:t>
      </w:r>
      <w:r>
        <w:t xml:space="preserve">. Of these 5 </w:t>
      </w:r>
      <w:r w:rsidRPr="002C0DC3">
        <w:t xml:space="preserve">patients, </w:t>
      </w:r>
      <w:r>
        <w:t>3</w:t>
      </w:r>
      <w:r w:rsidRPr="002C0DC3">
        <w:t xml:space="preserve"> patients (with previous canakinumab therapy) had antibodies detected at</w:t>
      </w:r>
      <w:r>
        <w:t xml:space="preserve"> </w:t>
      </w:r>
      <w:r w:rsidRPr="002C0DC3">
        <w:t xml:space="preserve">baseline (study entry) and </w:t>
      </w:r>
      <w:r>
        <w:t>2</w:t>
      </w:r>
      <w:r w:rsidRPr="002C0DC3">
        <w:t xml:space="preserve"> patients at post-baseline.</w:t>
      </w:r>
      <w:r w:rsidR="00404BA5">
        <w:t xml:space="preserve"> </w:t>
      </w:r>
      <w:r w:rsidRPr="002C0DC3">
        <w:t>None of these patients had</w:t>
      </w:r>
      <w:r>
        <w:t xml:space="preserve"> </w:t>
      </w:r>
      <w:r w:rsidRPr="002C0DC3">
        <w:t>immunogenicity-associated AEs (hypersensitivity or allergy related) reported and there were</w:t>
      </w:r>
      <w:r>
        <w:t xml:space="preserve"> </w:t>
      </w:r>
      <w:r w:rsidRPr="002C0DC3">
        <w:t>no observed effects on the PK/PD behaviour and no changes to these patients</w:t>
      </w:r>
      <w:r w:rsidR="001924C8">
        <w:t>’</w:t>
      </w:r>
      <w:r w:rsidRPr="002C0DC3">
        <w:t xml:space="preserve"> ACR response</w:t>
      </w:r>
      <w:r>
        <w:t xml:space="preserve"> </w:t>
      </w:r>
      <w:r w:rsidRPr="002C0DC3">
        <w:t>level.</w:t>
      </w:r>
    </w:p>
    <w:p w:rsidR="00D979B8" w:rsidRPr="00786D59" w:rsidRDefault="00D979B8" w:rsidP="00F47EF9">
      <w:pPr>
        <w:pStyle w:val="Heading5"/>
      </w:pPr>
      <w:r w:rsidRPr="00786D59">
        <w:t>Integrated Immunogenicity Report of Patients Treated with Canakinumab in sJIA</w:t>
      </w:r>
    </w:p>
    <w:p w:rsidR="00D979B8" w:rsidRPr="009C5E0B" w:rsidRDefault="00D979B8" w:rsidP="00F47EF9">
      <w:pPr>
        <w:pStyle w:val="Heading6"/>
      </w:pPr>
      <w:r w:rsidRPr="009C5E0B">
        <w:t>Background</w:t>
      </w:r>
      <w:r w:rsidR="00404BA5">
        <w:t>/</w:t>
      </w:r>
      <w:r w:rsidRPr="00F47EF9">
        <w:t>Methodology</w:t>
      </w:r>
    </w:p>
    <w:p w:rsidR="00D979B8" w:rsidRDefault="00D979B8" w:rsidP="003B7970">
      <w:r>
        <w:t>An overview of the immunogenicity of canakinumab in the sJIA studies was submitted by the sponsor (date of report: 28 September 2012).</w:t>
      </w:r>
      <w:r w:rsidR="00404BA5">
        <w:t xml:space="preserve"> </w:t>
      </w:r>
      <w:r w:rsidRPr="00293B19">
        <w:t>Anti-canakinumab antibodies were analysed in serum of patients</w:t>
      </w:r>
      <w:r>
        <w:t xml:space="preserve"> from studies A2203, G2301, G2305 and G2301E1 </w:t>
      </w:r>
      <w:r w:rsidRPr="00293B19">
        <w:t>at specific time points during the treatment phase depending on the</w:t>
      </w:r>
      <w:r>
        <w:t xml:space="preserve"> </w:t>
      </w:r>
      <w:r w:rsidRPr="00293B19">
        <w:t xml:space="preserve">study design but always included a baseline pre-dose measurement, a sample taken </w:t>
      </w:r>
      <w:r w:rsidR="001924C8">
        <w:t xml:space="preserve">approximately </w:t>
      </w:r>
      <w:r w:rsidRPr="00293B19">
        <w:t>4</w:t>
      </w:r>
      <w:r>
        <w:t xml:space="preserve"> </w:t>
      </w:r>
      <w:r w:rsidRPr="00293B19">
        <w:t xml:space="preserve">weeks post dose and an end of study sample. </w:t>
      </w:r>
      <w:r>
        <w:t>A</w:t>
      </w:r>
      <w:r w:rsidRPr="00293B19">
        <w:t xml:space="preserve">dditional samples </w:t>
      </w:r>
      <w:r>
        <w:t>were collected if</w:t>
      </w:r>
      <w:r w:rsidRPr="00293B19">
        <w:t xml:space="preserve"> anaphyl</w:t>
      </w:r>
      <w:r>
        <w:t xml:space="preserve">axis or anaphylactoid reactions occurred </w:t>
      </w:r>
      <w:r w:rsidRPr="00293B19">
        <w:t xml:space="preserve">after injection, </w:t>
      </w:r>
      <w:r>
        <w:t>with</w:t>
      </w:r>
      <w:r w:rsidRPr="00293B19">
        <w:t xml:space="preserve"> additional</w:t>
      </w:r>
      <w:r>
        <w:t xml:space="preserve"> </w:t>
      </w:r>
      <w:r w:rsidRPr="00293B19">
        <w:t>character</w:t>
      </w:r>
      <w:r>
        <w:t>is</w:t>
      </w:r>
      <w:r w:rsidRPr="00293B19">
        <w:t>ation to detect IgE raised to canakinumab.</w:t>
      </w:r>
      <w:r w:rsidR="00404BA5">
        <w:t xml:space="preserve"> </w:t>
      </w:r>
      <w:r>
        <w:t>Canakinumab concentration</w:t>
      </w:r>
      <w:r w:rsidRPr="00881ED9">
        <w:t xml:space="preserve"> was </w:t>
      </w:r>
      <w:r>
        <w:t>measured at the same time</w:t>
      </w:r>
      <w:r w:rsidRPr="00881ED9">
        <w:t xml:space="preserve"> to permit interpretation of the</w:t>
      </w:r>
      <w:r>
        <w:t xml:space="preserve"> </w:t>
      </w:r>
      <w:r w:rsidRPr="00881ED9">
        <w:t>immunogenicity data (</w:t>
      </w:r>
      <w:r w:rsidR="001924C8">
        <w:t>that is,</w:t>
      </w:r>
      <w:r w:rsidRPr="00881ED9">
        <w:t xml:space="preserve"> to consider the possibility of false negatives due to high</w:t>
      </w:r>
      <w:r>
        <w:t xml:space="preserve"> </w:t>
      </w:r>
      <w:r w:rsidRPr="00881ED9">
        <w:t>canakinumab concentrations referred to as drug tolerance of the immunogenicity assay).</w:t>
      </w:r>
    </w:p>
    <w:p w:rsidR="00D979B8" w:rsidRDefault="00D979B8" w:rsidP="003B7970">
      <w:r>
        <w:t xml:space="preserve">The assay used in study A2203 was based on a Biocore assay, which was replaced in 2010 with a </w:t>
      </w:r>
      <w:r w:rsidRPr="00200F16">
        <w:t>bridging meso scale discovery (MSD) assay with increased sensitivity</w:t>
      </w:r>
      <w:r>
        <w:t>.</w:t>
      </w:r>
      <w:r w:rsidR="00404BA5">
        <w:t xml:space="preserve"> </w:t>
      </w:r>
      <w:r>
        <w:t>Both assays have been validated.</w:t>
      </w:r>
      <w:r w:rsidR="00404BA5">
        <w:t xml:space="preserve"> </w:t>
      </w:r>
      <w:r>
        <w:t>All samples we</w:t>
      </w:r>
      <w:r w:rsidRPr="00200F16">
        <w:t>re subjected to</w:t>
      </w:r>
      <w:r>
        <w:t xml:space="preserve"> </w:t>
      </w:r>
      <w:r w:rsidRPr="00200F16">
        <w:t xml:space="preserve">routine screening for </w:t>
      </w:r>
      <w:r>
        <w:t>anti-drug antibodies (</w:t>
      </w:r>
      <w:r w:rsidRPr="00200F16">
        <w:t>ADAs</w:t>
      </w:r>
      <w:r>
        <w:t>)</w:t>
      </w:r>
      <w:r w:rsidRPr="00200F16">
        <w:t>; those that test</w:t>
      </w:r>
      <w:r>
        <w:t>ed positive we</w:t>
      </w:r>
      <w:r w:rsidRPr="00200F16">
        <w:t>re subjected to the confirmation assay,</w:t>
      </w:r>
      <w:r>
        <w:t xml:space="preserve"> </w:t>
      </w:r>
      <w:r w:rsidRPr="00200F16">
        <w:t>and then titrated to determine the intensity of response. A positive result on both screening</w:t>
      </w:r>
      <w:r>
        <w:t xml:space="preserve"> and confirmatory assays triggered</w:t>
      </w:r>
      <w:r w:rsidRPr="00200F16">
        <w:t xml:space="preserve"> further analysi</w:t>
      </w:r>
      <w:r>
        <w:t>s of the samples, which involved</w:t>
      </w:r>
      <w:r w:rsidRPr="00200F16">
        <w:t xml:space="preserve"> a</w:t>
      </w:r>
      <w:r>
        <w:t xml:space="preserve"> </w:t>
      </w:r>
      <w:r w:rsidRPr="00200F16">
        <w:t>neutral</w:t>
      </w:r>
      <w:r>
        <w:t>is</w:t>
      </w:r>
      <w:r w:rsidRPr="00200F16">
        <w:t>ation enzyme-linked immunosorbent (ELISA) assay to evaluate the potential of</w:t>
      </w:r>
      <w:r>
        <w:t xml:space="preserve"> </w:t>
      </w:r>
      <w:r w:rsidRPr="00200F16">
        <w:t>ADAs to block binding of canakinumab to soluble IL-1β</w:t>
      </w:r>
      <w:r>
        <w:t>.</w:t>
      </w:r>
    </w:p>
    <w:p w:rsidR="00D979B8" w:rsidRDefault="00D979B8" w:rsidP="003B7970">
      <w:r>
        <w:t xml:space="preserve">The sponsor also established </w:t>
      </w:r>
      <w:r w:rsidRPr="00200F16">
        <w:t>an event-driven approach</w:t>
      </w:r>
      <w:r>
        <w:t xml:space="preserve">, searching the </w:t>
      </w:r>
      <w:r w:rsidRPr="00F86ADF">
        <w:t xml:space="preserve">clinical trial database for any AE that could potentially be related to immunogenicity, including </w:t>
      </w:r>
      <w:r>
        <w:t>administration</w:t>
      </w:r>
      <w:r w:rsidRPr="00F86ADF">
        <w:t xml:space="preserve"> site reactions, </w:t>
      </w:r>
      <w:r>
        <w:t>hypersensitivity reactions, a</w:t>
      </w:r>
      <w:r w:rsidRPr="00F86ADF">
        <w:t xml:space="preserve">utoimmune disorders and </w:t>
      </w:r>
      <w:r>
        <w:t>i</w:t>
      </w:r>
      <w:r w:rsidRPr="00F86ADF">
        <w:t>mmune disorders.</w:t>
      </w:r>
      <w:r w:rsidRPr="00200F16">
        <w:t xml:space="preserve"> </w:t>
      </w:r>
      <w:r>
        <w:t>When an</w:t>
      </w:r>
      <w:r w:rsidRPr="00200F16">
        <w:t xml:space="preserve"> immune-related AE</w:t>
      </w:r>
      <w:r>
        <w:t xml:space="preserve"> occurred,</w:t>
      </w:r>
      <w:r w:rsidRPr="00200F16">
        <w:t xml:space="preserve"> samples </w:t>
      </w:r>
      <w:r>
        <w:t>were</w:t>
      </w:r>
      <w:r w:rsidRPr="00200F16">
        <w:t xml:space="preserve"> </w:t>
      </w:r>
      <w:r>
        <w:t>collected</w:t>
      </w:r>
      <w:r w:rsidRPr="00200F16">
        <w:t xml:space="preserve"> and tested using the MSD assay.</w:t>
      </w:r>
      <w:r w:rsidR="00404BA5">
        <w:t xml:space="preserve"> </w:t>
      </w:r>
      <w:r>
        <w:t xml:space="preserve">If the </w:t>
      </w:r>
      <w:r w:rsidRPr="00200F16">
        <w:t xml:space="preserve">event </w:t>
      </w:r>
      <w:r>
        <w:t>could</w:t>
      </w:r>
      <w:r w:rsidR="001924C8">
        <w:t xml:space="preserve"> </w:t>
      </w:r>
      <w:r>
        <w:t>n</w:t>
      </w:r>
      <w:r w:rsidR="001924C8">
        <w:t>o</w:t>
      </w:r>
      <w:r>
        <w:t>t</w:t>
      </w:r>
      <w:r w:rsidRPr="00200F16">
        <w:t xml:space="preserve"> be explained by the presence of ADA</w:t>
      </w:r>
      <w:r>
        <w:t>s</w:t>
      </w:r>
      <w:r w:rsidRPr="00200F16">
        <w:t xml:space="preserve"> using the MSD assay, </w:t>
      </w:r>
      <w:r>
        <w:t>further testing with a</w:t>
      </w:r>
      <w:r w:rsidRPr="00200F16">
        <w:t xml:space="preserve"> neutral</w:t>
      </w:r>
      <w:r>
        <w:t>is</w:t>
      </w:r>
      <w:r w:rsidRPr="00200F16">
        <w:t>ing antibody assay</w:t>
      </w:r>
      <w:r>
        <w:t xml:space="preserve"> was considered.</w:t>
      </w:r>
      <w:r w:rsidR="00404BA5">
        <w:t xml:space="preserve"> </w:t>
      </w:r>
      <w:r>
        <w:t>Patients who discontinued due to loss an initial response to treatment (</w:t>
      </w:r>
      <w:r w:rsidR="001924C8">
        <w:t>≥</w:t>
      </w:r>
      <w:r>
        <w:t xml:space="preserve">ACR30 at Day 15) were also assessed for ADAs and </w:t>
      </w:r>
      <w:r w:rsidRPr="00D30899">
        <w:t>indirect evidence of antibody</w:t>
      </w:r>
      <w:r>
        <w:t xml:space="preserve"> </w:t>
      </w:r>
      <w:r w:rsidRPr="00D30899">
        <w:t>production post-treatment.</w:t>
      </w:r>
    </w:p>
    <w:p w:rsidR="00D979B8" w:rsidRPr="009C5E0B" w:rsidRDefault="00D979B8" w:rsidP="003B7970">
      <w:r>
        <w:t>P</w:t>
      </w:r>
      <w:r w:rsidRPr="009C5E0B">
        <w:t>osttreatment ADA</w:t>
      </w:r>
      <w:r>
        <w:t>s were</w:t>
      </w:r>
      <w:r w:rsidRPr="009C5E0B">
        <w:t xml:space="preserve"> classified in three categories: transient,</w:t>
      </w:r>
      <w:r>
        <w:t xml:space="preserve"> </w:t>
      </w:r>
      <w:r w:rsidRPr="009C5E0B">
        <w:t>persistent or other:</w:t>
      </w:r>
    </w:p>
    <w:p w:rsidR="00D979B8" w:rsidRPr="009C5E0B" w:rsidRDefault="00D979B8" w:rsidP="003B7970">
      <w:pPr>
        <w:pStyle w:val="ListBullet"/>
      </w:pPr>
      <w:r w:rsidRPr="009C5E0B">
        <w:t>Transient: single IG positive time point(s) followed by IG negative time point(s)</w:t>
      </w:r>
    </w:p>
    <w:p w:rsidR="00D979B8" w:rsidRPr="009C5E0B" w:rsidRDefault="00D979B8" w:rsidP="003B7970">
      <w:pPr>
        <w:pStyle w:val="ListBullet"/>
      </w:pPr>
      <w:r w:rsidRPr="009C5E0B">
        <w:t>Persistent: two or more consecutive IG positive time points for an interval that spans</w:t>
      </w:r>
      <w:r>
        <w:t xml:space="preserve"> </w:t>
      </w:r>
      <w:r w:rsidRPr="009C5E0B">
        <w:t>&gt;16weeks</w:t>
      </w:r>
    </w:p>
    <w:p w:rsidR="00D979B8" w:rsidRPr="009C5E0B" w:rsidRDefault="00D979B8" w:rsidP="003B7970">
      <w:pPr>
        <w:pStyle w:val="ListBullet"/>
      </w:pPr>
      <w:r w:rsidRPr="009C5E0B">
        <w:lastRenderedPageBreak/>
        <w:t>Other:</w:t>
      </w:r>
    </w:p>
    <w:p w:rsidR="00D979B8" w:rsidRPr="009C5E0B" w:rsidRDefault="001924C8" w:rsidP="003B7970">
      <w:pPr>
        <w:pStyle w:val="ListBullet2"/>
      </w:pPr>
      <w:r>
        <w:t>P</w:t>
      </w:r>
      <w:r w:rsidR="00D979B8" w:rsidRPr="009C5E0B">
        <w:t>atients with only one sample collected;</w:t>
      </w:r>
    </w:p>
    <w:p w:rsidR="00D979B8" w:rsidRPr="009C5E0B" w:rsidRDefault="001924C8" w:rsidP="003B7970">
      <w:pPr>
        <w:pStyle w:val="ListBullet2"/>
      </w:pPr>
      <w:r>
        <w:t>P</w:t>
      </w:r>
      <w:r w:rsidR="00D979B8" w:rsidRPr="009C5E0B">
        <w:t>atients with at least 2 samples collected at an interval &lt;16weeks due to study design;</w:t>
      </w:r>
      <w:r w:rsidR="00D979B8">
        <w:t xml:space="preserve"> </w:t>
      </w:r>
      <w:r w:rsidR="00D979B8" w:rsidRPr="009C5E0B">
        <w:t>and</w:t>
      </w:r>
    </w:p>
    <w:p w:rsidR="00D979B8" w:rsidRDefault="001924C8" w:rsidP="003B7970">
      <w:pPr>
        <w:pStyle w:val="ListBullet2"/>
      </w:pPr>
      <w:r>
        <w:t>O</w:t>
      </w:r>
      <w:r w:rsidR="00D979B8" w:rsidRPr="009C5E0B">
        <w:t>ther patients that do not fit into the definitions above of transient and persistent.</w:t>
      </w:r>
    </w:p>
    <w:p w:rsidR="00D979B8" w:rsidRPr="009C5E0B" w:rsidRDefault="00D979B8" w:rsidP="003B7970">
      <w:pPr>
        <w:pStyle w:val="Heading6"/>
      </w:pPr>
      <w:r w:rsidRPr="009C5E0B">
        <w:t>Results</w:t>
      </w:r>
    </w:p>
    <w:p w:rsidR="00D979B8" w:rsidRDefault="00D979B8" w:rsidP="003B7970">
      <w:r>
        <w:t>Of the 201 sJIA patients in the studies, 196 patients had immunogenicity testing and 14 patients had ADAs detected.</w:t>
      </w:r>
      <w:r w:rsidR="00404BA5">
        <w:t xml:space="preserve"> </w:t>
      </w:r>
      <w:r>
        <w:t xml:space="preserve">Of these 14 patients, </w:t>
      </w:r>
      <w:r w:rsidRPr="00113DDF">
        <w:t>8 patients had ADA detected at baseline only and thus are not considered as treatment-induced, while 6 had posttreatment</w:t>
      </w:r>
      <w:r>
        <w:t xml:space="preserve"> </w:t>
      </w:r>
      <w:r w:rsidRPr="00113DDF">
        <w:t>ADA</w:t>
      </w:r>
      <w:r>
        <w:t>s</w:t>
      </w:r>
      <w:r w:rsidRPr="00113DDF">
        <w:t xml:space="preserve"> with no baseline ADA detected, representi</w:t>
      </w:r>
      <w:r>
        <w:t>ng an incidence of 3.1% (6/196).</w:t>
      </w:r>
      <w:r w:rsidR="00404BA5">
        <w:t xml:space="preserve"> </w:t>
      </w:r>
      <w:r w:rsidRPr="00113DDF">
        <w:t>Of the posttreatment ADA patients, 2 were classified as being transient, 1 persistent and 3 other.</w:t>
      </w:r>
      <w:r w:rsidR="00404BA5">
        <w:t xml:space="preserve"> </w:t>
      </w:r>
      <w:r w:rsidRPr="00113DDF">
        <w:t>No neutral</w:t>
      </w:r>
      <w:r>
        <w:t>is</w:t>
      </w:r>
      <w:r w:rsidRPr="00113DDF">
        <w:t xml:space="preserve">ing antibodies were detected in any of the </w:t>
      </w:r>
      <w:r>
        <w:t>s</w:t>
      </w:r>
      <w:r w:rsidRPr="00113DDF">
        <w:t>JIA patients.</w:t>
      </w:r>
      <w:r w:rsidR="00404BA5">
        <w:t xml:space="preserve"> </w:t>
      </w:r>
      <w:r>
        <w:t>N</w:t>
      </w:r>
      <w:r w:rsidRPr="00113DDF">
        <w:t>o events of anaphylaxis or anaphylactoid reactions were reported;</w:t>
      </w:r>
      <w:r>
        <w:t xml:space="preserve"> therefore</w:t>
      </w:r>
      <w:r w:rsidRPr="00113DDF">
        <w:t xml:space="preserve"> IgE testing was not performed in any of the </w:t>
      </w:r>
      <w:r>
        <w:t>s</w:t>
      </w:r>
      <w:r w:rsidRPr="00113DDF">
        <w:t>JIA studies.</w:t>
      </w:r>
    </w:p>
    <w:p w:rsidR="00D979B8" w:rsidRDefault="00D979B8" w:rsidP="003B7970">
      <w:r>
        <w:t xml:space="preserve">None of the 6 patients with </w:t>
      </w:r>
      <w:r w:rsidRPr="00113DDF">
        <w:t>posttreatment</w:t>
      </w:r>
      <w:r>
        <w:t xml:space="preserve"> </w:t>
      </w:r>
      <w:r w:rsidRPr="00113DDF">
        <w:t>ADA</w:t>
      </w:r>
      <w:r>
        <w:t>s had any apparent efficacy consequences, and only 1 patient had a potential allergy</w:t>
      </w:r>
      <w:r w:rsidR="00404BA5">
        <w:t>/</w:t>
      </w:r>
      <w:r>
        <w:t xml:space="preserve">hypersensitivity AE (eyelid oedema </w:t>
      </w:r>
      <w:r w:rsidR="00186C14">
        <w:t>and</w:t>
      </w:r>
      <w:r>
        <w:t xml:space="preserve"> mild coughing, both resolved without action being taken).</w:t>
      </w:r>
      <w:r w:rsidR="00404BA5">
        <w:t xml:space="preserve"> </w:t>
      </w:r>
      <w:r>
        <w:t xml:space="preserve">Comparison of the trough canakinumab and total IL-1β concentrations </w:t>
      </w:r>
      <w:r w:rsidRPr="006A1742">
        <w:t xml:space="preserve">at the times when </w:t>
      </w:r>
      <w:r>
        <w:t>antibodies were detected</w:t>
      </w:r>
      <w:r w:rsidRPr="006A1742">
        <w:t xml:space="preserve"> </w:t>
      </w:r>
      <w:r>
        <w:t>with</w:t>
      </w:r>
      <w:r w:rsidRPr="006A1742">
        <w:t xml:space="preserve"> concentrations at other times did not </w:t>
      </w:r>
      <w:r>
        <w:t>reveal</w:t>
      </w:r>
      <w:r w:rsidRPr="006A1742">
        <w:t xml:space="preserve"> any differences.</w:t>
      </w:r>
    </w:p>
    <w:p w:rsidR="00186C14" w:rsidRDefault="00D979B8" w:rsidP="003B7970">
      <w:r w:rsidRPr="00F943B6">
        <w:t>Eighteen patients met the definition o</w:t>
      </w:r>
      <w:r w:rsidR="003B7970">
        <w:t>f loss of efficacy because they</w:t>
      </w:r>
    </w:p>
    <w:p w:rsidR="00186C14" w:rsidRPr="008F6698" w:rsidRDefault="00D979B8" w:rsidP="00F47EF9">
      <w:pPr>
        <w:pStyle w:val="Numberbullet0"/>
      </w:pPr>
      <w:r w:rsidRPr="008F6698">
        <w:t>showed initial response (</w:t>
      </w:r>
      <w:r w:rsidR="008F6698">
        <w:t xml:space="preserve">≥ </w:t>
      </w:r>
      <w:r w:rsidRPr="008F6698">
        <w:t xml:space="preserve">adapted Paediatric ACR30) on Day 15 in the study where they </w:t>
      </w:r>
      <w:r w:rsidRPr="00F47EF9">
        <w:t>received</w:t>
      </w:r>
      <w:r w:rsidRPr="008F6698">
        <w:t xml:space="preserve"> their</w:t>
      </w:r>
      <w:r w:rsidR="00F47EF9">
        <w:t xml:space="preserve"> first dose of canakinumab; and</w:t>
      </w:r>
    </w:p>
    <w:p w:rsidR="00186C14" w:rsidRPr="008F6698" w:rsidRDefault="00D979B8" w:rsidP="003B7970">
      <w:pPr>
        <w:pStyle w:val="Numberbullet0"/>
      </w:pPr>
      <w:r w:rsidRPr="008F6698">
        <w:t>subsequently discontinued the program due to unsatisfactory therapeutic effect secondary to becoming a non-responder.</w:t>
      </w:r>
    </w:p>
    <w:p w:rsidR="00D979B8" w:rsidRDefault="00D979B8" w:rsidP="003B7970">
      <w:r>
        <w:t>None of t</w:t>
      </w:r>
      <w:r w:rsidRPr="00F943B6">
        <w:t xml:space="preserve">hese patients </w:t>
      </w:r>
      <w:r>
        <w:t>had a posttreatment</w:t>
      </w:r>
      <w:r w:rsidRPr="00F943B6">
        <w:t xml:space="preserve"> </w:t>
      </w:r>
      <w:r>
        <w:t xml:space="preserve">positive </w:t>
      </w:r>
      <w:r w:rsidRPr="00F943B6">
        <w:t xml:space="preserve">ADA </w:t>
      </w:r>
      <w:r>
        <w:t xml:space="preserve">detected, although 2 </w:t>
      </w:r>
      <w:r w:rsidRPr="00F943B6">
        <w:t xml:space="preserve">did have </w:t>
      </w:r>
      <w:r>
        <w:t xml:space="preserve">a </w:t>
      </w:r>
      <w:r w:rsidRPr="00F943B6">
        <w:t>positive ADA at baseline.</w:t>
      </w:r>
      <w:r w:rsidR="00404BA5">
        <w:t xml:space="preserve"> </w:t>
      </w:r>
      <w:r>
        <w:t xml:space="preserve">Indirect evidence of ADA effects on efficacy was also investigated using the observed canakinumab and total IL-1β levels and those generated on the </w:t>
      </w:r>
      <w:r w:rsidRPr="00F943B6">
        <w:t>population-based PK-binding model for each patient</w:t>
      </w:r>
      <w:r>
        <w:t>.</w:t>
      </w:r>
      <w:r w:rsidR="00404BA5">
        <w:t xml:space="preserve"> </w:t>
      </w:r>
      <w:r>
        <w:t>The levels were highly variable between patients, and there was no obvious trend of a reduction in either canakinumab or IL-1β binding ability in these patients.</w:t>
      </w:r>
    </w:p>
    <w:p w:rsidR="00D979B8" w:rsidRDefault="00D979B8" w:rsidP="003B7970">
      <w:r>
        <w:t xml:space="preserve">In total, 89 patients were identified with 182 AEs </w:t>
      </w:r>
      <w:r w:rsidRPr="00F86ADF">
        <w:t>potentially related to immunogenicity</w:t>
      </w:r>
      <w:r>
        <w:t>.</w:t>
      </w:r>
      <w:r w:rsidR="00404BA5">
        <w:t xml:space="preserve"> </w:t>
      </w:r>
      <w:r w:rsidRPr="00F86ADF">
        <w:t>No anaphylaxis</w:t>
      </w:r>
      <w:r>
        <w:t xml:space="preserve"> </w:t>
      </w:r>
      <w:r w:rsidRPr="00F86ADF">
        <w:t>or anaphylactoid reaction AEs were reported.</w:t>
      </w:r>
      <w:r w:rsidR="00404BA5">
        <w:t xml:space="preserve"> </w:t>
      </w:r>
      <w:r>
        <w:t>SAEs were experienced by 5</w:t>
      </w:r>
      <w:r w:rsidRPr="00F86ADF">
        <w:t xml:space="preserve"> of the 89 patients, yet none of these </w:t>
      </w:r>
      <w:r>
        <w:t>qualified as</w:t>
      </w:r>
      <w:r w:rsidRPr="00F86ADF">
        <w:t xml:space="preserve"> immunogenicity</w:t>
      </w:r>
      <w:r>
        <w:t xml:space="preserve">-related </w:t>
      </w:r>
      <w:r w:rsidRPr="00F86ADF">
        <w:t>and all had more plausible alternative explanations.</w:t>
      </w:r>
      <w:r w:rsidR="00404BA5">
        <w:t xml:space="preserve"> </w:t>
      </w:r>
      <w:r>
        <w:t>Eighteen patients experienced 22 AEs that qualified as</w:t>
      </w:r>
      <w:r w:rsidRPr="00F86ADF">
        <w:t xml:space="preserve"> immunogenicity</w:t>
      </w:r>
      <w:r>
        <w:t>-related (6 x cough, 5 x erythema/erythematous rash, 3 x oedema) none of which were serious or resulted in study discontinuation.</w:t>
      </w:r>
      <w:r w:rsidR="00404BA5">
        <w:t xml:space="preserve"> </w:t>
      </w:r>
      <w:r>
        <w:t>Eleven of the events required no action, with the remaining 11 events required concomitant medications (antihistamines, morphine, antibiotics, expectorant, or antiseptic).</w:t>
      </w:r>
    </w:p>
    <w:p w:rsidR="00D979B8" w:rsidRPr="00D979B8" w:rsidRDefault="00D979B8" w:rsidP="003B7970">
      <w:r>
        <w:t>See also Attachment 2.</w:t>
      </w:r>
    </w:p>
    <w:p w:rsidR="00605AD4" w:rsidRPr="00186C14" w:rsidRDefault="00605AD4" w:rsidP="003B7970">
      <w:pPr>
        <w:pStyle w:val="Heading4"/>
      </w:pPr>
      <w:r w:rsidRPr="00605AD4">
        <w:t>Postmarketing data</w:t>
      </w:r>
    </w:p>
    <w:p w:rsidR="00D979B8" w:rsidRDefault="00D979B8" w:rsidP="003B7970">
      <w:r>
        <w:t>The sponsor submitted Periodic Safety Update Report 07 (PSUR 07) covering the period 1 July 2012 to 31 December 2012.</w:t>
      </w:r>
      <w:r w:rsidR="00404BA5">
        <w:t xml:space="preserve"> </w:t>
      </w:r>
      <w:r>
        <w:t>Safety changes made to the Core Data Sheet during the period covered by PSUR 07 included:</w:t>
      </w:r>
    </w:p>
    <w:p w:rsidR="00D979B8" w:rsidRPr="003C162B" w:rsidRDefault="00D979B8" w:rsidP="003B7970">
      <w:pPr>
        <w:pStyle w:val="ListBullet"/>
      </w:pPr>
      <w:r w:rsidRPr="003C162B">
        <w:t>Warning and Precautions: Macrophage Activation Syndrome added.</w:t>
      </w:r>
    </w:p>
    <w:p w:rsidR="00D979B8" w:rsidRPr="003C162B" w:rsidRDefault="00D979B8" w:rsidP="003B7970">
      <w:pPr>
        <w:pStyle w:val="ListBullet"/>
      </w:pPr>
      <w:r w:rsidRPr="003C162B">
        <w:t>Adverse Drug Reactions: updated with the type of infections most frequently reported.</w:t>
      </w:r>
    </w:p>
    <w:p w:rsidR="00D979B8" w:rsidRDefault="00D979B8" w:rsidP="003B7970">
      <w:r w:rsidRPr="001549B1">
        <w:lastRenderedPageBreak/>
        <w:t>The only action taken for safety reasons was the imposition of</w:t>
      </w:r>
      <w:r>
        <w:t xml:space="preserve"> a</w:t>
      </w:r>
      <w:r w:rsidRPr="001549B1">
        <w:t xml:space="preserve"> temporary clinical hold in two clinical studies (CACZ885H2358 and CACZ885I2206) due to the detection of a quality defect (shrunken lyophilized cake) in placebo vials being utilized in those studies.</w:t>
      </w:r>
    </w:p>
    <w:p w:rsidR="00D979B8" w:rsidRDefault="00D979B8" w:rsidP="003B7970">
      <w:r>
        <w:t>N</w:t>
      </w:r>
      <w:r w:rsidRPr="001549B1">
        <w:t>o new safety findings</w:t>
      </w:r>
      <w:r>
        <w:t xml:space="preserve"> were observed in Novartis sponsored clinical trials, non-interventional studies, investigator initiated trials, or individual case safety reports (ICRS) (although event rate was slightly increased compared with PSUR 06).</w:t>
      </w:r>
    </w:p>
    <w:p w:rsidR="00D979B8" w:rsidRPr="0096041D" w:rsidRDefault="00186C14" w:rsidP="003B7970">
      <w:r w:rsidRPr="0096041D">
        <w:t xml:space="preserve">Ilaris </w:t>
      </w:r>
      <w:r w:rsidR="00D979B8" w:rsidRPr="0096041D">
        <w:t>RMP version 5</w:t>
      </w:r>
      <w:r w:rsidR="00A903AE">
        <w:t xml:space="preserve"> (</w:t>
      </w:r>
      <w:r w:rsidR="00D979B8" w:rsidRPr="0096041D">
        <w:t>30 Sep</w:t>
      </w:r>
      <w:r w:rsidR="00A903AE">
        <w:t>tember</w:t>
      </w:r>
      <w:r w:rsidR="00D979B8" w:rsidRPr="0096041D">
        <w:t xml:space="preserve"> 201</w:t>
      </w:r>
      <w:r w:rsidR="00D979B8">
        <w:t>1) lists three important identified risks (i</w:t>
      </w:r>
      <w:r w:rsidR="00D979B8" w:rsidRPr="0096041D">
        <w:t>nfections, neutropenia and thrombocytopenia</w:t>
      </w:r>
      <w:r w:rsidR="00D979B8">
        <w:t>) and 12 important potential risks (o</w:t>
      </w:r>
      <w:r w:rsidR="00D979B8" w:rsidRPr="00D326A4">
        <w:t>pportunistic infections, immunogenicity</w:t>
      </w:r>
      <w:r w:rsidR="00404BA5">
        <w:t>/</w:t>
      </w:r>
      <w:r w:rsidR="00D979B8" w:rsidRPr="00D326A4">
        <w:t>allergenicity, lymphoid organ toxicity,</w:t>
      </w:r>
      <w:r w:rsidR="00D979B8">
        <w:t xml:space="preserve"> </w:t>
      </w:r>
      <w:r w:rsidR="00D979B8" w:rsidRPr="00D326A4">
        <w:t>autoimmunity reactions, severe injection site reactions, malignancy, disorders of lipoprotein</w:t>
      </w:r>
      <w:r w:rsidR="00D979B8">
        <w:t xml:space="preserve"> </w:t>
      </w:r>
      <w:r w:rsidR="00D979B8" w:rsidRPr="00D326A4">
        <w:t>metabolism, drug induced liver injury (</w:t>
      </w:r>
      <w:r w:rsidRPr="00186C14">
        <w:rPr>
          <w:rStyle w:val="Emphasis"/>
          <w:rFonts w:cs="Arial"/>
          <w:b w:val="0"/>
          <w:color w:val="222222"/>
        </w:rPr>
        <w:t>Drug-induced liver injury</w:t>
      </w:r>
      <w:r w:rsidRPr="00D326A4">
        <w:t xml:space="preserve"> </w:t>
      </w:r>
      <w:r>
        <w:t>(</w:t>
      </w:r>
      <w:r w:rsidR="00D979B8" w:rsidRPr="00D326A4">
        <w:t>DILI</w:t>
      </w:r>
      <w:r>
        <w:t>)</w:t>
      </w:r>
      <w:r w:rsidR="00D979B8" w:rsidRPr="00D326A4">
        <w:t>, hepatic transaminase and bilirubin elevations),</w:t>
      </w:r>
      <w:r w:rsidR="00D979B8">
        <w:t xml:space="preserve"> </w:t>
      </w:r>
      <w:r w:rsidR="00D979B8" w:rsidRPr="00D326A4">
        <w:t>vertigo, canakinumab</w:t>
      </w:r>
      <w:r w:rsidR="00F47EF9">
        <w:t xml:space="preserve"> </w:t>
      </w:r>
      <w:r w:rsidR="00D979B8" w:rsidRPr="00D326A4">
        <w:t>/</w:t>
      </w:r>
      <w:r w:rsidR="00F47EF9">
        <w:t xml:space="preserve"> </w:t>
      </w:r>
      <w:r w:rsidR="00D979B8" w:rsidRPr="00D326A4">
        <w:t>immunosuppressant combination therapy toxicity (for CAPS), benzyl</w:t>
      </w:r>
      <w:r w:rsidR="00D979B8">
        <w:t xml:space="preserve"> </w:t>
      </w:r>
      <w:r w:rsidR="00D979B8" w:rsidRPr="00D326A4">
        <w:t>alcohol toxicity (for CAPS) and increased uric acid (for gouty arthritis)</w:t>
      </w:r>
      <w:r w:rsidR="00D979B8">
        <w:t>)</w:t>
      </w:r>
      <w:r w:rsidR="00D979B8" w:rsidRPr="0096041D">
        <w:t>.</w:t>
      </w:r>
      <w:r w:rsidR="00404BA5">
        <w:t xml:space="preserve"> </w:t>
      </w:r>
      <w:r w:rsidR="00D979B8">
        <w:t>After evaluation of reports in the Novartis Safety database, review of relevant publications, clinical and preclinical trial databases and epidemiological data, the sponsor did not consider that there was any new relevant data on any of these issues.</w:t>
      </w:r>
    </w:p>
    <w:p w:rsidR="00D979B8" w:rsidRDefault="00D979B8" w:rsidP="003B7970">
      <w:r w:rsidRPr="00F1088D">
        <w:t xml:space="preserve">The </w:t>
      </w:r>
      <w:r w:rsidR="00186C14">
        <w:t>s</w:t>
      </w:r>
      <w:r w:rsidRPr="00F1088D">
        <w:t xml:space="preserve">ponsor concluded that: </w:t>
      </w:r>
      <w:r w:rsidR="00186C14">
        <w:t>‘</w:t>
      </w:r>
      <w:r w:rsidRPr="00F1088D">
        <w:t>The risks as described in RMP version 5.0 and the currently valid SmPC correctly reflect the knowledge of the product. The risks will continue to be monitored in accordance with current regulatory pharmacovigilance practices and the outlined risk management.</w:t>
      </w:r>
      <w:r w:rsidR="00186C14">
        <w:t>’</w:t>
      </w:r>
    </w:p>
    <w:p w:rsidR="00605AD4" w:rsidRPr="00605AD4" w:rsidRDefault="00605AD4" w:rsidP="003B7970">
      <w:pPr>
        <w:pStyle w:val="Heading4"/>
      </w:pPr>
      <w:r w:rsidRPr="00605AD4">
        <w:t>Evaluator’s conclusions on safety</w:t>
      </w:r>
    </w:p>
    <w:p w:rsidR="00D979B8" w:rsidRDefault="00D979B8" w:rsidP="003B7970">
      <w:r w:rsidRPr="009B154D">
        <w:t>Using the p</w:t>
      </w:r>
      <w:r w:rsidR="00186C14">
        <w:t>ooled sJIA dataset for safety (S</w:t>
      </w:r>
      <w:r w:rsidRPr="009B154D">
        <w:t xml:space="preserve">tudies A2203, G2305 and G2301, and an interim report from the ongoing extension Study G2301E1), there were 201 patients aged 2 </w:t>
      </w:r>
      <w:r w:rsidR="00186C14">
        <w:t>to</w:t>
      </w:r>
      <w:r w:rsidRPr="009B154D">
        <w:t xml:space="preserve"> 19 years who</w:t>
      </w:r>
      <w:r w:rsidRPr="009D6EBC">
        <w:t xml:space="preserve"> received canakinumab 4</w:t>
      </w:r>
      <w:r w:rsidR="00404BA5">
        <w:t xml:space="preserve"> mg/kg</w:t>
      </w:r>
      <w:r w:rsidRPr="009D6EBC">
        <w:t xml:space="preserve"> every 4 weeks for a total of 301.2 patient years</w:t>
      </w:r>
      <w:r>
        <w:t>, including 130 patients treated for at least 48 weeks</w:t>
      </w:r>
      <w:r w:rsidRPr="009D6EBC">
        <w:t>.</w:t>
      </w:r>
      <w:r w:rsidR="00404BA5">
        <w:t xml:space="preserve"> </w:t>
      </w:r>
      <w:r w:rsidRPr="009D6EBC">
        <w:t>Th</w:t>
      </w:r>
      <w:r>
        <w:t xml:space="preserve">ere were </w:t>
      </w:r>
      <w:r w:rsidRPr="009D6EBC">
        <w:t xml:space="preserve">24 patients aged 2 </w:t>
      </w:r>
      <w:r w:rsidR="00186C14">
        <w:t>to</w:t>
      </w:r>
      <w:r w:rsidRPr="009D6EBC">
        <w:t xml:space="preserve"> &lt; 4 years, 40 aged 4 </w:t>
      </w:r>
      <w:r w:rsidR="00186C14">
        <w:t>to</w:t>
      </w:r>
      <w:r w:rsidRPr="009D6EBC">
        <w:t xml:space="preserve"> &lt; 6 years, 86 aged 6</w:t>
      </w:r>
      <w:r w:rsidR="00186C14">
        <w:t xml:space="preserve"> to</w:t>
      </w:r>
      <w:r w:rsidRPr="009D6EBC">
        <w:t xml:space="preserve">- ≤ 12 years, and 51 aged 12 </w:t>
      </w:r>
      <w:r w:rsidR="00186C14">
        <w:t>to</w:t>
      </w:r>
      <w:r w:rsidRPr="009D6EBC">
        <w:t xml:space="preserve"> &lt; 20 years.</w:t>
      </w:r>
      <w:r w:rsidR="00404BA5">
        <w:t xml:space="preserve"> </w:t>
      </w:r>
      <w:r>
        <w:t>This represents adequate exposure to detect common AEs but may not be sufficient to detect rarer events.</w:t>
      </w:r>
    </w:p>
    <w:p w:rsidR="00D979B8" w:rsidRDefault="00D979B8" w:rsidP="003B7970">
      <w:r>
        <w:t>While a</w:t>
      </w:r>
      <w:r w:rsidRPr="00450FAE">
        <w:t>dverse events were observed in 85.1% o</w:t>
      </w:r>
      <w:r>
        <w:t>f patients, the majority were mild to moderate in intensity, with only 16.9% being considered severe.</w:t>
      </w:r>
      <w:r w:rsidR="00404BA5">
        <w:t xml:space="preserve"> </w:t>
      </w:r>
      <w:r>
        <w:t>The AEs seen were consistent with the known safety profile of canakinumab and</w:t>
      </w:r>
      <w:r w:rsidR="00404BA5">
        <w:t>/</w:t>
      </w:r>
      <w:r w:rsidRPr="003F624F">
        <w:t xml:space="preserve">or the </w:t>
      </w:r>
      <w:r>
        <w:t>diagnosis of sJIA</w:t>
      </w:r>
      <w:r w:rsidRPr="003F624F">
        <w:t>.</w:t>
      </w:r>
      <w:r w:rsidR="00404BA5">
        <w:t xml:space="preserve"> </w:t>
      </w:r>
      <w:r>
        <w:t xml:space="preserve">The most common AEs included: </w:t>
      </w:r>
      <w:r w:rsidRPr="00E70544">
        <w:t>nasopharyngitis (2</w:t>
      </w:r>
      <w:r>
        <w:t>9</w:t>
      </w:r>
      <w:r w:rsidRPr="00E70544">
        <w:t>.4%), pyrexia (</w:t>
      </w:r>
      <w:r>
        <w:t>25.9</w:t>
      </w:r>
      <w:r w:rsidRPr="00E70544">
        <w:t>%), cough</w:t>
      </w:r>
      <w:r>
        <w:t xml:space="preserve"> </w:t>
      </w:r>
      <w:r w:rsidRPr="00E70544">
        <w:t>(</w:t>
      </w:r>
      <w:r>
        <w:t>25.9</w:t>
      </w:r>
      <w:r w:rsidRPr="00E70544">
        <w:t>%), vomiting (</w:t>
      </w:r>
      <w:r>
        <w:t>22.9</w:t>
      </w:r>
      <w:r w:rsidRPr="00E70544">
        <w:t>%), diarrhoea (</w:t>
      </w:r>
      <w:r>
        <w:t>22.4</w:t>
      </w:r>
      <w:r w:rsidRPr="00E70544">
        <w:t>%), upper respiratory tract infection (</w:t>
      </w:r>
      <w:r>
        <w:t>22.4</w:t>
      </w:r>
      <w:r w:rsidRPr="00E70544">
        <w:t xml:space="preserve">%), </w:t>
      </w:r>
      <w:r>
        <w:t xml:space="preserve">and </w:t>
      </w:r>
      <w:r w:rsidRPr="00E70544">
        <w:t>headache (</w:t>
      </w:r>
      <w:r>
        <w:t>20.9%).</w:t>
      </w:r>
      <w:r w:rsidR="00404BA5">
        <w:t xml:space="preserve"> </w:t>
      </w:r>
      <w:r>
        <w:t xml:space="preserve">Serious AEs were reported in 31% of patients, </w:t>
      </w:r>
      <w:r w:rsidRPr="001F64A5">
        <w:t xml:space="preserve">with </w:t>
      </w:r>
      <w:r>
        <w:t>almost half being infections.</w:t>
      </w:r>
      <w:r w:rsidR="00404BA5">
        <w:t xml:space="preserve"> </w:t>
      </w:r>
      <w:r>
        <w:t>Infections are a known risk with canakinumab but only gastroenteritis and varicella affected more than 2 patients (4 patients each) and the rate of infections was similar between canakinumab and placebo where these results were available.</w:t>
      </w:r>
      <w:r w:rsidR="00404BA5">
        <w:t xml:space="preserve"> </w:t>
      </w:r>
      <w:r>
        <w:t>Four deaths occurred in sJIA patients but 3 occurred long after canakinumab was ceased (4 months to 2 years), and none were considered related to the study drug.</w:t>
      </w:r>
    </w:p>
    <w:p w:rsidR="00D979B8" w:rsidRDefault="00D979B8" w:rsidP="003B7970">
      <w:r>
        <w:t xml:space="preserve">Elevations in liver transaminases (&gt; 3x </w:t>
      </w:r>
      <w:r w:rsidR="00186C14">
        <w:t>upper limit of normal (</w:t>
      </w:r>
      <w:r>
        <w:t>ULN</w:t>
      </w:r>
      <w:r w:rsidR="00186C14">
        <w:t>)</w:t>
      </w:r>
      <w:r>
        <w:t>) were noted with canakinumab treatment (19 patients, 9.5%), however the majority resolved within 1 month and all but 1 had resolved within 3 months.</w:t>
      </w:r>
      <w:r w:rsidR="00404BA5">
        <w:t xml:space="preserve"> </w:t>
      </w:r>
      <w:r>
        <w:t xml:space="preserve">In 5 patients the abnormalities were temporally associated with </w:t>
      </w:r>
      <w:r w:rsidR="00186C14" w:rsidRPr="00A23648">
        <w:t>macrophage activation syndrome</w:t>
      </w:r>
      <w:r w:rsidR="00186C14">
        <w:t xml:space="preserve"> (</w:t>
      </w:r>
      <w:r>
        <w:t>MAS</w:t>
      </w:r>
      <w:r w:rsidR="00186C14">
        <w:t>)</w:t>
      </w:r>
      <w:r>
        <w:t>.</w:t>
      </w:r>
      <w:r w:rsidR="00404BA5">
        <w:t xml:space="preserve"> </w:t>
      </w:r>
      <w:r>
        <w:t xml:space="preserve">While the proportion of sJIA patients with elevated transaminases is higher than reported in CAPS patients (rare according to the current approved PI), they were mostly mild and transient and were consistent with the abnormal </w:t>
      </w:r>
      <w:r w:rsidR="00186C14">
        <w:t>liver function tests (</w:t>
      </w:r>
      <w:r>
        <w:t>LFTs</w:t>
      </w:r>
      <w:r w:rsidR="00186C14">
        <w:t>)</w:t>
      </w:r>
      <w:r>
        <w:t xml:space="preserve"> that are often seen in patients with active sJIA and reflect the underlying inflammatory process.</w:t>
      </w:r>
    </w:p>
    <w:p w:rsidR="00D979B8" w:rsidRPr="00A11978" w:rsidRDefault="00D979B8" w:rsidP="003B7970">
      <w:r>
        <w:t>Neutropenia and thrombocytopenia are also known risks with canakinumab, and were reported in sJIA patients.</w:t>
      </w:r>
      <w:r w:rsidR="00404BA5">
        <w:t xml:space="preserve"> </w:t>
      </w:r>
      <w:r>
        <w:t xml:space="preserve">However they were generally not associated with any clinical </w:t>
      </w:r>
      <w:r>
        <w:lastRenderedPageBreak/>
        <w:t>sequelae.</w:t>
      </w:r>
      <w:r w:rsidR="00404BA5">
        <w:t xml:space="preserve"> </w:t>
      </w:r>
      <w:r>
        <w:t xml:space="preserve">Many other </w:t>
      </w:r>
      <w:r w:rsidRPr="00A11978">
        <w:t>laboratory parameters normalised with can</w:t>
      </w:r>
      <w:r>
        <w:t>a</w:t>
      </w:r>
      <w:r w:rsidRPr="00A11978">
        <w:t>kinumab treatment through a reduction in inflammation.</w:t>
      </w:r>
    </w:p>
    <w:p w:rsidR="00D979B8" w:rsidRPr="00D906A2" w:rsidRDefault="00186C14" w:rsidP="003B7970">
      <w:r>
        <w:t>MAS</w:t>
      </w:r>
      <w:r w:rsidR="00D979B8" w:rsidRPr="00A11978">
        <w:t xml:space="preserve"> was an event of particular interest because it is a known, life-</w:t>
      </w:r>
      <w:r w:rsidR="00D979B8">
        <w:t>threatening disorder that can occur in sJIA patients and is thought to reflect insufficient disease control rather than a treatment specific effect.</w:t>
      </w:r>
      <w:r w:rsidR="00404BA5">
        <w:t xml:space="preserve"> </w:t>
      </w:r>
      <w:r w:rsidR="00D979B8">
        <w:t>Twelve cases were diagnosed during the canakinumab sJIA studies, with 9 adjudicated as probable MAS: 7 on canakinumab (2.5 per 100 patient-years) and 2 on placebo (7.7 per 100 patient-years).</w:t>
      </w:r>
      <w:r w:rsidR="00404BA5">
        <w:t xml:space="preserve"> </w:t>
      </w:r>
      <w:r w:rsidR="00D979B8">
        <w:t>The overall incidence was comparable to the background rate reported in the literature, which suggests that canakinumab is not causally involved in its development.</w:t>
      </w:r>
      <w:r w:rsidR="00404BA5">
        <w:t xml:space="preserve"> </w:t>
      </w:r>
      <w:r w:rsidR="00D979B8">
        <w:t>However as there is a large degree of uncertainty in the estimated background rate of MAS and the rate in the placebo group is based on limited placebo exposure (and one of the two placebo cases had previously received canakinumab), the relationship remains uncertain and requires ongoing investigation.</w:t>
      </w:r>
    </w:p>
    <w:p w:rsidR="00D979B8" w:rsidRDefault="00D979B8" w:rsidP="003B7970">
      <w:r>
        <w:t>A small percentage (3.1%) of sJIA patients developed anti- canakinumab antibodies; however n</w:t>
      </w:r>
      <w:r w:rsidRPr="00113DDF">
        <w:t>o neutral</w:t>
      </w:r>
      <w:r>
        <w:t>is</w:t>
      </w:r>
      <w:r w:rsidRPr="00113DDF">
        <w:t>ing antibodies were detected</w:t>
      </w:r>
      <w:r>
        <w:t>.</w:t>
      </w:r>
      <w:r w:rsidR="00404BA5">
        <w:t xml:space="preserve"> </w:t>
      </w:r>
      <w:r>
        <w:t>There were no apparent efficacy consequences, and only 1 patient had a potential allergy</w:t>
      </w:r>
      <w:r w:rsidR="00404BA5">
        <w:t>/</w:t>
      </w:r>
      <w:r>
        <w:t>hypersensitivity AE.</w:t>
      </w:r>
    </w:p>
    <w:p w:rsidR="00D979B8" w:rsidRPr="004E133C" w:rsidRDefault="00D979B8" w:rsidP="003B7970">
      <w:r w:rsidRPr="009D7C74">
        <w:t xml:space="preserve">In summary, the data demonstrates that canakinumab </w:t>
      </w:r>
      <w:r>
        <w:t>was generally well-tolerated</w:t>
      </w:r>
      <w:r w:rsidR="00186C14">
        <w:t xml:space="preserve"> </w:t>
      </w:r>
      <w:r>
        <w:t xml:space="preserve">and </w:t>
      </w:r>
      <w:r w:rsidRPr="009D7C74">
        <w:t>has an acceptable safety profile in patients with sJIA.</w:t>
      </w:r>
      <w:r w:rsidR="00404BA5">
        <w:t xml:space="preserve"> </w:t>
      </w:r>
      <w:r w:rsidRPr="009D7C74">
        <w:t>The AE profile is similar to that seen in CAPS patients with the exception of MAS.</w:t>
      </w:r>
      <w:r w:rsidR="00404BA5">
        <w:t xml:space="preserve"> </w:t>
      </w:r>
      <w:r w:rsidRPr="009D7C74">
        <w:t xml:space="preserve">While there was a higher incidence of some AEs in sJIA compared with CAPS, this is not unexpected in view of the higher dose used in sJIA and factoring in those AEs that are consistent with the </w:t>
      </w:r>
      <w:r>
        <w:t>diagnosis of sJIA</w:t>
      </w:r>
      <w:r w:rsidRPr="009D7C74">
        <w:t xml:space="preserve"> rather than the treatment.</w:t>
      </w:r>
    </w:p>
    <w:p w:rsidR="00605AD4" w:rsidRPr="00605AD4" w:rsidRDefault="00605AD4" w:rsidP="003B7970">
      <w:pPr>
        <w:pStyle w:val="Heading3"/>
        <w:rPr>
          <w:rFonts w:eastAsia="Cambria"/>
        </w:rPr>
      </w:pPr>
      <w:bookmarkStart w:id="103" w:name="_Toc408471918"/>
      <w:r w:rsidRPr="00605AD4">
        <w:rPr>
          <w:rFonts w:eastAsia="Cambria"/>
        </w:rPr>
        <w:t xml:space="preserve">First </w:t>
      </w:r>
      <w:r w:rsidR="00F82804">
        <w:rPr>
          <w:rFonts w:eastAsia="Cambria"/>
        </w:rPr>
        <w:t>r</w:t>
      </w:r>
      <w:r w:rsidRPr="00605AD4">
        <w:rPr>
          <w:rFonts w:eastAsia="Cambria"/>
        </w:rPr>
        <w:t xml:space="preserve">ound </w:t>
      </w:r>
      <w:r w:rsidR="00F82804">
        <w:rPr>
          <w:rFonts w:eastAsia="Cambria"/>
        </w:rPr>
        <w:t>b</w:t>
      </w:r>
      <w:r w:rsidRPr="00605AD4">
        <w:rPr>
          <w:rFonts w:eastAsia="Cambria"/>
        </w:rPr>
        <w:t>enefit-</w:t>
      </w:r>
      <w:r w:rsidR="00F82804">
        <w:rPr>
          <w:rFonts w:eastAsia="Cambria"/>
        </w:rPr>
        <w:t>r</w:t>
      </w:r>
      <w:r w:rsidRPr="00605AD4">
        <w:rPr>
          <w:rFonts w:eastAsia="Cambria"/>
        </w:rPr>
        <w:t xml:space="preserve">isk </w:t>
      </w:r>
      <w:r w:rsidR="00F82804">
        <w:rPr>
          <w:rFonts w:eastAsia="Cambria"/>
        </w:rPr>
        <w:t>a</w:t>
      </w:r>
      <w:r w:rsidRPr="00605AD4">
        <w:rPr>
          <w:rFonts w:eastAsia="Cambria"/>
        </w:rPr>
        <w:t>ssessment</w:t>
      </w:r>
      <w:bookmarkEnd w:id="103"/>
    </w:p>
    <w:p w:rsidR="00605AD4" w:rsidRDefault="00605AD4" w:rsidP="00605AD4">
      <w:pPr>
        <w:pStyle w:val="Heading4"/>
      </w:pPr>
      <w:r w:rsidRPr="00605AD4">
        <w:t>First round assessment of benefits</w:t>
      </w:r>
    </w:p>
    <w:p w:rsidR="00D979B8" w:rsidRDefault="00D979B8" w:rsidP="003B7970">
      <w:r>
        <w:t>The benefits of canakinumab in the proposed usage are:</w:t>
      </w:r>
    </w:p>
    <w:p w:rsidR="00D979B8" w:rsidRDefault="00D979B8" w:rsidP="003B7970">
      <w:pPr>
        <w:pStyle w:val="ListBullet"/>
      </w:pPr>
      <w:r>
        <w:t>83.7%</w:t>
      </w:r>
      <w:r w:rsidRPr="00F51207">
        <w:t xml:space="preserve"> of patients </w:t>
      </w:r>
      <w:r>
        <w:t xml:space="preserve">on canakinumab </w:t>
      </w:r>
      <w:r w:rsidRPr="00F51207">
        <w:t xml:space="preserve">achieved an ACR30 response </w:t>
      </w:r>
      <w:r>
        <w:t xml:space="preserve">at Day 15, compared with 9.8% on placebo in the pivotal </w:t>
      </w:r>
      <w:r w:rsidR="003F2210">
        <w:t>S</w:t>
      </w:r>
      <w:r>
        <w:t>tudy G2305.</w:t>
      </w:r>
      <w:r w:rsidR="00404BA5">
        <w:t xml:space="preserve"> </w:t>
      </w:r>
      <w:r>
        <w:t>T</w:t>
      </w:r>
      <w:r w:rsidRPr="00F51207">
        <w:t>his comparison was statistically significant and clinically meaningful (OR 62.29; 95% CI: 12.68, 306.07; p&lt;0.0001)</w:t>
      </w:r>
      <w:r>
        <w:t>.</w:t>
      </w:r>
    </w:p>
    <w:p w:rsidR="00D979B8" w:rsidRDefault="00D979B8" w:rsidP="003B7970">
      <w:pPr>
        <w:pStyle w:val="ListBullet"/>
      </w:pPr>
      <w:r>
        <w:t xml:space="preserve">Response was generally similar regardless of gender or age-group (2 </w:t>
      </w:r>
      <w:r w:rsidR="003F2210">
        <w:t>to</w:t>
      </w:r>
      <w:r>
        <w:t xml:space="preserve"> &lt;4 years 77.8%, 4 </w:t>
      </w:r>
      <w:r w:rsidR="003F2210">
        <w:t>to</w:t>
      </w:r>
      <w:r>
        <w:t xml:space="preserve"> &lt;6 years 87.5%, 6 </w:t>
      </w:r>
      <w:r w:rsidR="003F2210">
        <w:t>to</w:t>
      </w:r>
      <w:r>
        <w:t xml:space="preserve"> &lt;12 years 85.7%, and 12 </w:t>
      </w:r>
      <w:r w:rsidR="003F2210">
        <w:t>to</w:t>
      </w:r>
      <w:r>
        <w:t xml:space="preserve"> &lt;20 years 83.3%; male 87.5%, female 81.5%).</w:t>
      </w:r>
    </w:p>
    <w:p w:rsidR="00D979B8" w:rsidRDefault="00D979B8" w:rsidP="003B7970">
      <w:pPr>
        <w:pStyle w:val="ListBullet"/>
      </w:pPr>
      <w:r>
        <w:t>Higher levels of ACR response were also significantly higher in the canakinumab group compared with the placebo group on Days 15 and 30.</w:t>
      </w:r>
    </w:p>
    <w:p w:rsidR="00D979B8" w:rsidRPr="00F51207" w:rsidRDefault="00D979B8" w:rsidP="003B7970">
      <w:pPr>
        <w:pStyle w:val="ListBullet"/>
      </w:pPr>
      <w:r>
        <w:t>Improvements were also seen in the ACR core component variables, pain and quality of life measures.</w:t>
      </w:r>
    </w:p>
    <w:p w:rsidR="00D979B8" w:rsidRDefault="00D979B8" w:rsidP="003B7970">
      <w:pPr>
        <w:pStyle w:val="ListBullet"/>
      </w:pPr>
      <w:r>
        <w:t>A large proportion of patients (44.5%) were able to reduce their steroid usage, including 32.8% who became steroid free.</w:t>
      </w:r>
    </w:p>
    <w:p w:rsidR="00D979B8" w:rsidRDefault="00D979B8" w:rsidP="003B7970">
      <w:pPr>
        <w:pStyle w:val="ListBullet"/>
      </w:pPr>
      <w:r>
        <w:t>Canakinumab treatment reduced the relative risk of flare by 64% compared with placebo (HR 0.36; 95% CI: 0.17, 0.75; p=0.0032) in the pivotal study G2301.</w:t>
      </w:r>
      <w:r w:rsidR="00404BA5">
        <w:t xml:space="preserve"> </w:t>
      </w:r>
      <w:r>
        <w:t>Median time to flare was 236 days for placebo but could not be determined for the canakinumab group as less than 50% flared.</w:t>
      </w:r>
    </w:p>
    <w:p w:rsidR="00D979B8" w:rsidRDefault="00D979B8" w:rsidP="003B7970">
      <w:pPr>
        <w:pStyle w:val="ListBullet"/>
      </w:pPr>
      <w:r>
        <w:t>Patients on canakinumab were less likely to experience a worsening in ACR level than those on placebo (HR 0.49; 95% CI: 0.27, 0.90; p=0.0131).</w:t>
      </w:r>
      <w:r w:rsidR="00404BA5">
        <w:t xml:space="preserve"> </w:t>
      </w:r>
      <w:r>
        <w:t>Median time to worsening in ACR level was 141 days for placebo but could not be determined for the canakinumab group as less than 50% flared.</w:t>
      </w:r>
    </w:p>
    <w:p w:rsidR="00D979B8" w:rsidRDefault="00D979B8" w:rsidP="003B7970">
      <w:pPr>
        <w:pStyle w:val="ListBullet"/>
      </w:pPr>
      <w:r>
        <w:lastRenderedPageBreak/>
        <w:t>Efficacy was maintained or improved for a median of 49 weeks of follow-up.</w:t>
      </w:r>
    </w:p>
    <w:p w:rsidR="00605AD4" w:rsidRPr="003F2210" w:rsidRDefault="00605AD4" w:rsidP="003B7970">
      <w:pPr>
        <w:pStyle w:val="Heading4"/>
      </w:pPr>
      <w:r w:rsidRPr="00605AD4">
        <w:t>First round assessment of risks</w:t>
      </w:r>
    </w:p>
    <w:p w:rsidR="00D979B8" w:rsidRDefault="00D979B8" w:rsidP="003B7970">
      <w:r>
        <w:t>The risks of canakinumab in the proposed usage are:</w:t>
      </w:r>
    </w:p>
    <w:p w:rsidR="00D979B8" w:rsidRDefault="00D979B8" w:rsidP="003B7970">
      <w:pPr>
        <w:pStyle w:val="ListBullet"/>
      </w:pPr>
      <w:r w:rsidRPr="009D3EC2">
        <w:t xml:space="preserve">The probability </w:t>
      </w:r>
      <w:r>
        <w:t>of</w:t>
      </w:r>
      <w:r w:rsidRPr="009D3EC2">
        <w:t xml:space="preserve"> experienc</w:t>
      </w:r>
      <w:r>
        <w:t>ing</w:t>
      </w:r>
      <w:r w:rsidRPr="009D3EC2">
        <w:t xml:space="preserve"> a flare</w:t>
      </w:r>
      <w:r>
        <w:t xml:space="preserve"> </w:t>
      </w:r>
      <w:r w:rsidRPr="009D3EC2">
        <w:t xml:space="preserve">event in Part II </w:t>
      </w:r>
      <w:r>
        <w:t>of Study G2301</w:t>
      </w:r>
      <w:r w:rsidRPr="009D3EC2">
        <w:t xml:space="preserve">was lower for </w:t>
      </w:r>
      <w:r>
        <w:t xml:space="preserve">patients receiving </w:t>
      </w:r>
      <w:r w:rsidRPr="009D3EC2">
        <w:t>canakinumab treatment compared with placebo treatment</w:t>
      </w:r>
      <w:r>
        <w:t>.</w:t>
      </w:r>
      <w:r w:rsidR="00404BA5">
        <w:t xml:space="preserve"> </w:t>
      </w:r>
      <w:r>
        <w:t xml:space="preserve">However, this result was potentially not statistically significant if patients who discontinued the </w:t>
      </w:r>
      <w:r w:rsidRPr="003D0C27">
        <w:t>study for any reason (with the exception of flare) were censored at the time of study discontinuation</w:t>
      </w:r>
      <w:r>
        <w:t xml:space="preserve"> rather than counted as flared</w:t>
      </w:r>
      <w:r w:rsidRPr="003D0C27">
        <w:t xml:space="preserve"> </w:t>
      </w:r>
      <w:r>
        <w:t>(</w:t>
      </w:r>
      <w:r w:rsidRPr="003D0C27">
        <w:t xml:space="preserve">relative risk reduction </w:t>
      </w:r>
      <w:r>
        <w:t>in</w:t>
      </w:r>
      <w:r w:rsidRPr="003D0C27">
        <w:t xml:space="preserve"> flare of 49% with canakinumab treatment</w:t>
      </w:r>
      <w:r>
        <w:t xml:space="preserve"> </w:t>
      </w:r>
      <w:r w:rsidRPr="003D0C27">
        <w:t>relative to placebo</w:t>
      </w:r>
      <w:r>
        <w:t>; HR</w:t>
      </w:r>
      <w:r w:rsidRPr="003D0C27">
        <w:t xml:space="preserve"> 0.51; 95% CI: 0.23 to 1.12; p=0.0445)</w:t>
      </w:r>
      <w:r>
        <w:t>.</w:t>
      </w:r>
    </w:p>
    <w:p w:rsidR="00D979B8" w:rsidRPr="006538EF" w:rsidRDefault="00D979B8" w:rsidP="003B7970">
      <w:pPr>
        <w:pStyle w:val="ListBullet"/>
      </w:pPr>
      <w:r>
        <w:t xml:space="preserve">While </w:t>
      </w:r>
      <w:r w:rsidRPr="006538EF">
        <w:t>significant improvement</w:t>
      </w:r>
      <w:r>
        <w:t>s</w:t>
      </w:r>
      <w:r w:rsidRPr="006538EF">
        <w:t xml:space="preserve"> in disability (CHAQ) </w:t>
      </w:r>
      <w:r>
        <w:t>and</w:t>
      </w:r>
      <w:r w:rsidRPr="006538EF">
        <w:t xml:space="preserve"> </w:t>
      </w:r>
      <w:r>
        <w:t>quality of life (CHQ-PF50) were</w:t>
      </w:r>
      <w:r w:rsidRPr="006538EF">
        <w:t xml:space="preserve"> </w:t>
      </w:r>
      <w:r>
        <w:t>found in Study G2305, this was not replicated in Study G2301.</w:t>
      </w:r>
      <w:r w:rsidR="00404BA5">
        <w:t xml:space="preserve"> </w:t>
      </w:r>
      <w:r>
        <w:t>In addition,</w:t>
      </w:r>
      <w:r w:rsidRPr="006538EF">
        <w:t xml:space="preserve"> the </w:t>
      </w:r>
      <w:r>
        <w:t xml:space="preserve">mean </w:t>
      </w:r>
      <w:r w:rsidRPr="006538EF">
        <w:t>difference</w:t>
      </w:r>
      <w:r>
        <w:t>s</w:t>
      </w:r>
      <w:r w:rsidRPr="006538EF">
        <w:t xml:space="preserve"> </w:t>
      </w:r>
      <w:r>
        <w:t>between the canakinumab group and the</w:t>
      </w:r>
      <w:r w:rsidRPr="006538EF">
        <w:t xml:space="preserve"> placebo </w:t>
      </w:r>
      <w:r>
        <w:t>group were</w:t>
      </w:r>
      <w:r w:rsidRPr="006538EF">
        <w:t xml:space="preserve"> smaller than seen with these outcomes in Study G2305.</w:t>
      </w:r>
      <w:r w:rsidR="00404BA5">
        <w:t xml:space="preserve"> </w:t>
      </w:r>
      <w:r w:rsidRPr="006538EF">
        <w:t xml:space="preserve">This may reflect the fact that patients in G2305 were canakinumab naïve or that patients in </w:t>
      </w:r>
      <w:r>
        <w:t xml:space="preserve">Part II of </w:t>
      </w:r>
      <w:r w:rsidRPr="006538EF">
        <w:t>G2301 had already responded to canak</w:t>
      </w:r>
      <w:r>
        <w:t>inumab in Part I of the study.</w:t>
      </w:r>
    </w:p>
    <w:p w:rsidR="00D979B8" w:rsidRPr="00EC5465" w:rsidRDefault="00D979B8" w:rsidP="003B7970">
      <w:pPr>
        <w:pStyle w:val="ListBullet"/>
      </w:pPr>
      <w:r w:rsidRPr="00EC5465">
        <w:t xml:space="preserve">There were a large number of discontinuations (due to lack of efficacy) from the placebo arm of </w:t>
      </w:r>
      <w:r>
        <w:t>S</w:t>
      </w:r>
      <w:r w:rsidRPr="00EC5465">
        <w:t xml:space="preserve">tudy G2305 and to a lesser degree from Part II of </w:t>
      </w:r>
      <w:r>
        <w:t>S</w:t>
      </w:r>
      <w:r w:rsidRPr="00EC5465">
        <w:t>tudy G2301 which limited the safety comparisons.</w:t>
      </w:r>
    </w:p>
    <w:p w:rsidR="00D979B8" w:rsidRPr="0085157B" w:rsidRDefault="00D979B8" w:rsidP="003B7970">
      <w:pPr>
        <w:pStyle w:val="ListBullet"/>
      </w:pPr>
      <w:r w:rsidRPr="0085157B">
        <w:t>There is a known risk of infection, including serious infection with canakinumab.</w:t>
      </w:r>
      <w:r w:rsidR="00404BA5">
        <w:t xml:space="preserve"> </w:t>
      </w:r>
      <w:r w:rsidRPr="0085157B">
        <w:t>In the limited placebo-controlled data available in sJIA patients, more patients on canakinumab reported infections and serious infections than patients on placebo but after adjusting for exposure there was little difference in infectious AE incidence.</w:t>
      </w:r>
    </w:p>
    <w:p w:rsidR="00D979B8" w:rsidRPr="0085157B" w:rsidRDefault="00D979B8" w:rsidP="003B7970">
      <w:pPr>
        <w:pStyle w:val="ListBullet"/>
      </w:pPr>
      <w:r w:rsidRPr="0085157B">
        <w:t>Macrophage activation syndrome is a life-threatening disorder that can occur in sJIA.</w:t>
      </w:r>
      <w:r w:rsidR="00404BA5">
        <w:t xml:space="preserve"> </w:t>
      </w:r>
      <w:r w:rsidRPr="0085157B">
        <w:t xml:space="preserve">More </w:t>
      </w:r>
      <w:r w:rsidR="00186C14">
        <w:t>‘</w:t>
      </w:r>
      <w:r w:rsidRPr="0085157B">
        <w:t>probable</w:t>
      </w:r>
      <w:r w:rsidR="00186C14">
        <w:t>’</w:t>
      </w:r>
      <w:r w:rsidRPr="0085157B">
        <w:t xml:space="preserve"> cases were reported in patients on canakinumab (7) than on placebo (2) but after adjusting for exposure the incidence was higher in the placebo group</w:t>
      </w:r>
      <w:r>
        <w:t xml:space="preserve"> (2.5 v</w:t>
      </w:r>
      <w:r w:rsidR="003F2210">
        <w:t>ersu</w:t>
      </w:r>
      <w:r>
        <w:t>s 7.7 probable MAS/100 patient-years)</w:t>
      </w:r>
      <w:r w:rsidRPr="0085157B">
        <w:t>.</w:t>
      </w:r>
      <w:r w:rsidR="00404BA5">
        <w:t xml:space="preserve"> </w:t>
      </w:r>
      <w:r w:rsidRPr="0085157B">
        <w:t xml:space="preserve">MAS </w:t>
      </w:r>
      <w:r>
        <w:t xml:space="preserve">epidemiology </w:t>
      </w:r>
      <w:r w:rsidRPr="0085157B">
        <w:t xml:space="preserve">data are not robust, </w:t>
      </w:r>
      <w:r>
        <w:t xml:space="preserve">and the placebo data was limited </w:t>
      </w:r>
      <w:r w:rsidRPr="0085157B">
        <w:t>therefore this event needs ongoing assessment.</w:t>
      </w:r>
    </w:p>
    <w:p w:rsidR="00D979B8" w:rsidRPr="0085157B" w:rsidRDefault="00D979B8" w:rsidP="003B7970">
      <w:pPr>
        <w:pStyle w:val="ListBullet"/>
      </w:pPr>
      <w:r w:rsidRPr="0085157B">
        <w:t>Neutropenia and thrombocytopenia were reported but were generally not associated with clinical sequelae.</w:t>
      </w:r>
    </w:p>
    <w:p w:rsidR="00D979B8" w:rsidRPr="00D979B8" w:rsidRDefault="00D979B8" w:rsidP="003B7970">
      <w:r w:rsidRPr="0085157B">
        <w:t xml:space="preserve">Anti-canakinumab antibodies developed in 6 patients (3.1%) but no neutralising </w:t>
      </w:r>
      <w:r>
        <w:t xml:space="preserve">antibodies </w:t>
      </w:r>
      <w:r w:rsidRPr="0085157B">
        <w:t>were detected.</w:t>
      </w:r>
    </w:p>
    <w:p w:rsidR="00605AD4" w:rsidRPr="003F2210" w:rsidRDefault="00605AD4" w:rsidP="003B7970">
      <w:pPr>
        <w:pStyle w:val="Heading4"/>
      </w:pPr>
      <w:r w:rsidRPr="00605AD4">
        <w:t>First round assessment of benefit-risk balance</w:t>
      </w:r>
    </w:p>
    <w:p w:rsidR="00D979B8" w:rsidRDefault="00D979B8" w:rsidP="003B7970">
      <w:r>
        <w:t>The benefit-risk balance of canakinumab, given the proposed usage, is favourable.</w:t>
      </w:r>
    </w:p>
    <w:p w:rsidR="00605AD4" w:rsidRPr="003F2210" w:rsidRDefault="00605AD4" w:rsidP="003B7970">
      <w:pPr>
        <w:pStyle w:val="Heading3"/>
        <w:rPr>
          <w:rFonts w:eastAsia="Cambria"/>
        </w:rPr>
      </w:pPr>
      <w:bookmarkStart w:id="104" w:name="_Toc408471919"/>
      <w:r w:rsidRPr="00605AD4">
        <w:rPr>
          <w:rFonts w:eastAsia="Cambria"/>
        </w:rPr>
        <w:t xml:space="preserve">First </w:t>
      </w:r>
      <w:r w:rsidR="00F82804">
        <w:rPr>
          <w:rFonts w:eastAsia="Cambria"/>
        </w:rPr>
        <w:t>r</w:t>
      </w:r>
      <w:r w:rsidRPr="00605AD4">
        <w:rPr>
          <w:rFonts w:eastAsia="Cambria"/>
        </w:rPr>
        <w:t xml:space="preserve">ound </w:t>
      </w:r>
      <w:r w:rsidR="00F82804">
        <w:rPr>
          <w:rFonts w:eastAsia="Cambria"/>
        </w:rPr>
        <w:t>r</w:t>
      </w:r>
      <w:r w:rsidRPr="00605AD4">
        <w:rPr>
          <w:rFonts w:eastAsia="Cambria"/>
        </w:rPr>
        <w:t xml:space="preserve">ecommendation </w:t>
      </w:r>
      <w:r w:rsidR="00F82804">
        <w:rPr>
          <w:rFonts w:eastAsia="Cambria"/>
        </w:rPr>
        <w:t>r</w:t>
      </w:r>
      <w:r w:rsidRPr="00605AD4">
        <w:rPr>
          <w:rFonts w:eastAsia="Cambria"/>
        </w:rPr>
        <w:t xml:space="preserve">egarding </w:t>
      </w:r>
      <w:r w:rsidR="00F82804">
        <w:rPr>
          <w:rFonts w:eastAsia="Cambria"/>
        </w:rPr>
        <w:t>a</w:t>
      </w:r>
      <w:r w:rsidRPr="00605AD4">
        <w:rPr>
          <w:rFonts w:eastAsia="Cambria"/>
        </w:rPr>
        <w:t>uthorisation</w:t>
      </w:r>
      <w:bookmarkEnd w:id="104"/>
    </w:p>
    <w:p w:rsidR="003F2210" w:rsidRDefault="00D979B8" w:rsidP="003B7970">
      <w:r w:rsidRPr="00A72465">
        <w:t xml:space="preserve">It is recommended that the </w:t>
      </w:r>
      <w:r>
        <w:t xml:space="preserve">canakinumab indications are extended to include </w:t>
      </w:r>
    </w:p>
    <w:p w:rsidR="003F2210" w:rsidRDefault="00186C14" w:rsidP="003F2210">
      <w:pPr>
        <w:ind w:left="720"/>
      </w:pPr>
      <w:r>
        <w:t>‘</w:t>
      </w:r>
      <w:r w:rsidR="00D979B8" w:rsidRPr="001A1B0D">
        <w:rPr>
          <w:i/>
        </w:rPr>
        <w:t>treatment of active Systemic Juvenile Idiopathic Arthritis (sJIA) in patients aged 2 years and older</w:t>
      </w:r>
      <w:r>
        <w:t>’</w:t>
      </w:r>
    </w:p>
    <w:p w:rsidR="00D979B8" w:rsidRPr="00D2502A" w:rsidRDefault="00D979B8" w:rsidP="003B7970">
      <w:r>
        <w:t xml:space="preserve">subject to satisfactory </w:t>
      </w:r>
      <w:r w:rsidRPr="00D2502A">
        <w:t xml:space="preserve">responses being received in relation to the questions posed </w:t>
      </w:r>
      <w:r w:rsidR="003F2210">
        <w:t xml:space="preserve">under </w:t>
      </w:r>
      <w:r w:rsidR="003F2210" w:rsidRPr="003F2210">
        <w:rPr>
          <w:i/>
        </w:rPr>
        <w:t>Clinical questions</w:t>
      </w:r>
      <w:r w:rsidR="003F2210">
        <w:t xml:space="preserve"> below</w:t>
      </w:r>
      <w:r w:rsidRPr="00D2502A">
        <w:t>.</w:t>
      </w:r>
      <w:r w:rsidR="00404BA5">
        <w:t xml:space="preserve"> </w:t>
      </w:r>
      <w:r w:rsidRPr="00D2502A">
        <w:t>The wording of the sJIA indication proposed by the sponsor is identical to that in the US label.</w:t>
      </w:r>
      <w:r w:rsidR="00404BA5">
        <w:t xml:space="preserve"> </w:t>
      </w:r>
      <w:r w:rsidRPr="00D2502A">
        <w:t>However, in the EU Summary of Product Characteristics the indication is restricted to sJIA patients:</w:t>
      </w:r>
    </w:p>
    <w:p w:rsidR="00D979B8" w:rsidRPr="00D2502A" w:rsidRDefault="00186C14" w:rsidP="00D979B8">
      <w:pPr>
        <w:pStyle w:val="Default"/>
        <w:ind w:left="567"/>
        <w:rPr>
          <w:rFonts w:ascii="Cambria" w:hAnsi="Cambria"/>
          <w:i/>
        </w:rPr>
      </w:pPr>
      <w:r>
        <w:rPr>
          <w:rFonts w:ascii="Cambria" w:hAnsi="Cambria"/>
          <w:i/>
          <w:sz w:val="22"/>
          <w:szCs w:val="22"/>
        </w:rPr>
        <w:lastRenderedPageBreak/>
        <w:t>‘</w:t>
      </w:r>
      <w:r w:rsidR="00D979B8" w:rsidRPr="00D2502A">
        <w:rPr>
          <w:rFonts w:ascii="Cambria" w:hAnsi="Cambria"/>
          <w:i/>
          <w:sz w:val="22"/>
          <w:szCs w:val="22"/>
        </w:rPr>
        <w:t>who have responded inadequately to previous therapy with non-steroidal anti-inflammatory drugs (NSAIDs) and systemic corticosteroids. Ilaris can be given as monotherapy or in combination with methotrexate.</w:t>
      </w:r>
      <w:r>
        <w:rPr>
          <w:rFonts w:ascii="Cambria" w:hAnsi="Cambria"/>
          <w:i/>
          <w:sz w:val="22"/>
          <w:szCs w:val="22"/>
        </w:rPr>
        <w:t>’</w:t>
      </w:r>
    </w:p>
    <w:p w:rsidR="00D979B8" w:rsidRDefault="00D979B8" w:rsidP="003B7970">
      <w:r>
        <w:t>While the EU indication</w:t>
      </w:r>
      <w:r w:rsidRPr="00D2502A">
        <w:t xml:space="preserve"> is probably a more realistic reflection of the patients who will be prescribed canakinumab in clinical practice, the only other biological medicine currently registered in Australia for sJIA (</w:t>
      </w:r>
      <w:r w:rsidR="003F2210" w:rsidRPr="00D2502A">
        <w:t>Actemra</w:t>
      </w:r>
      <w:r w:rsidRPr="00D2502A">
        <w:t xml:space="preserve">) is not </w:t>
      </w:r>
      <w:r w:rsidR="00186C14">
        <w:t>‘</w:t>
      </w:r>
      <w:r w:rsidRPr="00D2502A">
        <w:t>restricted</w:t>
      </w:r>
      <w:r w:rsidR="00186C14">
        <w:t>’</w:t>
      </w:r>
      <w:r w:rsidRPr="00D2502A">
        <w:t xml:space="preserve"> based on response to previous therapies.</w:t>
      </w:r>
      <w:r w:rsidR="00404BA5">
        <w:t xml:space="preserve"> </w:t>
      </w:r>
      <w:r w:rsidRPr="00D2502A">
        <w:t>Therefore the proposed indication is considered acceptable.</w:t>
      </w:r>
    </w:p>
    <w:p w:rsidR="00D979B8" w:rsidRDefault="00D979B8" w:rsidP="003B7970">
      <w:r>
        <w:t xml:space="preserve">The </w:t>
      </w:r>
      <w:r w:rsidRPr="00A72465">
        <w:t xml:space="preserve">proposed changes to the PI are </w:t>
      </w:r>
      <w:r>
        <w:t>recommended for approval</w:t>
      </w:r>
      <w:r w:rsidRPr="00A72465">
        <w:t xml:space="preserve">, subject to </w:t>
      </w:r>
      <w:r w:rsidR="003F2210">
        <w:t xml:space="preserve">additional recommendations of </w:t>
      </w:r>
      <w:r w:rsidRPr="00A72465">
        <w:t>modification</w:t>
      </w:r>
      <w:r w:rsidR="003F2210">
        <w:t>s</w:t>
      </w:r>
      <w:r w:rsidRPr="00A72465">
        <w:t xml:space="preserve"> of the PI </w:t>
      </w:r>
      <w:r w:rsidR="003F2210">
        <w:t>(the details of these are beyond the scope of this AusPAR).</w:t>
      </w:r>
    </w:p>
    <w:p w:rsidR="00D979B8" w:rsidRDefault="00D979B8" w:rsidP="003B7970">
      <w:r w:rsidRPr="00993796">
        <w:t>In the pooled sJIA studies 8 patients had a QTc(F)</w:t>
      </w:r>
      <w:r w:rsidR="003F2210">
        <w:rPr>
          <w:rStyle w:val="FootnoteReference"/>
        </w:rPr>
        <w:footnoteReference w:id="13"/>
      </w:r>
      <w:r w:rsidRPr="00993796">
        <w:t xml:space="preserve"> &gt; 500 msec.</w:t>
      </w:r>
      <w:r w:rsidR="00404BA5">
        <w:t xml:space="preserve"> </w:t>
      </w:r>
      <w:r w:rsidRPr="00993796">
        <w:t>Although there was no effect on corrected QT interval</w:t>
      </w:r>
      <w:r w:rsidR="003F2210">
        <w:rPr>
          <w:rStyle w:val="FootnoteReference"/>
        </w:rPr>
        <w:footnoteReference w:id="14"/>
      </w:r>
      <w:r w:rsidRPr="00993796">
        <w:t xml:space="preserve"> in </w:t>
      </w:r>
      <w:r w:rsidR="003F2210">
        <w:t>non</w:t>
      </w:r>
      <w:r w:rsidRPr="00993796">
        <w:t>clinical studies, it is recommended that the sponsor be asked to co</w:t>
      </w:r>
      <w:r w:rsidR="003F2210">
        <w:t>nfirm whether there has been a T</w:t>
      </w:r>
      <w:r w:rsidRPr="00993796">
        <w:t>horough QT study in the past, and if so what was the result of the study.</w:t>
      </w:r>
    </w:p>
    <w:p w:rsidR="00605AD4" w:rsidRDefault="00605AD4" w:rsidP="003B7970">
      <w:pPr>
        <w:pStyle w:val="Heading3"/>
        <w:rPr>
          <w:rFonts w:eastAsia="Cambria"/>
        </w:rPr>
      </w:pPr>
      <w:bookmarkStart w:id="105" w:name="_Toc408471920"/>
      <w:r w:rsidRPr="00605AD4">
        <w:rPr>
          <w:rFonts w:eastAsia="Cambria"/>
        </w:rPr>
        <w:t xml:space="preserve">Clinical </w:t>
      </w:r>
      <w:r w:rsidR="00F82804">
        <w:rPr>
          <w:rFonts w:eastAsia="Cambria"/>
        </w:rPr>
        <w:t>q</w:t>
      </w:r>
      <w:r w:rsidRPr="00605AD4">
        <w:rPr>
          <w:rFonts w:eastAsia="Cambria"/>
        </w:rPr>
        <w:t>uestions</w:t>
      </w:r>
      <w:bookmarkEnd w:id="105"/>
    </w:p>
    <w:p w:rsidR="00D979B8" w:rsidRDefault="00D979B8" w:rsidP="003B7970">
      <w:pPr>
        <w:pStyle w:val="Heading4"/>
      </w:pPr>
      <w:bookmarkStart w:id="106" w:name="_Toc272414704"/>
      <w:bookmarkStart w:id="107" w:name="_Toc290846344"/>
      <w:bookmarkStart w:id="108" w:name="_Toc380156123"/>
      <w:r w:rsidRPr="00150D60">
        <w:t>Efficacy</w:t>
      </w:r>
      <w:bookmarkEnd w:id="106"/>
      <w:bookmarkEnd w:id="107"/>
      <w:bookmarkEnd w:id="108"/>
    </w:p>
    <w:p w:rsidR="00300A92" w:rsidRPr="003464D2" w:rsidRDefault="00300A92" w:rsidP="008A0F3A">
      <w:pPr>
        <w:pStyle w:val="Numberbullet0"/>
        <w:numPr>
          <w:ilvl w:val="0"/>
          <w:numId w:val="35"/>
        </w:numPr>
        <w:spacing w:after="180"/>
        <w:ind w:left="426"/>
      </w:pPr>
      <w:r w:rsidRPr="003464D2">
        <w:t>The adapted American College of Rheumatology (ACR) Paediatric response variables included C-reactive protein (CRP) as the laboratory measure of inflammation whereas erythrocyte sedimentation rate (ESR) is specified in the EU guideline. Please justify the use of CRP.</w:t>
      </w:r>
    </w:p>
    <w:p w:rsidR="00300A92" w:rsidRPr="003464D2" w:rsidRDefault="00300A92" w:rsidP="00300A92">
      <w:pPr>
        <w:pStyle w:val="Numberbullet0"/>
        <w:numPr>
          <w:ilvl w:val="0"/>
          <w:numId w:val="2"/>
        </w:numPr>
        <w:spacing w:after="180"/>
        <w:ind w:left="425"/>
      </w:pPr>
      <w:r w:rsidRPr="003464D2">
        <w:t>The sample size for Part II of Study G2301 was determined on the basis of a difference between the active and placebo groups in the percentage of patients who flare in the first 24 weeks of Part II of 25% versus 70%, respectively. Please provide the clinical justification for the percentages chosen.</w:t>
      </w:r>
    </w:p>
    <w:p w:rsidR="00300A92" w:rsidRPr="003464D2" w:rsidRDefault="00300A92" w:rsidP="00300A92">
      <w:pPr>
        <w:pStyle w:val="Numberbullet0"/>
        <w:numPr>
          <w:ilvl w:val="0"/>
          <w:numId w:val="2"/>
        </w:numPr>
        <w:spacing w:after="180"/>
        <w:ind w:left="425"/>
      </w:pPr>
      <w:r w:rsidRPr="003464D2">
        <w:t>The probability of experiencing a flare event in Part II of Study G2301was lower for patients receiving canakinumab treatment compared with placebo treatment. If patients who discontinued the study for any reason (with the exception of flare) were censored at the time of study discontinuation (rather than counted as flared), the results showed a non-significant relative risk reduction in flare of 49% with canakinumab treatment relative to placebo (HR 0.51; 95% CI: 0.23 to 1.12; p=0.0445).</w:t>
      </w:r>
    </w:p>
    <w:p w:rsidR="00300A92" w:rsidRPr="003464D2" w:rsidRDefault="00300A92" w:rsidP="00300A92">
      <w:pPr>
        <w:pStyle w:val="Numberbullet0"/>
        <w:numPr>
          <w:ilvl w:val="0"/>
          <w:numId w:val="2"/>
        </w:numPr>
        <w:spacing w:after="180"/>
        <w:ind w:left="425"/>
      </w:pPr>
      <w:r w:rsidRPr="003464D2">
        <w:t xml:space="preserve">The G2301 Clinical Study Report it states that 37 patients discontinued Part II, 26 (52%) from the placebo arm and 11 (22%) from the canakinumab arm. The primary reason for discontinuation in Part II for both treatment groups was unsatisfactory therapeutic effect (22% canakinumab; 40% placebo). A further 6 patients discontinued from the placebo arm, 4 due to adverse events, 1 due to protocol deviation (unblinding due to SAE) and 1 due to withdrawal of consent. Given the higher percentage of discontinuations in the placebo arm and that these were considered ‘flares’ in the primary analysis, this may have biased the efficacy results in favour of canakinumab. Therefore the analysis that censored patients may be a better reflection of the comparative efficacy of canakinumab and placebo. Please comment on the decision to classify discontinuations as ‘flares’, the impact of the uneven </w:t>
      </w:r>
      <w:r w:rsidRPr="003464D2">
        <w:lastRenderedPageBreak/>
        <w:t>distribution of discontinuations in the placebo and canakinumab arms and how this has influenced the reported efficacy of canakinumab.</w:t>
      </w:r>
    </w:p>
    <w:p w:rsidR="00605AD4" w:rsidRPr="00C4062B" w:rsidRDefault="00605AD4" w:rsidP="008A0F3A">
      <w:pPr>
        <w:pStyle w:val="Heading3"/>
        <w:rPr>
          <w:rFonts w:eastAsia="Cambria"/>
        </w:rPr>
      </w:pPr>
      <w:bookmarkStart w:id="109" w:name="_Toc408471921"/>
      <w:r w:rsidRPr="00605AD4">
        <w:rPr>
          <w:rFonts w:eastAsia="Cambria"/>
        </w:rPr>
        <w:t xml:space="preserve">Second </w:t>
      </w:r>
      <w:r w:rsidR="00F82804">
        <w:rPr>
          <w:rFonts w:eastAsia="Cambria"/>
        </w:rPr>
        <w:t>r</w:t>
      </w:r>
      <w:r w:rsidRPr="00605AD4">
        <w:rPr>
          <w:rFonts w:eastAsia="Cambria"/>
        </w:rPr>
        <w:t xml:space="preserve">ound </w:t>
      </w:r>
      <w:r w:rsidR="00F82804">
        <w:rPr>
          <w:rFonts w:eastAsia="Cambria"/>
        </w:rPr>
        <w:t>e</w:t>
      </w:r>
      <w:r w:rsidRPr="00605AD4">
        <w:rPr>
          <w:rFonts w:eastAsia="Cambria"/>
        </w:rPr>
        <w:t>valuation of clinical data submitted in response to questions</w:t>
      </w:r>
      <w:bookmarkEnd w:id="109"/>
    </w:p>
    <w:p w:rsidR="00D979B8" w:rsidRPr="00B610A3" w:rsidRDefault="00D979B8" w:rsidP="00472929">
      <w:pPr>
        <w:pStyle w:val="Heading4"/>
      </w:pPr>
      <w:r w:rsidRPr="00B610A3">
        <w:t xml:space="preserve">Response to </w:t>
      </w:r>
      <w:r w:rsidR="00472929">
        <w:t>e</w:t>
      </w:r>
      <w:r>
        <w:t xml:space="preserve">fficacy </w:t>
      </w:r>
      <w:r w:rsidR="00472929">
        <w:t>q</w:t>
      </w:r>
      <w:r w:rsidRPr="00B610A3">
        <w:t>uestion 1</w:t>
      </w:r>
      <w:r w:rsidR="00203720">
        <w:t>.</w:t>
      </w:r>
      <w:r>
        <w:t xml:space="preserve"> </w:t>
      </w:r>
      <w:r w:rsidR="00F47EF9">
        <w:t>C</w:t>
      </w:r>
      <w:r>
        <w:t>hoice of ESR</w:t>
      </w:r>
      <w:r w:rsidR="00B60592">
        <w:t xml:space="preserve"> versus</w:t>
      </w:r>
      <w:r>
        <w:t xml:space="preserve"> CRP</w:t>
      </w:r>
    </w:p>
    <w:p w:rsidR="00D979B8" w:rsidRDefault="00D979B8" w:rsidP="00472929">
      <w:r w:rsidRPr="00F54625">
        <w:t>The sponsor explained that both the ESR and CRP are commonly used acute phase reactants, that there is a high correlation between the two measures, and that they can be used interchangeably for the purposes of calculating ACRs and for tracking subclinical and overt inflammation/disease activity.</w:t>
      </w:r>
      <w:r w:rsidR="00404BA5">
        <w:t xml:space="preserve"> </w:t>
      </w:r>
      <w:r w:rsidRPr="00F54625">
        <w:t>CRP was chosen by the sponsor because of its more rapid response to inflammation allowing for potentially earlier detection of treatment effect</w:t>
      </w:r>
      <w:r>
        <w:t xml:space="preserve"> or disease relapse</w:t>
      </w:r>
      <w:r w:rsidRPr="00F54625">
        <w:t>.</w:t>
      </w:r>
    </w:p>
    <w:p w:rsidR="00D979B8" w:rsidRDefault="003F2210" w:rsidP="00472929">
      <w:r w:rsidRPr="003F2210">
        <w:t>Evaluator’s comment: This response is acceptable</w:t>
      </w:r>
      <w:r>
        <w:t>.</w:t>
      </w:r>
    </w:p>
    <w:p w:rsidR="00D979B8" w:rsidRPr="00B610A3" w:rsidRDefault="00D979B8" w:rsidP="00472929">
      <w:pPr>
        <w:pStyle w:val="Heading4"/>
      </w:pPr>
      <w:r w:rsidRPr="00B610A3">
        <w:t xml:space="preserve">Response to </w:t>
      </w:r>
      <w:r w:rsidR="00F82804">
        <w:t>e</w:t>
      </w:r>
      <w:r>
        <w:t xml:space="preserve">fficacy </w:t>
      </w:r>
      <w:r w:rsidR="00F82804">
        <w:t>q</w:t>
      </w:r>
      <w:r>
        <w:t>uestion 2</w:t>
      </w:r>
      <w:r w:rsidR="00203720">
        <w:t>.</w:t>
      </w:r>
      <w:r>
        <w:t xml:space="preserve"> </w:t>
      </w:r>
      <w:r w:rsidR="00F47EF9">
        <w:t>C</w:t>
      </w:r>
      <w:r>
        <w:t>hoice of placebo and canakinumab flare rates for sample size calculation</w:t>
      </w:r>
      <w:r w:rsidR="003F2210">
        <w:t>.</w:t>
      </w:r>
    </w:p>
    <w:p w:rsidR="00D979B8" w:rsidRDefault="00D979B8" w:rsidP="00472929">
      <w:r>
        <w:t>The sponsor indicated that at the time when Study G2301 was planned</w:t>
      </w:r>
      <w:r w:rsidRPr="00F54625">
        <w:t xml:space="preserve"> there was limited data available to use for endpoint</w:t>
      </w:r>
      <w:r>
        <w:t xml:space="preserve"> </w:t>
      </w:r>
      <w:r w:rsidRPr="00F54625">
        <w:t>assumptions.</w:t>
      </w:r>
      <w:r w:rsidR="00404BA5">
        <w:t xml:space="preserve"> </w:t>
      </w:r>
      <w:r>
        <w:t xml:space="preserve">The flare rate for the canakinumab group </w:t>
      </w:r>
      <w:r w:rsidRPr="00F54625">
        <w:t xml:space="preserve">was based on </w:t>
      </w:r>
      <w:r>
        <w:t>existing</w:t>
      </w:r>
      <w:r w:rsidRPr="00F54625">
        <w:t xml:space="preserve"> </w:t>
      </w:r>
      <w:r w:rsidR="003F2210">
        <w:t>P</w:t>
      </w:r>
      <w:r w:rsidRPr="00F54625">
        <w:t>hase I/II data where 4/15 patients</w:t>
      </w:r>
      <w:r>
        <w:t xml:space="preserve"> (</w:t>
      </w:r>
      <w:r w:rsidR="003F2210">
        <w:t xml:space="preserve">approximately </w:t>
      </w:r>
      <w:r>
        <w:t>25%)</w:t>
      </w:r>
      <w:r w:rsidRPr="00F54625">
        <w:t xml:space="preserve"> flared in &lt; 4 weeks.</w:t>
      </w:r>
      <w:r w:rsidR="00404BA5">
        <w:t xml:space="preserve"> </w:t>
      </w:r>
      <w:r>
        <w:t>The choice of 70% f</w:t>
      </w:r>
      <w:r w:rsidRPr="00F54625">
        <w:t xml:space="preserve">or </w:t>
      </w:r>
      <w:r>
        <w:t xml:space="preserve">the </w:t>
      </w:r>
      <w:r w:rsidRPr="00F54625">
        <w:t xml:space="preserve">placebo </w:t>
      </w:r>
      <w:r>
        <w:t xml:space="preserve">group </w:t>
      </w:r>
      <w:r w:rsidRPr="00F54625">
        <w:t>was based</w:t>
      </w:r>
      <w:r>
        <w:t xml:space="preserve"> on consultation with external s</w:t>
      </w:r>
      <w:r w:rsidRPr="00F54625">
        <w:t>JIA clinical experts.</w:t>
      </w:r>
    </w:p>
    <w:p w:rsidR="003F2210" w:rsidRDefault="003F2210" w:rsidP="00472929">
      <w:r w:rsidRPr="003F2210">
        <w:t>Evaluator’s comment: This response is acceptable</w:t>
      </w:r>
      <w:r>
        <w:t>.</w:t>
      </w:r>
    </w:p>
    <w:p w:rsidR="00D979B8" w:rsidRDefault="00D979B8" w:rsidP="00472929">
      <w:pPr>
        <w:pStyle w:val="Heading4"/>
      </w:pPr>
      <w:r w:rsidRPr="00B610A3">
        <w:t xml:space="preserve">Response to </w:t>
      </w:r>
      <w:r w:rsidR="00F82804">
        <w:t>e</w:t>
      </w:r>
      <w:r>
        <w:t xml:space="preserve">fficacy </w:t>
      </w:r>
      <w:r w:rsidR="00F82804">
        <w:t>q</w:t>
      </w:r>
      <w:r>
        <w:t>uestion 3</w:t>
      </w:r>
      <w:r w:rsidR="008F6698">
        <w:t xml:space="preserve">. </w:t>
      </w:r>
      <w:r w:rsidR="00F47EF9">
        <w:t>C</w:t>
      </w:r>
      <w:r>
        <w:t xml:space="preserve">lassification of discontinuations as </w:t>
      </w:r>
      <w:r w:rsidR="00186C14">
        <w:t>‘</w:t>
      </w:r>
      <w:r>
        <w:t>flares</w:t>
      </w:r>
      <w:r w:rsidR="00186C14">
        <w:t>’</w:t>
      </w:r>
      <w:r w:rsidR="003F2210">
        <w:t>.</w:t>
      </w:r>
    </w:p>
    <w:p w:rsidR="00D979B8" w:rsidRDefault="00D979B8" w:rsidP="00472929">
      <w:r>
        <w:t>The sponsor conducted an additional post</w:t>
      </w:r>
      <w:r w:rsidR="003F2210">
        <w:t xml:space="preserve"> </w:t>
      </w:r>
      <w:r>
        <w:t>hoc sensitivity analysis which defined flares as per the protocol definition or discontinuations from Part II due to unsatisfactory therapeutic effect.</w:t>
      </w:r>
      <w:r w:rsidR="00404BA5">
        <w:t xml:space="preserve"> </w:t>
      </w:r>
      <w:r>
        <w:t>Using this modified flare definition, 5 of the 6 placebo patients discontinued for reasons other than an unsatisfactory response and were censored, and only 1 patient (who had met the definition for flare prior to being discontinued for an AE [reported as a protocol violation]) was counted as flared.</w:t>
      </w:r>
      <w:r w:rsidR="00404BA5">
        <w:t xml:space="preserve"> </w:t>
      </w:r>
      <w:r>
        <w:t>The modified flare definition did not change the number of flares in the canakinumab group (n=11) but reduced the number of flare events by 5 in the placebo group (from 26 to 21).</w:t>
      </w:r>
      <w:r w:rsidR="00404BA5">
        <w:t xml:space="preserve"> </w:t>
      </w:r>
      <w:r>
        <w:t>The results of this post</w:t>
      </w:r>
      <w:r w:rsidR="0011081F">
        <w:t xml:space="preserve"> </w:t>
      </w:r>
      <w:r>
        <w:t xml:space="preserve">hoc sensitivity analysis showed a significant relative risk reduction in flares in the canakinumab group of 57% </w:t>
      </w:r>
      <w:r w:rsidRPr="003D0C27">
        <w:t>(</w:t>
      </w:r>
      <w:r>
        <w:t>HR</w:t>
      </w:r>
      <w:r w:rsidRPr="003D0C27">
        <w:t xml:space="preserve"> 0.</w:t>
      </w:r>
      <w:r>
        <w:t>43</w:t>
      </w:r>
      <w:r w:rsidRPr="003D0C27">
        <w:t>; 95% CI: 0.2</w:t>
      </w:r>
      <w:r>
        <w:t>0</w:t>
      </w:r>
      <w:r w:rsidRPr="003D0C27">
        <w:t xml:space="preserve"> to </w:t>
      </w:r>
      <w:r>
        <w:t>0.92</w:t>
      </w:r>
      <w:r w:rsidRPr="003D0C27">
        <w:t>; p=0.0</w:t>
      </w:r>
      <w:r>
        <w:t>127 [one-sided significance level 0.025]</w:t>
      </w:r>
      <w:r w:rsidRPr="003D0C27">
        <w:t>)</w:t>
      </w:r>
      <w:r>
        <w:t xml:space="preserve"> (</w:t>
      </w:r>
      <w:r w:rsidR="0011081F">
        <w:t>Table 6</w:t>
      </w:r>
      <w:r>
        <w:t>).</w:t>
      </w:r>
    </w:p>
    <w:p w:rsidR="00D979B8" w:rsidRDefault="00D979B8" w:rsidP="00472929">
      <w:pPr>
        <w:pStyle w:val="TableTitle"/>
      </w:pPr>
      <w:bookmarkStart w:id="110" w:name="_Ref379538645"/>
      <w:bookmarkStart w:id="111" w:name="_Ref379538656"/>
      <w:bookmarkStart w:id="112" w:name="_Toc380156175"/>
      <w:r>
        <w:t>Table</w:t>
      </w:r>
      <w:bookmarkEnd w:id="110"/>
      <w:r w:rsidR="0011081F">
        <w:t xml:space="preserve"> 6.</w:t>
      </w:r>
      <w:r>
        <w:t xml:space="preserve"> </w:t>
      </w:r>
      <w:r w:rsidRPr="00FF336A">
        <w:t xml:space="preserve">Survival analysis of time to </w:t>
      </w:r>
      <w:r>
        <w:t>modified flare during</w:t>
      </w:r>
      <w:r w:rsidRPr="00FF336A">
        <w:t xml:space="preserve"> Part II (</w:t>
      </w:r>
      <w:r>
        <w:t>FAS</w:t>
      </w:r>
      <w:r w:rsidRPr="00FF336A">
        <w:t xml:space="preserve"> II</w:t>
      </w:r>
      <w:r>
        <w:t>, (Study G2301</w:t>
      </w:r>
      <w:r w:rsidRPr="00FF336A">
        <w:t>)</w:t>
      </w:r>
      <w:bookmarkEnd w:id="111"/>
      <w:bookmarkEnd w:id="112"/>
    </w:p>
    <w:p w:rsidR="00D979B8" w:rsidRDefault="00D979B8" w:rsidP="00472929">
      <w:r>
        <w:rPr>
          <w:noProof/>
          <w:lang w:eastAsia="en-AU"/>
        </w:rPr>
        <w:drawing>
          <wp:inline distT="0" distB="0" distL="0" distR="0" wp14:anchorId="70E96AFA" wp14:editId="45B9E458">
            <wp:extent cx="5318150" cy="789288"/>
            <wp:effectExtent l="0" t="0" r="0" b="0"/>
            <wp:docPr id="42" name="Picture 42" descr="Table 6. Survival analysis of time to modified flare during Part II (FAS II, (Study G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152" cy="790772"/>
                    </a:xfrm>
                    <a:prstGeom prst="rect">
                      <a:avLst/>
                    </a:prstGeom>
                    <a:noFill/>
                    <a:ln>
                      <a:noFill/>
                    </a:ln>
                  </pic:spPr>
                </pic:pic>
              </a:graphicData>
            </a:graphic>
          </wp:inline>
        </w:drawing>
      </w:r>
    </w:p>
    <w:p w:rsidR="00C4062B" w:rsidRDefault="0011081F" w:rsidP="00472929">
      <w:r w:rsidRPr="0011081F">
        <w:t>Evaluator’s comment: This revised definition of flare (excluding [censoring] patients who discontinued for reasons other than lack of efficacy) for the sensitivity analysis is more appropriate for the evaluation of efficacy, and the results are supportive of the primary analysis. The response is acceptable.</w:t>
      </w:r>
    </w:p>
    <w:p w:rsidR="00C4062B" w:rsidRDefault="00605AD4" w:rsidP="00472929">
      <w:pPr>
        <w:pStyle w:val="Heading3"/>
        <w:rPr>
          <w:rFonts w:eastAsia="Cambria"/>
        </w:rPr>
      </w:pPr>
      <w:bookmarkStart w:id="113" w:name="_Toc408471922"/>
      <w:r w:rsidRPr="00605AD4">
        <w:rPr>
          <w:rFonts w:eastAsia="Cambria"/>
        </w:rPr>
        <w:lastRenderedPageBreak/>
        <w:t xml:space="preserve">Second </w:t>
      </w:r>
      <w:r w:rsidR="00F82804">
        <w:rPr>
          <w:rFonts w:eastAsia="Cambria"/>
        </w:rPr>
        <w:t>r</w:t>
      </w:r>
      <w:r w:rsidRPr="00605AD4">
        <w:rPr>
          <w:rFonts w:eastAsia="Cambria"/>
        </w:rPr>
        <w:t xml:space="preserve">ound </w:t>
      </w:r>
      <w:r w:rsidR="00F82804">
        <w:rPr>
          <w:rFonts w:eastAsia="Cambria"/>
        </w:rPr>
        <w:t>b</w:t>
      </w:r>
      <w:r w:rsidRPr="00605AD4">
        <w:rPr>
          <w:rFonts w:eastAsia="Cambria"/>
        </w:rPr>
        <w:t>enefit-</w:t>
      </w:r>
      <w:r w:rsidR="00F82804">
        <w:rPr>
          <w:rFonts w:eastAsia="Cambria"/>
        </w:rPr>
        <w:t>r</w:t>
      </w:r>
      <w:r w:rsidRPr="00605AD4">
        <w:rPr>
          <w:rFonts w:eastAsia="Cambria"/>
        </w:rPr>
        <w:t xml:space="preserve">isk </w:t>
      </w:r>
      <w:r w:rsidR="00F82804">
        <w:rPr>
          <w:rFonts w:eastAsia="Cambria"/>
        </w:rPr>
        <w:t>a</w:t>
      </w:r>
      <w:r w:rsidRPr="00605AD4">
        <w:rPr>
          <w:rFonts w:eastAsia="Cambria"/>
        </w:rPr>
        <w:t>ssessment</w:t>
      </w:r>
      <w:bookmarkStart w:id="114" w:name="_Toc272414709"/>
      <w:bookmarkStart w:id="115" w:name="_Toc290846349"/>
      <w:bookmarkStart w:id="116" w:name="_Toc380156127"/>
      <w:bookmarkEnd w:id="113"/>
    </w:p>
    <w:p w:rsidR="00D979B8" w:rsidRDefault="00D979B8" w:rsidP="00472929">
      <w:pPr>
        <w:pStyle w:val="Heading4"/>
      </w:pPr>
      <w:r>
        <w:t>Second round assessment of benefits</w:t>
      </w:r>
      <w:bookmarkEnd w:id="114"/>
      <w:bookmarkEnd w:id="115"/>
      <w:bookmarkEnd w:id="116"/>
    </w:p>
    <w:p w:rsidR="00D979B8" w:rsidRDefault="00D979B8" w:rsidP="00472929">
      <w:r>
        <w:t xml:space="preserve">After consideration of the responses to clinical questions, the benefits of canakinumab in the proposed usage are unchanged from those identified in </w:t>
      </w:r>
      <w:r w:rsidR="00C4062B">
        <w:t>the First round assessment</w:t>
      </w:r>
      <w:r>
        <w:t>.</w:t>
      </w:r>
    </w:p>
    <w:p w:rsidR="00D979B8" w:rsidRDefault="00D979B8" w:rsidP="00472929">
      <w:pPr>
        <w:pStyle w:val="Heading4"/>
      </w:pPr>
      <w:bookmarkStart w:id="117" w:name="_Toc272414710"/>
      <w:bookmarkStart w:id="118" w:name="_Toc290846350"/>
      <w:bookmarkStart w:id="119" w:name="_Toc380156128"/>
      <w:r>
        <w:t>Second round assessment of risks</w:t>
      </w:r>
      <w:bookmarkEnd w:id="117"/>
      <w:bookmarkEnd w:id="118"/>
      <w:bookmarkEnd w:id="119"/>
    </w:p>
    <w:p w:rsidR="00D979B8" w:rsidRDefault="00D979B8" w:rsidP="00472929">
      <w:r>
        <w:t>After consideration of the responses to clinical questions, the risks of canakinumab in the proposed usage are:</w:t>
      </w:r>
    </w:p>
    <w:p w:rsidR="00D979B8" w:rsidRDefault="00D979B8" w:rsidP="00472929">
      <w:pPr>
        <w:pStyle w:val="ListBullet"/>
      </w:pPr>
      <w:r w:rsidRPr="009D3EC2">
        <w:t xml:space="preserve">The probability </w:t>
      </w:r>
      <w:r>
        <w:t>of</w:t>
      </w:r>
      <w:r w:rsidRPr="009D3EC2">
        <w:t xml:space="preserve"> experienc</w:t>
      </w:r>
      <w:r>
        <w:t>ing</w:t>
      </w:r>
      <w:r w:rsidRPr="009D3EC2">
        <w:t xml:space="preserve"> a flare</w:t>
      </w:r>
      <w:r>
        <w:t xml:space="preserve"> </w:t>
      </w:r>
      <w:r w:rsidRPr="009D3EC2">
        <w:t xml:space="preserve">event in Part II </w:t>
      </w:r>
      <w:r>
        <w:t>of Study G2301</w:t>
      </w:r>
      <w:r w:rsidRPr="009D3EC2">
        <w:t xml:space="preserve">was lower for </w:t>
      </w:r>
      <w:r>
        <w:t xml:space="preserve">patients receiving </w:t>
      </w:r>
      <w:r w:rsidRPr="009D3EC2">
        <w:t>canakinumab treatment compared with placebo treatment</w:t>
      </w:r>
      <w:r>
        <w:t>.</w:t>
      </w:r>
      <w:r w:rsidR="00404BA5">
        <w:t xml:space="preserve"> </w:t>
      </w:r>
      <w:r>
        <w:t xml:space="preserve">This result was not statistically significant in a sensitivity analysis when patients who discontinued the </w:t>
      </w:r>
      <w:r w:rsidRPr="003D0C27">
        <w:t>study for any reason (with the exception of flare) were censored at the time of study discontinuation</w:t>
      </w:r>
      <w:r>
        <w:t>.</w:t>
      </w:r>
      <w:r w:rsidR="00404BA5">
        <w:t xml:space="preserve"> </w:t>
      </w:r>
      <w:r>
        <w:t>In an additional post</w:t>
      </w:r>
      <w:r w:rsidR="00C4062B">
        <w:t xml:space="preserve"> </w:t>
      </w:r>
      <w:r>
        <w:t>hoc sensitivity analysis which included discontinuations from Part II due to unsatisfactory therapeutic effect as flares and censored discontinuations for other reasons, canakinumab treatment reduced the relative risk of flare by 57% compared with placebo (HR</w:t>
      </w:r>
      <w:r w:rsidRPr="003D0C27">
        <w:t xml:space="preserve"> 0.</w:t>
      </w:r>
      <w:r>
        <w:t>43</w:t>
      </w:r>
      <w:r w:rsidRPr="003D0C27">
        <w:t>; 95% CI: 0.2</w:t>
      </w:r>
      <w:r>
        <w:t>0</w:t>
      </w:r>
      <w:r w:rsidRPr="003D0C27">
        <w:t xml:space="preserve"> to </w:t>
      </w:r>
      <w:r>
        <w:t>0.92</w:t>
      </w:r>
      <w:r w:rsidRPr="003D0C27">
        <w:t>; p=0.0</w:t>
      </w:r>
      <w:r>
        <w:t>127</w:t>
      </w:r>
      <w:r w:rsidRPr="003D0C27">
        <w:t>)</w:t>
      </w:r>
      <w:r>
        <w:t>.</w:t>
      </w:r>
    </w:p>
    <w:p w:rsidR="00D979B8" w:rsidRDefault="00D979B8" w:rsidP="00472929">
      <w:r>
        <w:t xml:space="preserve">The other risks of canakinumab in the proposed usage are unchanged </w:t>
      </w:r>
      <w:r w:rsidR="00C4062B">
        <w:t>from the First round assessment</w:t>
      </w:r>
      <w:r>
        <w:t>.</w:t>
      </w:r>
    </w:p>
    <w:p w:rsidR="00D979B8" w:rsidRDefault="00D979B8" w:rsidP="00472929">
      <w:pPr>
        <w:pStyle w:val="Heading4"/>
      </w:pPr>
      <w:bookmarkStart w:id="120" w:name="_Toc272414711"/>
      <w:bookmarkStart w:id="121" w:name="_Toc290846351"/>
      <w:bookmarkStart w:id="122" w:name="_Toc380156129"/>
      <w:r>
        <w:t>Second round assessment of benefit-risk balance</w:t>
      </w:r>
      <w:bookmarkEnd w:id="120"/>
      <w:bookmarkEnd w:id="121"/>
      <w:bookmarkEnd w:id="122"/>
    </w:p>
    <w:p w:rsidR="00D979B8" w:rsidRDefault="00D979B8" w:rsidP="00472929">
      <w:r>
        <w:t>The benefit-risk balance of canakinumab, given the proposed usage, is favourable.</w:t>
      </w:r>
    </w:p>
    <w:p w:rsidR="00D979B8" w:rsidRPr="001279D6" w:rsidRDefault="00C4062B" w:rsidP="00472929">
      <w:pPr>
        <w:pStyle w:val="Heading3"/>
      </w:pPr>
      <w:bookmarkStart w:id="123" w:name="_Ref272160677"/>
      <w:bookmarkStart w:id="124" w:name="_Toc272414713"/>
      <w:bookmarkStart w:id="125" w:name="_Toc290846352"/>
      <w:bookmarkStart w:id="126" w:name="_Toc380156130"/>
      <w:bookmarkStart w:id="127" w:name="_Toc408471923"/>
      <w:r>
        <w:t>Second round recommendation regarding authorisation</w:t>
      </w:r>
      <w:bookmarkEnd w:id="123"/>
      <w:bookmarkEnd w:id="124"/>
      <w:bookmarkEnd w:id="125"/>
      <w:bookmarkEnd w:id="126"/>
      <w:bookmarkEnd w:id="127"/>
    </w:p>
    <w:p w:rsidR="00D979B8" w:rsidRDefault="00D979B8" w:rsidP="00472929">
      <w:r>
        <w:t xml:space="preserve">Satisfactory </w:t>
      </w:r>
      <w:r w:rsidRPr="00D2502A">
        <w:t xml:space="preserve">responses </w:t>
      </w:r>
      <w:r>
        <w:t>have been</w:t>
      </w:r>
      <w:r w:rsidRPr="00D2502A">
        <w:t xml:space="preserve"> received in relation to the questions posed </w:t>
      </w:r>
      <w:r w:rsidR="00C4062B">
        <w:t>by this evaluator</w:t>
      </w:r>
      <w:r>
        <w:t>.</w:t>
      </w:r>
      <w:r w:rsidR="00404BA5">
        <w:t xml:space="preserve"> </w:t>
      </w:r>
      <w:r>
        <w:t xml:space="preserve">The recommendation regarding authorisation is otherwise unchanged from the </w:t>
      </w:r>
      <w:r w:rsidR="00C4062B">
        <w:t>F</w:t>
      </w:r>
      <w:r>
        <w:t>irst round recommendation.</w:t>
      </w:r>
    </w:p>
    <w:p w:rsidR="008E7846" w:rsidRPr="00E41208" w:rsidRDefault="008E7846" w:rsidP="00472929">
      <w:pPr>
        <w:pStyle w:val="Heading2"/>
      </w:pPr>
      <w:bookmarkStart w:id="128" w:name="_Toc408471924"/>
      <w:r w:rsidRPr="00E41208">
        <w:t xml:space="preserve">V. Pharmacovigilance </w:t>
      </w:r>
      <w:r>
        <w:t>f</w:t>
      </w:r>
      <w:r w:rsidRPr="00E41208">
        <w:t>indings</w:t>
      </w:r>
      <w:bookmarkEnd w:id="86"/>
      <w:bookmarkEnd w:id="87"/>
      <w:bookmarkEnd w:id="128"/>
    </w:p>
    <w:p w:rsidR="008E7846" w:rsidRDefault="00386150" w:rsidP="00472929">
      <w:pPr>
        <w:pStyle w:val="Heading3"/>
        <w:rPr>
          <w:lang w:eastAsia="en-AU"/>
        </w:rPr>
      </w:pPr>
      <w:bookmarkStart w:id="129" w:name="_Toc247691526"/>
      <w:bookmarkStart w:id="130" w:name="_Toc314842509"/>
      <w:bookmarkStart w:id="131" w:name="_Toc408471925"/>
      <w:r>
        <w:rPr>
          <w:lang w:eastAsia="en-AU"/>
        </w:rPr>
        <w:t>Risk m</w:t>
      </w:r>
      <w:r w:rsidR="008E7846">
        <w:rPr>
          <w:lang w:eastAsia="en-AU"/>
        </w:rPr>
        <w:t xml:space="preserve">anagement </w:t>
      </w:r>
      <w:r>
        <w:rPr>
          <w:lang w:eastAsia="en-AU"/>
        </w:rPr>
        <w:t>p</w:t>
      </w:r>
      <w:r w:rsidR="008E7846">
        <w:rPr>
          <w:lang w:eastAsia="en-AU"/>
        </w:rPr>
        <w:t>lan</w:t>
      </w:r>
      <w:bookmarkEnd w:id="129"/>
      <w:bookmarkEnd w:id="130"/>
      <w:bookmarkEnd w:id="131"/>
    </w:p>
    <w:p w:rsidR="008E7846" w:rsidRDefault="008E7846" w:rsidP="00472929">
      <w:pPr>
        <w:rPr>
          <w:lang w:eastAsia="en-AU"/>
        </w:rPr>
      </w:pPr>
      <w:r>
        <w:rPr>
          <w:lang w:eastAsia="en-AU"/>
        </w:rPr>
        <w:t>The sponsor submitted a Risk Management Plan</w:t>
      </w:r>
      <w:r w:rsidR="006F25B8">
        <w:rPr>
          <w:lang w:eastAsia="en-AU"/>
        </w:rPr>
        <w:t xml:space="preserve"> </w:t>
      </w:r>
      <w:r w:rsidR="00E22D1F" w:rsidRPr="00CF2C52">
        <w:t xml:space="preserve">Core RMP Version 7.1 dated 18 May 2013 (data lock 31 December 2012 for postmarketing data) with Australian Specific Annex </w:t>
      </w:r>
      <w:r w:rsidR="00E22D1F">
        <w:t xml:space="preserve">(ASA) </w:t>
      </w:r>
      <w:r w:rsidR="00E22D1F" w:rsidRPr="00CF2C52">
        <w:t xml:space="preserve">Version 3.1 dated 26 June 2013 </w:t>
      </w:r>
      <w:r>
        <w:rPr>
          <w:lang w:eastAsia="en-AU"/>
        </w:rPr>
        <w:t>which was reviewed by the TGA’s Office of Product Review (OPR).</w:t>
      </w:r>
    </w:p>
    <w:p w:rsidR="008E7846" w:rsidRDefault="003A7F6C" w:rsidP="00472929">
      <w:pPr>
        <w:pStyle w:val="Heading4"/>
        <w:rPr>
          <w:lang w:eastAsia="en-AU"/>
        </w:rPr>
      </w:pPr>
      <w:r>
        <w:rPr>
          <w:lang w:eastAsia="en-AU"/>
        </w:rPr>
        <w:t>Safety s</w:t>
      </w:r>
      <w:r w:rsidR="008E7846">
        <w:rPr>
          <w:lang w:eastAsia="en-AU"/>
        </w:rPr>
        <w:t>pecification</w:t>
      </w:r>
    </w:p>
    <w:p w:rsidR="008E7846" w:rsidRDefault="008E7846" w:rsidP="00472929">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C4062B">
        <w:rPr>
          <w:lang w:eastAsia="en-AU"/>
        </w:rPr>
        <w:t>cerns which are shown at Table 7</w:t>
      </w:r>
      <w:r>
        <w:rPr>
          <w:lang w:eastAsia="en-AU"/>
        </w:rPr>
        <w:t>.</w:t>
      </w:r>
    </w:p>
    <w:p w:rsidR="00BE49D7" w:rsidRDefault="00BE49D7" w:rsidP="00472929">
      <w:pPr>
        <w:pStyle w:val="TableTitle"/>
      </w:pPr>
      <w:r w:rsidRPr="002E14A1">
        <w:lastRenderedPageBreak/>
        <w:t xml:space="preserve">Table </w:t>
      </w:r>
      <w:r w:rsidR="00C4062B">
        <w:t>7</w:t>
      </w:r>
      <w:r w:rsidRPr="002E14A1">
        <w:t>. Sponsor’s summary of the Ongoing Safety Concerns</w:t>
      </w:r>
    </w:p>
    <w:p w:rsidR="00BE49D7" w:rsidRDefault="00BE49D7" w:rsidP="00472929">
      <w:r>
        <w:rPr>
          <w:noProof/>
          <w:lang w:eastAsia="en-AU"/>
        </w:rPr>
        <w:drawing>
          <wp:inline distT="0" distB="0" distL="0" distR="0" wp14:anchorId="0779D0A0" wp14:editId="674536A1">
            <wp:extent cx="4409495" cy="3364992"/>
            <wp:effectExtent l="0" t="0" r="0" b="6985"/>
            <wp:docPr id="94" name="Picture 94" descr="Table 7. Sponsor’s summary of the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21" cstate="print"/>
                    <a:srcRect l="1076" t="1304" r="5503" b="1425"/>
                    <a:stretch/>
                  </pic:blipFill>
                  <pic:spPr bwMode="auto">
                    <a:xfrm>
                      <a:off x="0" y="0"/>
                      <a:ext cx="4413286" cy="3367885"/>
                    </a:xfrm>
                    <a:prstGeom prst="rect">
                      <a:avLst/>
                    </a:prstGeom>
                    <a:noFill/>
                    <a:ln>
                      <a:noFill/>
                    </a:ln>
                    <a:extLst>
                      <a:ext uri="{53640926-AAD7-44D8-BBD7-CCE9431645EC}">
                        <a14:shadowObscured xmlns:a14="http://schemas.microsoft.com/office/drawing/2010/main"/>
                      </a:ext>
                    </a:extLst>
                  </pic:spPr>
                </pic:pic>
              </a:graphicData>
            </a:graphic>
          </wp:inline>
        </w:drawing>
      </w:r>
    </w:p>
    <w:p w:rsidR="00BE49D7" w:rsidRDefault="008E7846" w:rsidP="00472929">
      <w:pPr>
        <w:pStyle w:val="Heading4"/>
        <w:rPr>
          <w:lang w:eastAsia="en-AU"/>
        </w:rPr>
      </w:pPr>
      <w:r>
        <w:rPr>
          <w:lang w:eastAsia="en-AU"/>
        </w:rPr>
        <w:t xml:space="preserve">Pharmacovigilance </w:t>
      </w:r>
      <w:r w:rsidR="003A7F6C">
        <w:rPr>
          <w:lang w:eastAsia="en-AU"/>
        </w:rPr>
        <w:t>p</w:t>
      </w:r>
      <w:r>
        <w:rPr>
          <w:lang w:eastAsia="en-AU"/>
        </w:rPr>
        <w:t>lan</w:t>
      </w:r>
      <w:r w:rsidR="00BE49D7" w:rsidRPr="00BE49D7">
        <w:rPr>
          <w:lang w:eastAsia="en-AU"/>
        </w:rPr>
        <w:t xml:space="preserve"> </w:t>
      </w:r>
      <w:r w:rsidR="00BE49D7">
        <w:rPr>
          <w:lang w:eastAsia="en-AU"/>
        </w:rPr>
        <w:t xml:space="preserve">and </w:t>
      </w:r>
      <w:r w:rsidR="00F47EF9">
        <w:rPr>
          <w:lang w:eastAsia="en-AU"/>
        </w:rPr>
        <w:t>r</w:t>
      </w:r>
      <w:r w:rsidR="00BE49D7">
        <w:rPr>
          <w:lang w:eastAsia="en-AU"/>
        </w:rPr>
        <w:t>isk minimisation activities</w:t>
      </w:r>
    </w:p>
    <w:p w:rsidR="00BE49D7" w:rsidRPr="005D3822" w:rsidRDefault="00BE49D7" w:rsidP="00472929">
      <w:pPr>
        <w:rPr>
          <w:rFonts w:eastAsia="TimesNewRoman" w:cs="TimesNewRoman"/>
          <w:lang w:eastAsia="en-AU"/>
        </w:rPr>
      </w:pPr>
      <w:r w:rsidRPr="000A712D">
        <w:t xml:space="preserve">The major changes to the Core-RMP Version 7.1, dated 18 May 2013 compared to the previously evaluated Core-RMP Version 6, dated 31 December 2011 has been summarised by the </w:t>
      </w:r>
      <w:r w:rsidR="00FC2B6B" w:rsidRPr="000A712D">
        <w:t>s</w:t>
      </w:r>
      <w:r w:rsidRPr="000A712D">
        <w:t>ponsor in the following statement</w:t>
      </w:r>
      <w:r w:rsidR="00203720" w:rsidRPr="000A712D">
        <w:t xml:space="preserve"> ‘</w:t>
      </w:r>
      <w:r w:rsidRPr="000A712D">
        <w:rPr>
          <w:rFonts w:eastAsia="TimesNewRoman" w:cs="TimesNewRoman"/>
          <w:i/>
          <w:lang w:eastAsia="en-AU"/>
        </w:rPr>
        <w:t>All information from the previous RMP version 6.1 was transferred to the new core template and appropriate sections were updated to comply with new template requirements. As a part of the RMP strategy, missing information on safety data was extended to all indications and long term efficacy for CAPS and SJIA was added as missing information</w:t>
      </w:r>
      <w:r w:rsidRPr="000A712D">
        <w:rPr>
          <w:rFonts w:eastAsia="TimesNewRoman" w:cs="TimesNewRoman"/>
          <w:lang w:eastAsia="en-AU"/>
        </w:rPr>
        <w:t>.</w:t>
      </w:r>
      <w:r w:rsidR="00203720" w:rsidRPr="000A712D">
        <w:rPr>
          <w:rFonts w:eastAsia="TimesNewRoman" w:cs="TimesNewRoman"/>
          <w:lang w:eastAsia="en-AU"/>
        </w:rPr>
        <w:t>’</w:t>
      </w:r>
      <w:r w:rsidRPr="000A712D">
        <w:rPr>
          <w:rFonts w:eastAsia="TimesNewRoman" w:cs="TimesNewRoman"/>
          <w:lang w:eastAsia="en-AU"/>
        </w:rPr>
        <w:t xml:space="preserve"> The sponsor does refer to a </w:t>
      </w:r>
      <w:r w:rsidR="00186C14" w:rsidRPr="000A712D">
        <w:rPr>
          <w:rFonts w:eastAsia="TimesNewRoman" w:cs="TimesNewRoman"/>
          <w:lang w:eastAsia="en-AU"/>
        </w:rPr>
        <w:t>‘</w:t>
      </w:r>
      <w:r w:rsidRPr="000A712D">
        <w:rPr>
          <w:rFonts w:eastAsia="TimesNewRoman" w:cs="TimesNewRoman"/>
          <w:lang w:eastAsia="en-AU"/>
        </w:rPr>
        <w:t>list</w:t>
      </w:r>
      <w:r w:rsidR="00186C14" w:rsidRPr="000A712D">
        <w:rPr>
          <w:rFonts w:eastAsia="TimesNewRoman" w:cs="TimesNewRoman"/>
          <w:lang w:eastAsia="en-AU"/>
        </w:rPr>
        <w:t>’</w:t>
      </w:r>
      <w:r w:rsidRPr="000A712D">
        <w:rPr>
          <w:rFonts w:eastAsia="TimesNewRoman" w:cs="TimesNewRoman"/>
          <w:lang w:eastAsia="en-AU"/>
        </w:rPr>
        <w:t xml:space="preserve"> </w:t>
      </w:r>
      <w:r w:rsidR="00FC2B6B" w:rsidRPr="000A712D">
        <w:rPr>
          <w:rFonts w:eastAsia="TimesNewRoman" w:cs="TimesNewRoman"/>
          <w:lang w:eastAsia="en-AU"/>
        </w:rPr>
        <w:t>in</w:t>
      </w:r>
      <w:r w:rsidRPr="000A712D">
        <w:rPr>
          <w:rFonts w:eastAsia="TimesNewRoman" w:cs="TimesNewRoman"/>
          <w:lang w:eastAsia="en-AU"/>
        </w:rPr>
        <w:t xml:space="preserve"> the Core-RMP V7.1 that summarises these changes. However, there is no list present.</w:t>
      </w:r>
    </w:p>
    <w:p w:rsidR="00FC2B6B" w:rsidRDefault="00BE49D7" w:rsidP="00472929">
      <w:r w:rsidRPr="00144492">
        <w:t>In summary, routine and additional pharmacovigilance activities are proposed by the sponsor to monitor and further elucidate the 3 important identified risks, 1</w:t>
      </w:r>
      <w:r>
        <w:t>5 important potential risks and 5</w:t>
      </w:r>
      <w:r w:rsidRPr="00144492">
        <w:t xml:space="preserve"> importan</w:t>
      </w:r>
      <w:r w:rsidR="00472929">
        <w:t>t areas of missing information.</w:t>
      </w:r>
    </w:p>
    <w:p w:rsidR="000A712D" w:rsidRDefault="000A712D" w:rsidP="00472929">
      <w:pPr>
        <w:pStyle w:val="ListBullet"/>
      </w:pPr>
      <w:r>
        <w:t xml:space="preserve">routine pharmacovigilance activities for important identified, potential risks and missing information. This includes 6 targeted questionaries (classified by the sponsor as additional </w:t>
      </w:r>
      <w:r w:rsidRPr="000D7021">
        <w:t>pharmacovigilance)</w:t>
      </w:r>
      <w:r>
        <w:t xml:space="preserve"> for Infections, Opportunistic infections, Immunogenicity/Allergenicity (hypersensitivity including anaphylaxis), Malignancy, Vertigo and MAS (for sJIA)</w:t>
      </w:r>
      <w:r w:rsidRPr="000D7021">
        <w:t>.</w:t>
      </w:r>
    </w:p>
    <w:p w:rsidR="000A712D" w:rsidRDefault="000A712D" w:rsidP="00472929">
      <w:pPr>
        <w:pStyle w:val="ListBullet"/>
      </w:pPr>
      <w:r>
        <w:t>additional activities are proposed for some of the risks including three ongoing studies (</w:t>
      </w:r>
      <w:r w:rsidRPr="000A712D">
        <w:t xml:space="preserve">including Ilaris Registry CACZ885D2401 </w:t>
      </w:r>
      <w:r>
        <w:t xml:space="preserve">which included Australian patients </w:t>
      </w:r>
      <w:r w:rsidRPr="000A712D">
        <w:t>and CACZ885H2401</w:t>
      </w:r>
      <w:r>
        <w:t>i</w:t>
      </w:r>
      <w:r w:rsidRPr="000A712D">
        <w:t>n which the inclusion of Australian patients is to be confirmed by the sponsor)</w:t>
      </w:r>
      <w:r>
        <w:t xml:space="preserve"> and a planned sJIA Pharmachild registry</w:t>
      </w:r>
      <w:r w:rsidR="00472929">
        <w:t>.</w:t>
      </w:r>
    </w:p>
    <w:p w:rsidR="00B3797D" w:rsidRDefault="00B3797D" w:rsidP="00472929">
      <w:pPr>
        <w:pStyle w:val="ListBullet"/>
      </w:pPr>
      <w:r>
        <w:t>The sponsor proposes routine (PI; for the 3 important identified risks and 11 out of the 14 important potential risks) and additional risk minimisation activities.</w:t>
      </w:r>
    </w:p>
    <w:p w:rsidR="00BE49D7" w:rsidRDefault="00BE49D7" w:rsidP="00472929">
      <w:r w:rsidRPr="00144492">
        <w:t>Currently, no additional risk minimisation activities will occur in Australia until after patients have commenced treatment with Ilaris.</w:t>
      </w:r>
      <w:r w:rsidR="00404BA5">
        <w:t xml:space="preserve"> </w:t>
      </w:r>
      <w:r>
        <w:t xml:space="preserve">The </w:t>
      </w:r>
      <w:r w:rsidR="0020756B">
        <w:t>s</w:t>
      </w:r>
      <w:r>
        <w:t>ponsor makes the following statement regarding additional risk minimisation activities in Australia (ASA version 3.1 Section 6.2):</w:t>
      </w:r>
    </w:p>
    <w:p w:rsidR="00BE49D7" w:rsidRPr="0020756B" w:rsidRDefault="00BE49D7" w:rsidP="0020756B">
      <w:pPr>
        <w:ind w:left="720"/>
        <w:rPr>
          <w:i/>
          <w:lang w:eastAsia="en-AU"/>
        </w:rPr>
      </w:pPr>
      <w:r w:rsidRPr="0020756B">
        <w:rPr>
          <w:i/>
          <w:noProof/>
          <w:lang w:eastAsia="en-AU"/>
        </w:rPr>
        <w:lastRenderedPageBreak/>
        <w:drawing>
          <wp:inline distT="0" distB="0" distL="0" distR="0" wp14:anchorId="654DBAA4" wp14:editId="71FE24F4">
            <wp:extent cx="34925" cy="8890"/>
            <wp:effectExtent l="0" t="0" r="0" b="0"/>
            <wp:docPr id="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srcRect/>
                    <a:stretch>
                      <a:fillRect/>
                    </a:stretch>
                  </pic:blipFill>
                  <pic:spPr bwMode="auto">
                    <a:xfrm>
                      <a:off x="0" y="0"/>
                      <a:ext cx="34925" cy="8890"/>
                    </a:xfrm>
                    <a:prstGeom prst="rect">
                      <a:avLst/>
                    </a:prstGeom>
                    <a:noFill/>
                    <a:ln w="9525">
                      <a:noFill/>
                      <a:miter lim="800000"/>
                      <a:headEnd/>
                      <a:tailEnd/>
                    </a:ln>
                  </pic:spPr>
                </pic:pic>
              </a:graphicData>
            </a:graphic>
          </wp:inline>
        </w:drawing>
      </w:r>
      <w:r w:rsidR="00186C14" w:rsidRPr="0020756B">
        <w:rPr>
          <w:i/>
          <w:lang w:eastAsia="en-AU"/>
        </w:rPr>
        <w:t>’</w:t>
      </w:r>
      <w:r w:rsidRPr="0020756B">
        <w:rPr>
          <w:i/>
          <w:lang w:eastAsia="en-AU"/>
        </w:rPr>
        <w:t>At the time of writing this document, no patients in Australia, outside of clinical trials, have been supplied Ilaris. Novartis will develop Australian specific-material for both prescribers and patients for the CAPS and SJIA indications based on the Novartis globally developed educational material templates presented in Section 10 of RMP v7.1. Materials for physicians will refer to and align with Australia approved Product Information for full prescribing information. The development will occur once suitable patients have been identified and will be treated with Ilaris</w:t>
      </w:r>
      <w:r w:rsidR="00186C14" w:rsidRPr="0020756B">
        <w:rPr>
          <w:i/>
          <w:lang w:eastAsia="en-AU"/>
        </w:rPr>
        <w:t>’</w:t>
      </w:r>
      <w:r w:rsidRPr="0020756B">
        <w:rPr>
          <w:i/>
          <w:lang w:eastAsia="en-AU"/>
        </w:rPr>
        <w:t>.</w:t>
      </w:r>
    </w:p>
    <w:p w:rsidR="00BE49D7" w:rsidRPr="00CA60D2" w:rsidRDefault="00BE49D7" w:rsidP="00472929">
      <w:pPr>
        <w:rPr>
          <w:rFonts w:asciiTheme="minorHAnsi" w:hAnsiTheme="minorHAnsi"/>
        </w:rPr>
      </w:pPr>
      <w:r>
        <w:t xml:space="preserve">The canakinumab educational materials have been previously evaluated and approved by the TGA. The </w:t>
      </w:r>
      <w:r w:rsidR="0020756B">
        <w:t>s</w:t>
      </w:r>
      <w:r>
        <w:t>ponsor has provided the following summary of updates to these materials</w:t>
      </w:r>
      <w:r w:rsidRPr="00CA60D2">
        <w:rPr>
          <w:rFonts w:asciiTheme="minorHAnsi" w:hAnsiTheme="minorHAnsi"/>
        </w:rPr>
        <w:t>:</w:t>
      </w:r>
    </w:p>
    <w:p w:rsidR="00BE49D7" w:rsidRPr="0020756B" w:rsidRDefault="00186C14" w:rsidP="0020756B">
      <w:pPr>
        <w:ind w:left="720"/>
        <w:rPr>
          <w:i/>
          <w:lang w:eastAsia="en-AU"/>
        </w:rPr>
      </w:pPr>
      <w:r w:rsidRPr="0020756B">
        <w:rPr>
          <w:i/>
          <w:lang w:eastAsia="en-AU"/>
        </w:rPr>
        <w:t>‘</w:t>
      </w:r>
      <w:r w:rsidR="00BE49D7" w:rsidRPr="0020756B">
        <w:rPr>
          <w:i/>
          <w:lang w:eastAsia="en-AU"/>
        </w:rPr>
        <w:t xml:space="preserve">This annex contains details of the proposed updates to the educational materials for physicians and patients for </w:t>
      </w:r>
      <w:r w:rsidR="00547E46">
        <w:rPr>
          <w:i/>
          <w:lang w:eastAsia="en-AU"/>
        </w:rPr>
        <w:t>Ilaris</w:t>
      </w:r>
      <w:r w:rsidR="00BE49D7" w:rsidRPr="0020756B">
        <w:rPr>
          <w:i/>
          <w:lang w:eastAsia="en-AU"/>
        </w:rPr>
        <w:t xml:space="preserve"> (canakinumab).</w:t>
      </w:r>
    </w:p>
    <w:p w:rsidR="00BE49D7" w:rsidRPr="00472929" w:rsidRDefault="00BE49D7" w:rsidP="00472929">
      <w:pPr>
        <w:ind w:left="360"/>
        <w:rPr>
          <w:i/>
          <w:lang w:eastAsia="en-AU"/>
        </w:rPr>
      </w:pPr>
      <w:r w:rsidRPr="00472929">
        <w:rPr>
          <w:i/>
          <w:lang w:eastAsia="en-AU"/>
        </w:rPr>
        <w:t>Detailed information is shown about:</w:t>
      </w:r>
    </w:p>
    <w:p w:rsidR="00BE49D7" w:rsidRPr="00472929" w:rsidRDefault="00BE49D7" w:rsidP="00F47EF9">
      <w:pPr>
        <w:pStyle w:val="ListBullet"/>
        <w:ind w:left="851"/>
        <w:rPr>
          <w:lang w:eastAsia="en-AU"/>
        </w:rPr>
      </w:pPr>
      <w:r w:rsidRPr="00472929">
        <w:rPr>
          <w:lang w:eastAsia="en-AU"/>
        </w:rPr>
        <w:t xml:space="preserve">the current </w:t>
      </w:r>
      <w:r w:rsidR="00547E46" w:rsidRPr="00472929">
        <w:rPr>
          <w:lang w:eastAsia="en-AU"/>
        </w:rPr>
        <w:t>Ilaris</w:t>
      </w:r>
      <w:r w:rsidRPr="00472929">
        <w:rPr>
          <w:lang w:eastAsia="en-AU"/>
        </w:rPr>
        <w:t xml:space="preserve"> </w:t>
      </w:r>
      <w:r w:rsidRPr="00472929">
        <w:rPr>
          <w:rFonts w:cs="TimesNewRoman,Bold"/>
          <w:b/>
          <w:bCs/>
          <w:lang w:eastAsia="en-AU"/>
        </w:rPr>
        <w:t xml:space="preserve">Physician Information Guide </w:t>
      </w:r>
      <w:r w:rsidRPr="00472929">
        <w:rPr>
          <w:lang w:eastAsia="en-AU"/>
        </w:rPr>
        <w:t>for the Cryopyrin-Associated Periodic Syndromes (CAPS) and the Gouty Arthritis (GA) indications</w:t>
      </w:r>
    </w:p>
    <w:p w:rsidR="00BE49D7" w:rsidRPr="00472929" w:rsidRDefault="00BE49D7" w:rsidP="00F47EF9">
      <w:pPr>
        <w:pStyle w:val="ListBullet"/>
        <w:ind w:left="851"/>
        <w:rPr>
          <w:lang w:eastAsia="en-AU"/>
        </w:rPr>
      </w:pPr>
      <w:r w:rsidRPr="00472929">
        <w:rPr>
          <w:lang w:eastAsia="en-AU"/>
        </w:rPr>
        <w:t xml:space="preserve">the new </w:t>
      </w:r>
      <w:r w:rsidR="00547E46" w:rsidRPr="00472929">
        <w:rPr>
          <w:lang w:eastAsia="en-AU"/>
        </w:rPr>
        <w:t>Ilaris</w:t>
      </w:r>
      <w:r w:rsidRPr="00472929">
        <w:rPr>
          <w:lang w:eastAsia="en-AU"/>
        </w:rPr>
        <w:t xml:space="preserve"> </w:t>
      </w:r>
      <w:r w:rsidRPr="00472929">
        <w:rPr>
          <w:rFonts w:cs="TimesNewRoman,Bold"/>
          <w:b/>
          <w:bCs/>
          <w:lang w:eastAsia="en-AU"/>
        </w:rPr>
        <w:t xml:space="preserve">Physician Information Guide </w:t>
      </w:r>
      <w:r w:rsidRPr="00472929">
        <w:rPr>
          <w:lang w:eastAsia="en-AU"/>
        </w:rPr>
        <w:t>for the Systemic Juvenile Idiopathic Arthritis (SJIA) indication</w:t>
      </w:r>
    </w:p>
    <w:p w:rsidR="00BE49D7" w:rsidRPr="00472929" w:rsidRDefault="00BE49D7" w:rsidP="00F47EF9">
      <w:pPr>
        <w:pStyle w:val="ListBullet"/>
        <w:ind w:left="851"/>
        <w:rPr>
          <w:lang w:eastAsia="en-AU"/>
        </w:rPr>
      </w:pPr>
      <w:r w:rsidRPr="00472929">
        <w:rPr>
          <w:lang w:eastAsia="en-AU"/>
        </w:rPr>
        <w:t xml:space="preserve">the current </w:t>
      </w:r>
      <w:r w:rsidR="00547E46" w:rsidRPr="00472929">
        <w:rPr>
          <w:lang w:eastAsia="en-AU"/>
        </w:rPr>
        <w:t>Ilaris</w:t>
      </w:r>
      <w:r w:rsidRPr="00472929">
        <w:rPr>
          <w:lang w:eastAsia="en-AU"/>
        </w:rPr>
        <w:t xml:space="preserve"> </w:t>
      </w:r>
      <w:r w:rsidRPr="00472929">
        <w:rPr>
          <w:rFonts w:cs="TimesNewRoman,Bold"/>
          <w:b/>
          <w:bCs/>
          <w:lang w:eastAsia="en-AU"/>
        </w:rPr>
        <w:t xml:space="preserve">Injection Administration Guide </w:t>
      </w:r>
      <w:r w:rsidRPr="00472929">
        <w:rPr>
          <w:lang w:eastAsia="en-AU"/>
        </w:rPr>
        <w:t>for the Cryopyrin-Associated Periodic Syndromes (CAPS) and the Gouty Arthritis (GA) indications</w:t>
      </w:r>
    </w:p>
    <w:p w:rsidR="00BE49D7" w:rsidRPr="00472929" w:rsidRDefault="00BE49D7" w:rsidP="00F47EF9">
      <w:pPr>
        <w:pStyle w:val="ListBullet"/>
        <w:ind w:left="851"/>
        <w:rPr>
          <w:lang w:eastAsia="en-AU"/>
        </w:rPr>
      </w:pPr>
      <w:r w:rsidRPr="00472929">
        <w:rPr>
          <w:lang w:eastAsia="en-AU"/>
        </w:rPr>
        <w:t xml:space="preserve">the new </w:t>
      </w:r>
      <w:r w:rsidR="00547E46" w:rsidRPr="00472929">
        <w:rPr>
          <w:lang w:eastAsia="en-AU"/>
        </w:rPr>
        <w:t>Ilaris</w:t>
      </w:r>
      <w:r w:rsidRPr="00472929">
        <w:rPr>
          <w:lang w:eastAsia="en-AU"/>
        </w:rPr>
        <w:t xml:space="preserve"> </w:t>
      </w:r>
      <w:r w:rsidRPr="00472929">
        <w:rPr>
          <w:rFonts w:cs="TimesNewRoman,Bold"/>
          <w:b/>
          <w:bCs/>
          <w:lang w:eastAsia="en-AU"/>
        </w:rPr>
        <w:t xml:space="preserve">Injection Administration Guide </w:t>
      </w:r>
      <w:r w:rsidRPr="00472929">
        <w:rPr>
          <w:lang w:eastAsia="en-AU"/>
        </w:rPr>
        <w:t>for the Systemic Juvenile Idiopathic Arthritis (SJIA) indication</w:t>
      </w:r>
    </w:p>
    <w:p w:rsidR="00BE49D7" w:rsidRPr="00472929" w:rsidRDefault="00BE49D7" w:rsidP="00F47EF9">
      <w:pPr>
        <w:pStyle w:val="ListBullet"/>
        <w:ind w:left="851"/>
        <w:rPr>
          <w:lang w:eastAsia="en-AU"/>
        </w:rPr>
      </w:pPr>
      <w:r w:rsidRPr="00472929">
        <w:rPr>
          <w:lang w:eastAsia="en-AU"/>
        </w:rPr>
        <w:t xml:space="preserve">the current </w:t>
      </w:r>
      <w:r w:rsidR="00547E46" w:rsidRPr="00472929">
        <w:rPr>
          <w:lang w:eastAsia="en-AU"/>
        </w:rPr>
        <w:t>Ilaris</w:t>
      </w:r>
      <w:r w:rsidRPr="00472929">
        <w:rPr>
          <w:lang w:eastAsia="en-AU"/>
        </w:rPr>
        <w:t xml:space="preserve"> </w:t>
      </w:r>
      <w:r w:rsidRPr="00472929">
        <w:rPr>
          <w:rFonts w:cs="TimesNewRoman,Bold"/>
          <w:b/>
          <w:bCs/>
          <w:lang w:eastAsia="en-AU"/>
        </w:rPr>
        <w:t xml:space="preserve">Injection Administration Guide for the injection kit </w:t>
      </w:r>
      <w:r w:rsidRPr="00472929">
        <w:rPr>
          <w:lang w:eastAsia="en-AU"/>
        </w:rPr>
        <w:t>for the Cryopyrin-Associated Periodic Syndromes (CAPS) and the Gouty Arthritis (GA) indications</w:t>
      </w:r>
    </w:p>
    <w:p w:rsidR="00BE49D7" w:rsidRPr="00472929" w:rsidRDefault="00BE49D7" w:rsidP="00F47EF9">
      <w:pPr>
        <w:pStyle w:val="ListBullet"/>
        <w:ind w:left="851"/>
        <w:rPr>
          <w:lang w:eastAsia="en-AU"/>
        </w:rPr>
      </w:pPr>
      <w:r w:rsidRPr="00472929">
        <w:rPr>
          <w:lang w:eastAsia="en-AU"/>
        </w:rPr>
        <w:t xml:space="preserve">the new </w:t>
      </w:r>
      <w:r w:rsidR="00547E46" w:rsidRPr="00472929">
        <w:rPr>
          <w:lang w:eastAsia="en-AU"/>
        </w:rPr>
        <w:t>Ilaris</w:t>
      </w:r>
      <w:r w:rsidRPr="00472929">
        <w:rPr>
          <w:lang w:eastAsia="en-AU"/>
        </w:rPr>
        <w:t xml:space="preserve"> </w:t>
      </w:r>
      <w:r w:rsidRPr="00472929">
        <w:rPr>
          <w:rFonts w:cs="TimesNewRoman,Bold"/>
          <w:b/>
          <w:bCs/>
          <w:lang w:eastAsia="en-AU"/>
        </w:rPr>
        <w:t xml:space="preserve">Injection Administration Guide for the injection kit </w:t>
      </w:r>
      <w:r w:rsidRPr="00472929">
        <w:rPr>
          <w:lang w:eastAsia="en-AU"/>
        </w:rPr>
        <w:t>for Systemic Juvenile Idiopathic Arthritis (SJIA) indication</w:t>
      </w:r>
    </w:p>
    <w:p w:rsidR="00BE49D7" w:rsidRPr="00472929" w:rsidRDefault="00BE49D7" w:rsidP="00F47EF9">
      <w:pPr>
        <w:pStyle w:val="ListBullet"/>
        <w:ind w:left="851"/>
        <w:rPr>
          <w:lang w:eastAsia="en-AU"/>
        </w:rPr>
      </w:pPr>
      <w:r w:rsidRPr="00472929">
        <w:rPr>
          <w:lang w:eastAsia="en-AU"/>
        </w:rPr>
        <w:t xml:space="preserve">the current </w:t>
      </w:r>
      <w:r w:rsidR="00547E46" w:rsidRPr="00472929">
        <w:rPr>
          <w:lang w:eastAsia="en-AU"/>
        </w:rPr>
        <w:t>Ilaris</w:t>
      </w:r>
      <w:r w:rsidRPr="00472929">
        <w:rPr>
          <w:lang w:eastAsia="en-AU"/>
        </w:rPr>
        <w:t xml:space="preserve"> </w:t>
      </w:r>
      <w:r w:rsidRPr="00472929">
        <w:rPr>
          <w:rFonts w:cs="TimesNewRoman,Bold"/>
          <w:b/>
          <w:bCs/>
          <w:lang w:eastAsia="en-AU"/>
        </w:rPr>
        <w:t xml:space="preserve">Patient Alert Card </w:t>
      </w:r>
      <w:r w:rsidRPr="00472929">
        <w:rPr>
          <w:lang w:eastAsia="en-AU"/>
        </w:rPr>
        <w:t>for the Cryopyrin-Associated Periodic Syndromes (CAPS) and the Gouty Arthritis (GA) indications</w:t>
      </w:r>
    </w:p>
    <w:p w:rsidR="00BE49D7" w:rsidRPr="00472929" w:rsidRDefault="00BE49D7" w:rsidP="00F47EF9">
      <w:pPr>
        <w:pStyle w:val="ListBullet"/>
        <w:ind w:left="851"/>
        <w:rPr>
          <w:lang w:eastAsia="en-AU"/>
        </w:rPr>
      </w:pPr>
      <w:r w:rsidRPr="00472929">
        <w:rPr>
          <w:lang w:eastAsia="en-AU"/>
        </w:rPr>
        <w:t xml:space="preserve">the proposed new </w:t>
      </w:r>
      <w:r w:rsidR="00547E46" w:rsidRPr="00472929">
        <w:rPr>
          <w:lang w:eastAsia="en-AU"/>
        </w:rPr>
        <w:t>Ilaris</w:t>
      </w:r>
      <w:r w:rsidRPr="00472929">
        <w:rPr>
          <w:lang w:eastAsia="en-AU"/>
        </w:rPr>
        <w:t xml:space="preserve"> </w:t>
      </w:r>
      <w:r w:rsidRPr="00472929">
        <w:rPr>
          <w:rFonts w:cs="TimesNewRoman,Bold"/>
          <w:b/>
          <w:bCs/>
          <w:lang w:eastAsia="en-AU"/>
        </w:rPr>
        <w:t xml:space="preserve">Patient Alert Card </w:t>
      </w:r>
      <w:r w:rsidRPr="00472929">
        <w:rPr>
          <w:lang w:eastAsia="en-AU"/>
        </w:rPr>
        <w:t>for the Systemic Juvenile Idiopathic Arthritis (SJIA) indication.</w:t>
      </w:r>
    </w:p>
    <w:p w:rsidR="00BE49D7" w:rsidRPr="0020756B" w:rsidRDefault="00BE49D7" w:rsidP="0020756B">
      <w:pPr>
        <w:ind w:left="720"/>
        <w:rPr>
          <w:i/>
          <w:lang w:eastAsia="en-AU"/>
        </w:rPr>
      </w:pPr>
      <w:r w:rsidRPr="0020756B">
        <w:rPr>
          <w:i/>
          <w:lang w:eastAsia="en-AU"/>
        </w:rPr>
        <w:t>The proposed updates of this educational material will be made available to all countries where applicable after it is approved by the relevant authorities. These materials have been approved by the CHMP as part of the CAPS extension indication application (EMEA/H/C/1109/II/21) and gouty arthritis new indication (EMEA/H/C/1109/II/10).</w:t>
      </w:r>
      <w:r w:rsidR="00186C14" w:rsidRPr="0020756B">
        <w:rPr>
          <w:i/>
          <w:lang w:eastAsia="en-AU"/>
        </w:rPr>
        <w:t>’</w:t>
      </w:r>
    </w:p>
    <w:p w:rsidR="006F25B8" w:rsidRDefault="006F25B8" w:rsidP="00472929">
      <w:pPr>
        <w:pStyle w:val="Heading4"/>
        <w:rPr>
          <w:lang w:eastAsia="en-AU"/>
        </w:rPr>
      </w:pPr>
      <w:bookmarkStart w:id="132" w:name="_Toc247691527"/>
      <w:r w:rsidRPr="006F25B8">
        <w:rPr>
          <w:lang w:eastAsia="en-AU"/>
        </w:rPr>
        <w:t>Reconciliation of is</w:t>
      </w:r>
      <w:r w:rsidR="00472929">
        <w:rPr>
          <w:lang w:eastAsia="en-AU"/>
        </w:rPr>
        <w:t>sues outlined in the RMP report</w:t>
      </w:r>
    </w:p>
    <w:p w:rsidR="006F25B8" w:rsidRDefault="006F25B8" w:rsidP="00472929">
      <w:pPr>
        <w:rPr>
          <w:lang w:eastAsia="en-AU"/>
        </w:rPr>
      </w:pPr>
      <w:r>
        <w:rPr>
          <w:lang w:eastAsia="en-AU"/>
        </w:rPr>
        <w:t xml:space="preserve">Table </w:t>
      </w:r>
      <w:r w:rsidR="001C0FCA">
        <w:rPr>
          <w:lang w:eastAsia="en-AU"/>
        </w:rPr>
        <w:t>8</w:t>
      </w:r>
      <w:r>
        <w:rPr>
          <w:lang w:eastAsia="en-AU"/>
        </w:rPr>
        <w:t xml:space="preserve"> summarises the OPR’s first round evaluation of the RMP, the sponsor’s responses to issues raised by the OPR and the OPR’s evaluation of the sponsor’s responses.</w:t>
      </w:r>
      <w:r w:rsidR="00186C14">
        <w:rPr>
          <w:lang w:eastAsia="en-AU"/>
        </w:rPr>
        <w:t>’</w:t>
      </w:r>
    </w:p>
    <w:p w:rsidR="00B3797D" w:rsidRDefault="00B3797D" w:rsidP="00472929">
      <w:pPr>
        <w:rPr>
          <w:lang w:eastAsia="en-AU"/>
        </w:rPr>
      </w:pPr>
      <w:r w:rsidRPr="0020756B">
        <w:t>The sponsor should be aware that safety considerations may be raised by the nonclinical and clinical evaluators. It is important to ensure that the information</w:t>
      </w:r>
      <w:r>
        <w:t xml:space="preserve"> </w:t>
      </w:r>
      <w:r w:rsidRPr="0020756B">
        <w:t>provided in response to these includes consideration of the relevance for the Risk Management Plan, and any specific information needed to address this issue in the RMP. For any safety considerations so raised, the sponsor should provide information that is relevant and necessary to address the issue in the RMP</w:t>
      </w:r>
      <w:r w:rsidR="00F47EF9">
        <w:t>.</w:t>
      </w:r>
    </w:p>
    <w:p w:rsidR="00E22D1F" w:rsidRPr="007848B3" w:rsidRDefault="0020756B" w:rsidP="00472929">
      <w:pPr>
        <w:pStyle w:val="TableTitle"/>
      </w:pPr>
      <w:r>
        <w:lastRenderedPageBreak/>
        <w:t xml:space="preserve">Table </w:t>
      </w:r>
      <w:r w:rsidR="001C0FCA">
        <w:t>8</w:t>
      </w:r>
      <w:r w:rsidR="00AD3C6C">
        <w:t>a</w:t>
      </w:r>
      <w:r>
        <w:t xml:space="preserve">. </w:t>
      </w:r>
      <w:r w:rsidR="00E22D1F" w:rsidRPr="00107999">
        <w:t>Reconciliation of issues outlined in the RMP report</w:t>
      </w:r>
    </w:p>
    <w:tbl>
      <w:tblPr>
        <w:tblStyle w:val="TableTGAblue"/>
        <w:tblW w:w="5183" w:type="pct"/>
        <w:jc w:val="center"/>
        <w:tblLayout w:type="fixed"/>
        <w:tblLook w:val="04A0" w:firstRow="1" w:lastRow="0" w:firstColumn="1" w:lastColumn="0" w:noHBand="0" w:noVBand="1"/>
      </w:tblPr>
      <w:tblGrid>
        <w:gridCol w:w="3388"/>
        <w:gridCol w:w="3400"/>
        <w:gridCol w:w="2251"/>
      </w:tblGrid>
      <w:tr w:rsidR="00E22D1F" w:rsidRPr="000D75F4" w:rsidTr="00C2681F">
        <w:trPr>
          <w:cnfStyle w:val="100000000000" w:firstRow="1" w:lastRow="0" w:firstColumn="0" w:lastColumn="0" w:oddVBand="0" w:evenVBand="0" w:oddHBand="0" w:evenHBand="0" w:firstRowFirstColumn="0" w:firstRowLastColumn="0" w:lastRowFirstColumn="0" w:lastRowLastColumn="0"/>
          <w:jc w:val="center"/>
        </w:trPr>
        <w:tc>
          <w:tcPr>
            <w:tcW w:w="1874" w:type="pct"/>
            <w:noWrap/>
          </w:tcPr>
          <w:p w:rsidR="00E22D1F" w:rsidRPr="00366CA0" w:rsidRDefault="00E22D1F" w:rsidP="00366CA0">
            <w:pPr>
              <w:ind w:left="18" w:right="35"/>
              <w:rPr>
                <w:sz w:val="20"/>
                <w:szCs w:val="20"/>
              </w:rPr>
            </w:pPr>
            <w:r w:rsidRPr="00366CA0">
              <w:rPr>
                <w:sz w:val="20"/>
                <w:szCs w:val="20"/>
              </w:rPr>
              <w:t>Recommendation in RMP evaluation report</w:t>
            </w:r>
          </w:p>
        </w:tc>
        <w:tc>
          <w:tcPr>
            <w:tcW w:w="1881" w:type="pct"/>
            <w:noWrap/>
          </w:tcPr>
          <w:p w:rsidR="00E22D1F" w:rsidRPr="00366CA0" w:rsidRDefault="00E22D1F" w:rsidP="00366CA0">
            <w:pPr>
              <w:ind w:left="18" w:right="35"/>
              <w:rPr>
                <w:sz w:val="20"/>
                <w:szCs w:val="20"/>
              </w:rPr>
            </w:pPr>
            <w:r w:rsidRPr="00366CA0">
              <w:rPr>
                <w:sz w:val="20"/>
                <w:szCs w:val="20"/>
              </w:rPr>
              <w:t>Sponsor’s response</w:t>
            </w:r>
          </w:p>
        </w:tc>
        <w:tc>
          <w:tcPr>
            <w:tcW w:w="1245" w:type="pct"/>
            <w:noWrap/>
          </w:tcPr>
          <w:p w:rsidR="00E22D1F" w:rsidRPr="00366CA0" w:rsidRDefault="00E22D1F" w:rsidP="00366CA0">
            <w:pPr>
              <w:ind w:left="18" w:right="35"/>
              <w:rPr>
                <w:sz w:val="20"/>
                <w:szCs w:val="20"/>
              </w:rPr>
            </w:pPr>
            <w:r w:rsidRPr="00366CA0">
              <w:rPr>
                <w:sz w:val="20"/>
                <w:szCs w:val="20"/>
              </w:rPr>
              <w:t>OPR evaluator’s comment</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366CA0" w:rsidRDefault="00E22D1F" w:rsidP="00366CA0">
            <w:pPr>
              <w:ind w:left="18" w:right="35"/>
              <w:rPr>
                <w:rFonts w:eastAsia="MS Mincho" w:cs="TimesNewRomanPS-BoldItalicMT"/>
                <w:bCs/>
                <w:iCs/>
                <w:sz w:val="20"/>
                <w:szCs w:val="20"/>
              </w:rPr>
            </w:pPr>
            <w:r w:rsidRPr="00366CA0">
              <w:rPr>
                <w:rFonts w:eastAsia="MS Mincho" w:cs="TimesNewRomanPS-BoldItalicMT"/>
                <w:bCs/>
                <w:iCs/>
                <w:sz w:val="20"/>
                <w:szCs w:val="20"/>
              </w:rPr>
              <w:t>The sponsor has not adequately declared all changes to this updated core-RMP version 7.1 compared to the previously submitted core RMP version 6. This has negatively affected the quality of the submitted materials and complicated the evaluation process.</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366CA0" w:rsidRDefault="00E22D1F" w:rsidP="00366CA0">
            <w:pPr>
              <w:spacing w:before="240" w:line="260" w:lineRule="exact"/>
              <w:ind w:left="18" w:right="35"/>
              <w:rPr>
                <w:rFonts w:eastAsia="MS Mincho" w:cs="TimesNewRomanPSMT"/>
                <w:i/>
                <w:color w:val="000000"/>
                <w:sz w:val="20"/>
                <w:szCs w:val="20"/>
              </w:rPr>
            </w:pPr>
            <w:r w:rsidRPr="00366CA0">
              <w:rPr>
                <w:rFonts w:eastAsia="MS Mincho" w:cs="TimesNewRomanPSMT"/>
                <w:i/>
                <w:color w:val="000000"/>
                <w:sz w:val="20"/>
                <w:szCs w:val="20"/>
              </w:rPr>
              <w:t xml:space="preserve">Novartis acknowledges the evaluator’s comments on the summary of major changes to the core RMP from version 6 to 6.1, 7 and 7.1. In order to address the evaluator’s comments, Novartis provides a detailed account of all </w:t>
            </w:r>
            <w:r w:rsidRPr="00366CA0">
              <w:rPr>
                <w:rFonts w:eastAsia="MS Mincho" w:cs="TimesNewRomanPSMT"/>
                <w:i/>
                <w:color w:val="0000FF"/>
                <w:sz w:val="20"/>
                <w:szCs w:val="20"/>
              </w:rPr>
              <w:t xml:space="preserve">[RMP changes] </w:t>
            </w:r>
            <w:r w:rsidRPr="00366CA0">
              <w:rPr>
                <w:rFonts w:eastAsia="MS Mincho" w:cs="TimesNewRomanPSMT"/>
                <w:i/>
                <w:color w:val="000000"/>
                <w:sz w:val="20"/>
                <w:szCs w:val="20"/>
              </w:rPr>
              <w:t>in this response.</w:t>
            </w:r>
            <w:r w:rsidR="0095773F" w:rsidRPr="00366CA0">
              <w:rPr>
                <w:rFonts w:eastAsia="MS Mincho" w:cs="TimesNewRomanPSMT"/>
                <w:i/>
                <w:color w:val="000000"/>
                <w:sz w:val="20"/>
                <w:szCs w:val="20"/>
              </w:rPr>
              <w:br/>
            </w:r>
            <w:r w:rsidRPr="00366CA0">
              <w:rPr>
                <w:rFonts w:eastAsia="MS Mincho" w:cs="TimesNewRomanPSMT"/>
                <w:i/>
                <w:color w:val="000000"/>
                <w:sz w:val="20"/>
                <w:szCs w:val="20"/>
              </w:rPr>
              <w:t xml:space="preserve">The </w:t>
            </w:r>
            <w:r w:rsidRPr="00366CA0">
              <w:rPr>
                <w:rFonts w:eastAsia="MS Mincho" w:cs="TimesNewRomanPSMT"/>
                <w:i/>
                <w:color w:val="0000FF"/>
                <w:sz w:val="20"/>
                <w:szCs w:val="20"/>
              </w:rPr>
              <w:t>[EU RMP v7.1]</w:t>
            </w:r>
            <w:r w:rsidRPr="00366CA0">
              <w:rPr>
                <w:rFonts w:eastAsia="MS Mincho" w:cs="TimesNewRomanPSMT"/>
                <w:i/>
                <w:color w:val="000000"/>
                <w:sz w:val="20"/>
                <w:szCs w:val="20"/>
              </w:rPr>
              <w:t>, a copy of which is provided in this response, is the most current version submitted to and approved by the EMA on 26 August 2013. The format of this EU RMP aligns with EMA guideline ‘Guideline on good pharmacovigilance practices:</w:t>
            </w:r>
          </w:p>
          <w:p w:rsidR="00366CA0" w:rsidRDefault="00E22D1F" w:rsidP="00366CA0">
            <w:pPr>
              <w:spacing w:before="240" w:line="260" w:lineRule="exact"/>
              <w:ind w:left="18" w:right="35"/>
              <w:rPr>
                <w:rFonts w:eastAsia="MS Mincho" w:cs="TimesNewRomanPSMT"/>
                <w:i/>
                <w:color w:val="000000"/>
                <w:sz w:val="20"/>
                <w:szCs w:val="20"/>
              </w:rPr>
            </w:pPr>
            <w:r w:rsidRPr="00366CA0">
              <w:rPr>
                <w:rFonts w:eastAsia="MS Mincho" w:cs="TimesNewRomanPSMT"/>
                <w:i/>
                <w:color w:val="000000"/>
                <w:sz w:val="20"/>
                <w:szCs w:val="20"/>
              </w:rPr>
              <w:t>Module V-Risk management systems (EMA/838713/2011, June 2012)’. Part IV of the EU RMP includes an efficacy study (CACZ885D2401 (CAPS Registry)) which is a specific obligation and/or condition of Market Authorisation in the EU. This registry protocol has previously been provided to the TGA.</w:t>
            </w:r>
          </w:p>
          <w:p w:rsidR="00E22D1F" w:rsidRPr="00366CA0" w:rsidRDefault="00E22D1F" w:rsidP="00366CA0">
            <w:pPr>
              <w:spacing w:before="240" w:line="260" w:lineRule="exact"/>
              <w:ind w:left="18" w:right="35"/>
              <w:rPr>
                <w:rFonts w:eastAsia="MS Mincho" w:cs="TimesNewRomanPSMT"/>
                <w:i/>
                <w:color w:val="000000"/>
                <w:sz w:val="20"/>
                <w:szCs w:val="20"/>
              </w:rPr>
            </w:pPr>
            <w:r w:rsidRPr="00366CA0">
              <w:rPr>
                <w:rFonts w:eastAsia="MS Mincho" w:cs="TimesNewRomanPSMT"/>
                <w:i/>
                <w:color w:val="000000"/>
                <w:sz w:val="20"/>
                <w:szCs w:val="20"/>
              </w:rPr>
              <w:t>In response to the TGA’s observation in the submission notification letter (milestone 2) dated 29</w:t>
            </w:r>
            <w:r w:rsidR="000852A8" w:rsidRPr="00366CA0">
              <w:rPr>
                <w:rFonts w:eastAsia="MS Mincho" w:cs="TimesNewRomanPSMT"/>
                <w:i/>
                <w:color w:val="000000"/>
                <w:sz w:val="20"/>
                <w:szCs w:val="20"/>
              </w:rPr>
              <w:t xml:space="preserve"> </w:t>
            </w:r>
            <w:r w:rsidRPr="00366CA0">
              <w:rPr>
                <w:rFonts w:eastAsia="MS Mincho" w:cs="TimesNewRomanPSMT"/>
                <w:i/>
                <w:color w:val="000000"/>
                <w:sz w:val="20"/>
                <w:szCs w:val="20"/>
              </w:rPr>
              <w:t>July</w:t>
            </w:r>
            <w:r w:rsidR="000852A8" w:rsidRPr="00366CA0">
              <w:rPr>
                <w:rFonts w:eastAsia="MS Mincho" w:cs="TimesNewRomanPSMT"/>
                <w:i/>
                <w:color w:val="000000"/>
                <w:sz w:val="20"/>
                <w:szCs w:val="20"/>
              </w:rPr>
              <w:t xml:space="preserve"> </w:t>
            </w:r>
            <w:r w:rsidRPr="00366CA0">
              <w:rPr>
                <w:rFonts w:eastAsia="MS Mincho" w:cs="TimesNewRomanPSMT"/>
                <w:i/>
                <w:color w:val="000000"/>
                <w:sz w:val="20"/>
                <w:szCs w:val="20"/>
              </w:rPr>
              <w:t>2013, a summary of differences between the submitted core RMP v7.1 and the EU</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366CA0" w:rsidRDefault="00E22D1F" w:rsidP="00366CA0">
            <w:pPr>
              <w:ind w:left="18" w:right="35"/>
              <w:rPr>
                <w:sz w:val="20"/>
                <w:szCs w:val="20"/>
              </w:rPr>
            </w:pPr>
            <w:r w:rsidRPr="00366CA0">
              <w:rPr>
                <w:sz w:val="20"/>
                <w:szCs w:val="20"/>
              </w:rPr>
              <w:t>This is acceptable</w:t>
            </w:r>
            <w:r w:rsidR="00D13F01" w:rsidRPr="00366CA0">
              <w:rPr>
                <w:sz w:val="20"/>
                <w:szCs w:val="20"/>
              </w:rPr>
              <w:t>.</w:t>
            </w:r>
          </w:p>
        </w:tc>
      </w:tr>
      <w:tr w:rsidR="00E22D1F" w:rsidRPr="00A325E5"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366CA0" w:rsidRPr="00A325E5" w:rsidRDefault="00E22D1F" w:rsidP="00366CA0">
            <w:pPr>
              <w:ind w:left="18" w:right="35"/>
              <w:rPr>
                <w:rFonts w:eastAsia="MS Mincho" w:cs="TimesNewRomanPS-BoldItalicMT"/>
                <w:bCs/>
                <w:iCs/>
                <w:sz w:val="20"/>
                <w:szCs w:val="20"/>
              </w:rPr>
            </w:pPr>
            <w:r w:rsidRPr="00A325E5">
              <w:rPr>
                <w:rFonts w:eastAsia="MS Mincho" w:cs="TimesNewRomanPS-BoldItalicMT"/>
                <w:bCs/>
                <w:iCs/>
                <w:sz w:val="20"/>
                <w:szCs w:val="20"/>
              </w:rPr>
              <w:t xml:space="preserve">The </w:t>
            </w:r>
            <w:r w:rsidR="00B3797D" w:rsidRPr="00A325E5">
              <w:rPr>
                <w:rFonts w:eastAsia="MS Mincho" w:cs="TimesNewRomanPS-BoldItalicMT"/>
                <w:bCs/>
                <w:iCs/>
                <w:sz w:val="20"/>
                <w:szCs w:val="20"/>
              </w:rPr>
              <w:t>D</w:t>
            </w:r>
            <w:r w:rsidRPr="00A325E5">
              <w:rPr>
                <w:rFonts w:eastAsia="MS Mincho" w:cs="TimesNewRomanPS-BoldItalicMT"/>
                <w:bCs/>
                <w:iCs/>
                <w:sz w:val="20"/>
                <w:szCs w:val="20"/>
              </w:rPr>
              <w:t>elegate may wish to note that the proposed indication in Australia is broader than that proposed in Europe and the United States:</w:t>
            </w:r>
            <w:r w:rsidR="0095773F" w:rsidRPr="00A325E5">
              <w:rPr>
                <w:rFonts w:eastAsia="MS Mincho" w:cs="TimesNewRomanPS-BoldItalicMT"/>
                <w:bCs/>
                <w:iCs/>
                <w:sz w:val="20"/>
                <w:szCs w:val="20"/>
              </w:rPr>
              <w:br/>
            </w:r>
            <w:r w:rsidRPr="00A325E5">
              <w:rPr>
                <w:rFonts w:eastAsia="MS Mincho" w:cs="TimesNewRomanPS-BoldItalicMT"/>
                <w:bCs/>
                <w:iCs/>
                <w:sz w:val="20"/>
                <w:szCs w:val="20"/>
              </w:rPr>
              <w:t xml:space="preserve">i) The approved indication in the EU restricts canakinumab use to patients </w:t>
            </w:r>
            <w:r w:rsidR="00186C14" w:rsidRPr="00A325E5">
              <w:rPr>
                <w:rFonts w:eastAsia="MS Mincho" w:cs="TimesNewRomanPS-BoldItalicMT"/>
                <w:bCs/>
                <w:iCs/>
                <w:sz w:val="20"/>
                <w:szCs w:val="20"/>
              </w:rPr>
              <w:t>‘</w:t>
            </w:r>
            <w:r w:rsidRPr="00A325E5">
              <w:rPr>
                <w:rFonts w:eastAsia="MS Mincho" w:cs="TimesNewRomanPS-ItalicMT"/>
                <w:iCs/>
                <w:sz w:val="20"/>
                <w:szCs w:val="20"/>
              </w:rPr>
              <w:t>who have responded inadequately to previous therapy with non-steroidal anti-inflammatory drugs (NSAIDs) and systemic corticosteroids</w:t>
            </w:r>
            <w:r w:rsidR="0095773F" w:rsidRPr="00A325E5">
              <w:rPr>
                <w:rFonts w:eastAsia="MS Mincho" w:cs="TimesNewRomanPS-BoldItalicMT"/>
                <w:bCs/>
                <w:iCs/>
                <w:sz w:val="20"/>
                <w:szCs w:val="20"/>
              </w:rPr>
              <w:t>’</w:t>
            </w:r>
            <w:r w:rsidRPr="00A325E5">
              <w:rPr>
                <w:rFonts w:eastAsia="MS Mincho" w:cs="TimesNewRomanPS-BoldItalicMT"/>
                <w:bCs/>
                <w:iCs/>
                <w:sz w:val="20"/>
                <w:szCs w:val="20"/>
              </w:rPr>
              <w:t>.</w:t>
            </w:r>
          </w:p>
          <w:p w:rsidR="00E22D1F" w:rsidRPr="00A325E5" w:rsidRDefault="00E22D1F" w:rsidP="00366CA0">
            <w:pPr>
              <w:ind w:left="18" w:right="35"/>
              <w:rPr>
                <w:sz w:val="20"/>
                <w:szCs w:val="20"/>
              </w:rPr>
            </w:pPr>
            <w:r w:rsidRPr="00A325E5">
              <w:rPr>
                <w:rFonts w:eastAsia="MS Mincho" w:cs="TimesNewRomanPS-BoldItalicMT"/>
                <w:bCs/>
                <w:iCs/>
                <w:sz w:val="20"/>
                <w:szCs w:val="20"/>
              </w:rPr>
              <w:t xml:space="preserve">ii) The indication should include the recommended weight of </w:t>
            </w:r>
            <w:r w:rsidR="00186C14" w:rsidRPr="00A325E5">
              <w:rPr>
                <w:rFonts w:eastAsia="MS Mincho" w:cs="TimesNewRomanPS-BoldItalicMT"/>
                <w:bCs/>
                <w:iCs/>
                <w:sz w:val="20"/>
                <w:szCs w:val="20"/>
              </w:rPr>
              <w:t>‘</w:t>
            </w:r>
            <w:r w:rsidRPr="00A325E5">
              <w:rPr>
                <w:rFonts w:eastAsia="MS Mincho" w:cs="TimesNewRomanPS-ItalicMT"/>
                <w:iCs/>
                <w:sz w:val="20"/>
                <w:szCs w:val="20"/>
              </w:rPr>
              <w:t>children &gt;7.5kg</w:t>
            </w:r>
            <w:r w:rsidR="0095773F" w:rsidRPr="00A325E5">
              <w:rPr>
                <w:rFonts w:eastAsia="MS Mincho" w:cs="TimesNewRomanPS-BoldItalicMT"/>
                <w:bCs/>
                <w:iCs/>
                <w:sz w:val="20"/>
                <w:szCs w:val="20"/>
              </w:rPr>
              <w:t>’</w:t>
            </w:r>
            <w:r w:rsidRPr="00A325E5">
              <w:rPr>
                <w:rFonts w:eastAsia="MS Mincho" w:cs="TimesNewRomanPS-BoldItalicMT"/>
                <w:bCs/>
                <w:iCs/>
                <w:sz w:val="20"/>
                <w:szCs w:val="20"/>
              </w:rPr>
              <w:t>.</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A325E5" w:rsidRDefault="00E22D1F" w:rsidP="00A325E5">
            <w:pPr>
              <w:pStyle w:val="ListParagraph"/>
              <w:numPr>
                <w:ilvl w:val="0"/>
                <w:numId w:val="37"/>
              </w:numPr>
              <w:ind w:left="18" w:right="35" w:hanging="425"/>
              <w:rPr>
                <w:rFonts w:cs="TimesNewRomanPSMT"/>
                <w:i/>
                <w:color w:val="000000"/>
                <w:sz w:val="20"/>
                <w:lang w:eastAsia="en-AU"/>
              </w:rPr>
            </w:pPr>
            <w:r w:rsidRPr="00A325E5">
              <w:rPr>
                <w:rFonts w:cs="TimesNewRomanPSMT"/>
                <w:i/>
                <w:sz w:val="20"/>
                <w:lang w:eastAsia="en-AU"/>
              </w:rPr>
              <w:t>Novartis acknowledges the evaluator’s observation on the indication that is approved in the EU, but believes that the evolving clinical treatment guidelines and data from studies support a broader use.</w:t>
            </w:r>
            <w:r w:rsidR="00366CA0" w:rsidRPr="00A325E5">
              <w:rPr>
                <w:rFonts w:cs="TimesNewRomanPSMT"/>
                <w:i/>
                <w:sz w:val="20"/>
                <w:lang w:eastAsia="en-AU"/>
              </w:rPr>
              <w:br/>
            </w:r>
            <w:r w:rsidRPr="00A325E5">
              <w:rPr>
                <w:rFonts w:cs="TimesNewRomanPSMT"/>
                <w:i/>
                <w:color w:val="000000"/>
                <w:sz w:val="20"/>
                <w:lang w:eastAsia="en-AU"/>
              </w:rPr>
              <w:t xml:space="preserve">The US approved indication states that </w:t>
            </w:r>
            <w:r w:rsidR="00186C14" w:rsidRPr="00A325E5">
              <w:rPr>
                <w:rFonts w:cs="TimesNewRomanPSMT"/>
                <w:i/>
                <w:color w:val="000000"/>
                <w:sz w:val="20"/>
                <w:lang w:eastAsia="en-AU"/>
              </w:rPr>
              <w:t>‘</w:t>
            </w:r>
            <w:r w:rsidR="00547E46" w:rsidRPr="00A325E5">
              <w:rPr>
                <w:rFonts w:cs="TimesNewRomanPS-ItalicMT"/>
                <w:i/>
                <w:iCs/>
                <w:color w:val="000000"/>
                <w:sz w:val="20"/>
                <w:lang w:eastAsia="en-AU"/>
              </w:rPr>
              <w:t>Ilaris</w:t>
            </w:r>
            <w:r w:rsidRPr="00A325E5">
              <w:rPr>
                <w:rFonts w:cs="TimesNewRomanPS-ItalicMT"/>
                <w:i/>
                <w:iCs/>
                <w:color w:val="000000"/>
                <w:sz w:val="20"/>
                <w:lang w:eastAsia="en-AU"/>
              </w:rPr>
              <w:t xml:space="preserve"> is indicated for the treatment of active Systemic Juvenile Idiopathic Arthritis (SJIA) in patients aged 2 years and older</w:t>
            </w:r>
            <w:r w:rsidRPr="00A325E5">
              <w:rPr>
                <w:rFonts w:cs="TimesNewRomanPSMT"/>
                <w:i/>
                <w:color w:val="000000"/>
                <w:sz w:val="20"/>
                <w:lang w:eastAsia="en-AU"/>
              </w:rPr>
              <w:t>.</w:t>
            </w:r>
            <w:r w:rsidR="00186C14" w:rsidRPr="00A325E5">
              <w:rPr>
                <w:rFonts w:cs="TimesNewRomanPSMT"/>
                <w:i/>
                <w:color w:val="000000"/>
                <w:sz w:val="20"/>
                <w:lang w:eastAsia="en-AU"/>
              </w:rPr>
              <w:t>’</w:t>
            </w:r>
            <w:r w:rsidRPr="00A325E5">
              <w:rPr>
                <w:rFonts w:cs="TimesNewRomanPSMT"/>
                <w:i/>
                <w:color w:val="000000"/>
                <w:sz w:val="20"/>
                <w:lang w:eastAsia="en-AU"/>
              </w:rPr>
              <w:t xml:space="preserve"> This</w:t>
            </w:r>
            <w:r w:rsidRPr="00A325E5">
              <w:rPr>
                <w:rFonts w:cs="TimesNewRomanPS-ItalicMT"/>
                <w:i/>
                <w:iCs/>
                <w:color w:val="000000"/>
                <w:sz w:val="20"/>
                <w:lang w:eastAsia="en-AU"/>
              </w:rPr>
              <w:t xml:space="preserve"> </w:t>
            </w:r>
            <w:r w:rsidRPr="00A325E5">
              <w:rPr>
                <w:rFonts w:cs="TimesNewRomanPSMT"/>
                <w:i/>
                <w:color w:val="000000"/>
                <w:sz w:val="20"/>
                <w:lang w:eastAsia="en-AU"/>
              </w:rPr>
              <w:t>is in line with the current treatment paradigms which are rapidly changing with the</w:t>
            </w:r>
            <w:r w:rsidRPr="00A325E5">
              <w:rPr>
                <w:rFonts w:cs="TimesNewRomanPS-ItalicMT"/>
                <w:i/>
                <w:iCs/>
                <w:color w:val="000000"/>
                <w:sz w:val="20"/>
                <w:lang w:eastAsia="en-AU"/>
              </w:rPr>
              <w:t xml:space="preserve"> </w:t>
            </w:r>
            <w:r w:rsidRPr="00A325E5">
              <w:rPr>
                <w:rFonts w:cs="TimesNewRomanPSMT"/>
                <w:i/>
                <w:color w:val="000000"/>
                <w:sz w:val="20"/>
                <w:lang w:eastAsia="en-AU"/>
              </w:rPr>
              <w:t>advent of new more targeted highly efficacious biologic therapies. In 2011, the</w:t>
            </w:r>
            <w:r w:rsidRPr="00A325E5">
              <w:rPr>
                <w:rFonts w:cs="TimesNewRomanPS-ItalicMT"/>
                <w:i/>
                <w:iCs/>
                <w:color w:val="000000"/>
                <w:sz w:val="20"/>
                <w:lang w:eastAsia="en-AU"/>
              </w:rPr>
              <w:t xml:space="preserve"> </w:t>
            </w:r>
            <w:r w:rsidRPr="00A325E5">
              <w:rPr>
                <w:rFonts w:cs="TimesNewRomanPSMT"/>
                <w:i/>
                <w:color w:val="000000"/>
                <w:sz w:val="20"/>
                <w:lang w:eastAsia="en-AU"/>
              </w:rPr>
              <w:t xml:space="preserve">American College of Rheumatology </w:t>
            </w:r>
            <w:r w:rsidRPr="00A325E5">
              <w:rPr>
                <w:rFonts w:cs="TimesNewRomanPSMT"/>
                <w:i/>
                <w:color w:val="000000"/>
                <w:sz w:val="20"/>
                <w:lang w:eastAsia="en-AU"/>
              </w:rPr>
              <w:lastRenderedPageBreak/>
              <w:t>issued treatment guidelines which recommend</w:t>
            </w:r>
            <w:r w:rsidRPr="00A325E5">
              <w:rPr>
                <w:rFonts w:cs="TimesNewRomanPS-ItalicMT"/>
                <w:i/>
                <w:iCs/>
                <w:color w:val="000000"/>
                <w:sz w:val="20"/>
                <w:lang w:eastAsia="en-AU"/>
              </w:rPr>
              <w:t xml:space="preserve"> </w:t>
            </w:r>
            <w:r w:rsidRPr="00A325E5">
              <w:rPr>
                <w:rFonts w:cs="TimesNewRomanPSMT"/>
                <w:i/>
                <w:color w:val="000000"/>
                <w:sz w:val="20"/>
                <w:lang w:eastAsia="en-AU"/>
              </w:rPr>
              <w:t>anti-IL1 therapy be used as first line therapy in SJIA patients with active systemic</w:t>
            </w:r>
            <w:r w:rsidRPr="00A325E5">
              <w:rPr>
                <w:rFonts w:cs="TimesNewRomanPS-ItalicMT"/>
                <w:i/>
                <w:iCs/>
                <w:color w:val="000000"/>
                <w:sz w:val="20"/>
                <w:lang w:eastAsia="en-AU"/>
              </w:rPr>
              <w:t xml:space="preserve"> </w:t>
            </w:r>
            <w:r w:rsidRPr="00A325E5">
              <w:rPr>
                <w:rFonts w:cs="TimesNewRomanPSMT"/>
                <w:i/>
                <w:color w:val="000000"/>
                <w:sz w:val="20"/>
                <w:lang w:eastAsia="en-AU"/>
              </w:rPr>
              <w:t xml:space="preserve">features with or without arthritis and irrespective of current therapy </w:t>
            </w:r>
            <w:r w:rsidRPr="00A325E5">
              <w:rPr>
                <w:rFonts w:cs="TimesNewRomanPSMT"/>
                <w:i/>
                <w:color w:val="0000FF"/>
                <w:sz w:val="20"/>
                <w:lang w:eastAsia="en-AU"/>
              </w:rPr>
              <w:t>(Beukelman et al</w:t>
            </w:r>
            <w:r w:rsidRPr="00A325E5">
              <w:rPr>
                <w:rFonts w:cs="TimesNewRomanPS-ItalicMT"/>
                <w:i/>
                <w:iCs/>
                <w:color w:val="000000"/>
                <w:sz w:val="20"/>
                <w:lang w:eastAsia="en-AU"/>
              </w:rPr>
              <w:t xml:space="preserve"> </w:t>
            </w:r>
            <w:r w:rsidRPr="00A325E5">
              <w:rPr>
                <w:rFonts w:cs="TimesNewRomanPSMT"/>
                <w:i/>
                <w:color w:val="0000FF"/>
                <w:sz w:val="20"/>
                <w:lang w:eastAsia="en-AU"/>
              </w:rPr>
              <w:t>2011)</w:t>
            </w:r>
            <w:r w:rsidRPr="00A325E5">
              <w:rPr>
                <w:rFonts w:cs="TimesNewRomanPSMT"/>
                <w:i/>
                <w:color w:val="000000"/>
                <w:sz w:val="20"/>
                <w:lang w:eastAsia="en-AU"/>
              </w:rPr>
              <w:t>. In the phase III Ilaris SJIA clinical program, patients were allowed to use Ilaris as monotherapy or in combination with a NSAID and/or MTX and/or a corticosteroid.</w:t>
            </w:r>
            <w:r w:rsidR="0095773F" w:rsidRPr="00A325E5">
              <w:rPr>
                <w:rFonts w:cs="TimesNewRomanPSMT"/>
                <w:i/>
                <w:color w:val="000000"/>
                <w:sz w:val="20"/>
                <w:lang w:eastAsia="en-AU"/>
              </w:rPr>
              <w:br/>
            </w:r>
            <w:r w:rsidRPr="00A325E5">
              <w:rPr>
                <w:rFonts w:cs="TimesNewRomanPSMT"/>
                <w:i/>
                <w:color w:val="000000"/>
                <w:sz w:val="20"/>
                <w:lang w:eastAsia="en-AU"/>
              </w:rPr>
              <w:t>The response rates were similar for all groups, although the Ilaris monotherapy subgroup in the pooled 12-week efficacy analysis, demonstrated slightly higher ACR30 response rates [SCE section 3.3.5]. Novartis believes that physicians should be able to have the flexibility to prescribe Ilaris in accordance to the treatment guidelines and reflective of how it was studied in the phase III program.</w:t>
            </w:r>
          </w:p>
          <w:p w:rsidR="00E22D1F" w:rsidRPr="00A325E5" w:rsidRDefault="00E22D1F" w:rsidP="00A325E5">
            <w:pPr>
              <w:pStyle w:val="ListParagraph"/>
              <w:numPr>
                <w:ilvl w:val="0"/>
                <w:numId w:val="37"/>
              </w:numPr>
              <w:ind w:left="18" w:right="35" w:hanging="425"/>
              <w:rPr>
                <w:rFonts w:cs="TimesNewRomanPSMT"/>
                <w:i/>
                <w:color w:val="000000"/>
                <w:sz w:val="20"/>
                <w:lang w:eastAsia="en-AU"/>
              </w:rPr>
            </w:pPr>
            <w:r w:rsidRPr="00A325E5">
              <w:rPr>
                <w:rFonts w:cs="TimesNewRomanPSMT"/>
                <w:i/>
                <w:color w:val="000000"/>
                <w:sz w:val="20"/>
                <w:lang w:eastAsia="en-AU"/>
              </w:rPr>
              <w:t>Novartis does not agree that this important information be communicated in the indication, but instead believes it is more appropriate communicated to prescribers in the Dose and Administration section of the label.</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366CA0">
            <w:pPr>
              <w:ind w:left="18" w:right="35"/>
              <w:rPr>
                <w:sz w:val="20"/>
                <w:szCs w:val="20"/>
              </w:rPr>
            </w:pPr>
            <w:r w:rsidRPr="00A325E5">
              <w:rPr>
                <w:sz w:val="20"/>
                <w:szCs w:val="20"/>
              </w:rPr>
              <w:lastRenderedPageBreak/>
              <w:t xml:space="preserve">Deferred to </w:t>
            </w:r>
            <w:r w:rsidR="0020756B" w:rsidRPr="00A325E5">
              <w:rPr>
                <w:sz w:val="20"/>
                <w:szCs w:val="20"/>
              </w:rPr>
              <w:t>D</w:t>
            </w:r>
            <w:r w:rsidR="00366CA0" w:rsidRPr="00A325E5">
              <w:rPr>
                <w:sz w:val="20"/>
                <w:szCs w:val="20"/>
              </w:rPr>
              <w:t>elegate.</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366CA0" w:rsidRPr="00A325E5" w:rsidRDefault="00E22D1F" w:rsidP="00A325E5">
            <w:pPr>
              <w:tabs>
                <w:tab w:val="left" w:pos="3172"/>
              </w:tabs>
              <w:ind w:left="0" w:right="0"/>
              <w:rPr>
                <w:rFonts w:eastAsia="MS Mincho" w:cs="TimesNewRomanPS-BoldItalicMT"/>
                <w:bCs/>
                <w:iCs/>
                <w:sz w:val="20"/>
                <w:szCs w:val="20"/>
              </w:rPr>
            </w:pPr>
            <w:r w:rsidRPr="00A325E5">
              <w:rPr>
                <w:rFonts w:eastAsia="MS Mincho" w:cs="TimesNewRomanPS-BoldItalicMT"/>
                <w:bCs/>
                <w:iCs/>
                <w:sz w:val="20"/>
                <w:szCs w:val="20"/>
              </w:rPr>
              <w:lastRenderedPageBreak/>
              <w:t xml:space="preserve">The following should be added to the list of ongoing safety concerns, unless the </w:t>
            </w:r>
            <w:r w:rsidR="000852A8" w:rsidRPr="00A325E5">
              <w:rPr>
                <w:rFonts w:eastAsia="MS Mincho" w:cs="TimesNewRomanPS-BoldItalicMT"/>
                <w:bCs/>
                <w:iCs/>
                <w:sz w:val="20"/>
                <w:szCs w:val="20"/>
              </w:rPr>
              <w:t>s</w:t>
            </w:r>
            <w:r w:rsidRPr="00A325E5">
              <w:rPr>
                <w:rFonts w:eastAsia="MS Mincho" w:cs="TimesNewRomanPS-BoldItalicMT"/>
                <w:bCs/>
                <w:iCs/>
                <w:sz w:val="20"/>
                <w:szCs w:val="20"/>
              </w:rPr>
              <w:t>ponsor</w:t>
            </w:r>
          </w:p>
          <w:p w:rsidR="00A325E5" w:rsidRPr="00A325E5" w:rsidRDefault="00E22D1F" w:rsidP="00A325E5">
            <w:pPr>
              <w:tabs>
                <w:tab w:val="left" w:pos="3172"/>
              </w:tabs>
              <w:ind w:left="0" w:right="0"/>
              <w:rPr>
                <w:sz w:val="20"/>
                <w:szCs w:val="20"/>
              </w:rPr>
            </w:pPr>
            <w:r w:rsidRPr="00A325E5">
              <w:rPr>
                <w:sz w:val="20"/>
                <w:szCs w:val="20"/>
              </w:rPr>
              <w:t>can provide compelling justification for their exclusion:</w:t>
            </w:r>
          </w:p>
          <w:p w:rsidR="00A325E5" w:rsidRPr="00A325E5" w:rsidRDefault="00E22D1F" w:rsidP="00A325E5">
            <w:pPr>
              <w:pStyle w:val="ListBullet"/>
              <w:tabs>
                <w:tab w:val="left" w:pos="3172"/>
              </w:tabs>
              <w:spacing w:after="0"/>
              <w:ind w:left="0" w:right="0"/>
              <w:rPr>
                <w:sz w:val="20"/>
                <w:szCs w:val="20"/>
              </w:rPr>
            </w:pPr>
            <w:r w:rsidRPr="00A325E5">
              <w:rPr>
                <w:sz w:val="20"/>
                <w:szCs w:val="20"/>
              </w:rPr>
              <w:t>Lactation should be added as missing information for completeness</w:t>
            </w:r>
          </w:p>
          <w:p w:rsidR="00A325E5" w:rsidRDefault="00E22D1F" w:rsidP="00A325E5">
            <w:pPr>
              <w:pStyle w:val="ListBullet"/>
              <w:tabs>
                <w:tab w:val="left" w:pos="3172"/>
              </w:tabs>
              <w:spacing w:before="0" w:after="0"/>
              <w:ind w:left="0" w:right="0"/>
              <w:rPr>
                <w:sz w:val="20"/>
                <w:szCs w:val="20"/>
              </w:rPr>
            </w:pPr>
            <w:r w:rsidRPr="00A325E5">
              <w:rPr>
                <w:sz w:val="20"/>
                <w:szCs w:val="20"/>
              </w:rPr>
              <w:t>Decreased creatinine clearance</w:t>
            </w:r>
          </w:p>
          <w:p w:rsidR="00A325E5" w:rsidRDefault="00E22D1F" w:rsidP="00A325E5">
            <w:pPr>
              <w:pStyle w:val="ListBullet"/>
              <w:tabs>
                <w:tab w:val="left" w:pos="3172"/>
              </w:tabs>
              <w:spacing w:before="0" w:after="0"/>
              <w:ind w:left="0" w:right="0"/>
              <w:rPr>
                <w:sz w:val="20"/>
                <w:szCs w:val="20"/>
              </w:rPr>
            </w:pPr>
            <w:r w:rsidRPr="00A325E5">
              <w:rPr>
                <w:sz w:val="20"/>
                <w:szCs w:val="20"/>
              </w:rPr>
              <w:t>Urinary proteinuria</w:t>
            </w:r>
          </w:p>
          <w:p w:rsidR="00A325E5" w:rsidRDefault="00E22D1F" w:rsidP="00A325E5">
            <w:pPr>
              <w:pStyle w:val="ListBullet"/>
              <w:tabs>
                <w:tab w:val="left" w:pos="3172"/>
              </w:tabs>
              <w:spacing w:before="0" w:after="0"/>
              <w:ind w:left="0" w:right="0"/>
              <w:rPr>
                <w:sz w:val="20"/>
                <w:szCs w:val="20"/>
              </w:rPr>
            </w:pPr>
            <w:r w:rsidRPr="00A325E5">
              <w:rPr>
                <w:sz w:val="20"/>
                <w:szCs w:val="20"/>
              </w:rPr>
              <w:t>Drug-induced liver injury (DILI) should be re-classified from a potential to an identified risk</w:t>
            </w:r>
          </w:p>
          <w:p w:rsidR="00A325E5" w:rsidRDefault="00A325E5" w:rsidP="00A325E5">
            <w:pPr>
              <w:pStyle w:val="ListBullet"/>
              <w:tabs>
                <w:tab w:val="left" w:pos="3172"/>
              </w:tabs>
              <w:spacing w:before="0" w:after="0"/>
              <w:ind w:left="0" w:right="0"/>
              <w:rPr>
                <w:sz w:val="20"/>
                <w:szCs w:val="20"/>
              </w:rPr>
            </w:pPr>
            <w:r>
              <w:rPr>
                <w:sz w:val="20"/>
                <w:szCs w:val="20"/>
              </w:rPr>
              <w:t>L</w:t>
            </w:r>
            <w:r w:rsidR="00E22D1F" w:rsidRPr="00A325E5">
              <w:rPr>
                <w:sz w:val="20"/>
                <w:szCs w:val="20"/>
              </w:rPr>
              <w:t>eukopenia should be considered as an identified risk in addition to the already listed neutropenia</w:t>
            </w:r>
          </w:p>
          <w:p w:rsidR="00A325E5" w:rsidRDefault="00E22D1F" w:rsidP="00A325E5">
            <w:pPr>
              <w:pStyle w:val="ListBullet"/>
              <w:tabs>
                <w:tab w:val="left" w:pos="3172"/>
              </w:tabs>
              <w:spacing w:before="0" w:after="0"/>
              <w:ind w:left="0" w:right="0"/>
              <w:rPr>
                <w:sz w:val="20"/>
                <w:szCs w:val="20"/>
              </w:rPr>
            </w:pPr>
            <w:r w:rsidRPr="00A325E5">
              <w:rPr>
                <w:sz w:val="20"/>
                <w:szCs w:val="20"/>
              </w:rPr>
              <w:t>Pulmonary complications in SJIA</w:t>
            </w:r>
          </w:p>
          <w:p w:rsidR="00A325E5" w:rsidRDefault="00E22D1F" w:rsidP="00A325E5">
            <w:pPr>
              <w:pStyle w:val="ListBullet"/>
              <w:tabs>
                <w:tab w:val="left" w:pos="3172"/>
              </w:tabs>
              <w:spacing w:before="0" w:after="0"/>
              <w:ind w:left="0" w:right="0"/>
              <w:rPr>
                <w:sz w:val="20"/>
                <w:szCs w:val="20"/>
              </w:rPr>
            </w:pPr>
            <w:r w:rsidRPr="00A325E5">
              <w:rPr>
                <w:sz w:val="20"/>
                <w:szCs w:val="20"/>
              </w:rPr>
              <w:t>Musculoskeletal pain and arthralgia</w:t>
            </w:r>
          </w:p>
          <w:p w:rsidR="00E22D1F" w:rsidRPr="00A325E5" w:rsidRDefault="00E22D1F" w:rsidP="00A325E5">
            <w:pPr>
              <w:pStyle w:val="ListBullet"/>
              <w:tabs>
                <w:tab w:val="left" w:pos="3172"/>
              </w:tabs>
              <w:spacing w:before="0" w:after="0"/>
              <w:ind w:left="0" w:right="0"/>
              <w:rPr>
                <w:sz w:val="20"/>
                <w:szCs w:val="20"/>
              </w:rPr>
            </w:pPr>
            <w:r w:rsidRPr="00A325E5">
              <w:rPr>
                <w:sz w:val="20"/>
                <w:szCs w:val="20"/>
              </w:rPr>
              <w:t>Eosinophilia</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rFonts w:eastAsia="MS Mincho" w:cs="TimesNewRomanPSMT"/>
                <w:i/>
                <w:color w:val="000000"/>
                <w:sz w:val="20"/>
                <w:szCs w:val="20"/>
              </w:rPr>
            </w:pPr>
            <w:r w:rsidRPr="00A325E5">
              <w:rPr>
                <w:rFonts w:eastAsia="MS Mincho"/>
                <w:bCs/>
                <w:i/>
                <w:color w:val="000000"/>
                <w:sz w:val="20"/>
                <w:szCs w:val="20"/>
              </w:rPr>
              <w:t>Lactation</w:t>
            </w:r>
            <w:r w:rsidR="0095773F" w:rsidRPr="00A325E5">
              <w:rPr>
                <w:rFonts w:eastAsia="MS Mincho"/>
                <w:bCs/>
                <w:i/>
                <w:color w:val="000000"/>
                <w:sz w:val="20"/>
                <w:szCs w:val="20"/>
              </w:rPr>
              <w:br/>
            </w:r>
            <w:r w:rsidRPr="00A325E5">
              <w:rPr>
                <w:rFonts w:eastAsia="MS Mincho" w:cs="TimesNewRomanPSMT"/>
                <w:i/>
                <w:color w:val="000000"/>
                <w:sz w:val="20"/>
                <w:szCs w:val="20"/>
              </w:rPr>
              <w:t>The important missing information ‘Pregnancy’ also refers to breastfeeding and lactation. Novartis will clarify this at the time of the next routine update. In addition, the Australian-Specific Annex will be revised to reflect that the missing safety information for Pregnancy also includes Lactation.</w:t>
            </w:r>
            <w:r w:rsidR="0095773F" w:rsidRPr="00A325E5">
              <w:rPr>
                <w:rFonts w:eastAsia="MS Mincho" w:cs="TimesNewRomanPSMT"/>
                <w:i/>
                <w:color w:val="000000"/>
                <w:sz w:val="20"/>
                <w:szCs w:val="20"/>
              </w:rPr>
              <w:br/>
            </w:r>
            <w:r w:rsidRPr="00A325E5">
              <w:rPr>
                <w:rFonts w:eastAsia="MS Mincho"/>
                <w:bCs/>
                <w:i/>
                <w:color w:val="000000"/>
                <w:sz w:val="20"/>
                <w:szCs w:val="20"/>
              </w:rPr>
              <w:t>Other ongoing safety concerns</w:t>
            </w:r>
            <w:r w:rsidR="0095773F" w:rsidRPr="00A325E5">
              <w:rPr>
                <w:rFonts w:eastAsia="MS Mincho"/>
                <w:bCs/>
                <w:i/>
                <w:color w:val="000000"/>
                <w:sz w:val="20"/>
                <w:szCs w:val="20"/>
              </w:rPr>
              <w:br/>
            </w:r>
            <w:r w:rsidRPr="00A325E5">
              <w:rPr>
                <w:rFonts w:eastAsia="MS Mincho" w:cs="TimesNewRomanPSMT"/>
                <w:i/>
                <w:color w:val="000000"/>
                <w:sz w:val="20"/>
                <w:szCs w:val="20"/>
              </w:rPr>
              <w:t xml:space="preserve">As stated in PSUR 8 (data lock point of 30 Jun 2013), the in-depth review of the available information reveal no safety signals. In contrary to EMA, Novartis concluded that the Core RMP version 7.1 and CDS accurately reflect the safety profile of </w:t>
            </w:r>
            <w:r w:rsidR="00547E46" w:rsidRPr="00A325E5">
              <w:rPr>
                <w:rFonts w:eastAsia="MS Mincho" w:cs="TimesNewRomanPSMT"/>
                <w:i/>
                <w:color w:val="000000"/>
                <w:sz w:val="20"/>
                <w:szCs w:val="20"/>
              </w:rPr>
              <w:t>Ilaris</w:t>
            </w:r>
            <w:r w:rsidRPr="00A325E5">
              <w:rPr>
                <w:rFonts w:eastAsia="MS Mincho" w:cs="TimesNewRomanPSMT"/>
                <w:i/>
                <w:color w:val="000000"/>
                <w:sz w:val="20"/>
                <w:szCs w:val="20"/>
              </w:rPr>
              <w:t xml:space="preserve">. However, the 7 safety topics have been accepted by Novartis for the </w:t>
            </w:r>
            <w:r w:rsidRPr="00A325E5">
              <w:rPr>
                <w:rFonts w:eastAsia="MS Mincho" w:cs="TimesNewRomanPSMT"/>
                <w:i/>
                <w:color w:val="0000FF"/>
                <w:sz w:val="20"/>
                <w:szCs w:val="20"/>
              </w:rPr>
              <w:t xml:space="preserve">[EU RMP v7.1] </w:t>
            </w:r>
            <w:r w:rsidRPr="00A325E5">
              <w:rPr>
                <w:rFonts w:eastAsia="MS Mincho" w:cs="TimesNewRomanPSMT"/>
                <w:i/>
                <w:color w:val="000000"/>
                <w:sz w:val="20"/>
                <w:szCs w:val="20"/>
              </w:rPr>
              <w:t>following the request by</w:t>
            </w:r>
            <w:r w:rsidR="0095773F" w:rsidRPr="00A325E5">
              <w:rPr>
                <w:rFonts w:eastAsia="MS Mincho" w:cs="TimesNewRomanPSMT"/>
                <w:i/>
                <w:color w:val="000000"/>
                <w:sz w:val="20"/>
                <w:szCs w:val="20"/>
              </w:rPr>
              <w:br/>
            </w:r>
            <w:r w:rsidRPr="00A325E5">
              <w:rPr>
                <w:rFonts w:eastAsia="MS Mincho" w:cs="TimesNewRomanPSMT"/>
                <w:i/>
                <w:color w:val="000000"/>
                <w:sz w:val="20"/>
                <w:szCs w:val="20"/>
              </w:rPr>
              <w:t xml:space="preserve">the CHMP and are considered to be adopted also in Australia as local </w:t>
            </w:r>
            <w:r w:rsidRPr="00A325E5">
              <w:rPr>
                <w:rFonts w:eastAsia="MS Mincho" w:cs="TimesNewRomanPSMT"/>
                <w:i/>
                <w:color w:val="000000"/>
                <w:sz w:val="20"/>
                <w:szCs w:val="20"/>
              </w:rPr>
              <w:lastRenderedPageBreak/>
              <w:t xml:space="preserve">deviations. </w:t>
            </w:r>
            <w:r w:rsidRPr="00A325E5">
              <w:rPr>
                <w:rFonts w:eastAsia="MS Mincho" w:cs="ArialMT"/>
                <w:i/>
                <w:color w:val="000000"/>
                <w:sz w:val="20"/>
                <w:szCs w:val="20"/>
              </w:rPr>
              <w:t>Novartis Confidential Page 11</w:t>
            </w:r>
            <w:r w:rsidRPr="00A325E5">
              <w:rPr>
                <w:rFonts w:eastAsia="MS Mincho" w:cs="TimesNewRomanPSMT"/>
                <w:i/>
                <w:color w:val="000000"/>
                <w:sz w:val="20"/>
                <w:szCs w:val="20"/>
              </w:rPr>
              <w:t xml:space="preserve"> </w:t>
            </w:r>
            <w:r w:rsidRPr="00A325E5">
              <w:rPr>
                <w:rFonts w:eastAsia="MS Mincho" w:cs="ArialMT"/>
                <w:i/>
                <w:color w:val="000000"/>
                <w:sz w:val="20"/>
                <w:szCs w:val="20"/>
              </w:rPr>
              <w:t xml:space="preserve">Response to TGA </w:t>
            </w:r>
            <w:r w:rsidR="00547E46" w:rsidRPr="00A325E5">
              <w:rPr>
                <w:rFonts w:eastAsia="MS Mincho" w:cs="ArialMT"/>
                <w:i/>
                <w:color w:val="000000"/>
                <w:sz w:val="20"/>
                <w:szCs w:val="20"/>
              </w:rPr>
              <w:t>Ilaris</w:t>
            </w:r>
            <w:r w:rsidRPr="00A325E5">
              <w:rPr>
                <w:rFonts w:eastAsia="MS Mincho" w:cs="ArialMT"/>
                <w:i/>
                <w:color w:val="000000"/>
                <w:sz w:val="20"/>
                <w:szCs w:val="20"/>
              </w:rPr>
              <w:t xml:space="preserve"> (ACZ885 canakinumab)</w:t>
            </w:r>
            <w:r w:rsidRPr="00A325E5">
              <w:rPr>
                <w:rFonts w:eastAsia="MS Mincho" w:cs="TimesNewRomanPSMT"/>
                <w:i/>
                <w:color w:val="000000"/>
                <w:sz w:val="20"/>
                <w:szCs w:val="20"/>
              </w:rPr>
              <w:t xml:space="preserve"> Novartis provides detailed justification for exclusion of the following safety topics as ongoing safety concerns from the company’s Core RMP v7.1 below (See Sponsor’s response).</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95773F" w:rsidP="00A325E5">
            <w:pPr>
              <w:ind w:left="33" w:right="33"/>
              <w:rPr>
                <w:sz w:val="20"/>
                <w:szCs w:val="20"/>
              </w:rPr>
            </w:pPr>
            <w:r w:rsidRPr="00A325E5">
              <w:rPr>
                <w:sz w:val="20"/>
                <w:szCs w:val="20"/>
              </w:rPr>
              <w:lastRenderedPageBreak/>
              <w:t>The recommendation remains.</w:t>
            </w:r>
            <w:r w:rsidRPr="00A325E5">
              <w:rPr>
                <w:sz w:val="20"/>
                <w:szCs w:val="20"/>
              </w:rPr>
              <w:br/>
            </w:r>
            <w:r w:rsidR="00E22D1F" w:rsidRPr="00A325E5">
              <w:rPr>
                <w:sz w:val="20"/>
                <w:szCs w:val="20"/>
              </w:rPr>
              <w:t>The TGA will not accept the core RMP Version 7.1 due to the unacceptable differences in the core RMP Version 7.1 and EU-RMP Version 7.1.</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tabs>
                <w:tab w:val="left" w:pos="3172"/>
              </w:tabs>
              <w:ind w:left="0" w:right="0"/>
              <w:rPr>
                <w:sz w:val="20"/>
                <w:szCs w:val="20"/>
              </w:rPr>
            </w:pPr>
            <w:r w:rsidRPr="00A325E5">
              <w:rPr>
                <w:rFonts w:eastAsia="MS Mincho" w:cs="TimesNewRomanPS-BoldItalicMT"/>
                <w:bCs/>
                <w:iCs/>
                <w:sz w:val="20"/>
                <w:szCs w:val="20"/>
              </w:rPr>
              <w:lastRenderedPageBreak/>
              <w:t>It is noted that the following risk has been removed from the list of ongoing safety</w:t>
            </w:r>
            <w:r w:rsidR="00A325E5">
              <w:rPr>
                <w:rFonts w:eastAsia="MS Mincho" w:cs="TimesNewRomanPS-BoldItalicMT"/>
                <w:bCs/>
                <w:iCs/>
                <w:sz w:val="20"/>
                <w:szCs w:val="20"/>
              </w:rPr>
              <w:t xml:space="preserve"> </w:t>
            </w:r>
            <w:r w:rsidR="0095773F" w:rsidRPr="00A325E5">
              <w:rPr>
                <w:rFonts w:eastAsia="MS Mincho" w:cs="TimesNewRomanPS-BoldItalicMT"/>
                <w:bCs/>
                <w:iCs/>
                <w:sz w:val="20"/>
                <w:szCs w:val="20"/>
              </w:rPr>
              <w:t>concerns.</w:t>
            </w:r>
            <w:r w:rsidR="00A325E5">
              <w:rPr>
                <w:rFonts w:eastAsia="MS Mincho" w:cs="TimesNewRomanPS-BoldItalicMT"/>
                <w:bCs/>
                <w:iCs/>
                <w:sz w:val="20"/>
                <w:szCs w:val="20"/>
              </w:rPr>
              <w:t xml:space="preserve"> </w:t>
            </w:r>
            <w:r w:rsidR="00B3797D" w:rsidRPr="00A325E5">
              <w:rPr>
                <w:sz w:val="20"/>
                <w:szCs w:val="20"/>
              </w:rPr>
              <w:t>Benzyl alcohol toxicity (for CAPS)</w:t>
            </w:r>
            <w:r w:rsidR="00A325E5">
              <w:rPr>
                <w:sz w:val="20"/>
                <w:szCs w:val="20"/>
              </w:rPr>
              <w:t xml:space="preserve"> </w:t>
            </w:r>
            <w:r w:rsidRPr="00A325E5">
              <w:rPr>
                <w:rFonts w:eastAsia="MS Mincho" w:cs="TimesNewRomanPS-BoldItalicMT"/>
                <w:bCs/>
                <w:iCs/>
                <w:sz w:val="20"/>
                <w:szCs w:val="20"/>
              </w:rPr>
              <w:t>This risk, however, related to the CAPS indications for canakinumab. It is</w:t>
            </w:r>
            <w:r w:rsidR="0095773F" w:rsidRPr="00A325E5">
              <w:rPr>
                <w:rFonts w:eastAsia="MS Mincho" w:cs="TimesNewRomanPS-BoldItalicMT"/>
                <w:bCs/>
                <w:iCs/>
                <w:sz w:val="20"/>
                <w:szCs w:val="20"/>
              </w:rPr>
              <w:t xml:space="preserve"> </w:t>
            </w:r>
            <w:r w:rsidRPr="00A325E5">
              <w:rPr>
                <w:rFonts w:eastAsia="MS Mincho" w:cs="TimesNewRomanPS-BoldItalicMT"/>
                <w:bCs/>
                <w:iCs/>
                <w:sz w:val="20"/>
                <w:szCs w:val="20"/>
              </w:rPr>
              <w:t>recommended that the sponsor justify this exclusion in the next update of the RMP</w:t>
            </w:r>
            <w:r w:rsidR="00B3797D" w:rsidRPr="00A325E5">
              <w:rPr>
                <w:rFonts w:eastAsia="MS Mincho" w:cs="TimesNewRomanPS-BoldItalicMT"/>
                <w:bCs/>
                <w:iCs/>
                <w:sz w:val="20"/>
                <w:szCs w:val="20"/>
              </w:rPr>
              <w:t>.</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rFonts w:eastAsia="MS Mincho" w:cs="TimesNewRomanPSMT"/>
                <w:i/>
                <w:color w:val="000000"/>
                <w:sz w:val="20"/>
                <w:szCs w:val="20"/>
              </w:rPr>
            </w:pPr>
            <w:r w:rsidRPr="00A325E5">
              <w:rPr>
                <w:rFonts w:eastAsia="MS Mincho" w:cs="TimesNewRomanPSMT"/>
                <w:i/>
                <w:color w:val="000000"/>
                <w:sz w:val="20"/>
                <w:szCs w:val="20"/>
              </w:rPr>
              <w:t>A discussion on the trace levels of benzyl alcohol to justify the removal of benzyl alcohol toxicity (for CAPS) as potential risk is included in the Periodic Safety Update Report 6 covering the period 01 January to 30 June 2012 (PSUR 6) submitted to the</w:t>
            </w:r>
            <w:r w:rsidR="0095773F" w:rsidRPr="00A325E5">
              <w:rPr>
                <w:rFonts w:eastAsia="MS Mincho" w:cs="TimesNewRomanPSMT"/>
                <w:i/>
                <w:color w:val="000000"/>
                <w:sz w:val="20"/>
                <w:szCs w:val="20"/>
              </w:rPr>
              <w:br/>
            </w:r>
            <w:r w:rsidRPr="00A325E5">
              <w:rPr>
                <w:rFonts w:eastAsia="MS Mincho" w:cs="TimesNewRomanPSMT"/>
                <w:i/>
                <w:color w:val="000000"/>
                <w:sz w:val="20"/>
                <w:szCs w:val="20"/>
              </w:rPr>
              <w:t>TGA on 27 August 2012.</w:t>
            </w:r>
            <w:r w:rsidR="0095773F" w:rsidRPr="00A325E5">
              <w:rPr>
                <w:rFonts w:eastAsia="MS Mincho" w:cs="TimesNewRomanPSMT"/>
                <w:i/>
                <w:color w:val="000000"/>
                <w:sz w:val="20"/>
                <w:szCs w:val="20"/>
              </w:rPr>
              <w:br/>
            </w:r>
            <w:r w:rsidRPr="00A325E5">
              <w:rPr>
                <w:rFonts w:eastAsia="MS Mincho" w:cs="TimesNewRomanPSMT"/>
                <w:i/>
                <w:color w:val="000000"/>
                <w:sz w:val="20"/>
                <w:szCs w:val="20"/>
              </w:rPr>
              <w:t>A toxicological assessment report of Novartis on the reduced benzyl alcohol limit of 0.5</w:t>
            </w:r>
            <w:r w:rsidR="000852A8" w:rsidRPr="00A325E5">
              <w:rPr>
                <w:rFonts w:eastAsia="MS Mincho" w:cs="TimesNewRomanPSMT"/>
                <w:i/>
                <w:color w:val="000000"/>
                <w:sz w:val="20"/>
                <w:szCs w:val="20"/>
              </w:rPr>
              <w:t xml:space="preserve"> µ</w:t>
            </w:r>
            <w:r w:rsidRPr="00A325E5">
              <w:rPr>
                <w:rFonts w:eastAsia="MS Mincho" w:cs="TimesNewRomanPSMT"/>
                <w:i/>
                <w:color w:val="000000"/>
                <w:sz w:val="20"/>
                <w:szCs w:val="20"/>
              </w:rPr>
              <w:t>g/mL in the drug substance concluded that benzyl alcohol at such level does not represent a toxicological risk for adults or term-born infants.</w:t>
            </w:r>
            <w:r w:rsidR="0095773F" w:rsidRPr="00A325E5">
              <w:rPr>
                <w:rFonts w:eastAsia="MS Mincho" w:cs="TimesNewRomanPSMT"/>
                <w:i/>
                <w:color w:val="000000"/>
                <w:sz w:val="20"/>
                <w:szCs w:val="20"/>
              </w:rPr>
              <w:br/>
            </w:r>
            <w:r w:rsidRPr="00A325E5">
              <w:rPr>
                <w:rFonts w:eastAsia="MS Mincho" w:cs="TimesNewRomanPSMT"/>
                <w:i/>
                <w:color w:val="000000"/>
                <w:sz w:val="20"/>
                <w:szCs w:val="20"/>
              </w:rPr>
              <w:t xml:space="preserve">Benzyl alcohol is not added as an excipient ingredient in </w:t>
            </w:r>
            <w:r w:rsidR="00547E46" w:rsidRPr="00A325E5">
              <w:rPr>
                <w:rFonts w:eastAsia="MS Mincho" w:cs="TimesNewRomanPSMT"/>
                <w:i/>
                <w:color w:val="000000"/>
                <w:sz w:val="20"/>
                <w:szCs w:val="20"/>
              </w:rPr>
              <w:t>Ilaris</w:t>
            </w:r>
            <w:r w:rsidRPr="00A325E5">
              <w:rPr>
                <w:rFonts w:eastAsia="MS Mincho" w:cs="TimesNewRomanPSMT"/>
                <w:i/>
                <w:color w:val="000000"/>
                <w:sz w:val="20"/>
                <w:szCs w:val="20"/>
              </w:rPr>
              <w:t xml:space="preserve"> drug product, nor used as a starting material or solvent in the current manufacturing process for canakinumab drug substance. However, its presence cannot be completely excluded as benzyl alcohol may leach out from the membranes of drug substance storage bags. Testing of drug substance batches stored at -60</w:t>
            </w:r>
            <w:r w:rsidR="000852A8" w:rsidRPr="00A325E5">
              <w:rPr>
                <w:rFonts w:eastAsia="MS Mincho" w:cs="TimesNewRomanPSMT"/>
                <w:i/>
                <w:color w:val="000000"/>
                <w:sz w:val="20"/>
                <w:szCs w:val="20"/>
              </w:rPr>
              <w:t>º</w:t>
            </w:r>
            <w:r w:rsidRPr="00A325E5">
              <w:rPr>
                <w:rFonts w:eastAsia="MS Mincho" w:cs="TimesNewRomanPSMT"/>
                <w:i/>
                <w:color w:val="000000"/>
                <w:sz w:val="20"/>
                <w:szCs w:val="20"/>
              </w:rPr>
              <w:t xml:space="preserve">C at the end of 36-months shelf-life shows concentrations below 0.5 μg benzyl alcohol per mL of drug substance. The level of benzyl alcohol is further reduced during </w:t>
            </w:r>
            <w:r w:rsidR="00547E46" w:rsidRPr="00A325E5">
              <w:rPr>
                <w:rFonts w:eastAsia="MS Mincho" w:cs="TimesNewRomanPSMT"/>
                <w:i/>
                <w:color w:val="000000"/>
                <w:sz w:val="20"/>
                <w:szCs w:val="20"/>
              </w:rPr>
              <w:t>Ilaris</w:t>
            </w:r>
            <w:r w:rsidRPr="00A325E5">
              <w:rPr>
                <w:rFonts w:eastAsia="MS Mincho" w:cs="TimesNewRomanPSMT"/>
                <w:i/>
                <w:color w:val="000000"/>
                <w:sz w:val="20"/>
                <w:szCs w:val="20"/>
              </w:rPr>
              <w:t xml:space="preserve"> drug product manufacture by dilution with excipients. When treated with canakinumab, an infant of 2.5 kg (treated at the maximum dose of 8</w:t>
            </w:r>
            <w:r w:rsidR="00404BA5" w:rsidRPr="00A325E5">
              <w:rPr>
                <w:rFonts w:eastAsia="MS Mincho" w:cs="TimesNewRomanPSMT"/>
                <w:i/>
                <w:color w:val="000000"/>
                <w:sz w:val="20"/>
                <w:szCs w:val="20"/>
              </w:rPr>
              <w:t xml:space="preserve"> mg/kg</w:t>
            </w:r>
            <w:r w:rsidRPr="00A325E5">
              <w:rPr>
                <w:rFonts w:eastAsia="MS Mincho" w:cs="TimesNewRomanPSMT"/>
                <w:i/>
                <w:color w:val="000000"/>
                <w:sz w:val="20"/>
                <w:szCs w:val="20"/>
              </w:rPr>
              <w:t xml:space="preserve">) would receive a dose of 20 mg canakinumab, resulting in 0.067 </w:t>
            </w:r>
            <w:r w:rsidR="000852A8" w:rsidRPr="00A325E5">
              <w:rPr>
                <w:rFonts w:eastAsia="MS Mincho" w:cs="TimesNewRomanPSMT"/>
                <w:i/>
                <w:color w:val="000000"/>
                <w:sz w:val="20"/>
                <w:szCs w:val="20"/>
              </w:rPr>
              <w:t>µ</w:t>
            </w:r>
            <w:r w:rsidRPr="00A325E5">
              <w:rPr>
                <w:rFonts w:eastAsia="MS Mincho" w:cs="TimesNewRomanPSMT"/>
                <w:i/>
                <w:color w:val="000000"/>
                <w:sz w:val="20"/>
                <w:szCs w:val="20"/>
              </w:rPr>
              <w:t xml:space="preserve">g benzyl alcohol subcutaneously. In summary, adults and children treated with the maximum dose of </w:t>
            </w:r>
            <w:r w:rsidR="00547E46" w:rsidRPr="00A325E5">
              <w:rPr>
                <w:rFonts w:eastAsia="MS Mincho" w:cs="TimesNewRomanPSMT"/>
                <w:i/>
                <w:color w:val="000000"/>
                <w:sz w:val="20"/>
                <w:szCs w:val="20"/>
              </w:rPr>
              <w:t>Ilaris</w:t>
            </w:r>
            <w:r w:rsidRPr="00A325E5">
              <w:rPr>
                <w:rFonts w:eastAsia="MS Mincho" w:cs="TimesNewRomanPSMT"/>
                <w:i/>
                <w:color w:val="000000"/>
                <w:sz w:val="20"/>
                <w:szCs w:val="20"/>
              </w:rPr>
              <w:t xml:space="preserve"> would be exposed to benzyl alcohol levels several orders of magnitude below those reported to lead to toxic signs after intravenous administration. A cumulative search </w:t>
            </w:r>
            <w:r w:rsidRPr="00A325E5">
              <w:rPr>
                <w:rFonts w:eastAsia="MS Mincho" w:cs="TimesNewRomanPSMT"/>
                <w:i/>
                <w:color w:val="000000"/>
                <w:sz w:val="20"/>
                <w:szCs w:val="20"/>
              </w:rPr>
              <w:lastRenderedPageBreak/>
              <w:t>of the Novartis</w:t>
            </w:r>
            <w:r w:rsidR="0095773F" w:rsidRPr="00A325E5">
              <w:rPr>
                <w:rFonts w:eastAsia="MS Mincho" w:cs="TimesNewRomanPSMT"/>
                <w:i/>
                <w:color w:val="000000"/>
                <w:sz w:val="20"/>
                <w:szCs w:val="20"/>
              </w:rPr>
              <w:t xml:space="preserve"> </w:t>
            </w:r>
            <w:r w:rsidRPr="00A325E5">
              <w:rPr>
                <w:rFonts w:eastAsia="MS Mincho" w:cs="TimesNewRomanPSMT"/>
                <w:i/>
                <w:color w:val="000000"/>
                <w:sz w:val="20"/>
                <w:szCs w:val="20"/>
              </w:rPr>
              <w:t xml:space="preserve">safety database for spontaneous and solicited reports revealed no case reports associated with benzyl alcohol toxicity. The removal of the benzyl alcohol toxicity as a potential risk has been documented in the updated Australian-Specific Annex to the RMP </w:t>
            </w:r>
            <w:r w:rsidRPr="00A325E5">
              <w:rPr>
                <w:rFonts w:eastAsia="MS Mincho" w:cs="TimesNewRomanPSMT"/>
                <w:i/>
                <w:color w:val="0000FF"/>
                <w:sz w:val="20"/>
                <w:szCs w:val="20"/>
              </w:rPr>
              <w:t xml:space="preserve">[ASA v4] </w:t>
            </w:r>
            <w:r w:rsidRPr="00A325E5">
              <w:rPr>
                <w:rFonts w:eastAsia="MS Mincho" w:cs="TimesNewRomanPSMT"/>
                <w:i/>
                <w:color w:val="000000"/>
                <w:sz w:val="20"/>
                <w:szCs w:val="20"/>
              </w:rPr>
              <w:t>provided in this response.</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sz w:val="20"/>
                <w:szCs w:val="20"/>
              </w:rPr>
            </w:pPr>
            <w:r w:rsidRPr="00A325E5">
              <w:rPr>
                <w:sz w:val="20"/>
                <w:szCs w:val="20"/>
              </w:rPr>
              <w:lastRenderedPageBreak/>
              <w:t>This is acceptable</w:t>
            </w:r>
            <w:r w:rsidR="00B3797D" w:rsidRPr="00A325E5">
              <w:rPr>
                <w:sz w:val="20"/>
                <w:szCs w:val="20"/>
              </w:rPr>
              <w:t>.</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tabs>
                <w:tab w:val="left" w:pos="3172"/>
              </w:tabs>
              <w:ind w:left="0" w:right="0"/>
              <w:rPr>
                <w:rFonts w:eastAsia="MS Mincho" w:cs="TimesNewRomanPS-BoldItalicMT"/>
                <w:bCs/>
                <w:iCs/>
                <w:sz w:val="20"/>
                <w:szCs w:val="20"/>
              </w:rPr>
            </w:pPr>
            <w:r w:rsidRPr="00A325E5">
              <w:rPr>
                <w:rFonts w:eastAsia="MS Mincho" w:cs="TimesNewRomanPS-BoldItalicMT"/>
                <w:bCs/>
                <w:iCs/>
                <w:sz w:val="20"/>
                <w:szCs w:val="20"/>
              </w:rPr>
              <w:lastRenderedPageBreak/>
              <w:t>The proposed pharmacovigilance plan contains a number of internal inconsistencies that</w:t>
            </w:r>
            <w:r w:rsidR="0095773F" w:rsidRPr="00A325E5">
              <w:rPr>
                <w:rFonts w:eastAsia="MS Mincho" w:cs="TimesNewRomanPS-BoldItalicMT"/>
                <w:bCs/>
                <w:iCs/>
                <w:sz w:val="20"/>
                <w:szCs w:val="20"/>
              </w:rPr>
              <w:t xml:space="preserve"> </w:t>
            </w:r>
            <w:r w:rsidRPr="00A325E5">
              <w:rPr>
                <w:rFonts w:eastAsia="MS Mincho" w:cs="TimesNewRomanPS-BoldItalicMT"/>
                <w:bCs/>
                <w:iCs/>
                <w:sz w:val="20"/>
                <w:szCs w:val="20"/>
              </w:rPr>
              <w:t>require clarification:</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20756B" w:rsidRDefault="00D62A6E" w:rsidP="00A325E5">
            <w:pPr>
              <w:ind w:left="33" w:right="33"/>
              <w:rPr>
                <w:rFonts w:eastAsia="MS Mincho" w:cs="TimesNewRomanPSMT"/>
                <w:i/>
                <w:color w:val="000000"/>
              </w:rPr>
            </w:pPr>
            <w:r>
              <w:rPr>
                <w:rFonts w:eastAsia="MS Mincho" w:cs="TimesNewRomanPSMT"/>
                <w:i/>
                <w:color w:val="000000"/>
              </w:rPr>
              <w:t>Sponsor provided a response to the inconsistencies identified by the evaluator.</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20756B" w:rsidRDefault="00E22D1F" w:rsidP="00A325E5">
            <w:pPr>
              <w:ind w:left="33" w:right="33"/>
            </w:pPr>
            <w:r w:rsidRPr="0020756B">
              <w:t>This is acceptable</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tabs>
                <w:tab w:val="left" w:pos="3172"/>
              </w:tabs>
              <w:ind w:left="0" w:right="0"/>
              <w:rPr>
                <w:rFonts w:cs="TimesNewRomanPS-BoldItalicMT"/>
                <w:bCs/>
                <w:iCs/>
                <w:sz w:val="20"/>
                <w:szCs w:val="20"/>
              </w:rPr>
            </w:pPr>
            <w:r w:rsidRPr="00A325E5">
              <w:rPr>
                <w:rFonts w:eastAsia="MS Mincho" w:cs="TimesNewRomanPS-BoldItalicMT"/>
                <w:bCs/>
                <w:iCs/>
                <w:sz w:val="20"/>
                <w:szCs w:val="20"/>
              </w:rPr>
              <w:t>The ASA v3.1 does not list two planned studies regarding sJIA identified by</w:t>
            </w:r>
            <w:r w:rsidR="00332FF3" w:rsidRPr="00A325E5">
              <w:rPr>
                <w:rFonts w:eastAsia="MS Mincho" w:cs="TimesNewRomanPS-BoldItalicMT"/>
                <w:bCs/>
                <w:iCs/>
                <w:sz w:val="20"/>
                <w:szCs w:val="20"/>
              </w:rPr>
              <w:t xml:space="preserve"> the core RMP version 7.1. The s</w:t>
            </w:r>
            <w:r w:rsidRPr="00A325E5">
              <w:rPr>
                <w:rFonts w:eastAsia="MS Mincho" w:cs="TimesNewRomanPS-BoldItalicMT"/>
                <w:bCs/>
                <w:iCs/>
                <w:sz w:val="20"/>
                <w:szCs w:val="20"/>
              </w:rPr>
              <w:t>ponsor should amend the ASA accordingly. These studies are:</w:t>
            </w:r>
            <w:r w:rsidR="0095773F" w:rsidRPr="00A325E5">
              <w:rPr>
                <w:rFonts w:eastAsia="MS Mincho" w:cs="TimesNewRomanPS-BoldItalicMT"/>
                <w:bCs/>
                <w:iCs/>
                <w:sz w:val="20"/>
                <w:szCs w:val="20"/>
              </w:rPr>
              <w:br/>
            </w:r>
            <w:r w:rsidRPr="00A325E5">
              <w:rPr>
                <w:rFonts w:cs="TimesNewRomanPS-BoldItalicMT"/>
                <w:bCs/>
                <w:iCs/>
                <w:sz w:val="20"/>
                <w:szCs w:val="20"/>
              </w:rPr>
              <w:t>Phase IV study (under development)</w:t>
            </w:r>
            <w:r w:rsidR="0095773F" w:rsidRPr="00A325E5">
              <w:rPr>
                <w:rFonts w:cs="TimesNewRomanPS-BoldItalicMT"/>
                <w:bCs/>
                <w:iCs/>
                <w:sz w:val="20"/>
                <w:szCs w:val="20"/>
              </w:rPr>
              <w:br/>
            </w:r>
            <w:r w:rsidRPr="00A325E5">
              <w:rPr>
                <w:rFonts w:cs="TimesNewRomanPS-BoldItalicMT"/>
                <w:bCs/>
                <w:iCs/>
                <w:sz w:val="20"/>
                <w:szCs w:val="20"/>
              </w:rPr>
              <w:t>SJIA Pharmachild registry</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rFonts w:eastAsia="MS Mincho" w:cs="TimesNewRomanPSMT"/>
                <w:i/>
                <w:color w:val="000000"/>
                <w:sz w:val="20"/>
                <w:szCs w:val="20"/>
              </w:rPr>
            </w:pPr>
            <w:r w:rsidRPr="00A325E5">
              <w:rPr>
                <w:rFonts w:eastAsia="MS Mincho" w:cs="TimesNewRomanPSMT"/>
                <w:i/>
                <w:color w:val="000000"/>
                <w:sz w:val="20"/>
                <w:szCs w:val="20"/>
              </w:rPr>
              <w:t xml:space="preserve">The Australian-Specific Annex </w:t>
            </w:r>
            <w:r w:rsidRPr="00A325E5">
              <w:rPr>
                <w:rFonts w:eastAsia="MS Mincho" w:cs="TimesNewRomanPSMT"/>
                <w:i/>
                <w:color w:val="0000FF"/>
                <w:sz w:val="20"/>
                <w:szCs w:val="20"/>
              </w:rPr>
              <w:t xml:space="preserve">[ASA v4] </w:t>
            </w:r>
            <w:r w:rsidRPr="00A325E5">
              <w:rPr>
                <w:rFonts w:eastAsia="MS Mincho" w:cs="TimesNewRomanPSMT"/>
                <w:i/>
                <w:color w:val="000000"/>
                <w:sz w:val="20"/>
                <w:szCs w:val="20"/>
              </w:rPr>
              <w:t>has been updated to add the two planned SJIA</w:t>
            </w:r>
            <w:r w:rsidR="00332FF3" w:rsidRPr="00A325E5">
              <w:rPr>
                <w:rFonts w:eastAsia="MS Mincho" w:cs="TimesNewRomanPSMT"/>
                <w:i/>
                <w:color w:val="000000"/>
                <w:sz w:val="20"/>
                <w:szCs w:val="20"/>
              </w:rPr>
              <w:t xml:space="preserve"> </w:t>
            </w:r>
            <w:r w:rsidRPr="00A325E5">
              <w:rPr>
                <w:rFonts w:eastAsia="MS Mincho" w:cs="TimesNewRomanPSMT"/>
                <w:i/>
                <w:color w:val="000000"/>
                <w:sz w:val="20"/>
                <w:szCs w:val="20"/>
              </w:rPr>
              <w:t xml:space="preserve">related studies (ACZ885G2306: Phase IV study on dose reduction or dose interval prolongation; ACZ885G2401: SJIA Pharmachild registry) in the pharmacovigilance plan. Copies of the latest study protocols for </w:t>
            </w:r>
            <w:r w:rsidRPr="00A325E5">
              <w:rPr>
                <w:rFonts w:eastAsia="MS Mincho" w:cs="TimesNewRomanPSMT"/>
                <w:i/>
                <w:color w:val="0000FF"/>
                <w:sz w:val="20"/>
                <w:szCs w:val="20"/>
              </w:rPr>
              <w:t xml:space="preserve">[ACZ885G2306] </w:t>
            </w:r>
            <w:r w:rsidRPr="00A325E5">
              <w:rPr>
                <w:rFonts w:eastAsia="MS Mincho" w:cs="TimesNewRomanPSMT"/>
                <w:i/>
                <w:color w:val="000000"/>
                <w:sz w:val="20"/>
                <w:szCs w:val="20"/>
              </w:rPr>
              <w:t xml:space="preserve">and </w:t>
            </w:r>
            <w:r w:rsidRPr="00A325E5">
              <w:rPr>
                <w:rFonts w:eastAsia="MS Mincho" w:cs="TimesNewRomanPSMT"/>
                <w:i/>
                <w:color w:val="0000FF"/>
                <w:sz w:val="20"/>
                <w:szCs w:val="20"/>
              </w:rPr>
              <w:t xml:space="preserve">[ACZ885G2401] </w:t>
            </w:r>
            <w:r w:rsidRPr="00A325E5">
              <w:rPr>
                <w:rFonts w:eastAsia="MS Mincho" w:cs="TimesNewRomanPSMT"/>
                <w:i/>
                <w:color w:val="000000"/>
                <w:sz w:val="20"/>
                <w:szCs w:val="20"/>
              </w:rPr>
              <w:t>are provided in Module 1.13.1.</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sz w:val="20"/>
                <w:szCs w:val="20"/>
              </w:rPr>
            </w:pPr>
            <w:r w:rsidRPr="00A325E5">
              <w:rPr>
                <w:sz w:val="20"/>
                <w:szCs w:val="20"/>
              </w:rPr>
              <w:t>This is acceptable.</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tabs>
                <w:tab w:val="left" w:pos="3172"/>
              </w:tabs>
              <w:ind w:left="0" w:right="0"/>
              <w:rPr>
                <w:rFonts w:eastAsia="MS Mincho" w:cs="TimesNewRomanPS-BoldItalicMT"/>
                <w:bCs/>
                <w:iCs/>
                <w:sz w:val="20"/>
                <w:szCs w:val="20"/>
              </w:rPr>
            </w:pPr>
            <w:r w:rsidRPr="00A325E5">
              <w:rPr>
                <w:rFonts w:eastAsia="MS Mincho" w:cs="TimesNewRomanPS-BoldItalicMT"/>
                <w:bCs/>
                <w:iCs/>
                <w:sz w:val="20"/>
                <w:szCs w:val="20"/>
              </w:rPr>
              <w:t xml:space="preserve">As a condition of marketing approval for canakinumab in the treatment of </w:t>
            </w:r>
            <w:r w:rsidR="00332FF3" w:rsidRPr="00A325E5">
              <w:rPr>
                <w:rFonts w:eastAsia="MS Mincho" w:cs="TimesNewRomanPS-BoldItalicMT"/>
                <w:bCs/>
                <w:iCs/>
                <w:sz w:val="20"/>
                <w:szCs w:val="20"/>
              </w:rPr>
              <w:t>s</w:t>
            </w:r>
            <w:r w:rsidRPr="00A325E5">
              <w:rPr>
                <w:rFonts w:eastAsia="MS Mincho" w:cs="TimesNewRomanPS-BoldItalicMT"/>
                <w:bCs/>
                <w:iCs/>
                <w:sz w:val="20"/>
                <w:szCs w:val="20"/>
              </w:rPr>
              <w:t xml:space="preserve">JIA in the United States, the following study has been requested: </w:t>
            </w:r>
            <w:r w:rsidR="00186C14" w:rsidRPr="00A325E5">
              <w:rPr>
                <w:rFonts w:eastAsia="MS Mincho" w:cs="TimesNewRomanPS-ItalicMT"/>
                <w:iCs/>
                <w:sz w:val="20"/>
                <w:szCs w:val="20"/>
              </w:rPr>
              <w:t>‘</w:t>
            </w:r>
            <w:r w:rsidRPr="00A325E5">
              <w:rPr>
                <w:rFonts w:eastAsia="MS Mincho" w:cs="TimesNewRomanPS-ItalicMT"/>
                <w:iCs/>
                <w:sz w:val="20"/>
                <w:szCs w:val="20"/>
              </w:rPr>
              <w:t>a long-term safety study in 100</w:t>
            </w:r>
            <w:r w:rsidRPr="00A325E5">
              <w:rPr>
                <w:rFonts w:eastAsia="MS Mincho" w:cs="TimesNewRomanPS-BoldItalicMT"/>
                <w:bCs/>
                <w:iCs/>
                <w:sz w:val="20"/>
                <w:szCs w:val="20"/>
              </w:rPr>
              <w:t xml:space="preserve"> </w:t>
            </w:r>
            <w:r w:rsidRPr="00A325E5">
              <w:rPr>
                <w:rFonts w:eastAsia="MS Mincho" w:cs="TimesNewRomanPS-ItalicMT"/>
                <w:iCs/>
                <w:sz w:val="20"/>
                <w:szCs w:val="20"/>
              </w:rPr>
              <w:t>paediatric patients 2 to 17 years of age with systemic JIA (</w:t>
            </w:r>
            <w:r w:rsidR="00332FF3" w:rsidRPr="00A325E5">
              <w:rPr>
                <w:rFonts w:eastAsia="MS Mincho" w:cs="TimesNewRomanPS-ItalicMT"/>
                <w:iCs/>
                <w:sz w:val="20"/>
                <w:szCs w:val="20"/>
              </w:rPr>
              <w:t>s</w:t>
            </w:r>
            <w:r w:rsidRPr="00A325E5">
              <w:rPr>
                <w:rFonts w:eastAsia="MS Mincho" w:cs="TimesNewRomanPS-ItalicMT"/>
                <w:iCs/>
                <w:sz w:val="20"/>
                <w:szCs w:val="20"/>
              </w:rPr>
              <w:t>JIA) treated with canakinumab to</w:t>
            </w:r>
            <w:r w:rsidRPr="00A325E5">
              <w:rPr>
                <w:rFonts w:eastAsia="MS Mincho" w:cs="TimesNewRomanPS-BoldItalicMT"/>
                <w:bCs/>
                <w:iCs/>
                <w:sz w:val="20"/>
                <w:szCs w:val="20"/>
              </w:rPr>
              <w:t xml:space="preserve"> </w:t>
            </w:r>
            <w:r w:rsidRPr="00A325E5">
              <w:rPr>
                <w:rFonts w:eastAsia="MS Mincho" w:cs="TimesNewRomanPS-ItalicMT"/>
                <w:iCs/>
                <w:sz w:val="20"/>
                <w:szCs w:val="20"/>
              </w:rPr>
              <w:t>evaluate for the risks of serious infections, neutropenia, thrombocytopenia, severe injection</w:t>
            </w:r>
            <w:r w:rsidRPr="00A325E5">
              <w:rPr>
                <w:rFonts w:eastAsia="MS Mincho" w:cs="TimesNewRomanPS-BoldItalicMT"/>
                <w:bCs/>
                <w:iCs/>
                <w:sz w:val="20"/>
                <w:szCs w:val="20"/>
              </w:rPr>
              <w:t xml:space="preserve"> </w:t>
            </w:r>
            <w:r w:rsidRPr="00A325E5">
              <w:rPr>
                <w:rFonts w:eastAsia="MS Mincho" w:cs="TimesNewRomanPS-ItalicMT"/>
                <w:iCs/>
                <w:sz w:val="20"/>
                <w:szCs w:val="20"/>
              </w:rPr>
              <w:t xml:space="preserve">site reactions, and MAS. The study should include a control group of </w:t>
            </w:r>
            <w:r w:rsidR="00332FF3" w:rsidRPr="00A325E5">
              <w:rPr>
                <w:rFonts w:eastAsia="MS Mincho" w:cs="TimesNewRomanPS-ItalicMT"/>
                <w:iCs/>
                <w:sz w:val="20"/>
                <w:szCs w:val="20"/>
              </w:rPr>
              <w:t>s</w:t>
            </w:r>
            <w:r w:rsidRPr="00A325E5">
              <w:rPr>
                <w:rFonts w:eastAsia="MS Mincho" w:cs="TimesNewRomanPS-ItalicMT"/>
                <w:iCs/>
                <w:sz w:val="20"/>
                <w:szCs w:val="20"/>
              </w:rPr>
              <w:t>JIA patients not</w:t>
            </w:r>
            <w:r w:rsidRPr="00A325E5">
              <w:rPr>
                <w:rFonts w:eastAsia="MS Mincho" w:cs="TimesNewRomanPS-BoldItalicMT"/>
                <w:bCs/>
                <w:iCs/>
                <w:sz w:val="20"/>
                <w:szCs w:val="20"/>
              </w:rPr>
              <w:t xml:space="preserve"> </w:t>
            </w:r>
            <w:r w:rsidRPr="00A325E5">
              <w:rPr>
                <w:rFonts w:eastAsia="MS Mincho" w:cs="TimesNewRomanPS-ItalicMT"/>
                <w:iCs/>
                <w:sz w:val="20"/>
                <w:szCs w:val="20"/>
              </w:rPr>
              <w:t>receiving canakinumab. Patients should be followed for 5 years</w:t>
            </w:r>
            <w:r w:rsidR="00186C14" w:rsidRPr="00A325E5">
              <w:rPr>
                <w:rFonts w:eastAsia="MS Mincho" w:cs="TimesNewRomanPS-ItalicMT"/>
                <w:iCs/>
                <w:sz w:val="20"/>
                <w:szCs w:val="20"/>
              </w:rPr>
              <w:t>’</w:t>
            </w:r>
            <w:r w:rsidRPr="00A325E5">
              <w:rPr>
                <w:rFonts w:eastAsia="MS Mincho" w:cs="TimesNewRomanPS-BoldItalicMT"/>
                <w:bCs/>
                <w:iCs/>
                <w:sz w:val="20"/>
                <w:szCs w:val="20"/>
              </w:rPr>
              <w:t xml:space="preserve">. The </w:t>
            </w:r>
            <w:r w:rsidR="00332FF3" w:rsidRPr="00A325E5">
              <w:rPr>
                <w:rFonts w:eastAsia="MS Mincho" w:cs="TimesNewRomanPS-BoldItalicMT"/>
                <w:bCs/>
                <w:iCs/>
                <w:sz w:val="20"/>
                <w:szCs w:val="20"/>
              </w:rPr>
              <w:t>s</w:t>
            </w:r>
            <w:r w:rsidRPr="00A325E5">
              <w:rPr>
                <w:rFonts w:eastAsia="MS Mincho" w:cs="TimesNewRomanPS-BoldItalicMT"/>
                <w:bCs/>
                <w:iCs/>
                <w:sz w:val="20"/>
                <w:szCs w:val="20"/>
              </w:rPr>
              <w:t>ponsor should include this study in the pharmacovigilance plan.</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rFonts w:eastAsia="MS Mincho" w:cs="TimesNewRomanPSMT"/>
                <w:i/>
                <w:color w:val="000000"/>
                <w:sz w:val="20"/>
                <w:szCs w:val="20"/>
              </w:rPr>
            </w:pPr>
            <w:r w:rsidRPr="00A325E5">
              <w:rPr>
                <w:rFonts w:eastAsia="MS Mincho" w:cs="TimesNewRomanPSMT"/>
                <w:i/>
                <w:color w:val="000000"/>
                <w:sz w:val="20"/>
                <w:szCs w:val="20"/>
              </w:rPr>
              <w:t xml:space="preserve">Novartis accepts the request and has updated the Australian-Specific Annex </w:t>
            </w:r>
            <w:r w:rsidRPr="00A325E5">
              <w:rPr>
                <w:rFonts w:eastAsia="MS Mincho" w:cs="TimesNewRomanPSMT"/>
                <w:i/>
                <w:color w:val="0000FF"/>
                <w:sz w:val="20"/>
                <w:szCs w:val="20"/>
              </w:rPr>
              <w:t xml:space="preserve">[ASA v4] </w:t>
            </w:r>
            <w:r w:rsidRPr="00A325E5">
              <w:rPr>
                <w:rFonts w:eastAsia="MS Mincho" w:cs="TimesNewRomanPSMT"/>
                <w:i/>
                <w:color w:val="000000"/>
                <w:sz w:val="20"/>
                <w:szCs w:val="20"/>
              </w:rPr>
              <w:t xml:space="preserve">to add the proposed long-term safety study for </w:t>
            </w:r>
            <w:r w:rsidR="00332FF3" w:rsidRPr="00A325E5">
              <w:rPr>
                <w:rFonts w:eastAsia="MS Mincho" w:cs="TimesNewRomanPSMT"/>
                <w:i/>
                <w:color w:val="000000"/>
                <w:sz w:val="20"/>
                <w:szCs w:val="20"/>
              </w:rPr>
              <w:t>s</w:t>
            </w:r>
            <w:r w:rsidRPr="00A325E5">
              <w:rPr>
                <w:rFonts w:eastAsia="MS Mincho" w:cs="TimesNewRomanPSMT"/>
                <w:i/>
                <w:color w:val="000000"/>
                <w:sz w:val="20"/>
                <w:szCs w:val="20"/>
              </w:rPr>
              <w:t xml:space="preserve">JIA requested by the US FDA in the pharmacovigilance plan. A copy of the study protocol for </w:t>
            </w:r>
            <w:r w:rsidRPr="00A325E5">
              <w:rPr>
                <w:rFonts w:eastAsia="MS Mincho" w:cs="TimesNewRomanPSMT"/>
                <w:i/>
                <w:color w:val="0000FF"/>
                <w:sz w:val="20"/>
                <w:szCs w:val="20"/>
              </w:rPr>
              <w:t>[ACZ885G2403]</w:t>
            </w:r>
            <w:r w:rsidR="00332FF3" w:rsidRPr="00A325E5">
              <w:rPr>
                <w:rFonts w:eastAsia="MS Mincho" w:cs="TimesNewRomanPSMT"/>
                <w:i/>
                <w:color w:val="0000FF"/>
                <w:sz w:val="20"/>
                <w:szCs w:val="20"/>
              </w:rPr>
              <w:t xml:space="preserve"> </w:t>
            </w:r>
            <w:r w:rsidR="00332FF3" w:rsidRPr="00A325E5">
              <w:rPr>
                <w:rFonts w:eastAsia="MS Mincho" w:cs="TimesNewRomanPSMT"/>
                <w:i/>
                <w:color w:val="000000"/>
                <w:sz w:val="20"/>
                <w:szCs w:val="20"/>
              </w:rPr>
              <w:t xml:space="preserve">has been </w:t>
            </w:r>
            <w:r w:rsidRPr="00A325E5">
              <w:rPr>
                <w:rFonts w:eastAsia="MS Mincho" w:cs="TimesNewRomanPSMT"/>
                <w:i/>
                <w:color w:val="000000"/>
                <w:sz w:val="20"/>
                <w:szCs w:val="20"/>
              </w:rPr>
              <w:t>provided</w:t>
            </w:r>
            <w:r w:rsidR="00332FF3" w:rsidRPr="00A325E5">
              <w:rPr>
                <w:rFonts w:eastAsia="MS Mincho" w:cs="TimesNewRomanPSMT"/>
                <w:i/>
                <w:color w:val="000000"/>
                <w:sz w:val="20"/>
                <w:szCs w:val="20"/>
              </w:rPr>
              <w:t xml:space="preserve"> to the TGA</w:t>
            </w:r>
            <w:r w:rsidRPr="00A325E5">
              <w:rPr>
                <w:rFonts w:eastAsia="MS Mincho" w:cs="TimesNewRomanPSMT"/>
                <w:i/>
                <w:color w:val="000000"/>
                <w:sz w:val="20"/>
                <w:szCs w:val="20"/>
              </w:rPr>
              <w:t>.</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sz w:val="20"/>
                <w:szCs w:val="20"/>
              </w:rPr>
            </w:pPr>
            <w:r w:rsidRPr="00A325E5">
              <w:rPr>
                <w:sz w:val="20"/>
                <w:szCs w:val="20"/>
              </w:rPr>
              <w:t>This is acceptable.</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tabs>
                <w:tab w:val="left" w:pos="3172"/>
              </w:tabs>
              <w:ind w:left="0" w:right="0"/>
              <w:rPr>
                <w:rFonts w:eastAsia="MS Mincho" w:cs="TimesNewRomanPS-BoldItalicMT"/>
                <w:bCs/>
                <w:iCs/>
                <w:sz w:val="20"/>
                <w:szCs w:val="20"/>
              </w:rPr>
            </w:pPr>
            <w:r w:rsidRPr="00A325E5">
              <w:rPr>
                <w:rFonts w:eastAsia="MS Mincho" w:cs="TimesNewRomanPS-BoldItalicMT"/>
                <w:bCs/>
                <w:iCs/>
                <w:sz w:val="20"/>
                <w:szCs w:val="20"/>
              </w:rPr>
              <w:t xml:space="preserve">Unfortunately, the protocols for the two planned studies involving patients with sJIA have not been submitted with this application. Therefore, they cannot be evaluated at this stage. It is recommended that the </w:t>
            </w:r>
            <w:r w:rsidR="00332FF3" w:rsidRPr="00A325E5">
              <w:rPr>
                <w:rFonts w:eastAsia="MS Mincho" w:cs="TimesNewRomanPS-BoldItalicMT"/>
                <w:bCs/>
                <w:iCs/>
                <w:sz w:val="20"/>
                <w:szCs w:val="20"/>
              </w:rPr>
              <w:t>s</w:t>
            </w:r>
            <w:r w:rsidRPr="00A325E5">
              <w:rPr>
                <w:rFonts w:eastAsia="MS Mincho" w:cs="TimesNewRomanPS-BoldItalicMT"/>
                <w:bCs/>
                <w:iCs/>
                <w:sz w:val="20"/>
                <w:szCs w:val="20"/>
              </w:rPr>
              <w:t xml:space="preserve">ponsor submit these protocols </w:t>
            </w:r>
            <w:r w:rsidR="00332FF3" w:rsidRPr="00A325E5">
              <w:rPr>
                <w:rFonts w:eastAsia="MS Mincho" w:cs="TimesNewRomanPS-BoldItalicMT"/>
                <w:bCs/>
                <w:iCs/>
                <w:sz w:val="20"/>
                <w:szCs w:val="20"/>
              </w:rPr>
              <w:t>to the TGA</w:t>
            </w:r>
            <w:r w:rsidRPr="00A325E5">
              <w:rPr>
                <w:rFonts w:eastAsia="MS Mincho" w:cs="TimesNewRomanPS-BoldItalicMT"/>
                <w:bCs/>
                <w:iCs/>
                <w:sz w:val="20"/>
                <w:szCs w:val="20"/>
              </w:rPr>
              <w:t>.</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rFonts w:eastAsia="MS Mincho" w:cs="TimesNewRomanPSMT"/>
                <w:i/>
                <w:color w:val="000000"/>
                <w:sz w:val="20"/>
                <w:szCs w:val="20"/>
              </w:rPr>
            </w:pPr>
            <w:r w:rsidRPr="00A325E5">
              <w:rPr>
                <w:rFonts w:eastAsia="MS Mincho" w:cs="TimesNewRomanPSMT"/>
                <w:i/>
                <w:color w:val="000000"/>
                <w:sz w:val="20"/>
                <w:szCs w:val="20"/>
              </w:rPr>
              <w:t xml:space="preserve">Copies of the latest protocols for </w:t>
            </w:r>
            <w:r w:rsidRPr="00A325E5">
              <w:rPr>
                <w:rFonts w:eastAsia="MS Mincho" w:cs="TimesNewRomanPSMT"/>
                <w:i/>
                <w:color w:val="0000FF"/>
                <w:sz w:val="20"/>
                <w:szCs w:val="20"/>
              </w:rPr>
              <w:t xml:space="preserve">[ACZ885G2306] </w:t>
            </w:r>
            <w:r w:rsidRPr="00A325E5">
              <w:rPr>
                <w:rFonts w:eastAsia="MS Mincho" w:cs="TimesNewRomanPSMT"/>
                <w:i/>
                <w:color w:val="000000"/>
                <w:sz w:val="20"/>
                <w:szCs w:val="20"/>
              </w:rPr>
              <w:t xml:space="preserve">and </w:t>
            </w:r>
            <w:r w:rsidRPr="00A325E5">
              <w:rPr>
                <w:rFonts w:eastAsia="MS Mincho" w:cs="TimesNewRomanPSMT"/>
                <w:i/>
                <w:color w:val="0000FF"/>
                <w:sz w:val="20"/>
                <w:szCs w:val="20"/>
              </w:rPr>
              <w:t xml:space="preserve">[ACZ885G2401] </w:t>
            </w:r>
            <w:r w:rsidRPr="00A325E5">
              <w:rPr>
                <w:rFonts w:eastAsia="MS Mincho" w:cs="TimesNewRomanPSMT"/>
                <w:i/>
                <w:color w:val="000000"/>
                <w:sz w:val="20"/>
                <w:szCs w:val="20"/>
              </w:rPr>
              <w:t>studies are provided</w:t>
            </w:r>
            <w:r w:rsidR="00332FF3" w:rsidRPr="00A325E5">
              <w:rPr>
                <w:rFonts w:eastAsia="MS Mincho" w:cs="TimesNewRomanPSMT"/>
                <w:i/>
                <w:color w:val="000000"/>
                <w:sz w:val="20"/>
                <w:szCs w:val="20"/>
              </w:rPr>
              <w:t>.</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sz w:val="20"/>
                <w:szCs w:val="20"/>
              </w:rPr>
            </w:pPr>
            <w:r w:rsidRPr="00A325E5">
              <w:rPr>
                <w:sz w:val="20"/>
                <w:szCs w:val="20"/>
              </w:rPr>
              <w:t xml:space="preserve">The protocols have now been provided by the </w:t>
            </w:r>
            <w:r w:rsidR="00332FF3" w:rsidRPr="00A325E5">
              <w:rPr>
                <w:sz w:val="20"/>
                <w:szCs w:val="20"/>
              </w:rPr>
              <w:t>s</w:t>
            </w:r>
            <w:r w:rsidRPr="00A325E5">
              <w:rPr>
                <w:sz w:val="20"/>
                <w:szCs w:val="20"/>
              </w:rPr>
              <w:t xml:space="preserve">ponsor, however in light of this additional information it is now reasonable to suggest that the </w:t>
            </w:r>
            <w:r w:rsidR="00332FF3" w:rsidRPr="00A325E5">
              <w:rPr>
                <w:sz w:val="20"/>
                <w:szCs w:val="20"/>
              </w:rPr>
              <w:t>s</w:t>
            </w:r>
            <w:r w:rsidRPr="00A325E5">
              <w:rPr>
                <w:sz w:val="20"/>
                <w:szCs w:val="20"/>
              </w:rPr>
              <w:t xml:space="preserve">ponsor implement a registry of Australian patients taking </w:t>
            </w:r>
            <w:r w:rsidRPr="00A325E5">
              <w:rPr>
                <w:sz w:val="20"/>
                <w:szCs w:val="20"/>
              </w:rPr>
              <w:lastRenderedPageBreak/>
              <w:t>canakinumab. This was strongly advised by ACSOM (see ACSOM meeting notes attached below).</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tabs>
                <w:tab w:val="left" w:pos="3172"/>
              </w:tabs>
              <w:ind w:left="0" w:right="0"/>
              <w:rPr>
                <w:rFonts w:eastAsia="MS Mincho" w:cs="TimesNewRomanPS-BoldItalicMT"/>
                <w:bCs/>
                <w:iCs/>
                <w:sz w:val="20"/>
                <w:szCs w:val="20"/>
              </w:rPr>
            </w:pPr>
            <w:r w:rsidRPr="00A325E5">
              <w:rPr>
                <w:rFonts w:eastAsia="MS Mincho" w:cs="TimesNewRomanPS-BoldItalicMT"/>
                <w:bCs/>
                <w:iCs/>
                <w:sz w:val="20"/>
                <w:szCs w:val="20"/>
              </w:rPr>
              <w:lastRenderedPageBreak/>
              <w:t>The sponsor has not adequately addressed a number of issues regarding the potential for medication error etc within the core RMP version 7.1. As a result, this section cannot be evaluated at this time. It is recommended that the sponsor address these issues, including up to date information regarding the post-marketing experience of medication error and off-label usage.</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rFonts w:eastAsia="MS Mincho" w:cs="TimesNewRomanPSMT"/>
                <w:i/>
                <w:color w:val="000000"/>
                <w:sz w:val="20"/>
                <w:szCs w:val="20"/>
              </w:rPr>
            </w:pPr>
            <w:r w:rsidRPr="00A325E5">
              <w:rPr>
                <w:rFonts w:eastAsia="MS Mincho" w:cs="TimesNewRomanPSMT"/>
                <w:i/>
                <w:color w:val="000000"/>
                <w:sz w:val="20"/>
                <w:szCs w:val="20"/>
              </w:rPr>
              <w:t>In order to address the potential issues on medication errors, overdose, transmission of infectious agents, misuse for illegal purposes, and off-label use for paediatric use that are not</w:t>
            </w:r>
            <w:r w:rsidR="0095773F" w:rsidRPr="00A325E5">
              <w:rPr>
                <w:rFonts w:eastAsia="MS Mincho" w:cs="TimesNewRomanPSMT"/>
                <w:i/>
                <w:color w:val="000000"/>
                <w:sz w:val="20"/>
                <w:szCs w:val="20"/>
              </w:rPr>
              <w:t xml:space="preserve"> </w:t>
            </w:r>
            <w:r w:rsidRPr="00A325E5">
              <w:rPr>
                <w:rFonts w:eastAsia="MS Mincho" w:cs="TimesNewRomanPSMT"/>
                <w:i/>
                <w:color w:val="000000"/>
                <w:sz w:val="20"/>
                <w:szCs w:val="20"/>
              </w:rPr>
              <w:t xml:space="preserve">discussed by the core RMP, Novartis hereby provides the </w:t>
            </w:r>
            <w:r w:rsidRPr="00A325E5">
              <w:rPr>
                <w:rFonts w:eastAsia="MS Mincho" w:cs="TimesNewRomanPSMT"/>
                <w:i/>
                <w:color w:val="0000FF"/>
                <w:sz w:val="20"/>
                <w:szCs w:val="20"/>
              </w:rPr>
              <w:t xml:space="preserve">[EU RMP v7.1] </w:t>
            </w:r>
            <w:r w:rsidRPr="00A325E5">
              <w:rPr>
                <w:rFonts w:eastAsia="MS Mincho" w:cs="TimesNewRomanPSMT"/>
                <w:i/>
                <w:color w:val="000000"/>
                <w:sz w:val="20"/>
                <w:szCs w:val="20"/>
              </w:rPr>
              <w:t>which we propose to apply in Australia. These issues are discussed in Section 7 (Part II Safety Specification</w:t>
            </w:r>
            <w:r w:rsidR="0095773F" w:rsidRPr="00A325E5">
              <w:rPr>
                <w:rFonts w:eastAsia="MS Mincho" w:cs="TimesNewRomanPSMT"/>
                <w:i/>
                <w:color w:val="000000"/>
                <w:sz w:val="20"/>
                <w:szCs w:val="20"/>
              </w:rPr>
              <w:t xml:space="preserve"> </w:t>
            </w:r>
            <w:r w:rsidRPr="00A325E5">
              <w:rPr>
                <w:rFonts w:eastAsia="MS Mincho" w:cs="TimesNewRomanPSMT"/>
                <w:i/>
                <w:color w:val="000000"/>
                <w:sz w:val="20"/>
                <w:szCs w:val="20"/>
              </w:rPr>
              <w:t>Module SVI). The major differences are summarised as part of the response to recommendation 1 above in order to facilitate review of the replacement document.</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sz w:val="20"/>
                <w:szCs w:val="20"/>
              </w:rPr>
            </w:pPr>
            <w:r w:rsidRPr="00A325E5">
              <w:rPr>
                <w:sz w:val="20"/>
                <w:szCs w:val="20"/>
              </w:rPr>
              <w:t>This is acceptable.</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tabs>
                <w:tab w:val="left" w:pos="3172"/>
              </w:tabs>
              <w:ind w:left="0" w:right="0"/>
              <w:rPr>
                <w:rFonts w:eastAsia="MS Mincho" w:cs="TimesNewRomanPS-BoldItalicMT"/>
                <w:bCs/>
                <w:iCs/>
                <w:sz w:val="20"/>
                <w:szCs w:val="20"/>
              </w:rPr>
            </w:pPr>
            <w:r w:rsidRPr="00A325E5">
              <w:rPr>
                <w:rFonts w:eastAsia="MS Mincho" w:cs="TimesNewRomanPS-BoldItalicMT"/>
                <w:bCs/>
                <w:iCs/>
                <w:sz w:val="20"/>
                <w:szCs w:val="20"/>
              </w:rPr>
              <w:t>Table 10-3 in core RMP version 7.1 is inconsistent with the list of ongoing safety concerns presented in table 8-1. This should be amended.</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rFonts w:eastAsia="MS Mincho" w:cs="TimesNewRomanPSMT"/>
                <w:i/>
                <w:color w:val="000000"/>
                <w:sz w:val="20"/>
                <w:szCs w:val="20"/>
              </w:rPr>
            </w:pPr>
            <w:r w:rsidRPr="00A325E5">
              <w:rPr>
                <w:rFonts w:eastAsia="MS Mincho" w:cs="TimesNewRomanPSMT"/>
                <w:i/>
                <w:color w:val="000000"/>
                <w:sz w:val="20"/>
                <w:szCs w:val="20"/>
              </w:rPr>
              <w:t>Novartis wishes to clarify that only the safety concerns that have additional risk minimisation activities (beyond routine) are discussed in section 10.1: Risk Miminisation Measures by</w:t>
            </w:r>
            <w:r w:rsidR="0095773F" w:rsidRPr="00A325E5">
              <w:rPr>
                <w:rFonts w:eastAsia="MS Mincho" w:cs="TimesNewRomanPSMT"/>
                <w:i/>
                <w:color w:val="000000"/>
                <w:sz w:val="20"/>
                <w:szCs w:val="20"/>
              </w:rPr>
              <w:br/>
            </w:r>
            <w:r w:rsidRPr="00A325E5">
              <w:rPr>
                <w:rFonts w:eastAsia="MS Mincho" w:cs="TimesNewRomanPSMT"/>
                <w:i/>
                <w:color w:val="000000"/>
                <w:sz w:val="20"/>
                <w:szCs w:val="20"/>
              </w:rPr>
              <w:t xml:space="preserve">Safety Concern (Tables 10-1 to 10-10) in line with the summary table (Table 10-11). Nonetheless, Novartis will make the necessary changes to also include important and potential risks that have routine but no additional risk minimisation activities at the time of the next update. In the </w:t>
            </w:r>
            <w:r w:rsidRPr="00A325E5">
              <w:rPr>
                <w:rFonts w:eastAsia="MS Mincho" w:cs="TimesNewRomanPSMT"/>
                <w:i/>
                <w:color w:val="0000FF"/>
                <w:sz w:val="20"/>
                <w:szCs w:val="20"/>
              </w:rPr>
              <w:t xml:space="preserve">[EU RMP v7.1] </w:t>
            </w:r>
            <w:r w:rsidRPr="00A325E5">
              <w:rPr>
                <w:rFonts w:eastAsia="MS Mincho" w:cs="TimesNewRomanPSMT"/>
                <w:i/>
                <w:color w:val="000000"/>
                <w:sz w:val="20"/>
                <w:szCs w:val="20"/>
              </w:rPr>
              <w:t>provided with this response, the list of safety concerns is shown in</w:t>
            </w:r>
            <w:r w:rsidR="0095773F" w:rsidRPr="00A325E5">
              <w:rPr>
                <w:rFonts w:eastAsia="MS Mincho" w:cs="TimesNewRomanPSMT"/>
                <w:i/>
                <w:color w:val="000000"/>
                <w:sz w:val="20"/>
                <w:szCs w:val="20"/>
              </w:rPr>
              <w:t xml:space="preserve"> </w:t>
            </w:r>
            <w:r w:rsidRPr="00A325E5">
              <w:rPr>
                <w:rFonts w:eastAsia="MS Mincho" w:cs="TimesNewRomanPSMT"/>
                <w:i/>
                <w:color w:val="000000"/>
                <w:sz w:val="20"/>
                <w:szCs w:val="20"/>
              </w:rPr>
              <w:t xml:space="preserve">Table 9-1 with the additional concerns for </w:t>
            </w:r>
            <w:r w:rsidR="00332FF3" w:rsidRPr="00A325E5">
              <w:rPr>
                <w:rFonts w:eastAsia="MS Mincho" w:cs="TimesNewRomanPSMT"/>
                <w:i/>
                <w:color w:val="000000"/>
                <w:sz w:val="20"/>
                <w:szCs w:val="20"/>
              </w:rPr>
              <w:t>s</w:t>
            </w:r>
            <w:r w:rsidRPr="00A325E5">
              <w:rPr>
                <w:rFonts w:eastAsia="MS Mincho" w:cs="TimesNewRomanPSMT"/>
                <w:i/>
                <w:color w:val="000000"/>
                <w:sz w:val="20"/>
                <w:szCs w:val="20"/>
              </w:rPr>
              <w:t xml:space="preserve">JIA of DILI, leukopenia, decreased estimated creatinine clearance </w:t>
            </w:r>
            <w:r w:rsidR="00332FF3" w:rsidRPr="00A325E5">
              <w:rPr>
                <w:rFonts w:eastAsia="MS Mincho" w:cs="TimesNewRomanPSMT"/>
                <w:i/>
                <w:color w:val="000000"/>
                <w:sz w:val="20"/>
                <w:szCs w:val="20"/>
              </w:rPr>
              <w:t>and</w:t>
            </w:r>
            <w:r w:rsidRPr="00A325E5">
              <w:rPr>
                <w:rFonts w:eastAsia="MS Mincho" w:cs="TimesNewRomanPSMT"/>
                <w:i/>
                <w:color w:val="000000"/>
                <w:sz w:val="20"/>
                <w:szCs w:val="20"/>
              </w:rPr>
              <w:t xml:space="preserve"> proteinuria, musculoskeletal pain </w:t>
            </w:r>
            <w:r w:rsidR="00332FF3" w:rsidRPr="00A325E5">
              <w:rPr>
                <w:rFonts w:eastAsia="MS Mincho" w:cs="TimesNewRomanPSMT"/>
                <w:i/>
                <w:color w:val="000000"/>
                <w:sz w:val="20"/>
                <w:szCs w:val="20"/>
              </w:rPr>
              <w:t>and</w:t>
            </w:r>
            <w:r w:rsidRPr="00A325E5">
              <w:rPr>
                <w:rFonts w:eastAsia="MS Mincho" w:cs="TimesNewRomanPSMT"/>
                <w:i/>
                <w:color w:val="000000"/>
                <w:sz w:val="20"/>
                <w:szCs w:val="20"/>
              </w:rPr>
              <w:t xml:space="preserve"> arthralgia, pulmonary</w:t>
            </w:r>
            <w:r w:rsidR="0095773F" w:rsidRPr="00A325E5">
              <w:rPr>
                <w:rFonts w:eastAsia="MS Mincho" w:cs="TimesNewRomanPSMT"/>
                <w:i/>
                <w:color w:val="000000"/>
                <w:sz w:val="20"/>
                <w:szCs w:val="20"/>
              </w:rPr>
              <w:t xml:space="preserve"> </w:t>
            </w:r>
            <w:r w:rsidRPr="00A325E5">
              <w:rPr>
                <w:rFonts w:eastAsia="MS Mincho" w:cs="TimesNewRomanPSMT"/>
                <w:i/>
                <w:color w:val="000000"/>
                <w:sz w:val="20"/>
                <w:szCs w:val="20"/>
              </w:rPr>
              <w:t xml:space="preserve">complications: pulmonary hypertension </w:t>
            </w:r>
            <w:r w:rsidR="00332FF3" w:rsidRPr="00A325E5">
              <w:rPr>
                <w:rFonts w:eastAsia="MS Mincho" w:cs="TimesNewRomanPSMT"/>
                <w:i/>
                <w:color w:val="000000"/>
                <w:sz w:val="20"/>
                <w:szCs w:val="20"/>
              </w:rPr>
              <w:t>and</w:t>
            </w:r>
            <w:r w:rsidRPr="00A325E5">
              <w:rPr>
                <w:rFonts w:eastAsia="MS Mincho" w:cs="TimesNewRomanPSMT"/>
                <w:i/>
                <w:color w:val="000000"/>
                <w:sz w:val="20"/>
                <w:szCs w:val="20"/>
              </w:rPr>
              <w:t xml:space="preserve"> interstitial lung disease, eosinophilia. The risk mimimisation measures for all 29 safety concerns ar</w:t>
            </w:r>
            <w:r w:rsidR="00332FF3" w:rsidRPr="00A325E5">
              <w:rPr>
                <w:rFonts w:eastAsia="MS Mincho" w:cs="TimesNewRomanPSMT"/>
                <w:i/>
                <w:color w:val="000000"/>
                <w:sz w:val="20"/>
                <w:szCs w:val="20"/>
              </w:rPr>
              <w:t>e now described in section 12.1</w:t>
            </w:r>
            <w:r w:rsidRPr="00A325E5">
              <w:rPr>
                <w:rFonts w:eastAsia="MS Mincho" w:cs="TimesNewRomanPSMT"/>
                <w:i/>
                <w:color w:val="000000"/>
                <w:sz w:val="20"/>
                <w:szCs w:val="20"/>
              </w:rPr>
              <w:t>.</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sz w:val="20"/>
                <w:szCs w:val="20"/>
              </w:rPr>
            </w:pPr>
            <w:r w:rsidRPr="00A325E5">
              <w:rPr>
                <w:sz w:val="20"/>
                <w:szCs w:val="20"/>
              </w:rPr>
              <w:t>This is acceptable.</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5773F" w:rsidRPr="00A325E5" w:rsidRDefault="00E22D1F" w:rsidP="00A325E5">
            <w:pPr>
              <w:tabs>
                <w:tab w:val="left" w:pos="3172"/>
              </w:tabs>
              <w:ind w:left="0" w:right="0"/>
              <w:rPr>
                <w:rFonts w:eastAsia="MS Mincho" w:cs="TimesNewRomanPS-BoldItalicMT"/>
                <w:bCs/>
                <w:iCs/>
                <w:sz w:val="20"/>
                <w:szCs w:val="20"/>
              </w:rPr>
            </w:pPr>
            <w:r w:rsidRPr="00A325E5">
              <w:rPr>
                <w:rFonts w:eastAsia="MS Mincho" w:cs="TimesNewRomanPS-BoldItalicMT"/>
                <w:bCs/>
                <w:iCs/>
                <w:sz w:val="20"/>
                <w:szCs w:val="20"/>
              </w:rPr>
              <w:t>(a) The updated Australian-specific material should be submitted to the TGA for review, prior to supply of canakinumab.</w:t>
            </w:r>
            <w:r w:rsidR="0095773F" w:rsidRPr="00A325E5">
              <w:rPr>
                <w:rFonts w:eastAsia="MS Mincho" w:cs="TimesNewRomanPS-BoldItalicMT"/>
                <w:bCs/>
                <w:iCs/>
                <w:sz w:val="20"/>
                <w:szCs w:val="20"/>
              </w:rPr>
              <w:br/>
            </w:r>
            <w:r w:rsidRPr="00A325E5">
              <w:rPr>
                <w:rFonts w:eastAsia="MS Mincho" w:cs="TimesNewRomanPS-BoldItalicMT"/>
                <w:bCs/>
                <w:iCs/>
                <w:sz w:val="20"/>
                <w:szCs w:val="20"/>
              </w:rPr>
              <w:lastRenderedPageBreak/>
              <w:t>(b) The educational materials should be made available to physicians and patients at the time of supply (this is also a condition of market approval in the EU).</w:t>
            </w:r>
            <w:r w:rsidR="0095773F" w:rsidRPr="00A325E5">
              <w:rPr>
                <w:rFonts w:eastAsia="MS Mincho" w:cs="TimesNewRomanPS-BoldItalicMT"/>
                <w:bCs/>
                <w:iCs/>
                <w:sz w:val="20"/>
                <w:szCs w:val="20"/>
              </w:rPr>
              <w:br/>
            </w:r>
            <w:r w:rsidRPr="00A325E5">
              <w:rPr>
                <w:rFonts w:eastAsia="MS Mincho" w:cs="TimesNewRomanPS-BoldItalicMT"/>
                <w:bCs/>
                <w:iCs/>
                <w:sz w:val="20"/>
                <w:szCs w:val="20"/>
              </w:rPr>
              <w:t xml:space="preserve">(c) The patient alert card for </w:t>
            </w:r>
            <w:r w:rsidR="00332FF3" w:rsidRPr="00A325E5">
              <w:rPr>
                <w:rFonts w:eastAsia="MS Mincho" w:cs="TimesNewRomanPS-BoldItalicMT"/>
                <w:bCs/>
                <w:iCs/>
                <w:sz w:val="20"/>
                <w:szCs w:val="20"/>
              </w:rPr>
              <w:t>s</w:t>
            </w:r>
            <w:r w:rsidRPr="00A325E5">
              <w:rPr>
                <w:rFonts w:eastAsia="MS Mincho" w:cs="TimesNewRomanPS-BoldItalicMT"/>
                <w:bCs/>
                <w:iCs/>
                <w:sz w:val="20"/>
                <w:szCs w:val="20"/>
              </w:rPr>
              <w:t>JIA should include a paediatric alert card for carers of paediatric patients. The sponsor has agreed to a similar recommendation for the CAPS indication.</w:t>
            </w:r>
          </w:p>
          <w:p w:rsidR="00E22D1F" w:rsidRPr="00A325E5" w:rsidRDefault="00E22D1F" w:rsidP="00A325E5">
            <w:pPr>
              <w:tabs>
                <w:tab w:val="left" w:pos="3172"/>
              </w:tabs>
              <w:ind w:left="0" w:right="0"/>
              <w:rPr>
                <w:rFonts w:eastAsia="MS Mincho" w:cs="TimesNewRomanPS-BoldItalicMT"/>
                <w:bCs/>
                <w:iCs/>
                <w:sz w:val="20"/>
                <w:szCs w:val="20"/>
              </w:rPr>
            </w:pPr>
            <w:r w:rsidRPr="00A325E5">
              <w:rPr>
                <w:rFonts w:eastAsia="MS Mincho" w:cs="TimesNewRomanPS-BoldItalicMT"/>
                <w:bCs/>
                <w:iCs/>
                <w:sz w:val="20"/>
                <w:szCs w:val="20"/>
              </w:rPr>
              <w:t xml:space="preserve">(d) It is recommended that the sponsor provide feedback on the effectiveness and/or usefulness of the educational materials for </w:t>
            </w:r>
            <w:r w:rsidR="00332FF3" w:rsidRPr="00A325E5">
              <w:rPr>
                <w:rFonts w:eastAsia="MS Mincho" w:cs="TimesNewRomanPS-BoldItalicMT"/>
                <w:bCs/>
                <w:iCs/>
                <w:sz w:val="20"/>
                <w:szCs w:val="20"/>
              </w:rPr>
              <w:t>s</w:t>
            </w:r>
            <w:r w:rsidRPr="00A325E5">
              <w:rPr>
                <w:rFonts w:eastAsia="MS Mincho" w:cs="TimesNewRomanPS-BoldItalicMT"/>
                <w:bCs/>
                <w:iCs/>
                <w:sz w:val="20"/>
                <w:szCs w:val="20"/>
              </w:rPr>
              <w:t>JIA patients.</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rFonts w:eastAsia="MS Mincho"/>
                <w:i/>
                <w:sz w:val="20"/>
                <w:szCs w:val="20"/>
              </w:rPr>
            </w:pPr>
            <w:r w:rsidRPr="00A325E5">
              <w:rPr>
                <w:rFonts w:eastAsia="MS Mincho" w:cs="TimesNewRomanPSMT"/>
                <w:i/>
                <w:sz w:val="20"/>
                <w:szCs w:val="20"/>
              </w:rPr>
              <w:lastRenderedPageBreak/>
              <w:t xml:space="preserve">Novartis agrees that Australian-specific educational material for physicians, patients and carers of paediatric patients will be developed </w:t>
            </w:r>
            <w:r w:rsidRPr="00A325E5">
              <w:rPr>
                <w:rFonts w:eastAsia="MS Mincho" w:cs="TimesNewRomanPSMT"/>
                <w:i/>
                <w:sz w:val="20"/>
                <w:szCs w:val="20"/>
              </w:rPr>
              <w:lastRenderedPageBreak/>
              <w:t xml:space="preserve">and submitted for approval by the Office of </w:t>
            </w:r>
            <w:r w:rsidRPr="00A325E5">
              <w:rPr>
                <w:rFonts w:eastAsia="MS Mincho"/>
                <w:i/>
                <w:sz w:val="20"/>
                <w:szCs w:val="20"/>
              </w:rPr>
              <w:t xml:space="preserve">Product Review prior to supply of Ilaris in Australia. These educational materials will be made available to physicians, patients and their carers at the time of supply. Effectiveness and/or usefulness of the education materials for </w:t>
            </w:r>
            <w:r w:rsidR="00332FF3" w:rsidRPr="00A325E5">
              <w:rPr>
                <w:rFonts w:eastAsia="MS Mincho"/>
                <w:i/>
                <w:sz w:val="20"/>
                <w:szCs w:val="20"/>
              </w:rPr>
              <w:t>s</w:t>
            </w:r>
            <w:r w:rsidRPr="00A325E5">
              <w:rPr>
                <w:rFonts w:eastAsia="MS Mincho"/>
                <w:i/>
                <w:sz w:val="20"/>
                <w:szCs w:val="20"/>
              </w:rPr>
              <w:t>JIA will be evaluated through planned assessment of Periodic Safety Update Reports (PSURs), where changes in the pattern of the RMP risks and all safety topics are closely monitored.</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sz w:val="20"/>
                <w:szCs w:val="20"/>
              </w:rPr>
            </w:pPr>
            <w:r w:rsidRPr="00A325E5">
              <w:rPr>
                <w:sz w:val="20"/>
                <w:szCs w:val="20"/>
              </w:rPr>
              <w:lastRenderedPageBreak/>
              <w:t xml:space="preserve">The </w:t>
            </w:r>
            <w:r w:rsidR="00332FF3" w:rsidRPr="00A325E5">
              <w:rPr>
                <w:sz w:val="20"/>
                <w:szCs w:val="20"/>
              </w:rPr>
              <w:t>s</w:t>
            </w:r>
            <w:r w:rsidRPr="00A325E5">
              <w:rPr>
                <w:sz w:val="20"/>
                <w:szCs w:val="20"/>
              </w:rPr>
              <w:t xml:space="preserve">ponsor should advise the TGA of the planned dates for supply and submit </w:t>
            </w:r>
            <w:r w:rsidRPr="00A325E5">
              <w:rPr>
                <w:sz w:val="20"/>
                <w:szCs w:val="20"/>
              </w:rPr>
              <w:lastRenderedPageBreak/>
              <w:t>these materials as soon as possible to the TGA for review</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tabs>
                <w:tab w:val="left" w:pos="3172"/>
              </w:tabs>
              <w:ind w:left="0" w:right="0"/>
              <w:rPr>
                <w:bCs/>
                <w:iCs/>
                <w:sz w:val="20"/>
                <w:szCs w:val="20"/>
              </w:rPr>
            </w:pPr>
            <w:r w:rsidRPr="00A325E5">
              <w:rPr>
                <w:rFonts w:eastAsia="MS Mincho"/>
                <w:bCs/>
                <w:iCs/>
                <w:sz w:val="20"/>
                <w:szCs w:val="20"/>
              </w:rPr>
              <w:lastRenderedPageBreak/>
              <w:t>In regard to the proposed routine risk minimisation activities, the Delegate may wish to</w:t>
            </w:r>
            <w:r w:rsidR="00332FF3" w:rsidRPr="00A325E5">
              <w:rPr>
                <w:rFonts w:eastAsia="MS Mincho"/>
                <w:bCs/>
                <w:iCs/>
                <w:sz w:val="20"/>
                <w:szCs w:val="20"/>
              </w:rPr>
              <w:t xml:space="preserve"> </w:t>
            </w:r>
            <w:r w:rsidRPr="00A325E5">
              <w:rPr>
                <w:rFonts w:eastAsia="MS Mincho"/>
                <w:bCs/>
                <w:iCs/>
                <w:sz w:val="20"/>
                <w:szCs w:val="20"/>
              </w:rPr>
              <w:t>revise the draft Product Information document as follows:</w:t>
            </w:r>
            <w:r w:rsidR="0095773F" w:rsidRPr="00A325E5">
              <w:rPr>
                <w:rFonts w:eastAsia="MS Mincho"/>
                <w:bCs/>
                <w:iCs/>
                <w:sz w:val="20"/>
                <w:szCs w:val="20"/>
              </w:rPr>
              <w:br/>
            </w:r>
            <w:r w:rsidRPr="00A325E5">
              <w:rPr>
                <w:rFonts w:eastAsia="MS Mincho"/>
                <w:bCs/>
                <w:iCs/>
                <w:sz w:val="20"/>
                <w:szCs w:val="20"/>
              </w:rPr>
              <w:t xml:space="preserve">(a) Under </w:t>
            </w:r>
            <w:r w:rsidR="00186C14" w:rsidRPr="00A325E5">
              <w:rPr>
                <w:rFonts w:eastAsia="MS Mincho"/>
                <w:bCs/>
                <w:iCs/>
                <w:sz w:val="20"/>
                <w:szCs w:val="20"/>
              </w:rPr>
              <w:t>‘</w:t>
            </w:r>
            <w:r w:rsidRPr="00A325E5">
              <w:rPr>
                <w:rFonts w:eastAsia="MS Mincho"/>
                <w:bCs/>
                <w:iCs/>
                <w:sz w:val="20"/>
                <w:szCs w:val="20"/>
              </w:rPr>
              <w:t>Precautions</w:t>
            </w:r>
            <w:r w:rsidR="00186C14" w:rsidRPr="00A325E5">
              <w:rPr>
                <w:rFonts w:eastAsia="MS Mincho"/>
                <w:bCs/>
                <w:iCs/>
                <w:sz w:val="20"/>
                <w:szCs w:val="20"/>
              </w:rPr>
              <w:t>’</w:t>
            </w:r>
            <w:r w:rsidRPr="00A325E5">
              <w:rPr>
                <w:rFonts w:eastAsia="MS Mincho"/>
                <w:bCs/>
                <w:iCs/>
                <w:sz w:val="20"/>
                <w:szCs w:val="20"/>
              </w:rPr>
              <w:t xml:space="preserve"> an additional warning regarding the risks of leukopenia should be added. This is also in line with the conditions of approval in the EU.</w:t>
            </w:r>
            <w:r w:rsidR="0095773F" w:rsidRPr="00A325E5">
              <w:rPr>
                <w:rFonts w:eastAsia="MS Mincho"/>
                <w:bCs/>
                <w:iCs/>
                <w:sz w:val="20"/>
                <w:szCs w:val="20"/>
              </w:rPr>
              <w:br/>
            </w:r>
            <w:r w:rsidRPr="00A325E5">
              <w:rPr>
                <w:rFonts w:eastAsia="MS Mincho"/>
                <w:bCs/>
                <w:iCs/>
                <w:sz w:val="20"/>
                <w:szCs w:val="20"/>
              </w:rPr>
              <w:t xml:space="preserve">(b) Under </w:t>
            </w:r>
            <w:r w:rsidR="00186C14" w:rsidRPr="00A325E5">
              <w:rPr>
                <w:rFonts w:eastAsia="MS Mincho"/>
                <w:bCs/>
                <w:iCs/>
                <w:sz w:val="20"/>
                <w:szCs w:val="20"/>
              </w:rPr>
              <w:t>‘</w:t>
            </w:r>
            <w:r w:rsidRPr="00A325E5">
              <w:rPr>
                <w:rFonts w:eastAsia="MS Mincho"/>
                <w:bCs/>
                <w:iCs/>
                <w:sz w:val="20"/>
                <w:szCs w:val="20"/>
              </w:rPr>
              <w:t>Paediatric patients</w:t>
            </w:r>
            <w:r w:rsidR="00186C14" w:rsidRPr="00A325E5">
              <w:rPr>
                <w:rFonts w:eastAsia="MS Mincho"/>
                <w:bCs/>
                <w:iCs/>
                <w:sz w:val="20"/>
                <w:szCs w:val="20"/>
              </w:rPr>
              <w:t>’</w:t>
            </w:r>
            <w:r w:rsidRPr="00A325E5">
              <w:rPr>
                <w:rFonts w:eastAsia="MS Mincho"/>
                <w:bCs/>
                <w:iCs/>
                <w:sz w:val="20"/>
                <w:szCs w:val="20"/>
              </w:rPr>
              <w:t xml:space="preserve"> an additional statement should be added clarifying that Ilaris is not indicated in children below 2 years or &lt;7.5kg.</w:t>
            </w:r>
            <w:r w:rsidR="0095773F" w:rsidRPr="00A325E5">
              <w:rPr>
                <w:rFonts w:eastAsia="MS Mincho"/>
                <w:bCs/>
                <w:iCs/>
                <w:sz w:val="20"/>
                <w:szCs w:val="20"/>
              </w:rPr>
              <w:br/>
            </w:r>
            <w:r w:rsidRPr="00A325E5">
              <w:rPr>
                <w:rFonts w:eastAsia="MS Mincho"/>
                <w:bCs/>
                <w:iCs/>
                <w:sz w:val="20"/>
                <w:szCs w:val="20"/>
              </w:rPr>
              <w:t xml:space="preserve">(c) Under </w:t>
            </w:r>
            <w:r w:rsidR="00186C14" w:rsidRPr="00A325E5">
              <w:rPr>
                <w:rFonts w:eastAsia="MS Mincho"/>
                <w:bCs/>
                <w:iCs/>
                <w:sz w:val="20"/>
                <w:szCs w:val="20"/>
              </w:rPr>
              <w:t>‘</w:t>
            </w:r>
            <w:r w:rsidRPr="00A325E5">
              <w:rPr>
                <w:rFonts w:eastAsia="MS Mincho"/>
                <w:bCs/>
                <w:iCs/>
                <w:sz w:val="20"/>
                <w:szCs w:val="20"/>
              </w:rPr>
              <w:t>Paediatric population</w:t>
            </w:r>
            <w:r w:rsidR="00186C14" w:rsidRPr="00A325E5">
              <w:rPr>
                <w:rFonts w:eastAsia="MS Mincho"/>
                <w:bCs/>
                <w:iCs/>
                <w:sz w:val="20"/>
                <w:szCs w:val="20"/>
              </w:rPr>
              <w:t>’</w:t>
            </w:r>
            <w:r w:rsidRPr="00A325E5">
              <w:rPr>
                <w:rFonts w:eastAsia="MS Mincho"/>
                <w:bCs/>
                <w:iCs/>
                <w:sz w:val="20"/>
                <w:szCs w:val="20"/>
              </w:rPr>
              <w:t xml:space="preserve"> the </w:t>
            </w:r>
            <w:r w:rsidR="00332FF3" w:rsidRPr="00A325E5">
              <w:rPr>
                <w:rFonts w:eastAsia="MS Mincho"/>
                <w:bCs/>
                <w:iCs/>
                <w:sz w:val="20"/>
                <w:szCs w:val="20"/>
              </w:rPr>
              <w:t>D</w:t>
            </w:r>
            <w:r w:rsidRPr="00A325E5">
              <w:rPr>
                <w:rFonts w:eastAsia="MS Mincho"/>
                <w:bCs/>
                <w:iCs/>
                <w:sz w:val="20"/>
                <w:szCs w:val="20"/>
              </w:rPr>
              <w:t>elegate may wish to consider the wording regarding potential for increased risk of infection in paediatric patients, especially those</w:t>
            </w:r>
            <w:r w:rsidR="00332FF3" w:rsidRPr="00A325E5">
              <w:rPr>
                <w:rFonts w:eastAsia="MS Mincho"/>
                <w:bCs/>
                <w:iCs/>
                <w:sz w:val="20"/>
                <w:szCs w:val="20"/>
              </w:rPr>
              <w:t xml:space="preserve"> </w:t>
            </w:r>
            <w:r w:rsidRPr="00A325E5">
              <w:rPr>
                <w:rFonts w:eastAsia="MS Mincho"/>
                <w:bCs/>
                <w:iCs/>
                <w:sz w:val="20"/>
                <w:szCs w:val="20"/>
              </w:rPr>
              <w:t>aged under 11 years:</w:t>
            </w:r>
            <w:r w:rsidR="0095773F" w:rsidRPr="00A325E5">
              <w:rPr>
                <w:rFonts w:eastAsia="MS Mincho"/>
                <w:bCs/>
                <w:iCs/>
                <w:sz w:val="20"/>
                <w:szCs w:val="20"/>
              </w:rPr>
              <w:t xml:space="preserve"> </w:t>
            </w:r>
            <w:r w:rsidRPr="00A325E5">
              <w:rPr>
                <w:bCs/>
                <w:iCs/>
                <w:sz w:val="20"/>
                <w:szCs w:val="20"/>
              </w:rPr>
              <w:t xml:space="preserve">In light of the CAPS study results which showed a significant difference in the rates of infection in the younger paediatric population compared to older paediatric patients. Table 7-1 </w:t>
            </w:r>
            <w:r w:rsidR="00332FF3" w:rsidRPr="00A325E5">
              <w:rPr>
                <w:bCs/>
                <w:iCs/>
                <w:sz w:val="20"/>
                <w:szCs w:val="20"/>
              </w:rPr>
              <w:t xml:space="preserve">in </w:t>
            </w:r>
            <w:r w:rsidRPr="00A325E5">
              <w:rPr>
                <w:bCs/>
                <w:iCs/>
                <w:sz w:val="20"/>
                <w:szCs w:val="20"/>
              </w:rPr>
              <w:t>the core RMP version 7.1 shows that 100% of the paediatric CAPS patients aged from 2</w:t>
            </w:r>
            <w:r w:rsidR="00332FF3" w:rsidRPr="00A325E5">
              <w:rPr>
                <w:bCs/>
                <w:iCs/>
                <w:sz w:val="20"/>
                <w:szCs w:val="20"/>
              </w:rPr>
              <w:t xml:space="preserve"> to </w:t>
            </w:r>
            <w:r w:rsidRPr="00A325E5">
              <w:rPr>
                <w:bCs/>
                <w:iCs/>
                <w:sz w:val="20"/>
                <w:szCs w:val="20"/>
              </w:rPr>
              <w:t>3 years developed infections. Of the group aged 4</w:t>
            </w:r>
            <w:r w:rsidR="00332FF3" w:rsidRPr="00A325E5">
              <w:rPr>
                <w:bCs/>
                <w:iCs/>
                <w:sz w:val="20"/>
                <w:szCs w:val="20"/>
              </w:rPr>
              <w:t xml:space="preserve"> to </w:t>
            </w:r>
            <w:r w:rsidRPr="00A325E5">
              <w:rPr>
                <w:bCs/>
                <w:iCs/>
                <w:sz w:val="20"/>
                <w:szCs w:val="20"/>
              </w:rPr>
              <w:t>11 years, 82.1% developed infections. This was reduced to 73.5% in the older paediatric age group from 12</w:t>
            </w:r>
            <w:r w:rsidR="00332FF3" w:rsidRPr="00A325E5">
              <w:rPr>
                <w:bCs/>
                <w:iCs/>
                <w:sz w:val="20"/>
                <w:szCs w:val="20"/>
              </w:rPr>
              <w:t xml:space="preserve"> to </w:t>
            </w:r>
            <w:r w:rsidRPr="00A325E5">
              <w:rPr>
                <w:bCs/>
                <w:iCs/>
                <w:sz w:val="20"/>
                <w:szCs w:val="20"/>
              </w:rPr>
              <w:t>17 years, a similar result to the adult population of 75.3%.</w:t>
            </w:r>
            <w:r w:rsidR="0095773F" w:rsidRPr="00A325E5">
              <w:rPr>
                <w:bCs/>
                <w:iCs/>
                <w:sz w:val="20"/>
                <w:szCs w:val="20"/>
              </w:rPr>
              <w:br/>
            </w:r>
            <w:r w:rsidRPr="00A325E5">
              <w:rPr>
                <w:bCs/>
                <w:iCs/>
                <w:sz w:val="20"/>
                <w:szCs w:val="20"/>
              </w:rPr>
              <w:t xml:space="preserve">This revised statement should also </w:t>
            </w:r>
            <w:r w:rsidRPr="00A325E5">
              <w:rPr>
                <w:bCs/>
                <w:iCs/>
                <w:sz w:val="20"/>
                <w:szCs w:val="20"/>
              </w:rPr>
              <w:lastRenderedPageBreak/>
              <w:t>include information regarding the importance of close medical supervision and follow-up of any infections, particularly in patients aged under 4 years.</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rFonts w:eastAsia="MS Mincho"/>
                <w:i/>
                <w:sz w:val="20"/>
                <w:szCs w:val="20"/>
              </w:rPr>
            </w:pPr>
            <w:r w:rsidRPr="00A325E5">
              <w:rPr>
                <w:rFonts w:eastAsia="MS Mincho"/>
                <w:i/>
                <w:color w:val="000000"/>
                <w:sz w:val="20"/>
                <w:szCs w:val="20"/>
              </w:rPr>
              <w:lastRenderedPageBreak/>
              <w:t xml:space="preserve">a) Novartis does not agree to add a warning statement on leukopenia in order to align with the conditions of approval in the EU. Novartis is of the opinion that the proposed statement on observed </w:t>
            </w:r>
            <w:r w:rsidR="00186C14" w:rsidRPr="00A325E5">
              <w:rPr>
                <w:rFonts w:eastAsia="MS Mincho"/>
                <w:i/>
                <w:color w:val="000000"/>
                <w:sz w:val="20"/>
                <w:szCs w:val="20"/>
              </w:rPr>
              <w:t>‘</w:t>
            </w:r>
            <w:r w:rsidRPr="00A325E5">
              <w:rPr>
                <w:rFonts w:eastAsia="MS Mincho"/>
                <w:i/>
                <w:color w:val="000000"/>
                <w:sz w:val="20"/>
                <w:szCs w:val="20"/>
              </w:rPr>
              <w:t>decreased white blood cells</w:t>
            </w:r>
            <w:r w:rsidR="00186C14" w:rsidRPr="00A325E5">
              <w:rPr>
                <w:rFonts w:eastAsia="MS Mincho"/>
                <w:i/>
                <w:color w:val="000000"/>
                <w:sz w:val="20"/>
                <w:szCs w:val="20"/>
              </w:rPr>
              <w:t>’</w:t>
            </w:r>
            <w:r w:rsidRPr="00A325E5">
              <w:rPr>
                <w:rFonts w:eastAsia="MS Mincho"/>
                <w:i/>
                <w:color w:val="000000"/>
                <w:sz w:val="20"/>
                <w:szCs w:val="20"/>
              </w:rPr>
              <w:t xml:space="preserve"> available in the Precaution Laboratory Parameters – Haematology section of the Australian PI, as well as the Adverse Effects section with information from </w:t>
            </w:r>
            <w:r w:rsidR="00332FF3" w:rsidRPr="00A325E5">
              <w:rPr>
                <w:rFonts w:eastAsia="MS Mincho"/>
                <w:i/>
                <w:color w:val="000000"/>
                <w:sz w:val="20"/>
                <w:szCs w:val="20"/>
              </w:rPr>
              <w:t>s</w:t>
            </w:r>
            <w:r w:rsidRPr="00A325E5">
              <w:rPr>
                <w:rFonts w:eastAsia="MS Mincho"/>
                <w:i/>
                <w:color w:val="000000"/>
                <w:sz w:val="20"/>
                <w:szCs w:val="20"/>
              </w:rPr>
              <w:t>JIA clinical trials on decreased white blood cell</w:t>
            </w:r>
            <w:r w:rsidR="00332FF3" w:rsidRPr="00A325E5">
              <w:rPr>
                <w:rFonts w:eastAsia="MS Mincho"/>
                <w:i/>
                <w:color w:val="000000"/>
                <w:sz w:val="20"/>
                <w:szCs w:val="20"/>
              </w:rPr>
              <w:t xml:space="preserve"> </w:t>
            </w:r>
            <w:r w:rsidRPr="00A325E5">
              <w:rPr>
                <w:rFonts w:eastAsia="MS Mincho"/>
                <w:i/>
                <w:color w:val="000000"/>
                <w:sz w:val="20"/>
                <w:szCs w:val="20"/>
              </w:rPr>
              <w:t>counts, appropriately inform the treating physicians and patients on the risk of a decrease in white blood cell counts.</w:t>
            </w:r>
            <w:r w:rsidR="0095773F" w:rsidRPr="00A325E5">
              <w:rPr>
                <w:rFonts w:eastAsia="MS Mincho"/>
                <w:i/>
                <w:color w:val="000000"/>
                <w:sz w:val="20"/>
                <w:szCs w:val="20"/>
              </w:rPr>
              <w:br/>
            </w:r>
            <w:r w:rsidRPr="00A325E5">
              <w:rPr>
                <w:rFonts w:eastAsia="MS Mincho"/>
                <w:i/>
                <w:color w:val="000000"/>
                <w:sz w:val="20"/>
                <w:szCs w:val="20"/>
              </w:rPr>
              <w:t xml:space="preserve">b) Novartis accepts that the statement </w:t>
            </w:r>
            <w:r w:rsidR="00186C14" w:rsidRPr="00A325E5">
              <w:rPr>
                <w:rFonts w:eastAsia="MS Mincho"/>
                <w:i/>
                <w:color w:val="000000"/>
                <w:sz w:val="20"/>
                <w:szCs w:val="20"/>
              </w:rPr>
              <w:t>‘</w:t>
            </w:r>
            <w:r w:rsidRPr="00A325E5">
              <w:rPr>
                <w:rFonts w:eastAsia="MS Mincho"/>
                <w:i/>
                <w:iCs/>
                <w:color w:val="000000"/>
                <w:sz w:val="20"/>
                <w:szCs w:val="20"/>
              </w:rPr>
              <w:t>The safety and efficacy of Ilaris in CAPS and sJIA patients under 2 years of age have not been established</w:t>
            </w:r>
            <w:r w:rsidR="00186C14" w:rsidRPr="00A325E5">
              <w:rPr>
                <w:rFonts w:eastAsia="MS Mincho"/>
                <w:i/>
                <w:color w:val="000000"/>
                <w:sz w:val="20"/>
                <w:szCs w:val="20"/>
              </w:rPr>
              <w:t>’</w:t>
            </w:r>
            <w:r w:rsidRPr="00A325E5">
              <w:rPr>
                <w:rFonts w:eastAsia="MS Mincho"/>
                <w:i/>
                <w:color w:val="000000"/>
                <w:sz w:val="20"/>
                <w:szCs w:val="20"/>
              </w:rPr>
              <w:t xml:space="preserve"> that was originally proposed with</w:t>
            </w:r>
            <w:r w:rsidRPr="00A325E5">
              <w:rPr>
                <w:rFonts w:eastAsia="MS Mincho"/>
                <w:i/>
                <w:iCs/>
                <w:color w:val="000000"/>
                <w:sz w:val="20"/>
                <w:szCs w:val="20"/>
              </w:rPr>
              <w:t xml:space="preserve"> </w:t>
            </w:r>
            <w:r w:rsidRPr="00A325E5">
              <w:rPr>
                <w:rFonts w:eastAsia="MS Mincho"/>
                <w:i/>
                <w:color w:val="000000"/>
                <w:sz w:val="20"/>
                <w:szCs w:val="20"/>
              </w:rPr>
              <w:t>this application to replace the currently approved paediatric dosage statement is no longer</w:t>
            </w:r>
            <w:r w:rsidRPr="00A325E5">
              <w:rPr>
                <w:rFonts w:eastAsia="MS Mincho"/>
                <w:i/>
                <w:iCs/>
                <w:color w:val="000000"/>
                <w:sz w:val="20"/>
                <w:szCs w:val="20"/>
              </w:rPr>
              <w:t xml:space="preserve"> </w:t>
            </w:r>
            <w:r w:rsidRPr="00A325E5">
              <w:rPr>
                <w:rFonts w:eastAsia="MS Mincho"/>
                <w:i/>
                <w:color w:val="000000"/>
                <w:sz w:val="20"/>
                <w:szCs w:val="20"/>
              </w:rPr>
              <w:t>appropriate, following our response to RMP recommendation 12(d) for the</w:t>
            </w:r>
            <w:r w:rsidRPr="00A325E5">
              <w:rPr>
                <w:rFonts w:eastAsia="MS Mincho"/>
                <w:i/>
                <w:iCs/>
                <w:color w:val="000000"/>
                <w:sz w:val="20"/>
                <w:szCs w:val="20"/>
              </w:rPr>
              <w:t xml:space="preserve"> </w:t>
            </w:r>
            <w:r w:rsidRPr="00A325E5">
              <w:rPr>
                <w:rFonts w:eastAsia="MS Mincho"/>
                <w:i/>
                <w:color w:val="000000"/>
                <w:sz w:val="20"/>
                <w:szCs w:val="20"/>
              </w:rPr>
              <w:t>CAPS patient group and dosage regimen application.</w:t>
            </w:r>
            <w:r w:rsidR="0095773F" w:rsidRPr="00A325E5">
              <w:rPr>
                <w:rFonts w:eastAsia="MS Mincho"/>
                <w:i/>
                <w:color w:val="000000"/>
                <w:sz w:val="20"/>
                <w:szCs w:val="20"/>
              </w:rPr>
              <w:t xml:space="preserve"> </w:t>
            </w:r>
            <w:r w:rsidRPr="00A325E5">
              <w:rPr>
                <w:rFonts w:eastAsia="MS Mincho"/>
                <w:i/>
                <w:color w:val="000000"/>
                <w:sz w:val="20"/>
                <w:szCs w:val="20"/>
              </w:rPr>
              <w:t xml:space="preserve">Thus, the </w:t>
            </w:r>
            <w:r w:rsidRPr="00A325E5">
              <w:rPr>
                <w:rFonts w:eastAsia="MS Mincho"/>
                <w:i/>
                <w:color w:val="0000FF"/>
                <w:sz w:val="20"/>
                <w:szCs w:val="20"/>
              </w:rPr>
              <w:t xml:space="preserve">[draft PI] </w:t>
            </w:r>
            <w:r w:rsidRPr="00A325E5">
              <w:rPr>
                <w:rFonts w:eastAsia="MS Mincho"/>
                <w:i/>
                <w:color w:val="000000"/>
                <w:sz w:val="20"/>
                <w:szCs w:val="20"/>
              </w:rPr>
              <w:t xml:space="preserve">has been amended so that the Dosage and Administration statement for paediatric patients is </w:t>
            </w:r>
            <w:r w:rsidR="00186C14" w:rsidRPr="00A325E5">
              <w:rPr>
                <w:rFonts w:eastAsia="MS Mincho"/>
                <w:i/>
                <w:color w:val="000000"/>
                <w:sz w:val="20"/>
                <w:szCs w:val="20"/>
              </w:rPr>
              <w:t>‘</w:t>
            </w:r>
            <w:r w:rsidRPr="00A325E5">
              <w:rPr>
                <w:rFonts w:eastAsia="MS Mincho"/>
                <w:i/>
                <w:iCs/>
                <w:color w:val="000000"/>
                <w:sz w:val="20"/>
                <w:szCs w:val="20"/>
              </w:rPr>
              <w:t>Ilaris is not indicated for use in</w:t>
            </w:r>
            <w:r w:rsidRPr="00A325E5">
              <w:rPr>
                <w:rFonts w:eastAsia="MS Mincho"/>
                <w:i/>
                <w:color w:val="000000"/>
                <w:sz w:val="20"/>
                <w:szCs w:val="20"/>
              </w:rPr>
              <w:t xml:space="preserve"> </w:t>
            </w:r>
            <w:r w:rsidRPr="00A325E5">
              <w:rPr>
                <w:rFonts w:eastAsia="MS Mincho"/>
                <w:i/>
                <w:iCs/>
                <w:color w:val="000000"/>
                <w:sz w:val="20"/>
                <w:szCs w:val="20"/>
              </w:rPr>
              <w:t>children below 2 years or with body weight below 7.5 kg due to a lack of clinical data</w:t>
            </w:r>
            <w:r w:rsidRPr="00A325E5">
              <w:rPr>
                <w:rFonts w:eastAsia="MS Mincho"/>
                <w:i/>
                <w:color w:val="000000"/>
                <w:sz w:val="20"/>
                <w:szCs w:val="20"/>
              </w:rPr>
              <w:t>.</w:t>
            </w:r>
            <w:r w:rsidR="00186C14" w:rsidRPr="00A325E5">
              <w:rPr>
                <w:rFonts w:eastAsia="MS Mincho"/>
                <w:i/>
                <w:color w:val="000000"/>
                <w:sz w:val="20"/>
                <w:szCs w:val="20"/>
              </w:rPr>
              <w:t>’</w:t>
            </w:r>
            <w:r w:rsidR="0095773F" w:rsidRPr="00A325E5">
              <w:rPr>
                <w:rFonts w:eastAsia="MS Mincho"/>
                <w:i/>
                <w:color w:val="000000"/>
                <w:sz w:val="20"/>
                <w:szCs w:val="20"/>
              </w:rPr>
              <w:br/>
            </w:r>
            <w:r w:rsidRPr="00A325E5">
              <w:rPr>
                <w:rFonts w:eastAsia="MS Mincho"/>
                <w:i/>
                <w:sz w:val="20"/>
                <w:szCs w:val="20"/>
              </w:rPr>
              <w:t xml:space="preserve">c) Novartis acknowledges the evaluator’s comments on infection </w:t>
            </w:r>
            <w:r w:rsidRPr="00A325E5">
              <w:rPr>
                <w:rFonts w:eastAsia="MS Mincho"/>
                <w:i/>
                <w:sz w:val="20"/>
                <w:szCs w:val="20"/>
              </w:rPr>
              <w:lastRenderedPageBreak/>
              <w:t>risk in CAPS patients, where the relevant statements in the PI are still being negotiated with the TGA.</w:t>
            </w:r>
            <w:r w:rsidR="0095773F" w:rsidRPr="00A325E5">
              <w:rPr>
                <w:rFonts w:eastAsia="MS Mincho"/>
                <w:i/>
                <w:sz w:val="20"/>
                <w:szCs w:val="20"/>
              </w:rPr>
              <w:t xml:space="preserve"> </w:t>
            </w:r>
            <w:r w:rsidRPr="00A325E5">
              <w:rPr>
                <w:rFonts w:eastAsia="MS Mincho"/>
                <w:i/>
                <w:sz w:val="20"/>
                <w:szCs w:val="20"/>
              </w:rPr>
              <w:t xml:space="preserve">However, Novartis does not agree to include a statement on the potential for increased risk of infection in paediatric patients with </w:t>
            </w:r>
            <w:r w:rsidR="00332FF3" w:rsidRPr="00A325E5">
              <w:rPr>
                <w:rFonts w:eastAsia="MS Mincho"/>
                <w:i/>
                <w:sz w:val="20"/>
                <w:szCs w:val="20"/>
              </w:rPr>
              <w:t>s</w:t>
            </w:r>
            <w:r w:rsidRPr="00A325E5">
              <w:rPr>
                <w:rFonts w:eastAsia="MS Mincho"/>
                <w:i/>
                <w:sz w:val="20"/>
                <w:szCs w:val="20"/>
              </w:rPr>
              <w:t xml:space="preserve">JIA below 11 years of age. </w:t>
            </w:r>
            <w:r w:rsidR="00332FF3" w:rsidRPr="00A325E5">
              <w:rPr>
                <w:rFonts w:eastAsia="MS Mincho"/>
                <w:i/>
                <w:sz w:val="20"/>
                <w:szCs w:val="20"/>
              </w:rPr>
              <w:t>The sponsor</w:t>
            </w:r>
            <w:r w:rsidRPr="00A325E5">
              <w:rPr>
                <w:rFonts w:eastAsia="MS Mincho"/>
                <w:i/>
                <w:sz w:val="20"/>
                <w:szCs w:val="20"/>
              </w:rPr>
              <w:t xml:space="preserve"> also do</w:t>
            </w:r>
            <w:r w:rsidR="00332FF3" w:rsidRPr="00A325E5">
              <w:rPr>
                <w:rFonts w:eastAsia="MS Mincho"/>
                <w:i/>
                <w:sz w:val="20"/>
                <w:szCs w:val="20"/>
              </w:rPr>
              <w:t>es</w:t>
            </w:r>
            <w:r w:rsidRPr="00A325E5">
              <w:rPr>
                <w:rFonts w:eastAsia="MS Mincho"/>
                <w:i/>
                <w:sz w:val="20"/>
                <w:szCs w:val="20"/>
              </w:rPr>
              <w:t xml:space="preserve"> not agree to include a statement to recommend close medical supervision and follow-up of any infections for </w:t>
            </w:r>
            <w:r w:rsidR="00332FF3" w:rsidRPr="00A325E5">
              <w:rPr>
                <w:rFonts w:eastAsia="MS Mincho"/>
                <w:i/>
                <w:sz w:val="20"/>
                <w:szCs w:val="20"/>
              </w:rPr>
              <w:t>s</w:t>
            </w:r>
            <w:r w:rsidRPr="00A325E5">
              <w:rPr>
                <w:rFonts w:eastAsia="MS Mincho"/>
                <w:i/>
                <w:sz w:val="20"/>
                <w:szCs w:val="20"/>
              </w:rPr>
              <w:t xml:space="preserve">JIA, particularly in patients aged under 4 years in the </w:t>
            </w:r>
            <w:r w:rsidR="00186C14" w:rsidRPr="00A325E5">
              <w:rPr>
                <w:rFonts w:eastAsia="MS Mincho"/>
                <w:i/>
                <w:sz w:val="20"/>
                <w:szCs w:val="20"/>
              </w:rPr>
              <w:t>‘</w:t>
            </w:r>
            <w:r w:rsidRPr="00A325E5">
              <w:rPr>
                <w:rFonts w:eastAsia="MS Mincho"/>
                <w:i/>
                <w:sz w:val="20"/>
                <w:szCs w:val="20"/>
              </w:rPr>
              <w:t>Paediatric population</w:t>
            </w:r>
            <w:r w:rsidR="00186C14" w:rsidRPr="00A325E5">
              <w:rPr>
                <w:rFonts w:eastAsia="MS Mincho"/>
                <w:i/>
                <w:sz w:val="20"/>
                <w:szCs w:val="20"/>
              </w:rPr>
              <w:t>’</w:t>
            </w:r>
            <w:r w:rsidRPr="00A325E5">
              <w:rPr>
                <w:rFonts w:eastAsia="MS Mincho"/>
                <w:i/>
                <w:sz w:val="20"/>
                <w:szCs w:val="20"/>
              </w:rPr>
              <w:t xml:space="preserve"> section of the PI’s Dosage and Administration. The observed incidence rates of infection were comparable across age groups in the pooled </w:t>
            </w:r>
            <w:r w:rsidR="00332FF3" w:rsidRPr="00A325E5">
              <w:rPr>
                <w:rFonts w:eastAsia="MS Mincho"/>
                <w:i/>
                <w:sz w:val="20"/>
                <w:szCs w:val="20"/>
              </w:rPr>
              <w:t>s</w:t>
            </w:r>
            <w:r w:rsidRPr="00A325E5">
              <w:rPr>
                <w:rFonts w:eastAsia="MS Mincho"/>
                <w:i/>
                <w:sz w:val="20"/>
                <w:szCs w:val="20"/>
              </w:rPr>
              <w:t>JIA patient population without indicating an increased risk of infection fo</w:t>
            </w:r>
            <w:r w:rsidR="00332FF3" w:rsidRPr="00A325E5">
              <w:rPr>
                <w:rFonts w:eastAsia="MS Mincho"/>
                <w:i/>
                <w:sz w:val="20"/>
                <w:szCs w:val="20"/>
              </w:rPr>
              <w:t>r any of the subgroups</w:t>
            </w:r>
            <w:r w:rsidRPr="00A325E5">
              <w:rPr>
                <w:rFonts w:eastAsia="MS Mincho"/>
                <w:i/>
                <w:sz w:val="20"/>
                <w:szCs w:val="20"/>
              </w:rPr>
              <w:t>.</w:t>
            </w:r>
            <w:r w:rsidR="0095773F" w:rsidRPr="00A325E5">
              <w:rPr>
                <w:rFonts w:eastAsia="MS Mincho"/>
                <w:i/>
                <w:sz w:val="20"/>
                <w:szCs w:val="20"/>
              </w:rPr>
              <w:br/>
            </w:r>
            <w:r w:rsidRPr="00A325E5">
              <w:rPr>
                <w:rFonts w:eastAsia="MS Mincho"/>
                <w:i/>
                <w:sz w:val="20"/>
                <w:szCs w:val="20"/>
              </w:rPr>
              <w:t xml:space="preserve">Please note that in accordance with previous instructions by the TGA for the </w:t>
            </w:r>
            <w:r w:rsidR="00332FF3" w:rsidRPr="00A325E5">
              <w:rPr>
                <w:rFonts w:eastAsia="MS Mincho"/>
                <w:i/>
                <w:sz w:val="20"/>
                <w:szCs w:val="20"/>
              </w:rPr>
              <w:t>s</w:t>
            </w:r>
            <w:r w:rsidRPr="00A325E5">
              <w:rPr>
                <w:rFonts w:eastAsia="MS Mincho"/>
                <w:i/>
                <w:sz w:val="20"/>
                <w:szCs w:val="20"/>
              </w:rPr>
              <w:t>JIA application, the attached draft PI does not include the proposed changes for the CAPS application that are still under evaluation by the TGA except when relevant to this response.</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sz w:val="20"/>
                <w:szCs w:val="20"/>
              </w:rPr>
            </w:pPr>
            <w:r w:rsidRPr="00A325E5">
              <w:rPr>
                <w:sz w:val="20"/>
                <w:szCs w:val="20"/>
              </w:rPr>
              <w:lastRenderedPageBreak/>
              <w:t>Deferred to Delegate</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A325E5" w:rsidRDefault="00E22D1F" w:rsidP="00A325E5">
            <w:pPr>
              <w:tabs>
                <w:tab w:val="left" w:pos="3172"/>
              </w:tabs>
              <w:ind w:left="0" w:right="0"/>
              <w:rPr>
                <w:rFonts w:eastAsia="MS Mincho"/>
                <w:bCs/>
                <w:iCs/>
                <w:sz w:val="20"/>
                <w:szCs w:val="20"/>
              </w:rPr>
            </w:pPr>
            <w:r w:rsidRPr="00A325E5">
              <w:rPr>
                <w:rFonts w:eastAsia="MS Mincho"/>
                <w:bCs/>
                <w:iCs/>
                <w:sz w:val="20"/>
                <w:szCs w:val="20"/>
              </w:rPr>
              <w:lastRenderedPageBreak/>
              <w:t>In regard to the proposed routine risk minimisation activities, the Delegate may wish to revise the draft Consumer Medicine Information document as follows:</w:t>
            </w:r>
          </w:p>
          <w:p w:rsidR="00A325E5" w:rsidRDefault="00E22D1F" w:rsidP="00A325E5">
            <w:pPr>
              <w:tabs>
                <w:tab w:val="left" w:pos="3172"/>
              </w:tabs>
              <w:ind w:left="0" w:right="0"/>
              <w:rPr>
                <w:rFonts w:eastAsia="MS Mincho"/>
                <w:bCs/>
                <w:iCs/>
                <w:sz w:val="20"/>
                <w:szCs w:val="20"/>
              </w:rPr>
            </w:pPr>
            <w:r w:rsidRPr="00A325E5">
              <w:rPr>
                <w:rFonts w:eastAsia="MS Mincho"/>
                <w:bCs/>
                <w:iCs/>
                <w:sz w:val="20"/>
                <w:szCs w:val="20"/>
              </w:rPr>
              <w:t xml:space="preserve">(a) Under the section </w:t>
            </w:r>
            <w:r w:rsidR="00186C14" w:rsidRPr="00A325E5">
              <w:rPr>
                <w:rFonts w:eastAsia="MS Mincho"/>
                <w:bCs/>
                <w:iCs/>
                <w:sz w:val="20"/>
                <w:szCs w:val="20"/>
              </w:rPr>
              <w:t>‘</w:t>
            </w:r>
            <w:r w:rsidRPr="00A325E5">
              <w:rPr>
                <w:rFonts w:eastAsia="MS Mincho"/>
                <w:bCs/>
                <w:iCs/>
                <w:sz w:val="20"/>
                <w:szCs w:val="20"/>
              </w:rPr>
              <w:t>When you must not take it</w:t>
            </w:r>
            <w:r w:rsidR="00186C14" w:rsidRPr="00A325E5">
              <w:rPr>
                <w:rFonts w:eastAsia="MS Mincho"/>
                <w:bCs/>
                <w:iCs/>
                <w:sz w:val="20"/>
                <w:szCs w:val="20"/>
              </w:rPr>
              <w:t>’</w:t>
            </w:r>
            <w:r w:rsidRPr="00A325E5">
              <w:rPr>
                <w:rFonts w:eastAsia="MS Mincho"/>
                <w:bCs/>
                <w:iCs/>
                <w:sz w:val="20"/>
                <w:szCs w:val="20"/>
              </w:rPr>
              <w:t xml:space="preserve">, a statement should be added regarding infections, to the effect of </w:t>
            </w:r>
            <w:r w:rsidR="00186C14" w:rsidRPr="00A325E5">
              <w:rPr>
                <w:rFonts w:eastAsia="MS Mincho"/>
                <w:bCs/>
                <w:iCs/>
                <w:sz w:val="20"/>
                <w:szCs w:val="20"/>
              </w:rPr>
              <w:t>‘</w:t>
            </w:r>
            <w:r w:rsidRPr="00A325E5">
              <w:rPr>
                <w:rFonts w:eastAsia="MS Mincho"/>
                <w:iCs/>
                <w:sz w:val="20"/>
                <w:szCs w:val="20"/>
              </w:rPr>
              <w:t>If you have any current infection, you should not take Ilaris</w:t>
            </w:r>
            <w:r w:rsidR="00186C14" w:rsidRPr="00A325E5">
              <w:rPr>
                <w:rFonts w:eastAsia="MS Mincho"/>
                <w:bCs/>
                <w:iCs/>
                <w:sz w:val="20"/>
                <w:szCs w:val="20"/>
              </w:rPr>
              <w:t>’</w:t>
            </w:r>
            <w:r w:rsidRPr="00A325E5">
              <w:rPr>
                <w:rFonts w:eastAsia="MS Mincho"/>
                <w:bCs/>
                <w:iCs/>
                <w:sz w:val="20"/>
                <w:szCs w:val="20"/>
              </w:rPr>
              <w:t>.</w:t>
            </w:r>
          </w:p>
          <w:p w:rsidR="00E22D1F" w:rsidRPr="00A325E5" w:rsidRDefault="00E22D1F" w:rsidP="00A325E5">
            <w:pPr>
              <w:tabs>
                <w:tab w:val="left" w:pos="3172"/>
              </w:tabs>
              <w:ind w:left="0" w:right="0"/>
              <w:rPr>
                <w:rFonts w:eastAsia="MS Mincho"/>
                <w:bCs/>
                <w:iCs/>
                <w:sz w:val="20"/>
                <w:szCs w:val="20"/>
              </w:rPr>
            </w:pPr>
            <w:r w:rsidRPr="00A325E5">
              <w:rPr>
                <w:rFonts w:eastAsia="MS Mincho"/>
                <w:bCs/>
                <w:iCs/>
                <w:sz w:val="20"/>
                <w:szCs w:val="20"/>
              </w:rPr>
              <w:t xml:space="preserve">(b) Under </w:t>
            </w:r>
            <w:r w:rsidR="00186C14" w:rsidRPr="00A325E5">
              <w:rPr>
                <w:rFonts w:eastAsia="MS Mincho"/>
                <w:bCs/>
                <w:iCs/>
                <w:sz w:val="20"/>
                <w:szCs w:val="20"/>
              </w:rPr>
              <w:t>‘</w:t>
            </w:r>
            <w:r w:rsidRPr="00A325E5">
              <w:rPr>
                <w:rFonts w:eastAsia="MS Mincho"/>
                <w:bCs/>
                <w:iCs/>
                <w:sz w:val="20"/>
                <w:szCs w:val="20"/>
              </w:rPr>
              <w:t>Side effects</w:t>
            </w:r>
            <w:r w:rsidR="00186C14" w:rsidRPr="00A325E5">
              <w:rPr>
                <w:rFonts w:eastAsia="MS Mincho"/>
                <w:bCs/>
                <w:iCs/>
                <w:sz w:val="20"/>
                <w:szCs w:val="20"/>
              </w:rPr>
              <w:t>’</w:t>
            </w:r>
            <w:r w:rsidRPr="00A325E5">
              <w:rPr>
                <w:rFonts w:eastAsia="MS Mincho"/>
                <w:bCs/>
                <w:iCs/>
                <w:sz w:val="20"/>
                <w:szCs w:val="20"/>
              </w:rPr>
              <w:t xml:space="preserve">, a statement should be added regarding the increased risk of infection in young children and the importance of immediate medical follow up. This statement should focus on the difficulties in identifying infections in young children. For example, </w:t>
            </w:r>
            <w:r w:rsidR="00186C14" w:rsidRPr="00A325E5">
              <w:rPr>
                <w:rFonts w:eastAsia="MS Mincho"/>
                <w:bCs/>
                <w:iCs/>
                <w:sz w:val="20"/>
                <w:szCs w:val="20"/>
              </w:rPr>
              <w:t>‘</w:t>
            </w:r>
            <w:r w:rsidRPr="00A325E5">
              <w:rPr>
                <w:rFonts w:eastAsia="MS Mincho"/>
                <w:iCs/>
                <w:sz w:val="20"/>
                <w:szCs w:val="20"/>
              </w:rPr>
              <w:t>If your child is taking Ilaris and shows any signs that they may be unwell, such as increased irritability, see your doctor immediately</w:t>
            </w:r>
            <w:r w:rsidR="00186C14" w:rsidRPr="00A325E5">
              <w:rPr>
                <w:rFonts w:eastAsia="MS Mincho"/>
                <w:bCs/>
                <w:iCs/>
                <w:sz w:val="20"/>
                <w:szCs w:val="20"/>
              </w:rPr>
              <w:t>’</w:t>
            </w:r>
            <w:r w:rsidRPr="00A325E5">
              <w:rPr>
                <w:rFonts w:eastAsia="MS Mincho"/>
                <w:bCs/>
                <w:iCs/>
                <w:sz w:val="20"/>
                <w:szCs w:val="20"/>
              </w:rPr>
              <w:t>.</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rFonts w:eastAsia="MS Mincho"/>
                <w:i/>
                <w:color w:val="000000"/>
                <w:sz w:val="20"/>
                <w:szCs w:val="20"/>
              </w:rPr>
            </w:pPr>
            <w:r w:rsidRPr="00A325E5">
              <w:rPr>
                <w:rFonts w:eastAsia="MS Mincho"/>
                <w:i/>
                <w:color w:val="000000"/>
                <w:sz w:val="20"/>
                <w:szCs w:val="20"/>
              </w:rPr>
              <w:t>In response to similar recommendations for the application to revise the CAPS indication, Novartis accepts the requests and had amended the draft CMI accordingly and will include in the revised document provided with this response.</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A325E5" w:rsidRDefault="00E22D1F" w:rsidP="00A325E5">
            <w:pPr>
              <w:ind w:left="33" w:right="33"/>
              <w:rPr>
                <w:sz w:val="20"/>
                <w:szCs w:val="20"/>
              </w:rPr>
            </w:pPr>
            <w:r w:rsidRPr="00A325E5">
              <w:rPr>
                <w:sz w:val="20"/>
                <w:szCs w:val="20"/>
              </w:rPr>
              <w:t>Deferred to Delegate</w:t>
            </w:r>
          </w:p>
        </w:tc>
      </w:tr>
    </w:tbl>
    <w:p w:rsidR="00AD3C6C" w:rsidRPr="007848B3" w:rsidRDefault="00AD3C6C" w:rsidP="0095773F">
      <w:pPr>
        <w:pStyle w:val="TableTitle"/>
      </w:pPr>
      <w:r>
        <w:lastRenderedPageBreak/>
        <w:t>Table 8b. Additional recommendations</w:t>
      </w:r>
    </w:p>
    <w:tbl>
      <w:tblPr>
        <w:tblStyle w:val="TableTGAblue"/>
        <w:tblW w:w="5183" w:type="pct"/>
        <w:jc w:val="center"/>
        <w:tblLayout w:type="fixed"/>
        <w:tblLook w:val="04A0" w:firstRow="1" w:lastRow="0" w:firstColumn="1" w:lastColumn="0" w:noHBand="0" w:noVBand="1"/>
      </w:tblPr>
      <w:tblGrid>
        <w:gridCol w:w="3388"/>
        <w:gridCol w:w="3400"/>
        <w:gridCol w:w="2251"/>
      </w:tblGrid>
      <w:tr w:rsidR="00E22D1F" w:rsidRPr="000D75F4" w:rsidTr="00D13F01">
        <w:trPr>
          <w:cnfStyle w:val="100000000000" w:firstRow="1" w:lastRow="0" w:firstColumn="0" w:lastColumn="0" w:oddVBand="0" w:evenVBand="0" w:oddHBand="0" w:evenHBand="0" w:firstRowFirstColumn="0" w:firstRowLastColumn="0" w:lastRowFirstColumn="0" w:lastRowLastColumn="0"/>
          <w:jc w:val="center"/>
        </w:trPr>
        <w:tc>
          <w:tcPr>
            <w:tcW w:w="5000" w:type="pct"/>
            <w:gridSpan w:val="3"/>
            <w:shd w:val="clear" w:color="auto" w:fill="0070C0"/>
            <w:noWrap/>
          </w:tcPr>
          <w:p w:rsidR="00E22D1F" w:rsidRPr="0020756B" w:rsidRDefault="00E22D1F" w:rsidP="0095773F">
            <w:pPr>
              <w:rPr>
                <w:b w:val="0"/>
              </w:rPr>
            </w:pPr>
            <w:r w:rsidRPr="00AD3C6C">
              <w:t>Additional recommendations</w:t>
            </w:r>
          </w:p>
        </w:tc>
      </w:tr>
      <w:tr w:rsidR="00E22D1F" w:rsidRPr="000D75F4" w:rsidTr="00C2681F">
        <w:trPr>
          <w:jc w:val="center"/>
        </w:trPr>
        <w:tc>
          <w:tcPr>
            <w:tcW w:w="187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20756B" w:rsidRDefault="00E22D1F" w:rsidP="0095773F">
            <w:pPr>
              <w:rPr>
                <w:rFonts w:cstheme="majorHAnsi"/>
              </w:rPr>
            </w:pPr>
            <w:r w:rsidRPr="0020756B">
              <w:rPr>
                <w:rFonts w:cstheme="majorHAnsi"/>
              </w:rPr>
              <w:t>The ACSOM committee noted the initial data which suggests there will be widespread uptake of canakinumab in Australia. Furthermore, the committee noted that canakinumab is a high yield, but high risk drug used in the treatment of a highly debilitating condition. Although canakinumab appears to have substantial efficacy, there are also a number of serious adverse event associated with its use. ACSOM advised that the proposed pharmacovigilance studies were useful, however noted that the absolute number of patients was quite small, especially given the frequency of potentially serious adverse events in trials and the number of patients who were likely to be prescribed canakinumab in Australia. In this context ACSOM considered that a registry of Australian patients taking canakinumab would be a useful pharmacovigilance activity and would help to detect rare but potentially life threatening adverse events. Members discussed the planned Phase IV study which aims to explore the efficacy and safety</w:t>
            </w:r>
            <w:r w:rsidR="007A258F">
              <w:rPr>
                <w:rFonts w:cstheme="majorHAnsi"/>
              </w:rPr>
              <w:t>.</w:t>
            </w:r>
            <w:r w:rsidRPr="0020756B">
              <w:rPr>
                <w:rFonts w:cstheme="majorHAnsi"/>
              </w:rPr>
              <w:t xml:space="preserve"> </w:t>
            </w:r>
          </w:p>
        </w:tc>
        <w:tc>
          <w:tcPr>
            <w:tcW w:w="18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A325E5" w:rsidRDefault="00AD3C6C" w:rsidP="0095773F">
            <w:pPr>
              <w:rPr>
                <w:color w:val="000000"/>
              </w:rPr>
            </w:pPr>
            <w:r>
              <w:rPr>
                <w:color w:val="000000"/>
              </w:rPr>
              <w:t>The s</w:t>
            </w:r>
            <w:r w:rsidR="00E22D1F" w:rsidRPr="0020756B">
              <w:rPr>
                <w:color w:val="000000"/>
              </w:rPr>
              <w:t>ponsor has stated that Australian patients can be included in the CACZ885D2401 Ilaris Registry.</w:t>
            </w:r>
          </w:p>
          <w:p w:rsidR="00E22D1F" w:rsidRPr="0020756B" w:rsidRDefault="00E22D1F" w:rsidP="0095773F">
            <w:pPr>
              <w:rPr>
                <w:color w:val="auto"/>
              </w:rPr>
            </w:pPr>
            <w:r w:rsidRPr="0020756B">
              <w:rPr>
                <w:color w:val="auto"/>
              </w:rPr>
              <w:t>The following statement can be found within the ASA:</w:t>
            </w:r>
            <w:r w:rsidRPr="0020756B">
              <w:rPr>
                <w:i/>
                <w:color w:val="auto"/>
              </w:rPr>
              <w:t xml:space="preserve"> Proposed and ongoing studies are applicable to Australia. That is,</w:t>
            </w:r>
            <w:r w:rsidR="00404BA5" w:rsidRPr="0020756B">
              <w:rPr>
                <w:i/>
                <w:color w:val="auto"/>
              </w:rPr>
              <w:t xml:space="preserve"> </w:t>
            </w:r>
            <w:r w:rsidRPr="0020756B">
              <w:rPr>
                <w:i/>
                <w:color w:val="auto"/>
              </w:rPr>
              <w:t>the design of these studies applies to Australian patients who may be treated with Ilaris for</w:t>
            </w:r>
            <w:r w:rsidR="00404BA5" w:rsidRPr="0020756B">
              <w:rPr>
                <w:i/>
                <w:color w:val="auto"/>
              </w:rPr>
              <w:t xml:space="preserve"> </w:t>
            </w:r>
            <w:r w:rsidRPr="0020756B">
              <w:rPr>
                <w:i/>
                <w:color w:val="auto"/>
              </w:rPr>
              <w:t>approved or proposed indications.</w:t>
            </w:r>
          </w:p>
        </w:tc>
        <w:tc>
          <w:tcPr>
            <w:tcW w:w="12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E22D1F" w:rsidRPr="0020756B" w:rsidRDefault="00E22D1F" w:rsidP="00A325E5">
            <w:pPr>
              <w:ind w:left="35" w:right="0"/>
            </w:pPr>
            <w:r w:rsidRPr="0020756B">
              <w:t>Currently, the method by which Australian patients will be included in this study remains unclear.</w:t>
            </w:r>
            <w:r w:rsidR="0095773F">
              <w:t xml:space="preserve"> </w:t>
            </w:r>
            <w:r w:rsidRPr="0020756B">
              <w:t xml:space="preserve">The </w:t>
            </w:r>
            <w:r w:rsidR="00D6373F">
              <w:t>s</w:t>
            </w:r>
            <w:r w:rsidRPr="0020756B">
              <w:t>ponsor is requested to confirm that a statement will be included in the canakinumab educational materials regarding how Australian patients can join this study.</w:t>
            </w:r>
          </w:p>
        </w:tc>
      </w:tr>
    </w:tbl>
    <w:p w:rsidR="008E7846" w:rsidRDefault="008E7846" w:rsidP="0095773F">
      <w:pPr>
        <w:pStyle w:val="Heading4"/>
        <w:rPr>
          <w:lang w:eastAsia="en-AU"/>
        </w:rPr>
      </w:pPr>
      <w:r>
        <w:rPr>
          <w:lang w:eastAsia="en-AU"/>
        </w:rPr>
        <w:t xml:space="preserve">Summary of </w:t>
      </w:r>
      <w:r w:rsidR="003A7F6C">
        <w:rPr>
          <w:lang w:eastAsia="en-AU"/>
        </w:rPr>
        <w:t>r</w:t>
      </w:r>
      <w:r>
        <w:rPr>
          <w:lang w:eastAsia="en-AU"/>
        </w:rPr>
        <w:t>ecommendations</w:t>
      </w:r>
    </w:p>
    <w:p w:rsidR="00E22D1F" w:rsidRPr="00E22D1F" w:rsidRDefault="00E22D1F" w:rsidP="0095773F">
      <w:pPr>
        <w:rPr>
          <w:lang w:eastAsia="en-AU"/>
        </w:rPr>
      </w:pPr>
      <w:r w:rsidRPr="00A547D3">
        <w:t xml:space="preserve">It is considered that the sponsor’s response to the TGA </w:t>
      </w:r>
      <w:r w:rsidR="00D13F01">
        <w:t>r</w:t>
      </w:r>
      <w:r w:rsidRPr="00A547D3">
        <w:t xml:space="preserve">equest </w:t>
      </w:r>
      <w:r w:rsidR="00D13F01">
        <w:t xml:space="preserve">for further information </w:t>
      </w:r>
      <w:r w:rsidRPr="00A547D3">
        <w:t>has adequately addressed all of the issues identified in the RMP evaluation</w:t>
      </w:r>
      <w:r w:rsidRPr="007F1B0B">
        <w:t xml:space="preserve"> report</w:t>
      </w:r>
      <w:r>
        <w:t>, aside from final changes to the product information document</w:t>
      </w:r>
      <w:r w:rsidRPr="007F1B0B">
        <w:t xml:space="preserve"> (</w:t>
      </w:r>
      <w:r w:rsidR="00D13F01">
        <w:t xml:space="preserve">see </w:t>
      </w:r>
      <w:r w:rsidR="00D13F01" w:rsidRPr="00D13F01">
        <w:rPr>
          <w:i/>
        </w:rPr>
        <w:t>O</w:t>
      </w:r>
      <w:r w:rsidRPr="00D13F01">
        <w:rPr>
          <w:i/>
        </w:rPr>
        <w:t>utstanding issues</w:t>
      </w:r>
      <w:r w:rsidRPr="007F1B0B">
        <w:t xml:space="preserve"> below)</w:t>
      </w:r>
      <w:r>
        <w:t>.</w:t>
      </w:r>
    </w:p>
    <w:p w:rsidR="00E22D1F" w:rsidRPr="00107999" w:rsidRDefault="00E22D1F" w:rsidP="0095773F">
      <w:pPr>
        <w:pStyle w:val="Heading5"/>
      </w:pPr>
      <w:bookmarkStart w:id="133" w:name="_Toc314842510"/>
      <w:r w:rsidRPr="00107999">
        <w:t>Outstanding issues</w:t>
      </w:r>
    </w:p>
    <w:p w:rsidR="00E22D1F" w:rsidRDefault="0095773F" w:rsidP="0095773F">
      <w:pPr>
        <w:pStyle w:val="Heading6"/>
      </w:pPr>
      <w:r>
        <w:t>Issues in relation to the RMP</w:t>
      </w:r>
    </w:p>
    <w:p w:rsidR="00E22D1F" w:rsidRPr="007427C3" w:rsidRDefault="00E22D1F" w:rsidP="0095773F">
      <w:r w:rsidRPr="007427C3">
        <w:t>In regards to routine risk minimisation, final changes to the Australian product information and proposed indication are deferred to the Delegate.</w:t>
      </w:r>
    </w:p>
    <w:p w:rsidR="00E22D1F" w:rsidRDefault="00E22D1F" w:rsidP="0095773F">
      <w:r w:rsidRPr="007427C3">
        <w:lastRenderedPageBreak/>
        <w:t>In regards to the proposed dosing regime</w:t>
      </w:r>
      <w:r w:rsidR="00D6373F">
        <w:t>n</w:t>
      </w:r>
      <w:r w:rsidRPr="007427C3">
        <w:t xml:space="preserve">, </w:t>
      </w:r>
      <w:r w:rsidR="00D13F01" w:rsidRPr="00D13F01">
        <w:rPr>
          <w:rStyle w:val="st1"/>
          <w:rFonts w:asciiTheme="minorHAnsi" w:hAnsiTheme="minorHAnsi" w:cstheme="majorHAnsi"/>
          <w:bCs/>
          <w:color w:val="000000"/>
        </w:rPr>
        <w:t>Advisory Committee on the Safety of Medicines</w:t>
      </w:r>
      <w:r w:rsidR="00D13F01" w:rsidRPr="00D13F01">
        <w:rPr>
          <w:rStyle w:val="st1"/>
          <w:rFonts w:asciiTheme="minorHAnsi" w:hAnsiTheme="minorHAnsi" w:cstheme="majorHAnsi"/>
          <w:color w:val="222222"/>
        </w:rPr>
        <w:t xml:space="preserve"> (</w:t>
      </w:r>
      <w:r w:rsidRPr="00D13F01">
        <w:t>ACSOM</w:t>
      </w:r>
      <w:r w:rsidR="00D13F01" w:rsidRPr="00D13F01">
        <w:t>)</w:t>
      </w:r>
      <w:r w:rsidRPr="00D13F01">
        <w:t xml:space="preserve"> commented that the above dosing instructions for the CAPS indication are difficult to interpret and noted</w:t>
      </w:r>
      <w:r w:rsidRPr="007427C3">
        <w:t xml:space="preserve"> the large discontinuities in the dosing regimen, for example, patients weighing 16 kg receive a dose of 32 mg, while patients weighing 14 kg receive a dose of 56 mg. The committee was unsure of the rationale for thi</w:t>
      </w:r>
      <w:r w:rsidR="0095773F">
        <w:t>s regimen.</w:t>
      </w:r>
    </w:p>
    <w:p w:rsidR="00E22D1F" w:rsidRDefault="00E22D1F" w:rsidP="0095773F">
      <w:pPr>
        <w:rPr>
          <w:lang w:eastAsia="en-AU"/>
        </w:rPr>
      </w:pPr>
      <w:r w:rsidRPr="00A62E3F">
        <w:t xml:space="preserve">The </w:t>
      </w:r>
      <w:r w:rsidR="00D13F01">
        <w:t>s</w:t>
      </w:r>
      <w:r w:rsidRPr="00A62E3F">
        <w:t>ponsor must provide a copy of the updated Australian educational materials as soon as possible to the TGA for review.</w:t>
      </w:r>
      <w:r w:rsidR="00404BA5">
        <w:rPr>
          <w:lang w:eastAsia="en-AU"/>
        </w:rPr>
        <w:t xml:space="preserve"> </w:t>
      </w:r>
      <w:r w:rsidRPr="00A62E3F">
        <w:rPr>
          <w:lang w:eastAsia="en-AU"/>
        </w:rPr>
        <w:t xml:space="preserve">The </w:t>
      </w:r>
      <w:r w:rsidR="00D13F01">
        <w:rPr>
          <w:lang w:eastAsia="en-AU"/>
        </w:rPr>
        <w:t>s</w:t>
      </w:r>
      <w:r w:rsidRPr="00A62E3F">
        <w:rPr>
          <w:lang w:eastAsia="en-AU"/>
        </w:rPr>
        <w:t xml:space="preserve">ponsor is requested to confirm that a statement will be included in the canakinumab educational materials regarding how Australian patients can join the Ilaris Registry Study </w:t>
      </w:r>
      <w:r w:rsidRPr="00A62E3F">
        <w:rPr>
          <w:color w:val="000000"/>
          <w:lang w:eastAsia="en-AU"/>
        </w:rPr>
        <w:t>CACZ885D2401</w:t>
      </w:r>
      <w:r w:rsidRPr="00A62E3F">
        <w:rPr>
          <w:lang w:eastAsia="en-AU"/>
        </w:rPr>
        <w:t>.</w:t>
      </w:r>
    </w:p>
    <w:p w:rsidR="00E22D1F" w:rsidRDefault="00E22D1F" w:rsidP="0095773F">
      <w:r w:rsidRPr="00117FB2">
        <w:rPr>
          <w:lang w:eastAsia="en-AU"/>
        </w:rPr>
        <w:t xml:space="preserve">The updated ASA contains the following statement in regards to the development of Australian educational materials: </w:t>
      </w:r>
      <w:r w:rsidR="00186C14">
        <w:rPr>
          <w:lang w:eastAsia="en-AU"/>
        </w:rPr>
        <w:t>‘</w:t>
      </w:r>
      <w:r w:rsidRPr="00117FB2">
        <w:rPr>
          <w:i/>
        </w:rPr>
        <w:t>The development will occur once suitable patients have been identified and will be treated with Ilaris.</w:t>
      </w:r>
      <w:r w:rsidR="00186C14">
        <w:rPr>
          <w:i/>
        </w:rPr>
        <w:t>’</w:t>
      </w:r>
      <w:r w:rsidRPr="00117FB2">
        <w:t xml:space="preserve"> </w:t>
      </w:r>
      <w:r>
        <w:t xml:space="preserve">The </w:t>
      </w:r>
      <w:r w:rsidR="00D13F01">
        <w:t>s</w:t>
      </w:r>
      <w:r>
        <w:t xml:space="preserve">ponsor should amend this statement to clarify that these materials will be developed and reviewed by the TGA </w:t>
      </w:r>
      <w:r w:rsidRPr="00D13F01">
        <w:rPr>
          <w:i/>
        </w:rPr>
        <w:t>prior to supply</w:t>
      </w:r>
      <w:r>
        <w:t xml:space="preserve"> of </w:t>
      </w:r>
      <w:r w:rsidR="00D13F01">
        <w:t>c</w:t>
      </w:r>
      <w:r>
        <w:t>anakinumab in Australia. It is requested that this statement be included as a condition of registration for canakinumab in SJIA.</w:t>
      </w:r>
    </w:p>
    <w:p w:rsidR="00E22D1F" w:rsidRPr="00117FB2" w:rsidRDefault="00E22D1F" w:rsidP="0095773F">
      <w:pPr>
        <w:rPr>
          <w:lang w:eastAsia="en-AU"/>
        </w:rPr>
      </w:pPr>
      <w:r>
        <w:t xml:space="preserve">The </w:t>
      </w:r>
      <w:r w:rsidR="00D13F01">
        <w:t>s</w:t>
      </w:r>
      <w:r>
        <w:t xml:space="preserve">ponsor has provided an updated EU-RMP. However, the data lock point for this RMP is 31 December 2012 for postmarketing data. This is more than 12 months out of date and the </w:t>
      </w:r>
      <w:r w:rsidR="00D13F01">
        <w:t>s</w:t>
      </w:r>
      <w:r>
        <w:t>ponsor is requested to submit a more current EU-RMP to the TGA for review prior to approval.</w:t>
      </w:r>
    </w:p>
    <w:p w:rsidR="00E22D1F" w:rsidRDefault="00E22D1F" w:rsidP="0095773F">
      <w:r w:rsidRPr="007427C3">
        <w:t xml:space="preserve">Otherwise, the </w:t>
      </w:r>
      <w:r w:rsidR="00D13F01">
        <w:t>s</w:t>
      </w:r>
      <w:r w:rsidRPr="007427C3">
        <w:t>ponsor has addressed all issues in relation to the RMP.</w:t>
      </w:r>
    </w:p>
    <w:p w:rsidR="00E22D1F" w:rsidRPr="00CD70BC" w:rsidRDefault="00E22D1F" w:rsidP="0095773F">
      <w:pPr>
        <w:pStyle w:val="Heading5"/>
      </w:pPr>
      <w:r w:rsidRPr="00CD70BC">
        <w:t xml:space="preserve">Advice from the </w:t>
      </w:r>
      <w:r w:rsidRPr="00CD70BC">
        <w:rPr>
          <w:rStyle w:val="st1"/>
        </w:rPr>
        <w:t>Advisory Committee on the Safety of Medicines (ACSOM)</w:t>
      </w:r>
    </w:p>
    <w:p w:rsidR="00E22D1F" w:rsidRPr="007E3B99" w:rsidRDefault="00E22D1F" w:rsidP="0095773F">
      <w:r w:rsidRPr="007E3B99">
        <w:t>A summary of the advice is provided below; the full ACSOM report is attached at the end of this document.</w:t>
      </w:r>
    </w:p>
    <w:p w:rsidR="00E22D1F" w:rsidRPr="00DE69BD" w:rsidRDefault="00E22D1F" w:rsidP="0095773F">
      <w:pPr>
        <w:pStyle w:val="ListBullet"/>
      </w:pPr>
      <w:r w:rsidRPr="007E3B99">
        <w:t xml:space="preserve">The committee noted that while the summary of ongoing safety concerns proposed by the sponsor is extensive, as this is a drug which has the potential to cause a number of serious </w:t>
      </w:r>
      <w:r w:rsidRPr="00DE69BD">
        <w:t>adverse events, ACSOM advised that the ongoing safety concerns should be updated in accordance with the recommendations outlined in the Office of Product Review (OPR) Risk Managemen</w:t>
      </w:r>
      <w:r w:rsidR="0095773F">
        <w:t>t Plan (RMP) evaluation report.</w:t>
      </w:r>
    </w:p>
    <w:p w:rsidR="00E22D1F" w:rsidRPr="00DE69BD" w:rsidRDefault="00E22D1F" w:rsidP="0095773F">
      <w:pPr>
        <w:pStyle w:val="ListBullet"/>
        <w:rPr>
          <w:rFonts w:cstheme="majorHAnsi"/>
          <w:i/>
        </w:rPr>
      </w:pPr>
      <w:r w:rsidRPr="00DE69BD">
        <w:t>Members noted the likely risk of vaccine interactions, given current Australian National Immunisation Program (NIP) guidelines and the age group which would be using canakinumab. ACSOM noted the recommendation in the product information (PI) that ‘</w:t>
      </w:r>
      <w:r w:rsidRPr="00DE69BD">
        <w:rPr>
          <w:rFonts w:cs="TimesNewRomanPSMT"/>
          <w:i/>
        </w:rPr>
        <w:t xml:space="preserve">No data are available on either the effects of live vaccination or the secondary transmission of infection by </w:t>
      </w:r>
      <w:r w:rsidRPr="00DE69BD">
        <w:rPr>
          <w:rFonts w:cstheme="majorHAnsi"/>
          <w:i/>
        </w:rPr>
        <w:t>live vaccines in patients receiving Ilaris. Therefore, live vaccines should not be given concurrently with Ilaris. It is recommended that, if possible, paediatric and adult patients should complete all immunisations in accordance with current immunisation guidelines prior</w:t>
      </w:r>
      <w:r w:rsidR="0095773F">
        <w:rPr>
          <w:rFonts w:cstheme="majorHAnsi"/>
          <w:i/>
        </w:rPr>
        <w:t xml:space="preserve"> to initiating Ilaris therapy’.</w:t>
      </w:r>
    </w:p>
    <w:p w:rsidR="00E22D1F" w:rsidRPr="00DE69BD" w:rsidRDefault="00E22D1F" w:rsidP="0095773F">
      <w:pPr>
        <w:pStyle w:val="ListBullet"/>
        <w:rPr>
          <w:i/>
        </w:rPr>
      </w:pPr>
      <w:r w:rsidRPr="00DE69BD">
        <w:t>Members were concerned that the risk of pulmonary toxicity had not been adequately addressed. The committee commented that risks of pulmonary toxicity had increased exponentially with the advent of biological and monoclonal antibody therapy.</w:t>
      </w:r>
    </w:p>
    <w:p w:rsidR="00E22D1F" w:rsidRPr="00DE69BD" w:rsidRDefault="00E22D1F" w:rsidP="00A325E5">
      <w:pPr>
        <w:pStyle w:val="ListBullet"/>
        <w:rPr>
          <w:i/>
        </w:rPr>
      </w:pPr>
      <w:r w:rsidRPr="00DE69BD">
        <w:t xml:space="preserve">The committee was also concerned that elevations in serum transaminases (alanine transaminase (ALT) and/or aspartate transaminase (AST)) occurred in approximately 41% of patients and that 1.5% of patients had elevated bilirubin levels. Most notably, ALT/AST values which were three times the upper limit of normal were reported in 2 (4.1%) patients receiving </w:t>
      </w:r>
      <w:r w:rsidRPr="00A325E5">
        <w:t>canakinumab</w:t>
      </w:r>
      <w:r w:rsidRPr="00DE69BD">
        <w:t xml:space="preserve"> and 1 (2.0%) patient on placebo.</w:t>
      </w:r>
      <w:r w:rsidR="00404BA5">
        <w:t xml:space="preserve"> </w:t>
      </w:r>
      <w:r w:rsidRPr="00DE69BD">
        <w:t>ACSOM noted that the observed increases in transaminases could be due to the assay used in the tests</w:t>
      </w:r>
      <w:r w:rsidRPr="00DE69BD">
        <w:rPr>
          <w:i/>
        </w:rPr>
        <w:t xml:space="preserve">. </w:t>
      </w:r>
      <w:r w:rsidRPr="00DE69BD">
        <w:t xml:space="preserve">Pyridoxal phosphate increases in blood during inflammation and it is also a co-factor used to measure liver transaminase activity (ALT and AST). Pyridoxal phosphate is not added to most assays. In assays of transaminases where pyridoxal phosphate is not added, ALT and AST can be decreased by inflammation, and therefore </w:t>
      </w:r>
      <w:r w:rsidRPr="00DE69BD">
        <w:lastRenderedPageBreak/>
        <w:t>might appear to become elevated when inflammation subsides as a result of a treatment. The committee advised that it would appropriate to ask the sponsor whether the assays used to measure liver function had added pyridoxal phosphate. The results maybe confounded by changes in inflammatory response if pyridoxal phosphate was not added.</w:t>
      </w:r>
    </w:p>
    <w:p w:rsidR="00E22D1F" w:rsidRPr="00DE69BD" w:rsidRDefault="00E22D1F" w:rsidP="0095773F">
      <w:pPr>
        <w:pStyle w:val="ListBullet"/>
      </w:pPr>
      <w:r w:rsidRPr="00DE69BD">
        <w:t>ACSOM supported the idea of ensuring that patients and carers as well as health professionals were aware of the potential for infection, noting that by canakinumab binding selectively to Interleukin-1 beta (IL-1β), infection could manifest without the usual clinical signs, that normally manifest as a result of the IL-1β-dependant inflammatory response, such as fever. The committee supported the sponsor’s proposed use of a patient alert card or bracelet to raise awareness of this. The committee added that, in particular, it is important for health professionals and patients to be aware of the risk of urinary tract infections, upper respiratory tract infections and injection site reactions.</w:t>
      </w:r>
    </w:p>
    <w:p w:rsidR="00E22D1F" w:rsidRPr="00DE69BD" w:rsidRDefault="00E22D1F" w:rsidP="0095773F">
      <w:pPr>
        <w:pStyle w:val="ListBullet"/>
      </w:pPr>
      <w:r w:rsidRPr="00DE69BD">
        <w:t>The committee noted the initial data which suggests there will be widespread uptake of canakinumab in Australia. Furthermore, the committee noted that canakinumab is a high yield, but high risk drug used in the treatment of a highly debilitating condition. Although canakinumab appears to have substantial efficacy, there are also a number of serious adverse event associated with its use. ACSOM advised that the proposed pharmacovigilance studies were useful, however noted that the absolute number of patients was quite small, especially given the frequency of potentially serious adverse events in trials and the number of patients who were likely to be prescribed canakinumab in Australia. In this context ACSOM considered that a registry of Australian patients taking canakinumab would be a useful pharmacovigilance activity and would help to detect rare but potentially life threatening adverse events.</w:t>
      </w:r>
    </w:p>
    <w:p w:rsidR="00E22D1F" w:rsidRPr="00DE69BD" w:rsidRDefault="00E22D1F" w:rsidP="0095773F">
      <w:pPr>
        <w:pStyle w:val="ListBullet"/>
      </w:pPr>
      <w:r w:rsidRPr="00DE69BD">
        <w:t>Members discussed the planned Phase IV study which aims to explore the efficacy and safety of dose reduction or dose interval prolongation in canakinumab treatment-naive patients who are both responders and who satisfy pre-defined criteria for inclusion. The committee advised that the results from this study would be quite important as the dose-response data are not very clear and it would appear that lower doses would also be effective. The committee also noted that patients’ responses to canakinumab persisted long after the dosing had ceased. In this context, members indicated that the results from the Phase IV study may provide greater insight in this regard. ACSOM advised that the results from this study should be used to inform prescribers of the most appropriate maintenance dosing schedule. Until such time as the results from this study are available, the committee advised that practical guidance should be provided to prescribers on how dosing can be reduced over time, how to monitor for development of anti-drug antibodies and clarity around appropriate dosing in non-responders.</w:t>
      </w:r>
    </w:p>
    <w:p w:rsidR="00E22D1F" w:rsidRPr="00DE69BD" w:rsidRDefault="00E22D1F" w:rsidP="0095773F">
      <w:pPr>
        <w:pStyle w:val="ListBullet"/>
      </w:pPr>
      <w:r w:rsidRPr="00DE69BD">
        <w:rPr>
          <w:lang w:val="en-US"/>
        </w:rPr>
        <w:t>The committee noted that in Europe the recently approved dosage regimen for patients aged</w:t>
      </w:r>
      <w:r w:rsidRPr="00DE69BD">
        <w:t xml:space="preserve"> </w:t>
      </w:r>
      <w:r w:rsidRPr="00DE69BD">
        <w:rPr>
          <w:lang w:val="en-US"/>
        </w:rPr>
        <w:t>4 years and older is:</w:t>
      </w:r>
    </w:p>
    <w:p w:rsidR="00E22D1F" w:rsidRPr="00DE69BD" w:rsidRDefault="00E22D1F" w:rsidP="0095773F">
      <w:pPr>
        <w:pStyle w:val="ListBullet2"/>
      </w:pPr>
      <w:r w:rsidRPr="00DE69BD">
        <w:rPr>
          <w:lang w:val="en-US"/>
        </w:rPr>
        <w:t>150 mg with body weight &gt; 40 kg</w:t>
      </w:r>
    </w:p>
    <w:p w:rsidR="00E22D1F" w:rsidRPr="00DE69BD" w:rsidRDefault="00E22D1F" w:rsidP="0095773F">
      <w:pPr>
        <w:pStyle w:val="ListBullet2"/>
      </w:pPr>
      <w:r w:rsidRPr="00DE69BD">
        <w:rPr>
          <w:lang w:val="en-US"/>
        </w:rPr>
        <w:t>2</w:t>
      </w:r>
      <w:r w:rsidR="00404BA5">
        <w:rPr>
          <w:lang w:val="en-US"/>
        </w:rPr>
        <w:t xml:space="preserve"> mg/kg</w:t>
      </w:r>
      <w:r w:rsidRPr="00DE69BD">
        <w:rPr>
          <w:lang w:val="en-US"/>
        </w:rPr>
        <w:t xml:space="preserve"> with body weight ≥ 15 kg and ≤ 40 kg</w:t>
      </w:r>
    </w:p>
    <w:p w:rsidR="00E22D1F" w:rsidRPr="00DE69BD" w:rsidRDefault="00E22D1F" w:rsidP="0095773F">
      <w:pPr>
        <w:pStyle w:val="ListBullet2"/>
      </w:pPr>
      <w:r w:rsidRPr="00DE69BD">
        <w:rPr>
          <w:lang w:val="en-US"/>
        </w:rPr>
        <w:t>4</w:t>
      </w:r>
      <w:r w:rsidR="00404BA5">
        <w:rPr>
          <w:lang w:val="en-US"/>
        </w:rPr>
        <w:t xml:space="preserve"> mg/kg</w:t>
      </w:r>
      <w:r w:rsidRPr="00DE69BD">
        <w:rPr>
          <w:lang w:val="en-US"/>
        </w:rPr>
        <w:t xml:space="preserve"> for patients with body weight ≥ 7.5 kg and &lt; 15 kg</w:t>
      </w:r>
    </w:p>
    <w:p w:rsidR="00E22D1F" w:rsidRPr="00DE69BD" w:rsidRDefault="00E22D1F" w:rsidP="0095773F">
      <w:pPr>
        <w:pStyle w:val="ListBullet"/>
      </w:pPr>
      <w:r w:rsidRPr="00DE69BD">
        <w:rPr>
          <w:lang w:val="en-US"/>
        </w:rPr>
        <w:t>and for patients aged two to four years dosing is:</w:t>
      </w:r>
    </w:p>
    <w:p w:rsidR="00E22D1F" w:rsidRPr="00DE69BD" w:rsidRDefault="00E22D1F" w:rsidP="0095773F">
      <w:pPr>
        <w:pStyle w:val="ListBullet2"/>
      </w:pPr>
      <w:r w:rsidRPr="00DE69BD">
        <w:rPr>
          <w:lang w:val="en-US"/>
        </w:rPr>
        <w:t>4</w:t>
      </w:r>
      <w:r w:rsidR="00404BA5">
        <w:rPr>
          <w:lang w:val="en-US"/>
        </w:rPr>
        <w:t xml:space="preserve"> mg/kg</w:t>
      </w:r>
      <w:r w:rsidRPr="00DE69BD">
        <w:rPr>
          <w:lang w:val="en-US"/>
        </w:rPr>
        <w:t xml:space="preserve"> for patients with body weight ≥ 7.5 kg</w:t>
      </w:r>
    </w:p>
    <w:p w:rsidR="00E22D1F" w:rsidRPr="00DE69BD" w:rsidRDefault="00E22D1F" w:rsidP="0095773F">
      <w:pPr>
        <w:pStyle w:val="ListBullet"/>
      </w:pPr>
      <w:r w:rsidRPr="00DE69BD">
        <w:t xml:space="preserve">ACSOM commented that the above dosing instructions for the CAPS indication are difficult to interpret and noted the large discontinuities in the dosing regimen, for example, patients weighing 16 kg receive a dose of 32 mg, while patients weighing 14 </w:t>
      </w:r>
      <w:r w:rsidRPr="00DE69BD">
        <w:lastRenderedPageBreak/>
        <w:t>kg receive a dose of 56 mg. The committee was unsure of the rationale for this regimen.</w:t>
      </w:r>
    </w:p>
    <w:p w:rsidR="00E22D1F" w:rsidRPr="0085417F" w:rsidRDefault="00E22D1F" w:rsidP="0095773F">
      <w:pPr>
        <w:pStyle w:val="ListBullet"/>
      </w:pPr>
      <w:r w:rsidRPr="00DE69BD">
        <w:t>The committee was concerned about the risks associated with the use of canakinumab during pregnancy. ACSOM advised that the animal studies used to determine the suitability of canakinumab for use in pregnancy were insufficient as the pharmacological response in animals does not sufficiently predict a human response, as human viruses which animals are not exposed to cannot be taken into consideration. The committee further advised that the information in the PI regarding this should be clarified and use during pregnancy should be restricted until human data is available. The committee advised that until such data is avai</w:t>
      </w:r>
      <w:r w:rsidR="00D13F01">
        <w:t>lable, canakinumab should be in P</w:t>
      </w:r>
      <w:r w:rsidRPr="00DE69BD">
        <w:t xml:space="preserve">regnancy </w:t>
      </w:r>
      <w:r w:rsidR="00D13F01">
        <w:t>C</w:t>
      </w:r>
      <w:r w:rsidRPr="00DE69BD">
        <w:t>ategory D</w:t>
      </w:r>
      <w:r w:rsidR="00D13F01">
        <w:rPr>
          <w:rStyle w:val="FootnoteReference"/>
        </w:rPr>
        <w:footnoteReference w:id="15"/>
      </w:r>
      <w:r w:rsidRPr="00DE69BD">
        <w:t xml:space="preserve"> or X</w:t>
      </w:r>
      <w:r w:rsidR="00D13F01">
        <w:rPr>
          <w:rStyle w:val="FootnoteReference"/>
        </w:rPr>
        <w:footnoteReference w:id="16"/>
      </w:r>
      <w:r w:rsidRPr="00DE69BD">
        <w:t>, not B3</w:t>
      </w:r>
      <w:r w:rsidR="00D13F01">
        <w:rPr>
          <w:rStyle w:val="FootnoteReference"/>
        </w:rPr>
        <w:footnoteReference w:id="17"/>
      </w:r>
      <w:r w:rsidRPr="00DE69BD">
        <w:t>.</w:t>
      </w:r>
    </w:p>
    <w:p w:rsidR="00E22D1F" w:rsidRPr="00246534" w:rsidRDefault="00E22D1F" w:rsidP="0095773F">
      <w:pPr>
        <w:pStyle w:val="Heading5"/>
      </w:pPr>
      <w:r w:rsidRPr="00246534">
        <w:t>Key changes to the updated RMP</w:t>
      </w:r>
    </w:p>
    <w:p w:rsidR="00E22D1F" w:rsidRDefault="00E22D1F" w:rsidP="0095773F">
      <w:r w:rsidRPr="00246534">
        <w:t xml:space="preserve">In their response to the TGA </w:t>
      </w:r>
      <w:r w:rsidR="00CD70BC">
        <w:t>r</w:t>
      </w:r>
      <w:r w:rsidRPr="00246534">
        <w:t>equest</w:t>
      </w:r>
      <w:r w:rsidR="00CD70BC">
        <w:t xml:space="preserve"> for further information</w:t>
      </w:r>
      <w:r w:rsidRPr="00246534">
        <w:t xml:space="preserve"> the s</w:t>
      </w:r>
      <w:r>
        <w:t xml:space="preserve">ponsor provided an updated </w:t>
      </w:r>
      <w:r w:rsidRPr="00246534">
        <w:t>EU-RMP Version 7.1 dated 13 August 2013</w:t>
      </w:r>
      <w:r>
        <w:t xml:space="preserve"> with Australian Specific Annex dated 31 January 2014</w:t>
      </w:r>
      <w:r w:rsidRPr="00246534">
        <w:t xml:space="preserve">. Key changes from the version evaluated </w:t>
      </w:r>
      <w:r w:rsidR="00CD70BC">
        <w:t xml:space="preserve">in the first round evaluation </w:t>
      </w:r>
      <w:r w:rsidRPr="00246534">
        <w:t>are summarised below</w:t>
      </w:r>
      <w:r w:rsidR="00CD70BC">
        <w:t xml:space="preserve"> (Table </w:t>
      </w:r>
      <w:r w:rsidR="001C0FCA">
        <w:t>9</w:t>
      </w:r>
      <w:r w:rsidR="00CD70BC">
        <w:t>).</w:t>
      </w:r>
    </w:p>
    <w:p w:rsidR="00CD70BC" w:rsidRPr="00246534" w:rsidRDefault="00CD70BC" w:rsidP="00CD70BC">
      <w:pPr>
        <w:pStyle w:val="TableTitle"/>
      </w:pPr>
      <w:r>
        <w:t xml:space="preserve">Table </w:t>
      </w:r>
      <w:r w:rsidR="001C0FCA">
        <w:t>9</w:t>
      </w:r>
      <w:r>
        <w:t>. Key changes to the RMP</w:t>
      </w:r>
    </w:p>
    <w:tbl>
      <w:tblPr>
        <w:tblStyle w:val="TableTGAblue"/>
        <w:tblW w:w="9180" w:type="dxa"/>
        <w:tblLayout w:type="fixed"/>
        <w:tblLook w:val="04A0" w:firstRow="1" w:lastRow="0" w:firstColumn="1" w:lastColumn="0" w:noHBand="0" w:noVBand="1"/>
      </w:tblPr>
      <w:tblGrid>
        <w:gridCol w:w="2376"/>
        <w:gridCol w:w="2942"/>
        <w:gridCol w:w="1673"/>
        <w:gridCol w:w="2189"/>
      </w:tblGrid>
      <w:tr w:rsidR="00E22D1F" w:rsidRPr="00107999" w:rsidTr="0095773F">
        <w:trPr>
          <w:cnfStyle w:val="100000000000" w:firstRow="1" w:lastRow="0" w:firstColumn="0" w:lastColumn="0" w:oddVBand="0" w:evenVBand="0" w:oddHBand="0" w:evenHBand="0" w:firstRowFirstColumn="0" w:firstRowLastColumn="0" w:lastRowFirstColumn="0" w:lastRowLastColumn="0"/>
          <w:trHeight w:val="536"/>
        </w:trPr>
        <w:tc>
          <w:tcPr>
            <w:tcW w:w="2376" w:type="dxa"/>
          </w:tcPr>
          <w:p w:rsidR="00E22D1F" w:rsidRPr="00CD70BC" w:rsidRDefault="00E22D1F" w:rsidP="0095773F">
            <w:pPr>
              <w:ind w:left="0"/>
              <w:rPr>
                <w:highlight w:val="yellow"/>
              </w:rPr>
            </w:pPr>
          </w:p>
        </w:tc>
        <w:tc>
          <w:tcPr>
            <w:tcW w:w="2942" w:type="dxa"/>
          </w:tcPr>
          <w:p w:rsidR="00E22D1F" w:rsidRPr="000620D7" w:rsidRDefault="000620D7" w:rsidP="0095773F">
            <w:pPr>
              <w:ind w:left="0"/>
              <w:rPr>
                <w:highlight w:val="yellow"/>
              </w:rPr>
            </w:pPr>
            <w:r w:rsidRPr="000620D7">
              <w:t>Key change</w:t>
            </w:r>
          </w:p>
        </w:tc>
        <w:tc>
          <w:tcPr>
            <w:tcW w:w="1673" w:type="dxa"/>
          </w:tcPr>
          <w:p w:rsidR="00E22D1F" w:rsidRPr="00CD70BC" w:rsidRDefault="00E22D1F" w:rsidP="0095773F">
            <w:pPr>
              <w:rPr>
                <w:highlight w:val="yellow"/>
              </w:rPr>
            </w:pPr>
          </w:p>
        </w:tc>
        <w:tc>
          <w:tcPr>
            <w:tcW w:w="2189" w:type="dxa"/>
          </w:tcPr>
          <w:p w:rsidR="00E22D1F" w:rsidRPr="00CD70BC" w:rsidRDefault="00E22D1F" w:rsidP="0095773F">
            <w:pPr>
              <w:rPr>
                <w:highlight w:val="yellow"/>
              </w:rPr>
            </w:pPr>
          </w:p>
        </w:tc>
      </w:tr>
      <w:tr w:rsidR="00E22D1F" w:rsidRPr="00107999" w:rsidTr="0095773F">
        <w:trPr>
          <w:trHeight w:val="270"/>
        </w:trPr>
        <w:tc>
          <w:tcPr>
            <w:tcW w:w="2376" w:type="dxa"/>
            <w:hideMark/>
          </w:tcPr>
          <w:p w:rsidR="00E22D1F" w:rsidRPr="00CD70BC" w:rsidRDefault="00E22D1F" w:rsidP="0095773F">
            <w:pPr>
              <w:ind w:left="0"/>
            </w:pPr>
            <w:r w:rsidRPr="00CD70BC">
              <w:t>Safety specification</w:t>
            </w:r>
          </w:p>
        </w:tc>
        <w:tc>
          <w:tcPr>
            <w:tcW w:w="6804" w:type="dxa"/>
            <w:gridSpan w:val="3"/>
          </w:tcPr>
          <w:p w:rsidR="00E22D1F" w:rsidRPr="00CD70BC" w:rsidRDefault="00E22D1F" w:rsidP="0095773F">
            <w:pPr>
              <w:ind w:left="0"/>
            </w:pPr>
            <w:r w:rsidRPr="00CD70BC">
              <w:rPr>
                <w:rFonts w:eastAsia="MS Mincho" w:cs="TimesNewRomanPSMT"/>
              </w:rPr>
              <w:t>Additional Identified risks for SJIA:</w:t>
            </w:r>
            <w:r w:rsidR="0095773F">
              <w:rPr>
                <w:rFonts w:eastAsia="MS Mincho" w:cs="TimesNewRomanPSMT"/>
              </w:rPr>
              <w:br/>
            </w:r>
            <w:r w:rsidRPr="00CD70BC">
              <w:rPr>
                <w:rFonts w:eastAsia="MS-Mincho" w:cs="MS-Mincho"/>
              </w:rPr>
              <w:t xml:space="preserve">‐ </w:t>
            </w:r>
            <w:r w:rsidRPr="00CD70BC">
              <w:rPr>
                <w:rFonts w:eastAsia="MS Mincho" w:cs="TimesNewRomanPSMT"/>
              </w:rPr>
              <w:t>Drug Induced Liver Injury (DILI, Hepatic transaminases and Bilirubin elevations)</w:t>
            </w:r>
            <w:r w:rsidR="0095773F">
              <w:rPr>
                <w:rFonts w:eastAsia="MS Mincho" w:cs="TimesNewRomanPSMT"/>
              </w:rPr>
              <w:br/>
            </w:r>
            <w:r w:rsidRPr="00CD70BC">
              <w:rPr>
                <w:rFonts w:eastAsia="MS-Mincho" w:cs="MS-Mincho"/>
              </w:rPr>
              <w:t xml:space="preserve">‐ </w:t>
            </w:r>
            <w:r w:rsidRPr="00CD70BC">
              <w:rPr>
                <w:rFonts w:eastAsia="MS Mincho" w:cs="TimesNewRomanPSMT"/>
              </w:rPr>
              <w:t>Leukopenia</w:t>
            </w:r>
            <w:r w:rsidR="0095773F">
              <w:rPr>
                <w:rFonts w:eastAsia="MS Mincho" w:cs="TimesNewRomanPSMT"/>
              </w:rPr>
              <w:br/>
            </w:r>
            <w:r w:rsidRPr="00CD70BC">
              <w:rPr>
                <w:rFonts w:eastAsia="MS-Mincho" w:cs="MS-Mincho"/>
              </w:rPr>
              <w:t xml:space="preserve">‐ </w:t>
            </w:r>
            <w:r w:rsidRPr="00CD70BC">
              <w:rPr>
                <w:rFonts w:eastAsia="MS Mincho" w:cs="TimesNewRomanPSMT"/>
              </w:rPr>
              <w:t>Decreased estimated creatinine clearance and proteinuria</w:t>
            </w:r>
            <w:r w:rsidR="0095773F">
              <w:rPr>
                <w:rFonts w:eastAsia="MS Mincho" w:cs="TimesNewRomanPSMT"/>
              </w:rPr>
              <w:br/>
            </w:r>
            <w:r w:rsidRPr="00CD70BC">
              <w:rPr>
                <w:rFonts w:eastAsia="MS-Mincho" w:cs="MS-Mincho"/>
              </w:rPr>
              <w:t xml:space="preserve">‐ </w:t>
            </w:r>
            <w:r w:rsidRPr="00CD70BC">
              <w:rPr>
                <w:rFonts w:eastAsia="MS Mincho" w:cs="TimesNewRomanPSMT"/>
              </w:rPr>
              <w:t>Musculoskeletal pain and arthralgia</w:t>
            </w:r>
            <w:r w:rsidR="0095773F">
              <w:rPr>
                <w:rFonts w:eastAsia="MS Mincho" w:cs="TimesNewRomanPSMT"/>
              </w:rPr>
              <w:br/>
            </w:r>
            <w:r w:rsidRPr="00CD70BC">
              <w:rPr>
                <w:rFonts w:eastAsia="MS Mincho" w:cs="TimesNewRomanPSMT"/>
              </w:rPr>
              <w:t>Additional Important Potential risks for SJIA:</w:t>
            </w:r>
            <w:r w:rsidR="0095773F">
              <w:rPr>
                <w:rFonts w:eastAsia="MS Mincho" w:cs="TimesNewRomanPSMT"/>
              </w:rPr>
              <w:br/>
            </w:r>
            <w:r w:rsidRPr="00CD70BC">
              <w:rPr>
                <w:rFonts w:eastAsia="MS-Mincho" w:cs="MS-Mincho"/>
              </w:rPr>
              <w:t xml:space="preserve">‐ </w:t>
            </w:r>
            <w:r w:rsidRPr="00CD70BC">
              <w:rPr>
                <w:rFonts w:eastAsia="MS Mincho" w:cs="TimesNewRomanPSMT"/>
              </w:rPr>
              <w:t>Eosinophilia</w:t>
            </w:r>
            <w:r w:rsidR="0095773F">
              <w:rPr>
                <w:rFonts w:eastAsia="MS Mincho" w:cs="TimesNewRomanPSMT"/>
              </w:rPr>
              <w:br/>
            </w:r>
            <w:r w:rsidRPr="00CD70BC">
              <w:rPr>
                <w:rFonts w:eastAsia="MS-Mincho" w:cs="MS-Mincho"/>
              </w:rPr>
              <w:t xml:space="preserve">‐ </w:t>
            </w:r>
            <w:r w:rsidRPr="00CD70BC">
              <w:rPr>
                <w:rFonts w:eastAsia="MS Mincho" w:cs="TimesNewRomanPSMT"/>
              </w:rPr>
              <w:t>Pulmonary complications: pulmonary hypertension and interstitial lung disease</w:t>
            </w:r>
            <w:r w:rsidR="0095773F">
              <w:rPr>
                <w:rFonts w:eastAsia="MS Mincho" w:cs="TimesNewRomanPSMT"/>
              </w:rPr>
              <w:br/>
            </w:r>
            <w:r w:rsidRPr="00CD70BC">
              <w:rPr>
                <w:rFonts w:eastAsia="MS Mincho" w:cs="TimesNewRomanPSMT"/>
              </w:rPr>
              <w:t>Removal of important potential risk: benzyl alcohol toxicity (for CAPS)</w:t>
            </w:r>
          </w:p>
        </w:tc>
      </w:tr>
      <w:tr w:rsidR="00E22D1F" w:rsidRPr="00107999" w:rsidTr="0095773F">
        <w:trPr>
          <w:trHeight w:val="524"/>
        </w:trPr>
        <w:tc>
          <w:tcPr>
            <w:tcW w:w="2376" w:type="dxa"/>
            <w:hideMark/>
          </w:tcPr>
          <w:p w:rsidR="00E22D1F" w:rsidRPr="00CD70BC" w:rsidRDefault="00E22D1F" w:rsidP="0095773F">
            <w:pPr>
              <w:ind w:left="0"/>
            </w:pPr>
            <w:r w:rsidRPr="00CD70BC">
              <w:t>Pharmacovigilance activities</w:t>
            </w:r>
          </w:p>
        </w:tc>
        <w:tc>
          <w:tcPr>
            <w:tcW w:w="6804" w:type="dxa"/>
            <w:gridSpan w:val="3"/>
          </w:tcPr>
          <w:p w:rsidR="00E22D1F" w:rsidRPr="00CD70BC" w:rsidRDefault="00E22D1F" w:rsidP="0095773F">
            <w:pPr>
              <w:ind w:left="0"/>
            </w:pPr>
            <w:r w:rsidRPr="00CD70BC">
              <w:t>Updated study status and milestones.</w:t>
            </w:r>
            <w:r w:rsidR="0095773F">
              <w:br/>
            </w:r>
            <w:r w:rsidRPr="00CD70BC">
              <w:t>Additional information in the ASA relating to the inclusion of Australian patients into CACZ885D2401.</w:t>
            </w:r>
          </w:p>
        </w:tc>
      </w:tr>
      <w:tr w:rsidR="00E22D1F" w:rsidRPr="00107999" w:rsidTr="0095773F">
        <w:trPr>
          <w:trHeight w:val="524"/>
        </w:trPr>
        <w:tc>
          <w:tcPr>
            <w:tcW w:w="2376" w:type="dxa"/>
            <w:hideMark/>
          </w:tcPr>
          <w:p w:rsidR="00E22D1F" w:rsidRPr="00CD70BC" w:rsidRDefault="00E22D1F" w:rsidP="0095773F">
            <w:pPr>
              <w:ind w:left="0"/>
            </w:pPr>
            <w:r w:rsidRPr="00CD70BC">
              <w:t>Risk minimisation activities</w:t>
            </w:r>
          </w:p>
        </w:tc>
        <w:tc>
          <w:tcPr>
            <w:tcW w:w="6804" w:type="dxa"/>
            <w:gridSpan w:val="3"/>
          </w:tcPr>
          <w:p w:rsidR="00E22D1F" w:rsidRPr="00CD70BC" w:rsidRDefault="00E22D1F" w:rsidP="0095773F">
            <w:pPr>
              <w:ind w:left="0"/>
            </w:pPr>
            <w:r w:rsidRPr="00CD70BC">
              <w:t xml:space="preserve">Details of the proposed updates to the educational materials </w:t>
            </w:r>
          </w:p>
        </w:tc>
      </w:tr>
    </w:tbl>
    <w:p w:rsidR="00E22D1F" w:rsidRPr="00942881" w:rsidRDefault="00E22D1F" w:rsidP="0095773F">
      <w:r w:rsidRPr="00BB313F">
        <w:t>The evaluator has no objection to the above changes and recommends to the Delegate that the updated version is implemented (see below).</w:t>
      </w:r>
    </w:p>
    <w:p w:rsidR="00E22D1F" w:rsidRPr="00103076" w:rsidRDefault="00E22D1F" w:rsidP="0095773F">
      <w:pPr>
        <w:pStyle w:val="Heading5"/>
      </w:pPr>
      <w:r w:rsidRPr="00107999">
        <w:lastRenderedPageBreak/>
        <w:t>Suggested wording</w:t>
      </w:r>
      <w:r w:rsidR="0095773F">
        <w:t xml:space="preserve"> for conditions of registration</w:t>
      </w:r>
    </w:p>
    <w:p w:rsidR="00E22D1F" w:rsidRPr="00107999" w:rsidRDefault="00E22D1F" w:rsidP="0095773F">
      <w:pPr>
        <w:pStyle w:val="Heading6"/>
      </w:pPr>
      <w:r w:rsidRPr="00107999">
        <w:t>RMP</w:t>
      </w:r>
    </w:p>
    <w:p w:rsidR="00E22D1F" w:rsidRPr="00107999" w:rsidRDefault="00E22D1F" w:rsidP="0095773F">
      <w:r w:rsidRPr="00B12DBA">
        <w:t xml:space="preserve">The European Risk Management Plan (Version 7.1 dated 13 August 2013, </w:t>
      </w:r>
      <w:r w:rsidRPr="001C3967">
        <w:t>data lock point 31 December 2011</w:t>
      </w:r>
      <w:r>
        <w:t xml:space="preserve"> for clinical trial data and 31 December 2012 for post marketing data</w:t>
      </w:r>
      <w:r w:rsidRPr="00B12DBA">
        <w:t xml:space="preserve">), </w:t>
      </w:r>
      <w:r>
        <w:t>and the</w:t>
      </w:r>
      <w:r w:rsidRPr="00B12DBA">
        <w:t xml:space="preserve"> Australian Specific Annex (Version 4 dated 31 January 2014), </w:t>
      </w:r>
      <w:r>
        <w:t>both must</w:t>
      </w:r>
      <w:r w:rsidRPr="00B12DBA">
        <w:t xml:space="preserve"> be revised</w:t>
      </w:r>
      <w:r>
        <w:t xml:space="preserve"> and updated</w:t>
      </w:r>
      <w:r w:rsidRPr="00B12DBA">
        <w:t xml:space="preserve"> to the satisfaction of the TGA</w:t>
      </w:r>
      <w:r>
        <w:t xml:space="preserve"> prior to the approval of this application.</w:t>
      </w:r>
    </w:p>
    <w:p w:rsidR="008E7846" w:rsidRPr="00792A32" w:rsidRDefault="008E7846" w:rsidP="0095773F">
      <w:pPr>
        <w:pStyle w:val="Heading2"/>
      </w:pPr>
      <w:bookmarkStart w:id="134" w:name="_Toc40847192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8"/>
      <w:bookmarkEnd w:id="132"/>
      <w:bookmarkEnd w:id="133"/>
      <w:bookmarkEnd w:id="134"/>
    </w:p>
    <w:p w:rsidR="008E7846" w:rsidRDefault="008E7846" w:rsidP="0095773F">
      <w:bookmarkStart w:id="13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95773F">
      <w:pPr>
        <w:pStyle w:val="Heading3"/>
      </w:pPr>
      <w:bookmarkStart w:id="136" w:name="_Toc314842511"/>
      <w:bookmarkStart w:id="137" w:name="_Toc408471927"/>
      <w:r>
        <w:t>Quality</w:t>
      </w:r>
      <w:bookmarkEnd w:id="135"/>
      <w:bookmarkEnd w:id="136"/>
      <w:bookmarkEnd w:id="137"/>
    </w:p>
    <w:p w:rsidR="00E22D1F" w:rsidRDefault="00E22D1F" w:rsidP="0095773F">
      <w:bookmarkStart w:id="138" w:name="_Toc314842512"/>
      <w:r>
        <w:t>The drug’s formulation is that of a lyophilised powder that is reconstituted with water for injections and administered as a subcutaneous injection.</w:t>
      </w:r>
      <w:r w:rsidR="00404BA5">
        <w:t xml:space="preserve"> </w:t>
      </w:r>
      <w:r>
        <w:t>No new relative bioavailability studies or biocomparability studies were conducted specific to the sJIA clinical program as the drug product used in the Phase III trials is the same as the current marketed product.</w:t>
      </w:r>
    </w:p>
    <w:p w:rsidR="008E7846" w:rsidRDefault="008E7846" w:rsidP="0095773F">
      <w:pPr>
        <w:pStyle w:val="Heading3"/>
      </w:pPr>
      <w:bookmarkStart w:id="139" w:name="_Toc408471928"/>
      <w:r>
        <w:t>Nonclinical</w:t>
      </w:r>
      <w:bookmarkEnd w:id="138"/>
      <w:bookmarkEnd w:id="139"/>
    </w:p>
    <w:p w:rsidR="00CD70BC" w:rsidRDefault="00CD70BC" w:rsidP="0095773F">
      <w:bookmarkStart w:id="140" w:name="_Toc247691530"/>
      <w:bookmarkStart w:id="141" w:name="_Toc314842513"/>
      <w:r>
        <w:t>No new nonclinical data were submitted.  The nonclinical evaluator was of the opinion that this strategy was acceptable as the efficacy of canakinumab in sJIA was appropriately derived from clinical studies and a thorough nonclinical hazard assessment was previously performed for the CAPS indication and its subsequent variation to extend the CAPS patient group to include also children aged 2 to 4 years.</w:t>
      </w:r>
    </w:p>
    <w:p w:rsidR="00CD70BC" w:rsidRDefault="00CD70BC" w:rsidP="0095773F">
      <w:r>
        <w:t>The sponsor submitted an Addendum to the Nonclinical Overview (plus 18 cited references) which discussed the specific systemic juvenile idiopathic arthritis indication and also updated the non-clinical exposure margins.</w:t>
      </w:r>
    </w:p>
    <w:p w:rsidR="00CD70BC" w:rsidRDefault="00CD70BC" w:rsidP="0095773F">
      <w:r>
        <w:t>Simulated exposure data from a population-based PK model were compared to exposure data obtained from the previously submitted marmoset 13 week SC and 26 week IV toxicology studies.  The typical sJIA patient in the population-based PK model weighed 33 kg and was subjected to a dosing regimen of 4 mg/kg every 4 weeks for six months steady state. When the model and the marmoset data were compared, the relative exposure ratios at the NOAELs in the pivotal marmoset toxicology studies were approximately 80 to 100.  Therefore the nonclinical evaluator was of the opinion that the new indication and its associated dosage regimen do not significantly affect the risk assessment of canakinumab toxicity as these relative exposure ratios are very high.  The clinical Delegate concurs.</w:t>
      </w:r>
    </w:p>
    <w:p w:rsidR="00CD70BC" w:rsidRDefault="00CD70BC" w:rsidP="0095773F">
      <w:r>
        <w:t>There were no nonclinical objections to the registration of canakinumab for the treatment of active sJIA in patients aged 2 years and older.</w:t>
      </w:r>
    </w:p>
    <w:p w:rsidR="00CD70BC" w:rsidRDefault="00CD70BC" w:rsidP="0095773F">
      <w:r>
        <w:t>No changes to the Product Information were recommended on the basis of the nonclinical findings.</w:t>
      </w:r>
    </w:p>
    <w:p w:rsidR="008E7846" w:rsidRDefault="008E7846" w:rsidP="0095773F">
      <w:pPr>
        <w:pStyle w:val="Heading3"/>
      </w:pPr>
      <w:bookmarkStart w:id="142" w:name="_Toc408471929"/>
      <w:r>
        <w:t>Clinical</w:t>
      </w:r>
      <w:bookmarkEnd w:id="140"/>
      <w:bookmarkEnd w:id="141"/>
      <w:bookmarkEnd w:id="142"/>
    </w:p>
    <w:p w:rsidR="00E22D1F" w:rsidRDefault="00E22D1F" w:rsidP="0095773F">
      <w:pPr>
        <w:pStyle w:val="Heading4"/>
      </w:pPr>
      <w:bookmarkStart w:id="143" w:name="_Toc314842514"/>
      <w:r>
        <w:t>Pharmacokinetics</w:t>
      </w:r>
    </w:p>
    <w:p w:rsidR="00E22D1F" w:rsidRDefault="00E22D1F" w:rsidP="0095773F">
      <w:r>
        <w:t xml:space="preserve">Clinical pharmacokinetic (PK) data in the sJIA population </w:t>
      </w:r>
      <w:r w:rsidR="00CD70BC">
        <w:t>and</w:t>
      </w:r>
      <w:r>
        <w:t xml:space="preserve"> based on a sparse sampling approach were collected in the Phase II dose-finding study (A2203), the pivotal Phase III </w:t>
      </w:r>
      <w:r>
        <w:lastRenderedPageBreak/>
        <w:t xml:space="preserve">studies (G2301 </w:t>
      </w:r>
      <w:r w:rsidR="00CD70BC">
        <w:t>and</w:t>
      </w:r>
      <w:r>
        <w:t xml:space="preserve"> G2305) and the extension study (G2301E1).</w:t>
      </w:r>
      <w:r w:rsidR="00404BA5">
        <w:t xml:space="preserve"> </w:t>
      </w:r>
      <w:r>
        <w:t>Study A2203 also collected single dose PK data.</w:t>
      </w:r>
    </w:p>
    <w:p w:rsidR="00D6373F" w:rsidRPr="00D850ED" w:rsidRDefault="00E22D1F" w:rsidP="00D850ED">
      <w:pPr>
        <w:rPr>
          <w:i/>
        </w:rPr>
      </w:pPr>
      <w:r w:rsidRPr="00D6373F">
        <w:t xml:space="preserve">The findings are summarised </w:t>
      </w:r>
      <w:r w:rsidR="00D6373F" w:rsidRPr="00D6373F">
        <w:t xml:space="preserve">in </w:t>
      </w:r>
      <w:r w:rsidR="00D6373F" w:rsidRPr="00D850ED">
        <w:rPr>
          <w:i/>
        </w:rPr>
        <w:t>Evaluator’s overall conclusions on pharmacokinetics above.</w:t>
      </w:r>
    </w:p>
    <w:p w:rsidR="00E22D1F" w:rsidRDefault="00E22D1F" w:rsidP="00D850ED">
      <w:pPr>
        <w:pStyle w:val="Heading4"/>
      </w:pPr>
      <w:r>
        <w:t>Pharmacodynamics</w:t>
      </w:r>
    </w:p>
    <w:p w:rsidR="00E22D1F" w:rsidRDefault="00E22D1F" w:rsidP="00D850ED">
      <w:r>
        <w:t>PK data collected in the Phase II/III studies were used in the development of PK-flare models to explore the relationship between canakinumab exposure and efficacy.</w:t>
      </w:r>
      <w:r w:rsidR="00404BA5">
        <w:t xml:space="preserve"> </w:t>
      </w:r>
      <w:r>
        <w:t xml:space="preserve">The PK-flare model enabled the estimation of the critical flare concentration, </w:t>
      </w:r>
      <w:r w:rsidRPr="00F10008">
        <w:rPr>
          <w:i/>
        </w:rPr>
        <w:t>Ki</w:t>
      </w:r>
      <w:r>
        <w:t>, the latter being the concentration at which there is a 50% probability of clinical relapse (flare).</w:t>
      </w:r>
    </w:p>
    <w:p w:rsidR="00E22D1F" w:rsidRPr="00D850ED" w:rsidRDefault="00E22D1F" w:rsidP="00D850ED">
      <w:pPr>
        <w:rPr>
          <w:i/>
        </w:rPr>
      </w:pPr>
      <w:r>
        <w:t xml:space="preserve">The findings are summarised </w:t>
      </w:r>
      <w:r w:rsidR="00D6373F">
        <w:t xml:space="preserve">under </w:t>
      </w:r>
      <w:r w:rsidR="00D6373F" w:rsidRPr="00D850ED">
        <w:rPr>
          <w:i/>
        </w:rPr>
        <w:t>Evaluator’s overall conclusion on pharmacodynamics above.</w:t>
      </w:r>
    </w:p>
    <w:p w:rsidR="00E22D1F" w:rsidRDefault="00E22D1F" w:rsidP="00D850ED">
      <w:pPr>
        <w:pStyle w:val="Heading4"/>
      </w:pPr>
      <w:r>
        <w:t>Dosage selection for the pivotal studies</w:t>
      </w:r>
    </w:p>
    <w:p w:rsidR="00E22D1F" w:rsidRPr="00592712" w:rsidRDefault="00E22D1F" w:rsidP="00D850ED">
      <w:r>
        <w:t>The dose used in the Phase III studies was based on the PK/PD model analysis performed in Study A2203.</w:t>
      </w:r>
      <w:r w:rsidR="00404BA5">
        <w:t xml:space="preserve"> </w:t>
      </w:r>
      <w:r>
        <w:t>From this analysis it was estimated that 94% of sJIA patients would not flare at a dose of 4</w:t>
      </w:r>
      <w:r w:rsidR="00404BA5">
        <w:t xml:space="preserve"> mg/kg</w:t>
      </w:r>
      <w:r>
        <w:t xml:space="preserve"> over a 4</w:t>
      </w:r>
      <w:r w:rsidR="00CD70BC">
        <w:t xml:space="preserve"> </w:t>
      </w:r>
      <w:r>
        <w:t>week period.</w:t>
      </w:r>
      <w:r w:rsidR="00404BA5">
        <w:t xml:space="preserve"> </w:t>
      </w:r>
      <w:r>
        <w:t>As noted by the clinical evaluator, while there was some gain in efficacy at doses above this level, the level of the gain was not considered large enough to justify higher monthly dosing.</w:t>
      </w:r>
      <w:r w:rsidR="00404BA5">
        <w:t xml:space="preserve"> </w:t>
      </w:r>
      <w:r>
        <w:t xml:space="preserve">The </w:t>
      </w:r>
      <w:r w:rsidR="00CD70BC">
        <w:t>D</w:t>
      </w:r>
      <w:r>
        <w:t>elegate would agree with the clinical evaluator that the justification for selecting the 4</w:t>
      </w:r>
      <w:r w:rsidR="00404BA5">
        <w:t xml:space="preserve"> mg/kg</w:t>
      </w:r>
      <w:r>
        <w:t xml:space="preserve"> dose of canakinumab for the Phase III studies in sJIA is acceptable.</w:t>
      </w:r>
    </w:p>
    <w:p w:rsidR="00E22D1F" w:rsidRDefault="00E22D1F" w:rsidP="00D850ED">
      <w:pPr>
        <w:pStyle w:val="Heading4"/>
      </w:pPr>
      <w:r w:rsidRPr="003F08CF">
        <w:t>Efficacy</w:t>
      </w:r>
    </w:p>
    <w:p w:rsidR="00E22D1F" w:rsidRDefault="00E22D1F" w:rsidP="00D850ED">
      <w:r w:rsidRPr="008F6698">
        <w:t xml:space="preserve">There were two pivotal Phase III efficacy and safety studies (G2301 </w:t>
      </w:r>
      <w:r w:rsidR="00CD70BC" w:rsidRPr="008F6698">
        <w:t>and</w:t>
      </w:r>
      <w:r w:rsidRPr="008F6698">
        <w:t xml:space="preserve"> G2305), one Phase II repeated dose-finding study (A2203) and one uncontrolled extension study (G2301E1).</w:t>
      </w:r>
    </w:p>
    <w:p w:rsidR="00D636AC" w:rsidRDefault="00E22D1F" w:rsidP="00D850ED">
      <w:pPr>
        <w:pStyle w:val="Heading5"/>
      </w:pPr>
      <w:r w:rsidRPr="00D636AC">
        <w:t>Pivotal efficacy studies</w:t>
      </w:r>
    </w:p>
    <w:p w:rsidR="00E22D1F" w:rsidRPr="00D636AC" w:rsidRDefault="00E22D1F" w:rsidP="00D850ED">
      <w:r w:rsidRPr="00D636AC">
        <w:t>Study G2305</w:t>
      </w:r>
      <w:r w:rsidR="00404BA5" w:rsidRPr="00D636AC">
        <w:t xml:space="preserve"> </w:t>
      </w:r>
      <w:r w:rsidRPr="00D636AC">
        <w:t xml:space="preserve">was a randomised, double-blind, placebo-controlled, single-dose, </w:t>
      </w:r>
      <w:r w:rsidR="00404BA5" w:rsidRPr="00D636AC">
        <w:t xml:space="preserve">4 week study </w:t>
      </w:r>
      <w:r w:rsidRPr="00D636AC">
        <w:t>assessing the short term efficacy of canakinumab 4</w:t>
      </w:r>
      <w:r w:rsidR="00404BA5" w:rsidRPr="00D636AC">
        <w:t xml:space="preserve"> mg/kg</w:t>
      </w:r>
      <w:r w:rsidRPr="00D636AC">
        <w:t xml:space="preserve"> in patients aged 2 to 19 years with active sJIA.</w:t>
      </w:r>
      <w:r w:rsidR="00404BA5" w:rsidRPr="00D636AC">
        <w:t xml:space="preserve"> </w:t>
      </w:r>
      <w:r w:rsidRPr="00D636AC">
        <w:t>The primary objective of the study was to demonstrate that the proportion of patients meeting the adapted paediatric ACR30 criteria</w:t>
      </w:r>
      <w:r w:rsidR="007A0D50">
        <w:rPr>
          <w:rStyle w:val="FootnoteReference"/>
        </w:rPr>
        <w:footnoteReference w:id="18"/>
      </w:r>
      <w:r w:rsidRPr="00D636AC">
        <w:t xml:space="preserve"> at </w:t>
      </w:r>
      <w:r w:rsidR="007A0D50">
        <w:t>D</w:t>
      </w:r>
      <w:r w:rsidRPr="00D636AC">
        <w:t>ay 15 was higher with canakinumab compared with placebo.</w:t>
      </w:r>
      <w:r w:rsidR="00404BA5" w:rsidRPr="00D636AC">
        <w:t xml:space="preserve"> </w:t>
      </w:r>
      <w:r w:rsidRPr="00D636AC">
        <w:t>There were a number of secondary objectives.</w:t>
      </w:r>
      <w:r w:rsidR="00404BA5" w:rsidRPr="00D636AC">
        <w:t xml:space="preserve"> </w:t>
      </w:r>
      <w:r w:rsidRPr="00D636AC">
        <w:t>Patients were randomised to canakinumab or placebo in a 1:1 ratio and received either canakinumab 4</w:t>
      </w:r>
      <w:r w:rsidR="00404BA5" w:rsidRPr="00D636AC">
        <w:t xml:space="preserve"> mg/kg</w:t>
      </w:r>
      <w:r w:rsidRPr="00D636AC">
        <w:t xml:space="preserve"> </w:t>
      </w:r>
      <w:r w:rsidR="007A0D50">
        <w:t>SC</w:t>
      </w:r>
      <w:r w:rsidRPr="00D636AC">
        <w:t xml:space="preserve"> or placebo on </w:t>
      </w:r>
      <w:r w:rsidR="007A0D50">
        <w:t>D</w:t>
      </w:r>
      <w:r w:rsidRPr="00D636AC">
        <w:t>ay 1.</w:t>
      </w:r>
    </w:p>
    <w:p w:rsidR="00E22D1F" w:rsidRPr="0041546E" w:rsidRDefault="00E22D1F" w:rsidP="00D850ED">
      <w:pPr>
        <w:pStyle w:val="Heading6"/>
      </w:pPr>
      <w:r w:rsidRPr="0041546E">
        <w:t>Statistical considerations, sample size calculation etc.</w:t>
      </w:r>
    </w:p>
    <w:p w:rsidR="00E22D1F" w:rsidRPr="0041546E" w:rsidRDefault="00E22D1F" w:rsidP="00D850ED">
      <w:r w:rsidRPr="0041546E">
        <w:t>The Full Analysis Set (FAS) consisted of all randomised patients who received at least one dose of study drug.</w:t>
      </w:r>
      <w:r w:rsidR="00404BA5" w:rsidRPr="0041546E">
        <w:t xml:space="preserve"> </w:t>
      </w:r>
      <w:r w:rsidRPr="0041546E">
        <w:t>The sample size was determined on the basis of detecting a treatment difference of 30% between the active and placebo groups in the proportion of patients who responded (60%</w:t>
      </w:r>
      <w:r w:rsidR="00B60592" w:rsidRPr="0041546E">
        <w:t xml:space="preserve"> versus</w:t>
      </w:r>
      <w:r w:rsidRPr="0041546E">
        <w:t xml:space="preserve"> 30% respectively).</w:t>
      </w:r>
      <w:r w:rsidR="00404BA5" w:rsidRPr="0041546E">
        <w:t xml:space="preserve"> </w:t>
      </w:r>
      <w:r w:rsidRPr="0041546E">
        <w:t xml:space="preserve">The sample size was calculated to be 61 patients per group in order to yield 90% power to detect a significant treatment difference using a one-sided significance test with </w:t>
      </w:r>
      <w:r w:rsidR="007A0D50">
        <w:t>α</w:t>
      </w:r>
      <w:r w:rsidRPr="0041546E">
        <w:t xml:space="preserve"> = 0.025 based on Fisher’s exact test.</w:t>
      </w:r>
      <w:r w:rsidR="00404BA5" w:rsidRPr="0041546E">
        <w:t xml:space="preserve"> </w:t>
      </w:r>
      <w:r w:rsidRPr="0041546E">
        <w:t>If the primary objective was achieved, secondary endpoints were assessed in a closed testing procedure in order to control the overall Type 1 error rate (one-sided tests).</w:t>
      </w:r>
    </w:p>
    <w:p w:rsidR="00E22D1F" w:rsidRPr="001C0FCA" w:rsidRDefault="00E22D1F" w:rsidP="00D850ED">
      <w:pPr>
        <w:pStyle w:val="Heading6"/>
      </w:pPr>
      <w:r w:rsidRPr="001C0FCA">
        <w:lastRenderedPageBreak/>
        <w:t>Participant flow</w:t>
      </w:r>
    </w:p>
    <w:p w:rsidR="00E22D1F" w:rsidRPr="001C0FCA" w:rsidRDefault="00E22D1F" w:rsidP="00D850ED">
      <w:r w:rsidRPr="001C0FCA">
        <w:t>A total of 84 patients were randomised, 43 to canakinumab and 41 to placebo.</w:t>
      </w:r>
      <w:r w:rsidR="00404BA5" w:rsidRPr="001C0FCA">
        <w:t xml:space="preserve"> </w:t>
      </w:r>
      <w:r w:rsidRPr="001C0FCA">
        <w:t xml:space="preserve">This fell well short of the projected enrolment based on the sample size calculation of 61 in each treatment group, </w:t>
      </w:r>
      <w:r w:rsidR="007A0D50" w:rsidRPr="001C0FCA">
        <w:t>that is,</w:t>
      </w:r>
      <w:r w:rsidRPr="001C0FCA">
        <w:t xml:space="preserve"> a total enrolment of 122 patients.</w:t>
      </w:r>
      <w:r w:rsidR="00404BA5" w:rsidRPr="001C0FCA">
        <w:t xml:space="preserve"> </w:t>
      </w:r>
      <w:r w:rsidRPr="001C0FCA">
        <w:t>The only reported reason patients discontinued from the study was unsatisfactory therapeutic effect with 90.2% of patients in the placebo group continuing for this reason compared with 14.0% of patients in the canakinumab group.</w:t>
      </w:r>
      <w:r w:rsidR="00404BA5" w:rsidRPr="001C0FCA">
        <w:t xml:space="preserve"> </w:t>
      </w:r>
      <w:r w:rsidR="008524A7" w:rsidRPr="001C0FCA">
        <w:t>In its pre Advisory Committee on prescription medicines (</w:t>
      </w:r>
      <w:r w:rsidRPr="001C0FCA">
        <w:t>ACPM</w:t>
      </w:r>
      <w:r w:rsidR="008524A7" w:rsidRPr="001C0FCA">
        <w:t>)</w:t>
      </w:r>
      <w:r w:rsidRPr="001C0FCA">
        <w:t xml:space="preserve"> response the sponsor is requested to explain how the projected short fall in enrolment may have affected the power calculations of the study.</w:t>
      </w:r>
    </w:p>
    <w:p w:rsidR="00E22D1F" w:rsidRPr="0041546E" w:rsidRDefault="00E22D1F" w:rsidP="00D850ED">
      <w:pPr>
        <w:pStyle w:val="Heading6"/>
      </w:pPr>
      <w:r w:rsidRPr="0041546E">
        <w:t>Baseline data</w:t>
      </w:r>
    </w:p>
    <w:p w:rsidR="00E22D1F" w:rsidRPr="0041546E" w:rsidRDefault="00E22D1F" w:rsidP="00D850ED">
      <w:r w:rsidRPr="0041546E">
        <w:t>The majority of patients (92%) were Caucasian, 41% were male, and the mean age was 9.0 years with the largest proportion of patients being aged 6</w:t>
      </w:r>
      <w:r w:rsidR="007A0D50">
        <w:t xml:space="preserve"> to </w:t>
      </w:r>
      <w:r w:rsidRPr="0041546E">
        <w:t>11 years (43%).</w:t>
      </w:r>
      <w:r w:rsidR="00404BA5" w:rsidRPr="0041546E">
        <w:t xml:space="preserve"> </w:t>
      </w:r>
      <w:r w:rsidRPr="0041546E">
        <w:t>Canakinumab and placebo groups were generally comparable with the exception of the number of patients aged 2 to &lt;4 years (all on canakinumab), and a lower proportion of patients aged 6 to &lt;12 years on canakinumab than on placebo (32.6%</w:t>
      </w:r>
      <w:r w:rsidR="00B60592" w:rsidRPr="0041546E">
        <w:t xml:space="preserve"> versus</w:t>
      </w:r>
      <w:r w:rsidRPr="0041546E">
        <w:t xml:space="preserve"> 53.7%, respectively).</w:t>
      </w:r>
    </w:p>
    <w:p w:rsidR="00E22D1F" w:rsidRPr="0041546E" w:rsidRDefault="00E22D1F" w:rsidP="00D850ED">
      <w:r w:rsidRPr="0041546E">
        <w:t>Baseline CRP levels, number of active joints, number of joints with limited range of motion, pain intensity using a 0</w:t>
      </w:r>
      <w:r w:rsidR="007A0D50">
        <w:t xml:space="preserve"> to </w:t>
      </w:r>
      <w:r w:rsidRPr="0041546E">
        <w:t>100 mm VAS, and CHAQ scores are consistent with a population of sJIA patients with moderately severe active disease.</w:t>
      </w:r>
      <w:r w:rsidR="00404BA5" w:rsidRPr="0041546E">
        <w:t xml:space="preserve"> </w:t>
      </w:r>
      <w:r w:rsidRPr="0041546E">
        <w:t>Baseline disease appeared to be slightly more severe in patients in the canakinumab group compared to patients in the placebo group, based on patient’s global assessment of overall wellbeing (62.9 v</w:t>
      </w:r>
      <w:r w:rsidR="007A0D50">
        <w:t>ersu</w:t>
      </w:r>
      <w:r w:rsidRPr="0041546E">
        <w:t>s 55.6), pain (69.7 v</w:t>
      </w:r>
      <w:r w:rsidR="007A0D50">
        <w:t>ersu</w:t>
      </w:r>
      <w:r w:rsidRPr="0041546E">
        <w:t>s 60.9), number of active joints (15.8 v</w:t>
      </w:r>
      <w:r w:rsidR="007A0D50">
        <w:t>ersu</w:t>
      </w:r>
      <w:r w:rsidRPr="0041546E">
        <w:t>s 12.4), and number of joints with limited range of motion (14.3 v</w:t>
      </w:r>
      <w:r w:rsidR="007A0D50">
        <w:t>ersu</w:t>
      </w:r>
      <w:r w:rsidRPr="0041546E">
        <w:t>s 12.4), although all of these variables varied widely.</w:t>
      </w:r>
    </w:p>
    <w:p w:rsidR="00E22D1F" w:rsidRPr="0041546E" w:rsidRDefault="00E22D1F" w:rsidP="00D850ED">
      <w:pPr>
        <w:pStyle w:val="Heading6"/>
      </w:pPr>
      <w:r w:rsidRPr="0041546E">
        <w:t>Results for the primary efficacy outcome</w:t>
      </w:r>
    </w:p>
    <w:p w:rsidR="00E22D1F" w:rsidRPr="0041546E" w:rsidRDefault="00E22D1F" w:rsidP="00D850ED">
      <w:r w:rsidRPr="0041546E">
        <w:t>There was a higher proportion of patients with an ACR30 at Day 15 in the canakinumab group (36/43 or 83.7%) compared with the placebo group (4/41 or 9.8%).</w:t>
      </w:r>
      <w:r w:rsidR="00404BA5" w:rsidRPr="0041546E">
        <w:t xml:space="preserve"> </w:t>
      </w:r>
      <w:r w:rsidRPr="0041546E">
        <w:t>Patients in the canakinumab group were more likely to respond to treatment compared with patients in the placebo group (OR 62.29; 95% CI [12.68, 306.07]; p&lt;0.0001).</w:t>
      </w:r>
      <w:r w:rsidR="00404BA5" w:rsidRPr="0041546E">
        <w:t xml:space="preserve"> </w:t>
      </w:r>
      <w:r w:rsidRPr="0041546E">
        <w:t>As noted by the clinical evaluator, the wide CI reflects the small sample size.</w:t>
      </w:r>
    </w:p>
    <w:p w:rsidR="00E22D1F" w:rsidRPr="0041546E" w:rsidRDefault="00E22D1F" w:rsidP="00D850ED">
      <w:r w:rsidRPr="0041546E">
        <w:t>The results were consistent for all ACR responders at Day 15 regardless of gender, age or baseline corticosteroid usage.</w:t>
      </w:r>
      <w:r w:rsidR="00404BA5" w:rsidRPr="0041546E">
        <w:t xml:space="preserve"> </w:t>
      </w:r>
      <w:r w:rsidRPr="0041546E">
        <w:t>For example, in patients aged 2 to &lt;4 years of age, an ACR30 was seen in 7/9 (77.8%) patients (there were no placebo patients in this age category).</w:t>
      </w:r>
    </w:p>
    <w:p w:rsidR="00E22D1F" w:rsidRPr="0041546E" w:rsidRDefault="00E22D1F" w:rsidP="00D850ED">
      <w:pPr>
        <w:pStyle w:val="Heading6"/>
      </w:pPr>
      <w:r w:rsidRPr="0041546E">
        <w:t>Results for other efficacy outcomes</w:t>
      </w:r>
    </w:p>
    <w:p w:rsidR="00D850ED" w:rsidRDefault="00E22D1F" w:rsidP="00D850ED">
      <w:r w:rsidRPr="0041546E">
        <w:t>Each of the steps in the closed testing procedure for the secondary efficacy outcomes was satisfied.</w:t>
      </w:r>
      <w:r w:rsidR="00404BA5" w:rsidRPr="0041546E">
        <w:t xml:space="preserve"> </w:t>
      </w:r>
      <w:r w:rsidRPr="0041546E">
        <w:t>In other words, each of those outcomes was statistically significant.</w:t>
      </w:r>
    </w:p>
    <w:p w:rsidR="00D850ED" w:rsidRPr="00D850ED" w:rsidRDefault="00D850ED" w:rsidP="00D850ED">
      <w:pPr>
        <w:pStyle w:val="Heading5"/>
        <w:rPr>
          <w:rStyle w:val="Heading5Char"/>
          <w:rFonts w:eastAsia="Cambria"/>
          <w:b/>
          <w:i/>
        </w:rPr>
      </w:pPr>
      <w:r w:rsidRPr="00D850ED">
        <w:rPr>
          <w:rStyle w:val="Heading5Char"/>
          <w:rFonts w:eastAsia="Cambria"/>
          <w:b/>
          <w:i/>
        </w:rPr>
        <w:t>Study G2301</w:t>
      </w:r>
    </w:p>
    <w:p w:rsidR="00E22D1F" w:rsidRPr="0041546E" w:rsidRDefault="00E22D1F" w:rsidP="00D850ED">
      <w:r w:rsidRPr="0041546E">
        <w:t>This was a 2</w:t>
      </w:r>
      <w:r w:rsidR="007A0D50">
        <w:t xml:space="preserve"> </w:t>
      </w:r>
      <w:r w:rsidRPr="0041546E">
        <w:t>part Phase III study to evaluate the efficacy and safety of canakinumab 4</w:t>
      </w:r>
      <w:r w:rsidR="00404BA5" w:rsidRPr="0041546E">
        <w:t xml:space="preserve"> mg/kg</w:t>
      </w:r>
      <w:r w:rsidRPr="0041546E">
        <w:t xml:space="preserve"> every 4 weeks (q4w) in patients with sJIA and active systemic manifestations.</w:t>
      </w:r>
      <w:r w:rsidR="00404BA5" w:rsidRPr="0041546E">
        <w:t xml:space="preserve"> </w:t>
      </w:r>
      <w:r w:rsidRPr="007A0D50">
        <w:t>Part I consisted of a 32</w:t>
      </w:r>
      <w:r w:rsidR="007A0D50">
        <w:t xml:space="preserve"> </w:t>
      </w:r>
      <w:r w:rsidRPr="007A0D50">
        <w:t>week open-label, single-arm active treatment, and Part II was a randomised, double-blind, placebo controlled, event-driven withdrawal study of flare prevention.</w:t>
      </w:r>
      <w:r w:rsidR="00404BA5" w:rsidRPr="007A0D50">
        <w:t xml:space="preserve"> </w:t>
      </w:r>
      <w:r w:rsidRPr="007A0D50">
        <w:t>Part I had four sub-parts. The aims of Parts Ia and Ib were to ind</w:t>
      </w:r>
      <w:r w:rsidRPr="0041546E">
        <w:t>uce and maintain at least an ACR30 response without steroid tapering. Part Ic aimed to reduce steroid dose prior to the potentially long duration of Part II and to evaluate steroid tapering in responders. Part Id was designed to stabilise patients on an achieved steroid dose before entering Part II.</w:t>
      </w:r>
      <w:r w:rsidR="00404BA5" w:rsidRPr="0041546E">
        <w:t xml:space="preserve"> </w:t>
      </w:r>
      <w:r w:rsidRPr="0041546E">
        <w:t>The study design is shown in Figure 7 of the CER.</w:t>
      </w:r>
    </w:p>
    <w:p w:rsidR="00E22D1F" w:rsidRPr="0041546E" w:rsidRDefault="00E22D1F" w:rsidP="00D850ED">
      <w:r w:rsidRPr="0041546E">
        <w:t xml:space="preserve">The primary objective of Part I was to assess if canakinumab allowed tapering of steroids as per protocol in at least 25% of the patients, while for Part II, the primary objective was </w:t>
      </w:r>
      <w:r w:rsidRPr="0041546E">
        <w:lastRenderedPageBreak/>
        <w:t>to demonstrate that the time to flare was longer with canakinumab than with placebo.</w:t>
      </w:r>
      <w:r w:rsidR="00404BA5" w:rsidRPr="0041546E">
        <w:t xml:space="preserve"> </w:t>
      </w:r>
      <w:r w:rsidRPr="0041546E">
        <w:t xml:space="preserve">There were a number of secondary </w:t>
      </w:r>
      <w:r w:rsidR="007A0D50">
        <w:t>and</w:t>
      </w:r>
      <w:r w:rsidRPr="0041546E">
        <w:t xml:space="preserve"> exploratory objectives.</w:t>
      </w:r>
    </w:p>
    <w:p w:rsidR="00E22D1F" w:rsidRPr="0041546E" w:rsidRDefault="00E22D1F" w:rsidP="00D850ED">
      <w:r w:rsidRPr="0041546E">
        <w:t xml:space="preserve">The inclusion and exclusion criteria were the same as those for </w:t>
      </w:r>
      <w:r w:rsidR="007A0D50">
        <w:t>S</w:t>
      </w:r>
      <w:r w:rsidRPr="0041546E">
        <w:t>tudy G2305, with the exception that patients did not have to be canakinumab naive.</w:t>
      </w:r>
    </w:p>
    <w:p w:rsidR="00E22D1F" w:rsidRPr="0041546E" w:rsidRDefault="00E22D1F" w:rsidP="00D850ED">
      <w:r w:rsidRPr="0041546E">
        <w:t>In Part I, patients received a single dose of canakinumab (4</w:t>
      </w:r>
      <w:r w:rsidR="00404BA5" w:rsidRPr="0041546E">
        <w:t xml:space="preserve"> mg/kg</w:t>
      </w:r>
      <w:r w:rsidRPr="0041546E">
        <w:t xml:space="preserve"> to a maximum of 300 mg)</w:t>
      </w:r>
      <w:r w:rsidR="00404BA5" w:rsidRPr="0041546E">
        <w:t xml:space="preserve"> SC</w:t>
      </w:r>
      <w:r w:rsidRPr="0041546E">
        <w:t xml:space="preserve"> every 4 weeks.</w:t>
      </w:r>
      <w:r w:rsidR="00404BA5" w:rsidRPr="0041546E">
        <w:t xml:space="preserve"> </w:t>
      </w:r>
      <w:r w:rsidRPr="0041546E">
        <w:t>Patients on steroids were not permitted to taper the dose in Parts Ia or Ib, but could do so in Part Ic if the ACR30 response was maintained.</w:t>
      </w:r>
      <w:r w:rsidR="00404BA5" w:rsidRPr="0041546E">
        <w:t xml:space="preserve"> </w:t>
      </w:r>
      <w:r w:rsidRPr="0041546E">
        <w:t>This reduced steroid dose was to be maintained in Part Id.</w:t>
      </w:r>
      <w:r w:rsidR="00404BA5" w:rsidRPr="0041546E">
        <w:t xml:space="preserve"> </w:t>
      </w:r>
      <w:r w:rsidRPr="0041546E">
        <w:t>Patients who were unable to maintain a minimum ACR30 response in Parts Ia, Ib, or Ic were discontinued from the study but were eligible to enter the extension study, G2301E1.</w:t>
      </w:r>
    </w:p>
    <w:p w:rsidR="00E22D1F" w:rsidRPr="0041546E" w:rsidRDefault="00E22D1F" w:rsidP="00D850ED">
      <w:r w:rsidRPr="0041546E">
        <w:t>Patients who maintained a minimum ACR30 response throughout Part I were randomised to either canakinumab (4</w:t>
      </w:r>
      <w:r w:rsidR="00404BA5" w:rsidRPr="0041546E">
        <w:t xml:space="preserve"> mg/kg</w:t>
      </w:r>
      <w:r w:rsidRPr="0041546E">
        <w:t xml:space="preserve"> to a maximum of 300 mg) or matching placebo</w:t>
      </w:r>
      <w:r w:rsidR="00404BA5" w:rsidRPr="0041546E">
        <w:t xml:space="preserve"> SC</w:t>
      </w:r>
      <w:r w:rsidRPr="0041546E">
        <w:t xml:space="preserve"> every 4 weeks in Part II.</w:t>
      </w:r>
      <w:r w:rsidR="00404BA5" w:rsidRPr="0041546E">
        <w:t xml:space="preserve"> </w:t>
      </w:r>
      <w:r w:rsidRPr="0041546E">
        <w:t>Therefore, patients in the placebo group had received at least one dose of canakinumab in Part I of the study.</w:t>
      </w:r>
    </w:p>
    <w:p w:rsidR="00E22D1F" w:rsidRPr="0041546E" w:rsidRDefault="00E22D1F" w:rsidP="00D850ED">
      <w:r w:rsidRPr="0041546E">
        <w:t>The planned duration of Part I was a maximum of 32 weeks (Part Ia: 4 weeks; Part Ib: 4 weeks; Part Ic: up to 20 weeks; Part Id: 4 weeks).</w:t>
      </w:r>
      <w:r w:rsidR="00404BA5" w:rsidRPr="0041546E">
        <w:t xml:space="preserve"> </w:t>
      </w:r>
      <w:r w:rsidRPr="0041546E">
        <w:t>The average planned duration of Part II was estimated to be 75 weeks.</w:t>
      </w:r>
      <w:r w:rsidR="00404BA5" w:rsidRPr="0041546E">
        <w:t xml:space="preserve"> </w:t>
      </w:r>
      <w:r w:rsidRPr="0041546E">
        <w:t>The study was stopped when the required number of 37 flare events had occurred in Part II and all eligible patients had completed Parts Ic and/or Id.</w:t>
      </w:r>
    </w:p>
    <w:p w:rsidR="00E22D1F" w:rsidRPr="0041546E" w:rsidRDefault="00E22D1F" w:rsidP="00D850ED">
      <w:pPr>
        <w:pStyle w:val="Heading6"/>
      </w:pPr>
      <w:r w:rsidRPr="0041546E">
        <w:t xml:space="preserve">Statistical considerations, sample size calculation </w:t>
      </w:r>
      <w:r w:rsidRPr="007A0D50">
        <w:t>etc</w:t>
      </w:r>
      <w:r w:rsidRPr="0041546E">
        <w:t>.</w:t>
      </w:r>
    </w:p>
    <w:p w:rsidR="00E22D1F" w:rsidRPr="0041546E" w:rsidRDefault="00E22D1F" w:rsidP="00DF0C78">
      <w:r w:rsidRPr="0041546E">
        <w:t>Randomisation and blinding was not required for Part I (open-label, active treatment period).</w:t>
      </w:r>
      <w:r w:rsidR="00404BA5" w:rsidRPr="0041546E">
        <w:t xml:space="preserve"> </w:t>
      </w:r>
      <w:r w:rsidRPr="0041546E">
        <w:t xml:space="preserve">Randomisation into Part II was stratified by oral prednisone (or equivalent) dose at baseline (two strata: </w:t>
      </w:r>
      <w:r w:rsidR="007A0D50">
        <w:t>≤</w:t>
      </w:r>
      <w:r w:rsidRPr="0041546E">
        <w:t xml:space="preserve"> 0.4</w:t>
      </w:r>
      <w:r w:rsidR="00404BA5" w:rsidRPr="0041546E">
        <w:t xml:space="preserve"> mg/kg</w:t>
      </w:r>
      <w:r w:rsidRPr="0041546E">
        <w:t>, &gt; 0.4</w:t>
      </w:r>
      <w:r w:rsidR="00404BA5" w:rsidRPr="0041546E">
        <w:t xml:space="preserve"> mg/kg</w:t>
      </w:r>
      <w:r w:rsidRPr="0041546E">
        <w:t xml:space="preserve">) and degree of adapted ACR Paediatric response reached at end of Part Id (two strata: &gt; ACR50, </w:t>
      </w:r>
      <w:r w:rsidR="007A0D50">
        <w:t>≤</w:t>
      </w:r>
      <w:r w:rsidRPr="0041546E">
        <w:t xml:space="preserve"> ACR50).</w:t>
      </w:r>
    </w:p>
    <w:p w:rsidR="00E22D1F" w:rsidRPr="0041546E" w:rsidRDefault="00E22D1F" w:rsidP="00DF0C78">
      <w:r w:rsidRPr="0041546E">
        <w:t>Part I and Part II of the trial each had a Full Analysis Set (FAS) and a Safety Set (SS).</w:t>
      </w:r>
      <w:r w:rsidR="00404BA5" w:rsidRPr="0041546E">
        <w:t xml:space="preserve"> </w:t>
      </w:r>
      <w:r w:rsidRPr="0041546E">
        <w:t>The FAS for Part I (FAS I) and Part II (FAS II) consisted of all patients who received at least one dose of study drug in Part I or Part II, respectively.</w:t>
      </w:r>
      <w:r w:rsidR="00404BA5" w:rsidRPr="0041546E">
        <w:t xml:space="preserve"> </w:t>
      </w:r>
      <w:r w:rsidRPr="0041546E">
        <w:t>Patients were analysed according to the treatment they were assigned at randomisation in Part II (intention-to-treat principle).</w:t>
      </w:r>
      <w:r w:rsidR="00404BA5" w:rsidRPr="0041546E">
        <w:t xml:space="preserve"> </w:t>
      </w:r>
      <w:r w:rsidRPr="0041546E">
        <w:t>There was no Per-Protocol Analysis Set.</w:t>
      </w:r>
    </w:p>
    <w:p w:rsidR="00E22D1F" w:rsidRPr="001C0FCA" w:rsidRDefault="00E22D1F" w:rsidP="00DF0C78">
      <w:r w:rsidRPr="0041546E">
        <w:t>The sample size for Part II was determined on the basis of the difference between the active and placebo groups in the percentage of patients who flared in the first 24 weeks of Part II, the percentages of patients to flare estimated to be 25% of those in the active group</w:t>
      </w:r>
      <w:r w:rsidR="00B60592" w:rsidRPr="0041546E">
        <w:t xml:space="preserve"> versus</w:t>
      </w:r>
      <w:r w:rsidRPr="0041546E">
        <w:t xml:space="preserve"> 70% in the placebo group.</w:t>
      </w:r>
      <w:r w:rsidR="00404BA5" w:rsidRPr="0041546E">
        <w:t xml:space="preserve"> </w:t>
      </w:r>
      <w:r w:rsidRPr="0041546E">
        <w:t xml:space="preserve">The sample size was calculated to be 29 patients per group (Part II) in order to give 90% power to </w:t>
      </w:r>
      <w:r w:rsidRPr="001C0FCA">
        <w:t>detect a significant treatment difference using a one-sided significance test with α=0.025 based on Fishers’ exact test.</w:t>
      </w:r>
      <w:r w:rsidR="00404BA5" w:rsidRPr="001C0FCA">
        <w:t xml:space="preserve"> </w:t>
      </w:r>
      <w:r w:rsidRPr="001C0FCA">
        <w:t>The clinical evaluator requested that the sponsor provide the clinical justification for these percentage estimates.</w:t>
      </w:r>
      <w:r w:rsidR="00404BA5" w:rsidRPr="001C0FCA">
        <w:t xml:space="preserve"> </w:t>
      </w:r>
      <w:r w:rsidRPr="001C0FCA">
        <w:t>The sponsor’s response was dealt with in the second round of evaluation.</w:t>
      </w:r>
    </w:p>
    <w:p w:rsidR="00E22D1F" w:rsidRPr="0041546E" w:rsidRDefault="00E22D1F" w:rsidP="00DF0C78">
      <w:r w:rsidRPr="0041546E">
        <w:t>Analysis of the primary outcome for Part I of the study was descriptive only, comprising the frequency and percentage of patients who were able to taper oral steroids together with a two-sided 90% exact confidence interval (CI).</w:t>
      </w:r>
    </w:p>
    <w:p w:rsidR="00E22D1F" w:rsidRPr="0041546E" w:rsidRDefault="00E22D1F" w:rsidP="00DF0C78">
      <w:r w:rsidRPr="0041546E">
        <w:t>The primary outcome for Part II of the study (time to flare events in Part II with canakinumab</w:t>
      </w:r>
      <w:r w:rsidR="00B60592" w:rsidRPr="0041546E">
        <w:t xml:space="preserve"> versus</w:t>
      </w:r>
      <w:r w:rsidRPr="0041546E">
        <w:t xml:space="preserve"> placebo) was analysed using a one-sided stratified log-rank test at the 2.5% significance level with the stratification factors entered as explanatory variables. The hazard ratio (HR) and its associated 95% two-sided CIs were estimated.</w:t>
      </w:r>
      <w:r w:rsidR="00404BA5" w:rsidRPr="0041546E">
        <w:t xml:space="preserve"> </w:t>
      </w:r>
      <w:r w:rsidRPr="0041546E">
        <w:t>Kaplan-Meier (K-M) estimates and the 95% CIs of the probability of experiencing a flare event were calculated from the beginning of Part II.</w:t>
      </w:r>
      <w:r w:rsidR="00404BA5" w:rsidRPr="0041546E">
        <w:t xml:space="preserve"> </w:t>
      </w:r>
      <w:r w:rsidRPr="0041546E">
        <w:t>The cumulative event of the probability to stay flare free (1-the probability of experiencing a flare) were plotted against time.</w:t>
      </w:r>
    </w:p>
    <w:p w:rsidR="00E22D1F" w:rsidRPr="001C0FCA" w:rsidRDefault="00E22D1F" w:rsidP="00DF0C78">
      <w:r w:rsidRPr="001C0FCA">
        <w:lastRenderedPageBreak/>
        <w:t>As noted by the clinical evaluator, sustained efficacy was important, therefore patients who discontinued the study while in Part II were counted as flares unless they discontinued because of inactive disease for at least 24 weeks in Part II.</w:t>
      </w:r>
    </w:p>
    <w:p w:rsidR="00E22D1F" w:rsidRPr="0041546E" w:rsidRDefault="00E22D1F" w:rsidP="00DF0C78">
      <w:pPr>
        <w:pStyle w:val="Heading6"/>
      </w:pPr>
      <w:r w:rsidRPr="0041546E">
        <w:t>Participant flow</w:t>
      </w:r>
    </w:p>
    <w:p w:rsidR="00E22D1F" w:rsidRPr="0075797D" w:rsidRDefault="00E22D1F" w:rsidP="00DF0C78">
      <w:r w:rsidRPr="0041546E">
        <w:t>Of the 177 patients who entered Part I of the study, 100 were randomised into Part II (50 each to canakinumab and placebo).</w:t>
      </w:r>
      <w:r w:rsidR="00404BA5" w:rsidRPr="0041546E">
        <w:t xml:space="preserve"> </w:t>
      </w:r>
      <w:r w:rsidRPr="0041546E">
        <w:t>There were 72 (72/177 or 40.7%) patients from Part I of the study who discontinued and the primary reason motivating discontinuation was unsatisfactory therapeutic effect</w:t>
      </w:r>
      <w:r w:rsidRPr="0075797D">
        <w:t>.</w:t>
      </w:r>
      <w:r w:rsidR="00404BA5" w:rsidRPr="0075797D">
        <w:t xml:space="preserve"> </w:t>
      </w:r>
      <w:r w:rsidRPr="0075797D">
        <w:t xml:space="preserve">These 72 were made up as follows: 27 who withdrew with no initial response at </w:t>
      </w:r>
      <w:r w:rsidR="007A0D50">
        <w:t>D</w:t>
      </w:r>
      <w:r w:rsidRPr="0075797D">
        <w:t xml:space="preserve">ay 15, 15 who withdrew because of loss of response after day 15, 26 because of steroid tapering failure, 2 with CRP </w:t>
      </w:r>
      <w:r w:rsidR="007A0D50">
        <w:t>≥</w:t>
      </w:r>
      <w:r w:rsidRPr="0075797D">
        <w:t xml:space="preserve"> 10 and 2 with flare.</w:t>
      </w:r>
      <w:r w:rsidR="00404BA5" w:rsidRPr="0075797D">
        <w:t xml:space="preserve"> </w:t>
      </w:r>
      <w:r w:rsidRPr="0075797D">
        <w:t>In addition, there were 4 who withdrew because of adverse events and one person who died.</w:t>
      </w:r>
    </w:p>
    <w:p w:rsidR="00E22D1F" w:rsidRPr="0075797D" w:rsidRDefault="00E22D1F" w:rsidP="00DF0C78">
      <w:r w:rsidRPr="0075797D">
        <w:t>In Part II, 63 patients completed the study (either achieved 24 consecutive weeks of inactive disease or were still active in Part II at the time of study closure [</w:t>
      </w:r>
      <w:r w:rsidR="007D3D50">
        <w:t>that is</w:t>
      </w:r>
      <w:r w:rsidRPr="0075797D">
        <w:t>, after the 37 flare events were achieved]).</w:t>
      </w:r>
      <w:r w:rsidR="00404BA5" w:rsidRPr="0075797D">
        <w:t xml:space="preserve"> </w:t>
      </w:r>
      <w:r w:rsidRPr="0075797D">
        <w:t>There were 11 discontinuations in the canakinumab group (11/50 or 22%) and 26 discontinuations in the placebo group (26/50 or 52%). The primary reason for discontinuation in Part II for both treatment groups was unsatisfactory therapeutic effect (11/50 or 22% canakinumab; 20/50 or 40% placebo).</w:t>
      </w:r>
      <w:r w:rsidR="00404BA5" w:rsidRPr="0075797D">
        <w:t xml:space="preserve"> </w:t>
      </w:r>
      <w:r w:rsidRPr="0075797D">
        <w:t>All discontinuations due to AEs (n=4, 8%) were in the placebo arm.</w:t>
      </w:r>
      <w:r w:rsidR="00404BA5" w:rsidRPr="0075797D">
        <w:t xml:space="preserve"> </w:t>
      </w:r>
      <w:r w:rsidRPr="0075797D">
        <w:t>As well in the placebo group, there was one subject who withdrew consent and one protocol deviation.</w:t>
      </w:r>
    </w:p>
    <w:p w:rsidR="00E22D1F" w:rsidRPr="0075797D" w:rsidRDefault="00E22D1F" w:rsidP="00DF0C78">
      <w:pPr>
        <w:pStyle w:val="Heading6"/>
      </w:pPr>
      <w:r w:rsidRPr="0075797D">
        <w:t>Baseline data</w:t>
      </w:r>
    </w:p>
    <w:p w:rsidR="00E22D1F" w:rsidRPr="0075797D" w:rsidRDefault="00E22D1F" w:rsidP="00DF0C78">
      <w:r w:rsidRPr="0075797D">
        <w:t>In Part I, the majority of patients (85%) were Caucasian, 45% were male, and the mean age was 8.7 years with the largest proportion of patients being aged 6</w:t>
      </w:r>
      <w:r w:rsidR="007D3D50">
        <w:t xml:space="preserve"> to </w:t>
      </w:r>
      <w:r w:rsidRPr="0075797D">
        <w:t>11 years (43%).</w:t>
      </w:r>
      <w:r w:rsidR="00404BA5" w:rsidRPr="0075797D">
        <w:t xml:space="preserve"> </w:t>
      </w:r>
      <w:r w:rsidRPr="0075797D">
        <w:t xml:space="preserve">There were 21 patients (12%) aged 2 - </w:t>
      </w:r>
      <w:r w:rsidR="007D3D50">
        <w:t>≤</w:t>
      </w:r>
      <w:r w:rsidRPr="0075797D">
        <w:t>4 years.</w:t>
      </w:r>
      <w:r w:rsidR="00404BA5" w:rsidRPr="0075797D">
        <w:t xml:space="preserve"> </w:t>
      </w:r>
      <w:r w:rsidRPr="0075797D">
        <w:t>This distribution was similar in Part II in both the placebo and canakinumab groups, with the exception of a larger proportion of patients aged 4</w:t>
      </w:r>
      <w:r w:rsidR="007D3D50">
        <w:t xml:space="preserve"> to </w:t>
      </w:r>
      <w:r w:rsidRPr="0075797D">
        <w:t>5 years in the placebo group (22%) compared with the canakinumab group (10%), and the converse in patients aged 6</w:t>
      </w:r>
      <w:r w:rsidR="007D3D50">
        <w:t xml:space="preserve"> to </w:t>
      </w:r>
      <w:r w:rsidRPr="0075797D">
        <w:t>11 years (36% in the placebo group, 48% in the canakinumab group).</w:t>
      </w:r>
      <w:r w:rsidR="00404BA5" w:rsidRPr="0075797D">
        <w:t xml:space="preserve"> </w:t>
      </w:r>
      <w:r w:rsidRPr="0075797D">
        <w:t xml:space="preserve">There were 10 patients (5 each in the placebo and canakinumab groups, 10%) aged 2 - </w:t>
      </w:r>
      <w:r w:rsidR="007D3D50">
        <w:t>≤</w:t>
      </w:r>
      <w:r w:rsidRPr="0075797D">
        <w:t>4 years.</w:t>
      </w:r>
    </w:p>
    <w:p w:rsidR="00E22D1F" w:rsidRPr="001C0FCA" w:rsidRDefault="00E22D1F" w:rsidP="00DF0C78">
      <w:pPr>
        <w:rPr>
          <w:rFonts w:eastAsia="TimesNewRomanPSMT" w:cs="TimesNewRomanPSMT"/>
        </w:rPr>
      </w:pPr>
      <w:r w:rsidRPr="0075797D">
        <w:t>Most patients had a polyarthritic pattern of disease.</w:t>
      </w:r>
      <w:r w:rsidR="00404BA5" w:rsidRPr="0075797D">
        <w:t xml:space="preserve"> </w:t>
      </w:r>
      <w:r w:rsidRPr="0075797D">
        <w:t>The majority of patients reported the presence of systemic signs after the first 6 months of disease (83.6%) and the median number of active joints was 10.0.</w:t>
      </w:r>
      <w:r w:rsidR="00404BA5" w:rsidRPr="0075797D">
        <w:t xml:space="preserve"> </w:t>
      </w:r>
      <w:r w:rsidRPr="0075797D">
        <w:t xml:space="preserve">Approximately 72% of patients were taking a steroid at </w:t>
      </w:r>
      <w:r w:rsidRPr="001C0FCA">
        <w:t>baseline.</w:t>
      </w:r>
      <w:r w:rsidR="00404BA5" w:rsidRPr="001C0FCA">
        <w:t xml:space="preserve"> </w:t>
      </w:r>
      <w:r w:rsidRPr="001C0FCA">
        <w:t>Disease history was broadly similar between the two treatment groups.</w:t>
      </w:r>
      <w:r w:rsidR="00404BA5" w:rsidRPr="001C0FCA">
        <w:t xml:space="preserve"> </w:t>
      </w:r>
      <w:r w:rsidRPr="001C0FCA">
        <w:rPr>
          <w:rFonts w:eastAsia="TimesNewRomanPSMT" w:cs="TimesNewRomanPSMT"/>
        </w:rPr>
        <w:t>The majority of patients (84.2%) were taking a medication prior to study start.</w:t>
      </w:r>
      <w:r w:rsidR="00404BA5" w:rsidRPr="001C0FCA">
        <w:rPr>
          <w:rFonts w:eastAsia="TimesNewRomanPSMT" w:cs="TimesNewRomanPSMT"/>
        </w:rPr>
        <w:t xml:space="preserve"> </w:t>
      </w:r>
      <w:r w:rsidRPr="001C0FCA">
        <w:rPr>
          <w:rFonts w:eastAsia="TimesNewRomanPSMT" w:cs="TimesNewRomanPSMT"/>
        </w:rPr>
        <w:t xml:space="preserve">The </w:t>
      </w:r>
      <w:r w:rsidR="007D3D50" w:rsidRPr="001C0FCA">
        <w:rPr>
          <w:rFonts w:eastAsia="TimesNewRomanPSMT" w:cs="TimesNewRomanPSMT"/>
        </w:rPr>
        <w:t>D</w:t>
      </w:r>
      <w:r w:rsidRPr="001C0FCA">
        <w:rPr>
          <w:rFonts w:eastAsia="TimesNewRomanPSMT" w:cs="TimesNewRomanPSMT"/>
        </w:rPr>
        <w:t>elegate agrees with the clinical evaluator that the study participants were representative of patients with active sJIA.</w:t>
      </w:r>
    </w:p>
    <w:p w:rsidR="00E22D1F" w:rsidRPr="001C0FCA" w:rsidRDefault="00E22D1F" w:rsidP="00DF0C78">
      <w:pPr>
        <w:pStyle w:val="Heading4"/>
      </w:pPr>
      <w:r w:rsidRPr="001C0FCA">
        <w:t>Results for the primary efficacy outcome</w:t>
      </w:r>
    </w:p>
    <w:p w:rsidR="00E22D1F" w:rsidRPr="00241CDF" w:rsidRDefault="00E22D1F" w:rsidP="00DF0C78">
      <w:pPr>
        <w:pStyle w:val="Heading5"/>
      </w:pPr>
      <w:r w:rsidRPr="001C0FCA">
        <w:t>Part I</w:t>
      </w:r>
    </w:p>
    <w:p w:rsidR="00E22D1F" w:rsidRPr="00241CDF" w:rsidRDefault="00E22D1F" w:rsidP="00DF0C78">
      <w:r w:rsidRPr="00241CDF">
        <w:t>The primary objective of Part I of the study was to assess whether canakinumab allowed tapering of steroids as per protocol in at least 25% of the patients who entered the study taking a steroid.</w:t>
      </w:r>
      <w:r w:rsidR="00404BA5" w:rsidRPr="00241CDF">
        <w:t xml:space="preserve"> </w:t>
      </w:r>
      <w:r w:rsidRPr="00241CDF">
        <w:t>This objective was achieved as 57 (44.5%) of the 128 patients who were taking steroids at entry into Part I achieved successful steroid tapering at the end of Part Ic (p&lt;0.0001; 90% CI: 37.1, 52.2).</w:t>
      </w:r>
    </w:p>
    <w:p w:rsidR="00E22D1F" w:rsidRPr="00FA4CA0" w:rsidRDefault="00E22D1F" w:rsidP="00DF0C78">
      <w:pPr>
        <w:pStyle w:val="Heading5"/>
      </w:pPr>
      <w:r w:rsidRPr="00FA4CA0">
        <w:t>Part II</w:t>
      </w:r>
    </w:p>
    <w:p w:rsidR="007C67EE" w:rsidRDefault="00E22D1F" w:rsidP="00DF0C78">
      <w:r w:rsidRPr="00FA4CA0">
        <w:t>The probability of experiencing a flare event in Part II was lower for patients receiving canakinumab treatment compared with placebo treatment.</w:t>
      </w:r>
      <w:r w:rsidR="00404BA5" w:rsidRPr="00FA4CA0">
        <w:t xml:space="preserve"> </w:t>
      </w:r>
      <w:r w:rsidRPr="00FA4CA0">
        <w:t>There was a statistically significant 64% relative risk reduction of experiencing a flare in patients on canakinumab compared with placebo (hazard ratio [HR] 0.36; 95% CI: 0.17 to 0.75; p=0.0032).</w:t>
      </w:r>
      <w:r w:rsidR="00404BA5" w:rsidRPr="00FA4CA0">
        <w:t xml:space="preserve"> </w:t>
      </w:r>
      <w:r w:rsidRPr="00FA4CA0">
        <w:t xml:space="preserve">The median time to flare in the placebo group was 236 days and could not be estimated in the </w:t>
      </w:r>
      <w:r w:rsidRPr="00FA4CA0">
        <w:lastRenderedPageBreak/>
        <w:t>canakinumab group as less than 50% of patients flared during the study.</w:t>
      </w:r>
      <w:r w:rsidR="00404BA5" w:rsidRPr="00FA4CA0">
        <w:t xml:space="preserve"> </w:t>
      </w:r>
      <w:r w:rsidR="000238F0">
        <w:t>Please see T</w:t>
      </w:r>
      <w:r w:rsidRPr="00FA4CA0">
        <w:t xml:space="preserve">able </w:t>
      </w:r>
      <w:r w:rsidR="000238F0">
        <w:t>1</w:t>
      </w:r>
      <w:r w:rsidR="001C0FCA">
        <w:t>0</w:t>
      </w:r>
      <w:r w:rsidR="000238F0">
        <w:t xml:space="preserve"> </w:t>
      </w:r>
      <w:r w:rsidRPr="00FA4CA0">
        <w:t xml:space="preserve">below which is </w:t>
      </w:r>
      <w:r w:rsidR="000238F0">
        <w:t>copied</w:t>
      </w:r>
      <w:r w:rsidRPr="00FA4CA0">
        <w:t xml:space="preserve"> </w:t>
      </w:r>
      <w:r w:rsidR="007D3D50">
        <w:t xml:space="preserve">from the </w:t>
      </w:r>
      <w:r w:rsidRPr="00FA4CA0">
        <w:t>CER</w:t>
      </w:r>
      <w:r w:rsidR="000238F0">
        <w:t xml:space="preserve"> (Attachment 2)</w:t>
      </w:r>
      <w:r w:rsidRPr="00FA4CA0">
        <w:t>.</w:t>
      </w:r>
    </w:p>
    <w:p w:rsidR="007C67EE" w:rsidRDefault="007C67EE" w:rsidP="00DF0C78">
      <w:pPr>
        <w:pStyle w:val="TableTitle"/>
      </w:pPr>
      <w:r>
        <w:t>Tabl</w:t>
      </w:r>
      <w:r w:rsidR="001C0FCA">
        <w:t>e 10</w:t>
      </w:r>
      <w:r>
        <w:t>. Survival analysis of time to flare in Part II, FAS, Study G2301</w:t>
      </w:r>
    </w:p>
    <w:p w:rsidR="007C67EE" w:rsidRDefault="007C67EE" w:rsidP="00DF0C78">
      <w:r>
        <w:rPr>
          <w:noProof/>
          <w:lang w:eastAsia="en-AU"/>
        </w:rPr>
        <w:drawing>
          <wp:inline distT="0" distB="0" distL="0" distR="0" wp14:anchorId="3DDC9CC0" wp14:editId="5376522F">
            <wp:extent cx="4856672" cy="711686"/>
            <wp:effectExtent l="0" t="0" r="1270" b="0"/>
            <wp:docPr id="8" name="Picture 8" descr="Table 10. Survival analysis of time to flare in Part II, FAS, Study G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4459" cy="711362"/>
                    </a:xfrm>
                    <a:prstGeom prst="rect">
                      <a:avLst/>
                    </a:prstGeom>
                    <a:noFill/>
                    <a:ln>
                      <a:noFill/>
                    </a:ln>
                  </pic:spPr>
                </pic:pic>
              </a:graphicData>
            </a:graphic>
          </wp:inline>
        </w:drawing>
      </w:r>
    </w:p>
    <w:p w:rsidR="007C67EE" w:rsidRDefault="007C67EE" w:rsidP="00EA0973">
      <w:pPr>
        <w:pStyle w:val="TableDescription"/>
      </w:pPr>
      <w:r w:rsidRPr="00FF336A">
        <w:t xml:space="preserve">Log-rank test adjusted for stratification factors prednisone (or equivalent) dose and ACR 70 </w:t>
      </w:r>
      <w:r>
        <w:t xml:space="preserve">Paediatric </w:t>
      </w:r>
      <w:r w:rsidRPr="00FF336A">
        <w:t>response reached at the end of Part Id.</w:t>
      </w:r>
      <w:r>
        <w:t xml:space="preserve">  </w:t>
      </w:r>
      <w:r w:rsidRPr="00FF336A">
        <w:t>Patients who discontinued the study while in Part II were counted as flared unless they discontinued because</w:t>
      </w:r>
      <w:r>
        <w:t xml:space="preserve"> </w:t>
      </w:r>
      <w:r w:rsidRPr="00FF336A">
        <w:t>of inactive disease for at least 24 weeks in Part II.</w:t>
      </w:r>
      <w:r>
        <w:t xml:space="preserve">  </w:t>
      </w:r>
      <w:r w:rsidRPr="00FF336A">
        <w:t>Not est. = Not</w:t>
      </w:r>
    </w:p>
    <w:p w:rsidR="00E22D1F" w:rsidRPr="001C0FCA" w:rsidRDefault="00E22D1F" w:rsidP="00DF0C78">
      <w:r w:rsidRPr="00FA4CA0">
        <w:t xml:space="preserve">The rate of flare was similar in both treatment groups for the </w:t>
      </w:r>
      <w:r w:rsidR="007D3D50">
        <w:t>first</w:t>
      </w:r>
      <w:r w:rsidRPr="00FA4CA0">
        <w:t xml:space="preserve"> 4 months, continued at a similar rate thereafter in the placebo group, with few flares after 4 months in the canakinumab group.</w:t>
      </w:r>
      <w:r w:rsidR="00404BA5" w:rsidRPr="00FA4CA0">
        <w:t xml:space="preserve"> </w:t>
      </w:r>
      <w:r w:rsidRPr="00FA4CA0">
        <w:t xml:space="preserve">In the study there was a higher rate of discontinuations in the placebo arm and these discontinuations were considered </w:t>
      </w:r>
      <w:r w:rsidR="00186C14" w:rsidRPr="00FA4CA0">
        <w:t>‘</w:t>
      </w:r>
      <w:r w:rsidRPr="00FA4CA0">
        <w:t>flares</w:t>
      </w:r>
      <w:r w:rsidR="00186C14" w:rsidRPr="00FA4CA0">
        <w:t>’</w:t>
      </w:r>
      <w:r w:rsidRPr="00FA4CA0">
        <w:t xml:space="preserve"> in the primary analysis.</w:t>
      </w:r>
      <w:r w:rsidR="00404BA5" w:rsidRPr="00FA4CA0">
        <w:t xml:space="preserve"> </w:t>
      </w:r>
      <w:r w:rsidRPr="00FA4CA0">
        <w:t xml:space="preserve">If patients who discontinued the study for any reason (with the exception of flare) were censored at the time of study discontinuation (rather than counted as flared), the results showed a non-significant relative risk reduction to flare of 49% with canakinumab treatment </w:t>
      </w:r>
      <w:r w:rsidRPr="001C0FCA">
        <w:t>relative to placebo (HR 0.51; 95% CI: 0.23 to 1.12; p=0.0445 [one-sided significance level 0.025]).</w:t>
      </w:r>
      <w:r w:rsidR="00404BA5" w:rsidRPr="001C0FCA">
        <w:t xml:space="preserve"> </w:t>
      </w:r>
      <w:r w:rsidRPr="001C0FCA">
        <w:t xml:space="preserve">As noted in a comment by the evaluator, the counting of these discontinuations as </w:t>
      </w:r>
      <w:r w:rsidR="00186C14" w:rsidRPr="001C0FCA">
        <w:t>‘</w:t>
      </w:r>
      <w:r w:rsidRPr="001C0FCA">
        <w:t>flares</w:t>
      </w:r>
      <w:r w:rsidR="00186C14" w:rsidRPr="001C0FCA">
        <w:t>’</w:t>
      </w:r>
      <w:r w:rsidRPr="001C0FCA">
        <w:t xml:space="preserve"> may have biased the efficacy results in favour of canakinumab and so the analysis that censored such patients may be a better reflection of the comparative efficacy of canakinumab and placebo.</w:t>
      </w:r>
      <w:r w:rsidR="00404BA5" w:rsidRPr="001C0FCA">
        <w:t xml:space="preserve"> </w:t>
      </w:r>
      <w:r w:rsidRPr="001C0FCA">
        <w:t>The sponsor was asked to comment on this at the time clinical questions were sent to the sponsor at the end of the first round of evaluation.</w:t>
      </w:r>
      <w:r w:rsidR="00404BA5" w:rsidRPr="001C0FCA">
        <w:t xml:space="preserve"> </w:t>
      </w:r>
      <w:r w:rsidRPr="001C0FCA">
        <w:t>The sponsor’s response will be examined later in this overview.</w:t>
      </w:r>
      <w:r w:rsidR="00404BA5" w:rsidRPr="001C0FCA">
        <w:t xml:space="preserve"> </w:t>
      </w:r>
      <w:r w:rsidRPr="001C0FCA">
        <w:t>The ACPM will be asked to comment on this issue.</w:t>
      </w:r>
      <w:r w:rsidR="00404BA5" w:rsidRPr="001C0FCA">
        <w:t xml:space="preserve"> </w:t>
      </w:r>
      <w:r w:rsidRPr="001C0FCA">
        <w:t xml:space="preserve">The </w:t>
      </w:r>
      <w:r w:rsidR="007D3D50" w:rsidRPr="001C0FCA">
        <w:t>D</w:t>
      </w:r>
      <w:r w:rsidRPr="001C0FCA">
        <w:t>elegate would like the sponsor to clarify the exact number of flares in each group in the above analysis which showed a non-significant relative risk reduction to flare of 49%.</w:t>
      </w:r>
      <w:r w:rsidR="00404BA5" w:rsidRPr="001C0FCA">
        <w:t xml:space="preserve"> </w:t>
      </w:r>
      <w:r w:rsidRPr="001C0FCA">
        <w:t xml:space="preserve">Was the above analysis using censored results pre-specified in any way? The </w:t>
      </w:r>
      <w:r w:rsidR="007D3D50" w:rsidRPr="001C0FCA">
        <w:t>D</w:t>
      </w:r>
      <w:r w:rsidRPr="001C0FCA">
        <w:t xml:space="preserve">elegate would like to foreshadow that the sponsor </w:t>
      </w:r>
      <w:r w:rsidR="007D3D50" w:rsidRPr="001C0FCA">
        <w:t xml:space="preserve">will be requested </w:t>
      </w:r>
      <w:r w:rsidRPr="001C0FCA">
        <w:t>to provide a detailed summary of all these various analyses, the primary, the first re-analysis using censored data (</w:t>
      </w:r>
      <w:r w:rsidR="007D3D50" w:rsidRPr="001C0FCA">
        <w:t>that is,</w:t>
      </w:r>
      <w:r w:rsidRPr="001C0FCA">
        <w:t xml:space="preserve"> the one above with the non-significant result) and the second re-analysis which the sponsor submitted in answer to the clinical questions.</w:t>
      </w:r>
    </w:p>
    <w:p w:rsidR="00E22D1F" w:rsidRPr="001C0FCA" w:rsidRDefault="00E22D1F" w:rsidP="00DF0C78">
      <w:pPr>
        <w:pStyle w:val="Heading4"/>
      </w:pPr>
      <w:r w:rsidRPr="001C0FCA">
        <w:t>Results for other efficacy outcomes</w:t>
      </w:r>
    </w:p>
    <w:p w:rsidR="00E22D1F" w:rsidRPr="00FA4CA0" w:rsidRDefault="00E22D1F" w:rsidP="00DF0C78">
      <w:pPr>
        <w:pStyle w:val="Heading5"/>
      </w:pPr>
      <w:r w:rsidRPr="001C0FCA">
        <w:t>Part I</w:t>
      </w:r>
    </w:p>
    <w:p w:rsidR="00E22D1F" w:rsidRPr="00FA4CA0" w:rsidRDefault="00E22D1F" w:rsidP="00DF0C78">
      <w:pPr>
        <w:pStyle w:val="Heading6"/>
      </w:pPr>
      <w:r w:rsidRPr="00FA4CA0">
        <w:t>Steroid reduction</w:t>
      </w:r>
    </w:p>
    <w:p w:rsidR="00E22D1F" w:rsidRPr="00FA4CA0" w:rsidRDefault="00E22D1F" w:rsidP="00DF0C78">
      <w:r w:rsidRPr="00FA4CA0">
        <w:t xml:space="preserve">Of the 128 patients who were taking steroids at entry into Part I, 66 (51.6%) were on an oral steroid dose </w:t>
      </w:r>
      <w:r w:rsidR="007D3D50">
        <w:t>≤</w:t>
      </w:r>
      <w:r w:rsidRPr="00FA4CA0">
        <w:t xml:space="preserve"> 0.2</w:t>
      </w:r>
      <w:r w:rsidR="00404BA5" w:rsidRPr="00FA4CA0">
        <w:t xml:space="preserve"> mg/kg</w:t>
      </w:r>
      <w:r w:rsidRPr="00FA4CA0">
        <w:t xml:space="preserve"> at the end of Part Ic, including 42 (32.8%) who were steroid free.</w:t>
      </w:r>
    </w:p>
    <w:p w:rsidR="00E22D1F" w:rsidRPr="001C0FCA" w:rsidRDefault="00E22D1F" w:rsidP="00DF0C78">
      <w:pPr>
        <w:pStyle w:val="Heading6"/>
      </w:pPr>
      <w:r w:rsidRPr="001C0FCA">
        <w:t>Response according to adapted ACR paediatric criteria</w:t>
      </w:r>
    </w:p>
    <w:p w:rsidR="00E22D1F" w:rsidRPr="001C0FCA" w:rsidRDefault="00E22D1F" w:rsidP="00DF0C78">
      <w:r w:rsidRPr="001C0FCA">
        <w:t xml:space="preserve">The minimum and maximum ACR responses achieved in Part I of the study are shown in Table </w:t>
      </w:r>
      <w:r w:rsidR="007C67EE" w:rsidRPr="001C0FCA">
        <w:t>1</w:t>
      </w:r>
      <w:r w:rsidR="001C0FCA">
        <w:t>1</w:t>
      </w:r>
      <w:r w:rsidRPr="001C0FCA">
        <w:t>.</w:t>
      </w:r>
      <w:r w:rsidR="00404BA5" w:rsidRPr="001C0FCA">
        <w:t xml:space="preserve"> </w:t>
      </w:r>
      <w:r w:rsidRPr="001C0FCA">
        <w:t xml:space="preserve">The minimum ACR paediatric response levels achieved in Part I are shown graphically in Figure 9 </w:t>
      </w:r>
      <w:r w:rsidR="007C67EE" w:rsidRPr="001C0FCA">
        <w:t>in</w:t>
      </w:r>
      <w:r w:rsidRPr="001C0FCA">
        <w:t xml:space="preserve"> the CER.</w:t>
      </w:r>
      <w:r w:rsidR="00404BA5" w:rsidRPr="001C0FCA">
        <w:t xml:space="preserve"> </w:t>
      </w:r>
      <w:r w:rsidR="007C67EE" w:rsidRPr="001C0FCA">
        <w:t>From both Table 1</w:t>
      </w:r>
      <w:r w:rsidR="001C0FCA">
        <w:t>1</w:t>
      </w:r>
      <w:r w:rsidRPr="001C0FCA">
        <w:t xml:space="preserve"> and Figure 9, one can observe a pronounced dip </w:t>
      </w:r>
      <w:r w:rsidR="007D3D50" w:rsidRPr="001C0FCA">
        <w:t>in the response levels between V</w:t>
      </w:r>
      <w:r w:rsidRPr="001C0FCA">
        <w:t xml:space="preserve">isits 8 </w:t>
      </w:r>
      <w:r w:rsidR="007D3D50" w:rsidRPr="001C0FCA">
        <w:t>and</w:t>
      </w:r>
      <w:r w:rsidRPr="001C0FCA">
        <w:t xml:space="preserve"> 10 before the levels rise again.</w:t>
      </w:r>
      <w:r w:rsidR="00404BA5" w:rsidRPr="001C0FCA">
        <w:t xml:space="preserve"> </w:t>
      </w:r>
      <w:r w:rsidRPr="001C0FCA">
        <w:t>The sponsor is requested to comment on the possible reasons for this dip.</w:t>
      </w:r>
      <w:r w:rsidR="00404BA5" w:rsidRPr="001C0FCA">
        <w:t xml:space="preserve"> </w:t>
      </w:r>
      <w:r w:rsidRPr="001C0FCA">
        <w:t xml:space="preserve">Otherwise the </w:t>
      </w:r>
      <w:r w:rsidR="007D3D50" w:rsidRPr="001C0FCA">
        <w:t>D</w:t>
      </w:r>
      <w:r w:rsidRPr="001C0FCA">
        <w:t>elegate would agree with the clinical evaluator that the percentage of responders did, in general, increase with time.</w:t>
      </w:r>
    </w:p>
    <w:p w:rsidR="007C67EE" w:rsidRDefault="007C67EE" w:rsidP="00DF0C78">
      <w:pPr>
        <w:pStyle w:val="TableTitle"/>
      </w:pPr>
      <w:r w:rsidRPr="00722704">
        <w:lastRenderedPageBreak/>
        <w:t xml:space="preserve">Table </w:t>
      </w:r>
      <w:r>
        <w:t>1</w:t>
      </w:r>
      <w:r w:rsidR="001C0FCA">
        <w:t>1</w:t>
      </w:r>
      <w:r>
        <w:t>.</w:t>
      </w:r>
      <w:r w:rsidRPr="00722704">
        <w:t xml:space="preserve"> ACR paediatric response achieved in Part I, summary statistics by visit and overall [FAS I]</w:t>
      </w:r>
    </w:p>
    <w:p w:rsidR="007C67EE" w:rsidRPr="00722704" w:rsidRDefault="007C67EE" w:rsidP="00DF0C78">
      <w:r>
        <w:rPr>
          <w:noProof/>
          <w:lang w:eastAsia="en-AU"/>
        </w:rPr>
        <w:drawing>
          <wp:inline distT="0" distB="0" distL="0" distR="0" wp14:anchorId="7D3BA625" wp14:editId="7461C7CF">
            <wp:extent cx="4379037" cy="7427343"/>
            <wp:effectExtent l="0" t="0" r="2540" b="2540"/>
            <wp:docPr id="6" name="Picture 6" descr="Table 11. ACR paediatric response achieved in Part I, summary statistics by visit and overall [FA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tretch>
                      <a:fillRect/>
                    </a:stretch>
                  </pic:blipFill>
                  <pic:spPr>
                    <a:xfrm>
                      <a:off x="0" y="0"/>
                      <a:ext cx="4385883" cy="7438955"/>
                    </a:xfrm>
                    <a:prstGeom prst="rect">
                      <a:avLst/>
                    </a:prstGeom>
                  </pic:spPr>
                </pic:pic>
              </a:graphicData>
            </a:graphic>
          </wp:inline>
        </w:drawing>
      </w:r>
    </w:p>
    <w:p w:rsidR="00E22D1F" w:rsidRPr="001C0FCA" w:rsidRDefault="00E22D1F" w:rsidP="00DF0C78">
      <w:r w:rsidRPr="001C0FCA">
        <w:t>At the end of Part I, 22.9% of patients (40/175) were non-responders while 77.1% (135/175) achieved a minimum ACR 30 response.</w:t>
      </w:r>
      <w:r w:rsidR="00404BA5" w:rsidRPr="001C0FCA">
        <w:t xml:space="preserve"> </w:t>
      </w:r>
      <w:r w:rsidRPr="001C0FCA">
        <w:t>Only 4.0% (7/175) of patients achieved a maximum ACR 30 response.</w:t>
      </w:r>
      <w:r w:rsidR="00404BA5" w:rsidRPr="001C0FCA">
        <w:t xml:space="preserve"> </w:t>
      </w:r>
      <w:r w:rsidRPr="001C0FCA">
        <w:t>Interestingly, while the percentages of those achieving a minimum ACR response steadily decreased as the ACR target increased, the converse was true for the maximum ACR response.</w:t>
      </w:r>
      <w:r w:rsidR="00404BA5" w:rsidRPr="001C0FCA">
        <w:t xml:space="preserve"> </w:t>
      </w:r>
      <w:r w:rsidRPr="001C0FCA">
        <w:t>That is to say that the percentages of those achieving a maximum ACR response steadily increased as the ACR target increased.</w:t>
      </w:r>
      <w:r w:rsidR="00404BA5" w:rsidRPr="001C0FCA">
        <w:t xml:space="preserve"> </w:t>
      </w:r>
      <w:r w:rsidRPr="001C0FCA">
        <w:t xml:space="preserve">This meant that, </w:t>
      </w:r>
      <w:r w:rsidRPr="001C0FCA">
        <w:lastRenderedPageBreak/>
        <w:t>at the end of Part I, there were 34.3% (60/175) of patients who achieved both a minimum and a maximum ACR 100 result.</w:t>
      </w:r>
      <w:r w:rsidR="00404BA5" w:rsidRPr="001C0FCA">
        <w:t xml:space="preserve"> </w:t>
      </w:r>
      <w:r w:rsidRPr="001C0FCA">
        <w:t>Thus it would appear that if one responded very well to the drug, one responded very well indeed.</w:t>
      </w:r>
      <w:r w:rsidR="00404BA5" w:rsidRPr="001C0FCA">
        <w:t xml:space="preserve"> </w:t>
      </w:r>
      <w:r w:rsidRPr="001C0FCA">
        <w:t>Also of interest was that, at all time points, all those patients who achieved a minimum ACR 100 response also achieved a maximum ACR 100 response.</w:t>
      </w:r>
      <w:r w:rsidR="00404BA5" w:rsidRPr="001C0FCA">
        <w:t xml:space="preserve"> </w:t>
      </w:r>
      <w:r w:rsidRPr="001C0FCA">
        <w:t>Of course this may be reflective of the way the minimum and maximum criteria are defined at each level, in that the window of separation between minimum and maximum becomes relatively smaller as one increases from ACR 30 to ACR 100.</w:t>
      </w:r>
      <w:r w:rsidR="00404BA5" w:rsidRPr="001C0FCA">
        <w:t xml:space="preserve"> </w:t>
      </w:r>
      <w:r w:rsidRPr="001C0FCA">
        <w:t>The sponsor is asked to comment on this finding.</w:t>
      </w:r>
    </w:p>
    <w:p w:rsidR="00E22D1F" w:rsidRPr="001C0FCA" w:rsidRDefault="00E22D1F" w:rsidP="00DF0C78">
      <w:r w:rsidRPr="001C0FCA">
        <w:t>All of the component response variables</w:t>
      </w:r>
      <w:r w:rsidRPr="001C0FCA">
        <w:rPr>
          <w:rStyle w:val="FootnoteReference"/>
        </w:rPr>
        <w:footnoteReference w:id="19"/>
      </w:r>
      <w:r w:rsidRPr="001C0FCA">
        <w:t xml:space="preserve"> in the adapted ACR paediatric criteria also improved during Part I.</w:t>
      </w:r>
    </w:p>
    <w:p w:rsidR="00E22D1F" w:rsidRPr="001C0FCA" w:rsidRDefault="00E22D1F" w:rsidP="00DF0C78">
      <w:r w:rsidRPr="001C0FCA">
        <w:t>Summary statistics for the parent’s or patient’s assessment of pain using a 0</w:t>
      </w:r>
      <w:r w:rsidR="007D3D50" w:rsidRPr="001C0FCA">
        <w:t xml:space="preserve"> to </w:t>
      </w:r>
      <w:r w:rsidRPr="001C0FCA">
        <w:t>100 mm VAS as part of the CHAQ were also provided by the sponsor.</w:t>
      </w:r>
      <w:r w:rsidR="00404BA5" w:rsidRPr="001C0FCA">
        <w:t xml:space="preserve"> </w:t>
      </w:r>
      <w:r w:rsidRPr="001C0FCA">
        <w:t>At baseline the mean value was 66.7 mm (n = 176).</w:t>
      </w:r>
      <w:r w:rsidR="00404BA5" w:rsidRPr="001C0FCA">
        <w:t xml:space="preserve"> </w:t>
      </w:r>
      <w:r w:rsidRPr="001C0FCA">
        <w:t xml:space="preserve">From the beginning of Part Ia to the start of Part Ic, the mean change from baseline was -42.0 mm (absolute change) with -59.0% relative change at </w:t>
      </w:r>
      <w:r w:rsidR="007D3D50" w:rsidRPr="001C0FCA">
        <w:t>D</w:t>
      </w:r>
      <w:r w:rsidRPr="001C0FCA">
        <w:t xml:space="preserve">ay 15 (n = 139) and -53.5 mm (absolute change) with -80.5% relative change at </w:t>
      </w:r>
      <w:r w:rsidR="007D3D50" w:rsidRPr="001C0FCA">
        <w:t>D</w:t>
      </w:r>
      <w:r w:rsidRPr="001C0FCA">
        <w:t>ay 57 (n</w:t>
      </w:r>
      <w:r w:rsidR="007D3D50" w:rsidRPr="001C0FCA">
        <w:t> </w:t>
      </w:r>
      <w:r w:rsidRPr="001C0FCA">
        <w:t>=</w:t>
      </w:r>
      <w:r w:rsidR="007D3D50" w:rsidRPr="001C0FCA">
        <w:t> </w:t>
      </w:r>
      <w:r w:rsidRPr="001C0FCA">
        <w:t>140).</w:t>
      </w:r>
      <w:r w:rsidR="00404BA5" w:rsidRPr="001C0FCA">
        <w:t xml:space="preserve"> </w:t>
      </w:r>
      <w:r w:rsidRPr="001C0FCA">
        <w:t xml:space="preserve">During Part Ic, the decreased level of pain was still evident despite steroid tapering with mean changes from baseline (absolute </w:t>
      </w:r>
      <w:r w:rsidR="007D3D50" w:rsidRPr="001C0FCA">
        <w:t>and</w:t>
      </w:r>
      <w:r w:rsidRPr="001C0FCA">
        <w:t xml:space="preserve"> relative changes, respectively) as</w:t>
      </w:r>
      <w:r w:rsidR="007D3D50" w:rsidRPr="001C0FCA">
        <w:t xml:space="preserve"> follows: -53.4 mm [-79.4%] at D</w:t>
      </w:r>
      <w:r w:rsidRPr="001C0FCA">
        <w:t>ay 85</w:t>
      </w:r>
      <w:r w:rsidR="007D3D50" w:rsidRPr="001C0FCA">
        <w:t xml:space="preserve"> (n = 79), 53.8 mm [-81.9%] at D</w:t>
      </w:r>
      <w:r w:rsidRPr="001C0FCA">
        <w:t>ay 113</w:t>
      </w:r>
      <w:r w:rsidR="007D3D50" w:rsidRPr="001C0FCA">
        <w:t xml:space="preserve"> (n = 66), 53.2 mm [</w:t>
      </w:r>
      <w:r w:rsidR="007D3D50" w:rsidRPr="001C0FCA">
        <w:noBreakHyphen/>
        <w:t>82.8%] at D</w:t>
      </w:r>
      <w:r w:rsidRPr="001C0FCA">
        <w:t>ay 141 (n = 51) a</w:t>
      </w:r>
      <w:r w:rsidR="007D3D50" w:rsidRPr="001C0FCA">
        <w:t>nd -50.9 mm [-77.0%] at D</w:t>
      </w:r>
      <w:r w:rsidRPr="001C0FCA">
        <w:t>ay 169 (n = 43).</w:t>
      </w:r>
      <w:r w:rsidR="00404BA5" w:rsidRPr="001C0FCA">
        <w:t xml:space="preserve"> </w:t>
      </w:r>
      <w:r w:rsidRPr="001C0FCA">
        <w:t>At the end of Part I, the mean change from baseline was -46.4 mm (absolute change) [-67.9% (relative change)] (n = 174).</w:t>
      </w:r>
      <w:r w:rsidR="00404BA5" w:rsidRPr="001C0FCA">
        <w:t xml:space="preserve"> </w:t>
      </w:r>
      <w:r w:rsidRPr="001C0FCA">
        <w:t>Overall during Part I, 87.4% of patients (152/174) showed at least a 20 mm decrease in pain on the VAS.</w:t>
      </w:r>
    </w:p>
    <w:p w:rsidR="00E22D1F" w:rsidRPr="001C0FCA" w:rsidRDefault="00E22D1F" w:rsidP="006856AA">
      <w:pPr>
        <w:pStyle w:val="Heading6"/>
        <w:rPr>
          <w:rFonts w:asciiTheme="minorHAnsi" w:hAnsiTheme="minorHAnsi"/>
        </w:rPr>
      </w:pPr>
      <w:r w:rsidRPr="001C0FCA">
        <w:t>Part II</w:t>
      </w:r>
    </w:p>
    <w:p w:rsidR="00E22D1F" w:rsidRPr="00FA4CA0" w:rsidRDefault="00E22D1F" w:rsidP="006856AA">
      <w:r w:rsidRPr="001C0FCA">
        <w:t>Once the primary objective for Part II had</w:t>
      </w:r>
      <w:r w:rsidRPr="00FA4CA0">
        <w:t xml:space="preserve"> been achieved, secondary endpoints were assessed in a closed testing procedure to evaluate superiority of canakinumab over placebo.</w:t>
      </w:r>
      <w:r w:rsidR="00404BA5" w:rsidRPr="00FA4CA0">
        <w:t xml:space="preserve"> </w:t>
      </w:r>
      <w:r w:rsidRPr="00FA4CA0">
        <w:t>This was done in order to control the overall Type I error rate (α = 0.025, one-sided tests) in the evaluation of the secondary efficacy variables.</w:t>
      </w:r>
    </w:p>
    <w:p w:rsidR="00E22D1F" w:rsidRPr="00FA4CA0" w:rsidRDefault="00E22D1F" w:rsidP="006856AA">
      <w:r w:rsidRPr="00FA4CA0">
        <w:t>Testing for statistical significance was performed for the following secondary variables:</w:t>
      </w:r>
    </w:p>
    <w:p w:rsidR="00E22D1F" w:rsidRPr="00FA4CA0" w:rsidRDefault="00E22D1F" w:rsidP="006856AA">
      <w:pPr>
        <w:pStyle w:val="Numberbullet0"/>
        <w:numPr>
          <w:ilvl w:val="0"/>
          <w:numId w:val="26"/>
        </w:numPr>
      </w:pPr>
      <w:r w:rsidRPr="00FA4CA0">
        <w:t>Maintenance of adapted ACR Paediatric 30/50/70/90/100 criteria during Part II</w:t>
      </w:r>
    </w:p>
    <w:p w:rsidR="00E22D1F" w:rsidRPr="00FA4CA0" w:rsidRDefault="00E22D1F" w:rsidP="006856AA">
      <w:pPr>
        <w:pStyle w:val="Numberbullet0"/>
        <w:numPr>
          <w:ilvl w:val="0"/>
          <w:numId w:val="26"/>
        </w:numPr>
      </w:pPr>
      <w:r w:rsidRPr="00FA4CA0">
        <w:t>Change in disability over time by CHAQ</w:t>
      </w:r>
    </w:p>
    <w:p w:rsidR="00E22D1F" w:rsidRPr="00FA4CA0" w:rsidRDefault="00E22D1F" w:rsidP="006856AA">
      <w:pPr>
        <w:pStyle w:val="Numberbullet0"/>
        <w:numPr>
          <w:ilvl w:val="0"/>
          <w:numId w:val="26"/>
        </w:numPr>
      </w:pPr>
      <w:r w:rsidRPr="00FA4CA0">
        <w:t>Change in HRQoL over time by CHQ-PF50 (physical and psychosocial summary scores)</w:t>
      </w:r>
    </w:p>
    <w:p w:rsidR="00E22D1F" w:rsidRPr="001C0FCA" w:rsidRDefault="00E22D1F" w:rsidP="006856AA">
      <w:pPr>
        <w:pStyle w:val="Heading6"/>
      </w:pPr>
      <w:r w:rsidRPr="001C0FCA">
        <w:t>Maintenance of efficacy</w:t>
      </w:r>
    </w:p>
    <w:p w:rsidR="00E22D1F" w:rsidRPr="00FA4CA0" w:rsidRDefault="00E22D1F" w:rsidP="006856AA">
      <w:r w:rsidRPr="00FA4CA0">
        <w:t xml:space="preserve">A survival analysis of the time to worsening in ACR level in Part II is shown in the table below </w:t>
      </w:r>
      <w:r w:rsidR="000D7021">
        <w:t>(Table 1</w:t>
      </w:r>
      <w:r w:rsidR="001C0FCA">
        <w:t>2</w:t>
      </w:r>
      <w:r w:rsidR="000D7021">
        <w:t xml:space="preserve">; </w:t>
      </w:r>
      <w:r w:rsidR="000C46D6">
        <w:t>also</w:t>
      </w:r>
      <w:r w:rsidR="000D7021">
        <w:t xml:space="preserve"> in Attachment 2)</w:t>
      </w:r>
      <w:r w:rsidRPr="00FA4CA0">
        <w:t>.</w:t>
      </w:r>
      <w:r w:rsidR="00404BA5" w:rsidRPr="00FA4CA0">
        <w:t xml:space="preserve"> </w:t>
      </w:r>
      <w:r w:rsidRPr="00FA4CA0">
        <w:t>The probability of experiencing a worsening in ACR level in Part II was lower for the canakinumab group compared with the placebo group. This corresponds to a statistically significant relative risk reduction of 51% for worsening in ACR level (hazard ratio of 0.49; 95% CI: 0.27 to 0.90; p=0.0131).</w:t>
      </w:r>
      <w:r w:rsidR="00404BA5" w:rsidRPr="00FA4CA0">
        <w:t xml:space="preserve"> </w:t>
      </w:r>
      <w:r w:rsidRPr="00FA4CA0">
        <w:t>The median time to worsening in ACR level was 141 days for the placebo group, but could not be observed for the canakinumab group as less than 50% of patients experienced a worsening in ACR level in Part II.</w:t>
      </w:r>
    </w:p>
    <w:p w:rsidR="00E22D1F" w:rsidRPr="00FA4CA0" w:rsidRDefault="00E22D1F" w:rsidP="006856AA">
      <w:pPr>
        <w:pStyle w:val="TableTitle"/>
      </w:pPr>
      <w:r w:rsidRPr="00FA4CA0">
        <w:lastRenderedPageBreak/>
        <w:t xml:space="preserve">Table </w:t>
      </w:r>
      <w:r w:rsidR="000D7021">
        <w:t>1</w:t>
      </w:r>
      <w:r w:rsidR="001C0FCA">
        <w:t>2</w:t>
      </w:r>
      <w:r w:rsidR="000D7021">
        <w:t>.</w:t>
      </w:r>
      <w:r w:rsidR="00404BA5" w:rsidRPr="00FA4CA0">
        <w:t xml:space="preserve"> </w:t>
      </w:r>
      <w:r w:rsidRPr="00FA4CA0">
        <w:t>Survival analysis of time to worsening in ACR level during Part II, Study G2301 [FAS II]</w:t>
      </w:r>
    </w:p>
    <w:p w:rsidR="00E22D1F" w:rsidRPr="00FA4CA0" w:rsidRDefault="00E22D1F" w:rsidP="006856AA">
      <w:r w:rsidRPr="00FA4CA0">
        <w:rPr>
          <w:noProof/>
          <w:lang w:eastAsia="en-AU"/>
        </w:rPr>
        <w:drawing>
          <wp:inline distT="0" distB="0" distL="0" distR="0" wp14:anchorId="663B3F77" wp14:editId="09FEAE65">
            <wp:extent cx="5274259" cy="784377"/>
            <wp:effectExtent l="0" t="0" r="3175" b="0"/>
            <wp:docPr id="7" name="Picture 7" descr="Table 12. Survival analysis of time to worsening in ACR level during Part II, Study G2301 [FA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2313" cy="784088"/>
                    </a:xfrm>
                    <a:prstGeom prst="rect">
                      <a:avLst/>
                    </a:prstGeom>
                    <a:noFill/>
                    <a:ln>
                      <a:noFill/>
                    </a:ln>
                  </pic:spPr>
                </pic:pic>
              </a:graphicData>
            </a:graphic>
          </wp:inline>
        </w:drawing>
      </w:r>
    </w:p>
    <w:p w:rsidR="00E22D1F" w:rsidRPr="00FA4CA0" w:rsidRDefault="00E22D1F" w:rsidP="006856AA">
      <w:pPr>
        <w:pStyle w:val="TableDescription"/>
      </w:pPr>
      <w:r w:rsidRPr="00FA4CA0">
        <w:t>Log-rank test adjusted for stratification factors prednisone (or equivalent) dose and adapted ACR 70 Paediatric response reached at the end of Part Id as covariates.</w:t>
      </w:r>
      <w:r w:rsidR="00404BA5" w:rsidRPr="00FA4CA0">
        <w:t xml:space="preserve"> </w:t>
      </w:r>
      <w:r w:rsidRPr="00FA4CA0">
        <w:t>Not est.= Not estimable.</w:t>
      </w:r>
      <w:r w:rsidR="00404BA5" w:rsidRPr="00FA4CA0">
        <w:t xml:space="preserve"> </w:t>
      </w:r>
      <w:r w:rsidRPr="00FA4CA0">
        <w:t>*Statistically significant on one-sided significance level 0.025.</w:t>
      </w:r>
    </w:p>
    <w:p w:rsidR="00E22D1F" w:rsidRPr="000D7021" w:rsidRDefault="000D7021" w:rsidP="006856AA">
      <w:r w:rsidRPr="00D636AC">
        <w:t>F</w:t>
      </w:r>
      <w:r w:rsidR="00E22D1F" w:rsidRPr="00D636AC">
        <w:t xml:space="preserve">igure </w:t>
      </w:r>
      <w:r w:rsidRPr="00D636AC">
        <w:t>1</w:t>
      </w:r>
      <w:r w:rsidR="00E22D1F" w:rsidRPr="00D636AC">
        <w:t xml:space="preserve">, shows that in the first 2 months in Part II the probability of not worsening, </w:t>
      </w:r>
      <w:r w:rsidRPr="00D636AC">
        <w:t>that is,</w:t>
      </w:r>
      <w:r w:rsidR="00E22D1F" w:rsidRPr="00D636AC">
        <w:t xml:space="preserve"> of maintaining one’s ACR response was similar for both treatment groups.</w:t>
      </w:r>
      <w:r w:rsidR="00404BA5" w:rsidRPr="00D636AC">
        <w:t xml:space="preserve"> </w:t>
      </w:r>
      <w:r w:rsidR="00E22D1F" w:rsidRPr="00D636AC">
        <w:t>However, beyond 2 months, the probability that the ACR response was maintained was greater in the canakinumab group than in the placebo group</w:t>
      </w:r>
      <w:r w:rsidR="00E22D1F" w:rsidRPr="000D7021">
        <w:t>.</w:t>
      </w:r>
    </w:p>
    <w:p w:rsidR="00E22D1F" w:rsidRPr="000D7021" w:rsidRDefault="00E22D1F" w:rsidP="006856AA">
      <w:pPr>
        <w:pStyle w:val="FigureTitle"/>
      </w:pPr>
      <w:r w:rsidRPr="000D7021">
        <w:t xml:space="preserve">Figure </w:t>
      </w:r>
      <w:r w:rsidR="000D7021" w:rsidRPr="000D7021">
        <w:t>1.</w:t>
      </w:r>
      <w:r w:rsidR="00404BA5" w:rsidRPr="000D7021">
        <w:t xml:space="preserve"> </w:t>
      </w:r>
      <w:r w:rsidRPr="000D7021">
        <w:t>Kaplan-Meier estimate of the probability of not worsening in ACR response during Part II, by treatment group [FASII]</w:t>
      </w:r>
    </w:p>
    <w:p w:rsidR="00E22D1F" w:rsidRPr="00CD70BC" w:rsidRDefault="00E22D1F" w:rsidP="006856AA">
      <w:pPr>
        <w:rPr>
          <w:highlight w:val="yellow"/>
        </w:rPr>
      </w:pPr>
      <w:r w:rsidRPr="00CD70BC">
        <w:rPr>
          <w:noProof/>
          <w:highlight w:val="yellow"/>
          <w:lang w:eastAsia="en-AU"/>
        </w:rPr>
        <w:drawing>
          <wp:inline distT="0" distB="0" distL="0" distR="0" wp14:anchorId="0A751D54" wp14:editId="49F2E1AD">
            <wp:extent cx="4981575" cy="2333625"/>
            <wp:effectExtent l="0" t="0" r="9525" b="9525"/>
            <wp:docPr id="9" name="Picture 9" descr="Figure 1. Kaplan-Meier estimate of the probability of not worsening in ACR response during Part II, by treatment group [FA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2333625"/>
                    </a:xfrm>
                    <a:prstGeom prst="rect">
                      <a:avLst/>
                    </a:prstGeom>
                    <a:noFill/>
                    <a:ln>
                      <a:noFill/>
                    </a:ln>
                  </pic:spPr>
                </pic:pic>
              </a:graphicData>
            </a:graphic>
          </wp:inline>
        </w:drawing>
      </w:r>
    </w:p>
    <w:p w:rsidR="00E22D1F" w:rsidRPr="001C0FCA" w:rsidRDefault="00E22D1F" w:rsidP="006856AA">
      <w:pPr>
        <w:pStyle w:val="Heading6"/>
      </w:pPr>
      <w:r w:rsidRPr="001C0FCA">
        <w:t>CHAQ disability score</w:t>
      </w:r>
    </w:p>
    <w:p w:rsidR="00E22D1F" w:rsidRPr="001C0FCA" w:rsidRDefault="00E22D1F" w:rsidP="006856AA">
      <w:r w:rsidRPr="001C0FCA">
        <w:t>The CHAQ functional ability score is the third response variable in the adapted ACR paediatric criteria.</w:t>
      </w:r>
      <w:r w:rsidR="00404BA5" w:rsidRPr="001C0FCA">
        <w:t xml:space="preserve"> </w:t>
      </w:r>
      <w:r w:rsidRPr="001C0FCA">
        <w:t>At the beginning of Part II, the median value at baseline in the CHAQ score was 0 for the canakinumab group and 0.1 for the placebo group.</w:t>
      </w:r>
      <w:r w:rsidR="00404BA5" w:rsidRPr="001C0FCA">
        <w:t xml:space="preserve"> </w:t>
      </w:r>
      <w:r w:rsidRPr="001C0FCA">
        <w:t>At the end of Part II the median change from the start of Part II was 0 for both groups.</w:t>
      </w:r>
      <w:r w:rsidR="00404BA5" w:rsidRPr="001C0FCA">
        <w:t xml:space="preserve"> </w:t>
      </w:r>
      <w:r w:rsidRPr="001C0FCA">
        <w:t xml:space="preserve">Thus there was no difference between the two groups in the </w:t>
      </w:r>
      <w:r w:rsidR="008524A7" w:rsidRPr="001C0FCA">
        <w:t>least squares (</w:t>
      </w:r>
      <w:r w:rsidRPr="001C0FCA">
        <w:t>LS</w:t>
      </w:r>
      <w:r w:rsidR="008524A7" w:rsidRPr="001C0FCA">
        <w:t>)</w:t>
      </w:r>
      <w:r w:rsidRPr="001C0FCA">
        <w:t xml:space="preserve"> mean change over the duration of Part II of the study in the CHAQ disability score (p = 0.4571).</w:t>
      </w:r>
      <w:r w:rsidR="00404BA5" w:rsidRPr="001C0FCA">
        <w:t xml:space="preserve"> </w:t>
      </w:r>
      <w:r w:rsidRPr="001C0FCA">
        <w:t>Thus the requirements for the success of the second secondary endpoint were not met and so the closed testing procedure for the secondary endpoints had to stop here.</w:t>
      </w:r>
    </w:p>
    <w:p w:rsidR="00E22D1F" w:rsidRPr="001C0FCA" w:rsidRDefault="00E22D1F" w:rsidP="006856AA">
      <w:r w:rsidRPr="001C0FCA">
        <w:t>With regard to the CHAQ there was little difference between treatment groups as far as a minimal clinically important difference of improvement was concerned.</w:t>
      </w:r>
      <w:r w:rsidR="00404BA5" w:rsidRPr="001C0FCA">
        <w:t xml:space="preserve"> </w:t>
      </w:r>
      <w:r w:rsidRPr="001C0FCA">
        <w:t>However, as pointed out by the sponsor, there were more patients with a minimal clinically important difference of worsening in the placebo group when compared with the canakinumab group.</w:t>
      </w:r>
      <w:r w:rsidR="00404BA5" w:rsidRPr="001C0FCA">
        <w:t xml:space="preserve"> </w:t>
      </w:r>
      <w:r w:rsidRPr="001C0FCA">
        <w:t>Thus at the end of Part II, 14.0% (7/50) of patients in the canakinumab group and 12.0% (6/50) of patients in the placebo group showed a minimal clinically important difference of improvement while 18.0% (9/50) patients in the canakinumab group showed a minimal clinically important difference of worsening compared to 32.0% (16/50) of patients in the placebo group.</w:t>
      </w:r>
    </w:p>
    <w:p w:rsidR="00E22D1F" w:rsidRPr="001C0FCA" w:rsidRDefault="00E22D1F" w:rsidP="006856AA">
      <w:pPr>
        <w:pStyle w:val="Heading6"/>
      </w:pPr>
      <w:r w:rsidRPr="001C0FCA">
        <w:lastRenderedPageBreak/>
        <w:t>Growth velocity (an exploratory endpoint)</w:t>
      </w:r>
    </w:p>
    <w:p w:rsidR="00E22D1F" w:rsidRPr="001C0FCA" w:rsidRDefault="00E22D1F" w:rsidP="006856AA">
      <w:r w:rsidRPr="001C0FCA">
        <w:t>Canakinumab appeared to have no negative affect on height as reflected by a small but positive increase in the median change from baseline in height percentile of +2.09 at the end of the study (compared with a change of -0.50 in the placebo group).</w:t>
      </w:r>
      <w:r w:rsidR="00404BA5" w:rsidRPr="001C0FCA">
        <w:t xml:space="preserve"> </w:t>
      </w:r>
      <w:r w:rsidRPr="001C0FCA">
        <w:t>For the canakinumab group, the largest changes in height percentiles occurred in the two lowest categories.</w:t>
      </w:r>
      <w:r w:rsidR="00404BA5" w:rsidRPr="001C0FCA">
        <w:t xml:space="preserve"> </w:t>
      </w:r>
      <w:r w:rsidRPr="001C0FCA">
        <w:t>The percentage of patients in the canakinumab group who entered the study in the lowest height percentile category (20</w:t>
      </w:r>
      <w:r w:rsidRPr="001C0FCA">
        <w:rPr>
          <w:vertAlign w:val="superscript"/>
        </w:rPr>
        <w:t>th</w:t>
      </w:r>
      <w:r w:rsidRPr="001C0FCA">
        <w:t xml:space="preserve"> percentile) was 51%.</w:t>
      </w:r>
      <w:r w:rsidR="00404BA5" w:rsidRPr="001C0FCA">
        <w:t xml:space="preserve"> </w:t>
      </w:r>
      <w:r w:rsidRPr="001C0FCA">
        <w:t>At the end of the study this percentage had decreased to 39%.</w:t>
      </w:r>
      <w:r w:rsidR="00404BA5" w:rsidRPr="001C0FCA">
        <w:t xml:space="preserve"> </w:t>
      </w:r>
      <w:r w:rsidRPr="001C0FCA">
        <w:t>The percentage of patients in the canakinumab group in the 20</w:t>
      </w:r>
      <w:r w:rsidRPr="001C0FCA">
        <w:rPr>
          <w:vertAlign w:val="superscript"/>
        </w:rPr>
        <w:t>th</w:t>
      </w:r>
      <w:r w:rsidRPr="001C0FCA">
        <w:t xml:space="preserve"> -40</w:t>
      </w:r>
      <w:r w:rsidRPr="001C0FCA">
        <w:rPr>
          <w:vertAlign w:val="superscript"/>
        </w:rPr>
        <w:t>th</w:t>
      </w:r>
      <w:r w:rsidRPr="001C0FCA">
        <w:t xml:space="preserve"> percentile category increased from 22% at baseline to 31% at the end of Part II.</w:t>
      </w:r>
      <w:r w:rsidR="00404BA5" w:rsidRPr="001C0FCA">
        <w:t xml:space="preserve"> </w:t>
      </w:r>
      <w:r w:rsidRPr="001C0FCA">
        <w:t xml:space="preserve">The percentages of subjects in all </w:t>
      </w:r>
      <w:r w:rsidR="00031051">
        <w:t xml:space="preserve">groups </w:t>
      </w:r>
      <w:r w:rsidRPr="001C0FCA">
        <w:t>of the other higher height percentile categories increased slightly by a few points.</w:t>
      </w:r>
      <w:r w:rsidR="00404BA5" w:rsidRPr="001C0FCA">
        <w:t xml:space="preserve"> </w:t>
      </w:r>
      <w:r w:rsidRPr="001C0FCA">
        <w:t>For those in the placebo group there was essentially no change between baseline and the end of the study in the composition of the height percentile categories.</w:t>
      </w:r>
      <w:r w:rsidR="00404BA5" w:rsidRPr="001C0FCA">
        <w:t xml:space="preserve"> </w:t>
      </w:r>
      <w:r w:rsidRPr="001C0FCA">
        <w:t xml:space="preserve">The changes in weight and </w:t>
      </w:r>
      <w:r w:rsidR="008524A7" w:rsidRPr="001C0FCA">
        <w:t>body mass index (</w:t>
      </w:r>
      <w:r w:rsidRPr="001C0FCA">
        <w:t>BMI</w:t>
      </w:r>
      <w:r w:rsidR="008524A7" w:rsidRPr="001C0FCA">
        <w:t>)</w:t>
      </w:r>
      <w:r w:rsidRPr="001C0FCA">
        <w:t xml:space="preserve"> percentiles were similar to those for height.</w:t>
      </w:r>
    </w:p>
    <w:p w:rsidR="00E22D1F" w:rsidRPr="001C0FCA" w:rsidRDefault="00E22D1F" w:rsidP="006856AA">
      <w:pPr>
        <w:pStyle w:val="Heading6"/>
      </w:pPr>
      <w:r w:rsidRPr="001C0FCA">
        <w:t>Physical development based on Tanner scale</w:t>
      </w:r>
    </w:p>
    <w:p w:rsidR="00E22D1F" w:rsidRPr="001C0FCA" w:rsidRDefault="00E22D1F" w:rsidP="006856AA">
      <w:r w:rsidRPr="001C0FCA">
        <w:t>A shift table of physical development in Part II using the Tanner stages scale was provided by the sponsor and it was stratified by sex and age category.</w:t>
      </w:r>
      <w:r w:rsidR="00404BA5" w:rsidRPr="001C0FCA">
        <w:t xml:space="preserve"> </w:t>
      </w:r>
      <w:r w:rsidRPr="001C0FCA">
        <w:t>No unexpected effects on physical development were seen.</w:t>
      </w:r>
    </w:p>
    <w:p w:rsidR="00E22D1F" w:rsidRPr="001C0FCA" w:rsidRDefault="00E22D1F" w:rsidP="006856AA">
      <w:pPr>
        <w:pStyle w:val="Heading5"/>
      </w:pPr>
      <w:r w:rsidRPr="001C0FCA">
        <w:t>Other efficacy studies</w:t>
      </w:r>
    </w:p>
    <w:p w:rsidR="00E22D1F" w:rsidRPr="00D636AC" w:rsidRDefault="00E22D1F" w:rsidP="006856AA">
      <w:r w:rsidRPr="006856AA">
        <w:rPr>
          <w:i/>
        </w:rPr>
        <w:t>Study A2203:</w:t>
      </w:r>
      <w:r w:rsidR="00404BA5" w:rsidRPr="001C0FCA">
        <w:t xml:space="preserve"> </w:t>
      </w:r>
      <w:r w:rsidRPr="001C0FCA">
        <w:t>This was a multi-centre, open label, repeated dose range finding study to evaluate the safety, tolerability, immunogenicity, pharmacokinetics and efficacy of canakinumab given subcutaneously in paediatric subjects with active sJIA.</w:t>
      </w:r>
      <w:r w:rsidR="00404BA5" w:rsidRPr="001C0FCA">
        <w:t xml:space="preserve"> </w:t>
      </w:r>
      <w:r w:rsidRPr="001C0FCA">
        <w:t>A total of 23 patients were enrolled in the study.</w:t>
      </w:r>
      <w:r w:rsidR="00404BA5" w:rsidRPr="001C0FCA">
        <w:t xml:space="preserve"> </w:t>
      </w:r>
      <w:r w:rsidRPr="001C0FCA">
        <w:t>Overall</w:t>
      </w:r>
      <w:r w:rsidRPr="00D636AC">
        <w:t xml:space="preserve"> there were 13/22 (59%) responders.</w:t>
      </w:r>
      <w:r w:rsidR="00404BA5" w:rsidRPr="00D636AC">
        <w:t xml:space="preserve"> </w:t>
      </w:r>
      <w:r w:rsidRPr="00D636AC">
        <w:t>Median time to relapse ranged from 56 days in patients receiving &lt;3</w:t>
      </w:r>
      <w:r w:rsidR="00404BA5" w:rsidRPr="00D636AC">
        <w:t xml:space="preserve"> mg/kg</w:t>
      </w:r>
      <w:r w:rsidRPr="00D636AC">
        <w:t xml:space="preserve"> to 100 days in patients receiving 3</w:t>
      </w:r>
      <w:r w:rsidR="00404BA5" w:rsidRPr="00D636AC">
        <w:t xml:space="preserve"> mg/kg</w:t>
      </w:r>
      <w:r w:rsidRPr="00D636AC">
        <w:t>.</w:t>
      </w:r>
      <w:r w:rsidR="00404BA5" w:rsidRPr="00D636AC">
        <w:t xml:space="preserve"> </w:t>
      </w:r>
      <w:r w:rsidRPr="00D636AC">
        <w:t>Patients on 4 mg/ kg or &gt;4</w:t>
      </w:r>
      <w:r w:rsidR="00404BA5" w:rsidRPr="00D636AC">
        <w:t xml:space="preserve"> mg/kg</w:t>
      </w:r>
      <w:r w:rsidRPr="00D636AC">
        <w:t xml:space="preserve"> relapsed at a median of 90 or 72 days, respectively.</w:t>
      </w:r>
      <w:r w:rsidR="00404BA5" w:rsidRPr="00D636AC">
        <w:t xml:space="preserve"> </w:t>
      </w:r>
      <w:r w:rsidRPr="00D636AC">
        <w:t>While the 3</w:t>
      </w:r>
      <w:r w:rsidR="00404BA5" w:rsidRPr="00D636AC">
        <w:t xml:space="preserve"> mg/kg</w:t>
      </w:r>
      <w:r w:rsidRPr="00D636AC">
        <w:t xml:space="preserve"> and 4</w:t>
      </w:r>
      <w:r w:rsidR="00404BA5" w:rsidRPr="00D636AC">
        <w:t xml:space="preserve"> mg/kg</w:t>
      </w:r>
      <w:r w:rsidRPr="00D636AC">
        <w:t xml:space="preserve"> doses appear to be equivalent in this small study, the 4</w:t>
      </w:r>
      <w:r w:rsidR="00404BA5" w:rsidRPr="00D636AC">
        <w:t xml:space="preserve"> mg/kg</w:t>
      </w:r>
      <w:r w:rsidRPr="00D636AC">
        <w:t xml:space="preserve"> was the one chosen for use in the pivotal studies and, as noted by the clinical evaluator, this decision was made after analysis of the PK/PD model.</w:t>
      </w:r>
    </w:p>
    <w:p w:rsidR="00E22D1F" w:rsidRPr="00FA4CA0" w:rsidRDefault="00E22D1F" w:rsidP="006856AA">
      <w:r w:rsidRPr="006856AA">
        <w:rPr>
          <w:i/>
        </w:rPr>
        <w:t>Study G2301E1:</w:t>
      </w:r>
      <w:r w:rsidR="00404BA5" w:rsidRPr="00FA4CA0">
        <w:t xml:space="preserve"> </w:t>
      </w:r>
      <w:r w:rsidRPr="00FA4CA0">
        <w:t>This is an ongoing open-label extension study of canakinumab 4</w:t>
      </w:r>
      <w:r w:rsidR="00404BA5" w:rsidRPr="00FA4CA0">
        <w:t xml:space="preserve"> mg/kg</w:t>
      </w:r>
      <w:r w:rsidRPr="00FA4CA0">
        <w:t xml:space="preserve"> every 4 weeks in patients with sJIA and active systemic manifestations who participated in </w:t>
      </w:r>
      <w:r w:rsidR="008524A7">
        <w:t>S</w:t>
      </w:r>
      <w:r w:rsidRPr="00FA4CA0">
        <w:t>tudies G2301 and G2305.</w:t>
      </w:r>
      <w:r w:rsidR="00404BA5" w:rsidRPr="00FA4CA0">
        <w:t xml:space="preserve"> </w:t>
      </w:r>
      <w:r w:rsidRPr="00FA4CA0">
        <w:t>Dose reduction to 2</w:t>
      </w:r>
      <w:r w:rsidR="00404BA5" w:rsidRPr="00FA4CA0">
        <w:t xml:space="preserve"> mg/kg SC</w:t>
      </w:r>
      <w:r w:rsidRPr="00FA4CA0">
        <w:t xml:space="preserve"> every 4 weeks was permitted in individual patients depending on patient’s clinical response to the 4</w:t>
      </w:r>
      <w:r w:rsidR="00404BA5" w:rsidRPr="00FA4CA0">
        <w:t xml:space="preserve"> mg/kg</w:t>
      </w:r>
      <w:r w:rsidRPr="00FA4CA0">
        <w:t xml:space="preserve"> dose.</w:t>
      </w:r>
    </w:p>
    <w:p w:rsidR="00E22D1F" w:rsidRPr="00FA4CA0" w:rsidRDefault="00E22D1F" w:rsidP="006856AA">
      <w:r w:rsidRPr="00FA4CA0">
        <w:t>A total of 147 patients were enrolled in the study (40 who were non-responders and 100 who were responders at entry into the extension study).</w:t>
      </w:r>
      <w:r w:rsidR="00404BA5" w:rsidRPr="00FA4CA0">
        <w:t xml:space="preserve"> </w:t>
      </w:r>
      <w:r w:rsidRPr="00FA4CA0">
        <w:t>All were included in the efficacy and safety analysis populations for this interim analysis.</w:t>
      </w:r>
    </w:p>
    <w:p w:rsidR="00E22D1F" w:rsidRPr="00FA4CA0" w:rsidRDefault="00E22D1F" w:rsidP="006856AA">
      <w:r w:rsidRPr="00FA4CA0">
        <w:t>Among the 40 patients entering the extension study as a non-responder, 25 (62.5%) became a responder by Month 3, with 18 (72%) achieving a minimum ACR70, 12 (48%) an ACR90 and 7 (28%) an ACR100 response.</w:t>
      </w:r>
      <w:r w:rsidR="00404BA5" w:rsidRPr="00FA4CA0">
        <w:t xml:space="preserve"> </w:t>
      </w:r>
      <w:r w:rsidRPr="00FA4CA0">
        <w:t>At the time of the interim analysis, 23/40 (57.5%) patients were responders, and 17 (74%) had a minimum ACR70 response.</w:t>
      </w:r>
    </w:p>
    <w:p w:rsidR="00E22D1F" w:rsidRPr="00FA4CA0" w:rsidRDefault="00E22D1F" w:rsidP="006856AA">
      <w:r w:rsidRPr="00FA4CA0">
        <w:t>Overall, the majority of patients (103/107, 96%) entering the study as a responder remained as a responder at Month 3, with 98% achieving a minimum ACR50, 95% an ACR70, 81% an ACR90, and 65% an ACR100 response.</w:t>
      </w:r>
      <w:r w:rsidR="00404BA5" w:rsidRPr="00FA4CA0">
        <w:t xml:space="preserve"> </w:t>
      </w:r>
      <w:r w:rsidRPr="00FA4CA0">
        <w:t>At the time of the interim analysis, 6 of 107 (6%) patients had lost their responder status, 94% had an ACR30, and 95% had a minimum ACR70 response.</w:t>
      </w:r>
    </w:p>
    <w:p w:rsidR="00E22D1F" w:rsidRPr="00FA4CA0" w:rsidRDefault="00E22D1F" w:rsidP="006856AA">
      <w:r w:rsidRPr="00FA4CA0">
        <w:t xml:space="preserve">In total, 69 patients entered the extension study on steroids </w:t>
      </w:r>
      <w:r w:rsidR="008524A7">
        <w:t>and of these,</w:t>
      </w:r>
      <w:r w:rsidRPr="00FA4CA0">
        <w:t xml:space="preserve"> 13 were able to reduce their steroid dose and 20 to discontinue steroids.</w:t>
      </w:r>
      <w:r w:rsidR="00404BA5" w:rsidRPr="00FA4CA0">
        <w:t xml:space="preserve"> </w:t>
      </w:r>
      <w:r w:rsidRPr="00FA4CA0">
        <w:t>Even among those patients who had failed steroid tapering in Part I of Study G2301, 17 (43%) patients were able to successfully taper their steroids, including 10 (25%) who became steroid free.</w:t>
      </w:r>
    </w:p>
    <w:p w:rsidR="00E22D1F" w:rsidRPr="00FA4CA0" w:rsidRDefault="00E22D1F" w:rsidP="00097F91">
      <w:r w:rsidRPr="00FA4CA0">
        <w:lastRenderedPageBreak/>
        <w:t>Overall, 31 patients received at least one dose of 2</w:t>
      </w:r>
      <w:r w:rsidR="00404BA5" w:rsidRPr="00FA4CA0">
        <w:t xml:space="preserve"> mg/kg</w:t>
      </w:r>
      <w:r w:rsidRPr="00FA4CA0">
        <w:t>, and 26 patients received at least 3 consecutive reduced doses for a median duration of 224 days (range 59 to 511 days).</w:t>
      </w:r>
      <w:r w:rsidR="00404BA5" w:rsidRPr="00FA4CA0">
        <w:t xml:space="preserve"> </w:t>
      </w:r>
      <w:r w:rsidRPr="00FA4CA0">
        <w:t>All 26 patients (17 patients previously treated with canakinumab and 9 patients previously treated with placebo) maintained an ACR100 during the time they received the reduced dose, and none discontinued the study due to lack of efficacy.</w:t>
      </w:r>
    </w:p>
    <w:p w:rsidR="00E22D1F" w:rsidRPr="00FA4CA0" w:rsidRDefault="00E22D1F" w:rsidP="00097F91">
      <w:r w:rsidRPr="00FA4CA0">
        <w:t>Data from the phase III trials G2305, G2301 and G2301E1 were pooled to evaluate the 12</w:t>
      </w:r>
      <w:r w:rsidR="008524A7">
        <w:t xml:space="preserve"> </w:t>
      </w:r>
      <w:r w:rsidRPr="00FA4CA0">
        <w:t>week efficacy in canakinumab treatment naïve patients who had received at least one dose of canakinumab.</w:t>
      </w:r>
      <w:r w:rsidR="00404BA5" w:rsidRPr="00FA4CA0">
        <w:t xml:space="preserve"> </w:t>
      </w:r>
      <w:r w:rsidRPr="00FA4CA0">
        <w:t>The ACR response data in the pooled studies was generally consistent with that reported in the individual studies.</w:t>
      </w:r>
    </w:p>
    <w:p w:rsidR="00E22D1F" w:rsidRPr="001C0FCA" w:rsidRDefault="00E22D1F" w:rsidP="00097F91">
      <w:pPr>
        <w:pStyle w:val="Heading6"/>
      </w:pPr>
      <w:r w:rsidRPr="001C0FCA">
        <w:t>Summary of efficacy</w:t>
      </w:r>
    </w:p>
    <w:p w:rsidR="00E22D1F" w:rsidRPr="001C0FCA" w:rsidRDefault="00E22D1F" w:rsidP="00097F91">
      <w:r w:rsidRPr="001C0FCA">
        <w:t>There were 2 pivotal Phase III studies in patients with sJIA.</w:t>
      </w:r>
    </w:p>
    <w:p w:rsidR="00E22D1F" w:rsidRPr="001C0FCA" w:rsidRDefault="00E22D1F" w:rsidP="00097F91">
      <w:r w:rsidRPr="001C0FCA">
        <w:t xml:space="preserve">Study G2305 was a randomised, double-blind, placebo-controlled, single-dose, </w:t>
      </w:r>
      <w:r w:rsidR="00404BA5" w:rsidRPr="001C0FCA">
        <w:t xml:space="preserve">4 week study </w:t>
      </w:r>
      <w:r w:rsidRPr="001C0FCA">
        <w:t>assessing the short term efficacy of canakinumab 4</w:t>
      </w:r>
      <w:r w:rsidR="00404BA5" w:rsidRPr="001C0FCA">
        <w:t xml:space="preserve"> mg/kg</w:t>
      </w:r>
      <w:r w:rsidRPr="001C0FCA">
        <w:t xml:space="preserve"> in 84 patients (43 on canakinumab, 41 on placebo) aged 2 to 19 years with active sJIA.</w:t>
      </w:r>
      <w:r w:rsidR="00404BA5" w:rsidRPr="001C0FCA">
        <w:t xml:space="preserve"> </w:t>
      </w:r>
      <w:r w:rsidRPr="001C0FCA">
        <w:t>Because this was only a single-dose study, it is more akin to a proof-of-concept study, albeit on a larger scale.</w:t>
      </w:r>
      <w:r w:rsidR="00404BA5" w:rsidRPr="001C0FCA">
        <w:t xml:space="preserve"> </w:t>
      </w:r>
      <w:r w:rsidRPr="001C0FCA">
        <w:t>The study demonstrated that canakinumab was more effective than placebo in achieving an ACR30 response at Day 15.</w:t>
      </w:r>
      <w:r w:rsidR="00404BA5" w:rsidRPr="001C0FCA">
        <w:t xml:space="preserve"> </w:t>
      </w:r>
      <w:r w:rsidRPr="001C0FCA">
        <w:t>Overall, 83.7% on canakinumab and 9.8% on placebo achieved this outcome.</w:t>
      </w:r>
      <w:r w:rsidR="00404BA5" w:rsidRPr="001C0FCA">
        <w:t xml:space="preserve"> </w:t>
      </w:r>
      <w:r w:rsidRPr="001C0FCA">
        <w:t>The OR for this comparison was statistically significant and represents a clinically meaningful outcome (OR 62.29; 95% CI: 12.68, 306.07; p &lt; 0.0001).</w:t>
      </w:r>
      <w:r w:rsidR="00404BA5" w:rsidRPr="001C0FCA">
        <w:t xml:space="preserve"> </w:t>
      </w:r>
      <w:r w:rsidRPr="001C0FCA">
        <w:t>Secondary efficacy outcomes were supportive and sub-group analyses by age, gender and disease-related factors showed no marked effects on the treatment response.</w:t>
      </w:r>
    </w:p>
    <w:p w:rsidR="00E22D1F" w:rsidRPr="001C0FCA" w:rsidRDefault="00E22D1F" w:rsidP="00097F91">
      <w:r w:rsidRPr="001C0FCA">
        <w:t>The pivotal study which must be considered the principal pivotal study is the Study G2301 which consisted of a 32</w:t>
      </w:r>
      <w:r w:rsidR="008524A7" w:rsidRPr="001C0FCA">
        <w:t xml:space="preserve"> </w:t>
      </w:r>
      <w:r w:rsidRPr="001C0FCA">
        <w:t>week open-label, single-arm active treatment period (+ steroid tapering) in 177 patients, followed by a randomised, double-blind, placebo controlled, and event-driven withdrawal study of flare prevention in 100 patients.</w:t>
      </w:r>
      <w:r w:rsidR="00404BA5" w:rsidRPr="001C0FCA">
        <w:t xml:space="preserve"> </w:t>
      </w:r>
      <w:r w:rsidRPr="001C0FCA">
        <w:t>The active treatment phase of Study G2301 achieved the primary objective, with 44.5% (90% CI: 37.1, 52.2; p&lt;0.0001) of patients able to taper their steroids.</w:t>
      </w:r>
      <w:r w:rsidR="00404BA5" w:rsidRPr="001C0FCA">
        <w:t xml:space="preserve"> </w:t>
      </w:r>
      <w:r w:rsidRPr="001C0FCA">
        <w:t>In Part II, patients on canakinumab had a statistically significant reduction in flare compared with placebo (HR 0.36; 95% CI: 0.17, 0.75; p=0.0032).</w:t>
      </w:r>
      <w:r w:rsidR="00404BA5" w:rsidRPr="001C0FCA">
        <w:t xml:space="preserve"> </w:t>
      </w:r>
      <w:r w:rsidRPr="001C0FCA">
        <w:t>A clinically relevant reduction in flare remained if patients who discontinued the study were censored rather than counted as flared, but the result lost its statistical significance (HR 0.51; 95% CI: 0.23, 1.12; p=0.0445).</w:t>
      </w:r>
      <w:r w:rsidR="00404BA5" w:rsidRPr="001C0FCA">
        <w:t xml:space="preserve"> </w:t>
      </w:r>
      <w:r w:rsidRPr="001C0FCA">
        <w:t xml:space="preserve">In answer to one of the  clinical questions asked at the end of the </w:t>
      </w:r>
      <w:r w:rsidR="008524A7" w:rsidRPr="001C0FCA">
        <w:t>First r</w:t>
      </w:r>
      <w:r w:rsidRPr="001C0FCA">
        <w:t>ound evaluation, the sponsor provided yet another analysis, a post</w:t>
      </w:r>
      <w:r w:rsidR="008524A7" w:rsidRPr="001C0FCA">
        <w:t xml:space="preserve"> </w:t>
      </w:r>
      <w:r w:rsidRPr="001C0FCA">
        <w:t xml:space="preserve">hoc sensitivity analysis which defined </w:t>
      </w:r>
      <w:r w:rsidR="00186C14" w:rsidRPr="001C0FCA">
        <w:t>‘</w:t>
      </w:r>
      <w:r w:rsidRPr="001C0FCA">
        <w:t>flares</w:t>
      </w:r>
      <w:r w:rsidR="00186C14" w:rsidRPr="001C0FCA">
        <w:t>’</w:t>
      </w:r>
      <w:r w:rsidRPr="001C0FCA">
        <w:t xml:space="preserve"> as per the protocol definition or discontinuations from Part II due to unsatisfactory therapeutic effect.</w:t>
      </w:r>
      <w:r w:rsidR="00404BA5" w:rsidRPr="001C0FCA">
        <w:t xml:space="preserve"> </w:t>
      </w:r>
      <w:r w:rsidRPr="001C0FCA">
        <w:t>The results of this post-hoc sensitivity analysis showed a significant relative risk reduction in flares in the canakinumab group of 57% (HR 0.43; 95% CI: 0.20 to 0.92; p=0.0127 [one-sided significance level 0.025]).</w:t>
      </w:r>
      <w:r w:rsidR="00404BA5" w:rsidRPr="001C0FCA">
        <w:t xml:space="preserve"> </w:t>
      </w:r>
      <w:r w:rsidRPr="001C0FCA">
        <w:t>There will be more discussion of these re-analyses later in this overview.</w:t>
      </w:r>
      <w:r w:rsidR="00404BA5" w:rsidRPr="001C0FCA">
        <w:t xml:space="preserve"> </w:t>
      </w:r>
      <w:r w:rsidRPr="001C0FCA">
        <w:t xml:space="preserve">The </w:t>
      </w:r>
      <w:r w:rsidR="008524A7" w:rsidRPr="001C0FCA">
        <w:t>D</w:t>
      </w:r>
      <w:r w:rsidRPr="001C0FCA">
        <w:t>elegate will be requesting further information from the sponsor in relation to this issue.</w:t>
      </w:r>
    </w:p>
    <w:p w:rsidR="00E22D1F" w:rsidRPr="001C0FCA" w:rsidRDefault="00E22D1F" w:rsidP="00097F91">
      <w:pPr>
        <w:rPr>
          <w:kern w:val="24"/>
        </w:rPr>
      </w:pPr>
      <w:r w:rsidRPr="0013047A">
        <w:t xml:space="preserve">There was an extension </w:t>
      </w:r>
      <w:r w:rsidR="008524A7">
        <w:t>S</w:t>
      </w:r>
      <w:r w:rsidRPr="0013047A">
        <w:t>tudy G2301E1 which followed a diverse group of sJIA patients from previous canakinumab studies (responders and non-responders).</w:t>
      </w:r>
      <w:r w:rsidR="00404BA5" w:rsidRPr="0013047A">
        <w:t xml:space="preserve"> </w:t>
      </w:r>
      <w:r w:rsidRPr="0013047A">
        <w:t>The results demonstrated that 25</w:t>
      </w:r>
      <w:r w:rsidR="00404BA5" w:rsidRPr="0013047A">
        <w:t>/</w:t>
      </w:r>
      <w:r w:rsidRPr="0013047A">
        <w:t>40 (62.5%) who were non-responders at entry became a responder by Month 3, and 23</w:t>
      </w:r>
      <w:r w:rsidR="00404BA5" w:rsidRPr="0013047A">
        <w:t>/</w:t>
      </w:r>
      <w:r w:rsidRPr="0013047A">
        <w:t>40 (57.5%) were responders at the time of the interim analysis.</w:t>
      </w:r>
      <w:r w:rsidR="00404BA5" w:rsidRPr="0013047A">
        <w:t xml:space="preserve"> </w:t>
      </w:r>
      <w:r w:rsidRPr="0013047A">
        <w:t>Among the responders, 103</w:t>
      </w:r>
      <w:r w:rsidR="00404BA5" w:rsidRPr="0013047A">
        <w:t>/</w:t>
      </w:r>
      <w:r w:rsidRPr="0013047A">
        <w:t>107 (96%) remained responders at Month 3, and 101</w:t>
      </w:r>
      <w:r w:rsidR="00404BA5" w:rsidRPr="0013047A">
        <w:t>/</w:t>
      </w:r>
      <w:r w:rsidRPr="0013047A">
        <w:t>107 (94%) were responders at the time of the interim analysis.</w:t>
      </w:r>
      <w:r w:rsidR="00404BA5" w:rsidRPr="0013047A">
        <w:t xml:space="preserve"> </w:t>
      </w:r>
      <w:r w:rsidRPr="0013047A">
        <w:t xml:space="preserve">The clinical evaluator noted that in this study there were 26 patients who, having achieved steroid tapering or freedom from steroids, </w:t>
      </w:r>
      <w:r w:rsidRPr="0013047A">
        <w:rPr>
          <w:kern w:val="24"/>
        </w:rPr>
        <w:t>received at least 3 consecutive doses of canakinumab 2</w:t>
      </w:r>
      <w:r w:rsidR="00404BA5" w:rsidRPr="0013047A">
        <w:rPr>
          <w:kern w:val="24"/>
        </w:rPr>
        <w:t xml:space="preserve"> mg/kg</w:t>
      </w:r>
      <w:r w:rsidRPr="0013047A">
        <w:rPr>
          <w:kern w:val="24"/>
        </w:rPr>
        <w:t xml:space="preserve"> for a median duration of 224 days (range 59 to 511 days) and that all these 26 patients maintained an ACR100 during the time they received the reduced dose and none of the 26 discontinued the study due to lack of efficacy.</w:t>
      </w:r>
      <w:r w:rsidR="00404BA5" w:rsidRPr="0013047A">
        <w:rPr>
          <w:kern w:val="24"/>
        </w:rPr>
        <w:t xml:space="preserve"> </w:t>
      </w:r>
      <w:r w:rsidRPr="0013047A">
        <w:rPr>
          <w:kern w:val="24"/>
        </w:rPr>
        <w:t xml:space="preserve">This would appear to suggest that some sJIA patients may </w:t>
      </w:r>
      <w:r w:rsidRPr="001C0FCA">
        <w:rPr>
          <w:kern w:val="24"/>
        </w:rPr>
        <w:lastRenderedPageBreak/>
        <w:t>be able to be controlled on a canakinumab dose lower than is currently proposed.</w:t>
      </w:r>
      <w:r w:rsidR="00404BA5" w:rsidRPr="001C0FCA">
        <w:rPr>
          <w:kern w:val="24"/>
        </w:rPr>
        <w:t xml:space="preserve"> </w:t>
      </w:r>
      <w:r w:rsidRPr="001C0FCA">
        <w:rPr>
          <w:kern w:val="24"/>
        </w:rPr>
        <w:t>The sponsor is requested to comment on this issue.</w:t>
      </w:r>
    </w:p>
    <w:p w:rsidR="00E22D1F" w:rsidRPr="001C0FCA" w:rsidRDefault="00E22D1F" w:rsidP="00097F91">
      <w:r w:rsidRPr="001C0FCA">
        <w:rPr>
          <w:kern w:val="24"/>
        </w:rPr>
        <w:t xml:space="preserve">On the downside it is important to note, as did the clinical evaluator, </w:t>
      </w:r>
      <w:r w:rsidRPr="001C0FCA">
        <w:t>that in Study G2305 14% of participants receiving canakinumab discontinued the study due to unsatisfactory therapeutic response.</w:t>
      </w:r>
      <w:r w:rsidR="00404BA5" w:rsidRPr="001C0FCA">
        <w:t xml:space="preserve"> </w:t>
      </w:r>
      <w:r w:rsidRPr="001C0FCA">
        <w:t>In Part I of study G2301 this percentage was 41%, including 15% who did not achieve an initial response by Day 15, 8% who lost their initial response after Day 15, and 15% who failed steroid-tapering.</w:t>
      </w:r>
      <w:r w:rsidR="00404BA5" w:rsidRPr="001C0FCA">
        <w:t xml:space="preserve"> </w:t>
      </w:r>
      <w:r w:rsidRPr="001C0FCA">
        <w:t>This information must be communicated clearly in the proposed PI.</w:t>
      </w:r>
      <w:r w:rsidR="00404BA5" w:rsidRPr="001C0FCA">
        <w:t xml:space="preserve"> </w:t>
      </w:r>
      <w:r w:rsidRPr="001C0FCA">
        <w:t>Such results raise the issue of how long one should persist with treatment when no response is seen.</w:t>
      </w:r>
      <w:r w:rsidR="00404BA5" w:rsidRPr="001C0FCA">
        <w:t xml:space="preserve"> </w:t>
      </w:r>
      <w:r w:rsidRPr="001C0FCA">
        <w:t>The sponsor is requested to comment on this issue in its pre-ACPM response and on how it intends to address this issue in the PI.</w:t>
      </w:r>
    </w:p>
    <w:p w:rsidR="00E22D1F" w:rsidRPr="001C0FCA" w:rsidRDefault="00E22D1F" w:rsidP="00097F91">
      <w:pPr>
        <w:pStyle w:val="Heading4"/>
      </w:pPr>
      <w:r w:rsidRPr="001C0FCA">
        <w:t>Safety</w:t>
      </w:r>
    </w:p>
    <w:p w:rsidR="00E22D1F" w:rsidRPr="001C0FCA" w:rsidRDefault="00E22D1F" w:rsidP="00097F91">
      <w:pPr>
        <w:pStyle w:val="Heading5"/>
      </w:pPr>
      <w:r w:rsidRPr="001C0FCA">
        <w:t>Patient exposure</w:t>
      </w:r>
    </w:p>
    <w:p w:rsidR="00E22D1F" w:rsidRPr="001C0FCA" w:rsidRDefault="00E22D1F" w:rsidP="00097F91">
      <w:r w:rsidRPr="001C0FCA">
        <w:t>In the combined Phase II and III sJIA studies, 201 patients were exposed to canakinumab for a total of 301.2 patient years.</w:t>
      </w:r>
      <w:r w:rsidR="00404BA5" w:rsidRPr="001C0FCA">
        <w:t xml:space="preserve"> </w:t>
      </w:r>
      <w:r w:rsidRPr="001C0FCA">
        <w:t>The 201 patients were made up as follows: 24 patients aged 2</w:t>
      </w:r>
      <w:r w:rsidR="00F9727B" w:rsidRPr="001C0FCA">
        <w:t xml:space="preserve"> to </w:t>
      </w:r>
      <w:r w:rsidRPr="001C0FCA">
        <w:t>4 years, 40 aged 4</w:t>
      </w:r>
      <w:r w:rsidR="00F9727B" w:rsidRPr="001C0FCA">
        <w:t xml:space="preserve"> to 6 years, 86 aged 6 to </w:t>
      </w:r>
      <w:r w:rsidRPr="001C0FCA">
        <w:t>12 years and 51 aged 12</w:t>
      </w:r>
      <w:r w:rsidR="00F9727B" w:rsidRPr="001C0FCA">
        <w:t xml:space="preserve"> to </w:t>
      </w:r>
      <w:r w:rsidRPr="001C0FCA">
        <w:t>20 years.</w:t>
      </w:r>
      <w:r w:rsidR="00404BA5" w:rsidRPr="001C0FCA">
        <w:t xml:space="preserve"> </w:t>
      </w:r>
      <w:r w:rsidRPr="001C0FCA">
        <w:t>There were 130 patients treated for at least 48 weeks.</w:t>
      </w:r>
    </w:p>
    <w:p w:rsidR="00E22D1F" w:rsidRPr="001C0FCA" w:rsidRDefault="00E22D1F" w:rsidP="00097F91">
      <w:r w:rsidRPr="001C0FCA">
        <w:t xml:space="preserve">The </w:t>
      </w:r>
      <w:r w:rsidR="00F9727B" w:rsidRPr="001C0FCA">
        <w:t>D</w:t>
      </w:r>
      <w:r w:rsidRPr="001C0FCA">
        <w:t>elegate will focus on the safety reporting from the pooled sJIA studies.</w:t>
      </w:r>
    </w:p>
    <w:p w:rsidR="00E22D1F" w:rsidRPr="001C0FCA" w:rsidRDefault="00E22D1F" w:rsidP="00097F91">
      <w:pPr>
        <w:pStyle w:val="Heading5"/>
      </w:pPr>
      <w:r w:rsidRPr="001C0FCA">
        <w:t>All AEs (irrespective of relationship to study treatment)</w:t>
      </w:r>
    </w:p>
    <w:p w:rsidR="00E22D1F" w:rsidRPr="001C0FCA" w:rsidRDefault="00E22D1F" w:rsidP="00097F91">
      <w:pPr>
        <w:rPr>
          <w:rFonts w:asciiTheme="minorHAnsi" w:hAnsiTheme="minorHAnsi"/>
          <w:i/>
          <w:u w:val="single"/>
        </w:rPr>
      </w:pPr>
      <w:r w:rsidRPr="001C0FCA">
        <w:t>Overall, 85.1% of patients experienced at least one AE during the study.</w:t>
      </w:r>
      <w:r w:rsidR="00404BA5" w:rsidRPr="001C0FCA">
        <w:t xml:space="preserve"> </w:t>
      </w:r>
      <w:r w:rsidRPr="001C0FCA">
        <w:t xml:space="preserve">The most commonly affected primary </w:t>
      </w:r>
      <w:r w:rsidR="00F9727B" w:rsidRPr="001C0FCA">
        <w:t>System organ Classes (</w:t>
      </w:r>
      <w:r w:rsidRPr="001C0FCA">
        <w:t>SOCs</w:t>
      </w:r>
      <w:r w:rsidR="00F9727B" w:rsidRPr="001C0FCA">
        <w:t>)</w:t>
      </w:r>
      <w:r w:rsidRPr="001C0FCA">
        <w:t xml:space="preserve"> (by both percentage and exposure-adjusted AE rates) were: infections and infestations (71.1%, 264.9 per 100 patient years), gastrointestinal disorders (52.7%, 152.4), and musculoskeletal and connective tissue disorders (41.8%, 95.0).</w:t>
      </w:r>
      <w:r w:rsidR="00404BA5" w:rsidRPr="001C0FCA">
        <w:t xml:space="preserve"> </w:t>
      </w:r>
      <w:r w:rsidRPr="001C0FCA">
        <w:t>The most frequently reported AEs were: nasopharyngitis (29.4%), pyrexia (25.9%), cough (25.9%), vomiting (22.9%), diarrhoea (22.4%), upper respiratory tract infection (22.4%), headache (20.9%), rhinitis (19.9%), abdominal pain (19.9%), gastroenteritis (18.4%), and arthralgia (17.9%).</w:t>
      </w:r>
      <w:r w:rsidR="00404BA5" w:rsidRPr="001C0FCA">
        <w:t xml:space="preserve"> </w:t>
      </w:r>
      <w:r w:rsidRPr="001C0FCA">
        <w:t>Headache was the most common AE based on exposure-adjusted incidence.</w:t>
      </w:r>
      <w:r w:rsidR="00404BA5" w:rsidRPr="001C0FCA">
        <w:t xml:space="preserve"> </w:t>
      </w:r>
      <w:r w:rsidRPr="001C0FCA">
        <w:t>The highest incidence of AEs occurred in the first 4 weeks of treatment, then generally declined or showed no specific pattern of change.</w:t>
      </w:r>
      <w:r w:rsidR="00404BA5" w:rsidRPr="001C0FCA">
        <w:t xml:space="preserve"> </w:t>
      </w:r>
      <w:r w:rsidRPr="001C0FCA">
        <w:t>The only exception to this was AEs in the Musculoskeletal and connective tissue disorders SOC, which increased after 24 weeks.</w:t>
      </w:r>
      <w:r w:rsidR="00404BA5" w:rsidRPr="001C0FCA">
        <w:t xml:space="preserve"> </w:t>
      </w:r>
      <w:r w:rsidRPr="001C0FCA">
        <w:t>The majority of AEs were mild or moderate in intensity, with 16.9% having a severe AE.</w:t>
      </w:r>
      <w:r w:rsidR="00404BA5" w:rsidRPr="001C0FCA">
        <w:t xml:space="preserve"> </w:t>
      </w:r>
      <w:r w:rsidRPr="001C0FCA">
        <w:t>Individual severe AEs generally occurred in only 1 patient with the following exceptions: pneumonia and MAS (3 patients each), gastroenteritis, septic shock, and varicella (2 patients each).</w:t>
      </w:r>
    </w:p>
    <w:p w:rsidR="00E22D1F" w:rsidRPr="001C0FCA" w:rsidRDefault="00E22D1F" w:rsidP="00097F91">
      <w:r w:rsidRPr="001C0FCA">
        <w:t>Subgroup analyses of the incidence of AEs by age group were conducted but were limited due to the small sample sizes in each subgroup and the small number of events.</w:t>
      </w:r>
      <w:r w:rsidR="00404BA5" w:rsidRPr="001C0FCA">
        <w:t xml:space="preserve"> </w:t>
      </w:r>
      <w:r w:rsidRPr="001C0FCA">
        <w:t>While there were some differences noted, there was no clear relationship with age.</w:t>
      </w:r>
      <w:r w:rsidR="00404BA5" w:rsidRPr="001C0FCA">
        <w:t xml:space="preserve"> </w:t>
      </w:r>
      <w:r w:rsidRPr="001C0FCA">
        <w:t>For example, anaemia and lymphadenopathy tended to be more common in older patients, while AEs in the SOC ‘Injury, poisoning and procedural complications’ were more common in younger patients.</w:t>
      </w:r>
      <w:r w:rsidR="00404BA5" w:rsidRPr="001C0FCA">
        <w:t xml:space="preserve"> </w:t>
      </w:r>
      <w:r w:rsidRPr="001C0FCA">
        <w:t>No trend was seen for infections, but MAS was more commonly reported in patients aged 12 to &lt;20 years.</w:t>
      </w:r>
    </w:p>
    <w:p w:rsidR="00E22D1F" w:rsidRPr="001C0FCA" w:rsidRDefault="00E22D1F" w:rsidP="00097F91">
      <w:pPr>
        <w:pStyle w:val="Heading5"/>
      </w:pPr>
      <w:r w:rsidRPr="001C0FCA">
        <w:t>Treatment-related AEs (adverse drug reactions)</w:t>
      </w:r>
    </w:p>
    <w:p w:rsidR="00E22D1F" w:rsidRPr="001C0FCA" w:rsidRDefault="00E22D1F" w:rsidP="00097F91">
      <w:r w:rsidRPr="001C0FCA">
        <w:t xml:space="preserve">The SOCs reporting the most </w:t>
      </w:r>
      <w:r w:rsidR="00F9727B" w:rsidRPr="001C0FCA">
        <w:t>adverse drug reactions (</w:t>
      </w:r>
      <w:r w:rsidRPr="001C0FCA">
        <w:t>ADRs</w:t>
      </w:r>
      <w:r w:rsidR="00F9727B" w:rsidRPr="001C0FCA">
        <w:t>)</w:t>
      </w:r>
      <w:r w:rsidRPr="001C0FCA">
        <w:t xml:space="preserve"> were infections and infestations (14.9%), general disorders and administration site conditions (7.5%), gastrointestinal disorders (6.5%), and investigations (6.5%).</w:t>
      </w:r>
      <w:r w:rsidR="00404BA5" w:rsidRPr="001C0FCA">
        <w:t xml:space="preserve"> </w:t>
      </w:r>
      <w:r w:rsidRPr="001C0FCA">
        <w:t xml:space="preserve">Most ADRs by </w:t>
      </w:r>
      <w:r w:rsidR="00F9727B" w:rsidRPr="001C0FCA">
        <w:t>Preferred term (</w:t>
      </w:r>
      <w:r w:rsidRPr="001C0FCA">
        <w:t>PT</w:t>
      </w:r>
      <w:r w:rsidR="00F9727B" w:rsidRPr="001C0FCA">
        <w:t>)</w:t>
      </w:r>
      <w:r w:rsidRPr="001C0FCA">
        <w:t xml:space="preserve"> occurred in ≤3 patients, except for MAS (10 patients, 5%), </w:t>
      </w:r>
      <w:r w:rsidR="00F9727B" w:rsidRPr="001C0FCA">
        <w:t>upper respiratory tract infection (</w:t>
      </w:r>
      <w:r w:rsidRPr="001C0FCA">
        <w:t>URTI</w:t>
      </w:r>
      <w:r w:rsidR="00F9727B" w:rsidRPr="001C0FCA">
        <w:t>)</w:t>
      </w:r>
      <w:r w:rsidRPr="001C0FCA">
        <w:t xml:space="preserve"> (7 patients, 3.5%), headache (6 patients, 3%), abdominal pain, neutropenia, and pyrexia (5 patients each, 2.5%), </w:t>
      </w:r>
      <w:r w:rsidR="00F9727B" w:rsidRPr="001C0FCA">
        <w:t>alanine aminotransferase (</w:t>
      </w:r>
      <w:r w:rsidRPr="001C0FCA">
        <w:t>ALT</w:t>
      </w:r>
      <w:r w:rsidR="00F9727B" w:rsidRPr="001C0FCA">
        <w:t>)</w:t>
      </w:r>
      <w:r w:rsidRPr="001C0FCA">
        <w:t xml:space="preserve"> increased, oral candiasis, juvenile arthritis and cough (4 patients each, 2.5%).</w:t>
      </w:r>
    </w:p>
    <w:p w:rsidR="00E22D1F" w:rsidRPr="001C0FCA" w:rsidRDefault="00E22D1F" w:rsidP="00097F91">
      <w:pPr>
        <w:pStyle w:val="Heading5"/>
        <w:rPr>
          <w:rFonts w:eastAsia="TimesNewRomanPSMT"/>
        </w:rPr>
      </w:pPr>
      <w:r w:rsidRPr="001C0FCA">
        <w:rPr>
          <w:rFonts w:eastAsia="TimesNewRomanPSMT"/>
        </w:rPr>
        <w:lastRenderedPageBreak/>
        <w:t>Deaths and other serious adverse events</w:t>
      </w:r>
    </w:p>
    <w:p w:rsidR="00E22D1F" w:rsidRPr="001C0FCA" w:rsidRDefault="00E22D1F" w:rsidP="00097F91">
      <w:r w:rsidRPr="001C0FCA">
        <w:t>Four deaths occurred during the sJIA studies.</w:t>
      </w:r>
      <w:r w:rsidR="00404BA5" w:rsidRPr="001C0FCA">
        <w:t xml:space="preserve"> </w:t>
      </w:r>
      <w:r w:rsidR="00F9727B" w:rsidRPr="001C0FCA">
        <w:t>serious AEs (</w:t>
      </w:r>
      <w:r w:rsidRPr="001C0FCA">
        <w:t>SAEs</w:t>
      </w:r>
      <w:r w:rsidR="00F9727B" w:rsidRPr="001C0FCA">
        <w:t>)</w:t>
      </w:r>
      <w:r w:rsidRPr="001C0FCA">
        <w:t xml:space="preserve"> were reported in 62 (30.8%) patients.</w:t>
      </w:r>
      <w:r w:rsidR="00404BA5" w:rsidRPr="001C0FCA">
        <w:t xml:space="preserve"> </w:t>
      </w:r>
      <w:r w:rsidRPr="001C0FCA">
        <w:t>The most commonly reported SAEs were infections and infestations (14.9%), and sJIA-related musculoskeletal and connective tissue disorders (11.9%).</w:t>
      </w:r>
      <w:r w:rsidR="00404BA5" w:rsidRPr="001C0FCA">
        <w:t xml:space="preserve"> </w:t>
      </w:r>
      <w:r w:rsidRPr="001C0FCA">
        <w:t>The most frequent SAEs (occurring in &gt;1% of patients) were: juvenile arthritis (18/62 or 9.0%), MAS (10/62 or 5.0%), pyrexia (9/62 or 4.5%), abdominal pain (4/62 or 2.0%), gastroenteritis (4/62 or 2.0%), varicella (4/62 or 2.0%), arthralgia (3/62 or 1.5%), and arthritis (3/62 or 1.5%).</w:t>
      </w:r>
    </w:p>
    <w:p w:rsidR="00E22D1F" w:rsidRPr="001C0FCA" w:rsidRDefault="00E22D1F" w:rsidP="00097F91">
      <w:pPr>
        <w:pStyle w:val="Heading5"/>
      </w:pPr>
      <w:r w:rsidRPr="001C0FCA">
        <w:t>Discontinuation due to AEs</w:t>
      </w:r>
    </w:p>
    <w:p w:rsidR="00E22D1F" w:rsidRPr="001C0FCA" w:rsidRDefault="00E22D1F" w:rsidP="00097F91">
      <w:r w:rsidRPr="001C0FCA">
        <w:t>Overall, 19 patients (9.5%) discontinued due to AEs, mostly due to SAEs (15 patients).</w:t>
      </w:r>
    </w:p>
    <w:p w:rsidR="00E22D1F" w:rsidRPr="001C0FCA" w:rsidRDefault="00E22D1F" w:rsidP="00097F91">
      <w:pPr>
        <w:pStyle w:val="Heading5"/>
      </w:pPr>
      <w:r w:rsidRPr="001C0FCA">
        <w:t>Liver function</w:t>
      </w:r>
    </w:p>
    <w:p w:rsidR="00E22D1F" w:rsidRPr="001C0FCA" w:rsidRDefault="00E22D1F" w:rsidP="00097F91">
      <w:pPr>
        <w:rPr>
          <w:rFonts w:eastAsia="TimesNewRomanPSMT" w:cs="TimesNewRomanPSMT"/>
        </w:rPr>
      </w:pPr>
      <w:r w:rsidRPr="001C0FCA">
        <w:t xml:space="preserve">In each of the pivotal studies there was a comprehensive search for drug-related hepatic disorders using Standardised </w:t>
      </w:r>
      <w:r w:rsidR="00F9727B" w:rsidRPr="001C0FCA">
        <w:t>Medical Dictionary for Regulatory Activities</w:t>
      </w:r>
      <w:r w:rsidR="00F9727B" w:rsidRPr="001C0FCA">
        <w:rPr>
          <w:rFonts w:ascii="Arial" w:hAnsi="Arial" w:cs="Arial"/>
          <w:color w:val="3B62A0"/>
          <w:sz w:val="18"/>
          <w:szCs w:val="18"/>
        </w:rPr>
        <w:t xml:space="preserve"> (</w:t>
      </w:r>
      <w:r w:rsidRPr="001C0FCA">
        <w:t>MedDRA</w:t>
      </w:r>
      <w:r w:rsidR="00F9727B" w:rsidRPr="001C0FCA">
        <w:t>)</w:t>
      </w:r>
      <w:r w:rsidRPr="001C0FCA">
        <w:t xml:space="preserve"> Query (SMQ)</w:t>
      </w:r>
      <w:r w:rsidR="00F9727B" w:rsidRPr="001C0FCA">
        <w:rPr>
          <w:rStyle w:val="FootnoteReference"/>
        </w:rPr>
        <w:footnoteReference w:id="20"/>
      </w:r>
      <w:r w:rsidRPr="001C0FCA">
        <w:t>.</w:t>
      </w:r>
      <w:r w:rsidR="00404BA5" w:rsidRPr="001C0FCA">
        <w:t xml:space="preserve"> </w:t>
      </w:r>
      <w:r w:rsidRPr="001C0FCA">
        <w:t>In Study G2305 there was one case of drug-related hepatic disorder in each treatment group (moderate hepatitis on canakinumab, mild hepatomegaly on placebo).</w:t>
      </w:r>
      <w:r w:rsidR="00404BA5" w:rsidRPr="001C0FCA">
        <w:t xml:space="preserve"> </w:t>
      </w:r>
      <w:r w:rsidRPr="001C0FCA">
        <w:t xml:space="preserve">In Part I of Study G2301, </w:t>
      </w:r>
      <w:r w:rsidRPr="001C0FCA">
        <w:rPr>
          <w:rFonts w:eastAsia="TimesNewRomanPSMT" w:cs="TimesNewRomanPSMT"/>
        </w:rPr>
        <w:t>drug-related hepatic disorder was reported in 9 (5.1%) patients, consisting mainly of investigations for liver-related signs and symptoms (7 patients, 4.0%).</w:t>
      </w:r>
      <w:r w:rsidR="00404BA5" w:rsidRPr="001C0FCA">
        <w:rPr>
          <w:rFonts w:eastAsia="TimesNewRomanPSMT" w:cs="TimesNewRomanPSMT"/>
        </w:rPr>
        <w:t xml:space="preserve"> </w:t>
      </w:r>
      <w:r w:rsidRPr="001C0FCA">
        <w:rPr>
          <w:rFonts w:eastAsia="TimesNewRomanPSMT" w:cs="TimesNewRomanPSMT"/>
        </w:rPr>
        <w:t>Only 3 of these events were considered severe (2 cases of non-infectious hepatitis, and 1 case of hepatic failure which resolved).</w:t>
      </w:r>
      <w:r w:rsidR="00404BA5" w:rsidRPr="001C0FCA">
        <w:rPr>
          <w:rFonts w:eastAsia="TimesNewRomanPSMT" w:cs="TimesNewRomanPSMT"/>
        </w:rPr>
        <w:t xml:space="preserve"> </w:t>
      </w:r>
      <w:r w:rsidRPr="001C0FCA">
        <w:rPr>
          <w:rFonts w:eastAsia="TimesNewRomanPSMT" w:cs="TimesNewRomanPSMT"/>
        </w:rPr>
        <w:t>In Part II of Study G2305, Hepatic disorders consisted entirely of liver-related investigations, and were reported with comparable frequency between the treatment groups (8.0% canakinumab</w:t>
      </w:r>
      <w:r w:rsidR="00B60592" w:rsidRPr="001C0FCA">
        <w:rPr>
          <w:rFonts w:eastAsia="TimesNewRomanPSMT" w:cs="TimesNewRomanPSMT"/>
        </w:rPr>
        <w:t xml:space="preserve"> versus</w:t>
      </w:r>
      <w:r w:rsidRPr="001C0FCA">
        <w:rPr>
          <w:rFonts w:eastAsia="TimesNewRomanPSMT" w:cs="TimesNewRomanPSMT"/>
        </w:rPr>
        <w:t xml:space="preserve"> 10.0% placebo).</w:t>
      </w:r>
    </w:p>
    <w:p w:rsidR="00E22D1F" w:rsidRPr="001C0FCA" w:rsidRDefault="00E22D1F" w:rsidP="00097F91">
      <w:r w:rsidRPr="001C0FCA">
        <w:rPr>
          <w:rFonts w:eastAsia="TimesNewRomanPSMT" w:cs="TimesNewRomanPSMT"/>
        </w:rPr>
        <w:t xml:space="preserve">In the pooled sJIA studies, </w:t>
      </w:r>
      <w:r w:rsidRPr="001C0FCA">
        <w:t xml:space="preserve">There were 19 (9.5%) sJIA patients with ALT and/or </w:t>
      </w:r>
      <w:r w:rsidR="00F9727B" w:rsidRPr="001C0FCA">
        <w:t>aspartate aminotransferase (</w:t>
      </w:r>
      <w:r w:rsidRPr="001C0FCA">
        <w:t>AST</w:t>
      </w:r>
      <w:r w:rsidR="00F9727B" w:rsidRPr="001C0FCA">
        <w:t>)</w:t>
      </w:r>
      <w:r w:rsidRPr="001C0FCA">
        <w:t xml:space="preserve"> values &gt; 3 x </w:t>
      </w:r>
      <w:r w:rsidR="00F9727B" w:rsidRPr="001C0FCA">
        <w:t>upper limit of normal (</w:t>
      </w:r>
      <w:r w:rsidRPr="001C0FCA">
        <w:t>ULN</w:t>
      </w:r>
      <w:r w:rsidR="00F9727B" w:rsidRPr="001C0FCA">
        <w:t>)</w:t>
      </w:r>
      <w:r w:rsidRPr="001C0FCA">
        <w:t>.</w:t>
      </w:r>
      <w:r w:rsidR="00404BA5" w:rsidRPr="001C0FCA">
        <w:t xml:space="preserve"> </w:t>
      </w:r>
      <w:r w:rsidRPr="001C0FCA">
        <w:t>For 12 of these patients, the abnormality occurred only once and resolved within 1 month.</w:t>
      </w:r>
      <w:r w:rsidR="00404BA5" w:rsidRPr="001C0FCA">
        <w:t xml:space="preserve"> </w:t>
      </w:r>
      <w:r w:rsidRPr="001C0FCA">
        <w:t>Six of the remaining 7 patients had more than a single elevation, and/or the abnormality lasted up to 3 months.</w:t>
      </w:r>
      <w:r w:rsidR="00404BA5" w:rsidRPr="001C0FCA">
        <w:t xml:space="preserve"> </w:t>
      </w:r>
      <w:r w:rsidRPr="001C0FCA">
        <w:t>The remaining patient had a persistent elevation that lasted from Day 215 to Day 866.</w:t>
      </w:r>
      <w:r w:rsidR="00404BA5" w:rsidRPr="001C0FCA">
        <w:t xml:space="preserve"> </w:t>
      </w:r>
      <w:r w:rsidRPr="001C0FCA">
        <w:t>All these patients also had elevations of &lt; 3 x ULN at other time points.</w:t>
      </w:r>
      <w:r w:rsidR="00404BA5" w:rsidRPr="001C0FCA">
        <w:t xml:space="preserve"> </w:t>
      </w:r>
      <w:r w:rsidRPr="001C0FCA">
        <w:t>In 5 of the patients with ALT and/or AST values &gt; 3 x ULN, there was a temporal association with MAS.</w:t>
      </w:r>
      <w:r w:rsidR="00404BA5" w:rsidRPr="001C0FCA">
        <w:t xml:space="preserve"> </w:t>
      </w:r>
      <w:r w:rsidRPr="001C0FCA">
        <w:t>AEs of hepatic failure and autoimmune hepatitis were each reported at the same time as ALT and/or AST values &gt; 3 x ULN for 1 patient each, as were hepatitis and hepatomegaly for 2 patients each.</w:t>
      </w:r>
      <w:r w:rsidR="00404BA5" w:rsidRPr="001C0FCA">
        <w:t xml:space="preserve"> </w:t>
      </w:r>
      <w:r w:rsidRPr="001C0FCA">
        <w:t>One patient with a transaminase elevation &gt; 3 x ULN was discontinued due to an AE of hepatic enzymes increased.</w:t>
      </w:r>
      <w:r w:rsidR="00404BA5" w:rsidRPr="001C0FCA">
        <w:t xml:space="preserve"> </w:t>
      </w:r>
      <w:r w:rsidRPr="001C0FCA">
        <w:t>Only 1.5% of patients had bilirubin levels &gt; ULN.</w:t>
      </w:r>
      <w:r w:rsidR="00404BA5" w:rsidRPr="001C0FCA">
        <w:t xml:space="preserve"> </w:t>
      </w:r>
      <w:r w:rsidRPr="001C0FCA">
        <w:t>There were no patients with abnormalities of liver function parameters corresponding to Hy’s Law.</w:t>
      </w:r>
    </w:p>
    <w:p w:rsidR="00E22D1F" w:rsidRPr="001C0FCA" w:rsidRDefault="00E22D1F" w:rsidP="00097F91">
      <w:r w:rsidRPr="001C0FCA">
        <w:t>The sponsor, in its pre-ACPM response, is requested to provide a summary of the background to the comprehensive search for drug-related hepatic disorders undertaken in the pivotal studies.</w:t>
      </w:r>
      <w:r w:rsidR="00404BA5" w:rsidRPr="001C0FCA">
        <w:t xml:space="preserve"> </w:t>
      </w:r>
      <w:r w:rsidRPr="001C0FCA">
        <w:t>What was the particular motivation behind this search?</w:t>
      </w:r>
      <w:r w:rsidR="00404BA5" w:rsidRPr="001C0FCA">
        <w:t xml:space="preserve"> </w:t>
      </w:r>
      <w:r w:rsidRPr="001C0FCA">
        <w:t>The sponsor is requested to give an up-to-date summary of the incidence of the incidence/frequency of disturbances of liver function and of liver-related adverse events in the sJIA database, in the CAPS database and in the entire canakinumab safety database.</w:t>
      </w:r>
    </w:p>
    <w:p w:rsidR="00E22D1F" w:rsidRPr="001C0FCA" w:rsidRDefault="00E22D1F" w:rsidP="00097F91">
      <w:pPr>
        <w:pStyle w:val="Heading5"/>
      </w:pPr>
      <w:r w:rsidRPr="001C0FCA">
        <w:t>Kidney function</w:t>
      </w:r>
    </w:p>
    <w:p w:rsidR="00E22D1F" w:rsidRPr="001C0FCA" w:rsidRDefault="00E22D1F" w:rsidP="00097F91">
      <w:r w:rsidRPr="001C0FCA">
        <w:rPr>
          <w:rFonts w:asciiTheme="minorHAnsi" w:hAnsiTheme="minorHAnsi"/>
        </w:rPr>
        <w:t xml:space="preserve">In the pooled sJIA studies, </w:t>
      </w:r>
      <w:r w:rsidRPr="001C0FCA">
        <w:t xml:space="preserve">Twenty-nine patients (14.6%) had a notable reduction in </w:t>
      </w:r>
      <w:r w:rsidR="00F9727B" w:rsidRPr="001C0FCA">
        <w:t>creatinine clearance (</w:t>
      </w:r>
      <w:r w:rsidRPr="001C0FCA">
        <w:t>CrCl</w:t>
      </w:r>
      <w:r w:rsidR="00F9727B" w:rsidRPr="001C0FCA">
        <w:t>)</w:t>
      </w:r>
      <w:r w:rsidRPr="001C0FCA">
        <w:t xml:space="preserve"> (generally from a high baseline), but the CrCl remained within the normal range in 25 of these patients.</w:t>
      </w:r>
      <w:r w:rsidR="00404BA5" w:rsidRPr="001C0FCA">
        <w:t xml:space="preserve"> </w:t>
      </w:r>
      <w:r w:rsidRPr="001C0FCA">
        <w:t>In the remaining 4 cases the CrCl was &lt;1.2 x ULN.</w:t>
      </w:r>
      <w:r w:rsidR="00404BA5" w:rsidRPr="001C0FCA">
        <w:t xml:space="preserve"> </w:t>
      </w:r>
      <w:r w:rsidRPr="001C0FCA">
        <w:lastRenderedPageBreak/>
        <w:t>The sponsor is asked to clarify whether there were any patients who developed renal failure at any time while on canakinumab.</w:t>
      </w:r>
    </w:p>
    <w:p w:rsidR="00E22D1F" w:rsidRPr="001C0FCA" w:rsidRDefault="00E22D1F" w:rsidP="00097F91">
      <w:pPr>
        <w:pStyle w:val="Heading5"/>
      </w:pPr>
      <w:r w:rsidRPr="001C0FCA">
        <w:t>Haematology</w:t>
      </w:r>
    </w:p>
    <w:p w:rsidR="00E22D1F" w:rsidRPr="001C0FCA" w:rsidRDefault="00E22D1F" w:rsidP="00097F91">
      <w:r w:rsidRPr="001C0FCA">
        <w:t>The clinically notable haematological abnormalities were summarised for the pooled sJIA studies.</w:t>
      </w:r>
      <w:r w:rsidR="00404BA5" w:rsidRPr="001C0FCA">
        <w:t xml:space="preserve"> </w:t>
      </w:r>
      <w:r w:rsidRPr="001C0FCA">
        <w:t>While notable abnormalities were common for several of the parameters, mostly they were isolated and were generally associated with either no or mild clinical sequelae.</w:t>
      </w:r>
      <w:r w:rsidR="00404BA5" w:rsidRPr="001C0FCA">
        <w:t xml:space="preserve"> </w:t>
      </w:r>
      <w:r w:rsidRPr="001C0FCA">
        <w:t>Patients with absolute neutrophil counts of &lt; 1x10</w:t>
      </w:r>
      <w:r w:rsidRPr="001C0FCA">
        <w:rPr>
          <w:vertAlign w:val="superscript"/>
        </w:rPr>
        <w:t>9</w:t>
      </w:r>
      <w:r w:rsidRPr="001C0FCA">
        <w:t xml:space="preserve">/L or </w:t>
      </w:r>
      <w:r w:rsidR="00AA1973" w:rsidRPr="001C0FCA">
        <w:t>Common Terminology Criteria (</w:t>
      </w:r>
      <w:r w:rsidRPr="001C0FCA">
        <w:t>CTC</w:t>
      </w:r>
      <w:r w:rsidR="00AA1973" w:rsidRPr="001C0FCA">
        <w:t>)</w:t>
      </w:r>
      <w:r w:rsidRPr="001C0FCA">
        <w:t xml:space="preserve"> Grades 2, 3 and 4 were reviewed for AEs of infection that occurred at a time close to the abnormal value, including those infections that occurred prior to the neutrophil count abnormal values.</w:t>
      </w:r>
      <w:r w:rsidR="00404BA5" w:rsidRPr="001C0FCA">
        <w:t xml:space="preserve"> </w:t>
      </w:r>
      <w:r w:rsidRPr="001C0FCA">
        <w:t>Most patients did not have infection AEs within 42 days of the neutrophil abnormalities, and of those with infections, the majority were mild or moderate in severity.</w:t>
      </w:r>
      <w:r w:rsidR="00404BA5" w:rsidRPr="001C0FCA">
        <w:t xml:space="preserve"> </w:t>
      </w:r>
      <w:r w:rsidRPr="001C0FCA">
        <w:t>Only 1 severe infection AE was reported (pseudocroup) and this resolved within 2 days of hospitalisation.</w:t>
      </w:r>
      <w:r w:rsidR="00404BA5" w:rsidRPr="001C0FCA">
        <w:t xml:space="preserve"> </w:t>
      </w:r>
      <w:r w:rsidRPr="001C0FCA">
        <w:t>The patient continued on study treatment.</w:t>
      </w:r>
      <w:r w:rsidR="00404BA5" w:rsidRPr="001C0FCA">
        <w:t xml:space="preserve"> </w:t>
      </w:r>
      <w:r w:rsidRPr="001C0FCA">
        <w:t>Low platelet counts were reported in 19 patients, mostly isolated values, and with no AEs related to bleeding reported at or near the time of the abnormal platelet count.</w:t>
      </w:r>
      <w:r w:rsidR="00404BA5" w:rsidRPr="001C0FCA">
        <w:t xml:space="preserve"> </w:t>
      </w:r>
      <w:r w:rsidRPr="001C0FCA">
        <w:t>Notably high eosinophilia was reported in 75 patients; in 11 patients there were temporally associated AEs related to atopy or allergy, in a further 10 there were AEs related to atopy or allergy but not within 42 days of the abnormal eosinophil count, and in the remaining 54 patients there were no such AEs.</w:t>
      </w:r>
      <w:r w:rsidR="00404BA5" w:rsidRPr="001C0FCA">
        <w:t xml:space="preserve"> </w:t>
      </w:r>
      <w:r w:rsidRPr="001C0FCA">
        <w:t>There was no increase in hypersensitivity reactions in these patients.</w:t>
      </w:r>
    </w:p>
    <w:p w:rsidR="00E22D1F" w:rsidRPr="001C0FCA" w:rsidRDefault="00E22D1F" w:rsidP="00097F91">
      <w:pPr>
        <w:pStyle w:val="Heading5"/>
      </w:pPr>
      <w:r w:rsidRPr="001C0FCA">
        <w:t>ECG</w:t>
      </w:r>
    </w:p>
    <w:p w:rsidR="00E22D1F" w:rsidRPr="001C0FCA" w:rsidRDefault="00E22D1F" w:rsidP="00097F91">
      <w:r w:rsidRPr="001C0FCA">
        <w:t>In the pooled sJIA studies clinically significant abnormal ECG results were observed in 7 patients.</w:t>
      </w:r>
      <w:r w:rsidR="00404BA5" w:rsidRPr="001C0FCA">
        <w:t xml:space="preserve"> </w:t>
      </w:r>
      <w:r w:rsidRPr="001C0FCA">
        <w:t>Subsequent evaluations reported abnormalities in 3 of these patients.</w:t>
      </w:r>
      <w:r w:rsidR="00404BA5" w:rsidRPr="001C0FCA">
        <w:t xml:space="preserve"> </w:t>
      </w:r>
      <w:r w:rsidRPr="001C0FCA">
        <w:t>The ECG abnormalities were consistent with the existing medical histories in 2 patients, and no further assessment was performed on the remaining patient following discontinuation from the study due to unsatisfactory therapeutic effect.</w:t>
      </w:r>
      <w:r w:rsidR="00404BA5" w:rsidRPr="001C0FCA">
        <w:t xml:space="preserve"> </w:t>
      </w:r>
      <w:r w:rsidRPr="001C0FCA">
        <w:t>Twenty-three patients had a QTc(F) &gt; 450 msec, 18 &gt; 480 msec and 8 &gt; 500 msec.</w:t>
      </w:r>
      <w:r w:rsidR="00404BA5" w:rsidRPr="001C0FCA">
        <w:t xml:space="preserve"> </w:t>
      </w:r>
      <w:r w:rsidRPr="001C0FCA">
        <w:t>In those patients with a QTc(F) &gt; 500 msec, 3 had the value at baseline (2 had subsequent assessments &lt; 500 msec and it was the final assessment for the remaining patient who discontinued due to unsatisfactory therapeutic effect), 1 had subsequent assessments which were &lt; 500 msec, and for 4 the value was the final available assessment.</w:t>
      </w:r>
      <w:r w:rsidR="00404BA5" w:rsidRPr="001C0FCA">
        <w:t xml:space="preserve"> </w:t>
      </w:r>
      <w:r w:rsidRPr="001C0FCA">
        <w:t>None of the patients with QTc(F) greater than 500 msec had cardiovascular AEs.</w:t>
      </w:r>
    </w:p>
    <w:p w:rsidR="00E22D1F" w:rsidRPr="001C0FCA" w:rsidRDefault="00E22D1F" w:rsidP="00097F91">
      <w:pPr>
        <w:pStyle w:val="Heading5"/>
      </w:pPr>
      <w:r w:rsidRPr="001C0FCA">
        <w:t>Vital signs</w:t>
      </w:r>
    </w:p>
    <w:p w:rsidR="00E22D1F" w:rsidRPr="00D6373F" w:rsidRDefault="00E22D1F" w:rsidP="00097F91">
      <w:r w:rsidRPr="001C0FCA">
        <w:t>Clinically notable increases and decreases in systolic blood pressure (BP) were observed in 22.6% and 27.1%, respectively, of sJIA patients</w:t>
      </w:r>
      <w:r w:rsidRPr="00D6373F">
        <w:t>.</w:t>
      </w:r>
      <w:r w:rsidR="00404BA5" w:rsidRPr="00D6373F">
        <w:t xml:space="preserve"> </w:t>
      </w:r>
      <w:r w:rsidRPr="00D6373F">
        <w:t>Generally these abnormalities were isolated, with normal values recorded at subsequent visits.</w:t>
      </w:r>
      <w:r w:rsidR="00404BA5" w:rsidRPr="00D6373F">
        <w:t xml:space="preserve"> </w:t>
      </w:r>
      <w:r w:rsidRPr="00D6373F">
        <w:t xml:space="preserve">Increases and decreases in diastolic </w:t>
      </w:r>
      <w:r w:rsidR="00AA1973">
        <w:t>blood pressure (</w:t>
      </w:r>
      <w:r w:rsidRPr="00D6373F">
        <w:t>BP</w:t>
      </w:r>
      <w:r w:rsidR="00AA1973">
        <w:t>)</w:t>
      </w:r>
      <w:r w:rsidRPr="00D6373F">
        <w:t xml:space="preserve"> were also recorded (14.1%</w:t>
      </w:r>
      <w:r w:rsidR="00B60592" w:rsidRPr="00D6373F">
        <w:t xml:space="preserve"> versus</w:t>
      </w:r>
      <w:r w:rsidRPr="00D6373F">
        <w:t xml:space="preserve"> 19.1%, respectively), but again were generally not persistent.</w:t>
      </w:r>
      <w:r w:rsidR="00404BA5" w:rsidRPr="00D6373F">
        <w:t xml:space="preserve"> </w:t>
      </w:r>
      <w:r w:rsidRPr="00D6373F">
        <w:t>None of these patients had AEs of hypertension reported.</w:t>
      </w:r>
    </w:p>
    <w:p w:rsidR="00E22D1F" w:rsidRPr="00D6373F" w:rsidRDefault="00E22D1F" w:rsidP="00097F91">
      <w:pPr>
        <w:pStyle w:val="Heading5"/>
      </w:pPr>
      <w:r w:rsidRPr="00D6373F">
        <w:t>Postmarketing experience</w:t>
      </w:r>
    </w:p>
    <w:p w:rsidR="00E22D1F" w:rsidRPr="00D6373F" w:rsidRDefault="00E22D1F" w:rsidP="00097F91">
      <w:r w:rsidRPr="00D6373F">
        <w:t>No new safety findings were observed in Novartis sponsored clinical trials, non-interventional studies, investigator initiated trials or individual case safety reports.</w:t>
      </w:r>
    </w:p>
    <w:p w:rsidR="00E22D1F" w:rsidRDefault="00E22D1F" w:rsidP="00097F91">
      <w:pPr>
        <w:pStyle w:val="Heading5"/>
      </w:pPr>
      <w:r w:rsidRPr="00D6373F">
        <w:t>Unwanted immunological effects</w:t>
      </w:r>
    </w:p>
    <w:p w:rsidR="00D6373F" w:rsidRPr="00D6373F" w:rsidRDefault="00097F91" w:rsidP="00097F91">
      <w:pPr>
        <w:pStyle w:val="Heading6"/>
      </w:pPr>
      <w:r>
        <w:t>See Attachment 2 for details.</w:t>
      </w:r>
    </w:p>
    <w:p w:rsidR="00E22D1F" w:rsidRPr="00D6373F" w:rsidRDefault="00E22D1F" w:rsidP="00097F91">
      <w:r w:rsidRPr="00D6373F">
        <w:t>Development of anti-canakinumab antibodies was assessed in the individual studies and in a separate analysis for data from all studies.</w:t>
      </w:r>
    </w:p>
    <w:p w:rsidR="00E22D1F" w:rsidRPr="00D6373F" w:rsidRDefault="00E22D1F" w:rsidP="00097F91">
      <w:r w:rsidRPr="00D6373F">
        <w:t>Of the 201 sJIA patients in the studies, 196 patients had immunogenicity testing and 14 patients had ADAs detected.</w:t>
      </w:r>
      <w:r w:rsidR="00404BA5" w:rsidRPr="00D6373F">
        <w:t xml:space="preserve"> </w:t>
      </w:r>
      <w:r w:rsidRPr="00D6373F">
        <w:t>Of these 14 patients, 8 patients had ADA detected at baseline only and thus are not considered as treatment-induced, while 6 had post-treatment ADAs with no baseline ADA detected, representing an incidence of 3.1% (6/196).</w:t>
      </w:r>
      <w:r w:rsidR="00404BA5" w:rsidRPr="00D6373F">
        <w:t xml:space="preserve"> </w:t>
      </w:r>
      <w:r w:rsidRPr="00D6373F">
        <w:t>Of the post-</w:t>
      </w:r>
      <w:r w:rsidRPr="00D6373F">
        <w:lastRenderedPageBreak/>
        <w:t>treatment ADA patients, 2 were classified as being transient, 1 persistent and 3 other.</w:t>
      </w:r>
      <w:r w:rsidR="00404BA5" w:rsidRPr="00D6373F">
        <w:t xml:space="preserve"> </w:t>
      </w:r>
      <w:r w:rsidRPr="00D6373F">
        <w:t>No neutralising antibodies were detected in any of the sJIA patients.</w:t>
      </w:r>
      <w:r w:rsidR="00404BA5" w:rsidRPr="00D6373F">
        <w:t xml:space="preserve"> </w:t>
      </w:r>
      <w:r w:rsidRPr="00D6373F">
        <w:t>No events of anaphylaxis or anaphylactoid reactions were reported; therefore IgE testing was not performed in any of the sJIA studies.</w:t>
      </w:r>
    </w:p>
    <w:p w:rsidR="00E22D1F" w:rsidRPr="00D6373F" w:rsidRDefault="00E22D1F" w:rsidP="00097F91">
      <w:r w:rsidRPr="00D6373F">
        <w:t>None of the 6 patients with post-treatment ADAs had any apparent efficacy consequences, and only 1 patient had a potential allergy</w:t>
      </w:r>
      <w:r w:rsidR="00404BA5" w:rsidRPr="00D6373F">
        <w:t>/</w:t>
      </w:r>
      <w:r w:rsidRPr="00D6373F">
        <w:t xml:space="preserve">hypersensitivity AE (eyelid oedema </w:t>
      </w:r>
      <w:r w:rsidR="00AA1973">
        <w:t>and</w:t>
      </w:r>
      <w:r w:rsidRPr="00D6373F">
        <w:t xml:space="preserve"> mild coughing, both resolved without action being taken).</w:t>
      </w:r>
    </w:p>
    <w:p w:rsidR="00E22D1F" w:rsidRPr="00D6373F" w:rsidRDefault="00E22D1F" w:rsidP="00097F91">
      <w:r w:rsidRPr="00D6373F">
        <w:t>Eighteen patients met the definition of loss of efficacy because they 1) showed initial response (</w:t>
      </w:r>
      <w:r w:rsidR="00AA1973">
        <w:t xml:space="preserve">≥ </w:t>
      </w:r>
      <w:r w:rsidRPr="00D6373F">
        <w:t>adapted Paediatric ACR30) on Day 15 in the study where they received their first dose of canakinumab; and 2) subsequently discontinued the program due to unsatisfactory therapeutic effect secondary to becoming a non-responder.</w:t>
      </w:r>
      <w:r w:rsidR="00404BA5" w:rsidRPr="00D6373F">
        <w:t xml:space="preserve"> </w:t>
      </w:r>
      <w:r w:rsidRPr="00D6373F">
        <w:t>None of these patients had a post-treatment positive ADA detected, although 2 did have a positive ADA at baseline.</w:t>
      </w:r>
    </w:p>
    <w:p w:rsidR="00E22D1F" w:rsidRPr="00D6373F" w:rsidRDefault="00E22D1F" w:rsidP="00097F91">
      <w:r w:rsidRPr="00D6373F">
        <w:t>In total, 89 patients were identified with 182 AEs potentially related to immunogenicity.</w:t>
      </w:r>
      <w:r w:rsidR="00404BA5" w:rsidRPr="00D6373F">
        <w:t xml:space="preserve"> </w:t>
      </w:r>
      <w:r w:rsidRPr="00D6373F">
        <w:t>No anaphylaxis or anaphylactoid reaction</w:t>
      </w:r>
      <w:r w:rsidR="00031051">
        <w:t xml:space="preserve"> types of</w:t>
      </w:r>
      <w:r w:rsidRPr="00D6373F">
        <w:t xml:space="preserve"> AEs were reported.</w:t>
      </w:r>
      <w:r w:rsidR="00404BA5" w:rsidRPr="00D6373F">
        <w:t xml:space="preserve"> </w:t>
      </w:r>
      <w:r w:rsidRPr="00D6373F">
        <w:t>SAEs were experienced by 5 of the 89 patients, yet none of these qualified as immunogenicity-related, and all had more plausible alternative explanations.</w:t>
      </w:r>
      <w:r w:rsidR="00404BA5" w:rsidRPr="00D6373F">
        <w:t xml:space="preserve"> </w:t>
      </w:r>
      <w:r w:rsidRPr="00D6373F">
        <w:t>Eighteen patients experienced 22 AEs that qualified as immunogenicity-related (6 x cough, 5 x erythema/erythematous rash, 3 x oedema) none of which were serious or resulted in study discontinuation.</w:t>
      </w:r>
      <w:r w:rsidR="00404BA5" w:rsidRPr="00D6373F">
        <w:t xml:space="preserve"> </w:t>
      </w:r>
      <w:r w:rsidRPr="00D6373F">
        <w:t>Eleven of the events required no action, with the remaining 11 events required concomitant medications (antihistamines, morphine, antibiotics, expectorant, or antiseptic).</w:t>
      </w:r>
    </w:p>
    <w:p w:rsidR="00E22D1F" w:rsidRPr="001C0FCA" w:rsidRDefault="00E22D1F" w:rsidP="00097F91">
      <w:pPr>
        <w:pStyle w:val="Heading5"/>
      </w:pPr>
      <w:r w:rsidRPr="001C0FCA">
        <w:t>Macrophage activation syndrome</w:t>
      </w:r>
    </w:p>
    <w:p w:rsidR="00E22D1F" w:rsidRPr="001C0FCA" w:rsidRDefault="00E22D1F" w:rsidP="00097F91">
      <w:r w:rsidRPr="001C0FCA">
        <w:t xml:space="preserve">In order to provide a complete evaluation of MAS for </w:t>
      </w:r>
      <w:r w:rsidR="00AA1973" w:rsidRPr="001C0FCA">
        <w:t>s</w:t>
      </w:r>
      <w:r w:rsidRPr="001C0FCA">
        <w:t>JIA patients using canakinumab, an external independent MAS adjudication committee (MASAC) was formed.</w:t>
      </w:r>
      <w:r w:rsidR="00404BA5" w:rsidRPr="001C0FCA">
        <w:t xml:space="preserve"> </w:t>
      </w:r>
      <w:r w:rsidRPr="001C0FCA">
        <w:t>The committee</w:t>
      </w:r>
      <w:r w:rsidR="00D636AC" w:rsidRPr="001C0FCA">
        <w:t xml:space="preserve"> </w:t>
      </w:r>
      <w:r w:rsidRPr="001C0FCA">
        <w:t>reviewed all potential cases of MAS in the sJIA studies.</w:t>
      </w:r>
      <w:r w:rsidR="00404BA5" w:rsidRPr="001C0FCA">
        <w:t xml:space="preserve"> </w:t>
      </w:r>
      <w:r w:rsidRPr="001C0FCA">
        <w:t>In the CER, there is a table showing the time adjusted rate of reported Macrophage Activation Syndrome (MAS) in the canakinumab sJIA clinical program.</w:t>
      </w:r>
      <w:r w:rsidR="00404BA5" w:rsidRPr="001C0FCA">
        <w:t xml:space="preserve"> </w:t>
      </w:r>
      <w:r w:rsidRPr="001C0FCA">
        <w:t>The numbers of adjudicated cases of probable or possible MAS were 12 on canakinumab and 2 on placebo giving rates of probable or possible MAS per 100 patient-years of 4.3 on canakinumab versus 7.7 on placebo.</w:t>
      </w:r>
      <w:r w:rsidR="00404BA5" w:rsidRPr="001C0FCA">
        <w:t xml:space="preserve"> </w:t>
      </w:r>
      <w:r w:rsidRPr="001C0FCA">
        <w:t>This overall incidence is comparable to the background rate reported in the literature.</w:t>
      </w:r>
      <w:r w:rsidR="00404BA5" w:rsidRPr="001C0FCA">
        <w:t xml:space="preserve"> </w:t>
      </w:r>
      <w:r w:rsidRPr="001C0FCA">
        <w:t>As noted by the clinical evaluator, given that there is a large degree of uncertainty in the estimated background rate of MAS and that the rate in the placebo group was based on limited placebo exposure and also that one of the two placebo cases had previously received canakinumab, the relationship remains uncertain and does require ongoing monitoring and investigation.</w:t>
      </w:r>
      <w:r w:rsidR="00404BA5" w:rsidRPr="001C0FCA">
        <w:t xml:space="preserve"> </w:t>
      </w:r>
      <w:r w:rsidRPr="001C0FCA">
        <w:t xml:space="preserve">If one removes the case from the placebo arm, </w:t>
      </w:r>
      <w:r w:rsidR="00AA1973" w:rsidRPr="001C0FCA">
        <w:t>that is,</w:t>
      </w:r>
      <w:r w:rsidRPr="001C0FCA">
        <w:t xml:space="preserve"> the case involving previous use of canakinumab, the time-adjusted placebo rate is immediately halved and the rate on canakinumab exceeds that on placebo.</w:t>
      </w:r>
      <w:r w:rsidR="00404BA5" w:rsidRPr="001C0FCA">
        <w:t xml:space="preserve"> </w:t>
      </w:r>
      <w:r w:rsidRPr="001C0FCA">
        <w:t>The sponsor is requested to provide all possible details about the case of the patient in the placebo arm with previous exposure to canakinumab.</w:t>
      </w:r>
      <w:r w:rsidR="00404BA5" w:rsidRPr="001C0FCA">
        <w:t xml:space="preserve"> </w:t>
      </w:r>
      <w:r w:rsidRPr="001C0FCA">
        <w:t>How long before this patient developed MAS</w:t>
      </w:r>
      <w:r w:rsidR="00AA1973" w:rsidRPr="001C0FCA">
        <w:t>,</w:t>
      </w:r>
      <w:r w:rsidRPr="001C0FCA">
        <w:t xml:space="preserve"> was he/she exposed to canakinumab and for how long?</w:t>
      </w:r>
      <w:r w:rsidR="00404BA5" w:rsidRPr="001C0FCA">
        <w:t xml:space="preserve"> </w:t>
      </w:r>
      <w:r w:rsidRPr="001C0FCA">
        <w:t>How long was this patient in the placebo arm before developing MAS?</w:t>
      </w:r>
      <w:r w:rsidR="00404BA5" w:rsidRPr="001C0FCA">
        <w:t xml:space="preserve"> </w:t>
      </w:r>
      <w:r w:rsidRPr="001C0FCA">
        <w:t>The sponsor is also requested to provide the most up-to-date summary of the incidence/frequency of cases of MAS in the sJIA safety database, in the CAPS database and in the entire canakinumab safety database (</w:t>
      </w:r>
      <w:r w:rsidR="00AA1973" w:rsidRPr="001C0FCA">
        <w:t>that is,</w:t>
      </w:r>
      <w:r w:rsidRPr="001C0FCA">
        <w:t xml:space="preserve"> covering all uses of the drug).</w:t>
      </w:r>
      <w:r w:rsidR="00404BA5" w:rsidRPr="001C0FCA">
        <w:t xml:space="preserve"> </w:t>
      </w:r>
      <w:r w:rsidRPr="001C0FCA">
        <w:t>What assurances can the sponsor provide that canakinumab is not causally related to the development of MAS?</w:t>
      </w:r>
    </w:p>
    <w:p w:rsidR="00E22D1F" w:rsidRPr="001C0FCA" w:rsidRDefault="00E22D1F" w:rsidP="00097F91">
      <w:pPr>
        <w:pStyle w:val="Heading5"/>
      </w:pPr>
      <w:r w:rsidRPr="001C0FCA">
        <w:t>Overall assessment of safety</w:t>
      </w:r>
    </w:p>
    <w:p w:rsidR="00E22D1F" w:rsidRPr="001C0FCA" w:rsidRDefault="00E22D1F" w:rsidP="00097F91">
      <w:r w:rsidRPr="001C0FCA">
        <w:t xml:space="preserve">The </w:t>
      </w:r>
      <w:r w:rsidR="00CD70BC" w:rsidRPr="001C0FCA">
        <w:t>D</w:t>
      </w:r>
      <w:r w:rsidRPr="001C0FCA">
        <w:t>elegate would agree with the clinical evaluator that canakinumab was generally well tolerated in the sJIA clinical development program.</w:t>
      </w:r>
      <w:r w:rsidR="00404BA5" w:rsidRPr="001C0FCA">
        <w:t xml:space="preserve"> </w:t>
      </w:r>
      <w:r w:rsidRPr="001C0FCA">
        <w:t>As noted by the evaluator, the AE profile, apart from macrophage activation syndrome, is similar to that observed in CAPS patients.</w:t>
      </w:r>
      <w:r w:rsidR="00404BA5" w:rsidRPr="001C0FCA">
        <w:t xml:space="preserve"> </w:t>
      </w:r>
      <w:r w:rsidRPr="001C0FCA">
        <w:t>The sponsor has already been asked to provide an up-to-date summary of the incidence of cases of macrophage activation syndrome in its global safety database.</w:t>
      </w:r>
      <w:r w:rsidR="00404BA5" w:rsidRPr="001C0FCA">
        <w:t xml:space="preserve"> </w:t>
      </w:r>
      <w:r w:rsidRPr="001C0FCA">
        <w:t xml:space="preserve">As also </w:t>
      </w:r>
      <w:r w:rsidRPr="001C0FCA">
        <w:lastRenderedPageBreak/>
        <w:t>noted by the clinical evaluator, while there was a higher incidence of some AEs in sJIA compared with that in CAPS, this is not unexpected in view of the higher dose used in the treatment of sJIA and after taking into account those AEs which are consistent with a diagnosis of sJIA rather than with the treatment.</w:t>
      </w:r>
    </w:p>
    <w:p w:rsidR="00E22D1F" w:rsidRPr="001C0FCA" w:rsidRDefault="00E22D1F" w:rsidP="00097F91">
      <w:pPr>
        <w:pStyle w:val="Heading4"/>
      </w:pPr>
      <w:r w:rsidRPr="001C0FCA">
        <w:t>Questions asked of the sponsor by the clinical evaluator at the end of the first round of evaluation</w:t>
      </w:r>
    </w:p>
    <w:p w:rsidR="00E22D1F" w:rsidRPr="001C0FCA" w:rsidRDefault="00E22D1F" w:rsidP="0064603F">
      <w:r w:rsidRPr="001C0FCA">
        <w:t>There were 3 questions asked of the sponsor related to efficacy.</w:t>
      </w:r>
      <w:r w:rsidR="00404BA5" w:rsidRPr="001C0FCA">
        <w:t xml:space="preserve"> </w:t>
      </w:r>
      <w:r w:rsidRPr="001C0FCA">
        <w:t>The first concerned the choice of ESR versus CRP and the sponsor explained that the latter was chosen because of its more rapid response to inflammation.</w:t>
      </w:r>
      <w:r w:rsidR="00404BA5" w:rsidRPr="001C0FCA">
        <w:t xml:space="preserve"> </w:t>
      </w:r>
      <w:r w:rsidRPr="001C0FCA">
        <w:t>The second question concerned the choice of placebo and canakinumab flare rates for sample size calculation.</w:t>
      </w:r>
      <w:r w:rsidR="00404BA5" w:rsidRPr="001C0FCA">
        <w:t xml:space="preserve"> </w:t>
      </w:r>
      <w:r w:rsidRPr="001C0FCA">
        <w:t xml:space="preserve">The choice of the flare rate for the canakinumab group was based on existing Phase I/II data where 4 out of 15 patients, </w:t>
      </w:r>
      <w:r w:rsidR="00F511AA" w:rsidRPr="001C0FCA">
        <w:t>that is,</w:t>
      </w:r>
      <w:r w:rsidRPr="001C0FCA">
        <w:t xml:space="preserve"> approximately 25%, flared in the first 4 weeks.</w:t>
      </w:r>
      <w:r w:rsidR="00404BA5" w:rsidRPr="001C0FCA">
        <w:t xml:space="preserve"> </w:t>
      </w:r>
      <w:r w:rsidRPr="001C0FCA">
        <w:t>The choice of 70% for the placebo group was based on consultation with external sJIA clinical experts.</w:t>
      </w:r>
      <w:r w:rsidR="00404BA5" w:rsidRPr="001C0FCA">
        <w:t xml:space="preserve"> </w:t>
      </w:r>
      <w:r w:rsidRPr="001C0FCA">
        <w:t xml:space="preserve">The </w:t>
      </w:r>
      <w:r w:rsidR="00F511AA" w:rsidRPr="001C0FCA">
        <w:t>D</w:t>
      </w:r>
      <w:r w:rsidRPr="001C0FCA">
        <w:t>elegate agrees with the evaluator that these responses are acceptable.</w:t>
      </w:r>
      <w:r w:rsidR="004E3B70" w:rsidRPr="001C0FCA">
        <w:t xml:space="preserve"> </w:t>
      </w:r>
      <w:r w:rsidRPr="001C0FCA">
        <w:t>The ACPM is asked to comment on the choice of 25% and 70% as target flare rates for the canakinumab and placebo groups, respectively.</w:t>
      </w:r>
    </w:p>
    <w:p w:rsidR="00E22D1F" w:rsidRPr="001C0FCA" w:rsidRDefault="00E22D1F" w:rsidP="0064603F">
      <w:r w:rsidRPr="001C0FCA">
        <w:t xml:space="preserve">The third question concerned the issue of classifying discontinuations as </w:t>
      </w:r>
      <w:r w:rsidR="00186C14" w:rsidRPr="001C0FCA">
        <w:t>‘</w:t>
      </w:r>
      <w:r w:rsidRPr="001C0FCA">
        <w:t>flares</w:t>
      </w:r>
      <w:r w:rsidR="00186C14" w:rsidRPr="001C0FCA">
        <w:t>’</w:t>
      </w:r>
      <w:r w:rsidRPr="001C0FCA">
        <w:t>.</w:t>
      </w:r>
      <w:r w:rsidR="00404BA5" w:rsidRPr="001C0FCA">
        <w:t xml:space="preserve"> </w:t>
      </w:r>
      <w:r w:rsidRPr="001C0FCA">
        <w:t>The sponsor conducted an additional post</w:t>
      </w:r>
      <w:r w:rsidR="00F511AA" w:rsidRPr="001C0FCA">
        <w:t xml:space="preserve"> </w:t>
      </w:r>
      <w:r w:rsidRPr="001C0FCA">
        <w:t>hoc sensitivity analysis which defined flares as per the protocol definition or discontinuations from Part II due to unsatisfactory therapeutic effect.</w:t>
      </w:r>
      <w:r w:rsidR="00404BA5" w:rsidRPr="001C0FCA">
        <w:t xml:space="preserve"> </w:t>
      </w:r>
      <w:r w:rsidRPr="001C0FCA">
        <w:t>Using this modified flare definition, 5 of the 6 placebo patients discontinued for reasons other than an unsatisfactory response and were censored and only 1 patient (who had met the definition for flare prior to being discontinued for an AE [reported as a protocol violation]) was counted as flared.</w:t>
      </w:r>
      <w:r w:rsidR="00404BA5" w:rsidRPr="001C0FCA">
        <w:t xml:space="preserve"> </w:t>
      </w:r>
      <w:r w:rsidRPr="001C0FCA">
        <w:t>The modified flare definition did not change the number of flares in the canakinumab group (n=11), but reduced the number of flare events by 5 in the placebo group (from 26 to 21).</w:t>
      </w:r>
      <w:r w:rsidR="00404BA5" w:rsidRPr="001C0FCA">
        <w:t xml:space="preserve"> </w:t>
      </w:r>
      <w:r w:rsidRPr="001C0FCA">
        <w:t>The results of this post</w:t>
      </w:r>
      <w:r w:rsidR="00F511AA" w:rsidRPr="001C0FCA">
        <w:t xml:space="preserve"> </w:t>
      </w:r>
      <w:r w:rsidRPr="001C0FCA">
        <w:t>hoc sensitivity analysis showed a significant relative risk reduction in flares in the canakinumab group of 57% (HR 0.43; 95% CI: 0.20 to 0.92; p=0.0127 [one-sided significance level 0.025]).</w:t>
      </w:r>
      <w:r w:rsidR="00404BA5" w:rsidRPr="001C0FCA">
        <w:t xml:space="preserve"> </w:t>
      </w:r>
      <w:r w:rsidRPr="001C0FCA">
        <w:t>The clinical evaluator was of the opinion that the revised definition of flare (censoring patients who discontinued for reasons other than lack of efficacy) for the sensitivity analysis is more appropriate for the evaluation of efficacy.</w:t>
      </w:r>
      <w:r w:rsidR="00404BA5" w:rsidRPr="001C0FCA">
        <w:t xml:space="preserve"> </w:t>
      </w:r>
      <w:r w:rsidRPr="001C0FCA">
        <w:t>Furthermore the results of this re-analysis were supportive of the primary analysis.</w:t>
      </w:r>
    </w:p>
    <w:p w:rsidR="004E3B70" w:rsidRPr="001C0FCA" w:rsidRDefault="00E22D1F" w:rsidP="0064603F">
      <w:r w:rsidRPr="001C0FCA">
        <w:t xml:space="preserve">The </w:t>
      </w:r>
      <w:r w:rsidR="00F511AA" w:rsidRPr="001C0FCA">
        <w:t>D</w:t>
      </w:r>
      <w:r w:rsidRPr="001C0FCA">
        <w:t>elegate however, has concerns.</w:t>
      </w:r>
      <w:r w:rsidR="00404BA5" w:rsidRPr="001C0FCA">
        <w:t xml:space="preserve"> </w:t>
      </w:r>
      <w:r w:rsidRPr="001C0FCA">
        <w:t>In such a small study, it was obviously of the utmost importance that the definition of flare should have been as precise as possible.</w:t>
      </w:r>
      <w:r w:rsidR="00404BA5" w:rsidRPr="001C0FCA">
        <w:t xml:space="preserve"> </w:t>
      </w:r>
      <w:r w:rsidRPr="001C0FCA">
        <w:t>This was all the more so given that the double-blind withdrawal phase of the study, namely Part II, was to continue until a total of 37 flare events had occurred.</w:t>
      </w:r>
      <w:r w:rsidR="00404BA5" w:rsidRPr="001C0FCA">
        <w:t xml:space="preserve"> </w:t>
      </w:r>
      <w:r w:rsidRPr="001C0FCA">
        <w:t>The very power of the study was predicated upon this outcome in that the number of events required to achieve a power of at least 90% with a log-rank test of canakinumab versus placebo was calculated to be 37 events (13 in the canakinumab group and 24 in the placebo group).</w:t>
      </w:r>
      <w:r w:rsidR="00404BA5" w:rsidRPr="001C0FCA">
        <w:t xml:space="preserve"> </w:t>
      </w:r>
      <w:r w:rsidRPr="001C0FCA">
        <w:t xml:space="preserve">What implications for the power of the study are there, if 5 or 6 of the events, </w:t>
      </w:r>
      <w:r w:rsidR="00F511AA" w:rsidRPr="001C0FCA">
        <w:t>that is,</w:t>
      </w:r>
      <w:r w:rsidRPr="001C0FCA">
        <w:t xml:space="preserve"> 13.5%</w:t>
      </w:r>
      <w:r w:rsidR="00F511AA" w:rsidRPr="001C0FCA">
        <w:t xml:space="preserve"> to </w:t>
      </w:r>
      <w:r w:rsidRPr="001C0FCA">
        <w:t xml:space="preserve">16% of the required total, were not in fact genuine </w:t>
      </w:r>
      <w:r w:rsidR="00186C14" w:rsidRPr="001C0FCA">
        <w:t>‘</w:t>
      </w:r>
      <w:r w:rsidRPr="001C0FCA">
        <w:t>flares</w:t>
      </w:r>
      <w:r w:rsidR="00186C14" w:rsidRPr="001C0FCA">
        <w:t>’</w:t>
      </w:r>
      <w:r w:rsidRPr="001C0FCA">
        <w:t>.</w:t>
      </w:r>
    </w:p>
    <w:p w:rsidR="00F511AA" w:rsidRPr="001C0FCA" w:rsidRDefault="00E22D1F" w:rsidP="0064603F">
      <w:r w:rsidRPr="001C0FCA">
        <w:t xml:space="preserve">The </w:t>
      </w:r>
      <w:r w:rsidR="00F511AA" w:rsidRPr="001C0FCA">
        <w:t>D</w:t>
      </w:r>
      <w:r w:rsidRPr="001C0FCA">
        <w:t xml:space="preserve">elegate requests that the sponsor, in </w:t>
      </w:r>
      <w:r w:rsidR="00F511AA" w:rsidRPr="001C0FCA">
        <w:t>their</w:t>
      </w:r>
      <w:r w:rsidRPr="001C0FCA">
        <w:t xml:space="preserve"> pre-ACPM, give a full and detailed accounting of every single </w:t>
      </w:r>
      <w:r w:rsidR="00186C14" w:rsidRPr="001C0FCA">
        <w:t>‘</w:t>
      </w:r>
      <w:r w:rsidRPr="001C0FCA">
        <w:t>flare</w:t>
      </w:r>
      <w:r w:rsidR="00186C14" w:rsidRPr="001C0FCA">
        <w:t>’</w:t>
      </w:r>
      <w:r w:rsidRPr="001C0FCA">
        <w:t xml:space="preserve"> event, of each of the 37 events, considered in the primary analysis. This should be done in a table with 2 columns, one for the canakinumab group and one for the placebo group.</w:t>
      </w:r>
      <w:r w:rsidR="00404BA5" w:rsidRPr="001C0FCA">
        <w:t xml:space="preserve"> </w:t>
      </w:r>
      <w:r w:rsidRPr="001C0FCA">
        <w:t xml:space="preserve">Please provide, in at most a couple of lines for each event, the salient features of that event including the time from the beginning of Part II to the </w:t>
      </w:r>
      <w:r w:rsidR="00186C14" w:rsidRPr="001C0FCA">
        <w:t>‘</w:t>
      </w:r>
      <w:r w:rsidRPr="001C0FCA">
        <w:t>flare</w:t>
      </w:r>
      <w:r w:rsidR="00186C14" w:rsidRPr="001C0FCA">
        <w:t>’</w:t>
      </w:r>
      <w:r w:rsidRPr="001C0FCA">
        <w:t xml:space="preserve">, whether or not the </w:t>
      </w:r>
      <w:r w:rsidR="00186C14" w:rsidRPr="001C0FCA">
        <w:t>‘</w:t>
      </w:r>
      <w:r w:rsidRPr="001C0FCA">
        <w:t>flare</w:t>
      </w:r>
      <w:r w:rsidR="00186C14" w:rsidRPr="001C0FCA">
        <w:t>’</w:t>
      </w:r>
      <w:r w:rsidRPr="001C0FCA">
        <w:t xml:space="preserve"> met the protocol definition of </w:t>
      </w:r>
      <w:r w:rsidR="00186C14" w:rsidRPr="001C0FCA">
        <w:t>‘</w:t>
      </w:r>
      <w:r w:rsidRPr="001C0FCA">
        <w:t>flare</w:t>
      </w:r>
      <w:r w:rsidR="00186C14" w:rsidRPr="001C0FCA">
        <w:t>’</w:t>
      </w:r>
      <w:r w:rsidRPr="001C0FCA">
        <w:t xml:space="preserve"> and if not give an explanation of how the definition was not met and why the event was included as a </w:t>
      </w:r>
      <w:r w:rsidR="00186C14" w:rsidRPr="001C0FCA">
        <w:t>‘</w:t>
      </w:r>
      <w:r w:rsidRPr="001C0FCA">
        <w:t>flare</w:t>
      </w:r>
      <w:r w:rsidR="00186C14" w:rsidRPr="001C0FCA">
        <w:t>’</w:t>
      </w:r>
      <w:r w:rsidRPr="001C0FCA">
        <w:t xml:space="preserve"> and finally the age of the child at the time of the </w:t>
      </w:r>
      <w:r w:rsidR="00186C14" w:rsidRPr="001C0FCA">
        <w:t>‘</w:t>
      </w:r>
      <w:r w:rsidRPr="001C0FCA">
        <w:t>flare</w:t>
      </w:r>
      <w:r w:rsidR="00186C14" w:rsidRPr="001C0FCA">
        <w:t>’</w:t>
      </w:r>
      <w:r w:rsidRPr="001C0FCA">
        <w:t>.</w:t>
      </w:r>
      <w:r w:rsidR="004E3B70" w:rsidRPr="001C0FCA">
        <w:t xml:space="preserve"> </w:t>
      </w:r>
      <w:r w:rsidRPr="001C0FCA">
        <w:t>Then the sponsor is requested to explain, in full, each of the re-workings of the primary analysis which involved the censoring of patients.</w:t>
      </w:r>
      <w:r w:rsidR="00404BA5" w:rsidRPr="001C0FCA">
        <w:t xml:space="preserve"> </w:t>
      </w:r>
      <w:r w:rsidRPr="001C0FCA">
        <w:t xml:space="preserve">The first re-working is that analysis the results of which showed a non-significant relative risk reduction to flare of 49% with canakinumab treatment </w:t>
      </w:r>
      <w:r w:rsidRPr="001C0FCA">
        <w:lastRenderedPageBreak/>
        <w:t xml:space="preserve">relative to placebo (HR 0.51; 95% CI: 0.23 to 1.12; p=0.0445 [one-sided significance level 0.025]), </w:t>
      </w:r>
      <w:r w:rsidR="00F511AA" w:rsidRPr="001C0FCA">
        <w:t>that is,</w:t>
      </w:r>
      <w:r w:rsidRPr="001C0FCA">
        <w:t xml:space="preserve"> the analysis discussed </w:t>
      </w:r>
      <w:r w:rsidR="00F511AA" w:rsidRPr="001C0FCA">
        <w:t>in</w:t>
      </w:r>
      <w:r w:rsidRPr="001C0FCA">
        <w:t xml:space="preserve"> the CER.</w:t>
      </w:r>
      <w:r w:rsidR="00404BA5" w:rsidRPr="001C0FCA">
        <w:t xml:space="preserve"> </w:t>
      </w:r>
      <w:r w:rsidRPr="001C0FCA">
        <w:t xml:space="preserve">Please indicate which of the 37 patients included in the primary analysis were censored for this re-analysis and explain why they were censored. The sponsor </w:t>
      </w:r>
      <w:r w:rsidR="00AB34EF">
        <w:t>was</w:t>
      </w:r>
      <w:r w:rsidR="00AB34EF" w:rsidRPr="001C0FCA">
        <w:t xml:space="preserve"> </w:t>
      </w:r>
      <w:r w:rsidRPr="001C0FCA">
        <w:t>requested to explain why this re-analysis was done at the time it was done.</w:t>
      </w:r>
      <w:r w:rsidR="00404BA5" w:rsidRPr="001C0FCA">
        <w:t xml:space="preserve"> </w:t>
      </w:r>
      <w:r w:rsidRPr="001C0FCA">
        <w:t>Was it the result of a protocol amendment?</w:t>
      </w:r>
      <w:r w:rsidR="00404BA5" w:rsidRPr="001C0FCA">
        <w:t xml:space="preserve"> </w:t>
      </w:r>
      <w:r w:rsidRPr="001C0FCA">
        <w:t>Was this first re-analysis in any way pre-specified in the protocol?</w:t>
      </w:r>
    </w:p>
    <w:p w:rsidR="007B6132" w:rsidRPr="001C0FCA" w:rsidRDefault="00E22D1F" w:rsidP="0064603F">
      <w:r w:rsidRPr="001C0FCA">
        <w:t>The second re-working was that submitted by the sponsor in response to Efficacy Question 3 and was the analysis which showed a significant relative risk reduction in flares in the canakinumab group of 57% (HR 0.43; 95% CI: 0.20 to 0.92; p=0.0127 [one-sided significance level 0.025]).</w:t>
      </w:r>
      <w:r w:rsidR="00404BA5" w:rsidRPr="001C0FCA">
        <w:t xml:space="preserve"> </w:t>
      </w:r>
      <w:r w:rsidRPr="001C0FCA">
        <w:t>Once again please indicate which of the 37 patients included in the primary analysis were censored for this re-analysis and explain why they were censored.</w:t>
      </w:r>
    </w:p>
    <w:p w:rsidR="007B6132" w:rsidRPr="001C0FCA" w:rsidRDefault="007B6132" w:rsidP="0064603F">
      <w:pPr>
        <w:pStyle w:val="Heading4"/>
      </w:pPr>
      <w:r w:rsidRPr="001C0FCA">
        <w:t>Clinical evaluator’s recommendation (if applicable)</w:t>
      </w:r>
    </w:p>
    <w:p w:rsidR="00F511AA" w:rsidRPr="001C0FCA" w:rsidRDefault="00F511AA" w:rsidP="0064603F">
      <w:r w:rsidRPr="001C0FCA">
        <w:t xml:space="preserve">The clinical evaluator recommended that the canakinumab indications </w:t>
      </w:r>
      <w:r w:rsidR="00AB34EF">
        <w:t>be</w:t>
      </w:r>
      <w:r w:rsidR="00AB34EF" w:rsidRPr="001C0FCA">
        <w:t xml:space="preserve"> </w:t>
      </w:r>
      <w:r w:rsidR="0064603F">
        <w:t>extended to include</w:t>
      </w:r>
    </w:p>
    <w:p w:rsidR="00F511AA" w:rsidRPr="001C0FCA" w:rsidRDefault="00F511AA" w:rsidP="00F511AA">
      <w:pPr>
        <w:ind w:left="720"/>
      </w:pPr>
      <w:r w:rsidRPr="001C0FCA">
        <w:t>‘</w:t>
      </w:r>
      <w:r w:rsidRPr="001C0FCA">
        <w:rPr>
          <w:i/>
        </w:rPr>
        <w:t>treatment of active Systemic Juvenile Idiopathic Arthritis (sJIA) in patients aged 2 years and older</w:t>
      </w:r>
      <w:r w:rsidRPr="001C0FCA">
        <w:t>’</w:t>
      </w:r>
    </w:p>
    <w:p w:rsidR="008E7846" w:rsidRPr="001C0FCA" w:rsidRDefault="00386150" w:rsidP="0064603F">
      <w:pPr>
        <w:pStyle w:val="Heading3"/>
      </w:pPr>
      <w:bookmarkStart w:id="144" w:name="_Toc408471930"/>
      <w:r w:rsidRPr="001C0FCA">
        <w:rPr>
          <w:lang w:eastAsia="en-AU"/>
        </w:rPr>
        <w:t>Risk m</w:t>
      </w:r>
      <w:r w:rsidR="008E7846" w:rsidRPr="001C0FCA">
        <w:rPr>
          <w:lang w:eastAsia="en-AU"/>
        </w:rPr>
        <w:t xml:space="preserve">anagement </w:t>
      </w:r>
      <w:r w:rsidRPr="001C0FCA">
        <w:rPr>
          <w:lang w:eastAsia="en-AU"/>
        </w:rPr>
        <w:t>p</w:t>
      </w:r>
      <w:r w:rsidR="008E7846" w:rsidRPr="001C0FCA">
        <w:rPr>
          <w:lang w:eastAsia="en-AU"/>
        </w:rPr>
        <w:t>lan</w:t>
      </w:r>
      <w:bookmarkEnd w:id="143"/>
      <w:bookmarkEnd w:id="144"/>
    </w:p>
    <w:p w:rsidR="00E22D1F" w:rsidRDefault="00F511AA" w:rsidP="0064603F">
      <w:r w:rsidRPr="001C0FCA">
        <w:t>T</w:t>
      </w:r>
      <w:r w:rsidR="00E22D1F" w:rsidRPr="001C0FCA">
        <w:t xml:space="preserve">he RMP evaluator noted that the sponsor had provided an updated EU-RMP </w:t>
      </w:r>
      <w:r w:rsidRPr="001C0FCA">
        <w:t>to the TGA</w:t>
      </w:r>
      <w:r w:rsidR="00E22D1F" w:rsidRPr="001C0FCA">
        <w:t>.</w:t>
      </w:r>
      <w:r w:rsidR="00404BA5" w:rsidRPr="001C0FCA">
        <w:t xml:space="preserve"> </w:t>
      </w:r>
      <w:r w:rsidR="00E22D1F" w:rsidRPr="001C0FCA">
        <w:t>However, as noted by the RMP evaluator, the data lock point for this RMP was 31</w:t>
      </w:r>
      <w:r w:rsidRPr="001C0FCA">
        <w:t xml:space="preserve"> December 2012 for post</w:t>
      </w:r>
      <w:r w:rsidR="00E22D1F" w:rsidRPr="001C0FCA">
        <w:t>marketing data which is more than 12 months out of date.</w:t>
      </w:r>
      <w:r w:rsidR="00404BA5" w:rsidRPr="001C0FCA">
        <w:t xml:space="preserve"> </w:t>
      </w:r>
      <w:r w:rsidR="00E22D1F" w:rsidRPr="001C0FCA">
        <w:t>The sponsor was therefore requested to submit a more current EU-RMP to the TGA for review prior to approval.</w:t>
      </w:r>
    </w:p>
    <w:p w:rsidR="00E22D1F" w:rsidRDefault="00E22D1F" w:rsidP="0064603F">
      <w:r>
        <w:t>The RMP evaluator has proposed a condition of registration which mentions the following EU-RMP:</w:t>
      </w:r>
    </w:p>
    <w:p w:rsidR="00E22D1F" w:rsidRDefault="00186C14" w:rsidP="00F511AA">
      <w:pPr>
        <w:spacing w:before="0" w:after="0" w:line="240" w:lineRule="auto"/>
        <w:ind w:left="720"/>
        <w:rPr>
          <w:rFonts w:asciiTheme="minorHAnsi" w:hAnsiTheme="minorHAnsi"/>
        </w:rPr>
      </w:pPr>
      <w:r>
        <w:rPr>
          <w:rFonts w:asciiTheme="minorHAnsi" w:hAnsiTheme="minorHAnsi"/>
        </w:rPr>
        <w:t>‘</w:t>
      </w:r>
      <w:r w:rsidR="00E22D1F" w:rsidRPr="002A5438">
        <w:rPr>
          <w:rFonts w:asciiTheme="minorHAnsi" w:hAnsiTheme="minorHAnsi"/>
          <w:i/>
        </w:rPr>
        <w:t>The European Risk Management Plan (Version 7.1 dated 13</w:t>
      </w:r>
      <w:r w:rsidR="00E22D1F" w:rsidRPr="002A5438">
        <w:rPr>
          <w:rFonts w:asciiTheme="minorHAnsi" w:hAnsiTheme="minorHAnsi"/>
          <w:i/>
          <w:vertAlign w:val="superscript"/>
        </w:rPr>
        <w:t>th</w:t>
      </w:r>
      <w:r w:rsidR="00E22D1F" w:rsidRPr="002A5438">
        <w:rPr>
          <w:rFonts w:asciiTheme="minorHAnsi" w:hAnsiTheme="minorHAnsi"/>
          <w:i/>
        </w:rPr>
        <w:t xml:space="preserve"> August 2013, data lock point 31</w:t>
      </w:r>
      <w:r w:rsidR="00E22D1F" w:rsidRPr="002A5438">
        <w:rPr>
          <w:rFonts w:asciiTheme="minorHAnsi" w:hAnsiTheme="minorHAnsi"/>
          <w:i/>
          <w:vertAlign w:val="superscript"/>
        </w:rPr>
        <w:t>st</w:t>
      </w:r>
      <w:r w:rsidR="00E22D1F" w:rsidRPr="002A5438">
        <w:rPr>
          <w:rFonts w:asciiTheme="minorHAnsi" w:hAnsiTheme="minorHAnsi"/>
          <w:i/>
        </w:rPr>
        <w:t xml:space="preserve"> December 2011 for clinical trial data and 31</w:t>
      </w:r>
      <w:r w:rsidR="00E22D1F" w:rsidRPr="002A5438">
        <w:rPr>
          <w:rFonts w:asciiTheme="minorHAnsi" w:hAnsiTheme="minorHAnsi"/>
          <w:i/>
          <w:vertAlign w:val="superscript"/>
        </w:rPr>
        <w:t>st</w:t>
      </w:r>
      <w:r w:rsidR="00E22D1F" w:rsidRPr="002A5438">
        <w:rPr>
          <w:rFonts w:asciiTheme="minorHAnsi" w:hAnsiTheme="minorHAnsi"/>
          <w:i/>
        </w:rPr>
        <w:t xml:space="preserve"> December 2012 for post marketing data), and the Australian Specific Annex (Version 4 dated 31</w:t>
      </w:r>
      <w:r w:rsidR="00E22D1F" w:rsidRPr="002A5438">
        <w:rPr>
          <w:rFonts w:asciiTheme="minorHAnsi" w:hAnsiTheme="minorHAnsi"/>
          <w:i/>
          <w:vertAlign w:val="superscript"/>
        </w:rPr>
        <w:t>st</w:t>
      </w:r>
      <w:r w:rsidR="00E22D1F">
        <w:rPr>
          <w:rFonts w:asciiTheme="minorHAnsi" w:hAnsiTheme="minorHAnsi"/>
          <w:i/>
        </w:rPr>
        <w:t xml:space="preserve"> January 2014)</w:t>
      </w:r>
      <w:r>
        <w:rPr>
          <w:rFonts w:asciiTheme="minorHAnsi" w:hAnsiTheme="minorHAnsi"/>
        </w:rPr>
        <w:t>’</w:t>
      </w:r>
      <w:r w:rsidR="00E22D1F">
        <w:rPr>
          <w:rFonts w:asciiTheme="minorHAnsi" w:hAnsiTheme="minorHAnsi"/>
        </w:rPr>
        <w:t>.</w:t>
      </w:r>
    </w:p>
    <w:p w:rsidR="00F511AA" w:rsidRPr="006F67A2" w:rsidRDefault="00E22D1F" w:rsidP="0064603F">
      <w:r>
        <w:t xml:space="preserve">The </w:t>
      </w:r>
      <w:r w:rsidR="00F511AA">
        <w:t>D</w:t>
      </w:r>
      <w:r>
        <w:t xml:space="preserve">elegate </w:t>
      </w:r>
      <w:r w:rsidR="00AB34EF">
        <w:t xml:space="preserve">requested </w:t>
      </w:r>
      <w:r>
        <w:t xml:space="preserve">the sponsor to clarify how the above EU-RMP </w:t>
      </w:r>
      <w:r w:rsidR="00F511AA">
        <w:t>and</w:t>
      </w:r>
      <w:r>
        <w:t xml:space="preserve"> ASA need to be revised and updated.</w:t>
      </w:r>
      <w:r w:rsidR="00404BA5">
        <w:t xml:space="preserve"> </w:t>
      </w:r>
      <w:r w:rsidR="00F511AA">
        <w:t>The D</w:t>
      </w:r>
      <w:r>
        <w:t>elegate is aware of the need to have a more up-to-date data lock point for postmarketing data.</w:t>
      </w:r>
      <w:r w:rsidR="00404BA5">
        <w:t xml:space="preserve"> </w:t>
      </w:r>
      <w:r>
        <w:t xml:space="preserve">The </w:t>
      </w:r>
      <w:r w:rsidR="00F511AA">
        <w:t>D</w:t>
      </w:r>
      <w:r>
        <w:t>elegate is also aware of a request by the RMP evaluator to amend the proposed statement in the ASA relating to the development of Australian educational materials.</w:t>
      </w:r>
      <w:r w:rsidR="00404BA5">
        <w:t xml:space="preserve"> </w:t>
      </w:r>
      <w:r>
        <w:t>The latter issue is discussed in some more detail below.</w:t>
      </w:r>
      <w:r w:rsidR="00404BA5">
        <w:t xml:space="preserve"> </w:t>
      </w:r>
      <w:r w:rsidRPr="006F67A2">
        <w:t>Is the sponsor aware of any further revisions and/or amendments which are required?</w:t>
      </w:r>
    </w:p>
    <w:p w:rsidR="00E22D1F" w:rsidRDefault="00E22D1F" w:rsidP="0064603F">
      <w:r>
        <w:t xml:space="preserve">The </w:t>
      </w:r>
      <w:r w:rsidR="00F511AA">
        <w:t>D</w:t>
      </w:r>
      <w:r>
        <w:t xml:space="preserve">elegate </w:t>
      </w:r>
      <w:r w:rsidR="00AB34EF">
        <w:t xml:space="preserve"> indicated that </w:t>
      </w:r>
      <w:r>
        <w:t>a suitably worded condition of registration in relation to the RMP</w:t>
      </w:r>
      <w:r w:rsidR="00AB34EF" w:rsidRPr="00AB34EF">
        <w:t xml:space="preserve"> </w:t>
      </w:r>
      <w:r w:rsidR="00AB34EF">
        <w:t>will constructed</w:t>
      </w:r>
      <w:r>
        <w:t xml:space="preserve"> when all outstanding issues concerning the RMP are resolved.</w:t>
      </w:r>
    </w:p>
    <w:p w:rsidR="00E22D1F" w:rsidRDefault="00E22D1F" w:rsidP="0064603F">
      <w:r>
        <w:t xml:space="preserve">When advice was sought from the ACSOM, this committee commented that the </w:t>
      </w:r>
      <w:r w:rsidRPr="004B7EF4">
        <w:t>dosing instructions for the CAPS indication are difficult to interpret and noted the large discontinuities in the dosing regimen, for example, patients weighing 16 kg receive a dose of 32 mg, while patients weighing 14 kg receive a dose of 56 mg. The committee was unsure of the rationale for this regimen.</w:t>
      </w:r>
      <w:r w:rsidR="00404BA5">
        <w:t xml:space="preserve"> </w:t>
      </w:r>
      <w:r>
        <w:t xml:space="preserve">The </w:t>
      </w:r>
      <w:r w:rsidR="00F511AA">
        <w:t>D</w:t>
      </w:r>
      <w:r>
        <w:t>elegate notes that this comment is in relation to the CAPS indication and so it is not strictly relevant to this submission which concerns sJIA.</w:t>
      </w:r>
      <w:r w:rsidR="00404BA5">
        <w:t xml:space="preserve"> </w:t>
      </w:r>
      <w:r>
        <w:t>If the sponsor wishes to make a brief comment on this issue then it is invited to do so.</w:t>
      </w:r>
      <w:r w:rsidR="00404BA5">
        <w:t xml:space="preserve"> </w:t>
      </w:r>
      <w:r>
        <w:t xml:space="preserve">The sponsor should note that the </w:t>
      </w:r>
      <w:r w:rsidR="00F511AA">
        <w:t>D</w:t>
      </w:r>
      <w:r>
        <w:t xml:space="preserve">elegate intends to impose a condition of registration attached to the approval of this submission, a condition that the sponsor must commence discussions about the CAPS dosing instructions with the relevant clinical </w:t>
      </w:r>
      <w:r>
        <w:lastRenderedPageBreak/>
        <w:t>unit within 3 months of the approval of this submission.</w:t>
      </w:r>
      <w:r w:rsidR="00404BA5">
        <w:t xml:space="preserve"> </w:t>
      </w:r>
      <w:r w:rsidR="00F511AA">
        <w:t>The Advisory Committee on Prescription Medicines (</w:t>
      </w:r>
      <w:r>
        <w:t>ACPM</w:t>
      </w:r>
      <w:r w:rsidR="00F511AA">
        <w:t>)</w:t>
      </w:r>
      <w:r>
        <w:t xml:space="preserve"> is invited to make a comment if it so wishes.</w:t>
      </w:r>
    </w:p>
    <w:p w:rsidR="00E22D1F" w:rsidRPr="006F67A2" w:rsidRDefault="00E22D1F" w:rsidP="0064603F">
      <w:r>
        <w:t xml:space="preserve">The RMP evaluator was also of the opinion that the sponsor </w:t>
      </w:r>
      <w:r w:rsidRPr="004B7EF4">
        <w:t>must provide a copy of the updated Australian educational materials as soon as possible to the TGA for review.</w:t>
      </w:r>
      <w:r w:rsidR="00404BA5">
        <w:rPr>
          <w:lang w:eastAsia="en-AU"/>
        </w:rPr>
        <w:t xml:space="preserve"> </w:t>
      </w:r>
      <w:r w:rsidRPr="004B7EF4">
        <w:rPr>
          <w:lang w:eastAsia="en-AU"/>
        </w:rPr>
        <w:t xml:space="preserve">The </w:t>
      </w:r>
      <w:r w:rsidR="00F511AA">
        <w:rPr>
          <w:lang w:eastAsia="en-AU"/>
        </w:rPr>
        <w:t>s</w:t>
      </w:r>
      <w:r w:rsidRPr="004B7EF4">
        <w:rPr>
          <w:lang w:eastAsia="en-AU"/>
        </w:rPr>
        <w:t xml:space="preserve">ponsor is requested to confirm that a statement will be included in the canakinumab educational materials regarding how Australian patients can join the Ilaris Registry Study </w:t>
      </w:r>
      <w:r w:rsidRPr="004B7EF4">
        <w:rPr>
          <w:color w:val="000000"/>
          <w:lang w:eastAsia="en-AU"/>
        </w:rPr>
        <w:t>CACZ885D2401</w:t>
      </w:r>
      <w:r w:rsidRPr="004B7EF4">
        <w:rPr>
          <w:lang w:eastAsia="en-AU"/>
        </w:rPr>
        <w:t>.</w:t>
      </w:r>
      <w:r w:rsidR="00404BA5">
        <w:rPr>
          <w:lang w:eastAsia="en-AU"/>
        </w:rPr>
        <w:t xml:space="preserve"> </w:t>
      </w:r>
      <w:r w:rsidRPr="006F67A2">
        <w:t>In its pre-ACPM response, the sponsor is requested to address these two issues specifically and outline its proposed course of action in relation to each of those issues.</w:t>
      </w:r>
    </w:p>
    <w:p w:rsidR="008E7846" w:rsidRPr="006F67A2" w:rsidRDefault="00E22D1F" w:rsidP="0064603F">
      <w:r>
        <w:rPr>
          <w:lang w:eastAsia="en-AU"/>
        </w:rPr>
        <w:t xml:space="preserve">The final outstanding issue identified by the RMP evaluator was as follows: </w:t>
      </w:r>
      <w:r w:rsidR="00186C14">
        <w:rPr>
          <w:lang w:eastAsia="en-AU"/>
        </w:rPr>
        <w:t>‘</w:t>
      </w:r>
      <w:r w:rsidRPr="001B7736">
        <w:rPr>
          <w:lang w:eastAsia="en-AU"/>
        </w:rPr>
        <w:t xml:space="preserve">The updated ASA contains the following statement in regards to the development of Australian educational materials: </w:t>
      </w:r>
      <w:r w:rsidR="00186C14">
        <w:rPr>
          <w:lang w:eastAsia="en-AU"/>
        </w:rPr>
        <w:t>‘</w:t>
      </w:r>
      <w:r w:rsidRPr="001B7736">
        <w:rPr>
          <w:i/>
        </w:rPr>
        <w:t>The development will occur once suitable patients have been identified and will be treated with Ilaris.</w:t>
      </w:r>
      <w:r w:rsidR="00186C14">
        <w:rPr>
          <w:i/>
        </w:rPr>
        <w:t>’</w:t>
      </w:r>
      <w:r w:rsidRPr="001B7736">
        <w:t xml:space="preserve"> The </w:t>
      </w:r>
      <w:r w:rsidR="00F511AA">
        <w:t>s</w:t>
      </w:r>
      <w:r w:rsidRPr="001B7736">
        <w:t>ponsor should amend this statement to clarify that these</w:t>
      </w:r>
      <w:r>
        <w:t xml:space="preserve"> materials will be developed in a timely fashion so that they may be</w:t>
      </w:r>
      <w:r w:rsidR="00404BA5">
        <w:t xml:space="preserve"> </w:t>
      </w:r>
      <w:r w:rsidRPr="001B7736">
        <w:t xml:space="preserve">reviewed by the TGA </w:t>
      </w:r>
      <w:r w:rsidRPr="001B7736">
        <w:rPr>
          <w:u w:val="single"/>
        </w:rPr>
        <w:t xml:space="preserve">prior to </w:t>
      </w:r>
      <w:r w:rsidRPr="001B7736">
        <w:t>canakinumab</w:t>
      </w:r>
      <w:r w:rsidR="00AB34EF">
        <w:t xml:space="preserve"> being supplied</w:t>
      </w:r>
      <w:r w:rsidRPr="001B7736">
        <w:t xml:space="preserve"> in Australia. It is requested that this statement be included as a condition of registration for canakinumab in SJIA</w:t>
      </w:r>
      <w:r w:rsidR="00186C14">
        <w:t>’</w:t>
      </w:r>
      <w:r w:rsidRPr="001B7736">
        <w:t>.</w:t>
      </w:r>
      <w:r w:rsidR="00404BA5">
        <w:t xml:space="preserve"> </w:t>
      </w:r>
      <w:r w:rsidRPr="006F67A2">
        <w:t xml:space="preserve">The sponsor </w:t>
      </w:r>
      <w:r w:rsidR="00C2681F">
        <w:t>will</w:t>
      </w:r>
      <w:r w:rsidR="001E4506">
        <w:t xml:space="preserve"> be </w:t>
      </w:r>
      <w:r w:rsidRPr="006F67A2">
        <w:t>requested to respond to this comment by the RMP evaluator and to outline its proposed course of action in relation to the timing of the development of Australian educational materials.</w:t>
      </w:r>
    </w:p>
    <w:p w:rsidR="008E7846" w:rsidRPr="00D014CB" w:rsidRDefault="00AA0ED0" w:rsidP="0064603F">
      <w:pPr>
        <w:pStyle w:val="Heading3"/>
      </w:pPr>
      <w:bookmarkStart w:id="145" w:name="_Toc247691531"/>
      <w:bookmarkStart w:id="146" w:name="_Toc314842515"/>
      <w:bookmarkStart w:id="147" w:name="_Toc408471931"/>
      <w:bookmarkStart w:id="148" w:name="_Toc196046505"/>
      <w:bookmarkStart w:id="149" w:name="_Toc196046949"/>
      <w:r>
        <w:t>Risk-benefit a</w:t>
      </w:r>
      <w:r w:rsidR="008E7846">
        <w:t>nalysis</w:t>
      </w:r>
      <w:bookmarkEnd w:id="145"/>
      <w:bookmarkEnd w:id="146"/>
      <w:bookmarkEnd w:id="147"/>
    </w:p>
    <w:p w:rsidR="00D23139" w:rsidRPr="00D014CB" w:rsidRDefault="00EA0973" w:rsidP="0064603F">
      <w:pPr>
        <w:pStyle w:val="Heading4"/>
      </w:pPr>
      <w:r>
        <w:t>Delegate’s considerations</w:t>
      </w:r>
    </w:p>
    <w:p w:rsidR="00E22D1F" w:rsidRDefault="00E22D1F" w:rsidP="0064603F">
      <w:r>
        <w:t>In the single</w:t>
      </w:r>
      <w:r w:rsidR="00D014CB">
        <w:t xml:space="preserve"> </w:t>
      </w:r>
      <w:r>
        <w:t xml:space="preserve">dose study, G2305, 83.7% of patients on canakinumab achieved an ACR30 response at </w:t>
      </w:r>
      <w:r w:rsidR="00D014CB">
        <w:t>D</w:t>
      </w:r>
      <w:r>
        <w:t>ay 15, compared with 9.8% on placebo.</w:t>
      </w:r>
      <w:r w:rsidR="00404BA5">
        <w:t xml:space="preserve"> </w:t>
      </w:r>
      <w:r>
        <w:t>This comparison was statistically significant and clinically meaningful.</w:t>
      </w:r>
      <w:r w:rsidR="00404BA5">
        <w:t xml:space="preserve"> </w:t>
      </w:r>
      <w:r>
        <w:t>The treatment response was not affected by gender or age.</w:t>
      </w:r>
    </w:p>
    <w:p w:rsidR="00E22D1F" w:rsidRDefault="00E22D1F" w:rsidP="0064603F">
      <w:r>
        <w:t>In the principal pivotal study, G2301, the primary efficacy criterion of Part I was achieved, in that 57 (44.5%) of the 128 patients who were taking steroids at entry achieved successful tapering of their steroid dose at the end of Part Ic.</w:t>
      </w:r>
    </w:p>
    <w:p w:rsidR="00E22D1F" w:rsidRDefault="00E22D1F" w:rsidP="0064603F">
      <w:r>
        <w:t>In Part II of the principal pivotal study, canakinumab treatment reduced the relative risk of flare by 64% compared with placebo (HR 0.36, 95% CI[0.17, 0.75], p = 0.0032].</w:t>
      </w:r>
      <w:r w:rsidR="00404BA5">
        <w:t xml:space="preserve"> </w:t>
      </w:r>
      <w:r>
        <w:t>Median time to flare was 236 days for placebo but could not be determined for the canakinumab group as the proportion of patients who flared in that group was less than 50%.</w:t>
      </w:r>
      <w:r w:rsidR="00404BA5">
        <w:t xml:space="preserve"> </w:t>
      </w:r>
      <w:r>
        <w:t xml:space="preserve">As has been seen there has been considerable debate about the precise definition of </w:t>
      </w:r>
      <w:r w:rsidR="00186C14">
        <w:t>‘</w:t>
      </w:r>
      <w:r>
        <w:t>flare</w:t>
      </w:r>
      <w:r w:rsidR="00186C14">
        <w:t>’</w:t>
      </w:r>
      <w:r>
        <w:t xml:space="preserve"> used in the study.</w:t>
      </w:r>
      <w:r w:rsidR="00404BA5">
        <w:t xml:space="preserve"> </w:t>
      </w:r>
      <w:r>
        <w:t>The primary result was not statistically significant if patients who discontinued the study for any reason (with the exception of flare) were censored at the time of study discontinuation rather than counted as flared.</w:t>
      </w:r>
      <w:r w:rsidR="00404BA5">
        <w:t xml:space="preserve"> </w:t>
      </w:r>
      <w:r>
        <w:t>The results of this first sensitivity analysis were submitted with the dossier.</w:t>
      </w:r>
      <w:r w:rsidR="00404BA5">
        <w:t xml:space="preserve"> </w:t>
      </w:r>
      <w:r>
        <w:t>In response to a question from the clinical evaluator about this issue of censoring, an additional post</w:t>
      </w:r>
      <w:r w:rsidR="00D014CB">
        <w:t xml:space="preserve"> </w:t>
      </w:r>
      <w:r>
        <w:t>hoc sensitivity analysis was submitted by the sponsor.</w:t>
      </w:r>
      <w:r w:rsidR="00404BA5">
        <w:t xml:space="preserve"> </w:t>
      </w:r>
      <w:r>
        <w:t>This second re-working of the primary analysis included discontinuations from Part II due to unsatisfactory therapeutic effect as flares and censored discontinuations for other reasons.</w:t>
      </w:r>
      <w:r w:rsidR="00404BA5">
        <w:t xml:space="preserve"> </w:t>
      </w:r>
      <w:r>
        <w:t xml:space="preserve">The </w:t>
      </w:r>
      <w:r w:rsidR="00D014CB">
        <w:t>D</w:t>
      </w:r>
      <w:r>
        <w:t>elegate has expressed concerns already.</w:t>
      </w:r>
      <w:r w:rsidR="00404BA5">
        <w:t xml:space="preserve"> </w:t>
      </w:r>
      <w:r>
        <w:t>G2301 was a study in a relatively small number of patients and the duration of Part II of this study was in fact driven by the number of flare events.</w:t>
      </w:r>
      <w:r w:rsidR="00404BA5">
        <w:t xml:space="preserve"> </w:t>
      </w:r>
      <w:r>
        <w:t>The number chosen was 37, also a small number.</w:t>
      </w:r>
      <w:r w:rsidR="00404BA5">
        <w:t xml:space="preserve"> </w:t>
      </w:r>
      <w:r>
        <w:t>Upon this number were based the power calculations for the study.</w:t>
      </w:r>
      <w:r w:rsidR="00404BA5">
        <w:t xml:space="preserve"> </w:t>
      </w:r>
      <w:r>
        <w:t>There appear to be 5-6 flare events in doubt, all in the placebo group and these 5-6 comprise a not insignificant proportion of the total number, 37, of flares.</w:t>
      </w:r>
      <w:r w:rsidR="00404BA5">
        <w:t xml:space="preserve"> </w:t>
      </w:r>
      <w:r>
        <w:t>What are the implications for those power calculations?</w:t>
      </w:r>
      <w:r w:rsidR="00404BA5">
        <w:t xml:space="preserve"> </w:t>
      </w:r>
      <w:r>
        <w:t xml:space="preserve">The </w:t>
      </w:r>
      <w:r w:rsidR="00D014CB">
        <w:t>D</w:t>
      </w:r>
      <w:r>
        <w:t>elegate has asked the sponsor to provide, in its pre-ACPM response, a tabular summary of these flare events and to answer a number of questions about the definitions of flare used and the two post-hoc sensitivity analyses.</w:t>
      </w:r>
    </w:p>
    <w:p w:rsidR="00E22D1F" w:rsidRDefault="00E22D1F" w:rsidP="00E22D1F">
      <w:pPr>
        <w:spacing w:before="0" w:after="0" w:line="240" w:lineRule="auto"/>
      </w:pPr>
      <w:r>
        <w:rPr>
          <w:rFonts w:asciiTheme="minorHAnsi" w:hAnsiTheme="minorHAnsi"/>
        </w:rPr>
        <w:lastRenderedPageBreak/>
        <w:t>In the principal pivotal study, G2301, there were a number of secondary efficacy variables, the first of which was the only one which was statistically significant.</w:t>
      </w:r>
      <w:r w:rsidR="00404BA5">
        <w:rPr>
          <w:rFonts w:asciiTheme="minorHAnsi" w:hAnsiTheme="minorHAnsi"/>
        </w:rPr>
        <w:t xml:space="preserve"> </w:t>
      </w:r>
      <w:r w:rsidRPr="009D3EC2">
        <w:t>The probability of experiencing a worsening in ACR level in Part II was</w:t>
      </w:r>
      <w:r>
        <w:t xml:space="preserve"> statistically significantly</w:t>
      </w:r>
      <w:r w:rsidRPr="009D3EC2">
        <w:t xml:space="preserve"> lower for the</w:t>
      </w:r>
      <w:r>
        <w:t xml:space="preserve"> </w:t>
      </w:r>
      <w:r w:rsidRPr="009D3EC2">
        <w:t>canakinumab group compared with the placebo group.</w:t>
      </w:r>
      <w:r w:rsidR="00404BA5">
        <w:t xml:space="preserve"> </w:t>
      </w:r>
      <w:r>
        <w:t>The remainder of the secondary endpoints showed supportive trends.</w:t>
      </w:r>
    </w:p>
    <w:p w:rsidR="00E22D1F" w:rsidRPr="00D014CB" w:rsidRDefault="00E22D1F" w:rsidP="0064603F">
      <w:r>
        <w:t>In the principal pivotal study, G2301, 40.7% of patients withdrew from Part I because of unsatisfactory therapeutic effect.</w:t>
      </w:r>
      <w:r w:rsidR="00404BA5">
        <w:t xml:space="preserve"> </w:t>
      </w:r>
      <w:r>
        <w:t>The primary reason for discontinuation in Part II for both treatment groups was unsatisfactory therapeutic effect (22% canakinumab</w:t>
      </w:r>
      <w:r w:rsidR="00B60592">
        <w:t xml:space="preserve"> versus</w:t>
      </w:r>
      <w:r>
        <w:t xml:space="preserve"> 40% placebo).</w:t>
      </w:r>
      <w:r w:rsidR="00404BA5">
        <w:t xml:space="preserve"> </w:t>
      </w:r>
      <w:r w:rsidRPr="00D014CB">
        <w:t>This raises questions about how long should a prescriber persist with canakinumab in the face of continuing nil or poor response.</w:t>
      </w:r>
      <w:r w:rsidR="00404BA5" w:rsidRPr="00D014CB">
        <w:t xml:space="preserve"> </w:t>
      </w:r>
      <w:r w:rsidRPr="00D014CB">
        <w:t>The sponsor has been asked to respond to this issue in its pre-ACPM response.</w:t>
      </w:r>
      <w:r w:rsidR="00404BA5" w:rsidRPr="00D014CB">
        <w:t xml:space="preserve"> </w:t>
      </w:r>
      <w:r w:rsidRPr="00D014CB">
        <w:t>It is most important that information about discontinuations due to unsatisfactory therapeutic effect be communicated in a transparent and accurate fashion.</w:t>
      </w:r>
      <w:r w:rsidR="00404BA5" w:rsidRPr="00D014CB">
        <w:t xml:space="preserve"> </w:t>
      </w:r>
      <w:r w:rsidRPr="00D014CB">
        <w:t xml:space="preserve">The sponsor </w:t>
      </w:r>
      <w:r w:rsidR="001E4506">
        <w:t>will</w:t>
      </w:r>
      <w:r w:rsidR="001E4506" w:rsidRPr="00D014CB">
        <w:t xml:space="preserve"> </w:t>
      </w:r>
      <w:r w:rsidRPr="00D014CB">
        <w:t xml:space="preserve">also </w:t>
      </w:r>
      <w:r w:rsidR="001E4506">
        <w:t xml:space="preserve">be </w:t>
      </w:r>
      <w:r w:rsidRPr="00D014CB">
        <w:t>asked to address this issue in its pre-ACPM response.</w:t>
      </w:r>
    </w:p>
    <w:p w:rsidR="00E22D1F" w:rsidRPr="006F67A2" w:rsidRDefault="00E22D1F" w:rsidP="0064603F">
      <w:r>
        <w:t>On the other hand there appeared to be at least 26 patients who were able to maintain effective responses on a lower dose, namely 2</w:t>
      </w:r>
      <w:r w:rsidR="00404BA5">
        <w:t xml:space="preserve"> mg/kg</w:t>
      </w:r>
      <w:r w:rsidRPr="006F67A2">
        <w:t>.</w:t>
      </w:r>
      <w:r w:rsidR="00404BA5" w:rsidRPr="006F67A2">
        <w:t xml:space="preserve"> </w:t>
      </w:r>
      <w:r w:rsidR="006F67A2" w:rsidRPr="006F67A2">
        <w:t xml:space="preserve"> </w:t>
      </w:r>
      <w:r w:rsidRPr="006F67A2">
        <w:t xml:space="preserve">The </w:t>
      </w:r>
      <w:r w:rsidR="00D014CB" w:rsidRPr="006F67A2">
        <w:t>D</w:t>
      </w:r>
      <w:r w:rsidRPr="006F67A2">
        <w:t>elegate understands that the possibility of lower dosing is to be tested in a future study.</w:t>
      </w:r>
      <w:r w:rsidR="00404BA5" w:rsidRPr="006F67A2">
        <w:t xml:space="preserve"> </w:t>
      </w:r>
      <w:r w:rsidRPr="006F67A2">
        <w:t xml:space="preserve">The sponsor </w:t>
      </w:r>
      <w:r w:rsidR="00A700A4">
        <w:t>will be</w:t>
      </w:r>
      <w:r w:rsidR="00A700A4" w:rsidRPr="006F67A2">
        <w:t xml:space="preserve"> </w:t>
      </w:r>
      <w:r w:rsidRPr="006F67A2">
        <w:t>asked to provide the details of this projected study in its pre-ACPM response.</w:t>
      </w:r>
    </w:p>
    <w:p w:rsidR="00E22D1F" w:rsidRPr="006F67A2" w:rsidRDefault="00E22D1F" w:rsidP="0064603F">
      <w:r>
        <w:t>There is a known risk of infection, including serious infection, with canakinumab.</w:t>
      </w:r>
      <w:r w:rsidR="00404BA5">
        <w:t xml:space="preserve"> </w:t>
      </w:r>
      <w:r>
        <w:t>After adjustments for exposure, there was little difference in infectious AE incidence between canakinumab and placebo.</w:t>
      </w:r>
      <w:r w:rsidR="00404BA5">
        <w:t xml:space="preserve"> </w:t>
      </w:r>
      <w:r w:rsidRPr="006F67A2">
        <w:t xml:space="preserve">The sponsor </w:t>
      </w:r>
      <w:r w:rsidR="00A700A4">
        <w:t>will be</w:t>
      </w:r>
      <w:r w:rsidR="00A700A4" w:rsidRPr="006F67A2">
        <w:t xml:space="preserve"> </w:t>
      </w:r>
      <w:r w:rsidRPr="006F67A2">
        <w:t xml:space="preserve">asked to confirm that there were no marked differences between the various paediatric age groups, </w:t>
      </w:r>
      <w:r w:rsidR="00D014CB" w:rsidRPr="006F67A2">
        <w:t>for example</w:t>
      </w:r>
      <w:r w:rsidRPr="006F67A2">
        <w:t xml:space="preserve"> between younger and older children.</w:t>
      </w:r>
    </w:p>
    <w:p w:rsidR="00E22D1F" w:rsidRPr="006F67A2" w:rsidRDefault="00E22D1F" w:rsidP="0064603F">
      <w:r>
        <w:t>Macrophage activation syndrome (MAS) is a rare, life-threatening disorder that can occur in sJIA.</w:t>
      </w:r>
      <w:r w:rsidR="00404BA5">
        <w:t xml:space="preserve"> </w:t>
      </w:r>
      <w:r>
        <w:t>After adjustment for exposure, the incidence was higher in the placebo group.</w:t>
      </w:r>
      <w:r w:rsidR="00404BA5">
        <w:t xml:space="preserve"> </w:t>
      </w:r>
      <w:r>
        <w:t>However, one of the two patients on placebo who developed MAS had had previous exposure to canakinumab.</w:t>
      </w:r>
      <w:r w:rsidR="00404BA5">
        <w:t xml:space="preserve"> </w:t>
      </w:r>
      <w:r>
        <w:t>This would appear to throw into doubt the findings of the time-adjusted rates of MAS.</w:t>
      </w:r>
      <w:r w:rsidR="00404BA5">
        <w:t xml:space="preserve"> </w:t>
      </w:r>
      <w:r w:rsidRPr="006F67A2">
        <w:t>The sponsor has been requested to provide a detailed comment on this issue.</w:t>
      </w:r>
    </w:p>
    <w:p w:rsidR="00E22D1F" w:rsidRDefault="00E22D1F" w:rsidP="0064603F">
      <w:r>
        <w:t>Neutropaenia and thrombocytopaenia, though reported, did not appear to be associated with serious clinical sequelae.</w:t>
      </w:r>
      <w:r w:rsidR="00404BA5">
        <w:t xml:space="preserve"> </w:t>
      </w:r>
      <w:r>
        <w:t>Anti-canakinumab antibodies developed in a small proportion (3.1%) of patients.</w:t>
      </w:r>
      <w:r w:rsidR="00404BA5">
        <w:t xml:space="preserve"> </w:t>
      </w:r>
      <w:r>
        <w:t>No neutralising antibodies were detected and the development of antibodies did not appear to be associated with particular safety outcomes or with reduced efficacy.</w:t>
      </w:r>
      <w:r w:rsidR="00404BA5">
        <w:t xml:space="preserve"> </w:t>
      </w:r>
      <w:r>
        <w:t>However, one must remember that one is dealing with very small numbers.</w:t>
      </w:r>
    </w:p>
    <w:p w:rsidR="00E22D1F" w:rsidRPr="006F67A2" w:rsidRDefault="00E22D1F" w:rsidP="0064603F">
      <w:r>
        <w:t xml:space="preserve">Overall, </w:t>
      </w:r>
      <w:r w:rsidR="00D014CB">
        <w:t>the Del</w:t>
      </w:r>
      <w:r w:rsidR="001C0FCA">
        <w:t>e</w:t>
      </w:r>
      <w:r w:rsidR="00D014CB">
        <w:t>gate</w:t>
      </w:r>
      <w:r>
        <w:t xml:space="preserve"> would agree with the clinical evaluator that the balance of benefit versus risk appears to be in favour of benefit.</w:t>
      </w:r>
      <w:r w:rsidR="00404BA5">
        <w:t xml:space="preserve"> </w:t>
      </w:r>
      <w:r>
        <w:t>However, the most important issue to be resolved concerns the question around the integrity of the primary analysis for the principal pivotal study, G2301.</w:t>
      </w:r>
      <w:r w:rsidR="00404BA5">
        <w:t xml:space="preserve"> </w:t>
      </w:r>
      <w:r>
        <w:t xml:space="preserve">It is an issue which the </w:t>
      </w:r>
      <w:r w:rsidR="00D014CB">
        <w:t>D</w:t>
      </w:r>
      <w:r>
        <w:t>elegate has requested the sponsor to address in its pre-ACPM response.</w:t>
      </w:r>
      <w:r w:rsidR="00404BA5">
        <w:t xml:space="preserve"> </w:t>
      </w:r>
      <w:r>
        <w:t xml:space="preserve">That is why </w:t>
      </w:r>
      <w:r w:rsidR="00D014CB">
        <w:t xml:space="preserve">the Delegate is </w:t>
      </w:r>
      <w:r w:rsidRPr="00C80339">
        <w:t xml:space="preserve">not in a position to say, at this time, that the </w:t>
      </w:r>
      <w:r>
        <w:t xml:space="preserve">application for </w:t>
      </w:r>
      <w:r w:rsidR="00D014CB">
        <w:t>Ilaris</w:t>
      </w:r>
      <w:r w:rsidR="00D014CB" w:rsidRPr="00C80339">
        <w:t xml:space="preserve"> </w:t>
      </w:r>
      <w:r w:rsidRPr="00C80339">
        <w:t>should be approved for registration.</w:t>
      </w:r>
      <w:r w:rsidR="00404BA5">
        <w:t xml:space="preserve"> </w:t>
      </w:r>
      <w:r w:rsidRPr="006F67A2">
        <w:t xml:space="preserve">The </w:t>
      </w:r>
      <w:r w:rsidR="00D014CB" w:rsidRPr="006F67A2">
        <w:t>D</w:t>
      </w:r>
      <w:r w:rsidRPr="006F67A2">
        <w:t xml:space="preserve">elegate </w:t>
      </w:r>
      <w:r w:rsidR="00D014CB" w:rsidRPr="006F67A2">
        <w:t xml:space="preserve">would like </w:t>
      </w:r>
      <w:r w:rsidRPr="006F67A2">
        <w:t xml:space="preserve">the ACPM </w:t>
      </w:r>
      <w:r w:rsidR="00D014CB" w:rsidRPr="006F67A2">
        <w:t>to</w:t>
      </w:r>
      <w:r w:rsidRPr="006F67A2">
        <w:t xml:space="preserve"> provide some comment on this issue, particularly once the members of the committee have been able to read what the sponsor has to say in its pre-ACPM response.</w:t>
      </w:r>
    </w:p>
    <w:p w:rsidR="00E22D1F" w:rsidRPr="006F67A2" w:rsidRDefault="00E22D1F" w:rsidP="0064603F">
      <w:r>
        <w:t xml:space="preserve">With regard to the wording of the indication and whether it should be made more restrictive in line with the indication approved in the EU, the </w:t>
      </w:r>
      <w:r w:rsidR="00D014CB">
        <w:t>D</w:t>
      </w:r>
      <w:r>
        <w:t>elegate is of the view that the indication should be worded as simply as possible, provided that there are no safety ramifications.</w:t>
      </w:r>
      <w:r w:rsidR="00404BA5">
        <w:t xml:space="preserve"> </w:t>
      </w:r>
      <w:r>
        <w:t xml:space="preserve">The </w:t>
      </w:r>
      <w:r w:rsidR="00D014CB">
        <w:t>D</w:t>
      </w:r>
      <w:r>
        <w:t>elegate prefers the simple wording sought by the sponsor, wording which has been approved in both the USA and Canada.</w:t>
      </w:r>
      <w:r w:rsidR="00404BA5">
        <w:t xml:space="preserve"> </w:t>
      </w:r>
      <w:r>
        <w:t>The children who require treatment for sJIA in Australia would be most likely seen by specialists in tertiary referral centres.</w:t>
      </w:r>
      <w:r w:rsidR="00404BA5">
        <w:t xml:space="preserve"> </w:t>
      </w:r>
      <w:r>
        <w:t xml:space="preserve">In most cases the options of </w:t>
      </w:r>
      <w:r w:rsidR="00D014CB">
        <w:t>non-steroidal anti-inflammatory drugs (</w:t>
      </w:r>
      <w:r>
        <w:t>NSAIDs</w:t>
      </w:r>
      <w:r w:rsidR="00D014CB">
        <w:t>)</w:t>
      </w:r>
      <w:r>
        <w:t xml:space="preserve"> and </w:t>
      </w:r>
      <w:r>
        <w:lastRenderedPageBreak/>
        <w:t>corticosteroids would have been explored in the patient’s work up.</w:t>
      </w:r>
      <w:r w:rsidR="00404BA5">
        <w:t xml:space="preserve"> </w:t>
      </w:r>
      <w:r>
        <w:t xml:space="preserve">There may be rare cases where urgent treatment with a biological is considered in the particular patient’s best interests and the </w:t>
      </w:r>
      <w:r w:rsidR="00D014CB">
        <w:t>D</w:t>
      </w:r>
      <w:r>
        <w:t>elegate is of the view that this decision is best left to the clinician.</w:t>
      </w:r>
      <w:r w:rsidR="00404BA5">
        <w:t xml:space="preserve"> </w:t>
      </w:r>
      <w:r w:rsidR="00D014CB" w:rsidRPr="006F67A2">
        <w:t>The D</w:t>
      </w:r>
      <w:r w:rsidRPr="006F67A2">
        <w:t>elegate would be most interested to hear the view of the ACPM in this regard.</w:t>
      </w:r>
    </w:p>
    <w:p w:rsidR="00E22D1F" w:rsidRDefault="00E22D1F" w:rsidP="0064603F">
      <w:pPr>
        <w:pStyle w:val="Heading4"/>
      </w:pPr>
      <w:r>
        <w:t>Conditions of registration</w:t>
      </w:r>
    </w:p>
    <w:p w:rsidR="000620D7" w:rsidRDefault="00E22D1F" w:rsidP="0064603F">
      <w:pPr>
        <w:pStyle w:val="Numberbullet0"/>
        <w:numPr>
          <w:ilvl w:val="0"/>
          <w:numId w:val="14"/>
        </w:numPr>
        <w:ind w:left="0"/>
      </w:pPr>
      <w:r w:rsidRPr="006F67A2">
        <w:t>There will be a condition of registration regarding the implementation of the relevant EU RMP together with the Australian Specific Annex.</w:t>
      </w:r>
      <w:r w:rsidR="00404BA5" w:rsidRPr="006F67A2">
        <w:t xml:space="preserve"> </w:t>
      </w:r>
      <w:r w:rsidRPr="006F67A2">
        <w:t>The sponsor is to confirm both the exact versions of the latter and the nature of any revisions required to these documents before implementation.</w:t>
      </w:r>
    </w:p>
    <w:p w:rsidR="000620D7" w:rsidRDefault="00E22D1F" w:rsidP="0064603F">
      <w:pPr>
        <w:pStyle w:val="Numberbullet0"/>
        <w:numPr>
          <w:ilvl w:val="0"/>
          <w:numId w:val="14"/>
        </w:numPr>
        <w:ind w:left="0"/>
      </w:pPr>
      <w:r w:rsidRPr="000620D7">
        <w:t>There will be a condition relating to the submission of any final or updated reports of any ongoing or extension clinical studies and of any interim or final reports of any projected studies.</w:t>
      </w:r>
      <w:r w:rsidR="00404BA5" w:rsidRPr="000620D7">
        <w:t xml:space="preserve"> </w:t>
      </w:r>
      <w:r w:rsidRPr="000620D7">
        <w:t>The particular wording of this condition will be drafted once the sponsor confirms the identity of these outstanding studies/reports</w:t>
      </w:r>
      <w:r w:rsidR="000F317F">
        <w:t>.</w:t>
      </w:r>
    </w:p>
    <w:p w:rsidR="00E22D1F" w:rsidRPr="000620D7" w:rsidRDefault="00E22D1F" w:rsidP="0064603F">
      <w:pPr>
        <w:pStyle w:val="Numberbullet0"/>
        <w:numPr>
          <w:ilvl w:val="0"/>
          <w:numId w:val="14"/>
        </w:numPr>
        <w:ind w:left="0"/>
      </w:pPr>
      <w:r w:rsidRPr="000620D7">
        <w:t>There may be a need for a condition specifying the timing of the development of Australian educational materials.</w:t>
      </w:r>
      <w:r w:rsidR="00404BA5" w:rsidRPr="000620D7">
        <w:t xml:space="preserve"> </w:t>
      </w:r>
      <w:r w:rsidRPr="000620D7">
        <w:t>Whether or not this is the case is dependent upon the sponsor’s response to this issue raised by the RMP evaluator.</w:t>
      </w:r>
    </w:p>
    <w:p w:rsidR="00D014CB" w:rsidRDefault="00547E46" w:rsidP="0064603F">
      <w:pPr>
        <w:pStyle w:val="Heading4"/>
      </w:pPr>
      <w:r>
        <w:t>Delegate’s summary of i</w:t>
      </w:r>
      <w:r w:rsidR="00D014CB" w:rsidRPr="00C80339">
        <w:t>ssues</w:t>
      </w:r>
    </w:p>
    <w:p w:rsidR="00D014CB" w:rsidRDefault="00D014CB" w:rsidP="0064603F">
      <w:r>
        <w:t>The main issue concerns the precise definition of ‘flare’ and whether patients should or should not have been censored for not meeting this definition. The sponsor has been asked to provide a detailed summary of this issue in the pre-ACPM response.</w:t>
      </w:r>
    </w:p>
    <w:p w:rsidR="00D23139" w:rsidRDefault="00547E46" w:rsidP="0064603F">
      <w:pPr>
        <w:pStyle w:val="Heading4"/>
      </w:pPr>
      <w:r>
        <w:t>Delegate’s p</w:t>
      </w:r>
      <w:r w:rsidR="00D23139" w:rsidRPr="00D23139">
        <w:t>roposed action</w:t>
      </w:r>
    </w:p>
    <w:p w:rsidR="00B81244" w:rsidRPr="00B81244" w:rsidRDefault="00D014CB" w:rsidP="0064603F">
      <w:r>
        <w:t xml:space="preserve">The Delegate </w:t>
      </w:r>
      <w:r w:rsidR="00B81244" w:rsidRPr="00393591">
        <w:t>not</w:t>
      </w:r>
      <w:r w:rsidR="00A700A4">
        <w:t xml:space="preserve"> being</w:t>
      </w:r>
      <w:r w:rsidR="00B81244" w:rsidRPr="00393591">
        <w:t xml:space="preserve"> in a position to say, at this time, that the application for </w:t>
      </w:r>
      <w:r w:rsidRPr="00393591">
        <w:t xml:space="preserve">Ilaris </w:t>
      </w:r>
      <w:r w:rsidR="00B81244" w:rsidRPr="00393591">
        <w:t>should be approved for registration</w:t>
      </w:r>
      <w:r w:rsidR="00A700A4">
        <w:t xml:space="preserve"> sought the advice of ACPM</w:t>
      </w:r>
      <w:r w:rsidR="00B81244" w:rsidRPr="00393591">
        <w:t>.</w:t>
      </w:r>
    </w:p>
    <w:p w:rsidR="00D23139" w:rsidRPr="00D014CB" w:rsidRDefault="00547E46" w:rsidP="0064603F">
      <w:pPr>
        <w:pStyle w:val="Heading4"/>
      </w:pPr>
      <w:r>
        <w:t>Delegate’s r</w:t>
      </w:r>
      <w:r w:rsidR="00D23139" w:rsidRPr="00D23139">
        <w:t>equest for ACPM advice</w:t>
      </w:r>
    </w:p>
    <w:p w:rsidR="00B81244" w:rsidRPr="00C80339" w:rsidRDefault="00B81244" w:rsidP="0064603F">
      <w:r w:rsidRPr="00C80339">
        <w:t>The committee is requested to provide advice on the following specific issues:</w:t>
      </w:r>
    </w:p>
    <w:p w:rsidR="000620D7" w:rsidRDefault="00B81244" w:rsidP="000620D7">
      <w:pPr>
        <w:pStyle w:val="Numberbullet0"/>
        <w:numPr>
          <w:ilvl w:val="0"/>
          <w:numId w:val="15"/>
        </w:numPr>
        <w:ind w:left="426" w:hanging="426"/>
      </w:pPr>
      <w:r w:rsidRPr="00547E46">
        <w:t xml:space="preserve">The validity of the result of the primary analysis for the principal pivotal study G2301, particularly as it concerns the precise definition of </w:t>
      </w:r>
      <w:r w:rsidR="00186C14" w:rsidRPr="00547E46">
        <w:t>‘</w:t>
      </w:r>
      <w:r w:rsidRPr="00547E46">
        <w:t>flare</w:t>
      </w:r>
      <w:r w:rsidR="00186C14" w:rsidRPr="00547E46">
        <w:t>’</w:t>
      </w:r>
      <w:r w:rsidRPr="00547E46">
        <w:t xml:space="preserve"> used in Part II of that study and whether or not a number of patients’ results should have been excluded from consideration.</w:t>
      </w:r>
    </w:p>
    <w:p w:rsidR="000620D7" w:rsidRDefault="00B81244" w:rsidP="000620D7">
      <w:pPr>
        <w:pStyle w:val="Numberbullet0"/>
        <w:numPr>
          <w:ilvl w:val="0"/>
          <w:numId w:val="15"/>
        </w:numPr>
        <w:ind w:left="426" w:hanging="426"/>
      </w:pPr>
      <w:r w:rsidRPr="000620D7">
        <w:t xml:space="preserve">The proposed wording of the indication, </w:t>
      </w:r>
      <w:r w:rsidR="00D014CB" w:rsidRPr="000620D7">
        <w:t>that is</w:t>
      </w:r>
      <w:r w:rsidRPr="000620D7">
        <w:t xml:space="preserve"> </w:t>
      </w:r>
      <w:r w:rsidR="00186C14" w:rsidRPr="000620D7">
        <w:t>‘</w:t>
      </w:r>
      <w:r w:rsidRPr="000620D7">
        <w:rPr>
          <w:i/>
        </w:rPr>
        <w:t>for the treatment of active Systemic Juvenile Idiopathic Arthritis (sJIA) in patients aged 2 years and older</w:t>
      </w:r>
      <w:r w:rsidR="00186C14" w:rsidRPr="000620D7">
        <w:t>’</w:t>
      </w:r>
      <w:r w:rsidRPr="000620D7">
        <w:t xml:space="preserve"> and whether it needs to be made more restrictive.</w:t>
      </w:r>
    </w:p>
    <w:p w:rsidR="00E22D1F" w:rsidRPr="000620D7" w:rsidRDefault="00B81244" w:rsidP="000620D7">
      <w:pPr>
        <w:pStyle w:val="Numberbullet0"/>
        <w:numPr>
          <w:ilvl w:val="0"/>
          <w:numId w:val="15"/>
        </w:numPr>
        <w:ind w:left="426" w:hanging="426"/>
      </w:pPr>
      <w:r w:rsidRPr="000620D7">
        <w:t>The committee is requested to provide advice on any other issues that it thinks may be relevant to a decision on whether or not to approve this application.</w:t>
      </w:r>
    </w:p>
    <w:p w:rsidR="00E22D1F" w:rsidRDefault="00E22D1F" w:rsidP="00E22D1F">
      <w:pPr>
        <w:pStyle w:val="Heading4"/>
      </w:pPr>
      <w:r>
        <w:t>Delegate’s questions for the sponsor</w:t>
      </w:r>
    </w:p>
    <w:p w:rsidR="00E22D1F" w:rsidRPr="00547E46" w:rsidRDefault="00E22D1F" w:rsidP="000620D7">
      <w:pPr>
        <w:pStyle w:val="Numberbullet0"/>
        <w:numPr>
          <w:ilvl w:val="0"/>
          <w:numId w:val="16"/>
        </w:numPr>
        <w:ind w:left="426" w:hanging="426"/>
      </w:pPr>
      <w:r w:rsidRPr="00547E46">
        <w:t>The sponsor is requested to explain how the shortfall in enrolment in the study G2305 may have affected the power calculations of the study.</w:t>
      </w:r>
    </w:p>
    <w:p w:rsidR="00E22D1F" w:rsidRPr="00547E46" w:rsidRDefault="00E22D1F" w:rsidP="00547E46">
      <w:pPr>
        <w:pStyle w:val="Numberbullet0"/>
        <w:ind w:left="426" w:hanging="426"/>
      </w:pPr>
      <w:r w:rsidRPr="00547E46">
        <w:t xml:space="preserve">The sponsor has been asked for a detailed commentary on the issue of the precise definition of </w:t>
      </w:r>
      <w:r w:rsidR="00186C14" w:rsidRPr="00547E46">
        <w:t>‘</w:t>
      </w:r>
      <w:r w:rsidRPr="00547E46">
        <w:t>flare</w:t>
      </w:r>
      <w:r w:rsidR="00186C14" w:rsidRPr="00547E46">
        <w:t>’</w:t>
      </w:r>
      <w:r w:rsidRPr="00547E46">
        <w:t xml:space="preserve"> in the principal pivotal study G2301, on whether or not certain patients’ results should have been excluded from the primary analysis because of failure to meet the definition of flare and on the degree to which such exclusions would have affected the power assumptions and calculations of the study.</w:t>
      </w:r>
    </w:p>
    <w:p w:rsidR="00E22D1F" w:rsidRDefault="00E22D1F" w:rsidP="000D7021">
      <w:pPr>
        <w:pStyle w:val="Numberbullet0"/>
        <w:ind w:left="426" w:hanging="426"/>
      </w:pPr>
      <w:r w:rsidRPr="001C0FCA">
        <w:lastRenderedPageBreak/>
        <w:t xml:space="preserve">From both Table </w:t>
      </w:r>
      <w:r w:rsidR="000D7021" w:rsidRPr="001C0FCA">
        <w:t>1</w:t>
      </w:r>
      <w:r w:rsidR="001C0FCA" w:rsidRPr="001C0FCA">
        <w:t>1</w:t>
      </w:r>
      <w:r w:rsidR="000D7021" w:rsidRPr="001C0FCA">
        <w:t xml:space="preserve"> </w:t>
      </w:r>
      <w:r w:rsidRPr="001C0FCA">
        <w:t>and in Figure 9 of the CER, one can observe</w:t>
      </w:r>
      <w:r w:rsidRPr="00722704">
        <w:t xml:space="preserve"> a pronounced dip in the response levels between </w:t>
      </w:r>
      <w:r w:rsidR="00722704">
        <w:t>Visits 8 and</w:t>
      </w:r>
      <w:r w:rsidRPr="00722704">
        <w:t xml:space="preserve"> 10 before the levels rise again.</w:t>
      </w:r>
      <w:r w:rsidR="00404BA5" w:rsidRPr="00722704">
        <w:t xml:space="preserve"> </w:t>
      </w:r>
      <w:r w:rsidRPr="00722704">
        <w:t>The sponsor is requested to comment on the possible reasons for this dip.</w:t>
      </w:r>
    </w:p>
    <w:p w:rsidR="00E22D1F" w:rsidRPr="00722704" w:rsidRDefault="00E22D1F" w:rsidP="000D7021">
      <w:pPr>
        <w:pStyle w:val="Numberbullet0"/>
        <w:ind w:left="426" w:hanging="426"/>
      </w:pPr>
      <w:r w:rsidRPr="00722704">
        <w:t>The sponsor is requested to clarify the way in which the minimum and maximum ACR criteria are defined at each level.</w:t>
      </w:r>
      <w:r w:rsidR="00404BA5" w:rsidRPr="00722704">
        <w:t xml:space="preserve"> </w:t>
      </w:r>
      <w:r w:rsidRPr="00722704">
        <w:t>Is it true to say that the window of separation between the minimum and the maximum becomes relatively smaller as one moves from ACR 30 to ACR 100?</w:t>
      </w:r>
      <w:r w:rsidR="00404BA5" w:rsidRPr="00722704">
        <w:t xml:space="preserve"> </w:t>
      </w:r>
      <w:r w:rsidRPr="00722704">
        <w:t>This was prompted by the observation that, at the end of Part I, there were 34.3% (60/175) of patients who achieved both a minimum and a maximum ACR 100 result</w:t>
      </w:r>
      <w:r w:rsidR="00F53DC5">
        <w:t xml:space="preserve"> at the end of Part I of G2301.</w:t>
      </w:r>
    </w:p>
    <w:p w:rsidR="00E22D1F" w:rsidRPr="00722704" w:rsidRDefault="00E22D1F" w:rsidP="000D7021">
      <w:pPr>
        <w:pStyle w:val="Numberbullet0"/>
        <w:ind w:left="426" w:hanging="426"/>
      </w:pPr>
      <w:r w:rsidRPr="00722704">
        <w:t xml:space="preserve">There is a suggestion from the extension </w:t>
      </w:r>
      <w:r w:rsidR="00722704">
        <w:t>S</w:t>
      </w:r>
      <w:r w:rsidRPr="00722704">
        <w:t>tudy G2301E1 that some sJIA patients may be able to be controlled on a canakinumab dose lower than is currently proposed, namely 2</w:t>
      </w:r>
      <w:r w:rsidR="00404BA5" w:rsidRPr="00722704">
        <w:t xml:space="preserve"> mg/kg</w:t>
      </w:r>
      <w:r w:rsidRPr="00722704">
        <w:t>.</w:t>
      </w:r>
      <w:r w:rsidR="00404BA5" w:rsidRPr="00722704">
        <w:t xml:space="preserve"> </w:t>
      </w:r>
      <w:r w:rsidRPr="00722704">
        <w:t>The sponsor is requested to comment on this issue and to comment on the fact there is a study which is planned to examine the efficacy of this lower dose.</w:t>
      </w:r>
    </w:p>
    <w:p w:rsidR="00E22D1F" w:rsidRPr="00722704" w:rsidRDefault="00E22D1F" w:rsidP="000D7021">
      <w:pPr>
        <w:pStyle w:val="Numberbullet0"/>
        <w:ind w:left="426" w:hanging="426"/>
      </w:pPr>
      <w:r w:rsidRPr="00722704">
        <w:t>The sponsor is requested to comment on the relatively high percentages of patients who discontinued from both pivotal studies because of unsatisfactory therapeutic response.</w:t>
      </w:r>
      <w:r w:rsidR="00404BA5" w:rsidRPr="00722704">
        <w:t xml:space="preserve"> </w:t>
      </w:r>
      <w:r w:rsidRPr="00722704">
        <w:t>Such results raise the issue of how long one should persist with treatment when no response is seen.</w:t>
      </w:r>
      <w:r w:rsidR="00404BA5" w:rsidRPr="00722704">
        <w:t xml:space="preserve"> </w:t>
      </w:r>
      <w:r w:rsidRPr="00722704">
        <w:t>The sponsor is requested to comment on this issue and on how it intends to address the matter in the PI.</w:t>
      </w:r>
    </w:p>
    <w:p w:rsidR="00E22D1F" w:rsidRPr="00722704" w:rsidRDefault="00E22D1F" w:rsidP="000D7021">
      <w:pPr>
        <w:pStyle w:val="Numberbullet0"/>
        <w:ind w:left="426" w:hanging="426"/>
      </w:pPr>
      <w:r w:rsidRPr="00722704">
        <w:t>The sponsor is requested to provide a summary of the background to the comprehensive search for drug-related hepatic disorders undertaken in the pivotal studies.</w:t>
      </w:r>
      <w:r w:rsidR="00404BA5" w:rsidRPr="00722704">
        <w:t xml:space="preserve"> </w:t>
      </w:r>
      <w:r w:rsidRPr="00722704">
        <w:t>What was the particular motivation behind this search?</w:t>
      </w:r>
      <w:r w:rsidR="00404BA5" w:rsidRPr="00722704">
        <w:t xml:space="preserve"> </w:t>
      </w:r>
      <w:r w:rsidRPr="00722704">
        <w:t>The sponsor is requested to give an up-to-date summary of the incidence of the incidence/frequency of disturbances of liver function and of liver-related adverse events in the sJIA database, in the CAPS database and in the entire canakinumab safety database.</w:t>
      </w:r>
    </w:p>
    <w:p w:rsidR="00E22D1F" w:rsidRPr="00722704" w:rsidRDefault="00E22D1F" w:rsidP="000D7021">
      <w:pPr>
        <w:pStyle w:val="Numberbullet0"/>
        <w:ind w:left="426" w:hanging="426"/>
      </w:pPr>
      <w:r w:rsidRPr="00722704">
        <w:t>The sponsor is asked to clarify whether there were any patients who developed renal failure at any time while on canakinumab.</w:t>
      </w:r>
    </w:p>
    <w:p w:rsidR="00E22D1F" w:rsidRPr="00722704" w:rsidRDefault="00E22D1F" w:rsidP="000D7021">
      <w:pPr>
        <w:pStyle w:val="Numberbullet0"/>
        <w:ind w:left="426" w:hanging="426"/>
      </w:pPr>
      <w:r w:rsidRPr="00722704">
        <w:t xml:space="preserve">The sponsor is asked to confirm that there were no marked differences in the rates of infection, particularly serious infection, between the various paediatric age groups, </w:t>
      </w:r>
      <w:r w:rsidR="00722704">
        <w:t>for example</w:t>
      </w:r>
      <w:r w:rsidRPr="00722704">
        <w:t xml:space="preserve"> between younger and older children.</w:t>
      </w:r>
    </w:p>
    <w:p w:rsidR="00E22D1F" w:rsidRPr="00722704" w:rsidRDefault="00E22D1F" w:rsidP="000D7021">
      <w:pPr>
        <w:pStyle w:val="Numberbullet0"/>
        <w:ind w:left="426" w:hanging="426"/>
      </w:pPr>
      <w:r w:rsidRPr="00722704">
        <w:t>The sponsor is requested to provide all possible details about the patient in the placebo arm who developed macrophage activation syndrome and who had a history of exposure to canakinumab.</w:t>
      </w:r>
      <w:r w:rsidR="00404BA5" w:rsidRPr="00722704">
        <w:t xml:space="preserve"> </w:t>
      </w:r>
      <w:r w:rsidRPr="00722704">
        <w:t>How long before this patient developed MAS was he/she exposed to canakinumab and for how long?</w:t>
      </w:r>
      <w:r w:rsidR="00404BA5" w:rsidRPr="00722704">
        <w:t xml:space="preserve"> </w:t>
      </w:r>
      <w:r w:rsidRPr="00722704">
        <w:t>How long was this patient in the placebo arm before developing MAS?</w:t>
      </w:r>
      <w:r w:rsidR="00404BA5" w:rsidRPr="00722704">
        <w:t xml:space="preserve"> </w:t>
      </w:r>
      <w:r w:rsidRPr="00722704">
        <w:t>The sponsor is also requested to provide the most up-to-date summary of the incidence/frequency of cases of MAS in the sJIA safety database, in the CAPS database and in the entire canakinumab safety database (</w:t>
      </w:r>
      <w:r w:rsidR="00722704">
        <w:t>that is,</w:t>
      </w:r>
      <w:r w:rsidRPr="00722704">
        <w:t xml:space="preserve"> covering all uses of the drug).</w:t>
      </w:r>
      <w:r w:rsidR="00404BA5" w:rsidRPr="00722704">
        <w:t xml:space="preserve"> </w:t>
      </w:r>
      <w:r w:rsidRPr="00722704">
        <w:t>What assurances can the sponsor provide that canakinumab is not causally related to the development of MAS?</w:t>
      </w:r>
    </w:p>
    <w:p w:rsidR="00E22D1F" w:rsidRPr="00722704" w:rsidRDefault="00E22D1F" w:rsidP="000D7021">
      <w:pPr>
        <w:pStyle w:val="Numberbullet0"/>
        <w:ind w:left="426" w:hanging="426"/>
      </w:pPr>
      <w:r w:rsidRPr="00722704">
        <w:t xml:space="preserve">The sponsor is requested to clarify to what degree the data evaluated for the indication of sJIA accords with the principle </w:t>
      </w:r>
      <w:r w:rsidRPr="00722704">
        <w:rPr>
          <w:rFonts w:eastAsiaTheme="minorHAnsi"/>
        </w:rPr>
        <w:t>that the total clinical experience must generally include data on a large and representative group of patients (</w:t>
      </w:r>
      <w:r w:rsidR="00722704">
        <w:rPr>
          <w:rFonts w:eastAsiaTheme="minorHAnsi"/>
        </w:rPr>
        <w:t>for example</w:t>
      </w:r>
      <w:r w:rsidRPr="00722704">
        <w:rPr>
          <w:rFonts w:eastAsiaTheme="minorHAnsi"/>
        </w:rPr>
        <w:t xml:space="preserve"> 100) exposed to the substance for at least 12 months.</w:t>
      </w:r>
    </w:p>
    <w:p w:rsidR="00E22D1F" w:rsidRPr="00722704" w:rsidRDefault="00E22D1F" w:rsidP="000D7021">
      <w:pPr>
        <w:pStyle w:val="Numberbullet0"/>
        <w:ind w:left="426" w:hanging="426"/>
      </w:pPr>
      <w:r w:rsidRPr="00722704">
        <w:t>The sponsor is requested to identify the precise versions of the EU</w:t>
      </w:r>
      <w:r w:rsidR="00722704">
        <w:t>-</w:t>
      </w:r>
      <w:r w:rsidRPr="00722704">
        <w:t>RMP and ASA to be included in the relevant condition of registration.</w:t>
      </w:r>
      <w:r w:rsidR="00404BA5" w:rsidRPr="00722704">
        <w:t xml:space="preserve"> </w:t>
      </w:r>
      <w:r w:rsidRPr="00722704">
        <w:t xml:space="preserve">The RMP evaluator has indicated that the EU-RMP and the ASA both need to be revised and updated and the </w:t>
      </w:r>
      <w:r w:rsidR="00722704">
        <w:t>D</w:t>
      </w:r>
      <w:r w:rsidRPr="00722704">
        <w:t>elegate seeks clarification from the sponsor as to the precise amendments required.</w:t>
      </w:r>
    </w:p>
    <w:p w:rsidR="00E22D1F" w:rsidRPr="00722704" w:rsidRDefault="00E22D1F" w:rsidP="000D7021">
      <w:pPr>
        <w:pStyle w:val="Numberbullet0"/>
        <w:ind w:left="426" w:hanging="426"/>
      </w:pPr>
      <w:r w:rsidRPr="00722704">
        <w:t>If the sponsor wishes to make a comment about ACSOM’s concern about the dosing instructions for the CAPS indication, then the sponsor may do so.</w:t>
      </w:r>
      <w:r w:rsidR="00404BA5" w:rsidRPr="00722704">
        <w:t xml:space="preserve"> </w:t>
      </w:r>
      <w:r w:rsidRPr="00722704">
        <w:t xml:space="preserve">However, the </w:t>
      </w:r>
      <w:r w:rsidR="00722704">
        <w:t>D</w:t>
      </w:r>
      <w:r w:rsidRPr="00722704">
        <w:t>elegate sees it as more appropriate for the sponsor to commence discussions w</w:t>
      </w:r>
      <w:r w:rsidR="00722704">
        <w:t xml:space="preserve">ith </w:t>
      </w:r>
      <w:r w:rsidR="00722704">
        <w:lastRenderedPageBreak/>
        <w:t xml:space="preserve">the relevant TGA clinical unit </w:t>
      </w:r>
      <w:r w:rsidRPr="00722704">
        <w:t xml:space="preserve">and so the </w:t>
      </w:r>
      <w:r w:rsidR="00722704">
        <w:t>D</w:t>
      </w:r>
      <w:r w:rsidRPr="00722704">
        <w:t>elegate will devise an appropriately worded condition of registration.</w:t>
      </w:r>
    </w:p>
    <w:p w:rsidR="00E22D1F" w:rsidRPr="00722704" w:rsidRDefault="00E22D1F" w:rsidP="000D7021">
      <w:pPr>
        <w:pStyle w:val="Numberbullet0"/>
        <w:ind w:left="426" w:hanging="426"/>
      </w:pPr>
      <w:r w:rsidRPr="00722704">
        <w:t xml:space="preserve">The sponsor is requested to respond to the concerns of the RMP evaluator about firstly the provision of a copy of the updated Australian educational materials to the TGA and secondly about the inclusion of a statement in those educational materials as to how Australian patients may join the </w:t>
      </w:r>
      <w:r w:rsidR="00722704" w:rsidRPr="00722704">
        <w:t xml:space="preserve">Ilaris </w:t>
      </w:r>
      <w:r w:rsidRPr="00722704">
        <w:t>registry study.</w:t>
      </w:r>
      <w:r w:rsidR="00404BA5" w:rsidRPr="00722704">
        <w:t xml:space="preserve"> </w:t>
      </w:r>
      <w:r w:rsidRPr="00722704">
        <w:t>The RMP evaluator also expressed concern that the Australian educational materials should be available for review by the TGA prior to the supply of canakinumab in Australia.</w:t>
      </w:r>
      <w:r w:rsidR="00404BA5" w:rsidRPr="00722704">
        <w:t xml:space="preserve"> </w:t>
      </w:r>
      <w:r w:rsidRPr="00722704">
        <w:t>The sponsor is</w:t>
      </w:r>
      <w:r w:rsidR="00A700A4">
        <w:t xml:space="preserve"> to be</w:t>
      </w:r>
      <w:r w:rsidRPr="00722704">
        <w:t xml:space="preserve"> requested to explain whether this is feasible and if not, why not?</w:t>
      </w:r>
    </w:p>
    <w:p w:rsidR="00E22D1F" w:rsidRPr="000C46D6" w:rsidRDefault="00E22D1F" w:rsidP="000D7021">
      <w:pPr>
        <w:pStyle w:val="Numberbullet0"/>
        <w:ind w:left="426" w:hanging="426"/>
      </w:pPr>
      <w:r w:rsidRPr="000C46D6">
        <w:t xml:space="preserve">The sponsor is </w:t>
      </w:r>
      <w:r w:rsidR="00C065A3">
        <w:t xml:space="preserve">to be </w:t>
      </w:r>
      <w:r w:rsidRPr="000C46D6">
        <w:t xml:space="preserve">requested to supply the details of all outstanding clinical studies </w:t>
      </w:r>
      <w:r w:rsidR="00722704" w:rsidRPr="000C46D6">
        <w:t>and</w:t>
      </w:r>
      <w:r w:rsidRPr="000C46D6">
        <w:t>/or reports, including projected clinical studies.</w:t>
      </w:r>
      <w:r w:rsidR="00404BA5" w:rsidRPr="000C46D6">
        <w:t xml:space="preserve"> </w:t>
      </w:r>
      <w:r w:rsidRPr="000C46D6">
        <w:t xml:space="preserve">See the proposed condition of registration </w:t>
      </w:r>
      <w:r w:rsidR="000C46D6" w:rsidRPr="000C46D6">
        <w:t>number 2</w:t>
      </w:r>
      <w:r w:rsidRPr="000C46D6">
        <w:t>.</w:t>
      </w:r>
    </w:p>
    <w:p w:rsidR="00D23139" w:rsidRDefault="00547E46" w:rsidP="00F53DC5">
      <w:pPr>
        <w:pStyle w:val="Heading4"/>
      </w:pPr>
      <w:r>
        <w:t>Response from s</w:t>
      </w:r>
      <w:r w:rsidR="00D23139" w:rsidRPr="00D23139">
        <w:t>ponso</w:t>
      </w:r>
      <w:r w:rsidR="000F317F">
        <w:t>r</w:t>
      </w:r>
    </w:p>
    <w:p w:rsidR="00B81244" w:rsidRDefault="00B81244" w:rsidP="00F53DC5">
      <w:r>
        <w:t>Novartis Pharmaceuticals Australia Pty Limited acknowledges receipt of the Delegate's</w:t>
      </w:r>
      <w:r w:rsidR="00722704">
        <w:t xml:space="preserve"> </w:t>
      </w:r>
      <w:r>
        <w:t xml:space="preserve">Overview for the above mentioned application to extend the </w:t>
      </w:r>
      <w:r w:rsidR="00547E46">
        <w:t>i</w:t>
      </w:r>
      <w:r>
        <w:t xml:space="preserve">ndications for </w:t>
      </w:r>
      <w:r w:rsidR="00547E46">
        <w:t xml:space="preserve">Ilaris </w:t>
      </w:r>
      <w:r>
        <w:t>canakinumab 150mg powder for injection as follows (new text is underlined below):</w:t>
      </w:r>
    </w:p>
    <w:p w:rsidR="00B81244" w:rsidRPr="00F53DC5" w:rsidRDefault="00722704" w:rsidP="00722704">
      <w:pPr>
        <w:ind w:left="720"/>
        <w:rPr>
          <w:i/>
          <w:iCs/>
        </w:rPr>
      </w:pPr>
      <w:r w:rsidRPr="00F53DC5">
        <w:rPr>
          <w:i/>
        </w:rPr>
        <w:t>Ilaris</w:t>
      </w:r>
      <w:r w:rsidR="00B81244" w:rsidRPr="00F53DC5">
        <w:rPr>
          <w:i/>
          <w:iCs/>
        </w:rPr>
        <w:t xml:space="preserve"> is indicated for the treatment of Cryopyrin-Associated Periodic Syndromes</w:t>
      </w:r>
    </w:p>
    <w:p w:rsidR="00B81244" w:rsidRPr="00F53DC5" w:rsidRDefault="00B81244" w:rsidP="00722704">
      <w:pPr>
        <w:ind w:left="720"/>
        <w:rPr>
          <w:i/>
          <w:iCs/>
        </w:rPr>
      </w:pPr>
      <w:r w:rsidRPr="00F53DC5">
        <w:rPr>
          <w:i/>
          <w:iCs/>
        </w:rPr>
        <w:t>(CAPS), in adults and children 2 years and older including:</w:t>
      </w:r>
    </w:p>
    <w:p w:rsidR="00B81244" w:rsidRPr="00F53DC5" w:rsidRDefault="00B81244" w:rsidP="000F317F">
      <w:pPr>
        <w:pStyle w:val="ListBullet"/>
        <w:ind w:left="1276"/>
      </w:pPr>
      <w:r w:rsidRPr="00F53DC5">
        <w:t>Familial Cold Autoinflammatory Syndrome (FCAS)</w:t>
      </w:r>
      <w:r w:rsidR="00404BA5" w:rsidRPr="00F53DC5">
        <w:t>/</w:t>
      </w:r>
      <w:r w:rsidRPr="00F53DC5">
        <w:t>Familial Cold Urticaria (FCU)</w:t>
      </w:r>
    </w:p>
    <w:p w:rsidR="00B81244" w:rsidRPr="00F53DC5" w:rsidRDefault="00B81244" w:rsidP="000F317F">
      <w:pPr>
        <w:pStyle w:val="ListBullet"/>
        <w:ind w:left="1276"/>
      </w:pPr>
      <w:r w:rsidRPr="00F53DC5">
        <w:t>Muckle-Wells Syndrome (MWS)</w:t>
      </w:r>
    </w:p>
    <w:p w:rsidR="00B81244" w:rsidRPr="00F53DC5" w:rsidRDefault="00B81244" w:rsidP="000F317F">
      <w:pPr>
        <w:pStyle w:val="ListBullet"/>
        <w:ind w:left="1276"/>
      </w:pPr>
      <w:r w:rsidRPr="00F53DC5">
        <w:t>Neonatal-Onset Multisystem Inflammatory Disease (NOMID)</w:t>
      </w:r>
      <w:r w:rsidR="00404BA5" w:rsidRPr="00F53DC5">
        <w:t>/</w:t>
      </w:r>
      <w:r w:rsidRPr="00F53DC5">
        <w:t>Chronic Infantile</w:t>
      </w:r>
    </w:p>
    <w:p w:rsidR="00B81244" w:rsidRPr="00F53DC5" w:rsidRDefault="00B81244" w:rsidP="000F317F">
      <w:pPr>
        <w:pStyle w:val="ListBullet"/>
        <w:ind w:left="1276"/>
      </w:pPr>
      <w:r w:rsidRPr="00F53DC5">
        <w:t>Neurological, Cutaneous, Articular Syndrome (CINCA)</w:t>
      </w:r>
    </w:p>
    <w:p w:rsidR="00B81244" w:rsidRPr="00F53DC5" w:rsidRDefault="00722704" w:rsidP="00722704">
      <w:pPr>
        <w:ind w:left="720"/>
        <w:rPr>
          <w:b/>
          <w:i/>
          <w:iCs/>
        </w:rPr>
      </w:pPr>
      <w:r w:rsidRPr="00F53DC5">
        <w:rPr>
          <w:b/>
          <w:i/>
          <w:iCs/>
        </w:rPr>
        <w:t xml:space="preserve">Ilaris </w:t>
      </w:r>
      <w:r w:rsidR="00B81244" w:rsidRPr="00F53DC5">
        <w:rPr>
          <w:b/>
          <w:i/>
          <w:iCs/>
        </w:rPr>
        <w:t>is indicated for the treatment of active Systemic Juvenile Idiopathic Arthritis</w:t>
      </w:r>
    </w:p>
    <w:p w:rsidR="00B81244" w:rsidRPr="00F53DC5" w:rsidRDefault="00B81244" w:rsidP="00722704">
      <w:pPr>
        <w:ind w:left="720"/>
        <w:rPr>
          <w:b/>
          <w:i/>
          <w:iCs/>
        </w:rPr>
      </w:pPr>
      <w:r w:rsidRPr="00F53DC5">
        <w:rPr>
          <w:b/>
          <w:i/>
          <w:iCs/>
        </w:rPr>
        <w:t>(sJIA) in patients aged 2 years and older.</w:t>
      </w:r>
    </w:p>
    <w:p w:rsidR="00B81244" w:rsidRDefault="00722704" w:rsidP="00F53DC5">
      <w:r>
        <w:t>The sponsor</w:t>
      </w:r>
      <w:r w:rsidR="00B81244">
        <w:t xml:space="preserve"> note</w:t>
      </w:r>
      <w:r>
        <w:t>s</w:t>
      </w:r>
      <w:r w:rsidR="00B81244">
        <w:t xml:space="preserve"> that the Delegate agrees with the clinical evaluator that the benefit/risk balance of</w:t>
      </w:r>
      <w:r>
        <w:t xml:space="preserve"> </w:t>
      </w:r>
      <w:r w:rsidR="00B81244">
        <w:t xml:space="preserve">treating sJIA with </w:t>
      </w:r>
      <w:r w:rsidR="00547E46">
        <w:t>Ilaris</w:t>
      </w:r>
      <w:r w:rsidR="00B81244">
        <w:t xml:space="preserve"> favours the benefits. Overall, the Delegate agrees with the </w:t>
      </w:r>
      <w:r w:rsidR="00547E46">
        <w:t>c</w:t>
      </w:r>
      <w:r w:rsidR="00B81244">
        <w:t>linical</w:t>
      </w:r>
      <w:r>
        <w:t xml:space="preserve"> </w:t>
      </w:r>
      <w:r w:rsidR="00547E46">
        <w:t>e</w:t>
      </w:r>
      <w:r w:rsidR="00B81244">
        <w:t>valuat</w:t>
      </w:r>
      <w:r w:rsidR="00547E46">
        <w:t>or</w:t>
      </w:r>
      <w:r w:rsidR="00B81244">
        <w:t xml:space="preserve"> that balance of benefit appear to outweigh the risks.</w:t>
      </w:r>
    </w:p>
    <w:p w:rsidR="00B81244" w:rsidRDefault="00B81244" w:rsidP="00F53DC5">
      <w:r>
        <w:t>However, the Delegate has expressed certain concerns, particularly around the integrity of the</w:t>
      </w:r>
      <w:r w:rsidR="00722704">
        <w:t xml:space="preserve"> </w:t>
      </w:r>
      <w:r>
        <w:t>primary analysis for the principal pivotal study, G2301. The Delegate has sought the advice of</w:t>
      </w:r>
      <w:r w:rsidR="00722704">
        <w:t xml:space="preserve"> </w:t>
      </w:r>
      <w:r>
        <w:t xml:space="preserve">the </w:t>
      </w:r>
      <w:r w:rsidR="00547E46">
        <w:t>ACPM</w:t>
      </w:r>
      <w:r>
        <w:t xml:space="preserve"> on this matter, as well as the proposed wording of the indications. In addition, the Delegate has asked </w:t>
      </w:r>
      <w:r w:rsidR="00547E46">
        <w:t>the sponsor</w:t>
      </w:r>
      <w:r>
        <w:t xml:space="preserve"> a</w:t>
      </w:r>
      <w:r w:rsidR="00722704">
        <w:t xml:space="preserve"> </w:t>
      </w:r>
      <w:r>
        <w:t xml:space="preserve">series of specific questions, which </w:t>
      </w:r>
      <w:r w:rsidR="00547E46">
        <w:t>are responded to</w:t>
      </w:r>
      <w:r>
        <w:t xml:space="preserve"> in the second part of </w:t>
      </w:r>
      <w:r w:rsidR="00547E46">
        <w:t>this section</w:t>
      </w:r>
      <w:r>
        <w:t>. Finally,</w:t>
      </w:r>
      <w:r w:rsidR="00722704">
        <w:t xml:space="preserve"> </w:t>
      </w:r>
      <w:r w:rsidR="00547E46">
        <w:t>the sponsor</w:t>
      </w:r>
      <w:r>
        <w:t xml:space="preserve"> ha</w:t>
      </w:r>
      <w:r w:rsidR="00547E46">
        <w:t>s</w:t>
      </w:r>
      <w:r>
        <w:t xml:space="preserve"> briefly commented on the proposed conditions of registration and the RMP.</w:t>
      </w:r>
    </w:p>
    <w:p w:rsidR="00B81244" w:rsidRDefault="00B81244" w:rsidP="00F53DC5">
      <w:pPr>
        <w:pStyle w:val="Heading5"/>
      </w:pPr>
      <w:r>
        <w:t>Validity of the results of the primary analysis</w:t>
      </w:r>
    </w:p>
    <w:p w:rsidR="00B81244" w:rsidRDefault="00B81244" w:rsidP="00F53DC5">
      <w:r>
        <w:t>Although its underlying cause is unclear, sJIA is widely seen as an auto-inflammatory</w:t>
      </w:r>
      <w:r w:rsidR="00722704">
        <w:t xml:space="preserve"> </w:t>
      </w:r>
      <w:r>
        <w:t>condition driven by innate pro-inflammatory cytokines, including interleukins 1 and 6 (IL-1</w:t>
      </w:r>
      <w:r w:rsidR="00722704">
        <w:t xml:space="preserve"> </w:t>
      </w:r>
      <w:r>
        <w:t>and IL-6). The IL-1 protein drives systemic inflammation and can lead to destruction of</w:t>
      </w:r>
      <w:r w:rsidR="00722704">
        <w:t xml:space="preserve"> </w:t>
      </w:r>
      <w:r>
        <w:t>cartilage and bone, therefore an IL-1</w:t>
      </w:r>
      <w:r w:rsidR="00547E46">
        <w:t>β</w:t>
      </w:r>
      <w:r>
        <w:t xml:space="preserve"> inhibitor such as canakinumab represents targeted</w:t>
      </w:r>
      <w:r w:rsidR="00722704">
        <w:t xml:space="preserve"> </w:t>
      </w:r>
      <w:r>
        <w:t>therapy against the inflammatory processes in sJIA.</w:t>
      </w:r>
    </w:p>
    <w:p w:rsidR="00B81244" w:rsidRDefault="00B81244" w:rsidP="000F317F">
      <w:r>
        <w:t>Novartis</w:t>
      </w:r>
      <w:r w:rsidR="00185884">
        <w:t>’</w:t>
      </w:r>
      <w:r>
        <w:t xml:space="preserve"> pivotal studies for sJIA consist of: G2305 (blinded) where the efficacy of a</w:t>
      </w:r>
      <w:r w:rsidR="00722704">
        <w:t xml:space="preserve"> </w:t>
      </w:r>
      <w:r>
        <w:t>single</w:t>
      </w:r>
      <w:r w:rsidR="00722704">
        <w:t xml:space="preserve"> </w:t>
      </w:r>
      <w:r>
        <w:t>dose of 4</w:t>
      </w:r>
      <w:r w:rsidR="00404BA5">
        <w:t xml:space="preserve"> mg/kg</w:t>
      </w:r>
      <w:r>
        <w:t xml:space="preserve"> canakinumab was compared to placebo in helping patients improve ACR</w:t>
      </w:r>
      <w:r w:rsidR="00722704">
        <w:t xml:space="preserve"> </w:t>
      </w:r>
      <w:r>
        <w:t>response, systemic and other health assessments; G2301 Part I (open-label) to assess if</w:t>
      </w:r>
      <w:r w:rsidR="00722704">
        <w:t xml:space="preserve"> </w:t>
      </w:r>
      <w:r>
        <w:lastRenderedPageBreak/>
        <w:t>canakinumab use allows tapering of steroids while retaining at least ACR30 response; G2301</w:t>
      </w:r>
      <w:r w:rsidR="00722704">
        <w:t xml:space="preserve"> </w:t>
      </w:r>
      <w:r>
        <w:t>Part II (blinded) to demonstrate that canakinumab can prolong the time between occurrence of</w:t>
      </w:r>
      <w:r w:rsidR="00722704">
        <w:t xml:space="preserve"> </w:t>
      </w:r>
      <w:r>
        <w:t>flares. An extension study, G2301E1, assesses the long-term safety and efficacy of</w:t>
      </w:r>
      <w:r w:rsidR="00722704">
        <w:t xml:space="preserve"> </w:t>
      </w:r>
      <w:r>
        <w:t>canakinumab in sJIA disease control via maintenance of at least ACR30 response.</w:t>
      </w:r>
    </w:p>
    <w:p w:rsidR="00B81244" w:rsidRDefault="00B81244" w:rsidP="00F53DC5">
      <w:r>
        <w:t>The Delegate</w:t>
      </w:r>
      <w:r w:rsidR="0088179E">
        <w:t>’</w:t>
      </w:r>
      <w:r>
        <w:t>s concerns on the effect of enrolment shortfalls on G2305 study power, the</w:t>
      </w:r>
      <w:r w:rsidR="00722704">
        <w:t xml:space="preserve"> </w:t>
      </w:r>
      <w:r>
        <w:t>precise definition of flares and impact of discontinuations due to flares in G2301 Part II, and</w:t>
      </w:r>
      <w:r w:rsidR="00722704">
        <w:t xml:space="preserve"> </w:t>
      </w:r>
      <w:r>
        <w:t>the total clinical experience from a limited number of patients over a limited period are</w:t>
      </w:r>
      <w:r w:rsidR="00722704">
        <w:t xml:space="preserve"> </w:t>
      </w:r>
      <w:r>
        <w:t>addressed in greater detail in the second part of this response</w:t>
      </w:r>
      <w:r w:rsidR="00722704">
        <w:t>.</w:t>
      </w:r>
      <w:r>
        <w:t xml:space="preserve"> In summary:</w:t>
      </w:r>
    </w:p>
    <w:p w:rsidR="00B81244" w:rsidRPr="00547E46" w:rsidRDefault="00B81244" w:rsidP="00F53DC5">
      <w:pPr>
        <w:pStyle w:val="ListBullet"/>
      </w:pPr>
      <w:r w:rsidRPr="00547E46">
        <w:t>The Data Monitoring Committee concluded that the primary endpoint had been</w:t>
      </w:r>
      <w:r w:rsidR="00722704" w:rsidRPr="00547E46">
        <w:t xml:space="preserve"> </w:t>
      </w:r>
      <w:r w:rsidRPr="00547E46">
        <w:t xml:space="preserve">reached in </w:t>
      </w:r>
      <w:r w:rsidR="00547E46">
        <w:t>S</w:t>
      </w:r>
      <w:r w:rsidRPr="00547E46">
        <w:t>tudy G2305 with high statistical significance, advised that enrolling more</w:t>
      </w:r>
      <w:r w:rsidR="00722704" w:rsidRPr="00547E46">
        <w:t xml:space="preserve"> </w:t>
      </w:r>
      <w:r w:rsidRPr="00547E46">
        <w:t>patients would not substantially increase the statistical power of the efficacy analysis</w:t>
      </w:r>
      <w:r w:rsidR="00547E46">
        <w:t xml:space="preserve"> </w:t>
      </w:r>
      <w:r w:rsidRPr="00547E46">
        <w:t>and felt that it would be improper to expose additional patients to placebo.</w:t>
      </w:r>
    </w:p>
    <w:p w:rsidR="00B81244" w:rsidRPr="00547E46" w:rsidRDefault="00B81244" w:rsidP="00F53DC5">
      <w:pPr>
        <w:pStyle w:val="ListBullet"/>
      </w:pPr>
      <w:r w:rsidRPr="00547E46">
        <w:t xml:space="preserve">A </w:t>
      </w:r>
      <w:r w:rsidR="00547E46">
        <w:t>‘f</w:t>
      </w:r>
      <w:r w:rsidRPr="00547E46">
        <w:t>lare event</w:t>
      </w:r>
      <w:r w:rsidR="00547E46">
        <w:t>’</w:t>
      </w:r>
      <w:r w:rsidRPr="00547E46">
        <w:t xml:space="preserve"> in </w:t>
      </w:r>
      <w:r w:rsidR="00547E46">
        <w:t>S</w:t>
      </w:r>
      <w:r w:rsidRPr="00547E46">
        <w:t>tudy G2301 Part II was either due to a disease flare or a</w:t>
      </w:r>
      <w:r w:rsidR="00722704" w:rsidRPr="00547E46">
        <w:t xml:space="preserve"> </w:t>
      </w:r>
      <w:r w:rsidRPr="00547E46">
        <w:t>discontinuation for any reason other than inactive disease. A new sensitivity analysis</w:t>
      </w:r>
      <w:r w:rsidR="00722704" w:rsidRPr="00547E46">
        <w:t xml:space="preserve"> </w:t>
      </w:r>
      <w:r w:rsidRPr="00547E46">
        <w:t>to count patients with unsatisfactory therapeutic response as flares while censoring</w:t>
      </w:r>
      <w:r w:rsidR="00722704" w:rsidRPr="00547E46">
        <w:t xml:space="preserve"> </w:t>
      </w:r>
      <w:r w:rsidRPr="00547E46">
        <w:t>patients who discontinued for any other reason shows no significant change in</w:t>
      </w:r>
      <w:r w:rsidR="00185884" w:rsidRPr="00547E46">
        <w:t xml:space="preserve"> </w:t>
      </w:r>
      <w:r w:rsidRPr="00547E46">
        <w:t>conclusions for the primary endpoint analysis.</w:t>
      </w:r>
    </w:p>
    <w:p w:rsidR="00B81244" w:rsidRPr="00547E46" w:rsidRDefault="00B81244" w:rsidP="00F53DC5">
      <w:pPr>
        <w:pStyle w:val="ListBullet"/>
      </w:pPr>
      <w:r w:rsidRPr="00547E46">
        <w:t>Considering that the indications under investigation are for orphan diseases, the long</w:t>
      </w:r>
      <w:r w:rsidR="00722704" w:rsidRPr="00547E46">
        <w:t xml:space="preserve"> </w:t>
      </w:r>
      <w:r w:rsidRPr="00547E46">
        <w:t>term</w:t>
      </w:r>
      <w:r w:rsidR="00722704" w:rsidRPr="00547E46">
        <w:t xml:space="preserve"> </w:t>
      </w:r>
      <w:r w:rsidRPr="00547E46">
        <w:t>exposure to canakinumab still meets the TGA</w:t>
      </w:r>
      <w:r w:rsidR="00547E46">
        <w:t>’s</w:t>
      </w:r>
      <w:r w:rsidRPr="00547E46">
        <w:t xml:space="preserve"> guidelines. In sJIA, 130</w:t>
      </w:r>
      <w:r w:rsidR="00722704" w:rsidRPr="00547E46">
        <w:t xml:space="preserve"> </w:t>
      </w:r>
      <w:r w:rsidRPr="00547E46">
        <w:t>paediatric patients have been exposed to canakinumab for at least 48 weeks and 78 for</w:t>
      </w:r>
      <w:r w:rsidR="00722704" w:rsidRPr="00547E46">
        <w:t xml:space="preserve"> </w:t>
      </w:r>
      <w:r w:rsidRPr="00547E46">
        <w:t>at least 96 weeks. When CAPS patients are also included, 257 patients have used</w:t>
      </w:r>
      <w:r w:rsidR="00185884" w:rsidRPr="00547E46">
        <w:t xml:space="preserve"> </w:t>
      </w:r>
      <w:r w:rsidRPr="00547E46">
        <w:t>canakinumab for &gt;48 weeks and 135 for &gt;96 weeks. Novartis will continue to expand</w:t>
      </w:r>
      <w:r w:rsidR="00722704" w:rsidRPr="00547E46">
        <w:t xml:space="preserve"> </w:t>
      </w:r>
      <w:r w:rsidRPr="00547E46">
        <w:t xml:space="preserve">its safety database on </w:t>
      </w:r>
      <w:r w:rsidR="00547E46">
        <w:t>Ilaris</w:t>
      </w:r>
      <w:r w:rsidRPr="00547E46">
        <w:t xml:space="preserve"> as more patients are exposed to canakinumab.</w:t>
      </w:r>
    </w:p>
    <w:p w:rsidR="00B81244" w:rsidRPr="00547E46" w:rsidRDefault="00B81244" w:rsidP="00F53DC5">
      <w:r w:rsidRPr="00547E46">
        <w:t>Despite clinical study limitations inherent to orphan diseases, the overall analysis</w:t>
      </w:r>
      <w:r w:rsidR="00722704" w:rsidRPr="00547E46">
        <w:t xml:space="preserve"> </w:t>
      </w:r>
      <w:r w:rsidRPr="00547E46">
        <w:t xml:space="preserve">supports the use of </w:t>
      </w:r>
      <w:r w:rsidR="0088179E" w:rsidRPr="00547E46">
        <w:t xml:space="preserve">Ilaris </w:t>
      </w:r>
      <w:r w:rsidRPr="00547E46">
        <w:t>in children to achieve disease remission, relief of symptoms,</w:t>
      </w:r>
      <w:r w:rsidR="00722704" w:rsidRPr="00547E46">
        <w:t xml:space="preserve"> </w:t>
      </w:r>
      <w:r w:rsidRPr="00547E46">
        <w:t>reduced reliance on steroids and reduction of time to relapse.</w:t>
      </w:r>
    </w:p>
    <w:p w:rsidR="00B81244" w:rsidRDefault="000F317F" w:rsidP="00F53DC5">
      <w:pPr>
        <w:pStyle w:val="Heading5"/>
        <w:rPr>
          <w:rFonts w:eastAsia="TimesNewRomanPSMT"/>
        </w:rPr>
      </w:pPr>
      <w:r>
        <w:rPr>
          <w:rFonts w:eastAsia="TimesNewRomanPSMT"/>
        </w:rPr>
        <w:t>Proposed wording of the i</w:t>
      </w:r>
      <w:r w:rsidR="00B81244">
        <w:rPr>
          <w:rFonts w:eastAsia="TimesNewRomanPSMT"/>
        </w:rPr>
        <w:t>ndications</w:t>
      </w:r>
    </w:p>
    <w:p w:rsidR="00B81244" w:rsidRDefault="00B81244" w:rsidP="00F53DC5">
      <w:r>
        <w:t>Novartis has noted the comments of the Delegate with regard to the wording of the indication.</w:t>
      </w:r>
    </w:p>
    <w:p w:rsidR="00B81244" w:rsidRDefault="00547E46" w:rsidP="00F53DC5">
      <w:r>
        <w:t>The sponsor</w:t>
      </w:r>
      <w:r w:rsidR="00B81244">
        <w:t xml:space="preserve"> agree</w:t>
      </w:r>
      <w:r>
        <w:t>s</w:t>
      </w:r>
      <w:r w:rsidR="00B81244">
        <w:t xml:space="preserve"> that it would be appropriate in this instance that the indication should be worded as</w:t>
      </w:r>
      <w:r w:rsidR="00722704">
        <w:t xml:space="preserve"> </w:t>
      </w:r>
      <w:r w:rsidR="00B81244">
        <w:t>simply as possible, rather than opt for more explicit wording approved in EU, for the same</w:t>
      </w:r>
      <w:r w:rsidR="00722704">
        <w:t xml:space="preserve"> </w:t>
      </w:r>
      <w:r w:rsidR="00B81244">
        <w:t>reasons cited by the Delegate.</w:t>
      </w:r>
    </w:p>
    <w:p w:rsidR="00B81244" w:rsidRDefault="00B81244" w:rsidP="00F53DC5">
      <w:r>
        <w:t>This is consistent with recommendations of the Australian clinical guideline for the diagnosis</w:t>
      </w:r>
      <w:r w:rsidR="00722704">
        <w:t xml:space="preserve"> </w:t>
      </w:r>
      <w:r>
        <w:t>and management of juvenile idiopathic arthritis</w:t>
      </w:r>
      <w:r>
        <w:rPr>
          <w:sz w:val="16"/>
          <w:szCs w:val="16"/>
        </w:rPr>
        <w:t>1</w:t>
      </w:r>
      <w:r>
        <w:t>. It is important that children presenting with</w:t>
      </w:r>
      <w:r w:rsidR="00722704">
        <w:t xml:space="preserve"> </w:t>
      </w:r>
      <w:r>
        <w:t>sJIA are diagnosed early and referred promptly to a paediatric rheumatologist so that</w:t>
      </w:r>
      <w:r w:rsidR="00722704">
        <w:t xml:space="preserve"> </w:t>
      </w:r>
      <w:r>
        <w:t>aggressive intervention with appropriate therapy can reduce long-term join damage and</w:t>
      </w:r>
      <w:r w:rsidR="00722704">
        <w:t xml:space="preserve"> </w:t>
      </w:r>
      <w:r>
        <w:t>disability. However, the differential diagnosis of sJIA in general practice can be difficult and</w:t>
      </w:r>
      <w:r w:rsidR="00722704">
        <w:t xml:space="preserve"> </w:t>
      </w:r>
      <w:r>
        <w:t>the time it takes for children with the condition to be seen by a specialist may vary.</w:t>
      </w:r>
    </w:p>
    <w:p w:rsidR="00B81244" w:rsidRDefault="00B81244" w:rsidP="00F53DC5">
      <w:r>
        <w:t>NSAIDs would generally be initiated in general practice once a diagnosis is made. However,</w:t>
      </w:r>
      <w:r w:rsidR="00722704">
        <w:t xml:space="preserve"> </w:t>
      </w:r>
      <w:r>
        <w:t>NSAIDs may provide temporary, symptomatic relief; while corticosteroids may reduce</w:t>
      </w:r>
      <w:r w:rsidR="00722704">
        <w:t xml:space="preserve"> </w:t>
      </w:r>
      <w:r>
        <w:t>inflammation but do</w:t>
      </w:r>
      <w:r w:rsidR="00547E46">
        <w:t>es</w:t>
      </w:r>
      <w:r>
        <w:t xml:space="preserve"> not prevent long-term joint destruction and are not recommended for</w:t>
      </w:r>
      <w:r w:rsidR="00722704">
        <w:t xml:space="preserve"> </w:t>
      </w:r>
      <w:r>
        <w:t>long-term use, particularly in children, due to its significant adverse effects. Methotrexate and</w:t>
      </w:r>
      <w:r w:rsidR="00722704">
        <w:t xml:space="preserve"> </w:t>
      </w:r>
      <w:r>
        <w:t>new biologicals such as anti-TNF-alpha, IL-1-beta or IL-6 inhibitors may not always be as</w:t>
      </w:r>
      <w:r w:rsidR="00722704">
        <w:t xml:space="preserve"> </w:t>
      </w:r>
      <w:r>
        <w:t xml:space="preserve">effective in sJIA compared to other forms of JIA, may </w:t>
      </w:r>
      <w:r>
        <w:lastRenderedPageBreak/>
        <w:t xml:space="preserve">become less effective </w:t>
      </w:r>
      <w:r w:rsidR="00547E46">
        <w:t xml:space="preserve">or </w:t>
      </w:r>
      <w:r>
        <w:t>lose effectiv</w:t>
      </w:r>
      <w:r w:rsidR="00547E46">
        <w:t>eness</w:t>
      </w:r>
      <w:r w:rsidR="0088179E">
        <w:rPr>
          <w:rStyle w:val="FootnoteReference"/>
        </w:rPr>
        <w:footnoteReference w:id="21"/>
      </w:r>
      <w:r>
        <w:t>over time or may have adverse effects that result in discontinuation. According to the</w:t>
      </w:r>
      <w:r w:rsidR="00722704">
        <w:t xml:space="preserve"> </w:t>
      </w:r>
      <w:r>
        <w:t>Australian guidelines, the use of these agents is typically seen as the role of the specialist</w:t>
      </w:r>
      <w:r w:rsidR="00722704">
        <w:t xml:space="preserve"> </w:t>
      </w:r>
      <w:r>
        <w:t>paediatric rheumatologist. Canakinumab would represent an important new treatment option</w:t>
      </w:r>
      <w:r w:rsidR="00722704">
        <w:t xml:space="preserve"> </w:t>
      </w:r>
      <w:r>
        <w:t xml:space="preserve">for the management of sJIA. </w:t>
      </w:r>
      <w:r w:rsidR="00713E4D">
        <w:t>The sponsor</w:t>
      </w:r>
      <w:r>
        <w:t xml:space="preserve"> believe</w:t>
      </w:r>
      <w:r w:rsidR="00C065A3">
        <w:t>s</w:t>
      </w:r>
      <w:r>
        <w:t xml:space="preserve"> it is important that the decision to treat with</w:t>
      </w:r>
      <w:r w:rsidR="00722704">
        <w:t xml:space="preserve"> </w:t>
      </w:r>
      <w:r>
        <w:t>canakinumab should be left to the treating physician.</w:t>
      </w:r>
    </w:p>
    <w:p w:rsidR="00B81244" w:rsidRPr="00713E4D" w:rsidRDefault="00B81244" w:rsidP="00F53DC5">
      <w:r w:rsidRPr="00713E4D">
        <w:t>It is important that the Indications accurately reflect the intended benefit of the drug,</w:t>
      </w:r>
      <w:r w:rsidR="0088179E" w:rsidRPr="00713E4D">
        <w:t xml:space="preserve"> </w:t>
      </w:r>
      <w:r w:rsidRPr="00713E4D">
        <w:t>and avoid use of less effective treatments if the disease is correctly diagnosed earlier.</w:t>
      </w:r>
    </w:p>
    <w:p w:rsidR="00B81244" w:rsidRPr="0088179E" w:rsidRDefault="00B81244" w:rsidP="00F53DC5">
      <w:pPr>
        <w:pStyle w:val="Heading5"/>
        <w:rPr>
          <w:rFonts w:eastAsia="TimesNewRomanPSMT"/>
        </w:rPr>
      </w:pPr>
      <w:r w:rsidRPr="0088179E">
        <w:rPr>
          <w:rFonts w:eastAsia="TimesNewRomanPSMT"/>
        </w:rPr>
        <w:t xml:space="preserve">Response to the </w:t>
      </w:r>
      <w:r w:rsidR="00F53DC5">
        <w:rPr>
          <w:rFonts w:eastAsia="TimesNewRomanPSMT"/>
        </w:rPr>
        <w:t>d</w:t>
      </w:r>
      <w:r w:rsidRPr="0088179E">
        <w:rPr>
          <w:rFonts w:eastAsia="TimesNewRomanPSMT"/>
        </w:rPr>
        <w:t xml:space="preserve">elegate’s </w:t>
      </w:r>
      <w:r w:rsidR="00F53DC5">
        <w:rPr>
          <w:rFonts w:eastAsia="TimesNewRomanPSMT"/>
        </w:rPr>
        <w:t>q</w:t>
      </w:r>
      <w:r w:rsidRPr="0088179E">
        <w:rPr>
          <w:rFonts w:eastAsia="TimesNewRomanPSMT"/>
        </w:rPr>
        <w:t xml:space="preserve">uestions and </w:t>
      </w:r>
      <w:r w:rsidR="00F53DC5">
        <w:rPr>
          <w:rFonts w:eastAsia="TimesNewRomanPSMT"/>
        </w:rPr>
        <w:t>r</w:t>
      </w:r>
      <w:r w:rsidRPr="0088179E">
        <w:rPr>
          <w:rFonts w:eastAsia="TimesNewRomanPSMT"/>
        </w:rPr>
        <w:t xml:space="preserve">equest for </w:t>
      </w:r>
      <w:r w:rsidR="00F53DC5">
        <w:rPr>
          <w:rFonts w:eastAsia="TimesNewRomanPSMT"/>
        </w:rPr>
        <w:t>f</w:t>
      </w:r>
      <w:r w:rsidRPr="0088179E">
        <w:rPr>
          <w:rFonts w:eastAsia="TimesNewRomanPSMT"/>
        </w:rPr>
        <w:t xml:space="preserve">urther </w:t>
      </w:r>
      <w:r w:rsidR="00F53DC5">
        <w:rPr>
          <w:rFonts w:eastAsia="TimesNewRomanPSMT"/>
        </w:rPr>
        <w:t>i</w:t>
      </w:r>
      <w:r w:rsidRPr="0088179E">
        <w:rPr>
          <w:rFonts w:eastAsia="TimesNewRomanPSMT"/>
        </w:rPr>
        <w:t>nformation</w:t>
      </w:r>
    </w:p>
    <w:p w:rsidR="00B81244" w:rsidRDefault="00B81244" w:rsidP="00F53DC5">
      <w:r>
        <w:t>Furthermore, Novartis is pleased to clarify the following matters which have been</w:t>
      </w:r>
      <w:r w:rsidR="00185884">
        <w:t xml:space="preserve"> </w:t>
      </w:r>
      <w:r>
        <w:t>summarised by the Delegate.</w:t>
      </w:r>
    </w:p>
    <w:p w:rsidR="00B81244" w:rsidRPr="00713E4D" w:rsidRDefault="00B81244" w:rsidP="000620D7">
      <w:pPr>
        <w:pStyle w:val="Numberbullet0"/>
        <w:numPr>
          <w:ilvl w:val="0"/>
          <w:numId w:val="17"/>
        </w:numPr>
        <w:ind w:left="426" w:hanging="426"/>
        <w:rPr>
          <w:i/>
        </w:rPr>
      </w:pPr>
      <w:r w:rsidRPr="00713E4D">
        <w:rPr>
          <w:i/>
        </w:rPr>
        <w:t>Study G2305 - explain effect of shortfall in enrolment on power of the study</w:t>
      </w:r>
    </w:p>
    <w:p w:rsidR="00B81244" w:rsidRDefault="00B81244" w:rsidP="00F53DC5">
      <w:r>
        <w:t>An interim analysis for Study G2305 was performed due to the slower than anticipated</w:t>
      </w:r>
      <w:r w:rsidR="00185884">
        <w:t xml:space="preserve"> </w:t>
      </w:r>
      <w:r>
        <w:t>recruitment in the study. A recently published double-blind placebo-controlled</w:t>
      </w:r>
      <w:r w:rsidR="00185884">
        <w:t xml:space="preserve"> </w:t>
      </w:r>
      <w:r>
        <w:t>tocilizumab sJIA study</w:t>
      </w:r>
      <w:r w:rsidR="00713E4D">
        <w:rPr>
          <w:rStyle w:val="FootnoteReference"/>
        </w:rPr>
        <w:footnoteReference w:id="22"/>
      </w:r>
      <w:r>
        <w:rPr>
          <w:sz w:val="16"/>
          <w:szCs w:val="16"/>
        </w:rPr>
        <w:t xml:space="preserve"> </w:t>
      </w:r>
      <w:r>
        <w:t>was the first to report a placebo response rate in sJIA. The</w:t>
      </w:r>
      <w:r w:rsidR="00185884">
        <w:t xml:space="preserve"> </w:t>
      </w:r>
      <w:r>
        <w:t>approximate 25% rate observed in that study was lower than the placebo response rate of</w:t>
      </w:r>
      <w:r w:rsidR="00185884">
        <w:t xml:space="preserve"> </w:t>
      </w:r>
      <w:r>
        <w:t>30% used to calculate the sample size for the Study G2305 with</w:t>
      </w:r>
      <w:r w:rsidR="00185884">
        <w:t xml:space="preserve"> </w:t>
      </w:r>
      <w:r>
        <w:t>canakinumab. The</w:t>
      </w:r>
      <w:r w:rsidR="00185884">
        <w:t xml:space="preserve"> </w:t>
      </w:r>
      <w:r>
        <w:t xml:space="preserve">independent Data Monitoring Committee </w:t>
      </w:r>
      <w:r w:rsidR="00713E4D">
        <w:t xml:space="preserve">(DMC) </w:t>
      </w:r>
      <w:r>
        <w:t>for G2305 met in a closed session to review the</w:t>
      </w:r>
      <w:r w:rsidR="00185884">
        <w:t xml:space="preserve"> </w:t>
      </w:r>
      <w:r>
        <w:t>unblinded data from the interim analysis and concluded that the primary endpoint had</w:t>
      </w:r>
      <w:r w:rsidR="00185884">
        <w:t xml:space="preserve"> </w:t>
      </w:r>
      <w:r>
        <w:t>been reached with high statistical significance and determined that enrolling more patients</w:t>
      </w:r>
      <w:r w:rsidR="00185884">
        <w:t xml:space="preserve"> </w:t>
      </w:r>
      <w:r>
        <w:t>would not substantially increase the statistical power of the efficacy analysis.</w:t>
      </w:r>
    </w:p>
    <w:p w:rsidR="00B81244" w:rsidRDefault="00B81244" w:rsidP="00F53DC5">
      <w:r>
        <w:t xml:space="preserve">Additionally, </w:t>
      </w:r>
      <w:r w:rsidR="00713E4D">
        <w:t>DMC</w:t>
      </w:r>
      <w:r>
        <w:t xml:space="preserve"> felt that it would be improper to expose additional patients to placebo</w:t>
      </w:r>
      <w:r w:rsidR="00185884">
        <w:t xml:space="preserve"> </w:t>
      </w:r>
      <w:r>
        <w:t>and therefore recommended that enrolment be stopped. This is the basis for completion of</w:t>
      </w:r>
      <w:r w:rsidR="00185884">
        <w:t xml:space="preserve"> </w:t>
      </w:r>
      <w:r>
        <w:t>Study G2305 with less than the originally planned number of patients. There was</w:t>
      </w:r>
      <w:r w:rsidR="00185884">
        <w:t xml:space="preserve"> </w:t>
      </w:r>
      <w:r>
        <w:t>therefore no impact on the power of the primary variable which showed a highly</w:t>
      </w:r>
      <w:r w:rsidR="00185884">
        <w:t xml:space="preserve"> </w:t>
      </w:r>
      <w:r>
        <w:t>significant between-treatment difference in favour of canakinumab.</w:t>
      </w:r>
    </w:p>
    <w:p w:rsidR="00B81244" w:rsidRPr="00713E4D" w:rsidRDefault="00B81244" w:rsidP="000D7021">
      <w:pPr>
        <w:pStyle w:val="Numberbullet0"/>
        <w:ind w:left="284" w:hanging="284"/>
        <w:rPr>
          <w:i/>
        </w:rPr>
      </w:pPr>
      <w:r w:rsidRPr="00713E4D">
        <w:rPr>
          <w:i/>
        </w:rPr>
        <w:t>Study G2301 Part II – detailed comment on precise definition of ‘flares’, on whether</w:t>
      </w:r>
      <w:r w:rsidR="00185884" w:rsidRPr="00713E4D">
        <w:rPr>
          <w:i/>
        </w:rPr>
        <w:t xml:space="preserve"> </w:t>
      </w:r>
      <w:r w:rsidRPr="00713E4D">
        <w:rPr>
          <w:i/>
        </w:rPr>
        <w:t>or not patients’ results should have been excluded from primary analysis because of</w:t>
      </w:r>
      <w:r w:rsidR="00185884" w:rsidRPr="00713E4D">
        <w:rPr>
          <w:i/>
        </w:rPr>
        <w:t xml:space="preserve"> </w:t>
      </w:r>
      <w:r w:rsidRPr="00713E4D">
        <w:rPr>
          <w:i/>
        </w:rPr>
        <w:t>the failure to meet the definition, and on the degree such exclusions affect the power</w:t>
      </w:r>
      <w:r w:rsidR="00185884" w:rsidRPr="00713E4D">
        <w:rPr>
          <w:i/>
        </w:rPr>
        <w:t xml:space="preserve"> </w:t>
      </w:r>
      <w:r w:rsidRPr="00713E4D">
        <w:rPr>
          <w:i/>
        </w:rPr>
        <w:t>assumptions and calculations of the study</w:t>
      </w:r>
    </w:p>
    <w:p w:rsidR="00B81244" w:rsidRDefault="00B81244" w:rsidP="00F53DC5">
      <w:r>
        <w:t xml:space="preserve">The primary efficacy variable for Part II of the study was the time to a </w:t>
      </w:r>
      <w:r w:rsidR="00713E4D">
        <w:t>‘</w:t>
      </w:r>
      <w:r>
        <w:t>flare event</w:t>
      </w:r>
      <w:r w:rsidR="00713E4D">
        <w:t>’</w:t>
      </w:r>
      <w:r>
        <w:t>, which</w:t>
      </w:r>
      <w:r w:rsidR="00185884">
        <w:t xml:space="preserve"> </w:t>
      </w:r>
      <w:r>
        <w:t>was prospectively defined as (a) disease flares and (b) discontinuations in that Part II of</w:t>
      </w:r>
      <w:r w:rsidR="00185884">
        <w:t xml:space="preserve"> </w:t>
      </w:r>
      <w:r>
        <w:t>the study for any reason other than inactive disease. To evaluate the efficacy-based</w:t>
      </w:r>
      <w:r w:rsidR="00185884">
        <w:t xml:space="preserve"> </w:t>
      </w:r>
      <w:r>
        <w:t>reasons for discontinuation, a new sensitivity analysis was performed</w:t>
      </w:r>
      <w:r w:rsidR="00185884">
        <w:t xml:space="preserve"> </w:t>
      </w:r>
      <w:r>
        <w:t>where patients who</w:t>
      </w:r>
      <w:r w:rsidR="00185884">
        <w:t xml:space="preserve"> </w:t>
      </w:r>
      <w:r>
        <w:t xml:space="preserve">discontinued Part II due to </w:t>
      </w:r>
      <w:r w:rsidR="00713E4D">
        <w:t>‘</w:t>
      </w:r>
      <w:r>
        <w:t>unsatisfactory therapeutic effect</w:t>
      </w:r>
      <w:r w:rsidR="00713E4D">
        <w:t>’</w:t>
      </w:r>
      <w:r>
        <w:t xml:space="preserve"> are counted as flared while</w:t>
      </w:r>
      <w:r w:rsidR="00185884">
        <w:t xml:space="preserve"> </w:t>
      </w:r>
      <w:r>
        <w:t>patients who discontinued Part II for any other reason are censored at the time of study</w:t>
      </w:r>
      <w:r w:rsidR="00185884">
        <w:t xml:space="preserve"> </w:t>
      </w:r>
      <w:r>
        <w:t>discontinuation. One patient randomised to placebo who</w:t>
      </w:r>
      <w:r w:rsidR="00185884">
        <w:t xml:space="preserve"> </w:t>
      </w:r>
      <w:r>
        <w:t>discontinued due to an adverse</w:t>
      </w:r>
      <w:r w:rsidR="00185884">
        <w:t xml:space="preserve"> </w:t>
      </w:r>
      <w:r>
        <w:t>event had first met the flare definition 7 days prior to discontinuation and is included in</w:t>
      </w:r>
      <w:r w:rsidR="0088179E">
        <w:t xml:space="preserve"> </w:t>
      </w:r>
      <w:r>
        <w:t>the sensitivity analysis as a flare event.</w:t>
      </w:r>
    </w:p>
    <w:p w:rsidR="00B81244" w:rsidRDefault="00B81244" w:rsidP="00F53DC5">
      <w:r>
        <w:t>This sensitivity analysis showed no change in the number of flare events (n=11; 10 with</w:t>
      </w:r>
      <w:r w:rsidR="00185884">
        <w:t xml:space="preserve"> </w:t>
      </w:r>
      <w:r>
        <w:t>flare and 1 who became a non-responder) in the canakinumab group and a decrease of 5</w:t>
      </w:r>
      <w:r w:rsidR="00185884">
        <w:t xml:space="preserve"> </w:t>
      </w:r>
      <w:r>
        <w:t xml:space="preserve">flare events for a total of 21 flare events in the placebo </w:t>
      </w:r>
      <w:r w:rsidRPr="000D7021">
        <w:t xml:space="preserve">group (see Table </w:t>
      </w:r>
      <w:r w:rsidR="000D7021" w:rsidRPr="000D7021">
        <w:t>1</w:t>
      </w:r>
      <w:r w:rsidR="001C0FCA">
        <w:t>3</w:t>
      </w:r>
      <w:r w:rsidRPr="000D7021">
        <w:t>). This</w:t>
      </w:r>
      <w:r w:rsidR="00185884">
        <w:t xml:space="preserve"> </w:t>
      </w:r>
      <w:r>
        <w:t>corresponds to a 57% statistically significant reduction in the risk of flares for</w:t>
      </w:r>
      <w:r w:rsidR="0088179E">
        <w:t xml:space="preserve"> </w:t>
      </w:r>
      <w:r>
        <w:lastRenderedPageBreak/>
        <w:t>canakinumab treatment compared with placebo treatment (hazard ratio of 0.43; 95% CI:0.20 to 0.92; p=0.0127).</w:t>
      </w:r>
    </w:p>
    <w:p w:rsidR="00B81244" w:rsidRDefault="00B81244" w:rsidP="00F53DC5">
      <w:pPr>
        <w:pStyle w:val="TableTitle"/>
      </w:pPr>
      <w:r>
        <w:t>Table 1</w:t>
      </w:r>
      <w:r w:rsidR="001C0FCA">
        <w:t>3</w:t>
      </w:r>
      <w:r w:rsidR="00713E4D">
        <w:t>.</w:t>
      </w:r>
      <w:r>
        <w:t xml:space="preserve"> Survival analysis of time to modified flare in Part II - sensitivity analysis</w:t>
      </w:r>
      <w:r w:rsidR="0088179E">
        <w:t xml:space="preserve"> </w:t>
      </w:r>
      <w:r>
        <w:t>(</w:t>
      </w:r>
      <w:r w:rsidR="00F53DC5">
        <w:t>f</w:t>
      </w:r>
      <w:r>
        <w:t xml:space="preserve">ull </w:t>
      </w:r>
      <w:r w:rsidR="00F53DC5">
        <w:t>a</w:t>
      </w:r>
      <w:r>
        <w:t>nalysis Set II)</w:t>
      </w:r>
    </w:p>
    <w:p w:rsidR="00B81244" w:rsidRDefault="00B81244" w:rsidP="00F53DC5">
      <w:r>
        <w:rPr>
          <w:noProof/>
          <w:lang w:eastAsia="en-AU"/>
        </w:rPr>
        <w:drawing>
          <wp:inline distT="0" distB="0" distL="0" distR="0" wp14:anchorId="05C8929A" wp14:editId="7AACCEDF">
            <wp:extent cx="4279392" cy="1265105"/>
            <wp:effectExtent l="0" t="0" r="6985" b="0"/>
            <wp:docPr id="10" name="Picture 10" descr="Table 13. Survival analysis of time to modified flare in Part II - sensitivity analysis (Full Analysis Se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4386"/>
                    <a:stretch/>
                  </pic:blipFill>
                  <pic:spPr bwMode="auto">
                    <a:xfrm>
                      <a:off x="0" y="0"/>
                      <a:ext cx="4286328" cy="1267156"/>
                    </a:xfrm>
                    <a:prstGeom prst="rect">
                      <a:avLst/>
                    </a:prstGeom>
                    <a:ln>
                      <a:noFill/>
                    </a:ln>
                    <a:extLst>
                      <a:ext uri="{53640926-AAD7-44D8-BBD7-CCE9431645EC}">
                        <a14:shadowObscured xmlns:a14="http://schemas.microsoft.com/office/drawing/2010/main"/>
                      </a:ext>
                    </a:extLst>
                  </pic:spPr>
                </pic:pic>
              </a:graphicData>
            </a:graphic>
          </wp:inline>
        </w:drawing>
      </w:r>
    </w:p>
    <w:p w:rsidR="00B81244" w:rsidRPr="00713E4D" w:rsidRDefault="00B81244" w:rsidP="000D7021">
      <w:pPr>
        <w:pStyle w:val="Numberbullet0"/>
        <w:ind w:left="284" w:hanging="284"/>
        <w:rPr>
          <w:i/>
        </w:rPr>
      </w:pPr>
      <w:r w:rsidRPr="00713E4D">
        <w:rPr>
          <w:i/>
        </w:rPr>
        <w:t xml:space="preserve">Study G2301 </w:t>
      </w:r>
      <w:r w:rsidRPr="000D7021">
        <w:rPr>
          <w:i/>
        </w:rPr>
        <w:t>Part I</w:t>
      </w:r>
      <w:r w:rsidRPr="00713E4D">
        <w:rPr>
          <w:i/>
        </w:rPr>
        <w:t xml:space="preserve"> – explain</w:t>
      </w:r>
      <w:r w:rsidR="0088179E" w:rsidRPr="00713E4D">
        <w:rPr>
          <w:i/>
        </w:rPr>
        <w:t xml:space="preserve"> </w:t>
      </w:r>
      <w:r w:rsidRPr="00713E4D">
        <w:rPr>
          <w:i/>
        </w:rPr>
        <w:t xml:space="preserve">decrease in ACR response between </w:t>
      </w:r>
      <w:r w:rsidR="00713E4D" w:rsidRPr="00713E4D">
        <w:rPr>
          <w:i/>
        </w:rPr>
        <w:t>V</w:t>
      </w:r>
      <w:r w:rsidRPr="00713E4D">
        <w:rPr>
          <w:i/>
        </w:rPr>
        <w:t xml:space="preserve">isits 8 </w:t>
      </w:r>
      <w:r w:rsidR="00713E4D" w:rsidRPr="00713E4D">
        <w:rPr>
          <w:i/>
        </w:rPr>
        <w:t>and</w:t>
      </w:r>
      <w:r w:rsidR="000D7021">
        <w:rPr>
          <w:i/>
        </w:rPr>
        <w:t xml:space="preserve"> </w:t>
      </w:r>
      <w:r w:rsidRPr="00713E4D">
        <w:rPr>
          <w:i/>
        </w:rPr>
        <w:t xml:space="preserve">10 (Day 113 </w:t>
      </w:r>
      <w:r w:rsidR="00713E4D" w:rsidRPr="00713E4D">
        <w:rPr>
          <w:i/>
        </w:rPr>
        <w:t>and</w:t>
      </w:r>
      <w:r w:rsidRPr="00713E4D">
        <w:rPr>
          <w:i/>
        </w:rPr>
        <w:t xml:space="preserve"> 169)</w:t>
      </w:r>
    </w:p>
    <w:p w:rsidR="00B81244" w:rsidRDefault="00B81244" w:rsidP="00F53DC5">
      <w:r>
        <w:t>For those patients using a concomitant corticosteroid, the steroid dose was reduced to the</w:t>
      </w:r>
      <w:r w:rsidR="00185884">
        <w:t xml:space="preserve"> </w:t>
      </w:r>
      <w:r>
        <w:t>lowest level possible over a maximum 20-week period from Day 57 (Visit 6) until Day</w:t>
      </w:r>
      <w:r w:rsidR="00185884">
        <w:t xml:space="preserve"> </w:t>
      </w:r>
      <w:r>
        <w:t>197 (Visit 11). The time spent in this phase of the study varied depending on the success</w:t>
      </w:r>
      <w:r w:rsidR="00185884">
        <w:t xml:space="preserve"> </w:t>
      </w:r>
      <w:r>
        <w:t>of oral steroid tapering. If successful, a patient would advance to the Day 197 visit at their</w:t>
      </w:r>
      <w:r w:rsidR="00185884">
        <w:t xml:space="preserve"> </w:t>
      </w:r>
      <w:r>
        <w:t xml:space="preserve">next regularly scheduled visit to receive their last </w:t>
      </w:r>
      <w:r w:rsidR="00713E4D">
        <w:t>canakinumab dose before randomis</w:t>
      </w:r>
      <w:r>
        <w:t>ation</w:t>
      </w:r>
      <w:r w:rsidR="00185884">
        <w:t xml:space="preserve"> </w:t>
      </w:r>
      <w:r>
        <w:t>in Part II of the study at the Day 225 visit. Patients who were unsuccessful at reducing</w:t>
      </w:r>
      <w:r w:rsidR="00185884">
        <w:t xml:space="preserve"> </w:t>
      </w:r>
      <w:r>
        <w:t>their steroid dose at the end of the maximum 20-week period were not</w:t>
      </w:r>
      <w:r w:rsidR="00185884">
        <w:t xml:space="preserve"> </w:t>
      </w:r>
      <w:r>
        <w:t>randomized in Part</w:t>
      </w:r>
      <w:r w:rsidR="00185884">
        <w:t xml:space="preserve"> </w:t>
      </w:r>
      <w:r>
        <w:t>II but were allowed to rollover into the extension trial. As expected, the number of</w:t>
      </w:r>
      <w:r w:rsidR="00185884">
        <w:t xml:space="preserve"> </w:t>
      </w:r>
      <w:r>
        <w:t>patients at Visits 9 (Day 141) and 10 (Day 169) were comparatively low and increasingly</w:t>
      </w:r>
      <w:r w:rsidR="00185884">
        <w:t xml:space="preserve"> </w:t>
      </w:r>
      <w:r>
        <w:t>represented patients who experienced increased disease activity with steroid dose</w:t>
      </w:r>
      <w:r w:rsidR="00185884">
        <w:t xml:space="preserve"> </w:t>
      </w:r>
      <w:r>
        <w:t>reduction which explains the decrease in the percent of patients at the highest ACR</w:t>
      </w:r>
      <w:r w:rsidR="00185884">
        <w:t xml:space="preserve"> </w:t>
      </w:r>
      <w:r>
        <w:t>response levels observed in Visits 9 and 10.</w:t>
      </w:r>
    </w:p>
    <w:p w:rsidR="00B81244" w:rsidRPr="00713E4D" w:rsidRDefault="00B81244" w:rsidP="000D7021">
      <w:pPr>
        <w:pStyle w:val="Numberbullet0"/>
        <w:ind w:left="284" w:hanging="284"/>
        <w:rPr>
          <w:i/>
        </w:rPr>
      </w:pPr>
      <w:r w:rsidRPr="00713E4D">
        <w:rPr>
          <w:i/>
        </w:rPr>
        <w:t>Study G2301 Part I ACR minimum and maximum criteria at each level – clarify the</w:t>
      </w:r>
      <w:r w:rsidR="00185884" w:rsidRPr="00713E4D">
        <w:rPr>
          <w:i/>
        </w:rPr>
        <w:t xml:space="preserve"> </w:t>
      </w:r>
      <w:r w:rsidRPr="00713E4D">
        <w:rPr>
          <w:i/>
        </w:rPr>
        <w:t>width/window of range from ACR30 to ACR100, since there are many patients</w:t>
      </w:r>
      <w:r w:rsidR="0088179E" w:rsidRPr="00713E4D">
        <w:rPr>
          <w:i/>
        </w:rPr>
        <w:t xml:space="preserve"> </w:t>
      </w:r>
      <w:r w:rsidRPr="00713E4D">
        <w:rPr>
          <w:i/>
        </w:rPr>
        <w:t>(34.3%) who achieved both minimum and maximum result at ACR100.</w:t>
      </w:r>
    </w:p>
    <w:p w:rsidR="00B81244" w:rsidRDefault="00B81244" w:rsidP="00F53DC5">
      <w:r>
        <w:t>Minimum</w:t>
      </w:r>
      <w:r w:rsidR="00185884">
        <w:t xml:space="preserve">’ </w:t>
      </w:r>
      <w:r>
        <w:t xml:space="preserve"> ACR response data represents the cumulative number and percent of the</w:t>
      </w:r>
      <w:r w:rsidR="00185884">
        <w:t xml:space="preserve"> </w:t>
      </w:r>
      <w:r>
        <w:t>evaluable patients at that visit who achieved at least (</w:t>
      </w:r>
      <w:r w:rsidR="00713E4D">
        <w:t>≥</w:t>
      </w:r>
      <w:r>
        <w:t>) that level of ACR response,</w:t>
      </w:r>
      <w:r w:rsidR="00185884">
        <w:t xml:space="preserve"> </w:t>
      </w:r>
      <w:r>
        <w:t xml:space="preserve">whereas </w:t>
      </w:r>
      <w:r w:rsidR="00713E4D">
        <w:t>‘</w:t>
      </w:r>
      <w:r>
        <w:t>maximum</w:t>
      </w:r>
      <w:r w:rsidR="00713E4D">
        <w:t>’</w:t>
      </w:r>
      <w:r>
        <w:t xml:space="preserve"> ACR response represents the patients whose reported score exactly</w:t>
      </w:r>
      <w:r w:rsidR="00185884">
        <w:t xml:space="preserve"> </w:t>
      </w:r>
      <w:r>
        <w:t>equalled (</w:t>
      </w:r>
      <w:r w:rsidR="00713E4D">
        <w:t>=</w:t>
      </w:r>
      <w:r>
        <w:t>) that level of ACR response only. For complete transparency, the maximum</w:t>
      </w:r>
      <w:r w:rsidR="00185884">
        <w:t xml:space="preserve"> </w:t>
      </w:r>
      <w:r>
        <w:t xml:space="preserve">ACR response was added to </w:t>
      </w:r>
      <w:r w:rsidR="00713E4D">
        <w:t xml:space="preserve">the relevant table in </w:t>
      </w:r>
      <w:r>
        <w:t>Study G2301 CSR so the reader will be able to</w:t>
      </w:r>
      <w:r w:rsidR="00185884">
        <w:t xml:space="preserve"> </w:t>
      </w:r>
      <w:r>
        <w:t>see clearly the exact number and percent of patients who achieved that exact ACR level.</w:t>
      </w:r>
    </w:p>
    <w:p w:rsidR="00B81244" w:rsidRDefault="00B81244" w:rsidP="00F53DC5">
      <w:pPr>
        <w:rPr>
          <w:rFonts w:hAnsiTheme="minorHAnsi"/>
        </w:rPr>
      </w:pPr>
      <w:r>
        <w:t xml:space="preserve">An example is presented </w:t>
      </w:r>
      <w:r w:rsidRPr="000D7021">
        <w:t xml:space="preserve">in Table </w:t>
      </w:r>
      <w:r w:rsidR="000D7021" w:rsidRPr="000D7021">
        <w:t>1</w:t>
      </w:r>
      <w:r w:rsidR="001C0FCA">
        <w:t>4</w:t>
      </w:r>
      <w:r w:rsidRPr="000D7021">
        <w:t xml:space="preserve"> below</w:t>
      </w:r>
      <w:r>
        <w:t xml:space="preserve"> on the Day 57 visit for 141 patients with</w:t>
      </w:r>
      <w:r w:rsidR="00185884">
        <w:t xml:space="preserve"> </w:t>
      </w:r>
      <w:r>
        <w:t>evaluable ACR data, including 8 (5.7%) non-responders. The remaining 133 (94.3%) had</w:t>
      </w:r>
      <w:r w:rsidR="00185884">
        <w:t xml:space="preserve"> </w:t>
      </w:r>
      <w:r>
        <w:t>a minimum (</w:t>
      </w:r>
      <w:r w:rsidR="00713E4D">
        <w:t>≥</w:t>
      </w:r>
      <w:r>
        <w:t xml:space="preserve">) ACR30 response. Included in this group were 6 (4.3%) patients whose </w:t>
      </w:r>
      <w:r>
        <w:rPr>
          <w:rFonts w:hAnsiTheme="minorHAnsi"/>
        </w:rPr>
        <w:t>response exactly equalled an ACR30 score. These 6 patients were therefore not counted</w:t>
      </w:r>
      <w:r w:rsidR="00185884">
        <w:rPr>
          <w:rFonts w:hAnsiTheme="minorHAnsi"/>
        </w:rPr>
        <w:t xml:space="preserve"> </w:t>
      </w:r>
      <w:r>
        <w:rPr>
          <w:rFonts w:hAnsiTheme="minorHAnsi"/>
        </w:rPr>
        <w:t xml:space="preserve">amongst those with minimum ACR response at the next levels, </w:t>
      </w:r>
      <w:r w:rsidR="00713E4D">
        <w:rPr>
          <w:rFonts w:hAnsiTheme="minorHAnsi"/>
        </w:rPr>
        <w:t>that is,</w:t>
      </w:r>
      <w:r>
        <w:rPr>
          <w:rFonts w:hAnsiTheme="minorHAnsi"/>
        </w:rPr>
        <w:t xml:space="preserve"> for the ACR50 level,</w:t>
      </w:r>
      <w:r w:rsidR="00185884">
        <w:rPr>
          <w:rFonts w:hAnsiTheme="minorHAnsi"/>
        </w:rPr>
        <w:t xml:space="preserve"> </w:t>
      </w:r>
      <w:r>
        <w:rPr>
          <w:rFonts w:hAnsiTheme="minorHAnsi"/>
        </w:rPr>
        <w:t xml:space="preserve">only 127 patients are counted (133 </w:t>
      </w:r>
      <w:r w:rsidR="00713E4D">
        <w:rPr>
          <w:rFonts w:hAnsiTheme="minorHAnsi"/>
        </w:rPr>
        <w:t xml:space="preserve">minus </w:t>
      </w:r>
      <w:r>
        <w:rPr>
          <w:rFonts w:hAnsiTheme="minorHAnsi"/>
        </w:rPr>
        <w:t xml:space="preserve"> 6) as having a minimum score of ACR50. The 16</w:t>
      </w:r>
      <w:r w:rsidR="00185884">
        <w:rPr>
          <w:rFonts w:hAnsiTheme="minorHAnsi"/>
        </w:rPr>
        <w:t xml:space="preserve"> </w:t>
      </w:r>
      <w:r>
        <w:rPr>
          <w:rFonts w:hAnsiTheme="minorHAnsi"/>
        </w:rPr>
        <w:t>(11.3%) patients whose response was exactly ACR50 were excluded from the next level</w:t>
      </w:r>
      <w:r w:rsidR="00185884">
        <w:rPr>
          <w:rFonts w:hAnsiTheme="minorHAnsi"/>
        </w:rPr>
        <w:t xml:space="preserve"> </w:t>
      </w:r>
      <w:r>
        <w:rPr>
          <w:rFonts w:hAnsiTheme="minorHAnsi"/>
        </w:rPr>
        <w:t xml:space="preserve">and so on. The difference between minimum and maximum, described as </w:t>
      </w:r>
      <w:r w:rsidR="00186C14">
        <w:rPr>
          <w:rFonts w:hAnsiTheme="minorHAnsi"/>
        </w:rPr>
        <w:t>‘</w:t>
      </w:r>
      <w:r>
        <w:rPr>
          <w:rFonts w:hAnsiTheme="minorHAnsi"/>
        </w:rPr>
        <w:t>window of</w:t>
      </w:r>
      <w:r w:rsidR="00185884">
        <w:rPr>
          <w:rFonts w:hAnsiTheme="minorHAnsi"/>
        </w:rPr>
        <w:t xml:space="preserve"> </w:t>
      </w:r>
      <w:r>
        <w:rPr>
          <w:rFonts w:hAnsiTheme="minorHAnsi"/>
        </w:rPr>
        <w:t>separation</w:t>
      </w:r>
      <w:r w:rsidR="00186C14">
        <w:rPr>
          <w:rFonts w:hAnsiTheme="minorHAnsi"/>
        </w:rPr>
        <w:t>’</w:t>
      </w:r>
      <w:r>
        <w:rPr>
          <w:rFonts w:hAnsiTheme="minorHAnsi"/>
        </w:rPr>
        <w:t xml:space="preserve"> by the Delegate, narrows at higher ACR levels such that at the ACR100 level,</w:t>
      </w:r>
      <w:r w:rsidR="00185884">
        <w:rPr>
          <w:rFonts w:hAnsiTheme="minorHAnsi"/>
        </w:rPr>
        <w:t xml:space="preserve"> </w:t>
      </w:r>
      <w:r>
        <w:rPr>
          <w:rFonts w:hAnsiTheme="minorHAnsi"/>
        </w:rPr>
        <w:t>the minimum and maximum ACR represent the same exact patients.</w:t>
      </w:r>
    </w:p>
    <w:p w:rsidR="00B81244" w:rsidRDefault="00B81244" w:rsidP="00F53DC5">
      <w:pPr>
        <w:pStyle w:val="TableTitle"/>
        <w:rPr>
          <w:rFonts w:ascii="Times New Roman" w:eastAsia="TimesNewRomanPSMT" w:hAnsi="Times New Roman"/>
          <w:b w:val="0"/>
          <w:bCs/>
          <w:sz w:val="24"/>
          <w:szCs w:val="24"/>
        </w:rPr>
      </w:pPr>
      <w:r w:rsidRPr="0088179E">
        <w:lastRenderedPageBreak/>
        <w:t xml:space="preserve">Table </w:t>
      </w:r>
      <w:r w:rsidR="000D7021">
        <w:t>1</w:t>
      </w:r>
      <w:r w:rsidR="001C0FCA">
        <w:t>4</w:t>
      </w:r>
      <w:r w:rsidR="0088179E">
        <w:t>.</w:t>
      </w:r>
      <w:r w:rsidRPr="0088179E">
        <w:t xml:space="preserve"> ACR pediatric response achieved in Part I: Summary statistics at Day 57</w:t>
      </w:r>
      <w:r w:rsidR="0088179E" w:rsidRPr="0088179E">
        <w:t xml:space="preserve"> </w:t>
      </w:r>
      <w:r w:rsidRPr="0088179E">
        <w:t>(</w:t>
      </w:r>
      <w:r w:rsidR="00F53DC5">
        <w:t>f</w:t>
      </w:r>
      <w:r w:rsidRPr="0088179E">
        <w:t xml:space="preserve">ull </w:t>
      </w:r>
      <w:r w:rsidR="00F53DC5">
        <w:t>a</w:t>
      </w:r>
      <w:r w:rsidRPr="0088179E">
        <w:t xml:space="preserve">nalysis </w:t>
      </w:r>
      <w:r w:rsidR="00F53DC5">
        <w:t>s</w:t>
      </w:r>
      <w:r w:rsidRPr="0088179E">
        <w:t>et I)</w:t>
      </w:r>
    </w:p>
    <w:p w:rsidR="00B81244" w:rsidRDefault="00B81244" w:rsidP="00B81244">
      <w:pPr>
        <w:autoSpaceDE w:val="0"/>
        <w:autoSpaceDN w:val="0"/>
        <w:adjustRightInd w:val="0"/>
        <w:spacing w:before="0" w:after="0" w:line="240" w:lineRule="auto"/>
      </w:pPr>
      <w:r>
        <w:rPr>
          <w:noProof/>
          <w:lang w:eastAsia="en-AU"/>
        </w:rPr>
        <w:drawing>
          <wp:inline distT="0" distB="0" distL="0" distR="0" wp14:anchorId="5289324D" wp14:editId="745BA663">
            <wp:extent cx="3679545" cy="1213644"/>
            <wp:effectExtent l="0" t="0" r="0" b="5715"/>
            <wp:docPr id="11" name="Picture 11" descr="Table 14. ACR pediatric response achieved in Part I: Summary statistics at Day 57 (Full Analysis Se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2145" b="3385"/>
                    <a:stretch/>
                  </pic:blipFill>
                  <pic:spPr bwMode="auto">
                    <a:xfrm>
                      <a:off x="0" y="0"/>
                      <a:ext cx="3697070" cy="1219424"/>
                    </a:xfrm>
                    <a:prstGeom prst="rect">
                      <a:avLst/>
                    </a:prstGeom>
                    <a:ln>
                      <a:noFill/>
                    </a:ln>
                    <a:extLst>
                      <a:ext uri="{53640926-AAD7-44D8-BBD7-CCE9431645EC}">
                        <a14:shadowObscured xmlns:a14="http://schemas.microsoft.com/office/drawing/2010/main"/>
                      </a:ext>
                    </a:extLst>
                  </pic:spPr>
                </pic:pic>
              </a:graphicData>
            </a:graphic>
          </wp:inline>
        </w:drawing>
      </w:r>
    </w:p>
    <w:p w:rsidR="00B81244" w:rsidRPr="00713E4D" w:rsidRDefault="00B81244" w:rsidP="000D7021">
      <w:pPr>
        <w:pStyle w:val="Numberbullet0"/>
        <w:ind w:left="284" w:hanging="284"/>
        <w:rPr>
          <w:i/>
        </w:rPr>
      </w:pPr>
      <w:r w:rsidRPr="00713E4D">
        <w:rPr>
          <w:i/>
        </w:rPr>
        <w:t>Study G2301E1 patients dose at 2</w:t>
      </w:r>
      <w:r w:rsidR="00404BA5" w:rsidRPr="00713E4D">
        <w:rPr>
          <w:i/>
        </w:rPr>
        <w:t xml:space="preserve"> mg/kg</w:t>
      </w:r>
      <w:r w:rsidRPr="00713E4D">
        <w:rPr>
          <w:i/>
        </w:rPr>
        <w:t xml:space="preserve"> – comment on possibility of controlling sJIA</w:t>
      </w:r>
      <w:r w:rsidR="00185884" w:rsidRPr="00713E4D">
        <w:rPr>
          <w:i/>
        </w:rPr>
        <w:t xml:space="preserve"> </w:t>
      </w:r>
      <w:r w:rsidRPr="00713E4D">
        <w:rPr>
          <w:i/>
        </w:rPr>
        <w:t>at this lower dose, and whether a study is planned to examine its efficacy</w:t>
      </w:r>
    </w:p>
    <w:p w:rsidR="00B81244" w:rsidRDefault="00B81244" w:rsidP="00F53DC5">
      <w:r>
        <w:t>To address investigator requests for a lower maintenance dose for patients who had</w:t>
      </w:r>
      <w:r w:rsidR="00185884">
        <w:t xml:space="preserve"> </w:t>
      </w:r>
      <w:r>
        <w:t>demonstrated a sustained long-term strong response, a dose reduction to 2</w:t>
      </w:r>
      <w:r w:rsidR="00404BA5">
        <w:t xml:space="preserve"> mg/kg</w:t>
      </w:r>
      <w:r>
        <w:t xml:space="preserve"> </w:t>
      </w:r>
      <w:r w:rsidR="00713E4D">
        <w:t>SC</w:t>
      </w:r>
      <w:r>
        <w:t xml:space="preserve"> every</w:t>
      </w:r>
      <w:r w:rsidR="00185884">
        <w:t xml:space="preserve"> </w:t>
      </w:r>
      <w:r>
        <w:t>4 weeks was allowed for a select group of patients in the G2301E1 extension trial. It is</w:t>
      </w:r>
      <w:r w:rsidR="00185884">
        <w:t xml:space="preserve"> </w:t>
      </w:r>
      <w:r>
        <w:t>important to note that the majority of patients in this study were treated effectively at the 4</w:t>
      </w:r>
      <w:r w:rsidR="00185884">
        <w:t xml:space="preserve"> </w:t>
      </w:r>
      <w:r w:rsidR="00404BA5">
        <w:t>mg/kg</w:t>
      </w:r>
      <w:r>
        <w:t xml:space="preserve"> dose since the PK/PD modelling based on </w:t>
      </w:r>
      <w:r w:rsidR="00713E4D">
        <w:t>S</w:t>
      </w:r>
      <w:r>
        <w:t>tudy A2203 indicates that higher</w:t>
      </w:r>
      <w:r w:rsidR="00185884">
        <w:t xml:space="preserve"> </w:t>
      </w:r>
      <w:r>
        <w:t xml:space="preserve">relapse rates could occur at the lower dose, as noted by the </w:t>
      </w:r>
      <w:r w:rsidR="00713E4D">
        <w:t>(TGA) clinical</w:t>
      </w:r>
      <w:r>
        <w:t xml:space="preserve"> evaluator.</w:t>
      </w:r>
    </w:p>
    <w:p w:rsidR="00B81244" w:rsidRDefault="00B81244" w:rsidP="00C30752">
      <w:r>
        <w:t>Only patients who were not using a corticosteroid and who had demonstrated a strong</w:t>
      </w:r>
      <w:r w:rsidR="00185884">
        <w:t xml:space="preserve"> </w:t>
      </w:r>
      <w:r>
        <w:t>clinical response to the 4</w:t>
      </w:r>
      <w:r w:rsidR="00404BA5">
        <w:t xml:space="preserve"> mg/kg</w:t>
      </w:r>
      <w:r>
        <w:t xml:space="preserve"> dose were considered for dose reduction and only</w:t>
      </w:r>
      <w:r w:rsidR="00185884">
        <w:t xml:space="preserve"> </w:t>
      </w:r>
      <w:r>
        <w:t>initiated at the request of the investigator and agreed to by Novartis. Based on the positive</w:t>
      </w:r>
      <w:r w:rsidR="00185884">
        <w:t xml:space="preserve"> </w:t>
      </w:r>
      <w:r>
        <w:t>experience observed in these patients, Novartis plans to initiate a study to evaluate</w:t>
      </w:r>
      <w:r w:rsidR="00185884">
        <w:t xml:space="preserve"> </w:t>
      </w:r>
      <w:r>
        <w:t>patients randomised to one of two different canakinumab taper regimens (reduced dose or</w:t>
      </w:r>
      <w:r w:rsidR="00185884">
        <w:t xml:space="preserve"> </w:t>
      </w:r>
      <w:r>
        <w:t>increased dose interval). These patients will be those with inactive disease for at least 24</w:t>
      </w:r>
      <w:r w:rsidR="00185884">
        <w:t xml:space="preserve"> </w:t>
      </w:r>
      <w:r>
        <w:t>continuous weeks on canakinumab treatment without concomitant corticosteroid or</w:t>
      </w:r>
      <w:r w:rsidR="00185884">
        <w:t xml:space="preserve"> </w:t>
      </w:r>
      <w:r>
        <w:t>methotrexate. Novartis is currently finalising the study protocol and anticipates clinical</w:t>
      </w:r>
      <w:r w:rsidR="00185884">
        <w:t xml:space="preserve"> </w:t>
      </w:r>
      <w:r>
        <w:t xml:space="preserve">start by </w:t>
      </w:r>
      <w:r w:rsidR="00713E4D">
        <w:t xml:space="preserve">fourth quarter of </w:t>
      </w:r>
      <w:r>
        <w:t>2014.</w:t>
      </w:r>
    </w:p>
    <w:p w:rsidR="00B81244" w:rsidRPr="00713E4D" w:rsidRDefault="00B81244" w:rsidP="000D7021">
      <w:pPr>
        <w:pStyle w:val="Numberbullet0"/>
        <w:ind w:left="284" w:hanging="284"/>
        <w:rPr>
          <w:i/>
        </w:rPr>
      </w:pPr>
      <w:r w:rsidRPr="00713E4D">
        <w:rPr>
          <w:i/>
        </w:rPr>
        <w:t>Study G2301 &amp; G2305 – comment on discontinuations due to unsatisfactory</w:t>
      </w:r>
      <w:r w:rsidR="0088179E" w:rsidRPr="00713E4D">
        <w:rPr>
          <w:i/>
        </w:rPr>
        <w:t xml:space="preserve"> </w:t>
      </w:r>
      <w:r w:rsidRPr="00713E4D">
        <w:rPr>
          <w:i/>
        </w:rPr>
        <w:t>response, how long treatment should persist, and how it will be addressed in the PI</w:t>
      </w:r>
    </w:p>
    <w:p w:rsidR="00B81244" w:rsidRDefault="00B81244" w:rsidP="00C30752">
      <w:pPr>
        <w:rPr>
          <w:rFonts w:hAnsiTheme="minorHAnsi"/>
          <w:color w:val="000000"/>
        </w:rPr>
      </w:pPr>
      <w:r>
        <w:t>The reasons for early discontinuation in both studies varied and included unsatisfactory</w:t>
      </w:r>
      <w:r w:rsidR="00185884">
        <w:t xml:space="preserve"> </w:t>
      </w:r>
      <w:r>
        <w:t>therapeutic response, adverse events, withdrawn consent and death. The stated reason</w:t>
      </w:r>
      <w:r w:rsidR="00185884">
        <w:t xml:space="preserve"> </w:t>
      </w:r>
      <w:r w:rsidR="00186C14">
        <w:t>‘</w:t>
      </w:r>
      <w:r>
        <w:t>unsatisfactory therapeutic response</w:t>
      </w:r>
      <w:r w:rsidR="00186C14">
        <w:t>’</w:t>
      </w:r>
      <w:r>
        <w:t xml:space="preserve"> included patients who were required to leave the</w:t>
      </w:r>
      <w:r w:rsidR="00185884">
        <w:t xml:space="preserve"> </w:t>
      </w:r>
      <w:r>
        <w:rPr>
          <w:rFonts w:hAnsiTheme="minorHAnsi"/>
          <w:color w:val="000000"/>
        </w:rPr>
        <w:t>primary study (mostly G2301) because of study design (</w:t>
      </w:r>
      <w:r w:rsidR="00713E4D">
        <w:rPr>
          <w:rFonts w:hAnsiTheme="minorHAnsi"/>
          <w:color w:val="000000"/>
        </w:rPr>
        <w:t>that is,</w:t>
      </w:r>
      <w:r>
        <w:rPr>
          <w:rFonts w:hAnsiTheme="minorHAnsi"/>
          <w:color w:val="000000"/>
        </w:rPr>
        <w:t xml:space="preserve"> not reducing concurrent</w:t>
      </w:r>
      <w:r w:rsidR="00185884">
        <w:rPr>
          <w:rFonts w:hAnsiTheme="minorHAnsi"/>
          <w:color w:val="000000"/>
        </w:rPr>
        <w:t xml:space="preserve"> </w:t>
      </w:r>
      <w:r>
        <w:rPr>
          <w:rFonts w:hAnsiTheme="minorHAnsi"/>
          <w:color w:val="000000"/>
        </w:rPr>
        <w:t>corticosteroid to low enough level; having non-responder status because of developing a</w:t>
      </w:r>
      <w:r w:rsidR="00185884">
        <w:rPr>
          <w:rFonts w:hAnsiTheme="minorHAnsi"/>
          <w:color w:val="000000"/>
        </w:rPr>
        <w:t xml:space="preserve"> </w:t>
      </w:r>
      <w:r>
        <w:rPr>
          <w:rFonts w:hAnsiTheme="minorHAnsi"/>
          <w:color w:val="000000"/>
        </w:rPr>
        <w:t>fever which the investigator could not exclude sJIA as the cause despite an otherwise</w:t>
      </w:r>
      <w:r w:rsidR="00185884">
        <w:rPr>
          <w:rFonts w:hAnsiTheme="minorHAnsi"/>
          <w:color w:val="000000"/>
        </w:rPr>
        <w:t xml:space="preserve"> </w:t>
      </w:r>
      <w:r>
        <w:rPr>
          <w:rFonts w:hAnsiTheme="minorHAnsi"/>
          <w:color w:val="000000"/>
        </w:rPr>
        <w:t>strong response). These patients were allowed to roll over into the G2301E1 extension</w:t>
      </w:r>
      <w:r w:rsidR="00185884">
        <w:rPr>
          <w:rFonts w:hAnsiTheme="minorHAnsi"/>
          <w:color w:val="000000"/>
        </w:rPr>
        <w:t xml:space="preserve"> </w:t>
      </w:r>
      <w:r>
        <w:rPr>
          <w:rFonts w:hAnsiTheme="minorHAnsi"/>
          <w:color w:val="000000"/>
        </w:rPr>
        <w:t>trial to continue canakinumab and most did.</w:t>
      </w:r>
    </w:p>
    <w:p w:rsidR="00B81244" w:rsidRPr="0088179E" w:rsidRDefault="00B81244" w:rsidP="00C30752">
      <w:pPr>
        <w:rPr>
          <w:i/>
        </w:rPr>
      </w:pPr>
      <w:r>
        <w:t>Novartis is of the opinion that treating physicians should use their clinical judgment to</w:t>
      </w:r>
      <w:r w:rsidR="00185884">
        <w:t xml:space="preserve"> </w:t>
      </w:r>
      <w:r>
        <w:t>determine whether or not their patient should continue or discontinue canakinumab</w:t>
      </w:r>
      <w:r w:rsidR="00185884">
        <w:t xml:space="preserve"> </w:t>
      </w:r>
      <w:r>
        <w:t xml:space="preserve">treatment. </w:t>
      </w:r>
      <w:r w:rsidR="00713E4D">
        <w:t>The sponsor</w:t>
      </w:r>
      <w:r>
        <w:t xml:space="preserve"> therefore propose</w:t>
      </w:r>
      <w:r w:rsidR="00713E4D">
        <w:t>s</w:t>
      </w:r>
      <w:r>
        <w:t xml:space="preserve"> to include a statement in the Dosage section </w:t>
      </w:r>
      <w:r w:rsidR="00713E4D">
        <w:t xml:space="preserve">[of the PI] </w:t>
      </w:r>
      <w:r>
        <w:t>for sJIA that</w:t>
      </w:r>
      <w:r w:rsidR="00713E4D">
        <w:t xml:space="preserve"> </w:t>
      </w:r>
      <w:r w:rsidR="00186C14" w:rsidRPr="0088179E">
        <w:rPr>
          <w:i/>
        </w:rPr>
        <w:t>‘</w:t>
      </w:r>
      <w:r w:rsidRPr="0088179E">
        <w:rPr>
          <w:i/>
        </w:rPr>
        <w:t>Continued treatment with Ilaris in patients without clinical improvement should be</w:t>
      </w:r>
      <w:r w:rsidR="0088179E">
        <w:rPr>
          <w:i/>
        </w:rPr>
        <w:t xml:space="preserve"> </w:t>
      </w:r>
      <w:r w:rsidRPr="0088179E">
        <w:rPr>
          <w:i/>
        </w:rPr>
        <w:t>reconsidered by the treating physician</w:t>
      </w:r>
      <w:r w:rsidR="00186C14" w:rsidRPr="0088179E">
        <w:rPr>
          <w:i/>
        </w:rPr>
        <w:t>’</w:t>
      </w:r>
      <w:r w:rsidRPr="0088179E">
        <w:rPr>
          <w:i/>
        </w:rPr>
        <w:t xml:space="preserve"> </w:t>
      </w:r>
      <w:r w:rsidRPr="00713E4D">
        <w:t>which is also in the approved EU SmPC</w:t>
      </w:r>
      <w:r w:rsidRPr="0088179E">
        <w:rPr>
          <w:i/>
        </w:rPr>
        <w:t>.</w:t>
      </w:r>
    </w:p>
    <w:p w:rsidR="00B81244" w:rsidRPr="00713E4D" w:rsidRDefault="00B81244" w:rsidP="000D7021">
      <w:pPr>
        <w:pStyle w:val="Numberbullet0"/>
        <w:ind w:left="284" w:hanging="284"/>
        <w:rPr>
          <w:i/>
        </w:rPr>
      </w:pPr>
      <w:r w:rsidRPr="00713E4D">
        <w:rPr>
          <w:i/>
        </w:rPr>
        <w:t>Comprehensive search conducted by Novartis on drug-related hepatic disorders</w:t>
      </w:r>
      <w:r w:rsidR="00185884" w:rsidRPr="00713E4D">
        <w:rPr>
          <w:i/>
        </w:rPr>
        <w:t xml:space="preserve"> </w:t>
      </w:r>
      <w:r w:rsidRPr="00713E4D">
        <w:rPr>
          <w:i/>
        </w:rPr>
        <w:t>–summarise background, motivation, and incidence found.</w:t>
      </w:r>
    </w:p>
    <w:p w:rsidR="00B81244" w:rsidRDefault="00B81244" w:rsidP="00C30752">
      <w:r>
        <w:t>Drug-induced liver injury (DILI, hepatic transaminases and bilirubin elevations) was a</w:t>
      </w:r>
      <w:r w:rsidR="00185884">
        <w:t xml:space="preserve"> </w:t>
      </w:r>
      <w:r>
        <w:t>potential risk that may develop during canakinumab treatment when investigating other</w:t>
      </w:r>
      <w:r w:rsidR="00185884">
        <w:t xml:space="preserve"> </w:t>
      </w:r>
      <w:r>
        <w:t>indications such as CAPS, rheumatoid arthritis and gouty arthritis. Thus, a comprehensive</w:t>
      </w:r>
      <w:r w:rsidR="00185884">
        <w:t xml:space="preserve"> </w:t>
      </w:r>
      <w:r>
        <w:t>search for drug-related hepatic disorders in each of the pivotal studies for sJIA was</w:t>
      </w:r>
      <w:r w:rsidR="00185884">
        <w:t xml:space="preserve"> </w:t>
      </w:r>
      <w:r>
        <w:t xml:space="preserve">conducted to further develop the safety specification of </w:t>
      </w:r>
      <w:r w:rsidR="00547E46">
        <w:t>Ilaris</w:t>
      </w:r>
      <w:r>
        <w:t>.</w:t>
      </w:r>
    </w:p>
    <w:p w:rsidR="00B81244" w:rsidRDefault="00B81244" w:rsidP="00C30752">
      <w:r>
        <w:lastRenderedPageBreak/>
        <w:t xml:space="preserve">Novartis </w:t>
      </w:r>
      <w:r w:rsidR="006C3624">
        <w:t xml:space="preserve">included a </w:t>
      </w:r>
      <w:r>
        <w:t>review, including clinical chemistry criteria employed, findings</w:t>
      </w:r>
      <w:r w:rsidR="00185884">
        <w:t xml:space="preserve"> </w:t>
      </w:r>
      <w:r>
        <w:t xml:space="preserve">and conclusions </w:t>
      </w:r>
      <w:r w:rsidR="006C3624">
        <w:t>with their</w:t>
      </w:r>
      <w:r>
        <w:t xml:space="preserve"> response. In summary, Novartis</w:t>
      </w:r>
      <w:r w:rsidR="00185884">
        <w:t xml:space="preserve"> </w:t>
      </w:r>
      <w:r>
        <w:t>concluded that there is no new or changing signal in relation to the risk of drug-induced</w:t>
      </w:r>
      <w:r w:rsidR="00185884">
        <w:t xml:space="preserve"> </w:t>
      </w:r>
      <w:r>
        <w:t>liver injury.</w:t>
      </w:r>
    </w:p>
    <w:p w:rsidR="00B81244" w:rsidRPr="006C3624" w:rsidRDefault="00B81244" w:rsidP="000D7021">
      <w:pPr>
        <w:pStyle w:val="Numberbullet0"/>
        <w:ind w:left="284" w:hanging="284"/>
        <w:rPr>
          <w:i/>
        </w:rPr>
      </w:pPr>
      <w:r w:rsidRPr="006C3624">
        <w:rPr>
          <w:i/>
        </w:rPr>
        <w:t>Renal failure – clarify incidence during canakinumab treatment.</w:t>
      </w:r>
    </w:p>
    <w:p w:rsidR="00B81244" w:rsidRDefault="00B81244" w:rsidP="00C30752">
      <w:r>
        <w:t>There was no case of renal failure in the sJIA pooled population.</w:t>
      </w:r>
    </w:p>
    <w:p w:rsidR="00B81244" w:rsidRPr="006C3624" w:rsidRDefault="00B81244" w:rsidP="000D7021">
      <w:pPr>
        <w:pStyle w:val="Numberbullet0"/>
        <w:ind w:left="284" w:hanging="284"/>
        <w:rPr>
          <w:i/>
        </w:rPr>
      </w:pPr>
      <w:r w:rsidRPr="006C3624">
        <w:rPr>
          <w:i/>
        </w:rPr>
        <w:t>Rates of infection across the various paediatric age groups – confirm that no marked</w:t>
      </w:r>
      <w:r w:rsidR="00185884" w:rsidRPr="006C3624">
        <w:rPr>
          <w:i/>
        </w:rPr>
        <w:t xml:space="preserve"> </w:t>
      </w:r>
      <w:r w:rsidRPr="006C3624">
        <w:rPr>
          <w:i/>
        </w:rPr>
        <w:t>differences observed.</w:t>
      </w:r>
    </w:p>
    <w:p w:rsidR="00B81244" w:rsidRDefault="00B81244" w:rsidP="00C30752">
      <w:r>
        <w:t>The observed incidence rates of infection were comparable across age groups in the</w:t>
      </w:r>
      <w:r w:rsidR="00185884">
        <w:t xml:space="preserve"> </w:t>
      </w:r>
      <w:r>
        <w:t>pooled sJIA patient population without indicating an increased risk of infection for any of</w:t>
      </w:r>
      <w:r w:rsidR="00185884">
        <w:t xml:space="preserve"> </w:t>
      </w:r>
      <w:r>
        <w:t>the subgroups</w:t>
      </w:r>
      <w:r w:rsidR="000D7021">
        <w:t xml:space="preserve"> (Table 1</w:t>
      </w:r>
      <w:r w:rsidR="001C0FCA">
        <w:t>5</w:t>
      </w:r>
      <w:r w:rsidR="000D7021">
        <w:t>)</w:t>
      </w:r>
      <w:r>
        <w:t>.</w:t>
      </w:r>
    </w:p>
    <w:p w:rsidR="00B81244" w:rsidRPr="006C3624" w:rsidRDefault="00B81244" w:rsidP="00C30752">
      <w:pPr>
        <w:pStyle w:val="TableTitle"/>
      </w:pPr>
      <w:r w:rsidRPr="006C3624">
        <w:t xml:space="preserve">Table </w:t>
      </w:r>
      <w:r w:rsidR="000D7021">
        <w:t>1</w:t>
      </w:r>
      <w:r w:rsidR="001C0FCA">
        <w:t>5</w:t>
      </w:r>
      <w:r w:rsidR="0088179E" w:rsidRPr="006C3624">
        <w:t>.</w:t>
      </w:r>
      <w:r w:rsidRPr="006C3624">
        <w:t xml:space="preserve"> Infections adverse events in the pooled sJIA and CAPS patient</w:t>
      </w:r>
      <w:r w:rsidR="00185884" w:rsidRPr="006C3624">
        <w:t xml:space="preserve"> </w:t>
      </w:r>
      <w:r w:rsidRPr="006C3624">
        <w:t>populations by age groups</w:t>
      </w:r>
    </w:p>
    <w:p w:rsidR="00B81244" w:rsidRDefault="00B81244" w:rsidP="00B81244">
      <w:pPr>
        <w:autoSpaceDE w:val="0"/>
        <w:autoSpaceDN w:val="0"/>
        <w:adjustRightInd w:val="0"/>
        <w:spacing w:before="0" w:after="0" w:line="240" w:lineRule="auto"/>
      </w:pPr>
      <w:r>
        <w:rPr>
          <w:noProof/>
          <w:lang w:eastAsia="en-AU"/>
        </w:rPr>
        <w:drawing>
          <wp:inline distT="0" distB="0" distL="0" distR="0" wp14:anchorId="7B0B0BD0" wp14:editId="71D12152">
            <wp:extent cx="2940710" cy="1212708"/>
            <wp:effectExtent l="0" t="0" r="0" b="6985"/>
            <wp:docPr id="12" name="Picture 12" descr="Table 15. Infections adverse events in the pooled sJIA and CAPS patient populations by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304" t="2867" r="13569" b="5376"/>
                    <a:stretch/>
                  </pic:blipFill>
                  <pic:spPr bwMode="auto">
                    <a:xfrm>
                      <a:off x="0" y="0"/>
                      <a:ext cx="2957549" cy="1219652"/>
                    </a:xfrm>
                    <a:prstGeom prst="rect">
                      <a:avLst/>
                    </a:prstGeom>
                    <a:ln>
                      <a:noFill/>
                    </a:ln>
                    <a:extLst>
                      <a:ext uri="{53640926-AAD7-44D8-BBD7-CCE9431645EC}">
                        <a14:shadowObscured xmlns:a14="http://schemas.microsoft.com/office/drawing/2010/main"/>
                      </a:ext>
                    </a:extLst>
                  </pic:spPr>
                </pic:pic>
              </a:graphicData>
            </a:graphic>
          </wp:inline>
        </w:drawing>
      </w:r>
    </w:p>
    <w:p w:rsidR="00B81244" w:rsidRPr="006C3624" w:rsidRDefault="000D7021" w:rsidP="000D7021">
      <w:pPr>
        <w:pStyle w:val="Numberbullet0"/>
        <w:ind w:left="284" w:hanging="284"/>
        <w:rPr>
          <w:i/>
        </w:rPr>
      </w:pPr>
      <w:r>
        <w:rPr>
          <w:i/>
        </w:rPr>
        <w:t xml:space="preserve"> </w:t>
      </w:r>
      <w:r w:rsidR="00B81244" w:rsidRPr="006C3624">
        <w:rPr>
          <w:i/>
        </w:rPr>
        <w:t>MAS - provide details for patient in placebo arm, and previous exposure history to</w:t>
      </w:r>
      <w:r w:rsidR="0088179E" w:rsidRPr="006C3624">
        <w:rPr>
          <w:i/>
        </w:rPr>
        <w:t xml:space="preserve"> </w:t>
      </w:r>
      <w:r w:rsidR="00B81244" w:rsidRPr="006C3624">
        <w:rPr>
          <w:i/>
        </w:rPr>
        <w:t>canakinumab; provide summary of MAS cases and assurance against causal link</w:t>
      </w:r>
    </w:p>
    <w:p w:rsidR="00B81244" w:rsidRDefault="00B81244" w:rsidP="00C30752">
      <w:r>
        <w:t>One of the two placebo patients who was reported with a Macrophage Activation</w:t>
      </w:r>
      <w:r w:rsidR="00185884">
        <w:t xml:space="preserve"> </w:t>
      </w:r>
      <w:r>
        <w:t>Syndrome (MAS) adverse event had first received canakinumab</w:t>
      </w:r>
      <w:r w:rsidR="00185884">
        <w:t xml:space="preserve"> </w:t>
      </w:r>
      <w:r>
        <w:t>prior to developing MAS. This patient had received 8 doses of canakinumab before being</w:t>
      </w:r>
      <w:r w:rsidR="00185884">
        <w:t xml:space="preserve"> </w:t>
      </w:r>
      <w:r>
        <w:t>randomised to receive placebo. The patient had received 6 consecutive placebo doses,</w:t>
      </w:r>
      <w:r w:rsidR="00185884">
        <w:t xml:space="preserve"> </w:t>
      </w:r>
      <w:r>
        <w:t>representing more than 5 half-lives of canakinumab elapsed, before developing MAS. The</w:t>
      </w:r>
      <w:r w:rsidR="00185884">
        <w:t xml:space="preserve"> </w:t>
      </w:r>
      <w:r>
        <w:t>case was reviewed by the MAS adjudication committee (MASAC) and adjudicated as</w:t>
      </w:r>
      <w:r w:rsidR="00185884">
        <w:t xml:space="preserve"> </w:t>
      </w:r>
      <w:r w:rsidR="00186C14">
        <w:t>‘</w:t>
      </w:r>
      <w:r>
        <w:t>probable MAS</w:t>
      </w:r>
      <w:r w:rsidR="00186C14">
        <w:t>’</w:t>
      </w:r>
      <w:r>
        <w:t>. Details of the patient</w:t>
      </w:r>
      <w:r w:rsidR="006C3624">
        <w:t>’</w:t>
      </w:r>
      <w:r>
        <w:t>s serious adverse events, including the MAS</w:t>
      </w:r>
      <w:r w:rsidR="00185884">
        <w:t xml:space="preserve"> </w:t>
      </w:r>
      <w:r>
        <w:t>event</w:t>
      </w:r>
      <w:r w:rsidR="006C3624">
        <w:t xml:space="preserve"> were provided to the TGA</w:t>
      </w:r>
      <w:r>
        <w:t>.</w:t>
      </w:r>
    </w:p>
    <w:p w:rsidR="00B81244" w:rsidRDefault="006C3624" w:rsidP="00C30752">
      <w:r>
        <w:t xml:space="preserve">A </w:t>
      </w:r>
      <w:r w:rsidR="00B81244">
        <w:t>summary of the conclusions from an independent external</w:t>
      </w:r>
      <w:r w:rsidR="00185884">
        <w:t xml:space="preserve"> </w:t>
      </w:r>
      <w:r w:rsidR="00B81244">
        <w:t xml:space="preserve">expert report on MAS was </w:t>
      </w:r>
      <w:r>
        <w:t xml:space="preserve">also </w:t>
      </w:r>
      <w:r w:rsidR="00B81244">
        <w:t>included since it is a known, life-threatening disorder that may develop in patients with rheumatic</w:t>
      </w:r>
      <w:r w:rsidR="00185884">
        <w:t xml:space="preserve"> </w:t>
      </w:r>
      <w:r w:rsidR="00B81244">
        <w:t>conditions, particularly sJIA; a review of MAS adverse event reports and the MASAC</w:t>
      </w:r>
      <w:r w:rsidR="00185884">
        <w:t xml:space="preserve"> </w:t>
      </w:r>
      <w:r w:rsidR="00B81244">
        <w:t>activities; and a comparison of MAS incidence rates in patients who were randomised to</w:t>
      </w:r>
      <w:r w:rsidR="00185884">
        <w:t xml:space="preserve"> </w:t>
      </w:r>
      <w:r w:rsidR="00B81244">
        <w:t>placebo whether canakinumab-naïve or not.</w:t>
      </w:r>
    </w:p>
    <w:p w:rsidR="00B81244" w:rsidRDefault="00B81244" w:rsidP="00C30752">
      <w:r>
        <w:t>In conclusion, there has been no change in the incidence rate of MAS since submission</w:t>
      </w:r>
      <w:r w:rsidR="00185884">
        <w:t xml:space="preserve"> </w:t>
      </w:r>
      <w:r>
        <w:t>and canakinumab treatment does not appear to affect the risk of developing MAS in sJIA</w:t>
      </w:r>
      <w:r w:rsidR="00185884">
        <w:t xml:space="preserve"> </w:t>
      </w:r>
      <w:r>
        <w:t>patients. Novartis will continue to monitor the risk of MAS as part of pharmacovigilance</w:t>
      </w:r>
      <w:r w:rsidR="00185884">
        <w:t xml:space="preserve"> </w:t>
      </w:r>
      <w:r>
        <w:t>activities and will advise health authorities if there is a change in this risk.</w:t>
      </w:r>
    </w:p>
    <w:p w:rsidR="00B81244" w:rsidRPr="006C3624" w:rsidRDefault="000D7021" w:rsidP="000D7021">
      <w:pPr>
        <w:pStyle w:val="Numberbullet0"/>
        <w:ind w:left="284" w:hanging="284"/>
        <w:rPr>
          <w:i/>
        </w:rPr>
      </w:pPr>
      <w:r>
        <w:rPr>
          <w:i/>
        </w:rPr>
        <w:t xml:space="preserve"> </w:t>
      </w:r>
      <w:r w:rsidR="00B81244" w:rsidRPr="006C3624">
        <w:rPr>
          <w:i/>
        </w:rPr>
        <w:t>Long-term exposure to canakinumab by reasonable number of patients (~100) –clarify data available in accordance with investigational guidelines</w:t>
      </w:r>
    </w:p>
    <w:p w:rsidR="00B81244" w:rsidRDefault="00B81244" w:rsidP="00C30752">
      <w:r>
        <w:t>At the time of original submission, 64.7% (130/201 patients) were exposed to</w:t>
      </w:r>
      <w:r w:rsidR="00185884">
        <w:t xml:space="preserve"> </w:t>
      </w:r>
      <w:r>
        <w:t>canakinumab for at least 48 weeks and 78/201 (38.8%) had at least 96 weeks of exposure</w:t>
      </w:r>
      <w:r w:rsidR="00185884">
        <w:t xml:space="preserve"> </w:t>
      </w:r>
      <w:r w:rsidRPr="000D7021">
        <w:t xml:space="preserve">(Table </w:t>
      </w:r>
      <w:r w:rsidR="000D7021" w:rsidRPr="000D7021">
        <w:t>1</w:t>
      </w:r>
      <w:r w:rsidR="001C0FCA">
        <w:t>6</w:t>
      </w:r>
      <w:r w:rsidRPr="000D7021">
        <w:t xml:space="preserve"> below). This exceeds</w:t>
      </w:r>
      <w:r>
        <w:t xml:space="preserve"> the TGA guidelines of at least 100 patients with one year</w:t>
      </w:r>
      <w:r w:rsidR="00185884">
        <w:t xml:space="preserve"> </w:t>
      </w:r>
      <w:r>
        <w:t>(12 doses-48 weeks) exposure. The total patient year exposure was 300 patient years.</w:t>
      </w:r>
    </w:p>
    <w:p w:rsidR="00B81244" w:rsidRDefault="00B81244" w:rsidP="00C30752">
      <w:r>
        <w:t>The dataset represents one of the largest created for this orphan indication.</w:t>
      </w:r>
    </w:p>
    <w:p w:rsidR="00B81244" w:rsidRDefault="00B81244" w:rsidP="00C30752">
      <w:pPr>
        <w:pStyle w:val="TableTitle"/>
      </w:pPr>
      <w:r>
        <w:lastRenderedPageBreak/>
        <w:t xml:space="preserve">Table </w:t>
      </w:r>
      <w:r w:rsidR="000D7021">
        <w:t>1</w:t>
      </w:r>
      <w:r w:rsidR="001C0FCA">
        <w:t>6</w:t>
      </w:r>
      <w:r w:rsidR="0088179E">
        <w:t>.</w:t>
      </w:r>
      <w:r>
        <w:t xml:space="preserve"> Duration of exposure to study drug in sJIA and CAPS pooled groups</w:t>
      </w:r>
      <w:r w:rsidR="0088179E">
        <w:t xml:space="preserve"> </w:t>
      </w:r>
      <w:r w:rsidRPr="0088179E">
        <w:t>(Safety population)</w:t>
      </w:r>
    </w:p>
    <w:p w:rsidR="0088179E" w:rsidRPr="0088179E" w:rsidRDefault="0088179E" w:rsidP="00C30752">
      <w:r>
        <w:rPr>
          <w:noProof/>
          <w:lang w:eastAsia="en-AU"/>
        </w:rPr>
        <w:drawing>
          <wp:inline distT="0" distB="0" distL="0" distR="0" wp14:anchorId="7EF8433E" wp14:editId="1538967D">
            <wp:extent cx="3521708" cy="2662733"/>
            <wp:effectExtent l="0" t="0" r="3175" b="4445"/>
            <wp:docPr id="23" name="Picture 23" descr="Table 16. Duration of exposure to study drug in sJIA and CAPS pooled group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2413"/>
                    <a:stretch/>
                  </pic:blipFill>
                  <pic:spPr bwMode="auto">
                    <a:xfrm>
                      <a:off x="0" y="0"/>
                      <a:ext cx="3524972" cy="2665201"/>
                    </a:xfrm>
                    <a:prstGeom prst="rect">
                      <a:avLst/>
                    </a:prstGeom>
                    <a:ln>
                      <a:noFill/>
                    </a:ln>
                    <a:extLst>
                      <a:ext uri="{53640926-AAD7-44D8-BBD7-CCE9431645EC}">
                        <a14:shadowObscured xmlns:a14="http://schemas.microsoft.com/office/drawing/2010/main"/>
                      </a:ext>
                    </a:extLst>
                  </pic:spPr>
                </pic:pic>
              </a:graphicData>
            </a:graphic>
          </wp:inline>
        </w:drawing>
      </w:r>
    </w:p>
    <w:p w:rsidR="00B81244" w:rsidRPr="006C3624" w:rsidRDefault="000238F0" w:rsidP="000238F0">
      <w:pPr>
        <w:pStyle w:val="Numberbullet0"/>
        <w:ind w:left="284" w:hanging="284"/>
        <w:rPr>
          <w:i/>
        </w:rPr>
      </w:pPr>
      <w:r>
        <w:rPr>
          <w:i/>
        </w:rPr>
        <w:t xml:space="preserve"> </w:t>
      </w:r>
      <w:r w:rsidR="00B81244" w:rsidRPr="006C3624">
        <w:rPr>
          <w:i/>
        </w:rPr>
        <w:t>EU RMP and ASA versions – to be updated as condition of registration to address</w:t>
      </w:r>
      <w:r w:rsidR="00185884" w:rsidRPr="006C3624">
        <w:rPr>
          <w:i/>
        </w:rPr>
        <w:t xml:space="preserve"> </w:t>
      </w:r>
      <w:r w:rsidR="00B81244" w:rsidRPr="006C3624">
        <w:rPr>
          <w:i/>
        </w:rPr>
        <w:t>concerns by RMP evaluator.</w:t>
      </w:r>
    </w:p>
    <w:p w:rsidR="00B81244" w:rsidRDefault="00B81244" w:rsidP="00C30752">
      <w:r>
        <w:t>Novartis acknowledges the RMP evaluator</w:t>
      </w:r>
      <w:r w:rsidR="0088179E">
        <w:t>’s</w:t>
      </w:r>
      <w:r>
        <w:t xml:space="preserve"> concerns that the EU RMP v7.1 provided</w:t>
      </w:r>
      <w:r w:rsidR="00185884">
        <w:t xml:space="preserve"> </w:t>
      </w:r>
      <w:r>
        <w:t xml:space="preserve">with the response </w:t>
      </w:r>
      <w:r w:rsidR="006C3624">
        <w:t>to TGA’s</w:t>
      </w:r>
      <w:r>
        <w:t xml:space="preserve"> questions had a post-marketing data lock point which is more than</w:t>
      </w:r>
      <w:r w:rsidR="00185884">
        <w:t xml:space="preserve"> </w:t>
      </w:r>
      <w:r w:rsidR="0088179E">
        <w:t>12 months out of date</w:t>
      </w:r>
      <w:r>
        <w:t>.</w:t>
      </w:r>
    </w:p>
    <w:p w:rsidR="00B81244" w:rsidRDefault="00B81244" w:rsidP="00C30752">
      <w:r>
        <w:t>Novartis has amended the EU RMP to version 8.0 with a data lock point of 31</w:t>
      </w:r>
      <w:r w:rsidR="006C3624">
        <w:t xml:space="preserve"> </w:t>
      </w:r>
      <w:r>
        <w:t>Dec</w:t>
      </w:r>
      <w:r w:rsidR="006C3624">
        <w:t xml:space="preserve">ember </w:t>
      </w:r>
      <w:r>
        <w:t>2013</w:t>
      </w:r>
      <w:r w:rsidR="00185884">
        <w:t xml:space="preserve"> </w:t>
      </w:r>
      <w:r>
        <w:t>consistent with the latest available PSUR. Aside from the updated data lock point and</w:t>
      </w:r>
      <w:r w:rsidR="00185884">
        <w:t xml:space="preserve"> </w:t>
      </w:r>
      <w:r>
        <w:t>exposure data, the EU RMP has also moved opportunistic infections from a potential risk</w:t>
      </w:r>
      <w:r w:rsidR="00185884">
        <w:t xml:space="preserve"> </w:t>
      </w:r>
      <w:r>
        <w:t>to an identified risk; updated the missing information on</w:t>
      </w:r>
      <w:r w:rsidR="0088179E">
        <w:t xml:space="preserve"> ‘</w:t>
      </w:r>
      <w:r>
        <w:t>Pregnancy</w:t>
      </w:r>
      <w:r w:rsidR="0088179E">
        <w:t>’</w:t>
      </w:r>
      <w:r>
        <w:t xml:space="preserve"> as </w:t>
      </w:r>
      <w:r w:rsidR="0088179E">
        <w:t>‘</w:t>
      </w:r>
      <w:r>
        <w:t>Pregnancy and</w:t>
      </w:r>
      <w:r w:rsidR="00185884">
        <w:t xml:space="preserve"> </w:t>
      </w:r>
      <w:r>
        <w:t>lactation</w:t>
      </w:r>
      <w:r w:rsidR="0088179E">
        <w:t>’</w:t>
      </w:r>
      <w:r>
        <w:t>; and proposed the temporary suspension of the gouty arthritis registry (H2401)</w:t>
      </w:r>
      <w:r w:rsidR="00185884">
        <w:t xml:space="preserve"> </w:t>
      </w:r>
      <w:r>
        <w:t>due to limited utilisation in this indication.</w:t>
      </w:r>
    </w:p>
    <w:p w:rsidR="00B81244" w:rsidRDefault="00B81244" w:rsidP="00C30752">
      <w:r>
        <w:t>The updated EU RMP will be provided to the TGA when approved by EMA, together</w:t>
      </w:r>
      <w:r w:rsidR="00185884">
        <w:t xml:space="preserve"> </w:t>
      </w:r>
      <w:r>
        <w:t>with an updated ASA. The ASA will include information that</w:t>
      </w:r>
      <w:r w:rsidR="00185884">
        <w:t xml:space="preserve"> </w:t>
      </w:r>
      <w:r>
        <w:t>educational materials will be developed and submitted to the TGA for review and</w:t>
      </w:r>
      <w:r w:rsidR="00185884">
        <w:t xml:space="preserve"> </w:t>
      </w:r>
      <w:r>
        <w:t xml:space="preserve">approval prior to supply of </w:t>
      </w:r>
      <w:r w:rsidR="00547E46">
        <w:t>Ilaris</w:t>
      </w:r>
      <w:r>
        <w:t xml:space="preserve"> in Australia and instructions on how Australian</w:t>
      </w:r>
      <w:r w:rsidR="00185884">
        <w:t xml:space="preserve"> </w:t>
      </w:r>
      <w:r>
        <w:t>patients will be able to join relevant disease registries.</w:t>
      </w:r>
    </w:p>
    <w:p w:rsidR="00B81244" w:rsidRPr="006C3624" w:rsidRDefault="000238F0" w:rsidP="000238F0">
      <w:pPr>
        <w:pStyle w:val="Numberbullet0"/>
        <w:ind w:left="284" w:hanging="284"/>
        <w:rPr>
          <w:i/>
        </w:rPr>
      </w:pPr>
      <w:r>
        <w:rPr>
          <w:i/>
        </w:rPr>
        <w:t xml:space="preserve"> </w:t>
      </w:r>
      <w:r w:rsidR="00B81244" w:rsidRPr="006C3624">
        <w:rPr>
          <w:i/>
        </w:rPr>
        <w:t>Dosing instructions for CAPS indication – comment on ACSOM’s concern.</w:t>
      </w:r>
    </w:p>
    <w:p w:rsidR="00B81244" w:rsidRDefault="00B81244" w:rsidP="00C30752">
      <w:r>
        <w:t>Novartis had already discussed the dosage instructions for the CAPS indication with the</w:t>
      </w:r>
      <w:r w:rsidR="00185884">
        <w:t xml:space="preserve"> </w:t>
      </w:r>
      <w:r>
        <w:t>TGA</w:t>
      </w:r>
      <w:r w:rsidR="006C3624">
        <w:t>’</w:t>
      </w:r>
      <w:r>
        <w:t>s Delegate when finalising the PI for a separate application to extend the</w:t>
      </w:r>
      <w:r w:rsidR="00185884">
        <w:t xml:space="preserve"> </w:t>
      </w:r>
      <w:r>
        <w:t>patient population and dosing regimen for CAPS,</w:t>
      </w:r>
      <w:r w:rsidR="00185884">
        <w:t xml:space="preserve"> </w:t>
      </w:r>
      <w:r>
        <w:t>which was approved on 13</w:t>
      </w:r>
      <w:r w:rsidR="006C3624">
        <w:t xml:space="preserve"> </w:t>
      </w:r>
      <w:r>
        <w:t>February</w:t>
      </w:r>
      <w:r w:rsidR="006C3624">
        <w:t xml:space="preserve"> </w:t>
      </w:r>
      <w:r>
        <w:t>2014.</w:t>
      </w:r>
    </w:p>
    <w:p w:rsidR="00B81244" w:rsidRPr="006C3624" w:rsidRDefault="000238F0" w:rsidP="000238F0">
      <w:pPr>
        <w:pStyle w:val="Numberbullet0"/>
        <w:ind w:left="284" w:hanging="284"/>
        <w:rPr>
          <w:i/>
        </w:rPr>
      </w:pPr>
      <w:r>
        <w:rPr>
          <w:i/>
        </w:rPr>
        <w:t xml:space="preserve"> </w:t>
      </w:r>
      <w:r w:rsidR="00B81244" w:rsidRPr="006C3624">
        <w:rPr>
          <w:i/>
        </w:rPr>
        <w:t>Australian education materials – response on availability and content.</w:t>
      </w:r>
    </w:p>
    <w:p w:rsidR="00B81244" w:rsidRDefault="00B81244" w:rsidP="00C30752">
      <w:pPr>
        <w:rPr>
          <w:rFonts w:hAnsiTheme="minorHAnsi"/>
        </w:rPr>
      </w:pPr>
      <w:r>
        <w:t>In Novartis</w:t>
      </w:r>
      <w:r w:rsidR="00856969">
        <w:t>’</w:t>
      </w:r>
      <w:r>
        <w:t xml:space="preserve"> response to the RMP evaluator</w:t>
      </w:r>
      <w:r w:rsidR="00856969">
        <w:t>’</w:t>
      </w:r>
      <w:r>
        <w:t>s recommendation (</w:t>
      </w:r>
      <w:r w:rsidR="00856969">
        <w:t>I</w:t>
      </w:r>
      <w:r>
        <w:t>tem #12.a-d), Novartis</w:t>
      </w:r>
      <w:r w:rsidR="00185884">
        <w:t xml:space="preserve"> </w:t>
      </w:r>
      <w:r>
        <w:t>agreed that Australian</w:t>
      </w:r>
      <w:r w:rsidR="00856969">
        <w:t xml:space="preserve"> </w:t>
      </w:r>
      <w:r>
        <w:t>specific educational material for physicians, patients and carers of</w:t>
      </w:r>
      <w:r w:rsidR="00185884">
        <w:t xml:space="preserve"> </w:t>
      </w:r>
      <w:r>
        <w:t xml:space="preserve">paediatric patients will be developed and submitted for approval by the </w:t>
      </w:r>
      <w:r w:rsidR="00856969">
        <w:t xml:space="preserve">TGA’s </w:t>
      </w:r>
      <w:r>
        <w:t>Office of Product</w:t>
      </w:r>
      <w:r w:rsidR="00856969">
        <w:t xml:space="preserve"> </w:t>
      </w:r>
      <w:r>
        <w:rPr>
          <w:rFonts w:hAnsiTheme="minorHAnsi"/>
        </w:rPr>
        <w:t>Review prior to supply of Ilaris in Australia. Novartis will advise</w:t>
      </w:r>
      <w:r w:rsidR="00185884">
        <w:rPr>
          <w:rFonts w:hAnsiTheme="minorHAnsi"/>
        </w:rPr>
        <w:t xml:space="preserve"> </w:t>
      </w:r>
      <w:r>
        <w:rPr>
          <w:rFonts w:hAnsiTheme="minorHAnsi"/>
        </w:rPr>
        <w:t>the TGA of the planned</w:t>
      </w:r>
      <w:r w:rsidR="00185884">
        <w:rPr>
          <w:rFonts w:hAnsiTheme="minorHAnsi"/>
        </w:rPr>
        <w:t xml:space="preserve"> </w:t>
      </w:r>
      <w:r>
        <w:rPr>
          <w:rFonts w:hAnsiTheme="minorHAnsi"/>
        </w:rPr>
        <w:t xml:space="preserve">date for supply of </w:t>
      </w:r>
      <w:r w:rsidR="00547E46">
        <w:rPr>
          <w:rFonts w:hAnsiTheme="minorHAnsi"/>
        </w:rPr>
        <w:t>Ilaris</w:t>
      </w:r>
      <w:r>
        <w:rPr>
          <w:rFonts w:hAnsiTheme="minorHAnsi"/>
        </w:rPr>
        <w:t xml:space="preserve"> in Australia.</w:t>
      </w:r>
    </w:p>
    <w:p w:rsidR="00B81244" w:rsidRDefault="00B81244" w:rsidP="00C30752">
      <w:r>
        <w:t>These educational materials will be made available to physicians, patients and the carer</w:t>
      </w:r>
      <w:r w:rsidR="00856969">
        <w:t>s</w:t>
      </w:r>
      <w:r w:rsidR="00185884">
        <w:t xml:space="preserve"> </w:t>
      </w:r>
      <w:r w:rsidR="00C065A3">
        <w:t xml:space="preserve">of the patients </w:t>
      </w:r>
      <w:r>
        <w:t>at the time of supply. Effectiveness and/or usefulness of the education materials for sJIA</w:t>
      </w:r>
      <w:r w:rsidR="00185884">
        <w:t xml:space="preserve"> </w:t>
      </w:r>
      <w:r>
        <w:t>will be evaluated through planned assessment of PSURs, where changes in the pattern of the RMP risks and all safety topics are closely</w:t>
      </w:r>
      <w:r w:rsidR="00185884">
        <w:t xml:space="preserve"> </w:t>
      </w:r>
      <w:r>
        <w:t>monitored.</w:t>
      </w:r>
    </w:p>
    <w:p w:rsidR="00B81244" w:rsidRPr="00856969" w:rsidRDefault="000238F0" w:rsidP="00C2681F">
      <w:pPr>
        <w:pStyle w:val="Numberbullet0"/>
        <w:keepNext/>
        <w:ind w:left="284" w:hanging="284"/>
        <w:rPr>
          <w:i/>
        </w:rPr>
      </w:pPr>
      <w:r>
        <w:rPr>
          <w:i/>
        </w:rPr>
        <w:lastRenderedPageBreak/>
        <w:t xml:space="preserve"> </w:t>
      </w:r>
      <w:r w:rsidR="00B81244" w:rsidRPr="00856969">
        <w:rPr>
          <w:i/>
        </w:rPr>
        <w:t>Provision of outstanding clinical study protocols/synopses and reports to TGA</w:t>
      </w:r>
    </w:p>
    <w:p w:rsidR="00B81244" w:rsidRDefault="00B81244" w:rsidP="00C30752">
      <w:r>
        <w:t>Novartis generally submits new clinical study reports as part of Category 1 applications or</w:t>
      </w:r>
      <w:r w:rsidR="00185884">
        <w:t xml:space="preserve"> </w:t>
      </w:r>
      <w:r>
        <w:t>safety-related requests (with data) to include new information in the PI or extend the</w:t>
      </w:r>
      <w:r w:rsidR="00185884">
        <w:t xml:space="preserve"> </w:t>
      </w:r>
      <w:r>
        <w:t>approved use of the medicine. Novartis would be willing to provide copies of these reports</w:t>
      </w:r>
      <w:r w:rsidR="0088179E">
        <w:t xml:space="preserve"> </w:t>
      </w:r>
      <w:r>
        <w:t>once available and upon request by the TGA.</w:t>
      </w:r>
    </w:p>
    <w:p w:rsidR="00B81244" w:rsidRDefault="00B81244" w:rsidP="00C30752">
      <w:pPr>
        <w:pStyle w:val="Heading5"/>
        <w:rPr>
          <w:rFonts w:eastAsia="TimesNewRomanPSMT"/>
        </w:rPr>
      </w:pPr>
      <w:r>
        <w:rPr>
          <w:rFonts w:eastAsia="TimesNewRomanPSMT"/>
        </w:rPr>
        <w:t xml:space="preserve">Risk </w:t>
      </w:r>
      <w:r w:rsidR="00C30752">
        <w:rPr>
          <w:rFonts w:eastAsia="TimesNewRomanPSMT"/>
        </w:rPr>
        <w:t>m</w:t>
      </w:r>
      <w:r>
        <w:rPr>
          <w:rFonts w:eastAsia="TimesNewRomanPSMT"/>
        </w:rPr>
        <w:t xml:space="preserve">anagement </w:t>
      </w:r>
      <w:r w:rsidR="00C30752">
        <w:rPr>
          <w:rFonts w:eastAsia="TimesNewRomanPSMT"/>
        </w:rPr>
        <w:t>p</w:t>
      </w:r>
      <w:r>
        <w:rPr>
          <w:rFonts w:eastAsia="TimesNewRomanPSMT"/>
        </w:rPr>
        <w:t>lan</w:t>
      </w:r>
    </w:p>
    <w:p w:rsidR="00B81244" w:rsidRDefault="00B81244" w:rsidP="00C30752">
      <w:r>
        <w:t>The safety profile of canakinumab is established in clinical studies and postmarketing</w:t>
      </w:r>
      <w:r w:rsidR="00185884">
        <w:t xml:space="preserve"> </w:t>
      </w:r>
      <w:r>
        <w:t>reviews for various indications, and will be managed through RMP activities.</w:t>
      </w:r>
    </w:p>
    <w:p w:rsidR="00B81244" w:rsidRDefault="00B81244" w:rsidP="00C30752">
      <w:r>
        <w:t xml:space="preserve">Novartis recognises that like most monoclonal antibodies, </w:t>
      </w:r>
      <w:r w:rsidR="00547E46">
        <w:t>Ilaris</w:t>
      </w:r>
      <w:r>
        <w:t xml:space="preserve"> has known and potential</w:t>
      </w:r>
      <w:r w:rsidR="00185884">
        <w:t xml:space="preserve"> </w:t>
      </w:r>
      <w:r>
        <w:t>risks, including increased incidence of serious and opportunistic infections. Relevant</w:t>
      </w:r>
      <w:r w:rsidR="00185884">
        <w:t xml:space="preserve"> </w:t>
      </w:r>
      <w:r>
        <w:t>warnings and precautions have been included in the Australian PI to ensure that the safety of</w:t>
      </w:r>
      <w:r w:rsidR="00185884">
        <w:t xml:space="preserve"> </w:t>
      </w:r>
      <w:r>
        <w:t>patients is taken into account, when treatment is initiated and maintained for the approved</w:t>
      </w:r>
      <w:r w:rsidR="00185884">
        <w:t xml:space="preserve"> </w:t>
      </w:r>
      <w:r>
        <w:t>Indications.</w:t>
      </w:r>
    </w:p>
    <w:p w:rsidR="00B81244" w:rsidRDefault="00B81244" w:rsidP="00C30752">
      <w:r>
        <w:t xml:space="preserve">Novartis acknowledges that the orphan Indications for </w:t>
      </w:r>
      <w:r w:rsidR="00547E46">
        <w:t>Ilaris</w:t>
      </w:r>
      <w:r>
        <w:t xml:space="preserve"> means limited exposure to</w:t>
      </w:r>
      <w:r w:rsidR="00185884">
        <w:t xml:space="preserve"> </w:t>
      </w:r>
      <w:r w:rsidR="00547E46">
        <w:t>Ilaris</w:t>
      </w:r>
      <w:r>
        <w:t xml:space="preserve"> but will continue to update its safety database and risk management as additional</w:t>
      </w:r>
      <w:r w:rsidR="00185884">
        <w:t xml:space="preserve"> </w:t>
      </w:r>
      <w:r>
        <w:t>patients use the drug during clinical studies and the postmarketing period.</w:t>
      </w:r>
    </w:p>
    <w:p w:rsidR="00B81244" w:rsidRDefault="00B81244" w:rsidP="00856969">
      <w:r>
        <w:t xml:space="preserve">Safe and effective use of </w:t>
      </w:r>
      <w:r w:rsidR="0088179E">
        <w:t xml:space="preserve">Ilaris </w:t>
      </w:r>
      <w:r>
        <w:t>by patients with sJIA and CAPS will be promoted</w:t>
      </w:r>
      <w:r w:rsidR="0088179E">
        <w:t xml:space="preserve"> </w:t>
      </w:r>
      <w:r>
        <w:t>through educational materials for physicians, patients and their carer</w:t>
      </w:r>
      <w:r w:rsidR="00856969">
        <w:t>s</w:t>
      </w:r>
      <w:r>
        <w:t>.</w:t>
      </w:r>
    </w:p>
    <w:p w:rsidR="00B81244" w:rsidRDefault="0088179E" w:rsidP="00C30752">
      <w:pPr>
        <w:pStyle w:val="Heading3"/>
        <w:rPr>
          <w:rFonts w:eastAsia="TimesNewRomanPSMT"/>
        </w:rPr>
      </w:pPr>
      <w:r>
        <w:rPr>
          <w:rFonts w:eastAsia="TimesNewRomanPSMT"/>
        </w:rPr>
        <w:t>Conclusion</w:t>
      </w:r>
    </w:p>
    <w:p w:rsidR="00B81244" w:rsidRDefault="00B81244" w:rsidP="00C30752">
      <w:r>
        <w:t>Novartis believes that the overall clinical data available represents a positive benefit/risk ratio</w:t>
      </w:r>
      <w:r w:rsidR="00185884">
        <w:t xml:space="preserve"> </w:t>
      </w:r>
      <w:r>
        <w:t xml:space="preserve">for </w:t>
      </w:r>
      <w:r w:rsidR="00547E46">
        <w:t>Ilaris</w:t>
      </w:r>
      <w:r>
        <w:t xml:space="preserve"> in the treatment of sJIA, as requested by our application to extend its Indications.</w:t>
      </w:r>
      <w:r w:rsidR="0088179E">
        <w:t xml:space="preserve"> </w:t>
      </w:r>
      <w:r>
        <w:t>Furthermore, Novartis is of the opinion that:</w:t>
      </w:r>
    </w:p>
    <w:p w:rsidR="00B81244" w:rsidRDefault="00B81244" w:rsidP="00C30752">
      <w:pPr>
        <w:pStyle w:val="ListBullet"/>
      </w:pPr>
      <w:r>
        <w:t>The issue on definition of flares and resulting analysis does not diminish the findings</w:t>
      </w:r>
      <w:r w:rsidR="00185884">
        <w:t xml:space="preserve"> </w:t>
      </w:r>
      <w:r>
        <w:t>from the pivotal studies that canakinumab provides sustained benefit to patients;</w:t>
      </w:r>
    </w:p>
    <w:p w:rsidR="00B81244" w:rsidRDefault="00B81244" w:rsidP="00C30752">
      <w:pPr>
        <w:pStyle w:val="ListBullet"/>
      </w:pPr>
      <w:r>
        <w:t>The responses to the Delegate</w:t>
      </w:r>
      <w:r w:rsidR="00856969">
        <w:t>’</w:t>
      </w:r>
      <w:r>
        <w:t>s specific questions addresses any lingering concerns</w:t>
      </w:r>
      <w:r w:rsidR="00185884">
        <w:t xml:space="preserve"> </w:t>
      </w:r>
      <w:r>
        <w:t>and reaffirms the Delegate</w:t>
      </w:r>
      <w:r w:rsidR="00856969">
        <w:t>’</w:t>
      </w:r>
      <w:r>
        <w:t>s view of canakinumab having an overall positive</w:t>
      </w:r>
      <w:r w:rsidR="00185884">
        <w:t xml:space="preserve"> </w:t>
      </w:r>
      <w:r>
        <w:t>benefit/risk profile in sJIA;</w:t>
      </w:r>
    </w:p>
    <w:p w:rsidR="00B81244" w:rsidRDefault="0088179E" w:rsidP="00C30752">
      <w:pPr>
        <w:pStyle w:val="ListBullet"/>
      </w:pPr>
      <w:r>
        <w:t>T</w:t>
      </w:r>
      <w:r w:rsidR="00B81244">
        <w:t>he Indications should be suitably worded to allow effective management in clinical</w:t>
      </w:r>
      <w:r w:rsidR="00185884">
        <w:t xml:space="preserve"> </w:t>
      </w:r>
      <w:r w:rsidR="00B81244">
        <w:t>practice.</w:t>
      </w:r>
    </w:p>
    <w:p w:rsidR="00B81244" w:rsidRDefault="00B81244" w:rsidP="00C30752">
      <w:r>
        <w:t>Novartis accepts the Delegate</w:t>
      </w:r>
      <w:r w:rsidR="0088179E">
        <w:t>’</w:t>
      </w:r>
      <w:r>
        <w:t>s comments to clarify the wording of the patient population in</w:t>
      </w:r>
      <w:r w:rsidR="00185884">
        <w:t xml:space="preserve"> </w:t>
      </w:r>
      <w:r>
        <w:t>the Indications section, and proposes the amended Indications</w:t>
      </w:r>
      <w:r w:rsidR="00185884">
        <w:t xml:space="preserve"> </w:t>
      </w:r>
      <w:r>
        <w:t>as:</w:t>
      </w:r>
    </w:p>
    <w:p w:rsidR="00B81244" w:rsidRPr="0088179E" w:rsidRDefault="0088179E" w:rsidP="006F67A2">
      <w:pPr>
        <w:ind w:left="360"/>
        <w:rPr>
          <w:i/>
        </w:rPr>
      </w:pPr>
      <w:r w:rsidRPr="0088179E">
        <w:rPr>
          <w:i/>
        </w:rPr>
        <w:t xml:space="preserve">Ilaris </w:t>
      </w:r>
      <w:r w:rsidR="00B81244" w:rsidRPr="0088179E">
        <w:rPr>
          <w:i/>
        </w:rPr>
        <w:t>is indicated for the treatment of Cryopyrin-Associated Periodic Syndromes</w:t>
      </w:r>
      <w:r w:rsidR="006F67A2">
        <w:rPr>
          <w:i/>
        </w:rPr>
        <w:t xml:space="preserve"> </w:t>
      </w:r>
      <w:r w:rsidR="00B81244" w:rsidRPr="0088179E">
        <w:rPr>
          <w:i/>
        </w:rPr>
        <w:t>(CAPS), in adults and children 2 years or older including:</w:t>
      </w:r>
    </w:p>
    <w:p w:rsidR="00B81244" w:rsidRPr="00E5614D" w:rsidRDefault="00B81244" w:rsidP="00CD5880">
      <w:pPr>
        <w:pStyle w:val="ListBullet"/>
        <w:ind w:left="851"/>
      </w:pPr>
      <w:r w:rsidRPr="00E5614D">
        <w:t>Familial Cold Autoinflammatory Syndrome (FCAS)</w:t>
      </w:r>
      <w:r w:rsidR="00404BA5" w:rsidRPr="00E5614D">
        <w:t>/</w:t>
      </w:r>
      <w:r w:rsidRPr="00E5614D">
        <w:t>Familial Cold Urticaria (FCU)</w:t>
      </w:r>
    </w:p>
    <w:p w:rsidR="00B81244" w:rsidRPr="006F67A2" w:rsidRDefault="00B81244" w:rsidP="00CD5880">
      <w:pPr>
        <w:pStyle w:val="ListBullet"/>
        <w:ind w:left="851"/>
      </w:pPr>
      <w:r w:rsidRPr="006F67A2">
        <w:t>Muckle-Wells Syndrome (MWS)</w:t>
      </w:r>
    </w:p>
    <w:p w:rsidR="00B81244" w:rsidRPr="006F67A2" w:rsidRDefault="00B81244" w:rsidP="00CD5880">
      <w:pPr>
        <w:pStyle w:val="ListBullet"/>
        <w:ind w:left="851"/>
      </w:pPr>
      <w:r w:rsidRPr="006F67A2">
        <w:t>Neonatal-Onset Multisystem Inflammatory Disease (NOMID)</w:t>
      </w:r>
      <w:r w:rsidR="00404BA5" w:rsidRPr="006F67A2">
        <w:t>/</w:t>
      </w:r>
      <w:r w:rsidRPr="006F67A2">
        <w:t>Chronic Infantile</w:t>
      </w:r>
    </w:p>
    <w:p w:rsidR="00B81244" w:rsidRPr="006F67A2" w:rsidRDefault="00B81244" w:rsidP="00CD5880">
      <w:pPr>
        <w:pStyle w:val="ListBullet"/>
        <w:ind w:left="851"/>
      </w:pPr>
      <w:r w:rsidRPr="006F67A2">
        <w:t>Neurological, Cutaneous, Articular Syndrome (CINCA)</w:t>
      </w:r>
    </w:p>
    <w:p w:rsidR="00B81244" w:rsidRPr="0088179E" w:rsidRDefault="0088179E" w:rsidP="006F67A2">
      <w:pPr>
        <w:ind w:left="360"/>
        <w:rPr>
          <w:i/>
        </w:rPr>
      </w:pPr>
      <w:r w:rsidRPr="0088179E">
        <w:rPr>
          <w:i/>
        </w:rPr>
        <w:t xml:space="preserve">Ilaris </w:t>
      </w:r>
      <w:r w:rsidR="00B81244" w:rsidRPr="0088179E">
        <w:rPr>
          <w:i/>
        </w:rPr>
        <w:t>is indicated for the treatment of active Systemic Juvenile Idiopathic Arthritis</w:t>
      </w:r>
      <w:r>
        <w:rPr>
          <w:i/>
        </w:rPr>
        <w:t xml:space="preserve"> </w:t>
      </w:r>
      <w:r w:rsidR="00B81244" w:rsidRPr="0088179E">
        <w:rPr>
          <w:i/>
        </w:rPr>
        <w:t>(sJIA) in patients aged 2 years or older.</w:t>
      </w:r>
    </w:p>
    <w:p w:rsidR="00B81244" w:rsidRDefault="0088179E" w:rsidP="00C30752">
      <w:r>
        <w:t>The sponsor</w:t>
      </w:r>
      <w:r w:rsidR="00B81244">
        <w:t xml:space="preserve"> provide</w:t>
      </w:r>
      <w:r>
        <w:t>s</w:t>
      </w:r>
      <w:r w:rsidR="00B81244">
        <w:t xml:space="preserve"> an assurance to work with the TGA in considering further amendments to the PI</w:t>
      </w:r>
      <w:r w:rsidR="00185884">
        <w:t xml:space="preserve"> </w:t>
      </w:r>
      <w:r w:rsidR="00B81244">
        <w:t>and any specific conditions of registration during the post-ACPM stage.</w:t>
      </w:r>
    </w:p>
    <w:p w:rsidR="008E7846" w:rsidRDefault="00CD5880" w:rsidP="00C30752">
      <w:pPr>
        <w:pStyle w:val="Heading4"/>
      </w:pPr>
      <w:r>
        <w:lastRenderedPageBreak/>
        <w:t>Advisory c</w:t>
      </w:r>
      <w:r w:rsidR="008E7846">
        <w:t xml:space="preserve">ommittee </w:t>
      </w:r>
      <w:r>
        <w:t>c</w:t>
      </w:r>
      <w:r w:rsidR="008E7846">
        <w:t>onsiderations</w:t>
      </w:r>
    </w:p>
    <w:p w:rsidR="008E7846" w:rsidRDefault="00D23139" w:rsidP="00C30752">
      <w:r w:rsidRPr="00D23139">
        <w:t>The Advisory Committee on Prescription Medicines (ACPM), having considered the evaluations and the Delegate’s overview, as well as the sponsor’s response to these documents, advised the following:</w:t>
      </w:r>
    </w:p>
    <w:p w:rsidR="00B81244" w:rsidRPr="002848CC" w:rsidRDefault="00B81244" w:rsidP="00C30752">
      <w:r w:rsidRPr="002848CC">
        <w:t xml:space="preserve">The submission seeks to </w:t>
      </w:r>
      <w:r>
        <w:t>register an e</w:t>
      </w:r>
      <w:r w:rsidRPr="006B5896">
        <w:rPr>
          <w:noProof/>
        </w:rPr>
        <w:t>xtension of indications</w:t>
      </w:r>
      <w:r>
        <w:t xml:space="preserve"> </w:t>
      </w:r>
      <w:r w:rsidRPr="00EA501C">
        <w:t>for a currently registered product.</w:t>
      </w:r>
    </w:p>
    <w:p w:rsidR="00B81244" w:rsidRPr="006F67A2" w:rsidRDefault="00B81244" w:rsidP="00C30752">
      <w:r w:rsidRPr="000234D9">
        <w:t xml:space="preserve">The ACPM, taking into account the submitted evidence of efficacy, safety and quality, agreed with the delegate and considered </w:t>
      </w:r>
      <w:r w:rsidR="006F67A2" w:rsidRPr="000234D9">
        <w:rPr>
          <w:bCs/>
          <w:noProof/>
        </w:rPr>
        <w:t>Ilaris</w:t>
      </w:r>
      <w:r w:rsidR="006F67A2" w:rsidRPr="000234D9">
        <w:t xml:space="preserve"> </w:t>
      </w:r>
      <w:r w:rsidRPr="000234D9">
        <w:rPr>
          <w:bCs/>
          <w:noProof/>
        </w:rPr>
        <w:t>powder for injection</w:t>
      </w:r>
      <w:r w:rsidRPr="000234D9">
        <w:rPr>
          <w:bCs/>
        </w:rPr>
        <w:t xml:space="preserve"> containing </w:t>
      </w:r>
      <w:r w:rsidRPr="000234D9">
        <w:rPr>
          <w:bCs/>
          <w:noProof/>
        </w:rPr>
        <w:t>150 mg</w:t>
      </w:r>
      <w:r w:rsidRPr="000234D9">
        <w:rPr>
          <w:bCs/>
        </w:rPr>
        <w:t xml:space="preserve"> of </w:t>
      </w:r>
      <w:r w:rsidRPr="000234D9">
        <w:rPr>
          <w:bCs/>
          <w:noProof/>
        </w:rPr>
        <w:t>Canakinumab</w:t>
      </w:r>
      <w:r w:rsidRPr="000234D9">
        <w:rPr>
          <w:b/>
          <w:bCs/>
        </w:rPr>
        <w:t xml:space="preserve"> </w:t>
      </w:r>
      <w:r w:rsidRPr="000234D9">
        <w:t>to have an overall positiv</w:t>
      </w:r>
      <w:r w:rsidR="006F67A2">
        <w:t>e benefit–risk profile for the D</w:t>
      </w:r>
      <w:r w:rsidRPr="000234D9">
        <w:t>elegate’s amended indication</w:t>
      </w:r>
      <w:r w:rsidR="006F67A2" w:rsidRPr="006F67A2">
        <w:t>;</w:t>
      </w:r>
    </w:p>
    <w:p w:rsidR="00B81244" w:rsidRPr="005A0FD7" w:rsidRDefault="006F67A2" w:rsidP="00B81244">
      <w:pPr>
        <w:spacing w:after="240"/>
        <w:ind w:left="567"/>
        <w:rPr>
          <w:rFonts w:cs="Calibri"/>
          <w:bCs/>
          <w:i/>
        </w:rPr>
      </w:pPr>
      <w:r w:rsidRPr="005A0FD7">
        <w:rPr>
          <w:rFonts w:cs="Calibri"/>
          <w:i/>
        </w:rPr>
        <w:t xml:space="preserve">Ilaris </w:t>
      </w:r>
      <w:r w:rsidR="00B81244" w:rsidRPr="005A0FD7">
        <w:rPr>
          <w:rFonts w:cs="Calibri"/>
          <w:i/>
        </w:rPr>
        <w:t>is indicated for the treatment of active Systemic Juvenile Idiopathic Arthritis (sJIA) in patients aged 2 years and older</w:t>
      </w:r>
      <w:r w:rsidR="00B81244">
        <w:rPr>
          <w:rFonts w:cs="Calibri"/>
          <w:i/>
        </w:rPr>
        <w:t>.</w:t>
      </w:r>
    </w:p>
    <w:p w:rsidR="00B81244" w:rsidRPr="002848CC" w:rsidRDefault="00B81244" w:rsidP="00C30752">
      <w:pPr>
        <w:pStyle w:val="Heading4"/>
      </w:pPr>
      <w:r w:rsidRPr="002848CC">
        <w:t>Proposed conditions of registration:</w:t>
      </w:r>
    </w:p>
    <w:p w:rsidR="00B81244" w:rsidRDefault="00B81244" w:rsidP="00C30752">
      <w:r w:rsidRPr="002848CC">
        <w:rPr>
          <w:rFonts w:cs="Calibri"/>
          <w:color w:val="000000" w:themeColor="text1"/>
        </w:rPr>
        <w:t>T</w:t>
      </w:r>
      <w:r w:rsidRPr="002848CC">
        <w:t xml:space="preserve">he ACPM agreed with the </w:t>
      </w:r>
      <w:r w:rsidR="006F67A2">
        <w:t>D</w:t>
      </w:r>
      <w:r w:rsidRPr="002848CC">
        <w:t>elegate on the proposed conditions of registration and specifically advised</w:t>
      </w:r>
      <w:r>
        <w:t>;</w:t>
      </w:r>
    </w:p>
    <w:p w:rsidR="00B81244" w:rsidRPr="003D2767" w:rsidRDefault="00B81244" w:rsidP="00C30752">
      <w:pPr>
        <w:pStyle w:val="ListBullet"/>
      </w:pPr>
      <w:r>
        <w:t>O</w:t>
      </w:r>
      <w:r w:rsidRPr="00A060D2">
        <w:t xml:space="preserve">n the </w:t>
      </w:r>
      <w:r w:rsidRPr="003D2767">
        <w:t>need for the submission of the dose reduction study among any other trials to be completed.</w:t>
      </w:r>
    </w:p>
    <w:p w:rsidR="00B81244" w:rsidRPr="00A060D2" w:rsidRDefault="00B81244" w:rsidP="00C30752">
      <w:pPr>
        <w:pStyle w:val="ListBullet"/>
      </w:pPr>
      <w:r w:rsidRPr="003D2767">
        <w:t>The ACPM was strongly supportive that the TGA should see the proposed educational material</w:t>
      </w:r>
      <w:r w:rsidR="00C30752">
        <w:t>s before supply of the product.</w:t>
      </w:r>
    </w:p>
    <w:p w:rsidR="00B81244" w:rsidRPr="00F74690" w:rsidRDefault="00B81244" w:rsidP="00C30752">
      <w:pPr>
        <w:pStyle w:val="Heading4"/>
        <w:rPr>
          <w:u w:val="single"/>
        </w:rPr>
      </w:pPr>
      <w:r w:rsidRPr="00F74690">
        <w:t xml:space="preserve">Proposed </w:t>
      </w:r>
      <w:r>
        <w:t>Product Information (</w:t>
      </w:r>
      <w:r w:rsidRPr="00F74690">
        <w:t>PI</w:t>
      </w:r>
      <w:r>
        <w:t>)</w:t>
      </w:r>
      <w:r w:rsidRPr="00F74690">
        <w:t>/</w:t>
      </w:r>
      <w:r>
        <w:t>Consumer Medicine Information (</w:t>
      </w:r>
      <w:r w:rsidRPr="00F74690">
        <w:t>CMI</w:t>
      </w:r>
      <w:r>
        <w:t>)</w:t>
      </w:r>
      <w:r w:rsidRPr="00F74690">
        <w:t xml:space="preserve"> amendments:</w:t>
      </w:r>
    </w:p>
    <w:p w:rsidR="00B81244" w:rsidRPr="002848CC" w:rsidRDefault="00B81244" w:rsidP="00C30752">
      <w:r w:rsidRPr="002848CC">
        <w:t xml:space="preserve">The ACPM agreed with the </w:t>
      </w:r>
      <w:r w:rsidR="006F67A2">
        <w:t>D</w:t>
      </w:r>
      <w:r w:rsidRPr="002848CC">
        <w:t xml:space="preserve">elegate to the proposed amendments to the Product Information (PI) and Consumer Medicine Information (CMI) and specifically advised on </w:t>
      </w:r>
      <w:r w:rsidR="00C30752">
        <w:t>the inclusion of the following:</w:t>
      </w:r>
    </w:p>
    <w:p w:rsidR="00B81244" w:rsidRPr="006F67A2" w:rsidRDefault="00B81244" w:rsidP="000620D7">
      <w:pPr>
        <w:pStyle w:val="Numberbullet0"/>
        <w:numPr>
          <w:ilvl w:val="0"/>
          <w:numId w:val="18"/>
        </w:numPr>
        <w:ind w:left="426" w:hanging="426"/>
      </w:pPr>
      <w:r w:rsidRPr="006F67A2">
        <w:t>A statement of the incidence of Macrophage Activation Syndrome (MAS) should be reported in the clinical trials section.</w:t>
      </w:r>
    </w:p>
    <w:p w:rsidR="00B81244" w:rsidRPr="006F67A2" w:rsidRDefault="00B81244" w:rsidP="006F67A2">
      <w:pPr>
        <w:pStyle w:val="Numberbullet0"/>
        <w:ind w:left="426" w:hanging="426"/>
      </w:pPr>
      <w:r w:rsidRPr="006F67A2">
        <w:t xml:space="preserve">A statement in the </w:t>
      </w:r>
      <w:r w:rsidR="006F67A2">
        <w:t>P</w:t>
      </w:r>
      <w:r w:rsidRPr="006F67A2">
        <w:t xml:space="preserve">recautions and </w:t>
      </w:r>
      <w:r w:rsidR="006F67A2">
        <w:t>A</w:t>
      </w:r>
      <w:r w:rsidRPr="006F67A2">
        <w:t xml:space="preserve">dverse events sections in the PI and relevant sections of the CMI should make clear that MAS appears to be a continuing risk during canakinumab therapy. The statement suggested in the clinical evaluation report </w:t>
      </w:r>
      <w:r w:rsidR="006F67A2">
        <w:t>c</w:t>
      </w:r>
      <w:r w:rsidRPr="006F67A2">
        <w:t>anakinumab does not prevent MAS, even in patients whose underlying sJIA is well controlled with this treatment is recommended for the PI.</w:t>
      </w:r>
    </w:p>
    <w:p w:rsidR="00B81244" w:rsidRPr="006F67A2" w:rsidRDefault="00B81244" w:rsidP="006F67A2">
      <w:pPr>
        <w:pStyle w:val="Numberbullet0"/>
        <w:ind w:left="426" w:hanging="426"/>
      </w:pPr>
      <w:r w:rsidRPr="006F67A2">
        <w:t>Pending the planned study of dose reduction, the sponsor should provide more detail about experience to date with attempts at dose reduction and provide guidance for clinicians when patients have responded well to treatment.</w:t>
      </w:r>
    </w:p>
    <w:p w:rsidR="00B81244" w:rsidRPr="006F67A2" w:rsidRDefault="00B81244" w:rsidP="006F67A2">
      <w:pPr>
        <w:pStyle w:val="Numberbullet0"/>
        <w:ind w:left="426" w:hanging="426"/>
      </w:pPr>
      <w:r w:rsidRPr="006F67A2">
        <w:t xml:space="preserve">The PI should include the maximum time until benefit is seen and provide guidance on when to cease canakinumab if no clinical benefit is seen. It is recommended that the sponsor include details from the clinical trial data of the longest latent period observed before which a benefit was perceived. A definition of </w:t>
      </w:r>
      <w:r w:rsidR="00186C14" w:rsidRPr="006F67A2">
        <w:t>‘</w:t>
      </w:r>
      <w:r w:rsidRPr="006F67A2">
        <w:t>benefit</w:t>
      </w:r>
      <w:r w:rsidR="00186C14" w:rsidRPr="006F67A2">
        <w:t>’</w:t>
      </w:r>
      <w:r w:rsidRPr="006F67A2">
        <w:t xml:space="preserve"> should also be included, such as a sustained benefit which would satisfy the primary endpoint of the study.</w:t>
      </w:r>
    </w:p>
    <w:p w:rsidR="00B81244" w:rsidRPr="006F67A2" w:rsidRDefault="00B81244" w:rsidP="006F67A2">
      <w:pPr>
        <w:pStyle w:val="Numberbullet0"/>
        <w:ind w:left="426" w:hanging="426"/>
      </w:pPr>
      <w:r w:rsidRPr="006F67A2">
        <w:t>The statement in the PI that concomitant treatment with TNF inhibitors is not recommended as it may increase the risk of serious infection should be expanded to contraindicate canakinumab in combination with tocilizumab, which is also indicated for sJIA. Despite the apparent lack of data, that combination would not be recommended for similar reasons.</w:t>
      </w:r>
    </w:p>
    <w:p w:rsidR="00B81244" w:rsidRPr="000238F0" w:rsidRDefault="00B81244" w:rsidP="006F67A2">
      <w:pPr>
        <w:pStyle w:val="Numberbullet0"/>
        <w:ind w:left="426" w:hanging="426"/>
      </w:pPr>
      <w:r w:rsidRPr="006F67A2">
        <w:lastRenderedPageBreak/>
        <w:t xml:space="preserve">The statement proposed for the Dosage and </w:t>
      </w:r>
      <w:r w:rsidR="006F67A2" w:rsidRPr="006F67A2">
        <w:t xml:space="preserve">Administration </w:t>
      </w:r>
      <w:r w:rsidRPr="000238F0">
        <w:t xml:space="preserve">section </w:t>
      </w:r>
      <w:r w:rsidR="006F67A2" w:rsidRPr="000238F0">
        <w:rPr>
          <w:i/>
        </w:rPr>
        <w:t>C</w:t>
      </w:r>
      <w:r w:rsidRPr="000238F0">
        <w:rPr>
          <w:i/>
        </w:rPr>
        <w:t>ontinued</w:t>
      </w:r>
      <w:r w:rsidR="00856969" w:rsidRPr="000238F0">
        <w:rPr>
          <w:i/>
        </w:rPr>
        <w:t xml:space="preserve"> </w:t>
      </w:r>
      <w:r w:rsidRPr="000238F0">
        <w:rPr>
          <w:i/>
        </w:rPr>
        <w:t>treatment with Ilaris in patients without clinical improvement should be considered by the treating physician</w:t>
      </w:r>
      <w:r w:rsidRPr="000238F0">
        <w:t>, was redundant and instead there should be guidance on when treatment should be discontinued when no clinical benefit is being seen.</w:t>
      </w:r>
    </w:p>
    <w:p w:rsidR="00B81244" w:rsidRPr="00E951DE" w:rsidRDefault="0096748D" w:rsidP="00C30752">
      <w:pPr>
        <w:pStyle w:val="Heading5"/>
      </w:pPr>
      <w:r>
        <w:t>Specific advice</w:t>
      </w:r>
    </w:p>
    <w:p w:rsidR="00B81244" w:rsidRPr="00E951DE" w:rsidRDefault="00B81244" w:rsidP="00C30752">
      <w:r w:rsidRPr="00E951DE">
        <w:t xml:space="preserve">The ACPM advised the following in response to the specific </w:t>
      </w:r>
      <w:r w:rsidR="006F67A2">
        <w:t>D</w:t>
      </w:r>
      <w:r w:rsidRPr="00E951DE">
        <w:t>elegate’s questions on this submission:</w:t>
      </w:r>
    </w:p>
    <w:p w:rsidR="00B81244" w:rsidRDefault="00B81244" w:rsidP="00C30752">
      <w:pPr>
        <w:pStyle w:val="Numberbullet0"/>
        <w:numPr>
          <w:ilvl w:val="0"/>
          <w:numId w:val="36"/>
        </w:numPr>
        <w:ind w:left="426"/>
      </w:pPr>
      <w:r w:rsidRPr="00BB039B">
        <w:t xml:space="preserve">The validity of the result of the primary analysis for the principal pivotal study G2301, particularly as it concerns the precise definition of </w:t>
      </w:r>
      <w:r w:rsidR="00186C14">
        <w:t>‘</w:t>
      </w:r>
      <w:r w:rsidRPr="00BB039B">
        <w:t>flare</w:t>
      </w:r>
      <w:r w:rsidR="00186C14">
        <w:t>’</w:t>
      </w:r>
      <w:r w:rsidRPr="00BB039B">
        <w:t xml:space="preserve"> used in Part II of that study and whether or not a number of patients’ results should have been excluded from consideration.</w:t>
      </w:r>
    </w:p>
    <w:p w:rsidR="00B81244" w:rsidRDefault="00B81244" w:rsidP="00C30752">
      <w:pPr>
        <w:rPr>
          <w:lang w:val="en-GB" w:eastAsia="en-AU"/>
        </w:rPr>
      </w:pPr>
      <w:r>
        <w:rPr>
          <w:lang w:val="en-GB" w:eastAsia="en-AU"/>
        </w:rPr>
        <w:t xml:space="preserve">In regards to the reanalysis of </w:t>
      </w:r>
      <w:r w:rsidR="006F67A2">
        <w:rPr>
          <w:lang w:val="en-GB" w:eastAsia="en-AU"/>
        </w:rPr>
        <w:t>S</w:t>
      </w:r>
      <w:r>
        <w:rPr>
          <w:lang w:val="en-GB" w:eastAsia="en-AU"/>
        </w:rPr>
        <w:t>tudy G20301, the ACPM accepted the view of the evaluator that the subsequent sensitivity analysis was valid and was a more appropriate evaluation of efficacy than the original analysis, which included discontinuations for reasons other than flare.</w:t>
      </w:r>
    </w:p>
    <w:p w:rsidR="00B81244" w:rsidRPr="00BB039B" w:rsidRDefault="00B81244" w:rsidP="00C30752">
      <w:r>
        <w:rPr>
          <w:lang w:val="en-GB" w:eastAsia="en-AU"/>
        </w:rPr>
        <w:t xml:space="preserve">The ACPM agreed that the original </w:t>
      </w:r>
      <w:r w:rsidR="006F67A2">
        <w:rPr>
          <w:lang w:val="en-GB" w:eastAsia="en-AU"/>
        </w:rPr>
        <w:t>Intent-to-Treat (</w:t>
      </w:r>
      <w:r>
        <w:rPr>
          <w:lang w:val="en-GB" w:eastAsia="en-AU"/>
        </w:rPr>
        <w:t>ITT</w:t>
      </w:r>
      <w:r w:rsidR="006F67A2">
        <w:rPr>
          <w:lang w:val="en-GB" w:eastAsia="en-AU"/>
        </w:rPr>
        <w:t>)</w:t>
      </w:r>
      <w:r>
        <w:rPr>
          <w:lang w:val="en-GB" w:eastAsia="en-AU"/>
        </w:rPr>
        <w:t xml:space="preserve"> analysis and the sensitivity analysis both provided evidence for the efficacy of canakinumab in sJIA.</w:t>
      </w:r>
    </w:p>
    <w:p w:rsidR="00B81244" w:rsidRDefault="00B81244" w:rsidP="0096748D">
      <w:pPr>
        <w:pStyle w:val="Numberbullet0"/>
        <w:ind w:left="426" w:hanging="426"/>
      </w:pPr>
      <w:r w:rsidRPr="00BB039B">
        <w:t xml:space="preserve">The proposed wording of the indication, </w:t>
      </w:r>
      <w:r w:rsidR="006F67A2">
        <w:t xml:space="preserve">that is, </w:t>
      </w:r>
      <w:r w:rsidRPr="00BB039B">
        <w:t xml:space="preserve"> </w:t>
      </w:r>
      <w:r w:rsidR="00186C14">
        <w:t>‘</w:t>
      </w:r>
      <w:r w:rsidRPr="006F67A2">
        <w:t>for the treatment of active Systemic Juvenile Idiopathic Arthritis (sJIA) in patients aged 2 years and older</w:t>
      </w:r>
      <w:r w:rsidR="00186C14" w:rsidRPr="006F67A2">
        <w:t>’</w:t>
      </w:r>
      <w:r w:rsidRPr="00BB039B">
        <w:t xml:space="preserve"> and whether it nee</w:t>
      </w:r>
      <w:r w:rsidR="00C30752">
        <w:t>ds to be made more restrictive.</w:t>
      </w:r>
    </w:p>
    <w:p w:rsidR="00B81244" w:rsidRDefault="00B81244" w:rsidP="00C30752">
      <w:pPr>
        <w:rPr>
          <w:lang w:eastAsia="en-AU"/>
        </w:rPr>
      </w:pPr>
      <w:r>
        <w:rPr>
          <w:rFonts w:eastAsia="MS Mincho"/>
        </w:rPr>
        <w:t xml:space="preserve">The ACPM agreed with </w:t>
      </w:r>
      <w:r>
        <w:t xml:space="preserve">the indication proposed by the </w:t>
      </w:r>
      <w:r w:rsidR="006F67A2">
        <w:t>D</w:t>
      </w:r>
      <w:r>
        <w:t xml:space="preserve">delegate </w:t>
      </w:r>
      <w:r>
        <w:rPr>
          <w:rFonts w:eastAsia="MS Mincho"/>
        </w:rPr>
        <w:t xml:space="preserve">and was of the view that </w:t>
      </w:r>
      <w:r w:rsidRPr="00374FA3">
        <w:rPr>
          <w:lang w:eastAsia="en-AU"/>
        </w:rPr>
        <w:t>treatment with canakinumab should not be limited to those patients who have had dif</w:t>
      </w:r>
      <w:r w:rsidR="00C30752">
        <w:rPr>
          <w:lang w:eastAsia="en-AU"/>
        </w:rPr>
        <w:t>ficulties with corticosteroids.</w:t>
      </w:r>
    </w:p>
    <w:p w:rsidR="00B81244" w:rsidRPr="008D20F7" w:rsidRDefault="00B81244" w:rsidP="00C30752">
      <w:pPr>
        <w:rPr>
          <w:rFonts w:eastAsia="MS Mincho"/>
          <w:bCs/>
          <w:iCs/>
          <w:lang w:eastAsia="ja-JP"/>
        </w:rPr>
      </w:pPr>
      <w:r>
        <w:rPr>
          <w:lang w:eastAsia="en-AU"/>
        </w:rPr>
        <w:t xml:space="preserve">The ACPM was of the view that as sJIA is potentially fatal it should be left to the </w:t>
      </w:r>
      <w:r>
        <w:t>experienced and specialist physicians</w:t>
      </w:r>
      <w:r>
        <w:rPr>
          <w:lang w:eastAsia="en-AU"/>
        </w:rPr>
        <w:t xml:space="preserve"> likely to be treating these patients to decide if </w:t>
      </w:r>
      <w:r w:rsidR="00C30752">
        <w:rPr>
          <w:lang w:eastAsia="en-AU"/>
        </w:rPr>
        <w:t>canakinumab use is appropriate.</w:t>
      </w:r>
    </w:p>
    <w:p w:rsidR="00B81244" w:rsidRPr="002848CC" w:rsidRDefault="00B81244" w:rsidP="00C30752">
      <w:r w:rsidRPr="002848CC">
        <w:t>The ACPM advised that the implementation by the sponsor of the recommendations outlined above to the satisfaction of the TGA, in addition to the evidence of efficacy and safety provided would support the</w:t>
      </w:r>
      <w:r>
        <w:t xml:space="preserve"> safe and effective use of this</w:t>
      </w:r>
      <w:r w:rsidR="00C30752">
        <w:t xml:space="preserve"> product.</w:t>
      </w:r>
    </w:p>
    <w:p w:rsidR="008E7846" w:rsidRPr="002E238E" w:rsidRDefault="008E7846" w:rsidP="00C30752">
      <w:pPr>
        <w:pStyle w:val="Heading3"/>
      </w:pPr>
      <w:bookmarkStart w:id="150" w:name="_Toc247691532"/>
      <w:bookmarkStart w:id="151" w:name="_Toc314842516"/>
      <w:bookmarkStart w:id="152" w:name="_Toc408471932"/>
      <w:bookmarkEnd w:id="89"/>
      <w:bookmarkEnd w:id="148"/>
      <w:bookmarkEnd w:id="149"/>
      <w:r>
        <w:t>Outcome</w:t>
      </w:r>
      <w:bookmarkEnd w:id="150"/>
      <w:bookmarkEnd w:id="151"/>
      <w:bookmarkEnd w:id="152"/>
    </w:p>
    <w:p w:rsidR="00B81244" w:rsidRPr="006F67A2" w:rsidRDefault="00D23139" w:rsidP="00C30752">
      <w:bookmarkStart w:id="153" w:name="_Toc247691533"/>
      <w:bookmarkStart w:id="154" w:name="_Toc314842517"/>
      <w:r w:rsidRPr="00D23139">
        <w:t>Based on a review of quality, safety and efficacy, TGA app</w:t>
      </w:r>
      <w:r w:rsidR="006F67A2">
        <w:t>roved the registration of Ilaris (</w:t>
      </w:r>
      <w:r w:rsidR="006F67A2">
        <w:rPr>
          <w:rFonts w:asciiTheme="minorHAnsi" w:hAnsiTheme="minorHAnsi"/>
        </w:rPr>
        <w:t>canakinumab 150 mg powder for injection</w:t>
      </w:r>
      <w:r w:rsidR="006F67A2">
        <w:t xml:space="preserve">) </w:t>
      </w:r>
      <w:r w:rsidR="00B81244" w:rsidRPr="006F67A2">
        <w:t>for the new indication:</w:t>
      </w:r>
    </w:p>
    <w:p w:rsidR="00D23139" w:rsidRPr="006F67A2" w:rsidRDefault="00EC412B" w:rsidP="006F67A2">
      <w:pPr>
        <w:ind w:left="720"/>
        <w:rPr>
          <w:i/>
        </w:rPr>
      </w:pPr>
      <w:r w:rsidRPr="006F67A2">
        <w:rPr>
          <w:i/>
        </w:rPr>
        <w:t>Ilaris</w:t>
      </w:r>
      <w:r w:rsidR="00B81244" w:rsidRPr="006F67A2">
        <w:rPr>
          <w:i/>
        </w:rPr>
        <w:t xml:space="preserve"> is in</w:t>
      </w:r>
      <w:r w:rsidRPr="006F67A2">
        <w:rPr>
          <w:i/>
        </w:rPr>
        <w:t xml:space="preserve">dicated </w:t>
      </w:r>
      <w:r w:rsidR="00B81244" w:rsidRPr="006F67A2">
        <w:rPr>
          <w:i/>
        </w:rPr>
        <w:t>for the tre</w:t>
      </w:r>
      <w:r w:rsidRPr="006F67A2">
        <w:rPr>
          <w:i/>
        </w:rPr>
        <w:t>a</w:t>
      </w:r>
      <w:r w:rsidR="00B81244" w:rsidRPr="006F67A2">
        <w:rPr>
          <w:i/>
        </w:rPr>
        <w:t>tment o</w:t>
      </w:r>
      <w:r w:rsidRPr="006F67A2">
        <w:rPr>
          <w:i/>
        </w:rPr>
        <w:t>f active</w:t>
      </w:r>
      <w:r w:rsidR="00B81244" w:rsidRPr="006F67A2">
        <w:rPr>
          <w:i/>
        </w:rPr>
        <w:t xml:space="preserve"> Systemic</w:t>
      </w:r>
      <w:r w:rsidRPr="006F67A2">
        <w:rPr>
          <w:i/>
        </w:rPr>
        <w:t xml:space="preserve"> Juvenile </w:t>
      </w:r>
      <w:r w:rsidR="00B81244" w:rsidRPr="006F67A2">
        <w:rPr>
          <w:i/>
        </w:rPr>
        <w:t>Idiop</w:t>
      </w:r>
      <w:r w:rsidRPr="006F67A2">
        <w:rPr>
          <w:i/>
        </w:rPr>
        <w:t>a</w:t>
      </w:r>
      <w:r w:rsidR="00B81244" w:rsidRPr="006F67A2">
        <w:rPr>
          <w:i/>
        </w:rPr>
        <w:t>thic</w:t>
      </w:r>
      <w:r w:rsidRPr="006F67A2">
        <w:rPr>
          <w:i/>
        </w:rPr>
        <w:t xml:space="preserve"> </w:t>
      </w:r>
      <w:r w:rsidR="00B81244" w:rsidRPr="006F67A2">
        <w:rPr>
          <w:i/>
        </w:rPr>
        <w:t>Arthritis (</w:t>
      </w:r>
      <w:r w:rsidR="00547E46">
        <w:rPr>
          <w:i/>
        </w:rPr>
        <w:t>sJIA</w:t>
      </w:r>
      <w:r w:rsidR="00B81244" w:rsidRPr="006F67A2">
        <w:rPr>
          <w:i/>
        </w:rPr>
        <w:t>)</w:t>
      </w:r>
      <w:r w:rsidRPr="006F67A2">
        <w:rPr>
          <w:i/>
        </w:rPr>
        <w:t xml:space="preserve"> </w:t>
      </w:r>
      <w:r w:rsidR="00B81244" w:rsidRPr="006F67A2">
        <w:rPr>
          <w:i/>
        </w:rPr>
        <w:t>in p</w:t>
      </w:r>
      <w:r w:rsidRPr="006F67A2">
        <w:rPr>
          <w:i/>
        </w:rPr>
        <w:t>a</w:t>
      </w:r>
      <w:r w:rsidR="00B81244" w:rsidRPr="006F67A2">
        <w:rPr>
          <w:i/>
        </w:rPr>
        <w:t xml:space="preserve">tients </w:t>
      </w:r>
      <w:r w:rsidRPr="006F67A2">
        <w:rPr>
          <w:i/>
        </w:rPr>
        <w:t>aged</w:t>
      </w:r>
      <w:r w:rsidR="00B81244" w:rsidRPr="006F67A2">
        <w:rPr>
          <w:i/>
        </w:rPr>
        <w:t xml:space="preserve"> 2</w:t>
      </w:r>
      <w:r w:rsidRPr="006F67A2">
        <w:rPr>
          <w:i/>
        </w:rPr>
        <w:t xml:space="preserve"> </w:t>
      </w:r>
      <w:r w:rsidR="00B81244" w:rsidRPr="006F67A2">
        <w:rPr>
          <w:i/>
        </w:rPr>
        <w:t>ye</w:t>
      </w:r>
      <w:r w:rsidRPr="006F67A2">
        <w:rPr>
          <w:i/>
        </w:rPr>
        <w:t>a</w:t>
      </w:r>
      <w:r w:rsidR="00C30752">
        <w:rPr>
          <w:i/>
        </w:rPr>
        <w:t>rs or older.</w:t>
      </w:r>
    </w:p>
    <w:p w:rsidR="00D23139" w:rsidRDefault="00D23139" w:rsidP="00C30752">
      <w:pPr>
        <w:pStyle w:val="Heading4"/>
      </w:pPr>
      <w:r w:rsidRPr="00D23139">
        <w:t>Specific conditions of registration applying to these goods</w:t>
      </w:r>
    </w:p>
    <w:p w:rsidR="00EC412B" w:rsidRPr="006F67A2" w:rsidRDefault="00EC412B" w:rsidP="000620D7">
      <w:pPr>
        <w:pStyle w:val="Numberbullet0"/>
        <w:numPr>
          <w:ilvl w:val="0"/>
          <w:numId w:val="12"/>
        </w:numPr>
        <w:ind w:left="284" w:hanging="284"/>
      </w:pPr>
      <w:r w:rsidRPr="006F67A2">
        <w:t xml:space="preserve">The </w:t>
      </w:r>
      <w:r w:rsidR="006F67A2" w:rsidRPr="006F67A2">
        <w:t xml:space="preserve">Ilaris </w:t>
      </w:r>
      <w:r w:rsidRPr="006F67A2">
        <w:t>(canakinumab) EU-Risk Management Plan (RMP), version 7.1, dated 13 August 2013 and the Australian Specific Annex, AsA v4 (dated 311anuary 20</w:t>
      </w:r>
      <w:r w:rsidR="006F67A2">
        <w:t>14</w:t>
      </w:r>
      <w:r w:rsidRPr="006F67A2">
        <w:t>), included with submission PM-20</w:t>
      </w:r>
      <w:r w:rsidR="006F67A2">
        <w:t>1</w:t>
      </w:r>
      <w:r w:rsidRPr="006F67A2">
        <w:t>3-01501-</w:t>
      </w:r>
      <w:r w:rsidR="006F67A2">
        <w:t>1</w:t>
      </w:r>
      <w:r w:rsidRPr="006F67A2">
        <w:t>-3, and any subsequent revisions, as agreed with the TGA will be implemented in Australia.</w:t>
      </w:r>
    </w:p>
    <w:p w:rsidR="00EC412B" w:rsidRPr="006F67A2" w:rsidRDefault="006F67A2" w:rsidP="000238F0">
      <w:pPr>
        <w:pStyle w:val="Numberbullet0"/>
        <w:ind w:left="284" w:hanging="284"/>
      </w:pPr>
      <w:r w:rsidRPr="006F67A2">
        <w:t>The ponsor</w:t>
      </w:r>
      <w:r w:rsidR="00EC412B" w:rsidRPr="006F67A2">
        <w:t xml:space="preserve"> must submit to the TGA, for review and approval by the Office of Product Review, the EU-RMP v8.0 and the appropriateIy updated Australian Specific Annex, AsA vs, as soon as possible after implementation of the EU-RMP v8.0 in the EU.</w:t>
      </w:r>
    </w:p>
    <w:p w:rsidR="00EC412B" w:rsidRPr="006F67A2" w:rsidRDefault="00EC412B" w:rsidP="000238F0">
      <w:pPr>
        <w:pStyle w:val="Numberbullet0"/>
        <w:ind w:left="284" w:hanging="284"/>
      </w:pPr>
      <w:r w:rsidRPr="006F67A2">
        <w:t xml:space="preserve">The sponsor must submit to the TGA for evaluation, either as a </w:t>
      </w:r>
      <w:r w:rsidR="006F67A2">
        <w:t>C</w:t>
      </w:r>
      <w:r w:rsidRPr="006F67A2">
        <w:t xml:space="preserve">ategory I application or, if appropriate, a safety-related request with data), the final clinical study report for </w:t>
      </w:r>
      <w:r w:rsidRPr="006F67A2">
        <w:lastRenderedPageBreak/>
        <w:t xml:space="preserve">each of the following ongoing studies in </w:t>
      </w:r>
      <w:r w:rsidR="006F67A2" w:rsidRPr="006F67A2">
        <w:t>sJ</w:t>
      </w:r>
      <w:r w:rsidRPr="006F67A2">
        <w:t xml:space="preserve">IA: firstly, </w:t>
      </w:r>
      <w:r w:rsidR="006F67A2">
        <w:t>S</w:t>
      </w:r>
      <w:r w:rsidRPr="006F67A2">
        <w:t xml:space="preserve">tudy G2301El and secondly </w:t>
      </w:r>
      <w:r w:rsidR="006F67A2">
        <w:t>S</w:t>
      </w:r>
      <w:r w:rsidRPr="006F67A2">
        <w:t xml:space="preserve">tudy G2306. These reports must be submitted as soon as possible after finalisation. If, for whatever reason, there are interim clinical study reports released prior to the release of the final clinical study report, then any such interim reports must also be submitted, either as a </w:t>
      </w:r>
      <w:r w:rsidR="006F67A2">
        <w:t>C</w:t>
      </w:r>
      <w:r w:rsidRPr="006F67A2">
        <w:t>ategory I application or, if appropriate, a safety-related request (with data).</w:t>
      </w:r>
    </w:p>
    <w:p w:rsidR="008E7846" w:rsidRDefault="008E7846" w:rsidP="00C30752">
      <w:pPr>
        <w:pStyle w:val="Heading2"/>
      </w:pPr>
      <w:bookmarkStart w:id="155" w:name="_Toc408471933"/>
      <w:r>
        <w:t>Attachment 1.</w:t>
      </w:r>
      <w:r>
        <w:tab/>
        <w:t xml:space="preserve">Product </w:t>
      </w:r>
      <w:r w:rsidR="00AA0ED0">
        <w:t>I</w:t>
      </w:r>
      <w:r>
        <w:t>nformation</w:t>
      </w:r>
      <w:bookmarkEnd w:id="153"/>
      <w:bookmarkEnd w:id="154"/>
      <w:bookmarkEnd w:id="155"/>
    </w:p>
    <w:p w:rsidR="00C80137" w:rsidRDefault="002B3624" w:rsidP="00C30752">
      <w:pPr>
        <w:rPr>
          <w:color w:val="000000"/>
          <w:lang w:eastAsia="en-AU"/>
        </w:rPr>
      </w:pPr>
      <w:r w:rsidRPr="002B3624">
        <w:t xml:space="preserve">The Product Information approved for main </w:t>
      </w:r>
      <w:r w:rsidR="00EC412B">
        <w:t xml:space="preserve">Ilaris </w:t>
      </w:r>
      <w:r w:rsidRPr="002B3624">
        <w:t>at the time this AusPAR was published is at Attachment 1. For the most recent Product Information please refer to the TGA website at &lt;</w:t>
      </w:r>
      <w:hyperlink r:id="rId32" w:history="1">
        <w:r w:rsidR="0096748D" w:rsidRPr="0096748D">
          <w:rPr>
            <w:rStyle w:val="Hyperlink"/>
          </w:rPr>
          <w:t>http://www.tga.gov.au/product-information-pi</w:t>
        </w:r>
      </w:hyperlink>
      <w:r w:rsidR="00C30752">
        <w:t>&gt;.</w:t>
      </w:r>
    </w:p>
    <w:p w:rsidR="00C80137" w:rsidRDefault="00C80137" w:rsidP="00C30752">
      <w:pPr>
        <w:pStyle w:val="Heading2"/>
        <w:rPr>
          <w:lang w:eastAsia="en-AU"/>
        </w:rPr>
      </w:pPr>
      <w:bookmarkStart w:id="156" w:name="_Toc408471934"/>
      <w:r>
        <w:rPr>
          <w:lang w:eastAsia="en-AU"/>
        </w:rPr>
        <w:t>Attachment 2. Extract from the Clinical Evaluation Report</w:t>
      </w:r>
      <w:bookmarkEnd w:id="156"/>
    </w:p>
    <w:p w:rsidR="00291957" w:rsidRDefault="008E7846" w:rsidP="00C30752">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33"/>
          <w:headerReference w:type="default" r:id="rId34"/>
          <w:headerReference w:type="first" r:id="rId35"/>
          <w:footerReference w:type="first" r:id="rId3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7B7B02">
        <w:trPr>
          <w:trHeight w:hRule="exact" w:val="704"/>
        </w:trPr>
        <w:tc>
          <w:tcPr>
            <w:tcW w:w="9175" w:type="dxa"/>
          </w:tcPr>
          <w:p w:rsidR="001C32CD" w:rsidRPr="00487162" w:rsidRDefault="001C32CD" w:rsidP="007B7B02">
            <w:pPr>
              <w:pStyle w:val="TGASignoff"/>
            </w:pPr>
            <w:r w:rsidRPr="00487162">
              <w:lastRenderedPageBreak/>
              <w:t>Therapeutic Goods Administration</w:t>
            </w:r>
          </w:p>
        </w:tc>
      </w:tr>
      <w:tr w:rsidR="001C32CD" w:rsidRPr="004C239D" w:rsidTr="007B7B02">
        <w:trPr>
          <w:trHeight w:val="1221"/>
        </w:trPr>
        <w:tc>
          <w:tcPr>
            <w:tcW w:w="9175" w:type="dxa"/>
            <w:tcMar>
              <w:top w:w="28" w:type="dxa"/>
            </w:tcMar>
          </w:tcPr>
          <w:p w:rsidR="001C32CD" w:rsidRPr="00487162" w:rsidRDefault="001C32CD" w:rsidP="007B7B02">
            <w:pPr>
              <w:pStyle w:val="Address"/>
            </w:pPr>
            <w:r w:rsidRPr="00487162">
              <w:t>PO Box 100 Woden ACT 2606 Australia</w:t>
            </w:r>
          </w:p>
          <w:p w:rsidR="001C32CD" w:rsidRPr="00487162" w:rsidRDefault="001C32CD" w:rsidP="007B7B02">
            <w:pPr>
              <w:pStyle w:val="Address"/>
            </w:pPr>
            <w:r w:rsidRPr="00487162">
              <w:t xml:space="preserve">Email: </w:t>
            </w:r>
            <w:hyperlink r:id="rId37" w:history="1">
              <w:r w:rsidRPr="004C239D">
                <w:rPr>
                  <w:rStyle w:val="Hyperlink"/>
                </w:rPr>
                <w:t>info@tga.gov.au</w:t>
              </w:r>
            </w:hyperlink>
            <w:r w:rsidR="00404BA5">
              <w:t xml:space="preserve"> </w:t>
            </w:r>
            <w:r w:rsidRPr="00487162">
              <w:t>Phone: 1800 020 653</w:t>
            </w:r>
            <w:r w:rsidR="00404BA5">
              <w:t xml:space="preserve"> </w:t>
            </w:r>
            <w:r w:rsidRPr="00487162">
              <w:t>Fax: 02 6232 8605</w:t>
            </w:r>
          </w:p>
          <w:p w:rsidR="001C32CD" w:rsidRPr="004C239D" w:rsidRDefault="00FB68D3" w:rsidP="007B7B02">
            <w:pPr>
              <w:pStyle w:val="Address"/>
              <w:spacing w:line="260" w:lineRule="atLeast"/>
              <w:rPr>
                <w:b/>
                <w:color w:val="0000FF"/>
                <w:u w:val="single"/>
              </w:rPr>
            </w:pPr>
            <w:hyperlink r:id="rId38"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9"/>
      <w:headerReference w:type="default" r:id="rId40"/>
      <w:footerReference w:type="default" r:id="rId41"/>
      <w:headerReference w:type="first" r:id="rId42"/>
      <w:footerReference w:type="first" r:id="rId4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56A" w:rsidRDefault="0030656A" w:rsidP="00C40A36">
      <w:pPr>
        <w:spacing w:after="0"/>
      </w:pPr>
      <w:r>
        <w:separator/>
      </w:r>
    </w:p>
  </w:endnote>
  <w:endnote w:type="continuationSeparator" w:id="0">
    <w:p w:rsidR="0030656A" w:rsidRDefault="0030656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Bold">
    <w:altName w:val="Arial Unicode MS"/>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Mincho">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0656A" w:rsidRPr="00487162" w:rsidTr="00DB750B">
      <w:trPr>
        <w:trHeight w:val="269"/>
      </w:trPr>
      <w:tc>
        <w:tcPr>
          <w:tcW w:w="7371" w:type="dxa"/>
          <w:tcMar>
            <w:top w:w="142" w:type="dxa"/>
            <w:bottom w:w="0" w:type="dxa"/>
          </w:tcMar>
        </w:tcPr>
        <w:p w:rsidR="0030656A" w:rsidRPr="00487162" w:rsidRDefault="0030656A" w:rsidP="00F82804">
          <w:pPr>
            <w:pStyle w:val="Footer"/>
          </w:pPr>
          <w:r w:rsidRPr="00487162">
            <w:t xml:space="preserve">AusPAR </w:t>
          </w:r>
          <w:r>
            <w:t xml:space="preserve">Ilaris </w:t>
          </w:r>
          <w:r>
            <w:rPr>
              <w:rFonts w:cstheme="majorHAnsi"/>
            </w:rPr>
            <w:t xml:space="preserve">Canakinumab </w:t>
          </w:r>
          <w:r w:rsidRPr="007B7B02">
            <w:rPr>
              <w:rFonts w:cstheme="majorHAnsi"/>
            </w:rPr>
            <w:t>Novartis Pharmaceuticals Australia Pty Ltd</w:t>
          </w:r>
          <w:r w:rsidRPr="00487162">
            <w:t xml:space="preserve"> PM-20</w:t>
          </w:r>
          <w:r>
            <w:t>13</w:t>
          </w:r>
          <w:r w:rsidRPr="00487162">
            <w:t>-</w:t>
          </w:r>
          <w:r>
            <w:t>01501-1-3</w:t>
          </w:r>
          <w:r>
            <w:br/>
            <w:t>Final</w:t>
          </w:r>
          <w:r w:rsidRPr="00487162">
            <w:t xml:space="preserve"> </w:t>
          </w:r>
          <w:r>
            <w:t>25 November 2014</w:t>
          </w:r>
        </w:p>
      </w:tc>
      <w:tc>
        <w:tcPr>
          <w:tcW w:w="1490" w:type="dxa"/>
          <w:tcMar>
            <w:top w:w="142" w:type="dxa"/>
            <w:bottom w:w="0" w:type="dxa"/>
          </w:tcMar>
        </w:tcPr>
        <w:p w:rsidR="0030656A" w:rsidRPr="00487162" w:rsidRDefault="0030656A" w:rsidP="00DB750B">
          <w:pPr>
            <w:pStyle w:val="Footer"/>
            <w:jc w:val="right"/>
          </w:pPr>
          <w:r w:rsidRPr="00487162">
            <w:t xml:space="preserve">Page </w:t>
          </w:r>
          <w:r>
            <w:fldChar w:fldCharType="begin"/>
          </w:r>
          <w:r>
            <w:instrText xml:space="preserve"> PAGE  \* Arabic </w:instrText>
          </w:r>
          <w:r>
            <w:fldChar w:fldCharType="separate"/>
          </w:r>
          <w:r w:rsidR="00FB68D3">
            <w:rPr>
              <w:noProof/>
            </w:rPr>
            <w:t>2</w:t>
          </w:r>
          <w:r>
            <w:fldChar w:fldCharType="end"/>
          </w:r>
          <w:r w:rsidRPr="00487162">
            <w:t xml:space="preserve"> of </w:t>
          </w:r>
          <w:fldSimple w:instr=" NUMPAGES  \* Arabic ">
            <w:r w:rsidR="00FB68D3">
              <w:rPr>
                <w:noProof/>
              </w:rPr>
              <w:t>76</w:t>
            </w:r>
          </w:fldSimple>
        </w:p>
      </w:tc>
    </w:tr>
  </w:tbl>
  <w:p w:rsidR="0030656A" w:rsidRDefault="0030656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0656A" w:rsidRPr="00487162" w:rsidTr="00E45619">
      <w:trPr>
        <w:trHeight w:val="269"/>
      </w:trPr>
      <w:tc>
        <w:tcPr>
          <w:tcW w:w="4519" w:type="dxa"/>
          <w:tcBorders>
            <w:top w:val="single" w:sz="4" w:space="0" w:color="auto"/>
          </w:tcBorders>
          <w:tcMar>
            <w:top w:w="142" w:type="dxa"/>
            <w:bottom w:w="0" w:type="dxa"/>
          </w:tcMar>
        </w:tcPr>
        <w:p w:rsidR="0030656A" w:rsidRPr="00487162" w:rsidRDefault="0030656A" w:rsidP="00FE1DEE">
          <w:pPr>
            <w:pStyle w:val="Footer"/>
          </w:pPr>
          <w:r w:rsidRPr="00487162">
            <w:t>Document title, Part #, Section # - Section title</w:t>
          </w:r>
        </w:p>
        <w:p w:rsidR="0030656A" w:rsidRPr="00487162" w:rsidRDefault="0030656A" w:rsidP="00FE1DEE">
          <w:pPr>
            <w:pStyle w:val="Footer"/>
          </w:pPr>
          <w:r w:rsidRPr="00487162">
            <w:t>V1.0 October 2010</w:t>
          </w:r>
        </w:p>
      </w:tc>
      <w:tc>
        <w:tcPr>
          <w:tcW w:w="4342" w:type="dxa"/>
          <w:tcBorders>
            <w:top w:val="single" w:sz="4" w:space="0" w:color="auto"/>
          </w:tcBorders>
          <w:tcMar>
            <w:top w:w="142" w:type="dxa"/>
            <w:bottom w:w="0" w:type="dxa"/>
          </w:tcMar>
        </w:tcPr>
        <w:p w:rsidR="0030656A" w:rsidRPr="00487162" w:rsidRDefault="0030656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30656A" w:rsidRDefault="003065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A" w:rsidRPr="001C32CD" w:rsidRDefault="0030656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0656A" w:rsidTr="0010601F">
      <w:trPr>
        <w:trHeight w:val="108"/>
      </w:trPr>
      <w:tc>
        <w:tcPr>
          <w:tcW w:w="8875" w:type="dxa"/>
          <w:gridSpan w:val="2"/>
          <w:tcBorders>
            <w:bottom w:val="single" w:sz="4" w:space="0" w:color="auto"/>
          </w:tcBorders>
          <w:tcMar>
            <w:right w:w="284" w:type="dxa"/>
          </w:tcMar>
        </w:tcPr>
        <w:p w:rsidR="0030656A" w:rsidRDefault="0030656A" w:rsidP="006E08B3">
          <w:pPr>
            <w:pStyle w:val="Heading3"/>
          </w:pPr>
          <w:r>
            <w:t>Copyright</w:t>
          </w:r>
        </w:p>
        <w:p w:rsidR="0030656A" w:rsidRDefault="0030656A" w:rsidP="006E08B3">
          <w:r>
            <w:rPr>
              <w:rFonts w:cs="Arial"/>
            </w:rPr>
            <w:t>©</w:t>
          </w:r>
          <w:r>
            <w:t xml:space="preserve"> Commonwealth of Australia [add year]</w:t>
          </w:r>
        </w:p>
        <w:p w:rsidR="0030656A" w:rsidRDefault="0030656A" w:rsidP="006E08B3"/>
        <w:p w:rsidR="0030656A" w:rsidRDefault="0030656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0656A" w:rsidRDefault="0030656A" w:rsidP="006E08B3"/>
        <w:p w:rsidR="0030656A" w:rsidRDefault="0030656A" w:rsidP="006E08B3">
          <w:pPr>
            <w:pStyle w:val="Heading3"/>
          </w:pPr>
          <w:r>
            <w:t>Confidentiality</w:t>
          </w:r>
        </w:p>
        <w:p w:rsidR="0030656A" w:rsidRDefault="0030656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0656A" w:rsidRDefault="0030656A" w:rsidP="006E08B3"/>
        <w:p w:rsidR="0030656A" w:rsidRDefault="0030656A" w:rsidP="006E08B3">
          <w:r>
            <w:t>For submission made by individuals, all personal details, other than your name, will be removed from your submission before it is published on the TGA’s Internet site.</w:t>
          </w:r>
        </w:p>
        <w:p w:rsidR="0030656A" w:rsidRDefault="0030656A" w:rsidP="006E08B3"/>
        <w:p w:rsidR="0030656A" w:rsidRDefault="0030656A" w:rsidP="006E08B3">
          <w:r>
            <w:t>In addition, a list of parties making submissions will be published. If you do not wish to be identified with your submission you must specifically request this in the space provided ib the submission coversheet.</w:t>
          </w:r>
        </w:p>
      </w:tc>
    </w:tr>
    <w:tr w:rsidR="0030656A" w:rsidTr="0010601F">
      <w:trPr>
        <w:trHeight w:val="417"/>
      </w:trPr>
      <w:tc>
        <w:tcPr>
          <w:tcW w:w="4519" w:type="dxa"/>
          <w:tcBorders>
            <w:top w:val="single" w:sz="4" w:space="0" w:color="auto"/>
          </w:tcBorders>
          <w:tcMar>
            <w:top w:w="142" w:type="dxa"/>
            <w:bottom w:w="0" w:type="dxa"/>
          </w:tcMar>
        </w:tcPr>
        <w:p w:rsidR="0030656A" w:rsidRDefault="0030656A" w:rsidP="006E08B3">
          <w:r>
            <w:t>Document title, Part #, Section # - Section title</w:t>
          </w:r>
        </w:p>
        <w:p w:rsidR="0030656A" w:rsidRDefault="0030656A" w:rsidP="006E08B3">
          <w:r>
            <w:t>V1.0 October 2010</w:t>
          </w:r>
        </w:p>
      </w:tc>
      <w:tc>
        <w:tcPr>
          <w:tcW w:w="4356" w:type="dxa"/>
          <w:tcBorders>
            <w:top w:val="single" w:sz="4" w:space="0" w:color="auto"/>
          </w:tcBorders>
          <w:tcMar>
            <w:top w:w="142" w:type="dxa"/>
            <w:bottom w:w="0" w:type="dxa"/>
          </w:tcMar>
        </w:tcPr>
        <w:p w:rsidR="0030656A" w:rsidRDefault="0030656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30656A" w:rsidRDefault="003065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56A" w:rsidRDefault="0030656A" w:rsidP="00C40A36">
      <w:pPr>
        <w:spacing w:after="0"/>
      </w:pPr>
      <w:r>
        <w:separator/>
      </w:r>
    </w:p>
  </w:footnote>
  <w:footnote w:type="continuationSeparator" w:id="0">
    <w:p w:rsidR="0030656A" w:rsidRDefault="0030656A" w:rsidP="00C40A36">
      <w:pPr>
        <w:spacing w:after="0"/>
      </w:pPr>
      <w:r>
        <w:continuationSeparator/>
      </w:r>
    </w:p>
  </w:footnote>
  <w:footnote w:id="1">
    <w:p w:rsidR="0030656A" w:rsidRPr="00B24FB5" w:rsidRDefault="0030656A" w:rsidP="00103FBF">
      <w:pPr>
        <w:pStyle w:val="FootnoteText"/>
      </w:pPr>
      <w:r>
        <w:rPr>
          <w:rStyle w:val="FootnoteReference"/>
        </w:rPr>
        <w:footnoteRef/>
      </w:r>
      <w:r>
        <w:rPr>
          <w:bCs/>
        </w:rPr>
        <w:t xml:space="preserve"> </w:t>
      </w:r>
      <w:r w:rsidRPr="00B24FB5">
        <w:rPr>
          <w:bCs/>
        </w:rPr>
        <w:t>ICD</w:t>
      </w:r>
      <w:r w:rsidRPr="00B24FB5">
        <w:t>-</w:t>
      </w:r>
      <w:r w:rsidRPr="00B24FB5">
        <w:rPr>
          <w:bCs/>
        </w:rPr>
        <w:t>10</w:t>
      </w:r>
      <w:r w:rsidRPr="00B24FB5">
        <w:t xml:space="preserve"> is the </w:t>
      </w:r>
      <w:r>
        <w:t>tenth</w:t>
      </w:r>
      <w:r w:rsidRPr="00B24FB5">
        <w:t xml:space="preserve"> revision of the International Statistical Classification of Diseases and Related Health Problems (</w:t>
      </w:r>
      <w:r w:rsidRPr="00B24FB5">
        <w:rPr>
          <w:bCs/>
        </w:rPr>
        <w:t>ICD</w:t>
      </w:r>
      <w:r w:rsidRPr="00B24FB5">
        <w:t>), a medical classification list by the World Health Organization (WHO).</w:t>
      </w:r>
    </w:p>
  </w:footnote>
  <w:footnote w:id="2">
    <w:p w:rsidR="0030656A" w:rsidRPr="00B24FB5" w:rsidRDefault="0030656A" w:rsidP="00103FBF">
      <w:pPr>
        <w:pStyle w:val="FootnoteText"/>
      </w:pPr>
      <w:r>
        <w:rPr>
          <w:rStyle w:val="FootnoteReference"/>
        </w:rPr>
        <w:footnoteRef/>
      </w:r>
      <w:r>
        <w:t xml:space="preserve"> </w:t>
      </w:r>
      <w:bookmarkStart w:id="18" w:name="M08.2"/>
      <w:bookmarkEnd w:id="18"/>
      <w:r w:rsidRPr="00B24FB5">
        <w:rPr>
          <w:rStyle w:val="label2"/>
          <w:rFonts w:asciiTheme="minorHAnsi" w:hAnsiTheme="minorHAnsi" w:cs="Segoe UI"/>
          <w:bCs/>
          <w:color w:val="000000"/>
          <w:szCs w:val="18"/>
          <w:lang w:val="en"/>
          <w:specVanish w:val="0"/>
        </w:rPr>
        <w:t>Juvenile arthritis with systemic onset</w:t>
      </w:r>
    </w:p>
  </w:footnote>
  <w:footnote w:id="3">
    <w:p w:rsidR="0030656A" w:rsidRPr="00992362" w:rsidRDefault="0030656A" w:rsidP="00103FBF">
      <w:pPr>
        <w:pStyle w:val="FootnoteText"/>
      </w:pPr>
      <w:r w:rsidRPr="00992362">
        <w:rPr>
          <w:rStyle w:val="FootnoteReference"/>
        </w:rPr>
        <w:footnoteRef/>
      </w:r>
      <w:r w:rsidRPr="00992362">
        <w:t xml:space="preserve"> JIA=</w:t>
      </w:r>
      <w:r w:rsidRPr="00992362">
        <w:rPr>
          <w:bCs/>
          <w:lang w:val="en"/>
        </w:rPr>
        <w:t xml:space="preserve"> Juvenile idiopathic arthritis</w:t>
      </w:r>
      <w:r w:rsidRPr="00992362">
        <w:t>; JA=juvenile arthritis; JRA=</w:t>
      </w:r>
      <w:r w:rsidRPr="00992362">
        <w:rPr>
          <w:bCs/>
          <w:lang w:val="en"/>
        </w:rPr>
        <w:t xml:space="preserve"> juvenile rheumatoid arthritis</w:t>
      </w:r>
      <w:r w:rsidRPr="00992362">
        <w:t xml:space="preserve"> ; JCA=</w:t>
      </w:r>
      <w:r w:rsidRPr="00992362">
        <w:rPr>
          <w:iCs/>
          <w:lang w:val="en"/>
        </w:rPr>
        <w:t xml:space="preserve"> juvenile chronic arthritis</w:t>
      </w:r>
      <w:r>
        <w:rPr>
          <w:iCs/>
          <w:lang w:val="en"/>
        </w:rPr>
        <w:t>.</w:t>
      </w:r>
    </w:p>
  </w:footnote>
  <w:footnote w:id="4">
    <w:p w:rsidR="0030656A" w:rsidRPr="000E2F30" w:rsidRDefault="0030656A" w:rsidP="00374E30">
      <w:pPr>
        <w:pStyle w:val="FootnoteText"/>
      </w:pPr>
      <w:r w:rsidRPr="000E2F30">
        <w:rPr>
          <w:rStyle w:val="FootnoteReference"/>
          <w:szCs w:val="18"/>
        </w:rPr>
        <w:footnoteRef/>
      </w:r>
      <w:r w:rsidRPr="000E2F30">
        <w:t xml:space="preserve"> Mellins ED, Macaubas C, Grom AA (2011). Pathogenesis of systemic juvenile idiopathic arthritis: some answers, more questions. Nat Rev Rheumatol; 7:416-26.</w:t>
      </w:r>
    </w:p>
  </w:footnote>
  <w:footnote w:id="5">
    <w:p w:rsidR="0030656A" w:rsidRPr="000E2F30" w:rsidRDefault="0030656A" w:rsidP="00374E30">
      <w:pPr>
        <w:pStyle w:val="FootnoteText"/>
      </w:pPr>
      <w:r w:rsidRPr="000E2F30">
        <w:rPr>
          <w:rStyle w:val="FootnoteReference"/>
          <w:szCs w:val="18"/>
        </w:rPr>
        <w:footnoteRef/>
      </w:r>
      <w:r w:rsidRPr="000E2F30">
        <w:t xml:space="preserve"> Ravelli A, Martini A (2007). Juvenile idiopathic</w:t>
      </w:r>
      <w:r>
        <w:t xml:space="preserve"> arthritis. Lancet; 369:767-78.</w:t>
      </w:r>
    </w:p>
  </w:footnote>
  <w:footnote w:id="6">
    <w:p w:rsidR="0030656A" w:rsidRPr="00374E30" w:rsidRDefault="0030656A" w:rsidP="00AA0F95">
      <w:pPr>
        <w:pStyle w:val="FootnoteText"/>
        <w:ind w:right="-143"/>
      </w:pPr>
      <w:r w:rsidRPr="000E2F30">
        <w:rPr>
          <w:rStyle w:val="FootnoteReference"/>
          <w:szCs w:val="18"/>
        </w:rPr>
        <w:footnoteRef/>
      </w:r>
      <w:r w:rsidRPr="000E2F30">
        <w:t xml:space="preserve"> </w:t>
      </w:r>
      <w:r w:rsidRPr="00374E30">
        <w:t>Woo P, Southwood TR, Prieur AM et al (2000). Randomised, placebo-controlled, crossover trial of low-dose oral methotrexate in children with extended oligoarticular or systemic arthritis. Arthritis Rheum; 43(8):1849-57</w:t>
      </w:r>
    </w:p>
  </w:footnote>
  <w:footnote w:id="7">
    <w:p w:rsidR="0030656A" w:rsidRPr="000E2F30" w:rsidRDefault="0030656A" w:rsidP="00374E30">
      <w:pPr>
        <w:pStyle w:val="FootnoteText"/>
      </w:pPr>
      <w:r w:rsidRPr="000E2F30">
        <w:rPr>
          <w:rStyle w:val="FootnoteReference"/>
          <w:szCs w:val="18"/>
        </w:rPr>
        <w:footnoteRef/>
      </w:r>
      <w:r w:rsidRPr="000E2F30">
        <w:t xml:space="preserve"> Gurion R, Lehman TJA, Moorthy LN (2012). Systemic arthritis in children. A review of clinical presentation and treatment. Int J Inflammation: article 271569; 2012:1-16.</w:t>
      </w:r>
    </w:p>
  </w:footnote>
  <w:footnote w:id="8">
    <w:p w:rsidR="0030656A" w:rsidRPr="000E2F30" w:rsidRDefault="0030656A" w:rsidP="00374E30">
      <w:pPr>
        <w:pStyle w:val="FootnoteText"/>
      </w:pPr>
      <w:r w:rsidRPr="000E2F30">
        <w:rPr>
          <w:rStyle w:val="FootnoteReference"/>
          <w:szCs w:val="18"/>
        </w:rPr>
        <w:footnoteRef/>
      </w:r>
      <w:r>
        <w:rPr>
          <w:lang w:val="de-DE"/>
        </w:rPr>
        <w:t xml:space="preserve"> </w:t>
      </w:r>
      <w:r w:rsidRPr="00A87B9E">
        <w:rPr>
          <w:lang w:val="de-DE"/>
        </w:rPr>
        <w:t xml:space="preserve">Batthish M, Schneider R, Ramanan AV, et al (2005). </w:t>
      </w:r>
      <w:r w:rsidRPr="000E2F30">
        <w:t>What does "active disease" mean?  Patient and parent perceptions of disease activity in the systemic arthritis form of juvenile idiopathic arthritis (S</w:t>
      </w:r>
      <w:r>
        <w:t>O-JIA). Rheumatology; 44:796-9.</w:t>
      </w:r>
    </w:p>
  </w:footnote>
  <w:footnote w:id="9">
    <w:p w:rsidR="0030656A" w:rsidRPr="000E2F30" w:rsidRDefault="0030656A" w:rsidP="00374E30">
      <w:pPr>
        <w:pStyle w:val="FootnoteText"/>
      </w:pPr>
      <w:r w:rsidRPr="000E2F30">
        <w:rPr>
          <w:rStyle w:val="FootnoteReference"/>
          <w:szCs w:val="18"/>
        </w:rPr>
        <w:footnoteRef/>
      </w:r>
      <w:r>
        <w:t xml:space="preserve"> </w:t>
      </w:r>
      <w:r w:rsidRPr="000E2F30">
        <w:t>Hashkes PJ, Laxer RM (2005). Medical treatment of juvenile idiopathic a</w:t>
      </w:r>
      <w:r>
        <w:t>rthritis. JAMA; (294): 1671-84.</w:t>
      </w:r>
    </w:p>
  </w:footnote>
  <w:footnote w:id="10">
    <w:p w:rsidR="0030656A" w:rsidRDefault="0030656A" w:rsidP="00AA0F95">
      <w:pPr>
        <w:pStyle w:val="FootnoteText"/>
      </w:pPr>
      <w:r>
        <w:rPr>
          <w:rStyle w:val="FootnoteReference"/>
        </w:rPr>
        <w:footnoteRef/>
      </w:r>
      <w:r>
        <w:t xml:space="preserve"> Australian Institute of Health and Welfare (AIHW) 2008. </w:t>
      </w:r>
    </w:p>
    <w:p w:rsidR="0030656A" w:rsidRDefault="0030656A">
      <w:pPr>
        <w:pStyle w:val="FootnoteText"/>
      </w:pPr>
      <w:r>
        <w:rPr>
          <w:lang w:val="en"/>
        </w:rPr>
        <w:t>Australia's health 2008 is the 11th biennial health report of the Australian Institute of Health and Welfare. It's the nation's premier source of statistics and informed commentary on: - patterns and determinants of health and illness- health across the life stages- the supply and use of health services- expenditure and workforce- and health sector performance.</w:t>
      </w:r>
    </w:p>
  </w:footnote>
  <w:footnote w:id="11">
    <w:p w:rsidR="0030656A" w:rsidRPr="00B60592" w:rsidRDefault="0030656A" w:rsidP="00AA0F95">
      <w:pPr>
        <w:pStyle w:val="FootnoteText"/>
      </w:pPr>
      <w:r>
        <w:rPr>
          <w:rStyle w:val="FootnoteReference"/>
        </w:rPr>
        <w:footnoteRef/>
      </w:r>
      <w:r>
        <w:rPr>
          <w:lang w:val="en-GB"/>
        </w:rPr>
        <w:t xml:space="preserve"> </w:t>
      </w:r>
      <w:r w:rsidRPr="00B60592">
        <w:rPr>
          <w:lang w:val="en-GB"/>
        </w:rPr>
        <w:t xml:space="preserve">ACR30 response is defined as an improvement of at least 30% from the baseline assessments in any three of six core outcome variables, with no more than one of the remaining variables deteriorating by more than 30% </w:t>
      </w:r>
      <w:r w:rsidRPr="00B60592">
        <w:rPr>
          <w:rStyle w:val="st"/>
          <w:rFonts w:asciiTheme="minorHAnsi" w:hAnsiTheme="minorHAnsi" w:cs="Arial"/>
          <w:color w:val="222222"/>
        </w:rPr>
        <w:t>and resolution of fever.</w:t>
      </w:r>
    </w:p>
  </w:footnote>
  <w:footnote w:id="12">
    <w:p w:rsidR="0030656A" w:rsidRPr="006B35DD" w:rsidRDefault="0030656A" w:rsidP="00374E30">
      <w:pPr>
        <w:pStyle w:val="FootnoteText"/>
      </w:pPr>
      <w:r>
        <w:rPr>
          <w:rStyle w:val="FootnoteReference"/>
        </w:rPr>
        <w:footnoteRef/>
      </w:r>
      <w:r>
        <w:t xml:space="preserve"> </w:t>
      </w:r>
      <w:r w:rsidRPr="006B35DD">
        <w:t xml:space="preserve">Defined as </w:t>
      </w:r>
      <w:r>
        <w:t>remission.</w:t>
      </w:r>
    </w:p>
  </w:footnote>
  <w:footnote w:id="13">
    <w:p w:rsidR="0030656A" w:rsidRDefault="0030656A" w:rsidP="00F47EF9">
      <w:pPr>
        <w:pStyle w:val="FootnoteText"/>
      </w:pPr>
      <w:r>
        <w:rPr>
          <w:rStyle w:val="FootnoteReference"/>
        </w:rPr>
        <w:footnoteRef/>
      </w:r>
      <w:r>
        <w:t xml:space="preserve"> </w:t>
      </w:r>
      <w:r w:rsidRPr="00F47EF9">
        <w:t>QT</w:t>
      </w:r>
      <w:r>
        <w:t xml:space="preserve"> interval corrected using Fridericia’s formula</w:t>
      </w:r>
    </w:p>
  </w:footnote>
  <w:footnote w:id="14">
    <w:p w:rsidR="0030656A" w:rsidRPr="00F47EF9" w:rsidRDefault="0030656A" w:rsidP="00AA0F95">
      <w:pPr>
        <w:pStyle w:val="FootnoteText"/>
      </w:pPr>
      <w:r>
        <w:rPr>
          <w:rStyle w:val="FootnoteReference"/>
        </w:rPr>
        <w:footnoteRef/>
      </w:r>
      <w:r>
        <w:t xml:space="preserve"> </w:t>
      </w:r>
      <w:r w:rsidRPr="00F47EF9">
        <w:t xml:space="preserve">In </w:t>
      </w:r>
      <w:hyperlink r:id="rId1" w:tooltip="Cardiology" w:history="1">
        <w:r w:rsidRPr="00F47EF9">
          <w:t>cardiology</w:t>
        </w:r>
      </w:hyperlink>
      <w:r w:rsidRPr="00F47EF9">
        <w:t xml:space="preserve">, the QT interval is a measure of the time between the start of the Q wave and the end of the T wave in the heart's </w:t>
      </w:r>
      <w:hyperlink r:id="rId2" w:tooltip="Electrical conduction system of the heart" w:history="1">
        <w:r w:rsidRPr="00F47EF9">
          <w:t>electrical cycle</w:t>
        </w:r>
      </w:hyperlink>
      <w:r w:rsidRPr="00F47EF9">
        <w:t xml:space="preserve">. The QT interval represents electrical </w:t>
      </w:r>
      <w:hyperlink r:id="rId3" w:anchor="Conduction_pathway" w:tooltip="Electrical conduction system of the heart" w:history="1">
        <w:r w:rsidRPr="00F47EF9">
          <w:t>depolarization and repolarization of the ventricles</w:t>
        </w:r>
      </w:hyperlink>
      <w:r w:rsidRPr="00F47EF9">
        <w:t xml:space="preserve">. A lengthened QT interval is a marker for the potential of ventricular tachyarrhythmias like </w:t>
      </w:r>
      <w:hyperlink r:id="rId4" w:tooltip="Torsades de pointes" w:history="1">
        <w:r w:rsidRPr="00F47EF9">
          <w:t>torsades de pointes</w:t>
        </w:r>
      </w:hyperlink>
      <w:r w:rsidRPr="00F47EF9">
        <w:t xml:space="preserve"> and a risk factor for sudden death.</w:t>
      </w:r>
    </w:p>
  </w:footnote>
  <w:footnote w:id="15">
    <w:p w:rsidR="0030656A" w:rsidRPr="00D6373F" w:rsidRDefault="0030656A" w:rsidP="00AA0F95">
      <w:pPr>
        <w:pStyle w:val="FootnoteText"/>
      </w:pPr>
      <w:r w:rsidRPr="00D6373F">
        <w:rPr>
          <w:rStyle w:val="FootnoteReference"/>
          <w:rFonts w:asciiTheme="minorHAnsi" w:hAnsiTheme="minorHAnsi"/>
          <w:szCs w:val="18"/>
        </w:rPr>
        <w:footnoteRef/>
      </w:r>
      <w:r w:rsidRPr="00D6373F">
        <w:t xml:space="preserve"> </w:t>
      </w:r>
      <w:r w:rsidRPr="00D6373F">
        <w:rPr>
          <w:lang w:val="en"/>
        </w:rPr>
        <w:t>Category D: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6">
    <w:p w:rsidR="0030656A" w:rsidRPr="00D6373F" w:rsidRDefault="0030656A" w:rsidP="00AA0F95">
      <w:pPr>
        <w:pStyle w:val="FootnoteText"/>
      </w:pPr>
      <w:r w:rsidRPr="00D6373F">
        <w:rPr>
          <w:rStyle w:val="FootnoteReference"/>
          <w:rFonts w:asciiTheme="minorHAnsi" w:hAnsiTheme="minorHAnsi"/>
          <w:szCs w:val="18"/>
        </w:rPr>
        <w:footnoteRef/>
      </w:r>
      <w:r w:rsidRPr="00D6373F">
        <w:t xml:space="preserve"> </w:t>
      </w:r>
      <w:r w:rsidRPr="00D6373F">
        <w:rPr>
          <w:lang w:val="en"/>
        </w:rPr>
        <w:t>Category X: Drugs which have such a high risk of causing permanent damage to the fetus that they should not be used in pregnancy or when there is a possibility of pregnancy.</w:t>
      </w:r>
    </w:p>
  </w:footnote>
  <w:footnote w:id="17">
    <w:p w:rsidR="0030656A" w:rsidRDefault="0030656A" w:rsidP="00AA0F95">
      <w:pPr>
        <w:pStyle w:val="FootnoteText"/>
        <w:rPr>
          <w:lang w:val="en"/>
        </w:rPr>
      </w:pPr>
      <w:r w:rsidRPr="00D6373F">
        <w:rPr>
          <w:rStyle w:val="FootnoteReference"/>
          <w:rFonts w:asciiTheme="minorHAnsi" w:hAnsiTheme="minorHAnsi"/>
          <w:szCs w:val="18"/>
        </w:rPr>
        <w:footnoteRef/>
      </w:r>
      <w:r w:rsidRPr="00D6373F">
        <w:t xml:space="preserve"> </w:t>
      </w:r>
      <w:r w:rsidRPr="00D6373F">
        <w:rPr>
          <w:lang w:val="en"/>
        </w:rPr>
        <w:t>Category B3: Drugs which have been taken by only a limited number of pregnant women and women of childbearing age, without an increase in the frequency of malformation or other direct or indirect harmful effects on the human</w:t>
      </w:r>
      <w:r w:rsidRPr="00D13F01">
        <w:rPr>
          <w:lang w:val="en"/>
        </w:rPr>
        <w:t xml:space="preserve"> fetus having been observed.</w:t>
      </w:r>
    </w:p>
    <w:p w:rsidR="0030656A" w:rsidRPr="00D13F01" w:rsidRDefault="0030656A" w:rsidP="00AA0F95">
      <w:pPr>
        <w:pStyle w:val="FootnoteText"/>
        <w:rPr>
          <w:rFonts w:ascii="Verdana" w:hAnsi="Verdana"/>
          <w:sz w:val="20"/>
          <w:lang w:val="en"/>
        </w:rPr>
      </w:pPr>
      <w:r w:rsidRPr="00D13F01">
        <w:rPr>
          <w:lang w:val="en"/>
        </w:rPr>
        <w:t>Studies in animals have shown evidence of an increased occurrence of fetal damage, the significance of which is considered uncertain in humans.</w:t>
      </w:r>
    </w:p>
  </w:footnote>
  <w:footnote w:id="18">
    <w:p w:rsidR="0030656A" w:rsidRDefault="0030656A" w:rsidP="00AA0F95">
      <w:pPr>
        <w:pStyle w:val="FootnoteText"/>
      </w:pPr>
      <w:r>
        <w:rPr>
          <w:rStyle w:val="FootnoteReference"/>
        </w:rPr>
        <w:footnoteRef/>
      </w:r>
      <w:r>
        <w:t xml:space="preserve"> Adapted American College of Rheumatology paediatric 30 criteria – improvement from baseline of at least 30%, in at least 3 of the first 6 response variables [Physician’s global assessment, parent’s or patient’s (as appropriate) global assessment, functional ability (CHAQ), number of joints with active arthritis, number of joints with limitation of motion and CRP].</w:t>
      </w:r>
    </w:p>
  </w:footnote>
  <w:footnote w:id="19">
    <w:p w:rsidR="0030656A" w:rsidRDefault="0030656A" w:rsidP="00AA0F95">
      <w:pPr>
        <w:pStyle w:val="FootnoteText"/>
      </w:pPr>
      <w:r>
        <w:rPr>
          <w:rStyle w:val="FootnoteReference"/>
        </w:rPr>
        <w:footnoteRef/>
      </w:r>
      <w:r>
        <w:t xml:space="preserve"> Physician’s global assessment, parent’s or patient’s (as appropriate) global assessment, functional ability (CHAQ), number of joints with active arthritis, number of joints with limitation of motion and CRP</w:t>
      </w:r>
    </w:p>
  </w:footnote>
  <w:footnote w:id="20">
    <w:p w:rsidR="0030656A" w:rsidRPr="00374E30" w:rsidRDefault="0030656A" w:rsidP="00374E30">
      <w:pPr>
        <w:pStyle w:val="FootnoteText"/>
      </w:pPr>
      <w:r w:rsidRPr="00374E30">
        <w:rPr>
          <w:rStyle w:val="FootnoteReference"/>
        </w:rPr>
        <w:footnoteRef/>
      </w:r>
      <w:r w:rsidRPr="00374E30">
        <w:t xml:space="preserve"> Standardised MedDRA Queries (SMQs) are tools developed to facilitate retrieval of MedDRA-coded data as a first step in investigating drug safety issues in pharmacovigilance and clinical development. SMQs are validated, pre-determined sets of MedDRA terms grouped together after extensive review, testing, analysis, and expert discussion.</w:t>
      </w:r>
    </w:p>
  </w:footnote>
  <w:footnote w:id="21">
    <w:p w:rsidR="0030656A" w:rsidRDefault="0030656A" w:rsidP="00374E30">
      <w:pPr>
        <w:pStyle w:val="FootnoteText"/>
      </w:pPr>
      <w:r w:rsidRPr="0088179E">
        <w:rPr>
          <w:rStyle w:val="FootnoteReference"/>
        </w:rPr>
        <w:footnoteRef/>
      </w:r>
      <w:r w:rsidRPr="0088179E">
        <w:t xml:space="preserve"> NHMRC-approved Clinical Guideline for the Diagnosis and Management of Juvenile Idiopathic Arthritis,RACGP 2009, p12</w:t>
      </w:r>
    </w:p>
  </w:footnote>
  <w:footnote w:id="22">
    <w:p w:rsidR="0030656A" w:rsidRPr="00374E30" w:rsidRDefault="0030656A" w:rsidP="00374E30">
      <w:pPr>
        <w:pStyle w:val="FootnoteText"/>
      </w:pPr>
      <w:r w:rsidRPr="00DA0400">
        <w:rPr>
          <w:rStyle w:val="FootnoteReference"/>
          <w:szCs w:val="18"/>
        </w:rPr>
        <w:footnoteRef/>
      </w:r>
      <w:r w:rsidRPr="00DA0400">
        <w:t xml:space="preserve"> </w:t>
      </w:r>
      <w:r w:rsidRPr="00374E30">
        <w:t>DeBenedetti F, Brunner H, Ruperto N, et al [2010] Efficacy and safety to tocilizumab in patients with systemic juvenile idiopathic arthritis [SJIA]: 12-week data from the Phase 3 TENDER trial, Ann Rheum Dis; 69[Suppl 3]:146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A" w:rsidRDefault="0030656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A" w:rsidRDefault="0030656A">
    <w:pPr>
      <w:rPr>
        <w:noProof/>
        <w:lang w:eastAsia="en-AU"/>
      </w:rPr>
    </w:pPr>
    <w:r w:rsidRPr="00347824">
      <w:rPr>
        <w:noProof/>
        <w:lang w:eastAsia="en-AU"/>
      </w:rPr>
      <w:drawing>
        <wp:anchor distT="0" distB="0" distL="114300" distR="114300" simplePos="0" relativeHeight="251659264" behindDoc="1" locked="0" layoutInCell="1" allowOverlap="1" wp14:anchorId="2D0AC215" wp14:editId="10C45C06">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0656A" w:rsidRDefault="0030656A" w:rsidP="00593AD1">
    <w:pPr>
      <w:pStyle w:val="HeaderNoLine"/>
    </w:pPr>
    <w:r>
      <w:rPr>
        <w:noProof/>
        <w:lang w:eastAsia="en-AU"/>
      </w:rPr>
      <w:drawing>
        <wp:inline distT="0" distB="0" distL="0" distR="0" wp14:anchorId="580B1517" wp14:editId="3C34F51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A" w:rsidRDefault="003065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A" w:rsidRDefault="0030656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A" w:rsidRDefault="0030656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A" w:rsidRDefault="0030656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A" w:rsidRDefault="0030656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6A" w:rsidRDefault="0030656A" w:rsidP="006E08B3">
    <w:r>
      <w:t>Therapeutic Goods Administration</w:t>
    </w:r>
  </w:p>
  <w:p w:rsidR="0030656A" w:rsidRDefault="0030656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A19FF"/>
    <w:multiLevelType w:val="multilevel"/>
    <w:tmpl w:val="F752AC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0053F11"/>
    <w:multiLevelType w:val="multilevel"/>
    <w:tmpl w:val="575CEDBE"/>
    <w:styleLink w:val="NumberBullet"/>
    <w:lvl w:ilvl="0">
      <w:start w:val="1"/>
      <w:numFmt w:val="decimal"/>
      <w:pStyle w:val="Numberbullet0"/>
      <w:lvlText w:val="%1."/>
      <w:lvlJc w:val="left"/>
      <w:pPr>
        <w:ind w:left="5954"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2BCF57AC"/>
    <w:multiLevelType w:val="hybridMultilevel"/>
    <w:tmpl w:val="482C3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F3B39A7"/>
    <w:multiLevelType w:val="hybridMultilevel"/>
    <w:tmpl w:val="F200706E"/>
    <w:lvl w:ilvl="0" w:tplc="D740497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066740A"/>
    <w:multiLevelType w:val="hybridMultilevel"/>
    <w:tmpl w:val="F9802C0A"/>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0DB0441"/>
    <w:multiLevelType w:val="hybridMultilevel"/>
    <w:tmpl w:val="3392E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4D51718"/>
    <w:multiLevelType w:val="hybridMultilevel"/>
    <w:tmpl w:val="55CA894C"/>
    <w:lvl w:ilvl="0" w:tplc="36747D3E">
      <w:start w:val="1"/>
      <w:numFmt w:val="lowerRoman"/>
      <w:lvlText w:val="%1)"/>
      <w:lvlJc w:val="left"/>
      <w:pPr>
        <w:ind w:left="890" w:hanging="72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F0F7485"/>
    <w:multiLevelType w:val="hybridMultilevel"/>
    <w:tmpl w:val="CF964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39604F5"/>
    <w:multiLevelType w:val="hybridMultilevel"/>
    <w:tmpl w:val="A81A7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D214E8B"/>
    <w:multiLevelType w:val="hybridMultilevel"/>
    <w:tmpl w:val="1CF2F4C6"/>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7CB3229D"/>
    <w:multiLevelType w:val="hybridMultilevel"/>
    <w:tmpl w:val="2AB2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5"/>
  </w:num>
  <w:num w:numId="6">
    <w:abstractNumId w:val="8"/>
  </w:num>
  <w:num w:numId="7">
    <w:abstractNumId w:val="11"/>
  </w:num>
  <w:num w:numId="8">
    <w:abstractNumId w:val="3"/>
  </w:num>
  <w:num w:numId="9">
    <w:abstractNumId w:val="4"/>
  </w:num>
  <w:num w:numId="10">
    <w:abstractNumId w:val="10"/>
  </w:num>
  <w:num w:numId="11">
    <w:abstractNumId w:val="6"/>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2"/>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45"/>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B02"/>
    <w:rsid w:val="00002031"/>
    <w:rsid w:val="00004734"/>
    <w:rsid w:val="00006B22"/>
    <w:rsid w:val="0001276A"/>
    <w:rsid w:val="00017444"/>
    <w:rsid w:val="000238F0"/>
    <w:rsid w:val="000246AE"/>
    <w:rsid w:val="00025C67"/>
    <w:rsid w:val="00031051"/>
    <w:rsid w:val="00044772"/>
    <w:rsid w:val="0005559E"/>
    <w:rsid w:val="000604D6"/>
    <w:rsid w:val="000620D7"/>
    <w:rsid w:val="000734D8"/>
    <w:rsid w:val="00077775"/>
    <w:rsid w:val="000852A8"/>
    <w:rsid w:val="00090471"/>
    <w:rsid w:val="00096AA7"/>
    <w:rsid w:val="00097F91"/>
    <w:rsid w:val="000A3AED"/>
    <w:rsid w:val="000A712D"/>
    <w:rsid w:val="000B3532"/>
    <w:rsid w:val="000B3A75"/>
    <w:rsid w:val="000C46D6"/>
    <w:rsid w:val="000C690F"/>
    <w:rsid w:val="000D1295"/>
    <w:rsid w:val="000D391B"/>
    <w:rsid w:val="000D3D6D"/>
    <w:rsid w:val="000D4FC7"/>
    <w:rsid w:val="000D7021"/>
    <w:rsid w:val="000E2F30"/>
    <w:rsid w:val="000F010E"/>
    <w:rsid w:val="000F317F"/>
    <w:rsid w:val="000F4869"/>
    <w:rsid w:val="000F5B42"/>
    <w:rsid w:val="000F6E6F"/>
    <w:rsid w:val="00103FBF"/>
    <w:rsid w:val="0010601F"/>
    <w:rsid w:val="0010788A"/>
    <w:rsid w:val="00107A31"/>
    <w:rsid w:val="0011081F"/>
    <w:rsid w:val="00110EA5"/>
    <w:rsid w:val="00112F56"/>
    <w:rsid w:val="00120B43"/>
    <w:rsid w:val="00125318"/>
    <w:rsid w:val="0013047A"/>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85884"/>
    <w:rsid w:val="00186C14"/>
    <w:rsid w:val="001924C8"/>
    <w:rsid w:val="001A2158"/>
    <w:rsid w:val="001A525F"/>
    <w:rsid w:val="001B09F9"/>
    <w:rsid w:val="001B5C90"/>
    <w:rsid w:val="001B6448"/>
    <w:rsid w:val="001C0FCA"/>
    <w:rsid w:val="001C32CD"/>
    <w:rsid w:val="001D2984"/>
    <w:rsid w:val="001E07CF"/>
    <w:rsid w:val="001E4506"/>
    <w:rsid w:val="001E59F1"/>
    <w:rsid w:val="001E7A63"/>
    <w:rsid w:val="001F49EB"/>
    <w:rsid w:val="001F6CBA"/>
    <w:rsid w:val="00201D4E"/>
    <w:rsid w:val="00203720"/>
    <w:rsid w:val="0020756B"/>
    <w:rsid w:val="002076C9"/>
    <w:rsid w:val="00220B8A"/>
    <w:rsid w:val="002257F3"/>
    <w:rsid w:val="00233456"/>
    <w:rsid w:val="002339A5"/>
    <w:rsid w:val="00241CDF"/>
    <w:rsid w:val="00257848"/>
    <w:rsid w:val="0027084A"/>
    <w:rsid w:val="00276DF9"/>
    <w:rsid w:val="00286434"/>
    <w:rsid w:val="00286C59"/>
    <w:rsid w:val="00291957"/>
    <w:rsid w:val="002942D1"/>
    <w:rsid w:val="0029501A"/>
    <w:rsid w:val="002B1638"/>
    <w:rsid w:val="002B3624"/>
    <w:rsid w:val="002E40B3"/>
    <w:rsid w:val="002E4C9A"/>
    <w:rsid w:val="002F11F8"/>
    <w:rsid w:val="002F3F56"/>
    <w:rsid w:val="002F44B5"/>
    <w:rsid w:val="00300A92"/>
    <w:rsid w:val="0030656A"/>
    <w:rsid w:val="00311AC0"/>
    <w:rsid w:val="0032583B"/>
    <w:rsid w:val="00327883"/>
    <w:rsid w:val="00332FF3"/>
    <w:rsid w:val="00335504"/>
    <w:rsid w:val="00347824"/>
    <w:rsid w:val="00350567"/>
    <w:rsid w:val="003521E8"/>
    <w:rsid w:val="00366CA0"/>
    <w:rsid w:val="003728F3"/>
    <w:rsid w:val="0037496E"/>
    <w:rsid w:val="00374E30"/>
    <w:rsid w:val="00386150"/>
    <w:rsid w:val="003874CE"/>
    <w:rsid w:val="00390900"/>
    <w:rsid w:val="00391316"/>
    <w:rsid w:val="003A7F6C"/>
    <w:rsid w:val="003B4D60"/>
    <w:rsid w:val="003B7970"/>
    <w:rsid w:val="003B7E39"/>
    <w:rsid w:val="003C306F"/>
    <w:rsid w:val="003C58DC"/>
    <w:rsid w:val="003D1E62"/>
    <w:rsid w:val="003E2486"/>
    <w:rsid w:val="003E2D87"/>
    <w:rsid w:val="003E3208"/>
    <w:rsid w:val="003F0B04"/>
    <w:rsid w:val="003F2210"/>
    <w:rsid w:val="0040134E"/>
    <w:rsid w:val="00404BA5"/>
    <w:rsid w:val="00407CC5"/>
    <w:rsid w:val="0041546E"/>
    <w:rsid w:val="004334C7"/>
    <w:rsid w:val="00440A2D"/>
    <w:rsid w:val="004564A7"/>
    <w:rsid w:val="004617BF"/>
    <w:rsid w:val="00463658"/>
    <w:rsid w:val="004722CC"/>
    <w:rsid w:val="00472929"/>
    <w:rsid w:val="004936E4"/>
    <w:rsid w:val="00494E60"/>
    <w:rsid w:val="00497487"/>
    <w:rsid w:val="004A7390"/>
    <w:rsid w:val="004B7B76"/>
    <w:rsid w:val="004C239D"/>
    <w:rsid w:val="004C2DCA"/>
    <w:rsid w:val="004D1551"/>
    <w:rsid w:val="004E3B70"/>
    <w:rsid w:val="004F0C4A"/>
    <w:rsid w:val="004F0F38"/>
    <w:rsid w:val="00501921"/>
    <w:rsid w:val="00530354"/>
    <w:rsid w:val="0053625B"/>
    <w:rsid w:val="005434C6"/>
    <w:rsid w:val="00543B39"/>
    <w:rsid w:val="00546154"/>
    <w:rsid w:val="00547E46"/>
    <w:rsid w:val="00550096"/>
    <w:rsid w:val="00555280"/>
    <w:rsid w:val="00557FF9"/>
    <w:rsid w:val="00576378"/>
    <w:rsid w:val="00577130"/>
    <w:rsid w:val="00577945"/>
    <w:rsid w:val="00577E38"/>
    <w:rsid w:val="00585322"/>
    <w:rsid w:val="005857C6"/>
    <w:rsid w:val="00592F6E"/>
    <w:rsid w:val="00593AD1"/>
    <w:rsid w:val="005A68B6"/>
    <w:rsid w:val="005C5570"/>
    <w:rsid w:val="005C79A4"/>
    <w:rsid w:val="005D5442"/>
    <w:rsid w:val="006001B6"/>
    <w:rsid w:val="00603F32"/>
    <w:rsid w:val="00605AD4"/>
    <w:rsid w:val="00625A6E"/>
    <w:rsid w:val="00632398"/>
    <w:rsid w:val="00640FC3"/>
    <w:rsid w:val="00642020"/>
    <w:rsid w:val="0064603F"/>
    <w:rsid w:val="0065337B"/>
    <w:rsid w:val="0065419D"/>
    <w:rsid w:val="006604D8"/>
    <w:rsid w:val="00664A5B"/>
    <w:rsid w:val="00671FF4"/>
    <w:rsid w:val="006763D2"/>
    <w:rsid w:val="00680C08"/>
    <w:rsid w:val="006856AA"/>
    <w:rsid w:val="006931B1"/>
    <w:rsid w:val="006A15C0"/>
    <w:rsid w:val="006A666D"/>
    <w:rsid w:val="006B35DD"/>
    <w:rsid w:val="006C3624"/>
    <w:rsid w:val="006C3E2A"/>
    <w:rsid w:val="006C642F"/>
    <w:rsid w:val="006D03E5"/>
    <w:rsid w:val="006D5D3E"/>
    <w:rsid w:val="006E08B3"/>
    <w:rsid w:val="006E4256"/>
    <w:rsid w:val="006F17AC"/>
    <w:rsid w:val="006F25B8"/>
    <w:rsid w:val="006F572E"/>
    <w:rsid w:val="006F67A2"/>
    <w:rsid w:val="007046D6"/>
    <w:rsid w:val="00705DB0"/>
    <w:rsid w:val="00713E4D"/>
    <w:rsid w:val="00722704"/>
    <w:rsid w:val="00722B57"/>
    <w:rsid w:val="00730F8A"/>
    <w:rsid w:val="0073184D"/>
    <w:rsid w:val="0074253D"/>
    <w:rsid w:val="0074429B"/>
    <w:rsid w:val="0074699E"/>
    <w:rsid w:val="0075797D"/>
    <w:rsid w:val="007615BC"/>
    <w:rsid w:val="00762F05"/>
    <w:rsid w:val="007652FF"/>
    <w:rsid w:val="00770EF1"/>
    <w:rsid w:val="00772124"/>
    <w:rsid w:val="00773EF7"/>
    <w:rsid w:val="00774E1D"/>
    <w:rsid w:val="0077675A"/>
    <w:rsid w:val="00780355"/>
    <w:rsid w:val="007819FD"/>
    <w:rsid w:val="00785721"/>
    <w:rsid w:val="00793A59"/>
    <w:rsid w:val="007A0D50"/>
    <w:rsid w:val="007A258F"/>
    <w:rsid w:val="007A53C4"/>
    <w:rsid w:val="007B6132"/>
    <w:rsid w:val="007B6E9F"/>
    <w:rsid w:val="007B7B02"/>
    <w:rsid w:val="007C1216"/>
    <w:rsid w:val="007C1AF7"/>
    <w:rsid w:val="007C67EE"/>
    <w:rsid w:val="007D3D50"/>
    <w:rsid w:val="00805D27"/>
    <w:rsid w:val="00821776"/>
    <w:rsid w:val="008321F5"/>
    <w:rsid w:val="00832369"/>
    <w:rsid w:val="00834660"/>
    <w:rsid w:val="00836BC2"/>
    <w:rsid w:val="0085156D"/>
    <w:rsid w:val="008524A7"/>
    <w:rsid w:val="0085641B"/>
    <w:rsid w:val="00856969"/>
    <w:rsid w:val="00857136"/>
    <w:rsid w:val="0088179E"/>
    <w:rsid w:val="00885B11"/>
    <w:rsid w:val="00886D15"/>
    <w:rsid w:val="00887DD8"/>
    <w:rsid w:val="00894586"/>
    <w:rsid w:val="00896018"/>
    <w:rsid w:val="008960DD"/>
    <w:rsid w:val="0089635C"/>
    <w:rsid w:val="008A0F3A"/>
    <w:rsid w:val="008A2B9D"/>
    <w:rsid w:val="008A3D9F"/>
    <w:rsid w:val="008A5E0B"/>
    <w:rsid w:val="008A6D59"/>
    <w:rsid w:val="008B4B03"/>
    <w:rsid w:val="008B596F"/>
    <w:rsid w:val="008C159F"/>
    <w:rsid w:val="008C1623"/>
    <w:rsid w:val="008C1850"/>
    <w:rsid w:val="008C51A9"/>
    <w:rsid w:val="008D6AED"/>
    <w:rsid w:val="008E7846"/>
    <w:rsid w:val="008F1CCC"/>
    <w:rsid w:val="008F2967"/>
    <w:rsid w:val="008F6698"/>
    <w:rsid w:val="008F6943"/>
    <w:rsid w:val="00902A21"/>
    <w:rsid w:val="00920330"/>
    <w:rsid w:val="009219D7"/>
    <w:rsid w:val="00922D53"/>
    <w:rsid w:val="00923B70"/>
    <w:rsid w:val="00924482"/>
    <w:rsid w:val="00930237"/>
    <w:rsid w:val="00940A89"/>
    <w:rsid w:val="009433F5"/>
    <w:rsid w:val="00946EA5"/>
    <w:rsid w:val="0095773F"/>
    <w:rsid w:val="00963C08"/>
    <w:rsid w:val="0096748D"/>
    <w:rsid w:val="0098585A"/>
    <w:rsid w:val="00992362"/>
    <w:rsid w:val="009A4CED"/>
    <w:rsid w:val="009A690D"/>
    <w:rsid w:val="009A75C7"/>
    <w:rsid w:val="009B1D12"/>
    <w:rsid w:val="009B416B"/>
    <w:rsid w:val="009C4BD5"/>
    <w:rsid w:val="009D7B77"/>
    <w:rsid w:val="009E0BB0"/>
    <w:rsid w:val="009E3FBB"/>
    <w:rsid w:val="00A102E4"/>
    <w:rsid w:val="00A12C42"/>
    <w:rsid w:val="00A14DF7"/>
    <w:rsid w:val="00A3246D"/>
    <w:rsid w:val="00A325E5"/>
    <w:rsid w:val="00A36FA7"/>
    <w:rsid w:val="00A44DDB"/>
    <w:rsid w:val="00A475B7"/>
    <w:rsid w:val="00A47AF7"/>
    <w:rsid w:val="00A47C3E"/>
    <w:rsid w:val="00A50226"/>
    <w:rsid w:val="00A60BAD"/>
    <w:rsid w:val="00A61430"/>
    <w:rsid w:val="00A700A4"/>
    <w:rsid w:val="00A84E36"/>
    <w:rsid w:val="00A87B9E"/>
    <w:rsid w:val="00A903AE"/>
    <w:rsid w:val="00A964D1"/>
    <w:rsid w:val="00AA0ED0"/>
    <w:rsid w:val="00AA0F95"/>
    <w:rsid w:val="00AA1973"/>
    <w:rsid w:val="00AB34EF"/>
    <w:rsid w:val="00AC2B40"/>
    <w:rsid w:val="00AC2BB2"/>
    <w:rsid w:val="00AC2C3C"/>
    <w:rsid w:val="00AC512D"/>
    <w:rsid w:val="00AD0083"/>
    <w:rsid w:val="00AD3935"/>
    <w:rsid w:val="00AD3C6C"/>
    <w:rsid w:val="00AE65EB"/>
    <w:rsid w:val="00AE67A7"/>
    <w:rsid w:val="00AF1D94"/>
    <w:rsid w:val="00AF60C5"/>
    <w:rsid w:val="00B009C6"/>
    <w:rsid w:val="00B01548"/>
    <w:rsid w:val="00B21D29"/>
    <w:rsid w:val="00B24FB5"/>
    <w:rsid w:val="00B25034"/>
    <w:rsid w:val="00B33588"/>
    <w:rsid w:val="00B33863"/>
    <w:rsid w:val="00B3797D"/>
    <w:rsid w:val="00B37D17"/>
    <w:rsid w:val="00B4175E"/>
    <w:rsid w:val="00B452CE"/>
    <w:rsid w:val="00B54C25"/>
    <w:rsid w:val="00B60592"/>
    <w:rsid w:val="00B76B91"/>
    <w:rsid w:val="00B77EB1"/>
    <w:rsid w:val="00B811C6"/>
    <w:rsid w:val="00B81244"/>
    <w:rsid w:val="00B855B0"/>
    <w:rsid w:val="00B92E08"/>
    <w:rsid w:val="00BC622A"/>
    <w:rsid w:val="00BE0A78"/>
    <w:rsid w:val="00BE49D7"/>
    <w:rsid w:val="00BE79F0"/>
    <w:rsid w:val="00BF046D"/>
    <w:rsid w:val="00BF1190"/>
    <w:rsid w:val="00BF5D04"/>
    <w:rsid w:val="00C065A3"/>
    <w:rsid w:val="00C10A78"/>
    <w:rsid w:val="00C1164D"/>
    <w:rsid w:val="00C16861"/>
    <w:rsid w:val="00C2681F"/>
    <w:rsid w:val="00C30752"/>
    <w:rsid w:val="00C404A6"/>
    <w:rsid w:val="00C4062B"/>
    <w:rsid w:val="00C40A36"/>
    <w:rsid w:val="00C44419"/>
    <w:rsid w:val="00C45E7B"/>
    <w:rsid w:val="00C471B1"/>
    <w:rsid w:val="00C47C38"/>
    <w:rsid w:val="00C6316B"/>
    <w:rsid w:val="00C634A9"/>
    <w:rsid w:val="00C64586"/>
    <w:rsid w:val="00C70D53"/>
    <w:rsid w:val="00C73D0B"/>
    <w:rsid w:val="00C772FF"/>
    <w:rsid w:val="00C80137"/>
    <w:rsid w:val="00C801AF"/>
    <w:rsid w:val="00C80256"/>
    <w:rsid w:val="00C95FA3"/>
    <w:rsid w:val="00C9747E"/>
    <w:rsid w:val="00CB6BC0"/>
    <w:rsid w:val="00CC1B7C"/>
    <w:rsid w:val="00CC727F"/>
    <w:rsid w:val="00CD4151"/>
    <w:rsid w:val="00CD5880"/>
    <w:rsid w:val="00CD70BC"/>
    <w:rsid w:val="00CF15C3"/>
    <w:rsid w:val="00CF2B6F"/>
    <w:rsid w:val="00CF58B6"/>
    <w:rsid w:val="00D014CB"/>
    <w:rsid w:val="00D017ED"/>
    <w:rsid w:val="00D040D3"/>
    <w:rsid w:val="00D04C65"/>
    <w:rsid w:val="00D13F01"/>
    <w:rsid w:val="00D201D2"/>
    <w:rsid w:val="00D224FE"/>
    <w:rsid w:val="00D23139"/>
    <w:rsid w:val="00D425BB"/>
    <w:rsid w:val="00D62A6E"/>
    <w:rsid w:val="00D636AC"/>
    <w:rsid w:val="00D6373F"/>
    <w:rsid w:val="00D6493E"/>
    <w:rsid w:val="00D7195D"/>
    <w:rsid w:val="00D7301E"/>
    <w:rsid w:val="00D83AE1"/>
    <w:rsid w:val="00D850ED"/>
    <w:rsid w:val="00D855D4"/>
    <w:rsid w:val="00D93466"/>
    <w:rsid w:val="00D979B8"/>
    <w:rsid w:val="00DA0400"/>
    <w:rsid w:val="00DA1124"/>
    <w:rsid w:val="00DB6124"/>
    <w:rsid w:val="00DB750B"/>
    <w:rsid w:val="00DB75B7"/>
    <w:rsid w:val="00DC6E02"/>
    <w:rsid w:val="00DE02AE"/>
    <w:rsid w:val="00DF0C78"/>
    <w:rsid w:val="00DF1D7F"/>
    <w:rsid w:val="00DF4BE4"/>
    <w:rsid w:val="00E02FB4"/>
    <w:rsid w:val="00E20571"/>
    <w:rsid w:val="00E22D1F"/>
    <w:rsid w:val="00E235F7"/>
    <w:rsid w:val="00E23659"/>
    <w:rsid w:val="00E239D4"/>
    <w:rsid w:val="00E26130"/>
    <w:rsid w:val="00E40B22"/>
    <w:rsid w:val="00E44ED1"/>
    <w:rsid w:val="00E45619"/>
    <w:rsid w:val="00E4588F"/>
    <w:rsid w:val="00E46DA3"/>
    <w:rsid w:val="00E51BB1"/>
    <w:rsid w:val="00E539B4"/>
    <w:rsid w:val="00E5614D"/>
    <w:rsid w:val="00E624A5"/>
    <w:rsid w:val="00E7344E"/>
    <w:rsid w:val="00EA0973"/>
    <w:rsid w:val="00EB0798"/>
    <w:rsid w:val="00EB40AD"/>
    <w:rsid w:val="00EB586E"/>
    <w:rsid w:val="00EB5FC8"/>
    <w:rsid w:val="00EC412B"/>
    <w:rsid w:val="00EC589E"/>
    <w:rsid w:val="00EC6224"/>
    <w:rsid w:val="00EC7A85"/>
    <w:rsid w:val="00ED3CAD"/>
    <w:rsid w:val="00ED5A41"/>
    <w:rsid w:val="00EE1DE8"/>
    <w:rsid w:val="00EE3DCE"/>
    <w:rsid w:val="00F033EC"/>
    <w:rsid w:val="00F04F68"/>
    <w:rsid w:val="00F12670"/>
    <w:rsid w:val="00F14B27"/>
    <w:rsid w:val="00F3148D"/>
    <w:rsid w:val="00F325C5"/>
    <w:rsid w:val="00F32FE0"/>
    <w:rsid w:val="00F35298"/>
    <w:rsid w:val="00F47333"/>
    <w:rsid w:val="00F47E37"/>
    <w:rsid w:val="00F47EF9"/>
    <w:rsid w:val="00F511AA"/>
    <w:rsid w:val="00F53C07"/>
    <w:rsid w:val="00F53DC5"/>
    <w:rsid w:val="00F54B65"/>
    <w:rsid w:val="00F640B6"/>
    <w:rsid w:val="00F80E40"/>
    <w:rsid w:val="00F82804"/>
    <w:rsid w:val="00F848D9"/>
    <w:rsid w:val="00F9727B"/>
    <w:rsid w:val="00FA4CA0"/>
    <w:rsid w:val="00FA5B82"/>
    <w:rsid w:val="00FA639E"/>
    <w:rsid w:val="00FB2F34"/>
    <w:rsid w:val="00FB68D3"/>
    <w:rsid w:val="00FC25E4"/>
    <w:rsid w:val="00FC2B6B"/>
    <w:rsid w:val="00FC4EF7"/>
    <w:rsid w:val="00FD0824"/>
    <w:rsid w:val="00FD119B"/>
    <w:rsid w:val="00FE1DEE"/>
    <w:rsid w:val="00FF2126"/>
    <w:rsid w:val="00FF5755"/>
    <w:rsid w:val="00FF69BE"/>
    <w:rsid w:val="00FF782C"/>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A0F9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D979B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203720"/>
    <w:pPr>
      <w:numPr>
        <w:numId w:val="4"/>
      </w:numPr>
      <w:ind w:left="0" w:firstLine="0"/>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tandard">
    <w:name w:val="Standard"/>
    <w:basedOn w:val="Normal"/>
    <w:link w:val="StandardChar"/>
    <w:rsid w:val="007B7B02"/>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7B7B02"/>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locked/>
    <w:rsid w:val="007B7B02"/>
    <w:rPr>
      <w:rFonts w:ascii="Cambria" w:eastAsia="Times New Roman" w:hAnsi="Cambria" w:cs="Times New Roman"/>
      <w:b/>
      <w:caps/>
      <w:kern w:val="16"/>
      <w:sz w:val="24"/>
      <w:szCs w:val="24"/>
    </w:rPr>
  </w:style>
  <w:style w:type="paragraph" w:customStyle="1" w:styleId="SectionHeading">
    <w:name w:val="Section Heading"/>
    <w:basedOn w:val="Standard"/>
    <w:next w:val="Standard"/>
    <w:link w:val="SectionHeadingCharChar"/>
    <w:rsid w:val="007B7B02"/>
    <w:pPr>
      <w:keepNext/>
      <w:snapToGrid w:val="0"/>
      <w:outlineLvl w:val="0"/>
    </w:pPr>
    <w:rPr>
      <w:b/>
      <w:caps/>
      <w:snapToGrid/>
      <w:sz w:val="24"/>
    </w:rPr>
  </w:style>
  <w:style w:type="paragraph" w:styleId="ListParagraph">
    <w:name w:val="List Paragraph"/>
    <w:basedOn w:val="Normal"/>
    <w:uiPriority w:val="34"/>
    <w:qFormat/>
    <w:rsid w:val="007B7B02"/>
    <w:pPr>
      <w:adjustRightInd w:val="0"/>
      <w:snapToGrid w:val="0"/>
      <w:spacing w:before="180" w:after="180"/>
      <w:ind w:left="720"/>
      <w:contextualSpacing/>
    </w:pPr>
    <w:rPr>
      <w:rFonts w:eastAsia="MS Mincho"/>
      <w:szCs w:val="20"/>
      <w:lang w:eastAsia="ja-JP"/>
    </w:rPr>
  </w:style>
  <w:style w:type="paragraph" w:customStyle="1" w:styleId="Abbreviations">
    <w:name w:val="Abbreviations"/>
    <w:basedOn w:val="Normal"/>
    <w:rsid w:val="007B7B0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pdf">
    <w:name w:val="pdf"/>
    <w:basedOn w:val="Normal"/>
    <w:rsid w:val="00D979B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Bullet1">
    <w:name w:val="Bullet 1"/>
    <w:basedOn w:val="Normal"/>
    <w:rsid w:val="00D979B8"/>
    <w:pPr>
      <w:numPr>
        <w:numId w:val="5"/>
      </w:numPr>
      <w:spacing w:after="0" w:line="240" w:lineRule="auto"/>
    </w:pPr>
    <w:rPr>
      <w:rFonts w:eastAsia="Times New Roman"/>
      <w:kern w:val="24"/>
      <w:szCs w:val="24"/>
      <w:lang w:eastAsia="en-AU"/>
    </w:rPr>
  </w:style>
  <w:style w:type="paragraph" w:customStyle="1" w:styleId="Bullet2">
    <w:name w:val="Bullet 2"/>
    <w:basedOn w:val="Bullet1"/>
    <w:rsid w:val="00D979B8"/>
    <w:pPr>
      <w:numPr>
        <w:numId w:val="6"/>
      </w:numPr>
    </w:pPr>
  </w:style>
  <w:style w:type="character" w:customStyle="1" w:styleId="Heading8Char">
    <w:name w:val="Heading 8 Char"/>
    <w:basedOn w:val="DefaultParagraphFont"/>
    <w:link w:val="Heading8"/>
    <w:uiPriority w:val="9"/>
    <w:semiHidden/>
    <w:rsid w:val="00D979B8"/>
    <w:rPr>
      <w:rFonts w:asciiTheme="majorHAnsi" w:eastAsiaTheme="majorEastAsia" w:hAnsiTheme="majorHAnsi" w:cstheme="majorBidi"/>
      <w:color w:val="404040" w:themeColor="text1" w:themeTint="BF"/>
      <w:sz w:val="20"/>
      <w:szCs w:val="20"/>
    </w:rPr>
  </w:style>
  <w:style w:type="paragraph" w:customStyle="1" w:styleId="TableBullet">
    <w:name w:val="Table Bullet"/>
    <w:basedOn w:val="Normal"/>
    <w:rsid w:val="00D979B8"/>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Default">
    <w:name w:val="Default"/>
    <w:rsid w:val="00D979B8"/>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st1">
    <w:name w:val="st1"/>
    <w:basedOn w:val="DefaultParagraphFont"/>
    <w:rsid w:val="00E22D1F"/>
  </w:style>
  <w:style w:type="table" w:customStyle="1" w:styleId="TableTGAblue1">
    <w:name w:val="Table TGA blue1"/>
    <w:basedOn w:val="TableNormal"/>
    <w:uiPriority w:val="99"/>
    <w:qFormat/>
    <w:rsid w:val="00E22D1F"/>
    <w:pPr>
      <w:spacing w:after="0" w:line="240" w:lineRule="auto"/>
    </w:pPr>
    <w:rPr>
      <w:rFonts w:ascii="Cambria" w:hAnsi="Cambria" w:cs="Times New Roman"/>
      <w:color w:val="000000"/>
      <w:szCs w:val="2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customStyle="1" w:styleId="label2">
    <w:name w:val="label2"/>
    <w:basedOn w:val="DefaultParagraphFont"/>
    <w:rsid w:val="00B24FB5"/>
    <w:rPr>
      <w:vanish w:val="0"/>
      <w:webHidden w:val="0"/>
      <w:specVanish w:val="0"/>
    </w:rPr>
  </w:style>
  <w:style w:type="character" w:customStyle="1" w:styleId="st">
    <w:name w:val="st"/>
    <w:basedOn w:val="DefaultParagraphFont"/>
    <w:rsid w:val="00B60592"/>
  </w:style>
  <w:style w:type="character" w:styleId="Emphasis">
    <w:name w:val="Emphasis"/>
    <w:basedOn w:val="DefaultParagraphFont"/>
    <w:uiPriority w:val="20"/>
    <w:qFormat/>
    <w:rsid w:val="00186C14"/>
    <w:rPr>
      <w:b/>
      <w:bCs/>
      <w:i w:val="0"/>
      <w:iCs w:val="0"/>
    </w:rPr>
  </w:style>
  <w:style w:type="character" w:styleId="CommentReference">
    <w:name w:val="annotation reference"/>
    <w:basedOn w:val="DefaultParagraphFont"/>
    <w:uiPriority w:val="99"/>
    <w:semiHidden/>
    <w:unhideWhenUsed/>
    <w:rsid w:val="00E539B4"/>
    <w:rPr>
      <w:sz w:val="16"/>
      <w:szCs w:val="16"/>
    </w:rPr>
  </w:style>
  <w:style w:type="paragraph" w:styleId="CommentText">
    <w:name w:val="annotation text"/>
    <w:basedOn w:val="Normal"/>
    <w:link w:val="CommentTextChar"/>
    <w:uiPriority w:val="99"/>
    <w:semiHidden/>
    <w:unhideWhenUsed/>
    <w:rsid w:val="00E539B4"/>
    <w:pPr>
      <w:spacing w:line="240" w:lineRule="auto"/>
    </w:pPr>
    <w:rPr>
      <w:sz w:val="20"/>
      <w:szCs w:val="20"/>
    </w:rPr>
  </w:style>
  <w:style w:type="character" w:customStyle="1" w:styleId="CommentTextChar">
    <w:name w:val="Comment Text Char"/>
    <w:basedOn w:val="DefaultParagraphFont"/>
    <w:link w:val="CommentText"/>
    <w:uiPriority w:val="99"/>
    <w:semiHidden/>
    <w:rsid w:val="00E539B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539B4"/>
    <w:rPr>
      <w:b/>
      <w:bCs/>
    </w:rPr>
  </w:style>
  <w:style w:type="character" w:customStyle="1" w:styleId="CommentSubjectChar">
    <w:name w:val="Comment Subject Char"/>
    <w:basedOn w:val="CommentTextChar"/>
    <w:link w:val="CommentSubject"/>
    <w:uiPriority w:val="99"/>
    <w:semiHidden/>
    <w:rsid w:val="00E539B4"/>
    <w:rPr>
      <w:rFonts w:ascii="Cambria" w:eastAsia="Cambria" w:hAnsi="Cambria" w:cs="Times New Roman"/>
      <w:b/>
      <w:bCs/>
      <w:sz w:val="20"/>
      <w:szCs w:val="20"/>
    </w:rPr>
  </w:style>
  <w:style w:type="paragraph" w:styleId="Revision">
    <w:name w:val="Revision"/>
    <w:hidden/>
    <w:uiPriority w:val="99"/>
    <w:semiHidden/>
    <w:rsid w:val="00C2681F"/>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A0F9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D979B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203720"/>
    <w:pPr>
      <w:numPr>
        <w:numId w:val="4"/>
      </w:numPr>
      <w:ind w:left="0" w:firstLine="0"/>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tandard">
    <w:name w:val="Standard"/>
    <w:basedOn w:val="Normal"/>
    <w:link w:val="StandardChar"/>
    <w:rsid w:val="007B7B02"/>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7B7B02"/>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locked/>
    <w:rsid w:val="007B7B02"/>
    <w:rPr>
      <w:rFonts w:ascii="Cambria" w:eastAsia="Times New Roman" w:hAnsi="Cambria" w:cs="Times New Roman"/>
      <w:b/>
      <w:caps/>
      <w:kern w:val="16"/>
      <w:sz w:val="24"/>
      <w:szCs w:val="24"/>
    </w:rPr>
  </w:style>
  <w:style w:type="paragraph" w:customStyle="1" w:styleId="SectionHeading">
    <w:name w:val="Section Heading"/>
    <w:basedOn w:val="Standard"/>
    <w:next w:val="Standard"/>
    <w:link w:val="SectionHeadingCharChar"/>
    <w:rsid w:val="007B7B02"/>
    <w:pPr>
      <w:keepNext/>
      <w:snapToGrid w:val="0"/>
      <w:outlineLvl w:val="0"/>
    </w:pPr>
    <w:rPr>
      <w:b/>
      <w:caps/>
      <w:snapToGrid/>
      <w:sz w:val="24"/>
    </w:rPr>
  </w:style>
  <w:style w:type="paragraph" w:styleId="ListParagraph">
    <w:name w:val="List Paragraph"/>
    <w:basedOn w:val="Normal"/>
    <w:uiPriority w:val="34"/>
    <w:qFormat/>
    <w:rsid w:val="007B7B02"/>
    <w:pPr>
      <w:adjustRightInd w:val="0"/>
      <w:snapToGrid w:val="0"/>
      <w:spacing w:before="180" w:after="180"/>
      <w:ind w:left="720"/>
      <w:contextualSpacing/>
    </w:pPr>
    <w:rPr>
      <w:rFonts w:eastAsia="MS Mincho"/>
      <w:szCs w:val="20"/>
      <w:lang w:eastAsia="ja-JP"/>
    </w:rPr>
  </w:style>
  <w:style w:type="paragraph" w:customStyle="1" w:styleId="Abbreviations">
    <w:name w:val="Abbreviations"/>
    <w:basedOn w:val="Normal"/>
    <w:rsid w:val="007B7B0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pdf">
    <w:name w:val="pdf"/>
    <w:basedOn w:val="Normal"/>
    <w:rsid w:val="00D979B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Bullet1">
    <w:name w:val="Bullet 1"/>
    <w:basedOn w:val="Normal"/>
    <w:rsid w:val="00D979B8"/>
    <w:pPr>
      <w:numPr>
        <w:numId w:val="5"/>
      </w:numPr>
      <w:spacing w:after="0" w:line="240" w:lineRule="auto"/>
    </w:pPr>
    <w:rPr>
      <w:rFonts w:eastAsia="Times New Roman"/>
      <w:kern w:val="24"/>
      <w:szCs w:val="24"/>
      <w:lang w:eastAsia="en-AU"/>
    </w:rPr>
  </w:style>
  <w:style w:type="paragraph" w:customStyle="1" w:styleId="Bullet2">
    <w:name w:val="Bullet 2"/>
    <w:basedOn w:val="Bullet1"/>
    <w:rsid w:val="00D979B8"/>
    <w:pPr>
      <w:numPr>
        <w:numId w:val="6"/>
      </w:numPr>
    </w:pPr>
  </w:style>
  <w:style w:type="character" w:customStyle="1" w:styleId="Heading8Char">
    <w:name w:val="Heading 8 Char"/>
    <w:basedOn w:val="DefaultParagraphFont"/>
    <w:link w:val="Heading8"/>
    <w:uiPriority w:val="9"/>
    <w:semiHidden/>
    <w:rsid w:val="00D979B8"/>
    <w:rPr>
      <w:rFonts w:asciiTheme="majorHAnsi" w:eastAsiaTheme="majorEastAsia" w:hAnsiTheme="majorHAnsi" w:cstheme="majorBidi"/>
      <w:color w:val="404040" w:themeColor="text1" w:themeTint="BF"/>
      <w:sz w:val="20"/>
      <w:szCs w:val="20"/>
    </w:rPr>
  </w:style>
  <w:style w:type="paragraph" w:customStyle="1" w:styleId="TableBullet">
    <w:name w:val="Table Bullet"/>
    <w:basedOn w:val="Normal"/>
    <w:rsid w:val="00D979B8"/>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Default">
    <w:name w:val="Default"/>
    <w:rsid w:val="00D979B8"/>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st1">
    <w:name w:val="st1"/>
    <w:basedOn w:val="DefaultParagraphFont"/>
    <w:rsid w:val="00E22D1F"/>
  </w:style>
  <w:style w:type="table" w:customStyle="1" w:styleId="TableTGAblue1">
    <w:name w:val="Table TGA blue1"/>
    <w:basedOn w:val="TableNormal"/>
    <w:uiPriority w:val="99"/>
    <w:qFormat/>
    <w:rsid w:val="00E22D1F"/>
    <w:pPr>
      <w:spacing w:after="0" w:line="240" w:lineRule="auto"/>
    </w:pPr>
    <w:rPr>
      <w:rFonts w:ascii="Cambria" w:hAnsi="Cambria" w:cs="Times New Roman"/>
      <w:color w:val="000000"/>
      <w:szCs w:val="2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customStyle="1" w:styleId="label2">
    <w:name w:val="label2"/>
    <w:basedOn w:val="DefaultParagraphFont"/>
    <w:rsid w:val="00B24FB5"/>
    <w:rPr>
      <w:vanish w:val="0"/>
      <w:webHidden w:val="0"/>
      <w:specVanish w:val="0"/>
    </w:rPr>
  </w:style>
  <w:style w:type="character" w:customStyle="1" w:styleId="st">
    <w:name w:val="st"/>
    <w:basedOn w:val="DefaultParagraphFont"/>
    <w:rsid w:val="00B60592"/>
  </w:style>
  <w:style w:type="character" w:styleId="Emphasis">
    <w:name w:val="Emphasis"/>
    <w:basedOn w:val="DefaultParagraphFont"/>
    <w:uiPriority w:val="20"/>
    <w:qFormat/>
    <w:rsid w:val="00186C14"/>
    <w:rPr>
      <w:b/>
      <w:bCs/>
      <w:i w:val="0"/>
      <w:iCs w:val="0"/>
    </w:rPr>
  </w:style>
  <w:style w:type="character" w:styleId="CommentReference">
    <w:name w:val="annotation reference"/>
    <w:basedOn w:val="DefaultParagraphFont"/>
    <w:uiPriority w:val="99"/>
    <w:semiHidden/>
    <w:unhideWhenUsed/>
    <w:rsid w:val="00E539B4"/>
    <w:rPr>
      <w:sz w:val="16"/>
      <w:szCs w:val="16"/>
    </w:rPr>
  </w:style>
  <w:style w:type="paragraph" w:styleId="CommentText">
    <w:name w:val="annotation text"/>
    <w:basedOn w:val="Normal"/>
    <w:link w:val="CommentTextChar"/>
    <w:uiPriority w:val="99"/>
    <w:semiHidden/>
    <w:unhideWhenUsed/>
    <w:rsid w:val="00E539B4"/>
    <w:pPr>
      <w:spacing w:line="240" w:lineRule="auto"/>
    </w:pPr>
    <w:rPr>
      <w:sz w:val="20"/>
      <w:szCs w:val="20"/>
    </w:rPr>
  </w:style>
  <w:style w:type="character" w:customStyle="1" w:styleId="CommentTextChar">
    <w:name w:val="Comment Text Char"/>
    <w:basedOn w:val="DefaultParagraphFont"/>
    <w:link w:val="CommentText"/>
    <w:uiPriority w:val="99"/>
    <w:semiHidden/>
    <w:rsid w:val="00E539B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539B4"/>
    <w:rPr>
      <w:b/>
      <w:bCs/>
    </w:rPr>
  </w:style>
  <w:style w:type="character" w:customStyle="1" w:styleId="CommentSubjectChar">
    <w:name w:val="Comment Subject Char"/>
    <w:basedOn w:val="CommentTextChar"/>
    <w:link w:val="CommentSubject"/>
    <w:uiPriority w:val="99"/>
    <w:semiHidden/>
    <w:rsid w:val="00E539B4"/>
    <w:rPr>
      <w:rFonts w:ascii="Cambria" w:eastAsia="Cambria" w:hAnsi="Cambria" w:cs="Times New Roman"/>
      <w:b/>
      <w:bCs/>
      <w:sz w:val="20"/>
      <w:szCs w:val="20"/>
    </w:rPr>
  </w:style>
  <w:style w:type="paragraph" w:styleId="Revision">
    <w:name w:val="Revision"/>
    <w:hidden/>
    <w:uiPriority w:val="99"/>
    <w:semiHidden/>
    <w:rsid w:val="00C2681F"/>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0811">
      <w:bodyDiv w:val="1"/>
      <w:marLeft w:val="0"/>
      <w:marRight w:val="0"/>
      <w:marTop w:val="0"/>
      <w:marBottom w:val="0"/>
      <w:divBdr>
        <w:top w:val="none" w:sz="0" w:space="0" w:color="auto"/>
        <w:left w:val="none" w:sz="0" w:space="0" w:color="auto"/>
        <w:bottom w:val="none" w:sz="0" w:space="0" w:color="auto"/>
        <w:right w:val="none" w:sz="0" w:space="0" w:color="auto"/>
      </w:divBdr>
      <w:divsChild>
        <w:div w:id="4751222">
          <w:marLeft w:val="0"/>
          <w:marRight w:val="0"/>
          <w:marTop w:val="0"/>
          <w:marBottom w:val="0"/>
          <w:divBdr>
            <w:top w:val="none" w:sz="0" w:space="0" w:color="auto"/>
            <w:left w:val="none" w:sz="0" w:space="0" w:color="auto"/>
            <w:bottom w:val="none" w:sz="0" w:space="0" w:color="auto"/>
            <w:right w:val="none" w:sz="0" w:space="0" w:color="auto"/>
          </w:divBdr>
          <w:divsChild>
            <w:div w:id="620654463">
              <w:marLeft w:val="0"/>
              <w:marRight w:val="0"/>
              <w:marTop w:val="0"/>
              <w:marBottom w:val="0"/>
              <w:divBdr>
                <w:top w:val="none" w:sz="0" w:space="0" w:color="auto"/>
                <w:left w:val="none" w:sz="0" w:space="0" w:color="auto"/>
                <w:bottom w:val="none" w:sz="0" w:space="0" w:color="auto"/>
                <w:right w:val="none" w:sz="0" w:space="0" w:color="auto"/>
              </w:divBdr>
              <w:divsChild>
                <w:div w:id="959071725">
                  <w:marLeft w:val="0"/>
                  <w:marRight w:val="0"/>
                  <w:marTop w:val="0"/>
                  <w:marBottom w:val="0"/>
                  <w:divBdr>
                    <w:top w:val="none" w:sz="0" w:space="0" w:color="auto"/>
                    <w:left w:val="none" w:sz="0" w:space="0" w:color="auto"/>
                    <w:bottom w:val="none" w:sz="0" w:space="0" w:color="auto"/>
                    <w:right w:val="none" w:sz="0" w:space="0" w:color="auto"/>
                  </w:divBdr>
                  <w:divsChild>
                    <w:div w:id="1450589890">
                      <w:marLeft w:val="0"/>
                      <w:marRight w:val="0"/>
                      <w:marTop w:val="0"/>
                      <w:marBottom w:val="0"/>
                      <w:divBdr>
                        <w:top w:val="none" w:sz="0" w:space="0" w:color="auto"/>
                        <w:left w:val="none" w:sz="0" w:space="0" w:color="auto"/>
                        <w:bottom w:val="none" w:sz="0" w:space="0" w:color="auto"/>
                        <w:right w:val="none" w:sz="0" w:space="0" w:color="auto"/>
                      </w:divBdr>
                      <w:divsChild>
                        <w:div w:id="3038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95177">
      <w:bodyDiv w:val="1"/>
      <w:marLeft w:val="0"/>
      <w:marRight w:val="0"/>
      <w:marTop w:val="0"/>
      <w:marBottom w:val="0"/>
      <w:divBdr>
        <w:top w:val="none" w:sz="0" w:space="0" w:color="auto"/>
        <w:left w:val="none" w:sz="0" w:space="0" w:color="auto"/>
        <w:bottom w:val="none" w:sz="0" w:space="0" w:color="auto"/>
        <w:right w:val="none" w:sz="0" w:space="0" w:color="auto"/>
      </w:divBdr>
      <w:divsChild>
        <w:div w:id="932124540">
          <w:marLeft w:val="0"/>
          <w:marRight w:val="0"/>
          <w:marTop w:val="0"/>
          <w:marBottom w:val="0"/>
          <w:divBdr>
            <w:top w:val="none" w:sz="0" w:space="0" w:color="auto"/>
            <w:left w:val="none" w:sz="0" w:space="0" w:color="auto"/>
            <w:bottom w:val="none" w:sz="0" w:space="0" w:color="auto"/>
            <w:right w:val="none" w:sz="0" w:space="0" w:color="auto"/>
          </w:divBdr>
          <w:divsChild>
            <w:div w:id="1308628545">
              <w:marLeft w:val="0"/>
              <w:marRight w:val="0"/>
              <w:marTop w:val="0"/>
              <w:marBottom w:val="0"/>
              <w:divBdr>
                <w:top w:val="none" w:sz="0" w:space="0" w:color="auto"/>
                <w:left w:val="none" w:sz="0" w:space="0" w:color="auto"/>
                <w:bottom w:val="none" w:sz="0" w:space="0" w:color="auto"/>
                <w:right w:val="none" w:sz="0" w:space="0" w:color="auto"/>
              </w:divBdr>
              <w:divsChild>
                <w:div w:id="1475756342">
                  <w:marLeft w:val="0"/>
                  <w:marRight w:val="0"/>
                  <w:marTop w:val="0"/>
                  <w:marBottom w:val="0"/>
                  <w:divBdr>
                    <w:top w:val="none" w:sz="0" w:space="0" w:color="auto"/>
                    <w:left w:val="none" w:sz="0" w:space="0" w:color="auto"/>
                    <w:bottom w:val="none" w:sz="0" w:space="0" w:color="auto"/>
                    <w:right w:val="none" w:sz="0" w:space="0" w:color="auto"/>
                  </w:divBdr>
                  <w:divsChild>
                    <w:div w:id="1818110618">
                      <w:marLeft w:val="0"/>
                      <w:marRight w:val="0"/>
                      <w:marTop w:val="0"/>
                      <w:marBottom w:val="0"/>
                      <w:divBdr>
                        <w:top w:val="none" w:sz="0" w:space="0" w:color="auto"/>
                        <w:left w:val="none" w:sz="0" w:space="0" w:color="auto"/>
                        <w:bottom w:val="none" w:sz="0" w:space="0" w:color="auto"/>
                        <w:right w:val="none" w:sz="0" w:space="0" w:color="auto"/>
                      </w:divBdr>
                      <w:divsChild>
                        <w:div w:id="13222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178347">
      <w:bodyDiv w:val="1"/>
      <w:marLeft w:val="0"/>
      <w:marRight w:val="0"/>
      <w:marTop w:val="0"/>
      <w:marBottom w:val="0"/>
      <w:divBdr>
        <w:top w:val="none" w:sz="0" w:space="0" w:color="auto"/>
        <w:left w:val="none" w:sz="0" w:space="0" w:color="auto"/>
        <w:bottom w:val="none" w:sz="0" w:space="0" w:color="auto"/>
        <w:right w:val="none" w:sz="0" w:space="0" w:color="auto"/>
      </w:divBdr>
      <w:divsChild>
        <w:div w:id="1818916170">
          <w:marLeft w:val="0"/>
          <w:marRight w:val="0"/>
          <w:marTop w:val="0"/>
          <w:marBottom w:val="0"/>
          <w:divBdr>
            <w:top w:val="none" w:sz="0" w:space="0" w:color="auto"/>
            <w:left w:val="none" w:sz="0" w:space="0" w:color="auto"/>
            <w:bottom w:val="none" w:sz="0" w:space="0" w:color="auto"/>
            <w:right w:val="none" w:sz="0" w:space="0" w:color="auto"/>
          </w:divBdr>
          <w:divsChild>
            <w:div w:id="1859268043">
              <w:marLeft w:val="0"/>
              <w:marRight w:val="0"/>
              <w:marTop w:val="0"/>
              <w:marBottom w:val="0"/>
              <w:divBdr>
                <w:top w:val="none" w:sz="0" w:space="0" w:color="auto"/>
                <w:left w:val="none" w:sz="0" w:space="0" w:color="auto"/>
                <w:bottom w:val="none" w:sz="0" w:space="0" w:color="auto"/>
                <w:right w:val="none" w:sz="0" w:space="0" w:color="auto"/>
              </w:divBdr>
              <w:divsChild>
                <w:div w:id="722488088">
                  <w:marLeft w:val="0"/>
                  <w:marRight w:val="0"/>
                  <w:marTop w:val="0"/>
                  <w:marBottom w:val="0"/>
                  <w:divBdr>
                    <w:top w:val="none" w:sz="0" w:space="0" w:color="auto"/>
                    <w:left w:val="none" w:sz="0" w:space="0" w:color="auto"/>
                    <w:bottom w:val="none" w:sz="0" w:space="0" w:color="auto"/>
                    <w:right w:val="none" w:sz="0" w:space="0" w:color="auto"/>
                  </w:divBdr>
                  <w:divsChild>
                    <w:div w:id="1106315225">
                      <w:marLeft w:val="0"/>
                      <w:marRight w:val="0"/>
                      <w:marTop w:val="0"/>
                      <w:marBottom w:val="0"/>
                      <w:divBdr>
                        <w:top w:val="none" w:sz="0" w:space="0" w:color="auto"/>
                        <w:left w:val="none" w:sz="0" w:space="0" w:color="auto"/>
                        <w:bottom w:val="none" w:sz="0" w:space="0" w:color="auto"/>
                        <w:right w:val="none" w:sz="0" w:space="0" w:color="auto"/>
                      </w:divBdr>
                      <w:divsChild>
                        <w:div w:id="1470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400246">
      <w:bodyDiv w:val="1"/>
      <w:marLeft w:val="0"/>
      <w:marRight w:val="0"/>
      <w:marTop w:val="0"/>
      <w:marBottom w:val="0"/>
      <w:divBdr>
        <w:top w:val="none" w:sz="0" w:space="0" w:color="auto"/>
        <w:left w:val="none" w:sz="0" w:space="0" w:color="auto"/>
        <w:bottom w:val="none" w:sz="0" w:space="0" w:color="auto"/>
        <w:right w:val="none" w:sz="0" w:space="0" w:color="auto"/>
      </w:divBdr>
    </w:div>
    <w:div w:id="1022438610">
      <w:bodyDiv w:val="1"/>
      <w:marLeft w:val="0"/>
      <w:marRight w:val="0"/>
      <w:marTop w:val="0"/>
      <w:marBottom w:val="0"/>
      <w:divBdr>
        <w:top w:val="none" w:sz="0" w:space="0" w:color="auto"/>
        <w:left w:val="none" w:sz="0" w:space="0" w:color="auto"/>
        <w:bottom w:val="none" w:sz="0" w:space="0" w:color="auto"/>
        <w:right w:val="none" w:sz="0" w:space="0" w:color="auto"/>
      </w:divBdr>
      <w:divsChild>
        <w:div w:id="429130383">
          <w:marLeft w:val="0"/>
          <w:marRight w:val="0"/>
          <w:marTop w:val="0"/>
          <w:marBottom w:val="0"/>
          <w:divBdr>
            <w:top w:val="none" w:sz="0" w:space="0" w:color="auto"/>
            <w:left w:val="none" w:sz="0" w:space="0" w:color="auto"/>
            <w:bottom w:val="none" w:sz="0" w:space="0" w:color="auto"/>
            <w:right w:val="none" w:sz="0" w:space="0" w:color="auto"/>
          </w:divBdr>
          <w:divsChild>
            <w:div w:id="2032100550">
              <w:marLeft w:val="0"/>
              <w:marRight w:val="0"/>
              <w:marTop w:val="0"/>
              <w:marBottom w:val="0"/>
              <w:divBdr>
                <w:top w:val="none" w:sz="0" w:space="0" w:color="auto"/>
                <w:left w:val="none" w:sz="0" w:space="0" w:color="auto"/>
                <w:bottom w:val="none" w:sz="0" w:space="0" w:color="auto"/>
                <w:right w:val="none" w:sz="0" w:space="0" w:color="auto"/>
              </w:divBdr>
              <w:divsChild>
                <w:div w:id="1800607025">
                  <w:marLeft w:val="0"/>
                  <w:marRight w:val="0"/>
                  <w:marTop w:val="0"/>
                  <w:marBottom w:val="0"/>
                  <w:divBdr>
                    <w:top w:val="none" w:sz="0" w:space="0" w:color="auto"/>
                    <w:left w:val="none" w:sz="0" w:space="0" w:color="auto"/>
                    <w:bottom w:val="none" w:sz="0" w:space="0" w:color="auto"/>
                    <w:right w:val="none" w:sz="0" w:space="0" w:color="auto"/>
                  </w:divBdr>
                  <w:divsChild>
                    <w:div w:id="1494686735">
                      <w:marLeft w:val="0"/>
                      <w:marRight w:val="0"/>
                      <w:marTop w:val="0"/>
                      <w:marBottom w:val="0"/>
                      <w:divBdr>
                        <w:top w:val="none" w:sz="0" w:space="0" w:color="auto"/>
                        <w:left w:val="none" w:sz="0" w:space="0" w:color="auto"/>
                        <w:bottom w:val="none" w:sz="0" w:space="0" w:color="auto"/>
                        <w:right w:val="none" w:sz="0" w:space="0" w:color="auto"/>
                      </w:divBdr>
                      <w:divsChild>
                        <w:div w:id="660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34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4.xm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microsoft.com/office/2007/relationships/hdphoto" Target="media/hdphoto2.wdp"/><Relationship Id="rId33" Type="http://schemas.openxmlformats.org/officeDocument/2006/relationships/header" Target="header3.xml"/><Relationship Id="rId38" Type="http://schemas.openxmlformats.org/officeDocument/2006/relationships/hyperlink" Target="http://www.tga.gov.au" TargetMode="External"/><Relationship Id="rId2" Type="http://schemas.openxmlformats.org/officeDocument/2006/relationships/numbering" Target="numbering.xml"/><Relationship Id="rId16" Type="http://schemas.openxmlformats.org/officeDocument/2006/relationships/hyperlink" Target="http://www.tga.gov.au/product-information-pi" TargetMode="External"/><Relationship Id="rId20" Type="http://schemas.openxmlformats.org/officeDocument/2006/relationships/image" Target="media/image7.emf"/><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www.tga.gov.au/product-information-pi" TargetMode="External"/><Relationship Id="rId37" Type="http://schemas.openxmlformats.org/officeDocument/2006/relationships/hyperlink" Target="mailto:info@tga.gov.au"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6.emf"/><Relationship Id="rId31" Type="http://schemas.openxmlformats.org/officeDocument/2006/relationships/image" Target="media/image1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eader" Target="header5.xml"/><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Electrical_conduction_system_of_the_heart" TargetMode="External"/><Relationship Id="rId2" Type="http://schemas.openxmlformats.org/officeDocument/2006/relationships/hyperlink" Target="http://en.wikipedia.org/wiki/Electrical_conduction_system_of_the_heart" TargetMode="External"/><Relationship Id="rId1" Type="http://schemas.openxmlformats.org/officeDocument/2006/relationships/hyperlink" Target="http://en.wikipedia.org/wiki/Cardiology" TargetMode="External"/><Relationship Id="rId4" Type="http://schemas.openxmlformats.org/officeDocument/2006/relationships/hyperlink" Target="http://en.wikipedia.org/wiki/Torsades_de_point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06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11779-8D45-4685-A183-29FA41A5A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494</TotalTime>
  <Pages>76</Pages>
  <Words>32381</Words>
  <Characters>174539</Characters>
  <Application>Microsoft Office Word</Application>
  <DocSecurity>0</DocSecurity>
  <Lines>3422</Lines>
  <Paragraphs>1203</Paragraphs>
  <ScaleCrop>false</ScaleCrop>
  <HeadingPairs>
    <vt:vector size="2" baseType="variant">
      <vt:variant>
        <vt:lpstr>Title</vt:lpstr>
      </vt:variant>
      <vt:variant>
        <vt:i4>1</vt:i4>
      </vt:variant>
    </vt:vector>
  </HeadingPairs>
  <TitlesOfParts>
    <vt:vector size="1" baseType="lpstr">
      <vt:lpstr>Australian public assessment for Canakinumab</vt:lpstr>
    </vt:vector>
  </TitlesOfParts>
  <Company>Department of Health Therapeutic Goods Administration</Company>
  <LinksUpToDate>false</LinksUpToDate>
  <CharactersWithSpaces>205717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Canakinumab</dc:title>
  <dc:subject>prescription medicine regulation</dc:subject>
  <dc:creator>Therapeutic Goods Administration</dc:creator>
  <cp:keywords>auspar, prescription, medicine, assessment, regulation, australia, canakinumab, ilaris, novartis, pharmaceuticals, australia</cp:keywords>
  <cp:lastModifiedBy>Sheppard, Fran</cp:lastModifiedBy>
  <cp:revision>18</cp:revision>
  <cp:lastPrinted>2014-10-22T22:41:00Z</cp:lastPrinted>
  <dcterms:created xsi:type="dcterms:W3CDTF">2014-11-25T02:52:00Z</dcterms:created>
  <dcterms:modified xsi:type="dcterms:W3CDTF">2015-01-13T06:58:00Z</dcterms:modified>
  <cp:category>External publication</cp:category>
</cp:coreProperties>
</file>