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4625" w14:textId="3D4C6DC2" w:rsidR="000D39C7" w:rsidRPr="00D900DC" w:rsidRDefault="00AC41B6" w:rsidP="00D900DC">
      <w:pPr>
        <w:rPr>
          <w:rFonts w:ascii="Arial" w:hAnsi="Arial"/>
        </w:rPr>
      </w:pPr>
      <w:r w:rsidRPr="00F1797D">
        <w:rPr>
          <w:noProof/>
          <w:lang w:eastAsia="en-AU"/>
        </w:rPr>
        <mc:AlternateContent>
          <mc:Choice Requires="wps">
            <w:drawing>
              <wp:inline distT="0" distB="0" distL="0" distR="0" wp14:anchorId="56E4E477" wp14:editId="4C02EFFC">
                <wp:extent cx="381000" cy="37147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8C108" w14:textId="77777777" w:rsidR="00702FAA" w:rsidRPr="000547A7" w:rsidRDefault="00702FAA" w:rsidP="00AC41B6">
                            <w:pPr>
                              <w:rPr>
                                <w:rFonts w:ascii="Wingdings 3" w:hAnsi="Wingdings 3"/>
                                <w:sz w:val="56"/>
                                <w:szCs w:val="56"/>
                              </w:rPr>
                            </w:pPr>
                            <w:bookmarkStart w:id="0" w:name="_Hlk517083769"/>
                            <w:bookmarkStart w:id="1" w:name="_Hlk517083770"/>
                            <w:bookmarkEnd w:id="0"/>
                            <w:bookmarkEnd w:id="1"/>
                            <w:r w:rsidRPr="000547A7">
                              <w:rPr>
                                <w:sz w:val="56"/>
                                <w:szCs w:val="56"/>
                              </w:rPr>
                              <w:t>▼</w:t>
                            </w:r>
                          </w:p>
                        </w:txbxContent>
                      </wps:txbx>
                      <wps:bodyPr rot="0" vert="horz" wrap="square" lIns="0" tIns="0" rIns="0" bIns="0" anchor="t" anchorCtr="0" upright="1">
                        <a:noAutofit/>
                      </wps:bodyPr>
                    </wps:wsp>
                  </a:graphicData>
                </a:graphic>
              </wp:inline>
            </w:drawing>
          </mc:Choice>
          <mc:Fallback>
            <w:pict>
              <v:shapetype w14:anchorId="56E4E477" id="_x0000_t202" coordsize="21600,21600" o:spt="202" path="m,l,21600r21600,l21600,xe">
                <v:stroke joinstyle="miter"/>
                <v:path gradientshapeok="t" o:connecttype="rect"/>
              </v:shapetype>
              <v:shape id="Text Box 1" o:spid="_x0000_s1026" type="#_x0000_t202" style="width:3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" stroked="f">
                <v:textbox inset="0,0,0,0">
                  <w:txbxContent>
                    <w:p w14:paraId="54B8C108" w14:textId="77777777" w:rsidR="00702FAA" w:rsidRPr="000547A7" w:rsidRDefault="00702FAA" w:rsidP="00AC41B6">
                      <w:pPr>
                        <w:rPr>
                          <w:rFonts w:ascii="Wingdings 3" w:hAnsi="Wingdings 3"/>
                          <w:sz w:val="56"/>
                          <w:szCs w:val="56"/>
                        </w:rPr>
                      </w:pPr>
                      <w:bookmarkStart w:id="2" w:name="_Hlk517083769"/>
                      <w:bookmarkStart w:id="3" w:name="_Hlk517083770"/>
                      <w:bookmarkEnd w:id="2"/>
                      <w:bookmarkEnd w:id="3"/>
                      <w:r w:rsidRPr="000547A7">
                        <w:rPr>
                          <w:sz w:val="56"/>
                          <w:szCs w:val="56"/>
                        </w:rPr>
                        <w:t>▼</w:t>
                      </w:r>
                    </w:p>
                  </w:txbxContent>
                </v:textbox>
                <w10:anchorlock/>
              </v:shape>
            </w:pict>
          </mc:Fallback>
        </mc:AlternateContent>
      </w:r>
      <w:r w:rsidRPr="00B47EB6">
        <w:rPr>
          <w:rFonts w:ascii="Arial" w:hAnsi="Arial"/>
        </w:rPr>
        <w:t xml:space="preserve"> </w:t>
      </w:r>
      <w:r w:rsidR="000D39C7" w:rsidRPr="00D900DC">
        <w:rPr>
          <w:rFonts w:ascii="Arial" w:hAnsi="Arial"/>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000D39C7" w:rsidRPr="00D900DC">
          <w:rPr>
            <w:rStyle w:val="Hyperlink"/>
            <w:rFonts w:ascii="Arial" w:hAnsi="Arial" w:cs="Arial"/>
          </w:rPr>
          <w:t>www.tga.gov.au/reporting-problems</w:t>
        </w:r>
      </w:hyperlink>
      <w:r w:rsidR="000D39C7" w:rsidRPr="00D900DC">
        <w:rPr>
          <w:rFonts w:ascii="Arial" w:hAnsi="Arial" w:cs="Arial"/>
        </w:rPr>
        <w:t>.</w:t>
      </w:r>
    </w:p>
    <w:p w14:paraId="34D2A318" w14:textId="436A3ECF" w:rsidR="001652C1" w:rsidRPr="000511CF" w:rsidRDefault="001652C1" w:rsidP="000511CF">
      <w:pPr>
        <w:rPr>
          <w:rFonts w:ascii="Arial" w:hAnsi="Arial"/>
        </w:rPr>
      </w:pPr>
    </w:p>
    <w:p w14:paraId="5DF8559A" w14:textId="77777777" w:rsidR="001652C1" w:rsidRPr="000511CF" w:rsidRDefault="001652C1" w:rsidP="000511CF">
      <w:pPr>
        <w:rPr>
          <w:rFonts w:ascii="Arial" w:hAnsi="Arial"/>
        </w:rPr>
      </w:pPr>
    </w:p>
    <w:p w14:paraId="7DC9FB89" w14:textId="6FDF0860" w:rsidR="001652C1" w:rsidRPr="000511CF" w:rsidRDefault="001652C1" w:rsidP="000511CF">
      <w:pPr>
        <w:pStyle w:val="NoSpacing"/>
      </w:pPr>
      <w:r w:rsidRPr="000511CF">
        <w:rPr>
          <w:rFonts w:ascii="Arial" w:hAnsi="Arial"/>
          <w:b/>
          <w:u w:val="single"/>
        </w:rPr>
        <w:t xml:space="preserve">AUSTRALIAN PRODUCT INFORMATION </w:t>
      </w:r>
      <w:r w:rsidR="000D39C7" w:rsidRPr="000511CF">
        <w:rPr>
          <w:rFonts w:ascii="Arial" w:hAnsi="Arial"/>
          <w:b/>
          <w:u w:val="single"/>
        </w:rPr>
        <w:t>–</w:t>
      </w:r>
      <w:r w:rsidRPr="000511CF">
        <w:rPr>
          <w:rFonts w:ascii="Arial" w:hAnsi="Arial"/>
          <w:b/>
          <w:u w:val="single"/>
        </w:rPr>
        <w:t xml:space="preserve"> </w:t>
      </w:r>
      <w:r w:rsidR="009733C6" w:rsidRPr="000511CF">
        <w:rPr>
          <w:rFonts w:ascii="Arial" w:hAnsi="Arial"/>
          <w:b/>
          <w:u w:val="single"/>
        </w:rPr>
        <w:t>EPIDYOLEX</w:t>
      </w:r>
      <w:r w:rsidR="000D39C7" w:rsidRPr="000511CF">
        <w:rPr>
          <w:rFonts w:ascii="Arial" w:hAnsi="Arial"/>
          <w:b/>
          <w:u w:val="single"/>
          <w:vertAlign w:val="superscript"/>
        </w:rPr>
        <w:t>®</w:t>
      </w:r>
      <w:r w:rsidRPr="000511CF">
        <w:rPr>
          <w:rFonts w:ascii="Arial" w:hAnsi="Arial"/>
          <w:b/>
          <w:u w:val="single"/>
        </w:rPr>
        <w:t xml:space="preserve"> (</w:t>
      </w:r>
      <w:r w:rsidR="000D39C7" w:rsidRPr="000511CF">
        <w:rPr>
          <w:rFonts w:ascii="Arial" w:hAnsi="Arial"/>
          <w:b/>
          <w:u w:val="single"/>
        </w:rPr>
        <w:t>CANNABIDIOL</w:t>
      </w:r>
      <w:r w:rsidRPr="000511CF">
        <w:rPr>
          <w:rFonts w:ascii="Arial" w:hAnsi="Arial"/>
          <w:b/>
          <w:u w:val="single"/>
        </w:rPr>
        <w:t>)</w:t>
      </w:r>
      <w:r w:rsidR="000D39C7" w:rsidRPr="000511CF">
        <w:rPr>
          <w:rFonts w:ascii="Arial" w:hAnsi="Arial"/>
          <w:b/>
          <w:u w:val="single"/>
        </w:rPr>
        <w:t xml:space="preserve"> ORAL SOLUTION</w:t>
      </w:r>
    </w:p>
    <w:p w14:paraId="7A572F99" w14:textId="77777777" w:rsidR="001652C1" w:rsidRPr="000511CF" w:rsidRDefault="001652C1" w:rsidP="000511CF">
      <w:pPr>
        <w:pStyle w:val="NoSpacing"/>
        <w:rPr>
          <w:rFonts w:ascii="Arial" w:hAnsi="Arial"/>
        </w:rPr>
      </w:pPr>
    </w:p>
    <w:p w14:paraId="107DBBA7" w14:textId="2BE15DE3" w:rsidR="00BC05C6" w:rsidRPr="009C0EEB" w:rsidRDefault="005A5298" w:rsidP="00952B5F">
      <w:pPr>
        <w:pStyle w:val="Heading1"/>
      </w:pPr>
      <w:r w:rsidRPr="000511CF">
        <w:t>NAME OF THE MEDICINE</w:t>
      </w:r>
      <w:r w:rsidRPr="0062381A">
        <w:t xml:space="preserve"> </w:t>
      </w:r>
    </w:p>
    <w:p w14:paraId="4294BC07" w14:textId="03A63C60" w:rsidR="00A24B7F" w:rsidRPr="000511CF" w:rsidRDefault="00C26443" w:rsidP="000511CF">
      <w:pPr>
        <w:pStyle w:val="NoSpacing"/>
        <w:rPr>
          <w:rFonts w:ascii="Arial" w:hAnsi="Arial"/>
        </w:rPr>
      </w:pPr>
      <w:r w:rsidRPr="000511CF">
        <w:rPr>
          <w:rFonts w:ascii="Arial" w:hAnsi="Arial"/>
        </w:rPr>
        <w:t>C</w:t>
      </w:r>
      <w:r w:rsidR="009733C6" w:rsidRPr="000511CF">
        <w:rPr>
          <w:rFonts w:ascii="Arial" w:hAnsi="Arial"/>
        </w:rPr>
        <w:t>annabidiol</w:t>
      </w:r>
    </w:p>
    <w:p w14:paraId="5EFE3886" w14:textId="77777777" w:rsidR="00850A4D" w:rsidRPr="000511CF" w:rsidRDefault="00850A4D" w:rsidP="000511CF">
      <w:pPr>
        <w:pStyle w:val="NoSpacing"/>
        <w:rPr>
          <w:rFonts w:ascii="Arial" w:eastAsia="Calibri" w:hAnsi="Arial"/>
          <w:b/>
          <w:i/>
        </w:rPr>
      </w:pPr>
    </w:p>
    <w:p w14:paraId="72A25B07" w14:textId="77777777" w:rsidR="00D960AD" w:rsidRPr="00D900DC" w:rsidRDefault="00B615F9" w:rsidP="00D900DC">
      <w:pPr>
        <w:pStyle w:val="Heading1"/>
      </w:pPr>
      <w:r w:rsidRPr="00D900DC">
        <w:t>QUALITATIVE AND QUANTITATIVE COMPOSITION</w:t>
      </w:r>
    </w:p>
    <w:p w14:paraId="32A65290" w14:textId="564CE2BB" w:rsidR="00DA2D33" w:rsidRPr="000511CF" w:rsidRDefault="00DA2D33" w:rsidP="000511CF">
      <w:pPr>
        <w:pStyle w:val="NoSpacing"/>
        <w:rPr>
          <w:rFonts w:ascii="Arial" w:eastAsia="Calibri" w:hAnsi="Arial"/>
        </w:rPr>
      </w:pPr>
      <w:r w:rsidRPr="000511CF">
        <w:rPr>
          <w:rFonts w:ascii="Arial" w:eastAsia="Calibri" w:hAnsi="Arial"/>
        </w:rPr>
        <w:t xml:space="preserve">Each </w:t>
      </w:r>
      <w:r w:rsidR="00305723">
        <w:rPr>
          <w:rFonts w:ascii="Arial" w:eastAsia="Calibri" w:hAnsi="Arial" w:cs="Arial"/>
        </w:rPr>
        <w:t>mL</w:t>
      </w:r>
      <w:r w:rsidRPr="000511CF">
        <w:rPr>
          <w:rFonts w:ascii="Arial" w:eastAsia="Calibri" w:hAnsi="Arial"/>
        </w:rPr>
        <w:t xml:space="preserve"> of oral solution contains 100 mg cannabidiol.</w:t>
      </w:r>
    </w:p>
    <w:p w14:paraId="31BA2977" w14:textId="77777777" w:rsidR="00DA2D33" w:rsidRPr="000511CF" w:rsidRDefault="00DA2D33" w:rsidP="000511CF">
      <w:pPr>
        <w:pStyle w:val="NoSpacing"/>
        <w:rPr>
          <w:rFonts w:ascii="Arial" w:eastAsia="Calibri" w:hAnsi="Arial"/>
        </w:rPr>
      </w:pPr>
    </w:p>
    <w:p w14:paraId="4DD59B30" w14:textId="7F4806D5" w:rsidR="00DA2D33" w:rsidRPr="000511CF" w:rsidRDefault="00DA2D33" w:rsidP="00EF750F">
      <w:pPr>
        <w:pStyle w:val="NoSpacing"/>
        <w:keepNext/>
      </w:pPr>
      <w:r w:rsidRPr="000511CF">
        <w:rPr>
          <w:rFonts w:ascii="Arial" w:eastAsia="Calibri" w:hAnsi="Arial"/>
          <w:b/>
        </w:rPr>
        <w:t>Excipients with known effect</w:t>
      </w:r>
    </w:p>
    <w:p w14:paraId="227BEF01" w14:textId="2624475D" w:rsidR="001652C1" w:rsidRPr="000511CF" w:rsidRDefault="00BC3E82" w:rsidP="000511CF">
      <w:pPr>
        <w:pStyle w:val="NoSpacing"/>
        <w:rPr>
          <w:rFonts w:ascii="Arial" w:eastAsia="Calibri" w:hAnsi="Arial"/>
        </w:rPr>
      </w:pPr>
      <w:r w:rsidRPr="000511CF">
        <w:rPr>
          <w:rFonts w:ascii="Arial" w:eastAsia="Calibri" w:hAnsi="Arial"/>
        </w:rPr>
        <w:t xml:space="preserve">Each </w:t>
      </w:r>
      <w:r w:rsidRPr="00BC3E82">
        <w:rPr>
          <w:rFonts w:ascii="Arial" w:eastAsia="Calibri" w:hAnsi="Arial" w:cs="Arial"/>
        </w:rPr>
        <w:t>mL</w:t>
      </w:r>
      <w:r w:rsidRPr="000511CF">
        <w:rPr>
          <w:rFonts w:ascii="Arial" w:eastAsia="Calibri" w:hAnsi="Arial"/>
        </w:rPr>
        <w:t xml:space="preserve"> of </w:t>
      </w:r>
      <w:r w:rsidRPr="00BC3E82">
        <w:rPr>
          <w:rFonts w:ascii="Arial" w:eastAsia="Calibri" w:hAnsi="Arial" w:cs="Arial"/>
        </w:rPr>
        <w:t xml:space="preserve">EPIDYOLEX oral </w:t>
      </w:r>
      <w:r w:rsidRPr="000511CF">
        <w:rPr>
          <w:rFonts w:ascii="Arial" w:eastAsia="Calibri" w:hAnsi="Arial"/>
        </w:rPr>
        <w:t>solution contains</w:t>
      </w:r>
      <w:r w:rsidRPr="00BC3E82">
        <w:rPr>
          <w:rFonts w:ascii="Arial" w:eastAsia="Calibri" w:hAnsi="Arial" w:cs="Arial"/>
        </w:rPr>
        <w:t xml:space="preserve"> </w:t>
      </w:r>
      <w:r w:rsidRPr="002F320A">
        <w:rPr>
          <w:rFonts w:ascii="Arial" w:hAnsi="Arial"/>
        </w:rPr>
        <w:t>79</w:t>
      </w:r>
      <w:r w:rsidR="007504FE">
        <w:rPr>
          <w:rFonts w:ascii="Arial" w:hAnsi="Arial"/>
        </w:rPr>
        <w:t> </w:t>
      </w:r>
      <w:r w:rsidRPr="002F320A">
        <w:rPr>
          <w:rFonts w:ascii="Arial" w:hAnsi="Arial"/>
        </w:rPr>
        <w:t xml:space="preserve">mg </w:t>
      </w:r>
      <w:r w:rsidRPr="00BC3E82">
        <w:rPr>
          <w:rFonts w:ascii="Arial" w:eastAsia="Calibri" w:hAnsi="Arial" w:cs="Arial"/>
        </w:rPr>
        <w:t xml:space="preserve">of </w:t>
      </w:r>
      <w:r w:rsidRPr="002F320A">
        <w:rPr>
          <w:rFonts w:ascii="Arial" w:hAnsi="Arial"/>
        </w:rPr>
        <w:t>ethanol absolute</w:t>
      </w:r>
      <w:r w:rsidR="006A7AF8">
        <w:rPr>
          <w:rFonts w:ascii="Arial" w:eastAsia="Calibri" w:hAnsi="Arial" w:cs="Arial"/>
        </w:rPr>
        <w:t>,</w:t>
      </w:r>
      <w:r w:rsidRPr="00BC3E82">
        <w:rPr>
          <w:rFonts w:ascii="Arial" w:eastAsia="Calibri" w:hAnsi="Arial" w:cs="Arial"/>
        </w:rPr>
        <w:t xml:space="preserve"> </w:t>
      </w:r>
      <w:r w:rsidRPr="002F320A">
        <w:rPr>
          <w:rFonts w:ascii="Arial" w:hAnsi="Arial"/>
        </w:rPr>
        <w:t>736</w:t>
      </w:r>
      <w:r w:rsidR="007504FE">
        <w:rPr>
          <w:rFonts w:ascii="Arial" w:hAnsi="Arial"/>
        </w:rPr>
        <w:t> </w:t>
      </w:r>
      <w:r w:rsidRPr="002F320A">
        <w:rPr>
          <w:rFonts w:ascii="Arial" w:hAnsi="Arial"/>
        </w:rPr>
        <w:t>mg sesame oil</w:t>
      </w:r>
      <w:r w:rsidR="006A7AF8">
        <w:rPr>
          <w:rFonts w:ascii="Arial" w:eastAsia="Calibri" w:hAnsi="Arial" w:cs="Arial"/>
        </w:rPr>
        <w:t>,</w:t>
      </w:r>
      <w:r w:rsidR="00DB254F">
        <w:rPr>
          <w:rFonts w:ascii="Arial" w:eastAsia="Calibri" w:hAnsi="Arial" w:cs="Arial"/>
        </w:rPr>
        <w:t xml:space="preserve"> and </w:t>
      </w:r>
      <w:r w:rsidR="00DB254F" w:rsidRPr="000511CF">
        <w:rPr>
          <w:rFonts w:ascii="Arial" w:eastAsia="Calibri" w:hAnsi="Arial"/>
        </w:rPr>
        <w:t>0.</w:t>
      </w:r>
      <w:r w:rsidR="00DB254F">
        <w:rPr>
          <w:rFonts w:ascii="Arial" w:eastAsia="Calibri" w:hAnsi="Arial" w:cs="Arial"/>
        </w:rPr>
        <w:t>5</w:t>
      </w:r>
      <w:r w:rsidR="007504FE">
        <w:rPr>
          <w:rFonts w:ascii="Arial" w:eastAsia="Calibri" w:hAnsi="Arial"/>
        </w:rPr>
        <w:t> </w:t>
      </w:r>
      <w:r w:rsidR="00DB254F" w:rsidRPr="000511CF">
        <w:rPr>
          <w:rFonts w:ascii="Arial" w:eastAsia="Calibri" w:hAnsi="Arial"/>
        </w:rPr>
        <w:t xml:space="preserve">mg </w:t>
      </w:r>
      <w:r w:rsidR="00DB254F">
        <w:rPr>
          <w:rFonts w:ascii="Arial" w:eastAsia="Calibri" w:hAnsi="Arial" w:cs="Arial"/>
        </w:rPr>
        <w:t>of sucralose.</w:t>
      </w:r>
    </w:p>
    <w:p w14:paraId="51A294FF" w14:textId="77777777" w:rsidR="00BC3E82" w:rsidRPr="000511CF" w:rsidRDefault="00BC3E82" w:rsidP="000511CF">
      <w:pPr>
        <w:pStyle w:val="NoSpacing"/>
        <w:rPr>
          <w:rFonts w:ascii="Arial" w:eastAsia="Calibri" w:hAnsi="Arial"/>
        </w:rPr>
      </w:pPr>
    </w:p>
    <w:p w14:paraId="4DE0FCB4" w14:textId="172688F7" w:rsidR="00D960AD" w:rsidRPr="000511CF" w:rsidRDefault="001652C1" w:rsidP="000511CF">
      <w:pPr>
        <w:pStyle w:val="NoSpacing"/>
        <w:rPr>
          <w:rFonts w:ascii="Arial" w:eastAsia="Calibri" w:hAnsi="Arial"/>
        </w:rPr>
      </w:pPr>
      <w:r w:rsidRPr="000511CF">
        <w:rPr>
          <w:rFonts w:ascii="Arial" w:eastAsia="Calibri" w:hAnsi="Arial"/>
        </w:rPr>
        <w:t xml:space="preserve">For the full list of excipients, see section </w:t>
      </w:r>
      <w:hyperlink w:anchor="_LIST_OF_EXCIPIENTS" w:history="1">
        <w:r w:rsidRPr="0062381A">
          <w:rPr>
            <w:rStyle w:val="Hyperlink"/>
            <w:rFonts w:ascii="Arial" w:eastAsia="Calibri" w:hAnsi="Arial" w:cs="Arial"/>
          </w:rPr>
          <w:t>6.1 LIST OF EXCIPIENTS</w:t>
        </w:r>
      </w:hyperlink>
      <w:r w:rsidR="00D960AD" w:rsidRPr="000511CF">
        <w:rPr>
          <w:rFonts w:ascii="Arial" w:eastAsia="Calibri" w:hAnsi="Arial"/>
        </w:rPr>
        <w:t>.</w:t>
      </w:r>
    </w:p>
    <w:p w14:paraId="4B4B6380" w14:textId="77777777" w:rsidR="00D960AD" w:rsidRPr="000511CF" w:rsidRDefault="00D960AD" w:rsidP="000511CF">
      <w:pPr>
        <w:pStyle w:val="NoSpacing"/>
        <w:rPr>
          <w:rFonts w:ascii="Arial" w:hAnsi="Arial"/>
        </w:rPr>
      </w:pPr>
    </w:p>
    <w:p w14:paraId="5B0374F7" w14:textId="77777777" w:rsidR="00B615F9" w:rsidRPr="00D900DC" w:rsidRDefault="00B615F9" w:rsidP="00D900DC">
      <w:pPr>
        <w:pStyle w:val="Heading1"/>
      </w:pPr>
      <w:r w:rsidRPr="00D900DC">
        <w:t>PHARMACEUTICAL FORM</w:t>
      </w:r>
    </w:p>
    <w:p w14:paraId="691C8736" w14:textId="77777777" w:rsidR="00DA2D33" w:rsidRPr="000511CF" w:rsidRDefault="00DA2D33" w:rsidP="000511CF">
      <w:pPr>
        <w:pStyle w:val="NoSpacing"/>
        <w:rPr>
          <w:rFonts w:ascii="Arial" w:eastAsia="Calibri" w:hAnsi="Arial"/>
        </w:rPr>
      </w:pPr>
      <w:r w:rsidRPr="000511CF">
        <w:rPr>
          <w:rFonts w:ascii="Arial" w:eastAsia="Calibri" w:hAnsi="Arial"/>
        </w:rPr>
        <w:t>Oral solution</w:t>
      </w:r>
    </w:p>
    <w:p w14:paraId="2EAB0B50" w14:textId="5F48B263" w:rsidR="00B615F9" w:rsidRPr="000511CF" w:rsidRDefault="00DA2D33" w:rsidP="000511CF">
      <w:pPr>
        <w:pStyle w:val="NoSpacing"/>
        <w:rPr>
          <w:rFonts w:ascii="Arial" w:eastAsia="Calibri" w:hAnsi="Arial"/>
        </w:rPr>
      </w:pPr>
      <w:r w:rsidRPr="000511CF">
        <w:rPr>
          <w:rFonts w:ascii="Arial" w:eastAsia="Calibri" w:hAnsi="Arial"/>
        </w:rPr>
        <w:t>Clear, colourless to yellow solution</w:t>
      </w:r>
    </w:p>
    <w:p w14:paraId="72DDBEE5" w14:textId="77777777" w:rsidR="00B615F9" w:rsidRPr="000511CF" w:rsidRDefault="00B615F9" w:rsidP="000511CF">
      <w:pPr>
        <w:pStyle w:val="NoSpacing"/>
        <w:rPr>
          <w:rFonts w:ascii="Arial" w:eastAsia="Calibri" w:hAnsi="Arial"/>
        </w:rPr>
      </w:pPr>
    </w:p>
    <w:p w14:paraId="28D50DE3" w14:textId="77777777" w:rsidR="00B615F9" w:rsidRPr="00D900DC" w:rsidRDefault="00B615F9" w:rsidP="00D900DC">
      <w:pPr>
        <w:pStyle w:val="Heading1"/>
      </w:pPr>
      <w:r w:rsidRPr="00D900DC">
        <w:t>CLINICAL PARTICULARS</w:t>
      </w:r>
    </w:p>
    <w:p w14:paraId="108292BD" w14:textId="77777777" w:rsidR="00E75CC8" w:rsidRPr="00D900DC" w:rsidRDefault="00E75CC8" w:rsidP="00D900DC">
      <w:pPr>
        <w:pStyle w:val="Heading2"/>
      </w:pPr>
      <w:r w:rsidRPr="00D900DC">
        <w:t xml:space="preserve">THERAPEUTIC INDICATIONS </w:t>
      </w:r>
    </w:p>
    <w:p w14:paraId="7C4404E5" w14:textId="7A89E2E3" w:rsidR="00B615F9" w:rsidRPr="00280838" w:rsidRDefault="00DA2D33" w:rsidP="000511CF">
      <w:pPr>
        <w:pStyle w:val="NoSpacing"/>
        <w:rPr>
          <w:rFonts w:ascii="Arial" w:eastAsia="Calibri" w:hAnsi="Arial"/>
          <w:strike/>
        </w:rPr>
      </w:pPr>
      <w:r w:rsidRPr="000511CF">
        <w:rPr>
          <w:rFonts w:ascii="Arial" w:eastAsia="Calibri" w:hAnsi="Arial"/>
        </w:rPr>
        <w:t>EPIDYOLEX is indicated for use as adjunctive therapy of seizures associated with Lennox</w:t>
      </w:r>
      <w:r w:rsidR="00AE6A9D" w:rsidRPr="000511CF">
        <w:rPr>
          <w:rFonts w:ascii="Arial" w:eastAsia="Calibri" w:hAnsi="Arial"/>
        </w:rPr>
        <w:t>-</w:t>
      </w:r>
      <w:proofErr w:type="spellStart"/>
      <w:r w:rsidRPr="000511CF">
        <w:rPr>
          <w:rFonts w:ascii="Arial" w:eastAsia="Calibri" w:hAnsi="Arial"/>
        </w:rPr>
        <w:t>Gastaut</w:t>
      </w:r>
      <w:proofErr w:type="spellEnd"/>
      <w:r w:rsidRPr="000511CF">
        <w:rPr>
          <w:rFonts w:ascii="Arial" w:eastAsia="Calibri" w:hAnsi="Arial"/>
        </w:rPr>
        <w:t xml:space="preserve"> syndrome (LGS) or </w:t>
      </w:r>
      <w:proofErr w:type="spellStart"/>
      <w:r w:rsidRPr="000511CF">
        <w:rPr>
          <w:rFonts w:ascii="Arial" w:eastAsia="Calibri" w:hAnsi="Arial"/>
        </w:rPr>
        <w:t>Dravet</w:t>
      </w:r>
      <w:proofErr w:type="spellEnd"/>
      <w:r w:rsidRPr="000511CF">
        <w:rPr>
          <w:rFonts w:ascii="Arial" w:eastAsia="Calibri" w:hAnsi="Arial"/>
        </w:rPr>
        <w:t xml:space="preserve"> syndrome (DS) for patients </w:t>
      </w:r>
      <w:r w:rsidRPr="009B2931">
        <w:rPr>
          <w:rFonts w:ascii="Arial" w:eastAsia="Calibri" w:hAnsi="Arial"/>
        </w:rPr>
        <w:t>2</w:t>
      </w:r>
      <w:r w:rsidR="007504FE">
        <w:rPr>
          <w:rFonts w:ascii="Arial" w:eastAsia="Calibri" w:hAnsi="Arial"/>
        </w:rPr>
        <w:t> </w:t>
      </w:r>
      <w:r w:rsidRPr="000511CF">
        <w:rPr>
          <w:rFonts w:ascii="Arial" w:eastAsia="Calibri" w:hAnsi="Arial"/>
        </w:rPr>
        <w:t>years of age and older</w:t>
      </w:r>
      <w:r w:rsidRPr="00280838">
        <w:rPr>
          <w:rFonts w:ascii="Arial" w:eastAsia="Calibri" w:hAnsi="Arial"/>
        </w:rPr>
        <w:t>.</w:t>
      </w:r>
    </w:p>
    <w:p w14:paraId="587CB3C9" w14:textId="5A09C742" w:rsidR="00B615F9" w:rsidRPr="00D900DC" w:rsidRDefault="00B615F9" w:rsidP="000511CF">
      <w:pPr>
        <w:pStyle w:val="NoSpacing"/>
        <w:rPr>
          <w:rFonts w:ascii="Arial" w:eastAsia="Calibri" w:hAnsi="Arial"/>
        </w:rPr>
      </w:pPr>
    </w:p>
    <w:p w14:paraId="430A03C1" w14:textId="619A541B" w:rsidR="00B615F9" w:rsidRPr="000511CF" w:rsidRDefault="00B615F9" w:rsidP="00D900DC">
      <w:pPr>
        <w:pStyle w:val="Heading2"/>
      </w:pPr>
      <w:bookmarkStart w:id="4" w:name="_DOSE_AND_METHOD"/>
      <w:bookmarkStart w:id="5" w:name="_bookmark0"/>
      <w:bookmarkStart w:id="6" w:name="_Ref51072303"/>
      <w:bookmarkEnd w:id="4"/>
      <w:bookmarkEnd w:id="5"/>
      <w:r w:rsidRPr="000511CF">
        <w:rPr>
          <w:rFonts w:eastAsia="Calibri"/>
        </w:rPr>
        <w:t>DOSE AND METHOD OF ADMINISTRATION</w:t>
      </w:r>
      <w:bookmarkEnd w:id="6"/>
    </w:p>
    <w:p w14:paraId="182ED132" w14:textId="77777777" w:rsidR="00A851CF" w:rsidRDefault="00A851CF" w:rsidP="00FB79CC">
      <w:pPr>
        <w:pStyle w:val="NoSpacing"/>
        <w:rPr>
          <w:rFonts w:ascii="Arial" w:hAnsi="Arial" w:cs="Arial"/>
        </w:rPr>
      </w:pPr>
    </w:p>
    <w:p w14:paraId="32D7F4B2" w14:textId="7A887CC3" w:rsidR="00CA276C" w:rsidRPr="00494E3F" w:rsidRDefault="007E5374" w:rsidP="00FB79CC">
      <w:pPr>
        <w:pStyle w:val="NoSpacing"/>
        <w:rPr>
          <w:rFonts w:ascii="Arial" w:hAnsi="Arial" w:cs="Arial"/>
        </w:rPr>
      </w:pPr>
      <w:r>
        <w:rPr>
          <w:rFonts w:ascii="Arial" w:hAnsi="Arial" w:cs="Arial"/>
        </w:rPr>
        <w:t>EPI</w:t>
      </w:r>
      <w:r w:rsidR="00CB55E7">
        <w:rPr>
          <w:rFonts w:ascii="Arial" w:hAnsi="Arial" w:cs="Arial"/>
        </w:rPr>
        <w:t>DYOLEX</w:t>
      </w:r>
      <w:r w:rsidR="00FB79CC" w:rsidRPr="00667C36">
        <w:rPr>
          <w:rFonts w:ascii="Arial" w:hAnsi="Arial" w:cs="Arial"/>
        </w:rPr>
        <w:t xml:space="preserve"> should be initiated</w:t>
      </w:r>
      <w:r w:rsidR="00AC1781">
        <w:rPr>
          <w:rFonts w:ascii="Arial" w:hAnsi="Arial" w:cs="Arial"/>
        </w:rPr>
        <w:t xml:space="preserve"> </w:t>
      </w:r>
      <w:r w:rsidR="00FB79CC" w:rsidRPr="00F84DA1">
        <w:rPr>
          <w:rFonts w:ascii="Arial" w:hAnsi="Arial" w:cs="Arial"/>
        </w:rPr>
        <w:t xml:space="preserve">and supervised by </w:t>
      </w:r>
      <w:r w:rsidR="007371DA" w:rsidRPr="00F84DA1">
        <w:rPr>
          <w:rFonts w:ascii="Arial" w:hAnsi="Arial" w:cs="Arial"/>
        </w:rPr>
        <w:t xml:space="preserve">a </w:t>
      </w:r>
      <w:r w:rsidR="00F84DA1">
        <w:rPr>
          <w:rFonts w:ascii="Arial" w:hAnsi="Arial" w:cs="Arial"/>
        </w:rPr>
        <w:t xml:space="preserve">neurologist. </w:t>
      </w:r>
    </w:p>
    <w:p w14:paraId="34C46722" w14:textId="77777777" w:rsidR="00FB79CC" w:rsidRDefault="00FB79CC" w:rsidP="00B221E2">
      <w:pPr>
        <w:pStyle w:val="NoSpacing"/>
        <w:rPr>
          <w:rFonts w:ascii="Arial" w:hAnsi="Arial" w:cs="Arial"/>
          <w:b/>
          <w:i/>
        </w:rPr>
      </w:pPr>
    </w:p>
    <w:p w14:paraId="457F6EE1" w14:textId="2ADE7F3F" w:rsidR="00B615F9" w:rsidRPr="00D900DC" w:rsidRDefault="00B615F9" w:rsidP="00D900DC">
      <w:pPr>
        <w:pStyle w:val="Heading3"/>
      </w:pPr>
      <w:r w:rsidRPr="00D900DC">
        <w:t>Dosage</w:t>
      </w:r>
    </w:p>
    <w:p w14:paraId="2D23D6B2" w14:textId="7BDF2E31" w:rsidR="00DA2D33" w:rsidRPr="0062381A" w:rsidRDefault="00DA2D33" w:rsidP="00DA2D33">
      <w:pPr>
        <w:rPr>
          <w:rFonts w:ascii="Arial" w:hAnsi="Arial" w:cs="Arial"/>
        </w:rPr>
      </w:pPr>
      <w:r w:rsidRPr="000511CF">
        <w:rPr>
          <w:rFonts w:ascii="Arial" w:hAnsi="Arial"/>
        </w:rPr>
        <w:t xml:space="preserve">The recommended starting dose of </w:t>
      </w:r>
      <w:r w:rsidR="00EF74A1" w:rsidRPr="000511CF">
        <w:rPr>
          <w:rFonts w:ascii="Arial" w:hAnsi="Arial"/>
        </w:rPr>
        <w:t>EPIDYOLEX</w:t>
      </w:r>
      <w:r w:rsidRPr="000511CF">
        <w:rPr>
          <w:rFonts w:ascii="Arial" w:hAnsi="Arial"/>
        </w:rPr>
        <w:t xml:space="preserve"> is 2.5</w:t>
      </w:r>
      <w:r w:rsidR="007504FE">
        <w:rPr>
          <w:rFonts w:ascii="Arial" w:hAnsi="Arial"/>
        </w:rPr>
        <w:t> </w:t>
      </w:r>
      <w:r w:rsidRPr="000511CF">
        <w:rPr>
          <w:rFonts w:ascii="Arial" w:hAnsi="Arial"/>
        </w:rPr>
        <w:t>mg/kg taken twice daily (5</w:t>
      </w:r>
      <w:r w:rsidR="007504FE">
        <w:rPr>
          <w:rFonts w:ascii="Arial" w:hAnsi="Arial"/>
        </w:rPr>
        <w:t> </w:t>
      </w:r>
      <w:r w:rsidRPr="000511CF">
        <w:rPr>
          <w:rFonts w:ascii="Arial" w:hAnsi="Arial"/>
        </w:rPr>
        <w:t>mg/kg/day) for one week. After one week, the dose should be increased to a maintenance dose of 5</w:t>
      </w:r>
      <w:r w:rsidR="002873BE">
        <w:rPr>
          <w:rFonts w:ascii="Arial" w:hAnsi="Arial"/>
        </w:rPr>
        <w:t> </w:t>
      </w:r>
      <w:r w:rsidRPr="000511CF">
        <w:rPr>
          <w:rFonts w:ascii="Arial" w:hAnsi="Arial"/>
        </w:rPr>
        <w:t>mg/kg twice daily (10 mg/kg/day). Based on individual clinical response and tolerability, each dose can be further increased in weekly increments of 2.5</w:t>
      </w:r>
      <w:r w:rsidR="007504FE">
        <w:rPr>
          <w:rFonts w:ascii="Arial" w:hAnsi="Arial"/>
        </w:rPr>
        <w:t> </w:t>
      </w:r>
      <w:r w:rsidRPr="000511CF">
        <w:rPr>
          <w:rFonts w:ascii="Arial" w:hAnsi="Arial"/>
        </w:rPr>
        <w:t>mg/kg administered twice daily (5</w:t>
      </w:r>
      <w:r w:rsidR="009216D3">
        <w:rPr>
          <w:rFonts w:ascii="Arial" w:hAnsi="Arial"/>
        </w:rPr>
        <w:t> </w:t>
      </w:r>
      <w:r w:rsidRPr="000511CF">
        <w:rPr>
          <w:rFonts w:ascii="Arial" w:hAnsi="Arial"/>
        </w:rPr>
        <w:t>mg/kg/day) up to a maximum recommended dose of 10</w:t>
      </w:r>
      <w:r w:rsidR="00BD18E3">
        <w:rPr>
          <w:rFonts w:ascii="Arial" w:hAnsi="Arial"/>
        </w:rPr>
        <w:t> </w:t>
      </w:r>
      <w:r w:rsidRPr="000511CF">
        <w:rPr>
          <w:rFonts w:ascii="Arial" w:hAnsi="Arial"/>
        </w:rPr>
        <w:t>mg/kg twice daily (20</w:t>
      </w:r>
      <w:r w:rsidR="008B1DC5">
        <w:rPr>
          <w:rFonts w:ascii="Arial" w:hAnsi="Arial"/>
        </w:rPr>
        <w:t> </w:t>
      </w:r>
      <w:r w:rsidRPr="000511CF">
        <w:rPr>
          <w:rFonts w:ascii="Arial" w:hAnsi="Arial"/>
        </w:rPr>
        <w:t>mg/kg/day).</w:t>
      </w:r>
      <w:r w:rsidRPr="0062381A">
        <w:rPr>
          <w:rFonts w:ascii="Arial" w:hAnsi="Arial" w:cs="Arial"/>
        </w:rPr>
        <w:t xml:space="preserve"> </w:t>
      </w:r>
    </w:p>
    <w:p w14:paraId="52F02DB9" w14:textId="77777777" w:rsidR="00DA2D33" w:rsidRPr="000511CF" w:rsidRDefault="00DA2D33" w:rsidP="000511CF">
      <w:pPr>
        <w:rPr>
          <w:rFonts w:ascii="Arial" w:hAnsi="Arial"/>
        </w:rPr>
      </w:pPr>
    </w:p>
    <w:p w14:paraId="631701D9" w14:textId="1AED4A84" w:rsidR="00DA2D33" w:rsidRPr="002F320A" w:rsidRDefault="00DA2D33" w:rsidP="002F320A">
      <w:pPr>
        <w:rPr>
          <w:rFonts w:ascii="Arial" w:hAnsi="Arial"/>
        </w:rPr>
      </w:pPr>
      <w:r w:rsidRPr="000511CF">
        <w:rPr>
          <w:rFonts w:ascii="Arial" w:hAnsi="Arial"/>
        </w:rPr>
        <w:t>Any dose increases above 10</w:t>
      </w:r>
      <w:r w:rsidR="00BD18E3">
        <w:rPr>
          <w:rFonts w:ascii="Arial" w:hAnsi="Arial"/>
        </w:rPr>
        <w:t> </w:t>
      </w:r>
      <w:r w:rsidRPr="000511CF">
        <w:rPr>
          <w:rFonts w:ascii="Arial" w:hAnsi="Arial"/>
        </w:rPr>
        <w:t xml:space="preserve">mg/kg/day, up to the maximum recommended dose of </w:t>
      </w:r>
      <w:r w:rsidRPr="002F320A">
        <w:rPr>
          <w:rFonts w:ascii="Arial" w:hAnsi="Arial"/>
        </w:rPr>
        <w:t>20</w:t>
      </w:r>
      <w:r w:rsidR="008B1DC5">
        <w:rPr>
          <w:rFonts w:ascii="Arial" w:hAnsi="Arial"/>
        </w:rPr>
        <w:t> </w:t>
      </w:r>
      <w:r w:rsidRPr="002F320A">
        <w:rPr>
          <w:rFonts w:ascii="Arial" w:hAnsi="Arial"/>
        </w:rPr>
        <w:t xml:space="preserve">mg/kg/day, should be made considering individual benefit and risk and with adherence to the monitoring schedule (see section </w:t>
      </w:r>
      <w:hyperlink w:anchor="_special_warnings_and" w:history="1">
        <w:r w:rsidRPr="0062381A">
          <w:rPr>
            <w:rStyle w:val="Hyperlink"/>
            <w:rFonts w:ascii="Arial" w:hAnsi="Arial" w:cs="Arial"/>
          </w:rPr>
          <w:t>4.4 SPECIAL WARNINGS AND PRECAUTIONS FOR USE</w:t>
        </w:r>
      </w:hyperlink>
      <w:r w:rsidRPr="002F320A">
        <w:rPr>
          <w:rFonts w:ascii="Arial" w:hAnsi="Arial"/>
        </w:rPr>
        <w:t>).</w:t>
      </w:r>
    </w:p>
    <w:p w14:paraId="04AED467" w14:textId="77777777" w:rsidR="00DA2D33" w:rsidRPr="0062381A" w:rsidRDefault="00DA2D33" w:rsidP="00DA2D33">
      <w:pPr>
        <w:rPr>
          <w:rFonts w:ascii="Arial" w:hAnsi="Arial" w:cs="Arial"/>
        </w:rPr>
      </w:pPr>
    </w:p>
    <w:p w14:paraId="42171C7B" w14:textId="0AB67D68" w:rsidR="00DA2D33" w:rsidRPr="002F320A" w:rsidRDefault="00DA2D33" w:rsidP="002F320A">
      <w:pPr>
        <w:rPr>
          <w:rFonts w:ascii="Arial" w:hAnsi="Arial"/>
        </w:rPr>
      </w:pPr>
      <w:r w:rsidRPr="002F320A">
        <w:rPr>
          <w:rFonts w:ascii="Arial" w:hAnsi="Arial"/>
        </w:rPr>
        <w:t xml:space="preserve">Each </w:t>
      </w:r>
      <w:r w:rsidR="002C44D9" w:rsidRPr="002F320A">
        <w:rPr>
          <w:rFonts w:ascii="Arial" w:hAnsi="Arial"/>
        </w:rPr>
        <w:t>EPIDYOLEX</w:t>
      </w:r>
      <w:r w:rsidRPr="002F320A">
        <w:rPr>
          <w:rFonts w:ascii="Arial" w:hAnsi="Arial"/>
        </w:rPr>
        <w:t xml:space="preserve"> carton is supplied with:</w:t>
      </w:r>
    </w:p>
    <w:p w14:paraId="6F58A8DF" w14:textId="4F317A92" w:rsidR="00DA2D33" w:rsidRPr="002F320A" w:rsidRDefault="00DA2D33" w:rsidP="00596596">
      <w:pPr>
        <w:numPr>
          <w:ilvl w:val="0"/>
          <w:numId w:val="2"/>
        </w:numPr>
        <w:rPr>
          <w:rFonts w:ascii="Arial" w:hAnsi="Arial"/>
        </w:rPr>
      </w:pPr>
      <w:r w:rsidRPr="002F320A">
        <w:rPr>
          <w:rFonts w:ascii="Arial" w:hAnsi="Arial"/>
        </w:rPr>
        <w:t>Two 1</w:t>
      </w:r>
      <w:r w:rsidR="00BD18E3">
        <w:rPr>
          <w:rFonts w:ascii="Arial" w:hAnsi="Arial"/>
        </w:rPr>
        <w:t> </w:t>
      </w:r>
      <w:r w:rsidR="00305723">
        <w:rPr>
          <w:rFonts w:ascii="Arial" w:hAnsi="Arial" w:cs="Arial"/>
        </w:rPr>
        <w:t>mL</w:t>
      </w:r>
      <w:r w:rsidRPr="002F320A">
        <w:rPr>
          <w:rFonts w:ascii="Arial" w:hAnsi="Arial"/>
        </w:rPr>
        <w:t xml:space="preserve"> syringes graduated in 0.05</w:t>
      </w:r>
      <w:r w:rsidR="00BD18E3">
        <w:rPr>
          <w:rFonts w:ascii="Arial" w:hAnsi="Arial"/>
        </w:rPr>
        <w:t> </w:t>
      </w:r>
      <w:r w:rsidR="00305723">
        <w:rPr>
          <w:rFonts w:ascii="Arial" w:hAnsi="Arial" w:cs="Arial"/>
        </w:rPr>
        <w:t>mL</w:t>
      </w:r>
      <w:r w:rsidRPr="002F320A">
        <w:rPr>
          <w:rFonts w:ascii="Arial" w:hAnsi="Arial"/>
        </w:rPr>
        <w:t xml:space="preserve"> increments (each 0.05</w:t>
      </w:r>
      <w:r w:rsidR="0099295C">
        <w:rPr>
          <w:rFonts w:ascii="Arial" w:hAnsi="Arial"/>
        </w:rPr>
        <w:t> </w:t>
      </w:r>
      <w:r w:rsidR="00305723">
        <w:rPr>
          <w:rFonts w:ascii="Arial" w:hAnsi="Arial" w:cs="Arial"/>
        </w:rPr>
        <w:t>mL</w:t>
      </w:r>
      <w:r w:rsidRPr="002F320A">
        <w:rPr>
          <w:rFonts w:ascii="Arial" w:hAnsi="Arial"/>
        </w:rPr>
        <w:t xml:space="preserve"> increment corresponds to 5</w:t>
      </w:r>
      <w:r w:rsidR="0099295C">
        <w:rPr>
          <w:rFonts w:ascii="Arial" w:hAnsi="Arial"/>
        </w:rPr>
        <w:t> </w:t>
      </w:r>
      <w:r w:rsidRPr="002F320A">
        <w:rPr>
          <w:rFonts w:ascii="Arial" w:hAnsi="Arial"/>
        </w:rPr>
        <w:t xml:space="preserve">mg </w:t>
      </w:r>
      <w:r w:rsidR="00A4687D" w:rsidRPr="00500B76">
        <w:rPr>
          <w:rFonts w:ascii="Arial" w:hAnsi="Arial"/>
        </w:rPr>
        <w:t>EPIDYOLEX</w:t>
      </w:r>
      <w:r w:rsidRPr="002F320A">
        <w:rPr>
          <w:rFonts w:ascii="Arial" w:hAnsi="Arial"/>
        </w:rPr>
        <w:t>)</w:t>
      </w:r>
    </w:p>
    <w:p w14:paraId="375359E4" w14:textId="38381725" w:rsidR="00DA2D33" w:rsidRPr="002F320A" w:rsidRDefault="00DA2D33" w:rsidP="00596596">
      <w:pPr>
        <w:numPr>
          <w:ilvl w:val="0"/>
          <w:numId w:val="2"/>
        </w:numPr>
        <w:rPr>
          <w:rFonts w:ascii="Arial" w:hAnsi="Arial"/>
        </w:rPr>
      </w:pPr>
      <w:r w:rsidRPr="002F320A">
        <w:rPr>
          <w:rFonts w:ascii="Arial" w:hAnsi="Arial"/>
        </w:rPr>
        <w:t>Two 5</w:t>
      </w:r>
      <w:r w:rsidR="00BD18E3">
        <w:rPr>
          <w:rFonts w:ascii="Arial" w:hAnsi="Arial"/>
        </w:rPr>
        <w:t> </w:t>
      </w:r>
      <w:r w:rsidR="00305723">
        <w:rPr>
          <w:rFonts w:ascii="Arial" w:hAnsi="Arial" w:cs="Arial"/>
        </w:rPr>
        <w:t>mL</w:t>
      </w:r>
      <w:r w:rsidRPr="002F320A">
        <w:rPr>
          <w:rFonts w:ascii="Arial" w:hAnsi="Arial"/>
        </w:rPr>
        <w:t xml:space="preserve"> syringes graduated in 0.1</w:t>
      </w:r>
      <w:r w:rsidR="00BD18E3">
        <w:rPr>
          <w:rFonts w:ascii="Arial" w:hAnsi="Arial"/>
        </w:rPr>
        <w:t> </w:t>
      </w:r>
      <w:r w:rsidR="00305723">
        <w:rPr>
          <w:rFonts w:ascii="Arial" w:hAnsi="Arial" w:cs="Arial"/>
        </w:rPr>
        <w:t>mL</w:t>
      </w:r>
      <w:r w:rsidRPr="002F320A">
        <w:rPr>
          <w:rFonts w:ascii="Arial" w:hAnsi="Arial"/>
        </w:rPr>
        <w:t xml:space="preserve"> increments (each 0.1</w:t>
      </w:r>
      <w:r w:rsidR="0099295C">
        <w:rPr>
          <w:rFonts w:ascii="Arial" w:hAnsi="Arial"/>
        </w:rPr>
        <w:t> </w:t>
      </w:r>
      <w:r w:rsidR="00305723">
        <w:rPr>
          <w:rFonts w:ascii="Arial" w:hAnsi="Arial" w:cs="Arial"/>
        </w:rPr>
        <w:t>mL</w:t>
      </w:r>
      <w:r w:rsidRPr="002F320A">
        <w:rPr>
          <w:rFonts w:ascii="Arial" w:hAnsi="Arial"/>
        </w:rPr>
        <w:t xml:space="preserve"> increment corresponds to 10</w:t>
      </w:r>
      <w:r w:rsidR="0099295C">
        <w:rPr>
          <w:rFonts w:ascii="Arial" w:hAnsi="Arial"/>
        </w:rPr>
        <w:t> </w:t>
      </w:r>
      <w:r w:rsidRPr="002F320A">
        <w:rPr>
          <w:rFonts w:ascii="Arial" w:hAnsi="Arial"/>
        </w:rPr>
        <w:t xml:space="preserve">mg </w:t>
      </w:r>
      <w:r w:rsidR="00A4687D" w:rsidRPr="00500B76">
        <w:rPr>
          <w:rFonts w:ascii="Arial" w:hAnsi="Arial"/>
        </w:rPr>
        <w:t>EPIDYOLEX</w:t>
      </w:r>
      <w:r w:rsidRPr="002F320A">
        <w:rPr>
          <w:rFonts w:ascii="Arial" w:hAnsi="Arial"/>
        </w:rPr>
        <w:t>)</w:t>
      </w:r>
    </w:p>
    <w:p w14:paraId="13AC4271" w14:textId="77777777" w:rsidR="00DA2D33" w:rsidRPr="002F320A" w:rsidRDefault="00DA2D33" w:rsidP="002F320A">
      <w:pPr>
        <w:rPr>
          <w:rFonts w:ascii="Arial" w:hAnsi="Arial"/>
        </w:rPr>
      </w:pPr>
    </w:p>
    <w:p w14:paraId="527DAEE2" w14:textId="72A0C0F1" w:rsidR="00DA2D33" w:rsidRPr="002F320A" w:rsidRDefault="00DA2D33" w:rsidP="002F320A">
      <w:pPr>
        <w:rPr>
          <w:rFonts w:ascii="Arial" w:hAnsi="Arial"/>
        </w:rPr>
      </w:pPr>
      <w:r w:rsidRPr="002F320A">
        <w:rPr>
          <w:rFonts w:ascii="Arial" w:hAnsi="Arial"/>
        </w:rPr>
        <w:t>If the calculated dose is 100</w:t>
      </w:r>
      <w:r w:rsidR="0099295C">
        <w:rPr>
          <w:rFonts w:ascii="Arial" w:hAnsi="Arial"/>
        </w:rPr>
        <w:t> </w:t>
      </w:r>
      <w:r w:rsidRPr="002F320A">
        <w:rPr>
          <w:rFonts w:ascii="Arial" w:hAnsi="Arial"/>
        </w:rPr>
        <w:t>mg (1</w:t>
      </w:r>
      <w:r w:rsidR="0099295C">
        <w:rPr>
          <w:rFonts w:ascii="Arial" w:hAnsi="Arial"/>
        </w:rPr>
        <w:t> </w:t>
      </w:r>
      <w:r w:rsidR="00305723">
        <w:rPr>
          <w:rFonts w:ascii="Arial" w:hAnsi="Arial" w:cs="Arial"/>
        </w:rPr>
        <w:t>mL</w:t>
      </w:r>
      <w:r w:rsidRPr="002F320A">
        <w:rPr>
          <w:rFonts w:ascii="Arial" w:hAnsi="Arial"/>
        </w:rPr>
        <w:t>) or less, the smaller 1</w:t>
      </w:r>
      <w:r w:rsidR="0099295C">
        <w:rPr>
          <w:rFonts w:ascii="Arial" w:hAnsi="Arial"/>
        </w:rPr>
        <w:t> </w:t>
      </w:r>
      <w:r w:rsidR="00305723">
        <w:rPr>
          <w:rFonts w:ascii="Arial" w:hAnsi="Arial" w:cs="Arial"/>
        </w:rPr>
        <w:t>mL</w:t>
      </w:r>
      <w:r w:rsidRPr="002F320A">
        <w:rPr>
          <w:rFonts w:ascii="Arial" w:hAnsi="Arial"/>
        </w:rPr>
        <w:t xml:space="preserve"> oral syringe should be used.</w:t>
      </w:r>
    </w:p>
    <w:p w14:paraId="3AAAF908" w14:textId="01A36ABE" w:rsidR="00DA2D33" w:rsidRPr="0062381A" w:rsidRDefault="00DA2D33" w:rsidP="00DA2D33">
      <w:pPr>
        <w:rPr>
          <w:rFonts w:ascii="Arial" w:hAnsi="Arial" w:cs="Arial"/>
        </w:rPr>
      </w:pPr>
      <w:r w:rsidRPr="002F320A">
        <w:rPr>
          <w:rFonts w:ascii="Arial" w:hAnsi="Arial"/>
        </w:rPr>
        <w:t>If the calculated dose is more than 100 mg (1</w:t>
      </w:r>
      <w:r w:rsidR="0099295C">
        <w:rPr>
          <w:rFonts w:ascii="Arial" w:hAnsi="Arial"/>
        </w:rPr>
        <w:t> </w:t>
      </w:r>
      <w:r w:rsidR="00305723">
        <w:rPr>
          <w:rFonts w:ascii="Arial" w:hAnsi="Arial" w:cs="Arial"/>
        </w:rPr>
        <w:t>mL</w:t>
      </w:r>
      <w:r w:rsidRPr="002F320A">
        <w:rPr>
          <w:rFonts w:ascii="Arial" w:hAnsi="Arial"/>
        </w:rPr>
        <w:t>), the larger 5</w:t>
      </w:r>
      <w:r w:rsidR="0099295C">
        <w:rPr>
          <w:rFonts w:ascii="Arial" w:hAnsi="Arial"/>
        </w:rPr>
        <w:t> </w:t>
      </w:r>
      <w:r w:rsidR="00305723">
        <w:rPr>
          <w:rFonts w:ascii="Arial" w:hAnsi="Arial" w:cs="Arial"/>
        </w:rPr>
        <w:t>mL</w:t>
      </w:r>
      <w:r w:rsidRPr="002F320A">
        <w:rPr>
          <w:rFonts w:ascii="Arial" w:hAnsi="Arial"/>
        </w:rPr>
        <w:t xml:space="preserve"> oral syringe should be used.</w:t>
      </w:r>
    </w:p>
    <w:p w14:paraId="4C207515" w14:textId="77777777" w:rsidR="00DA2D33" w:rsidRPr="0062381A" w:rsidRDefault="00DA2D33" w:rsidP="00DA2D33">
      <w:pPr>
        <w:rPr>
          <w:rFonts w:ascii="Arial" w:hAnsi="Arial" w:cs="Arial"/>
        </w:rPr>
      </w:pPr>
    </w:p>
    <w:p w14:paraId="143883EB" w14:textId="77777777" w:rsidR="00DA2D33" w:rsidRPr="0062381A" w:rsidRDefault="00DA2D33" w:rsidP="00DA2D33">
      <w:pPr>
        <w:rPr>
          <w:rFonts w:ascii="Arial" w:hAnsi="Arial" w:cs="Arial"/>
        </w:rPr>
      </w:pPr>
      <w:r w:rsidRPr="002F320A">
        <w:rPr>
          <w:rFonts w:ascii="Arial" w:hAnsi="Arial"/>
        </w:rPr>
        <w:t>The calculated dose should be rounded to the nearest graduated increment.</w:t>
      </w:r>
    </w:p>
    <w:p w14:paraId="57298751" w14:textId="77777777" w:rsidR="00DA2D33" w:rsidRPr="002F320A" w:rsidRDefault="00DA2D33" w:rsidP="002F320A">
      <w:pPr>
        <w:rPr>
          <w:rFonts w:ascii="Arial" w:hAnsi="Arial"/>
        </w:rPr>
      </w:pPr>
    </w:p>
    <w:p w14:paraId="6F390A0F" w14:textId="77777777" w:rsidR="00DA2D33" w:rsidRPr="000511CF" w:rsidRDefault="00DA2D33" w:rsidP="00D900DC">
      <w:pPr>
        <w:pStyle w:val="Heading3"/>
      </w:pPr>
      <w:r w:rsidRPr="002F320A">
        <w:t>Discontinuation</w:t>
      </w:r>
    </w:p>
    <w:p w14:paraId="7A43E745" w14:textId="57AC17DE" w:rsidR="00DA2D33" w:rsidRPr="002F320A" w:rsidRDefault="00970B9A" w:rsidP="002F320A">
      <w:pPr>
        <w:rPr>
          <w:rFonts w:ascii="Arial" w:hAnsi="Arial"/>
        </w:rPr>
      </w:pPr>
      <w:r w:rsidRPr="00500B76">
        <w:rPr>
          <w:rFonts w:ascii="Arial" w:hAnsi="Arial"/>
        </w:rPr>
        <w:t>EP</w:t>
      </w:r>
      <w:r w:rsidR="002408E3" w:rsidRPr="00500B76">
        <w:rPr>
          <w:rFonts w:ascii="Arial" w:hAnsi="Arial"/>
        </w:rPr>
        <w:t>I</w:t>
      </w:r>
      <w:r w:rsidRPr="00500B76">
        <w:rPr>
          <w:rFonts w:ascii="Arial" w:hAnsi="Arial"/>
        </w:rPr>
        <w:t>DYOLEX may be disc</w:t>
      </w:r>
      <w:r w:rsidR="005C44A2" w:rsidRPr="00500B76">
        <w:rPr>
          <w:rFonts w:ascii="Arial" w:hAnsi="Arial"/>
        </w:rPr>
        <w:t>ontinued for lack of efficacy or tolerability issues</w:t>
      </w:r>
      <w:r w:rsidR="00553F2C" w:rsidRPr="00500B76">
        <w:rPr>
          <w:rFonts w:ascii="Arial" w:hAnsi="Arial"/>
        </w:rPr>
        <w:t>.</w:t>
      </w:r>
      <w:r w:rsidR="005C44A2">
        <w:rPr>
          <w:rFonts w:ascii="Arial" w:hAnsi="Arial"/>
        </w:rPr>
        <w:t xml:space="preserve"> </w:t>
      </w:r>
      <w:r w:rsidR="00DA2D33" w:rsidRPr="002F320A">
        <w:rPr>
          <w:rFonts w:ascii="Arial" w:hAnsi="Arial"/>
        </w:rPr>
        <w:t xml:space="preserve">If </w:t>
      </w:r>
      <w:r w:rsidR="00841E60" w:rsidRPr="002F320A">
        <w:rPr>
          <w:rFonts w:ascii="Arial" w:hAnsi="Arial"/>
        </w:rPr>
        <w:t>EPIDYOLEX</w:t>
      </w:r>
      <w:r w:rsidR="00DA2D33" w:rsidRPr="002F320A">
        <w:rPr>
          <w:rFonts w:ascii="Arial" w:hAnsi="Arial"/>
        </w:rPr>
        <w:t xml:space="preserve"> has to be discontinued, the dose should be decreased gradually. In clinical trials, </w:t>
      </w:r>
      <w:r w:rsidR="00841E60" w:rsidRPr="002F320A">
        <w:rPr>
          <w:rFonts w:ascii="Arial" w:hAnsi="Arial"/>
        </w:rPr>
        <w:t>EPIDYOLEX</w:t>
      </w:r>
      <w:r w:rsidR="00DA2D33" w:rsidRPr="002F320A">
        <w:rPr>
          <w:rFonts w:ascii="Arial" w:hAnsi="Arial"/>
        </w:rPr>
        <w:t xml:space="preserve"> discontinuation was achieved by reducing the dose by approximately 10% per day for 10</w:t>
      </w:r>
      <w:r w:rsidR="00490D9E">
        <w:rPr>
          <w:rFonts w:ascii="Arial" w:hAnsi="Arial"/>
        </w:rPr>
        <w:t> </w:t>
      </w:r>
      <w:r w:rsidR="00DA2D33" w:rsidRPr="002F320A">
        <w:rPr>
          <w:rFonts w:ascii="Arial" w:hAnsi="Arial"/>
        </w:rPr>
        <w:t xml:space="preserve">days (see </w:t>
      </w:r>
      <w:r w:rsidR="002C3FFE" w:rsidRPr="002F320A">
        <w:rPr>
          <w:rFonts w:ascii="Arial" w:hAnsi="Arial"/>
        </w:rPr>
        <w:t xml:space="preserve">section </w:t>
      </w:r>
      <w:hyperlink w:anchor="_special_warnings_and" w:history="1">
        <w:r w:rsidR="002C3FFE" w:rsidRPr="0062381A">
          <w:rPr>
            <w:rStyle w:val="Hyperlink"/>
            <w:rFonts w:ascii="Arial" w:hAnsi="Arial" w:cs="Arial"/>
          </w:rPr>
          <w:t>4.4 SPECIAL WARNINGS AND PRECAUTIONS FOR USE</w:t>
        </w:r>
      </w:hyperlink>
      <w:r w:rsidR="00DA2D33" w:rsidRPr="0062381A">
        <w:rPr>
          <w:rFonts w:ascii="Arial" w:hAnsi="Arial" w:cs="Arial"/>
        </w:rPr>
        <w:t>).</w:t>
      </w:r>
      <w:r w:rsidR="00DA2D33" w:rsidRPr="002F320A">
        <w:rPr>
          <w:rFonts w:ascii="Arial" w:hAnsi="Arial"/>
        </w:rPr>
        <w:t xml:space="preserve"> A slower or faster down titration may be required, as clinically indicated, at the discretion of the prescriber.</w:t>
      </w:r>
    </w:p>
    <w:p w14:paraId="1A0C2BCB" w14:textId="77777777" w:rsidR="00DA2D33" w:rsidRPr="002F320A" w:rsidRDefault="00DA2D33" w:rsidP="002F320A">
      <w:pPr>
        <w:rPr>
          <w:rFonts w:ascii="Arial" w:hAnsi="Arial"/>
        </w:rPr>
      </w:pPr>
    </w:p>
    <w:p w14:paraId="5FF8C99C" w14:textId="77777777" w:rsidR="00DA2D33" w:rsidRPr="000511CF" w:rsidRDefault="00DA2D33" w:rsidP="00D900DC">
      <w:pPr>
        <w:pStyle w:val="Heading3"/>
      </w:pPr>
      <w:r w:rsidRPr="002F320A">
        <w:t>Missed doses</w:t>
      </w:r>
    </w:p>
    <w:p w14:paraId="2E7E9451" w14:textId="56BAFBF3" w:rsidR="001652C1" w:rsidRPr="002F320A" w:rsidRDefault="00DA2D33" w:rsidP="002F320A">
      <w:pPr>
        <w:rPr>
          <w:rFonts w:ascii="Arial" w:hAnsi="Arial"/>
        </w:rPr>
      </w:pPr>
      <w:r w:rsidRPr="002F320A">
        <w:rPr>
          <w:rFonts w:ascii="Arial" w:hAnsi="Arial"/>
        </w:rPr>
        <w:t>In the case of one or more missed doses, the missed doses should not be compensated. Dosing should be resumed at the existing treatment schedule. In the case of more than 7</w:t>
      </w:r>
      <w:r w:rsidR="0099295C">
        <w:rPr>
          <w:rFonts w:ascii="Arial" w:hAnsi="Arial"/>
        </w:rPr>
        <w:t> </w:t>
      </w:r>
      <w:r w:rsidRPr="002F320A">
        <w:rPr>
          <w:rFonts w:ascii="Arial" w:hAnsi="Arial"/>
        </w:rPr>
        <w:t>days’ missed doses, re</w:t>
      </w:r>
      <w:r w:rsidR="00AE6A9D" w:rsidRPr="002F320A">
        <w:rPr>
          <w:rFonts w:ascii="Arial" w:hAnsi="Arial"/>
        </w:rPr>
        <w:t>-</w:t>
      </w:r>
      <w:r w:rsidRPr="002F320A">
        <w:rPr>
          <w:rFonts w:ascii="Arial" w:hAnsi="Arial"/>
        </w:rPr>
        <w:t>titration to the therapeutic dose should be made.</w:t>
      </w:r>
    </w:p>
    <w:p w14:paraId="27965150" w14:textId="2EB4E84F" w:rsidR="001652C1" w:rsidRPr="002F320A" w:rsidRDefault="001652C1" w:rsidP="002F320A">
      <w:pPr>
        <w:rPr>
          <w:rFonts w:ascii="Arial" w:hAnsi="Arial"/>
          <w:u w:val="single"/>
        </w:rPr>
      </w:pPr>
    </w:p>
    <w:p w14:paraId="6E389293" w14:textId="77777777" w:rsidR="008C1D88" w:rsidRPr="002F320A" w:rsidRDefault="008C1D88" w:rsidP="00D900DC">
      <w:pPr>
        <w:pStyle w:val="Heading3"/>
      </w:pPr>
      <w:r w:rsidRPr="002F320A">
        <w:t>Method of Administration</w:t>
      </w:r>
    </w:p>
    <w:p w14:paraId="1484C5B1" w14:textId="67FCAD06" w:rsidR="002C3FFE" w:rsidRPr="002F320A" w:rsidRDefault="002C3FFE" w:rsidP="002222C1">
      <w:pPr>
        <w:pStyle w:val="NoSpacing"/>
        <w:keepNext/>
        <w:rPr>
          <w:rFonts w:ascii="Arial" w:hAnsi="Arial"/>
        </w:rPr>
      </w:pPr>
      <w:r w:rsidRPr="002F320A">
        <w:rPr>
          <w:rFonts w:ascii="Arial" w:hAnsi="Arial"/>
        </w:rPr>
        <w:t>Oral use</w:t>
      </w:r>
    </w:p>
    <w:p w14:paraId="23F2B620" w14:textId="0A669630" w:rsidR="008C1D88" w:rsidRPr="002F320A" w:rsidRDefault="002C3FFE" w:rsidP="002F320A">
      <w:pPr>
        <w:pStyle w:val="NoSpacing"/>
        <w:rPr>
          <w:rFonts w:ascii="Arial" w:hAnsi="Arial"/>
        </w:rPr>
      </w:pPr>
      <w:r w:rsidRPr="002F320A">
        <w:rPr>
          <w:rFonts w:ascii="Arial" w:hAnsi="Arial"/>
        </w:rPr>
        <w:t xml:space="preserve">Food may increase </w:t>
      </w:r>
      <w:r w:rsidR="00841E60" w:rsidRPr="002F320A">
        <w:rPr>
          <w:rFonts w:ascii="Arial" w:hAnsi="Arial"/>
        </w:rPr>
        <w:t>EPIDYOLEX</w:t>
      </w:r>
      <w:r w:rsidRPr="002F320A">
        <w:rPr>
          <w:rFonts w:ascii="Arial" w:hAnsi="Arial"/>
        </w:rPr>
        <w:t xml:space="preserve"> levels and therefore it should be taken consistently either with or without food, including the ketogenic diet</w:t>
      </w:r>
      <w:r w:rsidR="00BE20EE" w:rsidRPr="002F320A">
        <w:rPr>
          <w:rFonts w:ascii="Arial" w:hAnsi="Arial"/>
        </w:rPr>
        <w:t xml:space="preserve"> </w:t>
      </w:r>
      <w:r w:rsidRPr="002F320A">
        <w:rPr>
          <w:rFonts w:ascii="Arial" w:hAnsi="Arial"/>
        </w:rPr>
        <w:t xml:space="preserve">(see section </w:t>
      </w:r>
      <w:hyperlink w:anchor="_PHARMACOKINETIC_PROPERTIES" w:history="1">
        <w:r w:rsidR="001075F3" w:rsidRPr="0062381A">
          <w:rPr>
            <w:rStyle w:val="Hyperlink"/>
            <w:rFonts w:ascii="Arial" w:hAnsi="Arial" w:cs="Arial"/>
          </w:rPr>
          <w:t>5.2 PHARMACOKINETIC PROPERTIES</w:t>
        </w:r>
      </w:hyperlink>
      <w:r w:rsidR="001075F3" w:rsidRPr="002F320A">
        <w:rPr>
          <w:rFonts w:ascii="Arial" w:hAnsi="Arial"/>
        </w:rPr>
        <w:t>).</w:t>
      </w:r>
    </w:p>
    <w:p w14:paraId="6D40E907" w14:textId="77777777" w:rsidR="008C1D88" w:rsidRPr="002F320A" w:rsidRDefault="008C1D88" w:rsidP="002F320A">
      <w:pPr>
        <w:rPr>
          <w:rFonts w:ascii="Arial" w:hAnsi="Arial"/>
          <w:u w:val="single"/>
        </w:rPr>
      </w:pPr>
    </w:p>
    <w:p w14:paraId="4CBA2A80" w14:textId="277722A8" w:rsidR="001652C1" w:rsidRPr="002F320A" w:rsidRDefault="001652C1" w:rsidP="00D900DC">
      <w:pPr>
        <w:pStyle w:val="Heading3"/>
      </w:pPr>
      <w:r w:rsidRPr="002F320A">
        <w:t>Dos</w:t>
      </w:r>
      <w:r w:rsidR="008C1D88" w:rsidRPr="002F320A">
        <w:t>age Adjustment</w:t>
      </w:r>
    </w:p>
    <w:p w14:paraId="597E01E9" w14:textId="77777777" w:rsidR="002C3FFE" w:rsidRPr="00D900DC" w:rsidRDefault="002C3FFE" w:rsidP="00D900DC">
      <w:pPr>
        <w:pStyle w:val="Heading4"/>
      </w:pPr>
      <w:r w:rsidRPr="00D900DC">
        <w:t>Special populations</w:t>
      </w:r>
    </w:p>
    <w:p w14:paraId="203CB5AE" w14:textId="0F8F1BFB" w:rsidR="002C3FFE" w:rsidRPr="002F320A" w:rsidRDefault="002C3FFE" w:rsidP="002222C1">
      <w:pPr>
        <w:pStyle w:val="NoSpacing"/>
        <w:keepNext/>
        <w:rPr>
          <w:rFonts w:ascii="Arial" w:eastAsia="Calibri" w:hAnsi="Arial"/>
          <w:i/>
        </w:rPr>
      </w:pPr>
      <w:r w:rsidRPr="002F320A">
        <w:rPr>
          <w:rFonts w:ascii="Arial" w:eastAsia="Calibri" w:hAnsi="Arial"/>
          <w:i/>
        </w:rPr>
        <w:t>Elderly (65</w:t>
      </w:r>
      <w:r w:rsidR="0099295C">
        <w:rPr>
          <w:rFonts w:ascii="Arial" w:eastAsia="Calibri" w:hAnsi="Arial"/>
          <w:i/>
        </w:rPr>
        <w:t> </w:t>
      </w:r>
      <w:r w:rsidRPr="002F320A">
        <w:rPr>
          <w:rFonts w:ascii="Arial" w:eastAsia="Calibri" w:hAnsi="Arial"/>
          <w:i/>
        </w:rPr>
        <w:t>years of age and above)</w:t>
      </w:r>
    </w:p>
    <w:p w14:paraId="5412A44F" w14:textId="6D9D2C26" w:rsidR="002C3FFE" w:rsidRPr="002F320A" w:rsidRDefault="002C3FFE" w:rsidP="002F320A">
      <w:pPr>
        <w:pStyle w:val="NoSpacing"/>
        <w:rPr>
          <w:rFonts w:ascii="Arial" w:eastAsia="Calibri" w:hAnsi="Arial"/>
        </w:rPr>
      </w:pPr>
      <w:r w:rsidRPr="002F320A">
        <w:rPr>
          <w:rFonts w:ascii="Arial" w:eastAsia="Calibri" w:hAnsi="Arial"/>
        </w:rPr>
        <w:t xml:space="preserve">The safety and efficacy of </w:t>
      </w:r>
      <w:r w:rsidR="00841E60" w:rsidRPr="002F320A">
        <w:rPr>
          <w:rFonts w:ascii="Arial" w:eastAsia="Calibri" w:hAnsi="Arial"/>
        </w:rPr>
        <w:t>EPIDYOLEX</w:t>
      </w:r>
      <w:r w:rsidRPr="002F320A">
        <w:rPr>
          <w:rFonts w:ascii="Arial" w:eastAsia="Calibri" w:hAnsi="Arial"/>
        </w:rPr>
        <w:t xml:space="preserve"> in patients </w:t>
      </w:r>
      <w:r w:rsidR="00702FAA">
        <w:rPr>
          <w:rFonts w:ascii="Arial" w:eastAsia="Calibri" w:hAnsi="Arial"/>
        </w:rPr>
        <w:sym w:font="Symbol" w:char="F0B3"/>
      </w:r>
      <w:r w:rsidR="0099295C">
        <w:rPr>
          <w:rFonts w:ascii="Arial" w:eastAsia="Calibri" w:hAnsi="Arial"/>
        </w:rPr>
        <w:t> </w:t>
      </w:r>
      <w:r w:rsidRPr="002F320A">
        <w:rPr>
          <w:rFonts w:ascii="Arial" w:eastAsia="Calibri" w:hAnsi="Arial"/>
        </w:rPr>
        <w:t>65</w:t>
      </w:r>
      <w:r w:rsidR="0099295C">
        <w:rPr>
          <w:rFonts w:ascii="Arial" w:eastAsia="Calibri" w:hAnsi="Arial"/>
        </w:rPr>
        <w:t> </w:t>
      </w:r>
      <w:r w:rsidRPr="002F320A">
        <w:rPr>
          <w:rFonts w:ascii="Arial" w:eastAsia="Calibri" w:hAnsi="Arial"/>
        </w:rPr>
        <w:t>years of age have not been established.</w:t>
      </w:r>
    </w:p>
    <w:p w14:paraId="6A364B34" w14:textId="77777777" w:rsidR="002C3FFE" w:rsidRPr="002F320A" w:rsidRDefault="002C3FFE" w:rsidP="002F320A">
      <w:pPr>
        <w:pStyle w:val="NoSpacing"/>
        <w:rPr>
          <w:rFonts w:ascii="Arial" w:eastAsia="Calibri" w:hAnsi="Arial"/>
        </w:rPr>
      </w:pPr>
    </w:p>
    <w:p w14:paraId="3FF0084C" w14:textId="2693E306" w:rsidR="002C3FFE" w:rsidRPr="002F320A" w:rsidRDefault="002C3FFE" w:rsidP="002F320A">
      <w:pPr>
        <w:pStyle w:val="NoSpacing"/>
        <w:rPr>
          <w:rFonts w:ascii="Arial" w:eastAsia="Calibri" w:hAnsi="Arial"/>
        </w:rPr>
      </w:pPr>
      <w:r w:rsidRPr="002F320A">
        <w:rPr>
          <w:rFonts w:ascii="Arial" w:eastAsia="Calibri" w:hAnsi="Arial"/>
        </w:rPr>
        <w:t xml:space="preserve">In general, dose selection for an elderly patient should be cautious, usually starting at the low end of the dosing range, reflecting the greater frequency of decreased hepatic, renal, or cardiac function, and of concomitant disease or other concurrent therapy (see section </w:t>
      </w:r>
      <w:hyperlink w:anchor="_special_warnings_and" w:history="1">
        <w:r w:rsidRPr="0062381A">
          <w:rPr>
            <w:rStyle w:val="Hyperlink"/>
            <w:rFonts w:ascii="Arial" w:hAnsi="Arial" w:cs="Arial"/>
          </w:rPr>
          <w:t>4.4 SPECIAL WARNINGS AND PRECAUTIONS FOR USE</w:t>
        </w:r>
      </w:hyperlink>
      <w:r w:rsidRPr="0062381A">
        <w:rPr>
          <w:rFonts w:ascii="Arial" w:hAnsi="Arial" w:cs="Arial"/>
        </w:rPr>
        <w:t xml:space="preserve"> </w:t>
      </w:r>
      <w:r w:rsidRPr="002F320A">
        <w:rPr>
          <w:rFonts w:ascii="Arial" w:eastAsia="Calibri" w:hAnsi="Arial"/>
        </w:rPr>
        <w:t xml:space="preserve">under hepatocellular injury and section </w:t>
      </w:r>
      <w:hyperlink w:anchor="_PHARMACOKINETIC_PROPERTIES" w:history="1">
        <w:r w:rsidRPr="002F320A">
          <w:rPr>
            <w:rStyle w:val="Hyperlink"/>
            <w:rFonts w:ascii="Arial" w:hAnsi="Arial"/>
          </w:rPr>
          <w:t>5.2 PHARMACOKINETIC PROPERTIES</w:t>
        </w:r>
      </w:hyperlink>
      <w:r w:rsidRPr="002F320A">
        <w:rPr>
          <w:rFonts w:ascii="Arial" w:eastAsia="Calibri" w:hAnsi="Arial"/>
        </w:rPr>
        <w:t>).</w:t>
      </w:r>
    </w:p>
    <w:p w14:paraId="767B0F7E" w14:textId="77777777" w:rsidR="002C3FFE" w:rsidRPr="002F320A" w:rsidRDefault="002C3FFE" w:rsidP="002F320A">
      <w:pPr>
        <w:pStyle w:val="NoSpacing"/>
        <w:rPr>
          <w:rFonts w:ascii="Arial" w:eastAsia="Calibri" w:hAnsi="Arial"/>
        </w:rPr>
      </w:pPr>
    </w:p>
    <w:p w14:paraId="6A0E4457" w14:textId="77777777" w:rsidR="002C3FFE" w:rsidRPr="002F320A" w:rsidRDefault="002C3FFE" w:rsidP="00957B4A">
      <w:pPr>
        <w:pStyle w:val="NoSpacing"/>
        <w:keepNext/>
        <w:rPr>
          <w:rFonts w:ascii="Arial" w:eastAsia="Calibri" w:hAnsi="Arial"/>
          <w:i/>
        </w:rPr>
      </w:pPr>
      <w:r w:rsidRPr="002F320A">
        <w:rPr>
          <w:rFonts w:ascii="Arial" w:eastAsia="Calibri" w:hAnsi="Arial"/>
          <w:i/>
        </w:rPr>
        <w:t>Renal impairment</w:t>
      </w:r>
    </w:p>
    <w:p w14:paraId="76298B8B" w14:textId="7B110B9C" w:rsidR="00F33A77" w:rsidRPr="002F320A" w:rsidRDefault="00841E60" w:rsidP="002F320A">
      <w:pPr>
        <w:pStyle w:val="NoSpacing"/>
        <w:rPr>
          <w:rFonts w:ascii="Arial" w:eastAsia="Calibri" w:hAnsi="Arial"/>
          <w:i/>
        </w:rPr>
      </w:pPr>
      <w:r w:rsidRPr="002F320A">
        <w:rPr>
          <w:rFonts w:ascii="Arial" w:eastAsia="Calibri" w:hAnsi="Arial"/>
        </w:rPr>
        <w:t>EPIDYOLEX</w:t>
      </w:r>
      <w:r w:rsidR="002C3FFE" w:rsidRPr="002F320A">
        <w:rPr>
          <w:rFonts w:ascii="Arial" w:eastAsia="Calibri" w:hAnsi="Arial"/>
        </w:rPr>
        <w:t xml:space="preserve"> can be administered to patients with mild, moderate, or severe renal impairment without dose adjustment (see section </w:t>
      </w:r>
      <w:hyperlink w:anchor="_PHARMACOKINETIC_PROPERTIES" w:history="1">
        <w:r w:rsidR="002C3FFE" w:rsidRPr="0062381A">
          <w:rPr>
            <w:rStyle w:val="Hyperlink"/>
            <w:rFonts w:ascii="Arial" w:hAnsi="Arial" w:cs="Arial"/>
          </w:rPr>
          <w:t>5.2 PHARMACOKINETIC PROPERTIES</w:t>
        </w:r>
      </w:hyperlink>
      <w:r w:rsidR="002C3FFE" w:rsidRPr="0062381A">
        <w:rPr>
          <w:rFonts w:ascii="Arial" w:eastAsia="Calibri" w:hAnsi="Arial" w:cs="Arial"/>
          <w:bCs/>
        </w:rPr>
        <w:t>).</w:t>
      </w:r>
      <w:r w:rsidR="002C3FFE" w:rsidRPr="002F320A">
        <w:rPr>
          <w:rFonts w:ascii="Arial" w:eastAsia="Calibri" w:hAnsi="Arial"/>
        </w:rPr>
        <w:t xml:space="preserve"> There is no experience in patients with end</w:t>
      </w:r>
      <w:r w:rsidR="00AE6A9D" w:rsidRPr="002F320A">
        <w:rPr>
          <w:rFonts w:ascii="Arial" w:eastAsia="Calibri" w:hAnsi="Arial"/>
        </w:rPr>
        <w:t>-</w:t>
      </w:r>
      <w:r w:rsidR="002C3FFE" w:rsidRPr="002F320A">
        <w:rPr>
          <w:rFonts w:ascii="Arial" w:eastAsia="Calibri" w:hAnsi="Arial"/>
        </w:rPr>
        <w:t xml:space="preserve">stage renal disease. It is not known if </w:t>
      </w:r>
      <w:r w:rsidRPr="002F320A">
        <w:rPr>
          <w:rFonts w:ascii="Arial" w:eastAsia="Calibri" w:hAnsi="Arial"/>
        </w:rPr>
        <w:t>EPIDYOLEX</w:t>
      </w:r>
      <w:r w:rsidR="002C3FFE" w:rsidRPr="002F320A">
        <w:rPr>
          <w:rFonts w:ascii="Arial" w:eastAsia="Calibri" w:hAnsi="Arial"/>
        </w:rPr>
        <w:t xml:space="preserve"> is </w:t>
      </w:r>
      <w:proofErr w:type="spellStart"/>
      <w:r w:rsidR="002C3FFE" w:rsidRPr="002F320A">
        <w:rPr>
          <w:rFonts w:ascii="Arial" w:eastAsia="Calibri" w:hAnsi="Arial"/>
        </w:rPr>
        <w:t>dialysable</w:t>
      </w:r>
      <w:proofErr w:type="spellEnd"/>
      <w:r w:rsidR="002C3FFE" w:rsidRPr="002F320A">
        <w:rPr>
          <w:rFonts w:ascii="Arial" w:eastAsia="Calibri" w:hAnsi="Arial"/>
        </w:rPr>
        <w:t>.</w:t>
      </w:r>
    </w:p>
    <w:p w14:paraId="21B6DC54" w14:textId="77777777" w:rsidR="00F33A77" w:rsidRDefault="00F33A77" w:rsidP="002C3FFE">
      <w:pPr>
        <w:pStyle w:val="NoSpacing"/>
        <w:rPr>
          <w:rFonts w:ascii="Arial" w:eastAsia="Calibri" w:hAnsi="Arial" w:cs="Arial"/>
          <w:bCs/>
          <w:i/>
          <w:iCs/>
        </w:rPr>
      </w:pPr>
    </w:p>
    <w:p w14:paraId="6EFF115B" w14:textId="2FB6D79F" w:rsidR="002C3FFE" w:rsidRPr="002F320A" w:rsidRDefault="002C3FFE" w:rsidP="00957B4A">
      <w:pPr>
        <w:pStyle w:val="NoSpacing"/>
        <w:keepNext/>
        <w:rPr>
          <w:rFonts w:ascii="Arial" w:eastAsia="Calibri" w:hAnsi="Arial"/>
          <w:i/>
        </w:rPr>
      </w:pPr>
      <w:r w:rsidRPr="002F320A">
        <w:rPr>
          <w:rFonts w:ascii="Arial" w:eastAsia="Calibri" w:hAnsi="Arial"/>
          <w:i/>
        </w:rPr>
        <w:t>Hepatic impairment</w:t>
      </w:r>
    </w:p>
    <w:p w14:paraId="4A49D116" w14:textId="4F07F414" w:rsidR="002C3FFE" w:rsidRPr="002F320A" w:rsidRDefault="00841E60" w:rsidP="002F320A">
      <w:pPr>
        <w:pStyle w:val="NoSpacing"/>
        <w:rPr>
          <w:rFonts w:ascii="Arial" w:eastAsia="Calibri" w:hAnsi="Arial"/>
        </w:rPr>
      </w:pPr>
      <w:r w:rsidRPr="002F320A">
        <w:rPr>
          <w:rFonts w:ascii="Arial" w:eastAsia="Calibri" w:hAnsi="Arial"/>
        </w:rPr>
        <w:t>EPIDYOLEX</w:t>
      </w:r>
      <w:r w:rsidR="002C3FFE" w:rsidRPr="002F320A">
        <w:rPr>
          <w:rFonts w:ascii="Arial" w:eastAsia="Calibri" w:hAnsi="Arial"/>
        </w:rPr>
        <w:t xml:space="preserve"> does not require dose adjustment in patients with mild hepatic impairment (Child</w:t>
      </w:r>
      <w:r w:rsidR="0099295C">
        <w:rPr>
          <w:rFonts w:ascii="Arial" w:eastAsia="Calibri" w:hAnsi="Arial"/>
        </w:rPr>
        <w:noBreakHyphen/>
      </w:r>
      <w:r w:rsidR="002C3FFE" w:rsidRPr="002F320A">
        <w:rPr>
          <w:rFonts w:ascii="Arial" w:eastAsia="Calibri" w:hAnsi="Arial"/>
        </w:rPr>
        <w:t>Pugh A).</w:t>
      </w:r>
    </w:p>
    <w:p w14:paraId="0CE70ABE" w14:textId="77777777" w:rsidR="002C3FFE" w:rsidRPr="002F320A" w:rsidRDefault="002C3FFE" w:rsidP="002F320A">
      <w:pPr>
        <w:pStyle w:val="NoSpacing"/>
        <w:rPr>
          <w:rFonts w:ascii="Arial" w:eastAsia="Calibri" w:hAnsi="Arial"/>
        </w:rPr>
      </w:pPr>
    </w:p>
    <w:p w14:paraId="33D3FD25" w14:textId="5FE6718E" w:rsidR="00B615F9" w:rsidRPr="002F320A" w:rsidRDefault="002C3FFE" w:rsidP="002F320A">
      <w:pPr>
        <w:pStyle w:val="NoSpacing"/>
        <w:rPr>
          <w:rFonts w:ascii="Arial" w:eastAsia="Calibri" w:hAnsi="Arial"/>
        </w:rPr>
      </w:pPr>
      <w:r w:rsidRPr="00667C36">
        <w:rPr>
          <w:rFonts w:ascii="Arial" w:eastAsia="Calibri" w:hAnsi="Arial"/>
        </w:rPr>
        <w:t xml:space="preserve">Caution should be used in patients with moderate </w:t>
      </w:r>
      <w:r w:rsidR="008B0653" w:rsidRPr="00342504">
        <w:rPr>
          <w:rFonts w:ascii="Arial" w:eastAsia="Calibri" w:hAnsi="Arial" w:cs="Arial"/>
          <w:bCs/>
        </w:rPr>
        <w:t>hepatic impairment</w:t>
      </w:r>
      <w:r w:rsidR="008B0653" w:rsidRPr="00667C36">
        <w:rPr>
          <w:rFonts w:ascii="Arial" w:eastAsia="Calibri" w:hAnsi="Arial" w:cs="Arial"/>
          <w:bCs/>
        </w:rPr>
        <w:t xml:space="preserve"> </w:t>
      </w:r>
      <w:r w:rsidRPr="00667C36">
        <w:rPr>
          <w:rFonts w:ascii="Arial" w:eastAsia="Calibri" w:hAnsi="Arial"/>
        </w:rPr>
        <w:t>(Child</w:t>
      </w:r>
      <w:r w:rsidR="00AE6A9D" w:rsidRPr="00667C36">
        <w:rPr>
          <w:rFonts w:ascii="Arial" w:eastAsia="Calibri" w:hAnsi="Arial"/>
        </w:rPr>
        <w:t>-</w:t>
      </w:r>
      <w:r w:rsidRPr="00667C36">
        <w:rPr>
          <w:rFonts w:ascii="Arial" w:eastAsia="Calibri" w:hAnsi="Arial"/>
        </w:rPr>
        <w:t xml:space="preserve">Pugh B) </w:t>
      </w:r>
      <w:r w:rsidR="00697C76" w:rsidRPr="00342504">
        <w:rPr>
          <w:rFonts w:ascii="Arial" w:eastAsia="Calibri" w:hAnsi="Arial" w:cs="Arial"/>
        </w:rPr>
        <w:t xml:space="preserve">and </w:t>
      </w:r>
      <w:r w:rsidR="005F13F3" w:rsidRPr="00342504">
        <w:rPr>
          <w:rFonts w:ascii="Arial" w:eastAsia="Calibri" w:hAnsi="Arial" w:cs="Arial"/>
          <w:bCs/>
        </w:rPr>
        <w:t>EPIDYOLEX</w:t>
      </w:r>
      <w:r w:rsidR="00CB06B5" w:rsidRPr="00342504">
        <w:rPr>
          <w:rFonts w:ascii="Arial" w:eastAsia="Calibri" w:hAnsi="Arial" w:cs="Arial"/>
          <w:bCs/>
        </w:rPr>
        <w:t xml:space="preserve"> should not be used in patients with</w:t>
      </w:r>
      <w:r w:rsidR="00101ED5" w:rsidRPr="00667C36">
        <w:rPr>
          <w:rFonts w:ascii="Arial" w:eastAsia="Calibri" w:hAnsi="Arial"/>
        </w:rPr>
        <w:t xml:space="preserve"> </w:t>
      </w:r>
      <w:r w:rsidRPr="00667C36">
        <w:rPr>
          <w:rFonts w:ascii="Arial" w:eastAsia="Calibri" w:hAnsi="Arial"/>
        </w:rPr>
        <w:t>severe hepatic impairment (Child</w:t>
      </w:r>
      <w:r w:rsidR="00AE6A9D" w:rsidRPr="00667C36">
        <w:rPr>
          <w:rFonts w:ascii="Arial" w:eastAsia="Calibri" w:hAnsi="Arial"/>
        </w:rPr>
        <w:t>-</w:t>
      </w:r>
      <w:r w:rsidRPr="00667C36">
        <w:rPr>
          <w:rFonts w:ascii="Arial" w:eastAsia="Calibri" w:hAnsi="Arial"/>
        </w:rPr>
        <w:t>Pugh C</w:t>
      </w:r>
      <w:r w:rsidRPr="00667C36">
        <w:rPr>
          <w:rFonts w:ascii="Arial" w:eastAsia="Calibri" w:hAnsi="Arial" w:cs="Arial"/>
          <w:bCs/>
        </w:rPr>
        <w:t>)</w:t>
      </w:r>
      <w:r w:rsidR="00853A59">
        <w:rPr>
          <w:rFonts w:ascii="Arial" w:eastAsia="Calibri" w:hAnsi="Arial" w:cs="Arial"/>
          <w:bCs/>
        </w:rPr>
        <w:t>,</w:t>
      </w:r>
      <w:r w:rsidR="00923213" w:rsidRPr="00667C36">
        <w:t xml:space="preserve"> </w:t>
      </w:r>
      <w:r w:rsidR="00CB06B5" w:rsidRPr="00342504">
        <w:rPr>
          <w:rFonts w:ascii="Arial" w:eastAsia="Calibri" w:hAnsi="Arial" w:cs="Arial"/>
          <w:bCs/>
        </w:rPr>
        <w:t>unless</w:t>
      </w:r>
      <w:r w:rsidR="00923213" w:rsidRPr="00342504">
        <w:rPr>
          <w:rFonts w:ascii="Arial" w:eastAsia="Calibri" w:hAnsi="Arial" w:cs="Arial"/>
        </w:rPr>
        <w:t xml:space="preserve"> the potential benefit outweighs the risk</w:t>
      </w:r>
      <w:r w:rsidRPr="00342504">
        <w:rPr>
          <w:rFonts w:ascii="Arial" w:eastAsia="Calibri" w:hAnsi="Arial" w:cs="Arial"/>
        </w:rPr>
        <w:t>.</w:t>
      </w:r>
      <w:r w:rsidRPr="00667C36">
        <w:rPr>
          <w:rFonts w:ascii="Arial" w:eastAsia="Calibri" w:hAnsi="Arial"/>
        </w:rPr>
        <w:t xml:space="preserve"> A</w:t>
      </w:r>
      <w:r w:rsidRPr="002F320A">
        <w:rPr>
          <w:rFonts w:ascii="Arial" w:eastAsia="Calibri" w:hAnsi="Arial"/>
        </w:rPr>
        <w:t xml:space="preserve"> lower starting dose is recommended in patients with moderate or severe hepatic impairment. The dose titration should be performed as detailed in the </w:t>
      </w:r>
      <w:r w:rsidR="00E35A08">
        <w:rPr>
          <w:rFonts w:ascii="Arial" w:eastAsia="Calibri" w:hAnsi="Arial"/>
        </w:rPr>
        <w:t>T</w:t>
      </w:r>
      <w:r w:rsidRPr="002F320A">
        <w:rPr>
          <w:rFonts w:ascii="Arial" w:eastAsia="Calibri" w:hAnsi="Arial"/>
        </w:rPr>
        <w:t xml:space="preserve">able </w:t>
      </w:r>
      <w:r w:rsidR="00E35A08">
        <w:rPr>
          <w:rFonts w:ascii="Arial" w:eastAsia="Calibri" w:hAnsi="Arial"/>
        </w:rPr>
        <w:t xml:space="preserve">1 </w:t>
      </w:r>
      <w:r w:rsidRPr="002F320A">
        <w:rPr>
          <w:rFonts w:ascii="Arial" w:eastAsia="Calibri" w:hAnsi="Arial"/>
        </w:rPr>
        <w:t>below.</w:t>
      </w:r>
    </w:p>
    <w:p w14:paraId="22753972" w14:textId="062987C9" w:rsidR="002C3FFE" w:rsidRPr="002F320A" w:rsidRDefault="002C3FFE" w:rsidP="002F320A">
      <w:pPr>
        <w:pStyle w:val="NoSpacing"/>
        <w:rPr>
          <w:rFonts w:ascii="Arial" w:eastAsia="Calibri" w:hAnsi="Arial"/>
        </w:rPr>
      </w:pPr>
    </w:p>
    <w:p w14:paraId="75F1DF39" w14:textId="366E72F2" w:rsidR="001B7B73" w:rsidRPr="000511CF" w:rsidRDefault="001B7B73" w:rsidP="00D5043B">
      <w:pPr>
        <w:keepNext/>
      </w:pPr>
      <w:r w:rsidRPr="002F320A">
        <w:rPr>
          <w:rFonts w:ascii="Arial" w:eastAsia="Arial Unicode MS" w:hAnsi="Arial"/>
          <w:b/>
        </w:rPr>
        <w:t>Table</w:t>
      </w:r>
      <w:r w:rsidRPr="0062381A">
        <w:rPr>
          <w:rFonts w:ascii="Arial" w:eastAsia="Arial Unicode MS" w:hAnsi="Arial" w:cs="Arial"/>
          <w:b/>
        </w:rPr>
        <w:t> </w:t>
      </w:r>
      <w:r w:rsidRPr="002F320A">
        <w:rPr>
          <w:rFonts w:ascii="Arial" w:eastAsia="Arial Unicode MS" w:hAnsi="Arial"/>
          <w:b/>
        </w:rPr>
        <w:t>1: Dose adjustments in patients with moderate or severe hepatic impairment</w:t>
      </w:r>
    </w:p>
    <w:tbl>
      <w:tblPr>
        <w:tblW w:w="987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527"/>
        <w:gridCol w:w="2449"/>
        <w:gridCol w:w="3325"/>
      </w:tblGrid>
      <w:tr w:rsidR="009C0EEB" w:rsidRPr="0062381A" w14:paraId="35929AE9" w14:textId="77777777" w:rsidTr="00D5043B">
        <w:trPr>
          <w:trHeight w:val="623"/>
        </w:trPr>
        <w:tc>
          <w:tcPr>
            <w:tcW w:w="157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hideMark/>
          </w:tcPr>
          <w:p w14:paraId="5B0D9181" w14:textId="77777777" w:rsidR="001B7B73" w:rsidRPr="000511CF" w:rsidRDefault="001B7B73" w:rsidP="00D5043B">
            <w:pPr>
              <w:pStyle w:val="ListParagraph"/>
              <w:spacing w:before="120"/>
              <w:ind w:left="0"/>
              <w:jc w:val="center"/>
              <w:rPr>
                <w:b/>
              </w:rPr>
            </w:pPr>
            <w:r w:rsidRPr="002F320A">
              <w:rPr>
                <w:rFonts w:ascii="Arial" w:hAnsi="Arial"/>
                <w:b/>
              </w:rPr>
              <w:t>Hepatic Impairment</w:t>
            </w:r>
          </w:p>
        </w:tc>
        <w:tc>
          <w:tcPr>
            <w:tcW w:w="252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hideMark/>
          </w:tcPr>
          <w:p w14:paraId="3293EF2F" w14:textId="77777777" w:rsidR="001B7B73" w:rsidRPr="002F320A" w:rsidRDefault="001B7B73" w:rsidP="002F320A">
            <w:pPr>
              <w:spacing w:before="120"/>
              <w:ind w:left="-360"/>
              <w:jc w:val="center"/>
              <w:rPr>
                <w:rFonts w:eastAsia="Arial Unicode MS"/>
                <w:b/>
              </w:rPr>
            </w:pPr>
            <w:r w:rsidRPr="002F320A">
              <w:rPr>
                <w:rFonts w:ascii="Arial" w:eastAsia="Arial Unicode MS" w:hAnsi="Arial"/>
                <w:b/>
                <w:sz w:val="22"/>
              </w:rPr>
              <w:t>Starting Dose</w:t>
            </w:r>
          </w:p>
        </w:tc>
        <w:tc>
          <w:tcPr>
            <w:tcW w:w="244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hideMark/>
          </w:tcPr>
          <w:p w14:paraId="704BB86F" w14:textId="77777777" w:rsidR="001B7B73" w:rsidRPr="002F320A" w:rsidRDefault="001B7B73" w:rsidP="002F320A">
            <w:pPr>
              <w:spacing w:before="120"/>
              <w:ind w:left="-360"/>
              <w:jc w:val="center"/>
              <w:rPr>
                <w:rFonts w:eastAsia="Arial Unicode MS"/>
                <w:b/>
              </w:rPr>
            </w:pPr>
            <w:r w:rsidRPr="002F320A">
              <w:rPr>
                <w:rFonts w:ascii="Arial" w:eastAsia="Arial Unicode MS" w:hAnsi="Arial"/>
                <w:b/>
                <w:sz w:val="22"/>
              </w:rPr>
              <w:t>Maintenance Dose</w:t>
            </w:r>
          </w:p>
        </w:tc>
        <w:tc>
          <w:tcPr>
            <w:tcW w:w="332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bottom"/>
            <w:hideMark/>
          </w:tcPr>
          <w:p w14:paraId="23EF7CC7" w14:textId="77777777" w:rsidR="001B7B73" w:rsidRPr="002F320A" w:rsidRDefault="001B7B73" w:rsidP="002F320A">
            <w:pPr>
              <w:spacing w:before="120"/>
              <w:ind w:hanging="6"/>
              <w:jc w:val="center"/>
              <w:rPr>
                <w:rFonts w:eastAsia="Arial Unicode MS"/>
                <w:b/>
              </w:rPr>
            </w:pPr>
            <w:r w:rsidRPr="002F320A">
              <w:rPr>
                <w:rFonts w:ascii="Arial" w:eastAsia="Arial Unicode MS" w:hAnsi="Arial"/>
                <w:b/>
                <w:sz w:val="22"/>
              </w:rPr>
              <w:t>Maximum Recommended Dose</w:t>
            </w:r>
          </w:p>
        </w:tc>
      </w:tr>
      <w:tr w:rsidR="001B7B73" w:rsidRPr="0062381A" w14:paraId="6EF92CA7" w14:textId="77777777" w:rsidTr="002F320A">
        <w:trPr>
          <w:trHeight w:val="963"/>
        </w:trPr>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544DB476" w14:textId="2F077A49" w:rsidR="001B7B73" w:rsidRPr="002F320A" w:rsidRDefault="001B7B73" w:rsidP="00D5043B">
            <w:pPr>
              <w:spacing w:before="120"/>
              <w:ind w:left="45"/>
              <w:jc w:val="center"/>
              <w:rPr>
                <w:rFonts w:eastAsia="Arial Unicode MS"/>
                <w:b/>
              </w:rPr>
            </w:pPr>
            <w:r w:rsidRPr="002F320A">
              <w:rPr>
                <w:rFonts w:ascii="Arial" w:eastAsia="Arial Unicode MS" w:hAnsi="Arial"/>
                <w:b/>
                <w:sz w:val="22"/>
              </w:rPr>
              <w:t>Moderate</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4410E836" w14:textId="3418C580" w:rsidR="001B7B73" w:rsidRPr="00F73A5A" w:rsidRDefault="001B7B73" w:rsidP="00D5043B">
            <w:pPr>
              <w:pStyle w:val="ListParagraph"/>
              <w:tabs>
                <w:tab w:val="left" w:pos="226"/>
              </w:tabs>
              <w:spacing w:before="120"/>
              <w:ind w:left="0"/>
              <w:jc w:val="center"/>
              <w:rPr>
                <w:rFonts w:ascii="Arial" w:hAnsi="Arial"/>
              </w:rPr>
            </w:pPr>
            <w:r w:rsidRPr="002F320A">
              <w:rPr>
                <w:rFonts w:ascii="Arial" w:hAnsi="Arial"/>
              </w:rPr>
              <w:t>1.25</w:t>
            </w:r>
            <w:r w:rsidRPr="00F73A5A">
              <w:rPr>
                <w:rFonts w:ascii="Arial" w:hAnsi="Arial"/>
              </w:rPr>
              <w:t> </w:t>
            </w:r>
            <w:r w:rsidRPr="002F320A">
              <w:rPr>
                <w:rFonts w:ascii="Arial" w:hAnsi="Arial"/>
              </w:rPr>
              <w:t>mg/kg twice daily</w:t>
            </w:r>
          </w:p>
          <w:p w14:paraId="57A9352F" w14:textId="355D80D7" w:rsidR="001B7B73" w:rsidRPr="000511CF" w:rsidRDefault="001B7B73" w:rsidP="00D5043B">
            <w:pPr>
              <w:pStyle w:val="ListParagraph"/>
              <w:spacing w:before="120"/>
              <w:ind w:left="0"/>
              <w:jc w:val="center"/>
            </w:pPr>
            <w:r w:rsidRPr="002F320A">
              <w:rPr>
                <w:rFonts w:ascii="Arial" w:hAnsi="Arial"/>
              </w:rPr>
              <w:t>(2.5</w:t>
            </w:r>
            <w:r w:rsidRPr="00F73A5A">
              <w:rPr>
                <w:rFonts w:ascii="Arial" w:hAnsi="Arial"/>
              </w:rPr>
              <w:t> </w:t>
            </w:r>
            <w:r w:rsidRPr="002F320A">
              <w:rPr>
                <w:rFonts w:ascii="Arial" w:hAnsi="Arial"/>
              </w:rPr>
              <w:t>mg/kg/day)</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16A368D" w14:textId="157EEAF0" w:rsidR="001B7B73" w:rsidRPr="00F73A5A" w:rsidRDefault="001B7B73" w:rsidP="00D5043B">
            <w:pPr>
              <w:pStyle w:val="ListParagraph"/>
              <w:spacing w:before="120"/>
              <w:ind w:left="0"/>
              <w:contextualSpacing w:val="0"/>
              <w:jc w:val="center"/>
              <w:rPr>
                <w:rFonts w:ascii="Arial" w:hAnsi="Arial"/>
              </w:rPr>
            </w:pPr>
            <w:r w:rsidRPr="002F320A">
              <w:rPr>
                <w:rFonts w:ascii="Arial" w:hAnsi="Arial"/>
              </w:rPr>
              <w:t>2.5</w:t>
            </w:r>
            <w:r w:rsidRPr="00F73A5A">
              <w:rPr>
                <w:rFonts w:ascii="Arial" w:hAnsi="Arial"/>
              </w:rPr>
              <w:t> </w:t>
            </w:r>
            <w:r w:rsidRPr="002F320A">
              <w:rPr>
                <w:rFonts w:ascii="Arial" w:hAnsi="Arial"/>
              </w:rPr>
              <w:t>mg/kg twice daily</w:t>
            </w:r>
          </w:p>
          <w:p w14:paraId="32BB76F8" w14:textId="4107BFFF" w:rsidR="001B7B73" w:rsidRPr="000511CF" w:rsidRDefault="001B7B73" w:rsidP="00D5043B">
            <w:pPr>
              <w:pStyle w:val="ListParagraph"/>
              <w:spacing w:before="120"/>
              <w:ind w:left="0"/>
              <w:jc w:val="center"/>
            </w:pPr>
            <w:r w:rsidRPr="002F320A">
              <w:rPr>
                <w:rFonts w:ascii="Arial" w:hAnsi="Arial"/>
              </w:rPr>
              <w:t>(5</w:t>
            </w:r>
            <w:r w:rsidRPr="00F73A5A">
              <w:rPr>
                <w:rFonts w:ascii="Arial" w:hAnsi="Arial"/>
              </w:rPr>
              <w:t> </w:t>
            </w:r>
            <w:r w:rsidRPr="002F320A">
              <w:rPr>
                <w:rFonts w:ascii="Arial" w:hAnsi="Arial"/>
              </w:rPr>
              <w:t>mg/kg/day)</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14:paraId="5CCFE754" w14:textId="57215824" w:rsidR="001B7B73" w:rsidRPr="00F73A5A" w:rsidRDefault="001B7B73" w:rsidP="00D5043B">
            <w:pPr>
              <w:pStyle w:val="ListParagraph"/>
              <w:spacing w:before="120"/>
              <w:ind w:left="0"/>
              <w:contextualSpacing w:val="0"/>
              <w:jc w:val="center"/>
              <w:rPr>
                <w:rFonts w:ascii="Arial" w:hAnsi="Arial"/>
              </w:rPr>
            </w:pPr>
            <w:r w:rsidRPr="002F320A">
              <w:rPr>
                <w:rFonts w:ascii="Arial" w:hAnsi="Arial"/>
              </w:rPr>
              <w:t>5</w:t>
            </w:r>
            <w:r w:rsidRPr="00F73A5A">
              <w:rPr>
                <w:rFonts w:ascii="Arial" w:hAnsi="Arial"/>
              </w:rPr>
              <w:t> </w:t>
            </w:r>
            <w:r w:rsidRPr="002F320A">
              <w:rPr>
                <w:rFonts w:ascii="Arial" w:hAnsi="Arial"/>
              </w:rPr>
              <w:t>mg/kg twice daily</w:t>
            </w:r>
          </w:p>
          <w:p w14:paraId="2EEA5630" w14:textId="353F3F3C" w:rsidR="001B7B73" w:rsidRPr="000511CF" w:rsidRDefault="001B7B73" w:rsidP="00D5043B">
            <w:pPr>
              <w:pStyle w:val="ListParagraph"/>
              <w:spacing w:before="120"/>
              <w:ind w:left="0"/>
              <w:jc w:val="center"/>
            </w:pPr>
            <w:r w:rsidRPr="002F320A">
              <w:rPr>
                <w:rFonts w:ascii="Arial" w:hAnsi="Arial"/>
              </w:rPr>
              <w:t>(10</w:t>
            </w:r>
            <w:r w:rsidRPr="00F73A5A">
              <w:rPr>
                <w:rFonts w:ascii="Arial" w:hAnsi="Arial"/>
              </w:rPr>
              <w:t> </w:t>
            </w:r>
            <w:r w:rsidRPr="002F320A">
              <w:rPr>
                <w:rFonts w:ascii="Arial" w:hAnsi="Arial"/>
              </w:rPr>
              <w:t>mg/kg/day)</w:t>
            </w:r>
          </w:p>
        </w:tc>
      </w:tr>
      <w:tr w:rsidR="001B7B73" w:rsidRPr="0062381A" w14:paraId="46B8BB2D" w14:textId="77777777" w:rsidTr="002F320A">
        <w:trPr>
          <w:trHeight w:val="949"/>
        </w:trPr>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6832EBDD" w14:textId="4CEB1145" w:rsidR="001B7B73" w:rsidRPr="002F320A" w:rsidRDefault="001B7B73" w:rsidP="00D5043B">
            <w:pPr>
              <w:spacing w:before="120"/>
              <w:ind w:left="45"/>
              <w:jc w:val="center"/>
              <w:rPr>
                <w:rFonts w:eastAsia="Arial Unicode MS"/>
                <w:b/>
              </w:rPr>
            </w:pPr>
            <w:r w:rsidRPr="002F320A">
              <w:rPr>
                <w:rFonts w:ascii="Arial" w:eastAsia="Arial Unicode MS" w:hAnsi="Arial"/>
                <w:b/>
                <w:sz w:val="22"/>
              </w:rPr>
              <w:t>Severe</w:t>
            </w:r>
          </w:p>
        </w:tc>
        <w:tc>
          <w:tcPr>
            <w:tcW w:w="2527" w:type="dxa"/>
            <w:tcBorders>
              <w:top w:val="single" w:sz="4" w:space="0" w:color="auto"/>
              <w:left w:val="single" w:sz="4" w:space="0" w:color="auto"/>
              <w:bottom w:val="single" w:sz="4" w:space="0" w:color="auto"/>
              <w:right w:val="single" w:sz="4" w:space="0" w:color="auto"/>
            </w:tcBorders>
            <w:shd w:val="clear" w:color="auto" w:fill="auto"/>
            <w:hideMark/>
          </w:tcPr>
          <w:p w14:paraId="048F7E64" w14:textId="30DF1440" w:rsidR="001B7B73" w:rsidRPr="00F73A5A" w:rsidRDefault="001B7B73" w:rsidP="00D5043B">
            <w:pPr>
              <w:pStyle w:val="ListParagraph"/>
              <w:spacing w:before="120"/>
              <w:ind w:left="0"/>
              <w:jc w:val="center"/>
              <w:rPr>
                <w:rFonts w:ascii="Arial" w:hAnsi="Arial"/>
              </w:rPr>
            </w:pPr>
            <w:r w:rsidRPr="002F320A">
              <w:rPr>
                <w:rFonts w:ascii="Arial" w:hAnsi="Arial"/>
              </w:rPr>
              <w:t>0.5</w:t>
            </w:r>
            <w:r w:rsidRPr="00F73A5A">
              <w:rPr>
                <w:rFonts w:ascii="Arial" w:hAnsi="Arial"/>
              </w:rPr>
              <w:t> </w:t>
            </w:r>
            <w:r w:rsidRPr="002F320A">
              <w:rPr>
                <w:rFonts w:ascii="Arial" w:hAnsi="Arial"/>
              </w:rPr>
              <w:t>mg/kg twice daily</w:t>
            </w:r>
          </w:p>
          <w:p w14:paraId="0FF07489" w14:textId="7918ACB2" w:rsidR="001B7B73" w:rsidRPr="000511CF" w:rsidRDefault="001B7B73" w:rsidP="00D5043B">
            <w:pPr>
              <w:pStyle w:val="ListParagraph"/>
              <w:spacing w:before="120"/>
              <w:ind w:left="0"/>
              <w:jc w:val="center"/>
            </w:pPr>
            <w:r w:rsidRPr="002F320A">
              <w:rPr>
                <w:rFonts w:ascii="Arial" w:hAnsi="Arial"/>
              </w:rPr>
              <w:t>(1</w:t>
            </w:r>
            <w:r w:rsidRPr="00F73A5A">
              <w:rPr>
                <w:rFonts w:ascii="Arial" w:hAnsi="Arial"/>
              </w:rPr>
              <w:t> </w:t>
            </w:r>
            <w:r w:rsidRPr="002F320A">
              <w:rPr>
                <w:rFonts w:ascii="Arial" w:hAnsi="Arial"/>
              </w:rPr>
              <w:t>mg/kg/day)</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6B353B6" w14:textId="78476353" w:rsidR="001B7B73" w:rsidRPr="00F73A5A" w:rsidRDefault="001B7B73" w:rsidP="00D5043B">
            <w:pPr>
              <w:pStyle w:val="ListParagraph"/>
              <w:spacing w:before="120"/>
              <w:ind w:left="0"/>
              <w:contextualSpacing w:val="0"/>
              <w:jc w:val="center"/>
              <w:rPr>
                <w:rFonts w:ascii="Arial" w:hAnsi="Arial"/>
              </w:rPr>
            </w:pPr>
            <w:r w:rsidRPr="002F320A">
              <w:rPr>
                <w:rFonts w:ascii="Arial" w:hAnsi="Arial"/>
              </w:rPr>
              <w:t>1</w:t>
            </w:r>
            <w:r w:rsidRPr="00F73A5A">
              <w:rPr>
                <w:rFonts w:ascii="Arial" w:hAnsi="Arial"/>
              </w:rPr>
              <w:t> </w:t>
            </w:r>
            <w:r w:rsidRPr="002F320A">
              <w:rPr>
                <w:rFonts w:ascii="Arial" w:hAnsi="Arial"/>
              </w:rPr>
              <w:t>mg/kg twice daily</w:t>
            </w:r>
          </w:p>
          <w:p w14:paraId="789F1979" w14:textId="65BA6614" w:rsidR="001B7B73" w:rsidRPr="000511CF" w:rsidRDefault="001B7B73" w:rsidP="00D5043B">
            <w:pPr>
              <w:pStyle w:val="ListParagraph"/>
              <w:spacing w:before="120"/>
              <w:ind w:left="0"/>
              <w:jc w:val="center"/>
            </w:pPr>
            <w:r w:rsidRPr="002F320A">
              <w:rPr>
                <w:rFonts w:ascii="Arial" w:hAnsi="Arial"/>
              </w:rPr>
              <w:t>(2</w:t>
            </w:r>
            <w:r w:rsidRPr="00F73A5A">
              <w:rPr>
                <w:rFonts w:ascii="Arial" w:hAnsi="Arial"/>
              </w:rPr>
              <w:t> </w:t>
            </w:r>
            <w:r w:rsidRPr="002F320A">
              <w:rPr>
                <w:rFonts w:ascii="Arial" w:hAnsi="Arial"/>
              </w:rPr>
              <w:t>mg/kg/day)</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14:paraId="0AA1252E" w14:textId="64BB99EC" w:rsidR="001B7B73" w:rsidRPr="00F73A5A" w:rsidRDefault="001B7B73" w:rsidP="00D5043B">
            <w:pPr>
              <w:pStyle w:val="ListParagraph"/>
              <w:spacing w:before="120"/>
              <w:ind w:left="0"/>
              <w:contextualSpacing w:val="0"/>
              <w:jc w:val="center"/>
              <w:rPr>
                <w:rFonts w:ascii="Arial" w:hAnsi="Arial"/>
              </w:rPr>
            </w:pPr>
            <w:r w:rsidRPr="002F320A">
              <w:rPr>
                <w:rFonts w:ascii="Arial" w:hAnsi="Arial"/>
              </w:rPr>
              <w:t>2</w:t>
            </w:r>
            <w:r w:rsidRPr="00F73A5A">
              <w:rPr>
                <w:rFonts w:ascii="Arial" w:hAnsi="Arial"/>
              </w:rPr>
              <w:t> </w:t>
            </w:r>
            <w:r w:rsidRPr="002F320A">
              <w:rPr>
                <w:rFonts w:ascii="Arial" w:hAnsi="Arial"/>
              </w:rPr>
              <w:t>mg/kg twice daily</w:t>
            </w:r>
          </w:p>
          <w:p w14:paraId="631C10AD" w14:textId="0C0CD8B7" w:rsidR="001B7B73" w:rsidRPr="000511CF" w:rsidRDefault="001B7B73" w:rsidP="00D5043B">
            <w:pPr>
              <w:pStyle w:val="ListParagraph"/>
              <w:spacing w:before="120"/>
              <w:ind w:left="0"/>
              <w:jc w:val="center"/>
            </w:pPr>
            <w:r w:rsidRPr="002F320A">
              <w:rPr>
                <w:rFonts w:ascii="Arial" w:hAnsi="Arial"/>
              </w:rPr>
              <w:t>(4</w:t>
            </w:r>
            <w:r w:rsidRPr="00F73A5A">
              <w:rPr>
                <w:rFonts w:ascii="Arial" w:hAnsi="Arial"/>
              </w:rPr>
              <w:t> </w:t>
            </w:r>
            <w:r w:rsidRPr="002F320A">
              <w:rPr>
                <w:rFonts w:ascii="Arial" w:hAnsi="Arial"/>
              </w:rPr>
              <w:t>mg/kg/day)*</w:t>
            </w:r>
          </w:p>
        </w:tc>
      </w:tr>
    </w:tbl>
    <w:p w14:paraId="37F190A1" w14:textId="53A8C0FD" w:rsidR="001B7B73" w:rsidRPr="002F320A" w:rsidRDefault="001B7B73" w:rsidP="002F320A">
      <w:pPr>
        <w:rPr>
          <w:rFonts w:ascii="Arial" w:hAnsi="Arial"/>
        </w:rPr>
      </w:pPr>
      <w:r w:rsidRPr="002F320A">
        <w:rPr>
          <w:rFonts w:ascii="Arial" w:hAnsi="Arial"/>
        </w:rPr>
        <w:t xml:space="preserve">*Higher doses of </w:t>
      </w:r>
      <w:r w:rsidR="00841E60" w:rsidRPr="002F320A">
        <w:rPr>
          <w:rFonts w:ascii="Arial" w:eastAsia="Arial Unicode MS" w:hAnsi="Arial"/>
        </w:rPr>
        <w:t>EPIDYOLEX</w:t>
      </w:r>
      <w:r w:rsidRPr="002F320A">
        <w:rPr>
          <w:rFonts w:ascii="Arial" w:eastAsia="Arial Unicode MS" w:hAnsi="Arial"/>
        </w:rPr>
        <w:t xml:space="preserve"> </w:t>
      </w:r>
      <w:r w:rsidRPr="002F320A">
        <w:rPr>
          <w:rFonts w:ascii="Arial" w:hAnsi="Arial"/>
        </w:rPr>
        <w:t>may be considered in patients with severe hepatic impairment where the potential benefits outweigh the risks.</w:t>
      </w:r>
    </w:p>
    <w:p w14:paraId="024AD46F" w14:textId="77777777" w:rsidR="002C3FFE" w:rsidRPr="002F320A" w:rsidRDefault="002C3FFE" w:rsidP="002F320A">
      <w:pPr>
        <w:pStyle w:val="NoSpacing"/>
        <w:rPr>
          <w:rFonts w:ascii="Arial" w:eastAsia="Calibri" w:hAnsi="Arial"/>
        </w:rPr>
      </w:pPr>
    </w:p>
    <w:p w14:paraId="28185631" w14:textId="77777777" w:rsidR="001B7B73" w:rsidRPr="002F320A" w:rsidRDefault="001B7B73" w:rsidP="00BB1C7B">
      <w:pPr>
        <w:pStyle w:val="NoSpacing"/>
        <w:keepNext/>
        <w:rPr>
          <w:rFonts w:ascii="Arial" w:eastAsia="Calibri" w:hAnsi="Arial"/>
          <w:i/>
        </w:rPr>
      </w:pPr>
      <w:r w:rsidRPr="002F320A">
        <w:rPr>
          <w:rFonts w:ascii="Arial" w:eastAsia="Calibri" w:hAnsi="Arial"/>
          <w:i/>
        </w:rPr>
        <w:t>Paediatric population</w:t>
      </w:r>
    </w:p>
    <w:p w14:paraId="48AF64A0" w14:textId="58E59E05" w:rsidR="001B7B73" w:rsidRPr="002F320A" w:rsidRDefault="001B7B73" w:rsidP="002F320A">
      <w:pPr>
        <w:pStyle w:val="NoSpacing"/>
        <w:rPr>
          <w:rFonts w:ascii="Arial" w:eastAsia="Calibri" w:hAnsi="Arial"/>
        </w:rPr>
      </w:pPr>
      <w:r w:rsidRPr="002F320A">
        <w:rPr>
          <w:rFonts w:ascii="Arial" w:eastAsia="Calibri" w:hAnsi="Arial"/>
        </w:rPr>
        <w:t xml:space="preserve">There is no relevant use of </w:t>
      </w:r>
      <w:r w:rsidR="00841E60" w:rsidRPr="002F320A">
        <w:rPr>
          <w:rFonts w:ascii="Arial" w:eastAsia="Calibri" w:hAnsi="Arial"/>
        </w:rPr>
        <w:t>EPIDYOLEX</w:t>
      </w:r>
      <w:r w:rsidRPr="002F320A">
        <w:rPr>
          <w:rFonts w:ascii="Arial" w:eastAsia="Calibri" w:hAnsi="Arial"/>
        </w:rPr>
        <w:t xml:space="preserve"> in children aged below 6</w:t>
      </w:r>
      <w:r w:rsidR="006155F2">
        <w:rPr>
          <w:rFonts w:ascii="Arial" w:eastAsia="Calibri" w:hAnsi="Arial"/>
        </w:rPr>
        <w:t> </w:t>
      </w:r>
      <w:r w:rsidRPr="002F320A">
        <w:rPr>
          <w:rFonts w:ascii="Arial" w:eastAsia="Calibri" w:hAnsi="Arial"/>
        </w:rPr>
        <w:t>months.</w:t>
      </w:r>
    </w:p>
    <w:p w14:paraId="0BB42B44" w14:textId="77777777" w:rsidR="001B7B73" w:rsidRPr="002F320A" w:rsidRDefault="001B7B73" w:rsidP="002F320A">
      <w:pPr>
        <w:pStyle w:val="NoSpacing"/>
        <w:rPr>
          <w:rFonts w:ascii="Arial" w:eastAsia="Calibri" w:hAnsi="Arial"/>
        </w:rPr>
      </w:pPr>
    </w:p>
    <w:p w14:paraId="19EC7AB7" w14:textId="2C254EE1" w:rsidR="001B7B73" w:rsidRPr="002F320A" w:rsidRDefault="001B7B73" w:rsidP="002F320A">
      <w:pPr>
        <w:pStyle w:val="NoSpacing"/>
        <w:rPr>
          <w:rFonts w:ascii="Arial" w:eastAsia="Calibri" w:hAnsi="Arial"/>
        </w:rPr>
      </w:pPr>
      <w:r w:rsidRPr="002F320A">
        <w:rPr>
          <w:rFonts w:ascii="Arial" w:eastAsia="Calibri" w:hAnsi="Arial"/>
        </w:rPr>
        <w:t xml:space="preserve">The safety and efficacy of </w:t>
      </w:r>
      <w:r w:rsidR="00841E60" w:rsidRPr="002F320A">
        <w:rPr>
          <w:rFonts w:ascii="Arial" w:eastAsia="Calibri" w:hAnsi="Arial"/>
        </w:rPr>
        <w:t>EPIDYOLEX</w:t>
      </w:r>
      <w:r w:rsidRPr="002F320A">
        <w:rPr>
          <w:rFonts w:ascii="Arial" w:eastAsia="Calibri" w:hAnsi="Arial"/>
        </w:rPr>
        <w:t xml:space="preserve"> in children aged 6</w:t>
      </w:r>
      <w:r w:rsidR="006155F2">
        <w:rPr>
          <w:rFonts w:ascii="Arial" w:eastAsia="Calibri" w:hAnsi="Arial"/>
        </w:rPr>
        <w:t> </w:t>
      </w:r>
      <w:r w:rsidRPr="002F320A">
        <w:rPr>
          <w:rFonts w:ascii="Arial" w:eastAsia="Calibri" w:hAnsi="Arial"/>
        </w:rPr>
        <w:t>months to 2</w:t>
      </w:r>
      <w:r w:rsidR="006155F2">
        <w:rPr>
          <w:rFonts w:ascii="Arial" w:eastAsia="Calibri" w:hAnsi="Arial"/>
        </w:rPr>
        <w:t> </w:t>
      </w:r>
      <w:r w:rsidRPr="002F320A">
        <w:rPr>
          <w:rFonts w:ascii="Arial" w:eastAsia="Calibri" w:hAnsi="Arial"/>
        </w:rPr>
        <w:t>years have not yet been established. No data are available.</w:t>
      </w:r>
    </w:p>
    <w:p w14:paraId="202C7C00" w14:textId="77777777" w:rsidR="001B7B73" w:rsidRPr="002F320A" w:rsidRDefault="001B7B73" w:rsidP="002F320A">
      <w:pPr>
        <w:pStyle w:val="NoSpacing"/>
        <w:rPr>
          <w:rFonts w:ascii="Arial" w:eastAsia="Calibri" w:hAnsi="Arial"/>
        </w:rPr>
      </w:pPr>
    </w:p>
    <w:p w14:paraId="659DC458" w14:textId="0EB63698" w:rsidR="001B7B73" w:rsidRPr="00803978" w:rsidRDefault="001B7B73" w:rsidP="002F320A">
      <w:pPr>
        <w:pStyle w:val="NoSpacing"/>
        <w:rPr>
          <w:rFonts w:ascii="Arial" w:eastAsia="Calibri" w:hAnsi="Arial"/>
          <w:i/>
          <w:iCs/>
        </w:rPr>
      </w:pPr>
      <w:r w:rsidRPr="00803978">
        <w:rPr>
          <w:rFonts w:ascii="Arial" w:eastAsia="Calibri" w:hAnsi="Arial"/>
          <w:i/>
          <w:iCs/>
        </w:rPr>
        <w:t xml:space="preserve">Dose adjustments of other medicinal products used in combination with </w:t>
      </w:r>
      <w:r w:rsidR="00841E60" w:rsidRPr="00803978">
        <w:rPr>
          <w:rFonts w:ascii="Arial" w:eastAsia="Calibri" w:hAnsi="Arial"/>
          <w:i/>
          <w:iCs/>
        </w:rPr>
        <w:t>EPIDYOLEX</w:t>
      </w:r>
    </w:p>
    <w:p w14:paraId="4CFC24A1" w14:textId="31873344" w:rsidR="00316251" w:rsidRPr="002F320A" w:rsidRDefault="001B7B73" w:rsidP="002F320A">
      <w:pPr>
        <w:pStyle w:val="NoSpacing"/>
        <w:rPr>
          <w:rFonts w:ascii="Arial" w:eastAsia="Calibri" w:hAnsi="Arial"/>
        </w:rPr>
      </w:pPr>
      <w:r w:rsidRPr="002F320A">
        <w:rPr>
          <w:rFonts w:ascii="Arial" w:eastAsia="Calibri" w:hAnsi="Arial"/>
        </w:rPr>
        <w:t xml:space="preserve">A physician experienced in treating patients who are on concomitant antiepileptic drugs (AEDs) should evaluate the need for dose adjustments of </w:t>
      </w:r>
      <w:r w:rsidR="00841E60" w:rsidRPr="002F320A">
        <w:rPr>
          <w:rFonts w:ascii="Arial" w:eastAsia="Calibri" w:hAnsi="Arial"/>
        </w:rPr>
        <w:t>EPIDYOLEX</w:t>
      </w:r>
      <w:r w:rsidRPr="002F320A">
        <w:rPr>
          <w:rFonts w:ascii="Arial" w:eastAsia="Calibri" w:hAnsi="Arial"/>
        </w:rPr>
        <w:t xml:space="preserve"> or of the concomitant medicinal product(s) to manage potential drug interactions (see section </w:t>
      </w:r>
      <w:hyperlink w:anchor="_special_warnings_and" w:history="1">
        <w:r w:rsidRPr="0062381A">
          <w:rPr>
            <w:rStyle w:val="Hyperlink"/>
            <w:rFonts w:ascii="Arial" w:hAnsi="Arial" w:cs="Arial"/>
          </w:rPr>
          <w:t>4.4 SPECIAL WARNINGS AND PRECAUTIONS FOR USE</w:t>
        </w:r>
      </w:hyperlink>
      <w:r w:rsidRPr="0062381A">
        <w:rPr>
          <w:rFonts w:ascii="Arial" w:hAnsi="Arial" w:cs="Arial"/>
        </w:rPr>
        <w:t xml:space="preserve"> </w:t>
      </w:r>
      <w:r w:rsidRPr="0062381A">
        <w:rPr>
          <w:rFonts w:ascii="Arial" w:eastAsia="Calibri" w:hAnsi="Arial" w:cs="Arial"/>
          <w:bCs/>
        </w:rPr>
        <w:t xml:space="preserve">and section </w:t>
      </w:r>
      <w:hyperlink w:anchor="_INTERACTIONS_WITH_OTHER" w:history="1">
        <w:r w:rsidRPr="0062381A">
          <w:rPr>
            <w:rStyle w:val="Hyperlink"/>
            <w:rFonts w:ascii="Arial" w:eastAsia="Calibri" w:hAnsi="Arial" w:cs="Arial"/>
            <w:bCs/>
          </w:rPr>
          <w:t>4.5 INTERACTIONS WITH OTHER MEDICINES AND OTHER FORMS OF INTERACTIONS</w:t>
        </w:r>
      </w:hyperlink>
      <w:r w:rsidRPr="002F320A">
        <w:rPr>
          <w:rFonts w:ascii="Arial" w:eastAsia="Calibri" w:hAnsi="Arial"/>
        </w:rPr>
        <w:t>).</w:t>
      </w:r>
    </w:p>
    <w:p w14:paraId="3F6843F0" w14:textId="77777777" w:rsidR="00AD1CF2" w:rsidRPr="002F320A" w:rsidRDefault="00AD1CF2" w:rsidP="002F320A">
      <w:pPr>
        <w:pStyle w:val="ParagraphStyle"/>
        <w:spacing w:before="0" w:after="0"/>
        <w:rPr>
          <w:rFonts w:ascii="Arial" w:hAnsi="Arial"/>
        </w:rPr>
      </w:pPr>
    </w:p>
    <w:p w14:paraId="0C0A1549" w14:textId="77777777" w:rsidR="00085FD4" w:rsidRPr="000511CF" w:rsidRDefault="00085FD4" w:rsidP="00D900DC">
      <w:pPr>
        <w:pStyle w:val="Heading2"/>
      </w:pPr>
      <w:r w:rsidRPr="002F320A">
        <w:t>CONTRAINDICATIONS</w:t>
      </w:r>
    </w:p>
    <w:p w14:paraId="663BD1EF" w14:textId="68F14B27" w:rsidR="001B7B73" w:rsidRPr="002F320A" w:rsidRDefault="001B7B73" w:rsidP="002F320A">
      <w:pPr>
        <w:pStyle w:val="NoSpacing"/>
        <w:rPr>
          <w:rFonts w:ascii="Arial" w:eastAsia="Calibri" w:hAnsi="Arial"/>
        </w:rPr>
      </w:pPr>
      <w:r w:rsidRPr="002F320A">
        <w:rPr>
          <w:rFonts w:ascii="Arial" w:eastAsia="Calibri" w:hAnsi="Arial"/>
        </w:rPr>
        <w:t xml:space="preserve">Hypersensitivity to the active substance, to sesame oil, or to any of the excipients listed in section </w:t>
      </w:r>
      <w:hyperlink w:anchor="_LIST_OF_EXCIPIENTS" w:history="1">
        <w:r w:rsidRPr="0062381A">
          <w:rPr>
            <w:rStyle w:val="Hyperlink"/>
            <w:rFonts w:ascii="Arial" w:eastAsia="Calibri" w:hAnsi="Arial" w:cs="Arial"/>
          </w:rPr>
          <w:t>6.1 LIST OF EXCIPIENTS</w:t>
        </w:r>
      </w:hyperlink>
      <w:r w:rsidRPr="002F320A">
        <w:rPr>
          <w:rFonts w:ascii="Arial" w:eastAsia="Calibri" w:hAnsi="Arial"/>
        </w:rPr>
        <w:t>.</w:t>
      </w:r>
    </w:p>
    <w:p w14:paraId="1FF1B4BD" w14:textId="77777777" w:rsidR="001B7B73" w:rsidRPr="002F320A" w:rsidRDefault="001B7B73" w:rsidP="002F320A">
      <w:pPr>
        <w:pStyle w:val="NoSpacing"/>
        <w:rPr>
          <w:rFonts w:ascii="Arial" w:eastAsia="Calibri" w:hAnsi="Arial"/>
        </w:rPr>
      </w:pPr>
    </w:p>
    <w:p w14:paraId="79DF3854" w14:textId="4E9E27AE" w:rsidR="00085FD4" w:rsidRPr="002F320A" w:rsidRDefault="001B7B73" w:rsidP="002F320A">
      <w:pPr>
        <w:pStyle w:val="NoSpacing"/>
        <w:rPr>
          <w:rFonts w:ascii="Arial" w:eastAsia="Calibri" w:hAnsi="Arial"/>
        </w:rPr>
      </w:pPr>
      <w:r w:rsidRPr="002F320A">
        <w:rPr>
          <w:rFonts w:ascii="Arial" w:eastAsia="Calibri" w:hAnsi="Arial"/>
        </w:rPr>
        <w:t>Patients with transaminase elevations greater than 3</w:t>
      </w:r>
      <w:r w:rsidR="006155F2">
        <w:rPr>
          <w:rFonts w:ascii="Arial" w:eastAsia="Calibri" w:hAnsi="Arial"/>
        </w:rPr>
        <w:t> </w:t>
      </w:r>
      <w:r w:rsidRPr="002F320A">
        <w:rPr>
          <w:rFonts w:ascii="Arial" w:eastAsia="Calibri" w:hAnsi="Arial"/>
        </w:rPr>
        <w:t>times the upper limit of normal (ULN) and bilirubin greater than 2</w:t>
      </w:r>
      <w:r w:rsidR="006155F2">
        <w:rPr>
          <w:rFonts w:ascii="Arial" w:eastAsia="Calibri" w:hAnsi="Arial"/>
        </w:rPr>
        <w:t> </w:t>
      </w:r>
      <w:r w:rsidRPr="002F320A">
        <w:rPr>
          <w:rFonts w:ascii="Arial" w:eastAsia="Calibri" w:hAnsi="Arial"/>
        </w:rPr>
        <w:t xml:space="preserve">times the ULN (see section </w:t>
      </w:r>
      <w:hyperlink w:anchor="_special_warnings_and" w:history="1">
        <w:r w:rsidRPr="0062381A">
          <w:rPr>
            <w:rStyle w:val="Hyperlink"/>
            <w:rFonts w:ascii="Arial" w:hAnsi="Arial" w:cs="Arial"/>
          </w:rPr>
          <w:t>4.4 SPECIAL WARNINGS AND PRECAUTIONS FOR USE</w:t>
        </w:r>
      </w:hyperlink>
      <w:r w:rsidRPr="002F320A">
        <w:rPr>
          <w:rFonts w:ascii="Arial" w:eastAsia="Calibri" w:hAnsi="Arial"/>
        </w:rPr>
        <w:t>).</w:t>
      </w:r>
    </w:p>
    <w:p w14:paraId="04D714A5" w14:textId="5CF5E8B1" w:rsidR="009749EE" w:rsidRPr="002F320A" w:rsidRDefault="00BA0FD4" w:rsidP="00D900DC">
      <w:pPr>
        <w:pStyle w:val="Heading2"/>
      </w:pPr>
      <w:bookmarkStart w:id="7" w:name="_special_warnings_and"/>
      <w:bookmarkStart w:id="8" w:name="_bookmark1"/>
      <w:bookmarkEnd w:id="7"/>
      <w:bookmarkEnd w:id="8"/>
      <w:r w:rsidRPr="0062381A">
        <w:rPr>
          <w:rFonts w:eastAsia="Calibri"/>
        </w:rPr>
        <w:t>SPECIAL WARNINGS AND</w:t>
      </w:r>
      <w:r w:rsidRPr="002F320A">
        <w:rPr>
          <w:rFonts w:eastAsia="Calibri"/>
        </w:rPr>
        <w:t xml:space="preserve"> PRECAUTIONS </w:t>
      </w:r>
      <w:r w:rsidR="00D76E2F" w:rsidRPr="0062381A">
        <w:rPr>
          <w:rFonts w:eastAsia="Calibri"/>
        </w:rPr>
        <w:t>FOR USE</w:t>
      </w:r>
    </w:p>
    <w:p w14:paraId="4A3FBA2F" w14:textId="77777777" w:rsidR="00085FD4" w:rsidRPr="002F320A" w:rsidRDefault="00085FD4" w:rsidP="00D900DC">
      <w:pPr>
        <w:pStyle w:val="Heading3"/>
        <w:rPr>
          <w:rFonts w:eastAsia="Calibri"/>
        </w:rPr>
      </w:pPr>
      <w:r w:rsidRPr="002F320A">
        <w:rPr>
          <w:rFonts w:eastAsia="Calibri"/>
        </w:rPr>
        <w:t>Identified precautions</w:t>
      </w:r>
    </w:p>
    <w:p w14:paraId="334FF9D6" w14:textId="77777777" w:rsidR="00570359" w:rsidRPr="002F320A" w:rsidRDefault="00570359" w:rsidP="00D900DC">
      <w:pPr>
        <w:pStyle w:val="Heading4"/>
      </w:pPr>
      <w:r w:rsidRPr="002F320A">
        <w:t>Hepatocellular injury</w:t>
      </w:r>
    </w:p>
    <w:p w14:paraId="185C5741" w14:textId="2AC3F8BF" w:rsidR="00570359" w:rsidRPr="002F320A" w:rsidRDefault="00841E60" w:rsidP="002F320A">
      <w:pPr>
        <w:rPr>
          <w:rFonts w:ascii="Arial" w:eastAsia="Calibri" w:hAnsi="Arial"/>
        </w:rPr>
      </w:pPr>
      <w:r w:rsidRPr="002F320A">
        <w:rPr>
          <w:rFonts w:ascii="Arial" w:eastAsia="Calibri" w:hAnsi="Arial"/>
        </w:rPr>
        <w:t>EPIDYOLEX</w:t>
      </w:r>
      <w:r w:rsidR="00570359" w:rsidRPr="002F320A">
        <w:rPr>
          <w:rFonts w:ascii="Arial" w:eastAsia="Calibri" w:hAnsi="Arial"/>
        </w:rPr>
        <w:t xml:space="preserve"> causes dose</w:t>
      </w:r>
      <w:r w:rsidR="00AE6A9D" w:rsidRPr="002F320A">
        <w:rPr>
          <w:rFonts w:ascii="Arial" w:eastAsia="Calibri" w:hAnsi="Arial"/>
        </w:rPr>
        <w:t>-</w:t>
      </w:r>
      <w:r w:rsidR="00570359" w:rsidRPr="002F320A">
        <w:rPr>
          <w:rFonts w:ascii="Arial" w:eastAsia="Calibri" w:hAnsi="Arial"/>
        </w:rPr>
        <w:t xml:space="preserve">related elevations of liver transaminases (alanine aminotransferase [ALT] and/or aspartate aminotransferase [AST]) (see section </w:t>
      </w:r>
      <w:hyperlink w:anchor="_ADVERSE_EFFECTS_(UNDESIRABLE" w:history="1">
        <w:r w:rsidR="00570359" w:rsidRPr="0062381A">
          <w:rPr>
            <w:rStyle w:val="Hyperlink"/>
            <w:rFonts w:ascii="Arial" w:eastAsia="Calibri" w:hAnsi="Arial" w:cs="Arial"/>
          </w:rPr>
          <w:t>4.8 ADVERSE EFFECTS (UNDESIRABLE EFFECTS</w:t>
        </w:r>
      </w:hyperlink>
      <w:r w:rsidR="00570359" w:rsidRPr="0062381A">
        <w:rPr>
          <w:rFonts w:ascii="Arial" w:eastAsia="Calibri" w:hAnsi="Arial" w:cs="Arial"/>
        </w:rPr>
        <w:t>).</w:t>
      </w:r>
      <w:r w:rsidR="00570359" w:rsidRPr="002F320A">
        <w:rPr>
          <w:rFonts w:ascii="Arial" w:eastAsia="Calibri" w:hAnsi="Arial"/>
        </w:rPr>
        <w:t xml:space="preserve"> The elevations typically occur in the first two months of treatment initiation; however, there were cases observed up to 18</w:t>
      </w:r>
      <w:r w:rsidR="006155F2">
        <w:rPr>
          <w:rFonts w:ascii="Arial" w:eastAsia="Calibri" w:hAnsi="Arial"/>
        </w:rPr>
        <w:t> </w:t>
      </w:r>
      <w:r w:rsidR="00570359" w:rsidRPr="002F320A">
        <w:rPr>
          <w:rFonts w:ascii="Arial" w:eastAsia="Calibri" w:hAnsi="Arial"/>
        </w:rPr>
        <w:t>months after initiation of treatment, particularly in patients taking concomitant valproate.</w:t>
      </w:r>
    </w:p>
    <w:p w14:paraId="317BEE22" w14:textId="77777777" w:rsidR="00B34232" w:rsidRPr="002F320A" w:rsidRDefault="00B34232" w:rsidP="002F320A">
      <w:pPr>
        <w:rPr>
          <w:rFonts w:ascii="Arial" w:eastAsia="Calibri" w:hAnsi="Arial"/>
        </w:rPr>
      </w:pPr>
    </w:p>
    <w:p w14:paraId="00C37179" w14:textId="77777777" w:rsidR="00570359" w:rsidRPr="002F320A" w:rsidRDefault="00570359" w:rsidP="002F320A">
      <w:pPr>
        <w:rPr>
          <w:rFonts w:ascii="Arial" w:eastAsia="Calibri" w:hAnsi="Arial"/>
        </w:rPr>
      </w:pPr>
      <w:r w:rsidRPr="002F320A">
        <w:rPr>
          <w:rFonts w:ascii="Arial" w:eastAsia="Calibri" w:hAnsi="Arial"/>
        </w:rPr>
        <w:t xml:space="preserve">In clinical trials, the majority of ALT elevations occurred in patients taking concomitant valproate. Concomitant use of </w:t>
      </w:r>
      <w:proofErr w:type="spellStart"/>
      <w:r w:rsidRPr="002F320A">
        <w:rPr>
          <w:rFonts w:ascii="Arial" w:eastAsia="Calibri" w:hAnsi="Arial"/>
        </w:rPr>
        <w:t>clobazam</w:t>
      </w:r>
      <w:proofErr w:type="spellEnd"/>
      <w:r w:rsidRPr="002F320A">
        <w:rPr>
          <w:rFonts w:ascii="Arial" w:eastAsia="Calibri" w:hAnsi="Arial"/>
        </w:rPr>
        <w:t xml:space="preserve"> also increased the incidence of transaminase elevations, although to a lesser extent than valproate. Dose adjustment or discontinuation of valproate or dose adjustment of </w:t>
      </w:r>
      <w:proofErr w:type="spellStart"/>
      <w:r w:rsidRPr="002F320A">
        <w:rPr>
          <w:rFonts w:ascii="Arial" w:eastAsia="Calibri" w:hAnsi="Arial"/>
        </w:rPr>
        <w:t>clobazam</w:t>
      </w:r>
      <w:proofErr w:type="spellEnd"/>
      <w:r w:rsidRPr="002F320A">
        <w:rPr>
          <w:rFonts w:ascii="Arial" w:eastAsia="Calibri" w:hAnsi="Arial"/>
        </w:rPr>
        <w:t xml:space="preserve"> should be considered if transaminase elevations occur.</w:t>
      </w:r>
      <w:r w:rsidRPr="0062381A">
        <w:rPr>
          <w:rFonts w:ascii="Arial" w:eastAsia="Calibri" w:hAnsi="Arial" w:cs="Arial"/>
        </w:rPr>
        <w:t xml:space="preserve"> </w:t>
      </w:r>
    </w:p>
    <w:p w14:paraId="64E4EE92" w14:textId="77777777" w:rsidR="00570359" w:rsidRPr="002F320A" w:rsidRDefault="00570359" w:rsidP="002F320A">
      <w:pPr>
        <w:rPr>
          <w:rFonts w:ascii="Arial" w:eastAsia="Calibri" w:hAnsi="Arial"/>
        </w:rPr>
      </w:pPr>
    </w:p>
    <w:p w14:paraId="3DA1390C" w14:textId="3A9E729E" w:rsidR="00570359" w:rsidRPr="002F320A" w:rsidRDefault="00570359" w:rsidP="002F320A">
      <w:pPr>
        <w:rPr>
          <w:rFonts w:ascii="Arial" w:eastAsia="Calibri" w:hAnsi="Arial"/>
        </w:rPr>
      </w:pPr>
      <w:r w:rsidRPr="002F320A">
        <w:rPr>
          <w:rFonts w:ascii="Arial" w:eastAsia="Calibri" w:hAnsi="Arial"/>
        </w:rPr>
        <w:t xml:space="preserve">Resolution of transaminase elevations occurred with discontinuation of </w:t>
      </w:r>
      <w:r w:rsidR="00841E60" w:rsidRPr="002F320A">
        <w:rPr>
          <w:rFonts w:ascii="Arial" w:eastAsia="Calibri" w:hAnsi="Arial"/>
        </w:rPr>
        <w:t>EPIDYOLEX</w:t>
      </w:r>
      <w:r w:rsidRPr="002F320A">
        <w:rPr>
          <w:rFonts w:ascii="Arial" w:eastAsia="Calibri" w:hAnsi="Arial"/>
        </w:rPr>
        <w:t xml:space="preserve"> or reduction of </w:t>
      </w:r>
      <w:r w:rsidR="00841E60" w:rsidRPr="002F320A">
        <w:rPr>
          <w:rFonts w:ascii="Arial" w:eastAsia="Calibri" w:hAnsi="Arial"/>
        </w:rPr>
        <w:t>EPIDYOLEX</w:t>
      </w:r>
      <w:r w:rsidRPr="002F320A">
        <w:rPr>
          <w:rFonts w:ascii="Arial" w:eastAsia="Calibri" w:hAnsi="Arial"/>
        </w:rPr>
        <w:t xml:space="preserve"> and/or concomitant valproate in about two</w:t>
      </w:r>
      <w:r w:rsidR="00AE6A9D" w:rsidRPr="002F320A">
        <w:rPr>
          <w:rFonts w:ascii="Arial" w:eastAsia="Calibri" w:hAnsi="Arial"/>
        </w:rPr>
        <w:t>-</w:t>
      </w:r>
      <w:r w:rsidRPr="002F320A">
        <w:rPr>
          <w:rFonts w:ascii="Arial" w:eastAsia="Calibri" w:hAnsi="Arial"/>
        </w:rPr>
        <w:t>thirds of the cases. In about one</w:t>
      </w:r>
      <w:r w:rsidR="00AE6A9D" w:rsidRPr="002F320A">
        <w:rPr>
          <w:rFonts w:ascii="Arial" w:eastAsia="Calibri" w:hAnsi="Arial"/>
        </w:rPr>
        <w:t>-</w:t>
      </w:r>
      <w:r w:rsidRPr="002F320A">
        <w:rPr>
          <w:rFonts w:ascii="Arial" w:eastAsia="Calibri" w:hAnsi="Arial"/>
        </w:rPr>
        <w:t xml:space="preserve">third of the cases, transaminase elevations resolved during continued treatment with </w:t>
      </w:r>
      <w:r w:rsidR="00841E60" w:rsidRPr="002F320A">
        <w:rPr>
          <w:rFonts w:ascii="Arial" w:eastAsia="Calibri" w:hAnsi="Arial"/>
        </w:rPr>
        <w:t>EPIDYOLEX</w:t>
      </w:r>
      <w:r w:rsidRPr="002F320A">
        <w:rPr>
          <w:rFonts w:ascii="Arial" w:eastAsia="Calibri" w:hAnsi="Arial"/>
        </w:rPr>
        <w:t>, without dose reduction.</w:t>
      </w:r>
    </w:p>
    <w:p w14:paraId="49790DB4" w14:textId="77777777" w:rsidR="002417A9" w:rsidRPr="002F320A" w:rsidRDefault="002417A9" w:rsidP="002F320A">
      <w:pPr>
        <w:rPr>
          <w:rFonts w:ascii="Arial" w:eastAsia="Calibri" w:hAnsi="Arial"/>
        </w:rPr>
      </w:pPr>
    </w:p>
    <w:p w14:paraId="6D1656C6" w14:textId="7163E96D" w:rsidR="00570359" w:rsidRPr="002F320A" w:rsidRDefault="00570359" w:rsidP="002F320A">
      <w:pPr>
        <w:rPr>
          <w:rFonts w:ascii="Arial" w:eastAsia="Calibri" w:hAnsi="Arial"/>
        </w:rPr>
      </w:pPr>
      <w:r w:rsidRPr="002F320A">
        <w:rPr>
          <w:rFonts w:ascii="Arial" w:eastAsia="Calibri" w:hAnsi="Arial"/>
        </w:rPr>
        <w:t xml:space="preserve">Patients with baseline transaminase levels above the ULN had higher rates of transaminase elevations when taking </w:t>
      </w:r>
      <w:r w:rsidR="00841E60" w:rsidRPr="002F320A">
        <w:rPr>
          <w:rFonts w:ascii="Arial" w:eastAsia="Calibri" w:hAnsi="Arial"/>
        </w:rPr>
        <w:t>EPIDYOLEX</w:t>
      </w:r>
      <w:r w:rsidRPr="002F320A">
        <w:rPr>
          <w:rFonts w:ascii="Arial" w:eastAsia="Calibri" w:hAnsi="Arial"/>
        </w:rPr>
        <w:t>. In some patients, a synergistic effect of concomitant treatment with valproate upon baseline elevated transaminases resulted in a higher risk of transaminase elevations.</w:t>
      </w:r>
    </w:p>
    <w:p w14:paraId="0D0BECD5" w14:textId="77777777" w:rsidR="00570359" w:rsidRPr="002F320A" w:rsidRDefault="00570359" w:rsidP="002F320A">
      <w:pPr>
        <w:rPr>
          <w:rFonts w:ascii="Arial" w:eastAsia="Calibri" w:hAnsi="Arial"/>
        </w:rPr>
      </w:pPr>
    </w:p>
    <w:p w14:paraId="7F55FFFD" w14:textId="6E0CD423" w:rsidR="007050E7" w:rsidRPr="002F320A" w:rsidRDefault="00570359" w:rsidP="002F320A">
      <w:pPr>
        <w:rPr>
          <w:rFonts w:ascii="Arial" w:eastAsia="Calibri" w:hAnsi="Arial"/>
        </w:rPr>
      </w:pPr>
      <w:r w:rsidRPr="002F320A">
        <w:rPr>
          <w:rFonts w:ascii="Arial" w:eastAsia="Calibri" w:hAnsi="Arial"/>
        </w:rPr>
        <w:t>In an uncontrolled study in patients in a different non</w:t>
      </w:r>
      <w:r w:rsidR="00AE6A9D" w:rsidRPr="002F320A">
        <w:rPr>
          <w:rFonts w:ascii="Arial" w:eastAsia="Calibri" w:hAnsi="Arial"/>
        </w:rPr>
        <w:t>-</w:t>
      </w:r>
      <w:r w:rsidRPr="002F320A">
        <w:rPr>
          <w:rFonts w:ascii="Arial" w:eastAsia="Calibri" w:hAnsi="Arial"/>
        </w:rPr>
        <w:t>epilepsy indication, 2</w:t>
      </w:r>
      <w:r w:rsidR="006155F2">
        <w:rPr>
          <w:rFonts w:ascii="Arial" w:eastAsia="Calibri" w:hAnsi="Arial"/>
        </w:rPr>
        <w:t> </w:t>
      </w:r>
      <w:r w:rsidRPr="002F320A">
        <w:rPr>
          <w:rFonts w:ascii="Arial" w:eastAsia="Calibri" w:hAnsi="Arial"/>
        </w:rPr>
        <w:t>elderly patients experienced elevations of alkaline phosphatase levels above 2</w:t>
      </w:r>
      <w:r w:rsidR="006155F2">
        <w:rPr>
          <w:rFonts w:ascii="Arial" w:eastAsia="Calibri" w:hAnsi="Arial"/>
        </w:rPr>
        <w:t> </w:t>
      </w:r>
      <w:r w:rsidRPr="002F320A">
        <w:rPr>
          <w:rFonts w:ascii="Arial" w:eastAsia="Calibri" w:hAnsi="Arial"/>
        </w:rPr>
        <w:t xml:space="preserve">times the ULN in combination with transaminase elevations. The elevations resolved after discontinuation of </w:t>
      </w:r>
      <w:r w:rsidR="00841E60" w:rsidRPr="002F320A">
        <w:rPr>
          <w:rFonts w:ascii="Arial" w:eastAsia="Calibri" w:hAnsi="Arial"/>
        </w:rPr>
        <w:t>EPIDYOLEX</w:t>
      </w:r>
      <w:r w:rsidRPr="002F320A">
        <w:rPr>
          <w:rFonts w:ascii="Arial" w:eastAsia="Calibri" w:hAnsi="Arial"/>
        </w:rPr>
        <w:t>.</w:t>
      </w:r>
    </w:p>
    <w:p w14:paraId="70146AEC" w14:textId="5A56D898" w:rsidR="003846FC" w:rsidRPr="002F320A" w:rsidRDefault="003846FC" w:rsidP="002F320A">
      <w:pPr>
        <w:rPr>
          <w:rFonts w:ascii="Arial" w:eastAsia="Calibri" w:hAnsi="Arial"/>
        </w:rPr>
      </w:pPr>
    </w:p>
    <w:p w14:paraId="747CE6E5" w14:textId="2FB138C3" w:rsidR="003846FC" w:rsidRPr="0062381A" w:rsidRDefault="003846FC" w:rsidP="003846FC">
      <w:pPr>
        <w:rPr>
          <w:rFonts w:ascii="Arial" w:eastAsia="Calibri" w:hAnsi="Arial" w:cs="Arial"/>
        </w:rPr>
      </w:pPr>
      <w:r w:rsidRPr="00CF02CB">
        <w:rPr>
          <w:rFonts w:ascii="Arial" w:eastAsia="Calibri" w:hAnsi="Arial" w:cs="Arial"/>
        </w:rPr>
        <w:t>Patients with severe hepatic impairment (Child-Pugh C) are to be treated with particular caution</w:t>
      </w:r>
      <w:r w:rsidR="009B5835">
        <w:rPr>
          <w:rFonts w:ascii="Arial" w:eastAsia="Calibri" w:hAnsi="Arial" w:cs="Arial"/>
        </w:rPr>
        <w:t>. In such patients</w:t>
      </w:r>
      <w:r w:rsidR="0066569E">
        <w:rPr>
          <w:rFonts w:ascii="Arial" w:eastAsia="Calibri" w:hAnsi="Arial" w:cs="Arial"/>
        </w:rPr>
        <w:t>,</w:t>
      </w:r>
      <w:r w:rsidRPr="00CF02CB">
        <w:rPr>
          <w:rFonts w:ascii="Arial" w:eastAsia="Calibri" w:hAnsi="Arial" w:cs="Arial"/>
        </w:rPr>
        <w:t xml:space="preserve"> the potential benefit must </w:t>
      </w:r>
      <w:r w:rsidR="002E446F" w:rsidRPr="00CF02CB">
        <w:rPr>
          <w:rFonts w:ascii="Arial" w:eastAsia="Calibri" w:hAnsi="Arial" w:cs="Arial"/>
        </w:rPr>
        <w:t>outweigh</w:t>
      </w:r>
      <w:r w:rsidRPr="00CF02CB">
        <w:rPr>
          <w:rFonts w:ascii="Arial" w:eastAsia="Calibri" w:hAnsi="Arial" w:cs="Arial"/>
        </w:rPr>
        <w:t xml:space="preserve"> the risk (</w:t>
      </w:r>
      <w:r w:rsidRPr="00CF02CB">
        <w:rPr>
          <w:rFonts w:ascii="Arial" w:hAnsi="Arial" w:cs="Arial"/>
        </w:rPr>
        <w:t xml:space="preserve">see section </w:t>
      </w:r>
      <w:r w:rsidR="003C7CE7" w:rsidRPr="003C7CE7">
        <w:rPr>
          <w:rFonts w:ascii="Arial" w:hAnsi="Arial" w:cs="Arial"/>
          <w:u w:val="single"/>
        </w:rPr>
        <w:fldChar w:fldCharType="begin"/>
      </w:r>
      <w:r w:rsidR="003C7CE7" w:rsidRPr="00836686">
        <w:rPr>
          <w:u w:val="single"/>
        </w:rPr>
        <w:instrText xml:space="preserve"> REF _Ref51072303 \r \h </w:instrText>
      </w:r>
      <w:r w:rsidR="003C7CE7" w:rsidRPr="003C7CE7">
        <w:rPr>
          <w:rFonts w:ascii="Arial" w:hAnsi="Arial" w:cs="Arial"/>
          <w:u w:val="single"/>
        </w:rPr>
      </w:r>
      <w:r w:rsidR="003C7CE7" w:rsidRPr="003C7CE7">
        <w:rPr>
          <w:rFonts w:ascii="Arial" w:hAnsi="Arial" w:cs="Arial"/>
          <w:u w:val="single"/>
        </w:rPr>
        <w:fldChar w:fldCharType="separate"/>
      </w:r>
      <w:r w:rsidR="00EB08D8">
        <w:rPr>
          <w:u w:val="single"/>
        </w:rPr>
        <w:t>4.2</w:t>
      </w:r>
      <w:r w:rsidR="003C7CE7" w:rsidRPr="003C7CE7">
        <w:rPr>
          <w:rFonts w:ascii="Arial" w:hAnsi="Arial" w:cs="Arial"/>
          <w:u w:val="single"/>
        </w:rPr>
        <w:fldChar w:fldCharType="end"/>
      </w:r>
      <w:r w:rsidR="003C7CE7" w:rsidRPr="003C7CE7">
        <w:rPr>
          <w:rFonts w:ascii="Arial" w:hAnsi="Arial" w:cs="Arial"/>
          <w:u w:val="single"/>
        </w:rPr>
        <w:t>,</w:t>
      </w:r>
      <w:r w:rsidR="008B2162" w:rsidRPr="00E42DAD">
        <w:rPr>
          <w:rStyle w:val="Hyperlink"/>
          <w:rFonts w:ascii="Arial" w:hAnsi="Arial" w:cs="Arial"/>
        </w:rPr>
        <w:t xml:space="preserve"> </w:t>
      </w:r>
      <w:r w:rsidR="00882593" w:rsidRPr="00E42DAD">
        <w:rPr>
          <w:rStyle w:val="Hyperlink"/>
          <w:rFonts w:ascii="Arial" w:hAnsi="Arial" w:cs="Arial"/>
        </w:rPr>
        <w:t>DOSE AND METHOD OF ADMINISTRATION</w:t>
      </w:r>
      <w:r w:rsidR="00FE775F" w:rsidRPr="00E42DAD">
        <w:rPr>
          <w:rStyle w:val="Hyperlink"/>
          <w:rFonts w:ascii="Arial" w:hAnsi="Arial" w:cs="Arial"/>
        </w:rPr>
        <w:t xml:space="preserve">, </w:t>
      </w:r>
      <w:r w:rsidRPr="00E42DAD">
        <w:rPr>
          <w:rStyle w:val="Hyperlink"/>
          <w:rFonts w:ascii="Arial" w:hAnsi="Arial" w:cs="Arial"/>
        </w:rPr>
        <w:t>hepatic impairment</w:t>
      </w:r>
      <w:r w:rsidRPr="00E54098">
        <w:rPr>
          <w:rFonts w:ascii="Arial" w:hAnsi="Arial" w:cs="Arial"/>
        </w:rPr>
        <w:t>).</w:t>
      </w:r>
      <w:r w:rsidRPr="38922160">
        <w:rPr>
          <w:rFonts w:ascii="Arial" w:eastAsia="Calibri" w:hAnsi="Arial" w:cs="Arial"/>
        </w:rPr>
        <w:t xml:space="preserve"> </w:t>
      </w:r>
    </w:p>
    <w:p w14:paraId="6C19E1BF" w14:textId="77777777" w:rsidR="003E7DA1" w:rsidRDefault="003E7DA1" w:rsidP="00570359">
      <w:pPr>
        <w:rPr>
          <w:rFonts w:ascii="Arial" w:eastAsia="Calibri" w:hAnsi="Arial" w:cs="Arial"/>
        </w:rPr>
      </w:pPr>
    </w:p>
    <w:p w14:paraId="5D6F13FF" w14:textId="4AECD0EC" w:rsidR="002417A9" w:rsidRPr="002F320A" w:rsidRDefault="002417A9" w:rsidP="004E19C5">
      <w:pPr>
        <w:keepNext/>
        <w:rPr>
          <w:rFonts w:ascii="Arial" w:eastAsia="Calibri" w:hAnsi="Arial"/>
          <w:i/>
        </w:rPr>
      </w:pPr>
      <w:r w:rsidRPr="002F320A">
        <w:rPr>
          <w:rFonts w:ascii="Arial" w:eastAsia="Calibri" w:hAnsi="Arial"/>
          <w:i/>
        </w:rPr>
        <w:t>Monitoring:</w:t>
      </w:r>
    </w:p>
    <w:p w14:paraId="5E20AD11" w14:textId="61933288" w:rsidR="008951A8" w:rsidRDefault="002417A9" w:rsidP="009678CB">
      <w:pPr>
        <w:rPr>
          <w:rFonts w:ascii="Arial" w:eastAsia="Calibri" w:hAnsi="Arial" w:cs="Arial"/>
        </w:rPr>
      </w:pPr>
      <w:r w:rsidRPr="002F320A">
        <w:rPr>
          <w:rFonts w:ascii="Arial" w:eastAsia="Calibri" w:hAnsi="Arial"/>
        </w:rPr>
        <w:t>In general, transaminase elevations of greater than 3</w:t>
      </w:r>
      <w:r w:rsidR="006155F2">
        <w:rPr>
          <w:rFonts w:ascii="Arial" w:eastAsia="Calibri" w:hAnsi="Arial"/>
        </w:rPr>
        <w:t> </w:t>
      </w:r>
      <w:r w:rsidRPr="002F320A">
        <w:rPr>
          <w:rFonts w:ascii="Arial" w:eastAsia="Calibri" w:hAnsi="Arial"/>
        </w:rPr>
        <w:t>times the ULN in the presence of elevated bilirubin without an alternative explanation are an important predictor of severe liver injury. Early identification of elevated transaminase may decrease the risk of a serious outcome. Patients with elevated baseline transaminase levels above 3</w:t>
      </w:r>
      <w:r w:rsidR="006155F2">
        <w:rPr>
          <w:rFonts w:ascii="Arial" w:eastAsia="Calibri" w:hAnsi="Arial"/>
        </w:rPr>
        <w:t> </w:t>
      </w:r>
      <w:r w:rsidRPr="002F320A">
        <w:rPr>
          <w:rFonts w:ascii="Arial" w:eastAsia="Calibri" w:hAnsi="Arial"/>
        </w:rPr>
        <w:t>times the ULN, or elevations in bilirubin above 2</w:t>
      </w:r>
      <w:r w:rsidR="006155F2">
        <w:rPr>
          <w:rFonts w:ascii="Arial" w:eastAsia="Calibri" w:hAnsi="Arial"/>
        </w:rPr>
        <w:t> </w:t>
      </w:r>
      <w:r w:rsidRPr="002F320A">
        <w:rPr>
          <w:rFonts w:ascii="Arial" w:eastAsia="Calibri" w:hAnsi="Arial"/>
        </w:rPr>
        <w:t xml:space="preserve">times the ULN, should be evaluated prior to initiation of </w:t>
      </w:r>
      <w:r w:rsidR="00200C41" w:rsidRPr="002F320A">
        <w:rPr>
          <w:rFonts w:ascii="Arial" w:eastAsia="Calibri" w:hAnsi="Arial"/>
        </w:rPr>
        <w:t>EPIDYOLEX</w:t>
      </w:r>
      <w:r w:rsidRPr="002F320A">
        <w:rPr>
          <w:rFonts w:ascii="Arial" w:eastAsia="Calibri" w:hAnsi="Arial"/>
        </w:rPr>
        <w:t xml:space="preserve"> treatment.</w:t>
      </w:r>
      <w:r w:rsidR="009678CB">
        <w:rPr>
          <w:rFonts w:ascii="Arial" w:eastAsia="Calibri" w:hAnsi="Arial" w:cs="Arial"/>
        </w:rPr>
        <w:t xml:space="preserve"> </w:t>
      </w:r>
    </w:p>
    <w:p w14:paraId="758FAF4B" w14:textId="77777777" w:rsidR="002417A9" w:rsidRPr="002F320A" w:rsidRDefault="002417A9" w:rsidP="002F320A">
      <w:pPr>
        <w:rPr>
          <w:rFonts w:ascii="Arial" w:eastAsia="Calibri" w:hAnsi="Arial"/>
        </w:rPr>
      </w:pPr>
    </w:p>
    <w:p w14:paraId="2444CBA8" w14:textId="384373F9" w:rsidR="002417A9" w:rsidRPr="002F320A" w:rsidRDefault="002417A9" w:rsidP="002F320A">
      <w:pPr>
        <w:rPr>
          <w:rFonts w:ascii="Arial" w:eastAsia="Calibri" w:hAnsi="Arial"/>
        </w:rPr>
      </w:pPr>
      <w:r w:rsidRPr="002F320A">
        <w:rPr>
          <w:rFonts w:ascii="Arial" w:eastAsia="Calibri" w:hAnsi="Arial"/>
        </w:rPr>
        <w:t xml:space="preserve">Prior to starting treatment with </w:t>
      </w:r>
      <w:r w:rsidR="00200C41" w:rsidRPr="002F320A">
        <w:rPr>
          <w:rFonts w:ascii="Arial" w:eastAsia="Calibri" w:hAnsi="Arial"/>
        </w:rPr>
        <w:t>EPIDYOLEX</w:t>
      </w:r>
      <w:r w:rsidRPr="002F320A">
        <w:rPr>
          <w:rFonts w:ascii="Arial" w:eastAsia="Calibri" w:hAnsi="Arial"/>
        </w:rPr>
        <w:t>, obtain serum transaminases (ALT and AST) and total bilirubin levels.</w:t>
      </w:r>
    </w:p>
    <w:p w14:paraId="1ABEE87E" w14:textId="634FE647" w:rsidR="00504FC7" w:rsidRDefault="00504FC7" w:rsidP="002417A9">
      <w:pPr>
        <w:rPr>
          <w:rFonts w:ascii="Arial" w:eastAsia="Calibri" w:hAnsi="Arial" w:cs="Arial"/>
          <w:i/>
          <w:iCs/>
        </w:rPr>
      </w:pPr>
    </w:p>
    <w:p w14:paraId="0B421860" w14:textId="508B8530" w:rsidR="008C2E6F" w:rsidRPr="009E3BA2" w:rsidRDefault="008C2E6F" w:rsidP="0019272F">
      <w:pPr>
        <w:keepNext/>
        <w:rPr>
          <w:rFonts w:ascii="Arial" w:eastAsia="Calibri" w:hAnsi="Arial" w:cs="Arial"/>
          <w:i/>
          <w:iCs/>
        </w:rPr>
      </w:pPr>
      <w:r w:rsidRPr="00D07652">
        <w:rPr>
          <w:rFonts w:ascii="Arial" w:eastAsia="Calibri" w:hAnsi="Arial" w:cs="Arial"/>
          <w:i/>
          <w:iCs/>
        </w:rPr>
        <w:t>Routine Monitoring:</w:t>
      </w:r>
    </w:p>
    <w:p w14:paraId="55B28CEF" w14:textId="3F80B479" w:rsidR="00A50D37" w:rsidRPr="002F320A" w:rsidRDefault="002417A9" w:rsidP="002F320A">
      <w:pPr>
        <w:pStyle w:val="Default"/>
        <w:rPr>
          <w:rFonts w:ascii="Arial" w:eastAsia="Calibri" w:hAnsi="Arial"/>
        </w:rPr>
      </w:pPr>
      <w:r w:rsidRPr="002F320A">
        <w:rPr>
          <w:rFonts w:ascii="Arial" w:eastAsia="Calibri" w:hAnsi="Arial"/>
        </w:rPr>
        <w:t>Serum transaminases and total bilirubin levels should be obtained at 1</w:t>
      </w:r>
      <w:r w:rsidR="006155F2">
        <w:rPr>
          <w:rFonts w:ascii="Arial" w:eastAsia="Calibri" w:hAnsi="Arial"/>
        </w:rPr>
        <w:t> </w:t>
      </w:r>
      <w:r w:rsidRPr="002F320A">
        <w:rPr>
          <w:rFonts w:ascii="Arial" w:eastAsia="Calibri" w:hAnsi="Arial"/>
        </w:rPr>
        <w:t>month, 3</w:t>
      </w:r>
      <w:r w:rsidR="006155F2">
        <w:rPr>
          <w:rFonts w:ascii="Arial" w:eastAsia="Calibri" w:hAnsi="Arial"/>
        </w:rPr>
        <w:t> </w:t>
      </w:r>
      <w:r w:rsidRPr="002F320A">
        <w:rPr>
          <w:rFonts w:ascii="Arial" w:eastAsia="Calibri" w:hAnsi="Arial"/>
        </w:rPr>
        <w:t>months, and 6</w:t>
      </w:r>
      <w:r w:rsidR="006155F2">
        <w:rPr>
          <w:rFonts w:ascii="Arial" w:eastAsia="Calibri" w:hAnsi="Arial"/>
        </w:rPr>
        <w:t> </w:t>
      </w:r>
      <w:r w:rsidRPr="002F320A">
        <w:rPr>
          <w:rFonts w:ascii="Arial" w:eastAsia="Calibri" w:hAnsi="Arial"/>
        </w:rPr>
        <w:t xml:space="preserve">months after initiation of treatment with </w:t>
      </w:r>
      <w:r w:rsidR="00200C41" w:rsidRPr="002F320A">
        <w:rPr>
          <w:rFonts w:ascii="Arial" w:eastAsia="Calibri" w:hAnsi="Arial"/>
        </w:rPr>
        <w:t>EPIDYOLEX</w:t>
      </w:r>
      <w:r w:rsidRPr="002F320A">
        <w:rPr>
          <w:rFonts w:ascii="Arial" w:eastAsia="Calibri" w:hAnsi="Arial"/>
        </w:rPr>
        <w:t>, and periodically thereafter or as clinically indicated.</w:t>
      </w:r>
    </w:p>
    <w:p w14:paraId="243F5818" w14:textId="77777777" w:rsidR="008562CF" w:rsidRPr="002F320A" w:rsidRDefault="008562CF" w:rsidP="002F320A">
      <w:pPr>
        <w:pStyle w:val="Default"/>
        <w:rPr>
          <w:rFonts w:ascii="Arial" w:eastAsia="Calibri" w:hAnsi="Arial"/>
        </w:rPr>
      </w:pPr>
    </w:p>
    <w:p w14:paraId="5BA40FFD" w14:textId="6AC74CE7" w:rsidR="008562CF" w:rsidRPr="00A50D37" w:rsidRDefault="008562CF" w:rsidP="00A50D37">
      <w:pPr>
        <w:pStyle w:val="Default"/>
        <w:rPr>
          <w:rFonts w:ascii="Arial" w:eastAsia="Calibri" w:hAnsi="Arial" w:cs="Arial"/>
        </w:rPr>
      </w:pPr>
      <w:r w:rsidRPr="00D07652">
        <w:rPr>
          <w:rFonts w:ascii="Arial" w:eastAsia="Calibri" w:hAnsi="Arial" w:cs="Arial"/>
        </w:rPr>
        <w:t>Upon changes in EP</w:t>
      </w:r>
      <w:r w:rsidR="0014617B" w:rsidRPr="00D07652">
        <w:rPr>
          <w:rFonts w:ascii="Arial" w:eastAsia="Calibri" w:hAnsi="Arial" w:cs="Arial"/>
        </w:rPr>
        <w:t>IDYOLEX</w:t>
      </w:r>
      <w:r w:rsidRPr="00D07652">
        <w:rPr>
          <w:rFonts w:ascii="Arial" w:eastAsia="Calibri" w:hAnsi="Arial" w:cs="Arial"/>
        </w:rPr>
        <w:t xml:space="preserve"> dose above 10</w:t>
      </w:r>
      <w:r w:rsidR="006155F2">
        <w:rPr>
          <w:rFonts w:ascii="Arial" w:eastAsia="Calibri" w:hAnsi="Arial" w:cs="Arial"/>
        </w:rPr>
        <w:t> </w:t>
      </w:r>
      <w:r w:rsidRPr="00D07652">
        <w:rPr>
          <w:rFonts w:ascii="Arial" w:eastAsia="Calibri" w:hAnsi="Arial" w:cs="Arial"/>
        </w:rPr>
        <w:t>mg/kg/day or changes in medicinal products (dose change or additions) that are known to impact the liver, this monitoring schedule should be restarted.</w:t>
      </w:r>
    </w:p>
    <w:p w14:paraId="1633BFC5" w14:textId="7602502B" w:rsidR="00C32FC9" w:rsidRDefault="00C32FC9" w:rsidP="005715ED">
      <w:pPr>
        <w:pStyle w:val="Default"/>
        <w:rPr>
          <w:rFonts w:ascii="Arial" w:eastAsia="Calibri" w:hAnsi="Arial" w:cs="Arial"/>
          <w:strike/>
          <w:lang w:val="en-GB"/>
        </w:rPr>
      </w:pPr>
    </w:p>
    <w:p w14:paraId="50BEF014" w14:textId="77777777" w:rsidR="00257765" w:rsidRPr="00D07652" w:rsidRDefault="00257765" w:rsidP="00257765">
      <w:pPr>
        <w:pStyle w:val="Default"/>
        <w:keepNext/>
        <w:rPr>
          <w:rFonts w:ascii="Arial" w:eastAsia="Calibri" w:hAnsi="Arial" w:cs="Arial"/>
          <w:strike/>
          <w:lang w:val="en-GB"/>
        </w:rPr>
      </w:pPr>
      <w:r w:rsidRPr="00D07652">
        <w:rPr>
          <w:rFonts w:ascii="Arial" w:eastAsia="Calibri" w:hAnsi="Arial" w:cs="Arial"/>
          <w:i/>
          <w:iCs/>
          <w:color w:val="auto"/>
          <w:lang w:eastAsia="en-US"/>
        </w:rPr>
        <w:t>Intensified Monitoring:</w:t>
      </w:r>
    </w:p>
    <w:p w14:paraId="480D1E3C" w14:textId="77777777" w:rsidR="00257765" w:rsidRPr="00D07652" w:rsidRDefault="00257765" w:rsidP="00257765">
      <w:pPr>
        <w:pStyle w:val="Default"/>
        <w:rPr>
          <w:rFonts w:ascii="Arial" w:eastAsia="Calibri" w:hAnsi="Arial" w:cs="Arial"/>
          <w:lang w:val="en-GB"/>
        </w:rPr>
      </w:pPr>
      <w:r w:rsidRPr="00D07652">
        <w:rPr>
          <w:rFonts w:ascii="Arial" w:eastAsia="Calibri" w:hAnsi="Arial" w:cs="Arial"/>
          <w:lang w:val="en-GB"/>
        </w:rPr>
        <w:t>Patients with identified baseline elevations of ALT or AST and patients who are taking valproate should have serum transaminases and total bilirubin levels obtained at 2</w:t>
      </w:r>
      <w:r>
        <w:rPr>
          <w:rFonts w:ascii="Arial" w:eastAsia="Calibri" w:hAnsi="Arial" w:cs="Arial"/>
          <w:lang w:val="en-GB"/>
        </w:rPr>
        <w:t> </w:t>
      </w:r>
      <w:r w:rsidRPr="00D07652">
        <w:rPr>
          <w:rFonts w:ascii="Arial" w:eastAsia="Calibri" w:hAnsi="Arial" w:cs="Arial"/>
          <w:lang w:val="en-GB"/>
        </w:rPr>
        <w:t>weeks, 1</w:t>
      </w:r>
      <w:r>
        <w:rPr>
          <w:rFonts w:ascii="Arial" w:eastAsia="Calibri" w:hAnsi="Arial" w:cs="Arial"/>
          <w:lang w:val="en-GB"/>
        </w:rPr>
        <w:t> </w:t>
      </w:r>
      <w:r w:rsidRPr="00D07652">
        <w:rPr>
          <w:rFonts w:ascii="Arial" w:eastAsia="Calibri" w:hAnsi="Arial" w:cs="Arial"/>
          <w:lang w:val="en-GB"/>
        </w:rPr>
        <w:t>month, 2</w:t>
      </w:r>
      <w:r>
        <w:rPr>
          <w:rFonts w:ascii="Arial" w:eastAsia="Calibri" w:hAnsi="Arial" w:cs="Arial"/>
          <w:lang w:val="en-GB"/>
        </w:rPr>
        <w:t> </w:t>
      </w:r>
      <w:r w:rsidRPr="00D07652">
        <w:rPr>
          <w:rFonts w:ascii="Arial" w:eastAsia="Calibri" w:hAnsi="Arial" w:cs="Arial"/>
          <w:lang w:val="en-GB"/>
        </w:rPr>
        <w:t>months, 3</w:t>
      </w:r>
      <w:r>
        <w:rPr>
          <w:rFonts w:ascii="Arial" w:eastAsia="Calibri" w:hAnsi="Arial" w:cs="Arial"/>
          <w:lang w:val="en-GB"/>
        </w:rPr>
        <w:t> </w:t>
      </w:r>
      <w:r w:rsidRPr="00D07652">
        <w:rPr>
          <w:rFonts w:ascii="Arial" w:eastAsia="Calibri" w:hAnsi="Arial" w:cs="Arial"/>
          <w:lang w:val="en-GB"/>
        </w:rPr>
        <w:t>months, and 6</w:t>
      </w:r>
      <w:r>
        <w:rPr>
          <w:rFonts w:ascii="Arial" w:eastAsia="Calibri" w:hAnsi="Arial" w:cs="Arial"/>
          <w:lang w:val="en-GB"/>
        </w:rPr>
        <w:t> </w:t>
      </w:r>
      <w:r w:rsidRPr="00D07652">
        <w:rPr>
          <w:rFonts w:ascii="Arial" w:eastAsia="Calibri" w:hAnsi="Arial" w:cs="Arial"/>
          <w:lang w:val="en-GB"/>
        </w:rPr>
        <w:t xml:space="preserve">months after initiation of treatment with </w:t>
      </w:r>
      <w:r>
        <w:rPr>
          <w:rFonts w:ascii="Arial" w:eastAsia="Calibri" w:hAnsi="Arial" w:cs="Arial"/>
          <w:lang w:val="en-GB"/>
        </w:rPr>
        <w:t>EPIDYOLEX</w:t>
      </w:r>
      <w:r w:rsidRPr="00D07652">
        <w:rPr>
          <w:rFonts w:ascii="Arial" w:eastAsia="Calibri" w:hAnsi="Arial" w:cs="Arial"/>
          <w:lang w:val="en-GB"/>
        </w:rPr>
        <w:t xml:space="preserve">, and periodically thereafter or as clinically indicated. </w:t>
      </w:r>
    </w:p>
    <w:p w14:paraId="3A4DBE03" w14:textId="77777777" w:rsidR="00257765" w:rsidRPr="00D07652" w:rsidRDefault="00257765" w:rsidP="00257765">
      <w:pPr>
        <w:pStyle w:val="Default"/>
        <w:rPr>
          <w:rFonts w:ascii="Arial" w:eastAsia="Calibri" w:hAnsi="Arial" w:cs="Arial"/>
          <w:lang w:val="en-GB"/>
        </w:rPr>
      </w:pPr>
    </w:p>
    <w:p w14:paraId="537F473D" w14:textId="77777777" w:rsidR="00257765" w:rsidRPr="00C32FC9" w:rsidRDefault="00257765" w:rsidP="00257765">
      <w:pPr>
        <w:pStyle w:val="Default"/>
        <w:rPr>
          <w:rFonts w:ascii="Arial" w:eastAsia="Calibri" w:hAnsi="Arial" w:cs="Arial"/>
          <w:lang w:val="en-GB"/>
        </w:rPr>
      </w:pPr>
      <w:r w:rsidRPr="00D07652">
        <w:rPr>
          <w:rFonts w:ascii="Arial" w:eastAsia="Calibri" w:hAnsi="Arial" w:cs="Arial"/>
          <w:lang w:val="en-GB"/>
        </w:rPr>
        <w:t xml:space="preserve">Upon changes in </w:t>
      </w:r>
      <w:r>
        <w:rPr>
          <w:rFonts w:ascii="Arial" w:eastAsia="Calibri" w:hAnsi="Arial" w:cs="Arial"/>
          <w:lang w:val="en-GB"/>
        </w:rPr>
        <w:t>EPIDYOLEX</w:t>
      </w:r>
      <w:r w:rsidRPr="00D07652">
        <w:rPr>
          <w:rFonts w:ascii="Arial" w:eastAsia="Calibri" w:hAnsi="Arial" w:cs="Arial"/>
          <w:lang w:val="en-GB"/>
        </w:rPr>
        <w:t xml:space="preserve"> dose above 10</w:t>
      </w:r>
      <w:r>
        <w:rPr>
          <w:rFonts w:ascii="Arial" w:eastAsia="Calibri" w:hAnsi="Arial" w:cs="Arial"/>
          <w:lang w:val="en-GB"/>
        </w:rPr>
        <w:t> </w:t>
      </w:r>
      <w:r w:rsidRPr="00D07652">
        <w:rPr>
          <w:rFonts w:ascii="Arial" w:eastAsia="Calibri" w:hAnsi="Arial" w:cs="Arial"/>
          <w:lang w:val="en-GB"/>
        </w:rPr>
        <w:t>mg/kg/day or changes in medicinal products (dose change or additions) that are known to impact the liver, this monitoring schedule should be restarted.</w:t>
      </w:r>
    </w:p>
    <w:p w14:paraId="10421E2C" w14:textId="77777777" w:rsidR="005715ED" w:rsidRPr="002F320A" w:rsidRDefault="005715ED" w:rsidP="002F320A">
      <w:pPr>
        <w:pStyle w:val="Default"/>
        <w:rPr>
          <w:rFonts w:ascii="Arial" w:eastAsia="Calibri" w:hAnsi="Arial"/>
          <w:lang w:val="en-GB"/>
        </w:rPr>
      </w:pPr>
    </w:p>
    <w:p w14:paraId="48A4F44C" w14:textId="6401A11A" w:rsidR="00C21D84" w:rsidRDefault="3D66EA16" w:rsidP="41649BDB">
      <w:pPr>
        <w:pStyle w:val="Default"/>
        <w:rPr>
          <w:rFonts w:ascii="Arial" w:eastAsia="Calibri" w:hAnsi="Arial" w:cs="Arial"/>
          <w:lang w:val="en-GB"/>
        </w:rPr>
      </w:pPr>
      <w:r w:rsidRPr="002F320A">
        <w:rPr>
          <w:rFonts w:ascii="Arial" w:eastAsia="Calibri" w:hAnsi="Arial"/>
          <w:lang w:val="en-GB"/>
        </w:rPr>
        <w:t>If a patient develops clinical signs or symptoms suggestive of hepatic dysfunction (e.g.,</w:t>
      </w:r>
      <w:r w:rsidR="007E5BD7">
        <w:rPr>
          <w:rFonts w:ascii="Arial" w:eastAsia="Calibri" w:hAnsi="Arial"/>
          <w:lang w:val="en-GB"/>
        </w:rPr>
        <w:t> </w:t>
      </w:r>
      <w:r w:rsidRPr="002F320A">
        <w:rPr>
          <w:rFonts w:ascii="Arial" w:eastAsia="Calibri" w:hAnsi="Arial"/>
          <w:lang w:val="en-GB"/>
        </w:rPr>
        <w:t xml:space="preserve">unexplained nausea, vomiting, right upper quadrant abdominal pain, fatigue, anorexia, or jaundice and/or dark urine), serum transaminases and total bilirubin </w:t>
      </w:r>
      <w:r w:rsidR="67D1DBD3" w:rsidRPr="002F320A">
        <w:rPr>
          <w:rFonts w:ascii="Arial" w:eastAsia="Calibri" w:hAnsi="Arial"/>
          <w:lang w:val="en-GB"/>
        </w:rPr>
        <w:t xml:space="preserve">should be measured promptly </w:t>
      </w:r>
      <w:r w:rsidRPr="002F320A">
        <w:rPr>
          <w:rFonts w:ascii="Arial" w:eastAsia="Calibri" w:hAnsi="Arial"/>
          <w:lang w:val="en-GB"/>
        </w:rPr>
        <w:t>and treatment with EPIDYOLEX</w:t>
      </w:r>
      <w:r w:rsidR="67D1DBD3" w:rsidRPr="002F320A">
        <w:rPr>
          <w:rFonts w:ascii="Arial" w:eastAsia="Calibri" w:hAnsi="Arial"/>
          <w:lang w:val="en-GB"/>
        </w:rPr>
        <w:t xml:space="preserve"> should be interrupted or discontinued</w:t>
      </w:r>
      <w:r w:rsidRPr="002F320A">
        <w:rPr>
          <w:rFonts w:ascii="Arial" w:eastAsia="Calibri" w:hAnsi="Arial"/>
          <w:lang w:val="en-GB"/>
        </w:rPr>
        <w:t xml:space="preserve">, as appropriate. EPIDYOLEX </w:t>
      </w:r>
      <w:r w:rsidR="67D1DBD3" w:rsidRPr="002F320A">
        <w:rPr>
          <w:rFonts w:ascii="Arial" w:eastAsia="Calibri" w:hAnsi="Arial"/>
          <w:lang w:val="en-GB"/>
        </w:rPr>
        <w:t xml:space="preserve">should be discontinued </w:t>
      </w:r>
      <w:r w:rsidRPr="002F320A">
        <w:rPr>
          <w:rFonts w:ascii="Arial" w:eastAsia="Calibri" w:hAnsi="Arial"/>
          <w:lang w:val="en-GB"/>
        </w:rPr>
        <w:t>in any patients with elevations of</w:t>
      </w:r>
      <w:r w:rsidRPr="41649BDB">
        <w:rPr>
          <w:rFonts w:ascii="Arial" w:eastAsia="Calibri" w:hAnsi="Arial" w:cs="Arial"/>
          <w:lang w:val="en-GB"/>
        </w:rPr>
        <w:t xml:space="preserve"> </w:t>
      </w:r>
      <w:r w:rsidRPr="002F320A">
        <w:rPr>
          <w:rFonts w:ascii="Arial" w:eastAsia="Calibri" w:hAnsi="Arial"/>
          <w:lang w:val="en-GB"/>
        </w:rPr>
        <w:t>transaminase levels greater than 3</w:t>
      </w:r>
      <w:r w:rsidR="006155F2">
        <w:rPr>
          <w:rFonts w:ascii="Arial" w:eastAsia="Calibri" w:hAnsi="Arial"/>
          <w:lang w:val="en-GB"/>
        </w:rPr>
        <w:t> </w:t>
      </w:r>
      <w:r w:rsidRPr="002F320A">
        <w:rPr>
          <w:rFonts w:ascii="Arial" w:eastAsia="Calibri" w:hAnsi="Arial"/>
          <w:lang w:val="en-GB"/>
        </w:rPr>
        <w:t xml:space="preserve">times the </w:t>
      </w:r>
      <w:r w:rsidR="05259875" w:rsidRPr="002F320A">
        <w:rPr>
          <w:rFonts w:ascii="Arial" w:eastAsia="Calibri" w:hAnsi="Arial"/>
          <w:lang w:val="en-GB"/>
        </w:rPr>
        <w:t xml:space="preserve">ULN </w:t>
      </w:r>
      <w:r w:rsidRPr="002F320A">
        <w:rPr>
          <w:rFonts w:ascii="Arial" w:eastAsia="Calibri" w:hAnsi="Arial"/>
          <w:lang w:val="en-GB"/>
        </w:rPr>
        <w:t>and bilirubin levels greater than 2</w:t>
      </w:r>
      <w:r w:rsidR="006155F2">
        <w:rPr>
          <w:rFonts w:ascii="Arial" w:eastAsia="Calibri" w:hAnsi="Arial"/>
          <w:lang w:val="en-GB"/>
        </w:rPr>
        <w:t> </w:t>
      </w:r>
      <w:r w:rsidRPr="002F320A">
        <w:rPr>
          <w:rFonts w:ascii="Arial" w:eastAsia="Calibri" w:hAnsi="Arial"/>
          <w:lang w:val="en-GB"/>
        </w:rPr>
        <w:t>times the ULN. Patients with sustained transaminase elevations of greater than 5</w:t>
      </w:r>
      <w:r w:rsidR="006155F2">
        <w:rPr>
          <w:rFonts w:ascii="Arial" w:eastAsia="Calibri" w:hAnsi="Arial"/>
          <w:lang w:val="en-GB"/>
        </w:rPr>
        <w:t> </w:t>
      </w:r>
      <w:r w:rsidRPr="002F320A">
        <w:rPr>
          <w:rFonts w:ascii="Arial" w:eastAsia="Calibri" w:hAnsi="Arial"/>
          <w:lang w:val="en-GB"/>
        </w:rPr>
        <w:t xml:space="preserve">times the ULN should also have treatment discontinued. Patients with prolonged elevations of serum transaminases should be evaluated for other possible causes. </w:t>
      </w:r>
      <w:r w:rsidR="67D1DBD3" w:rsidRPr="002F320A">
        <w:rPr>
          <w:rFonts w:ascii="Arial" w:eastAsia="Calibri" w:hAnsi="Arial"/>
          <w:lang w:val="en-GB"/>
        </w:rPr>
        <w:t>D</w:t>
      </w:r>
      <w:r w:rsidRPr="002F320A">
        <w:rPr>
          <w:rFonts w:ascii="Arial" w:eastAsia="Calibri" w:hAnsi="Arial"/>
          <w:lang w:val="en-GB"/>
        </w:rPr>
        <w:t xml:space="preserve">osage adjustment </w:t>
      </w:r>
      <w:r w:rsidR="67D1DBD3" w:rsidRPr="002F320A">
        <w:rPr>
          <w:rFonts w:ascii="Arial" w:eastAsia="Calibri" w:hAnsi="Arial"/>
          <w:lang w:val="en-GB"/>
        </w:rPr>
        <w:t xml:space="preserve">should be considered </w:t>
      </w:r>
      <w:r w:rsidRPr="002F320A">
        <w:rPr>
          <w:rFonts w:ascii="Arial" w:eastAsia="Calibri" w:hAnsi="Arial"/>
          <w:lang w:val="en-GB"/>
        </w:rPr>
        <w:t xml:space="preserve">of any co-administered medicinal product that is known to affect the liver (e.g., valproate and </w:t>
      </w:r>
      <w:proofErr w:type="spellStart"/>
      <w:r w:rsidRPr="002F320A">
        <w:rPr>
          <w:rFonts w:ascii="Arial" w:eastAsia="Calibri" w:hAnsi="Arial"/>
          <w:lang w:val="en-GB"/>
        </w:rPr>
        <w:t>clobazam</w:t>
      </w:r>
      <w:proofErr w:type="spellEnd"/>
      <w:r w:rsidR="00D76E2F">
        <w:t>).</w:t>
      </w:r>
    </w:p>
    <w:p w14:paraId="53EFFDE0" w14:textId="77777777" w:rsidR="00127BA7" w:rsidRPr="002F320A" w:rsidRDefault="00127BA7" w:rsidP="002F320A">
      <w:pPr>
        <w:pStyle w:val="Default"/>
        <w:rPr>
          <w:rFonts w:ascii="Arial" w:eastAsia="Calibri" w:hAnsi="Arial"/>
          <w:lang w:val="en-GB"/>
        </w:rPr>
      </w:pPr>
    </w:p>
    <w:p w14:paraId="07FAFE82" w14:textId="56266EE5" w:rsidR="002417A9" w:rsidRPr="000511CF" w:rsidRDefault="00C21D84" w:rsidP="00D900DC">
      <w:pPr>
        <w:pStyle w:val="Heading4"/>
      </w:pPr>
      <w:r w:rsidRPr="00D900DC">
        <w:t>Somnolence</w:t>
      </w:r>
      <w:r w:rsidR="7D61CE06" w:rsidRPr="002F320A">
        <w:t xml:space="preserve"> and sedation</w:t>
      </w:r>
    </w:p>
    <w:p w14:paraId="4F219C20" w14:textId="59BCD480" w:rsidR="002417A9" w:rsidRPr="002F320A" w:rsidRDefault="00200C41" w:rsidP="002F320A">
      <w:pPr>
        <w:rPr>
          <w:rFonts w:ascii="Arial" w:eastAsia="Calibri" w:hAnsi="Arial"/>
        </w:rPr>
      </w:pPr>
      <w:r w:rsidRPr="002F320A">
        <w:rPr>
          <w:rFonts w:ascii="Arial" w:eastAsia="Calibri" w:hAnsi="Arial"/>
        </w:rPr>
        <w:t>EPIDYOLEX</w:t>
      </w:r>
      <w:r w:rsidR="002417A9" w:rsidRPr="002F320A">
        <w:rPr>
          <w:rFonts w:ascii="Arial" w:eastAsia="Calibri" w:hAnsi="Arial"/>
        </w:rPr>
        <w:t xml:space="preserve"> can cause somnolence and sedation, which occur more commonly early in treatment and may diminish with continued treatment. The occurrence was higher for those patients on concomitant </w:t>
      </w:r>
      <w:proofErr w:type="spellStart"/>
      <w:r w:rsidR="002417A9" w:rsidRPr="002F320A">
        <w:rPr>
          <w:rFonts w:ascii="Arial" w:eastAsia="Calibri" w:hAnsi="Arial"/>
        </w:rPr>
        <w:t>clobazam</w:t>
      </w:r>
      <w:proofErr w:type="spellEnd"/>
      <w:r w:rsidR="002417A9" w:rsidRPr="002F320A">
        <w:rPr>
          <w:rFonts w:ascii="Arial" w:eastAsia="Calibri" w:hAnsi="Arial"/>
        </w:rPr>
        <w:t xml:space="preserve"> (see section </w:t>
      </w:r>
      <w:hyperlink w:anchor="_INTERACTIONS_WITH_OTHER" w:history="1">
        <w:r w:rsidR="002417A9" w:rsidRPr="0062381A">
          <w:rPr>
            <w:rStyle w:val="Hyperlink"/>
            <w:rFonts w:ascii="Arial" w:eastAsia="Calibri" w:hAnsi="Arial" w:cs="Arial"/>
            <w:bCs/>
          </w:rPr>
          <w:t>4.5 INTERACTIONS WITH OTHER MEDICINES AND OTHER FORMS OF INTERACTIONS</w:t>
        </w:r>
      </w:hyperlink>
      <w:r w:rsidR="002417A9" w:rsidRPr="0062381A">
        <w:rPr>
          <w:rFonts w:ascii="Arial" w:eastAsia="Calibri" w:hAnsi="Arial" w:cs="Arial"/>
        </w:rPr>
        <w:t xml:space="preserve"> </w:t>
      </w:r>
      <w:r w:rsidR="00D76E2F" w:rsidRPr="0062381A">
        <w:rPr>
          <w:rFonts w:ascii="Arial" w:eastAsia="Calibri" w:hAnsi="Arial" w:cs="Arial"/>
        </w:rPr>
        <w:t xml:space="preserve">and section </w:t>
      </w:r>
      <w:hyperlink w:anchor="_ADVERSE_EFFECTS_(UNDESIRABLE" w:history="1">
        <w:r w:rsidR="002417A9" w:rsidRPr="0062381A">
          <w:rPr>
            <w:rStyle w:val="Hyperlink"/>
            <w:rFonts w:ascii="Arial" w:eastAsia="Calibri" w:hAnsi="Arial" w:cs="Arial"/>
          </w:rPr>
          <w:t>4.8 ADVERSE EFFECTS (UNDESIRABLE EFFECTS</w:t>
        </w:r>
      </w:hyperlink>
      <w:r w:rsidR="002417A9" w:rsidRPr="0062381A">
        <w:rPr>
          <w:rFonts w:ascii="Arial" w:eastAsia="Calibri" w:hAnsi="Arial" w:cs="Arial"/>
        </w:rPr>
        <w:t>).</w:t>
      </w:r>
      <w:r w:rsidR="002417A9" w:rsidRPr="002F320A">
        <w:rPr>
          <w:rFonts w:ascii="Arial" w:eastAsia="Calibri" w:hAnsi="Arial"/>
        </w:rPr>
        <w:t xml:space="preserve"> Other CNS depressants, including alcohol, can potentiate the somnolence and sedation effect.</w:t>
      </w:r>
    </w:p>
    <w:p w14:paraId="576F4B3E" w14:textId="77777777" w:rsidR="002417A9" w:rsidRPr="002F320A" w:rsidRDefault="002417A9" w:rsidP="002F320A">
      <w:pPr>
        <w:rPr>
          <w:rFonts w:ascii="Arial" w:eastAsia="Calibri" w:hAnsi="Arial"/>
        </w:rPr>
      </w:pPr>
    </w:p>
    <w:p w14:paraId="4D68A892" w14:textId="5459EFE4" w:rsidR="00A50D37" w:rsidRPr="000511CF" w:rsidRDefault="00A50D37" w:rsidP="00D900DC">
      <w:pPr>
        <w:pStyle w:val="Heading4"/>
      </w:pPr>
      <w:r w:rsidRPr="002F320A">
        <w:t xml:space="preserve">Withdrawal of </w:t>
      </w:r>
      <w:r w:rsidR="005E22B1">
        <w:t>a</w:t>
      </w:r>
      <w:r w:rsidRPr="002F320A">
        <w:t xml:space="preserve">ntiepileptic </w:t>
      </w:r>
      <w:r w:rsidR="005E22B1">
        <w:t>d</w:t>
      </w:r>
      <w:r w:rsidRPr="002F320A">
        <w:t>rugs (AEDs)</w:t>
      </w:r>
    </w:p>
    <w:p w14:paraId="2A55CA19" w14:textId="7BBDEA87" w:rsidR="002417A9" w:rsidRDefault="00A50D37" w:rsidP="002417A9">
      <w:pPr>
        <w:rPr>
          <w:rFonts w:ascii="Arial" w:eastAsia="Calibri" w:hAnsi="Arial" w:cs="Arial"/>
        </w:rPr>
      </w:pPr>
      <w:r w:rsidRPr="002F320A">
        <w:rPr>
          <w:rFonts w:ascii="Arial" w:eastAsia="Calibri" w:hAnsi="Arial"/>
        </w:rPr>
        <w:t xml:space="preserve">As with most antiepileptic drugs, </w:t>
      </w:r>
      <w:r w:rsidR="00EF74A1" w:rsidRPr="002F320A">
        <w:rPr>
          <w:rFonts w:ascii="Arial" w:eastAsia="Calibri" w:hAnsi="Arial"/>
        </w:rPr>
        <w:t>EPIDYOLEX</w:t>
      </w:r>
      <w:r w:rsidRPr="002F320A">
        <w:rPr>
          <w:rFonts w:ascii="Arial" w:eastAsia="Calibri" w:hAnsi="Arial"/>
        </w:rPr>
        <w:t xml:space="preserve"> should generally be withdrawn gradually because of the risk of increased seizure frequency and status epilepticus (see section </w:t>
      </w:r>
      <w:hyperlink w:anchor="_DOSE_AND_METHOD" w:history="1">
        <w:r w:rsidRPr="008F5F9B">
          <w:rPr>
            <w:rStyle w:val="Hyperlink"/>
            <w:rFonts w:ascii="Arial" w:eastAsia="Calibri" w:hAnsi="Arial" w:cs="Arial"/>
            <w:bCs/>
          </w:rPr>
          <w:t>4.2 DOSE AND METHOD OF ADMINISTRATION</w:t>
        </w:r>
      </w:hyperlink>
      <w:r w:rsidR="00D76E2F" w:rsidRPr="00A50D37">
        <w:rPr>
          <w:rFonts w:ascii="Arial" w:eastAsia="Calibri" w:hAnsi="Arial" w:cs="Arial"/>
        </w:rPr>
        <w:t>).</w:t>
      </w:r>
      <w:r w:rsidRPr="002F320A">
        <w:rPr>
          <w:rFonts w:ascii="Arial" w:eastAsia="Calibri" w:hAnsi="Arial"/>
        </w:rPr>
        <w:t xml:space="preserve"> If withdrawal is needed because of a serious adverse event, rapid discontinuation can be considered.</w:t>
      </w:r>
      <w:r w:rsidRPr="00A50D37">
        <w:rPr>
          <w:rFonts w:ascii="Arial" w:eastAsia="Calibri" w:hAnsi="Arial" w:cs="Arial"/>
        </w:rPr>
        <w:t xml:space="preserve"> </w:t>
      </w:r>
    </w:p>
    <w:p w14:paraId="44704E1E" w14:textId="2371B8EE" w:rsidR="00C86938" w:rsidRDefault="00C86938" w:rsidP="002417A9">
      <w:pPr>
        <w:rPr>
          <w:rFonts w:ascii="Arial" w:eastAsia="Calibri" w:hAnsi="Arial" w:cs="Arial"/>
        </w:rPr>
      </w:pPr>
    </w:p>
    <w:p w14:paraId="0CC53EEE" w14:textId="4949D112" w:rsidR="004D2DDF" w:rsidRPr="004158C0" w:rsidRDefault="004D2DDF" w:rsidP="00D900DC">
      <w:pPr>
        <w:pStyle w:val="Heading4"/>
      </w:pPr>
      <w:r w:rsidRPr="004158C0">
        <w:t>Increased seizure frequency</w:t>
      </w:r>
    </w:p>
    <w:p w14:paraId="5CD048BE" w14:textId="7F693002" w:rsidR="00C86938" w:rsidRPr="00DC2552" w:rsidRDefault="004D2DDF" w:rsidP="004D2DDF">
      <w:pPr>
        <w:rPr>
          <w:rFonts w:ascii="Arial" w:eastAsia="Calibri" w:hAnsi="Arial" w:cs="Arial"/>
          <w:strike/>
        </w:rPr>
      </w:pPr>
      <w:r w:rsidRPr="004158C0">
        <w:rPr>
          <w:rFonts w:ascii="Arial" w:eastAsia="Calibri" w:hAnsi="Arial" w:cs="Arial"/>
        </w:rPr>
        <w:t>As with other AEDs, a clinically relevant increase in seizure frequency may occur during</w:t>
      </w:r>
      <w:r w:rsidR="00700909">
        <w:rPr>
          <w:rFonts w:ascii="Arial" w:eastAsia="Calibri" w:hAnsi="Arial" w:cs="Arial"/>
        </w:rPr>
        <w:t xml:space="preserve"> </w:t>
      </w:r>
      <w:r w:rsidRPr="004158C0">
        <w:rPr>
          <w:rFonts w:ascii="Arial" w:eastAsia="Calibri" w:hAnsi="Arial" w:cs="Arial"/>
        </w:rPr>
        <w:t xml:space="preserve">treatment with </w:t>
      </w:r>
      <w:r w:rsidR="00984AA4" w:rsidRPr="00BE0F59">
        <w:rPr>
          <w:rFonts w:ascii="Arial" w:hAnsi="Arial"/>
        </w:rPr>
        <w:t>EPIDYOLEX</w:t>
      </w:r>
      <w:r w:rsidRPr="004158C0">
        <w:rPr>
          <w:rFonts w:ascii="Arial" w:eastAsia="Calibri" w:hAnsi="Arial" w:cs="Arial"/>
        </w:rPr>
        <w:t xml:space="preserve">, which may require adjustment in dose of </w:t>
      </w:r>
      <w:r w:rsidR="00784875" w:rsidRPr="002F320A">
        <w:rPr>
          <w:rFonts w:ascii="Arial" w:eastAsia="Calibri" w:hAnsi="Arial"/>
        </w:rPr>
        <w:t>EPIDYOLEX</w:t>
      </w:r>
      <w:r w:rsidRPr="004158C0">
        <w:rPr>
          <w:rFonts w:ascii="Arial" w:eastAsia="Calibri" w:hAnsi="Arial" w:cs="Arial"/>
        </w:rPr>
        <w:t xml:space="preserve"> and/or</w:t>
      </w:r>
      <w:r w:rsidR="00700909">
        <w:rPr>
          <w:rFonts w:ascii="Arial" w:eastAsia="Calibri" w:hAnsi="Arial" w:cs="Arial"/>
        </w:rPr>
        <w:t xml:space="preserve"> </w:t>
      </w:r>
      <w:r w:rsidRPr="004158C0">
        <w:rPr>
          <w:rFonts w:ascii="Arial" w:eastAsia="Calibri" w:hAnsi="Arial" w:cs="Arial"/>
        </w:rPr>
        <w:t xml:space="preserve">concomitant AEDs, or discontinuation of </w:t>
      </w:r>
      <w:r w:rsidR="00BA4816" w:rsidRPr="002F320A">
        <w:rPr>
          <w:rFonts w:ascii="Arial" w:eastAsia="Calibri" w:hAnsi="Arial"/>
        </w:rPr>
        <w:t>EPIDYOLEX</w:t>
      </w:r>
      <w:r w:rsidRPr="004158C0">
        <w:rPr>
          <w:rFonts w:ascii="Arial" w:eastAsia="Calibri" w:hAnsi="Arial" w:cs="Arial"/>
        </w:rPr>
        <w:t xml:space="preserve">, </w:t>
      </w:r>
      <w:r w:rsidR="00DE1188" w:rsidRPr="00DE1188">
        <w:rPr>
          <w:rFonts w:ascii="Arial" w:eastAsia="Calibri" w:hAnsi="Arial" w:cs="Arial"/>
        </w:rPr>
        <w:t>to optimi</w:t>
      </w:r>
      <w:r w:rsidR="00B866F9">
        <w:rPr>
          <w:rFonts w:ascii="Arial" w:eastAsia="Calibri" w:hAnsi="Arial" w:cs="Arial"/>
        </w:rPr>
        <w:t>s</w:t>
      </w:r>
      <w:r w:rsidR="00DE1188" w:rsidRPr="00DE1188">
        <w:rPr>
          <w:rFonts w:ascii="Arial" w:eastAsia="Calibri" w:hAnsi="Arial" w:cs="Arial"/>
        </w:rPr>
        <w:t xml:space="preserve">e the benefit-risk balance. </w:t>
      </w:r>
    </w:p>
    <w:p w14:paraId="19B4A8D4" w14:textId="77777777" w:rsidR="001D1B79" w:rsidRPr="002F320A" w:rsidRDefault="001D1B79" w:rsidP="002F320A">
      <w:pPr>
        <w:rPr>
          <w:rFonts w:ascii="Arial" w:eastAsia="Calibri" w:hAnsi="Arial"/>
          <w:b/>
        </w:rPr>
      </w:pPr>
    </w:p>
    <w:p w14:paraId="2BF812F1" w14:textId="42BD8151" w:rsidR="002417A9" w:rsidRPr="000511CF" w:rsidRDefault="002417A9" w:rsidP="00D900DC">
      <w:pPr>
        <w:pStyle w:val="Heading4"/>
      </w:pPr>
      <w:r w:rsidRPr="002F320A">
        <w:t>Suicidal behaviour and ideation</w:t>
      </w:r>
    </w:p>
    <w:p w14:paraId="54A0848D" w14:textId="73818CD6" w:rsidR="002417A9" w:rsidRPr="002F320A" w:rsidRDefault="002417A9" w:rsidP="002F320A">
      <w:pPr>
        <w:rPr>
          <w:rFonts w:ascii="Arial" w:eastAsia="Calibri" w:hAnsi="Arial"/>
        </w:rPr>
      </w:pPr>
      <w:r w:rsidRPr="002F320A">
        <w:rPr>
          <w:rFonts w:ascii="Arial" w:eastAsia="Calibri" w:hAnsi="Arial"/>
        </w:rPr>
        <w:t>Suicidal behaviour and ideation have been reported in patients treated with AEDs in several indications. A meta</w:t>
      </w:r>
      <w:r w:rsidR="00AE6A9D" w:rsidRPr="002F320A">
        <w:rPr>
          <w:rFonts w:ascii="Arial" w:eastAsia="Calibri" w:hAnsi="Arial"/>
        </w:rPr>
        <w:t>-</w:t>
      </w:r>
      <w:r w:rsidRPr="002F320A">
        <w:rPr>
          <w:rFonts w:ascii="Arial" w:eastAsia="Calibri" w:hAnsi="Arial"/>
        </w:rPr>
        <w:t>analysis of randomised placebo</w:t>
      </w:r>
      <w:r w:rsidR="00AE6A9D" w:rsidRPr="002F320A">
        <w:rPr>
          <w:rFonts w:ascii="Arial" w:eastAsia="Calibri" w:hAnsi="Arial"/>
        </w:rPr>
        <w:t>-</w:t>
      </w:r>
      <w:r w:rsidRPr="002F320A">
        <w:rPr>
          <w:rFonts w:ascii="Arial" w:eastAsia="Calibri" w:hAnsi="Arial"/>
        </w:rPr>
        <w:t xml:space="preserve">controlled trials with AEDs has shown a small increased risk of suicidal behaviour and ideation. The mechanism of this risk is not known, and the available data do not exclude the possibility of an increased risk for </w:t>
      </w:r>
      <w:r w:rsidR="00200C41" w:rsidRPr="002F320A">
        <w:rPr>
          <w:rFonts w:ascii="Arial" w:eastAsia="Calibri" w:hAnsi="Arial"/>
        </w:rPr>
        <w:t>EPIDYOLEX</w:t>
      </w:r>
      <w:r w:rsidRPr="002F320A">
        <w:rPr>
          <w:rFonts w:ascii="Arial" w:eastAsia="Calibri" w:hAnsi="Arial"/>
        </w:rPr>
        <w:t>.</w:t>
      </w:r>
    </w:p>
    <w:p w14:paraId="2D09E70C" w14:textId="77777777" w:rsidR="002417A9" w:rsidRPr="002F320A" w:rsidRDefault="002417A9" w:rsidP="002F320A">
      <w:pPr>
        <w:rPr>
          <w:rFonts w:ascii="Arial" w:eastAsia="Calibri" w:hAnsi="Arial"/>
        </w:rPr>
      </w:pPr>
    </w:p>
    <w:p w14:paraId="6FF17852" w14:textId="77777777" w:rsidR="002417A9" w:rsidRPr="002F320A" w:rsidRDefault="002417A9" w:rsidP="002F320A">
      <w:pPr>
        <w:rPr>
          <w:rFonts w:ascii="Arial" w:eastAsia="Calibri" w:hAnsi="Arial"/>
        </w:rPr>
      </w:pPr>
      <w:r w:rsidRPr="002F320A">
        <w:rPr>
          <w:rFonts w:ascii="Arial" w:eastAsia="Calibri" w:hAnsi="Arial"/>
        </w:rPr>
        <w:t>Patients should be monitored for signs of suicidal behaviour and ideation and appropriate treatment should be considered. Patients and caregivers of patients should be advised to seek medical advice should any signs of suicidal behaviour and ideation emerge.</w:t>
      </w:r>
    </w:p>
    <w:p w14:paraId="0E3B187C" w14:textId="77777777" w:rsidR="000A14C9" w:rsidRPr="0062381A" w:rsidRDefault="000A14C9" w:rsidP="00BD5A73">
      <w:pPr>
        <w:pStyle w:val="NoSpacing"/>
        <w:rPr>
          <w:rFonts w:ascii="Arial" w:eastAsia="Calibri" w:hAnsi="Arial" w:cs="Arial"/>
          <w:b/>
        </w:rPr>
      </w:pPr>
    </w:p>
    <w:p w14:paraId="7642056B" w14:textId="0792B33B" w:rsidR="00085FD4" w:rsidRPr="002F320A" w:rsidRDefault="00085FD4" w:rsidP="00D900DC">
      <w:pPr>
        <w:pStyle w:val="Heading3"/>
        <w:rPr>
          <w:rFonts w:eastAsia="Calibri"/>
        </w:rPr>
      </w:pPr>
      <w:r w:rsidRPr="00D900DC">
        <w:rPr>
          <w:rFonts w:eastAsia="Calibri"/>
        </w:rPr>
        <w:t>Use in the elderly</w:t>
      </w:r>
    </w:p>
    <w:p w14:paraId="5DD6D580" w14:textId="3FF46556" w:rsidR="00085FD4" w:rsidRPr="0062381A" w:rsidRDefault="008F5F9B" w:rsidP="00B221E2">
      <w:pPr>
        <w:pStyle w:val="NoSpacing"/>
        <w:rPr>
          <w:rFonts w:ascii="Arial" w:eastAsia="Calibri" w:hAnsi="Arial" w:cs="Arial"/>
          <w:b/>
        </w:rPr>
      </w:pPr>
      <w:r>
        <w:rPr>
          <w:rFonts w:ascii="Arial" w:eastAsia="Calibri" w:hAnsi="Arial" w:cs="Arial"/>
          <w:bCs/>
        </w:rPr>
        <w:t xml:space="preserve">See section </w:t>
      </w:r>
      <w:hyperlink w:anchor="_DOSE_AND_METHOD" w:history="1">
        <w:r w:rsidRPr="008F5F9B">
          <w:rPr>
            <w:rStyle w:val="Hyperlink"/>
            <w:rFonts w:ascii="Arial" w:eastAsia="Calibri" w:hAnsi="Arial" w:cs="Arial"/>
            <w:bCs/>
          </w:rPr>
          <w:t>4.2 DOSE AND METHOD OF ADMINISTRATION</w:t>
        </w:r>
      </w:hyperlink>
      <w:r>
        <w:rPr>
          <w:rFonts w:ascii="Arial" w:eastAsia="Calibri" w:hAnsi="Arial" w:cs="Arial"/>
          <w:bCs/>
        </w:rPr>
        <w:t xml:space="preserve"> and section </w:t>
      </w:r>
      <w:hyperlink w:anchor="_PHARMACOKINETIC_PROPERTIES" w:history="1">
        <w:r w:rsidRPr="0062381A">
          <w:rPr>
            <w:rStyle w:val="Hyperlink"/>
            <w:rFonts w:ascii="Arial" w:hAnsi="Arial" w:cs="Arial"/>
          </w:rPr>
          <w:t>5.2 PHARMACOKINETIC PROPERTIES</w:t>
        </w:r>
      </w:hyperlink>
      <w:r>
        <w:rPr>
          <w:rFonts w:ascii="Arial" w:hAnsi="Arial" w:cs="Arial"/>
        </w:rPr>
        <w:t>.</w:t>
      </w:r>
    </w:p>
    <w:p w14:paraId="7108D115" w14:textId="77777777" w:rsidR="00570359" w:rsidRPr="0062381A" w:rsidRDefault="00570359" w:rsidP="00B221E2">
      <w:pPr>
        <w:pStyle w:val="NoSpacing"/>
        <w:rPr>
          <w:rFonts w:ascii="Arial" w:eastAsia="Calibri" w:hAnsi="Arial" w:cs="Arial"/>
          <w:b/>
        </w:rPr>
      </w:pPr>
    </w:p>
    <w:p w14:paraId="6EF15133" w14:textId="77777777" w:rsidR="00085FD4" w:rsidRPr="002F320A" w:rsidRDefault="00085FD4" w:rsidP="00D900DC">
      <w:pPr>
        <w:pStyle w:val="Heading3"/>
        <w:rPr>
          <w:rFonts w:eastAsia="Calibri"/>
        </w:rPr>
      </w:pPr>
      <w:r w:rsidRPr="002F320A">
        <w:rPr>
          <w:rFonts w:eastAsia="Calibri"/>
        </w:rPr>
        <w:t>Paediatric use</w:t>
      </w:r>
    </w:p>
    <w:p w14:paraId="6CDBC2F2" w14:textId="0EF2BB92" w:rsidR="008F5F9B" w:rsidRDefault="008F5F9B" w:rsidP="008F5F9B">
      <w:pPr>
        <w:pStyle w:val="NoSpacing"/>
        <w:rPr>
          <w:rFonts w:ascii="Arial" w:hAnsi="Arial" w:cs="Arial"/>
        </w:rPr>
      </w:pPr>
      <w:r>
        <w:rPr>
          <w:rFonts w:ascii="Arial" w:eastAsia="Calibri" w:hAnsi="Arial" w:cs="Arial"/>
          <w:bCs/>
        </w:rPr>
        <w:t xml:space="preserve">See section </w:t>
      </w:r>
      <w:hyperlink w:anchor="_DOSE_AND_METHOD" w:history="1">
        <w:r w:rsidRPr="008F5F9B">
          <w:rPr>
            <w:rStyle w:val="Hyperlink"/>
            <w:rFonts w:ascii="Arial" w:eastAsia="Calibri" w:hAnsi="Arial" w:cs="Arial"/>
            <w:bCs/>
          </w:rPr>
          <w:t>4.2 DOSE AND METHOD OF ADMINISTRATION</w:t>
        </w:r>
      </w:hyperlink>
      <w:r>
        <w:rPr>
          <w:rFonts w:ascii="Arial" w:eastAsia="Calibri" w:hAnsi="Arial" w:cs="Arial"/>
          <w:bCs/>
        </w:rPr>
        <w:t xml:space="preserve"> and section </w:t>
      </w:r>
      <w:hyperlink w:anchor="_PHARMACOKINETIC_PROPERTIES" w:history="1">
        <w:r w:rsidR="007A163E">
          <w:rPr>
            <w:rStyle w:val="Hyperlink"/>
            <w:rFonts w:ascii="Arial" w:hAnsi="Arial" w:cs="Arial"/>
          </w:rPr>
          <w:t>5.2</w:t>
        </w:r>
        <w:r w:rsidR="007A163E" w:rsidRPr="0062381A">
          <w:rPr>
            <w:rStyle w:val="Hyperlink"/>
            <w:rFonts w:ascii="Arial" w:hAnsi="Arial" w:cs="Arial"/>
          </w:rPr>
          <w:t xml:space="preserve"> </w:t>
        </w:r>
        <w:r w:rsidR="007A163E" w:rsidRPr="007A163E">
          <w:rPr>
            <w:rStyle w:val="Hyperlink"/>
            <w:rFonts w:ascii="Arial" w:hAnsi="Arial" w:cs="Arial"/>
          </w:rPr>
          <w:t>PHARMACOKINETIC PROPERTIES</w:t>
        </w:r>
      </w:hyperlink>
      <w:r w:rsidR="007A163E">
        <w:rPr>
          <w:rFonts w:ascii="Arial" w:hAnsi="Arial" w:cs="Arial"/>
        </w:rPr>
        <w:t>.</w:t>
      </w:r>
    </w:p>
    <w:p w14:paraId="0077DB5B" w14:textId="1126D760" w:rsidR="003D4977" w:rsidRDefault="003D4977" w:rsidP="008F5F9B">
      <w:pPr>
        <w:pStyle w:val="NoSpacing"/>
        <w:rPr>
          <w:rFonts w:ascii="Arial" w:hAnsi="Arial" w:cs="Arial"/>
        </w:rPr>
      </w:pPr>
    </w:p>
    <w:p w14:paraId="1A2142E3" w14:textId="3833FD98" w:rsidR="003D4977" w:rsidRPr="00B63FA6" w:rsidRDefault="005B75B9" w:rsidP="008F5F9B">
      <w:pPr>
        <w:pStyle w:val="NoSpacing"/>
        <w:rPr>
          <w:rFonts w:ascii="Arial" w:eastAsia="Calibri" w:hAnsi="Arial" w:cs="Arial"/>
          <w:b/>
        </w:rPr>
      </w:pPr>
      <w:r w:rsidRPr="00F25E34">
        <w:rPr>
          <w:rFonts w:ascii="Arial" w:hAnsi="Arial" w:cs="Arial"/>
        </w:rPr>
        <w:t>Administration of cannabidiol to juvenile rats for 10</w:t>
      </w:r>
      <w:r w:rsidR="006155F2">
        <w:rPr>
          <w:rFonts w:ascii="Arial" w:hAnsi="Arial" w:cs="Arial"/>
        </w:rPr>
        <w:t> </w:t>
      </w:r>
      <w:r w:rsidRPr="00F25E34">
        <w:rPr>
          <w:rFonts w:ascii="Arial" w:hAnsi="Arial" w:cs="Arial"/>
        </w:rPr>
        <w:t>weeks (PND4–6 [SC] and PND7– 77[PO]) resulted in delayed sexual maturation (males), decreased locomotor activity and increased bone mineral density. The lowest dose causing developmental toxicity in juvenile rats (15/100</w:t>
      </w:r>
      <w:r w:rsidR="00A7548B">
        <w:rPr>
          <w:rFonts w:ascii="Arial" w:hAnsi="Arial" w:cs="Arial"/>
        </w:rPr>
        <w:t> </w:t>
      </w:r>
      <w:r w:rsidRPr="00F25E34">
        <w:rPr>
          <w:rFonts w:ascii="Arial" w:hAnsi="Arial" w:cs="Arial"/>
        </w:rPr>
        <w:t xml:space="preserve">mg/kg SC/PO) was associated with cannabidiol exposures (based on </w:t>
      </w:r>
      <w:proofErr w:type="spellStart"/>
      <w:r w:rsidR="007C51CA" w:rsidRPr="00F25E34">
        <w:rPr>
          <w:rFonts w:ascii="Arial" w:hAnsi="Arial" w:cs="Arial"/>
        </w:rPr>
        <w:t>C</w:t>
      </w:r>
      <w:r w:rsidR="007C51CA" w:rsidRPr="00F25E34">
        <w:rPr>
          <w:rFonts w:ascii="Arial" w:hAnsi="Arial" w:cs="Arial"/>
          <w:vertAlign w:val="subscript"/>
        </w:rPr>
        <w:t>max</w:t>
      </w:r>
      <w:proofErr w:type="spellEnd"/>
      <w:r w:rsidRPr="00F25E34">
        <w:rPr>
          <w:rFonts w:ascii="Arial" w:hAnsi="Arial" w:cs="Arial"/>
        </w:rPr>
        <w:t xml:space="preserve">) approximately </w:t>
      </w:r>
      <w:r w:rsidR="007C51CA" w:rsidRPr="00F25E34">
        <w:rPr>
          <w:rFonts w:ascii="Arial" w:hAnsi="Arial" w:cs="Arial"/>
        </w:rPr>
        <w:t>20</w:t>
      </w:r>
      <w:r w:rsidR="00A7548B">
        <w:rPr>
          <w:rFonts w:ascii="Arial" w:hAnsi="Arial" w:cs="Arial"/>
        </w:rPr>
        <w:t> </w:t>
      </w:r>
      <w:r w:rsidRPr="00F25E34">
        <w:rPr>
          <w:rFonts w:ascii="Arial" w:hAnsi="Arial" w:cs="Arial"/>
        </w:rPr>
        <w:t>times that anticipated at the maximum clinical dose.</w:t>
      </w:r>
    </w:p>
    <w:p w14:paraId="03297084" w14:textId="77777777" w:rsidR="00570359" w:rsidRPr="002F320A" w:rsidRDefault="00570359" w:rsidP="002F320A">
      <w:pPr>
        <w:pStyle w:val="NoSpacing"/>
        <w:rPr>
          <w:rFonts w:ascii="Arial" w:eastAsia="Calibri" w:hAnsi="Arial"/>
          <w:b/>
        </w:rPr>
      </w:pPr>
    </w:p>
    <w:p w14:paraId="5E3A69E9" w14:textId="77777777" w:rsidR="00085FD4" w:rsidRPr="002F320A" w:rsidRDefault="00085FD4" w:rsidP="00D900DC">
      <w:pPr>
        <w:pStyle w:val="Heading3"/>
        <w:rPr>
          <w:rFonts w:eastAsia="Calibri"/>
        </w:rPr>
      </w:pPr>
      <w:r w:rsidRPr="002F320A">
        <w:rPr>
          <w:rFonts w:eastAsia="Calibri"/>
        </w:rPr>
        <w:t>Effects on laboratory tests</w:t>
      </w:r>
    </w:p>
    <w:p w14:paraId="01FDEA63" w14:textId="64EA522F" w:rsidR="00085FD4" w:rsidRPr="0062381A" w:rsidRDefault="008F5F9B" w:rsidP="00B221E2">
      <w:pPr>
        <w:pStyle w:val="NoSpacing"/>
        <w:rPr>
          <w:rFonts w:ascii="Arial" w:hAnsi="Arial" w:cs="Arial"/>
        </w:rPr>
      </w:pPr>
      <w:r>
        <w:rPr>
          <w:rFonts w:ascii="Arial" w:hAnsi="Arial" w:cs="Arial"/>
        </w:rPr>
        <w:t xml:space="preserve">See section </w:t>
      </w:r>
      <w:hyperlink w:anchor="_special_warnings_and" w:history="1">
        <w:r w:rsidRPr="0062381A">
          <w:rPr>
            <w:rStyle w:val="Hyperlink"/>
            <w:rFonts w:ascii="Arial" w:hAnsi="Arial" w:cs="Arial"/>
          </w:rPr>
          <w:t>4.4 SPECIAL WARNINGS AND PRECAUTIONS FOR USE</w:t>
        </w:r>
      </w:hyperlink>
      <w:r>
        <w:rPr>
          <w:rFonts w:ascii="Arial" w:hAnsi="Arial" w:cs="Arial"/>
        </w:rPr>
        <w:t xml:space="preserve"> and section </w:t>
      </w:r>
      <w:hyperlink w:anchor="_ADVERSE_EFFECTS_(UNDESIRABLE" w:history="1">
        <w:r w:rsidRPr="0062381A">
          <w:rPr>
            <w:rStyle w:val="Hyperlink"/>
            <w:rFonts w:ascii="Arial" w:eastAsia="Calibri" w:hAnsi="Arial" w:cs="Arial"/>
          </w:rPr>
          <w:t>4.8 ADVERSE EFFECTS (UNDESIRABLE EFFECTS</w:t>
        </w:r>
      </w:hyperlink>
      <w:r>
        <w:rPr>
          <w:rFonts w:ascii="Arial" w:eastAsia="Calibri" w:hAnsi="Arial" w:cs="Arial"/>
        </w:rPr>
        <w:t>.</w:t>
      </w:r>
    </w:p>
    <w:p w14:paraId="05158A2C" w14:textId="77777777" w:rsidR="00085FD4" w:rsidRPr="0062381A" w:rsidRDefault="00085FD4" w:rsidP="00B221E2">
      <w:pPr>
        <w:pStyle w:val="NoSpacing"/>
        <w:rPr>
          <w:rFonts w:ascii="Arial" w:hAnsi="Arial" w:cs="Arial"/>
        </w:rPr>
      </w:pPr>
    </w:p>
    <w:p w14:paraId="266261ED" w14:textId="1B5F2627" w:rsidR="00085FD4" w:rsidRPr="0062381A" w:rsidRDefault="000C4737" w:rsidP="00D900DC">
      <w:pPr>
        <w:pStyle w:val="Heading2"/>
        <w:rPr>
          <w:rFonts w:eastAsia="Calibri"/>
        </w:rPr>
      </w:pPr>
      <w:bookmarkStart w:id="9" w:name="_INTERACTIONS_WITH_OTHER"/>
      <w:bookmarkStart w:id="10" w:name="_bookmark2"/>
      <w:bookmarkEnd w:id="9"/>
      <w:bookmarkEnd w:id="10"/>
      <w:r w:rsidRPr="002F320A">
        <w:rPr>
          <w:rFonts w:eastAsia="Calibri"/>
        </w:rPr>
        <w:t xml:space="preserve">INTERACTIONS WITH OTHER MEDICINES AND OTHER FORMS OF </w:t>
      </w:r>
      <w:r w:rsidR="006F0C78" w:rsidRPr="002F320A">
        <w:t>INTERACTION</w:t>
      </w:r>
      <w:r w:rsidR="00B47EB6">
        <w:t>S</w:t>
      </w:r>
    </w:p>
    <w:p w14:paraId="5F33BFAD" w14:textId="77777777" w:rsidR="00AE6A9D" w:rsidRPr="000511CF" w:rsidRDefault="00AE6A9D" w:rsidP="00D900DC">
      <w:pPr>
        <w:pStyle w:val="Heading3"/>
      </w:pPr>
      <w:r w:rsidRPr="002F320A">
        <w:rPr>
          <w:rFonts w:eastAsia="Calibri"/>
        </w:rPr>
        <w:t>CYP3A4 or CYP2C19 inducers</w:t>
      </w:r>
    </w:p>
    <w:p w14:paraId="2F95677B" w14:textId="6A69D05F" w:rsidR="00AE6A9D" w:rsidRPr="002F320A" w:rsidRDefault="00AE6A9D" w:rsidP="002F320A">
      <w:pPr>
        <w:pStyle w:val="NoSpacing"/>
        <w:rPr>
          <w:rFonts w:ascii="Arial" w:eastAsia="Calibri" w:hAnsi="Arial"/>
        </w:rPr>
      </w:pPr>
      <w:r w:rsidRPr="002F320A">
        <w:rPr>
          <w:rFonts w:ascii="Arial" w:eastAsia="Calibri" w:hAnsi="Arial"/>
        </w:rPr>
        <w:t xml:space="preserve">Strong inducers of CYP3A4, such as carbamazepine, enzalutamide, </w:t>
      </w:r>
      <w:proofErr w:type="spellStart"/>
      <w:r w:rsidRPr="002F320A">
        <w:rPr>
          <w:rFonts w:ascii="Arial" w:eastAsia="Calibri" w:hAnsi="Arial"/>
        </w:rPr>
        <w:t>mitotane</w:t>
      </w:r>
      <w:proofErr w:type="spellEnd"/>
      <w:r w:rsidRPr="002F320A">
        <w:rPr>
          <w:rFonts w:ascii="Arial" w:eastAsia="Calibri" w:hAnsi="Arial"/>
        </w:rPr>
        <w:t>, St. John’s</w:t>
      </w:r>
      <w:r w:rsidRPr="0062381A">
        <w:rPr>
          <w:rFonts w:ascii="Arial" w:eastAsia="Calibri" w:hAnsi="Arial" w:cs="Arial"/>
          <w:bCs/>
        </w:rPr>
        <w:t xml:space="preserve"> </w:t>
      </w:r>
      <w:proofErr w:type="spellStart"/>
      <w:r w:rsidRPr="002F320A">
        <w:rPr>
          <w:rFonts w:ascii="Arial" w:eastAsia="Calibri" w:hAnsi="Arial"/>
        </w:rPr>
        <w:t>wort</w:t>
      </w:r>
      <w:proofErr w:type="spellEnd"/>
      <w:r w:rsidRPr="002F320A">
        <w:rPr>
          <w:rFonts w:ascii="Arial" w:eastAsia="Calibri" w:hAnsi="Arial"/>
        </w:rPr>
        <w:t xml:space="preserve">, and/or strong inducers of CYP2C19, such as </w:t>
      </w:r>
      <w:proofErr w:type="spellStart"/>
      <w:r w:rsidRPr="002F320A">
        <w:rPr>
          <w:rFonts w:ascii="Arial" w:eastAsia="Calibri" w:hAnsi="Arial"/>
        </w:rPr>
        <w:t>rifampin</w:t>
      </w:r>
      <w:proofErr w:type="spellEnd"/>
      <w:r w:rsidRPr="002F320A">
        <w:rPr>
          <w:rFonts w:ascii="Arial" w:eastAsia="Calibri" w:hAnsi="Arial"/>
        </w:rPr>
        <w:t>, administered concomitantly with</w:t>
      </w:r>
      <w:r w:rsidDel="00572FDF">
        <w:rPr>
          <w:rFonts w:eastAsia="Calibri"/>
        </w:rPr>
        <w:t xml:space="preserve"> </w:t>
      </w:r>
      <w:r w:rsidR="00200C41" w:rsidRPr="002F320A">
        <w:rPr>
          <w:rFonts w:ascii="Arial" w:eastAsia="Calibri" w:hAnsi="Arial"/>
        </w:rPr>
        <w:t>EPIDYOLEX</w:t>
      </w:r>
      <w:r w:rsidRPr="002F320A">
        <w:rPr>
          <w:rFonts w:ascii="Arial" w:eastAsia="Calibri" w:hAnsi="Arial"/>
        </w:rPr>
        <w:t xml:space="preserve"> may decrease the plasma concentrations of cannabidiol and decrease the effectiveness of </w:t>
      </w:r>
      <w:r w:rsidR="00200C41" w:rsidRPr="002F320A">
        <w:rPr>
          <w:rFonts w:ascii="Arial" w:eastAsia="Calibri" w:hAnsi="Arial"/>
        </w:rPr>
        <w:t>EPIDYOLEX</w:t>
      </w:r>
      <w:r w:rsidRPr="002F320A">
        <w:rPr>
          <w:rFonts w:ascii="Arial" w:eastAsia="Calibri" w:hAnsi="Arial"/>
        </w:rPr>
        <w:t>. Dose adjustment may be necessary.</w:t>
      </w:r>
    </w:p>
    <w:p w14:paraId="193133C4" w14:textId="77777777" w:rsidR="00AE6A9D" w:rsidRPr="000511CF" w:rsidRDefault="00AE6A9D" w:rsidP="00D900DC">
      <w:pPr>
        <w:pStyle w:val="Heading3"/>
      </w:pPr>
      <w:r w:rsidRPr="002F320A">
        <w:rPr>
          <w:rFonts w:eastAsia="Calibri"/>
        </w:rPr>
        <w:t>UGT inhibitors</w:t>
      </w:r>
    </w:p>
    <w:p w14:paraId="5EC560FF" w14:textId="5E54C70C" w:rsidR="00AE6A9D" w:rsidRPr="002F320A" w:rsidRDefault="003845E3" w:rsidP="002F320A">
      <w:pPr>
        <w:pStyle w:val="NoSpacing"/>
        <w:rPr>
          <w:rFonts w:ascii="Arial" w:eastAsia="Calibri" w:hAnsi="Arial"/>
        </w:rPr>
      </w:pPr>
      <w:r w:rsidRPr="00BE0F59">
        <w:rPr>
          <w:rFonts w:ascii="Arial" w:hAnsi="Arial"/>
        </w:rPr>
        <w:t>EPIDYOLEX</w:t>
      </w:r>
      <w:r w:rsidRPr="002F320A" w:rsidDel="003845E3">
        <w:rPr>
          <w:rFonts w:ascii="Arial" w:eastAsia="Calibri" w:hAnsi="Arial"/>
        </w:rPr>
        <w:t xml:space="preserve"> </w:t>
      </w:r>
      <w:r w:rsidR="00AE6A9D" w:rsidRPr="002F320A">
        <w:rPr>
          <w:rFonts w:ascii="Arial" w:eastAsia="Calibri" w:hAnsi="Arial"/>
        </w:rPr>
        <w:t xml:space="preserve">is a substrate for UGT1A7, UGT1A9 and UGT2B7. No formal drug-drug interaction studies have been conducted with </w:t>
      </w:r>
      <w:r w:rsidR="00200C41" w:rsidRPr="002F320A">
        <w:rPr>
          <w:rFonts w:ascii="Arial" w:eastAsia="Calibri" w:hAnsi="Arial"/>
        </w:rPr>
        <w:t>EPIDYOLEX</w:t>
      </w:r>
      <w:r w:rsidR="00AE6A9D" w:rsidRPr="002F320A">
        <w:rPr>
          <w:rFonts w:ascii="Arial" w:eastAsia="Calibri" w:hAnsi="Arial"/>
        </w:rPr>
        <w:t xml:space="preserve"> in combination with UGT inhibitors, therefore caution should be taken when co-administering drugs that are known inhibitors of these UGTs. Dose reduction of </w:t>
      </w:r>
      <w:r w:rsidR="00200C41" w:rsidRPr="002F320A">
        <w:rPr>
          <w:rFonts w:ascii="Arial" w:eastAsia="Calibri" w:hAnsi="Arial"/>
        </w:rPr>
        <w:t>EPIDYOLEX</w:t>
      </w:r>
      <w:r w:rsidR="00AE6A9D" w:rsidRPr="002F320A">
        <w:rPr>
          <w:rFonts w:ascii="Arial" w:eastAsia="Calibri" w:hAnsi="Arial"/>
        </w:rPr>
        <w:t xml:space="preserve"> and/or the inhibitor may be necessary when given in combination.</w:t>
      </w:r>
    </w:p>
    <w:p w14:paraId="5526EC81" w14:textId="77777777" w:rsidR="00AE6A9D" w:rsidRPr="002F320A" w:rsidRDefault="00AE6A9D" w:rsidP="002F320A">
      <w:pPr>
        <w:pStyle w:val="NoSpacing"/>
        <w:rPr>
          <w:rFonts w:ascii="Arial" w:eastAsia="Calibri" w:hAnsi="Arial"/>
        </w:rPr>
      </w:pPr>
    </w:p>
    <w:p w14:paraId="514BF0D8" w14:textId="77777777" w:rsidR="00AE6A9D" w:rsidRPr="000511CF" w:rsidRDefault="00AE6A9D" w:rsidP="00D900DC">
      <w:pPr>
        <w:pStyle w:val="Heading3"/>
      </w:pPr>
      <w:r w:rsidRPr="002F320A">
        <w:rPr>
          <w:rFonts w:eastAsia="Calibri"/>
        </w:rPr>
        <w:t>Concomitant AED treatments</w:t>
      </w:r>
    </w:p>
    <w:p w14:paraId="2990A33D" w14:textId="4DCA7302" w:rsidR="00AE6A9D" w:rsidRPr="002F320A" w:rsidRDefault="00AE6A9D" w:rsidP="002F320A">
      <w:pPr>
        <w:pStyle w:val="NoSpacing"/>
        <w:rPr>
          <w:rFonts w:ascii="Arial" w:eastAsia="Calibri" w:hAnsi="Arial"/>
        </w:rPr>
      </w:pPr>
      <w:r w:rsidRPr="002F320A">
        <w:rPr>
          <w:rFonts w:ascii="Arial" w:eastAsia="Calibri" w:hAnsi="Arial"/>
        </w:rPr>
        <w:t xml:space="preserve">The pharmacokinetics of </w:t>
      </w:r>
      <w:r w:rsidR="00200C41" w:rsidRPr="002F320A">
        <w:rPr>
          <w:rFonts w:ascii="Arial" w:eastAsia="Calibri" w:hAnsi="Arial"/>
        </w:rPr>
        <w:t>EPIDYOLEX</w:t>
      </w:r>
      <w:r w:rsidRPr="002F320A">
        <w:rPr>
          <w:rFonts w:ascii="Arial" w:eastAsia="Calibri" w:hAnsi="Arial"/>
        </w:rPr>
        <w:t xml:space="preserve"> are complex and may cause interactions with the patient’s concomitant AED treatments. </w:t>
      </w:r>
      <w:r w:rsidR="00200C41" w:rsidRPr="002F320A">
        <w:rPr>
          <w:rFonts w:ascii="Arial" w:eastAsia="Calibri" w:hAnsi="Arial"/>
        </w:rPr>
        <w:t>EPIDYOLEX</w:t>
      </w:r>
      <w:r w:rsidRPr="002F320A">
        <w:rPr>
          <w:rFonts w:ascii="Arial" w:eastAsia="Calibri" w:hAnsi="Arial"/>
        </w:rPr>
        <w:t xml:space="preserve"> and/or concomitant AED treatment should therefore be adjusted during regular medical supervision and the patient should be closely monitored for adverse drug reactions. In addition, monitoring of plasma concentrations should be considered.</w:t>
      </w:r>
    </w:p>
    <w:p w14:paraId="2CD321BE" w14:textId="77777777" w:rsidR="00AE6A9D" w:rsidRPr="002F320A" w:rsidRDefault="00AE6A9D" w:rsidP="002F320A">
      <w:pPr>
        <w:pStyle w:val="NoSpacing"/>
        <w:rPr>
          <w:rFonts w:ascii="Arial" w:eastAsia="Calibri" w:hAnsi="Arial"/>
        </w:rPr>
      </w:pPr>
    </w:p>
    <w:p w14:paraId="3AC253E9" w14:textId="5806AD42" w:rsidR="00AE6A9D" w:rsidRPr="002F320A" w:rsidRDefault="00AE6A9D" w:rsidP="002F320A">
      <w:pPr>
        <w:pStyle w:val="NoSpacing"/>
        <w:rPr>
          <w:rFonts w:ascii="Arial" w:eastAsia="Calibri" w:hAnsi="Arial"/>
        </w:rPr>
      </w:pPr>
      <w:r w:rsidRPr="002F320A">
        <w:rPr>
          <w:rFonts w:ascii="Arial" w:eastAsia="Calibri" w:hAnsi="Arial"/>
        </w:rPr>
        <w:t xml:space="preserve">The potential for drug-drug interactions with other concomitant AEDs has been assessed in healthy volunteers and patients with epilepsy for </w:t>
      </w:r>
      <w:proofErr w:type="spellStart"/>
      <w:r w:rsidRPr="002F320A">
        <w:rPr>
          <w:rFonts w:ascii="Arial" w:eastAsia="Calibri" w:hAnsi="Arial"/>
        </w:rPr>
        <w:t>clobazam</w:t>
      </w:r>
      <w:proofErr w:type="spellEnd"/>
      <w:r w:rsidRPr="002F320A">
        <w:rPr>
          <w:rFonts w:ascii="Arial" w:eastAsia="Calibri" w:hAnsi="Arial"/>
        </w:rPr>
        <w:t xml:space="preserve">, valproate and </w:t>
      </w:r>
      <w:proofErr w:type="spellStart"/>
      <w:r w:rsidRPr="002F320A">
        <w:rPr>
          <w:rFonts w:ascii="Arial" w:eastAsia="Calibri" w:hAnsi="Arial"/>
        </w:rPr>
        <w:t>stiripentol</w:t>
      </w:r>
      <w:proofErr w:type="spellEnd"/>
      <w:r w:rsidRPr="002F320A">
        <w:rPr>
          <w:rFonts w:ascii="Arial" w:eastAsia="Calibri" w:hAnsi="Arial"/>
        </w:rPr>
        <w:t xml:space="preserve">. Although no formal drug-drug interaction studies have been performed for other AEDs, phenytoin and lamotrigine are addressed based on </w:t>
      </w:r>
      <w:r w:rsidRPr="002F320A">
        <w:rPr>
          <w:rFonts w:ascii="Arial" w:eastAsia="Calibri" w:hAnsi="Arial"/>
          <w:i/>
        </w:rPr>
        <w:t>in vitro</w:t>
      </w:r>
      <w:r w:rsidRPr="002F320A">
        <w:rPr>
          <w:rFonts w:ascii="Arial" w:eastAsia="Calibri" w:hAnsi="Arial"/>
        </w:rPr>
        <w:t xml:space="preserve"> data.</w:t>
      </w:r>
    </w:p>
    <w:p w14:paraId="4C19DBF9" w14:textId="77777777" w:rsidR="00AE6A9D" w:rsidRPr="002F320A" w:rsidRDefault="00AE6A9D" w:rsidP="002F320A">
      <w:pPr>
        <w:pStyle w:val="NoSpacing"/>
        <w:rPr>
          <w:rFonts w:ascii="Arial" w:eastAsia="Calibri" w:hAnsi="Arial"/>
        </w:rPr>
      </w:pPr>
    </w:p>
    <w:p w14:paraId="1718C07E" w14:textId="77777777" w:rsidR="00AE6A9D" w:rsidRPr="002F320A" w:rsidRDefault="00AE6A9D" w:rsidP="00D900DC">
      <w:pPr>
        <w:pStyle w:val="Heading4"/>
      </w:pPr>
      <w:proofErr w:type="spellStart"/>
      <w:r w:rsidRPr="002F320A">
        <w:t>Clobazam</w:t>
      </w:r>
      <w:proofErr w:type="spellEnd"/>
    </w:p>
    <w:p w14:paraId="2B9D5DDE" w14:textId="56A04ED1" w:rsidR="00AE6A9D" w:rsidRPr="002F320A" w:rsidRDefault="00AE6A9D" w:rsidP="002F320A">
      <w:pPr>
        <w:pStyle w:val="NoSpacing"/>
        <w:rPr>
          <w:rFonts w:ascii="Arial" w:eastAsia="Calibri" w:hAnsi="Arial"/>
        </w:rPr>
      </w:pPr>
      <w:r w:rsidRPr="002F320A">
        <w:rPr>
          <w:rFonts w:ascii="Arial" w:eastAsia="Calibri" w:hAnsi="Arial"/>
        </w:rPr>
        <w:t xml:space="preserve">When </w:t>
      </w:r>
      <w:r w:rsidR="00200C41" w:rsidRPr="002F320A">
        <w:rPr>
          <w:rFonts w:ascii="Arial" w:eastAsia="Calibri" w:hAnsi="Arial"/>
        </w:rPr>
        <w:t>EPIDYOLEX</w:t>
      </w:r>
      <w:r w:rsidRPr="002F320A">
        <w:rPr>
          <w:rFonts w:ascii="Arial" w:eastAsia="Calibri" w:hAnsi="Arial"/>
        </w:rPr>
        <w:t xml:space="preserve"> and </w:t>
      </w:r>
      <w:proofErr w:type="spellStart"/>
      <w:r w:rsidRPr="002F320A">
        <w:rPr>
          <w:rFonts w:ascii="Arial" w:eastAsia="Calibri" w:hAnsi="Arial"/>
        </w:rPr>
        <w:t>clobazam</w:t>
      </w:r>
      <w:proofErr w:type="spellEnd"/>
      <w:r w:rsidRPr="002F320A">
        <w:rPr>
          <w:rFonts w:ascii="Arial" w:eastAsia="Calibri" w:hAnsi="Arial"/>
        </w:rPr>
        <w:t xml:space="preserve"> are co-administered, bi-directional PK interactions occur. Based on a healthy volunteer study, elevated levels (3- to 4-fold) of N-</w:t>
      </w:r>
      <w:proofErr w:type="spellStart"/>
      <w:r w:rsidRPr="002F320A">
        <w:rPr>
          <w:rFonts w:ascii="Arial" w:eastAsia="Calibri" w:hAnsi="Arial"/>
        </w:rPr>
        <w:t>desmethylclobazam</w:t>
      </w:r>
      <w:proofErr w:type="spellEnd"/>
      <w:r w:rsidRPr="002F320A">
        <w:rPr>
          <w:rFonts w:ascii="Arial" w:eastAsia="Calibri" w:hAnsi="Arial"/>
        </w:rPr>
        <w:t xml:space="preserve"> (an active metabolite of </w:t>
      </w:r>
      <w:proofErr w:type="spellStart"/>
      <w:r w:rsidRPr="002F320A">
        <w:rPr>
          <w:rFonts w:ascii="Arial" w:eastAsia="Calibri" w:hAnsi="Arial"/>
        </w:rPr>
        <w:t>clobazam</w:t>
      </w:r>
      <w:proofErr w:type="spellEnd"/>
      <w:r w:rsidRPr="002F320A">
        <w:rPr>
          <w:rFonts w:ascii="Arial" w:eastAsia="Calibri" w:hAnsi="Arial"/>
        </w:rPr>
        <w:t>) can occur when combined with cannabidiol, likely mediated by CYP2C19 inhibition. In addition, there was an increased exposure to 7-hydroxy-cannabidiol (7</w:t>
      </w:r>
      <w:r w:rsidR="006155F2">
        <w:rPr>
          <w:rFonts w:ascii="Arial" w:eastAsia="Calibri" w:hAnsi="Arial"/>
        </w:rPr>
        <w:noBreakHyphen/>
      </w:r>
      <w:r w:rsidRPr="002F320A">
        <w:rPr>
          <w:rFonts w:ascii="Arial" w:eastAsia="Calibri" w:hAnsi="Arial"/>
        </w:rPr>
        <w:t xml:space="preserve">OH-CBD; an active metabolite of cannabidiol), for which plasma area under the curve (AUC) increased by 47% (see section </w:t>
      </w:r>
      <w:hyperlink w:anchor="_PHARMACOKINETIC_PROPERTIES" w:history="1">
        <w:r w:rsidR="007661B5" w:rsidRPr="0062381A">
          <w:rPr>
            <w:rStyle w:val="Hyperlink"/>
            <w:rFonts w:ascii="Arial" w:hAnsi="Arial" w:cs="Arial"/>
          </w:rPr>
          <w:t>5.2 PHARMACOKINETIC PROPERTIES</w:t>
        </w:r>
      </w:hyperlink>
      <w:r w:rsidRPr="00767AC2">
        <w:rPr>
          <w:rFonts w:ascii="Arial" w:eastAsia="Calibri" w:hAnsi="Arial" w:cs="Arial"/>
        </w:rPr>
        <w:t xml:space="preserve">). </w:t>
      </w:r>
      <w:r w:rsidRPr="002F320A">
        <w:rPr>
          <w:rFonts w:ascii="Arial" w:eastAsia="Calibri" w:hAnsi="Arial"/>
        </w:rPr>
        <w:t xml:space="preserve">Increased systemic levels of these active substances may lead to enhanced pharmacological effects and to an increase in adverse drug reactions. Concomitant use of </w:t>
      </w:r>
      <w:r w:rsidR="00200C41" w:rsidRPr="002F320A">
        <w:rPr>
          <w:rFonts w:ascii="Arial" w:eastAsia="Calibri" w:hAnsi="Arial"/>
        </w:rPr>
        <w:t>EPIDYOLEX</w:t>
      </w:r>
      <w:r w:rsidRPr="002F320A">
        <w:rPr>
          <w:rFonts w:ascii="Arial" w:eastAsia="Calibri" w:hAnsi="Arial"/>
        </w:rPr>
        <w:t xml:space="preserve"> and </w:t>
      </w:r>
      <w:proofErr w:type="spellStart"/>
      <w:r w:rsidRPr="002F320A">
        <w:rPr>
          <w:rFonts w:ascii="Arial" w:eastAsia="Calibri" w:hAnsi="Arial"/>
        </w:rPr>
        <w:t>clobazam</w:t>
      </w:r>
      <w:proofErr w:type="spellEnd"/>
      <w:r w:rsidRPr="002F320A">
        <w:rPr>
          <w:rFonts w:ascii="Arial" w:eastAsia="Calibri" w:hAnsi="Arial"/>
        </w:rPr>
        <w:t xml:space="preserve"> increases the incidence of somnolence and sedation compared with placebo (see section</w:t>
      </w:r>
      <w:r w:rsidR="004279F3" w:rsidRPr="002F320A">
        <w:rPr>
          <w:rFonts w:ascii="Arial" w:eastAsia="Calibri" w:hAnsi="Arial"/>
        </w:rPr>
        <w:t xml:space="preserve"> </w:t>
      </w:r>
      <w:hyperlink w:anchor="_special_warnings_and" w:history="1">
        <w:r w:rsidR="004279F3" w:rsidRPr="0062381A">
          <w:rPr>
            <w:rStyle w:val="Hyperlink"/>
            <w:rFonts w:ascii="Arial" w:hAnsi="Arial" w:cs="Arial"/>
          </w:rPr>
          <w:t>4.4 SPECIAL WARNINGS AND PRECAUTIONS FOR USE</w:t>
        </w:r>
      </w:hyperlink>
      <w:r w:rsidRPr="00767AC2">
        <w:rPr>
          <w:rFonts w:ascii="Arial" w:eastAsia="Calibri" w:hAnsi="Arial" w:cs="Arial"/>
        </w:rPr>
        <w:t xml:space="preserve"> and </w:t>
      </w:r>
      <w:r w:rsidR="004279F3" w:rsidRPr="00767AC2">
        <w:rPr>
          <w:rFonts w:ascii="Arial" w:eastAsia="Calibri" w:hAnsi="Arial" w:cs="Arial"/>
        </w:rPr>
        <w:t xml:space="preserve">section </w:t>
      </w:r>
      <w:hyperlink w:anchor="_ADVERSE_EFFECTS_(UNDESIRABLE" w:history="1">
        <w:r w:rsidR="004279F3" w:rsidRPr="0062381A">
          <w:rPr>
            <w:rStyle w:val="Hyperlink"/>
            <w:rFonts w:ascii="Arial" w:eastAsia="Calibri" w:hAnsi="Arial" w:cs="Arial"/>
          </w:rPr>
          <w:t>4.8 ADVERSE EFFECTS (UNDESIRABLE EFFECTS</w:t>
        </w:r>
      </w:hyperlink>
      <w:r w:rsidRPr="00767AC2">
        <w:rPr>
          <w:rFonts w:ascii="Arial" w:eastAsia="Calibri" w:hAnsi="Arial" w:cs="Arial"/>
        </w:rPr>
        <w:t>).</w:t>
      </w:r>
      <w:r w:rsidRPr="002F320A">
        <w:rPr>
          <w:rFonts w:ascii="Arial" w:eastAsia="Calibri" w:hAnsi="Arial"/>
        </w:rPr>
        <w:t xml:space="preserve"> Reduction in dose of </w:t>
      </w:r>
      <w:proofErr w:type="spellStart"/>
      <w:r w:rsidRPr="002F320A">
        <w:rPr>
          <w:rFonts w:ascii="Arial" w:eastAsia="Calibri" w:hAnsi="Arial"/>
        </w:rPr>
        <w:t>clobazam</w:t>
      </w:r>
      <w:proofErr w:type="spellEnd"/>
      <w:r w:rsidRPr="002F320A">
        <w:rPr>
          <w:rFonts w:ascii="Arial" w:eastAsia="Calibri" w:hAnsi="Arial"/>
        </w:rPr>
        <w:t xml:space="preserve"> should be considered if somnolence or sedation are experienced when </w:t>
      </w:r>
      <w:proofErr w:type="spellStart"/>
      <w:r w:rsidRPr="002F320A">
        <w:rPr>
          <w:rFonts w:ascii="Arial" w:eastAsia="Calibri" w:hAnsi="Arial"/>
        </w:rPr>
        <w:t>clobazam</w:t>
      </w:r>
      <w:proofErr w:type="spellEnd"/>
      <w:r w:rsidRPr="002F320A">
        <w:rPr>
          <w:rFonts w:ascii="Arial" w:eastAsia="Calibri" w:hAnsi="Arial"/>
        </w:rPr>
        <w:t xml:space="preserve"> is co-administered with </w:t>
      </w:r>
      <w:r w:rsidR="00200C41" w:rsidRPr="002F320A">
        <w:rPr>
          <w:rFonts w:ascii="Arial" w:eastAsia="Calibri" w:hAnsi="Arial"/>
        </w:rPr>
        <w:t>EPIDYOLEX</w:t>
      </w:r>
      <w:r w:rsidRPr="002F320A">
        <w:rPr>
          <w:rFonts w:ascii="Arial" w:eastAsia="Calibri" w:hAnsi="Arial"/>
        </w:rPr>
        <w:t>.</w:t>
      </w:r>
    </w:p>
    <w:p w14:paraId="4F26DB0C" w14:textId="77777777" w:rsidR="00AE6A9D" w:rsidRPr="0062381A" w:rsidRDefault="00AE6A9D" w:rsidP="00AE6A9D">
      <w:pPr>
        <w:pStyle w:val="NoSpacing"/>
        <w:rPr>
          <w:rFonts w:ascii="Arial" w:eastAsia="Calibri" w:hAnsi="Arial" w:cs="Arial"/>
          <w:bCs/>
        </w:rPr>
      </w:pPr>
    </w:p>
    <w:p w14:paraId="3EEE6BE6" w14:textId="20AE4D8D" w:rsidR="001B3E6D" w:rsidRPr="002F320A" w:rsidRDefault="00AE6A9D" w:rsidP="00D900DC">
      <w:pPr>
        <w:pStyle w:val="Heading4"/>
      </w:pPr>
      <w:r w:rsidRPr="002F320A">
        <w:t>Valproate</w:t>
      </w:r>
    </w:p>
    <w:p w14:paraId="71CE004B" w14:textId="7C5B4684" w:rsidR="00AE6A9D" w:rsidRPr="002F320A" w:rsidRDefault="00AE6A9D" w:rsidP="002F320A">
      <w:pPr>
        <w:pStyle w:val="NoSpacing"/>
        <w:rPr>
          <w:rFonts w:ascii="Arial" w:eastAsia="Calibri" w:hAnsi="Arial"/>
        </w:rPr>
      </w:pPr>
      <w:r w:rsidRPr="002F320A">
        <w:rPr>
          <w:rFonts w:ascii="Arial" w:eastAsia="Calibri" w:hAnsi="Arial"/>
        </w:rPr>
        <w:t xml:space="preserve">Concomitant use of </w:t>
      </w:r>
      <w:r w:rsidR="00200C41" w:rsidRPr="002F320A">
        <w:rPr>
          <w:rFonts w:ascii="Arial" w:eastAsia="Calibri" w:hAnsi="Arial"/>
        </w:rPr>
        <w:t>EPIDYOLEX</w:t>
      </w:r>
      <w:r w:rsidRPr="002F320A">
        <w:rPr>
          <w:rFonts w:ascii="Arial" w:eastAsia="Calibri" w:hAnsi="Arial"/>
        </w:rPr>
        <w:t xml:space="preserve"> and valproate increases the incidence of transaminase enzyme elevations (see section </w:t>
      </w:r>
      <w:hyperlink w:anchor="_special_warnings_and" w:history="1">
        <w:r w:rsidRPr="0062381A">
          <w:rPr>
            <w:rStyle w:val="Hyperlink"/>
            <w:rFonts w:ascii="Arial" w:hAnsi="Arial" w:cs="Arial"/>
          </w:rPr>
          <w:t>4.4 SPECIAL WARNINGS AND PRECAUTIONS FOR USE</w:t>
        </w:r>
      </w:hyperlink>
      <w:r w:rsidRPr="0062381A">
        <w:rPr>
          <w:rFonts w:ascii="Arial" w:eastAsia="Calibri" w:hAnsi="Arial" w:cs="Arial"/>
          <w:bCs/>
        </w:rPr>
        <w:t>).</w:t>
      </w:r>
      <w:r w:rsidRPr="002F320A">
        <w:rPr>
          <w:rFonts w:ascii="Arial" w:eastAsia="Calibri" w:hAnsi="Arial"/>
        </w:rPr>
        <w:t xml:space="preserve"> The mechanism of this interaction remains unknown. If clinically significant increases of transaminases occur, </w:t>
      </w:r>
      <w:r w:rsidR="00200C41" w:rsidRPr="002F320A">
        <w:rPr>
          <w:rFonts w:ascii="Arial" w:eastAsia="Calibri" w:hAnsi="Arial"/>
        </w:rPr>
        <w:t>EPIDYOLEX</w:t>
      </w:r>
      <w:r w:rsidRPr="002F320A">
        <w:rPr>
          <w:rFonts w:ascii="Arial" w:eastAsia="Calibri" w:hAnsi="Arial"/>
        </w:rPr>
        <w:t xml:space="preserve"> and/or concomitant valproate should be reduced or discontinued in all patients until a recovery of transaminase elevations are observed (see section </w:t>
      </w:r>
      <w:hyperlink w:anchor="_special_warnings_and" w:history="1">
        <w:r w:rsidRPr="0062381A">
          <w:rPr>
            <w:rStyle w:val="Hyperlink"/>
            <w:rFonts w:ascii="Arial" w:hAnsi="Arial" w:cs="Arial"/>
          </w:rPr>
          <w:t>4.4 SPECIAL WARNINGS AND PRECAUTIONS FOR USE</w:t>
        </w:r>
      </w:hyperlink>
      <w:r w:rsidR="00D76E2F" w:rsidRPr="0062381A">
        <w:rPr>
          <w:rFonts w:ascii="Arial" w:eastAsia="Calibri" w:hAnsi="Arial" w:cs="Arial"/>
        </w:rPr>
        <w:t>).</w:t>
      </w:r>
      <w:r w:rsidRPr="002F320A">
        <w:rPr>
          <w:rFonts w:ascii="Arial" w:eastAsia="Calibri" w:hAnsi="Arial"/>
        </w:rPr>
        <w:t xml:space="preserve"> Insufficient data are available to assess the risk of concomitant administration of other hepatotoxic medicinal products and </w:t>
      </w:r>
      <w:r w:rsidR="00200C41" w:rsidRPr="002F320A">
        <w:rPr>
          <w:rFonts w:ascii="Arial" w:eastAsia="Calibri" w:hAnsi="Arial"/>
        </w:rPr>
        <w:t>EPIDYOLEX</w:t>
      </w:r>
      <w:r w:rsidRPr="002F320A">
        <w:rPr>
          <w:rFonts w:ascii="Arial" w:eastAsia="Calibri" w:hAnsi="Arial"/>
        </w:rPr>
        <w:t xml:space="preserve"> (see section </w:t>
      </w:r>
      <w:hyperlink w:anchor="_special_warnings_and" w:history="1">
        <w:r w:rsidRPr="0062381A">
          <w:rPr>
            <w:rStyle w:val="Hyperlink"/>
            <w:rFonts w:ascii="Arial" w:hAnsi="Arial" w:cs="Arial"/>
          </w:rPr>
          <w:t>4.4 SPECIAL WARNINGS AND PRECAUTIONS FOR USE</w:t>
        </w:r>
      </w:hyperlink>
      <w:r w:rsidRPr="002F320A">
        <w:rPr>
          <w:rFonts w:ascii="Arial" w:eastAsia="Calibri" w:hAnsi="Arial"/>
        </w:rPr>
        <w:t>).</w:t>
      </w:r>
    </w:p>
    <w:p w14:paraId="06EE23AD" w14:textId="77777777" w:rsidR="00AE6A9D" w:rsidRPr="002F320A" w:rsidRDefault="00AE6A9D" w:rsidP="002F320A">
      <w:pPr>
        <w:pStyle w:val="NoSpacing"/>
        <w:rPr>
          <w:rFonts w:ascii="Arial" w:eastAsia="Calibri" w:hAnsi="Arial"/>
        </w:rPr>
      </w:pPr>
    </w:p>
    <w:p w14:paraId="78DB6302" w14:textId="07EF9E1D" w:rsidR="00AE6A9D" w:rsidRPr="002F320A" w:rsidRDefault="00AE6A9D" w:rsidP="002F320A">
      <w:pPr>
        <w:pStyle w:val="NoSpacing"/>
        <w:rPr>
          <w:rFonts w:ascii="Arial" w:eastAsia="Calibri" w:hAnsi="Arial"/>
        </w:rPr>
      </w:pPr>
      <w:r w:rsidRPr="002F320A">
        <w:rPr>
          <w:rFonts w:ascii="Arial" w:eastAsia="Calibri" w:hAnsi="Arial"/>
        </w:rPr>
        <w:t xml:space="preserve">Concomitant use of </w:t>
      </w:r>
      <w:r w:rsidR="00200C41" w:rsidRPr="002F320A">
        <w:rPr>
          <w:rFonts w:ascii="Arial" w:eastAsia="Calibri" w:hAnsi="Arial"/>
        </w:rPr>
        <w:t>EPIDYOLEX</w:t>
      </w:r>
      <w:r w:rsidRPr="002F320A">
        <w:rPr>
          <w:rFonts w:ascii="Arial" w:eastAsia="Calibri" w:hAnsi="Arial"/>
        </w:rPr>
        <w:t xml:space="preserve"> and valproate increases the incidence of diarrhoea and events of decreased appetite. The mechanism of this interaction is unknown.</w:t>
      </w:r>
    </w:p>
    <w:p w14:paraId="137248A7" w14:textId="77777777" w:rsidR="00AE6A9D" w:rsidRPr="002F320A" w:rsidRDefault="00AE6A9D" w:rsidP="002F320A">
      <w:pPr>
        <w:pStyle w:val="NoSpacing"/>
        <w:rPr>
          <w:rFonts w:ascii="Arial" w:eastAsia="Calibri" w:hAnsi="Arial"/>
        </w:rPr>
      </w:pPr>
    </w:p>
    <w:p w14:paraId="2259EB23" w14:textId="77777777" w:rsidR="00AE6A9D" w:rsidRPr="002F320A" w:rsidRDefault="00AE6A9D" w:rsidP="00D900DC">
      <w:pPr>
        <w:pStyle w:val="Heading4"/>
      </w:pPr>
      <w:r w:rsidRPr="002F320A">
        <w:t>Stiripentol</w:t>
      </w:r>
    </w:p>
    <w:p w14:paraId="6E9E6797" w14:textId="7E0790BA" w:rsidR="00AE6A9D" w:rsidRPr="002F320A" w:rsidRDefault="00AE6A9D" w:rsidP="002F320A">
      <w:pPr>
        <w:pStyle w:val="NoSpacing"/>
        <w:rPr>
          <w:rFonts w:ascii="Arial" w:eastAsia="Calibri" w:hAnsi="Arial"/>
        </w:rPr>
      </w:pPr>
      <w:r w:rsidRPr="002F320A">
        <w:rPr>
          <w:rFonts w:ascii="Arial" w:eastAsia="Calibri" w:hAnsi="Arial"/>
        </w:rPr>
        <w:t xml:space="preserve">When </w:t>
      </w:r>
      <w:r w:rsidR="00200C41" w:rsidRPr="002F320A">
        <w:rPr>
          <w:rFonts w:ascii="Arial" w:eastAsia="Calibri" w:hAnsi="Arial"/>
        </w:rPr>
        <w:t>EPIDYOLEX</w:t>
      </w:r>
      <w:r w:rsidRPr="002F320A">
        <w:rPr>
          <w:rFonts w:ascii="Arial" w:eastAsia="Calibri" w:hAnsi="Arial"/>
        </w:rPr>
        <w:t xml:space="preserve"> was combined with </w:t>
      </w:r>
      <w:proofErr w:type="spellStart"/>
      <w:r w:rsidRPr="002F320A">
        <w:rPr>
          <w:rFonts w:ascii="Arial" w:eastAsia="Calibri" w:hAnsi="Arial"/>
        </w:rPr>
        <w:t>stiripentol</w:t>
      </w:r>
      <w:proofErr w:type="spellEnd"/>
      <w:r w:rsidRPr="002F320A">
        <w:rPr>
          <w:rFonts w:ascii="Arial" w:eastAsia="Calibri" w:hAnsi="Arial"/>
        </w:rPr>
        <w:t xml:space="preserve"> there was a minor increase in </w:t>
      </w:r>
      <w:proofErr w:type="spellStart"/>
      <w:r w:rsidRPr="002F320A">
        <w:rPr>
          <w:rFonts w:ascii="Arial" w:eastAsia="Calibri" w:hAnsi="Arial"/>
        </w:rPr>
        <w:t>stiripentol</w:t>
      </w:r>
      <w:proofErr w:type="spellEnd"/>
      <w:r w:rsidRPr="002F320A">
        <w:rPr>
          <w:rFonts w:ascii="Arial" w:eastAsia="Calibri" w:hAnsi="Arial"/>
        </w:rPr>
        <w:t xml:space="preserve"> levels of 28% for </w:t>
      </w:r>
      <w:proofErr w:type="spellStart"/>
      <w:r w:rsidRPr="002F320A">
        <w:rPr>
          <w:rFonts w:ascii="Arial" w:eastAsia="Calibri" w:hAnsi="Arial"/>
        </w:rPr>
        <w:t>C</w:t>
      </w:r>
      <w:r w:rsidRPr="002F320A">
        <w:rPr>
          <w:rFonts w:ascii="Arial" w:eastAsia="Calibri" w:hAnsi="Arial"/>
          <w:vertAlign w:val="subscript"/>
        </w:rPr>
        <w:t>max</w:t>
      </w:r>
      <w:proofErr w:type="spellEnd"/>
      <w:r w:rsidRPr="002F320A">
        <w:rPr>
          <w:rFonts w:ascii="Arial" w:eastAsia="Calibri" w:hAnsi="Arial"/>
        </w:rPr>
        <w:t xml:space="preserve"> and 55% for AUC. The clinical relevance of this is unknown, but the patient should be closely monitored for adverse drug reactions.</w:t>
      </w:r>
    </w:p>
    <w:p w14:paraId="4DF90FCE" w14:textId="77777777" w:rsidR="00AE6A9D" w:rsidRPr="002F320A" w:rsidRDefault="00AE6A9D" w:rsidP="002F320A">
      <w:pPr>
        <w:pStyle w:val="NoSpacing"/>
        <w:rPr>
          <w:rFonts w:ascii="Arial" w:eastAsia="Calibri" w:hAnsi="Arial"/>
        </w:rPr>
      </w:pPr>
    </w:p>
    <w:p w14:paraId="66E026BA" w14:textId="77777777" w:rsidR="00AE6A9D" w:rsidRPr="002F320A" w:rsidRDefault="00AE6A9D" w:rsidP="00D900DC">
      <w:pPr>
        <w:pStyle w:val="Heading4"/>
      </w:pPr>
      <w:r w:rsidRPr="002F320A">
        <w:t>Phenytoin</w:t>
      </w:r>
    </w:p>
    <w:p w14:paraId="403AA60E" w14:textId="51415D13" w:rsidR="00AE6A9D" w:rsidRPr="002F320A" w:rsidRDefault="00AE6A9D" w:rsidP="002F320A">
      <w:pPr>
        <w:pStyle w:val="NoSpacing"/>
        <w:rPr>
          <w:rFonts w:ascii="Arial" w:eastAsia="Calibri" w:hAnsi="Arial"/>
        </w:rPr>
      </w:pPr>
      <w:r w:rsidRPr="002F320A">
        <w:rPr>
          <w:rFonts w:ascii="Arial" w:eastAsia="Calibri" w:hAnsi="Arial"/>
        </w:rPr>
        <w:t xml:space="preserve">Exposure to phenytoin may be increased when it is co-administered with </w:t>
      </w:r>
      <w:r w:rsidR="00200C41" w:rsidRPr="002F320A">
        <w:rPr>
          <w:rFonts w:ascii="Arial" w:eastAsia="Calibri" w:hAnsi="Arial"/>
        </w:rPr>
        <w:t>EPIDYOLEX</w:t>
      </w:r>
      <w:r w:rsidRPr="002F320A">
        <w:rPr>
          <w:rFonts w:ascii="Arial" w:eastAsia="Calibri" w:hAnsi="Arial"/>
        </w:rPr>
        <w:t xml:space="preserve">, as phenytoin is largely metabolised via CYP2C9, which is inhibited by cannabidiol </w:t>
      </w:r>
      <w:r w:rsidRPr="002F320A">
        <w:rPr>
          <w:rFonts w:ascii="Arial" w:eastAsia="Calibri" w:hAnsi="Arial"/>
          <w:i/>
        </w:rPr>
        <w:t>in vitro</w:t>
      </w:r>
      <w:r w:rsidRPr="002F320A">
        <w:rPr>
          <w:rFonts w:ascii="Arial" w:eastAsia="Calibri" w:hAnsi="Arial"/>
        </w:rPr>
        <w:t xml:space="preserve">. There have not been any clinical studies formally investigating this interaction. Phenytoin has a narrow therapeutic index, so combining </w:t>
      </w:r>
      <w:r w:rsidR="00200C41" w:rsidRPr="002F320A">
        <w:rPr>
          <w:rFonts w:ascii="Arial" w:eastAsia="Calibri" w:hAnsi="Arial"/>
        </w:rPr>
        <w:t>EPIDYOLEX</w:t>
      </w:r>
      <w:r w:rsidRPr="002F320A">
        <w:rPr>
          <w:rFonts w:ascii="Arial" w:eastAsia="Calibri" w:hAnsi="Arial"/>
        </w:rPr>
        <w:t xml:space="preserve"> with phenytoin should be initiated with caution and if tolerability issues arise, dose reduction of phenytoin should be considered.</w:t>
      </w:r>
    </w:p>
    <w:p w14:paraId="250143ED" w14:textId="77777777" w:rsidR="00AE6A9D" w:rsidRPr="002F320A" w:rsidRDefault="00AE6A9D" w:rsidP="002F320A">
      <w:pPr>
        <w:pStyle w:val="NoSpacing"/>
        <w:rPr>
          <w:rFonts w:ascii="Arial" w:eastAsia="Calibri" w:hAnsi="Arial"/>
        </w:rPr>
      </w:pPr>
    </w:p>
    <w:p w14:paraId="3C979099" w14:textId="77777777" w:rsidR="00AE6A9D" w:rsidRPr="002F320A" w:rsidRDefault="00AE6A9D" w:rsidP="00D900DC">
      <w:pPr>
        <w:pStyle w:val="Heading4"/>
      </w:pPr>
      <w:r w:rsidRPr="002F320A">
        <w:t>Lamotrigine</w:t>
      </w:r>
    </w:p>
    <w:p w14:paraId="5BAE1950" w14:textId="358EB655" w:rsidR="001B3E6D" w:rsidRPr="002F320A" w:rsidRDefault="00AE6A9D" w:rsidP="002F320A">
      <w:pPr>
        <w:pStyle w:val="NoSpacing"/>
        <w:rPr>
          <w:rFonts w:ascii="Arial" w:eastAsia="Calibri" w:hAnsi="Arial"/>
        </w:rPr>
      </w:pPr>
      <w:r w:rsidRPr="002F320A">
        <w:rPr>
          <w:rFonts w:ascii="Arial" w:eastAsia="Calibri" w:hAnsi="Arial"/>
        </w:rPr>
        <w:t xml:space="preserve">Lamotrigine is a substrate for UGT enzymes including UGT2B7 which is inhibited by cannabidiol </w:t>
      </w:r>
      <w:r w:rsidRPr="002F320A">
        <w:rPr>
          <w:rFonts w:ascii="Arial" w:eastAsia="Calibri" w:hAnsi="Arial"/>
          <w:i/>
        </w:rPr>
        <w:t>in vitro</w:t>
      </w:r>
      <w:r w:rsidRPr="002F320A">
        <w:rPr>
          <w:rFonts w:ascii="Arial" w:eastAsia="Calibri" w:hAnsi="Arial"/>
        </w:rPr>
        <w:t xml:space="preserve">. There have not been any clinical studies formally investigating this interaction. Lamotrigine levels may be elevated when it is co-administered with </w:t>
      </w:r>
      <w:r w:rsidR="00200C41" w:rsidRPr="002F320A">
        <w:rPr>
          <w:rFonts w:ascii="Arial" w:eastAsia="Calibri" w:hAnsi="Arial"/>
        </w:rPr>
        <w:t>EPIDYOLEX</w:t>
      </w:r>
      <w:r w:rsidRPr="002F320A">
        <w:rPr>
          <w:rFonts w:ascii="Arial" w:eastAsia="Calibri" w:hAnsi="Arial"/>
        </w:rPr>
        <w:t>.</w:t>
      </w:r>
    </w:p>
    <w:p w14:paraId="6C83CC6B" w14:textId="1746181D" w:rsidR="004279F3" w:rsidRPr="002F320A" w:rsidRDefault="004279F3" w:rsidP="002F320A">
      <w:pPr>
        <w:pStyle w:val="NoSpacing"/>
        <w:rPr>
          <w:rFonts w:ascii="Arial" w:eastAsia="Calibri" w:hAnsi="Arial"/>
        </w:rPr>
      </w:pPr>
    </w:p>
    <w:p w14:paraId="67E3E072" w14:textId="74423B95" w:rsidR="004279F3" w:rsidRPr="000511CF" w:rsidRDefault="004279F3" w:rsidP="00D900DC">
      <w:pPr>
        <w:pStyle w:val="Heading3"/>
      </w:pPr>
      <w:r w:rsidRPr="002F320A">
        <w:t xml:space="preserve">Potential for </w:t>
      </w:r>
      <w:r w:rsidR="00200C41" w:rsidRPr="002F320A">
        <w:t>EPIDYOLEX</w:t>
      </w:r>
      <w:r w:rsidRPr="002F320A">
        <w:t xml:space="preserve"> to affect other medicinal products</w:t>
      </w:r>
    </w:p>
    <w:p w14:paraId="59500D85" w14:textId="77777777" w:rsidR="004279F3" w:rsidRPr="002F320A" w:rsidRDefault="004279F3" w:rsidP="002F320A">
      <w:pPr>
        <w:keepNext/>
        <w:rPr>
          <w:rFonts w:ascii="Arial" w:hAnsi="Arial"/>
          <w:i/>
        </w:rPr>
      </w:pPr>
      <w:r w:rsidRPr="002F320A">
        <w:rPr>
          <w:rFonts w:ascii="Arial" w:hAnsi="Arial"/>
          <w:i/>
        </w:rPr>
        <w:t>CYP1A2, CYP2B6, CYP2C8, CYP2C9, CYP2C19, UGT1A9, and UGT2B7 Substrates</w:t>
      </w:r>
    </w:p>
    <w:p w14:paraId="6F23874C" w14:textId="490E7F38" w:rsidR="004279F3" w:rsidRPr="002F320A" w:rsidRDefault="004279F3" w:rsidP="002F320A">
      <w:pPr>
        <w:autoSpaceDE w:val="0"/>
        <w:autoSpaceDN w:val="0"/>
        <w:rPr>
          <w:rFonts w:ascii="Arial" w:eastAsia="MS Mincho" w:hAnsi="Arial"/>
        </w:rPr>
      </w:pPr>
      <w:r w:rsidRPr="002F320A">
        <w:rPr>
          <w:rFonts w:ascii="Arial" w:eastAsia="MS Mincho" w:hAnsi="Arial"/>
          <w:i/>
        </w:rPr>
        <w:t>In vitro</w:t>
      </w:r>
      <w:r w:rsidRPr="002F320A">
        <w:rPr>
          <w:rFonts w:ascii="Arial" w:eastAsia="MS Mincho" w:hAnsi="Arial"/>
        </w:rPr>
        <w:t xml:space="preserve"> data predict drug</w:t>
      </w:r>
      <w:r w:rsidRPr="0062381A">
        <w:rPr>
          <w:rFonts w:ascii="Arial" w:eastAsia="MS Mincho" w:hAnsi="Arial" w:cs="Arial"/>
        </w:rPr>
        <w:noBreakHyphen/>
      </w:r>
      <w:r w:rsidRPr="002F320A">
        <w:rPr>
          <w:rFonts w:ascii="Arial" w:eastAsia="MS Mincho" w:hAnsi="Arial"/>
        </w:rPr>
        <w:t xml:space="preserve">drug interactions with CYP1A2 substrates (e.g., theophylline, caffeine), CYP2B6 substrates (e.g., bupropion, </w:t>
      </w:r>
      <w:proofErr w:type="spellStart"/>
      <w:r w:rsidRPr="002F320A">
        <w:rPr>
          <w:rFonts w:ascii="Arial" w:eastAsia="MS Mincho" w:hAnsi="Arial"/>
        </w:rPr>
        <w:t>efavirenz</w:t>
      </w:r>
      <w:proofErr w:type="spellEnd"/>
      <w:r w:rsidRPr="002F320A">
        <w:rPr>
          <w:rFonts w:ascii="Arial" w:eastAsia="MS Mincho" w:hAnsi="Arial"/>
        </w:rPr>
        <w:t>), uridine 5'</w:t>
      </w:r>
      <w:r w:rsidRPr="0062381A">
        <w:rPr>
          <w:rFonts w:ascii="Arial" w:eastAsia="MS Mincho" w:hAnsi="Arial" w:cs="Arial"/>
        </w:rPr>
        <w:t xml:space="preserve"> </w:t>
      </w:r>
      <w:proofErr w:type="spellStart"/>
      <w:r w:rsidRPr="002F320A">
        <w:rPr>
          <w:rFonts w:ascii="Arial" w:eastAsia="MS Mincho" w:hAnsi="Arial"/>
        </w:rPr>
        <w:t>diphospho</w:t>
      </w:r>
      <w:proofErr w:type="spellEnd"/>
      <w:r w:rsidRPr="0062381A">
        <w:rPr>
          <w:rFonts w:ascii="Arial" w:eastAsia="MS Mincho" w:hAnsi="Arial" w:cs="Arial"/>
        </w:rPr>
        <w:noBreakHyphen/>
      </w:r>
      <w:r w:rsidRPr="002F320A">
        <w:rPr>
          <w:rFonts w:ascii="Arial" w:eastAsia="MS Mincho" w:hAnsi="Arial"/>
        </w:rPr>
        <w:t xml:space="preserve">glucuronosyltransferase 1A9 (UGT1A9) (e.g., </w:t>
      </w:r>
      <w:proofErr w:type="spellStart"/>
      <w:r w:rsidRPr="002F320A">
        <w:rPr>
          <w:rFonts w:ascii="Arial" w:eastAsia="MS Mincho" w:hAnsi="Arial"/>
        </w:rPr>
        <w:t>diflunisal</w:t>
      </w:r>
      <w:proofErr w:type="spellEnd"/>
      <w:r w:rsidRPr="002F320A">
        <w:rPr>
          <w:rFonts w:ascii="Arial" w:eastAsia="MS Mincho" w:hAnsi="Arial"/>
        </w:rPr>
        <w:t xml:space="preserve">, </w:t>
      </w:r>
      <w:proofErr w:type="spellStart"/>
      <w:r w:rsidRPr="002F320A">
        <w:rPr>
          <w:rFonts w:ascii="Arial" w:eastAsia="MS Mincho" w:hAnsi="Arial"/>
        </w:rPr>
        <w:t>propofol</w:t>
      </w:r>
      <w:proofErr w:type="spellEnd"/>
      <w:r w:rsidRPr="002F320A">
        <w:rPr>
          <w:rFonts w:ascii="Arial" w:eastAsia="MS Mincho" w:hAnsi="Arial"/>
        </w:rPr>
        <w:t xml:space="preserve">, </w:t>
      </w:r>
      <w:proofErr w:type="spellStart"/>
      <w:r w:rsidRPr="002F320A">
        <w:rPr>
          <w:rFonts w:ascii="Arial" w:eastAsia="MS Mincho" w:hAnsi="Arial"/>
        </w:rPr>
        <w:t>fenofibrate</w:t>
      </w:r>
      <w:proofErr w:type="spellEnd"/>
      <w:r w:rsidRPr="002F320A">
        <w:rPr>
          <w:rFonts w:ascii="Arial" w:eastAsia="MS Mincho" w:hAnsi="Arial"/>
        </w:rPr>
        <w:t>), and UGT2B7 (e.g., gemfibrozil, morphine, lorazepam) when co</w:t>
      </w:r>
      <w:r w:rsidRPr="0062381A">
        <w:rPr>
          <w:rFonts w:ascii="Arial" w:eastAsia="MS Mincho" w:hAnsi="Arial" w:cs="Arial"/>
        </w:rPr>
        <w:noBreakHyphen/>
      </w:r>
      <w:r w:rsidRPr="002F320A">
        <w:rPr>
          <w:rFonts w:ascii="Arial" w:eastAsia="MS Mincho" w:hAnsi="Arial"/>
        </w:rPr>
        <w:t xml:space="preserve">administered with </w:t>
      </w:r>
      <w:r w:rsidR="00200C41" w:rsidRPr="002F320A">
        <w:rPr>
          <w:rFonts w:ascii="Arial" w:eastAsia="MS Mincho" w:hAnsi="Arial"/>
        </w:rPr>
        <w:t>EPIDYOLEX</w:t>
      </w:r>
      <w:r w:rsidRPr="002F320A">
        <w:rPr>
          <w:rFonts w:ascii="Arial" w:eastAsia="MS Mincho" w:hAnsi="Arial"/>
        </w:rPr>
        <w:t>. Co</w:t>
      </w:r>
      <w:r w:rsidRPr="0062381A">
        <w:rPr>
          <w:rFonts w:ascii="Arial" w:eastAsia="MS Mincho" w:hAnsi="Arial" w:cs="Arial"/>
        </w:rPr>
        <w:noBreakHyphen/>
      </w:r>
      <w:r w:rsidRPr="002F320A">
        <w:rPr>
          <w:rFonts w:ascii="Arial" w:eastAsia="MS Mincho" w:hAnsi="Arial"/>
        </w:rPr>
        <w:t xml:space="preserve">administration of </w:t>
      </w:r>
      <w:r w:rsidR="00200C41" w:rsidRPr="002F320A">
        <w:rPr>
          <w:rFonts w:ascii="Arial" w:eastAsia="MS Mincho" w:hAnsi="Arial"/>
        </w:rPr>
        <w:t>EPIDYOLEX</w:t>
      </w:r>
      <w:r w:rsidRPr="002F320A">
        <w:rPr>
          <w:rFonts w:ascii="Arial" w:eastAsia="MS Mincho" w:hAnsi="Arial"/>
        </w:rPr>
        <w:t xml:space="preserve"> is also predicted to cause clinically significant interactions with CYP2C8 (</w:t>
      </w:r>
      <w:proofErr w:type="spellStart"/>
      <w:r w:rsidRPr="002F320A">
        <w:rPr>
          <w:rFonts w:ascii="Arial" w:eastAsia="MS Mincho" w:hAnsi="Arial"/>
        </w:rPr>
        <w:t>repaglinide</w:t>
      </w:r>
      <w:proofErr w:type="spellEnd"/>
      <w:r w:rsidRPr="002F320A">
        <w:rPr>
          <w:rFonts w:ascii="Arial" w:eastAsia="MS Mincho" w:hAnsi="Arial"/>
        </w:rPr>
        <w:t>) and CYP2C9 (e.g., warfarin) substrates.</w:t>
      </w:r>
    </w:p>
    <w:p w14:paraId="410A6299" w14:textId="77777777" w:rsidR="004279F3" w:rsidRPr="002F320A" w:rsidRDefault="004279F3" w:rsidP="002F320A">
      <w:pPr>
        <w:autoSpaceDE w:val="0"/>
        <w:autoSpaceDN w:val="0"/>
        <w:rPr>
          <w:rFonts w:ascii="Arial" w:eastAsia="MS Mincho" w:hAnsi="Arial"/>
        </w:rPr>
      </w:pPr>
    </w:p>
    <w:p w14:paraId="46756850" w14:textId="1E22E13F" w:rsidR="004279F3" w:rsidRPr="002F320A" w:rsidRDefault="004279F3" w:rsidP="002F320A">
      <w:pPr>
        <w:rPr>
          <w:rFonts w:ascii="Arial" w:hAnsi="Arial"/>
        </w:rPr>
      </w:pPr>
      <w:r w:rsidRPr="002F320A">
        <w:rPr>
          <w:rFonts w:ascii="Arial" w:hAnsi="Arial"/>
          <w:i/>
        </w:rPr>
        <w:t>In vitro</w:t>
      </w:r>
      <w:r w:rsidRPr="002F320A">
        <w:rPr>
          <w:rFonts w:ascii="Arial" w:hAnsi="Arial"/>
        </w:rPr>
        <w:t xml:space="preserve"> data have demonstrated that cannabidiol inhibits CYP2C19, which may cause increased plasma concentrations of medicines that are metabolised by this </w:t>
      </w:r>
      <w:proofErr w:type="spellStart"/>
      <w:r w:rsidRPr="002F320A">
        <w:rPr>
          <w:rFonts w:ascii="Arial" w:hAnsi="Arial"/>
        </w:rPr>
        <w:t>isoenzyme</w:t>
      </w:r>
      <w:proofErr w:type="spellEnd"/>
      <w:r w:rsidRPr="002F320A">
        <w:rPr>
          <w:rFonts w:ascii="Arial" w:hAnsi="Arial"/>
        </w:rPr>
        <w:t xml:space="preserve"> such as </w:t>
      </w:r>
      <w:proofErr w:type="spellStart"/>
      <w:r w:rsidRPr="002F320A">
        <w:rPr>
          <w:rFonts w:ascii="Arial" w:hAnsi="Arial"/>
        </w:rPr>
        <w:t>clobazam</w:t>
      </w:r>
      <w:proofErr w:type="spellEnd"/>
      <w:r w:rsidRPr="002F320A">
        <w:rPr>
          <w:rFonts w:ascii="Arial" w:hAnsi="Arial"/>
        </w:rPr>
        <w:t xml:space="preserve"> and omeprazole. Dose reduction should be considered for concomitant medicinal products that are sensitive CYP2C19 substrates or that have a narrow therapeutic index.</w:t>
      </w:r>
    </w:p>
    <w:p w14:paraId="212FB203" w14:textId="77777777" w:rsidR="004279F3" w:rsidRPr="002F320A" w:rsidRDefault="004279F3" w:rsidP="002F320A">
      <w:pPr>
        <w:rPr>
          <w:rFonts w:ascii="Arial" w:hAnsi="Arial"/>
        </w:rPr>
      </w:pPr>
    </w:p>
    <w:p w14:paraId="3DCCD49D" w14:textId="133B481A" w:rsidR="004279F3" w:rsidRPr="002F320A" w:rsidRDefault="004279F3" w:rsidP="00F94D7E">
      <w:pPr>
        <w:pStyle w:val="BodyText"/>
        <w:ind w:right="401"/>
        <w:jc w:val="both"/>
        <w:rPr>
          <w:rFonts w:ascii="Arial" w:eastAsia="MS Mincho" w:hAnsi="Arial"/>
        </w:rPr>
      </w:pPr>
      <w:r w:rsidRPr="002F320A">
        <w:rPr>
          <w:rFonts w:ascii="Arial" w:eastAsia="MS Mincho" w:hAnsi="Arial"/>
        </w:rPr>
        <w:t xml:space="preserve">Because of potential inhibition of enzyme activity, dose reduction of substrates of UGT1A9, UGT2B7, CYP2C8, and CYP2C9 should be considered, as clinically appropriate, if adverse reactions are experienced when administered concomitantly with </w:t>
      </w:r>
      <w:r w:rsidR="00200C41" w:rsidRPr="002F320A">
        <w:rPr>
          <w:rFonts w:ascii="Arial" w:eastAsia="MS Mincho" w:hAnsi="Arial"/>
        </w:rPr>
        <w:t>EPIDYOLEX</w:t>
      </w:r>
      <w:r w:rsidRPr="002F320A">
        <w:rPr>
          <w:rFonts w:ascii="Arial" w:eastAsia="MS Mincho" w:hAnsi="Arial"/>
        </w:rPr>
        <w:t>. Because of</w:t>
      </w:r>
      <w:r w:rsidRPr="0062381A">
        <w:rPr>
          <w:rFonts w:ascii="Arial" w:eastAsia="MS Mincho" w:hAnsi="Arial" w:cs="Arial"/>
        </w:rPr>
        <w:t xml:space="preserve"> </w:t>
      </w:r>
      <w:r w:rsidRPr="002F320A">
        <w:rPr>
          <w:rFonts w:ascii="Arial" w:eastAsia="MS Mincho" w:hAnsi="Arial"/>
        </w:rPr>
        <w:t>potential for both induction and inhibition of enzyme activity, dose adjustment of substrates of CYP1A2 and CYP2B6 should be considered, as clinically appropriate.</w:t>
      </w:r>
    </w:p>
    <w:p w14:paraId="7605555C" w14:textId="77777777" w:rsidR="004279F3" w:rsidRPr="002F320A" w:rsidRDefault="004279F3" w:rsidP="002F320A">
      <w:pPr>
        <w:rPr>
          <w:rFonts w:ascii="Arial" w:eastAsia="MS Mincho" w:hAnsi="Arial"/>
        </w:rPr>
      </w:pPr>
    </w:p>
    <w:p w14:paraId="45A8B1D1" w14:textId="77777777" w:rsidR="004279F3" w:rsidRPr="002F320A" w:rsidRDefault="004279F3" w:rsidP="002F320A">
      <w:pPr>
        <w:keepNext/>
        <w:rPr>
          <w:rFonts w:ascii="Arial" w:hAnsi="Arial"/>
          <w:i/>
        </w:rPr>
      </w:pPr>
      <w:r w:rsidRPr="002F320A">
        <w:rPr>
          <w:rFonts w:ascii="Arial" w:hAnsi="Arial"/>
          <w:i/>
        </w:rPr>
        <w:t>In vitro assessment of interaction with UGT enzymes</w:t>
      </w:r>
    </w:p>
    <w:p w14:paraId="7717D218" w14:textId="02C29EA4" w:rsidR="004279F3" w:rsidRPr="002F320A" w:rsidRDefault="004279F3" w:rsidP="002F320A">
      <w:pPr>
        <w:pStyle w:val="NoSpacing"/>
        <w:rPr>
          <w:rFonts w:ascii="Arial" w:hAnsi="Arial"/>
        </w:rPr>
      </w:pPr>
      <w:r w:rsidRPr="002F320A">
        <w:rPr>
          <w:rFonts w:ascii="Arial" w:hAnsi="Arial"/>
          <w:i/>
        </w:rPr>
        <w:t>In vitro</w:t>
      </w:r>
      <w:r w:rsidRPr="002F320A">
        <w:rPr>
          <w:rFonts w:ascii="Arial" w:hAnsi="Arial"/>
        </w:rPr>
        <w:t xml:space="preserve"> data suggest that cannabidiol is a reversible inhibitor of UGT1A9 and UGT2B7</w:t>
      </w:r>
      <w:r w:rsidRPr="0062381A">
        <w:rPr>
          <w:rFonts w:ascii="Arial" w:hAnsi="Arial" w:cs="Arial"/>
          <w:noProof/>
        </w:rPr>
        <w:noBreakHyphen/>
      </w:r>
      <w:r w:rsidRPr="002F320A">
        <w:rPr>
          <w:rFonts w:ascii="Arial" w:hAnsi="Arial"/>
        </w:rPr>
        <w:t>mediated activity at clinically relevant concentrations. The metabolite</w:t>
      </w:r>
      <w:r w:rsidRPr="0062381A">
        <w:rPr>
          <w:rFonts w:ascii="Arial" w:hAnsi="Arial" w:cs="Arial"/>
          <w:noProof/>
        </w:rPr>
        <w:t xml:space="preserve"> </w:t>
      </w:r>
      <w:r w:rsidRPr="002F320A">
        <w:rPr>
          <w:rFonts w:ascii="Arial" w:hAnsi="Arial"/>
        </w:rPr>
        <w:t>7</w:t>
      </w:r>
      <w:r w:rsidRPr="0062381A">
        <w:rPr>
          <w:rFonts w:ascii="Arial" w:hAnsi="Arial" w:cs="Arial"/>
          <w:noProof/>
        </w:rPr>
        <w:noBreakHyphen/>
      </w:r>
      <w:r w:rsidRPr="002F320A">
        <w:rPr>
          <w:rFonts w:ascii="Arial" w:hAnsi="Arial"/>
        </w:rPr>
        <w:t>carboxy</w:t>
      </w:r>
      <w:r w:rsidRPr="0062381A">
        <w:rPr>
          <w:rFonts w:ascii="Arial" w:hAnsi="Arial" w:cs="Arial"/>
          <w:noProof/>
        </w:rPr>
        <w:noBreakHyphen/>
      </w:r>
      <w:r w:rsidRPr="002F320A">
        <w:rPr>
          <w:rFonts w:ascii="Arial" w:hAnsi="Arial"/>
        </w:rPr>
        <w:t>cannabidiol (7</w:t>
      </w:r>
      <w:r w:rsidRPr="0062381A">
        <w:rPr>
          <w:rFonts w:ascii="Arial" w:hAnsi="Arial" w:cs="Arial"/>
          <w:noProof/>
        </w:rPr>
        <w:noBreakHyphen/>
      </w:r>
      <w:r w:rsidRPr="002F320A">
        <w:rPr>
          <w:rFonts w:ascii="Arial" w:hAnsi="Arial"/>
        </w:rPr>
        <w:t>COOH</w:t>
      </w:r>
      <w:r w:rsidRPr="0062381A">
        <w:rPr>
          <w:rFonts w:ascii="Arial" w:hAnsi="Arial" w:cs="Arial"/>
          <w:noProof/>
        </w:rPr>
        <w:noBreakHyphen/>
      </w:r>
      <w:r w:rsidRPr="002F320A">
        <w:rPr>
          <w:rFonts w:ascii="Arial" w:hAnsi="Arial"/>
        </w:rPr>
        <w:t>CBD) is also an inhibitor of UGT1A1, UGT1A4 and UGT1A6</w:t>
      </w:r>
      <w:r w:rsidRPr="0062381A">
        <w:rPr>
          <w:rFonts w:ascii="Arial" w:hAnsi="Arial" w:cs="Arial"/>
          <w:noProof/>
        </w:rPr>
        <w:noBreakHyphen/>
      </w:r>
      <w:r w:rsidRPr="002F320A">
        <w:rPr>
          <w:rFonts w:ascii="Arial" w:hAnsi="Arial"/>
        </w:rPr>
        <w:t xml:space="preserve">mediated activity </w:t>
      </w:r>
      <w:r w:rsidRPr="002F320A">
        <w:rPr>
          <w:rFonts w:ascii="Arial" w:hAnsi="Arial"/>
          <w:i/>
        </w:rPr>
        <w:t xml:space="preserve">in vitro. </w:t>
      </w:r>
      <w:r w:rsidRPr="002F320A">
        <w:rPr>
          <w:rFonts w:ascii="Arial" w:hAnsi="Arial"/>
        </w:rPr>
        <w:t xml:space="preserve">Dose reduction of the substrates may be necessary when </w:t>
      </w:r>
      <w:r w:rsidR="00200C41" w:rsidRPr="002F320A">
        <w:rPr>
          <w:rFonts w:ascii="Arial" w:hAnsi="Arial"/>
        </w:rPr>
        <w:t>EPIDYOLEX</w:t>
      </w:r>
      <w:r w:rsidRPr="002F320A">
        <w:rPr>
          <w:rFonts w:ascii="Arial" w:hAnsi="Arial"/>
        </w:rPr>
        <w:t xml:space="preserve"> is administered concomitantly with substrates of these UGTs.</w:t>
      </w:r>
    </w:p>
    <w:p w14:paraId="4F6CF456" w14:textId="21E654F2" w:rsidR="00E6450A" w:rsidRPr="002F320A" w:rsidRDefault="00E6450A" w:rsidP="002F320A">
      <w:pPr>
        <w:pStyle w:val="NoSpacing"/>
        <w:rPr>
          <w:rFonts w:ascii="Arial" w:hAnsi="Arial"/>
        </w:rPr>
      </w:pPr>
    </w:p>
    <w:p w14:paraId="187F4514" w14:textId="1E5FC00E" w:rsidR="00E6450A" w:rsidRPr="0062381A" w:rsidRDefault="00E6450A" w:rsidP="00D900DC">
      <w:pPr>
        <w:pStyle w:val="Heading3"/>
        <w:rPr>
          <w:rFonts w:eastAsia="Calibri"/>
        </w:rPr>
      </w:pPr>
      <w:r w:rsidRPr="0062381A">
        <w:rPr>
          <w:rFonts w:eastAsia="Calibri"/>
        </w:rPr>
        <w:t>Ethanol in the formulation</w:t>
      </w:r>
    </w:p>
    <w:p w14:paraId="6589C829" w14:textId="4079D5AD" w:rsidR="00E6450A" w:rsidRPr="0062381A" w:rsidRDefault="00E6450A" w:rsidP="00E6450A">
      <w:pPr>
        <w:rPr>
          <w:rFonts w:ascii="Arial" w:eastAsia="Calibri" w:hAnsi="Arial" w:cs="Arial"/>
        </w:rPr>
      </w:pPr>
      <w:r w:rsidRPr="0062381A">
        <w:rPr>
          <w:rFonts w:ascii="Arial" w:eastAsia="Calibri" w:hAnsi="Arial" w:cs="Arial"/>
        </w:rPr>
        <w:t xml:space="preserve">Each </w:t>
      </w:r>
      <w:r>
        <w:rPr>
          <w:rFonts w:ascii="Arial" w:eastAsia="Calibri" w:hAnsi="Arial" w:cs="Arial"/>
        </w:rPr>
        <w:t>mL</w:t>
      </w:r>
      <w:r w:rsidRPr="0062381A">
        <w:rPr>
          <w:rFonts w:ascii="Arial" w:eastAsia="Calibri" w:hAnsi="Arial" w:cs="Arial"/>
        </w:rPr>
        <w:t xml:space="preserve"> of </w:t>
      </w:r>
      <w:r>
        <w:rPr>
          <w:rFonts w:ascii="Arial" w:eastAsia="Calibri" w:hAnsi="Arial" w:cs="Arial"/>
        </w:rPr>
        <w:t>EPIDYOLEX</w:t>
      </w:r>
      <w:r w:rsidRPr="0062381A">
        <w:rPr>
          <w:rFonts w:ascii="Arial" w:eastAsia="Calibri" w:hAnsi="Arial" w:cs="Arial"/>
        </w:rPr>
        <w:t xml:space="preserve"> contains 79</w:t>
      </w:r>
      <w:r w:rsidR="006155F2">
        <w:rPr>
          <w:rFonts w:ascii="Arial" w:eastAsia="Calibri" w:hAnsi="Arial" w:cs="Arial"/>
        </w:rPr>
        <w:t> </w:t>
      </w:r>
      <w:r w:rsidRPr="0062381A">
        <w:rPr>
          <w:rFonts w:ascii="Arial" w:eastAsia="Calibri" w:hAnsi="Arial" w:cs="Arial"/>
        </w:rPr>
        <w:t>mg of ethanol</w:t>
      </w:r>
      <w:r>
        <w:rPr>
          <w:rFonts w:ascii="Arial" w:eastAsia="Calibri" w:hAnsi="Arial" w:cs="Arial"/>
        </w:rPr>
        <w:t xml:space="preserve"> absolute, </w:t>
      </w:r>
      <w:r w:rsidRPr="007278F3">
        <w:rPr>
          <w:rFonts w:ascii="Arial" w:eastAsia="Calibri" w:hAnsi="Arial" w:cs="Arial"/>
        </w:rPr>
        <w:t>equivalent to 10% v/v anhydrous ethanol, i.e., up to 553.04</w:t>
      </w:r>
      <w:r w:rsidR="006155F2">
        <w:rPr>
          <w:rFonts w:ascii="Arial" w:eastAsia="Calibri" w:hAnsi="Arial" w:cs="Arial"/>
        </w:rPr>
        <w:t> </w:t>
      </w:r>
      <w:r w:rsidRPr="007278F3">
        <w:rPr>
          <w:rFonts w:ascii="Arial" w:eastAsia="Calibri" w:hAnsi="Arial" w:cs="Arial"/>
        </w:rPr>
        <w:t xml:space="preserve">mg ethanol per maximal single </w:t>
      </w:r>
      <w:r w:rsidR="00474389">
        <w:rPr>
          <w:rFonts w:ascii="Arial" w:eastAsia="Calibri" w:hAnsi="Arial" w:cs="Arial"/>
        </w:rPr>
        <w:t>EPIDYOLEX</w:t>
      </w:r>
      <w:r w:rsidRPr="007278F3">
        <w:rPr>
          <w:rFonts w:ascii="Arial" w:eastAsia="Calibri" w:hAnsi="Arial" w:cs="Arial"/>
        </w:rPr>
        <w:t xml:space="preserve"> dose (10</w:t>
      </w:r>
      <w:r w:rsidR="006155F2">
        <w:rPr>
          <w:rFonts w:ascii="Arial" w:eastAsia="Calibri" w:hAnsi="Arial" w:cs="Arial"/>
        </w:rPr>
        <w:t> </w:t>
      </w:r>
      <w:r w:rsidRPr="007278F3">
        <w:rPr>
          <w:rFonts w:ascii="Arial" w:eastAsia="Calibri" w:hAnsi="Arial" w:cs="Arial"/>
        </w:rPr>
        <w:t>mg/kg) for an adult weighing 70</w:t>
      </w:r>
      <w:r w:rsidR="006155F2">
        <w:rPr>
          <w:rFonts w:ascii="Arial" w:eastAsia="Calibri" w:hAnsi="Arial" w:cs="Arial"/>
        </w:rPr>
        <w:t> </w:t>
      </w:r>
      <w:r w:rsidRPr="007278F3">
        <w:rPr>
          <w:rFonts w:ascii="Arial" w:eastAsia="Calibri" w:hAnsi="Arial" w:cs="Arial"/>
        </w:rPr>
        <w:t>kg (7.9</w:t>
      </w:r>
      <w:r w:rsidR="006155F2">
        <w:rPr>
          <w:rFonts w:ascii="Arial" w:eastAsia="Calibri" w:hAnsi="Arial" w:cs="Arial"/>
        </w:rPr>
        <w:t> </w:t>
      </w:r>
      <w:r w:rsidRPr="007278F3">
        <w:rPr>
          <w:rFonts w:ascii="Arial" w:eastAsia="Calibri" w:hAnsi="Arial" w:cs="Arial"/>
        </w:rPr>
        <w:t>mg ethanol/kg). For an adult weighting 70</w:t>
      </w:r>
      <w:r w:rsidR="006155F2">
        <w:rPr>
          <w:rFonts w:ascii="Arial" w:eastAsia="Calibri" w:hAnsi="Arial" w:cs="Arial"/>
        </w:rPr>
        <w:t> </w:t>
      </w:r>
      <w:r w:rsidRPr="007278F3">
        <w:rPr>
          <w:rFonts w:ascii="Arial" w:eastAsia="Calibri" w:hAnsi="Arial" w:cs="Arial"/>
        </w:rPr>
        <w:t>kg,</w:t>
      </w:r>
      <w:r w:rsidRPr="0062381A">
        <w:rPr>
          <w:rFonts w:ascii="Arial" w:eastAsia="Calibri" w:hAnsi="Arial" w:cs="Arial"/>
        </w:rPr>
        <w:t xml:space="preserve"> this is equivalent to 14</w:t>
      </w:r>
      <w:r w:rsidR="00B55E15">
        <w:rPr>
          <w:rFonts w:ascii="Arial" w:eastAsia="Calibri" w:hAnsi="Arial" w:cs="Arial"/>
        </w:rPr>
        <w:t> </w:t>
      </w:r>
      <w:r>
        <w:rPr>
          <w:rFonts w:ascii="Arial" w:eastAsia="Calibri" w:hAnsi="Arial" w:cs="Arial"/>
        </w:rPr>
        <w:t>mL</w:t>
      </w:r>
      <w:r w:rsidRPr="0062381A">
        <w:rPr>
          <w:rFonts w:ascii="Arial" w:eastAsia="Calibri" w:hAnsi="Arial" w:cs="Arial"/>
        </w:rPr>
        <w:t xml:space="preserve"> of beer, or 6</w:t>
      </w:r>
      <w:r w:rsidR="006155F2">
        <w:rPr>
          <w:rFonts w:ascii="Arial" w:eastAsia="Calibri" w:hAnsi="Arial" w:cs="Arial"/>
        </w:rPr>
        <w:t> </w:t>
      </w:r>
      <w:r>
        <w:rPr>
          <w:rFonts w:ascii="Arial" w:eastAsia="Calibri" w:hAnsi="Arial" w:cs="Arial"/>
        </w:rPr>
        <w:t>mL</w:t>
      </w:r>
      <w:r w:rsidRPr="0062381A">
        <w:rPr>
          <w:rFonts w:ascii="Arial" w:eastAsia="Calibri" w:hAnsi="Arial" w:cs="Arial"/>
        </w:rPr>
        <w:t xml:space="preserve"> of wine per dose. </w:t>
      </w:r>
    </w:p>
    <w:p w14:paraId="35427AF2" w14:textId="77777777" w:rsidR="00356C29" w:rsidRPr="002F320A" w:rsidRDefault="00356C29" w:rsidP="002F320A">
      <w:pPr>
        <w:pStyle w:val="NoSpacing"/>
        <w:rPr>
          <w:rFonts w:ascii="Arial" w:eastAsia="Calibri" w:hAnsi="Arial"/>
        </w:rPr>
      </w:pPr>
    </w:p>
    <w:p w14:paraId="470FA173" w14:textId="77777777" w:rsidR="00085FD4" w:rsidRPr="000511CF" w:rsidRDefault="00085FD4" w:rsidP="00D900DC">
      <w:pPr>
        <w:pStyle w:val="Heading2"/>
      </w:pPr>
      <w:r w:rsidRPr="002F320A">
        <w:rPr>
          <w:rFonts w:eastAsia="Calibri"/>
        </w:rPr>
        <w:t>FERTILITY, PREGNANCY AND LACTATION</w:t>
      </w:r>
    </w:p>
    <w:p w14:paraId="3DB1A054" w14:textId="7EFDBC4B" w:rsidR="00C8654D" w:rsidRPr="002F320A" w:rsidRDefault="00C8654D" w:rsidP="00D900DC">
      <w:pPr>
        <w:pStyle w:val="Heading3"/>
        <w:rPr>
          <w:rFonts w:eastAsia="Calibri"/>
        </w:rPr>
      </w:pPr>
      <w:r w:rsidRPr="002F320A">
        <w:rPr>
          <w:rFonts w:eastAsia="Calibri"/>
        </w:rPr>
        <w:t>Effects on fertility</w:t>
      </w:r>
    </w:p>
    <w:p w14:paraId="6A9B93F2" w14:textId="37148CB0" w:rsidR="004279F3" w:rsidRPr="002F320A" w:rsidRDefault="004279F3" w:rsidP="002F320A">
      <w:pPr>
        <w:pStyle w:val="NoSpacing"/>
        <w:rPr>
          <w:rFonts w:ascii="Arial" w:eastAsia="Calibri" w:hAnsi="Arial"/>
        </w:rPr>
      </w:pPr>
      <w:r w:rsidRPr="002F320A">
        <w:rPr>
          <w:rFonts w:ascii="Arial" w:eastAsia="Calibri" w:hAnsi="Arial"/>
        </w:rPr>
        <w:t xml:space="preserve">No human data on the effect of </w:t>
      </w:r>
      <w:r w:rsidR="00200C41" w:rsidRPr="002F320A">
        <w:rPr>
          <w:rFonts w:ascii="Arial" w:eastAsia="Calibri" w:hAnsi="Arial"/>
        </w:rPr>
        <w:t>EPIDYOLEX</w:t>
      </w:r>
      <w:r w:rsidRPr="002F320A">
        <w:rPr>
          <w:rFonts w:ascii="Arial" w:eastAsia="Calibri" w:hAnsi="Arial"/>
        </w:rPr>
        <w:t xml:space="preserve"> on fertility are available.</w:t>
      </w:r>
    </w:p>
    <w:p w14:paraId="6D87A831" w14:textId="77777777" w:rsidR="004279F3" w:rsidRPr="002F320A" w:rsidRDefault="004279F3" w:rsidP="002F320A">
      <w:pPr>
        <w:pStyle w:val="NoSpacing"/>
        <w:rPr>
          <w:rFonts w:ascii="Arial" w:eastAsia="Calibri" w:hAnsi="Arial"/>
        </w:rPr>
      </w:pPr>
    </w:p>
    <w:p w14:paraId="2DB702EC" w14:textId="5D29FDEC" w:rsidR="00052685" w:rsidRPr="002F320A" w:rsidRDefault="00C4291D" w:rsidP="002F320A">
      <w:pPr>
        <w:pStyle w:val="NoSpacing"/>
        <w:rPr>
          <w:rFonts w:ascii="Arial" w:hAnsi="Arial"/>
        </w:rPr>
      </w:pPr>
      <w:r w:rsidRPr="002F320A">
        <w:rPr>
          <w:rFonts w:ascii="Arial" w:hAnsi="Arial"/>
        </w:rPr>
        <w:t>No adverse reactions were observed on male or female fertility or reproduction performance in rats at doses up to 250</w:t>
      </w:r>
      <w:r w:rsidR="006155F2">
        <w:rPr>
          <w:rFonts w:ascii="Arial" w:hAnsi="Arial"/>
        </w:rPr>
        <w:t> </w:t>
      </w:r>
      <w:r w:rsidRPr="002F320A">
        <w:rPr>
          <w:rFonts w:ascii="Arial" w:hAnsi="Arial"/>
        </w:rPr>
        <w:t>mg/kg/day (approximately 60-fold greater than the maximum recommended human dose (MRHD) at 20</w:t>
      </w:r>
      <w:r w:rsidR="006155F2">
        <w:rPr>
          <w:rFonts w:ascii="Arial" w:hAnsi="Arial"/>
        </w:rPr>
        <w:t> </w:t>
      </w:r>
      <w:r w:rsidRPr="002F320A">
        <w:rPr>
          <w:rFonts w:ascii="Arial" w:hAnsi="Arial"/>
        </w:rPr>
        <w:t>mg/kg/day).</w:t>
      </w:r>
    </w:p>
    <w:p w14:paraId="46753B6F" w14:textId="77777777" w:rsidR="00C4291D" w:rsidRPr="002F320A" w:rsidRDefault="00C4291D" w:rsidP="002F320A">
      <w:pPr>
        <w:pStyle w:val="NoSpacing"/>
        <w:rPr>
          <w:rFonts w:ascii="Arial" w:eastAsia="Calibri" w:hAnsi="Arial"/>
        </w:rPr>
      </w:pPr>
    </w:p>
    <w:p w14:paraId="60F7DDCA" w14:textId="2BC6140E" w:rsidR="0086565F" w:rsidRPr="002F320A" w:rsidRDefault="0086565F" w:rsidP="00D900DC">
      <w:pPr>
        <w:pStyle w:val="Heading3"/>
        <w:rPr>
          <w:rFonts w:eastAsia="Calibri"/>
        </w:rPr>
      </w:pPr>
      <w:r w:rsidRPr="002F320A">
        <w:rPr>
          <w:rFonts w:eastAsia="Calibri"/>
        </w:rPr>
        <w:t>Use in pregnancy</w:t>
      </w:r>
      <w:r w:rsidR="00356C29" w:rsidRPr="002F320A">
        <w:rPr>
          <w:rFonts w:eastAsia="Calibri"/>
        </w:rPr>
        <w:t xml:space="preserve"> (Category B2)</w:t>
      </w:r>
    </w:p>
    <w:p w14:paraId="3CD9BD42" w14:textId="4D4142DE" w:rsidR="004279F3" w:rsidRPr="002F320A" w:rsidRDefault="004279F3" w:rsidP="002F320A">
      <w:pPr>
        <w:pStyle w:val="NoSpacing"/>
        <w:rPr>
          <w:rFonts w:ascii="Arial" w:eastAsia="Calibri" w:hAnsi="Arial"/>
          <w:strike/>
        </w:rPr>
      </w:pPr>
      <w:r w:rsidRPr="002F320A">
        <w:rPr>
          <w:rFonts w:ascii="Arial" w:eastAsia="Calibri" w:hAnsi="Arial"/>
        </w:rPr>
        <w:t xml:space="preserve">There are only limited data from the use of </w:t>
      </w:r>
      <w:r w:rsidR="00200C41" w:rsidRPr="002F320A">
        <w:rPr>
          <w:rFonts w:ascii="Arial" w:eastAsia="Calibri" w:hAnsi="Arial"/>
        </w:rPr>
        <w:t>EPIDYOLEX</w:t>
      </w:r>
      <w:r w:rsidRPr="002F320A">
        <w:rPr>
          <w:rFonts w:ascii="Arial" w:eastAsia="Calibri" w:hAnsi="Arial"/>
        </w:rPr>
        <w:t xml:space="preserve"> in pregnant women. </w:t>
      </w:r>
    </w:p>
    <w:p w14:paraId="45DEF86C" w14:textId="15ED1A42" w:rsidR="0071692C" w:rsidRPr="008376E5" w:rsidRDefault="0071692C" w:rsidP="004279F3">
      <w:pPr>
        <w:pStyle w:val="NoSpacing"/>
        <w:rPr>
          <w:rFonts w:ascii="Arial" w:eastAsia="Calibri" w:hAnsi="Arial" w:cs="Arial"/>
          <w:bCs/>
          <w:strike/>
        </w:rPr>
      </w:pPr>
    </w:p>
    <w:p w14:paraId="06D0624E" w14:textId="67CC9F43" w:rsidR="0071692C" w:rsidRPr="008376E5" w:rsidRDefault="0071692C" w:rsidP="004279F3">
      <w:pPr>
        <w:pStyle w:val="NoSpacing"/>
        <w:rPr>
          <w:rFonts w:ascii="Arial" w:hAnsi="Arial" w:cs="Arial"/>
        </w:rPr>
      </w:pPr>
      <w:r w:rsidRPr="008376E5">
        <w:rPr>
          <w:rFonts w:ascii="Arial" w:hAnsi="Arial" w:cs="Arial"/>
        </w:rPr>
        <w:t>The embryo-</w:t>
      </w:r>
      <w:proofErr w:type="spellStart"/>
      <w:r w:rsidRPr="008376E5">
        <w:rPr>
          <w:rFonts w:ascii="Arial" w:hAnsi="Arial" w:cs="Arial"/>
        </w:rPr>
        <w:t>fetal</w:t>
      </w:r>
      <w:proofErr w:type="spellEnd"/>
      <w:r w:rsidRPr="008376E5">
        <w:rPr>
          <w:rFonts w:ascii="Arial" w:hAnsi="Arial" w:cs="Arial"/>
        </w:rPr>
        <w:t xml:space="preserve"> development (EFD) study performed in rabbits evaluated doses of 50, 80, or 125</w:t>
      </w:r>
      <w:r w:rsidR="006155F2">
        <w:rPr>
          <w:rFonts w:ascii="Arial" w:hAnsi="Arial" w:cs="Arial"/>
        </w:rPr>
        <w:t> </w:t>
      </w:r>
      <w:r w:rsidRPr="008376E5">
        <w:rPr>
          <w:rFonts w:ascii="Arial" w:hAnsi="Arial" w:cs="Arial"/>
        </w:rPr>
        <w:t>mg/kg/day. The dose level of 125</w:t>
      </w:r>
      <w:r w:rsidR="006155F2">
        <w:rPr>
          <w:rFonts w:ascii="Arial" w:hAnsi="Arial" w:cs="Arial"/>
        </w:rPr>
        <w:t> </w:t>
      </w:r>
      <w:r w:rsidRPr="008376E5">
        <w:rPr>
          <w:rFonts w:ascii="Arial" w:hAnsi="Arial" w:cs="Arial"/>
        </w:rPr>
        <w:t xml:space="preserve">mg/kg/day induced decreased </w:t>
      </w:r>
      <w:proofErr w:type="spellStart"/>
      <w:r w:rsidRPr="008376E5">
        <w:rPr>
          <w:rFonts w:ascii="Arial" w:hAnsi="Arial" w:cs="Arial"/>
        </w:rPr>
        <w:t>fetal</w:t>
      </w:r>
      <w:proofErr w:type="spellEnd"/>
      <w:r w:rsidRPr="008376E5">
        <w:rPr>
          <w:rFonts w:ascii="Arial" w:hAnsi="Arial" w:cs="Arial"/>
        </w:rPr>
        <w:t xml:space="preserve"> body weights and increased </w:t>
      </w:r>
      <w:proofErr w:type="spellStart"/>
      <w:r w:rsidRPr="008376E5">
        <w:rPr>
          <w:rFonts w:ascii="Arial" w:hAnsi="Arial" w:cs="Arial"/>
        </w:rPr>
        <w:t>fetal</w:t>
      </w:r>
      <w:proofErr w:type="spellEnd"/>
      <w:r w:rsidRPr="008376E5">
        <w:rPr>
          <w:rFonts w:ascii="Arial" w:hAnsi="Arial" w:cs="Arial"/>
        </w:rPr>
        <w:t xml:space="preserve"> structural variations associated with maternal toxicity. Maternal plasma cannabidiol exposures at the no observed-adverse-effect-level (NOAEL) for </w:t>
      </w:r>
      <w:r w:rsidR="007A0AE2">
        <w:rPr>
          <w:rFonts w:ascii="Arial" w:hAnsi="Arial" w:cs="Arial"/>
        </w:rPr>
        <w:t xml:space="preserve">EFD </w:t>
      </w:r>
      <w:r w:rsidRPr="008376E5">
        <w:rPr>
          <w:rFonts w:ascii="Arial" w:hAnsi="Arial" w:cs="Arial"/>
        </w:rPr>
        <w:t>toxicity in rabbits were less than that in humans at 20</w:t>
      </w:r>
      <w:r w:rsidR="006155F2">
        <w:rPr>
          <w:rFonts w:ascii="Arial" w:hAnsi="Arial" w:cs="Arial"/>
        </w:rPr>
        <w:t> </w:t>
      </w:r>
      <w:r w:rsidRPr="008376E5">
        <w:rPr>
          <w:rFonts w:ascii="Arial" w:hAnsi="Arial" w:cs="Arial"/>
        </w:rPr>
        <w:t xml:space="preserve">mg/kg/day. </w:t>
      </w:r>
    </w:p>
    <w:p w14:paraId="627FDCEC" w14:textId="77777777" w:rsidR="0071692C" w:rsidRPr="008376E5" w:rsidRDefault="0071692C" w:rsidP="004279F3">
      <w:pPr>
        <w:pStyle w:val="NoSpacing"/>
        <w:rPr>
          <w:rFonts w:ascii="Arial" w:hAnsi="Arial" w:cs="Arial"/>
        </w:rPr>
      </w:pPr>
    </w:p>
    <w:p w14:paraId="05163F44" w14:textId="707AB211" w:rsidR="0071692C" w:rsidRPr="008376E5" w:rsidRDefault="0071692C" w:rsidP="004279F3">
      <w:pPr>
        <w:pStyle w:val="NoSpacing"/>
        <w:rPr>
          <w:rFonts w:ascii="Arial" w:hAnsi="Arial" w:cs="Arial"/>
        </w:rPr>
      </w:pPr>
      <w:r w:rsidRPr="002F320A">
        <w:rPr>
          <w:rFonts w:ascii="Arial" w:hAnsi="Arial"/>
        </w:rPr>
        <w:t>In rats, the EFD study evaluated doses of 75, 150, or 250</w:t>
      </w:r>
      <w:r w:rsidR="006155F2">
        <w:rPr>
          <w:rFonts w:ascii="Arial" w:hAnsi="Arial"/>
        </w:rPr>
        <w:t> </w:t>
      </w:r>
      <w:r w:rsidRPr="002F320A">
        <w:rPr>
          <w:rFonts w:ascii="Arial" w:hAnsi="Arial"/>
        </w:rPr>
        <w:t xml:space="preserve">mg/kg/day. </w:t>
      </w:r>
      <w:proofErr w:type="spellStart"/>
      <w:r w:rsidRPr="008376E5">
        <w:rPr>
          <w:rFonts w:ascii="Arial" w:hAnsi="Arial" w:cs="Arial"/>
        </w:rPr>
        <w:t>Embryofetal</w:t>
      </w:r>
      <w:proofErr w:type="spellEnd"/>
      <w:r w:rsidRPr="008376E5">
        <w:rPr>
          <w:rFonts w:ascii="Arial" w:hAnsi="Arial" w:cs="Arial"/>
        </w:rPr>
        <w:t xml:space="preserve"> mortality was observed at the high dose, with no treatment-related effects on implantation loss at the low or mid doses. </w:t>
      </w:r>
      <w:r w:rsidRPr="002F320A">
        <w:rPr>
          <w:rFonts w:ascii="Arial" w:hAnsi="Arial"/>
        </w:rPr>
        <w:t>The NOAEL was associated with maternal plasma exposures (AUC) approximately 50</w:t>
      </w:r>
      <w:r w:rsidR="006155F2">
        <w:rPr>
          <w:rFonts w:ascii="Arial" w:hAnsi="Arial"/>
        </w:rPr>
        <w:t> </w:t>
      </w:r>
      <w:r w:rsidRPr="002F320A">
        <w:rPr>
          <w:rFonts w:ascii="Arial" w:hAnsi="Arial"/>
        </w:rPr>
        <w:t>times greater than the anticipated exposure in humans at 20</w:t>
      </w:r>
      <w:r w:rsidR="006155F2">
        <w:rPr>
          <w:rFonts w:ascii="Arial" w:hAnsi="Arial"/>
        </w:rPr>
        <w:t> </w:t>
      </w:r>
      <w:r w:rsidRPr="002F320A">
        <w:rPr>
          <w:rFonts w:ascii="Arial" w:hAnsi="Arial"/>
        </w:rPr>
        <w:t>mg/kg/day.</w:t>
      </w:r>
      <w:r w:rsidRPr="008376E5">
        <w:rPr>
          <w:rFonts w:ascii="Arial" w:hAnsi="Arial" w:cs="Arial"/>
        </w:rPr>
        <w:t xml:space="preserve"> </w:t>
      </w:r>
    </w:p>
    <w:p w14:paraId="44597FD5" w14:textId="77777777" w:rsidR="0071692C" w:rsidRPr="002F320A" w:rsidRDefault="0071692C" w:rsidP="002F320A">
      <w:pPr>
        <w:pStyle w:val="NoSpacing"/>
        <w:rPr>
          <w:rFonts w:ascii="Arial" w:hAnsi="Arial"/>
        </w:rPr>
      </w:pPr>
    </w:p>
    <w:p w14:paraId="44151358" w14:textId="5240F8F9" w:rsidR="0071692C" w:rsidRPr="00274C4D" w:rsidRDefault="0071692C" w:rsidP="004279F3">
      <w:pPr>
        <w:pStyle w:val="NoSpacing"/>
        <w:rPr>
          <w:rFonts w:ascii="Arial" w:eastAsia="Calibri" w:hAnsi="Arial" w:cs="Arial"/>
          <w:bCs/>
        </w:rPr>
      </w:pPr>
      <w:r w:rsidRPr="002F320A">
        <w:rPr>
          <w:rFonts w:ascii="Arial" w:hAnsi="Arial"/>
        </w:rPr>
        <w:t>A pre- and post-natal development study was performed in rats at doses of 75, 150, or 250</w:t>
      </w:r>
      <w:r w:rsidR="006155F2">
        <w:rPr>
          <w:rFonts w:ascii="Arial" w:hAnsi="Arial"/>
        </w:rPr>
        <w:t> </w:t>
      </w:r>
      <w:r w:rsidRPr="002F320A">
        <w:rPr>
          <w:rFonts w:ascii="Arial" w:hAnsi="Arial"/>
        </w:rPr>
        <w:t>mg/kg/day. Decreased growth, delayed sexual maturation, behavioural changes (decreased activity), and adverse effects on male reproductive organ development (small</w:t>
      </w:r>
      <w:r w:rsidRPr="008376E5">
        <w:rPr>
          <w:rFonts w:ascii="Arial" w:hAnsi="Arial" w:cs="Arial"/>
        </w:rPr>
        <w:t xml:space="preserve"> testes in adult offspring) and fertility were observed in the offspring at doses </w:t>
      </w:r>
      <w:r w:rsidR="00702FAA">
        <w:rPr>
          <w:rFonts w:ascii="Arial" w:hAnsi="Arial" w:cs="Arial"/>
        </w:rPr>
        <w:sym w:font="Symbol" w:char="F0B3"/>
      </w:r>
      <w:r w:rsidRPr="008376E5">
        <w:rPr>
          <w:rFonts w:ascii="Arial" w:hAnsi="Arial" w:cs="Arial"/>
        </w:rPr>
        <w:t>150</w:t>
      </w:r>
      <w:r w:rsidR="006155F2">
        <w:rPr>
          <w:rFonts w:ascii="Arial" w:hAnsi="Arial" w:cs="Arial"/>
        </w:rPr>
        <w:t> </w:t>
      </w:r>
      <w:r w:rsidRPr="008376E5">
        <w:rPr>
          <w:rFonts w:ascii="Arial" w:hAnsi="Arial" w:cs="Arial"/>
        </w:rPr>
        <w:t>mg/kg/day. The NOAEL was associated with maternal plasma cannabidiol exposures approximately 9</w:t>
      </w:r>
      <w:r w:rsidR="006155F2">
        <w:rPr>
          <w:rFonts w:ascii="Arial" w:hAnsi="Arial" w:cs="Arial"/>
        </w:rPr>
        <w:t> </w:t>
      </w:r>
      <w:r w:rsidRPr="008376E5">
        <w:rPr>
          <w:rFonts w:ascii="Arial" w:hAnsi="Arial" w:cs="Arial"/>
        </w:rPr>
        <w:t>times that in humans at 20</w:t>
      </w:r>
      <w:r w:rsidR="006155F2">
        <w:rPr>
          <w:rFonts w:ascii="Arial" w:hAnsi="Arial" w:cs="Arial"/>
        </w:rPr>
        <w:t> </w:t>
      </w:r>
      <w:r w:rsidRPr="008376E5">
        <w:rPr>
          <w:rFonts w:ascii="Arial" w:hAnsi="Arial" w:cs="Arial"/>
        </w:rPr>
        <w:t>mg/kg/day.</w:t>
      </w:r>
    </w:p>
    <w:p w14:paraId="083E62B3" w14:textId="77777777" w:rsidR="004279F3" w:rsidRPr="002F320A" w:rsidRDefault="004279F3" w:rsidP="002F320A">
      <w:pPr>
        <w:pStyle w:val="NoSpacing"/>
        <w:rPr>
          <w:rFonts w:ascii="Arial" w:eastAsia="Calibri" w:hAnsi="Arial"/>
        </w:rPr>
      </w:pPr>
    </w:p>
    <w:p w14:paraId="093615F2" w14:textId="09CE0E1C" w:rsidR="0086565F" w:rsidRPr="002F320A" w:rsidRDefault="004279F3" w:rsidP="002F320A">
      <w:pPr>
        <w:pStyle w:val="NoSpacing"/>
        <w:rPr>
          <w:rFonts w:ascii="Arial" w:eastAsia="Calibri" w:hAnsi="Arial"/>
        </w:rPr>
      </w:pPr>
      <w:r w:rsidRPr="002F320A">
        <w:rPr>
          <w:rFonts w:ascii="Arial" w:eastAsia="Calibri" w:hAnsi="Arial"/>
        </w:rPr>
        <w:t xml:space="preserve">As a precautionary measure, </w:t>
      </w:r>
      <w:r w:rsidR="00200C41" w:rsidRPr="002F320A">
        <w:rPr>
          <w:rFonts w:ascii="Arial" w:eastAsia="Calibri" w:hAnsi="Arial"/>
        </w:rPr>
        <w:t>EPIDYOLEX</w:t>
      </w:r>
      <w:r w:rsidRPr="002F320A">
        <w:rPr>
          <w:rFonts w:ascii="Arial" w:eastAsia="Calibri" w:hAnsi="Arial"/>
        </w:rPr>
        <w:t xml:space="preserve"> should not be used during pregnancy unless the potential benefit to the mother clearly outweighs the potential risk to the f</w:t>
      </w:r>
      <w:r w:rsidRPr="002F320A">
        <w:rPr>
          <w:rFonts w:ascii="Arial" w:eastAsia="Calibri" w:hAnsi="Arial"/>
          <w:strike/>
        </w:rPr>
        <w:t>o</w:t>
      </w:r>
      <w:r w:rsidRPr="002F320A">
        <w:rPr>
          <w:rFonts w:ascii="Arial" w:eastAsia="Calibri" w:hAnsi="Arial"/>
        </w:rPr>
        <w:t>etus.</w:t>
      </w:r>
    </w:p>
    <w:p w14:paraId="20DB040E" w14:textId="77777777" w:rsidR="004279F3" w:rsidRPr="002F320A" w:rsidRDefault="004279F3" w:rsidP="002F320A">
      <w:pPr>
        <w:pStyle w:val="NoSpacing"/>
        <w:rPr>
          <w:rFonts w:ascii="Arial" w:eastAsia="Calibri" w:hAnsi="Arial"/>
        </w:rPr>
      </w:pPr>
    </w:p>
    <w:p w14:paraId="13C38ECC" w14:textId="77777777" w:rsidR="0086565F" w:rsidRPr="002F320A" w:rsidRDefault="0086565F" w:rsidP="00D900DC">
      <w:pPr>
        <w:pStyle w:val="Heading3"/>
        <w:rPr>
          <w:rFonts w:eastAsia="Calibri"/>
        </w:rPr>
      </w:pPr>
      <w:r w:rsidRPr="002F320A">
        <w:rPr>
          <w:rFonts w:eastAsia="Calibri"/>
        </w:rPr>
        <w:t>Use in lactation</w:t>
      </w:r>
    </w:p>
    <w:p w14:paraId="17A1138C" w14:textId="3623EF76" w:rsidR="004279F3" w:rsidRPr="002F320A" w:rsidRDefault="004279F3" w:rsidP="002F320A">
      <w:pPr>
        <w:pStyle w:val="NoSpacing"/>
        <w:rPr>
          <w:rFonts w:ascii="Arial" w:eastAsia="Calibri" w:hAnsi="Arial"/>
        </w:rPr>
      </w:pPr>
      <w:r w:rsidRPr="002F320A">
        <w:rPr>
          <w:rFonts w:ascii="Arial" w:eastAsia="Calibri" w:hAnsi="Arial"/>
        </w:rPr>
        <w:t xml:space="preserve">There are no clinical data on the presence of </w:t>
      </w:r>
      <w:r w:rsidR="00200C41" w:rsidRPr="002F320A">
        <w:rPr>
          <w:rFonts w:ascii="Arial" w:eastAsia="Calibri" w:hAnsi="Arial"/>
        </w:rPr>
        <w:t>EPIDYOLEX</w:t>
      </w:r>
      <w:r w:rsidRPr="002F320A">
        <w:rPr>
          <w:rFonts w:ascii="Arial" w:eastAsia="Calibri" w:hAnsi="Arial"/>
        </w:rPr>
        <w:t xml:space="preserve"> or its metabolites in human milk, the effects on the breastfed infant, or the effects on milk production.</w:t>
      </w:r>
    </w:p>
    <w:p w14:paraId="19779AE2" w14:textId="77777777" w:rsidR="004279F3" w:rsidRPr="002F320A" w:rsidRDefault="004279F3" w:rsidP="002F320A">
      <w:pPr>
        <w:pStyle w:val="NoSpacing"/>
        <w:rPr>
          <w:rFonts w:ascii="Arial" w:eastAsia="Calibri" w:hAnsi="Arial"/>
        </w:rPr>
      </w:pPr>
    </w:p>
    <w:p w14:paraId="1C7D8C59" w14:textId="1D87735B" w:rsidR="004279F3" w:rsidRPr="002F320A" w:rsidRDefault="004279F3" w:rsidP="002F320A">
      <w:pPr>
        <w:pStyle w:val="NoSpacing"/>
        <w:rPr>
          <w:rFonts w:ascii="Arial" w:eastAsia="Calibri" w:hAnsi="Arial"/>
        </w:rPr>
      </w:pPr>
      <w:r w:rsidRPr="002F320A">
        <w:rPr>
          <w:rFonts w:ascii="Arial" w:eastAsia="Calibri" w:hAnsi="Arial"/>
        </w:rPr>
        <w:t>Studies in animals have shown toxicological changes in lactating animals, when the mother was treated with cannabidiol</w:t>
      </w:r>
      <w:r w:rsidRPr="0062381A">
        <w:rPr>
          <w:rFonts w:ascii="Arial" w:eastAsia="Calibri" w:hAnsi="Arial" w:cs="Arial"/>
          <w:bCs/>
        </w:rPr>
        <w:t xml:space="preserve"> (see </w:t>
      </w:r>
      <w:r w:rsidR="00464786" w:rsidRPr="003847B7">
        <w:rPr>
          <w:rFonts w:ascii="Arial" w:hAnsi="Arial" w:cs="Arial"/>
        </w:rPr>
        <w:t>Use in pregnancy: pre-postnatal rat study findings</w:t>
      </w:r>
      <w:r w:rsidRPr="003847B7">
        <w:rPr>
          <w:rFonts w:ascii="Arial" w:eastAsia="Calibri" w:hAnsi="Arial" w:cs="Arial"/>
          <w:bCs/>
        </w:rPr>
        <w:t xml:space="preserve">). </w:t>
      </w:r>
    </w:p>
    <w:p w14:paraId="177DE74F" w14:textId="77777777" w:rsidR="004279F3" w:rsidRPr="002F320A" w:rsidRDefault="004279F3" w:rsidP="002F320A">
      <w:pPr>
        <w:pStyle w:val="NoSpacing"/>
        <w:rPr>
          <w:rFonts w:ascii="Arial" w:eastAsia="Calibri" w:hAnsi="Arial"/>
        </w:rPr>
      </w:pPr>
    </w:p>
    <w:p w14:paraId="5049E6F9" w14:textId="3B701EE1" w:rsidR="003132C1" w:rsidRPr="002F320A" w:rsidRDefault="004279F3" w:rsidP="002F320A">
      <w:pPr>
        <w:pStyle w:val="NoSpacing"/>
        <w:rPr>
          <w:rFonts w:ascii="Arial" w:eastAsia="Calibri" w:hAnsi="Arial"/>
        </w:rPr>
      </w:pPr>
      <w:r w:rsidRPr="002F320A">
        <w:rPr>
          <w:rFonts w:ascii="Arial" w:eastAsia="Calibri" w:hAnsi="Arial"/>
        </w:rPr>
        <w:t xml:space="preserve">There are no human studies on excretion of </w:t>
      </w:r>
      <w:r w:rsidR="00F11EE5" w:rsidRPr="002F320A">
        <w:rPr>
          <w:rFonts w:ascii="Arial" w:eastAsia="Calibri" w:hAnsi="Arial"/>
        </w:rPr>
        <w:t>EPIDYOLEX</w:t>
      </w:r>
      <w:r w:rsidRPr="002F320A">
        <w:rPr>
          <w:rFonts w:ascii="Arial" w:eastAsia="Calibri" w:hAnsi="Arial"/>
        </w:rPr>
        <w:t xml:space="preserve"> in breast milk. Given that cannabidiol is highly protein bound and will likely pass freely from plasma into milk, as a precaution, breast feeding should be discontinued during treatment.</w:t>
      </w:r>
    </w:p>
    <w:p w14:paraId="3E2EC782" w14:textId="0FED203F" w:rsidR="00085FD4" w:rsidRDefault="00085FD4" w:rsidP="002F320A">
      <w:pPr>
        <w:pStyle w:val="NoSpacing"/>
        <w:rPr>
          <w:rFonts w:ascii="Arial" w:eastAsia="Calibri" w:hAnsi="Arial"/>
          <w:b/>
        </w:rPr>
      </w:pPr>
    </w:p>
    <w:p w14:paraId="23A89308" w14:textId="77777777" w:rsidR="00085299" w:rsidRPr="002F320A" w:rsidRDefault="000C4737" w:rsidP="00D900DC">
      <w:pPr>
        <w:pStyle w:val="Heading2"/>
      </w:pPr>
      <w:r w:rsidRPr="002F320A">
        <w:rPr>
          <w:rFonts w:eastAsia="Calibri"/>
        </w:rPr>
        <w:t>EFFECTS ON ABILITY TO DRIVE AND USE MACHINES</w:t>
      </w:r>
    </w:p>
    <w:p w14:paraId="2139CE40" w14:textId="70612F84" w:rsidR="007D796B" w:rsidRPr="002F320A" w:rsidRDefault="00F11EE5" w:rsidP="002F320A">
      <w:pPr>
        <w:pStyle w:val="NoSpacing"/>
        <w:rPr>
          <w:rFonts w:ascii="Arial" w:eastAsia="Calibri" w:hAnsi="Arial"/>
        </w:rPr>
      </w:pPr>
      <w:r w:rsidRPr="002F320A">
        <w:rPr>
          <w:rFonts w:ascii="Arial" w:eastAsia="Calibri" w:hAnsi="Arial"/>
        </w:rPr>
        <w:t>EPIDYOLEX</w:t>
      </w:r>
      <w:r w:rsidR="004279F3" w:rsidRPr="002F320A">
        <w:rPr>
          <w:rFonts w:ascii="Arial" w:eastAsia="Calibri" w:hAnsi="Arial"/>
        </w:rPr>
        <w:t xml:space="preserve"> has major influence on the ability to drive and operate machines because it may cause somnolence and sedation (see section </w:t>
      </w:r>
      <w:hyperlink w:anchor="_special_warnings_and" w:history="1">
        <w:r w:rsidR="004279F3" w:rsidRPr="0062381A">
          <w:rPr>
            <w:rStyle w:val="Hyperlink"/>
            <w:rFonts w:ascii="Arial" w:hAnsi="Arial" w:cs="Arial"/>
          </w:rPr>
          <w:t>4.4 SPECIAL WARNINGS AND PRECAUTIONS FOR USE</w:t>
        </w:r>
      </w:hyperlink>
      <w:r w:rsidR="004279F3" w:rsidRPr="0062381A">
        <w:rPr>
          <w:rFonts w:ascii="Arial" w:eastAsia="Calibri" w:hAnsi="Arial" w:cs="Arial"/>
        </w:rPr>
        <w:t>).</w:t>
      </w:r>
      <w:r w:rsidR="004279F3" w:rsidRPr="002F320A">
        <w:rPr>
          <w:rFonts w:ascii="Arial" w:eastAsia="Calibri" w:hAnsi="Arial"/>
        </w:rPr>
        <w:t xml:space="preserve"> Patients should be advised not to drive or operate machinery </w:t>
      </w:r>
      <w:r w:rsidR="004A2225" w:rsidRPr="007B5C08">
        <w:rPr>
          <w:rFonts w:ascii="Arial" w:eastAsia="Calibri" w:hAnsi="Arial"/>
        </w:rPr>
        <w:t>unless</w:t>
      </w:r>
      <w:r w:rsidR="004A2225">
        <w:rPr>
          <w:rFonts w:ascii="Arial" w:eastAsia="Calibri" w:hAnsi="Arial"/>
        </w:rPr>
        <w:t xml:space="preserve"> </w:t>
      </w:r>
      <w:r w:rsidR="004279F3" w:rsidRPr="002F320A">
        <w:rPr>
          <w:rFonts w:ascii="Arial" w:eastAsia="Calibri" w:hAnsi="Arial"/>
        </w:rPr>
        <w:t xml:space="preserve">they </w:t>
      </w:r>
      <w:r w:rsidR="003A2587" w:rsidRPr="007B5C08">
        <w:rPr>
          <w:rFonts w:ascii="Arial" w:eastAsia="Calibri" w:hAnsi="Arial"/>
        </w:rPr>
        <w:t xml:space="preserve">are certain of the medicine’s effect on their ability to drive or operate machinery. As </w:t>
      </w:r>
      <w:r w:rsidR="000F49E0" w:rsidRPr="007B5C08">
        <w:rPr>
          <w:rFonts w:ascii="Arial" w:eastAsia="Calibri" w:hAnsi="Arial"/>
        </w:rPr>
        <w:t>EPIDYOLEX</w:t>
      </w:r>
      <w:r w:rsidR="003A2587" w:rsidRPr="007B5C08">
        <w:rPr>
          <w:rFonts w:ascii="Arial" w:eastAsia="Calibri" w:hAnsi="Arial"/>
        </w:rPr>
        <w:t xml:space="preserve"> is a cannabis-based </w:t>
      </w:r>
      <w:r w:rsidR="00E36C98" w:rsidRPr="007B5C08">
        <w:rPr>
          <w:rFonts w:ascii="Arial" w:eastAsia="Calibri" w:hAnsi="Arial"/>
        </w:rPr>
        <w:t>medicine</w:t>
      </w:r>
      <w:r w:rsidR="003A2587" w:rsidRPr="007B5C08">
        <w:rPr>
          <w:rFonts w:ascii="Arial" w:eastAsia="Calibri" w:hAnsi="Arial"/>
        </w:rPr>
        <w:t>, patients considering driving should also be aware of any local state laws</w:t>
      </w:r>
      <w:r w:rsidR="00193431" w:rsidRPr="007B5C08">
        <w:rPr>
          <w:rFonts w:ascii="Arial" w:eastAsia="Calibri" w:hAnsi="Arial"/>
        </w:rPr>
        <w:t xml:space="preserve"> in this respect</w:t>
      </w:r>
      <w:r w:rsidR="003A2587" w:rsidRPr="007B5C08">
        <w:rPr>
          <w:rFonts w:ascii="Arial" w:eastAsia="Calibri" w:hAnsi="Arial"/>
        </w:rPr>
        <w:t xml:space="preserve"> </w:t>
      </w:r>
      <w:r w:rsidR="004279F3" w:rsidRPr="002F320A">
        <w:rPr>
          <w:rFonts w:ascii="Arial" w:eastAsia="Calibri" w:hAnsi="Arial"/>
        </w:rPr>
        <w:t xml:space="preserve">(see section </w:t>
      </w:r>
      <w:hyperlink w:anchor="_ADVERSE_EFFECTS_(UNDESIRABLE" w:history="1">
        <w:r w:rsidR="004279F3" w:rsidRPr="002F320A">
          <w:rPr>
            <w:rStyle w:val="Hyperlink"/>
            <w:rFonts w:ascii="Arial" w:eastAsia="Calibri" w:hAnsi="Arial"/>
          </w:rPr>
          <w:t>4.8 ADVERSE EFFECTS (UNDESIRABLE EFFECTS</w:t>
        </w:r>
      </w:hyperlink>
      <w:r w:rsidR="004279F3" w:rsidRPr="002F320A">
        <w:rPr>
          <w:rFonts w:ascii="Arial" w:eastAsia="Calibri" w:hAnsi="Arial"/>
        </w:rPr>
        <w:t>).</w:t>
      </w:r>
    </w:p>
    <w:p w14:paraId="41AA20A7" w14:textId="300955E7" w:rsidR="00184056" w:rsidRDefault="00184056" w:rsidP="0084108E">
      <w:pPr>
        <w:pStyle w:val="NoSpacing"/>
        <w:rPr>
          <w:rFonts w:ascii="Arial" w:eastAsia="Calibri" w:hAnsi="Arial" w:cs="Arial"/>
          <w:bCs/>
        </w:rPr>
      </w:pPr>
    </w:p>
    <w:p w14:paraId="36B3715F" w14:textId="3D045E23" w:rsidR="0086565F" w:rsidRPr="0062381A" w:rsidRDefault="0086565F" w:rsidP="00D900DC">
      <w:pPr>
        <w:pStyle w:val="Heading2"/>
      </w:pPr>
      <w:bookmarkStart w:id="11" w:name="_ADVERSE_EFFECTS_(UNDESIRABLE"/>
      <w:bookmarkStart w:id="12" w:name="_bookmark3"/>
      <w:bookmarkStart w:id="13" w:name="OLE_LINK1"/>
      <w:bookmarkStart w:id="14" w:name="OLE_LINK2"/>
      <w:bookmarkEnd w:id="11"/>
      <w:bookmarkEnd w:id="12"/>
      <w:r w:rsidRPr="002F320A">
        <w:rPr>
          <w:rFonts w:eastAsia="Calibri"/>
        </w:rPr>
        <w:t xml:space="preserve">ADVERSE </w:t>
      </w:r>
      <w:bookmarkEnd w:id="13"/>
      <w:bookmarkEnd w:id="14"/>
      <w:r w:rsidR="003B2C63" w:rsidRPr="002F320A">
        <w:rPr>
          <w:rFonts w:eastAsia="Calibri"/>
        </w:rPr>
        <w:t>EFFECTS</w:t>
      </w:r>
      <w:r w:rsidR="00085FD4" w:rsidRPr="002F320A">
        <w:rPr>
          <w:rFonts w:eastAsia="Calibri"/>
        </w:rPr>
        <w:t xml:space="preserve"> (UNDESIRABLE EFFECTS</w:t>
      </w:r>
      <w:r w:rsidR="00D76E2F" w:rsidRPr="0062381A">
        <w:rPr>
          <w:rFonts w:eastAsia="Calibri"/>
        </w:rPr>
        <w:t>)</w:t>
      </w:r>
    </w:p>
    <w:p w14:paraId="7BBE9010" w14:textId="77777777" w:rsidR="00DB02A6" w:rsidRPr="000511CF" w:rsidRDefault="00DB02A6" w:rsidP="00D900DC">
      <w:pPr>
        <w:pStyle w:val="Heading3"/>
      </w:pPr>
      <w:r w:rsidRPr="002F320A">
        <w:t>Summary of the safety profile</w:t>
      </w:r>
    </w:p>
    <w:p w14:paraId="47838604" w14:textId="738261F8" w:rsidR="00F07E29" w:rsidRPr="002F320A" w:rsidRDefault="00F07E29" w:rsidP="002F320A">
      <w:pPr>
        <w:autoSpaceDE w:val="0"/>
        <w:autoSpaceDN w:val="0"/>
        <w:adjustRightInd w:val="0"/>
        <w:rPr>
          <w:rFonts w:ascii="Arial" w:hAnsi="Arial"/>
        </w:rPr>
      </w:pPr>
      <w:r w:rsidRPr="002F320A">
        <w:rPr>
          <w:rFonts w:ascii="Arial" w:hAnsi="Arial"/>
        </w:rPr>
        <w:t>The most common adverse reactions are somnolence, decreased appetite, diarrhoea,</w:t>
      </w:r>
      <w:r w:rsidRPr="0062381A">
        <w:rPr>
          <w:rFonts w:ascii="Arial" w:hAnsi="Arial" w:cs="Arial"/>
        </w:rPr>
        <w:t xml:space="preserve"> </w:t>
      </w:r>
      <w:r w:rsidRPr="002F320A">
        <w:rPr>
          <w:rFonts w:ascii="Arial" w:hAnsi="Arial"/>
        </w:rPr>
        <w:t>pyrexia, fatigue, and vomiting.</w:t>
      </w:r>
    </w:p>
    <w:p w14:paraId="1BB9124F" w14:textId="77777777" w:rsidR="00F07E29" w:rsidRPr="002F320A" w:rsidRDefault="00F07E29" w:rsidP="002F320A">
      <w:pPr>
        <w:autoSpaceDE w:val="0"/>
        <w:autoSpaceDN w:val="0"/>
        <w:adjustRightInd w:val="0"/>
        <w:rPr>
          <w:rFonts w:ascii="Arial" w:hAnsi="Arial"/>
        </w:rPr>
      </w:pPr>
    </w:p>
    <w:p w14:paraId="0216010E" w14:textId="260025C9" w:rsidR="00DB02A6" w:rsidRPr="002F320A" w:rsidRDefault="00F07E29" w:rsidP="002F320A">
      <w:pPr>
        <w:autoSpaceDE w:val="0"/>
        <w:autoSpaceDN w:val="0"/>
        <w:adjustRightInd w:val="0"/>
        <w:rPr>
          <w:rFonts w:ascii="Arial" w:hAnsi="Arial"/>
        </w:rPr>
      </w:pPr>
      <w:r w:rsidRPr="002F320A">
        <w:rPr>
          <w:rFonts w:ascii="Arial" w:hAnsi="Arial"/>
        </w:rPr>
        <w:t>The most frequent cause of discontinuations was transaminase elevation.</w:t>
      </w:r>
    </w:p>
    <w:p w14:paraId="21331C3A" w14:textId="77777777" w:rsidR="00DB02A6" w:rsidRPr="002F320A" w:rsidRDefault="00DB02A6" w:rsidP="002F320A">
      <w:pPr>
        <w:widowControl w:val="0"/>
        <w:rPr>
          <w:rFonts w:ascii="Arial" w:hAnsi="Arial"/>
        </w:rPr>
      </w:pPr>
    </w:p>
    <w:p w14:paraId="40CEAD81" w14:textId="77777777" w:rsidR="00DB02A6" w:rsidRPr="000511CF" w:rsidRDefault="00DB02A6" w:rsidP="00D900DC">
      <w:pPr>
        <w:pStyle w:val="Heading3"/>
      </w:pPr>
      <w:r w:rsidRPr="002F320A">
        <w:t>Tabulated list of adverse reactions</w:t>
      </w:r>
    </w:p>
    <w:p w14:paraId="5BF325B2" w14:textId="2F038414" w:rsidR="00F07E29" w:rsidRPr="002F320A" w:rsidRDefault="00F07E29" w:rsidP="002F320A">
      <w:pPr>
        <w:widowControl w:val="0"/>
        <w:suppressLineNumbers/>
        <w:rPr>
          <w:rFonts w:ascii="Arial" w:hAnsi="Arial"/>
        </w:rPr>
      </w:pPr>
      <w:r w:rsidRPr="002F320A">
        <w:rPr>
          <w:rFonts w:ascii="Arial" w:hAnsi="Arial"/>
        </w:rPr>
        <w:t xml:space="preserve">Adverse reactions reported with </w:t>
      </w:r>
      <w:r w:rsidR="00F11EE5" w:rsidRPr="002F320A">
        <w:rPr>
          <w:rFonts w:ascii="Arial" w:hAnsi="Arial"/>
        </w:rPr>
        <w:t>EPIDYOLEX</w:t>
      </w:r>
      <w:r w:rsidRPr="002F320A">
        <w:rPr>
          <w:rFonts w:ascii="Arial" w:hAnsi="Arial"/>
        </w:rPr>
        <w:t xml:space="preserve"> in placebo-controlled clinical studies are listed in the </w:t>
      </w:r>
      <w:r w:rsidR="007843C6">
        <w:rPr>
          <w:rFonts w:ascii="Arial" w:hAnsi="Arial"/>
        </w:rPr>
        <w:t>T</w:t>
      </w:r>
      <w:r w:rsidR="007843C6" w:rsidRPr="002F320A">
        <w:rPr>
          <w:rFonts w:ascii="Arial" w:hAnsi="Arial"/>
        </w:rPr>
        <w:t xml:space="preserve">able </w:t>
      </w:r>
      <w:r w:rsidR="007843C6">
        <w:rPr>
          <w:rFonts w:ascii="Arial" w:hAnsi="Arial"/>
        </w:rPr>
        <w:t xml:space="preserve">2 </w:t>
      </w:r>
      <w:r w:rsidRPr="002F320A">
        <w:rPr>
          <w:rFonts w:ascii="Arial" w:hAnsi="Arial"/>
        </w:rPr>
        <w:t>below by System Organ Class and frequency.</w:t>
      </w:r>
      <w:r w:rsidR="00064B07">
        <w:rPr>
          <w:rFonts w:ascii="Arial" w:hAnsi="Arial" w:cs="Arial"/>
        </w:rPr>
        <w:t xml:space="preserve"> </w:t>
      </w:r>
    </w:p>
    <w:p w14:paraId="19FA0AFD" w14:textId="77777777" w:rsidR="00F07E29" w:rsidRPr="002F320A" w:rsidRDefault="00F07E29" w:rsidP="002F320A">
      <w:pPr>
        <w:widowControl w:val="0"/>
        <w:suppressLineNumbers/>
        <w:rPr>
          <w:rFonts w:ascii="Arial" w:hAnsi="Arial"/>
        </w:rPr>
      </w:pPr>
    </w:p>
    <w:p w14:paraId="05B7EC20" w14:textId="5CAD7C81" w:rsidR="00085299" w:rsidRPr="002F320A" w:rsidRDefault="00F07E29" w:rsidP="002F320A">
      <w:pPr>
        <w:widowControl w:val="0"/>
        <w:suppressLineNumbers/>
        <w:rPr>
          <w:rFonts w:ascii="Arial" w:hAnsi="Arial"/>
        </w:rPr>
      </w:pPr>
      <w:r w:rsidRPr="002F320A">
        <w:rPr>
          <w:rFonts w:ascii="Arial" w:hAnsi="Arial"/>
        </w:rPr>
        <w:t>The frequencies are defined as follows: very common (</w:t>
      </w:r>
      <w:r w:rsidR="00702FAA">
        <w:rPr>
          <w:rFonts w:ascii="Arial" w:hAnsi="Arial" w:cs="Arial"/>
        </w:rPr>
        <w:sym w:font="Symbol" w:char="F0B3"/>
      </w:r>
      <w:r w:rsidRPr="002F320A">
        <w:rPr>
          <w:rFonts w:ascii="Arial" w:hAnsi="Arial"/>
        </w:rPr>
        <w:t xml:space="preserve"> 1/10), common (</w:t>
      </w:r>
      <w:r w:rsidR="00702FAA">
        <w:rPr>
          <w:rFonts w:ascii="Arial" w:hAnsi="Arial" w:cs="Arial"/>
        </w:rPr>
        <w:sym w:font="Symbol" w:char="F0B3"/>
      </w:r>
      <w:r w:rsidRPr="002F320A">
        <w:rPr>
          <w:rFonts w:ascii="Arial" w:hAnsi="Arial"/>
        </w:rPr>
        <w:t xml:space="preserve"> 1/100 to &lt; 1/10), uncommon (</w:t>
      </w:r>
      <w:r w:rsidR="00702FAA">
        <w:rPr>
          <w:rFonts w:ascii="Arial" w:hAnsi="Arial" w:cs="Arial"/>
        </w:rPr>
        <w:sym w:font="Symbol" w:char="F0B3"/>
      </w:r>
      <w:r w:rsidRPr="002F320A">
        <w:rPr>
          <w:rFonts w:ascii="Arial" w:hAnsi="Arial"/>
        </w:rPr>
        <w:t xml:space="preserve"> 1/1,000 to &lt; 1/100). Within each frequency grouping, undesirable effects are presented in order of decreasing seriousness</w:t>
      </w:r>
      <w:r w:rsidR="00085299" w:rsidRPr="002F320A">
        <w:rPr>
          <w:rFonts w:ascii="Arial" w:eastAsia="Calibri" w:hAnsi="Arial"/>
        </w:rPr>
        <w:t>.</w:t>
      </w:r>
    </w:p>
    <w:p w14:paraId="7BEA2AEA" w14:textId="14ABEF8A" w:rsidR="00085299" w:rsidRPr="002F320A" w:rsidRDefault="00085299" w:rsidP="002F320A">
      <w:pPr>
        <w:pStyle w:val="NoSpacing"/>
        <w:rPr>
          <w:rFonts w:ascii="Arial" w:hAnsi="Arial"/>
        </w:rPr>
      </w:pPr>
    </w:p>
    <w:p w14:paraId="23114BFD" w14:textId="5FB48B74" w:rsidR="00F07E29" w:rsidRPr="000511CF" w:rsidRDefault="00F07E29" w:rsidP="00AB150A">
      <w:pPr>
        <w:pStyle w:val="NoSpacing"/>
        <w:keepNext/>
      </w:pPr>
      <w:r w:rsidRPr="002F320A">
        <w:rPr>
          <w:rFonts w:ascii="Arial" w:hAnsi="Arial"/>
          <w:b/>
        </w:rPr>
        <w:t>Table 2: Tabulated list of adverse reactions</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8"/>
        <w:gridCol w:w="1773"/>
        <w:gridCol w:w="4286"/>
      </w:tblGrid>
      <w:tr w:rsidR="00F07E29" w:rsidRPr="0062381A" w14:paraId="6B552245" w14:textId="77777777" w:rsidTr="002F320A">
        <w:trPr>
          <w:trHeight w:val="269"/>
          <w:tblHeader/>
        </w:trPr>
        <w:tc>
          <w:tcPr>
            <w:tcW w:w="3808" w:type="dxa"/>
            <w:shd w:val="clear" w:color="auto" w:fill="auto"/>
          </w:tcPr>
          <w:p w14:paraId="40835E2B" w14:textId="77777777" w:rsidR="00F07E29" w:rsidRPr="000511CF" w:rsidRDefault="00F07E29" w:rsidP="002F320A">
            <w:pPr>
              <w:keepNext/>
              <w:rPr>
                <w:b/>
              </w:rPr>
            </w:pPr>
            <w:r w:rsidRPr="002F320A">
              <w:rPr>
                <w:rFonts w:ascii="Arial" w:hAnsi="Arial"/>
                <w:b/>
                <w:sz w:val="22"/>
              </w:rPr>
              <w:t>System Organ Class</w:t>
            </w:r>
          </w:p>
        </w:tc>
        <w:tc>
          <w:tcPr>
            <w:tcW w:w="1773" w:type="dxa"/>
            <w:shd w:val="clear" w:color="auto" w:fill="auto"/>
          </w:tcPr>
          <w:p w14:paraId="0AC07044" w14:textId="77777777" w:rsidR="00F07E29" w:rsidRPr="000511CF" w:rsidRDefault="00F07E29" w:rsidP="002F320A">
            <w:pPr>
              <w:keepNext/>
              <w:rPr>
                <w:b/>
              </w:rPr>
            </w:pPr>
            <w:r w:rsidRPr="002F320A">
              <w:rPr>
                <w:rFonts w:ascii="Arial" w:hAnsi="Arial"/>
                <w:b/>
                <w:sz w:val="22"/>
              </w:rPr>
              <w:t>Frequency</w:t>
            </w:r>
          </w:p>
        </w:tc>
        <w:tc>
          <w:tcPr>
            <w:tcW w:w="4286" w:type="dxa"/>
            <w:shd w:val="clear" w:color="auto" w:fill="auto"/>
          </w:tcPr>
          <w:p w14:paraId="139F8F9C" w14:textId="77777777" w:rsidR="00F07E29" w:rsidRPr="000511CF" w:rsidRDefault="00F07E29" w:rsidP="002F320A">
            <w:pPr>
              <w:keepNext/>
              <w:rPr>
                <w:b/>
              </w:rPr>
            </w:pPr>
            <w:r w:rsidRPr="002F320A">
              <w:rPr>
                <w:rFonts w:ascii="Arial" w:hAnsi="Arial"/>
                <w:b/>
                <w:sz w:val="22"/>
              </w:rPr>
              <w:t>Adverse reactions from clinical trials</w:t>
            </w:r>
          </w:p>
        </w:tc>
      </w:tr>
      <w:tr w:rsidR="00F07E29" w:rsidRPr="0062381A" w14:paraId="5DCFFA4C" w14:textId="77777777" w:rsidTr="002F320A">
        <w:trPr>
          <w:trHeight w:val="553"/>
        </w:trPr>
        <w:tc>
          <w:tcPr>
            <w:tcW w:w="3808" w:type="dxa"/>
            <w:shd w:val="clear" w:color="auto" w:fill="auto"/>
          </w:tcPr>
          <w:p w14:paraId="3C109FA9" w14:textId="77777777" w:rsidR="00F07E29" w:rsidRPr="000511CF" w:rsidRDefault="00F07E29" w:rsidP="002F320A">
            <w:pPr>
              <w:keepNext/>
            </w:pPr>
            <w:r w:rsidRPr="002F320A">
              <w:rPr>
                <w:rFonts w:ascii="Arial" w:eastAsia="MS Mincho" w:hAnsi="Arial"/>
                <w:sz w:val="22"/>
              </w:rPr>
              <w:t>Infections and infestations</w:t>
            </w:r>
          </w:p>
        </w:tc>
        <w:tc>
          <w:tcPr>
            <w:tcW w:w="1773" w:type="dxa"/>
            <w:shd w:val="clear" w:color="auto" w:fill="auto"/>
          </w:tcPr>
          <w:p w14:paraId="64C9F421" w14:textId="77777777" w:rsidR="00F07E29" w:rsidRPr="000511CF" w:rsidRDefault="00F07E29" w:rsidP="002F320A">
            <w:pPr>
              <w:keepNext/>
            </w:pPr>
            <w:r w:rsidRPr="002F320A">
              <w:rPr>
                <w:rFonts w:ascii="Arial" w:hAnsi="Arial"/>
                <w:sz w:val="22"/>
              </w:rPr>
              <w:t>Common</w:t>
            </w:r>
          </w:p>
        </w:tc>
        <w:tc>
          <w:tcPr>
            <w:tcW w:w="4286" w:type="dxa"/>
            <w:shd w:val="clear" w:color="auto" w:fill="auto"/>
          </w:tcPr>
          <w:p w14:paraId="32A778BF" w14:textId="77777777" w:rsidR="00F07E29" w:rsidRPr="000511CF" w:rsidRDefault="00F07E29" w:rsidP="002F320A">
            <w:pPr>
              <w:keepNext/>
            </w:pPr>
            <w:proofErr w:type="spellStart"/>
            <w:r w:rsidRPr="002F320A">
              <w:rPr>
                <w:rFonts w:ascii="Arial" w:eastAsia="MS Mincho" w:hAnsi="Arial"/>
                <w:sz w:val="22"/>
              </w:rPr>
              <w:t>Pneumonia</w:t>
            </w:r>
            <w:r w:rsidRPr="002F320A">
              <w:rPr>
                <w:rFonts w:ascii="Arial" w:eastAsia="MS Mincho" w:hAnsi="Arial"/>
                <w:sz w:val="22"/>
                <w:vertAlign w:val="superscript"/>
              </w:rPr>
              <w:t>a</w:t>
            </w:r>
            <w:proofErr w:type="spellEnd"/>
            <w:r w:rsidRPr="002F320A">
              <w:rPr>
                <w:rFonts w:ascii="Arial" w:eastAsia="MS Mincho" w:hAnsi="Arial"/>
                <w:sz w:val="22"/>
              </w:rPr>
              <w:t xml:space="preserve">, Bronchitis, </w:t>
            </w:r>
            <w:proofErr w:type="spellStart"/>
            <w:r w:rsidRPr="002F320A">
              <w:rPr>
                <w:rFonts w:ascii="Arial" w:eastAsia="MS Mincho" w:hAnsi="Arial"/>
                <w:sz w:val="22"/>
              </w:rPr>
              <w:t>Nasopharyngitis</w:t>
            </w:r>
            <w:proofErr w:type="spellEnd"/>
            <w:r w:rsidRPr="002F320A">
              <w:rPr>
                <w:rFonts w:ascii="Arial" w:eastAsia="MS Mincho" w:hAnsi="Arial"/>
                <w:sz w:val="22"/>
              </w:rPr>
              <w:t>, Urinary tract infection</w:t>
            </w:r>
          </w:p>
        </w:tc>
      </w:tr>
      <w:tr w:rsidR="00F07E29" w:rsidRPr="0062381A" w14:paraId="361F4623" w14:textId="77777777" w:rsidTr="002F320A">
        <w:trPr>
          <w:trHeight w:val="269"/>
        </w:trPr>
        <w:tc>
          <w:tcPr>
            <w:tcW w:w="3808" w:type="dxa"/>
            <w:vMerge w:val="restart"/>
            <w:shd w:val="clear" w:color="auto" w:fill="auto"/>
          </w:tcPr>
          <w:p w14:paraId="0EC21752" w14:textId="77777777" w:rsidR="00F07E29" w:rsidRPr="002F320A" w:rsidRDefault="00F07E29" w:rsidP="002F320A">
            <w:pPr>
              <w:rPr>
                <w:rFonts w:eastAsia="MS Mincho"/>
              </w:rPr>
            </w:pPr>
            <w:r w:rsidRPr="002F320A">
              <w:rPr>
                <w:rFonts w:ascii="Arial" w:eastAsia="MS Mincho" w:hAnsi="Arial"/>
                <w:sz w:val="22"/>
              </w:rPr>
              <w:t>Metabolism and nutrition disorders</w:t>
            </w:r>
          </w:p>
        </w:tc>
        <w:tc>
          <w:tcPr>
            <w:tcW w:w="1773" w:type="dxa"/>
            <w:shd w:val="clear" w:color="auto" w:fill="auto"/>
          </w:tcPr>
          <w:p w14:paraId="470552DF" w14:textId="77777777" w:rsidR="00F07E29" w:rsidRPr="000511CF" w:rsidRDefault="00F07E29" w:rsidP="002F320A">
            <w:r w:rsidRPr="002F320A">
              <w:rPr>
                <w:rFonts w:ascii="Arial" w:hAnsi="Arial"/>
                <w:sz w:val="22"/>
              </w:rPr>
              <w:t>Very common</w:t>
            </w:r>
          </w:p>
        </w:tc>
        <w:tc>
          <w:tcPr>
            <w:tcW w:w="4286" w:type="dxa"/>
            <w:shd w:val="clear" w:color="auto" w:fill="auto"/>
          </w:tcPr>
          <w:p w14:paraId="324903B0" w14:textId="77777777" w:rsidR="00F07E29" w:rsidRPr="000511CF" w:rsidRDefault="00F07E29" w:rsidP="002F320A">
            <w:r w:rsidRPr="002F320A">
              <w:rPr>
                <w:rFonts w:ascii="Arial" w:eastAsia="MS Mincho" w:hAnsi="Arial"/>
                <w:sz w:val="22"/>
              </w:rPr>
              <w:t>Decreased appetite</w:t>
            </w:r>
          </w:p>
        </w:tc>
      </w:tr>
      <w:tr w:rsidR="00F07E29" w:rsidRPr="0062381A" w14:paraId="608DDBEA" w14:textId="77777777" w:rsidTr="002F320A">
        <w:trPr>
          <w:trHeight w:val="284"/>
        </w:trPr>
        <w:tc>
          <w:tcPr>
            <w:tcW w:w="3808" w:type="dxa"/>
            <w:vMerge/>
            <w:shd w:val="clear" w:color="auto" w:fill="auto"/>
          </w:tcPr>
          <w:p w14:paraId="68D28654" w14:textId="77777777" w:rsidR="00F07E29" w:rsidRPr="002F320A" w:rsidRDefault="00F07E29" w:rsidP="0062271D">
            <w:pPr>
              <w:rPr>
                <w:rFonts w:ascii="Arial" w:eastAsia="MS Mincho" w:hAnsi="Arial"/>
                <w:b/>
                <w:sz w:val="22"/>
              </w:rPr>
            </w:pPr>
          </w:p>
        </w:tc>
        <w:tc>
          <w:tcPr>
            <w:tcW w:w="1773" w:type="dxa"/>
            <w:shd w:val="clear" w:color="auto" w:fill="auto"/>
          </w:tcPr>
          <w:p w14:paraId="6F7827A5" w14:textId="77777777" w:rsidR="00F07E29" w:rsidRPr="000511CF" w:rsidRDefault="00F07E29" w:rsidP="002F320A">
            <w:r w:rsidRPr="002F320A">
              <w:rPr>
                <w:rFonts w:ascii="Arial" w:hAnsi="Arial"/>
                <w:sz w:val="22"/>
              </w:rPr>
              <w:t>Common</w:t>
            </w:r>
          </w:p>
        </w:tc>
        <w:tc>
          <w:tcPr>
            <w:tcW w:w="4286" w:type="dxa"/>
            <w:shd w:val="clear" w:color="auto" w:fill="auto"/>
          </w:tcPr>
          <w:p w14:paraId="6F95CAB1" w14:textId="77777777" w:rsidR="00F07E29" w:rsidRPr="002F320A" w:rsidRDefault="00F07E29" w:rsidP="002F320A">
            <w:pPr>
              <w:rPr>
                <w:rFonts w:eastAsia="MS Mincho"/>
              </w:rPr>
            </w:pPr>
            <w:r w:rsidRPr="002F320A">
              <w:rPr>
                <w:rFonts w:ascii="Arial" w:eastAsia="MS Mincho" w:hAnsi="Arial"/>
                <w:sz w:val="22"/>
              </w:rPr>
              <w:t>Increased appetite</w:t>
            </w:r>
          </w:p>
        </w:tc>
      </w:tr>
      <w:tr w:rsidR="00F07E29" w:rsidRPr="0062381A" w14:paraId="1F1A013A" w14:textId="77777777" w:rsidTr="002F320A">
        <w:trPr>
          <w:trHeight w:val="459"/>
        </w:trPr>
        <w:tc>
          <w:tcPr>
            <w:tcW w:w="3808" w:type="dxa"/>
            <w:shd w:val="clear" w:color="auto" w:fill="auto"/>
          </w:tcPr>
          <w:p w14:paraId="3D3A8456" w14:textId="77777777" w:rsidR="00F07E29" w:rsidRPr="002F320A" w:rsidRDefault="00F07E29" w:rsidP="002F320A">
            <w:pPr>
              <w:rPr>
                <w:rFonts w:eastAsia="MS Mincho"/>
              </w:rPr>
            </w:pPr>
            <w:r w:rsidRPr="002F320A">
              <w:rPr>
                <w:rFonts w:ascii="Arial" w:eastAsia="MS Mincho" w:hAnsi="Arial"/>
                <w:sz w:val="22"/>
              </w:rPr>
              <w:t>Psychiatric disorders</w:t>
            </w:r>
          </w:p>
        </w:tc>
        <w:tc>
          <w:tcPr>
            <w:tcW w:w="1773" w:type="dxa"/>
            <w:shd w:val="clear" w:color="auto" w:fill="auto"/>
          </w:tcPr>
          <w:p w14:paraId="08F3B967" w14:textId="77777777" w:rsidR="00F07E29" w:rsidRPr="000511CF" w:rsidRDefault="00F07E29" w:rsidP="002F320A">
            <w:r w:rsidRPr="002F320A">
              <w:rPr>
                <w:rFonts w:ascii="Arial" w:hAnsi="Arial"/>
                <w:sz w:val="22"/>
              </w:rPr>
              <w:t>Common</w:t>
            </w:r>
          </w:p>
        </w:tc>
        <w:tc>
          <w:tcPr>
            <w:tcW w:w="4286" w:type="dxa"/>
            <w:shd w:val="clear" w:color="auto" w:fill="auto"/>
          </w:tcPr>
          <w:p w14:paraId="091C55F3" w14:textId="77777777" w:rsidR="00F07E29" w:rsidRPr="000511CF" w:rsidRDefault="00F07E29" w:rsidP="002F320A">
            <w:r w:rsidRPr="002F320A">
              <w:rPr>
                <w:rFonts w:ascii="Arial" w:eastAsia="MS Mincho" w:hAnsi="Arial"/>
                <w:sz w:val="22"/>
              </w:rPr>
              <w:t>Irritability, Insomnia, Aggression, Abnormal behaviour, Agitation</w:t>
            </w:r>
            <w:r w:rsidRPr="00F73A5A">
              <w:rPr>
                <w:rFonts w:ascii="Arial" w:eastAsia="MS Mincho" w:hAnsi="Arial"/>
                <w:sz w:val="22"/>
              </w:rPr>
              <w:t xml:space="preserve"> </w:t>
            </w:r>
          </w:p>
        </w:tc>
      </w:tr>
      <w:tr w:rsidR="00F07E29" w:rsidRPr="0062381A" w14:paraId="2568B472" w14:textId="77777777" w:rsidTr="002F320A">
        <w:trPr>
          <w:trHeight w:val="269"/>
        </w:trPr>
        <w:tc>
          <w:tcPr>
            <w:tcW w:w="3808" w:type="dxa"/>
            <w:vMerge w:val="restart"/>
            <w:shd w:val="clear" w:color="auto" w:fill="auto"/>
          </w:tcPr>
          <w:p w14:paraId="43ADDF84" w14:textId="77777777" w:rsidR="00F07E29" w:rsidRPr="002F320A" w:rsidRDefault="00F07E29" w:rsidP="002F320A">
            <w:pPr>
              <w:keepNext/>
              <w:rPr>
                <w:rFonts w:eastAsia="MS Mincho"/>
              </w:rPr>
            </w:pPr>
            <w:r w:rsidRPr="002F320A">
              <w:rPr>
                <w:rFonts w:ascii="Arial" w:eastAsia="MS Mincho" w:hAnsi="Arial"/>
                <w:sz w:val="22"/>
              </w:rPr>
              <w:t>Nervous system disorders</w:t>
            </w:r>
          </w:p>
        </w:tc>
        <w:tc>
          <w:tcPr>
            <w:tcW w:w="1773" w:type="dxa"/>
            <w:shd w:val="clear" w:color="auto" w:fill="auto"/>
          </w:tcPr>
          <w:p w14:paraId="0064B5CE" w14:textId="77777777" w:rsidR="00F07E29" w:rsidRPr="000511CF" w:rsidRDefault="00F07E29" w:rsidP="002F320A">
            <w:pPr>
              <w:keepNext/>
            </w:pPr>
            <w:r w:rsidRPr="002F320A">
              <w:rPr>
                <w:rFonts w:ascii="Arial" w:hAnsi="Arial"/>
                <w:sz w:val="22"/>
              </w:rPr>
              <w:t>Very common</w:t>
            </w:r>
          </w:p>
        </w:tc>
        <w:tc>
          <w:tcPr>
            <w:tcW w:w="4286" w:type="dxa"/>
            <w:shd w:val="clear" w:color="auto" w:fill="auto"/>
          </w:tcPr>
          <w:p w14:paraId="329F5410" w14:textId="77777777" w:rsidR="00F07E29" w:rsidRPr="002F320A" w:rsidRDefault="00F07E29" w:rsidP="002F320A">
            <w:pPr>
              <w:keepNext/>
              <w:rPr>
                <w:sz w:val="22"/>
              </w:rPr>
            </w:pPr>
            <w:proofErr w:type="spellStart"/>
            <w:r w:rsidRPr="002F320A">
              <w:rPr>
                <w:rFonts w:ascii="Arial" w:eastAsia="MS Mincho" w:hAnsi="Arial"/>
                <w:sz w:val="22"/>
              </w:rPr>
              <w:t>Somnolence</w:t>
            </w:r>
            <w:r w:rsidRPr="002F320A">
              <w:rPr>
                <w:rFonts w:ascii="Arial" w:eastAsia="MS Mincho" w:hAnsi="Arial"/>
                <w:sz w:val="22"/>
                <w:vertAlign w:val="superscript"/>
              </w:rPr>
              <w:t>a</w:t>
            </w:r>
            <w:proofErr w:type="spellEnd"/>
          </w:p>
        </w:tc>
      </w:tr>
      <w:tr w:rsidR="00F07E29" w:rsidRPr="0062381A" w14:paraId="79A59A0F" w14:textId="77777777" w:rsidTr="002F320A">
        <w:trPr>
          <w:trHeight w:val="284"/>
        </w:trPr>
        <w:tc>
          <w:tcPr>
            <w:tcW w:w="3808" w:type="dxa"/>
            <w:vMerge/>
            <w:shd w:val="clear" w:color="auto" w:fill="auto"/>
          </w:tcPr>
          <w:p w14:paraId="3CDF37FB" w14:textId="77777777" w:rsidR="00F07E29" w:rsidRPr="002F320A" w:rsidRDefault="00F07E29" w:rsidP="0062271D">
            <w:pPr>
              <w:rPr>
                <w:rFonts w:ascii="Arial" w:eastAsia="MS Mincho" w:hAnsi="Arial"/>
                <w:b/>
                <w:sz w:val="22"/>
              </w:rPr>
            </w:pPr>
          </w:p>
        </w:tc>
        <w:tc>
          <w:tcPr>
            <w:tcW w:w="1773" w:type="dxa"/>
            <w:shd w:val="clear" w:color="auto" w:fill="auto"/>
          </w:tcPr>
          <w:p w14:paraId="5A73655C" w14:textId="77777777" w:rsidR="00F07E29" w:rsidRPr="000511CF" w:rsidRDefault="00F07E29" w:rsidP="002F320A">
            <w:r w:rsidRPr="002F320A">
              <w:rPr>
                <w:rFonts w:ascii="Arial" w:hAnsi="Arial"/>
                <w:sz w:val="22"/>
              </w:rPr>
              <w:t>Common</w:t>
            </w:r>
          </w:p>
        </w:tc>
        <w:tc>
          <w:tcPr>
            <w:tcW w:w="4286" w:type="dxa"/>
            <w:shd w:val="clear" w:color="auto" w:fill="auto"/>
          </w:tcPr>
          <w:p w14:paraId="180457B6" w14:textId="77777777" w:rsidR="00F07E29" w:rsidRPr="002F320A" w:rsidRDefault="00F07E29" w:rsidP="002F320A">
            <w:pPr>
              <w:rPr>
                <w:rFonts w:eastAsia="MS Mincho"/>
              </w:rPr>
            </w:pPr>
            <w:r w:rsidRPr="002F320A">
              <w:rPr>
                <w:rFonts w:ascii="Arial" w:eastAsia="MS Mincho" w:hAnsi="Arial"/>
                <w:sz w:val="22"/>
              </w:rPr>
              <w:t>Lethargy, Drooling, Tremor</w:t>
            </w:r>
          </w:p>
        </w:tc>
      </w:tr>
      <w:tr w:rsidR="00F07E29" w:rsidRPr="0062381A" w14:paraId="006F9AA0" w14:textId="77777777" w:rsidTr="002F320A">
        <w:trPr>
          <w:trHeight w:val="553"/>
        </w:trPr>
        <w:tc>
          <w:tcPr>
            <w:tcW w:w="3808" w:type="dxa"/>
            <w:shd w:val="clear" w:color="auto" w:fill="auto"/>
          </w:tcPr>
          <w:p w14:paraId="61143373" w14:textId="77777777" w:rsidR="00F07E29" w:rsidRPr="002F320A" w:rsidRDefault="00F07E29" w:rsidP="002F320A">
            <w:pPr>
              <w:rPr>
                <w:rFonts w:eastAsia="MS Mincho"/>
              </w:rPr>
            </w:pPr>
            <w:r w:rsidRPr="002F320A">
              <w:rPr>
                <w:rFonts w:ascii="Arial" w:eastAsia="MS Mincho" w:hAnsi="Arial"/>
                <w:sz w:val="22"/>
              </w:rPr>
              <w:t>Respiratory, thoracic and mediastinal disorders</w:t>
            </w:r>
          </w:p>
        </w:tc>
        <w:tc>
          <w:tcPr>
            <w:tcW w:w="1773" w:type="dxa"/>
            <w:shd w:val="clear" w:color="auto" w:fill="auto"/>
          </w:tcPr>
          <w:p w14:paraId="5F06A24F" w14:textId="77777777" w:rsidR="00F07E29" w:rsidRPr="000511CF" w:rsidRDefault="00F07E29" w:rsidP="002F320A">
            <w:r w:rsidRPr="002F320A">
              <w:rPr>
                <w:rFonts w:ascii="Arial" w:hAnsi="Arial"/>
                <w:sz w:val="22"/>
              </w:rPr>
              <w:t>Common</w:t>
            </w:r>
          </w:p>
        </w:tc>
        <w:tc>
          <w:tcPr>
            <w:tcW w:w="4286" w:type="dxa"/>
            <w:shd w:val="clear" w:color="auto" w:fill="auto"/>
          </w:tcPr>
          <w:p w14:paraId="1C8DA13E" w14:textId="77777777" w:rsidR="00F07E29" w:rsidRPr="000511CF" w:rsidRDefault="00F07E29" w:rsidP="002F320A">
            <w:r w:rsidRPr="002F320A">
              <w:rPr>
                <w:rFonts w:ascii="Arial" w:eastAsia="MS Mincho" w:hAnsi="Arial"/>
                <w:sz w:val="22"/>
              </w:rPr>
              <w:t>Cough</w:t>
            </w:r>
          </w:p>
        </w:tc>
      </w:tr>
      <w:tr w:rsidR="00F07E29" w:rsidRPr="0062381A" w14:paraId="24AF8BA1" w14:textId="77777777" w:rsidTr="002F320A">
        <w:trPr>
          <w:trHeight w:val="269"/>
        </w:trPr>
        <w:tc>
          <w:tcPr>
            <w:tcW w:w="3808" w:type="dxa"/>
            <w:shd w:val="clear" w:color="auto" w:fill="auto"/>
          </w:tcPr>
          <w:p w14:paraId="548B8A18" w14:textId="77777777" w:rsidR="00F07E29" w:rsidRPr="002F320A" w:rsidRDefault="00F07E29" w:rsidP="002F320A">
            <w:pPr>
              <w:rPr>
                <w:rFonts w:eastAsia="MS Mincho"/>
              </w:rPr>
            </w:pPr>
            <w:r w:rsidRPr="002F320A">
              <w:rPr>
                <w:rFonts w:ascii="Arial" w:eastAsia="MS Mincho" w:hAnsi="Arial"/>
                <w:sz w:val="22"/>
              </w:rPr>
              <w:t>Gastrointestinal disorders</w:t>
            </w:r>
          </w:p>
        </w:tc>
        <w:tc>
          <w:tcPr>
            <w:tcW w:w="1773" w:type="dxa"/>
            <w:shd w:val="clear" w:color="auto" w:fill="auto"/>
          </w:tcPr>
          <w:p w14:paraId="083DADBD" w14:textId="77777777" w:rsidR="00F07E29" w:rsidRPr="000511CF" w:rsidRDefault="00F07E29" w:rsidP="002F320A">
            <w:r w:rsidRPr="002F320A">
              <w:rPr>
                <w:rFonts w:ascii="Arial" w:hAnsi="Arial"/>
                <w:sz w:val="22"/>
              </w:rPr>
              <w:t>Very common</w:t>
            </w:r>
          </w:p>
        </w:tc>
        <w:tc>
          <w:tcPr>
            <w:tcW w:w="4286" w:type="dxa"/>
            <w:shd w:val="clear" w:color="auto" w:fill="auto"/>
          </w:tcPr>
          <w:p w14:paraId="413EE3A2" w14:textId="77777777" w:rsidR="00F07E29" w:rsidRPr="000511CF" w:rsidRDefault="00F07E29" w:rsidP="002F320A">
            <w:r w:rsidRPr="002F320A">
              <w:rPr>
                <w:rFonts w:ascii="Arial" w:eastAsia="MS Mincho" w:hAnsi="Arial"/>
                <w:sz w:val="22"/>
              </w:rPr>
              <w:t>Diarrhoea, Vomiting</w:t>
            </w:r>
            <w:r w:rsidRPr="00F73A5A">
              <w:rPr>
                <w:rFonts w:ascii="Arial" w:eastAsia="MS Mincho" w:hAnsi="Arial"/>
                <w:sz w:val="22"/>
              </w:rPr>
              <w:t xml:space="preserve"> </w:t>
            </w:r>
          </w:p>
        </w:tc>
      </w:tr>
      <w:tr w:rsidR="00F07E29" w:rsidRPr="0062381A" w14:paraId="752FEACA" w14:textId="77777777" w:rsidTr="002F320A">
        <w:trPr>
          <w:trHeight w:val="538"/>
        </w:trPr>
        <w:tc>
          <w:tcPr>
            <w:tcW w:w="3808" w:type="dxa"/>
            <w:shd w:val="clear" w:color="auto" w:fill="auto"/>
          </w:tcPr>
          <w:p w14:paraId="7D8C67CA" w14:textId="77777777" w:rsidR="00F07E29" w:rsidRPr="002F320A" w:rsidRDefault="00F07E29" w:rsidP="002F320A">
            <w:pPr>
              <w:rPr>
                <w:rFonts w:eastAsia="MS Mincho"/>
              </w:rPr>
            </w:pPr>
            <w:r w:rsidRPr="002F320A">
              <w:rPr>
                <w:rFonts w:ascii="Arial" w:eastAsia="MS Mincho" w:hAnsi="Arial"/>
                <w:sz w:val="22"/>
              </w:rPr>
              <w:t>Hepatobiliary disorders</w:t>
            </w:r>
          </w:p>
        </w:tc>
        <w:tc>
          <w:tcPr>
            <w:tcW w:w="1773" w:type="dxa"/>
            <w:shd w:val="clear" w:color="auto" w:fill="auto"/>
          </w:tcPr>
          <w:p w14:paraId="0E76BB74" w14:textId="77777777" w:rsidR="00F07E29" w:rsidRPr="000511CF" w:rsidRDefault="00F07E29" w:rsidP="002F320A">
            <w:r w:rsidRPr="002F320A">
              <w:rPr>
                <w:rFonts w:ascii="Arial" w:hAnsi="Arial"/>
                <w:sz w:val="22"/>
              </w:rPr>
              <w:t>Common</w:t>
            </w:r>
          </w:p>
        </w:tc>
        <w:tc>
          <w:tcPr>
            <w:tcW w:w="4286" w:type="dxa"/>
            <w:shd w:val="clear" w:color="auto" w:fill="auto"/>
          </w:tcPr>
          <w:p w14:paraId="7C020969" w14:textId="77777777" w:rsidR="00F07E29" w:rsidRPr="002F320A" w:rsidRDefault="00F07E29" w:rsidP="002F320A">
            <w:pPr>
              <w:rPr>
                <w:rFonts w:eastAsia="MS Mincho"/>
              </w:rPr>
            </w:pPr>
            <w:r w:rsidRPr="002F320A">
              <w:rPr>
                <w:rFonts w:ascii="Arial" w:eastAsia="MS Mincho" w:hAnsi="Arial"/>
                <w:sz w:val="22"/>
              </w:rPr>
              <w:t>AST increased, ALT increased, GGT increased, Liver function test abnormal</w:t>
            </w:r>
          </w:p>
        </w:tc>
      </w:tr>
      <w:tr w:rsidR="00F07E29" w:rsidRPr="0062381A" w14:paraId="76720795" w14:textId="77777777" w:rsidTr="002F320A">
        <w:trPr>
          <w:trHeight w:val="553"/>
        </w:trPr>
        <w:tc>
          <w:tcPr>
            <w:tcW w:w="3808" w:type="dxa"/>
            <w:shd w:val="clear" w:color="auto" w:fill="auto"/>
          </w:tcPr>
          <w:p w14:paraId="4A4F4C15" w14:textId="77777777" w:rsidR="00F07E29" w:rsidRPr="002F320A" w:rsidRDefault="00F07E29" w:rsidP="002F320A">
            <w:pPr>
              <w:rPr>
                <w:rFonts w:eastAsia="MS Mincho"/>
              </w:rPr>
            </w:pPr>
            <w:r w:rsidRPr="002F320A">
              <w:rPr>
                <w:rFonts w:ascii="Arial" w:eastAsia="MS Mincho" w:hAnsi="Arial"/>
                <w:sz w:val="22"/>
              </w:rPr>
              <w:t>Skin and subcutaneous tissue disorders</w:t>
            </w:r>
          </w:p>
        </w:tc>
        <w:tc>
          <w:tcPr>
            <w:tcW w:w="1773" w:type="dxa"/>
            <w:shd w:val="clear" w:color="auto" w:fill="auto"/>
          </w:tcPr>
          <w:p w14:paraId="5F268F7A" w14:textId="77777777" w:rsidR="00F07E29" w:rsidRPr="000511CF" w:rsidRDefault="00F07E29" w:rsidP="002F320A">
            <w:r w:rsidRPr="002F320A">
              <w:rPr>
                <w:rFonts w:ascii="Arial" w:hAnsi="Arial"/>
                <w:sz w:val="22"/>
              </w:rPr>
              <w:t>Common</w:t>
            </w:r>
          </w:p>
        </w:tc>
        <w:tc>
          <w:tcPr>
            <w:tcW w:w="4286" w:type="dxa"/>
            <w:shd w:val="clear" w:color="auto" w:fill="auto"/>
          </w:tcPr>
          <w:p w14:paraId="655B30F5" w14:textId="77777777" w:rsidR="00F07E29" w:rsidRPr="000511CF" w:rsidRDefault="00F07E29" w:rsidP="002F320A">
            <w:r w:rsidRPr="002F320A">
              <w:rPr>
                <w:rFonts w:ascii="Arial" w:eastAsia="MS Mincho" w:hAnsi="Arial"/>
                <w:sz w:val="22"/>
              </w:rPr>
              <w:t>Rash</w:t>
            </w:r>
          </w:p>
        </w:tc>
      </w:tr>
      <w:tr w:rsidR="00F07E29" w:rsidRPr="0062381A" w14:paraId="4D499E40" w14:textId="77777777" w:rsidTr="002F320A">
        <w:trPr>
          <w:trHeight w:val="538"/>
        </w:trPr>
        <w:tc>
          <w:tcPr>
            <w:tcW w:w="3808" w:type="dxa"/>
            <w:shd w:val="clear" w:color="auto" w:fill="auto"/>
          </w:tcPr>
          <w:p w14:paraId="0F99E481" w14:textId="77777777" w:rsidR="00F07E29" w:rsidRPr="002F320A" w:rsidRDefault="00F07E29" w:rsidP="002F320A">
            <w:pPr>
              <w:rPr>
                <w:rFonts w:eastAsia="MS Mincho"/>
              </w:rPr>
            </w:pPr>
            <w:r w:rsidRPr="002F320A">
              <w:rPr>
                <w:rFonts w:ascii="Arial" w:eastAsia="MS Mincho" w:hAnsi="Arial"/>
                <w:sz w:val="22"/>
              </w:rPr>
              <w:t>General disorders and administration site conditions</w:t>
            </w:r>
          </w:p>
        </w:tc>
        <w:tc>
          <w:tcPr>
            <w:tcW w:w="1773" w:type="dxa"/>
            <w:shd w:val="clear" w:color="auto" w:fill="auto"/>
          </w:tcPr>
          <w:p w14:paraId="1DDFE8A1" w14:textId="77777777" w:rsidR="00F07E29" w:rsidRPr="000511CF" w:rsidRDefault="00F07E29" w:rsidP="002F320A">
            <w:r w:rsidRPr="002F320A">
              <w:rPr>
                <w:rFonts w:ascii="Arial" w:hAnsi="Arial"/>
                <w:sz w:val="22"/>
              </w:rPr>
              <w:t>Very common</w:t>
            </w:r>
          </w:p>
        </w:tc>
        <w:tc>
          <w:tcPr>
            <w:tcW w:w="4286" w:type="dxa"/>
            <w:shd w:val="clear" w:color="auto" w:fill="auto"/>
          </w:tcPr>
          <w:p w14:paraId="31EC3212" w14:textId="41D51493" w:rsidR="00F07E29" w:rsidRPr="000511CF" w:rsidRDefault="00F07E29" w:rsidP="002F320A">
            <w:r w:rsidRPr="002F320A">
              <w:rPr>
                <w:rFonts w:ascii="Arial" w:eastAsia="MS Mincho" w:hAnsi="Arial"/>
                <w:sz w:val="22"/>
              </w:rPr>
              <w:t>Pyrexia, Fatigue</w:t>
            </w:r>
          </w:p>
        </w:tc>
      </w:tr>
      <w:tr w:rsidR="00F07E29" w:rsidRPr="0062381A" w14:paraId="20345613" w14:textId="77777777" w:rsidTr="002F320A">
        <w:trPr>
          <w:trHeight w:val="269"/>
        </w:trPr>
        <w:tc>
          <w:tcPr>
            <w:tcW w:w="3808" w:type="dxa"/>
            <w:shd w:val="clear" w:color="auto" w:fill="auto"/>
          </w:tcPr>
          <w:p w14:paraId="1C48E28E" w14:textId="77777777" w:rsidR="00F07E29" w:rsidRPr="002F320A" w:rsidRDefault="00F07E29" w:rsidP="002F320A">
            <w:pPr>
              <w:rPr>
                <w:rFonts w:eastAsia="MS Mincho"/>
              </w:rPr>
            </w:pPr>
            <w:r w:rsidRPr="002F320A">
              <w:rPr>
                <w:rFonts w:ascii="Arial" w:eastAsia="MS Mincho" w:hAnsi="Arial"/>
                <w:sz w:val="22"/>
              </w:rPr>
              <w:t>Investigations</w:t>
            </w:r>
          </w:p>
        </w:tc>
        <w:tc>
          <w:tcPr>
            <w:tcW w:w="1773" w:type="dxa"/>
            <w:shd w:val="clear" w:color="auto" w:fill="auto"/>
          </w:tcPr>
          <w:p w14:paraId="33282B3E" w14:textId="77777777" w:rsidR="00F07E29" w:rsidRPr="000511CF" w:rsidRDefault="00F07E29" w:rsidP="002F320A">
            <w:r w:rsidRPr="002F320A">
              <w:rPr>
                <w:rFonts w:ascii="Arial" w:hAnsi="Arial"/>
                <w:sz w:val="22"/>
              </w:rPr>
              <w:t>Common</w:t>
            </w:r>
          </w:p>
        </w:tc>
        <w:tc>
          <w:tcPr>
            <w:tcW w:w="4286" w:type="dxa"/>
            <w:shd w:val="clear" w:color="auto" w:fill="auto"/>
          </w:tcPr>
          <w:p w14:paraId="270FB235" w14:textId="77777777" w:rsidR="00F07E29" w:rsidRPr="000511CF" w:rsidRDefault="00F07E29" w:rsidP="002F320A">
            <w:r w:rsidRPr="002F320A">
              <w:rPr>
                <w:rFonts w:ascii="Arial" w:eastAsia="MS Mincho" w:hAnsi="Arial"/>
                <w:sz w:val="22"/>
              </w:rPr>
              <w:t>Weight decreased</w:t>
            </w:r>
          </w:p>
        </w:tc>
      </w:tr>
    </w:tbl>
    <w:p w14:paraId="29C2E1D8" w14:textId="4E12929A" w:rsidR="00F07E29" w:rsidRPr="002F320A" w:rsidRDefault="00F07E29" w:rsidP="002F320A">
      <w:pPr>
        <w:tabs>
          <w:tab w:val="left" w:pos="0"/>
        </w:tabs>
        <w:ind w:right="244"/>
        <w:rPr>
          <w:rFonts w:ascii="Arial" w:hAnsi="Arial"/>
          <w:u w:val="single"/>
        </w:rPr>
      </w:pPr>
      <w:r w:rsidRPr="002F320A">
        <w:rPr>
          <w:rFonts w:ascii="Arial" w:eastAsia="MS Mincho" w:hAnsi="Arial"/>
          <w:sz w:val="22"/>
          <w:vertAlign w:val="superscript"/>
        </w:rPr>
        <w:t xml:space="preserve">a </w:t>
      </w:r>
      <w:r w:rsidRPr="002F320A">
        <w:rPr>
          <w:rFonts w:ascii="Arial" w:eastAsia="MS Mincho" w:hAnsi="Arial"/>
          <w:sz w:val="22"/>
        </w:rPr>
        <w:t xml:space="preserve">Grouped Terms: </w:t>
      </w:r>
      <w:r w:rsidRPr="002F320A">
        <w:rPr>
          <w:rFonts w:ascii="Arial" w:eastAsia="MS Mincho" w:hAnsi="Arial"/>
          <w:b/>
          <w:sz w:val="22"/>
        </w:rPr>
        <w:t xml:space="preserve">Pneumonia: </w:t>
      </w:r>
      <w:r w:rsidRPr="002F320A">
        <w:rPr>
          <w:rFonts w:ascii="Arial" w:eastAsia="MS Mincho" w:hAnsi="Arial"/>
          <w:sz w:val="22"/>
        </w:rPr>
        <w:t xml:space="preserve">Pneumonia, Pneumonia RSV, Pneumonia </w:t>
      </w:r>
      <w:proofErr w:type="spellStart"/>
      <w:r w:rsidRPr="002F320A">
        <w:rPr>
          <w:rFonts w:ascii="Arial" w:eastAsia="MS Mincho" w:hAnsi="Arial"/>
          <w:sz w:val="22"/>
        </w:rPr>
        <w:t>mycoplasmal</w:t>
      </w:r>
      <w:proofErr w:type="spellEnd"/>
      <w:r w:rsidRPr="002F320A">
        <w:rPr>
          <w:rFonts w:ascii="Arial" w:eastAsia="MS Mincho" w:hAnsi="Arial"/>
          <w:sz w:val="22"/>
        </w:rPr>
        <w:t xml:space="preserve">, Pneumonia adenoviral, Pneumonia viral, Aspiration pneumonia; </w:t>
      </w:r>
      <w:r w:rsidRPr="002F320A">
        <w:rPr>
          <w:rFonts w:ascii="Arial" w:eastAsia="MS Mincho" w:hAnsi="Arial"/>
          <w:b/>
          <w:sz w:val="22"/>
        </w:rPr>
        <w:t xml:space="preserve">Somnolence: </w:t>
      </w:r>
      <w:r w:rsidRPr="002F320A">
        <w:rPr>
          <w:rFonts w:ascii="Arial" w:eastAsia="MS Mincho" w:hAnsi="Arial"/>
          <w:sz w:val="22"/>
        </w:rPr>
        <w:t>Somnolence, Sedation</w:t>
      </w:r>
      <w:r w:rsidRPr="002F320A">
        <w:rPr>
          <w:rFonts w:ascii="Arial" w:eastAsia="MS Mincho" w:hAnsi="Arial"/>
        </w:rPr>
        <w:t>.</w:t>
      </w:r>
    </w:p>
    <w:p w14:paraId="577A3710" w14:textId="2C56D92D" w:rsidR="00085299" w:rsidRPr="002F320A" w:rsidRDefault="00085299" w:rsidP="002F320A">
      <w:pPr>
        <w:pStyle w:val="NoSpacing"/>
        <w:rPr>
          <w:rFonts w:ascii="Arial" w:hAnsi="Arial"/>
          <w:b/>
        </w:rPr>
      </w:pPr>
    </w:p>
    <w:p w14:paraId="6707BBC9" w14:textId="77777777" w:rsidR="00DB02A6" w:rsidRPr="000511CF" w:rsidRDefault="00DB02A6" w:rsidP="00D900DC">
      <w:pPr>
        <w:pStyle w:val="Heading3"/>
      </w:pPr>
      <w:r w:rsidRPr="002F320A">
        <w:t>Description of selected adverse reactions</w:t>
      </w:r>
    </w:p>
    <w:p w14:paraId="2EBBEE01" w14:textId="6D3FDCE8" w:rsidR="00DB02A6" w:rsidRPr="002F320A" w:rsidRDefault="00F07E29" w:rsidP="00D900DC">
      <w:pPr>
        <w:pStyle w:val="Heading4"/>
      </w:pPr>
      <w:r w:rsidRPr="002F320A">
        <w:t>Hepatocellular injury</w:t>
      </w:r>
    </w:p>
    <w:p w14:paraId="488FF29C" w14:textId="28EE2C46" w:rsidR="00F07E29" w:rsidRPr="002F320A" w:rsidRDefault="00F11EE5" w:rsidP="002F320A">
      <w:pPr>
        <w:autoSpaceDE w:val="0"/>
        <w:autoSpaceDN w:val="0"/>
        <w:adjustRightInd w:val="0"/>
        <w:rPr>
          <w:rFonts w:ascii="Arial" w:hAnsi="Arial"/>
        </w:rPr>
      </w:pPr>
      <w:r w:rsidRPr="002F320A">
        <w:rPr>
          <w:rFonts w:ascii="Arial" w:hAnsi="Arial"/>
        </w:rPr>
        <w:t>EPIDYOLEX</w:t>
      </w:r>
      <w:r w:rsidR="00F07E29" w:rsidRPr="002F320A">
        <w:rPr>
          <w:rFonts w:ascii="Arial" w:hAnsi="Arial"/>
        </w:rPr>
        <w:t xml:space="preserve"> causes dose</w:t>
      </w:r>
      <w:r w:rsidR="00F07E29" w:rsidRPr="0062381A">
        <w:rPr>
          <w:rFonts w:ascii="Arial" w:hAnsi="Arial" w:cs="Arial"/>
        </w:rPr>
        <w:noBreakHyphen/>
      </w:r>
      <w:r w:rsidR="00F07E29" w:rsidRPr="002F320A">
        <w:rPr>
          <w:rFonts w:ascii="Arial" w:hAnsi="Arial"/>
        </w:rPr>
        <w:t>related elevations of ALT and AST (see section</w:t>
      </w:r>
      <w:r w:rsidR="00F07E29" w:rsidRPr="0062381A">
        <w:rPr>
          <w:rFonts w:ascii="Arial" w:hAnsi="Arial" w:cs="Arial"/>
        </w:rPr>
        <w:t> </w:t>
      </w:r>
      <w:hyperlink w:anchor="_special_warnings_and" w:history="1">
        <w:r w:rsidR="00F07E29" w:rsidRPr="0062381A">
          <w:rPr>
            <w:rStyle w:val="Hyperlink"/>
            <w:rFonts w:ascii="Arial" w:hAnsi="Arial" w:cs="Arial"/>
          </w:rPr>
          <w:t>4.4 SPECIAL WARNINGS AND PRECAUTIONS FOR USE</w:t>
        </w:r>
      </w:hyperlink>
      <w:r w:rsidR="00F07E29" w:rsidRPr="002F320A">
        <w:rPr>
          <w:rFonts w:ascii="Arial" w:hAnsi="Arial"/>
        </w:rPr>
        <w:t>).</w:t>
      </w:r>
    </w:p>
    <w:p w14:paraId="555B2A5B" w14:textId="77777777" w:rsidR="00F07E29" w:rsidRPr="002F320A" w:rsidRDefault="00F07E29" w:rsidP="002F320A">
      <w:pPr>
        <w:autoSpaceDE w:val="0"/>
        <w:autoSpaceDN w:val="0"/>
        <w:adjustRightInd w:val="0"/>
        <w:rPr>
          <w:rFonts w:ascii="Arial" w:hAnsi="Arial"/>
        </w:rPr>
      </w:pPr>
    </w:p>
    <w:p w14:paraId="2574BD2D" w14:textId="130620F3" w:rsidR="00F07E29" w:rsidRPr="002F320A" w:rsidRDefault="00F07E29" w:rsidP="002F320A">
      <w:pPr>
        <w:autoSpaceDE w:val="0"/>
        <w:autoSpaceDN w:val="0"/>
        <w:adjustRightInd w:val="0"/>
        <w:rPr>
          <w:rFonts w:ascii="Arial" w:hAnsi="Arial"/>
        </w:rPr>
      </w:pPr>
      <w:r w:rsidRPr="002F320A">
        <w:rPr>
          <w:rFonts w:ascii="Arial" w:hAnsi="Arial"/>
        </w:rPr>
        <w:t>In controlled studies for LGS and DS, the incidence of ALT elevations above 3</w:t>
      </w:r>
      <w:r w:rsidRPr="0062381A">
        <w:rPr>
          <w:rFonts w:ascii="Arial" w:hAnsi="Arial" w:cs="Arial"/>
        </w:rPr>
        <w:t> </w:t>
      </w:r>
      <w:r w:rsidRPr="002F320A">
        <w:rPr>
          <w:rFonts w:ascii="Arial" w:hAnsi="Arial"/>
        </w:rPr>
        <w:t xml:space="preserve">times the ULN was 13% in </w:t>
      </w:r>
      <w:r w:rsidR="00F11EE5" w:rsidRPr="002F320A">
        <w:rPr>
          <w:rFonts w:ascii="Arial" w:hAnsi="Arial"/>
        </w:rPr>
        <w:t>EPIDYOLEX</w:t>
      </w:r>
      <w:r w:rsidRPr="0062381A">
        <w:rPr>
          <w:rFonts w:ascii="Arial" w:hAnsi="Arial" w:cs="Arial"/>
        </w:rPr>
        <w:noBreakHyphen/>
      </w:r>
      <w:r w:rsidRPr="002F320A">
        <w:rPr>
          <w:rFonts w:ascii="Arial" w:hAnsi="Arial"/>
        </w:rPr>
        <w:t xml:space="preserve">treated patients compared with 1% in patients on placebo. Less than 1% of </w:t>
      </w:r>
      <w:r w:rsidR="00F11EE5" w:rsidRPr="002F320A">
        <w:rPr>
          <w:rFonts w:ascii="Arial" w:hAnsi="Arial"/>
        </w:rPr>
        <w:t>EPIDYOLEX</w:t>
      </w:r>
      <w:r w:rsidRPr="0062381A">
        <w:rPr>
          <w:rFonts w:ascii="Arial" w:hAnsi="Arial" w:cs="Arial"/>
        </w:rPr>
        <w:noBreakHyphen/>
      </w:r>
      <w:r w:rsidRPr="002F320A">
        <w:rPr>
          <w:rFonts w:ascii="Arial" w:hAnsi="Arial"/>
        </w:rPr>
        <w:t>treated patients had ALT or AST levels greater than 20</w:t>
      </w:r>
      <w:r w:rsidRPr="0062381A">
        <w:rPr>
          <w:rFonts w:ascii="Arial" w:hAnsi="Arial" w:cs="Arial"/>
        </w:rPr>
        <w:t> </w:t>
      </w:r>
      <w:r w:rsidRPr="002F320A">
        <w:rPr>
          <w:rFonts w:ascii="Arial" w:hAnsi="Arial"/>
        </w:rPr>
        <w:t xml:space="preserve">times the ULN. There were cases of transaminase elevations associated with hospitalisation in patients taking </w:t>
      </w:r>
      <w:r w:rsidR="00F11EE5" w:rsidRPr="002F320A">
        <w:rPr>
          <w:rFonts w:ascii="Arial" w:hAnsi="Arial"/>
        </w:rPr>
        <w:t>EPIDYOLEX</w:t>
      </w:r>
      <w:r w:rsidRPr="002F320A">
        <w:rPr>
          <w:rFonts w:ascii="Arial" w:hAnsi="Arial"/>
        </w:rPr>
        <w:t>.</w:t>
      </w:r>
    </w:p>
    <w:p w14:paraId="0A8A3234" w14:textId="77777777" w:rsidR="00F07E29" w:rsidRPr="0062381A" w:rsidRDefault="00F07E29" w:rsidP="00F07E29">
      <w:pPr>
        <w:rPr>
          <w:rFonts w:ascii="Arial" w:hAnsi="Arial" w:cs="Arial"/>
        </w:rPr>
      </w:pPr>
    </w:p>
    <w:p w14:paraId="72B4B9F9" w14:textId="77777777" w:rsidR="00F07E29" w:rsidRPr="002F320A" w:rsidRDefault="00F07E29" w:rsidP="002F320A">
      <w:pPr>
        <w:autoSpaceDE w:val="0"/>
        <w:autoSpaceDN w:val="0"/>
        <w:adjustRightInd w:val="0"/>
        <w:rPr>
          <w:rFonts w:ascii="Arial" w:hAnsi="Arial"/>
          <w:i/>
        </w:rPr>
      </w:pPr>
      <w:r w:rsidRPr="002F320A">
        <w:rPr>
          <w:rFonts w:ascii="Arial" w:hAnsi="Arial"/>
          <w:i/>
        </w:rPr>
        <w:t>Risk Factors for Hepatocellular injury</w:t>
      </w:r>
    </w:p>
    <w:p w14:paraId="1A4F716E" w14:textId="2AAAD80F" w:rsidR="00F07E29" w:rsidRPr="002F320A" w:rsidRDefault="00F07E29" w:rsidP="002F320A">
      <w:pPr>
        <w:autoSpaceDE w:val="0"/>
        <w:autoSpaceDN w:val="0"/>
        <w:adjustRightInd w:val="0"/>
        <w:rPr>
          <w:rFonts w:ascii="Arial" w:hAnsi="Arial"/>
          <w:i/>
        </w:rPr>
      </w:pPr>
      <w:r w:rsidRPr="002F320A">
        <w:rPr>
          <w:rFonts w:ascii="Arial" w:hAnsi="Arial"/>
          <w:i/>
        </w:rPr>
        <w:t xml:space="preserve">Concomitant Valproate and </w:t>
      </w:r>
      <w:proofErr w:type="spellStart"/>
      <w:r w:rsidRPr="002F320A">
        <w:rPr>
          <w:rFonts w:ascii="Arial" w:hAnsi="Arial"/>
          <w:i/>
        </w:rPr>
        <w:t>Clobazam</w:t>
      </w:r>
      <w:proofErr w:type="spellEnd"/>
      <w:r w:rsidRPr="002F320A">
        <w:rPr>
          <w:rFonts w:ascii="Arial" w:hAnsi="Arial"/>
          <w:i/>
        </w:rPr>
        <w:t>,</w:t>
      </w:r>
      <w:r w:rsidRPr="002F320A">
        <w:rPr>
          <w:rFonts w:ascii="Arial" w:hAnsi="Arial"/>
        </w:rPr>
        <w:t xml:space="preserve"> </w:t>
      </w:r>
      <w:r w:rsidRPr="002F320A">
        <w:rPr>
          <w:rFonts w:ascii="Arial" w:hAnsi="Arial"/>
          <w:i/>
        </w:rPr>
        <w:t xml:space="preserve">Dose of </w:t>
      </w:r>
      <w:r w:rsidR="00F11EE5" w:rsidRPr="002F320A">
        <w:rPr>
          <w:rFonts w:ascii="Arial" w:hAnsi="Arial"/>
          <w:i/>
        </w:rPr>
        <w:t>EPIDYOLEX</w:t>
      </w:r>
      <w:r w:rsidRPr="002F320A">
        <w:rPr>
          <w:rFonts w:ascii="Arial" w:hAnsi="Arial"/>
          <w:i/>
        </w:rPr>
        <w:t xml:space="preserve"> and Baseline Transaminase Elevations</w:t>
      </w:r>
    </w:p>
    <w:p w14:paraId="74BF590E" w14:textId="77777777" w:rsidR="00F07E29" w:rsidRPr="002F320A" w:rsidRDefault="00F07E29" w:rsidP="002F320A">
      <w:pPr>
        <w:autoSpaceDE w:val="0"/>
        <w:autoSpaceDN w:val="0"/>
        <w:adjustRightInd w:val="0"/>
        <w:rPr>
          <w:rFonts w:ascii="Arial" w:hAnsi="Arial"/>
          <w:i/>
        </w:rPr>
      </w:pPr>
    </w:p>
    <w:p w14:paraId="6BC874F4" w14:textId="77777777" w:rsidR="00F07E29" w:rsidRPr="00D900DC" w:rsidRDefault="00F07E29" w:rsidP="00D900DC">
      <w:pPr>
        <w:autoSpaceDE w:val="0"/>
        <w:autoSpaceDN w:val="0"/>
        <w:adjustRightInd w:val="0"/>
        <w:rPr>
          <w:rFonts w:ascii="Arial" w:hAnsi="Arial"/>
          <w:i/>
        </w:rPr>
      </w:pPr>
      <w:r w:rsidRPr="00D900DC">
        <w:rPr>
          <w:rFonts w:ascii="Arial" w:hAnsi="Arial"/>
          <w:i/>
        </w:rPr>
        <w:t xml:space="preserve">Concomitant Valproate and </w:t>
      </w:r>
      <w:proofErr w:type="spellStart"/>
      <w:r w:rsidRPr="00D900DC">
        <w:rPr>
          <w:rFonts w:ascii="Arial" w:hAnsi="Arial"/>
          <w:i/>
        </w:rPr>
        <w:t>Clobazam</w:t>
      </w:r>
      <w:proofErr w:type="spellEnd"/>
    </w:p>
    <w:p w14:paraId="043BB30C" w14:textId="677555B2" w:rsidR="00F07E29" w:rsidRPr="002F320A" w:rsidRDefault="00F07E29" w:rsidP="00AB150A">
      <w:pPr>
        <w:keepNext/>
        <w:autoSpaceDE w:val="0"/>
        <w:autoSpaceDN w:val="0"/>
        <w:adjustRightInd w:val="0"/>
        <w:rPr>
          <w:rFonts w:ascii="Arial" w:hAnsi="Arial"/>
          <w:i/>
        </w:rPr>
      </w:pPr>
      <w:r w:rsidRPr="002F320A">
        <w:rPr>
          <w:rFonts w:ascii="Arial" w:hAnsi="Arial"/>
        </w:rPr>
        <w:t xml:space="preserve">In </w:t>
      </w:r>
      <w:r w:rsidR="00F11EE5" w:rsidRPr="002F320A">
        <w:rPr>
          <w:rFonts w:ascii="Arial" w:hAnsi="Arial"/>
        </w:rPr>
        <w:t>EPIDYOLEX</w:t>
      </w:r>
      <w:r w:rsidRPr="0062381A">
        <w:rPr>
          <w:rFonts w:ascii="Arial" w:hAnsi="Arial" w:cs="Arial"/>
        </w:rPr>
        <w:noBreakHyphen/>
      </w:r>
      <w:r w:rsidRPr="002F320A">
        <w:rPr>
          <w:rFonts w:ascii="Arial" w:hAnsi="Arial"/>
        </w:rPr>
        <w:t>treated patients, the incidence of</w:t>
      </w:r>
      <w:r w:rsidRPr="002F320A">
        <w:rPr>
          <w:rFonts w:ascii="Arial" w:hAnsi="Arial"/>
          <w:i/>
        </w:rPr>
        <w:t xml:space="preserve"> </w:t>
      </w:r>
      <w:r w:rsidRPr="002F320A">
        <w:rPr>
          <w:rFonts w:ascii="Arial" w:hAnsi="Arial"/>
        </w:rPr>
        <w:t>ALT elevations greater than 3</w:t>
      </w:r>
      <w:r w:rsidR="006155F2">
        <w:rPr>
          <w:rFonts w:ascii="Arial" w:hAnsi="Arial"/>
        </w:rPr>
        <w:t> </w:t>
      </w:r>
      <w:r w:rsidRPr="002F320A">
        <w:rPr>
          <w:rFonts w:ascii="Arial" w:hAnsi="Arial"/>
        </w:rPr>
        <w:t xml:space="preserve">times the ULN was 23% in patients taking both concomitant valproate and </w:t>
      </w:r>
      <w:proofErr w:type="spellStart"/>
      <w:r w:rsidRPr="002F320A">
        <w:rPr>
          <w:rFonts w:ascii="Arial" w:hAnsi="Arial"/>
        </w:rPr>
        <w:t>clobazam</w:t>
      </w:r>
      <w:proofErr w:type="spellEnd"/>
      <w:r w:rsidRPr="002F320A">
        <w:rPr>
          <w:rFonts w:ascii="Arial" w:hAnsi="Arial"/>
        </w:rPr>
        <w:t xml:space="preserve">, 17% in patients taking concomitant valproate (without </w:t>
      </w:r>
      <w:proofErr w:type="spellStart"/>
      <w:r w:rsidRPr="002F320A">
        <w:rPr>
          <w:rFonts w:ascii="Arial" w:hAnsi="Arial"/>
        </w:rPr>
        <w:t>clobazam</w:t>
      </w:r>
      <w:proofErr w:type="spellEnd"/>
      <w:r w:rsidRPr="002F320A">
        <w:rPr>
          <w:rFonts w:ascii="Arial" w:hAnsi="Arial"/>
        </w:rPr>
        <w:t xml:space="preserve">), 3% in patients taking concomitant </w:t>
      </w:r>
      <w:proofErr w:type="spellStart"/>
      <w:r w:rsidRPr="002F320A">
        <w:rPr>
          <w:rFonts w:ascii="Arial" w:hAnsi="Arial"/>
        </w:rPr>
        <w:t>clobazam</w:t>
      </w:r>
      <w:proofErr w:type="spellEnd"/>
      <w:r w:rsidRPr="002F320A">
        <w:rPr>
          <w:rFonts w:ascii="Arial" w:hAnsi="Arial"/>
        </w:rPr>
        <w:t xml:space="preserve"> (without valproate), and 2% in patients taking neither drug.</w:t>
      </w:r>
      <w:r w:rsidRPr="0062381A">
        <w:rPr>
          <w:rFonts w:ascii="Arial" w:hAnsi="Arial" w:cs="Arial"/>
        </w:rPr>
        <w:t xml:space="preserve"> </w:t>
      </w:r>
    </w:p>
    <w:p w14:paraId="01509753" w14:textId="77777777" w:rsidR="00F07E29" w:rsidRPr="002F320A" w:rsidRDefault="00F07E29" w:rsidP="002F320A">
      <w:pPr>
        <w:autoSpaceDE w:val="0"/>
        <w:autoSpaceDN w:val="0"/>
        <w:adjustRightInd w:val="0"/>
        <w:rPr>
          <w:rFonts w:ascii="Arial" w:hAnsi="Arial"/>
        </w:rPr>
      </w:pPr>
    </w:p>
    <w:p w14:paraId="0BC9F4F7" w14:textId="77777777" w:rsidR="00F07E29" w:rsidRPr="00D900DC" w:rsidRDefault="00F07E29" w:rsidP="00D900DC">
      <w:pPr>
        <w:autoSpaceDE w:val="0"/>
        <w:autoSpaceDN w:val="0"/>
        <w:adjustRightInd w:val="0"/>
        <w:rPr>
          <w:rFonts w:ascii="Arial" w:hAnsi="Arial"/>
          <w:i/>
        </w:rPr>
      </w:pPr>
      <w:r w:rsidRPr="00D900DC">
        <w:rPr>
          <w:rFonts w:ascii="Arial" w:hAnsi="Arial"/>
          <w:i/>
        </w:rPr>
        <w:t>Dose</w:t>
      </w:r>
    </w:p>
    <w:p w14:paraId="5DC768D8" w14:textId="226F4CF7" w:rsidR="00F07E29" w:rsidRPr="002F320A" w:rsidRDefault="00F07E29" w:rsidP="002F320A">
      <w:pPr>
        <w:autoSpaceDE w:val="0"/>
        <w:autoSpaceDN w:val="0"/>
        <w:adjustRightInd w:val="0"/>
        <w:rPr>
          <w:rFonts w:ascii="Arial" w:hAnsi="Arial"/>
        </w:rPr>
      </w:pPr>
      <w:r w:rsidRPr="002F320A">
        <w:rPr>
          <w:rFonts w:ascii="Arial" w:hAnsi="Arial"/>
        </w:rPr>
        <w:t>ALT elevations greater than 3</w:t>
      </w:r>
      <w:r w:rsidR="006155F2">
        <w:rPr>
          <w:rFonts w:ascii="Arial" w:hAnsi="Arial"/>
        </w:rPr>
        <w:t> </w:t>
      </w:r>
      <w:r w:rsidRPr="002F320A">
        <w:rPr>
          <w:rFonts w:ascii="Arial" w:hAnsi="Arial"/>
        </w:rPr>
        <w:t xml:space="preserve">times the ULN were reported in 16% of patients taking </w:t>
      </w:r>
      <w:r w:rsidR="00F11EE5" w:rsidRPr="002F320A">
        <w:rPr>
          <w:rFonts w:ascii="Arial" w:hAnsi="Arial"/>
        </w:rPr>
        <w:t>EPIDYOLEX</w:t>
      </w:r>
      <w:r w:rsidRPr="002F320A">
        <w:rPr>
          <w:rFonts w:ascii="Arial" w:hAnsi="Arial"/>
        </w:rPr>
        <w:t xml:space="preserve"> 20</w:t>
      </w:r>
      <w:r w:rsidRPr="0062381A">
        <w:rPr>
          <w:rFonts w:ascii="Arial" w:hAnsi="Arial" w:cs="Arial"/>
        </w:rPr>
        <w:t> </w:t>
      </w:r>
      <w:r w:rsidRPr="002F320A">
        <w:rPr>
          <w:rFonts w:ascii="Arial" w:hAnsi="Arial"/>
        </w:rPr>
        <w:t xml:space="preserve">mg/kg/day compared with 3% in patients taking </w:t>
      </w:r>
      <w:r w:rsidR="00F11EE5" w:rsidRPr="002F320A">
        <w:rPr>
          <w:rFonts w:ascii="Arial" w:hAnsi="Arial"/>
        </w:rPr>
        <w:t>EPIDYOLEX</w:t>
      </w:r>
      <w:r w:rsidRPr="002F320A">
        <w:rPr>
          <w:rFonts w:ascii="Arial" w:hAnsi="Arial"/>
        </w:rPr>
        <w:t xml:space="preserve"> 10</w:t>
      </w:r>
      <w:r w:rsidRPr="0062381A">
        <w:rPr>
          <w:rFonts w:ascii="Arial" w:hAnsi="Arial" w:cs="Arial"/>
        </w:rPr>
        <w:t> </w:t>
      </w:r>
      <w:r w:rsidRPr="002F320A">
        <w:rPr>
          <w:rFonts w:ascii="Arial" w:hAnsi="Arial"/>
        </w:rPr>
        <w:t>mg/kg/day.</w:t>
      </w:r>
    </w:p>
    <w:p w14:paraId="460E05E4" w14:textId="77777777" w:rsidR="00F07E29" w:rsidRPr="002F320A" w:rsidRDefault="00F07E29" w:rsidP="002F320A">
      <w:pPr>
        <w:autoSpaceDE w:val="0"/>
        <w:autoSpaceDN w:val="0"/>
        <w:adjustRightInd w:val="0"/>
        <w:rPr>
          <w:rFonts w:ascii="Arial" w:hAnsi="Arial"/>
        </w:rPr>
      </w:pPr>
    </w:p>
    <w:p w14:paraId="2304CEB3" w14:textId="77777777" w:rsidR="00F07E29" w:rsidRPr="00D900DC" w:rsidRDefault="00F07E29" w:rsidP="00D900DC">
      <w:pPr>
        <w:keepNext/>
        <w:autoSpaceDE w:val="0"/>
        <w:autoSpaceDN w:val="0"/>
        <w:adjustRightInd w:val="0"/>
        <w:rPr>
          <w:rFonts w:ascii="Arial" w:hAnsi="Arial"/>
          <w:i/>
        </w:rPr>
      </w:pPr>
      <w:r w:rsidRPr="00D900DC">
        <w:rPr>
          <w:rFonts w:ascii="Arial" w:hAnsi="Arial"/>
          <w:i/>
        </w:rPr>
        <w:t>Baseline transaminase elevations</w:t>
      </w:r>
    </w:p>
    <w:p w14:paraId="0A7A7ED3" w14:textId="6BEA6310" w:rsidR="00F07E29" w:rsidRPr="002F320A" w:rsidRDefault="00F07E29" w:rsidP="002F320A">
      <w:pPr>
        <w:autoSpaceDE w:val="0"/>
        <w:autoSpaceDN w:val="0"/>
        <w:adjustRightInd w:val="0"/>
        <w:rPr>
          <w:rFonts w:ascii="Arial" w:hAnsi="Arial"/>
        </w:rPr>
      </w:pPr>
      <w:r w:rsidRPr="002F320A">
        <w:rPr>
          <w:rFonts w:ascii="Arial" w:hAnsi="Arial"/>
        </w:rPr>
        <w:t>In controlled trials (see section</w:t>
      </w:r>
      <w:r w:rsidRPr="0062381A">
        <w:rPr>
          <w:rFonts w:ascii="Arial" w:hAnsi="Arial" w:cs="Arial"/>
        </w:rPr>
        <w:t> </w:t>
      </w:r>
      <w:hyperlink w:anchor="_PHARMACODYNAMIC_PROPERTIES" w:history="1">
        <w:r w:rsidRPr="0062381A">
          <w:rPr>
            <w:rStyle w:val="Hyperlink"/>
            <w:rFonts w:ascii="Arial" w:hAnsi="Arial" w:cs="Arial"/>
          </w:rPr>
          <w:t>5.1 PHARMACODYNAMIC PROPERTIES</w:t>
        </w:r>
      </w:hyperlink>
      <w:r w:rsidRPr="002F320A">
        <w:rPr>
          <w:rFonts w:ascii="Arial" w:hAnsi="Arial"/>
        </w:rPr>
        <w:t xml:space="preserve">) in patients taking </w:t>
      </w:r>
      <w:r w:rsidR="00F11EE5" w:rsidRPr="002F320A">
        <w:rPr>
          <w:rFonts w:ascii="Arial" w:hAnsi="Arial"/>
        </w:rPr>
        <w:t>EPIDYOLEX</w:t>
      </w:r>
      <w:r w:rsidRPr="002F320A">
        <w:rPr>
          <w:rFonts w:ascii="Arial" w:hAnsi="Arial"/>
        </w:rPr>
        <w:t xml:space="preserve"> 20</w:t>
      </w:r>
      <w:r w:rsidRPr="0062381A">
        <w:rPr>
          <w:rFonts w:ascii="Arial" w:hAnsi="Arial" w:cs="Arial"/>
        </w:rPr>
        <w:t> </w:t>
      </w:r>
      <w:r w:rsidRPr="002F320A">
        <w:rPr>
          <w:rFonts w:ascii="Arial" w:hAnsi="Arial"/>
        </w:rPr>
        <w:t>mg/kg/day, the frequency of treatment</w:t>
      </w:r>
      <w:r w:rsidRPr="0062381A">
        <w:rPr>
          <w:rFonts w:ascii="Arial" w:hAnsi="Arial" w:cs="Arial"/>
        </w:rPr>
        <w:noBreakHyphen/>
      </w:r>
      <w:r w:rsidRPr="002F320A">
        <w:rPr>
          <w:rFonts w:ascii="Arial" w:hAnsi="Arial"/>
        </w:rPr>
        <w:t>emergent ALT elevations greater than 3</w:t>
      </w:r>
      <w:r w:rsidR="006155F2">
        <w:rPr>
          <w:rFonts w:ascii="Arial" w:hAnsi="Arial"/>
        </w:rPr>
        <w:t> </w:t>
      </w:r>
      <w:r w:rsidRPr="002F320A">
        <w:rPr>
          <w:rFonts w:ascii="Arial" w:hAnsi="Arial"/>
        </w:rPr>
        <w:t xml:space="preserve">times the ULN was 31% (84% of these were on valproate) when ALT was above the ULN at baseline, compared to 12% (89% of these were on valproate) when ALT was within the normal range at baseline. Five percent (5%) of patients (all on valproate) taking </w:t>
      </w:r>
      <w:r w:rsidR="00F11EE5" w:rsidRPr="002F320A">
        <w:rPr>
          <w:rFonts w:ascii="Arial" w:hAnsi="Arial"/>
        </w:rPr>
        <w:t>EPIDYOLEX</w:t>
      </w:r>
      <w:r w:rsidRPr="002F320A">
        <w:rPr>
          <w:rFonts w:ascii="Arial" w:hAnsi="Arial"/>
        </w:rPr>
        <w:t xml:space="preserve"> 10</w:t>
      </w:r>
      <w:r w:rsidRPr="0062381A">
        <w:rPr>
          <w:rFonts w:ascii="Arial" w:hAnsi="Arial" w:cs="Arial"/>
        </w:rPr>
        <w:t> </w:t>
      </w:r>
      <w:r w:rsidRPr="002F320A">
        <w:rPr>
          <w:rFonts w:ascii="Arial" w:hAnsi="Arial"/>
        </w:rPr>
        <w:t>mg/kg/day experienced ALT elevations greater than 3</w:t>
      </w:r>
      <w:r w:rsidRPr="0062381A">
        <w:rPr>
          <w:rFonts w:ascii="Arial" w:hAnsi="Arial" w:cs="Arial"/>
        </w:rPr>
        <w:t> </w:t>
      </w:r>
      <w:r w:rsidRPr="002F320A">
        <w:rPr>
          <w:rFonts w:ascii="Arial" w:hAnsi="Arial"/>
        </w:rPr>
        <w:t>times the ULN when ALT was above the ULN at baseline, compared with 3% of patients (all on valproate) in whom ALT was within the normal range at baseline.</w:t>
      </w:r>
    </w:p>
    <w:p w14:paraId="1860174E" w14:textId="77777777" w:rsidR="00F07E29" w:rsidRPr="002F320A" w:rsidRDefault="00F07E29" w:rsidP="002F320A">
      <w:pPr>
        <w:autoSpaceDE w:val="0"/>
        <w:autoSpaceDN w:val="0"/>
        <w:adjustRightInd w:val="0"/>
        <w:rPr>
          <w:rFonts w:ascii="Arial" w:hAnsi="Arial"/>
        </w:rPr>
      </w:pPr>
    </w:p>
    <w:p w14:paraId="396ADD15" w14:textId="1CA94FAD" w:rsidR="00F07E29" w:rsidRPr="002F320A" w:rsidRDefault="00F07E29" w:rsidP="00D900DC">
      <w:pPr>
        <w:pStyle w:val="Heading4"/>
      </w:pPr>
      <w:r w:rsidRPr="002F320A">
        <w:t>Somnolence and sedation</w:t>
      </w:r>
    </w:p>
    <w:p w14:paraId="04DB0F78" w14:textId="0F42ED95" w:rsidR="000779A9" w:rsidRPr="002F320A" w:rsidRDefault="00383921" w:rsidP="002F320A">
      <w:pPr>
        <w:rPr>
          <w:rFonts w:ascii="Arial" w:hAnsi="Arial"/>
          <w:b/>
          <w:lang w:val="en-US"/>
        </w:rPr>
      </w:pPr>
      <w:r w:rsidRPr="002F320A">
        <w:rPr>
          <w:rFonts w:ascii="Arial" w:hAnsi="Arial"/>
          <w:lang w:val="en-GB"/>
        </w:rPr>
        <w:t>Somnolence and sedation events have been observed in controlled trials with EPIDYOLEX in LGS and DS. The frequency in patients receiving 10</w:t>
      </w:r>
      <w:r w:rsidRPr="00383921">
        <w:rPr>
          <w:rFonts w:ascii="Arial" w:hAnsi="Arial" w:cs="Arial"/>
          <w:lang w:val="en-GB"/>
        </w:rPr>
        <w:t> </w:t>
      </w:r>
      <w:r w:rsidRPr="002F320A">
        <w:rPr>
          <w:rFonts w:ascii="Arial" w:hAnsi="Arial"/>
          <w:lang w:val="en-GB"/>
        </w:rPr>
        <w:t xml:space="preserve">mg/kg/day </w:t>
      </w:r>
      <w:r w:rsidR="00EF74A1" w:rsidRPr="002F320A">
        <w:rPr>
          <w:rFonts w:ascii="Arial" w:hAnsi="Arial"/>
          <w:lang w:val="en-GB"/>
        </w:rPr>
        <w:t>EPIDYOLEX</w:t>
      </w:r>
      <w:r w:rsidRPr="002F320A">
        <w:rPr>
          <w:rFonts w:ascii="Arial" w:hAnsi="Arial"/>
          <w:lang w:val="en-GB"/>
        </w:rPr>
        <w:t xml:space="preserve"> was 26% and in patients receiving 20</w:t>
      </w:r>
      <w:r w:rsidRPr="00383921">
        <w:rPr>
          <w:rFonts w:ascii="Arial" w:hAnsi="Arial" w:cs="Arial"/>
          <w:lang w:val="en-GB"/>
        </w:rPr>
        <w:t> </w:t>
      </w:r>
      <w:r w:rsidRPr="002F320A">
        <w:rPr>
          <w:rFonts w:ascii="Arial" w:hAnsi="Arial"/>
          <w:lang w:val="en-GB"/>
        </w:rPr>
        <w:t xml:space="preserve">mg/kg/day </w:t>
      </w:r>
      <w:r w:rsidR="00EF74A1" w:rsidRPr="002F320A">
        <w:rPr>
          <w:rFonts w:ascii="Arial" w:hAnsi="Arial"/>
          <w:lang w:val="en-GB"/>
        </w:rPr>
        <w:t>EPIDYOLEX</w:t>
      </w:r>
      <w:r w:rsidRPr="002F320A">
        <w:rPr>
          <w:rFonts w:ascii="Arial" w:hAnsi="Arial"/>
          <w:lang w:val="en-GB"/>
        </w:rPr>
        <w:t xml:space="preserve"> was 29%</w:t>
      </w:r>
      <w:r w:rsidR="00A27AB8" w:rsidRPr="002F320A">
        <w:rPr>
          <w:rFonts w:ascii="Arial" w:hAnsi="Arial"/>
          <w:lang w:val="en-GB"/>
        </w:rPr>
        <w:t>, compared</w:t>
      </w:r>
      <w:r w:rsidR="007D3457" w:rsidRPr="002F320A">
        <w:rPr>
          <w:rFonts w:ascii="Arial" w:hAnsi="Arial"/>
          <w:lang w:val="en-GB"/>
        </w:rPr>
        <w:t xml:space="preserve"> to 10%</w:t>
      </w:r>
      <w:r w:rsidR="00871EB3" w:rsidRPr="002F320A">
        <w:rPr>
          <w:rFonts w:ascii="Arial" w:hAnsi="Arial"/>
          <w:lang w:val="en-GB"/>
        </w:rPr>
        <w:t xml:space="preserve"> in patients</w:t>
      </w:r>
      <w:r w:rsidR="00DC0C27" w:rsidRPr="002F320A">
        <w:rPr>
          <w:rFonts w:ascii="Arial" w:hAnsi="Arial"/>
          <w:lang w:val="en-GB"/>
        </w:rPr>
        <w:t xml:space="preserve"> receiving placebo</w:t>
      </w:r>
      <w:r w:rsidRPr="002F320A">
        <w:rPr>
          <w:rFonts w:ascii="Arial" w:hAnsi="Arial"/>
          <w:lang w:val="en-GB"/>
        </w:rPr>
        <w:t>.</w:t>
      </w:r>
      <w:r w:rsidRPr="00383921">
        <w:rPr>
          <w:rFonts w:ascii="Arial" w:hAnsi="Arial" w:cs="Arial"/>
          <w:lang w:val="en-GB"/>
        </w:rPr>
        <w:t xml:space="preserve"> </w:t>
      </w:r>
      <w:r w:rsidRPr="002F320A">
        <w:rPr>
          <w:rFonts w:ascii="Arial" w:hAnsi="Arial"/>
          <w:lang w:val="en-US"/>
        </w:rPr>
        <w:t xml:space="preserve">The rate was higher in a subgroup of patients on concomitant </w:t>
      </w:r>
      <w:proofErr w:type="spellStart"/>
      <w:r w:rsidRPr="002F320A">
        <w:rPr>
          <w:rFonts w:ascii="Arial" w:hAnsi="Arial"/>
          <w:lang w:val="en-US"/>
        </w:rPr>
        <w:t>clobazam</w:t>
      </w:r>
      <w:proofErr w:type="spellEnd"/>
      <w:r w:rsidRPr="002F320A">
        <w:rPr>
          <w:rFonts w:ascii="Arial" w:hAnsi="Arial"/>
          <w:lang w:val="en-US"/>
        </w:rPr>
        <w:t xml:space="preserve"> (40% in EPIDYOLEX-treated patients taking </w:t>
      </w:r>
      <w:proofErr w:type="spellStart"/>
      <w:r w:rsidRPr="002F320A">
        <w:rPr>
          <w:rFonts w:ascii="Arial" w:hAnsi="Arial"/>
          <w:lang w:val="en-US"/>
        </w:rPr>
        <w:t>clobazam</w:t>
      </w:r>
      <w:proofErr w:type="spellEnd"/>
      <w:r w:rsidRPr="002F320A">
        <w:rPr>
          <w:rFonts w:ascii="Arial" w:hAnsi="Arial"/>
          <w:lang w:val="en-US"/>
        </w:rPr>
        <w:t xml:space="preserve"> compared with 14% in EPIDYOLEX-treated patients not on </w:t>
      </w:r>
      <w:proofErr w:type="spellStart"/>
      <w:r w:rsidRPr="002F320A">
        <w:rPr>
          <w:rFonts w:ascii="Arial" w:hAnsi="Arial"/>
          <w:lang w:val="en-US"/>
        </w:rPr>
        <w:t>clobazam</w:t>
      </w:r>
      <w:proofErr w:type="spellEnd"/>
      <w:r w:rsidRPr="002F320A">
        <w:rPr>
          <w:rFonts w:ascii="Arial" w:hAnsi="Arial"/>
          <w:lang w:val="en-US"/>
        </w:rPr>
        <w:t>).</w:t>
      </w:r>
    </w:p>
    <w:p w14:paraId="3C2FF602" w14:textId="77777777" w:rsidR="000779A9" w:rsidRPr="002F320A" w:rsidRDefault="000779A9" w:rsidP="002F320A">
      <w:pPr>
        <w:rPr>
          <w:rFonts w:ascii="Arial" w:hAnsi="Arial"/>
          <w:b/>
          <w:lang w:val="en-US"/>
        </w:rPr>
      </w:pPr>
    </w:p>
    <w:p w14:paraId="4C13763E" w14:textId="62ED1448" w:rsidR="00F07E29" w:rsidRPr="002F320A" w:rsidRDefault="00F07E29" w:rsidP="00D900DC">
      <w:pPr>
        <w:pStyle w:val="Heading4"/>
      </w:pPr>
      <w:r w:rsidRPr="002F320A">
        <w:t>Decreased weight</w:t>
      </w:r>
    </w:p>
    <w:p w14:paraId="21AC0EE1" w14:textId="20F938B9" w:rsidR="00F07E29" w:rsidRPr="002F320A" w:rsidRDefault="00EF74A1" w:rsidP="002F320A">
      <w:pPr>
        <w:autoSpaceDE w:val="0"/>
        <w:autoSpaceDN w:val="0"/>
        <w:adjustRightInd w:val="0"/>
        <w:rPr>
          <w:rFonts w:ascii="Arial" w:hAnsi="Arial"/>
        </w:rPr>
      </w:pPr>
      <w:r w:rsidRPr="002F320A">
        <w:rPr>
          <w:rFonts w:ascii="Arial" w:hAnsi="Arial"/>
        </w:rPr>
        <w:t>EPIDYOLEX</w:t>
      </w:r>
      <w:r w:rsidR="00F07E29" w:rsidRPr="002F320A">
        <w:rPr>
          <w:rFonts w:ascii="Arial" w:hAnsi="Arial"/>
        </w:rPr>
        <w:t xml:space="preserve"> can cause weight loss. In LGS and DS patients, the decrease in weight appeared to be dose</w:t>
      </w:r>
      <w:r w:rsidR="00F07E29" w:rsidRPr="0062381A">
        <w:rPr>
          <w:rFonts w:ascii="Arial" w:hAnsi="Arial" w:cs="Arial"/>
        </w:rPr>
        <w:noBreakHyphen/>
      </w:r>
      <w:r w:rsidR="00F07E29" w:rsidRPr="002F320A">
        <w:rPr>
          <w:rFonts w:ascii="Arial" w:hAnsi="Arial"/>
        </w:rPr>
        <w:t xml:space="preserve">related, with 19% of patients on </w:t>
      </w:r>
      <w:r w:rsidRPr="002F320A">
        <w:rPr>
          <w:rFonts w:ascii="Arial" w:hAnsi="Arial"/>
        </w:rPr>
        <w:t>EPIDYOLEX</w:t>
      </w:r>
      <w:r w:rsidR="00F07E29" w:rsidRPr="002F320A">
        <w:rPr>
          <w:rFonts w:ascii="Arial" w:hAnsi="Arial"/>
        </w:rPr>
        <w:t xml:space="preserve"> 20</w:t>
      </w:r>
      <w:r w:rsidR="00F07E29" w:rsidRPr="0062381A">
        <w:rPr>
          <w:rFonts w:ascii="Arial" w:hAnsi="Arial" w:cs="Arial"/>
        </w:rPr>
        <w:t> </w:t>
      </w:r>
      <w:r w:rsidR="00F07E29" w:rsidRPr="002F320A">
        <w:rPr>
          <w:rFonts w:ascii="Arial" w:hAnsi="Arial"/>
        </w:rPr>
        <w:t xml:space="preserve">mg/kg/day experiencing a decrease in weight </w:t>
      </w:r>
      <w:r w:rsidR="00702FAA">
        <w:rPr>
          <w:rFonts w:ascii="Arial" w:hAnsi="Arial" w:cs="Arial"/>
        </w:rPr>
        <w:sym w:font="Symbol" w:char="F0B3"/>
      </w:r>
      <w:r w:rsidR="00F07E29" w:rsidRPr="0062381A">
        <w:rPr>
          <w:rFonts w:ascii="Arial" w:hAnsi="Arial" w:cs="Arial"/>
        </w:rPr>
        <w:t> </w:t>
      </w:r>
      <w:r w:rsidR="00F07E29" w:rsidRPr="002F320A">
        <w:rPr>
          <w:rFonts w:ascii="Arial" w:hAnsi="Arial"/>
        </w:rPr>
        <w:t xml:space="preserve">5%, compared to 8% in patients on </w:t>
      </w:r>
      <w:r w:rsidRPr="002F320A">
        <w:rPr>
          <w:rFonts w:ascii="Arial" w:hAnsi="Arial"/>
        </w:rPr>
        <w:t>EPIDYOLEX</w:t>
      </w:r>
      <w:r w:rsidR="00F07E29" w:rsidRPr="0062381A">
        <w:rPr>
          <w:rFonts w:ascii="Arial" w:hAnsi="Arial" w:cs="Arial"/>
        </w:rPr>
        <w:t xml:space="preserve"> </w:t>
      </w:r>
      <w:r w:rsidR="00F07E29" w:rsidRPr="002F320A">
        <w:rPr>
          <w:rFonts w:ascii="Arial" w:hAnsi="Arial"/>
        </w:rPr>
        <w:t>10</w:t>
      </w:r>
      <w:r w:rsidR="00F07E29" w:rsidRPr="0062381A">
        <w:rPr>
          <w:rFonts w:ascii="Arial" w:hAnsi="Arial" w:cs="Arial"/>
        </w:rPr>
        <w:t> </w:t>
      </w:r>
      <w:r w:rsidR="00F07E29" w:rsidRPr="002F320A">
        <w:rPr>
          <w:rFonts w:ascii="Arial" w:hAnsi="Arial"/>
        </w:rPr>
        <w:t xml:space="preserve">mg/kg/day. In some cases, the decreased weight was reported as an adverse event (see the </w:t>
      </w:r>
      <w:r w:rsidR="0052059D">
        <w:rPr>
          <w:rFonts w:ascii="Arial" w:hAnsi="Arial"/>
        </w:rPr>
        <w:t>T</w:t>
      </w:r>
      <w:r w:rsidR="00F07E29" w:rsidRPr="002F320A">
        <w:rPr>
          <w:rFonts w:ascii="Arial" w:hAnsi="Arial"/>
        </w:rPr>
        <w:t>able</w:t>
      </w:r>
      <w:r w:rsidR="0052059D">
        <w:rPr>
          <w:rFonts w:ascii="Arial" w:hAnsi="Arial"/>
        </w:rPr>
        <w:t xml:space="preserve"> 2</w:t>
      </w:r>
      <w:r w:rsidR="00F07E29" w:rsidRPr="002F320A">
        <w:rPr>
          <w:rFonts w:ascii="Arial" w:hAnsi="Arial"/>
        </w:rPr>
        <w:t xml:space="preserve"> above). Decreased appetite and weight loss may result in slightly reduced height gain. Continuous weight loss/absence of weight gain should be periodically checked to evaluate if </w:t>
      </w:r>
      <w:r w:rsidRPr="002F320A">
        <w:rPr>
          <w:rFonts w:ascii="Arial" w:hAnsi="Arial"/>
        </w:rPr>
        <w:t>EPIDYOLEX</w:t>
      </w:r>
      <w:r w:rsidR="00F07E29" w:rsidRPr="002F320A">
        <w:rPr>
          <w:rFonts w:ascii="Arial" w:hAnsi="Arial"/>
        </w:rPr>
        <w:t xml:space="preserve"> treatment should be continued.</w:t>
      </w:r>
    </w:p>
    <w:p w14:paraId="60C385DC" w14:textId="77777777" w:rsidR="00F07E29" w:rsidRPr="002F320A" w:rsidRDefault="00F07E29" w:rsidP="002F320A">
      <w:pPr>
        <w:rPr>
          <w:rFonts w:ascii="Arial" w:hAnsi="Arial"/>
          <w:i/>
        </w:rPr>
      </w:pPr>
    </w:p>
    <w:p w14:paraId="47F324A2" w14:textId="77777777" w:rsidR="00F07E29" w:rsidRPr="002F320A" w:rsidRDefault="00F07E29" w:rsidP="00D900DC">
      <w:pPr>
        <w:pStyle w:val="Heading4"/>
      </w:pPr>
      <w:proofErr w:type="spellStart"/>
      <w:r w:rsidRPr="002F320A">
        <w:t>Haematologic</w:t>
      </w:r>
      <w:proofErr w:type="spellEnd"/>
      <w:r w:rsidRPr="002F320A">
        <w:t xml:space="preserve"> abnormalities</w:t>
      </w:r>
    </w:p>
    <w:p w14:paraId="55D14147" w14:textId="1CF6A2C5" w:rsidR="00F07E29" w:rsidRPr="002F320A" w:rsidRDefault="00EF74A1" w:rsidP="002F320A">
      <w:pPr>
        <w:autoSpaceDE w:val="0"/>
        <w:autoSpaceDN w:val="0"/>
        <w:adjustRightInd w:val="0"/>
        <w:rPr>
          <w:rFonts w:ascii="Arial" w:hAnsi="Arial"/>
        </w:rPr>
      </w:pPr>
      <w:r w:rsidRPr="002F320A">
        <w:rPr>
          <w:rFonts w:ascii="Arial" w:hAnsi="Arial"/>
        </w:rPr>
        <w:t>EPIDYOLEX</w:t>
      </w:r>
      <w:r w:rsidR="00F07E29" w:rsidRPr="002F320A">
        <w:rPr>
          <w:rFonts w:ascii="Arial" w:hAnsi="Arial"/>
        </w:rPr>
        <w:t xml:space="preserve"> can cause decreases in haemoglobin and haematocrit. In LGS and DS patients, the mean decrease in haemoglobin from baseline to end of treatment was −0.37</w:t>
      </w:r>
      <w:r w:rsidR="00F07E29" w:rsidRPr="0062381A">
        <w:rPr>
          <w:rFonts w:ascii="Arial" w:hAnsi="Arial" w:cs="Arial"/>
        </w:rPr>
        <w:t> </w:t>
      </w:r>
      <w:r w:rsidR="00F07E29" w:rsidRPr="002F320A">
        <w:rPr>
          <w:rFonts w:ascii="Arial" w:hAnsi="Arial"/>
        </w:rPr>
        <w:t>g/</w:t>
      </w:r>
      <w:proofErr w:type="spellStart"/>
      <w:r w:rsidR="00F07E29" w:rsidRPr="002F320A">
        <w:rPr>
          <w:rFonts w:ascii="Arial" w:hAnsi="Arial"/>
        </w:rPr>
        <w:t>dL</w:t>
      </w:r>
      <w:proofErr w:type="spellEnd"/>
      <w:r w:rsidR="00F07E29" w:rsidRPr="002F320A">
        <w:rPr>
          <w:rFonts w:ascii="Arial" w:hAnsi="Arial"/>
        </w:rPr>
        <w:t xml:space="preserve"> in </w:t>
      </w:r>
      <w:r w:rsidRPr="002F320A">
        <w:rPr>
          <w:rFonts w:ascii="Arial" w:hAnsi="Arial"/>
        </w:rPr>
        <w:t>EPIDYOLEX</w:t>
      </w:r>
      <w:r w:rsidR="00F07E29" w:rsidRPr="0062381A">
        <w:rPr>
          <w:rFonts w:ascii="Arial" w:hAnsi="Arial" w:cs="Arial"/>
        </w:rPr>
        <w:noBreakHyphen/>
      </w:r>
      <w:r w:rsidR="00F07E29" w:rsidRPr="002F320A">
        <w:rPr>
          <w:rFonts w:ascii="Arial" w:hAnsi="Arial"/>
        </w:rPr>
        <w:t xml:space="preserve">treated patients. A corresponding decrease in haematocrit was also observed, with a mean change of −1.4% in </w:t>
      </w:r>
      <w:r w:rsidRPr="002F320A">
        <w:rPr>
          <w:rFonts w:ascii="Arial" w:hAnsi="Arial"/>
        </w:rPr>
        <w:t>EPIDYOLEX</w:t>
      </w:r>
      <w:r w:rsidR="00F07E29" w:rsidRPr="0062381A">
        <w:rPr>
          <w:rFonts w:ascii="Arial" w:hAnsi="Arial" w:cs="Arial"/>
        </w:rPr>
        <w:noBreakHyphen/>
      </w:r>
      <w:r w:rsidR="00F07E29" w:rsidRPr="002F320A">
        <w:rPr>
          <w:rFonts w:ascii="Arial" w:hAnsi="Arial"/>
        </w:rPr>
        <w:t>treated patients.</w:t>
      </w:r>
    </w:p>
    <w:p w14:paraId="57C2263F" w14:textId="77777777" w:rsidR="00F07E29" w:rsidRPr="002F320A" w:rsidRDefault="00F07E29" w:rsidP="002F320A">
      <w:pPr>
        <w:autoSpaceDE w:val="0"/>
        <w:autoSpaceDN w:val="0"/>
        <w:adjustRightInd w:val="0"/>
        <w:rPr>
          <w:rFonts w:ascii="Arial" w:hAnsi="Arial"/>
        </w:rPr>
      </w:pPr>
    </w:p>
    <w:p w14:paraId="4E42167A" w14:textId="580474A8" w:rsidR="00F07E29" w:rsidRPr="002F320A" w:rsidRDefault="00F07E29" w:rsidP="00B43FCC">
      <w:pPr>
        <w:rPr>
          <w:rFonts w:ascii="Arial" w:hAnsi="Arial"/>
        </w:rPr>
      </w:pPr>
      <w:r w:rsidRPr="002F320A">
        <w:rPr>
          <w:rFonts w:ascii="Arial" w:hAnsi="Arial"/>
        </w:rPr>
        <w:t>Twenty</w:t>
      </w:r>
      <w:r w:rsidRPr="0062381A">
        <w:rPr>
          <w:rFonts w:ascii="Arial" w:hAnsi="Arial" w:cs="Arial"/>
        </w:rPr>
        <w:noBreakHyphen/>
      </w:r>
      <w:r w:rsidRPr="002F320A">
        <w:rPr>
          <w:rFonts w:ascii="Arial" w:hAnsi="Arial"/>
        </w:rPr>
        <w:t xml:space="preserve">seven percent (27%) of </w:t>
      </w:r>
      <w:r w:rsidR="00EF74A1" w:rsidRPr="002F320A">
        <w:rPr>
          <w:rFonts w:ascii="Arial" w:hAnsi="Arial"/>
        </w:rPr>
        <w:t>EPIDYOLEX</w:t>
      </w:r>
      <w:r w:rsidRPr="0062381A">
        <w:rPr>
          <w:rFonts w:ascii="Arial" w:hAnsi="Arial" w:cs="Arial"/>
        </w:rPr>
        <w:noBreakHyphen/>
      </w:r>
      <w:r w:rsidRPr="002F320A">
        <w:rPr>
          <w:rFonts w:ascii="Arial" w:hAnsi="Arial"/>
        </w:rPr>
        <w:t>treated patients developed a new</w:t>
      </w:r>
      <w:r w:rsidRPr="0062381A">
        <w:rPr>
          <w:rFonts w:ascii="Arial" w:hAnsi="Arial" w:cs="Arial"/>
        </w:rPr>
        <w:t xml:space="preserve"> </w:t>
      </w:r>
      <w:r w:rsidRPr="002F320A">
        <w:rPr>
          <w:rFonts w:ascii="Arial" w:hAnsi="Arial"/>
        </w:rPr>
        <w:t>laboratory</w:t>
      </w:r>
      <w:r w:rsidR="007B639E">
        <w:noBreakHyphen/>
      </w:r>
      <w:r w:rsidRPr="0062381A">
        <w:rPr>
          <w:rFonts w:ascii="Arial" w:hAnsi="Arial" w:cs="Arial"/>
        </w:rPr>
        <w:noBreakHyphen/>
      </w:r>
      <w:r w:rsidRPr="002F320A">
        <w:rPr>
          <w:rFonts w:ascii="Arial" w:hAnsi="Arial"/>
        </w:rPr>
        <w:t>defined anaemia during the course of the study (defined as a normal haemoglobin</w:t>
      </w:r>
      <w:r w:rsidRPr="0062381A">
        <w:rPr>
          <w:rFonts w:ascii="Arial" w:hAnsi="Arial" w:cs="Arial"/>
        </w:rPr>
        <w:t xml:space="preserve"> </w:t>
      </w:r>
      <w:r w:rsidRPr="002F320A">
        <w:rPr>
          <w:rFonts w:ascii="Arial" w:hAnsi="Arial"/>
        </w:rPr>
        <w:t>concentration at baseline, with a reported value less than the lower limit of normal at a subsequent time point).</w:t>
      </w:r>
    </w:p>
    <w:p w14:paraId="58652D1F" w14:textId="77777777" w:rsidR="00F07E29" w:rsidRPr="002F320A" w:rsidRDefault="00F07E29" w:rsidP="002F320A">
      <w:pPr>
        <w:autoSpaceDE w:val="0"/>
        <w:autoSpaceDN w:val="0"/>
        <w:adjustRightInd w:val="0"/>
        <w:rPr>
          <w:rFonts w:ascii="Arial" w:hAnsi="Arial"/>
        </w:rPr>
      </w:pPr>
    </w:p>
    <w:p w14:paraId="3C80E032" w14:textId="77777777" w:rsidR="00F07E29" w:rsidRPr="002F320A" w:rsidRDefault="00F07E29" w:rsidP="00D900DC">
      <w:pPr>
        <w:pStyle w:val="Heading4"/>
      </w:pPr>
      <w:r w:rsidRPr="002F320A">
        <w:t>Increases in creatinine</w:t>
      </w:r>
    </w:p>
    <w:p w14:paraId="3725A127" w14:textId="3D6431ED" w:rsidR="00F07E29" w:rsidRPr="002F320A" w:rsidRDefault="00EF74A1" w:rsidP="002F320A">
      <w:pPr>
        <w:rPr>
          <w:rFonts w:ascii="Arial" w:hAnsi="Arial"/>
        </w:rPr>
      </w:pPr>
      <w:r w:rsidRPr="002F320A">
        <w:rPr>
          <w:rFonts w:ascii="Arial" w:hAnsi="Arial"/>
        </w:rPr>
        <w:t>EPIDYOLEX</w:t>
      </w:r>
      <w:r w:rsidR="00F07E29" w:rsidRPr="002F320A">
        <w:rPr>
          <w:rFonts w:ascii="Arial" w:hAnsi="Arial"/>
        </w:rPr>
        <w:t xml:space="preserve"> can cause elevations in serum creatinine. The mechanism has not been determined. In controlled studies in healthy adults and in patients with LGS and DS, an increase in serum creatinine of approximately 10% was observed within 2</w:t>
      </w:r>
      <w:r w:rsidR="00F07E29" w:rsidRPr="0062381A">
        <w:rPr>
          <w:rFonts w:ascii="Arial" w:hAnsi="Arial" w:cs="Arial"/>
        </w:rPr>
        <w:t> </w:t>
      </w:r>
      <w:r w:rsidR="00F07E29" w:rsidRPr="002F320A">
        <w:rPr>
          <w:rFonts w:ascii="Arial" w:hAnsi="Arial"/>
        </w:rPr>
        <w:t xml:space="preserve">weeks of starting </w:t>
      </w:r>
      <w:r w:rsidRPr="002F320A">
        <w:rPr>
          <w:rFonts w:ascii="Arial" w:hAnsi="Arial"/>
        </w:rPr>
        <w:t>EPIDYOLEX</w:t>
      </w:r>
      <w:r w:rsidR="00F07E29" w:rsidRPr="002F320A">
        <w:rPr>
          <w:rFonts w:ascii="Arial" w:hAnsi="Arial"/>
        </w:rPr>
        <w:t>. The increase was reversible in healthy adults. Reversibility was not assessed in studies in LGS and DS.</w:t>
      </w:r>
    </w:p>
    <w:p w14:paraId="5D3CEFA4" w14:textId="77777777" w:rsidR="00DB02A6" w:rsidRPr="002F320A" w:rsidRDefault="00DB02A6" w:rsidP="002F320A">
      <w:pPr>
        <w:autoSpaceDE w:val="0"/>
        <w:autoSpaceDN w:val="0"/>
        <w:adjustRightInd w:val="0"/>
        <w:rPr>
          <w:rFonts w:ascii="Arial" w:hAnsi="Arial"/>
        </w:rPr>
      </w:pPr>
    </w:p>
    <w:p w14:paraId="069F3689" w14:textId="4D63CA45" w:rsidR="00B17C13" w:rsidRPr="002F320A" w:rsidRDefault="00B17C13" w:rsidP="00803BE5">
      <w:pPr>
        <w:pStyle w:val="Heading3"/>
      </w:pPr>
      <w:r w:rsidRPr="002F320A">
        <w:t>Reporting suspected adverse effects</w:t>
      </w:r>
    </w:p>
    <w:p w14:paraId="24FBD174" w14:textId="327E7DE2" w:rsidR="00B17C13" w:rsidRPr="002F320A" w:rsidRDefault="00B17C13" w:rsidP="002F320A">
      <w:pPr>
        <w:pStyle w:val="NoSpacing"/>
        <w:rPr>
          <w:rFonts w:ascii="Arial" w:hAnsi="Arial"/>
        </w:rPr>
      </w:pPr>
      <w:r w:rsidRPr="002F320A">
        <w:rPr>
          <w:rFonts w:ascii="Arial" w:hAnsi="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224739" w:rsidRPr="0062381A">
          <w:rPr>
            <w:rStyle w:val="Hyperlink"/>
            <w:rFonts w:ascii="Arial" w:hAnsi="Arial" w:cs="Arial"/>
          </w:rPr>
          <w:t>www.tga.gov.au/reporting-problems</w:t>
        </w:r>
      </w:hyperlink>
      <w:r w:rsidRPr="0062381A">
        <w:rPr>
          <w:rFonts w:ascii="Arial" w:hAnsi="Arial" w:cs="Arial"/>
        </w:rPr>
        <w:t>.</w:t>
      </w:r>
    </w:p>
    <w:p w14:paraId="6B9F2502" w14:textId="77777777" w:rsidR="00184056" w:rsidRPr="002F320A" w:rsidRDefault="00184056" w:rsidP="002F320A">
      <w:pPr>
        <w:pStyle w:val="NoSpacing"/>
        <w:rPr>
          <w:rFonts w:ascii="Arial" w:hAnsi="Arial"/>
        </w:rPr>
      </w:pPr>
    </w:p>
    <w:p w14:paraId="535B9DB5" w14:textId="77777777" w:rsidR="00BD01E0" w:rsidRPr="002F320A" w:rsidRDefault="00BD01E0" w:rsidP="00D900DC">
      <w:pPr>
        <w:pStyle w:val="Heading2"/>
      </w:pPr>
      <w:r w:rsidRPr="002F320A">
        <w:rPr>
          <w:rFonts w:eastAsia="Calibri"/>
        </w:rPr>
        <w:t>OVERDOSE</w:t>
      </w:r>
    </w:p>
    <w:p w14:paraId="7CBE1CD0" w14:textId="1375789A" w:rsidR="0064683C" w:rsidRPr="002F320A" w:rsidRDefault="00B17C13" w:rsidP="002F320A">
      <w:pPr>
        <w:pStyle w:val="NoSpacing"/>
        <w:rPr>
          <w:rFonts w:ascii="Arial" w:eastAsia="Calibri" w:hAnsi="Arial"/>
        </w:rPr>
      </w:pPr>
      <w:r w:rsidRPr="002F320A">
        <w:rPr>
          <w:rFonts w:ascii="Arial" w:eastAsia="Calibri" w:hAnsi="Arial"/>
        </w:rPr>
        <w:t>For information on the management of overdose, contact the Poisons Information Centre on 131126</w:t>
      </w:r>
      <w:r w:rsidR="00EB1C4D">
        <w:rPr>
          <w:rFonts w:ascii="Arial" w:eastAsia="Calibri" w:hAnsi="Arial"/>
        </w:rPr>
        <w:t>.</w:t>
      </w:r>
      <w:r w:rsidRPr="002F320A">
        <w:rPr>
          <w:rFonts w:ascii="Arial" w:eastAsia="Calibri" w:hAnsi="Arial"/>
        </w:rPr>
        <w:t xml:space="preserve"> </w:t>
      </w:r>
    </w:p>
    <w:p w14:paraId="246465A1" w14:textId="77777777" w:rsidR="004F5C48" w:rsidRPr="002F320A" w:rsidRDefault="004F5C48" w:rsidP="002F320A">
      <w:pPr>
        <w:pStyle w:val="NoSpacing"/>
        <w:rPr>
          <w:rFonts w:ascii="Arial" w:eastAsia="Calibri" w:hAnsi="Arial"/>
        </w:rPr>
      </w:pPr>
    </w:p>
    <w:p w14:paraId="704DD8C1" w14:textId="77777777" w:rsidR="00F07E29" w:rsidRPr="000511CF" w:rsidRDefault="00F07E29" w:rsidP="00D900DC">
      <w:pPr>
        <w:pStyle w:val="Heading3"/>
      </w:pPr>
      <w:r w:rsidRPr="002F320A">
        <w:rPr>
          <w:rFonts w:eastAsia="Calibri"/>
        </w:rPr>
        <w:t>Symptoms</w:t>
      </w:r>
    </w:p>
    <w:p w14:paraId="7C60324B" w14:textId="1CA05C0D" w:rsidR="00F07E29" w:rsidRPr="002F320A" w:rsidRDefault="00F07E29" w:rsidP="002F320A">
      <w:pPr>
        <w:pStyle w:val="NoSpacing"/>
        <w:rPr>
          <w:rFonts w:ascii="Arial" w:eastAsia="Calibri" w:hAnsi="Arial"/>
        </w:rPr>
      </w:pPr>
      <w:r w:rsidRPr="002F320A">
        <w:rPr>
          <w:rFonts w:ascii="Arial" w:eastAsia="Calibri" w:hAnsi="Arial"/>
        </w:rPr>
        <w:t>Experience with doses higher than the recommended therapeutic dose is limited. Mild to moderate diarrhoea and somnolence have been reported in healthy adult subjects taking a single dose of 6000</w:t>
      </w:r>
      <w:r w:rsidR="00035AB1">
        <w:rPr>
          <w:rFonts w:ascii="Arial" w:eastAsia="Calibri" w:hAnsi="Arial"/>
        </w:rPr>
        <w:t> </w:t>
      </w:r>
      <w:r w:rsidRPr="002F320A">
        <w:rPr>
          <w:rFonts w:ascii="Arial" w:eastAsia="Calibri" w:hAnsi="Arial"/>
        </w:rPr>
        <w:t>mg; this equates to a dose of over 85</w:t>
      </w:r>
      <w:r w:rsidR="00035AB1">
        <w:rPr>
          <w:rFonts w:ascii="Arial" w:eastAsia="Calibri" w:hAnsi="Arial"/>
        </w:rPr>
        <w:t> </w:t>
      </w:r>
      <w:r w:rsidRPr="002F320A">
        <w:rPr>
          <w:rFonts w:ascii="Arial" w:eastAsia="Calibri" w:hAnsi="Arial"/>
        </w:rPr>
        <w:t>mg/kg for a 70</w:t>
      </w:r>
      <w:r w:rsidR="00035AB1">
        <w:rPr>
          <w:rFonts w:ascii="Arial" w:eastAsia="Calibri" w:hAnsi="Arial"/>
        </w:rPr>
        <w:t> </w:t>
      </w:r>
      <w:r w:rsidRPr="002F320A">
        <w:rPr>
          <w:rFonts w:ascii="Arial" w:eastAsia="Calibri" w:hAnsi="Arial"/>
        </w:rPr>
        <w:t>kg adult. These adverse reactions resolved upon study completion.</w:t>
      </w:r>
    </w:p>
    <w:p w14:paraId="11767430" w14:textId="77777777" w:rsidR="00F07E29" w:rsidRPr="002F320A" w:rsidRDefault="00F07E29" w:rsidP="002F320A">
      <w:pPr>
        <w:pStyle w:val="NoSpacing"/>
        <w:rPr>
          <w:rFonts w:ascii="Arial" w:eastAsia="Calibri" w:hAnsi="Arial"/>
        </w:rPr>
      </w:pPr>
    </w:p>
    <w:p w14:paraId="0854228B" w14:textId="77777777" w:rsidR="00F07E29" w:rsidRPr="000511CF" w:rsidRDefault="00F07E29" w:rsidP="00D900DC">
      <w:pPr>
        <w:pStyle w:val="Heading3"/>
      </w:pPr>
      <w:r w:rsidRPr="002F320A">
        <w:rPr>
          <w:rFonts w:eastAsia="Calibri"/>
        </w:rPr>
        <w:t>Management of overdose</w:t>
      </w:r>
    </w:p>
    <w:p w14:paraId="54E12389" w14:textId="5388D8A9" w:rsidR="00BD01E0" w:rsidRPr="002F320A" w:rsidRDefault="00F07E29" w:rsidP="002F320A">
      <w:pPr>
        <w:pStyle w:val="NoSpacing"/>
        <w:rPr>
          <w:rFonts w:ascii="Arial" w:eastAsia="Calibri" w:hAnsi="Arial"/>
        </w:rPr>
      </w:pPr>
      <w:r w:rsidRPr="002F320A">
        <w:rPr>
          <w:rFonts w:ascii="Arial" w:eastAsia="Calibri" w:hAnsi="Arial"/>
        </w:rPr>
        <w:t>In the event of overdose the patient should be observed and appropriate symptomatic treatment given, including monitoring of vital signs</w:t>
      </w:r>
      <w:r w:rsidR="00B412E0">
        <w:rPr>
          <w:rFonts w:ascii="Arial" w:eastAsia="Calibri" w:hAnsi="Arial"/>
        </w:rPr>
        <w:t>.</w:t>
      </w:r>
    </w:p>
    <w:p w14:paraId="64290020" w14:textId="77777777" w:rsidR="00224739" w:rsidRPr="002F320A" w:rsidRDefault="00224739" w:rsidP="002F320A">
      <w:pPr>
        <w:pStyle w:val="NoSpacing"/>
        <w:rPr>
          <w:rFonts w:ascii="Arial" w:hAnsi="Arial"/>
        </w:rPr>
      </w:pPr>
    </w:p>
    <w:p w14:paraId="13F6B8B9" w14:textId="77777777" w:rsidR="00B17C13" w:rsidRPr="009C0EEB" w:rsidRDefault="00B17C13" w:rsidP="00952B5F">
      <w:pPr>
        <w:pStyle w:val="Heading1"/>
      </w:pPr>
      <w:bookmarkStart w:id="15" w:name="_PHARMACOLOGICAL_PROPERTIES"/>
      <w:bookmarkStart w:id="16" w:name="_bookmark4"/>
      <w:bookmarkEnd w:id="15"/>
      <w:bookmarkEnd w:id="16"/>
      <w:r w:rsidRPr="002F320A">
        <w:t>PHARMACOLOGICAL PROPERTIES</w:t>
      </w:r>
    </w:p>
    <w:p w14:paraId="7B1956AA" w14:textId="77777777" w:rsidR="00E75CC8" w:rsidRPr="002F320A" w:rsidRDefault="00E75CC8" w:rsidP="00D900DC">
      <w:pPr>
        <w:pStyle w:val="Heading2"/>
        <w:rPr>
          <w:rFonts w:eastAsia="Calibri"/>
        </w:rPr>
      </w:pPr>
      <w:bookmarkStart w:id="17" w:name="_PHARMACODYNAMIC_PROPERTIES"/>
      <w:bookmarkStart w:id="18" w:name="_bookmark5"/>
      <w:bookmarkEnd w:id="17"/>
      <w:bookmarkEnd w:id="18"/>
      <w:r w:rsidRPr="002F320A">
        <w:rPr>
          <w:rFonts w:eastAsia="Calibri"/>
        </w:rPr>
        <w:t>PHARMACODYNAMIC PROPERTIES</w:t>
      </w:r>
    </w:p>
    <w:p w14:paraId="391110B9" w14:textId="5AE2609D" w:rsidR="00DE2AA7" w:rsidRPr="002F320A" w:rsidRDefault="00DE2AA7" w:rsidP="002F320A">
      <w:pPr>
        <w:pStyle w:val="NoSpacing"/>
        <w:rPr>
          <w:rFonts w:ascii="Arial" w:eastAsia="Calibri" w:hAnsi="Arial"/>
        </w:rPr>
      </w:pPr>
      <w:proofErr w:type="spellStart"/>
      <w:r w:rsidRPr="002F320A">
        <w:rPr>
          <w:rFonts w:ascii="Arial" w:eastAsia="Calibri" w:hAnsi="Arial"/>
        </w:rPr>
        <w:t>Pharmacotherapeutic</w:t>
      </w:r>
      <w:proofErr w:type="spellEnd"/>
      <w:r w:rsidRPr="002F320A">
        <w:rPr>
          <w:rFonts w:ascii="Arial" w:eastAsia="Calibri" w:hAnsi="Arial"/>
        </w:rPr>
        <w:t xml:space="preserve"> group: </w:t>
      </w:r>
      <w:proofErr w:type="spellStart"/>
      <w:r w:rsidR="0062271D" w:rsidRPr="002F320A">
        <w:rPr>
          <w:rFonts w:ascii="Arial" w:eastAsia="Calibri" w:hAnsi="Arial"/>
        </w:rPr>
        <w:t>antiepileptics</w:t>
      </w:r>
      <w:proofErr w:type="spellEnd"/>
      <w:r w:rsidR="0062271D" w:rsidRPr="002F320A">
        <w:rPr>
          <w:rFonts w:ascii="Arial" w:eastAsia="Calibri" w:hAnsi="Arial"/>
        </w:rPr>
        <w:t xml:space="preserve">, other </w:t>
      </w:r>
      <w:proofErr w:type="spellStart"/>
      <w:r w:rsidR="0062271D" w:rsidRPr="002F320A">
        <w:rPr>
          <w:rFonts w:ascii="Arial" w:eastAsia="Calibri" w:hAnsi="Arial"/>
        </w:rPr>
        <w:t>antiepileptics</w:t>
      </w:r>
      <w:proofErr w:type="spellEnd"/>
      <w:r w:rsidR="0062271D" w:rsidRPr="002F320A">
        <w:rPr>
          <w:rFonts w:ascii="Arial" w:eastAsia="Calibri" w:hAnsi="Arial"/>
        </w:rPr>
        <w:t xml:space="preserve">, </w:t>
      </w:r>
      <w:r w:rsidRPr="002F320A">
        <w:rPr>
          <w:rFonts w:ascii="Arial" w:eastAsia="Calibri" w:hAnsi="Arial"/>
        </w:rPr>
        <w:t xml:space="preserve">ATC code: </w:t>
      </w:r>
      <w:r w:rsidR="0062271D" w:rsidRPr="002F320A">
        <w:rPr>
          <w:rFonts w:ascii="Arial" w:eastAsia="Calibri" w:hAnsi="Arial"/>
        </w:rPr>
        <w:t>N03AX24</w:t>
      </w:r>
    </w:p>
    <w:p w14:paraId="459785F3" w14:textId="77777777" w:rsidR="00DE2AA7" w:rsidRPr="002F320A" w:rsidRDefault="00DE2AA7" w:rsidP="002F320A">
      <w:pPr>
        <w:pStyle w:val="NoSpacing"/>
        <w:rPr>
          <w:rFonts w:ascii="Arial" w:eastAsia="Calibri" w:hAnsi="Arial"/>
        </w:rPr>
      </w:pPr>
    </w:p>
    <w:p w14:paraId="161EA036" w14:textId="1B2A1916" w:rsidR="00B17C13" w:rsidRPr="002F320A" w:rsidRDefault="00B17C13" w:rsidP="00D900DC">
      <w:pPr>
        <w:pStyle w:val="Heading3"/>
        <w:rPr>
          <w:rFonts w:eastAsia="Calibri"/>
        </w:rPr>
      </w:pPr>
      <w:r w:rsidRPr="002F320A">
        <w:rPr>
          <w:rFonts w:eastAsia="Calibri"/>
        </w:rPr>
        <w:t>Mechanism of action</w:t>
      </w:r>
    </w:p>
    <w:p w14:paraId="15E92EB3" w14:textId="1DEAB6DE" w:rsidR="0062271D" w:rsidRPr="002F320A" w:rsidRDefault="0062271D" w:rsidP="002F320A">
      <w:pPr>
        <w:rPr>
          <w:rFonts w:ascii="Arial" w:hAnsi="Arial"/>
        </w:rPr>
      </w:pPr>
      <w:r w:rsidRPr="002F320A">
        <w:rPr>
          <w:rFonts w:ascii="Arial" w:hAnsi="Arial"/>
        </w:rPr>
        <w:t>The precise mechanisms by which cannabidiol exerts its anticonvulsant effects in humans are unknown. Cannabidiol does not exert its anticonvulsant effect through interaction with cannabinoid receptors. Cannabidiol reduces neuronal hyper</w:t>
      </w:r>
      <w:r w:rsidRPr="0062381A">
        <w:rPr>
          <w:rFonts w:ascii="Arial" w:hAnsi="Arial" w:cs="Arial"/>
        </w:rPr>
        <w:noBreakHyphen/>
      </w:r>
      <w:r w:rsidRPr="002F320A">
        <w:rPr>
          <w:rFonts w:ascii="Arial" w:hAnsi="Arial"/>
        </w:rPr>
        <w:t>excitability through modulation of intracellular calcium via G protein</w:t>
      </w:r>
      <w:r w:rsidRPr="0062381A">
        <w:rPr>
          <w:rFonts w:ascii="Arial" w:hAnsi="Arial" w:cs="Arial"/>
        </w:rPr>
        <w:noBreakHyphen/>
      </w:r>
      <w:r w:rsidRPr="002F320A">
        <w:rPr>
          <w:rFonts w:ascii="Arial" w:hAnsi="Arial"/>
        </w:rPr>
        <w:t xml:space="preserve">coupled receptor 55 (GPR55) and transient receptor potential </w:t>
      </w:r>
      <w:proofErr w:type="spellStart"/>
      <w:r w:rsidRPr="002F320A">
        <w:rPr>
          <w:rFonts w:ascii="Arial" w:hAnsi="Arial"/>
        </w:rPr>
        <w:t>vanilloid</w:t>
      </w:r>
      <w:proofErr w:type="spellEnd"/>
      <w:r w:rsidRPr="002F320A">
        <w:rPr>
          <w:rFonts w:ascii="Arial" w:hAnsi="Arial"/>
        </w:rPr>
        <w:t xml:space="preserve"> 1 (TRPV</w:t>
      </w:r>
      <w:r w:rsidRPr="0062381A">
        <w:rPr>
          <w:rFonts w:ascii="Arial" w:hAnsi="Arial" w:cs="Arial"/>
        </w:rPr>
        <w:noBreakHyphen/>
      </w:r>
      <w:r w:rsidRPr="002F320A">
        <w:rPr>
          <w:rFonts w:ascii="Arial" w:hAnsi="Arial"/>
        </w:rPr>
        <w:t>1) channels, as well as modulation of adenosine</w:t>
      </w:r>
      <w:r w:rsidRPr="0062381A">
        <w:rPr>
          <w:rFonts w:ascii="Arial" w:hAnsi="Arial" w:cs="Arial"/>
        </w:rPr>
        <w:noBreakHyphen/>
      </w:r>
      <w:r w:rsidRPr="002F320A">
        <w:rPr>
          <w:rFonts w:ascii="Arial" w:hAnsi="Arial"/>
        </w:rPr>
        <w:t xml:space="preserve">mediated signalling through inhibition of adenosine cellular uptake via the </w:t>
      </w:r>
      <w:proofErr w:type="spellStart"/>
      <w:r w:rsidRPr="002F320A">
        <w:rPr>
          <w:rFonts w:ascii="Arial" w:hAnsi="Arial"/>
        </w:rPr>
        <w:t>equilibrative</w:t>
      </w:r>
      <w:proofErr w:type="spellEnd"/>
      <w:r w:rsidRPr="002F320A">
        <w:rPr>
          <w:rFonts w:ascii="Arial" w:hAnsi="Arial"/>
        </w:rPr>
        <w:t xml:space="preserve"> nucleoside transporter 1 (ENT</w:t>
      </w:r>
      <w:r w:rsidRPr="0062381A">
        <w:rPr>
          <w:rFonts w:ascii="Arial" w:hAnsi="Arial" w:cs="Arial"/>
        </w:rPr>
        <w:noBreakHyphen/>
      </w:r>
      <w:r w:rsidRPr="002F320A">
        <w:rPr>
          <w:rFonts w:ascii="Arial" w:hAnsi="Arial"/>
        </w:rPr>
        <w:t>1).</w:t>
      </w:r>
    </w:p>
    <w:p w14:paraId="2DB134DD" w14:textId="0756B9D6" w:rsidR="0062271D" w:rsidRPr="002F320A" w:rsidRDefault="0062271D" w:rsidP="002F320A">
      <w:pPr>
        <w:rPr>
          <w:rFonts w:ascii="Arial" w:hAnsi="Arial"/>
        </w:rPr>
      </w:pPr>
    </w:p>
    <w:p w14:paraId="0245BFBB" w14:textId="73370600" w:rsidR="0062271D" w:rsidRPr="000511CF" w:rsidRDefault="0062271D" w:rsidP="00D900DC">
      <w:pPr>
        <w:pStyle w:val="Heading3"/>
      </w:pPr>
      <w:r w:rsidRPr="002F320A">
        <w:t>Pharmacodynamic effects</w:t>
      </w:r>
    </w:p>
    <w:p w14:paraId="4BD33D70" w14:textId="38A8707F" w:rsidR="0062271D" w:rsidRPr="002F320A" w:rsidRDefault="0062271D" w:rsidP="002F320A">
      <w:pPr>
        <w:rPr>
          <w:rFonts w:ascii="Arial" w:hAnsi="Arial"/>
        </w:rPr>
      </w:pPr>
      <w:r w:rsidRPr="002F320A">
        <w:rPr>
          <w:rFonts w:ascii="Arial" w:hAnsi="Arial"/>
        </w:rPr>
        <w:t>In patients, there is a potential additive anticonvulsant effect from the bi</w:t>
      </w:r>
      <w:r w:rsidRPr="0062381A">
        <w:rPr>
          <w:rFonts w:ascii="Arial" w:hAnsi="Arial" w:cs="Arial"/>
        </w:rPr>
        <w:noBreakHyphen/>
      </w:r>
      <w:r w:rsidRPr="002F320A">
        <w:rPr>
          <w:rFonts w:ascii="Arial" w:hAnsi="Arial"/>
        </w:rPr>
        <w:t xml:space="preserve">directional pharmacokinetic interaction between cannabidiol and </w:t>
      </w:r>
      <w:proofErr w:type="spellStart"/>
      <w:r w:rsidRPr="002F320A">
        <w:rPr>
          <w:rFonts w:ascii="Arial" w:hAnsi="Arial"/>
        </w:rPr>
        <w:t>clobazam</w:t>
      </w:r>
      <w:proofErr w:type="spellEnd"/>
      <w:r w:rsidRPr="002F320A">
        <w:rPr>
          <w:rFonts w:ascii="Arial" w:hAnsi="Arial"/>
        </w:rPr>
        <w:t>, which leads to increases in</w:t>
      </w:r>
      <w:r w:rsidRPr="0062381A">
        <w:rPr>
          <w:rFonts w:ascii="Arial" w:hAnsi="Arial" w:cs="Arial"/>
        </w:rPr>
        <w:t xml:space="preserve"> circulating levels of their respective active metabolites, 7</w:t>
      </w:r>
      <w:r w:rsidRPr="0062381A">
        <w:rPr>
          <w:rFonts w:ascii="Arial" w:hAnsi="Arial" w:cs="Arial"/>
        </w:rPr>
        <w:noBreakHyphen/>
        <w:t>OH</w:t>
      </w:r>
      <w:r w:rsidRPr="0062381A">
        <w:rPr>
          <w:rFonts w:ascii="Arial" w:hAnsi="Arial" w:cs="Arial"/>
        </w:rPr>
        <w:noBreakHyphen/>
        <w:t>CBD (approximately 1.5</w:t>
      </w:r>
      <w:r w:rsidRPr="0062381A">
        <w:rPr>
          <w:rFonts w:ascii="Arial" w:hAnsi="Arial" w:cs="Arial"/>
        </w:rPr>
        <w:noBreakHyphen/>
        <w:t>fold) and N</w:t>
      </w:r>
      <w:r w:rsidRPr="0062381A">
        <w:rPr>
          <w:rFonts w:ascii="Arial" w:hAnsi="Arial" w:cs="Arial"/>
        </w:rPr>
        <w:noBreakHyphen/>
        <w:t>CLB (approximately 3</w:t>
      </w:r>
      <w:r w:rsidRPr="0062381A">
        <w:rPr>
          <w:rFonts w:ascii="Arial" w:hAnsi="Arial" w:cs="Arial"/>
        </w:rPr>
        <w:noBreakHyphen/>
        <w:t xml:space="preserve">fold) (see section </w:t>
      </w:r>
      <w:hyperlink w:anchor="_INTERACTIONS_WITH_OTHER" w:history="1">
        <w:r w:rsidRPr="00767AC2">
          <w:rPr>
            <w:rStyle w:val="Hyperlink"/>
            <w:rFonts w:ascii="Arial" w:eastAsia="Calibri" w:hAnsi="Arial" w:cs="Arial"/>
          </w:rPr>
          <w:t>4.5 INTERACTIONS WITH OTHER MEDICINES AND OTHER FORMS OF INTERACTIONS</w:t>
        </w:r>
      </w:hyperlink>
      <w:r w:rsidRPr="0062381A">
        <w:rPr>
          <w:rFonts w:ascii="Arial" w:hAnsi="Arial" w:cs="Arial"/>
        </w:rPr>
        <w:t xml:space="preserve"> and section </w:t>
      </w:r>
      <w:hyperlink w:anchor="_PHARMACOKINETIC_PROPERTIES" w:history="1">
        <w:r w:rsidR="007661B5" w:rsidRPr="0062381A">
          <w:rPr>
            <w:rStyle w:val="Hyperlink"/>
            <w:rFonts w:ascii="Arial" w:hAnsi="Arial" w:cs="Arial"/>
          </w:rPr>
          <w:t>5.2 PHARMACOKINETIC PROPERTIES</w:t>
        </w:r>
      </w:hyperlink>
      <w:r w:rsidRPr="0062381A">
        <w:rPr>
          <w:rFonts w:ascii="Arial" w:hAnsi="Arial" w:cs="Arial"/>
        </w:rPr>
        <w:t>).</w:t>
      </w:r>
    </w:p>
    <w:p w14:paraId="7502E933" w14:textId="77777777" w:rsidR="00DE2AA7" w:rsidDel="00751BC2" w:rsidRDefault="00DE2AA7" w:rsidP="002F320A">
      <w:pPr>
        <w:pStyle w:val="NoSpacing"/>
        <w:rPr>
          <w:rFonts w:ascii="Arial" w:eastAsia="Calibri" w:hAnsi="Arial"/>
          <w:b/>
          <w:i/>
        </w:rPr>
      </w:pPr>
    </w:p>
    <w:p w14:paraId="669A68F7" w14:textId="190BCEA2" w:rsidR="00B17C13" w:rsidRPr="002F320A" w:rsidRDefault="00B17C13" w:rsidP="00D900DC">
      <w:pPr>
        <w:pStyle w:val="Heading3"/>
        <w:rPr>
          <w:rFonts w:eastAsia="Calibri"/>
        </w:rPr>
      </w:pPr>
      <w:r w:rsidRPr="002F320A">
        <w:rPr>
          <w:rFonts w:eastAsia="Calibri"/>
        </w:rPr>
        <w:t>Clinical trials</w:t>
      </w:r>
    </w:p>
    <w:p w14:paraId="11FA03CB" w14:textId="6286D53E" w:rsidR="0062271D" w:rsidRPr="002F320A" w:rsidRDefault="0062271D" w:rsidP="00D900DC">
      <w:pPr>
        <w:pStyle w:val="Heading4"/>
      </w:pPr>
      <w:r w:rsidRPr="002F320A">
        <w:t>Adjunctive therapy in patients with LGS</w:t>
      </w:r>
    </w:p>
    <w:p w14:paraId="3F70309A" w14:textId="402A92E9" w:rsidR="0062271D" w:rsidRPr="002F320A" w:rsidRDefault="0062271D" w:rsidP="002F320A">
      <w:pPr>
        <w:rPr>
          <w:rFonts w:ascii="Arial" w:hAnsi="Arial"/>
        </w:rPr>
      </w:pPr>
      <w:r w:rsidRPr="002F320A">
        <w:rPr>
          <w:rFonts w:ascii="Arial" w:hAnsi="Arial"/>
        </w:rPr>
        <w:t xml:space="preserve">The efficacy of </w:t>
      </w:r>
      <w:r w:rsidR="00EF74A1" w:rsidRPr="002F320A">
        <w:rPr>
          <w:rFonts w:ascii="Arial" w:hAnsi="Arial"/>
        </w:rPr>
        <w:t>EPIDYOLEX</w:t>
      </w:r>
      <w:r w:rsidRPr="002F320A">
        <w:rPr>
          <w:rFonts w:ascii="Arial" w:hAnsi="Arial"/>
        </w:rPr>
        <w:t xml:space="preserve"> for the adjunctive therapy of seizures associated with LGS was evaluated in two randomised, double</w:t>
      </w:r>
      <w:r w:rsidRPr="0062381A">
        <w:rPr>
          <w:rFonts w:ascii="Arial" w:hAnsi="Arial" w:cs="Arial"/>
        </w:rPr>
        <w:noBreakHyphen/>
      </w:r>
      <w:r w:rsidRPr="002F320A">
        <w:rPr>
          <w:rFonts w:ascii="Arial" w:hAnsi="Arial"/>
        </w:rPr>
        <w:t>blind, placebo</w:t>
      </w:r>
      <w:r w:rsidRPr="0062381A">
        <w:rPr>
          <w:rFonts w:ascii="Arial" w:hAnsi="Arial" w:cs="Arial"/>
        </w:rPr>
        <w:noBreakHyphen/>
      </w:r>
      <w:r w:rsidRPr="002F320A">
        <w:rPr>
          <w:rFonts w:ascii="Arial" w:hAnsi="Arial"/>
        </w:rPr>
        <w:t>controlled, parallel</w:t>
      </w:r>
      <w:r w:rsidRPr="0062381A">
        <w:rPr>
          <w:rFonts w:ascii="Arial" w:hAnsi="Arial" w:cs="Arial"/>
        </w:rPr>
        <w:noBreakHyphen/>
      </w:r>
      <w:r w:rsidRPr="002F320A">
        <w:rPr>
          <w:rFonts w:ascii="Arial" w:hAnsi="Arial"/>
        </w:rPr>
        <w:t>group studies (</w:t>
      </w:r>
      <w:r w:rsidRPr="002F320A">
        <w:rPr>
          <w:rFonts w:ascii="Arial" w:eastAsia="Arial Unicode MS" w:hAnsi="Arial"/>
        </w:rPr>
        <w:t>GWPCARE3</w:t>
      </w:r>
      <w:r w:rsidRPr="002F320A">
        <w:rPr>
          <w:rFonts w:ascii="Arial" w:hAnsi="Arial"/>
        </w:rPr>
        <w:t xml:space="preserve"> and </w:t>
      </w:r>
      <w:r w:rsidRPr="002F320A">
        <w:rPr>
          <w:rFonts w:ascii="Arial" w:eastAsia="Arial Unicode MS" w:hAnsi="Arial"/>
        </w:rPr>
        <w:t>GWPCARE4</w:t>
      </w:r>
      <w:r w:rsidRPr="002F320A">
        <w:rPr>
          <w:rFonts w:ascii="Arial" w:hAnsi="Arial"/>
        </w:rPr>
        <w:t>)</w:t>
      </w:r>
      <w:r w:rsidR="003531B1">
        <w:rPr>
          <w:rFonts w:ascii="Arial" w:hAnsi="Arial"/>
        </w:rPr>
        <w:t xml:space="preserve"> </w:t>
      </w:r>
      <w:r w:rsidR="003531B1" w:rsidRPr="003531B1">
        <w:rPr>
          <w:rFonts w:ascii="Arial" w:hAnsi="Arial"/>
        </w:rPr>
        <w:t>In both studies, patients were inadequately controlled on at least one AED, with or without vagal nerve stimulation and/or ketogenic diet</w:t>
      </w:r>
      <w:r w:rsidRPr="002F320A">
        <w:rPr>
          <w:rFonts w:ascii="Arial" w:hAnsi="Arial"/>
        </w:rPr>
        <w:t>. Each study consisted of a 4</w:t>
      </w:r>
      <w:r w:rsidRPr="0062381A">
        <w:rPr>
          <w:rFonts w:ascii="Arial" w:hAnsi="Arial" w:cs="Arial"/>
        </w:rPr>
        <w:noBreakHyphen/>
      </w:r>
      <w:r w:rsidRPr="002F320A">
        <w:rPr>
          <w:rFonts w:ascii="Arial" w:hAnsi="Arial"/>
        </w:rPr>
        <w:t xml:space="preserve">week baseline period, </w:t>
      </w:r>
      <w:r w:rsidR="00A554F0" w:rsidRPr="00A554F0">
        <w:rPr>
          <w:rFonts w:ascii="Arial" w:hAnsi="Arial"/>
        </w:rPr>
        <w:t>during which patients were required to have a minimum of 8</w:t>
      </w:r>
      <w:r w:rsidR="00035AB1">
        <w:rPr>
          <w:rFonts w:ascii="Arial" w:hAnsi="Arial"/>
        </w:rPr>
        <w:t> </w:t>
      </w:r>
      <w:r w:rsidR="00A554F0" w:rsidRPr="00A554F0">
        <w:rPr>
          <w:rFonts w:ascii="Arial" w:hAnsi="Arial"/>
        </w:rPr>
        <w:t>drop seizures (</w:t>
      </w:r>
      <w:r w:rsidR="00702FAA">
        <w:rPr>
          <w:rFonts w:ascii="Arial" w:hAnsi="Arial" w:cs="Arial"/>
        </w:rPr>
        <w:sym w:font="Symbol" w:char="F0B3"/>
      </w:r>
      <w:r w:rsidR="00545DE6">
        <w:rPr>
          <w:rFonts w:ascii="Arial" w:hAnsi="Arial"/>
        </w:rPr>
        <w:t> </w:t>
      </w:r>
      <w:r w:rsidR="00A554F0" w:rsidRPr="00A554F0">
        <w:rPr>
          <w:rFonts w:ascii="Arial" w:hAnsi="Arial"/>
        </w:rPr>
        <w:t>2 drop seizures per week)</w:t>
      </w:r>
      <w:r w:rsidR="00D61DC3">
        <w:rPr>
          <w:rFonts w:ascii="Arial" w:hAnsi="Arial"/>
        </w:rPr>
        <w:t xml:space="preserve">, </w:t>
      </w:r>
      <w:r w:rsidRPr="002F320A">
        <w:rPr>
          <w:rFonts w:ascii="Arial" w:hAnsi="Arial"/>
        </w:rPr>
        <w:t>a 2</w:t>
      </w:r>
      <w:r w:rsidRPr="0062381A">
        <w:rPr>
          <w:rFonts w:ascii="Arial" w:hAnsi="Arial" w:cs="Arial"/>
        </w:rPr>
        <w:noBreakHyphen/>
      </w:r>
      <w:r w:rsidRPr="002F320A">
        <w:rPr>
          <w:rFonts w:ascii="Arial" w:hAnsi="Arial"/>
        </w:rPr>
        <w:t>week titration period and a 12</w:t>
      </w:r>
      <w:r w:rsidRPr="0062381A">
        <w:rPr>
          <w:rFonts w:ascii="Arial" w:hAnsi="Arial" w:cs="Arial"/>
        </w:rPr>
        <w:noBreakHyphen/>
      </w:r>
      <w:r w:rsidRPr="002F320A">
        <w:rPr>
          <w:rFonts w:ascii="Arial" w:hAnsi="Arial"/>
        </w:rPr>
        <w:t>week maintenance period. Mean age of the study population was 15</w:t>
      </w:r>
      <w:r w:rsidR="00035AB1">
        <w:rPr>
          <w:rFonts w:ascii="Arial" w:hAnsi="Arial"/>
        </w:rPr>
        <w:t> </w:t>
      </w:r>
      <w:r w:rsidRPr="002F320A">
        <w:rPr>
          <w:rFonts w:ascii="Arial" w:hAnsi="Arial"/>
        </w:rPr>
        <w:t>years and 94% were taking 2 or more concomitant AEDs (</w:t>
      </w:r>
      <w:proofErr w:type="spellStart"/>
      <w:r w:rsidRPr="002F320A">
        <w:rPr>
          <w:rFonts w:ascii="Arial" w:hAnsi="Arial"/>
        </w:rPr>
        <w:t>cAEDs</w:t>
      </w:r>
      <w:proofErr w:type="spellEnd"/>
      <w:r w:rsidRPr="002F320A">
        <w:rPr>
          <w:rFonts w:ascii="Arial" w:hAnsi="Arial"/>
        </w:rPr>
        <w:t xml:space="preserve">) during the trial. </w:t>
      </w:r>
      <w:r w:rsidR="00BD7A3C" w:rsidRPr="00BD7A3C">
        <w:rPr>
          <w:rFonts w:ascii="Arial" w:hAnsi="Arial"/>
        </w:rPr>
        <w:t xml:space="preserve">The most frequently used </w:t>
      </w:r>
      <w:proofErr w:type="spellStart"/>
      <w:r w:rsidR="00BD7A3C" w:rsidRPr="00BD7A3C">
        <w:rPr>
          <w:rFonts w:ascii="Arial" w:hAnsi="Arial"/>
        </w:rPr>
        <w:t>cAEDs</w:t>
      </w:r>
      <w:proofErr w:type="spellEnd"/>
      <w:r w:rsidR="00BD7A3C" w:rsidRPr="00BD7A3C">
        <w:rPr>
          <w:rFonts w:ascii="Arial" w:hAnsi="Arial"/>
        </w:rPr>
        <w:t xml:space="preserve"> (&gt;</w:t>
      </w:r>
      <w:r w:rsidR="00545DE6">
        <w:rPr>
          <w:rFonts w:ascii="Arial" w:hAnsi="Arial"/>
        </w:rPr>
        <w:t> </w:t>
      </w:r>
      <w:r w:rsidR="00BD7A3C" w:rsidRPr="00BD7A3C">
        <w:rPr>
          <w:rFonts w:ascii="Arial" w:hAnsi="Arial"/>
        </w:rPr>
        <w:t xml:space="preserve">25%) in GWPCARE3 and GWPCARE4 were </w:t>
      </w:r>
      <w:proofErr w:type="spellStart"/>
      <w:r w:rsidR="00BD7A3C" w:rsidRPr="00BD7A3C">
        <w:rPr>
          <w:rFonts w:ascii="Arial" w:hAnsi="Arial"/>
        </w:rPr>
        <w:t>clobazam</w:t>
      </w:r>
      <w:proofErr w:type="spellEnd"/>
      <w:r w:rsidR="00BD7A3C" w:rsidRPr="00BD7A3C">
        <w:rPr>
          <w:rFonts w:ascii="Arial" w:hAnsi="Arial"/>
        </w:rPr>
        <w:t xml:space="preserve"> (mean 49%), valproate (mean 39%), lamotrigine (mean 33%), </w:t>
      </w:r>
      <w:proofErr w:type="spellStart"/>
      <w:r w:rsidR="00BD7A3C" w:rsidRPr="00BD7A3C">
        <w:rPr>
          <w:rFonts w:ascii="Arial" w:hAnsi="Arial"/>
        </w:rPr>
        <w:t>levetiracetam</w:t>
      </w:r>
      <w:proofErr w:type="spellEnd"/>
      <w:r w:rsidR="00BD7A3C" w:rsidRPr="00BD7A3C">
        <w:rPr>
          <w:rFonts w:ascii="Arial" w:hAnsi="Arial"/>
        </w:rPr>
        <w:t xml:space="preserve"> (mean 32%), and </w:t>
      </w:r>
      <w:proofErr w:type="spellStart"/>
      <w:r w:rsidR="00BD7A3C" w:rsidRPr="00BD7A3C">
        <w:rPr>
          <w:rFonts w:ascii="Arial" w:hAnsi="Arial"/>
        </w:rPr>
        <w:t>rufinamide</w:t>
      </w:r>
      <w:proofErr w:type="spellEnd"/>
      <w:r w:rsidR="00BD7A3C" w:rsidRPr="00BD7A3C">
        <w:rPr>
          <w:rFonts w:ascii="Arial" w:hAnsi="Arial"/>
        </w:rPr>
        <w:t xml:space="preserve"> (mean 28%)</w:t>
      </w:r>
      <w:r w:rsidR="00F63EB2">
        <w:rPr>
          <w:rFonts w:ascii="Arial" w:hAnsi="Arial"/>
        </w:rPr>
        <w:t>.</w:t>
      </w:r>
    </w:p>
    <w:p w14:paraId="4E056414" w14:textId="77777777" w:rsidR="0062271D" w:rsidRPr="002F320A" w:rsidRDefault="0062271D" w:rsidP="002F320A">
      <w:pPr>
        <w:rPr>
          <w:rFonts w:ascii="Arial" w:hAnsi="Arial"/>
        </w:rPr>
      </w:pPr>
    </w:p>
    <w:p w14:paraId="3FDD2ED4" w14:textId="457A52D8" w:rsidR="0062271D" w:rsidRPr="002F320A" w:rsidRDefault="0062271D" w:rsidP="002F320A">
      <w:pPr>
        <w:rPr>
          <w:rFonts w:ascii="Arial" w:hAnsi="Arial"/>
        </w:rPr>
      </w:pPr>
      <w:bookmarkStart w:id="19" w:name="_Hlk2357975"/>
      <w:r w:rsidRPr="002F320A">
        <w:rPr>
          <w:rFonts w:ascii="Arial" w:hAnsi="Arial"/>
        </w:rPr>
        <w:t>The primary endpoint was the percentage change from baseline in drop seizures per 28</w:t>
      </w:r>
      <w:r w:rsidRPr="0062381A">
        <w:rPr>
          <w:rFonts w:ascii="Arial" w:hAnsi="Arial" w:cs="Arial"/>
        </w:rPr>
        <w:t> </w:t>
      </w:r>
      <w:r w:rsidRPr="002F320A">
        <w:rPr>
          <w:rFonts w:ascii="Arial" w:hAnsi="Arial"/>
        </w:rPr>
        <w:t xml:space="preserve">days over the treatment period for the </w:t>
      </w:r>
      <w:r w:rsidR="00EF74A1" w:rsidRPr="002F320A">
        <w:rPr>
          <w:rFonts w:ascii="Arial" w:hAnsi="Arial"/>
        </w:rPr>
        <w:t>EPIDYOLEX</w:t>
      </w:r>
      <w:r w:rsidRPr="002F320A">
        <w:rPr>
          <w:rFonts w:ascii="Arial" w:hAnsi="Arial"/>
        </w:rPr>
        <w:t xml:space="preserve"> group compared to placebo. Drop seizures were defined as atonic, tonic, or tonic</w:t>
      </w:r>
      <w:r w:rsidRPr="0062381A">
        <w:rPr>
          <w:rFonts w:ascii="Arial" w:hAnsi="Arial" w:cs="Arial"/>
        </w:rPr>
        <w:noBreakHyphen/>
      </w:r>
      <w:proofErr w:type="spellStart"/>
      <w:r w:rsidRPr="002F320A">
        <w:rPr>
          <w:rFonts w:ascii="Arial" w:hAnsi="Arial"/>
        </w:rPr>
        <w:t>clonic</w:t>
      </w:r>
      <w:proofErr w:type="spellEnd"/>
      <w:r w:rsidRPr="002F320A">
        <w:rPr>
          <w:rFonts w:ascii="Arial" w:hAnsi="Arial"/>
        </w:rPr>
        <w:t xml:space="preserve"> seizures that led or could have led to a fall or injury. </w:t>
      </w:r>
      <w:bookmarkEnd w:id="19"/>
      <w:r w:rsidRPr="002F320A">
        <w:rPr>
          <w:rFonts w:ascii="Arial" w:hAnsi="Arial"/>
        </w:rPr>
        <w:t xml:space="preserve">Key secondary endpoints were the proportion of patients with at least a 50% reduction in drop seizure frequency, the percentage change from baseline in total seizure frequency, and Subject/Caregiver Global Impression of Change at the last visit. </w:t>
      </w:r>
      <w:r w:rsidR="008E561E" w:rsidRPr="002F320A">
        <w:rPr>
          <w:rFonts w:ascii="Arial" w:hAnsi="Arial"/>
        </w:rPr>
        <w:t xml:space="preserve">These outcome measures are </w:t>
      </w:r>
      <w:r w:rsidR="00272C49" w:rsidRPr="002F320A">
        <w:rPr>
          <w:rFonts w:ascii="Arial" w:hAnsi="Arial"/>
        </w:rPr>
        <w:t>summari</w:t>
      </w:r>
      <w:r w:rsidR="00272C49">
        <w:rPr>
          <w:rFonts w:ascii="Arial" w:hAnsi="Arial"/>
        </w:rPr>
        <w:t>s</w:t>
      </w:r>
      <w:r w:rsidR="00272C49" w:rsidRPr="002F320A">
        <w:rPr>
          <w:rFonts w:ascii="Arial" w:hAnsi="Arial"/>
        </w:rPr>
        <w:t xml:space="preserve">ed </w:t>
      </w:r>
      <w:r w:rsidR="008E561E" w:rsidRPr="002F320A">
        <w:rPr>
          <w:rFonts w:ascii="Arial" w:hAnsi="Arial"/>
        </w:rPr>
        <w:t>in Table 3.</w:t>
      </w:r>
    </w:p>
    <w:p w14:paraId="182FBEEB" w14:textId="7ABBF4F7" w:rsidR="007568E4" w:rsidRPr="002F320A" w:rsidRDefault="007568E4" w:rsidP="002F320A">
      <w:pPr>
        <w:rPr>
          <w:rFonts w:ascii="Arial" w:hAnsi="Arial"/>
        </w:rPr>
      </w:pPr>
    </w:p>
    <w:p w14:paraId="1798E8C0" w14:textId="2150B0D0" w:rsidR="00F33A77" w:rsidRPr="00702FAA" w:rsidRDefault="0062271D" w:rsidP="00702FAA">
      <w:pPr>
        <w:rPr>
          <w:b/>
        </w:rPr>
      </w:pPr>
      <w:r w:rsidRPr="00702FAA">
        <w:rPr>
          <w:b/>
        </w:rPr>
        <w:t>Table</w:t>
      </w:r>
      <w:r w:rsidR="00F33A77" w:rsidRPr="00702FAA">
        <w:rPr>
          <w:b/>
        </w:rPr>
        <w:t xml:space="preserve"> </w:t>
      </w:r>
      <w:r w:rsidRPr="00702FAA">
        <w:rPr>
          <w:b/>
        </w:rPr>
        <w:t xml:space="preserve">3: </w:t>
      </w:r>
      <w:r w:rsidR="00D10C3C" w:rsidRPr="00702FAA">
        <w:rPr>
          <w:b/>
        </w:rPr>
        <w:t xml:space="preserve"> Primary and key secondary outcome measures in LGS studies</w:t>
      </w:r>
    </w:p>
    <w:tbl>
      <w:tblPr>
        <w:tblStyle w:val="TableGrid"/>
        <w:tblW w:w="10492" w:type="dxa"/>
        <w:tblInd w:w="-147" w:type="dxa"/>
        <w:tblLook w:val="04A0" w:firstRow="1" w:lastRow="0" w:firstColumn="1" w:lastColumn="0" w:noHBand="0" w:noVBand="1"/>
      </w:tblPr>
      <w:tblGrid>
        <w:gridCol w:w="3112"/>
        <w:gridCol w:w="1620"/>
        <w:gridCol w:w="1620"/>
        <w:gridCol w:w="1170"/>
        <w:gridCol w:w="1710"/>
        <w:gridCol w:w="1260"/>
      </w:tblGrid>
      <w:tr w:rsidR="00E364FE" w:rsidRPr="00D10C3C" w14:paraId="79DAF3D1" w14:textId="77777777" w:rsidTr="007504D6">
        <w:tc>
          <w:tcPr>
            <w:tcW w:w="3112" w:type="dxa"/>
            <w:vMerge w:val="restart"/>
          </w:tcPr>
          <w:p w14:paraId="3BD2DD74" w14:textId="77777777" w:rsidR="00E364FE" w:rsidRPr="00F73A5A" w:rsidRDefault="00E364FE" w:rsidP="0028382E">
            <w:pPr>
              <w:keepNext/>
              <w:rPr>
                <w:rFonts w:ascii="Arial" w:hAnsi="Arial"/>
                <w:b/>
                <w:sz w:val="22"/>
              </w:rPr>
            </w:pPr>
          </w:p>
        </w:tc>
        <w:tc>
          <w:tcPr>
            <w:tcW w:w="4410" w:type="dxa"/>
            <w:gridSpan w:val="3"/>
            <w:vAlign w:val="bottom"/>
          </w:tcPr>
          <w:p w14:paraId="7BF2F3FB" w14:textId="24A3D605" w:rsidR="00E364FE" w:rsidRPr="00F73A5A" w:rsidRDefault="00E364FE" w:rsidP="0028382E">
            <w:pPr>
              <w:keepNext/>
              <w:pageBreakBefore/>
              <w:spacing w:before="120" w:after="120"/>
              <w:jc w:val="center"/>
              <w:rPr>
                <w:rFonts w:ascii="Arial" w:hAnsi="Arial"/>
                <w:b/>
                <w:sz w:val="22"/>
              </w:rPr>
            </w:pPr>
            <w:r w:rsidRPr="007504D6">
              <w:rPr>
                <w:rFonts w:ascii="Arial" w:hAnsi="Arial"/>
                <w:b/>
                <w:sz w:val="22"/>
              </w:rPr>
              <w:t>Study</w:t>
            </w:r>
            <w:r w:rsidRPr="00F73A5A">
              <w:rPr>
                <w:rFonts w:ascii="Arial" w:hAnsi="Arial"/>
                <w:b/>
                <w:sz w:val="22"/>
              </w:rPr>
              <w:t xml:space="preserve"> GWPCARE3</w:t>
            </w:r>
          </w:p>
        </w:tc>
        <w:tc>
          <w:tcPr>
            <w:tcW w:w="2970" w:type="dxa"/>
            <w:gridSpan w:val="2"/>
            <w:vAlign w:val="bottom"/>
          </w:tcPr>
          <w:p w14:paraId="3286D660" w14:textId="77777777" w:rsidR="00E364FE" w:rsidRPr="00F73A5A" w:rsidRDefault="00E364FE" w:rsidP="0028382E">
            <w:pPr>
              <w:keepNext/>
              <w:spacing w:before="120" w:after="120"/>
              <w:jc w:val="center"/>
              <w:rPr>
                <w:rFonts w:ascii="Arial" w:hAnsi="Arial"/>
                <w:b/>
                <w:sz w:val="22"/>
              </w:rPr>
            </w:pPr>
            <w:r w:rsidRPr="007504D6">
              <w:rPr>
                <w:rFonts w:ascii="Arial" w:hAnsi="Arial"/>
                <w:b/>
                <w:sz w:val="22"/>
              </w:rPr>
              <w:t>Study</w:t>
            </w:r>
            <w:r w:rsidRPr="00F73A5A">
              <w:rPr>
                <w:rFonts w:ascii="Arial" w:hAnsi="Arial"/>
                <w:b/>
                <w:sz w:val="22"/>
              </w:rPr>
              <w:t xml:space="preserve"> GWPCARE4</w:t>
            </w:r>
          </w:p>
        </w:tc>
      </w:tr>
      <w:tr w:rsidR="00E364FE" w:rsidRPr="00D10C3C" w14:paraId="65E141C2" w14:textId="77777777" w:rsidTr="007504D6">
        <w:tc>
          <w:tcPr>
            <w:tcW w:w="3112" w:type="dxa"/>
            <w:vMerge/>
          </w:tcPr>
          <w:p w14:paraId="5FC89C0C" w14:textId="77777777" w:rsidR="00E364FE" w:rsidRPr="00F73A5A" w:rsidRDefault="00E364FE" w:rsidP="0028382E">
            <w:pPr>
              <w:keepNext/>
              <w:rPr>
                <w:rFonts w:ascii="Arial" w:hAnsi="Arial"/>
                <w:b/>
                <w:sz w:val="22"/>
              </w:rPr>
            </w:pPr>
          </w:p>
        </w:tc>
        <w:tc>
          <w:tcPr>
            <w:tcW w:w="1620" w:type="dxa"/>
            <w:vAlign w:val="bottom"/>
          </w:tcPr>
          <w:p w14:paraId="2E1773C5" w14:textId="13DAF0B3" w:rsidR="00E364FE" w:rsidRPr="00F73A5A" w:rsidRDefault="00E364FE" w:rsidP="0028382E">
            <w:pPr>
              <w:keepNext/>
              <w:jc w:val="center"/>
              <w:rPr>
                <w:rFonts w:ascii="Arial" w:hAnsi="Arial"/>
                <w:b/>
                <w:sz w:val="22"/>
              </w:rPr>
            </w:pPr>
            <w:r w:rsidRPr="00F73A5A">
              <w:rPr>
                <w:rFonts w:ascii="Arial" w:hAnsi="Arial"/>
                <w:b/>
                <w:sz w:val="22"/>
              </w:rPr>
              <w:t>EPIDYOLEX</w:t>
            </w:r>
          </w:p>
          <w:p w14:paraId="0C1A0CF0" w14:textId="77777777" w:rsidR="00E364FE" w:rsidRPr="00F73A5A" w:rsidRDefault="00E364FE" w:rsidP="0028382E">
            <w:pPr>
              <w:keepNext/>
              <w:jc w:val="center"/>
              <w:rPr>
                <w:rFonts w:ascii="Arial" w:hAnsi="Arial"/>
                <w:b/>
                <w:sz w:val="22"/>
              </w:rPr>
            </w:pPr>
            <w:r w:rsidRPr="00F73A5A">
              <w:rPr>
                <w:rFonts w:ascii="Arial" w:hAnsi="Arial"/>
                <w:b/>
                <w:sz w:val="22"/>
              </w:rPr>
              <w:t>20 mg/kg/day</w:t>
            </w:r>
          </w:p>
          <w:p w14:paraId="5E6F096F" w14:textId="540B926B" w:rsidR="00E364FE" w:rsidRPr="00F73A5A" w:rsidRDefault="00E364FE" w:rsidP="0028382E">
            <w:pPr>
              <w:keepNext/>
              <w:jc w:val="center"/>
              <w:rPr>
                <w:rFonts w:ascii="Arial" w:hAnsi="Arial"/>
                <w:b/>
                <w:sz w:val="22"/>
              </w:rPr>
            </w:pPr>
            <w:r w:rsidRPr="00F73A5A">
              <w:rPr>
                <w:rFonts w:ascii="Arial" w:hAnsi="Arial"/>
                <w:b/>
                <w:sz w:val="22"/>
              </w:rPr>
              <w:t>(n=76)</w:t>
            </w:r>
          </w:p>
        </w:tc>
        <w:tc>
          <w:tcPr>
            <w:tcW w:w="1620" w:type="dxa"/>
            <w:vAlign w:val="bottom"/>
          </w:tcPr>
          <w:p w14:paraId="64C9D4A5" w14:textId="5150B767" w:rsidR="00E364FE" w:rsidRPr="00F73A5A" w:rsidRDefault="00E364FE" w:rsidP="0028382E">
            <w:pPr>
              <w:keepNext/>
              <w:jc w:val="center"/>
              <w:rPr>
                <w:rFonts w:ascii="Arial" w:hAnsi="Arial"/>
                <w:b/>
                <w:sz w:val="22"/>
              </w:rPr>
            </w:pPr>
            <w:r w:rsidRPr="00F73A5A">
              <w:rPr>
                <w:rFonts w:ascii="Arial" w:hAnsi="Arial"/>
                <w:b/>
                <w:sz w:val="22"/>
              </w:rPr>
              <w:t>EPIDYOLEX</w:t>
            </w:r>
          </w:p>
          <w:p w14:paraId="5BB2C46C" w14:textId="77777777" w:rsidR="00E364FE" w:rsidRPr="00F73A5A" w:rsidRDefault="00E364FE" w:rsidP="0028382E">
            <w:pPr>
              <w:keepNext/>
              <w:jc w:val="center"/>
              <w:rPr>
                <w:rFonts w:ascii="Arial" w:hAnsi="Arial"/>
                <w:b/>
                <w:sz w:val="22"/>
              </w:rPr>
            </w:pPr>
            <w:r w:rsidRPr="00F73A5A">
              <w:rPr>
                <w:rFonts w:ascii="Arial" w:hAnsi="Arial"/>
                <w:b/>
                <w:sz w:val="22"/>
              </w:rPr>
              <w:t>10 mg/kg/day</w:t>
            </w:r>
          </w:p>
          <w:p w14:paraId="74264623" w14:textId="5AFCF567" w:rsidR="00E364FE" w:rsidRPr="00F73A5A" w:rsidRDefault="00E364FE" w:rsidP="0028382E">
            <w:pPr>
              <w:keepNext/>
              <w:jc w:val="center"/>
              <w:rPr>
                <w:rFonts w:ascii="Arial" w:hAnsi="Arial"/>
                <w:b/>
                <w:sz w:val="22"/>
              </w:rPr>
            </w:pPr>
            <w:r w:rsidRPr="00F73A5A">
              <w:rPr>
                <w:rFonts w:ascii="Arial" w:hAnsi="Arial"/>
                <w:b/>
                <w:sz w:val="22"/>
              </w:rPr>
              <w:t>(n=73)</w:t>
            </w:r>
          </w:p>
        </w:tc>
        <w:tc>
          <w:tcPr>
            <w:tcW w:w="1170" w:type="dxa"/>
            <w:vAlign w:val="bottom"/>
          </w:tcPr>
          <w:p w14:paraId="7B5DA3EC" w14:textId="77777777" w:rsidR="00E364FE" w:rsidRPr="00F73A5A" w:rsidRDefault="00E364FE" w:rsidP="0028382E">
            <w:pPr>
              <w:keepNext/>
              <w:jc w:val="center"/>
              <w:rPr>
                <w:rFonts w:ascii="Arial" w:hAnsi="Arial"/>
                <w:b/>
                <w:sz w:val="22"/>
              </w:rPr>
            </w:pPr>
            <w:r w:rsidRPr="00F73A5A">
              <w:rPr>
                <w:rFonts w:ascii="Arial" w:hAnsi="Arial"/>
                <w:b/>
                <w:sz w:val="22"/>
              </w:rPr>
              <w:t>Placebo</w:t>
            </w:r>
          </w:p>
          <w:p w14:paraId="44610D74" w14:textId="355F44CA" w:rsidR="00E364FE" w:rsidRPr="00F73A5A" w:rsidRDefault="00E364FE" w:rsidP="0028382E">
            <w:pPr>
              <w:keepNext/>
              <w:jc w:val="center"/>
              <w:rPr>
                <w:rFonts w:ascii="Arial" w:hAnsi="Arial"/>
                <w:b/>
                <w:sz w:val="22"/>
              </w:rPr>
            </w:pPr>
            <w:r w:rsidRPr="00F73A5A">
              <w:rPr>
                <w:rFonts w:ascii="Arial" w:hAnsi="Arial"/>
                <w:b/>
                <w:sz w:val="22"/>
              </w:rPr>
              <w:t>(n=76)</w:t>
            </w:r>
          </w:p>
        </w:tc>
        <w:tc>
          <w:tcPr>
            <w:tcW w:w="1710" w:type="dxa"/>
            <w:vAlign w:val="bottom"/>
          </w:tcPr>
          <w:p w14:paraId="5A4DE59E" w14:textId="2098C2FC" w:rsidR="00E364FE" w:rsidRPr="00F73A5A" w:rsidRDefault="00E364FE" w:rsidP="0028382E">
            <w:pPr>
              <w:keepNext/>
              <w:jc w:val="center"/>
              <w:rPr>
                <w:rFonts w:ascii="Arial" w:hAnsi="Arial"/>
                <w:b/>
                <w:sz w:val="22"/>
              </w:rPr>
            </w:pPr>
            <w:r w:rsidRPr="00F73A5A">
              <w:rPr>
                <w:rFonts w:ascii="Arial" w:hAnsi="Arial"/>
                <w:b/>
                <w:sz w:val="22"/>
              </w:rPr>
              <w:t>EPIDYOLEX</w:t>
            </w:r>
          </w:p>
          <w:p w14:paraId="2AC9695D" w14:textId="77777777" w:rsidR="00E364FE" w:rsidRPr="00F73A5A" w:rsidRDefault="00E364FE" w:rsidP="0028382E">
            <w:pPr>
              <w:keepNext/>
              <w:jc w:val="center"/>
              <w:rPr>
                <w:rFonts w:ascii="Arial" w:hAnsi="Arial"/>
                <w:b/>
                <w:sz w:val="22"/>
              </w:rPr>
            </w:pPr>
            <w:r w:rsidRPr="00F73A5A">
              <w:rPr>
                <w:rFonts w:ascii="Arial" w:hAnsi="Arial"/>
                <w:b/>
                <w:sz w:val="22"/>
              </w:rPr>
              <w:t>20 mg/kg/day</w:t>
            </w:r>
          </w:p>
          <w:p w14:paraId="0BDBE2F0" w14:textId="22DEC117" w:rsidR="00E364FE" w:rsidRPr="00F73A5A" w:rsidRDefault="00E364FE" w:rsidP="0028382E">
            <w:pPr>
              <w:keepNext/>
              <w:jc w:val="center"/>
              <w:rPr>
                <w:rFonts w:ascii="Arial" w:hAnsi="Arial"/>
                <w:b/>
                <w:sz w:val="22"/>
              </w:rPr>
            </w:pPr>
            <w:r w:rsidRPr="00F73A5A">
              <w:rPr>
                <w:rFonts w:ascii="Arial" w:hAnsi="Arial"/>
                <w:b/>
                <w:sz w:val="22"/>
              </w:rPr>
              <w:t>(n=86)</w:t>
            </w:r>
          </w:p>
        </w:tc>
        <w:tc>
          <w:tcPr>
            <w:tcW w:w="1260" w:type="dxa"/>
            <w:vAlign w:val="bottom"/>
          </w:tcPr>
          <w:p w14:paraId="0D9DD5FA" w14:textId="77777777" w:rsidR="00E364FE" w:rsidRPr="00F73A5A" w:rsidRDefault="00E364FE" w:rsidP="0028382E">
            <w:pPr>
              <w:keepNext/>
              <w:jc w:val="center"/>
              <w:rPr>
                <w:rFonts w:ascii="Arial" w:hAnsi="Arial"/>
                <w:b/>
                <w:sz w:val="22"/>
              </w:rPr>
            </w:pPr>
            <w:r w:rsidRPr="00F73A5A">
              <w:rPr>
                <w:rFonts w:ascii="Arial" w:hAnsi="Arial"/>
                <w:b/>
                <w:sz w:val="22"/>
              </w:rPr>
              <w:t>Placebo</w:t>
            </w:r>
          </w:p>
          <w:p w14:paraId="0F450519" w14:textId="56A262AD" w:rsidR="00E364FE" w:rsidRPr="00F73A5A" w:rsidRDefault="00E364FE" w:rsidP="0028382E">
            <w:pPr>
              <w:keepNext/>
              <w:jc w:val="center"/>
              <w:rPr>
                <w:rFonts w:ascii="Arial" w:hAnsi="Arial"/>
                <w:b/>
                <w:sz w:val="22"/>
              </w:rPr>
            </w:pPr>
            <w:r w:rsidRPr="00F73A5A">
              <w:rPr>
                <w:rFonts w:ascii="Arial" w:hAnsi="Arial"/>
                <w:b/>
                <w:sz w:val="22"/>
              </w:rPr>
              <w:t>(n=85)</w:t>
            </w:r>
          </w:p>
        </w:tc>
      </w:tr>
      <w:tr w:rsidR="00E364FE" w:rsidRPr="00D10C3C" w14:paraId="7EAA3DC6" w14:textId="77777777" w:rsidTr="0004709F">
        <w:tc>
          <w:tcPr>
            <w:tcW w:w="10492" w:type="dxa"/>
            <w:gridSpan w:val="6"/>
          </w:tcPr>
          <w:p w14:paraId="0DA499BA" w14:textId="77777777" w:rsidR="00E364FE" w:rsidRPr="00F73A5A" w:rsidRDefault="00E364FE" w:rsidP="0028382E">
            <w:pPr>
              <w:keepNext/>
              <w:rPr>
                <w:rFonts w:ascii="Arial" w:hAnsi="Arial"/>
                <w:b/>
                <w:i/>
                <w:sz w:val="22"/>
              </w:rPr>
            </w:pPr>
            <w:r w:rsidRPr="00F73A5A">
              <w:rPr>
                <w:rFonts w:ascii="Arial" w:hAnsi="Arial"/>
                <w:b/>
                <w:i/>
                <w:sz w:val="22"/>
              </w:rPr>
              <w:t>Primary endpoint –Percentage reduction in drop seizure frequency</w:t>
            </w:r>
          </w:p>
        </w:tc>
      </w:tr>
      <w:tr w:rsidR="00E364FE" w:rsidRPr="00D10C3C" w14:paraId="55038B81" w14:textId="77777777" w:rsidTr="007504D6">
        <w:tc>
          <w:tcPr>
            <w:tcW w:w="3112" w:type="dxa"/>
          </w:tcPr>
          <w:p w14:paraId="6410C086" w14:textId="77777777" w:rsidR="00E364FE" w:rsidRPr="00F73A5A" w:rsidRDefault="00E364FE" w:rsidP="0028382E">
            <w:pPr>
              <w:keepNext/>
              <w:rPr>
                <w:rFonts w:ascii="Arial" w:hAnsi="Arial"/>
                <w:b/>
                <w:i/>
                <w:sz w:val="22"/>
              </w:rPr>
            </w:pPr>
            <w:r w:rsidRPr="00F73A5A">
              <w:rPr>
                <w:rFonts w:ascii="Arial" w:hAnsi="Arial"/>
                <w:b/>
                <w:i/>
                <w:sz w:val="22"/>
              </w:rPr>
              <w:t>Drop seizures</w:t>
            </w:r>
          </w:p>
          <w:p w14:paraId="71B6CE96" w14:textId="77777777" w:rsidR="00E364FE" w:rsidRPr="00F73A5A" w:rsidRDefault="00E364FE" w:rsidP="0028382E">
            <w:pPr>
              <w:keepNext/>
              <w:rPr>
                <w:rFonts w:ascii="Arial" w:hAnsi="Arial"/>
                <w:b/>
                <w:sz w:val="22"/>
              </w:rPr>
            </w:pPr>
            <w:r w:rsidRPr="00F73A5A">
              <w:rPr>
                <w:rFonts w:ascii="Arial" w:hAnsi="Arial"/>
                <w:b/>
                <w:sz w:val="22"/>
              </w:rPr>
              <w:t xml:space="preserve">Median % Reduction </w:t>
            </w:r>
          </w:p>
          <w:p w14:paraId="0D203EA4" w14:textId="77777777" w:rsidR="00E364FE" w:rsidRPr="00F73A5A" w:rsidRDefault="00E364FE" w:rsidP="0028382E">
            <w:pPr>
              <w:keepNext/>
              <w:rPr>
                <w:rFonts w:ascii="Arial" w:hAnsi="Arial"/>
                <w:b/>
                <w:sz w:val="22"/>
              </w:rPr>
            </w:pPr>
          </w:p>
          <w:p w14:paraId="290FCDA8" w14:textId="77777777" w:rsidR="00E364FE" w:rsidRPr="00F73A5A" w:rsidRDefault="00E364FE" w:rsidP="0028382E">
            <w:pPr>
              <w:keepNext/>
              <w:rPr>
                <w:rFonts w:ascii="Arial" w:hAnsi="Arial"/>
                <w:b/>
                <w:i/>
                <w:sz w:val="22"/>
              </w:rPr>
            </w:pPr>
            <w:r w:rsidRPr="00F73A5A">
              <w:rPr>
                <w:rFonts w:ascii="Arial" w:hAnsi="Arial"/>
                <w:b/>
                <w:i/>
                <w:sz w:val="22"/>
              </w:rPr>
              <w:t>Comparison to Placebo</w:t>
            </w:r>
          </w:p>
        </w:tc>
        <w:tc>
          <w:tcPr>
            <w:tcW w:w="1620" w:type="dxa"/>
            <w:vAlign w:val="center"/>
          </w:tcPr>
          <w:p w14:paraId="409BAE7F" w14:textId="430DFB9F" w:rsidR="00E364FE" w:rsidRPr="00F73A5A" w:rsidRDefault="00E364FE" w:rsidP="0028382E">
            <w:pPr>
              <w:keepNext/>
              <w:pageBreakBefore/>
              <w:jc w:val="center"/>
              <w:rPr>
                <w:rFonts w:ascii="Arial" w:hAnsi="Arial"/>
                <w:sz w:val="22"/>
              </w:rPr>
            </w:pPr>
            <w:r w:rsidRPr="00F73A5A">
              <w:rPr>
                <w:rFonts w:ascii="Arial" w:hAnsi="Arial"/>
                <w:sz w:val="22"/>
                <w:lang w:val="en-US"/>
              </w:rPr>
              <w:t>41.9</w:t>
            </w:r>
          </w:p>
        </w:tc>
        <w:tc>
          <w:tcPr>
            <w:tcW w:w="1620" w:type="dxa"/>
            <w:vAlign w:val="center"/>
          </w:tcPr>
          <w:p w14:paraId="0DE56FDA" w14:textId="4D27F704" w:rsidR="00E364FE" w:rsidRPr="00F73A5A" w:rsidRDefault="00E364FE" w:rsidP="0028382E">
            <w:pPr>
              <w:keepNext/>
              <w:pageBreakBefore/>
              <w:jc w:val="center"/>
              <w:rPr>
                <w:rFonts w:ascii="Arial" w:hAnsi="Arial"/>
                <w:sz w:val="22"/>
              </w:rPr>
            </w:pPr>
            <w:r w:rsidRPr="00F73A5A">
              <w:rPr>
                <w:rFonts w:ascii="Arial" w:hAnsi="Arial"/>
                <w:sz w:val="22"/>
                <w:lang w:val="en-US"/>
              </w:rPr>
              <w:t>37.2</w:t>
            </w:r>
          </w:p>
        </w:tc>
        <w:tc>
          <w:tcPr>
            <w:tcW w:w="1170" w:type="dxa"/>
            <w:vAlign w:val="center"/>
          </w:tcPr>
          <w:p w14:paraId="738E2850" w14:textId="25268CA7" w:rsidR="00E364FE" w:rsidRPr="00F73A5A" w:rsidRDefault="00E364FE" w:rsidP="0028382E">
            <w:pPr>
              <w:keepNext/>
              <w:pageBreakBefore/>
              <w:jc w:val="center"/>
              <w:rPr>
                <w:rFonts w:ascii="Arial" w:hAnsi="Arial"/>
                <w:sz w:val="22"/>
              </w:rPr>
            </w:pPr>
            <w:r w:rsidRPr="00F73A5A">
              <w:rPr>
                <w:rFonts w:ascii="Arial" w:hAnsi="Arial"/>
                <w:sz w:val="22"/>
                <w:lang w:val="en-US"/>
              </w:rPr>
              <w:t>17.2</w:t>
            </w:r>
          </w:p>
        </w:tc>
        <w:tc>
          <w:tcPr>
            <w:tcW w:w="1710" w:type="dxa"/>
            <w:vAlign w:val="center"/>
          </w:tcPr>
          <w:p w14:paraId="2CD32AFD" w14:textId="77777777" w:rsidR="00E364FE" w:rsidRPr="00F73A5A" w:rsidRDefault="00E364FE" w:rsidP="0028382E">
            <w:pPr>
              <w:keepNext/>
              <w:jc w:val="center"/>
              <w:rPr>
                <w:rFonts w:ascii="Arial" w:hAnsi="Arial"/>
                <w:sz w:val="22"/>
              </w:rPr>
            </w:pPr>
            <w:r w:rsidRPr="00F73A5A">
              <w:rPr>
                <w:rFonts w:ascii="Arial" w:hAnsi="Arial"/>
                <w:sz w:val="22"/>
                <w:lang w:val="en-US"/>
              </w:rPr>
              <w:t>43.9</w:t>
            </w:r>
          </w:p>
        </w:tc>
        <w:tc>
          <w:tcPr>
            <w:tcW w:w="1260" w:type="dxa"/>
            <w:vAlign w:val="center"/>
          </w:tcPr>
          <w:p w14:paraId="550FAA42" w14:textId="48F1548B" w:rsidR="00E364FE" w:rsidRPr="00F73A5A" w:rsidRDefault="00E364FE" w:rsidP="0028382E">
            <w:pPr>
              <w:keepNext/>
              <w:pageBreakBefore/>
              <w:jc w:val="center"/>
              <w:rPr>
                <w:rFonts w:ascii="Arial" w:hAnsi="Arial"/>
                <w:sz w:val="22"/>
              </w:rPr>
            </w:pPr>
            <w:r w:rsidRPr="00F73A5A">
              <w:rPr>
                <w:rFonts w:ascii="Arial" w:hAnsi="Arial"/>
                <w:sz w:val="22"/>
                <w:lang w:val="en-US"/>
              </w:rPr>
              <w:t>21.8</w:t>
            </w:r>
          </w:p>
        </w:tc>
      </w:tr>
      <w:tr w:rsidR="00E364FE" w:rsidRPr="00D10C3C" w14:paraId="0E5BC574" w14:textId="77777777" w:rsidTr="007504D6">
        <w:tc>
          <w:tcPr>
            <w:tcW w:w="3112" w:type="dxa"/>
          </w:tcPr>
          <w:p w14:paraId="040BB26D" w14:textId="77777777" w:rsidR="00E364FE" w:rsidRPr="00F73A5A" w:rsidRDefault="00E364FE" w:rsidP="00C876B1">
            <w:pPr>
              <w:rPr>
                <w:rFonts w:ascii="Arial" w:hAnsi="Arial"/>
                <w:b/>
                <w:sz w:val="22"/>
              </w:rPr>
            </w:pPr>
            <w:r w:rsidRPr="00F73A5A">
              <w:rPr>
                <w:rFonts w:ascii="Arial" w:hAnsi="Arial"/>
                <w:b/>
                <w:sz w:val="22"/>
              </w:rPr>
              <w:t xml:space="preserve">Difference </w:t>
            </w:r>
          </w:p>
          <w:p w14:paraId="4FC8BBEA" w14:textId="77777777" w:rsidR="00E364FE" w:rsidRPr="00F73A5A" w:rsidRDefault="00E364FE" w:rsidP="00C876B1">
            <w:pPr>
              <w:rPr>
                <w:rFonts w:ascii="Arial" w:hAnsi="Arial"/>
                <w:b/>
                <w:sz w:val="22"/>
              </w:rPr>
            </w:pPr>
            <w:r w:rsidRPr="00F73A5A">
              <w:rPr>
                <w:rFonts w:ascii="Arial" w:hAnsi="Arial"/>
                <w:b/>
                <w:sz w:val="22"/>
              </w:rPr>
              <w:t>95% CI</w:t>
            </w:r>
          </w:p>
          <w:p w14:paraId="62DDE250" w14:textId="77777777" w:rsidR="00E364FE" w:rsidRPr="00F73A5A" w:rsidRDefault="00E364FE" w:rsidP="00C876B1">
            <w:pPr>
              <w:rPr>
                <w:rFonts w:ascii="Arial" w:hAnsi="Arial"/>
                <w:b/>
                <w:sz w:val="22"/>
              </w:rPr>
            </w:pPr>
            <w:r w:rsidRPr="00F73A5A">
              <w:rPr>
                <w:rFonts w:ascii="Arial" w:hAnsi="Arial"/>
                <w:b/>
                <w:sz w:val="22"/>
              </w:rPr>
              <w:t>P-value</w:t>
            </w:r>
          </w:p>
        </w:tc>
        <w:tc>
          <w:tcPr>
            <w:tcW w:w="1620" w:type="dxa"/>
            <w:vAlign w:val="center"/>
          </w:tcPr>
          <w:p w14:paraId="753FFCE3"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21.6</w:t>
            </w:r>
          </w:p>
          <w:p w14:paraId="32D58AE6"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6.7; 34.8</w:t>
            </w:r>
          </w:p>
          <w:p w14:paraId="453E6BE7" w14:textId="77777777" w:rsidR="00E364FE" w:rsidRPr="00F73A5A" w:rsidRDefault="00E364FE" w:rsidP="003763E6">
            <w:pPr>
              <w:jc w:val="center"/>
              <w:rPr>
                <w:rFonts w:ascii="Arial" w:hAnsi="Arial"/>
                <w:sz w:val="22"/>
              </w:rPr>
            </w:pPr>
            <w:r w:rsidRPr="00F73A5A">
              <w:rPr>
                <w:rFonts w:ascii="Arial" w:hAnsi="Arial"/>
                <w:sz w:val="22"/>
                <w:lang w:val="en-US"/>
              </w:rPr>
              <w:t>0.005</w:t>
            </w:r>
          </w:p>
        </w:tc>
        <w:tc>
          <w:tcPr>
            <w:tcW w:w="1620" w:type="dxa"/>
            <w:vAlign w:val="center"/>
          </w:tcPr>
          <w:p w14:paraId="06BE484D"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19.2</w:t>
            </w:r>
          </w:p>
          <w:p w14:paraId="4CE85B1C"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7.7; 31.2</w:t>
            </w:r>
          </w:p>
          <w:p w14:paraId="08FC104D" w14:textId="77777777" w:rsidR="00E364FE" w:rsidRPr="00F73A5A" w:rsidRDefault="00E364FE" w:rsidP="003763E6">
            <w:pPr>
              <w:jc w:val="center"/>
              <w:rPr>
                <w:rFonts w:ascii="Arial" w:hAnsi="Arial"/>
                <w:sz w:val="22"/>
              </w:rPr>
            </w:pPr>
            <w:r w:rsidRPr="00F73A5A">
              <w:rPr>
                <w:rFonts w:ascii="Arial" w:hAnsi="Arial"/>
                <w:sz w:val="22"/>
                <w:lang w:val="en-US"/>
              </w:rPr>
              <w:t>0.002</w:t>
            </w:r>
          </w:p>
        </w:tc>
        <w:tc>
          <w:tcPr>
            <w:tcW w:w="1170" w:type="dxa"/>
            <w:vAlign w:val="center"/>
          </w:tcPr>
          <w:p w14:paraId="490A0641" w14:textId="77777777" w:rsidR="00E364FE" w:rsidRPr="00F73A5A" w:rsidRDefault="00E364FE" w:rsidP="003763E6">
            <w:pPr>
              <w:jc w:val="center"/>
              <w:rPr>
                <w:rFonts w:ascii="Arial" w:hAnsi="Arial"/>
                <w:sz w:val="22"/>
              </w:rPr>
            </w:pPr>
          </w:p>
        </w:tc>
        <w:tc>
          <w:tcPr>
            <w:tcW w:w="1710" w:type="dxa"/>
            <w:vAlign w:val="center"/>
          </w:tcPr>
          <w:p w14:paraId="209ED2DE"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17.2</w:t>
            </w:r>
          </w:p>
          <w:p w14:paraId="080C4DAB"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4.1; 30.3</w:t>
            </w:r>
          </w:p>
          <w:p w14:paraId="5B0C4361" w14:textId="77777777" w:rsidR="00E364FE" w:rsidRPr="00F73A5A" w:rsidRDefault="00E364FE" w:rsidP="003763E6">
            <w:pPr>
              <w:jc w:val="center"/>
              <w:rPr>
                <w:rFonts w:ascii="Arial" w:hAnsi="Arial"/>
                <w:sz w:val="22"/>
              </w:rPr>
            </w:pPr>
            <w:r w:rsidRPr="00F73A5A">
              <w:rPr>
                <w:rFonts w:ascii="Arial" w:hAnsi="Arial"/>
                <w:sz w:val="22"/>
                <w:lang w:val="en-US"/>
              </w:rPr>
              <w:t>0.014</w:t>
            </w:r>
          </w:p>
        </w:tc>
        <w:tc>
          <w:tcPr>
            <w:tcW w:w="1260" w:type="dxa"/>
            <w:vAlign w:val="center"/>
          </w:tcPr>
          <w:p w14:paraId="0081CB2A" w14:textId="77777777" w:rsidR="00E364FE" w:rsidRPr="00F73A5A" w:rsidRDefault="00E364FE" w:rsidP="003763E6">
            <w:pPr>
              <w:jc w:val="center"/>
              <w:rPr>
                <w:rFonts w:ascii="Arial" w:hAnsi="Arial"/>
                <w:sz w:val="22"/>
              </w:rPr>
            </w:pPr>
          </w:p>
        </w:tc>
      </w:tr>
      <w:tr w:rsidR="00E364FE" w:rsidRPr="00D10C3C" w14:paraId="7088F7B8" w14:textId="77777777" w:rsidTr="0004709F">
        <w:tc>
          <w:tcPr>
            <w:tcW w:w="10492" w:type="dxa"/>
            <w:gridSpan w:val="6"/>
          </w:tcPr>
          <w:p w14:paraId="71B2B9A6" w14:textId="77777777" w:rsidR="00E364FE" w:rsidRPr="00F73A5A" w:rsidRDefault="00E364FE" w:rsidP="00C876B1">
            <w:pPr>
              <w:rPr>
                <w:rFonts w:ascii="Arial" w:hAnsi="Arial"/>
                <w:b/>
                <w:i/>
                <w:sz w:val="22"/>
              </w:rPr>
            </w:pPr>
            <w:r w:rsidRPr="00F73A5A">
              <w:rPr>
                <w:rFonts w:ascii="Arial" w:hAnsi="Arial"/>
                <w:b/>
                <w:i/>
                <w:sz w:val="22"/>
              </w:rPr>
              <w:t>Key Secondary endpoints</w:t>
            </w:r>
          </w:p>
        </w:tc>
      </w:tr>
      <w:tr w:rsidR="00E364FE" w:rsidRPr="00D10C3C" w14:paraId="7683ECF8" w14:textId="77777777" w:rsidTr="007504D6">
        <w:tc>
          <w:tcPr>
            <w:tcW w:w="3112" w:type="dxa"/>
          </w:tcPr>
          <w:p w14:paraId="51945158" w14:textId="77777777" w:rsidR="00E364FE" w:rsidRPr="00F73A5A" w:rsidRDefault="00E364FE" w:rsidP="00C876B1">
            <w:pPr>
              <w:rPr>
                <w:rFonts w:ascii="Arial" w:hAnsi="Arial"/>
                <w:b/>
                <w:i/>
                <w:sz w:val="22"/>
              </w:rPr>
            </w:pPr>
            <w:r w:rsidRPr="00F73A5A">
              <w:rPr>
                <w:rFonts w:ascii="Arial" w:hAnsi="Arial"/>
                <w:b/>
                <w:i/>
                <w:sz w:val="22"/>
              </w:rPr>
              <w:t xml:space="preserve">50% responder proportion </w:t>
            </w:r>
            <w:r w:rsidRPr="00F73A5A">
              <w:rPr>
                <w:rFonts w:ascii="Arial" w:hAnsi="Arial"/>
                <w:b/>
                <w:i/>
                <w:sz w:val="22"/>
                <w:vertAlign w:val="superscript"/>
              </w:rPr>
              <w:t>a</w:t>
            </w:r>
          </w:p>
          <w:p w14:paraId="42016E6A" w14:textId="77777777" w:rsidR="00E364FE" w:rsidRPr="00F73A5A" w:rsidRDefault="00E364FE" w:rsidP="00C876B1">
            <w:pPr>
              <w:rPr>
                <w:rFonts w:ascii="Arial" w:hAnsi="Arial"/>
                <w:b/>
                <w:sz w:val="22"/>
              </w:rPr>
            </w:pPr>
            <w:r w:rsidRPr="00F73A5A">
              <w:rPr>
                <w:rFonts w:ascii="Arial" w:hAnsi="Arial"/>
                <w:b/>
                <w:sz w:val="22"/>
              </w:rPr>
              <w:t>P-value</w:t>
            </w:r>
          </w:p>
        </w:tc>
        <w:tc>
          <w:tcPr>
            <w:tcW w:w="1620" w:type="dxa"/>
          </w:tcPr>
          <w:p w14:paraId="4BF5C35B"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39.5 %</w:t>
            </w:r>
          </w:p>
          <w:p w14:paraId="74402EEE" w14:textId="77777777" w:rsidR="00E364FE" w:rsidRPr="00F73A5A" w:rsidRDefault="00E364FE" w:rsidP="003763E6">
            <w:pPr>
              <w:jc w:val="center"/>
              <w:rPr>
                <w:rFonts w:ascii="Arial" w:hAnsi="Arial"/>
                <w:sz w:val="22"/>
              </w:rPr>
            </w:pPr>
            <w:r w:rsidRPr="00F73A5A">
              <w:rPr>
                <w:rFonts w:ascii="Arial" w:hAnsi="Arial"/>
                <w:sz w:val="22"/>
                <w:lang w:val="en-US"/>
              </w:rPr>
              <w:t>0.001</w:t>
            </w:r>
          </w:p>
        </w:tc>
        <w:tc>
          <w:tcPr>
            <w:tcW w:w="1620" w:type="dxa"/>
          </w:tcPr>
          <w:p w14:paraId="5D555D5D"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35.6%</w:t>
            </w:r>
          </w:p>
          <w:p w14:paraId="22F9A109" w14:textId="77777777" w:rsidR="00E364FE" w:rsidRPr="00F73A5A" w:rsidRDefault="00E364FE" w:rsidP="003763E6">
            <w:pPr>
              <w:jc w:val="center"/>
              <w:rPr>
                <w:rFonts w:ascii="Arial" w:hAnsi="Arial"/>
                <w:sz w:val="22"/>
              </w:rPr>
            </w:pPr>
            <w:r w:rsidRPr="00F73A5A">
              <w:rPr>
                <w:rFonts w:ascii="Arial" w:hAnsi="Arial"/>
                <w:sz w:val="22"/>
                <w:lang w:val="en-US"/>
              </w:rPr>
              <w:t>0.003</w:t>
            </w:r>
          </w:p>
        </w:tc>
        <w:tc>
          <w:tcPr>
            <w:tcW w:w="1170" w:type="dxa"/>
          </w:tcPr>
          <w:p w14:paraId="5DA38FE3" w14:textId="77777777" w:rsidR="00E364FE" w:rsidRPr="00F73A5A" w:rsidRDefault="00E364FE" w:rsidP="003763E6">
            <w:pPr>
              <w:jc w:val="center"/>
              <w:rPr>
                <w:rFonts w:ascii="Arial" w:hAnsi="Arial"/>
                <w:sz w:val="22"/>
              </w:rPr>
            </w:pPr>
            <w:r w:rsidRPr="00F73A5A">
              <w:rPr>
                <w:rFonts w:ascii="Arial" w:hAnsi="Arial"/>
                <w:sz w:val="22"/>
                <w:lang w:val="en-US"/>
              </w:rPr>
              <w:t>14.5%</w:t>
            </w:r>
          </w:p>
        </w:tc>
        <w:tc>
          <w:tcPr>
            <w:tcW w:w="1710" w:type="dxa"/>
          </w:tcPr>
          <w:p w14:paraId="66D3EB74"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44.2%</w:t>
            </w:r>
          </w:p>
          <w:p w14:paraId="78DAD4F4" w14:textId="77777777" w:rsidR="00E364FE" w:rsidRPr="00F73A5A" w:rsidRDefault="00E364FE" w:rsidP="003763E6">
            <w:pPr>
              <w:jc w:val="center"/>
              <w:rPr>
                <w:rFonts w:ascii="Arial" w:hAnsi="Arial"/>
                <w:sz w:val="22"/>
              </w:rPr>
            </w:pPr>
            <w:r w:rsidRPr="00F73A5A">
              <w:rPr>
                <w:rFonts w:ascii="Arial" w:hAnsi="Arial"/>
                <w:sz w:val="22"/>
                <w:lang w:val="en-US"/>
              </w:rPr>
              <w:t>0.004</w:t>
            </w:r>
          </w:p>
        </w:tc>
        <w:tc>
          <w:tcPr>
            <w:tcW w:w="1260" w:type="dxa"/>
          </w:tcPr>
          <w:p w14:paraId="7E289909" w14:textId="77777777" w:rsidR="00E364FE" w:rsidRPr="00F73A5A" w:rsidRDefault="00E364FE" w:rsidP="003763E6">
            <w:pPr>
              <w:jc w:val="center"/>
              <w:rPr>
                <w:rFonts w:ascii="Arial" w:hAnsi="Arial"/>
                <w:sz w:val="22"/>
              </w:rPr>
            </w:pPr>
            <w:r w:rsidRPr="00F73A5A">
              <w:rPr>
                <w:rFonts w:ascii="Arial" w:hAnsi="Arial"/>
                <w:sz w:val="22"/>
                <w:lang w:val="en-US"/>
              </w:rPr>
              <w:t>23.5%</w:t>
            </w:r>
          </w:p>
        </w:tc>
      </w:tr>
      <w:tr w:rsidR="00E364FE" w:rsidRPr="00D10C3C" w14:paraId="2C8BFB27" w14:textId="77777777" w:rsidTr="007504D6">
        <w:tc>
          <w:tcPr>
            <w:tcW w:w="3112" w:type="dxa"/>
            <w:tcBorders>
              <w:bottom w:val="single" w:sz="4" w:space="0" w:color="auto"/>
            </w:tcBorders>
          </w:tcPr>
          <w:p w14:paraId="3E26EC4A" w14:textId="77777777" w:rsidR="00E364FE" w:rsidRPr="00F73A5A" w:rsidRDefault="00E364FE" w:rsidP="00C876B1">
            <w:pPr>
              <w:rPr>
                <w:rFonts w:ascii="Arial" w:hAnsi="Arial"/>
                <w:b/>
                <w:i/>
                <w:sz w:val="22"/>
              </w:rPr>
            </w:pPr>
            <w:r w:rsidRPr="00F73A5A">
              <w:rPr>
                <w:rFonts w:ascii="Arial" w:hAnsi="Arial"/>
                <w:b/>
                <w:i/>
                <w:sz w:val="22"/>
              </w:rPr>
              <w:t xml:space="preserve">Total seizures  </w:t>
            </w:r>
          </w:p>
          <w:p w14:paraId="7643B902" w14:textId="77777777" w:rsidR="00E364FE" w:rsidRPr="00F73A5A" w:rsidRDefault="00E364FE" w:rsidP="00C876B1">
            <w:pPr>
              <w:rPr>
                <w:rFonts w:ascii="Arial" w:hAnsi="Arial"/>
                <w:b/>
                <w:sz w:val="22"/>
              </w:rPr>
            </w:pPr>
            <w:r w:rsidRPr="00F73A5A">
              <w:rPr>
                <w:rFonts w:ascii="Arial" w:hAnsi="Arial"/>
                <w:b/>
                <w:sz w:val="22"/>
              </w:rPr>
              <w:t xml:space="preserve">Median % </w:t>
            </w:r>
          </w:p>
          <w:p w14:paraId="1F1D71AC" w14:textId="77777777" w:rsidR="00E364FE" w:rsidRPr="00F73A5A" w:rsidRDefault="00E364FE" w:rsidP="00C876B1">
            <w:pPr>
              <w:rPr>
                <w:rFonts w:ascii="Arial" w:hAnsi="Arial"/>
                <w:b/>
                <w:sz w:val="22"/>
              </w:rPr>
            </w:pPr>
            <w:r w:rsidRPr="00F73A5A">
              <w:rPr>
                <w:rFonts w:ascii="Arial" w:hAnsi="Arial"/>
                <w:b/>
                <w:sz w:val="22"/>
              </w:rPr>
              <w:t>Reduction</w:t>
            </w:r>
          </w:p>
          <w:p w14:paraId="479E9559" w14:textId="77777777" w:rsidR="00E364FE" w:rsidRPr="00F73A5A" w:rsidRDefault="00E364FE" w:rsidP="00C876B1">
            <w:pPr>
              <w:rPr>
                <w:rFonts w:ascii="Arial" w:hAnsi="Arial"/>
                <w:b/>
                <w:sz w:val="22"/>
              </w:rPr>
            </w:pPr>
          </w:p>
          <w:p w14:paraId="29D44436" w14:textId="77777777" w:rsidR="00E364FE" w:rsidRPr="00F73A5A" w:rsidRDefault="00E364FE" w:rsidP="00C876B1">
            <w:pPr>
              <w:rPr>
                <w:rFonts w:ascii="Arial" w:hAnsi="Arial"/>
                <w:b/>
                <w:i/>
                <w:sz w:val="22"/>
              </w:rPr>
            </w:pPr>
            <w:r w:rsidRPr="00F73A5A">
              <w:rPr>
                <w:rFonts w:ascii="Arial" w:hAnsi="Arial"/>
                <w:b/>
                <w:i/>
                <w:sz w:val="22"/>
              </w:rPr>
              <w:t>Comparison to Placebo</w:t>
            </w:r>
          </w:p>
          <w:p w14:paraId="4F498D07" w14:textId="77777777" w:rsidR="00E364FE" w:rsidRPr="00F73A5A" w:rsidRDefault="00E364FE" w:rsidP="00C876B1">
            <w:pPr>
              <w:rPr>
                <w:rFonts w:ascii="Arial" w:hAnsi="Arial"/>
                <w:b/>
                <w:sz w:val="22"/>
              </w:rPr>
            </w:pPr>
            <w:r w:rsidRPr="00F73A5A">
              <w:rPr>
                <w:rFonts w:ascii="Arial" w:hAnsi="Arial"/>
                <w:b/>
                <w:sz w:val="22"/>
              </w:rPr>
              <w:t>Difference</w:t>
            </w:r>
          </w:p>
          <w:p w14:paraId="53B43556" w14:textId="77777777" w:rsidR="00E364FE" w:rsidRPr="00F73A5A" w:rsidRDefault="00E364FE" w:rsidP="00C876B1">
            <w:pPr>
              <w:rPr>
                <w:rFonts w:ascii="Arial" w:hAnsi="Arial"/>
                <w:b/>
                <w:sz w:val="22"/>
              </w:rPr>
            </w:pPr>
            <w:r w:rsidRPr="00F73A5A">
              <w:rPr>
                <w:rFonts w:ascii="Arial" w:hAnsi="Arial"/>
                <w:b/>
                <w:sz w:val="22"/>
              </w:rPr>
              <w:t>95% CI</w:t>
            </w:r>
          </w:p>
          <w:p w14:paraId="436EFE62" w14:textId="77777777" w:rsidR="00E364FE" w:rsidRPr="00F73A5A" w:rsidRDefault="00E364FE" w:rsidP="00C876B1">
            <w:pPr>
              <w:rPr>
                <w:rFonts w:ascii="Arial" w:hAnsi="Arial"/>
                <w:b/>
                <w:sz w:val="22"/>
              </w:rPr>
            </w:pPr>
            <w:r w:rsidRPr="00F73A5A">
              <w:rPr>
                <w:rFonts w:ascii="Arial" w:hAnsi="Arial"/>
                <w:b/>
                <w:sz w:val="22"/>
              </w:rPr>
              <w:t>P-value</w:t>
            </w:r>
          </w:p>
        </w:tc>
        <w:tc>
          <w:tcPr>
            <w:tcW w:w="1620" w:type="dxa"/>
            <w:tcBorders>
              <w:bottom w:val="single" w:sz="4" w:space="0" w:color="auto"/>
            </w:tcBorders>
          </w:tcPr>
          <w:p w14:paraId="1421BCC9" w14:textId="77777777" w:rsidR="00E364FE" w:rsidRPr="00F73A5A" w:rsidRDefault="00E364FE" w:rsidP="003763E6">
            <w:pPr>
              <w:keepNext/>
              <w:pageBreakBefore/>
              <w:jc w:val="center"/>
              <w:rPr>
                <w:rFonts w:ascii="Arial" w:hAnsi="Arial"/>
                <w:sz w:val="22"/>
                <w:lang w:val="en-US"/>
              </w:rPr>
            </w:pPr>
          </w:p>
          <w:p w14:paraId="6D5433EC"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38.4</w:t>
            </w:r>
          </w:p>
          <w:p w14:paraId="5258DAD2" w14:textId="77777777" w:rsidR="00E364FE" w:rsidRPr="00F73A5A" w:rsidRDefault="00E364FE" w:rsidP="003763E6">
            <w:pPr>
              <w:keepNext/>
              <w:pageBreakBefore/>
              <w:jc w:val="center"/>
              <w:rPr>
                <w:rFonts w:ascii="Arial" w:hAnsi="Arial"/>
                <w:sz w:val="22"/>
                <w:lang w:val="en-US"/>
              </w:rPr>
            </w:pPr>
          </w:p>
          <w:p w14:paraId="7693A612" w14:textId="77777777" w:rsidR="00E364FE" w:rsidRPr="00F73A5A" w:rsidRDefault="00E364FE" w:rsidP="003763E6">
            <w:pPr>
              <w:keepNext/>
              <w:pageBreakBefore/>
              <w:jc w:val="center"/>
              <w:rPr>
                <w:rFonts w:ascii="Arial" w:hAnsi="Arial"/>
                <w:sz w:val="22"/>
                <w:lang w:val="en-US"/>
              </w:rPr>
            </w:pPr>
          </w:p>
          <w:p w14:paraId="1956E8EB" w14:textId="77777777" w:rsidR="00E364FE" w:rsidRPr="00F73A5A" w:rsidRDefault="00E364FE" w:rsidP="003763E6">
            <w:pPr>
              <w:keepNext/>
              <w:pageBreakBefore/>
              <w:jc w:val="center"/>
              <w:rPr>
                <w:rFonts w:ascii="Arial" w:hAnsi="Arial"/>
                <w:sz w:val="22"/>
                <w:lang w:val="en-US"/>
              </w:rPr>
            </w:pPr>
          </w:p>
          <w:p w14:paraId="363233E6"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18.8</w:t>
            </w:r>
          </w:p>
          <w:p w14:paraId="3EFDBEB2"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4.4; 31.8</w:t>
            </w:r>
          </w:p>
          <w:p w14:paraId="278978B9" w14:textId="77777777" w:rsidR="00E364FE" w:rsidRPr="00F73A5A" w:rsidRDefault="00E364FE" w:rsidP="003763E6">
            <w:pPr>
              <w:jc w:val="center"/>
              <w:rPr>
                <w:rFonts w:ascii="Arial" w:hAnsi="Arial"/>
                <w:sz w:val="22"/>
              </w:rPr>
            </w:pPr>
            <w:r w:rsidRPr="00F73A5A">
              <w:rPr>
                <w:rFonts w:ascii="Arial" w:hAnsi="Arial"/>
                <w:sz w:val="22"/>
                <w:lang w:val="en-US"/>
              </w:rPr>
              <w:t>0.009</w:t>
            </w:r>
          </w:p>
        </w:tc>
        <w:tc>
          <w:tcPr>
            <w:tcW w:w="1620" w:type="dxa"/>
            <w:tcBorders>
              <w:bottom w:val="single" w:sz="4" w:space="0" w:color="auto"/>
            </w:tcBorders>
          </w:tcPr>
          <w:p w14:paraId="5FE924AD" w14:textId="77777777" w:rsidR="00E364FE" w:rsidRPr="00F73A5A" w:rsidRDefault="00E364FE" w:rsidP="003763E6">
            <w:pPr>
              <w:keepNext/>
              <w:pageBreakBefore/>
              <w:jc w:val="center"/>
              <w:rPr>
                <w:rFonts w:ascii="Arial" w:hAnsi="Arial"/>
                <w:sz w:val="22"/>
                <w:lang w:val="en-US"/>
              </w:rPr>
            </w:pPr>
          </w:p>
          <w:p w14:paraId="0E30E807"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36.4</w:t>
            </w:r>
          </w:p>
          <w:p w14:paraId="05420C98" w14:textId="77777777" w:rsidR="00E364FE" w:rsidRPr="00F73A5A" w:rsidRDefault="00E364FE" w:rsidP="003763E6">
            <w:pPr>
              <w:keepNext/>
              <w:pageBreakBefore/>
              <w:jc w:val="center"/>
              <w:rPr>
                <w:rFonts w:ascii="Arial" w:hAnsi="Arial"/>
                <w:sz w:val="22"/>
                <w:lang w:val="en-US"/>
              </w:rPr>
            </w:pPr>
          </w:p>
          <w:p w14:paraId="121AC522" w14:textId="77777777" w:rsidR="00E364FE" w:rsidRPr="00F73A5A" w:rsidRDefault="00E364FE" w:rsidP="003763E6">
            <w:pPr>
              <w:keepNext/>
              <w:pageBreakBefore/>
              <w:jc w:val="center"/>
              <w:rPr>
                <w:rFonts w:ascii="Arial" w:hAnsi="Arial"/>
                <w:sz w:val="22"/>
                <w:lang w:val="en-US"/>
              </w:rPr>
            </w:pPr>
          </w:p>
          <w:p w14:paraId="28096811" w14:textId="77777777" w:rsidR="00E364FE" w:rsidRPr="00F73A5A" w:rsidRDefault="00E364FE" w:rsidP="003763E6">
            <w:pPr>
              <w:keepNext/>
              <w:pageBreakBefore/>
              <w:jc w:val="center"/>
              <w:rPr>
                <w:rFonts w:ascii="Arial" w:hAnsi="Arial"/>
                <w:sz w:val="22"/>
                <w:lang w:val="en-US"/>
              </w:rPr>
            </w:pPr>
          </w:p>
          <w:p w14:paraId="0BEA2F4B"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19.5</w:t>
            </w:r>
          </w:p>
          <w:p w14:paraId="3224FEED"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7.5; 30.4</w:t>
            </w:r>
          </w:p>
          <w:p w14:paraId="5054AA28" w14:textId="77777777" w:rsidR="00E364FE" w:rsidRPr="00F73A5A" w:rsidRDefault="00E364FE" w:rsidP="003763E6">
            <w:pPr>
              <w:jc w:val="center"/>
              <w:rPr>
                <w:rFonts w:ascii="Arial" w:hAnsi="Arial"/>
                <w:sz w:val="22"/>
              </w:rPr>
            </w:pPr>
            <w:r w:rsidRPr="00F73A5A">
              <w:rPr>
                <w:rFonts w:ascii="Arial" w:hAnsi="Arial"/>
                <w:sz w:val="22"/>
                <w:lang w:val="en-US"/>
              </w:rPr>
              <w:t>0.002</w:t>
            </w:r>
          </w:p>
        </w:tc>
        <w:tc>
          <w:tcPr>
            <w:tcW w:w="1170" w:type="dxa"/>
            <w:tcBorders>
              <w:bottom w:val="single" w:sz="4" w:space="0" w:color="auto"/>
            </w:tcBorders>
          </w:tcPr>
          <w:p w14:paraId="5B109520" w14:textId="77777777" w:rsidR="00E364FE" w:rsidRPr="00F73A5A" w:rsidRDefault="00E364FE" w:rsidP="003763E6">
            <w:pPr>
              <w:keepNext/>
              <w:pageBreakBefore/>
              <w:jc w:val="center"/>
              <w:rPr>
                <w:rFonts w:ascii="Arial" w:hAnsi="Arial"/>
                <w:sz w:val="22"/>
                <w:lang w:val="en-US"/>
              </w:rPr>
            </w:pPr>
          </w:p>
          <w:p w14:paraId="2635C93D"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18.5</w:t>
            </w:r>
          </w:p>
          <w:p w14:paraId="7875F01D" w14:textId="77777777" w:rsidR="00E364FE" w:rsidRPr="00F73A5A" w:rsidRDefault="00E364FE" w:rsidP="003763E6">
            <w:pPr>
              <w:jc w:val="center"/>
              <w:rPr>
                <w:rFonts w:ascii="Arial" w:hAnsi="Arial"/>
                <w:sz w:val="22"/>
              </w:rPr>
            </w:pPr>
          </w:p>
        </w:tc>
        <w:tc>
          <w:tcPr>
            <w:tcW w:w="1710" w:type="dxa"/>
            <w:tcBorders>
              <w:bottom w:val="single" w:sz="4" w:space="0" w:color="auto"/>
            </w:tcBorders>
          </w:tcPr>
          <w:p w14:paraId="5F898943" w14:textId="77777777" w:rsidR="00E364FE" w:rsidRPr="00F73A5A" w:rsidRDefault="00E364FE" w:rsidP="003763E6">
            <w:pPr>
              <w:keepNext/>
              <w:pageBreakBefore/>
              <w:jc w:val="center"/>
              <w:rPr>
                <w:rFonts w:ascii="Arial" w:hAnsi="Arial"/>
                <w:sz w:val="22"/>
                <w:lang w:val="en-US"/>
              </w:rPr>
            </w:pPr>
          </w:p>
          <w:p w14:paraId="3A63AB94"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41.2</w:t>
            </w:r>
          </w:p>
          <w:p w14:paraId="1CBA173F" w14:textId="77777777" w:rsidR="00E364FE" w:rsidRPr="00F73A5A" w:rsidRDefault="00E364FE" w:rsidP="003763E6">
            <w:pPr>
              <w:keepNext/>
              <w:pageBreakBefore/>
              <w:jc w:val="center"/>
              <w:rPr>
                <w:rFonts w:ascii="Arial" w:hAnsi="Arial"/>
                <w:sz w:val="22"/>
                <w:lang w:val="en-US"/>
              </w:rPr>
            </w:pPr>
          </w:p>
          <w:p w14:paraId="58BF7FFC" w14:textId="77777777" w:rsidR="00E364FE" w:rsidRPr="00F73A5A" w:rsidRDefault="00E364FE" w:rsidP="003763E6">
            <w:pPr>
              <w:keepNext/>
              <w:pageBreakBefore/>
              <w:jc w:val="center"/>
              <w:rPr>
                <w:rFonts w:ascii="Arial" w:hAnsi="Arial"/>
                <w:sz w:val="22"/>
                <w:lang w:val="en-US"/>
              </w:rPr>
            </w:pPr>
          </w:p>
          <w:p w14:paraId="459DDB0F" w14:textId="77777777" w:rsidR="00E364FE" w:rsidRPr="00F73A5A" w:rsidRDefault="00E364FE" w:rsidP="003763E6">
            <w:pPr>
              <w:keepNext/>
              <w:pageBreakBefore/>
              <w:jc w:val="center"/>
              <w:rPr>
                <w:rFonts w:ascii="Arial" w:hAnsi="Arial"/>
                <w:sz w:val="22"/>
                <w:lang w:val="en-US"/>
              </w:rPr>
            </w:pPr>
          </w:p>
          <w:p w14:paraId="53E9B999"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21.1</w:t>
            </w:r>
          </w:p>
          <w:p w14:paraId="4881F2AE"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9.4; 33.3</w:t>
            </w:r>
          </w:p>
          <w:p w14:paraId="3C47DDB8" w14:textId="77777777" w:rsidR="00E364FE" w:rsidRPr="00F73A5A" w:rsidRDefault="00E364FE" w:rsidP="003763E6">
            <w:pPr>
              <w:jc w:val="center"/>
              <w:rPr>
                <w:rFonts w:ascii="Arial" w:hAnsi="Arial"/>
                <w:sz w:val="22"/>
              </w:rPr>
            </w:pPr>
            <w:r w:rsidRPr="00F73A5A">
              <w:rPr>
                <w:rFonts w:ascii="Arial" w:hAnsi="Arial"/>
                <w:sz w:val="22"/>
                <w:lang w:val="en-US"/>
              </w:rPr>
              <w:t>0.001</w:t>
            </w:r>
          </w:p>
        </w:tc>
        <w:tc>
          <w:tcPr>
            <w:tcW w:w="1260" w:type="dxa"/>
            <w:tcBorders>
              <w:bottom w:val="single" w:sz="4" w:space="0" w:color="auto"/>
            </w:tcBorders>
          </w:tcPr>
          <w:p w14:paraId="2C11B3E3" w14:textId="77777777" w:rsidR="00E364FE" w:rsidRPr="00F73A5A" w:rsidRDefault="00E364FE" w:rsidP="003763E6">
            <w:pPr>
              <w:keepNext/>
              <w:pageBreakBefore/>
              <w:jc w:val="center"/>
              <w:rPr>
                <w:rFonts w:ascii="Arial" w:hAnsi="Arial"/>
                <w:sz w:val="22"/>
                <w:lang w:val="en-US"/>
              </w:rPr>
            </w:pPr>
          </w:p>
          <w:p w14:paraId="3E2ECF5A"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13.7</w:t>
            </w:r>
          </w:p>
          <w:p w14:paraId="24D578E7" w14:textId="77777777" w:rsidR="00E364FE" w:rsidRPr="00F73A5A" w:rsidRDefault="00E364FE" w:rsidP="003763E6">
            <w:pPr>
              <w:jc w:val="center"/>
              <w:rPr>
                <w:rFonts w:ascii="Arial" w:hAnsi="Arial"/>
                <w:sz w:val="22"/>
              </w:rPr>
            </w:pPr>
          </w:p>
        </w:tc>
      </w:tr>
      <w:tr w:rsidR="00E364FE" w:rsidRPr="00D10C3C" w14:paraId="3C7CC6F2" w14:textId="77777777" w:rsidTr="007504D6">
        <w:tc>
          <w:tcPr>
            <w:tcW w:w="3112" w:type="dxa"/>
            <w:tcBorders>
              <w:bottom w:val="single" w:sz="4" w:space="0" w:color="auto"/>
            </w:tcBorders>
          </w:tcPr>
          <w:p w14:paraId="112EDAB7" w14:textId="77777777" w:rsidR="00E364FE" w:rsidRPr="00F73A5A" w:rsidRDefault="00E364FE" w:rsidP="00C876B1">
            <w:pPr>
              <w:rPr>
                <w:rFonts w:ascii="Arial" w:hAnsi="Arial"/>
                <w:b/>
                <w:sz w:val="22"/>
              </w:rPr>
            </w:pPr>
            <w:r w:rsidRPr="00F73A5A">
              <w:rPr>
                <w:rFonts w:ascii="Arial" w:hAnsi="Arial"/>
                <w:b/>
                <w:i/>
                <w:sz w:val="22"/>
              </w:rPr>
              <w:t>Mean S/CGIC results (last visit</w:t>
            </w:r>
            <w:r w:rsidRPr="00F73A5A">
              <w:rPr>
                <w:rFonts w:ascii="Arial" w:hAnsi="Arial"/>
                <w:b/>
                <w:sz w:val="22"/>
              </w:rPr>
              <w:t>)</w:t>
            </w:r>
          </w:p>
          <w:p w14:paraId="4D896643" w14:textId="77777777" w:rsidR="00E364FE" w:rsidRPr="00F73A5A" w:rsidRDefault="00E364FE" w:rsidP="00C876B1">
            <w:pPr>
              <w:rPr>
                <w:rFonts w:ascii="Arial" w:hAnsi="Arial"/>
                <w:b/>
                <w:sz w:val="22"/>
              </w:rPr>
            </w:pPr>
            <w:r w:rsidRPr="00F73A5A">
              <w:rPr>
                <w:rFonts w:ascii="Arial" w:hAnsi="Arial"/>
                <w:b/>
                <w:sz w:val="22"/>
              </w:rPr>
              <w:t>P-value</w:t>
            </w:r>
          </w:p>
        </w:tc>
        <w:tc>
          <w:tcPr>
            <w:tcW w:w="1620" w:type="dxa"/>
            <w:tcBorders>
              <w:bottom w:val="single" w:sz="4" w:space="0" w:color="auto"/>
            </w:tcBorders>
          </w:tcPr>
          <w:p w14:paraId="2B24F2A1"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 xml:space="preserve">3.2 </w:t>
            </w:r>
            <w:r w:rsidRPr="00F73A5A">
              <w:rPr>
                <w:rFonts w:ascii="Arial" w:hAnsi="Arial"/>
                <w:sz w:val="22"/>
                <w:lang w:val="en-US"/>
              </w:rPr>
              <w:br/>
              <w:t>(sl. improved)</w:t>
            </w:r>
          </w:p>
          <w:p w14:paraId="437CDF9B" w14:textId="77777777" w:rsidR="00E364FE" w:rsidRPr="00F73A5A" w:rsidRDefault="00E364FE" w:rsidP="003763E6">
            <w:pPr>
              <w:jc w:val="center"/>
              <w:rPr>
                <w:rFonts w:ascii="Arial" w:hAnsi="Arial"/>
                <w:sz w:val="22"/>
              </w:rPr>
            </w:pPr>
            <w:r w:rsidRPr="00F73A5A">
              <w:rPr>
                <w:rFonts w:ascii="Arial" w:hAnsi="Arial"/>
                <w:sz w:val="22"/>
                <w:lang w:val="en-US"/>
              </w:rPr>
              <w:t>0.044</w:t>
            </w:r>
          </w:p>
        </w:tc>
        <w:tc>
          <w:tcPr>
            <w:tcW w:w="1620" w:type="dxa"/>
            <w:tcBorders>
              <w:bottom w:val="single" w:sz="4" w:space="0" w:color="auto"/>
            </w:tcBorders>
          </w:tcPr>
          <w:p w14:paraId="289B2456"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 xml:space="preserve">3.0 </w:t>
            </w:r>
            <w:r w:rsidRPr="00F73A5A">
              <w:rPr>
                <w:rFonts w:ascii="Arial" w:hAnsi="Arial"/>
                <w:sz w:val="22"/>
                <w:lang w:val="en-US"/>
              </w:rPr>
              <w:br/>
              <w:t>(sl. improved)</w:t>
            </w:r>
          </w:p>
          <w:p w14:paraId="62CDC7B7" w14:textId="77777777" w:rsidR="00E364FE" w:rsidRPr="00F73A5A" w:rsidRDefault="00E364FE" w:rsidP="003763E6">
            <w:pPr>
              <w:jc w:val="center"/>
              <w:rPr>
                <w:rFonts w:ascii="Arial" w:hAnsi="Arial"/>
                <w:sz w:val="22"/>
              </w:rPr>
            </w:pPr>
            <w:r w:rsidRPr="00F73A5A">
              <w:rPr>
                <w:rFonts w:ascii="Arial" w:hAnsi="Arial"/>
                <w:sz w:val="22"/>
                <w:lang w:val="en-US"/>
              </w:rPr>
              <w:t>0.002</w:t>
            </w:r>
          </w:p>
        </w:tc>
        <w:tc>
          <w:tcPr>
            <w:tcW w:w="1170" w:type="dxa"/>
            <w:tcBorders>
              <w:bottom w:val="single" w:sz="4" w:space="0" w:color="auto"/>
            </w:tcBorders>
          </w:tcPr>
          <w:p w14:paraId="6C138307" w14:textId="7820535E" w:rsidR="00E364FE" w:rsidRPr="00F73A5A" w:rsidRDefault="00E364FE" w:rsidP="00921284">
            <w:pPr>
              <w:keepNext/>
              <w:pageBreakBefore/>
              <w:jc w:val="center"/>
              <w:rPr>
                <w:rFonts w:ascii="Arial" w:hAnsi="Arial"/>
                <w:sz w:val="22"/>
              </w:rPr>
            </w:pPr>
            <w:r w:rsidRPr="00F73A5A">
              <w:rPr>
                <w:rFonts w:ascii="Arial" w:hAnsi="Arial"/>
                <w:sz w:val="22"/>
                <w:lang w:val="en-US"/>
              </w:rPr>
              <w:t>3.6</w:t>
            </w:r>
            <w:r w:rsidR="00921284">
              <w:rPr>
                <w:rFonts w:ascii="Arial" w:hAnsi="Arial"/>
                <w:sz w:val="22"/>
                <w:lang w:val="en-US"/>
              </w:rPr>
              <w:br/>
            </w:r>
            <w:r w:rsidRPr="00F73A5A">
              <w:rPr>
                <w:rFonts w:ascii="Arial" w:hAnsi="Arial"/>
                <w:sz w:val="22"/>
                <w:lang w:val="en-US"/>
              </w:rPr>
              <w:t>(no change)</w:t>
            </w:r>
          </w:p>
        </w:tc>
        <w:tc>
          <w:tcPr>
            <w:tcW w:w="1710" w:type="dxa"/>
            <w:tcBorders>
              <w:bottom w:val="single" w:sz="4" w:space="0" w:color="auto"/>
            </w:tcBorders>
          </w:tcPr>
          <w:p w14:paraId="43968FAA" w14:textId="77777777" w:rsidR="00E364FE" w:rsidRPr="00F73A5A" w:rsidRDefault="00E364FE" w:rsidP="003763E6">
            <w:pPr>
              <w:keepNext/>
              <w:pageBreakBefore/>
              <w:jc w:val="center"/>
              <w:rPr>
                <w:rFonts w:ascii="Arial" w:hAnsi="Arial"/>
                <w:sz w:val="22"/>
                <w:lang w:val="en-US"/>
              </w:rPr>
            </w:pPr>
            <w:r w:rsidRPr="00F73A5A">
              <w:rPr>
                <w:rFonts w:ascii="Arial" w:hAnsi="Arial"/>
                <w:sz w:val="22"/>
                <w:lang w:val="en-US"/>
              </w:rPr>
              <w:t xml:space="preserve">3.0 </w:t>
            </w:r>
            <w:r w:rsidRPr="00F73A5A">
              <w:rPr>
                <w:rFonts w:ascii="Arial" w:hAnsi="Arial"/>
                <w:sz w:val="22"/>
                <w:lang w:val="en-US"/>
              </w:rPr>
              <w:br/>
              <w:t>(sl. improved)</w:t>
            </w:r>
          </w:p>
          <w:p w14:paraId="02124ACC" w14:textId="77777777" w:rsidR="00E364FE" w:rsidRPr="00F73A5A" w:rsidRDefault="00E364FE" w:rsidP="003763E6">
            <w:pPr>
              <w:jc w:val="center"/>
              <w:rPr>
                <w:rFonts w:ascii="Arial" w:hAnsi="Arial"/>
                <w:sz w:val="22"/>
              </w:rPr>
            </w:pPr>
            <w:r w:rsidRPr="00F73A5A">
              <w:rPr>
                <w:rFonts w:ascii="Arial" w:hAnsi="Arial"/>
                <w:sz w:val="22"/>
                <w:lang w:val="en-US"/>
              </w:rPr>
              <w:t>0.001</w:t>
            </w:r>
          </w:p>
        </w:tc>
        <w:tc>
          <w:tcPr>
            <w:tcW w:w="1260" w:type="dxa"/>
            <w:tcBorders>
              <w:bottom w:val="single" w:sz="4" w:space="0" w:color="auto"/>
            </w:tcBorders>
          </w:tcPr>
          <w:p w14:paraId="3CDB19E2" w14:textId="6EE84F7E" w:rsidR="00E364FE" w:rsidRPr="00F73A5A" w:rsidRDefault="00E364FE" w:rsidP="00921284">
            <w:pPr>
              <w:keepNext/>
              <w:pageBreakBefore/>
              <w:jc w:val="center"/>
              <w:rPr>
                <w:rFonts w:ascii="Arial" w:hAnsi="Arial"/>
                <w:sz w:val="22"/>
              </w:rPr>
            </w:pPr>
            <w:r w:rsidRPr="00F73A5A">
              <w:rPr>
                <w:rFonts w:ascii="Arial" w:hAnsi="Arial"/>
                <w:sz w:val="22"/>
                <w:lang w:val="en-US"/>
              </w:rPr>
              <w:t>3.7</w:t>
            </w:r>
            <w:r w:rsidR="00921284">
              <w:rPr>
                <w:rFonts w:ascii="Arial" w:hAnsi="Arial"/>
                <w:sz w:val="22"/>
                <w:lang w:val="en-US"/>
              </w:rPr>
              <w:br/>
            </w:r>
            <w:r w:rsidRPr="00F73A5A">
              <w:rPr>
                <w:rFonts w:ascii="Arial" w:hAnsi="Arial"/>
                <w:sz w:val="22"/>
                <w:lang w:val="en-US"/>
              </w:rPr>
              <w:t>(no change)</w:t>
            </w:r>
          </w:p>
        </w:tc>
      </w:tr>
      <w:tr w:rsidR="00E364FE" w:rsidRPr="00D10C3C" w14:paraId="1DED4BD9" w14:textId="77777777" w:rsidTr="0004709F">
        <w:tc>
          <w:tcPr>
            <w:tcW w:w="10492" w:type="dxa"/>
            <w:gridSpan w:val="6"/>
            <w:tcBorders>
              <w:top w:val="single" w:sz="4" w:space="0" w:color="auto"/>
              <w:left w:val="nil"/>
              <w:bottom w:val="nil"/>
              <w:right w:val="nil"/>
            </w:tcBorders>
          </w:tcPr>
          <w:p w14:paraId="19E91592" w14:textId="34C4F923" w:rsidR="00E364FE" w:rsidRPr="00F73A5A" w:rsidRDefault="00E364FE" w:rsidP="00C876B1">
            <w:pPr>
              <w:rPr>
                <w:rFonts w:ascii="Arial" w:hAnsi="Arial"/>
                <w:sz w:val="22"/>
              </w:rPr>
            </w:pPr>
            <w:r w:rsidRPr="00F73A5A">
              <w:rPr>
                <w:rFonts w:ascii="Arial" w:hAnsi="Arial"/>
                <w:sz w:val="22"/>
              </w:rPr>
              <w:t>CI = 95% confidence interval; Difference = treatment difference (12 weeks); a = proportion of patients with at least 50% reduction in drop seizure frequency; sl. = slightly.</w:t>
            </w:r>
          </w:p>
        </w:tc>
      </w:tr>
    </w:tbl>
    <w:p w14:paraId="2593E4DB" w14:textId="77777777" w:rsidR="00F86650" w:rsidRDefault="00F86650" w:rsidP="002F320A">
      <w:pPr>
        <w:rPr>
          <w:rFonts w:ascii="Arial" w:hAnsi="Arial"/>
          <w:b/>
          <w:lang w:val="en-GB"/>
        </w:rPr>
      </w:pPr>
    </w:p>
    <w:p w14:paraId="10539870" w14:textId="4C7AFEF5" w:rsidR="00F33A77" w:rsidRPr="002F320A" w:rsidRDefault="00E92D7B" w:rsidP="00921284">
      <w:pPr>
        <w:keepNext/>
        <w:rPr>
          <w:lang w:val="en-GB"/>
        </w:rPr>
      </w:pPr>
      <w:r w:rsidRPr="002F320A">
        <w:rPr>
          <w:rFonts w:ascii="Arial" w:hAnsi="Arial"/>
          <w:b/>
          <w:lang w:val="en-GB"/>
        </w:rPr>
        <w:t>Figure 1: Cumulative Proportion of Patients by Category of Seizure Response in the Treatment Period for EPIDYOLEX and Placebo in Patients with Lennox-</w:t>
      </w:r>
      <w:proofErr w:type="spellStart"/>
      <w:r w:rsidRPr="002F320A">
        <w:rPr>
          <w:rFonts w:ascii="Arial" w:hAnsi="Arial"/>
          <w:b/>
          <w:lang w:val="en-GB"/>
        </w:rPr>
        <w:t>Gastaut</w:t>
      </w:r>
      <w:proofErr w:type="spellEnd"/>
      <w:r w:rsidRPr="002F320A">
        <w:rPr>
          <w:rFonts w:ascii="Arial" w:hAnsi="Arial"/>
          <w:b/>
          <w:lang w:val="en-GB"/>
        </w:rPr>
        <w:t xml:space="preserve"> Syndrome (GWPCARE3 and 4)</w:t>
      </w:r>
    </w:p>
    <w:p w14:paraId="11A8EB36" w14:textId="48D6D7EA" w:rsidR="00E92D7B" w:rsidRDefault="167C2DD8" w:rsidP="006276A3">
      <w:pPr>
        <w:jc w:val="center"/>
        <w:rPr>
          <w:rFonts w:ascii="Arial" w:hAnsi="Arial" w:cs="Arial"/>
          <w:lang w:val="en-GB"/>
        </w:rPr>
      </w:pPr>
      <w:r>
        <w:rPr>
          <w:noProof/>
          <w:lang w:eastAsia="en-AU"/>
        </w:rPr>
        <w:drawing>
          <wp:inline distT="0" distB="0" distL="0" distR="0" wp14:anchorId="4287E461" wp14:editId="3B8DDFF0">
            <wp:extent cx="5715000" cy="3962400"/>
            <wp:effectExtent l="0" t="0" r="0" b="0"/>
            <wp:docPr id="14616801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715000" cy="3962400"/>
                    </a:xfrm>
                    <a:prstGeom prst="rect">
                      <a:avLst/>
                    </a:prstGeom>
                  </pic:spPr>
                </pic:pic>
              </a:graphicData>
            </a:graphic>
          </wp:inline>
        </w:drawing>
      </w:r>
    </w:p>
    <w:p w14:paraId="6002ACDA" w14:textId="77777777" w:rsidR="00E92D7B" w:rsidRPr="002F320A" w:rsidRDefault="00E92D7B" w:rsidP="002F320A">
      <w:pPr>
        <w:rPr>
          <w:rFonts w:ascii="Arial" w:hAnsi="Arial"/>
        </w:rPr>
      </w:pPr>
    </w:p>
    <w:p w14:paraId="68CA8763" w14:textId="0FFE3F03" w:rsidR="00E92D7B" w:rsidRPr="002F320A" w:rsidRDefault="00E92D7B" w:rsidP="002F320A">
      <w:pPr>
        <w:rPr>
          <w:rFonts w:ascii="Arial" w:hAnsi="Arial"/>
        </w:rPr>
      </w:pPr>
      <w:r w:rsidRPr="002F320A">
        <w:rPr>
          <w:rFonts w:ascii="Arial" w:hAnsi="Arial"/>
        </w:rPr>
        <w:t>Compared with placebo, EPIDYOLEX was associated with an increase in the number of drop seizure</w:t>
      </w:r>
      <w:r w:rsidRPr="0062381A">
        <w:rPr>
          <w:rFonts w:ascii="Arial" w:hAnsi="Arial" w:cs="Arial"/>
        </w:rPr>
        <w:noBreakHyphen/>
      </w:r>
      <w:r w:rsidRPr="002F320A">
        <w:rPr>
          <w:rFonts w:ascii="Arial" w:hAnsi="Arial"/>
        </w:rPr>
        <w:t xml:space="preserve">free days during the treatment period in each trial, equivalent to </w:t>
      </w:r>
      <w:r w:rsidR="00DE7A58">
        <w:rPr>
          <w:rFonts w:ascii="Arial" w:hAnsi="Arial" w:cs="Arial"/>
        </w:rPr>
        <w:t xml:space="preserve">an additional </w:t>
      </w:r>
      <w:r w:rsidRPr="002F320A">
        <w:rPr>
          <w:rFonts w:ascii="Arial" w:hAnsi="Arial"/>
        </w:rPr>
        <w:t>3</w:t>
      </w:r>
      <w:r w:rsidR="00D701DC" w:rsidRPr="002F320A">
        <w:rPr>
          <w:rFonts w:ascii="Arial" w:hAnsi="Arial"/>
        </w:rPr>
        <w:t>.3</w:t>
      </w:r>
      <w:r w:rsidRPr="0062381A">
        <w:rPr>
          <w:rFonts w:ascii="Arial" w:hAnsi="Arial" w:cs="Arial"/>
        </w:rPr>
        <w:t> </w:t>
      </w:r>
      <w:r w:rsidRPr="002F320A">
        <w:rPr>
          <w:rFonts w:ascii="Arial" w:hAnsi="Arial"/>
        </w:rPr>
        <w:t>days per 28</w:t>
      </w:r>
      <w:r w:rsidRPr="0062381A">
        <w:rPr>
          <w:rFonts w:ascii="Arial" w:hAnsi="Arial" w:cs="Arial"/>
        </w:rPr>
        <w:t> </w:t>
      </w:r>
      <w:r w:rsidRPr="002F320A">
        <w:rPr>
          <w:rFonts w:ascii="Arial" w:hAnsi="Arial"/>
        </w:rPr>
        <w:t>days (10</w:t>
      </w:r>
      <w:r w:rsidRPr="0062381A">
        <w:rPr>
          <w:rFonts w:ascii="Arial" w:hAnsi="Arial" w:cs="Arial"/>
        </w:rPr>
        <w:t> </w:t>
      </w:r>
      <w:r w:rsidRPr="002F320A">
        <w:rPr>
          <w:rFonts w:ascii="Arial" w:hAnsi="Arial"/>
        </w:rPr>
        <w:t xml:space="preserve">mg/kg/day) and </w:t>
      </w:r>
      <w:r w:rsidR="001F0A94">
        <w:rPr>
          <w:rFonts w:ascii="Arial" w:hAnsi="Arial" w:cs="Arial"/>
        </w:rPr>
        <w:t>2.7</w:t>
      </w:r>
      <w:r w:rsidRPr="002F320A">
        <w:rPr>
          <w:rFonts w:ascii="Arial" w:hAnsi="Arial"/>
        </w:rPr>
        <w:t xml:space="preserve"> to </w:t>
      </w:r>
      <w:r w:rsidR="001F0A94">
        <w:rPr>
          <w:rFonts w:ascii="Arial" w:hAnsi="Arial" w:cs="Arial"/>
        </w:rPr>
        <w:t>4</w:t>
      </w:r>
      <w:r w:rsidR="001F0A94" w:rsidRPr="006276A3">
        <w:rPr>
          <w:rFonts w:ascii="Arial" w:hAnsi="Arial" w:cs="Arial"/>
        </w:rPr>
        <w:t>.6</w:t>
      </w:r>
      <w:r w:rsidRPr="002F320A">
        <w:rPr>
          <w:rFonts w:ascii="Arial" w:hAnsi="Arial"/>
        </w:rPr>
        <w:t xml:space="preserve"> days per 28</w:t>
      </w:r>
      <w:r w:rsidRPr="0062381A">
        <w:rPr>
          <w:rFonts w:ascii="Arial" w:hAnsi="Arial" w:cs="Arial"/>
        </w:rPr>
        <w:t> </w:t>
      </w:r>
      <w:r w:rsidRPr="002F320A">
        <w:rPr>
          <w:rFonts w:ascii="Arial" w:hAnsi="Arial"/>
        </w:rPr>
        <w:t>days (20</w:t>
      </w:r>
      <w:r w:rsidRPr="0062381A">
        <w:rPr>
          <w:rFonts w:ascii="Arial" w:hAnsi="Arial" w:cs="Arial"/>
        </w:rPr>
        <w:t> </w:t>
      </w:r>
      <w:r w:rsidRPr="002F320A">
        <w:rPr>
          <w:rFonts w:ascii="Arial" w:hAnsi="Arial"/>
        </w:rPr>
        <w:t>mg/kg/day).</w:t>
      </w:r>
    </w:p>
    <w:p w14:paraId="6348DD87" w14:textId="77777777" w:rsidR="00DF3E1E" w:rsidRPr="002F320A" w:rsidRDefault="00DF3E1E" w:rsidP="002F320A">
      <w:pPr>
        <w:rPr>
          <w:rFonts w:ascii="Arial" w:hAnsi="Arial"/>
        </w:rPr>
      </w:pPr>
    </w:p>
    <w:p w14:paraId="54F6D7A8" w14:textId="3A4C9848" w:rsidR="0062271D" w:rsidRPr="000511CF" w:rsidRDefault="0062271D" w:rsidP="00D900DC">
      <w:pPr>
        <w:pStyle w:val="Heading4"/>
      </w:pPr>
      <w:r w:rsidRPr="002F320A">
        <w:t xml:space="preserve">Adjunctive Therapy in Patients with </w:t>
      </w:r>
      <w:r w:rsidR="002C44D9" w:rsidRPr="002F320A">
        <w:t>DS</w:t>
      </w:r>
    </w:p>
    <w:p w14:paraId="1CBC3654" w14:textId="61A07614" w:rsidR="0062271D" w:rsidRPr="002F320A" w:rsidRDefault="0062271D" w:rsidP="006276A3">
      <w:pPr>
        <w:spacing w:line="274" w:lineRule="exact"/>
        <w:rPr>
          <w:rFonts w:ascii="Arial" w:hAnsi="Arial"/>
        </w:rPr>
      </w:pPr>
      <w:r w:rsidRPr="002F320A">
        <w:rPr>
          <w:rFonts w:ascii="Arial" w:hAnsi="Arial"/>
        </w:rPr>
        <w:t xml:space="preserve">The efficacy of </w:t>
      </w:r>
      <w:r w:rsidR="00EF74A1" w:rsidRPr="002F320A">
        <w:rPr>
          <w:rFonts w:ascii="Arial" w:hAnsi="Arial"/>
        </w:rPr>
        <w:t>EPIDYOLEX</w:t>
      </w:r>
      <w:r w:rsidRPr="002F320A">
        <w:rPr>
          <w:rFonts w:ascii="Arial" w:hAnsi="Arial"/>
        </w:rPr>
        <w:t xml:space="preserve"> for the adjunctive therapy of seizures associated with </w:t>
      </w:r>
      <w:r w:rsidR="002C44D9" w:rsidRPr="002F320A">
        <w:rPr>
          <w:rFonts w:ascii="Arial" w:hAnsi="Arial"/>
        </w:rPr>
        <w:t>DS</w:t>
      </w:r>
      <w:r w:rsidRPr="002F320A">
        <w:rPr>
          <w:rFonts w:ascii="Arial" w:hAnsi="Arial"/>
        </w:rPr>
        <w:t xml:space="preserve"> was evaluated in two randomised, double</w:t>
      </w:r>
      <w:r w:rsidRPr="0062381A">
        <w:rPr>
          <w:rFonts w:ascii="Arial" w:hAnsi="Arial" w:cs="Arial"/>
        </w:rPr>
        <w:noBreakHyphen/>
      </w:r>
      <w:r w:rsidRPr="002F320A">
        <w:rPr>
          <w:rFonts w:ascii="Arial" w:hAnsi="Arial"/>
        </w:rPr>
        <w:t>blind, placebo</w:t>
      </w:r>
      <w:r w:rsidRPr="0062381A">
        <w:rPr>
          <w:rFonts w:ascii="Arial" w:hAnsi="Arial" w:cs="Arial"/>
        </w:rPr>
        <w:noBreakHyphen/>
      </w:r>
      <w:r w:rsidRPr="002F320A">
        <w:rPr>
          <w:rFonts w:ascii="Arial" w:hAnsi="Arial"/>
        </w:rPr>
        <w:t>controlled, parallel</w:t>
      </w:r>
      <w:r w:rsidRPr="0062381A">
        <w:rPr>
          <w:rFonts w:ascii="Arial" w:hAnsi="Arial" w:cs="Arial"/>
        </w:rPr>
        <w:noBreakHyphen/>
      </w:r>
      <w:r w:rsidRPr="002F320A">
        <w:rPr>
          <w:rFonts w:ascii="Arial" w:hAnsi="Arial"/>
        </w:rPr>
        <w:t>group studies (</w:t>
      </w:r>
      <w:r w:rsidRPr="002F320A">
        <w:rPr>
          <w:rFonts w:ascii="Arial" w:eastAsia="Arial Unicode MS" w:hAnsi="Arial"/>
        </w:rPr>
        <w:t>GWPCARE2</w:t>
      </w:r>
      <w:r w:rsidRPr="002F320A">
        <w:rPr>
          <w:rFonts w:ascii="Arial" w:hAnsi="Arial"/>
        </w:rPr>
        <w:t xml:space="preserve"> and </w:t>
      </w:r>
      <w:r w:rsidRPr="002F320A">
        <w:rPr>
          <w:rFonts w:ascii="Arial" w:eastAsia="Arial Unicode MS" w:hAnsi="Arial"/>
        </w:rPr>
        <w:t>GWPCARE1</w:t>
      </w:r>
      <w:r w:rsidRPr="002F320A">
        <w:rPr>
          <w:rFonts w:ascii="Arial" w:hAnsi="Arial"/>
        </w:rPr>
        <w:t>). Each study consisted of a 4</w:t>
      </w:r>
      <w:r w:rsidRPr="0062381A">
        <w:rPr>
          <w:rFonts w:ascii="Arial" w:hAnsi="Arial" w:cs="Arial"/>
        </w:rPr>
        <w:noBreakHyphen/>
      </w:r>
      <w:r w:rsidRPr="002F320A">
        <w:rPr>
          <w:rFonts w:ascii="Arial" w:hAnsi="Arial"/>
        </w:rPr>
        <w:t>week baseline period, a 2</w:t>
      </w:r>
      <w:r w:rsidRPr="0062381A">
        <w:rPr>
          <w:rFonts w:ascii="Arial" w:hAnsi="Arial" w:cs="Arial"/>
        </w:rPr>
        <w:noBreakHyphen/>
      </w:r>
      <w:r w:rsidRPr="002F320A">
        <w:rPr>
          <w:rFonts w:ascii="Arial" w:hAnsi="Arial"/>
        </w:rPr>
        <w:t>week titration period and a 12</w:t>
      </w:r>
      <w:r w:rsidRPr="0062381A">
        <w:rPr>
          <w:rFonts w:ascii="Arial" w:hAnsi="Arial" w:cs="Arial"/>
        </w:rPr>
        <w:noBreakHyphen/>
      </w:r>
      <w:r w:rsidRPr="002F320A">
        <w:rPr>
          <w:rFonts w:ascii="Arial" w:hAnsi="Arial"/>
        </w:rPr>
        <w:t>week maintenance period. Mean age of the study population was</w:t>
      </w:r>
      <w:r w:rsidRPr="0062381A">
        <w:rPr>
          <w:rFonts w:ascii="Arial" w:hAnsi="Arial" w:cs="Arial"/>
        </w:rPr>
        <w:t xml:space="preserve"> </w:t>
      </w:r>
      <w:r w:rsidRPr="002F320A">
        <w:rPr>
          <w:rFonts w:ascii="Arial" w:hAnsi="Arial"/>
        </w:rPr>
        <w:t>9</w:t>
      </w:r>
      <w:r w:rsidRPr="0062381A">
        <w:rPr>
          <w:rFonts w:ascii="Arial" w:hAnsi="Arial" w:cs="Arial"/>
        </w:rPr>
        <w:t> </w:t>
      </w:r>
      <w:r w:rsidRPr="002F320A">
        <w:rPr>
          <w:rFonts w:ascii="Arial" w:hAnsi="Arial"/>
        </w:rPr>
        <w:t>years and 94% were taking 2</w:t>
      </w:r>
      <w:r w:rsidRPr="0062381A">
        <w:rPr>
          <w:rFonts w:ascii="Arial" w:hAnsi="Arial" w:cs="Arial"/>
        </w:rPr>
        <w:t> </w:t>
      </w:r>
      <w:r w:rsidRPr="002F320A">
        <w:rPr>
          <w:rFonts w:ascii="Arial" w:hAnsi="Arial"/>
        </w:rPr>
        <w:t xml:space="preserve">or more </w:t>
      </w:r>
      <w:proofErr w:type="spellStart"/>
      <w:r w:rsidRPr="002F320A">
        <w:rPr>
          <w:rFonts w:ascii="Arial" w:hAnsi="Arial"/>
        </w:rPr>
        <w:t>cAEDs</w:t>
      </w:r>
      <w:proofErr w:type="spellEnd"/>
      <w:r w:rsidRPr="002F320A">
        <w:rPr>
          <w:rFonts w:ascii="Arial" w:hAnsi="Arial"/>
        </w:rPr>
        <w:t xml:space="preserve"> during the trial. The most commonly used</w:t>
      </w:r>
      <w:r w:rsidRPr="0062381A">
        <w:rPr>
          <w:rFonts w:ascii="Arial" w:hAnsi="Arial" w:cs="Arial"/>
        </w:rPr>
        <w:t xml:space="preserve"> </w:t>
      </w:r>
      <w:proofErr w:type="spellStart"/>
      <w:r w:rsidRPr="002F320A">
        <w:rPr>
          <w:rFonts w:ascii="Arial" w:hAnsi="Arial"/>
        </w:rPr>
        <w:t>cAEDs</w:t>
      </w:r>
      <w:proofErr w:type="spellEnd"/>
      <w:r w:rsidRPr="002F320A">
        <w:rPr>
          <w:rFonts w:ascii="Arial" w:hAnsi="Arial"/>
        </w:rPr>
        <w:t xml:space="preserve"> (&gt;</w:t>
      </w:r>
      <w:r w:rsidRPr="0062381A">
        <w:rPr>
          <w:rFonts w:ascii="Arial" w:hAnsi="Arial" w:cs="Arial"/>
        </w:rPr>
        <w:t> </w:t>
      </w:r>
      <w:r w:rsidRPr="002F320A">
        <w:rPr>
          <w:rFonts w:ascii="Arial" w:hAnsi="Arial"/>
        </w:rPr>
        <w:t xml:space="preserve">25% of patients) in both trials were valproate, </w:t>
      </w:r>
      <w:proofErr w:type="spellStart"/>
      <w:r w:rsidRPr="002F320A">
        <w:rPr>
          <w:rFonts w:ascii="Arial" w:hAnsi="Arial"/>
        </w:rPr>
        <w:t>clobazam</w:t>
      </w:r>
      <w:proofErr w:type="spellEnd"/>
      <w:r w:rsidRPr="002F320A">
        <w:rPr>
          <w:rFonts w:ascii="Arial" w:hAnsi="Arial"/>
        </w:rPr>
        <w:t xml:space="preserve">, </w:t>
      </w:r>
      <w:proofErr w:type="spellStart"/>
      <w:r w:rsidRPr="002F320A">
        <w:rPr>
          <w:rFonts w:ascii="Arial" w:hAnsi="Arial"/>
        </w:rPr>
        <w:t>stiripentol</w:t>
      </w:r>
      <w:proofErr w:type="spellEnd"/>
      <w:r w:rsidRPr="002F320A">
        <w:rPr>
          <w:rFonts w:ascii="Arial" w:hAnsi="Arial"/>
        </w:rPr>
        <w:t xml:space="preserve">, and </w:t>
      </w:r>
      <w:proofErr w:type="spellStart"/>
      <w:r w:rsidRPr="002F320A">
        <w:rPr>
          <w:rFonts w:ascii="Arial" w:hAnsi="Arial"/>
        </w:rPr>
        <w:t>levetiracetam</w:t>
      </w:r>
      <w:proofErr w:type="spellEnd"/>
      <w:r w:rsidR="00BC22A7" w:rsidRPr="002F320A">
        <w:rPr>
          <w:rFonts w:ascii="Arial" w:hAnsi="Arial"/>
        </w:rPr>
        <w:t>.</w:t>
      </w:r>
    </w:p>
    <w:p w14:paraId="7B7CF660" w14:textId="77777777" w:rsidR="0062271D" w:rsidRPr="002F320A" w:rsidRDefault="0062271D" w:rsidP="002F320A">
      <w:pPr>
        <w:rPr>
          <w:rFonts w:ascii="Arial" w:hAnsi="Arial"/>
        </w:rPr>
      </w:pPr>
    </w:p>
    <w:p w14:paraId="0404B41E" w14:textId="1715E0D7" w:rsidR="0062271D" w:rsidRPr="002F320A" w:rsidRDefault="0062271D" w:rsidP="002F320A">
      <w:pPr>
        <w:rPr>
          <w:rFonts w:ascii="Arial" w:hAnsi="Arial"/>
        </w:rPr>
      </w:pPr>
      <w:r w:rsidRPr="002F320A">
        <w:rPr>
          <w:rFonts w:ascii="Arial" w:hAnsi="Arial"/>
        </w:rPr>
        <w:t>The primary endpoint was the change in convulsive seizure frequency during the treatment period (Day</w:t>
      </w:r>
      <w:r w:rsidRPr="0062381A">
        <w:rPr>
          <w:rFonts w:ascii="Arial" w:hAnsi="Arial" w:cs="Arial"/>
        </w:rPr>
        <w:t> </w:t>
      </w:r>
      <w:r w:rsidRPr="002F320A">
        <w:rPr>
          <w:rFonts w:ascii="Arial" w:hAnsi="Arial"/>
        </w:rPr>
        <w:t>1 to the end of the evaluable period) compared to baseline (</w:t>
      </w:r>
      <w:r w:rsidRPr="002F320A">
        <w:rPr>
          <w:rFonts w:ascii="Arial" w:eastAsia="Arial Unicode MS" w:hAnsi="Arial"/>
        </w:rPr>
        <w:t>GWPCARE2)</w:t>
      </w:r>
      <w:r w:rsidRPr="002F320A">
        <w:rPr>
          <w:rFonts w:ascii="Arial" w:hAnsi="Arial"/>
        </w:rPr>
        <w:t>, and the percentage change from baseline in convulsive seizures per 28</w:t>
      </w:r>
      <w:r w:rsidRPr="0062381A">
        <w:rPr>
          <w:rFonts w:ascii="Arial" w:hAnsi="Arial" w:cs="Arial"/>
        </w:rPr>
        <w:t> </w:t>
      </w:r>
      <w:r w:rsidRPr="002F320A">
        <w:rPr>
          <w:rFonts w:ascii="Arial" w:hAnsi="Arial"/>
        </w:rPr>
        <w:t xml:space="preserve">days over the treatment period (GWPCARE1) for the </w:t>
      </w:r>
      <w:r w:rsidR="00EF74A1" w:rsidRPr="002F320A">
        <w:rPr>
          <w:rFonts w:ascii="Arial" w:hAnsi="Arial"/>
        </w:rPr>
        <w:t>EPIDYOLEX</w:t>
      </w:r>
      <w:r w:rsidRPr="002F320A">
        <w:rPr>
          <w:rFonts w:ascii="Arial" w:hAnsi="Arial"/>
        </w:rPr>
        <w:t xml:space="preserve"> groups compared to placebo. Convulsive seizures were defined as atonic, tonic, </w:t>
      </w:r>
      <w:proofErr w:type="spellStart"/>
      <w:r w:rsidRPr="002F320A">
        <w:rPr>
          <w:rFonts w:ascii="Arial" w:hAnsi="Arial"/>
        </w:rPr>
        <w:t>clonic</w:t>
      </w:r>
      <w:proofErr w:type="spellEnd"/>
      <w:r w:rsidRPr="002F320A">
        <w:rPr>
          <w:rFonts w:ascii="Arial" w:hAnsi="Arial"/>
        </w:rPr>
        <w:t>, and tonic</w:t>
      </w:r>
      <w:r w:rsidRPr="0062381A">
        <w:rPr>
          <w:rFonts w:ascii="Arial" w:hAnsi="Arial" w:cs="Arial"/>
        </w:rPr>
        <w:noBreakHyphen/>
      </w:r>
      <w:proofErr w:type="spellStart"/>
      <w:r w:rsidRPr="002F320A">
        <w:rPr>
          <w:rFonts w:ascii="Arial" w:hAnsi="Arial"/>
        </w:rPr>
        <w:t>clonic</w:t>
      </w:r>
      <w:proofErr w:type="spellEnd"/>
      <w:r w:rsidRPr="002F320A">
        <w:rPr>
          <w:rFonts w:ascii="Arial" w:hAnsi="Arial"/>
        </w:rPr>
        <w:t xml:space="preserve"> seizures. Key secondary endpoints for GWPCARE2 were the proportion of patients with at least a 50% reduction in convulsive seizure frequency, the change in total seizure frequency, and Caregiver Global Impression of Change at the last visit. The key secondary endpoint for GWPCARE1 was the proportion of patients with at least a 50% reduction in convulsive seizure frequency.</w:t>
      </w:r>
      <w:r w:rsidR="008E561E" w:rsidRPr="002F320A">
        <w:rPr>
          <w:rFonts w:ascii="Arial" w:hAnsi="Arial"/>
        </w:rPr>
        <w:t xml:space="preserve"> These outcome measures are summarised in Table 4.</w:t>
      </w:r>
    </w:p>
    <w:p w14:paraId="2F58D40F" w14:textId="77777777" w:rsidR="002B1E4D" w:rsidRPr="002F320A" w:rsidRDefault="002B1E4D" w:rsidP="002F320A">
      <w:pPr>
        <w:rPr>
          <w:rFonts w:ascii="Arial" w:hAnsi="Arial"/>
        </w:rPr>
      </w:pPr>
    </w:p>
    <w:p w14:paraId="3A65D89E" w14:textId="0F94D7CF" w:rsidR="00007CA0" w:rsidRPr="007C62BE" w:rsidRDefault="00543E23" w:rsidP="00702FAA">
      <w:pPr>
        <w:rPr>
          <w:b/>
        </w:rPr>
      </w:pPr>
      <w:bookmarkStart w:id="20" w:name="_GoBack"/>
      <w:r w:rsidRPr="007C62BE">
        <w:rPr>
          <w:b/>
        </w:rPr>
        <w:t xml:space="preserve">Table </w:t>
      </w:r>
      <w:r w:rsidR="0062271D" w:rsidRPr="007C62BE">
        <w:rPr>
          <w:b/>
        </w:rPr>
        <w:t xml:space="preserve">4: </w:t>
      </w:r>
      <w:r w:rsidR="00007CA0" w:rsidRPr="007C62BE">
        <w:rPr>
          <w:b/>
        </w:rPr>
        <w:t>Primary and key secondary outcome measures in DS studies</w:t>
      </w:r>
    </w:p>
    <w:bookmarkEnd w:id="20"/>
    <w:tbl>
      <w:tblPr>
        <w:tblStyle w:val="TableGrid"/>
        <w:tblW w:w="0" w:type="auto"/>
        <w:tblInd w:w="-147" w:type="dxa"/>
        <w:tblLook w:val="04A0" w:firstRow="1" w:lastRow="0" w:firstColumn="1" w:lastColumn="0" w:noHBand="0" w:noVBand="1"/>
      </w:tblPr>
      <w:tblGrid>
        <w:gridCol w:w="2793"/>
        <w:gridCol w:w="1591"/>
        <w:gridCol w:w="1664"/>
        <w:gridCol w:w="1076"/>
        <w:gridCol w:w="1591"/>
        <w:gridCol w:w="1060"/>
      </w:tblGrid>
      <w:tr w:rsidR="007820FF" w:rsidRPr="00007CA0" w14:paraId="1B520CE7" w14:textId="77777777" w:rsidTr="007973D3">
        <w:tc>
          <w:tcPr>
            <w:tcW w:w="3112" w:type="dxa"/>
            <w:vMerge w:val="restart"/>
          </w:tcPr>
          <w:p w14:paraId="5F699E64" w14:textId="77777777" w:rsidR="007820FF" w:rsidRPr="007568E4" w:rsidRDefault="007820FF" w:rsidP="00C876B1">
            <w:pPr>
              <w:rPr>
                <w:rFonts w:ascii="Arial" w:hAnsi="Arial"/>
                <w:b/>
                <w:sz w:val="22"/>
              </w:rPr>
            </w:pPr>
          </w:p>
        </w:tc>
        <w:tc>
          <w:tcPr>
            <w:tcW w:w="4410" w:type="dxa"/>
            <w:gridSpan w:val="3"/>
          </w:tcPr>
          <w:p w14:paraId="5D1C5D0E" w14:textId="1E8D5AF4" w:rsidR="007820FF" w:rsidRPr="007568E4" w:rsidRDefault="007820FF" w:rsidP="0060010B">
            <w:pPr>
              <w:keepNext/>
              <w:pageBreakBefore/>
              <w:jc w:val="center"/>
              <w:rPr>
                <w:rFonts w:ascii="Arial" w:hAnsi="Arial"/>
                <w:b/>
                <w:sz w:val="22"/>
              </w:rPr>
            </w:pPr>
            <w:r w:rsidRPr="0060010B">
              <w:rPr>
                <w:rFonts w:ascii="Arial" w:hAnsi="Arial"/>
                <w:b/>
                <w:sz w:val="22"/>
                <w:lang w:val="en-US"/>
              </w:rPr>
              <w:t xml:space="preserve">Study </w:t>
            </w:r>
            <w:r w:rsidRPr="007568E4">
              <w:rPr>
                <w:rFonts w:ascii="Arial" w:hAnsi="Arial"/>
                <w:b/>
                <w:sz w:val="22"/>
                <w:lang w:val="en-GB"/>
              </w:rPr>
              <w:t>GWPCARE2</w:t>
            </w:r>
          </w:p>
        </w:tc>
        <w:tc>
          <w:tcPr>
            <w:tcW w:w="2680" w:type="dxa"/>
            <w:gridSpan w:val="2"/>
          </w:tcPr>
          <w:p w14:paraId="242ADC4C" w14:textId="77777777" w:rsidR="007820FF" w:rsidRPr="007568E4" w:rsidRDefault="007820FF" w:rsidP="0060010B">
            <w:pPr>
              <w:jc w:val="center"/>
              <w:rPr>
                <w:rFonts w:ascii="Arial" w:hAnsi="Arial"/>
                <w:b/>
                <w:sz w:val="22"/>
              </w:rPr>
            </w:pPr>
            <w:r w:rsidRPr="0060010B">
              <w:rPr>
                <w:rFonts w:ascii="Arial" w:hAnsi="Arial"/>
                <w:b/>
                <w:sz w:val="22"/>
                <w:lang w:val="en-US"/>
              </w:rPr>
              <w:t xml:space="preserve">Study </w:t>
            </w:r>
            <w:r w:rsidRPr="007568E4">
              <w:rPr>
                <w:rFonts w:ascii="Arial" w:hAnsi="Arial"/>
                <w:b/>
                <w:sz w:val="22"/>
                <w:lang w:val="en-GB"/>
              </w:rPr>
              <w:t>GWPCARE1</w:t>
            </w:r>
          </w:p>
        </w:tc>
      </w:tr>
      <w:tr w:rsidR="007820FF" w:rsidRPr="00091875" w14:paraId="78B4ABCB" w14:textId="77777777" w:rsidTr="007973D3">
        <w:tc>
          <w:tcPr>
            <w:tcW w:w="3112" w:type="dxa"/>
            <w:vMerge/>
          </w:tcPr>
          <w:p w14:paraId="35C5C3B9" w14:textId="77777777" w:rsidR="007820FF" w:rsidRPr="00091875" w:rsidRDefault="007820FF" w:rsidP="00C876B1">
            <w:pPr>
              <w:rPr>
                <w:rFonts w:ascii="Arial" w:hAnsi="Arial" w:cs="Arial"/>
                <w:b/>
                <w:bCs/>
                <w:sz w:val="22"/>
                <w:szCs w:val="22"/>
              </w:rPr>
            </w:pPr>
          </w:p>
        </w:tc>
        <w:tc>
          <w:tcPr>
            <w:tcW w:w="1620" w:type="dxa"/>
            <w:vAlign w:val="bottom"/>
          </w:tcPr>
          <w:p w14:paraId="7EF266D2"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EPIDYOLEX</w:t>
            </w:r>
          </w:p>
          <w:p w14:paraId="4F94E312"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20 mg/kg/day</w:t>
            </w:r>
          </w:p>
          <w:p w14:paraId="1DD814FD" w14:textId="5C34B3F3" w:rsidR="007820FF" w:rsidRPr="00091875" w:rsidRDefault="007820FF" w:rsidP="0060010B">
            <w:pPr>
              <w:jc w:val="center"/>
              <w:rPr>
                <w:rFonts w:ascii="Arial" w:hAnsi="Arial" w:cs="Arial"/>
                <w:b/>
                <w:bCs/>
                <w:sz w:val="22"/>
                <w:szCs w:val="22"/>
              </w:rPr>
            </w:pPr>
            <w:r w:rsidRPr="00091875">
              <w:rPr>
                <w:rFonts w:ascii="Arial" w:hAnsi="Arial" w:cs="Arial"/>
                <w:b/>
                <w:bCs/>
                <w:sz w:val="22"/>
                <w:szCs w:val="22"/>
                <w:lang w:val="en-US"/>
              </w:rPr>
              <w:t>(n=67)</w:t>
            </w:r>
          </w:p>
        </w:tc>
        <w:tc>
          <w:tcPr>
            <w:tcW w:w="1710" w:type="dxa"/>
            <w:vAlign w:val="bottom"/>
          </w:tcPr>
          <w:p w14:paraId="05A9F386"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EPIDYOLEX</w:t>
            </w:r>
          </w:p>
          <w:p w14:paraId="0A09B426"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10 mg/kg/day</w:t>
            </w:r>
          </w:p>
          <w:p w14:paraId="3150CB9B" w14:textId="0FBF37C3" w:rsidR="007820FF" w:rsidRPr="00091875" w:rsidRDefault="007820FF" w:rsidP="0060010B">
            <w:pPr>
              <w:jc w:val="center"/>
              <w:rPr>
                <w:rFonts w:ascii="Arial" w:hAnsi="Arial" w:cs="Arial"/>
                <w:b/>
                <w:bCs/>
                <w:sz w:val="22"/>
                <w:szCs w:val="22"/>
              </w:rPr>
            </w:pPr>
            <w:r w:rsidRPr="00091875">
              <w:rPr>
                <w:rFonts w:ascii="Arial" w:hAnsi="Arial" w:cs="Arial"/>
                <w:b/>
                <w:bCs/>
                <w:sz w:val="22"/>
                <w:szCs w:val="22"/>
                <w:lang w:val="en-US"/>
              </w:rPr>
              <w:t>(n=66)</w:t>
            </w:r>
          </w:p>
        </w:tc>
        <w:tc>
          <w:tcPr>
            <w:tcW w:w="1080" w:type="dxa"/>
            <w:vAlign w:val="bottom"/>
          </w:tcPr>
          <w:p w14:paraId="039FBCD3"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Placebo</w:t>
            </w:r>
          </w:p>
          <w:p w14:paraId="1697204C" w14:textId="0C611794" w:rsidR="007820FF" w:rsidRPr="00091875" w:rsidRDefault="007820FF" w:rsidP="0060010B">
            <w:pPr>
              <w:jc w:val="center"/>
              <w:rPr>
                <w:rFonts w:ascii="Arial" w:hAnsi="Arial" w:cs="Arial"/>
                <w:b/>
                <w:bCs/>
                <w:sz w:val="22"/>
                <w:szCs w:val="22"/>
              </w:rPr>
            </w:pPr>
            <w:r w:rsidRPr="00091875">
              <w:rPr>
                <w:rFonts w:ascii="Arial" w:hAnsi="Arial" w:cs="Arial"/>
                <w:b/>
                <w:bCs/>
                <w:sz w:val="22"/>
                <w:szCs w:val="22"/>
                <w:lang w:val="en-US"/>
              </w:rPr>
              <w:t>(n=65)</w:t>
            </w:r>
          </w:p>
        </w:tc>
        <w:tc>
          <w:tcPr>
            <w:tcW w:w="1620" w:type="dxa"/>
            <w:vAlign w:val="bottom"/>
          </w:tcPr>
          <w:p w14:paraId="3EBEAEEB" w14:textId="4AA0E52C"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EPIDYOLEX</w:t>
            </w:r>
          </w:p>
          <w:p w14:paraId="7A2C7510"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20 mg/kg/day</w:t>
            </w:r>
          </w:p>
          <w:p w14:paraId="1693D8EE" w14:textId="4E340AA2" w:rsidR="007820FF" w:rsidRPr="00091875" w:rsidRDefault="007820FF" w:rsidP="0060010B">
            <w:pPr>
              <w:jc w:val="center"/>
              <w:rPr>
                <w:rFonts w:ascii="Arial" w:hAnsi="Arial" w:cs="Arial"/>
                <w:b/>
                <w:bCs/>
                <w:sz w:val="22"/>
                <w:szCs w:val="22"/>
              </w:rPr>
            </w:pPr>
            <w:r w:rsidRPr="00091875">
              <w:rPr>
                <w:rFonts w:ascii="Arial" w:hAnsi="Arial" w:cs="Arial"/>
                <w:b/>
                <w:bCs/>
                <w:sz w:val="22"/>
                <w:szCs w:val="22"/>
                <w:lang w:val="en-US"/>
              </w:rPr>
              <w:t>(n=61)</w:t>
            </w:r>
          </w:p>
        </w:tc>
        <w:tc>
          <w:tcPr>
            <w:tcW w:w="1060" w:type="dxa"/>
            <w:vAlign w:val="bottom"/>
          </w:tcPr>
          <w:p w14:paraId="40F5EE83" w14:textId="77777777" w:rsidR="007820FF" w:rsidRPr="00091875" w:rsidRDefault="007820FF" w:rsidP="0060010B">
            <w:pPr>
              <w:keepNext/>
              <w:pageBreakBefore/>
              <w:jc w:val="center"/>
              <w:rPr>
                <w:rFonts w:ascii="Arial" w:hAnsi="Arial" w:cs="Arial"/>
                <w:b/>
                <w:bCs/>
                <w:sz w:val="22"/>
                <w:szCs w:val="22"/>
                <w:lang w:val="en-US"/>
              </w:rPr>
            </w:pPr>
            <w:r w:rsidRPr="00091875">
              <w:rPr>
                <w:rFonts w:ascii="Arial" w:hAnsi="Arial" w:cs="Arial"/>
                <w:b/>
                <w:bCs/>
                <w:sz w:val="22"/>
                <w:szCs w:val="22"/>
                <w:lang w:val="en-US"/>
              </w:rPr>
              <w:t>Placebo</w:t>
            </w:r>
          </w:p>
          <w:p w14:paraId="6E136272" w14:textId="6889A577" w:rsidR="007820FF" w:rsidRPr="00091875" w:rsidRDefault="007820FF" w:rsidP="0060010B">
            <w:pPr>
              <w:jc w:val="center"/>
              <w:rPr>
                <w:rFonts w:ascii="Arial" w:hAnsi="Arial" w:cs="Arial"/>
                <w:b/>
                <w:bCs/>
                <w:sz w:val="22"/>
                <w:szCs w:val="22"/>
              </w:rPr>
            </w:pPr>
            <w:r w:rsidRPr="00091875">
              <w:rPr>
                <w:rFonts w:ascii="Arial" w:hAnsi="Arial" w:cs="Arial"/>
                <w:b/>
                <w:bCs/>
                <w:sz w:val="22"/>
                <w:szCs w:val="22"/>
                <w:lang w:val="en-US"/>
              </w:rPr>
              <w:t>(n=59)</w:t>
            </w:r>
          </w:p>
        </w:tc>
      </w:tr>
      <w:tr w:rsidR="007820FF" w:rsidRPr="00091875" w14:paraId="0D7BC2C4" w14:textId="77777777" w:rsidTr="007973D3">
        <w:tc>
          <w:tcPr>
            <w:tcW w:w="3112" w:type="dxa"/>
            <w:vAlign w:val="center"/>
          </w:tcPr>
          <w:p w14:paraId="462F78AA"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Primary endpoint –</w:t>
            </w:r>
          </w:p>
        </w:tc>
        <w:tc>
          <w:tcPr>
            <w:tcW w:w="4410" w:type="dxa"/>
            <w:gridSpan w:val="3"/>
            <w:vAlign w:val="center"/>
          </w:tcPr>
          <w:p w14:paraId="2634FD95" w14:textId="77777777" w:rsidR="007820FF" w:rsidRPr="00091875" w:rsidRDefault="007820FF" w:rsidP="00842A49">
            <w:pPr>
              <w:jc w:val="center"/>
              <w:rPr>
                <w:rFonts w:ascii="Arial" w:hAnsi="Arial" w:cs="Arial"/>
                <w:b/>
                <w:bCs/>
                <w:i/>
                <w:iCs/>
                <w:sz w:val="22"/>
                <w:szCs w:val="22"/>
              </w:rPr>
            </w:pPr>
            <w:r w:rsidRPr="00091875">
              <w:rPr>
                <w:rFonts w:ascii="Arial" w:hAnsi="Arial" w:cs="Arial"/>
                <w:b/>
                <w:bCs/>
                <w:i/>
                <w:iCs/>
                <w:sz w:val="22"/>
                <w:szCs w:val="22"/>
              </w:rPr>
              <w:t>Reduction in convulsive seizure frequency</w:t>
            </w:r>
          </w:p>
        </w:tc>
        <w:tc>
          <w:tcPr>
            <w:tcW w:w="2680" w:type="dxa"/>
            <w:gridSpan w:val="2"/>
            <w:vAlign w:val="center"/>
          </w:tcPr>
          <w:p w14:paraId="59F0FF37" w14:textId="77777777" w:rsidR="007820FF" w:rsidRPr="00091875" w:rsidRDefault="007820FF" w:rsidP="00842A49">
            <w:pPr>
              <w:jc w:val="center"/>
              <w:rPr>
                <w:rFonts w:ascii="Arial" w:hAnsi="Arial" w:cs="Arial"/>
                <w:b/>
                <w:bCs/>
                <w:i/>
                <w:iCs/>
                <w:sz w:val="22"/>
                <w:szCs w:val="22"/>
              </w:rPr>
            </w:pPr>
            <w:r w:rsidRPr="00091875">
              <w:rPr>
                <w:rFonts w:ascii="Arial" w:hAnsi="Arial" w:cs="Arial"/>
                <w:b/>
                <w:bCs/>
                <w:i/>
                <w:iCs/>
                <w:sz w:val="22"/>
                <w:szCs w:val="22"/>
              </w:rPr>
              <w:t>Percentage reduction in convulsive seizure frequency</w:t>
            </w:r>
          </w:p>
        </w:tc>
      </w:tr>
      <w:tr w:rsidR="007820FF" w:rsidRPr="00091875" w14:paraId="2FA47948" w14:textId="77777777" w:rsidTr="007973D3">
        <w:tc>
          <w:tcPr>
            <w:tcW w:w="3112" w:type="dxa"/>
          </w:tcPr>
          <w:p w14:paraId="5FEB8E40" w14:textId="5DF20649"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Convulsive seizures</w:t>
            </w:r>
          </w:p>
          <w:p w14:paraId="6ABD1E2A"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Median % Reduction/</w:t>
            </w:r>
          </w:p>
          <w:p w14:paraId="743B2731"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 Reduction</w:t>
            </w:r>
          </w:p>
          <w:p w14:paraId="1C5B7F42" w14:textId="77777777" w:rsidR="007820FF" w:rsidRPr="00091875" w:rsidRDefault="007820FF" w:rsidP="00C876B1">
            <w:pPr>
              <w:rPr>
                <w:rFonts w:ascii="Arial" w:hAnsi="Arial" w:cs="Arial"/>
                <w:b/>
                <w:bCs/>
                <w:sz w:val="22"/>
                <w:szCs w:val="22"/>
              </w:rPr>
            </w:pPr>
          </w:p>
          <w:p w14:paraId="7D2DD593"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Comparison to Placebo</w:t>
            </w:r>
          </w:p>
        </w:tc>
        <w:tc>
          <w:tcPr>
            <w:tcW w:w="1620" w:type="dxa"/>
            <w:vAlign w:val="center"/>
          </w:tcPr>
          <w:p w14:paraId="009EBEFB" w14:textId="72828A8C" w:rsidR="007820FF" w:rsidRPr="00091875" w:rsidRDefault="007820FF" w:rsidP="004B6CDA">
            <w:pPr>
              <w:keepNext/>
              <w:pageBreakBefore/>
              <w:jc w:val="center"/>
              <w:rPr>
                <w:rFonts w:ascii="Arial" w:hAnsi="Arial" w:cs="Arial"/>
                <w:sz w:val="22"/>
                <w:szCs w:val="22"/>
              </w:rPr>
            </w:pPr>
            <w:r w:rsidRPr="00091875">
              <w:rPr>
                <w:rFonts w:ascii="Arial" w:hAnsi="Arial" w:cs="Arial"/>
                <w:sz w:val="22"/>
                <w:szCs w:val="22"/>
                <w:lang w:val="en-US"/>
              </w:rPr>
              <w:t>45.7</w:t>
            </w:r>
          </w:p>
        </w:tc>
        <w:tc>
          <w:tcPr>
            <w:tcW w:w="1710" w:type="dxa"/>
            <w:vAlign w:val="center"/>
          </w:tcPr>
          <w:p w14:paraId="1087A668" w14:textId="4D6553D4" w:rsidR="007820FF" w:rsidRPr="00091875" w:rsidRDefault="007820FF" w:rsidP="004B6CDA">
            <w:pPr>
              <w:keepNext/>
              <w:pageBreakBefore/>
              <w:jc w:val="center"/>
              <w:rPr>
                <w:rFonts w:ascii="Arial" w:hAnsi="Arial" w:cs="Arial"/>
                <w:sz w:val="22"/>
                <w:szCs w:val="22"/>
              </w:rPr>
            </w:pPr>
            <w:r w:rsidRPr="00091875">
              <w:rPr>
                <w:rFonts w:ascii="Arial" w:hAnsi="Arial" w:cs="Arial"/>
                <w:sz w:val="22"/>
                <w:szCs w:val="22"/>
                <w:lang w:val="en-US"/>
              </w:rPr>
              <w:t>48.7</w:t>
            </w:r>
          </w:p>
        </w:tc>
        <w:tc>
          <w:tcPr>
            <w:tcW w:w="1080" w:type="dxa"/>
            <w:vAlign w:val="center"/>
          </w:tcPr>
          <w:p w14:paraId="722659E1" w14:textId="6256202A" w:rsidR="007820FF" w:rsidRPr="00091875" w:rsidRDefault="007820FF" w:rsidP="004B6CDA">
            <w:pPr>
              <w:keepNext/>
              <w:pageBreakBefore/>
              <w:jc w:val="center"/>
              <w:rPr>
                <w:rFonts w:ascii="Arial" w:hAnsi="Arial" w:cs="Arial"/>
                <w:sz w:val="22"/>
                <w:szCs w:val="22"/>
              </w:rPr>
            </w:pPr>
            <w:r w:rsidRPr="00091875">
              <w:rPr>
                <w:rFonts w:ascii="Arial" w:hAnsi="Arial" w:cs="Arial"/>
                <w:sz w:val="22"/>
                <w:szCs w:val="22"/>
                <w:lang w:val="en-US"/>
              </w:rPr>
              <w:t>26.9</w:t>
            </w:r>
          </w:p>
        </w:tc>
        <w:tc>
          <w:tcPr>
            <w:tcW w:w="1620" w:type="dxa"/>
            <w:vAlign w:val="center"/>
          </w:tcPr>
          <w:p w14:paraId="5A068DB8" w14:textId="03F8EFD3" w:rsidR="007820FF" w:rsidRPr="00091875" w:rsidRDefault="007820FF" w:rsidP="004B6CDA">
            <w:pPr>
              <w:keepNext/>
              <w:pageBreakBefore/>
              <w:jc w:val="center"/>
              <w:rPr>
                <w:rFonts w:ascii="Arial" w:hAnsi="Arial" w:cs="Arial"/>
                <w:sz w:val="22"/>
                <w:szCs w:val="22"/>
              </w:rPr>
            </w:pPr>
            <w:r w:rsidRPr="00091875">
              <w:rPr>
                <w:rFonts w:ascii="Arial" w:hAnsi="Arial" w:cs="Arial"/>
                <w:sz w:val="22"/>
                <w:szCs w:val="22"/>
                <w:lang w:val="en-US"/>
              </w:rPr>
              <w:t>38.9</w:t>
            </w:r>
          </w:p>
        </w:tc>
        <w:tc>
          <w:tcPr>
            <w:tcW w:w="1060" w:type="dxa"/>
            <w:vAlign w:val="center"/>
          </w:tcPr>
          <w:p w14:paraId="64DA8EC8" w14:textId="06B78524" w:rsidR="007820FF" w:rsidRPr="00091875" w:rsidRDefault="007820FF" w:rsidP="004B6CDA">
            <w:pPr>
              <w:keepNext/>
              <w:pageBreakBefore/>
              <w:jc w:val="center"/>
              <w:rPr>
                <w:rFonts w:ascii="Arial" w:hAnsi="Arial" w:cs="Arial"/>
                <w:sz w:val="22"/>
                <w:szCs w:val="22"/>
              </w:rPr>
            </w:pPr>
            <w:r w:rsidRPr="00091875">
              <w:rPr>
                <w:rFonts w:ascii="Arial" w:hAnsi="Arial" w:cs="Arial"/>
                <w:sz w:val="22"/>
                <w:szCs w:val="22"/>
                <w:lang w:val="en-US"/>
              </w:rPr>
              <w:t>13.3</w:t>
            </w:r>
          </w:p>
        </w:tc>
      </w:tr>
      <w:tr w:rsidR="007820FF" w:rsidRPr="00091875" w14:paraId="7E38C0A5" w14:textId="77777777" w:rsidTr="007973D3">
        <w:tc>
          <w:tcPr>
            <w:tcW w:w="3112" w:type="dxa"/>
          </w:tcPr>
          <w:p w14:paraId="53CD84D7"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 Reduction</w:t>
            </w:r>
          </w:p>
          <w:p w14:paraId="0E6E031A" w14:textId="77777777" w:rsidR="007820FF" w:rsidRPr="00091875" w:rsidRDefault="007820FF" w:rsidP="00C876B1">
            <w:pPr>
              <w:rPr>
                <w:rFonts w:ascii="Arial" w:hAnsi="Arial" w:cs="Arial"/>
                <w:b/>
                <w:bCs/>
                <w:sz w:val="22"/>
                <w:szCs w:val="22"/>
              </w:rPr>
            </w:pPr>
          </w:p>
          <w:p w14:paraId="2D79AB80"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Difference</w:t>
            </w:r>
          </w:p>
          <w:p w14:paraId="2FB52A0A" w14:textId="77777777" w:rsidR="007820FF" w:rsidRPr="00091875" w:rsidRDefault="007820FF" w:rsidP="00C876B1">
            <w:pPr>
              <w:rPr>
                <w:rFonts w:ascii="Arial" w:hAnsi="Arial" w:cs="Arial"/>
                <w:b/>
                <w:bCs/>
                <w:sz w:val="22"/>
                <w:szCs w:val="22"/>
              </w:rPr>
            </w:pPr>
          </w:p>
          <w:p w14:paraId="541A819F"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95% CI</w:t>
            </w:r>
          </w:p>
          <w:p w14:paraId="17EB8F40"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P-value</w:t>
            </w:r>
          </w:p>
        </w:tc>
        <w:tc>
          <w:tcPr>
            <w:tcW w:w="1620" w:type="dxa"/>
          </w:tcPr>
          <w:p w14:paraId="42E33F99"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25.7</w:t>
            </w:r>
          </w:p>
          <w:p w14:paraId="230BB703" w14:textId="77777777" w:rsidR="007820FF" w:rsidRPr="00091875" w:rsidRDefault="007820FF" w:rsidP="00842A49">
            <w:pPr>
              <w:keepNext/>
              <w:pageBreakBefore/>
              <w:jc w:val="center"/>
              <w:rPr>
                <w:rFonts w:ascii="Arial" w:hAnsi="Arial" w:cs="Arial"/>
                <w:sz w:val="22"/>
                <w:szCs w:val="22"/>
                <w:lang w:val="en-US"/>
              </w:rPr>
            </w:pPr>
          </w:p>
          <w:p w14:paraId="1378AD2F" w14:textId="77777777" w:rsidR="007820FF" w:rsidRPr="00091875" w:rsidRDefault="007820FF" w:rsidP="00842A49">
            <w:pPr>
              <w:keepNext/>
              <w:pageBreakBefore/>
              <w:jc w:val="center"/>
              <w:rPr>
                <w:rFonts w:ascii="Arial" w:hAnsi="Arial" w:cs="Arial"/>
                <w:sz w:val="22"/>
                <w:szCs w:val="22"/>
                <w:lang w:val="en-US"/>
              </w:rPr>
            </w:pPr>
          </w:p>
          <w:p w14:paraId="1798954E" w14:textId="77777777" w:rsidR="007820FF" w:rsidRPr="00091875" w:rsidRDefault="007820FF" w:rsidP="00842A49">
            <w:pPr>
              <w:keepNext/>
              <w:pageBreakBefore/>
              <w:jc w:val="center"/>
              <w:rPr>
                <w:rFonts w:ascii="Arial" w:hAnsi="Arial" w:cs="Arial"/>
                <w:sz w:val="22"/>
                <w:szCs w:val="22"/>
                <w:lang w:val="en-US"/>
              </w:rPr>
            </w:pPr>
          </w:p>
          <w:p w14:paraId="53A491C6"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2.9; 43.2</w:t>
            </w:r>
          </w:p>
          <w:p w14:paraId="6B793ADC"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0.030</w:t>
            </w:r>
          </w:p>
        </w:tc>
        <w:tc>
          <w:tcPr>
            <w:tcW w:w="1710" w:type="dxa"/>
          </w:tcPr>
          <w:p w14:paraId="24D3F346"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29.8</w:t>
            </w:r>
          </w:p>
          <w:p w14:paraId="722886E3" w14:textId="77777777" w:rsidR="007820FF" w:rsidRPr="00091875" w:rsidRDefault="007820FF" w:rsidP="00842A49">
            <w:pPr>
              <w:keepNext/>
              <w:pageBreakBefore/>
              <w:jc w:val="center"/>
              <w:rPr>
                <w:rFonts w:ascii="Arial" w:hAnsi="Arial" w:cs="Arial"/>
                <w:sz w:val="22"/>
                <w:szCs w:val="22"/>
                <w:lang w:val="en-US"/>
              </w:rPr>
            </w:pPr>
          </w:p>
          <w:p w14:paraId="17CBB717" w14:textId="77777777" w:rsidR="007820FF" w:rsidRPr="00091875" w:rsidRDefault="007820FF" w:rsidP="00842A49">
            <w:pPr>
              <w:keepNext/>
              <w:pageBreakBefore/>
              <w:jc w:val="center"/>
              <w:rPr>
                <w:rFonts w:ascii="Arial" w:hAnsi="Arial" w:cs="Arial"/>
                <w:sz w:val="22"/>
                <w:szCs w:val="22"/>
                <w:lang w:val="en-US"/>
              </w:rPr>
            </w:pPr>
          </w:p>
          <w:p w14:paraId="7D3BB44F" w14:textId="77777777" w:rsidR="007820FF" w:rsidRPr="00091875" w:rsidRDefault="007820FF" w:rsidP="00842A49">
            <w:pPr>
              <w:keepNext/>
              <w:pageBreakBefore/>
              <w:jc w:val="center"/>
              <w:rPr>
                <w:rFonts w:ascii="Arial" w:hAnsi="Arial" w:cs="Arial"/>
                <w:sz w:val="22"/>
                <w:szCs w:val="22"/>
                <w:lang w:val="en-US"/>
              </w:rPr>
            </w:pPr>
          </w:p>
          <w:p w14:paraId="76813B6C"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8.4; 46.2</w:t>
            </w:r>
          </w:p>
          <w:p w14:paraId="56D1A0D5"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0.010</w:t>
            </w:r>
          </w:p>
        </w:tc>
        <w:tc>
          <w:tcPr>
            <w:tcW w:w="1080" w:type="dxa"/>
          </w:tcPr>
          <w:p w14:paraId="4313FC4C" w14:textId="77777777" w:rsidR="007820FF" w:rsidRPr="00091875" w:rsidRDefault="007820FF" w:rsidP="00842A49">
            <w:pPr>
              <w:jc w:val="center"/>
              <w:rPr>
                <w:rFonts w:ascii="Arial" w:hAnsi="Arial" w:cs="Arial"/>
                <w:sz w:val="22"/>
                <w:szCs w:val="22"/>
              </w:rPr>
            </w:pPr>
          </w:p>
        </w:tc>
        <w:tc>
          <w:tcPr>
            <w:tcW w:w="1620" w:type="dxa"/>
          </w:tcPr>
          <w:p w14:paraId="70C2BF2E" w14:textId="77777777" w:rsidR="007820FF" w:rsidRPr="00091875" w:rsidRDefault="007820FF" w:rsidP="00842A49">
            <w:pPr>
              <w:keepNext/>
              <w:pageBreakBefore/>
              <w:jc w:val="center"/>
              <w:rPr>
                <w:rFonts w:ascii="Arial" w:hAnsi="Arial" w:cs="Arial"/>
                <w:sz w:val="22"/>
                <w:szCs w:val="22"/>
                <w:lang w:val="en-US"/>
              </w:rPr>
            </w:pPr>
          </w:p>
          <w:p w14:paraId="7A2D442A" w14:textId="77777777" w:rsidR="007820FF" w:rsidRPr="00091875" w:rsidRDefault="007820FF" w:rsidP="00842A49">
            <w:pPr>
              <w:keepNext/>
              <w:pageBreakBefore/>
              <w:jc w:val="center"/>
              <w:rPr>
                <w:rFonts w:ascii="Arial" w:hAnsi="Arial" w:cs="Arial"/>
                <w:sz w:val="22"/>
                <w:szCs w:val="22"/>
                <w:lang w:val="en-US"/>
              </w:rPr>
            </w:pPr>
          </w:p>
          <w:p w14:paraId="359CF439"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22.8</w:t>
            </w:r>
          </w:p>
          <w:p w14:paraId="6151F703" w14:textId="77777777" w:rsidR="007820FF" w:rsidRPr="00091875" w:rsidRDefault="007820FF" w:rsidP="00842A49">
            <w:pPr>
              <w:keepNext/>
              <w:pageBreakBefore/>
              <w:jc w:val="center"/>
              <w:rPr>
                <w:rFonts w:ascii="Arial" w:hAnsi="Arial" w:cs="Arial"/>
                <w:sz w:val="22"/>
                <w:szCs w:val="22"/>
                <w:lang w:val="en-US"/>
              </w:rPr>
            </w:pPr>
          </w:p>
          <w:p w14:paraId="207E12CC"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5.4; 41.1</w:t>
            </w:r>
          </w:p>
          <w:p w14:paraId="1FA3D462"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0.012</w:t>
            </w:r>
          </w:p>
        </w:tc>
        <w:tc>
          <w:tcPr>
            <w:tcW w:w="1060" w:type="dxa"/>
          </w:tcPr>
          <w:p w14:paraId="6B1776E3" w14:textId="77777777" w:rsidR="007820FF" w:rsidRPr="00091875" w:rsidRDefault="007820FF" w:rsidP="00842A49">
            <w:pPr>
              <w:jc w:val="center"/>
              <w:rPr>
                <w:rFonts w:ascii="Arial" w:hAnsi="Arial" w:cs="Arial"/>
                <w:sz w:val="22"/>
                <w:szCs w:val="22"/>
              </w:rPr>
            </w:pPr>
          </w:p>
        </w:tc>
      </w:tr>
      <w:tr w:rsidR="007820FF" w:rsidRPr="00091875" w14:paraId="538ED9B8" w14:textId="77777777" w:rsidTr="00F9388E">
        <w:tc>
          <w:tcPr>
            <w:tcW w:w="10202" w:type="dxa"/>
            <w:gridSpan w:val="6"/>
          </w:tcPr>
          <w:p w14:paraId="62438694"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Key Secondary endpoints</w:t>
            </w:r>
          </w:p>
        </w:tc>
      </w:tr>
      <w:tr w:rsidR="007820FF" w:rsidRPr="00091875" w14:paraId="6274E88B" w14:textId="77777777" w:rsidTr="007973D3">
        <w:tc>
          <w:tcPr>
            <w:tcW w:w="3112" w:type="dxa"/>
          </w:tcPr>
          <w:p w14:paraId="2A434EA6"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 xml:space="preserve">50% responder proportion </w:t>
            </w:r>
            <w:r w:rsidRPr="00091875">
              <w:rPr>
                <w:rFonts w:ascii="Arial" w:hAnsi="Arial" w:cs="Arial"/>
                <w:b/>
                <w:bCs/>
                <w:i/>
                <w:iCs/>
                <w:sz w:val="22"/>
                <w:szCs w:val="22"/>
                <w:vertAlign w:val="superscript"/>
              </w:rPr>
              <w:t>a</w:t>
            </w:r>
          </w:p>
          <w:p w14:paraId="732CF1DF"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P-value</w:t>
            </w:r>
          </w:p>
        </w:tc>
        <w:tc>
          <w:tcPr>
            <w:tcW w:w="1620" w:type="dxa"/>
          </w:tcPr>
          <w:p w14:paraId="1E47E15D"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49.3%</w:t>
            </w:r>
          </w:p>
          <w:p w14:paraId="20C1A226"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0.007</w:t>
            </w:r>
          </w:p>
        </w:tc>
        <w:tc>
          <w:tcPr>
            <w:tcW w:w="1710" w:type="dxa"/>
          </w:tcPr>
          <w:p w14:paraId="3F76529D"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43.9%</w:t>
            </w:r>
          </w:p>
          <w:p w14:paraId="38131C32"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0.033</w:t>
            </w:r>
          </w:p>
        </w:tc>
        <w:tc>
          <w:tcPr>
            <w:tcW w:w="1080" w:type="dxa"/>
          </w:tcPr>
          <w:p w14:paraId="502D8C52"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26.2%</w:t>
            </w:r>
          </w:p>
        </w:tc>
        <w:tc>
          <w:tcPr>
            <w:tcW w:w="1620" w:type="dxa"/>
          </w:tcPr>
          <w:p w14:paraId="7E6CFDAD"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42.6%</w:t>
            </w:r>
          </w:p>
          <w:p w14:paraId="3D1B5E21"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0.078</w:t>
            </w:r>
          </w:p>
        </w:tc>
        <w:tc>
          <w:tcPr>
            <w:tcW w:w="1060" w:type="dxa"/>
          </w:tcPr>
          <w:p w14:paraId="5DF6DC79"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27.1%</w:t>
            </w:r>
          </w:p>
        </w:tc>
      </w:tr>
      <w:tr w:rsidR="007820FF" w:rsidRPr="00091875" w14:paraId="3E1F6039" w14:textId="77777777" w:rsidTr="00CC0DB6">
        <w:tc>
          <w:tcPr>
            <w:tcW w:w="3112" w:type="dxa"/>
            <w:tcBorders>
              <w:bottom w:val="single" w:sz="4" w:space="0" w:color="auto"/>
            </w:tcBorders>
          </w:tcPr>
          <w:p w14:paraId="3A0A0D7D"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 xml:space="preserve">Total seizures  </w:t>
            </w:r>
          </w:p>
          <w:p w14:paraId="2EB44AF4"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Median % Reduction/</w:t>
            </w:r>
          </w:p>
          <w:p w14:paraId="55AC449C"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 Reduction</w:t>
            </w:r>
          </w:p>
        </w:tc>
        <w:tc>
          <w:tcPr>
            <w:tcW w:w="1620" w:type="dxa"/>
            <w:tcBorders>
              <w:bottom w:val="single" w:sz="4" w:space="0" w:color="auto"/>
            </w:tcBorders>
            <w:vAlign w:val="center"/>
          </w:tcPr>
          <w:p w14:paraId="115EECB7" w14:textId="77777777" w:rsidR="007820FF" w:rsidRPr="00091875" w:rsidRDefault="007820FF" w:rsidP="00CC0DB6">
            <w:pPr>
              <w:jc w:val="center"/>
              <w:rPr>
                <w:rFonts w:ascii="Arial" w:hAnsi="Arial" w:cs="Arial"/>
                <w:sz w:val="22"/>
                <w:szCs w:val="22"/>
              </w:rPr>
            </w:pPr>
            <w:r w:rsidRPr="00091875">
              <w:rPr>
                <w:rFonts w:ascii="Arial" w:hAnsi="Arial" w:cs="Arial"/>
                <w:sz w:val="22"/>
                <w:szCs w:val="22"/>
                <w:lang w:val="en-US"/>
              </w:rPr>
              <w:t>47.3</w:t>
            </w:r>
          </w:p>
        </w:tc>
        <w:tc>
          <w:tcPr>
            <w:tcW w:w="1710" w:type="dxa"/>
            <w:tcBorders>
              <w:bottom w:val="single" w:sz="4" w:space="0" w:color="auto"/>
            </w:tcBorders>
            <w:vAlign w:val="center"/>
          </w:tcPr>
          <w:p w14:paraId="4C2EA00B" w14:textId="77777777" w:rsidR="007820FF" w:rsidRPr="00091875" w:rsidRDefault="007820FF" w:rsidP="00CC0DB6">
            <w:pPr>
              <w:jc w:val="center"/>
              <w:rPr>
                <w:rFonts w:ascii="Arial" w:hAnsi="Arial" w:cs="Arial"/>
                <w:sz w:val="22"/>
                <w:szCs w:val="22"/>
              </w:rPr>
            </w:pPr>
            <w:r w:rsidRPr="00091875">
              <w:rPr>
                <w:rFonts w:ascii="Arial" w:hAnsi="Arial" w:cs="Arial"/>
                <w:sz w:val="22"/>
                <w:szCs w:val="22"/>
                <w:lang w:val="en-US"/>
              </w:rPr>
              <w:t>56.4</w:t>
            </w:r>
          </w:p>
        </w:tc>
        <w:tc>
          <w:tcPr>
            <w:tcW w:w="1080" w:type="dxa"/>
            <w:tcBorders>
              <w:bottom w:val="single" w:sz="4" w:space="0" w:color="auto"/>
            </w:tcBorders>
            <w:vAlign w:val="center"/>
          </w:tcPr>
          <w:p w14:paraId="627BD340" w14:textId="77777777" w:rsidR="007820FF" w:rsidRPr="00091875" w:rsidRDefault="007820FF" w:rsidP="00CC0DB6">
            <w:pPr>
              <w:jc w:val="center"/>
              <w:rPr>
                <w:rFonts w:ascii="Arial" w:hAnsi="Arial" w:cs="Arial"/>
                <w:sz w:val="22"/>
                <w:szCs w:val="22"/>
              </w:rPr>
            </w:pPr>
            <w:r w:rsidRPr="00091875">
              <w:rPr>
                <w:rFonts w:ascii="Arial" w:hAnsi="Arial" w:cs="Arial"/>
                <w:sz w:val="22"/>
                <w:szCs w:val="22"/>
                <w:lang w:val="en-US"/>
              </w:rPr>
              <w:t>29.7</w:t>
            </w:r>
          </w:p>
        </w:tc>
        <w:tc>
          <w:tcPr>
            <w:tcW w:w="1620" w:type="dxa"/>
            <w:tcBorders>
              <w:bottom w:val="single" w:sz="4" w:space="0" w:color="auto"/>
            </w:tcBorders>
            <w:vAlign w:val="center"/>
          </w:tcPr>
          <w:p w14:paraId="2CF6D3AF" w14:textId="722F9156" w:rsidR="007820FF" w:rsidRPr="00091875" w:rsidRDefault="007820FF" w:rsidP="00CC0DB6">
            <w:pPr>
              <w:keepNext/>
              <w:pageBreakBefore/>
              <w:jc w:val="center"/>
              <w:rPr>
                <w:rFonts w:ascii="Arial" w:hAnsi="Arial" w:cs="Arial"/>
                <w:sz w:val="22"/>
                <w:szCs w:val="22"/>
              </w:rPr>
            </w:pPr>
            <w:r w:rsidRPr="00091875">
              <w:rPr>
                <w:rFonts w:ascii="Arial" w:hAnsi="Arial" w:cs="Arial"/>
                <w:sz w:val="22"/>
                <w:szCs w:val="22"/>
                <w:lang w:val="en-US"/>
              </w:rPr>
              <w:t>*</w:t>
            </w:r>
          </w:p>
        </w:tc>
        <w:tc>
          <w:tcPr>
            <w:tcW w:w="1060" w:type="dxa"/>
            <w:tcBorders>
              <w:bottom w:val="single" w:sz="4" w:space="0" w:color="auto"/>
            </w:tcBorders>
            <w:vAlign w:val="center"/>
          </w:tcPr>
          <w:p w14:paraId="613B61AF" w14:textId="77777777" w:rsidR="007820FF" w:rsidRPr="00091875" w:rsidRDefault="007820FF" w:rsidP="00CC0DB6">
            <w:pPr>
              <w:keepNext/>
              <w:pageBreakBefore/>
              <w:jc w:val="center"/>
              <w:rPr>
                <w:rFonts w:ascii="Arial" w:hAnsi="Arial" w:cs="Arial"/>
                <w:sz w:val="22"/>
                <w:szCs w:val="22"/>
              </w:rPr>
            </w:pPr>
          </w:p>
        </w:tc>
      </w:tr>
      <w:tr w:rsidR="007820FF" w:rsidRPr="00091875" w14:paraId="4072062A" w14:textId="77777777" w:rsidTr="007973D3">
        <w:tc>
          <w:tcPr>
            <w:tcW w:w="3112" w:type="dxa"/>
            <w:tcBorders>
              <w:bottom w:val="single" w:sz="4" w:space="0" w:color="auto"/>
            </w:tcBorders>
          </w:tcPr>
          <w:p w14:paraId="54BB48E4" w14:textId="77777777" w:rsidR="007820FF" w:rsidRPr="00091875" w:rsidRDefault="007820FF" w:rsidP="00C876B1">
            <w:pPr>
              <w:rPr>
                <w:rFonts w:ascii="Arial" w:hAnsi="Arial" w:cs="Arial"/>
                <w:b/>
                <w:bCs/>
                <w:i/>
                <w:iCs/>
                <w:sz w:val="22"/>
                <w:szCs w:val="22"/>
              </w:rPr>
            </w:pPr>
            <w:r w:rsidRPr="00091875">
              <w:rPr>
                <w:rFonts w:ascii="Arial" w:hAnsi="Arial" w:cs="Arial"/>
                <w:b/>
                <w:bCs/>
                <w:i/>
                <w:iCs/>
                <w:sz w:val="22"/>
                <w:szCs w:val="22"/>
              </w:rPr>
              <w:t>Comparison to Placebo</w:t>
            </w:r>
          </w:p>
          <w:p w14:paraId="2FE83908"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 Reduction</w:t>
            </w:r>
          </w:p>
          <w:p w14:paraId="7AE0B873" w14:textId="77777777" w:rsidR="007820FF" w:rsidRPr="00091875" w:rsidRDefault="007820FF" w:rsidP="00C876B1">
            <w:pPr>
              <w:rPr>
                <w:rFonts w:ascii="Arial" w:hAnsi="Arial" w:cs="Arial"/>
                <w:b/>
                <w:bCs/>
                <w:sz w:val="22"/>
                <w:szCs w:val="22"/>
              </w:rPr>
            </w:pPr>
          </w:p>
          <w:p w14:paraId="1A111E19"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Difference</w:t>
            </w:r>
          </w:p>
          <w:p w14:paraId="1DBC648C" w14:textId="77777777" w:rsidR="007820FF" w:rsidRPr="00091875" w:rsidRDefault="007820FF" w:rsidP="00C876B1">
            <w:pPr>
              <w:rPr>
                <w:rFonts w:ascii="Arial" w:hAnsi="Arial" w:cs="Arial"/>
                <w:b/>
                <w:bCs/>
                <w:sz w:val="22"/>
                <w:szCs w:val="22"/>
              </w:rPr>
            </w:pPr>
          </w:p>
          <w:p w14:paraId="5F6A22ED"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95% CI</w:t>
            </w:r>
          </w:p>
          <w:p w14:paraId="05CAD6A9" w14:textId="77777777" w:rsidR="007820FF" w:rsidRPr="00091875" w:rsidRDefault="007820FF" w:rsidP="00C876B1">
            <w:pPr>
              <w:rPr>
                <w:rFonts w:ascii="Arial" w:hAnsi="Arial" w:cs="Arial"/>
                <w:b/>
                <w:bCs/>
                <w:i/>
                <w:iCs/>
                <w:sz w:val="22"/>
                <w:szCs w:val="22"/>
              </w:rPr>
            </w:pPr>
            <w:r w:rsidRPr="00091875">
              <w:rPr>
                <w:rFonts w:ascii="Arial" w:hAnsi="Arial" w:cs="Arial"/>
                <w:b/>
                <w:bCs/>
                <w:sz w:val="22"/>
                <w:szCs w:val="22"/>
              </w:rPr>
              <w:t>P-value</w:t>
            </w:r>
          </w:p>
        </w:tc>
        <w:tc>
          <w:tcPr>
            <w:tcW w:w="1620" w:type="dxa"/>
            <w:tcBorders>
              <w:bottom w:val="single" w:sz="4" w:space="0" w:color="auto"/>
            </w:tcBorders>
          </w:tcPr>
          <w:p w14:paraId="5199CED6" w14:textId="77777777" w:rsidR="007820FF" w:rsidRPr="00091875" w:rsidRDefault="007820FF" w:rsidP="00842A49">
            <w:pPr>
              <w:keepNext/>
              <w:pageBreakBefore/>
              <w:jc w:val="center"/>
              <w:rPr>
                <w:rFonts w:ascii="Arial" w:hAnsi="Arial" w:cs="Arial"/>
                <w:sz w:val="22"/>
                <w:szCs w:val="22"/>
                <w:lang w:val="en-US"/>
              </w:rPr>
            </w:pPr>
          </w:p>
          <w:p w14:paraId="14A0BF7C" w14:textId="77777777" w:rsidR="007820FF" w:rsidRPr="00091875" w:rsidRDefault="007820FF" w:rsidP="00842A49">
            <w:pPr>
              <w:keepNext/>
              <w:pageBreakBefore/>
              <w:jc w:val="center"/>
              <w:rPr>
                <w:rFonts w:ascii="Arial" w:hAnsi="Arial" w:cs="Arial"/>
                <w:sz w:val="22"/>
                <w:szCs w:val="22"/>
                <w:lang w:val="en-US"/>
              </w:rPr>
            </w:pPr>
          </w:p>
          <w:p w14:paraId="75DEC66B"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25.1</w:t>
            </w:r>
          </w:p>
          <w:p w14:paraId="7E6EF6EC" w14:textId="77777777" w:rsidR="007820FF" w:rsidRPr="00091875" w:rsidRDefault="007820FF" w:rsidP="00842A49">
            <w:pPr>
              <w:keepNext/>
              <w:pageBreakBefore/>
              <w:jc w:val="center"/>
              <w:rPr>
                <w:rFonts w:ascii="Arial" w:hAnsi="Arial" w:cs="Arial"/>
                <w:sz w:val="22"/>
                <w:szCs w:val="22"/>
                <w:lang w:val="en-US"/>
              </w:rPr>
            </w:pPr>
          </w:p>
          <w:p w14:paraId="0203A5E9" w14:textId="77777777" w:rsidR="007820FF" w:rsidRPr="00091875" w:rsidRDefault="007820FF" w:rsidP="00842A49">
            <w:pPr>
              <w:keepNext/>
              <w:pageBreakBefore/>
              <w:jc w:val="center"/>
              <w:rPr>
                <w:rFonts w:ascii="Arial" w:hAnsi="Arial" w:cs="Arial"/>
                <w:sz w:val="22"/>
                <w:szCs w:val="22"/>
                <w:lang w:val="en-US"/>
              </w:rPr>
            </w:pPr>
          </w:p>
          <w:p w14:paraId="6FB89054"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3.5; 41.9</w:t>
            </w:r>
          </w:p>
          <w:p w14:paraId="1685CC92"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0.026</w:t>
            </w:r>
          </w:p>
        </w:tc>
        <w:tc>
          <w:tcPr>
            <w:tcW w:w="1710" w:type="dxa"/>
            <w:tcBorders>
              <w:bottom w:val="single" w:sz="4" w:space="0" w:color="auto"/>
            </w:tcBorders>
          </w:tcPr>
          <w:p w14:paraId="2605BFCD" w14:textId="77777777" w:rsidR="007820FF" w:rsidRPr="00091875" w:rsidRDefault="007820FF" w:rsidP="00842A49">
            <w:pPr>
              <w:keepNext/>
              <w:pageBreakBefore/>
              <w:jc w:val="center"/>
              <w:rPr>
                <w:rFonts w:ascii="Arial" w:hAnsi="Arial" w:cs="Arial"/>
                <w:sz w:val="22"/>
                <w:szCs w:val="22"/>
                <w:lang w:val="en-US"/>
              </w:rPr>
            </w:pPr>
          </w:p>
          <w:p w14:paraId="459BEF3E" w14:textId="77777777" w:rsidR="007820FF" w:rsidRPr="00091875" w:rsidRDefault="007820FF" w:rsidP="00842A49">
            <w:pPr>
              <w:keepNext/>
              <w:pageBreakBefore/>
              <w:jc w:val="center"/>
              <w:rPr>
                <w:rFonts w:ascii="Arial" w:hAnsi="Arial" w:cs="Arial"/>
                <w:sz w:val="22"/>
                <w:szCs w:val="22"/>
                <w:lang w:val="en-US"/>
              </w:rPr>
            </w:pPr>
          </w:p>
          <w:p w14:paraId="0A35FA37"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38.0</w:t>
            </w:r>
          </w:p>
          <w:p w14:paraId="53CCB78B" w14:textId="77777777" w:rsidR="007820FF" w:rsidRPr="00091875" w:rsidRDefault="007820FF" w:rsidP="00842A49">
            <w:pPr>
              <w:keepNext/>
              <w:pageBreakBefore/>
              <w:jc w:val="center"/>
              <w:rPr>
                <w:rFonts w:ascii="Arial" w:hAnsi="Arial" w:cs="Arial"/>
                <w:sz w:val="22"/>
                <w:szCs w:val="22"/>
                <w:lang w:val="en-US"/>
              </w:rPr>
            </w:pPr>
          </w:p>
          <w:p w14:paraId="6FAA25BC" w14:textId="77777777" w:rsidR="007820FF" w:rsidRPr="00091875" w:rsidRDefault="007820FF" w:rsidP="00842A49">
            <w:pPr>
              <w:keepNext/>
              <w:pageBreakBefore/>
              <w:jc w:val="center"/>
              <w:rPr>
                <w:rFonts w:ascii="Arial" w:hAnsi="Arial" w:cs="Arial"/>
                <w:sz w:val="22"/>
                <w:szCs w:val="22"/>
                <w:lang w:val="en-US"/>
              </w:rPr>
            </w:pPr>
          </w:p>
          <w:p w14:paraId="7AE9A4CB"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20.1; 51.9</w:t>
            </w:r>
          </w:p>
          <w:p w14:paraId="7063F05C"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&lt;0.001</w:t>
            </w:r>
          </w:p>
        </w:tc>
        <w:tc>
          <w:tcPr>
            <w:tcW w:w="1080" w:type="dxa"/>
            <w:tcBorders>
              <w:bottom w:val="single" w:sz="4" w:space="0" w:color="auto"/>
            </w:tcBorders>
          </w:tcPr>
          <w:p w14:paraId="4508F9ED" w14:textId="77777777" w:rsidR="007820FF" w:rsidRPr="00091875" w:rsidRDefault="007820FF" w:rsidP="00842A49">
            <w:pPr>
              <w:keepNext/>
              <w:pageBreakBefore/>
              <w:jc w:val="center"/>
              <w:rPr>
                <w:rFonts w:ascii="Arial" w:hAnsi="Arial" w:cs="Arial"/>
                <w:sz w:val="22"/>
                <w:szCs w:val="22"/>
                <w:lang w:val="en-US"/>
              </w:rPr>
            </w:pPr>
          </w:p>
          <w:p w14:paraId="0468C05C" w14:textId="77777777" w:rsidR="007820FF" w:rsidRPr="00091875" w:rsidRDefault="007820FF" w:rsidP="00842A49">
            <w:pPr>
              <w:jc w:val="center"/>
              <w:rPr>
                <w:rFonts w:ascii="Arial" w:hAnsi="Arial" w:cs="Arial"/>
                <w:sz w:val="22"/>
                <w:szCs w:val="22"/>
              </w:rPr>
            </w:pPr>
          </w:p>
        </w:tc>
        <w:tc>
          <w:tcPr>
            <w:tcW w:w="1620" w:type="dxa"/>
            <w:tcBorders>
              <w:bottom w:val="single" w:sz="4" w:space="0" w:color="auto"/>
            </w:tcBorders>
          </w:tcPr>
          <w:p w14:paraId="41A832EF" w14:textId="77777777" w:rsidR="007820FF" w:rsidRPr="00091875" w:rsidRDefault="007820FF" w:rsidP="00842A49">
            <w:pPr>
              <w:keepNext/>
              <w:pageBreakBefore/>
              <w:jc w:val="center"/>
              <w:rPr>
                <w:rFonts w:ascii="Arial" w:hAnsi="Arial" w:cs="Arial"/>
                <w:sz w:val="22"/>
                <w:szCs w:val="22"/>
                <w:lang w:val="en-US"/>
              </w:rPr>
            </w:pPr>
          </w:p>
          <w:p w14:paraId="6CB6C66D" w14:textId="77777777" w:rsidR="007820FF" w:rsidRPr="00091875" w:rsidRDefault="007820FF" w:rsidP="00842A49">
            <w:pPr>
              <w:keepNext/>
              <w:pageBreakBefore/>
              <w:jc w:val="center"/>
              <w:rPr>
                <w:rFonts w:ascii="Arial" w:hAnsi="Arial" w:cs="Arial"/>
                <w:sz w:val="22"/>
                <w:szCs w:val="22"/>
                <w:lang w:val="en-US"/>
              </w:rPr>
            </w:pPr>
          </w:p>
          <w:p w14:paraId="3AE72801" w14:textId="77777777" w:rsidR="007820FF" w:rsidRPr="00091875" w:rsidRDefault="007820FF" w:rsidP="00842A49">
            <w:pPr>
              <w:keepNext/>
              <w:pageBreakBefore/>
              <w:jc w:val="center"/>
              <w:rPr>
                <w:rFonts w:ascii="Arial" w:hAnsi="Arial" w:cs="Arial"/>
                <w:sz w:val="22"/>
                <w:szCs w:val="22"/>
                <w:lang w:val="en-US"/>
              </w:rPr>
            </w:pPr>
          </w:p>
          <w:p w14:paraId="50F67120" w14:textId="77777777" w:rsidR="007820FF" w:rsidRPr="00091875" w:rsidRDefault="007820FF" w:rsidP="00842A49">
            <w:pPr>
              <w:keepNext/>
              <w:pageBreakBefore/>
              <w:jc w:val="center"/>
              <w:rPr>
                <w:rFonts w:ascii="Arial" w:hAnsi="Arial" w:cs="Arial"/>
                <w:sz w:val="22"/>
                <w:szCs w:val="22"/>
                <w:lang w:val="en-US"/>
              </w:rPr>
            </w:pPr>
          </w:p>
          <w:p w14:paraId="195EAC66" w14:textId="77777777" w:rsidR="007820FF" w:rsidRPr="00091875" w:rsidRDefault="007820FF" w:rsidP="00842A49">
            <w:pPr>
              <w:jc w:val="center"/>
              <w:rPr>
                <w:rFonts w:ascii="Arial" w:hAnsi="Arial" w:cs="Arial"/>
                <w:sz w:val="22"/>
                <w:szCs w:val="22"/>
              </w:rPr>
            </w:pPr>
          </w:p>
        </w:tc>
        <w:tc>
          <w:tcPr>
            <w:tcW w:w="1060" w:type="dxa"/>
            <w:tcBorders>
              <w:bottom w:val="single" w:sz="4" w:space="0" w:color="auto"/>
            </w:tcBorders>
          </w:tcPr>
          <w:p w14:paraId="60087B60" w14:textId="77777777" w:rsidR="007820FF" w:rsidRPr="00091875" w:rsidRDefault="007820FF" w:rsidP="00842A49">
            <w:pPr>
              <w:jc w:val="center"/>
              <w:rPr>
                <w:rFonts w:ascii="Arial" w:hAnsi="Arial" w:cs="Arial"/>
                <w:sz w:val="22"/>
                <w:szCs w:val="22"/>
              </w:rPr>
            </w:pPr>
          </w:p>
        </w:tc>
      </w:tr>
      <w:tr w:rsidR="007820FF" w:rsidRPr="00091875" w14:paraId="28A08B25" w14:textId="77777777" w:rsidTr="007973D3">
        <w:tc>
          <w:tcPr>
            <w:tcW w:w="3112" w:type="dxa"/>
            <w:tcBorders>
              <w:bottom w:val="single" w:sz="4" w:space="0" w:color="auto"/>
            </w:tcBorders>
          </w:tcPr>
          <w:p w14:paraId="71634F7F" w14:textId="77777777" w:rsidR="007820FF" w:rsidRPr="00091875" w:rsidRDefault="007820FF" w:rsidP="00C876B1">
            <w:pPr>
              <w:rPr>
                <w:rFonts w:ascii="Arial" w:hAnsi="Arial" w:cs="Arial"/>
                <w:b/>
                <w:bCs/>
                <w:sz w:val="22"/>
                <w:szCs w:val="22"/>
              </w:rPr>
            </w:pPr>
            <w:r w:rsidRPr="00091875">
              <w:rPr>
                <w:rFonts w:ascii="Arial" w:hAnsi="Arial" w:cs="Arial"/>
                <w:b/>
                <w:bCs/>
                <w:i/>
                <w:iCs/>
                <w:sz w:val="22"/>
                <w:szCs w:val="22"/>
              </w:rPr>
              <w:t>Mean S/CGIC results (last visit</w:t>
            </w:r>
            <w:r w:rsidRPr="00091875">
              <w:rPr>
                <w:rFonts w:ascii="Arial" w:hAnsi="Arial" w:cs="Arial"/>
                <w:b/>
                <w:bCs/>
                <w:sz w:val="22"/>
                <w:szCs w:val="22"/>
              </w:rPr>
              <w:t>)</w:t>
            </w:r>
          </w:p>
          <w:p w14:paraId="09EDBDF7" w14:textId="77777777" w:rsidR="007820FF" w:rsidRPr="00091875" w:rsidRDefault="007820FF" w:rsidP="00C876B1">
            <w:pPr>
              <w:rPr>
                <w:rFonts w:ascii="Arial" w:hAnsi="Arial" w:cs="Arial"/>
                <w:b/>
                <w:bCs/>
                <w:sz w:val="22"/>
                <w:szCs w:val="22"/>
              </w:rPr>
            </w:pPr>
            <w:r w:rsidRPr="00091875">
              <w:rPr>
                <w:rFonts w:ascii="Arial" w:hAnsi="Arial" w:cs="Arial"/>
                <w:b/>
                <w:bCs/>
                <w:sz w:val="22"/>
                <w:szCs w:val="22"/>
              </w:rPr>
              <w:t>P-value</w:t>
            </w:r>
          </w:p>
        </w:tc>
        <w:tc>
          <w:tcPr>
            <w:tcW w:w="1620" w:type="dxa"/>
            <w:tcBorders>
              <w:bottom w:val="single" w:sz="4" w:space="0" w:color="auto"/>
            </w:tcBorders>
          </w:tcPr>
          <w:p w14:paraId="009D65E8"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3.1</w:t>
            </w:r>
          </w:p>
          <w:p w14:paraId="315B1919"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(sl. improved)</w:t>
            </w:r>
          </w:p>
          <w:p w14:paraId="0EDEA72F"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0.028</w:t>
            </w:r>
          </w:p>
        </w:tc>
        <w:tc>
          <w:tcPr>
            <w:tcW w:w="1710" w:type="dxa"/>
            <w:tcBorders>
              <w:bottom w:val="single" w:sz="4" w:space="0" w:color="auto"/>
            </w:tcBorders>
          </w:tcPr>
          <w:p w14:paraId="0EC05F8D"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2.8</w:t>
            </w:r>
          </w:p>
          <w:p w14:paraId="051E592A"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sz w:val="22"/>
                <w:szCs w:val="22"/>
                <w:lang w:val="en-US"/>
              </w:rPr>
              <w:t>(sl. improved)</w:t>
            </w:r>
          </w:p>
          <w:p w14:paraId="784F4D2D"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0.001</w:t>
            </w:r>
          </w:p>
        </w:tc>
        <w:tc>
          <w:tcPr>
            <w:tcW w:w="1080" w:type="dxa"/>
            <w:tcBorders>
              <w:bottom w:val="single" w:sz="4" w:space="0" w:color="auto"/>
            </w:tcBorders>
          </w:tcPr>
          <w:p w14:paraId="1550A04A" w14:textId="77777777" w:rsidR="007820FF" w:rsidRPr="00091875" w:rsidRDefault="007820FF" w:rsidP="00842A49">
            <w:pPr>
              <w:jc w:val="center"/>
              <w:rPr>
                <w:rFonts w:ascii="Arial" w:hAnsi="Arial" w:cs="Arial"/>
                <w:sz w:val="22"/>
                <w:szCs w:val="22"/>
                <w:lang w:val="en-US"/>
              </w:rPr>
            </w:pPr>
            <w:r w:rsidRPr="00091875">
              <w:rPr>
                <w:rFonts w:ascii="Arial" w:hAnsi="Arial" w:cs="Arial"/>
                <w:sz w:val="22"/>
                <w:szCs w:val="22"/>
                <w:lang w:val="en-US"/>
              </w:rPr>
              <w:t>3.6</w:t>
            </w:r>
          </w:p>
          <w:p w14:paraId="5121E629" w14:textId="77777777" w:rsidR="007820FF" w:rsidRPr="00091875" w:rsidRDefault="007820FF" w:rsidP="00842A49">
            <w:pPr>
              <w:jc w:val="center"/>
              <w:rPr>
                <w:rFonts w:ascii="Arial" w:hAnsi="Arial" w:cs="Arial"/>
                <w:sz w:val="22"/>
                <w:szCs w:val="22"/>
              </w:rPr>
            </w:pPr>
            <w:r w:rsidRPr="00091875">
              <w:rPr>
                <w:rFonts w:ascii="Arial" w:hAnsi="Arial" w:cs="Arial"/>
                <w:sz w:val="22"/>
                <w:szCs w:val="22"/>
                <w:lang w:val="en-US"/>
              </w:rPr>
              <w:t>(no change)</w:t>
            </w:r>
          </w:p>
        </w:tc>
        <w:tc>
          <w:tcPr>
            <w:tcW w:w="1620" w:type="dxa"/>
            <w:tcBorders>
              <w:bottom w:val="single" w:sz="4" w:space="0" w:color="auto"/>
            </w:tcBorders>
          </w:tcPr>
          <w:p w14:paraId="1C87A457" w14:textId="77777777" w:rsidR="007820FF" w:rsidRPr="00091875" w:rsidRDefault="007820FF" w:rsidP="00842A49">
            <w:pPr>
              <w:keepNext/>
              <w:pageBreakBefore/>
              <w:jc w:val="center"/>
              <w:rPr>
                <w:rFonts w:ascii="Arial" w:hAnsi="Arial" w:cs="Arial"/>
                <w:sz w:val="22"/>
                <w:szCs w:val="22"/>
                <w:lang w:val="en-US"/>
              </w:rPr>
            </w:pPr>
            <w:r w:rsidRPr="00091875">
              <w:rPr>
                <w:rFonts w:ascii="Arial" w:hAnsi="Arial" w:cs="Arial"/>
                <w:i/>
                <w:sz w:val="22"/>
                <w:szCs w:val="22"/>
                <w:lang w:val="en-GB"/>
              </w:rPr>
              <w:t>*</w:t>
            </w:r>
          </w:p>
          <w:p w14:paraId="1AB8513C" w14:textId="77777777" w:rsidR="007820FF" w:rsidRPr="00091875" w:rsidRDefault="007820FF" w:rsidP="00842A49">
            <w:pPr>
              <w:jc w:val="center"/>
              <w:rPr>
                <w:rFonts w:ascii="Arial" w:hAnsi="Arial" w:cs="Arial"/>
                <w:sz w:val="22"/>
                <w:szCs w:val="22"/>
              </w:rPr>
            </w:pPr>
          </w:p>
        </w:tc>
        <w:tc>
          <w:tcPr>
            <w:tcW w:w="1060" w:type="dxa"/>
            <w:tcBorders>
              <w:bottom w:val="single" w:sz="4" w:space="0" w:color="auto"/>
            </w:tcBorders>
          </w:tcPr>
          <w:p w14:paraId="2C11240B" w14:textId="77777777" w:rsidR="007820FF" w:rsidRPr="00091875" w:rsidRDefault="007820FF" w:rsidP="00842A49">
            <w:pPr>
              <w:jc w:val="center"/>
              <w:rPr>
                <w:rFonts w:ascii="Arial" w:hAnsi="Arial" w:cs="Arial"/>
                <w:sz w:val="22"/>
                <w:szCs w:val="22"/>
              </w:rPr>
            </w:pPr>
          </w:p>
        </w:tc>
      </w:tr>
      <w:tr w:rsidR="007820FF" w:rsidRPr="00091875" w14:paraId="779CF741" w14:textId="77777777" w:rsidTr="00F9388E">
        <w:tc>
          <w:tcPr>
            <w:tcW w:w="10202" w:type="dxa"/>
            <w:gridSpan w:val="6"/>
            <w:tcBorders>
              <w:top w:val="single" w:sz="4" w:space="0" w:color="auto"/>
              <w:left w:val="nil"/>
              <w:bottom w:val="nil"/>
              <w:right w:val="nil"/>
            </w:tcBorders>
          </w:tcPr>
          <w:p w14:paraId="3206D96B" w14:textId="77777777" w:rsidR="007820FF" w:rsidRPr="00091875" w:rsidRDefault="007820FF" w:rsidP="00C876B1">
            <w:pPr>
              <w:rPr>
                <w:rFonts w:ascii="Arial" w:hAnsi="Arial" w:cs="Arial"/>
                <w:sz w:val="22"/>
                <w:szCs w:val="22"/>
              </w:rPr>
            </w:pPr>
            <w:r w:rsidRPr="00091875">
              <w:rPr>
                <w:rFonts w:ascii="Arial" w:hAnsi="Arial" w:cs="Arial"/>
                <w:sz w:val="22"/>
                <w:szCs w:val="22"/>
              </w:rPr>
              <w:t>CI= 95% confidence interval; Difference= treatment difference (12 weeks); a= proportion of patients with at least 50% reduction in convulsive seizure frequency; sl.=slightly.</w:t>
            </w:r>
          </w:p>
          <w:p w14:paraId="4BCFA294" w14:textId="77777777" w:rsidR="007820FF" w:rsidRPr="00091875" w:rsidRDefault="007820FF" w:rsidP="00C876B1">
            <w:pPr>
              <w:rPr>
                <w:rFonts w:ascii="Arial" w:hAnsi="Arial" w:cs="Arial"/>
                <w:sz w:val="22"/>
                <w:szCs w:val="22"/>
              </w:rPr>
            </w:pPr>
            <w:r w:rsidRPr="00091875">
              <w:rPr>
                <w:rFonts w:ascii="Arial" w:hAnsi="Arial" w:cs="Arial"/>
                <w:sz w:val="22"/>
                <w:szCs w:val="22"/>
              </w:rPr>
              <w:t>* For study GWPCARE1, total seizures and CGIC endpoints were not included in formal hypothesis testing and hence results are not shown.</w:t>
            </w:r>
          </w:p>
        </w:tc>
      </w:tr>
    </w:tbl>
    <w:p w14:paraId="79C75246" w14:textId="0CA62BA0" w:rsidR="00383189" w:rsidRDefault="00383189" w:rsidP="0062271D">
      <w:pPr>
        <w:rPr>
          <w:sz w:val="22"/>
        </w:rPr>
      </w:pPr>
    </w:p>
    <w:p w14:paraId="1920D709" w14:textId="3E24B19D" w:rsidR="00ED2FD2" w:rsidRDefault="00ED2FD2" w:rsidP="0062271D">
      <w:pPr>
        <w:rPr>
          <w:sz w:val="22"/>
        </w:rPr>
      </w:pPr>
    </w:p>
    <w:p w14:paraId="20BE9C31" w14:textId="6DBB5474" w:rsidR="00ED2FD2" w:rsidRDefault="00ED2FD2" w:rsidP="0062271D">
      <w:pPr>
        <w:rPr>
          <w:sz w:val="22"/>
        </w:rPr>
      </w:pPr>
    </w:p>
    <w:p w14:paraId="46A3C66C" w14:textId="3AABC162" w:rsidR="00ED2FD2" w:rsidRDefault="00ED2FD2" w:rsidP="0062271D">
      <w:pPr>
        <w:rPr>
          <w:sz w:val="22"/>
        </w:rPr>
      </w:pPr>
    </w:p>
    <w:p w14:paraId="46090FBB" w14:textId="62B36A69" w:rsidR="00543E23" w:rsidRPr="0062381A" w:rsidRDefault="00543E23" w:rsidP="0062271D">
      <w:pPr>
        <w:rPr>
          <w:rFonts w:ascii="Arial" w:hAnsi="Arial" w:cs="Arial"/>
        </w:rPr>
      </w:pPr>
    </w:p>
    <w:p w14:paraId="034EBC52" w14:textId="736A24EF" w:rsidR="0062271D" w:rsidRPr="002F320A" w:rsidRDefault="00E92D7B" w:rsidP="005B24EC">
      <w:pPr>
        <w:keepNext/>
        <w:rPr>
          <w:lang w:val="en-GB"/>
        </w:rPr>
      </w:pPr>
      <w:r w:rsidRPr="002F320A">
        <w:rPr>
          <w:rFonts w:ascii="Arial" w:hAnsi="Arial"/>
          <w:b/>
          <w:lang w:val="en-GB"/>
        </w:rPr>
        <w:t xml:space="preserve">Figure 2: Cumulative Proportion of Patients by Category of Seizure Response in the Treatment Period for EPIDYOLEX and Placebo in Patients with </w:t>
      </w:r>
      <w:proofErr w:type="spellStart"/>
      <w:r w:rsidRPr="002F320A">
        <w:rPr>
          <w:rFonts w:ascii="Arial" w:hAnsi="Arial"/>
          <w:b/>
          <w:lang w:val="en-GB"/>
        </w:rPr>
        <w:t>Dravet</w:t>
      </w:r>
      <w:proofErr w:type="spellEnd"/>
      <w:r w:rsidRPr="002F320A">
        <w:rPr>
          <w:rFonts w:ascii="Arial" w:hAnsi="Arial"/>
          <w:b/>
          <w:lang w:val="en-GB"/>
        </w:rPr>
        <w:t xml:space="preserve"> Syndrome (GWPCARE2 and 1)</w:t>
      </w:r>
    </w:p>
    <w:p w14:paraId="0D18E7B8" w14:textId="75261607" w:rsidR="00E92D7B" w:rsidRDefault="167C2DD8" w:rsidP="005B24EC">
      <w:pPr>
        <w:jc w:val="center"/>
        <w:rPr>
          <w:rFonts w:ascii="Arial" w:hAnsi="Arial" w:cs="Arial"/>
          <w:lang w:val="en-GB"/>
        </w:rPr>
      </w:pPr>
      <w:r>
        <w:rPr>
          <w:noProof/>
          <w:lang w:eastAsia="en-AU"/>
        </w:rPr>
        <w:drawing>
          <wp:inline distT="0" distB="0" distL="0" distR="0" wp14:anchorId="5C41A628" wp14:editId="45ED8CEA">
            <wp:extent cx="5762626" cy="3990975"/>
            <wp:effectExtent l="0" t="0" r="9525" b="9525"/>
            <wp:docPr id="1991147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762626" cy="3990975"/>
                    </a:xfrm>
                    <a:prstGeom prst="rect">
                      <a:avLst/>
                    </a:prstGeom>
                  </pic:spPr>
                </pic:pic>
              </a:graphicData>
            </a:graphic>
          </wp:inline>
        </w:drawing>
      </w:r>
    </w:p>
    <w:p w14:paraId="77D7E137" w14:textId="2FE7FA23" w:rsidR="00E92D7B" w:rsidRPr="002F320A" w:rsidRDefault="00E92D7B" w:rsidP="002F320A">
      <w:pPr>
        <w:rPr>
          <w:rFonts w:ascii="Arial" w:hAnsi="Arial"/>
          <w:lang w:val="en-GB"/>
        </w:rPr>
      </w:pPr>
    </w:p>
    <w:p w14:paraId="50935006" w14:textId="1490317A" w:rsidR="00E92D7B" w:rsidRDefault="00E92D7B" w:rsidP="00E92D7B">
      <w:pPr>
        <w:rPr>
          <w:rFonts w:ascii="Arial" w:hAnsi="Arial" w:cs="Arial"/>
        </w:rPr>
      </w:pPr>
      <w:r w:rsidRPr="002F320A">
        <w:rPr>
          <w:rFonts w:ascii="Arial" w:hAnsi="Arial"/>
        </w:rPr>
        <w:t>Compared with placebo, EPIDYOLEX was associated with an increase in the number of convulsive seizure</w:t>
      </w:r>
      <w:r w:rsidRPr="0062381A">
        <w:rPr>
          <w:rFonts w:ascii="Arial" w:hAnsi="Arial" w:cs="Arial"/>
        </w:rPr>
        <w:noBreakHyphen/>
      </w:r>
      <w:r w:rsidRPr="002F320A">
        <w:rPr>
          <w:rFonts w:ascii="Arial" w:hAnsi="Arial"/>
        </w:rPr>
        <w:t xml:space="preserve">free days during the treatment period in each trial, equivalent to </w:t>
      </w:r>
      <w:r w:rsidR="0071096B" w:rsidRPr="002F320A">
        <w:rPr>
          <w:rFonts w:ascii="Arial" w:hAnsi="Arial"/>
        </w:rPr>
        <w:t>2</w:t>
      </w:r>
      <w:r w:rsidR="004C4F6C" w:rsidRPr="002F320A">
        <w:rPr>
          <w:rFonts w:ascii="Arial" w:hAnsi="Arial"/>
        </w:rPr>
        <w:t>.</w:t>
      </w:r>
      <w:r w:rsidR="004C4F6C">
        <w:rPr>
          <w:rFonts w:ascii="Arial" w:hAnsi="Arial" w:cs="Arial"/>
        </w:rPr>
        <w:t>4</w:t>
      </w:r>
      <w:r w:rsidR="00035AB1">
        <w:rPr>
          <w:rFonts w:ascii="Arial" w:hAnsi="Arial"/>
        </w:rPr>
        <w:t> </w:t>
      </w:r>
      <w:r w:rsidRPr="002F320A">
        <w:rPr>
          <w:rFonts w:ascii="Arial" w:hAnsi="Arial"/>
        </w:rPr>
        <w:t>days per 28</w:t>
      </w:r>
      <w:r w:rsidRPr="0062381A">
        <w:rPr>
          <w:rFonts w:ascii="Arial" w:hAnsi="Arial" w:cs="Arial"/>
        </w:rPr>
        <w:t> </w:t>
      </w:r>
      <w:r w:rsidRPr="002F320A">
        <w:rPr>
          <w:rFonts w:ascii="Arial" w:hAnsi="Arial"/>
        </w:rPr>
        <w:t>days (10</w:t>
      </w:r>
      <w:r w:rsidRPr="0062381A">
        <w:rPr>
          <w:rFonts w:ascii="Arial" w:hAnsi="Arial" w:cs="Arial"/>
        </w:rPr>
        <w:t> </w:t>
      </w:r>
      <w:r w:rsidRPr="002F320A">
        <w:rPr>
          <w:rFonts w:ascii="Arial" w:hAnsi="Arial"/>
        </w:rPr>
        <w:t xml:space="preserve">mg/kg/day) and </w:t>
      </w:r>
      <w:r w:rsidR="0053004B" w:rsidRPr="002F320A">
        <w:rPr>
          <w:rFonts w:ascii="Arial" w:hAnsi="Arial"/>
        </w:rPr>
        <w:t>1</w:t>
      </w:r>
      <w:r w:rsidR="00D701DC" w:rsidRPr="002F320A">
        <w:rPr>
          <w:rFonts w:ascii="Arial" w:hAnsi="Arial"/>
        </w:rPr>
        <w:t>.3</w:t>
      </w:r>
      <w:r w:rsidRPr="0062381A">
        <w:rPr>
          <w:rFonts w:ascii="Arial" w:hAnsi="Arial" w:cs="Arial"/>
        </w:rPr>
        <w:t> </w:t>
      </w:r>
      <w:r w:rsidRPr="002F320A">
        <w:rPr>
          <w:rFonts w:ascii="Arial" w:hAnsi="Arial"/>
        </w:rPr>
        <w:t xml:space="preserve">to </w:t>
      </w:r>
      <w:r w:rsidR="0071096B">
        <w:rPr>
          <w:rFonts w:ascii="Arial" w:hAnsi="Arial" w:cs="Arial"/>
        </w:rPr>
        <w:t>1</w:t>
      </w:r>
      <w:r w:rsidRPr="0062381A">
        <w:rPr>
          <w:rFonts w:ascii="Arial" w:hAnsi="Arial" w:cs="Arial"/>
        </w:rPr>
        <w:t>.</w:t>
      </w:r>
      <w:r w:rsidR="00D701DC">
        <w:rPr>
          <w:rFonts w:ascii="Arial" w:hAnsi="Arial" w:cs="Arial"/>
        </w:rPr>
        <w:t>4</w:t>
      </w:r>
      <w:r w:rsidR="001E3CBB" w:rsidRPr="002F320A">
        <w:rPr>
          <w:rFonts w:ascii="Arial" w:hAnsi="Arial"/>
        </w:rPr>
        <w:t xml:space="preserve"> </w:t>
      </w:r>
      <w:r w:rsidRPr="002F320A">
        <w:rPr>
          <w:rFonts w:ascii="Arial" w:hAnsi="Arial"/>
        </w:rPr>
        <w:t>days per 28</w:t>
      </w:r>
      <w:r w:rsidRPr="0062381A">
        <w:rPr>
          <w:rFonts w:ascii="Arial" w:hAnsi="Arial" w:cs="Arial"/>
        </w:rPr>
        <w:t> </w:t>
      </w:r>
      <w:r w:rsidRPr="002F320A">
        <w:rPr>
          <w:rFonts w:ascii="Arial" w:hAnsi="Arial"/>
        </w:rPr>
        <w:t>days (20</w:t>
      </w:r>
      <w:r w:rsidRPr="0062381A">
        <w:rPr>
          <w:rFonts w:ascii="Arial" w:hAnsi="Arial" w:cs="Arial"/>
        </w:rPr>
        <w:t> </w:t>
      </w:r>
      <w:r w:rsidRPr="002F320A">
        <w:rPr>
          <w:rFonts w:ascii="Arial" w:hAnsi="Arial"/>
        </w:rPr>
        <w:t>mg/kg/day</w:t>
      </w:r>
      <w:r w:rsidRPr="0062381A">
        <w:rPr>
          <w:rFonts w:ascii="Arial" w:hAnsi="Arial" w:cs="Arial"/>
        </w:rPr>
        <w:t>).</w:t>
      </w:r>
    </w:p>
    <w:p w14:paraId="7173CDA1" w14:textId="77777777" w:rsidR="00E92D7B" w:rsidRPr="002F320A" w:rsidRDefault="00E92D7B" w:rsidP="002F320A">
      <w:pPr>
        <w:rPr>
          <w:rFonts w:ascii="Arial" w:hAnsi="Arial"/>
        </w:rPr>
      </w:pPr>
    </w:p>
    <w:p w14:paraId="2E265CE3" w14:textId="77777777" w:rsidR="0062271D" w:rsidRPr="002F320A" w:rsidRDefault="0062271D" w:rsidP="002F320A">
      <w:pPr>
        <w:keepNext/>
        <w:autoSpaceDE w:val="0"/>
        <w:autoSpaceDN w:val="0"/>
        <w:adjustRightInd w:val="0"/>
        <w:rPr>
          <w:rFonts w:ascii="Arial" w:hAnsi="Arial"/>
          <w:i/>
        </w:rPr>
      </w:pPr>
      <w:r w:rsidRPr="002F320A">
        <w:rPr>
          <w:rFonts w:ascii="Arial" w:hAnsi="Arial"/>
          <w:i/>
        </w:rPr>
        <w:t>Adult population</w:t>
      </w:r>
    </w:p>
    <w:p w14:paraId="10C64EE1" w14:textId="74EB7177" w:rsidR="0062271D" w:rsidRPr="002F320A" w:rsidRDefault="0062271D" w:rsidP="002F320A">
      <w:pPr>
        <w:autoSpaceDE w:val="0"/>
        <w:autoSpaceDN w:val="0"/>
        <w:adjustRightInd w:val="0"/>
        <w:rPr>
          <w:rFonts w:ascii="Arial" w:hAnsi="Arial"/>
        </w:rPr>
      </w:pPr>
      <w:r w:rsidRPr="002F320A">
        <w:rPr>
          <w:rFonts w:ascii="Arial" w:hAnsi="Arial"/>
        </w:rPr>
        <w:t xml:space="preserve">The DS population in studies </w:t>
      </w:r>
      <w:r w:rsidRPr="002F320A">
        <w:rPr>
          <w:rFonts w:ascii="Arial" w:eastAsia="Arial Unicode MS" w:hAnsi="Arial"/>
        </w:rPr>
        <w:t>GWPCARE2</w:t>
      </w:r>
      <w:r w:rsidRPr="002F320A">
        <w:rPr>
          <w:rFonts w:ascii="Arial" w:hAnsi="Arial"/>
        </w:rPr>
        <w:t xml:space="preserve"> and </w:t>
      </w:r>
      <w:r w:rsidRPr="002F320A">
        <w:rPr>
          <w:rFonts w:ascii="Arial" w:eastAsia="Arial Unicode MS" w:hAnsi="Arial"/>
        </w:rPr>
        <w:t>GWPCARE1</w:t>
      </w:r>
      <w:r w:rsidRPr="002F320A">
        <w:rPr>
          <w:rFonts w:ascii="Arial" w:hAnsi="Arial"/>
        </w:rPr>
        <w:t xml:space="preserve"> was predominantly paediatric patients, with only 5</w:t>
      </w:r>
      <w:r w:rsidRPr="0062381A">
        <w:rPr>
          <w:rFonts w:ascii="Arial" w:hAnsi="Arial" w:cs="Arial"/>
        </w:rPr>
        <w:t> </w:t>
      </w:r>
      <w:r w:rsidRPr="002F320A">
        <w:rPr>
          <w:rFonts w:ascii="Arial" w:hAnsi="Arial"/>
        </w:rPr>
        <w:t>adult patients who were 18</w:t>
      </w:r>
      <w:r w:rsidRPr="0062381A">
        <w:rPr>
          <w:rFonts w:ascii="Arial" w:hAnsi="Arial" w:cs="Arial"/>
        </w:rPr>
        <w:t> </w:t>
      </w:r>
      <w:r w:rsidRPr="002F320A">
        <w:rPr>
          <w:rFonts w:ascii="Arial" w:hAnsi="Arial"/>
        </w:rPr>
        <w:t>years old (1.6%), and therefore limited efficacy and safety data were obtained in the adult DS population.</w:t>
      </w:r>
    </w:p>
    <w:p w14:paraId="22CCBC1F" w14:textId="77777777" w:rsidR="0062271D" w:rsidRPr="0062381A" w:rsidRDefault="0062271D" w:rsidP="0062271D">
      <w:pPr>
        <w:autoSpaceDE w:val="0"/>
        <w:autoSpaceDN w:val="0"/>
        <w:adjustRightInd w:val="0"/>
        <w:rPr>
          <w:rFonts w:ascii="Arial" w:hAnsi="Arial" w:cs="Arial"/>
        </w:rPr>
      </w:pPr>
    </w:p>
    <w:p w14:paraId="2359B573" w14:textId="77777777" w:rsidR="0062271D" w:rsidRPr="002F320A" w:rsidRDefault="0062271D" w:rsidP="002F320A">
      <w:pPr>
        <w:keepNext/>
        <w:rPr>
          <w:rFonts w:ascii="Arial" w:hAnsi="Arial"/>
          <w:i/>
        </w:rPr>
      </w:pPr>
      <w:r w:rsidRPr="002F320A">
        <w:rPr>
          <w:rFonts w:ascii="Arial" w:hAnsi="Arial"/>
          <w:i/>
        </w:rPr>
        <w:t>Dose response</w:t>
      </w:r>
    </w:p>
    <w:p w14:paraId="4392BB7E" w14:textId="1416D515" w:rsidR="0062271D" w:rsidRPr="002F320A" w:rsidRDefault="0062271D" w:rsidP="002F320A">
      <w:pPr>
        <w:keepNext/>
        <w:rPr>
          <w:rFonts w:ascii="Arial" w:hAnsi="Arial"/>
        </w:rPr>
      </w:pPr>
      <w:r w:rsidRPr="002F320A">
        <w:rPr>
          <w:rFonts w:ascii="Arial" w:hAnsi="Arial"/>
        </w:rPr>
        <w:t>Given that there was no consistent dose response between 10</w:t>
      </w:r>
      <w:r w:rsidRPr="0062381A">
        <w:rPr>
          <w:rFonts w:ascii="Arial" w:hAnsi="Arial" w:cs="Arial"/>
        </w:rPr>
        <w:t> </w:t>
      </w:r>
      <w:r w:rsidRPr="002F320A">
        <w:rPr>
          <w:rFonts w:ascii="Arial" w:hAnsi="Arial"/>
        </w:rPr>
        <w:t>mg/kg/day and 20</w:t>
      </w:r>
      <w:r w:rsidRPr="0062381A">
        <w:rPr>
          <w:rFonts w:ascii="Arial" w:hAnsi="Arial" w:cs="Arial"/>
        </w:rPr>
        <w:t> </w:t>
      </w:r>
      <w:r w:rsidRPr="002F320A">
        <w:rPr>
          <w:rFonts w:ascii="Arial" w:hAnsi="Arial"/>
        </w:rPr>
        <w:t xml:space="preserve">mg/kg/day in the LGS and DS studies, </w:t>
      </w:r>
      <w:r w:rsidR="00EF74A1" w:rsidRPr="002F320A">
        <w:rPr>
          <w:rFonts w:ascii="Arial" w:hAnsi="Arial"/>
        </w:rPr>
        <w:t>EPIDYOLEX</w:t>
      </w:r>
      <w:r w:rsidRPr="002F320A">
        <w:rPr>
          <w:rFonts w:ascii="Arial" w:hAnsi="Arial"/>
        </w:rPr>
        <w:t xml:space="preserve"> should be titrated initially to the recommended maintenance dose of 10</w:t>
      </w:r>
      <w:r w:rsidRPr="0062381A">
        <w:rPr>
          <w:rFonts w:ascii="Arial" w:hAnsi="Arial" w:cs="Arial"/>
        </w:rPr>
        <w:t> </w:t>
      </w:r>
      <w:r w:rsidRPr="002F320A">
        <w:rPr>
          <w:rFonts w:ascii="Arial" w:hAnsi="Arial"/>
        </w:rPr>
        <w:t>mg/kg/day (see section</w:t>
      </w:r>
      <w:r w:rsidRPr="0062381A">
        <w:rPr>
          <w:rFonts w:ascii="Arial" w:hAnsi="Arial" w:cs="Arial"/>
        </w:rPr>
        <w:t> </w:t>
      </w:r>
      <w:hyperlink w:anchor="_DOSE_AND_METHOD" w:history="1">
        <w:r w:rsidRPr="0062381A">
          <w:rPr>
            <w:rStyle w:val="Hyperlink"/>
            <w:rFonts w:ascii="Arial" w:hAnsi="Arial" w:cs="Arial"/>
          </w:rPr>
          <w:t>4.2 DOSE AND METHOD OF ADMINISTRATION</w:t>
        </w:r>
      </w:hyperlink>
      <w:r w:rsidR="00D76E2F" w:rsidRPr="0062381A">
        <w:rPr>
          <w:rFonts w:ascii="Arial" w:hAnsi="Arial" w:cs="Arial"/>
        </w:rPr>
        <w:t>).</w:t>
      </w:r>
      <w:r w:rsidRPr="002F320A">
        <w:rPr>
          <w:rFonts w:ascii="Arial" w:hAnsi="Arial"/>
        </w:rPr>
        <w:t xml:space="preserve"> In individual patients titration up to a maximum dose of 20</w:t>
      </w:r>
      <w:r w:rsidRPr="0062381A">
        <w:rPr>
          <w:rFonts w:ascii="Arial" w:hAnsi="Arial" w:cs="Arial"/>
        </w:rPr>
        <w:t> </w:t>
      </w:r>
      <w:r w:rsidRPr="002F320A">
        <w:rPr>
          <w:rFonts w:ascii="Arial" w:hAnsi="Arial"/>
        </w:rPr>
        <w:t>mg/kg/day may be considered, based on the benefit</w:t>
      </w:r>
      <w:r w:rsidRPr="0062381A">
        <w:rPr>
          <w:rFonts w:ascii="Arial" w:hAnsi="Arial" w:cs="Arial"/>
        </w:rPr>
        <w:noBreakHyphen/>
      </w:r>
      <w:r w:rsidRPr="002F320A">
        <w:rPr>
          <w:rFonts w:ascii="Arial" w:hAnsi="Arial"/>
        </w:rPr>
        <w:t>risk (see section</w:t>
      </w:r>
      <w:r w:rsidRPr="0062381A">
        <w:rPr>
          <w:rFonts w:ascii="Arial" w:hAnsi="Arial" w:cs="Arial"/>
        </w:rPr>
        <w:t> </w:t>
      </w:r>
      <w:hyperlink w:anchor="_DOSE_AND_METHOD" w:history="1">
        <w:r w:rsidRPr="0062381A">
          <w:rPr>
            <w:rStyle w:val="Hyperlink"/>
            <w:rFonts w:ascii="Arial" w:hAnsi="Arial" w:cs="Arial"/>
          </w:rPr>
          <w:t>4.2 DOSE AND METHOD OF ADMINISTRATION</w:t>
        </w:r>
      </w:hyperlink>
      <w:r w:rsidRPr="002F320A">
        <w:rPr>
          <w:rFonts w:ascii="Arial" w:hAnsi="Arial"/>
        </w:rPr>
        <w:t>).</w:t>
      </w:r>
    </w:p>
    <w:p w14:paraId="1D95B7B3" w14:textId="77777777" w:rsidR="00F646E6" w:rsidRDefault="00F646E6" w:rsidP="0062271D">
      <w:pPr>
        <w:keepNext/>
        <w:rPr>
          <w:rFonts w:ascii="Arial" w:hAnsi="Arial" w:cs="Arial"/>
          <w:b/>
          <w:bCs/>
        </w:rPr>
      </w:pPr>
    </w:p>
    <w:p w14:paraId="31A66563" w14:textId="77777777" w:rsidR="00A5591C" w:rsidRPr="00BE2043" w:rsidRDefault="00A5591C" w:rsidP="00D900DC">
      <w:pPr>
        <w:pStyle w:val="Heading4"/>
      </w:pPr>
      <w:r w:rsidRPr="00BE2043">
        <w:t xml:space="preserve">Treatment with </w:t>
      </w:r>
      <w:proofErr w:type="spellStart"/>
      <w:r w:rsidRPr="00BE2043">
        <w:t>Clobazam</w:t>
      </w:r>
      <w:proofErr w:type="spellEnd"/>
    </w:p>
    <w:p w14:paraId="578C5B8F" w14:textId="77777777" w:rsidR="00A5591C" w:rsidRPr="00BE2043" w:rsidRDefault="00A5591C" w:rsidP="00A5591C">
      <w:pPr>
        <w:keepNext/>
        <w:rPr>
          <w:rFonts w:ascii="Arial" w:hAnsi="Arial" w:cs="Arial"/>
        </w:rPr>
      </w:pPr>
    </w:p>
    <w:p w14:paraId="3EA15990" w14:textId="714E69B6" w:rsidR="00A5591C" w:rsidRPr="00BE2043" w:rsidRDefault="00A5591C" w:rsidP="00A5591C">
      <w:pPr>
        <w:keepNext/>
        <w:rPr>
          <w:rFonts w:ascii="Arial" w:hAnsi="Arial" w:cs="Arial"/>
        </w:rPr>
      </w:pPr>
      <w:r w:rsidRPr="00BE2043">
        <w:rPr>
          <w:rFonts w:ascii="Arial" w:hAnsi="Arial" w:cs="Arial"/>
        </w:rPr>
        <w:t xml:space="preserve">Based on the results of exploratory subgroup analyses there may be additive anticonvulsant effects of EPIDYOLEX in the presence of </w:t>
      </w:r>
      <w:proofErr w:type="spellStart"/>
      <w:r w:rsidRPr="00BE2043">
        <w:rPr>
          <w:rFonts w:ascii="Arial" w:hAnsi="Arial" w:cs="Arial"/>
        </w:rPr>
        <w:t>clobazam</w:t>
      </w:r>
      <w:proofErr w:type="spellEnd"/>
      <w:r w:rsidRPr="00BE2043">
        <w:rPr>
          <w:rFonts w:ascii="Arial" w:hAnsi="Arial" w:cs="Arial"/>
        </w:rPr>
        <w:t>, associated with an increased risk of somnolence and sedation and hepatocellular injury (</w:t>
      </w:r>
      <w:r w:rsidR="001138B2" w:rsidRPr="002F320A">
        <w:rPr>
          <w:rFonts w:ascii="Arial" w:hAnsi="Arial"/>
        </w:rPr>
        <w:t xml:space="preserve">see section </w:t>
      </w:r>
      <w:hyperlink w:anchor="_special_warnings_and" w:history="1">
        <w:r w:rsidR="001138B2" w:rsidRPr="0062381A">
          <w:rPr>
            <w:rStyle w:val="Hyperlink"/>
            <w:rFonts w:ascii="Arial" w:hAnsi="Arial" w:cs="Arial"/>
          </w:rPr>
          <w:t>4.4 SPECIAL WARNINGS AND PRECAUTIONS FOR USE</w:t>
        </w:r>
      </w:hyperlink>
      <w:r w:rsidRPr="00BE2043">
        <w:rPr>
          <w:rFonts w:ascii="Arial" w:hAnsi="Arial" w:cs="Arial"/>
        </w:rPr>
        <w:t>,</w:t>
      </w:r>
      <w:r w:rsidR="00870CFC">
        <w:rPr>
          <w:rFonts w:ascii="Arial" w:eastAsia="Calibri" w:hAnsi="Arial"/>
        </w:rPr>
        <w:t xml:space="preserve"> </w:t>
      </w:r>
      <w:r w:rsidR="0033402A" w:rsidRPr="002F320A">
        <w:rPr>
          <w:rFonts w:ascii="Arial" w:eastAsia="Calibri" w:hAnsi="Arial"/>
        </w:rPr>
        <w:t xml:space="preserve">section </w:t>
      </w:r>
      <w:hyperlink w:anchor="_INTERACTIONS_WITH_OTHER" w:history="1">
        <w:r w:rsidR="0033402A" w:rsidRPr="0062381A">
          <w:rPr>
            <w:rStyle w:val="Hyperlink"/>
            <w:rFonts w:ascii="Arial" w:eastAsia="Calibri" w:hAnsi="Arial" w:cs="Arial"/>
            <w:bCs/>
          </w:rPr>
          <w:t>4.5 INTERACTIONS WITH OTHER MEDICINES AND OTHER FORMS OF INTERACTIONS</w:t>
        </w:r>
      </w:hyperlink>
      <w:r w:rsidR="0033402A" w:rsidRPr="0062381A">
        <w:rPr>
          <w:rFonts w:ascii="Arial" w:eastAsia="Calibri" w:hAnsi="Arial" w:cs="Arial"/>
        </w:rPr>
        <w:t xml:space="preserve"> </w:t>
      </w:r>
      <w:r w:rsidRPr="00BE2043">
        <w:rPr>
          <w:rFonts w:ascii="Arial" w:hAnsi="Arial" w:cs="Arial"/>
        </w:rPr>
        <w:t xml:space="preserve">and </w:t>
      </w:r>
      <w:r w:rsidR="00870CFC" w:rsidRPr="002F320A">
        <w:rPr>
          <w:rFonts w:ascii="Arial" w:eastAsia="Calibri" w:hAnsi="Arial"/>
        </w:rPr>
        <w:t xml:space="preserve">section </w:t>
      </w:r>
      <w:hyperlink w:anchor="_ADVERSE_EFFECTS_(UNDESIRABLE" w:history="1">
        <w:r w:rsidR="00870CFC" w:rsidRPr="0062381A">
          <w:rPr>
            <w:rStyle w:val="Hyperlink"/>
            <w:rFonts w:ascii="Arial" w:eastAsia="Calibri" w:hAnsi="Arial" w:cs="Arial"/>
          </w:rPr>
          <w:t>4.8 ADVERSE EFFECTS (UNDESIRABLE EFFECTS</w:t>
        </w:r>
      </w:hyperlink>
      <w:r w:rsidRPr="00BE2043">
        <w:rPr>
          <w:rFonts w:ascii="Arial" w:hAnsi="Arial" w:cs="Arial"/>
        </w:rPr>
        <w:t xml:space="preserve">).  </w:t>
      </w:r>
    </w:p>
    <w:p w14:paraId="4EF5B045" w14:textId="77777777" w:rsidR="00A5591C" w:rsidRPr="00BE2043" w:rsidRDefault="00A5591C" w:rsidP="00A5591C">
      <w:pPr>
        <w:keepNext/>
        <w:rPr>
          <w:rFonts w:ascii="Arial" w:hAnsi="Arial" w:cs="Arial"/>
        </w:rPr>
      </w:pPr>
    </w:p>
    <w:p w14:paraId="243DCA0F" w14:textId="663F75A1" w:rsidR="00F646E6" w:rsidRPr="00A5591C" w:rsidRDefault="00A5591C" w:rsidP="00A5591C">
      <w:pPr>
        <w:keepNext/>
        <w:rPr>
          <w:rFonts w:ascii="Arial" w:hAnsi="Arial" w:cs="Arial"/>
        </w:rPr>
      </w:pPr>
      <w:r w:rsidRPr="00BE2043">
        <w:rPr>
          <w:rFonts w:ascii="Arial" w:hAnsi="Arial" w:cs="Arial"/>
        </w:rPr>
        <w:t xml:space="preserve">The concomitant use of </w:t>
      </w:r>
      <w:r w:rsidR="008B7251" w:rsidRPr="00BE2043">
        <w:rPr>
          <w:rFonts w:ascii="Arial" w:hAnsi="Arial" w:cs="Arial"/>
        </w:rPr>
        <w:t>EPIDYOLEX</w:t>
      </w:r>
      <w:r w:rsidRPr="00BE2043">
        <w:rPr>
          <w:rFonts w:ascii="Arial" w:hAnsi="Arial" w:cs="Arial"/>
        </w:rPr>
        <w:t xml:space="preserve"> and </w:t>
      </w:r>
      <w:proofErr w:type="spellStart"/>
      <w:r w:rsidRPr="00BE2043">
        <w:rPr>
          <w:rFonts w:ascii="Arial" w:hAnsi="Arial" w:cs="Arial"/>
        </w:rPr>
        <w:t>clobazam</w:t>
      </w:r>
      <w:proofErr w:type="spellEnd"/>
      <w:r w:rsidRPr="00BE2043">
        <w:rPr>
          <w:rFonts w:ascii="Arial" w:hAnsi="Arial" w:cs="Arial"/>
        </w:rPr>
        <w:t xml:space="preserve"> requires individualised clinical benefit/risk assessment and potential dose adjustments of either or both medicines based on efficacy, tolerability, and safety.</w:t>
      </w:r>
    </w:p>
    <w:p w14:paraId="74EFC310" w14:textId="77777777" w:rsidR="00F646E6" w:rsidRDefault="00F646E6" w:rsidP="0062271D">
      <w:pPr>
        <w:keepNext/>
        <w:rPr>
          <w:rFonts w:ascii="Arial" w:hAnsi="Arial" w:cs="Arial"/>
          <w:b/>
          <w:bCs/>
        </w:rPr>
      </w:pPr>
    </w:p>
    <w:p w14:paraId="12E1F883" w14:textId="4A760F27" w:rsidR="0062271D" w:rsidRPr="000511CF" w:rsidRDefault="0062271D" w:rsidP="00D900DC">
      <w:pPr>
        <w:pStyle w:val="Heading4"/>
      </w:pPr>
      <w:r w:rsidRPr="002F320A">
        <w:t>Open</w:t>
      </w:r>
      <w:r w:rsidRPr="0062381A">
        <w:rPr>
          <w:rFonts w:cs="Arial"/>
          <w:bCs/>
        </w:rPr>
        <w:noBreakHyphen/>
      </w:r>
      <w:r w:rsidRPr="002F320A">
        <w:t>label data</w:t>
      </w:r>
    </w:p>
    <w:p w14:paraId="5935060B" w14:textId="3C665DE2" w:rsidR="002200CC" w:rsidRPr="002F320A" w:rsidRDefault="0062271D" w:rsidP="002F320A">
      <w:pPr>
        <w:rPr>
          <w:rFonts w:ascii="Arial" w:hAnsi="Arial"/>
          <w:lang w:val="en-GB"/>
        </w:rPr>
      </w:pPr>
      <w:bookmarkStart w:id="21" w:name="_Hlk522813270"/>
      <w:r w:rsidRPr="002F320A">
        <w:rPr>
          <w:rFonts w:ascii="Arial" w:hAnsi="Arial"/>
        </w:rPr>
        <w:t>Across both randomised LGS studies, 99.5% of patients who completed the studies were enrolled into the long</w:t>
      </w:r>
      <w:r w:rsidRPr="0062381A">
        <w:rPr>
          <w:rFonts w:ascii="Arial" w:hAnsi="Arial" w:cs="Arial"/>
        </w:rPr>
        <w:noBreakHyphen/>
      </w:r>
      <w:r w:rsidRPr="002F320A">
        <w:rPr>
          <w:rFonts w:ascii="Arial" w:hAnsi="Arial"/>
        </w:rPr>
        <w:t>term open</w:t>
      </w:r>
      <w:r w:rsidRPr="0062381A">
        <w:rPr>
          <w:rFonts w:ascii="Arial" w:hAnsi="Arial" w:cs="Arial"/>
        </w:rPr>
        <w:noBreakHyphen/>
      </w:r>
      <w:r w:rsidRPr="002F320A">
        <w:rPr>
          <w:rFonts w:ascii="Arial" w:hAnsi="Arial"/>
        </w:rPr>
        <w:t>label extension study</w:t>
      </w:r>
      <w:r w:rsidRPr="002F320A">
        <w:rPr>
          <w:rFonts w:ascii="Arial" w:eastAsia="Arial Unicode MS" w:hAnsi="Arial"/>
        </w:rPr>
        <w:t xml:space="preserve"> (GWPCARE5).</w:t>
      </w:r>
      <w:r w:rsidRPr="002F320A">
        <w:rPr>
          <w:rFonts w:ascii="Arial" w:hAnsi="Arial"/>
        </w:rPr>
        <w:t xml:space="preserve"> </w:t>
      </w:r>
      <w:r w:rsidR="002200CC" w:rsidRPr="002F320A">
        <w:rPr>
          <w:rFonts w:ascii="Arial" w:hAnsi="Arial"/>
          <w:lang w:val="en-GB"/>
        </w:rPr>
        <w:t>In this study,</w:t>
      </w:r>
      <w:r w:rsidR="002200CC" w:rsidRPr="002200CC">
        <w:rPr>
          <w:rFonts w:ascii="Arial" w:hAnsi="Arial" w:cs="Arial"/>
          <w:lang w:val="en-GB"/>
        </w:rPr>
        <w:t xml:space="preserve"> </w:t>
      </w:r>
      <w:r w:rsidR="00665C0D" w:rsidRPr="00885D28">
        <w:rPr>
          <w:rFonts w:ascii="Arial" w:hAnsi="Arial" w:cs="Arial"/>
          <w:lang w:val="en-GB"/>
        </w:rPr>
        <w:t>for</w:t>
      </w:r>
      <w:r w:rsidR="00665C0D" w:rsidRPr="002F320A">
        <w:rPr>
          <w:rFonts w:ascii="Arial" w:hAnsi="Arial"/>
          <w:lang w:val="en-GB"/>
        </w:rPr>
        <w:t xml:space="preserve"> </w:t>
      </w:r>
      <w:r w:rsidR="002200CC" w:rsidRPr="002F320A">
        <w:rPr>
          <w:rFonts w:ascii="Arial" w:hAnsi="Arial"/>
          <w:lang w:val="en-GB"/>
        </w:rPr>
        <w:t>patients with LGS treated for 37 to 48</w:t>
      </w:r>
      <w:r w:rsidR="00035AB1">
        <w:rPr>
          <w:rFonts w:ascii="Arial" w:hAnsi="Arial"/>
          <w:lang w:val="en-GB"/>
        </w:rPr>
        <w:t> </w:t>
      </w:r>
      <w:r w:rsidR="002200CC" w:rsidRPr="002F320A">
        <w:rPr>
          <w:rFonts w:ascii="Arial" w:hAnsi="Arial"/>
          <w:lang w:val="en-GB"/>
        </w:rPr>
        <w:t>weeks (N=209), the median percentage reduction from baseline in drop seizure frequency was 52% during Week</w:t>
      </w:r>
      <w:r w:rsidR="00035AB1">
        <w:rPr>
          <w:rFonts w:ascii="Arial" w:hAnsi="Arial"/>
          <w:lang w:val="en-GB"/>
        </w:rPr>
        <w:t> </w:t>
      </w:r>
      <w:r w:rsidR="002200CC" w:rsidRPr="002F320A">
        <w:rPr>
          <w:rFonts w:ascii="Arial" w:hAnsi="Arial"/>
          <w:lang w:val="en-GB"/>
        </w:rPr>
        <w:t>1–12, which was maintained through to Week</w:t>
      </w:r>
      <w:r w:rsidR="00035AB1">
        <w:rPr>
          <w:rFonts w:ascii="Arial" w:hAnsi="Arial"/>
          <w:lang w:val="en-GB"/>
        </w:rPr>
        <w:t> </w:t>
      </w:r>
      <w:r w:rsidR="002200CC" w:rsidRPr="002F320A">
        <w:rPr>
          <w:rFonts w:ascii="Arial" w:hAnsi="Arial"/>
          <w:lang w:val="en-GB"/>
        </w:rPr>
        <w:t>37–48 (60%).</w:t>
      </w:r>
      <w:r w:rsidR="002200CC" w:rsidRPr="002200CC">
        <w:rPr>
          <w:rFonts w:ascii="Arial" w:hAnsi="Arial" w:cs="Arial"/>
          <w:lang w:val="en-GB"/>
        </w:rPr>
        <w:t xml:space="preserve">  </w:t>
      </w:r>
    </w:p>
    <w:p w14:paraId="4CF87B0A" w14:textId="77777777" w:rsidR="0062271D" w:rsidRPr="002F320A" w:rsidRDefault="0062271D" w:rsidP="002F320A">
      <w:pPr>
        <w:rPr>
          <w:rFonts w:ascii="Arial" w:hAnsi="Arial"/>
        </w:rPr>
      </w:pPr>
    </w:p>
    <w:p w14:paraId="73950CF7" w14:textId="38A5917E" w:rsidR="0062271D" w:rsidRPr="002F320A" w:rsidRDefault="0062271D" w:rsidP="002F320A">
      <w:pPr>
        <w:rPr>
          <w:rFonts w:ascii="Arial" w:hAnsi="Arial"/>
          <w:strike/>
        </w:rPr>
      </w:pPr>
      <w:r w:rsidRPr="002F320A">
        <w:rPr>
          <w:rFonts w:ascii="Arial" w:hAnsi="Arial"/>
        </w:rPr>
        <w:t xml:space="preserve">Across both randomised DS studies, 97.7% of patients who completed the studies were enrolled into </w:t>
      </w:r>
      <w:r w:rsidRPr="002F320A">
        <w:rPr>
          <w:rFonts w:ascii="Arial" w:eastAsia="Arial Unicode MS" w:hAnsi="Arial"/>
        </w:rPr>
        <w:t xml:space="preserve">GWPCARE5. </w:t>
      </w:r>
      <w:r w:rsidR="002200CC" w:rsidRPr="002F320A">
        <w:rPr>
          <w:rFonts w:ascii="Arial" w:eastAsia="Arial Unicode MS" w:hAnsi="Arial"/>
          <w:lang w:val="en-GB"/>
        </w:rPr>
        <w:t xml:space="preserve">In this study, </w:t>
      </w:r>
      <w:r w:rsidR="00470441" w:rsidRPr="00163B3C">
        <w:rPr>
          <w:rFonts w:ascii="Arial" w:eastAsia="Arial Unicode MS" w:hAnsi="Arial" w:cs="Arial"/>
          <w:lang w:val="en-GB"/>
        </w:rPr>
        <w:t>for</w:t>
      </w:r>
      <w:r w:rsidR="00470441">
        <w:rPr>
          <w:rFonts w:ascii="Arial" w:eastAsia="Arial Unicode MS" w:hAnsi="Arial" w:cs="Arial"/>
          <w:lang w:val="en-GB"/>
        </w:rPr>
        <w:t xml:space="preserve"> </w:t>
      </w:r>
      <w:r w:rsidR="002200CC" w:rsidRPr="002F320A">
        <w:rPr>
          <w:rFonts w:ascii="Arial" w:eastAsia="Arial Unicode MS" w:hAnsi="Arial"/>
          <w:lang w:val="en-GB"/>
        </w:rPr>
        <w:t>patients with DS treated for 37</w:t>
      </w:r>
      <w:r w:rsidR="002200CC" w:rsidRPr="002200CC">
        <w:rPr>
          <w:rFonts w:ascii="Arial" w:eastAsia="Arial Unicode MS" w:hAnsi="Arial" w:cs="Arial"/>
          <w:lang w:val="en-GB"/>
        </w:rPr>
        <w:t> </w:t>
      </w:r>
      <w:r w:rsidR="002200CC" w:rsidRPr="002F320A">
        <w:rPr>
          <w:rFonts w:ascii="Arial" w:eastAsia="Arial Unicode MS" w:hAnsi="Arial"/>
          <w:lang w:val="en-GB"/>
        </w:rPr>
        <w:t>to 48</w:t>
      </w:r>
      <w:r w:rsidR="00035AB1">
        <w:rPr>
          <w:rFonts w:ascii="Arial" w:eastAsia="Arial Unicode MS" w:hAnsi="Arial"/>
          <w:lang w:val="en-GB"/>
        </w:rPr>
        <w:t> </w:t>
      </w:r>
      <w:r w:rsidR="002200CC" w:rsidRPr="002F320A">
        <w:rPr>
          <w:rFonts w:ascii="Arial" w:eastAsia="Arial Unicode MS" w:hAnsi="Arial"/>
          <w:lang w:val="en-GB"/>
        </w:rPr>
        <w:t>weeks (N=75), the median percentage reduction from baseline in convulsive seizure frequency was 56% during Week</w:t>
      </w:r>
      <w:r w:rsidR="00035AB1">
        <w:rPr>
          <w:rFonts w:ascii="Arial" w:eastAsia="Arial Unicode MS" w:hAnsi="Arial"/>
          <w:lang w:val="en-GB"/>
        </w:rPr>
        <w:t> </w:t>
      </w:r>
      <w:r w:rsidR="002200CC" w:rsidRPr="002F320A">
        <w:rPr>
          <w:rFonts w:ascii="Arial" w:eastAsia="Arial Unicode MS" w:hAnsi="Arial"/>
          <w:lang w:val="en-GB"/>
        </w:rPr>
        <w:t>1–12, which was maintained through to Week 37–48 (45%).</w:t>
      </w:r>
      <w:r w:rsidR="002200CC" w:rsidRPr="002200CC">
        <w:rPr>
          <w:rFonts w:ascii="Arial" w:eastAsia="Arial Unicode MS" w:hAnsi="Arial" w:cs="Arial"/>
          <w:lang w:val="en-GB"/>
        </w:rPr>
        <w:t xml:space="preserve">  </w:t>
      </w:r>
    </w:p>
    <w:bookmarkEnd w:id="21"/>
    <w:p w14:paraId="381F53DF" w14:textId="77777777" w:rsidR="0062271D" w:rsidRPr="002F320A" w:rsidRDefault="0062271D" w:rsidP="002F320A">
      <w:pPr>
        <w:pStyle w:val="Default"/>
        <w:rPr>
          <w:rFonts w:ascii="Arial" w:hAnsi="Arial"/>
          <w:u w:val="single"/>
        </w:rPr>
      </w:pPr>
    </w:p>
    <w:p w14:paraId="24E15A78" w14:textId="0F7B5091" w:rsidR="0062271D" w:rsidRPr="000511CF" w:rsidRDefault="0062271D" w:rsidP="00D900DC">
      <w:pPr>
        <w:pStyle w:val="Heading4"/>
      </w:pPr>
      <w:r w:rsidRPr="002F320A">
        <w:t>Abuse</w:t>
      </w:r>
    </w:p>
    <w:p w14:paraId="4DF4EEEF" w14:textId="7324204E" w:rsidR="003F6554" w:rsidRPr="0008010F" w:rsidRDefault="00F22975" w:rsidP="003F6554">
      <w:pPr>
        <w:autoSpaceDE w:val="0"/>
        <w:autoSpaceDN w:val="0"/>
        <w:adjustRightInd w:val="0"/>
        <w:rPr>
          <w:rFonts w:ascii="Arial" w:eastAsia="CIDFont+F1" w:hAnsi="Arial" w:cs="Arial"/>
          <w:lang w:val="fr-CH"/>
        </w:rPr>
      </w:pPr>
      <w:r w:rsidRPr="00552B68">
        <w:rPr>
          <w:rFonts w:ascii="Arial" w:hAnsi="Arial" w:cs="Arial"/>
        </w:rPr>
        <w:t>The non</w:t>
      </w:r>
      <w:r w:rsidR="00241C7A" w:rsidRPr="00552B68">
        <w:rPr>
          <w:rFonts w:ascii="Arial" w:hAnsi="Arial" w:cs="Arial"/>
        </w:rPr>
        <w:t>-</w:t>
      </w:r>
      <w:r w:rsidR="00486775" w:rsidRPr="00552B68">
        <w:rPr>
          <w:rFonts w:ascii="Arial" w:hAnsi="Arial" w:cs="Arial"/>
        </w:rPr>
        <w:t>clinical assessment of abuse</w:t>
      </w:r>
      <w:r w:rsidR="00CB0EA0" w:rsidRPr="00552B68">
        <w:rPr>
          <w:rFonts w:ascii="Arial" w:hAnsi="Arial" w:cs="Arial"/>
        </w:rPr>
        <w:t xml:space="preserve"> potential </w:t>
      </w:r>
      <w:r w:rsidR="00C16C43" w:rsidRPr="00552B68">
        <w:rPr>
          <w:rFonts w:ascii="Arial" w:hAnsi="Arial" w:cs="Arial"/>
        </w:rPr>
        <w:t>show</w:t>
      </w:r>
      <w:r w:rsidR="00855550" w:rsidRPr="00235AA4">
        <w:rPr>
          <w:rFonts w:ascii="Arial" w:hAnsi="Arial" w:cs="Arial"/>
        </w:rPr>
        <w:t>s</w:t>
      </w:r>
      <w:r w:rsidR="00C16C43" w:rsidRPr="00552B68">
        <w:rPr>
          <w:rFonts w:ascii="Arial" w:hAnsi="Arial" w:cs="Arial"/>
        </w:rPr>
        <w:t xml:space="preserve"> that cannabidiol does not produce cannabinoid-like behavioural responses, including generalisation to delta</w:t>
      </w:r>
      <w:r w:rsidR="00035AB1">
        <w:rPr>
          <w:rFonts w:ascii="Arial" w:hAnsi="Arial" w:cs="Arial"/>
        </w:rPr>
        <w:noBreakHyphen/>
      </w:r>
      <w:r w:rsidR="00C16C43" w:rsidRPr="00552B68">
        <w:rPr>
          <w:rFonts w:ascii="Arial" w:hAnsi="Arial" w:cs="Arial"/>
        </w:rPr>
        <w:t>9</w:t>
      </w:r>
      <w:r w:rsidR="00035AB1">
        <w:rPr>
          <w:rFonts w:ascii="Arial" w:hAnsi="Arial" w:cs="Arial"/>
        </w:rPr>
        <w:noBreakHyphen/>
      </w:r>
      <w:r w:rsidR="00C16C43" w:rsidRPr="00552B68">
        <w:rPr>
          <w:rFonts w:ascii="Arial" w:hAnsi="Arial" w:cs="Arial"/>
        </w:rPr>
        <w:t>tetrahydrocannabinol (THC) in a drug discrimination study. Cannabidiol also does not produce animal self-administration, suggesting it does not produce rewarding effects</w:t>
      </w:r>
      <w:r w:rsidR="003F6554" w:rsidRPr="00552B68">
        <w:rPr>
          <w:rFonts w:ascii="Arial" w:hAnsi="Arial" w:cs="Arial"/>
        </w:rPr>
        <w:t xml:space="preserve"> </w:t>
      </w:r>
      <w:r w:rsidR="003F6554" w:rsidRPr="00552B68">
        <w:rPr>
          <w:rFonts w:ascii="Arial" w:eastAsia="CIDFont+F1" w:hAnsi="Arial" w:cs="Arial"/>
          <w:lang w:val="fr-CH"/>
        </w:rPr>
        <w:t xml:space="preserve">and </w:t>
      </w:r>
      <w:proofErr w:type="spellStart"/>
      <w:r w:rsidR="003F6554" w:rsidRPr="00552B68">
        <w:rPr>
          <w:rFonts w:ascii="Arial" w:eastAsia="CIDFont+F1" w:hAnsi="Arial" w:cs="Arial"/>
          <w:lang w:val="fr-CH"/>
        </w:rPr>
        <w:t>does</w:t>
      </w:r>
      <w:proofErr w:type="spellEnd"/>
      <w:r w:rsidR="003F6554" w:rsidRPr="00552B68">
        <w:rPr>
          <w:rFonts w:ascii="Arial" w:eastAsia="CIDFont+F1" w:hAnsi="Arial" w:cs="Arial"/>
          <w:lang w:val="fr-CH"/>
        </w:rPr>
        <w:t xml:space="preserve"> not </w:t>
      </w:r>
      <w:proofErr w:type="spellStart"/>
      <w:r w:rsidR="003F6554" w:rsidRPr="00552B68">
        <w:rPr>
          <w:rFonts w:ascii="Arial" w:eastAsia="CIDFont+F1" w:hAnsi="Arial" w:cs="Arial"/>
          <w:lang w:val="fr-CH"/>
        </w:rPr>
        <w:t>result</w:t>
      </w:r>
      <w:proofErr w:type="spellEnd"/>
      <w:r w:rsidR="003F6554" w:rsidRPr="00552B68">
        <w:rPr>
          <w:rFonts w:ascii="Arial" w:eastAsia="CIDFont+F1" w:hAnsi="Arial" w:cs="Arial"/>
          <w:lang w:val="fr-CH"/>
        </w:rPr>
        <w:t xml:space="preserve"> in </w:t>
      </w:r>
      <w:proofErr w:type="spellStart"/>
      <w:r w:rsidR="003F6554" w:rsidRPr="00552B68">
        <w:rPr>
          <w:rFonts w:ascii="Arial" w:eastAsia="CIDFont+F1" w:hAnsi="Arial" w:cs="Arial"/>
          <w:lang w:val="fr-CH"/>
        </w:rPr>
        <w:t>physical</w:t>
      </w:r>
      <w:proofErr w:type="spellEnd"/>
      <w:r w:rsidR="003F6554" w:rsidRPr="00552B68">
        <w:rPr>
          <w:rFonts w:ascii="Arial" w:eastAsia="CIDFont+F1" w:hAnsi="Arial" w:cs="Arial"/>
          <w:lang w:val="fr-CH"/>
        </w:rPr>
        <w:t xml:space="preserve"> </w:t>
      </w:r>
      <w:proofErr w:type="spellStart"/>
      <w:r w:rsidR="003F6554" w:rsidRPr="00552B68">
        <w:rPr>
          <w:rFonts w:ascii="Arial" w:eastAsia="CIDFont+F1" w:hAnsi="Arial" w:cs="Arial"/>
          <w:lang w:val="fr-CH"/>
        </w:rPr>
        <w:t>dependence</w:t>
      </w:r>
      <w:proofErr w:type="spellEnd"/>
      <w:r w:rsidR="003F6554" w:rsidRPr="00552B68">
        <w:rPr>
          <w:rFonts w:ascii="Arial" w:eastAsia="CIDFont+F1" w:hAnsi="Arial" w:cs="Arial"/>
          <w:lang w:val="fr-CH"/>
        </w:rPr>
        <w:t xml:space="preserve"> or </w:t>
      </w:r>
      <w:proofErr w:type="spellStart"/>
      <w:r w:rsidR="003F6554" w:rsidRPr="00552B68">
        <w:rPr>
          <w:rFonts w:ascii="Arial" w:eastAsia="CIDFont+F1" w:hAnsi="Arial" w:cs="Arial"/>
          <w:lang w:val="fr-CH"/>
        </w:rPr>
        <w:t>withdrawal</w:t>
      </w:r>
      <w:proofErr w:type="spellEnd"/>
      <w:r w:rsidR="003F6554" w:rsidRPr="00552B68">
        <w:rPr>
          <w:rFonts w:ascii="Arial" w:eastAsia="CIDFont+F1" w:hAnsi="Arial" w:cs="Arial"/>
          <w:lang w:val="fr-CH"/>
        </w:rPr>
        <w:t xml:space="preserve"> syndrome.</w:t>
      </w:r>
    </w:p>
    <w:p w14:paraId="2AAC91CD" w14:textId="77777777" w:rsidR="00496513" w:rsidRPr="00867379" w:rsidRDefault="00496513" w:rsidP="0062271D">
      <w:pPr>
        <w:rPr>
          <w:rFonts w:ascii="Arial" w:hAnsi="Arial" w:cs="Arial"/>
          <w:noProof/>
        </w:rPr>
      </w:pPr>
    </w:p>
    <w:p w14:paraId="7A23A43E" w14:textId="33A3A1B0" w:rsidR="00BE1BFD" w:rsidRDefault="00BE1BFD" w:rsidP="0062271D">
      <w:pPr>
        <w:rPr>
          <w:rFonts w:ascii="Arial" w:hAnsi="Arial" w:cs="Arial"/>
          <w:noProof/>
        </w:rPr>
      </w:pPr>
      <w:r w:rsidRPr="004C3360">
        <w:rPr>
          <w:rFonts w:ascii="Arial" w:hAnsi="Arial" w:cs="Arial"/>
        </w:rPr>
        <w:t xml:space="preserve">In a human abuse potential study, acute administration of </w:t>
      </w:r>
      <w:r w:rsidR="00953B0B" w:rsidRPr="004C3360">
        <w:rPr>
          <w:rFonts w:ascii="Arial" w:hAnsi="Arial" w:cs="Arial"/>
          <w:noProof/>
        </w:rPr>
        <w:t>EPIDYOLEX</w:t>
      </w:r>
      <w:r w:rsidRPr="004C3360">
        <w:rPr>
          <w:rFonts w:ascii="Arial" w:hAnsi="Arial" w:cs="Arial"/>
        </w:rPr>
        <w:t xml:space="preserve"> to non-dependent adult recreational drug users at therapeutic and </w:t>
      </w:r>
      <w:r w:rsidR="00F8017D" w:rsidRPr="004C3360">
        <w:rPr>
          <w:rFonts w:ascii="Arial" w:hAnsi="Arial" w:cs="Arial"/>
        </w:rPr>
        <w:t>higher</w:t>
      </w:r>
      <w:r w:rsidRPr="004C3360">
        <w:rPr>
          <w:rFonts w:ascii="Arial" w:hAnsi="Arial" w:cs="Arial"/>
        </w:rPr>
        <w:t xml:space="preserve"> doses of 750, </w:t>
      </w:r>
      <w:r w:rsidR="44BD0389" w:rsidRPr="182EEF31">
        <w:rPr>
          <w:rFonts w:ascii="Arial" w:hAnsi="Arial" w:cs="Arial"/>
        </w:rPr>
        <w:t>1500</w:t>
      </w:r>
      <w:r w:rsidRPr="004C3360">
        <w:rPr>
          <w:rFonts w:ascii="Arial" w:hAnsi="Arial" w:cs="Arial"/>
        </w:rPr>
        <w:t xml:space="preserve">, and </w:t>
      </w:r>
      <w:r w:rsidRPr="77C8969B">
        <w:rPr>
          <w:rFonts w:ascii="Arial" w:hAnsi="Arial" w:cs="Arial"/>
        </w:rPr>
        <w:t>4500</w:t>
      </w:r>
      <w:r w:rsidR="00035AB1">
        <w:rPr>
          <w:rFonts w:ascii="Arial" w:hAnsi="Arial" w:cs="Arial"/>
        </w:rPr>
        <w:t> </w:t>
      </w:r>
      <w:r w:rsidRPr="004C3360">
        <w:rPr>
          <w:rFonts w:ascii="Arial" w:hAnsi="Arial" w:cs="Arial"/>
        </w:rPr>
        <w:t xml:space="preserve">mg in the fasted state produced responses </w:t>
      </w:r>
      <w:r w:rsidR="00110B03" w:rsidRPr="004C3360">
        <w:rPr>
          <w:rFonts w:ascii="Arial" w:hAnsi="Arial" w:cs="Arial"/>
        </w:rPr>
        <w:t xml:space="preserve">above placebo </w:t>
      </w:r>
      <w:r w:rsidRPr="004C3360">
        <w:rPr>
          <w:rFonts w:ascii="Arial" w:hAnsi="Arial" w:cs="Arial"/>
        </w:rPr>
        <w:t xml:space="preserve">on positive subjective measures such as Drug Liking and Take Drug Again that were within the </w:t>
      </w:r>
      <w:r w:rsidR="00AE06E9" w:rsidRPr="004C3360">
        <w:rPr>
          <w:rFonts w:ascii="Arial" w:hAnsi="Arial" w:cs="Arial"/>
        </w:rPr>
        <w:t xml:space="preserve">range usually considered </w:t>
      </w:r>
      <w:r w:rsidRPr="004C3360">
        <w:rPr>
          <w:rFonts w:ascii="Arial" w:hAnsi="Arial" w:cs="Arial"/>
        </w:rPr>
        <w:t>acceptable. In contrast, 10 and 30</w:t>
      </w:r>
      <w:r w:rsidR="00035AB1">
        <w:rPr>
          <w:rFonts w:ascii="Arial" w:hAnsi="Arial" w:cs="Arial"/>
        </w:rPr>
        <w:t> </w:t>
      </w:r>
      <w:r w:rsidRPr="004C3360">
        <w:rPr>
          <w:rFonts w:ascii="Arial" w:hAnsi="Arial" w:cs="Arial"/>
        </w:rPr>
        <w:t xml:space="preserve">mg of </w:t>
      </w:r>
      <w:proofErr w:type="spellStart"/>
      <w:r w:rsidRPr="004C3360">
        <w:rPr>
          <w:rFonts w:ascii="Arial" w:hAnsi="Arial" w:cs="Arial"/>
        </w:rPr>
        <w:t>dronabinol</w:t>
      </w:r>
      <w:proofErr w:type="spellEnd"/>
      <w:r w:rsidRPr="004C3360">
        <w:rPr>
          <w:rFonts w:ascii="Arial" w:hAnsi="Arial" w:cs="Arial"/>
        </w:rPr>
        <w:t xml:space="preserve"> (synthetic THC</w:t>
      </w:r>
      <w:r w:rsidR="00AE06E9" w:rsidRPr="004C3360">
        <w:rPr>
          <w:rFonts w:ascii="Arial" w:hAnsi="Arial" w:cs="Arial"/>
        </w:rPr>
        <w:t>)</w:t>
      </w:r>
      <w:r w:rsidRPr="004C3360">
        <w:rPr>
          <w:rFonts w:ascii="Arial" w:hAnsi="Arial" w:cs="Arial"/>
        </w:rPr>
        <w:t xml:space="preserve"> and 2</w:t>
      </w:r>
      <w:r w:rsidR="00035AB1">
        <w:rPr>
          <w:rFonts w:ascii="Arial" w:hAnsi="Arial" w:cs="Arial"/>
        </w:rPr>
        <w:t> </w:t>
      </w:r>
      <w:r w:rsidRPr="004C3360">
        <w:rPr>
          <w:rFonts w:ascii="Arial" w:hAnsi="Arial" w:cs="Arial"/>
        </w:rPr>
        <w:t>mg alprazolam produced large increases on positive subjective measures compared to placebo that were statistically significantly greater than those produced by cannabidiol.</w:t>
      </w:r>
      <w:r w:rsidRPr="004C3360">
        <w:t> </w:t>
      </w:r>
      <w:r w:rsidR="00472855" w:rsidRPr="004C3360">
        <w:rPr>
          <w:rFonts w:ascii="Arial" w:hAnsi="Arial" w:cs="Arial"/>
          <w:noProof/>
        </w:rPr>
        <w:t>Compared to dronabinol and alprazolam, EPIDYOLEX has</w:t>
      </w:r>
      <w:r w:rsidR="0040214C" w:rsidRPr="004C3360">
        <w:rPr>
          <w:rFonts w:ascii="Arial" w:hAnsi="Arial" w:cs="Arial"/>
          <w:noProof/>
        </w:rPr>
        <w:t xml:space="preserve"> a</w:t>
      </w:r>
      <w:r w:rsidR="00472855" w:rsidRPr="004C3360">
        <w:rPr>
          <w:rFonts w:ascii="Arial" w:hAnsi="Arial" w:cs="Arial"/>
          <w:noProof/>
        </w:rPr>
        <w:t xml:space="preserve"> low abuse potential.</w:t>
      </w:r>
    </w:p>
    <w:p w14:paraId="0D33741F" w14:textId="77777777" w:rsidR="00224739" w:rsidRPr="002F320A" w:rsidRDefault="00224739" w:rsidP="002F320A">
      <w:pPr>
        <w:pStyle w:val="NoSpacing"/>
        <w:rPr>
          <w:rFonts w:ascii="Arial" w:eastAsia="Calibri" w:hAnsi="Arial"/>
        </w:rPr>
      </w:pPr>
    </w:p>
    <w:p w14:paraId="09FA8E46" w14:textId="77777777" w:rsidR="00B17C13" w:rsidRPr="002F320A" w:rsidRDefault="00E75CC8" w:rsidP="00D900DC">
      <w:pPr>
        <w:pStyle w:val="Heading2"/>
      </w:pPr>
      <w:bookmarkStart w:id="22" w:name="_PHARMACOKINETIC_PROPERTIES"/>
      <w:bookmarkEnd w:id="22"/>
      <w:r w:rsidRPr="002F320A">
        <w:rPr>
          <w:rFonts w:eastAsia="Calibri"/>
        </w:rPr>
        <w:t>PHARMACOKINETIC PROPERTIES</w:t>
      </w:r>
    </w:p>
    <w:p w14:paraId="4621A608" w14:textId="4DB8D4A0" w:rsidR="00EC503A" w:rsidRPr="002F320A" w:rsidRDefault="00EC503A" w:rsidP="00D900DC">
      <w:pPr>
        <w:pStyle w:val="Heading3"/>
        <w:rPr>
          <w:rFonts w:eastAsia="Calibri"/>
        </w:rPr>
      </w:pPr>
      <w:r w:rsidRPr="002F320A">
        <w:rPr>
          <w:rFonts w:eastAsia="Calibri"/>
        </w:rPr>
        <w:t>Absorption</w:t>
      </w:r>
    </w:p>
    <w:p w14:paraId="7589B28E" w14:textId="277EB2A8" w:rsidR="00817C40" w:rsidRPr="002F320A" w:rsidRDefault="000F0A3D" w:rsidP="002F320A">
      <w:pPr>
        <w:rPr>
          <w:rFonts w:ascii="Arial" w:hAnsi="Arial"/>
        </w:rPr>
      </w:pPr>
      <w:r w:rsidRPr="009E592A">
        <w:rPr>
          <w:rFonts w:ascii="Arial" w:hAnsi="Arial"/>
        </w:rPr>
        <w:t>EPIDYOLEX</w:t>
      </w:r>
      <w:r w:rsidRPr="002F320A" w:rsidDel="000F0A3D">
        <w:rPr>
          <w:rFonts w:ascii="Arial" w:hAnsi="Arial"/>
        </w:rPr>
        <w:t xml:space="preserve"> </w:t>
      </w:r>
      <w:r w:rsidR="00817C40" w:rsidRPr="002F320A">
        <w:rPr>
          <w:rFonts w:ascii="Arial" w:hAnsi="Arial"/>
        </w:rPr>
        <w:t>appears rapidly in plasma with a time to maximum plasma concentration of 2.5</w:t>
      </w:r>
      <w:r w:rsidR="003F3CDF">
        <w:rPr>
          <w:rFonts w:ascii="Arial" w:hAnsi="Arial"/>
        </w:rPr>
        <w:noBreakHyphen/>
      </w:r>
      <w:r w:rsidR="00817C40" w:rsidRPr="002F320A">
        <w:rPr>
          <w:rFonts w:ascii="Arial" w:hAnsi="Arial"/>
        </w:rPr>
        <w:t>5</w:t>
      </w:r>
      <w:r w:rsidR="00817C40" w:rsidRPr="0062381A">
        <w:rPr>
          <w:rFonts w:ascii="Arial" w:hAnsi="Arial" w:cs="Arial"/>
          <w:noProof/>
        </w:rPr>
        <w:t> </w:t>
      </w:r>
      <w:r w:rsidR="00817C40" w:rsidRPr="002F320A">
        <w:rPr>
          <w:rFonts w:ascii="Arial" w:hAnsi="Arial"/>
        </w:rPr>
        <w:t>hours at steady state.</w:t>
      </w:r>
    </w:p>
    <w:p w14:paraId="3E93F709" w14:textId="77777777" w:rsidR="00817C40" w:rsidRPr="002F320A" w:rsidRDefault="00817C40" w:rsidP="002F320A">
      <w:pPr>
        <w:rPr>
          <w:rFonts w:ascii="Arial" w:hAnsi="Arial"/>
        </w:rPr>
      </w:pPr>
    </w:p>
    <w:p w14:paraId="4D78DB14" w14:textId="138BAE89" w:rsidR="00817C40" w:rsidRPr="002F320A" w:rsidRDefault="00817C40" w:rsidP="002F320A">
      <w:pPr>
        <w:rPr>
          <w:rFonts w:ascii="Arial" w:hAnsi="Arial"/>
        </w:rPr>
      </w:pPr>
      <w:r w:rsidRPr="002F320A">
        <w:rPr>
          <w:rFonts w:ascii="Arial" w:hAnsi="Arial"/>
        </w:rPr>
        <w:t>Steady</w:t>
      </w:r>
      <w:r w:rsidRPr="0062381A">
        <w:rPr>
          <w:rFonts w:ascii="Arial" w:hAnsi="Arial" w:cs="Arial"/>
          <w:noProof/>
        </w:rPr>
        <w:noBreakHyphen/>
      </w:r>
      <w:r w:rsidRPr="002F320A">
        <w:rPr>
          <w:rFonts w:ascii="Arial" w:hAnsi="Arial"/>
        </w:rPr>
        <w:t>state plasma concentrations are attained within 2</w:t>
      </w:r>
      <w:r w:rsidRPr="0062381A">
        <w:rPr>
          <w:rFonts w:ascii="Arial" w:hAnsi="Arial" w:cs="Arial"/>
          <w:noProof/>
        </w:rPr>
        <w:noBreakHyphen/>
      </w:r>
      <w:r w:rsidRPr="002F320A">
        <w:rPr>
          <w:rFonts w:ascii="Arial" w:hAnsi="Arial"/>
        </w:rPr>
        <w:t>4</w:t>
      </w:r>
      <w:r w:rsidRPr="0062381A">
        <w:rPr>
          <w:rFonts w:ascii="Arial" w:hAnsi="Arial" w:cs="Arial"/>
          <w:noProof/>
        </w:rPr>
        <w:t> </w:t>
      </w:r>
      <w:r w:rsidRPr="002F320A">
        <w:rPr>
          <w:rFonts w:ascii="Arial" w:hAnsi="Arial"/>
        </w:rPr>
        <w:t>days of twice daily dosing based on pre</w:t>
      </w:r>
      <w:r w:rsidRPr="0062381A">
        <w:rPr>
          <w:rFonts w:ascii="Arial" w:hAnsi="Arial" w:cs="Arial"/>
          <w:noProof/>
        </w:rPr>
        <w:noBreakHyphen/>
      </w:r>
      <w:r w:rsidRPr="002F320A">
        <w:rPr>
          <w:rFonts w:ascii="Arial" w:hAnsi="Arial"/>
        </w:rPr>
        <w:t>dose (</w:t>
      </w:r>
      <w:proofErr w:type="spellStart"/>
      <w:r w:rsidRPr="002F320A">
        <w:rPr>
          <w:rFonts w:ascii="Arial" w:hAnsi="Arial"/>
        </w:rPr>
        <w:t>C</w:t>
      </w:r>
      <w:r w:rsidRPr="002F320A">
        <w:rPr>
          <w:rFonts w:ascii="Arial" w:hAnsi="Arial"/>
          <w:vertAlign w:val="subscript"/>
        </w:rPr>
        <w:t>trough</w:t>
      </w:r>
      <w:proofErr w:type="spellEnd"/>
      <w:r w:rsidRPr="002F320A">
        <w:rPr>
          <w:rFonts w:ascii="Arial" w:hAnsi="Arial"/>
        </w:rPr>
        <w:t>) concentrations. The rapid achievement of steady state is related to the multiphasic elimination profile of the drug in which the terminal elimination represents only a small fraction of the drug’s clearance.</w:t>
      </w:r>
    </w:p>
    <w:p w14:paraId="30795AB2" w14:textId="77777777" w:rsidR="00817C40" w:rsidRPr="002F320A" w:rsidRDefault="00817C40" w:rsidP="002F320A">
      <w:pPr>
        <w:rPr>
          <w:rFonts w:ascii="Arial" w:hAnsi="Arial"/>
        </w:rPr>
      </w:pPr>
    </w:p>
    <w:p w14:paraId="3A991CA1" w14:textId="767F3CC1" w:rsidR="00817C40" w:rsidRPr="002F320A" w:rsidRDefault="00817C40" w:rsidP="002F320A">
      <w:pPr>
        <w:rPr>
          <w:rFonts w:ascii="Arial" w:hAnsi="Arial"/>
        </w:rPr>
      </w:pPr>
      <w:r w:rsidRPr="002F320A">
        <w:rPr>
          <w:rFonts w:ascii="Arial" w:hAnsi="Arial"/>
        </w:rPr>
        <w:t>Co</w:t>
      </w:r>
      <w:r w:rsidRPr="0062381A">
        <w:rPr>
          <w:rFonts w:ascii="Arial" w:hAnsi="Arial" w:cs="Arial"/>
          <w:noProof/>
        </w:rPr>
        <w:noBreakHyphen/>
      </w:r>
      <w:r w:rsidRPr="002F320A">
        <w:rPr>
          <w:rFonts w:ascii="Arial" w:hAnsi="Arial"/>
        </w:rPr>
        <w:t xml:space="preserve">administration of </w:t>
      </w:r>
      <w:r w:rsidR="00EF74A1" w:rsidRPr="002F320A">
        <w:rPr>
          <w:rFonts w:ascii="Arial" w:hAnsi="Arial"/>
        </w:rPr>
        <w:t>EPIDYOLEX</w:t>
      </w:r>
      <w:r w:rsidRPr="002F320A">
        <w:rPr>
          <w:rFonts w:ascii="Arial" w:hAnsi="Arial"/>
        </w:rPr>
        <w:t xml:space="preserve"> with a high</w:t>
      </w:r>
      <w:r w:rsidRPr="0062381A">
        <w:rPr>
          <w:rFonts w:ascii="Arial" w:hAnsi="Arial" w:cs="Arial"/>
          <w:noProof/>
        </w:rPr>
        <w:noBreakHyphen/>
      </w:r>
      <w:r w:rsidRPr="002F320A">
        <w:rPr>
          <w:rFonts w:ascii="Arial" w:hAnsi="Arial"/>
        </w:rPr>
        <w:t>fat/high calorie meal increased the rate and extent of absorption (5</w:t>
      </w:r>
      <w:r w:rsidRPr="0062381A">
        <w:rPr>
          <w:rFonts w:ascii="Arial" w:hAnsi="Arial" w:cs="Arial"/>
          <w:noProof/>
        </w:rPr>
        <w:noBreakHyphen/>
      </w:r>
      <w:r w:rsidRPr="002F320A">
        <w:rPr>
          <w:rFonts w:ascii="Arial" w:hAnsi="Arial"/>
        </w:rPr>
        <w:t xml:space="preserve">fold increase in </w:t>
      </w:r>
      <w:proofErr w:type="spellStart"/>
      <w:r w:rsidRPr="002F320A">
        <w:rPr>
          <w:rFonts w:ascii="Arial" w:hAnsi="Arial"/>
        </w:rPr>
        <w:t>C</w:t>
      </w:r>
      <w:r w:rsidRPr="002F320A">
        <w:rPr>
          <w:rFonts w:ascii="Arial" w:hAnsi="Arial"/>
          <w:vertAlign w:val="subscript"/>
        </w:rPr>
        <w:t>max</w:t>
      </w:r>
      <w:proofErr w:type="spellEnd"/>
      <w:r w:rsidRPr="002F320A">
        <w:rPr>
          <w:rFonts w:ascii="Arial" w:hAnsi="Arial"/>
        </w:rPr>
        <w:t xml:space="preserve"> and 4</w:t>
      </w:r>
      <w:r w:rsidRPr="0062381A">
        <w:rPr>
          <w:rFonts w:ascii="Arial" w:hAnsi="Arial" w:cs="Arial"/>
          <w:noProof/>
        </w:rPr>
        <w:noBreakHyphen/>
      </w:r>
      <w:r w:rsidRPr="002F320A">
        <w:rPr>
          <w:rFonts w:ascii="Arial" w:hAnsi="Arial"/>
        </w:rPr>
        <w:t xml:space="preserve">fold increase in AUC) and reduced the total variability of exposure compared with the fasted state in healthy volunteers. To minimise the variability in the bioavailability of cannabidiol in the individual patient, administration of </w:t>
      </w:r>
      <w:r w:rsidR="00EF74A1" w:rsidRPr="002F320A">
        <w:rPr>
          <w:rFonts w:ascii="Arial" w:hAnsi="Arial"/>
        </w:rPr>
        <w:t>EPIDYOLEX</w:t>
      </w:r>
      <w:r w:rsidRPr="002F320A">
        <w:rPr>
          <w:rFonts w:ascii="Arial" w:hAnsi="Arial"/>
        </w:rPr>
        <w:t xml:space="preserve"> should be standardised in relation to food intake including a ketogenic diet</w:t>
      </w:r>
      <w:r w:rsidRPr="0062381A">
        <w:rPr>
          <w:rFonts w:ascii="Arial" w:hAnsi="Arial" w:cs="Arial"/>
        </w:rPr>
        <w:t xml:space="preserve"> (high</w:t>
      </w:r>
      <w:r w:rsidRPr="0062381A">
        <w:rPr>
          <w:rFonts w:ascii="Arial" w:hAnsi="Arial" w:cs="Arial"/>
        </w:rPr>
        <w:noBreakHyphen/>
        <w:t>fat meal)</w:t>
      </w:r>
      <w:r w:rsidR="0083625A">
        <w:rPr>
          <w:rFonts w:ascii="Arial" w:hAnsi="Arial" w:cs="Arial"/>
        </w:rPr>
        <w:t>.</w:t>
      </w:r>
    </w:p>
    <w:p w14:paraId="2B53B2A8" w14:textId="77777777" w:rsidR="00EC503A" w:rsidRPr="002F320A" w:rsidRDefault="00EC503A" w:rsidP="002F320A">
      <w:pPr>
        <w:pStyle w:val="NoSpacing"/>
        <w:rPr>
          <w:rFonts w:ascii="Arial" w:eastAsia="Calibri" w:hAnsi="Arial"/>
        </w:rPr>
      </w:pPr>
    </w:p>
    <w:p w14:paraId="46C1E8AC" w14:textId="1CBE48A5" w:rsidR="00356C29" w:rsidRPr="002F320A" w:rsidRDefault="00356C29" w:rsidP="00D900DC">
      <w:pPr>
        <w:pStyle w:val="Heading3"/>
        <w:rPr>
          <w:rFonts w:eastAsia="Calibri"/>
        </w:rPr>
      </w:pPr>
      <w:r w:rsidRPr="002F320A">
        <w:rPr>
          <w:rFonts w:eastAsia="Calibri"/>
        </w:rPr>
        <w:t>Distribution</w:t>
      </w:r>
    </w:p>
    <w:p w14:paraId="1A5C7267" w14:textId="372F025F" w:rsidR="00817C40" w:rsidRPr="002F320A" w:rsidRDefault="00817C40" w:rsidP="002F320A">
      <w:pPr>
        <w:rPr>
          <w:rFonts w:ascii="Arial" w:hAnsi="Arial"/>
        </w:rPr>
      </w:pPr>
      <w:r w:rsidRPr="002F320A">
        <w:rPr>
          <w:rFonts w:ascii="Arial" w:hAnsi="Arial"/>
          <w:i/>
        </w:rPr>
        <w:t>In vitro</w:t>
      </w:r>
      <w:r w:rsidRPr="002F320A">
        <w:rPr>
          <w:rFonts w:ascii="Arial" w:hAnsi="Arial"/>
        </w:rPr>
        <w:t>, &gt;</w:t>
      </w:r>
      <w:r w:rsidRPr="0062381A">
        <w:rPr>
          <w:rFonts w:ascii="Arial" w:hAnsi="Arial" w:cs="Arial"/>
          <w:noProof/>
        </w:rPr>
        <w:t> </w:t>
      </w:r>
      <w:r w:rsidRPr="002F320A">
        <w:rPr>
          <w:rFonts w:ascii="Arial" w:hAnsi="Arial"/>
        </w:rPr>
        <w:t>94% of cannabidiol and its phase I metabolites were bound to plasma proteins, with preferential binding to human serum albumin.</w:t>
      </w:r>
    </w:p>
    <w:p w14:paraId="679DA2D8" w14:textId="4298A914" w:rsidR="00817C40" w:rsidRPr="002F320A" w:rsidRDefault="00817C40" w:rsidP="002F320A">
      <w:pPr>
        <w:rPr>
          <w:rFonts w:ascii="Arial" w:hAnsi="Arial"/>
        </w:rPr>
      </w:pPr>
      <w:r w:rsidRPr="002F320A">
        <w:rPr>
          <w:rFonts w:ascii="Arial" w:hAnsi="Arial"/>
        </w:rPr>
        <w:t>The apparent volume of distribution was high in healthy volunteers at 20,963</w:t>
      </w:r>
      <w:r w:rsidRPr="0062381A">
        <w:rPr>
          <w:rFonts w:ascii="Arial" w:hAnsi="Arial" w:cs="Arial"/>
          <w:noProof/>
        </w:rPr>
        <w:t> </w:t>
      </w:r>
      <w:r w:rsidRPr="002F320A">
        <w:rPr>
          <w:rFonts w:ascii="Arial" w:hAnsi="Arial"/>
        </w:rPr>
        <w:t>L to 42,849</w:t>
      </w:r>
      <w:r w:rsidRPr="0062381A">
        <w:rPr>
          <w:rFonts w:ascii="Arial" w:hAnsi="Arial" w:cs="Arial"/>
          <w:noProof/>
        </w:rPr>
        <w:t> </w:t>
      </w:r>
      <w:r w:rsidRPr="002F320A">
        <w:rPr>
          <w:rFonts w:ascii="Arial" w:hAnsi="Arial"/>
        </w:rPr>
        <w:t xml:space="preserve">L and greater than total body water, suggesting a wide distribution of </w:t>
      </w:r>
      <w:r w:rsidR="00D958E9" w:rsidRPr="009E592A">
        <w:rPr>
          <w:rFonts w:ascii="Arial" w:hAnsi="Arial"/>
        </w:rPr>
        <w:t>EPIDYOLEX</w:t>
      </w:r>
      <w:r w:rsidRPr="002F320A">
        <w:rPr>
          <w:rFonts w:ascii="Arial" w:hAnsi="Arial"/>
        </w:rPr>
        <w:t>.</w:t>
      </w:r>
    </w:p>
    <w:p w14:paraId="52A031CF" w14:textId="77777777" w:rsidR="00356C29" w:rsidRPr="002F320A" w:rsidRDefault="00356C29" w:rsidP="002F320A">
      <w:pPr>
        <w:pStyle w:val="NoSpacing"/>
        <w:rPr>
          <w:rFonts w:ascii="Arial" w:eastAsia="Calibri" w:hAnsi="Arial"/>
        </w:rPr>
      </w:pPr>
    </w:p>
    <w:p w14:paraId="09E3F877" w14:textId="44F9B2D2" w:rsidR="00EC503A" w:rsidRPr="002F320A" w:rsidRDefault="00EC503A" w:rsidP="00D900DC">
      <w:pPr>
        <w:pStyle w:val="Heading3"/>
        <w:rPr>
          <w:rFonts w:eastAsia="Calibri"/>
        </w:rPr>
      </w:pPr>
      <w:r w:rsidRPr="002F320A">
        <w:rPr>
          <w:rFonts w:eastAsia="Calibri"/>
        </w:rPr>
        <w:t>Metabolism</w:t>
      </w:r>
    </w:p>
    <w:p w14:paraId="38DEAF0A" w14:textId="5F8F0796" w:rsidR="00817C40" w:rsidRPr="002F320A" w:rsidRDefault="00817C40" w:rsidP="002F320A">
      <w:pPr>
        <w:rPr>
          <w:rFonts w:ascii="Arial" w:hAnsi="Arial"/>
        </w:rPr>
      </w:pPr>
      <w:r w:rsidRPr="002F320A">
        <w:rPr>
          <w:rFonts w:ascii="Arial" w:hAnsi="Arial"/>
        </w:rPr>
        <w:t>The half</w:t>
      </w:r>
      <w:r w:rsidRPr="0062381A">
        <w:rPr>
          <w:rFonts w:ascii="Arial" w:hAnsi="Arial" w:cs="Arial"/>
          <w:noProof/>
        </w:rPr>
        <w:noBreakHyphen/>
      </w:r>
      <w:r w:rsidRPr="002F320A">
        <w:rPr>
          <w:rFonts w:ascii="Arial" w:hAnsi="Arial"/>
        </w:rPr>
        <w:t>life of cannabidiol in plasma was 56–61</w:t>
      </w:r>
      <w:r w:rsidRPr="0062381A">
        <w:rPr>
          <w:rFonts w:ascii="Arial" w:hAnsi="Arial" w:cs="Arial"/>
          <w:noProof/>
        </w:rPr>
        <w:t> </w:t>
      </w:r>
      <w:r w:rsidRPr="002F320A">
        <w:rPr>
          <w:rFonts w:ascii="Arial" w:hAnsi="Arial"/>
        </w:rPr>
        <w:t>hours after twice daily dosing for 7</w:t>
      </w:r>
      <w:r w:rsidRPr="0062381A">
        <w:rPr>
          <w:rFonts w:ascii="Arial" w:hAnsi="Arial" w:cs="Arial"/>
          <w:noProof/>
        </w:rPr>
        <w:t> </w:t>
      </w:r>
      <w:r w:rsidRPr="002F320A">
        <w:rPr>
          <w:rFonts w:ascii="Arial" w:hAnsi="Arial"/>
        </w:rPr>
        <w:t>days in healthy volunteers.</w:t>
      </w:r>
    </w:p>
    <w:p w14:paraId="51EDEE1F" w14:textId="77777777" w:rsidR="00817C40" w:rsidRPr="002F320A" w:rsidRDefault="00817C40" w:rsidP="002F320A">
      <w:pPr>
        <w:rPr>
          <w:rFonts w:ascii="Arial" w:hAnsi="Arial"/>
          <w:u w:val="single"/>
        </w:rPr>
      </w:pPr>
    </w:p>
    <w:p w14:paraId="168CA67A" w14:textId="4645BAB5" w:rsidR="00817C40" w:rsidRPr="002F320A" w:rsidRDefault="00817C40" w:rsidP="002F320A">
      <w:pPr>
        <w:rPr>
          <w:rFonts w:ascii="Arial" w:hAnsi="Arial"/>
        </w:rPr>
      </w:pPr>
      <w:r w:rsidRPr="002F320A">
        <w:rPr>
          <w:rFonts w:ascii="Arial" w:hAnsi="Arial"/>
        </w:rPr>
        <w:t>Cannabidiol is extensively metabolised by the liver via CYP450 enzymes and the UGT enzymes. The major CYP450 isoforms responsible for the phase</w:t>
      </w:r>
      <w:r w:rsidRPr="0062381A">
        <w:rPr>
          <w:rFonts w:ascii="Arial" w:hAnsi="Arial" w:cs="Arial"/>
          <w:noProof/>
        </w:rPr>
        <w:t> </w:t>
      </w:r>
      <w:r w:rsidRPr="002F320A">
        <w:rPr>
          <w:rFonts w:ascii="Arial" w:hAnsi="Arial"/>
        </w:rPr>
        <w:t>I metabolism of cannabidiol are CYP2C19 and CYP3A4. The UGT isoforms responsible for the phase II conjugation of cannabidiol are UGT1A7, UGT1A9</w:t>
      </w:r>
      <w:r w:rsidR="00025EDC">
        <w:rPr>
          <w:rFonts w:ascii="Arial" w:hAnsi="Arial"/>
        </w:rPr>
        <w:t>,</w:t>
      </w:r>
      <w:r w:rsidRPr="002F320A">
        <w:rPr>
          <w:rFonts w:ascii="Arial" w:hAnsi="Arial"/>
        </w:rPr>
        <w:t xml:space="preserve"> and UGT2B7.</w:t>
      </w:r>
    </w:p>
    <w:p w14:paraId="371D1DB4" w14:textId="77777777" w:rsidR="00817C40" w:rsidRPr="002F320A" w:rsidRDefault="00817C40" w:rsidP="002F320A">
      <w:pPr>
        <w:rPr>
          <w:rFonts w:ascii="Arial" w:hAnsi="Arial"/>
        </w:rPr>
      </w:pPr>
    </w:p>
    <w:p w14:paraId="2CDB466D" w14:textId="7C188A9E" w:rsidR="00817C40" w:rsidRPr="002F320A" w:rsidRDefault="00817C40" w:rsidP="002F320A">
      <w:pPr>
        <w:rPr>
          <w:rFonts w:ascii="Arial" w:eastAsia="Arial Unicode MS" w:hAnsi="Arial"/>
        </w:rPr>
      </w:pPr>
      <w:r w:rsidRPr="002F320A">
        <w:rPr>
          <w:rFonts w:ascii="Arial" w:eastAsia="Arial Unicode MS" w:hAnsi="Arial"/>
        </w:rPr>
        <w:t>Studies in healthy subjects showed there were no major differences in the plasma exposure to cannabidiol in CYP2C19 intermediate and ultra</w:t>
      </w:r>
      <w:r w:rsidRPr="0062381A">
        <w:rPr>
          <w:rFonts w:ascii="Arial" w:eastAsia="Arial Unicode MS" w:hAnsi="Arial" w:cs="Arial"/>
        </w:rPr>
        <w:noBreakHyphen/>
      </w:r>
      <w:r w:rsidRPr="002F320A">
        <w:rPr>
          <w:rFonts w:ascii="Arial" w:eastAsia="Arial Unicode MS" w:hAnsi="Arial"/>
        </w:rPr>
        <w:t>rapid metabolisers when compared to extensive metabolisers.</w:t>
      </w:r>
    </w:p>
    <w:p w14:paraId="49047687" w14:textId="77777777" w:rsidR="00817C40" w:rsidRPr="002F320A" w:rsidRDefault="00817C40" w:rsidP="002F320A">
      <w:pPr>
        <w:rPr>
          <w:rFonts w:ascii="Arial" w:hAnsi="Arial"/>
        </w:rPr>
      </w:pPr>
    </w:p>
    <w:p w14:paraId="1C507CF8" w14:textId="58DBC556" w:rsidR="00817C40" w:rsidRPr="002F320A" w:rsidRDefault="00817C40" w:rsidP="002F320A">
      <w:pPr>
        <w:rPr>
          <w:rFonts w:ascii="Arial" w:hAnsi="Arial"/>
        </w:rPr>
      </w:pPr>
      <w:r w:rsidRPr="002F320A">
        <w:rPr>
          <w:rFonts w:ascii="Arial" w:hAnsi="Arial"/>
        </w:rPr>
        <w:t xml:space="preserve">The phase I metabolites identified in standard </w:t>
      </w:r>
      <w:r w:rsidRPr="002F320A">
        <w:rPr>
          <w:rFonts w:ascii="Arial" w:hAnsi="Arial"/>
          <w:i/>
        </w:rPr>
        <w:t>in vitro</w:t>
      </w:r>
      <w:r w:rsidRPr="002F320A">
        <w:rPr>
          <w:rFonts w:ascii="Arial" w:hAnsi="Arial"/>
        </w:rPr>
        <w:t xml:space="preserve"> assays were 7</w:t>
      </w:r>
      <w:r w:rsidRPr="0062381A">
        <w:rPr>
          <w:rFonts w:ascii="Arial" w:hAnsi="Arial" w:cs="Arial"/>
          <w:noProof/>
        </w:rPr>
        <w:noBreakHyphen/>
      </w:r>
      <w:r w:rsidRPr="002F320A">
        <w:rPr>
          <w:rFonts w:ascii="Arial" w:hAnsi="Arial"/>
        </w:rPr>
        <w:t>COOH</w:t>
      </w:r>
      <w:r w:rsidRPr="0062381A">
        <w:rPr>
          <w:rFonts w:ascii="Arial" w:hAnsi="Arial" w:cs="Arial"/>
          <w:noProof/>
        </w:rPr>
        <w:noBreakHyphen/>
      </w:r>
      <w:r w:rsidRPr="002F320A">
        <w:rPr>
          <w:rFonts w:ascii="Arial" w:hAnsi="Arial"/>
        </w:rPr>
        <w:t>CBD, 7</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CBD, and 6</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 xml:space="preserve">CBD (a minor circulating metabolite). After multiple dosing with </w:t>
      </w:r>
      <w:r w:rsidR="00EF74A1" w:rsidRPr="002F320A">
        <w:rPr>
          <w:rFonts w:ascii="Arial" w:hAnsi="Arial"/>
        </w:rPr>
        <w:t>EPIDYOLEX</w:t>
      </w:r>
      <w:r w:rsidRPr="002F320A">
        <w:rPr>
          <w:rFonts w:ascii="Arial" w:hAnsi="Arial"/>
        </w:rPr>
        <w:t>, the</w:t>
      </w:r>
      <w:r w:rsidRPr="0062381A">
        <w:rPr>
          <w:rFonts w:ascii="Arial" w:hAnsi="Arial" w:cs="Arial"/>
          <w:noProof/>
        </w:rPr>
        <w:t xml:space="preserve"> </w:t>
      </w:r>
      <w:r w:rsidRPr="002F320A">
        <w:rPr>
          <w:rFonts w:ascii="Arial" w:hAnsi="Arial"/>
        </w:rPr>
        <w:t>7</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CBD metabolite (active in a preclinical model of seizure) circulates in human plasma at lower concentrations than the parent drug cannabidiol (~</w:t>
      </w:r>
      <w:r w:rsidRPr="0062381A">
        <w:rPr>
          <w:rFonts w:ascii="Arial" w:hAnsi="Arial" w:cs="Arial"/>
          <w:noProof/>
        </w:rPr>
        <w:t> </w:t>
      </w:r>
      <w:r w:rsidRPr="002F320A">
        <w:rPr>
          <w:rFonts w:ascii="Arial" w:hAnsi="Arial"/>
        </w:rPr>
        <w:t>40% of CBD exposure) based on AUC.</w:t>
      </w:r>
    </w:p>
    <w:p w14:paraId="52C90D3A" w14:textId="77777777" w:rsidR="00EC503A" w:rsidRPr="002F320A" w:rsidRDefault="00EC503A" w:rsidP="002F320A">
      <w:pPr>
        <w:pStyle w:val="NoSpacing"/>
        <w:rPr>
          <w:rFonts w:ascii="Arial" w:eastAsia="Calibri" w:hAnsi="Arial"/>
        </w:rPr>
      </w:pPr>
    </w:p>
    <w:p w14:paraId="27F7D0AF" w14:textId="475D4305" w:rsidR="00B17C13" w:rsidRPr="002F320A" w:rsidRDefault="00EC503A" w:rsidP="00D900DC">
      <w:pPr>
        <w:pStyle w:val="Heading3"/>
      </w:pPr>
      <w:r w:rsidRPr="002F320A">
        <w:t>Excretion</w:t>
      </w:r>
    </w:p>
    <w:p w14:paraId="7FF9AC5B" w14:textId="3031CF41" w:rsidR="00817C40" w:rsidRPr="002F320A" w:rsidRDefault="00817C40" w:rsidP="002F320A">
      <w:pPr>
        <w:rPr>
          <w:rFonts w:ascii="Arial" w:hAnsi="Arial"/>
        </w:rPr>
      </w:pPr>
      <w:r w:rsidRPr="002F320A">
        <w:rPr>
          <w:rFonts w:ascii="Arial" w:hAnsi="Arial"/>
        </w:rPr>
        <w:t>The plasma clearance of cannabidiol following a single 1500</w:t>
      </w:r>
      <w:r w:rsidRPr="0062381A">
        <w:rPr>
          <w:rFonts w:ascii="Arial" w:hAnsi="Arial" w:cs="Arial"/>
          <w:noProof/>
        </w:rPr>
        <w:t> </w:t>
      </w:r>
      <w:r w:rsidRPr="002F320A">
        <w:rPr>
          <w:rFonts w:ascii="Arial" w:hAnsi="Arial"/>
        </w:rPr>
        <w:t xml:space="preserve">mg dose of </w:t>
      </w:r>
      <w:r w:rsidR="005A59F7">
        <w:rPr>
          <w:rFonts w:ascii="Arial" w:hAnsi="Arial"/>
        </w:rPr>
        <w:t>cannabidiol</w:t>
      </w:r>
      <w:r w:rsidR="005A59F7" w:rsidRPr="002F320A">
        <w:rPr>
          <w:rFonts w:ascii="Arial" w:hAnsi="Arial"/>
        </w:rPr>
        <w:t xml:space="preserve"> </w:t>
      </w:r>
      <w:r w:rsidRPr="002F320A">
        <w:rPr>
          <w:rFonts w:ascii="Arial" w:hAnsi="Arial"/>
        </w:rPr>
        <w:t>is about 1111</w:t>
      </w:r>
      <w:r w:rsidRPr="0062381A">
        <w:rPr>
          <w:rFonts w:ascii="Arial" w:hAnsi="Arial" w:cs="Arial"/>
          <w:noProof/>
        </w:rPr>
        <w:t> </w:t>
      </w:r>
      <w:r w:rsidRPr="002F320A">
        <w:rPr>
          <w:rFonts w:ascii="Arial" w:hAnsi="Arial"/>
        </w:rPr>
        <w:t>L/h. Cannabidiol is predominantly cleared by metabolism in the liver and gut and excreted in faeces, with renal clearance of parent drug being a minor pathway.</w:t>
      </w:r>
    </w:p>
    <w:p w14:paraId="4EC31BDB" w14:textId="77777777" w:rsidR="00817C40" w:rsidRPr="002F320A" w:rsidRDefault="00817C40" w:rsidP="002F320A">
      <w:pPr>
        <w:rPr>
          <w:rFonts w:ascii="Arial" w:hAnsi="Arial"/>
        </w:rPr>
      </w:pPr>
    </w:p>
    <w:p w14:paraId="73B9F1D2" w14:textId="77777777" w:rsidR="00817C40" w:rsidRPr="000511CF" w:rsidRDefault="00817C40" w:rsidP="00D900DC">
      <w:pPr>
        <w:pStyle w:val="Heading3"/>
      </w:pPr>
      <w:r w:rsidRPr="002F320A">
        <w:t>Linearity</w:t>
      </w:r>
    </w:p>
    <w:p w14:paraId="083336D1" w14:textId="572ABE29" w:rsidR="00817C40" w:rsidRPr="0062381A" w:rsidRDefault="00817C40" w:rsidP="00817C40">
      <w:pPr>
        <w:rPr>
          <w:rFonts w:ascii="Arial" w:hAnsi="Arial" w:cs="Arial"/>
        </w:rPr>
      </w:pPr>
      <w:r w:rsidRPr="002F320A">
        <w:rPr>
          <w:rFonts w:ascii="Arial" w:hAnsi="Arial"/>
        </w:rPr>
        <w:t xml:space="preserve">The </w:t>
      </w:r>
      <w:proofErr w:type="spellStart"/>
      <w:r w:rsidRPr="002F320A">
        <w:rPr>
          <w:rFonts w:ascii="Arial" w:hAnsi="Arial"/>
        </w:rPr>
        <w:t>C</w:t>
      </w:r>
      <w:r w:rsidRPr="002F320A">
        <w:rPr>
          <w:rFonts w:ascii="Arial" w:hAnsi="Arial"/>
          <w:vertAlign w:val="subscript"/>
        </w:rPr>
        <w:t>max</w:t>
      </w:r>
      <w:proofErr w:type="spellEnd"/>
      <w:r w:rsidRPr="007560E4">
        <w:rPr>
          <w:rFonts w:ascii="Arial" w:hAnsi="Arial"/>
        </w:rPr>
        <w:t xml:space="preserve"> </w:t>
      </w:r>
      <w:r w:rsidRPr="002F320A">
        <w:rPr>
          <w:rFonts w:ascii="Arial" w:hAnsi="Arial"/>
        </w:rPr>
        <w:t>and AUC of cannabidiol are close to dose</w:t>
      </w:r>
      <w:r w:rsidRPr="0062381A">
        <w:rPr>
          <w:rFonts w:ascii="Arial" w:hAnsi="Arial" w:cs="Arial"/>
        </w:rPr>
        <w:noBreakHyphen/>
      </w:r>
      <w:r w:rsidRPr="002F320A">
        <w:rPr>
          <w:rFonts w:ascii="Arial" w:hAnsi="Arial"/>
        </w:rPr>
        <w:t>proportional over the therapeutic dose range. After single dosing, exposure over the range 750</w:t>
      </w:r>
      <w:r w:rsidRPr="0062381A">
        <w:rPr>
          <w:rFonts w:ascii="Arial" w:hAnsi="Arial" w:cs="Arial"/>
        </w:rPr>
        <w:noBreakHyphen/>
      </w:r>
      <w:r w:rsidRPr="002F320A">
        <w:rPr>
          <w:rFonts w:ascii="Arial" w:hAnsi="Arial"/>
        </w:rPr>
        <w:t>6000</w:t>
      </w:r>
      <w:r w:rsidRPr="0062381A">
        <w:rPr>
          <w:rFonts w:ascii="Arial" w:hAnsi="Arial" w:cs="Arial"/>
        </w:rPr>
        <w:t> </w:t>
      </w:r>
      <w:r w:rsidRPr="002F320A">
        <w:rPr>
          <w:rFonts w:ascii="Arial" w:hAnsi="Arial"/>
        </w:rPr>
        <w:t>mg increases in a less than dose</w:t>
      </w:r>
      <w:r w:rsidRPr="0062381A">
        <w:rPr>
          <w:rFonts w:ascii="Arial" w:hAnsi="Arial" w:cs="Arial"/>
        </w:rPr>
        <w:noBreakHyphen/>
      </w:r>
      <w:r w:rsidRPr="002F320A">
        <w:rPr>
          <w:rFonts w:ascii="Arial" w:hAnsi="Arial"/>
        </w:rPr>
        <w:t>proportional manner, indicating that absorption of cannabidiol may be saturable.</w:t>
      </w:r>
      <w:r w:rsidRPr="0062381A">
        <w:rPr>
          <w:rFonts w:ascii="Arial" w:hAnsi="Arial" w:cs="Arial"/>
        </w:rPr>
        <w:t xml:space="preserve"> </w:t>
      </w:r>
    </w:p>
    <w:p w14:paraId="78E7E7F1" w14:textId="77777777" w:rsidR="00817C40" w:rsidRPr="0062381A" w:rsidRDefault="00817C40" w:rsidP="00946995">
      <w:pPr>
        <w:pStyle w:val="NoSpacing"/>
        <w:rPr>
          <w:rFonts w:ascii="Arial" w:hAnsi="Arial" w:cs="Arial"/>
        </w:rPr>
      </w:pPr>
    </w:p>
    <w:p w14:paraId="07724A71" w14:textId="3E01E255" w:rsidR="0062381A" w:rsidRPr="000511CF" w:rsidRDefault="0062381A" w:rsidP="00D900DC">
      <w:pPr>
        <w:pStyle w:val="Heading3"/>
      </w:pPr>
      <w:r w:rsidRPr="002F320A">
        <w:t>Pharmacokinetics in special patient groups</w:t>
      </w:r>
    </w:p>
    <w:p w14:paraId="2D3ED0EC" w14:textId="77777777" w:rsidR="0062381A" w:rsidRPr="002F320A" w:rsidRDefault="0062381A" w:rsidP="00D900DC">
      <w:pPr>
        <w:pStyle w:val="Heading4"/>
      </w:pPr>
      <w:r w:rsidRPr="002F320A">
        <w:t>Effect of age, weight, sex, race</w:t>
      </w:r>
    </w:p>
    <w:p w14:paraId="5DE1AA80" w14:textId="0BC02AA2" w:rsidR="0062381A" w:rsidRPr="002F320A" w:rsidRDefault="0062381A" w:rsidP="002F320A">
      <w:pPr>
        <w:rPr>
          <w:rFonts w:ascii="Arial" w:eastAsia="Arial Unicode MS" w:hAnsi="Arial"/>
        </w:rPr>
      </w:pPr>
      <w:r w:rsidRPr="002F320A">
        <w:rPr>
          <w:rFonts w:ascii="Arial" w:eastAsia="Arial Unicode MS" w:hAnsi="Arial"/>
        </w:rPr>
        <w:t>Population pharmacokinetic analyses demonstrated that there were no clinically relevant effects of age, body weight, sex, or race on exposure to cannabidiol.</w:t>
      </w:r>
    </w:p>
    <w:p w14:paraId="3556D641" w14:textId="77777777" w:rsidR="0062381A" w:rsidRPr="002F320A" w:rsidRDefault="0062381A" w:rsidP="002F320A">
      <w:pPr>
        <w:rPr>
          <w:rFonts w:ascii="Arial" w:eastAsia="Arial Unicode MS" w:hAnsi="Arial"/>
        </w:rPr>
      </w:pPr>
    </w:p>
    <w:p w14:paraId="5F6648B7" w14:textId="77777777" w:rsidR="0062381A" w:rsidRPr="002F320A" w:rsidRDefault="0062381A" w:rsidP="00D900DC">
      <w:pPr>
        <w:pStyle w:val="Heading4"/>
      </w:pPr>
      <w:r w:rsidRPr="002F320A">
        <w:t>Elderly patients</w:t>
      </w:r>
    </w:p>
    <w:p w14:paraId="72006ACC" w14:textId="768344D2" w:rsidR="0062381A" w:rsidRPr="002F320A" w:rsidRDefault="0062381A" w:rsidP="002F320A">
      <w:pPr>
        <w:keepNext/>
        <w:rPr>
          <w:rFonts w:ascii="Arial" w:eastAsia="Arial Unicode MS" w:hAnsi="Arial"/>
        </w:rPr>
      </w:pPr>
      <w:r w:rsidRPr="002F320A">
        <w:rPr>
          <w:rFonts w:ascii="Arial" w:eastAsia="Arial Unicode MS" w:hAnsi="Arial"/>
        </w:rPr>
        <w:t>Pharmacokinetics of cannabidiol have not been studied in patients &gt;</w:t>
      </w:r>
      <w:r w:rsidRPr="0062381A">
        <w:rPr>
          <w:rFonts w:ascii="Arial" w:eastAsia="Arial Unicode MS" w:hAnsi="Arial" w:cs="Arial"/>
        </w:rPr>
        <w:t> </w:t>
      </w:r>
      <w:r w:rsidRPr="002F320A">
        <w:rPr>
          <w:rFonts w:ascii="Arial" w:eastAsia="Arial Unicode MS" w:hAnsi="Arial"/>
        </w:rPr>
        <w:t>55</w:t>
      </w:r>
      <w:r w:rsidRPr="0062381A">
        <w:rPr>
          <w:rFonts w:ascii="Arial" w:eastAsia="Arial Unicode MS" w:hAnsi="Arial" w:cs="Arial"/>
        </w:rPr>
        <w:t> </w:t>
      </w:r>
      <w:r w:rsidRPr="002F320A">
        <w:rPr>
          <w:rFonts w:ascii="Arial" w:eastAsia="Arial Unicode MS" w:hAnsi="Arial"/>
        </w:rPr>
        <w:t>years of age.</w:t>
      </w:r>
    </w:p>
    <w:p w14:paraId="150DF78B" w14:textId="77777777" w:rsidR="0062381A" w:rsidRPr="002F320A" w:rsidRDefault="0062381A" w:rsidP="002F320A">
      <w:pPr>
        <w:keepNext/>
        <w:rPr>
          <w:rFonts w:ascii="Arial" w:eastAsia="Arial Unicode MS" w:hAnsi="Arial"/>
        </w:rPr>
      </w:pPr>
    </w:p>
    <w:p w14:paraId="53DE4478" w14:textId="77777777" w:rsidR="0062381A" w:rsidRPr="002F320A" w:rsidRDefault="0062381A" w:rsidP="00D900DC">
      <w:pPr>
        <w:pStyle w:val="Heading4"/>
      </w:pPr>
      <w:bookmarkStart w:id="23" w:name="_Hlk532652242"/>
      <w:r w:rsidRPr="002F320A">
        <w:t>Paediatric patients</w:t>
      </w:r>
    </w:p>
    <w:p w14:paraId="39103D31" w14:textId="2657B4E5" w:rsidR="0062381A" w:rsidRPr="0062381A" w:rsidRDefault="0062381A" w:rsidP="0062381A">
      <w:pPr>
        <w:rPr>
          <w:rFonts w:ascii="Arial" w:eastAsia="Arial Unicode MS" w:hAnsi="Arial" w:cs="Arial"/>
        </w:rPr>
      </w:pPr>
      <w:r w:rsidRPr="002F320A">
        <w:rPr>
          <w:rFonts w:ascii="Arial" w:eastAsia="Arial Unicode MS" w:hAnsi="Arial"/>
        </w:rPr>
        <w:t>Pharmacokinetics of cannabidiol has not been studied in paediatric patients &lt;</w:t>
      </w:r>
      <w:r w:rsidRPr="0062381A">
        <w:rPr>
          <w:rFonts w:ascii="Arial" w:eastAsia="Arial Unicode MS" w:hAnsi="Arial" w:cs="Arial"/>
        </w:rPr>
        <w:t> 2 years of age</w:t>
      </w:r>
      <w:r w:rsidRPr="002F320A">
        <w:rPr>
          <w:rFonts w:ascii="Arial" w:eastAsia="Arial Unicode MS" w:hAnsi="Arial"/>
        </w:rPr>
        <w:t>.</w:t>
      </w:r>
      <w:r w:rsidR="00FE2C96">
        <w:rPr>
          <w:rFonts w:ascii="Arial" w:eastAsia="Arial Unicode MS" w:hAnsi="Arial"/>
        </w:rPr>
        <w:t xml:space="preserve"> </w:t>
      </w:r>
      <w:r w:rsidRPr="0062381A">
        <w:rPr>
          <w:rFonts w:ascii="Arial" w:eastAsia="Arial Unicode MS" w:hAnsi="Arial" w:cs="Arial"/>
        </w:rPr>
        <w:t>A small number of patients &lt; 2 years with treatment</w:t>
      </w:r>
      <w:r w:rsidRPr="0062381A">
        <w:rPr>
          <w:rFonts w:ascii="Arial" w:eastAsia="Arial Unicode MS" w:hAnsi="Arial" w:cs="Arial"/>
        </w:rPr>
        <w:noBreakHyphen/>
        <w:t xml:space="preserve">resistant epilepsy have been exposed to </w:t>
      </w:r>
      <w:r w:rsidR="00EF74A1">
        <w:rPr>
          <w:rFonts w:ascii="Arial" w:eastAsia="Arial Unicode MS" w:hAnsi="Arial" w:cs="Arial"/>
        </w:rPr>
        <w:t>EPIDYOLEX</w:t>
      </w:r>
      <w:r w:rsidRPr="0062381A">
        <w:rPr>
          <w:rFonts w:ascii="Arial" w:eastAsia="Arial Unicode MS" w:hAnsi="Arial" w:cs="Arial"/>
        </w:rPr>
        <w:t xml:space="preserve"> in an expanded access programme.</w:t>
      </w:r>
    </w:p>
    <w:bookmarkEnd w:id="23"/>
    <w:p w14:paraId="3F085685" w14:textId="77777777" w:rsidR="0062381A" w:rsidRPr="0062381A" w:rsidRDefault="0062381A" w:rsidP="0062381A">
      <w:pPr>
        <w:rPr>
          <w:rFonts w:ascii="Arial" w:eastAsia="Arial Unicode MS" w:hAnsi="Arial" w:cs="Arial"/>
        </w:rPr>
      </w:pPr>
    </w:p>
    <w:p w14:paraId="3DEBFE5D" w14:textId="77777777" w:rsidR="0062381A" w:rsidRPr="002F320A" w:rsidRDefault="0062381A" w:rsidP="00D900DC">
      <w:pPr>
        <w:pStyle w:val="Heading4"/>
      </w:pPr>
      <w:r w:rsidRPr="002F320A">
        <w:t>Renal impairment</w:t>
      </w:r>
    </w:p>
    <w:p w14:paraId="218A0BA8" w14:textId="42E0979D" w:rsidR="0062381A" w:rsidRPr="002F320A" w:rsidRDefault="0062381A" w:rsidP="002F320A">
      <w:pPr>
        <w:rPr>
          <w:rFonts w:ascii="Arial" w:eastAsia="Arial Unicode MS" w:hAnsi="Arial"/>
        </w:rPr>
      </w:pPr>
      <w:r w:rsidRPr="002F320A">
        <w:rPr>
          <w:rFonts w:ascii="Arial" w:eastAsia="Arial Unicode MS" w:hAnsi="Arial"/>
        </w:rPr>
        <w:t xml:space="preserve">No effects on the </w:t>
      </w:r>
      <w:proofErr w:type="spellStart"/>
      <w:r w:rsidRPr="002F320A">
        <w:rPr>
          <w:rFonts w:ascii="Arial" w:eastAsia="Arial Unicode MS" w:hAnsi="Arial"/>
        </w:rPr>
        <w:t>C</w:t>
      </w:r>
      <w:r w:rsidRPr="002F320A">
        <w:rPr>
          <w:rFonts w:ascii="Arial" w:eastAsia="Arial Unicode MS" w:hAnsi="Arial"/>
          <w:vertAlign w:val="subscript"/>
        </w:rPr>
        <w:t>max</w:t>
      </w:r>
      <w:proofErr w:type="spellEnd"/>
      <w:r w:rsidRPr="002F320A">
        <w:rPr>
          <w:rFonts w:ascii="Arial" w:eastAsia="Arial Unicode MS" w:hAnsi="Arial"/>
        </w:rPr>
        <w:t xml:space="preserve"> or AUC of cannabidiol were observed following administration of a single dose of </w:t>
      </w:r>
      <w:r w:rsidR="00EF74A1" w:rsidRPr="002F320A">
        <w:rPr>
          <w:rFonts w:ascii="Arial" w:eastAsia="Arial Unicode MS" w:hAnsi="Arial"/>
        </w:rPr>
        <w:t>EPIDYOLEX</w:t>
      </w:r>
      <w:r w:rsidRPr="002F320A">
        <w:rPr>
          <w:rFonts w:ascii="Arial" w:eastAsia="Arial Unicode MS" w:hAnsi="Arial"/>
        </w:rPr>
        <w:t xml:space="preserve"> 200</w:t>
      </w:r>
      <w:r w:rsidRPr="0062381A">
        <w:rPr>
          <w:rFonts w:ascii="Arial" w:eastAsia="Arial Unicode MS" w:hAnsi="Arial" w:cs="Arial"/>
        </w:rPr>
        <w:t> </w:t>
      </w:r>
      <w:r w:rsidRPr="002F320A">
        <w:rPr>
          <w:rFonts w:ascii="Arial" w:eastAsia="Arial Unicode MS" w:hAnsi="Arial"/>
        </w:rPr>
        <w:t>mg in subjects with mild, moderate, or severe renal impairment when compared to patients with normal renal function. Patients with end</w:t>
      </w:r>
      <w:r w:rsidRPr="0062381A">
        <w:rPr>
          <w:rFonts w:ascii="Arial" w:eastAsia="Arial Unicode MS" w:hAnsi="Arial" w:cs="Arial"/>
        </w:rPr>
        <w:noBreakHyphen/>
      </w:r>
      <w:r w:rsidRPr="002F320A">
        <w:rPr>
          <w:rFonts w:ascii="Arial" w:eastAsia="Arial Unicode MS" w:hAnsi="Arial"/>
        </w:rPr>
        <w:t>stage renal disease were not studied.</w:t>
      </w:r>
      <w:r w:rsidRPr="0062381A">
        <w:rPr>
          <w:rFonts w:ascii="Arial" w:eastAsia="Arial Unicode MS" w:hAnsi="Arial" w:cs="Arial"/>
        </w:rPr>
        <w:t xml:space="preserve"> </w:t>
      </w:r>
    </w:p>
    <w:p w14:paraId="47EDE5A7" w14:textId="77777777" w:rsidR="0062381A" w:rsidRPr="002F320A" w:rsidRDefault="0062381A" w:rsidP="002F320A">
      <w:pPr>
        <w:rPr>
          <w:rFonts w:ascii="Arial" w:eastAsia="Arial Unicode MS" w:hAnsi="Arial"/>
        </w:rPr>
      </w:pPr>
    </w:p>
    <w:p w14:paraId="0C90054C" w14:textId="77777777" w:rsidR="0062381A" w:rsidRPr="002F320A" w:rsidRDefault="0062381A" w:rsidP="00D900DC">
      <w:pPr>
        <w:pStyle w:val="Heading4"/>
      </w:pPr>
      <w:r w:rsidRPr="002F320A">
        <w:t>Hepatic impairment</w:t>
      </w:r>
    </w:p>
    <w:p w14:paraId="0C27EEFB" w14:textId="7F8BAE49" w:rsidR="0062381A" w:rsidRPr="002F320A" w:rsidRDefault="0062381A" w:rsidP="002F320A">
      <w:pPr>
        <w:rPr>
          <w:rFonts w:ascii="Arial" w:eastAsia="Arial Unicode MS" w:hAnsi="Arial"/>
        </w:rPr>
      </w:pPr>
      <w:r w:rsidRPr="002F320A">
        <w:rPr>
          <w:rFonts w:ascii="Arial" w:eastAsia="Arial Unicode MS" w:hAnsi="Arial"/>
        </w:rPr>
        <w:t xml:space="preserve">No effects on cannabidiol or metabolite exposures were observed following administration of a single dose of </w:t>
      </w:r>
      <w:r w:rsidR="00EF74A1" w:rsidRPr="002F320A">
        <w:rPr>
          <w:rFonts w:ascii="Arial" w:eastAsia="Arial Unicode MS" w:hAnsi="Arial"/>
        </w:rPr>
        <w:t>EPIDYOLEX</w:t>
      </w:r>
      <w:r w:rsidRPr="002F320A">
        <w:rPr>
          <w:rFonts w:ascii="Arial" w:eastAsia="Arial Unicode MS" w:hAnsi="Arial"/>
        </w:rPr>
        <w:t xml:space="preserve"> 200</w:t>
      </w:r>
      <w:r w:rsidRPr="0062381A">
        <w:rPr>
          <w:rFonts w:ascii="Arial" w:eastAsia="Arial Unicode MS" w:hAnsi="Arial" w:cs="Arial"/>
        </w:rPr>
        <w:t> </w:t>
      </w:r>
      <w:r w:rsidRPr="002F320A">
        <w:rPr>
          <w:rFonts w:ascii="Arial" w:eastAsia="Arial Unicode MS" w:hAnsi="Arial"/>
        </w:rPr>
        <w:t>mg in subjects with mild hepatic impairment.</w:t>
      </w:r>
    </w:p>
    <w:p w14:paraId="7307D9C3" w14:textId="77777777" w:rsidR="0062381A" w:rsidRPr="002F320A" w:rsidRDefault="0062381A" w:rsidP="002F320A">
      <w:pPr>
        <w:rPr>
          <w:rFonts w:ascii="Arial" w:eastAsia="Arial Unicode MS" w:hAnsi="Arial"/>
        </w:rPr>
      </w:pPr>
    </w:p>
    <w:p w14:paraId="0F3A1217" w14:textId="37239F37" w:rsidR="0062381A" w:rsidRPr="002F320A" w:rsidRDefault="0062381A" w:rsidP="002F320A">
      <w:pPr>
        <w:rPr>
          <w:rFonts w:ascii="Arial" w:eastAsia="Arial Unicode MS" w:hAnsi="Arial"/>
        </w:rPr>
      </w:pPr>
      <w:r w:rsidRPr="002F320A">
        <w:rPr>
          <w:rFonts w:ascii="Arial" w:eastAsia="Arial Unicode MS" w:hAnsi="Arial"/>
        </w:rPr>
        <w:t>Subjects with moderate and severe hepatic impairment showed higher plasma concentrations of cannabidiol (approximately 2.5</w:t>
      </w:r>
      <w:r w:rsidR="00035AB1">
        <w:t>–</w:t>
      </w:r>
      <w:r w:rsidRPr="002F320A">
        <w:rPr>
          <w:rFonts w:ascii="Arial" w:eastAsia="Arial Unicode MS" w:hAnsi="Arial"/>
        </w:rPr>
        <w:t>5.2</w:t>
      </w:r>
      <w:r w:rsidRPr="0062381A">
        <w:rPr>
          <w:rFonts w:ascii="Arial" w:eastAsia="Arial Unicode MS" w:hAnsi="Arial" w:cs="Arial"/>
        </w:rPr>
        <w:noBreakHyphen/>
      </w:r>
      <w:r w:rsidRPr="002F320A">
        <w:rPr>
          <w:rFonts w:ascii="Arial" w:eastAsia="Arial Unicode MS" w:hAnsi="Arial"/>
        </w:rPr>
        <w:t xml:space="preserve">fold higher AUC compared to healthy subjects with normal hepatic function). </w:t>
      </w:r>
      <w:r w:rsidR="00EF74A1" w:rsidRPr="002F320A">
        <w:rPr>
          <w:rFonts w:ascii="Arial" w:eastAsia="Arial Unicode MS" w:hAnsi="Arial"/>
        </w:rPr>
        <w:t>EPIDYOLEX</w:t>
      </w:r>
      <w:r w:rsidRPr="002F320A">
        <w:rPr>
          <w:rFonts w:ascii="Arial" w:eastAsia="Arial Unicode MS" w:hAnsi="Arial"/>
        </w:rPr>
        <w:t xml:space="preserve"> should be used with caution in patients with moderate or severe hepatic impairment. </w:t>
      </w:r>
      <w:r w:rsidRPr="002F320A">
        <w:rPr>
          <w:rFonts w:ascii="Arial" w:hAnsi="Arial"/>
        </w:rPr>
        <w:t>A lower starting dose is recommended in patients with moderate or severe hepatic impairment.</w:t>
      </w:r>
      <w:r w:rsidRPr="002F320A">
        <w:rPr>
          <w:rFonts w:ascii="Arial" w:eastAsia="Arial Unicode MS" w:hAnsi="Arial"/>
        </w:rPr>
        <w:t xml:space="preserve"> The dose titration should be performed as detailed in section</w:t>
      </w:r>
      <w:r w:rsidRPr="0062381A">
        <w:rPr>
          <w:rFonts w:ascii="Arial" w:eastAsia="Arial Unicode MS" w:hAnsi="Arial" w:cs="Arial"/>
        </w:rPr>
        <w:t> </w:t>
      </w:r>
      <w:hyperlink w:anchor="_DOSE_AND_METHOD" w:history="1">
        <w:r w:rsidR="008F5F9B" w:rsidRPr="0062381A">
          <w:rPr>
            <w:rStyle w:val="Hyperlink"/>
            <w:rFonts w:ascii="Arial" w:hAnsi="Arial" w:cs="Arial"/>
          </w:rPr>
          <w:t>4.2 DOSE AND METHOD OF ADMINISTRATION</w:t>
        </w:r>
      </w:hyperlink>
      <w:r w:rsidRPr="002F320A">
        <w:rPr>
          <w:rFonts w:ascii="Arial" w:eastAsia="Arial Unicode MS" w:hAnsi="Arial"/>
        </w:rPr>
        <w:t>.</w:t>
      </w:r>
    </w:p>
    <w:p w14:paraId="41D4C6C2" w14:textId="77777777" w:rsidR="0062381A" w:rsidRPr="002F320A" w:rsidRDefault="0062381A" w:rsidP="002F320A">
      <w:pPr>
        <w:rPr>
          <w:rFonts w:ascii="Arial" w:hAnsi="Arial"/>
          <w:u w:val="single"/>
        </w:rPr>
      </w:pPr>
    </w:p>
    <w:p w14:paraId="1AD9E87B" w14:textId="77777777" w:rsidR="0062381A" w:rsidRPr="000511CF" w:rsidRDefault="0062381A" w:rsidP="00D900DC">
      <w:pPr>
        <w:pStyle w:val="Heading3"/>
      </w:pPr>
      <w:r w:rsidRPr="002F320A">
        <w:t>Pharmacokinetic/pharmacodynamic relationship(s)</w:t>
      </w:r>
    </w:p>
    <w:p w14:paraId="2279F0CF" w14:textId="31ED2D6C" w:rsidR="0062381A" w:rsidRPr="002F320A" w:rsidRDefault="0062381A" w:rsidP="002F320A">
      <w:pPr>
        <w:rPr>
          <w:rFonts w:ascii="Arial" w:hAnsi="Arial"/>
        </w:rPr>
      </w:pPr>
      <w:r w:rsidRPr="002F320A">
        <w:rPr>
          <w:rFonts w:ascii="Arial" w:hAnsi="Arial"/>
        </w:rPr>
        <w:t>In patients with LGS, population pharmacokinetic pharmacodynamic (PK/PD) modelling indicated the presence of an exposure efficacy relationship for the likelihood of achieving a</w:t>
      </w:r>
      <w:r w:rsidRPr="0062381A">
        <w:rPr>
          <w:rFonts w:ascii="Arial" w:hAnsi="Arial" w:cs="Arial"/>
          <w:noProof/>
        </w:rPr>
        <w:t xml:space="preserve"> </w:t>
      </w:r>
      <w:r w:rsidR="00702FAA">
        <w:rPr>
          <w:rFonts w:ascii="Arial" w:hAnsi="Arial" w:cs="Arial"/>
        </w:rPr>
        <w:sym w:font="Symbol" w:char="F0B3"/>
      </w:r>
      <w:r w:rsidRPr="0062381A">
        <w:rPr>
          <w:rFonts w:ascii="Arial" w:hAnsi="Arial" w:cs="Arial"/>
          <w:noProof/>
        </w:rPr>
        <w:t> </w:t>
      </w:r>
      <w:r w:rsidRPr="002F320A">
        <w:rPr>
          <w:rFonts w:ascii="Arial" w:hAnsi="Arial"/>
        </w:rPr>
        <w:t xml:space="preserve">50% reduction in drop seizure frequency across the </w:t>
      </w:r>
      <w:r w:rsidR="00EF74A1" w:rsidRPr="002F320A">
        <w:rPr>
          <w:rFonts w:ascii="Arial" w:hAnsi="Arial"/>
        </w:rPr>
        <w:t>EPIDYOLEX</w:t>
      </w:r>
      <w:r w:rsidRPr="002F320A">
        <w:rPr>
          <w:rFonts w:ascii="Arial" w:hAnsi="Arial"/>
        </w:rPr>
        <w:t xml:space="preserve"> dose range tested (0</w:t>
      </w:r>
      <w:r w:rsidR="00C52EF7">
        <w:rPr>
          <w:rFonts w:ascii="Arial" w:hAnsi="Arial"/>
        </w:rPr>
        <w:t> </w:t>
      </w:r>
      <w:r w:rsidRPr="002F320A">
        <w:rPr>
          <w:rFonts w:ascii="Arial" w:hAnsi="Arial"/>
        </w:rPr>
        <w:t>[placebo], 10</w:t>
      </w:r>
      <w:r w:rsidRPr="0062381A">
        <w:rPr>
          <w:rFonts w:ascii="Arial" w:hAnsi="Arial" w:cs="Arial"/>
          <w:noProof/>
        </w:rPr>
        <w:t> </w:t>
      </w:r>
      <w:r w:rsidRPr="002F320A">
        <w:rPr>
          <w:rFonts w:ascii="Arial" w:hAnsi="Arial"/>
        </w:rPr>
        <w:t>and 20</w:t>
      </w:r>
      <w:r w:rsidRPr="0062381A">
        <w:rPr>
          <w:rFonts w:ascii="Arial" w:hAnsi="Arial" w:cs="Arial"/>
          <w:noProof/>
        </w:rPr>
        <w:t> </w:t>
      </w:r>
      <w:r w:rsidRPr="002F320A">
        <w:rPr>
          <w:rFonts w:ascii="Arial" w:hAnsi="Arial"/>
        </w:rPr>
        <w:t xml:space="preserve">mg/kg/day). There was a significant positive correlation between the derived AUC of cannabidiol and the probability of a </w:t>
      </w:r>
      <w:r w:rsidR="00702FAA">
        <w:rPr>
          <w:rFonts w:ascii="Arial" w:hAnsi="Arial" w:cs="Arial"/>
        </w:rPr>
        <w:sym w:font="Symbol" w:char="F0B3"/>
      </w:r>
      <w:r w:rsidRPr="0062381A">
        <w:rPr>
          <w:rFonts w:ascii="Arial" w:hAnsi="Arial" w:cs="Arial"/>
          <w:noProof/>
        </w:rPr>
        <w:t> </w:t>
      </w:r>
      <w:r w:rsidRPr="002F320A">
        <w:rPr>
          <w:rFonts w:ascii="Arial" w:hAnsi="Arial"/>
        </w:rPr>
        <w:t>50% response. The responder rate analysis also showed a correlation in the exposure–response relationship for the active metabolite of cannabidiol (7</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 xml:space="preserve">CBD). PK/PD analysis also demonstrated that systemic exposures to cannabidiol were correlated with some adverse events namely elevated ALT, AST, diarrhoea, fatigue, GGT, loss of appetite, rash, and somnolence (see section </w:t>
      </w:r>
      <w:hyperlink w:anchor="_ADVERSE_EFFECTS_(UNDESIRABLE" w:history="1">
        <w:r w:rsidR="008F5F9B" w:rsidRPr="0062381A">
          <w:rPr>
            <w:rStyle w:val="Hyperlink"/>
            <w:rFonts w:ascii="Arial" w:eastAsia="Calibri" w:hAnsi="Arial" w:cs="Arial"/>
          </w:rPr>
          <w:t>4.8 ADVERSE EFFECTS (UNDESIRABLE EFFECTS</w:t>
        </w:r>
      </w:hyperlink>
      <w:r w:rsidRPr="0062381A">
        <w:rPr>
          <w:rFonts w:ascii="Arial" w:hAnsi="Arial" w:cs="Arial"/>
          <w:noProof/>
        </w:rPr>
        <w:t>).</w:t>
      </w:r>
      <w:r w:rsidRPr="002F320A">
        <w:rPr>
          <w:rFonts w:ascii="Arial" w:hAnsi="Arial"/>
        </w:rPr>
        <w:t xml:space="preserve"> </w:t>
      </w:r>
      <w:proofErr w:type="spellStart"/>
      <w:r w:rsidRPr="002F320A">
        <w:rPr>
          <w:rFonts w:ascii="Arial" w:hAnsi="Arial"/>
        </w:rPr>
        <w:t>Clobazam</w:t>
      </w:r>
      <w:proofErr w:type="spellEnd"/>
      <w:r w:rsidRPr="002F320A">
        <w:rPr>
          <w:rFonts w:ascii="Arial" w:hAnsi="Arial"/>
        </w:rPr>
        <w:t xml:space="preserve"> (separate analysis) was a significant covariate which caused the probability of GGT to increase, loss of appetite to decrease, and somnolence to increase.</w:t>
      </w:r>
    </w:p>
    <w:p w14:paraId="3B17FD81" w14:textId="77777777" w:rsidR="0062381A" w:rsidRPr="002F320A" w:rsidRDefault="0062381A" w:rsidP="002F320A">
      <w:pPr>
        <w:rPr>
          <w:rFonts w:ascii="Arial" w:hAnsi="Arial"/>
        </w:rPr>
      </w:pPr>
    </w:p>
    <w:p w14:paraId="22652292" w14:textId="77777777" w:rsidR="0062381A" w:rsidRPr="000511CF" w:rsidRDefault="0062381A" w:rsidP="00D900DC">
      <w:pPr>
        <w:pStyle w:val="Heading3"/>
      </w:pPr>
      <w:r w:rsidRPr="002F320A">
        <w:t>Drug interaction studies</w:t>
      </w:r>
    </w:p>
    <w:p w14:paraId="22E2075A" w14:textId="77777777" w:rsidR="0062381A" w:rsidRPr="002F320A" w:rsidRDefault="0062381A" w:rsidP="00D900DC">
      <w:pPr>
        <w:pStyle w:val="Heading4"/>
      </w:pPr>
      <w:r w:rsidRPr="002F320A">
        <w:t>In vitro assessment of drug interactions</w:t>
      </w:r>
    </w:p>
    <w:p w14:paraId="5440BF84" w14:textId="5D0AC030" w:rsidR="0062381A" w:rsidRPr="002F320A" w:rsidRDefault="0062381A" w:rsidP="002F320A">
      <w:pPr>
        <w:rPr>
          <w:rFonts w:ascii="Arial" w:hAnsi="Arial"/>
        </w:rPr>
      </w:pPr>
      <w:r w:rsidRPr="002F320A">
        <w:rPr>
          <w:rFonts w:ascii="Arial" w:hAnsi="Arial"/>
        </w:rPr>
        <w:t>Cannabidiol is a substrate for CYP3A4, CYP2C19, UGT1A7, UGT1A9 and UGT2B7.</w:t>
      </w:r>
    </w:p>
    <w:p w14:paraId="53001128" w14:textId="4A6C4734" w:rsidR="0062381A" w:rsidRPr="002F320A" w:rsidRDefault="0062381A" w:rsidP="002F320A">
      <w:pPr>
        <w:rPr>
          <w:rFonts w:ascii="Arial" w:hAnsi="Arial"/>
        </w:rPr>
      </w:pPr>
      <w:r w:rsidRPr="002F320A">
        <w:rPr>
          <w:rFonts w:ascii="Arial" w:hAnsi="Arial"/>
          <w:i/>
        </w:rPr>
        <w:t>In vitro</w:t>
      </w:r>
      <w:r w:rsidRPr="002F320A">
        <w:rPr>
          <w:rFonts w:ascii="Arial" w:hAnsi="Arial"/>
        </w:rPr>
        <w:t xml:space="preserve"> data suggest that cannabidiol is an inhibitor of CYP1A2, CYP2B6, CYP2C8, CYP2C9, CYP2C19, UGT1A9 and UGT2B7</w:t>
      </w:r>
      <w:r w:rsidRPr="0062381A">
        <w:rPr>
          <w:rFonts w:ascii="Arial" w:hAnsi="Arial" w:cs="Arial"/>
          <w:noProof/>
        </w:rPr>
        <w:noBreakHyphen/>
      </w:r>
      <w:r w:rsidRPr="002F320A">
        <w:rPr>
          <w:rFonts w:ascii="Arial" w:hAnsi="Arial"/>
        </w:rPr>
        <w:t>mediated activity at clinically relevant concentrations. The metabolite 7</w:t>
      </w:r>
      <w:r w:rsidRPr="0062381A">
        <w:rPr>
          <w:rFonts w:ascii="Arial" w:hAnsi="Arial" w:cs="Arial"/>
          <w:noProof/>
        </w:rPr>
        <w:noBreakHyphen/>
      </w:r>
      <w:r w:rsidRPr="002F320A">
        <w:rPr>
          <w:rFonts w:ascii="Arial" w:hAnsi="Arial"/>
        </w:rPr>
        <w:t>carboxy</w:t>
      </w:r>
      <w:r w:rsidRPr="0062381A">
        <w:rPr>
          <w:rFonts w:ascii="Arial" w:hAnsi="Arial" w:cs="Arial"/>
          <w:noProof/>
        </w:rPr>
        <w:noBreakHyphen/>
      </w:r>
      <w:r w:rsidRPr="002F320A">
        <w:rPr>
          <w:rFonts w:ascii="Arial" w:hAnsi="Arial"/>
        </w:rPr>
        <w:t>cannabidiol (7</w:t>
      </w:r>
      <w:r w:rsidRPr="0062381A">
        <w:rPr>
          <w:rFonts w:ascii="Arial" w:hAnsi="Arial" w:cs="Arial"/>
          <w:noProof/>
        </w:rPr>
        <w:noBreakHyphen/>
      </w:r>
      <w:r w:rsidRPr="002F320A">
        <w:rPr>
          <w:rFonts w:ascii="Arial" w:hAnsi="Arial"/>
        </w:rPr>
        <w:t>COOH</w:t>
      </w:r>
      <w:r w:rsidRPr="0062381A">
        <w:rPr>
          <w:rFonts w:ascii="Arial" w:hAnsi="Arial" w:cs="Arial"/>
          <w:noProof/>
        </w:rPr>
        <w:noBreakHyphen/>
      </w:r>
      <w:r w:rsidRPr="002F320A">
        <w:rPr>
          <w:rFonts w:ascii="Arial" w:hAnsi="Arial"/>
        </w:rPr>
        <w:t>CBD) is an inhibitor of UGT1A1, UGT1A4 and UGT1A6</w:t>
      </w:r>
      <w:r w:rsidRPr="0062381A">
        <w:rPr>
          <w:rFonts w:ascii="Arial" w:hAnsi="Arial" w:cs="Arial"/>
          <w:noProof/>
        </w:rPr>
        <w:noBreakHyphen/>
      </w:r>
      <w:r w:rsidRPr="002F320A">
        <w:rPr>
          <w:rFonts w:ascii="Arial" w:hAnsi="Arial"/>
        </w:rPr>
        <w:t xml:space="preserve">mediated activity, </w:t>
      </w:r>
      <w:r w:rsidRPr="002F320A">
        <w:rPr>
          <w:rFonts w:ascii="Arial" w:hAnsi="Arial"/>
          <w:i/>
        </w:rPr>
        <w:t>in vitro</w:t>
      </w:r>
      <w:r w:rsidRPr="002F320A">
        <w:rPr>
          <w:rFonts w:ascii="Arial" w:hAnsi="Arial"/>
        </w:rPr>
        <w:t xml:space="preserve"> at clinically relevant concentrations (see also section</w:t>
      </w:r>
      <w:r w:rsidRPr="0062381A">
        <w:rPr>
          <w:rFonts w:ascii="Arial" w:hAnsi="Arial" w:cs="Arial"/>
          <w:noProof/>
        </w:rPr>
        <w:t> </w:t>
      </w:r>
      <w:hyperlink w:anchor="_INTERACTIONS_WITH_OTHER" w:history="1">
        <w:r w:rsidRPr="0062381A">
          <w:rPr>
            <w:rStyle w:val="Hyperlink"/>
            <w:rFonts w:ascii="Arial" w:eastAsia="Calibri" w:hAnsi="Arial" w:cs="Arial"/>
            <w:bCs/>
          </w:rPr>
          <w:t>4.5 INTERACTIONS WITH OTHER MEDICINES AND OTHER FORMS OF INTERACTIONS</w:t>
        </w:r>
      </w:hyperlink>
      <w:r w:rsidRPr="002F320A">
        <w:rPr>
          <w:rFonts w:ascii="Arial" w:hAnsi="Arial"/>
        </w:rPr>
        <w:t>).</w:t>
      </w:r>
    </w:p>
    <w:p w14:paraId="449EFC14" w14:textId="77777777" w:rsidR="0062381A" w:rsidRPr="002F320A" w:rsidRDefault="0062381A" w:rsidP="002F320A">
      <w:pPr>
        <w:rPr>
          <w:rFonts w:ascii="Arial" w:hAnsi="Arial"/>
        </w:rPr>
      </w:pPr>
    </w:p>
    <w:p w14:paraId="22396F39" w14:textId="4701A102" w:rsidR="0062381A" w:rsidRPr="002F320A" w:rsidRDefault="0062381A" w:rsidP="002F320A">
      <w:pPr>
        <w:rPr>
          <w:rFonts w:ascii="Arial" w:hAnsi="Arial"/>
        </w:rPr>
      </w:pPr>
      <w:r w:rsidRPr="002F320A">
        <w:rPr>
          <w:rFonts w:ascii="Arial" w:hAnsi="Arial"/>
        </w:rPr>
        <w:t>Inhibition of P</w:t>
      </w:r>
      <w:r w:rsidRPr="0062381A">
        <w:rPr>
          <w:rFonts w:ascii="Arial" w:hAnsi="Arial" w:cs="Arial"/>
          <w:noProof/>
        </w:rPr>
        <w:noBreakHyphen/>
      </w:r>
      <w:proofErr w:type="spellStart"/>
      <w:r w:rsidRPr="002F320A">
        <w:rPr>
          <w:rFonts w:ascii="Arial" w:hAnsi="Arial"/>
        </w:rPr>
        <w:t>gp</w:t>
      </w:r>
      <w:proofErr w:type="spellEnd"/>
      <w:r w:rsidRPr="002F320A">
        <w:rPr>
          <w:rFonts w:ascii="Arial" w:hAnsi="Arial"/>
        </w:rPr>
        <w:t xml:space="preserve"> mediated efflux by cannabidiol in the intestine cannot be ruled out.</w:t>
      </w:r>
    </w:p>
    <w:p w14:paraId="106C9D06" w14:textId="77777777" w:rsidR="0062381A" w:rsidRPr="002F320A" w:rsidRDefault="0062381A" w:rsidP="002F320A">
      <w:pPr>
        <w:rPr>
          <w:rFonts w:ascii="Arial" w:hAnsi="Arial"/>
        </w:rPr>
      </w:pPr>
    </w:p>
    <w:p w14:paraId="31D0B550" w14:textId="01946411" w:rsidR="0062381A" w:rsidRPr="002F320A" w:rsidRDefault="0062381A" w:rsidP="002F320A">
      <w:pPr>
        <w:rPr>
          <w:rFonts w:ascii="Arial" w:hAnsi="Arial"/>
        </w:rPr>
      </w:pPr>
      <w:r w:rsidRPr="002F320A">
        <w:rPr>
          <w:rFonts w:ascii="Arial" w:hAnsi="Arial"/>
        </w:rPr>
        <w:t>Cannabidiol induces CYP1A2 and CYP2B6 mRNA expression at clinically relevant concentrations.</w:t>
      </w:r>
      <w:r w:rsidRPr="0062381A">
        <w:rPr>
          <w:rFonts w:ascii="Arial" w:hAnsi="Arial" w:cs="Arial"/>
          <w:noProof/>
        </w:rPr>
        <w:t xml:space="preserve"> </w:t>
      </w:r>
    </w:p>
    <w:p w14:paraId="2EC89881" w14:textId="77777777" w:rsidR="0062381A" w:rsidRPr="002F320A" w:rsidRDefault="0062381A" w:rsidP="002F320A">
      <w:pPr>
        <w:rPr>
          <w:rFonts w:ascii="Arial" w:hAnsi="Arial"/>
        </w:rPr>
      </w:pPr>
    </w:p>
    <w:p w14:paraId="608F498E" w14:textId="23EAA7CE" w:rsidR="0062381A" w:rsidRPr="002F320A" w:rsidRDefault="0062381A" w:rsidP="002F320A">
      <w:pPr>
        <w:rPr>
          <w:rFonts w:ascii="Arial" w:hAnsi="Arial"/>
        </w:rPr>
      </w:pPr>
      <w:r w:rsidRPr="002F320A">
        <w:rPr>
          <w:rFonts w:ascii="Arial" w:hAnsi="Arial"/>
        </w:rPr>
        <w:t>Cannabidiol and the metabolite 7</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CBD do not interact with the major renal or hepatic uptake transporters and therefore are unlikely to result in relevant drug</w:t>
      </w:r>
      <w:r w:rsidRPr="0062381A">
        <w:rPr>
          <w:rFonts w:ascii="Arial" w:hAnsi="Arial" w:cs="Arial"/>
          <w:noProof/>
        </w:rPr>
        <w:noBreakHyphen/>
      </w:r>
      <w:r w:rsidRPr="002F320A">
        <w:rPr>
          <w:rFonts w:ascii="Arial" w:hAnsi="Arial"/>
        </w:rPr>
        <w:t>drug interactions: OAT1, OAT3, OCT1, OCT2, MATE1, MATE2</w:t>
      </w:r>
      <w:r w:rsidRPr="0062381A">
        <w:rPr>
          <w:rFonts w:ascii="Arial" w:hAnsi="Arial" w:cs="Arial"/>
          <w:noProof/>
        </w:rPr>
        <w:noBreakHyphen/>
      </w:r>
      <w:r w:rsidRPr="002F320A">
        <w:rPr>
          <w:rFonts w:ascii="Arial" w:hAnsi="Arial"/>
        </w:rPr>
        <w:t xml:space="preserve">K, </w:t>
      </w:r>
      <w:r w:rsidRPr="0062381A">
        <w:rPr>
          <w:rFonts w:ascii="Arial" w:hAnsi="Arial" w:cs="Arial"/>
          <w:noProof/>
        </w:rPr>
        <w:t>OATP1B1</w:t>
      </w:r>
      <w:r w:rsidR="00A93FB7">
        <w:rPr>
          <w:rFonts w:ascii="Arial" w:hAnsi="Arial" w:cs="Arial"/>
          <w:noProof/>
        </w:rPr>
        <w:t>,</w:t>
      </w:r>
      <w:r w:rsidR="007B3D07">
        <w:rPr>
          <w:rFonts w:ascii="Arial" w:hAnsi="Arial" w:cs="Arial"/>
          <w:noProof/>
        </w:rPr>
        <w:t xml:space="preserve"> </w:t>
      </w:r>
      <w:r w:rsidRPr="0062381A">
        <w:rPr>
          <w:rFonts w:ascii="Arial" w:hAnsi="Arial" w:cs="Arial"/>
          <w:noProof/>
        </w:rPr>
        <w:t>and</w:t>
      </w:r>
      <w:r w:rsidRPr="002F320A">
        <w:rPr>
          <w:rFonts w:ascii="Arial" w:hAnsi="Arial"/>
        </w:rPr>
        <w:t xml:space="preserve"> OATP1B3. Cannabidiol is not</w:t>
      </w:r>
      <w:r w:rsidRPr="0062381A">
        <w:rPr>
          <w:rFonts w:ascii="Arial" w:hAnsi="Arial" w:cs="Arial"/>
          <w:noProof/>
        </w:rPr>
        <w:t xml:space="preserve"> </w:t>
      </w:r>
      <w:r w:rsidRPr="002F320A">
        <w:rPr>
          <w:rFonts w:ascii="Arial" w:hAnsi="Arial"/>
        </w:rPr>
        <w:t>a substrate for or an inhibitor of the brain uptake transporters OATP1A2 and OATP2B1. Cannabidiol and 7</w:t>
      </w:r>
      <w:r w:rsidRPr="0062381A">
        <w:rPr>
          <w:rFonts w:ascii="Arial" w:hAnsi="Arial" w:cs="Arial"/>
          <w:noProof/>
        </w:rPr>
        <w:noBreakHyphen/>
      </w:r>
      <w:r w:rsidRPr="002F320A">
        <w:rPr>
          <w:rFonts w:ascii="Arial" w:hAnsi="Arial"/>
        </w:rPr>
        <w:t>OH</w:t>
      </w:r>
      <w:r w:rsidRPr="0062381A">
        <w:rPr>
          <w:rFonts w:ascii="Arial" w:hAnsi="Arial" w:cs="Arial"/>
          <w:noProof/>
        </w:rPr>
        <w:noBreakHyphen/>
      </w:r>
      <w:r w:rsidRPr="002F320A">
        <w:rPr>
          <w:rFonts w:ascii="Arial" w:hAnsi="Arial"/>
        </w:rPr>
        <w:t>CBD are not substrates for or inhibitors of efflux transports</w:t>
      </w:r>
      <w:r w:rsidRPr="0062381A">
        <w:rPr>
          <w:rFonts w:ascii="Arial" w:hAnsi="Arial" w:cs="Arial"/>
          <w:noProof/>
        </w:rPr>
        <w:t xml:space="preserve"> P</w:t>
      </w:r>
      <w:r w:rsidRPr="0062381A">
        <w:rPr>
          <w:rFonts w:ascii="Arial" w:hAnsi="Arial" w:cs="Arial"/>
          <w:noProof/>
        </w:rPr>
        <w:noBreakHyphen/>
        <w:t>gp/MDR1, BCRP or BSEP at clinically relevant plasma concentrations. The metabolite 7</w:t>
      </w:r>
      <w:r w:rsidRPr="0062381A">
        <w:rPr>
          <w:rFonts w:ascii="Arial" w:hAnsi="Arial" w:cs="Arial"/>
          <w:noProof/>
        </w:rPr>
        <w:noBreakHyphen/>
        <w:t>COOH</w:t>
      </w:r>
      <w:r w:rsidRPr="0062381A">
        <w:rPr>
          <w:rFonts w:ascii="Arial" w:hAnsi="Arial" w:cs="Arial"/>
          <w:noProof/>
        </w:rPr>
        <w:noBreakHyphen/>
        <w:t>CBD is a P</w:t>
      </w:r>
      <w:r w:rsidRPr="0062381A">
        <w:rPr>
          <w:rFonts w:ascii="Arial" w:hAnsi="Arial" w:cs="Arial"/>
          <w:noProof/>
        </w:rPr>
        <w:noBreakHyphen/>
        <w:t xml:space="preserve">gp/MDR1 substrate and has the potential to inhibit BCRP, OATP1B3, and OAT3. </w:t>
      </w:r>
    </w:p>
    <w:p w14:paraId="7405AB5E" w14:textId="77777777" w:rsidR="0062381A" w:rsidRPr="002F320A" w:rsidRDefault="0062381A" w:rsidP="002F320A">
      <w:pPr>
        <w:rPr>
          <w:rFonts w:ascii="Arial" w:hAnsi="Arial"/>
          <w:i/>
          <w:u w:val="single"/>
        </w:rPr>
      </w:pPr>
    </w:p>
    <w:p w14:paraId="188C2CBD" w14:textId="77777777" w:rsidR="0062381A" w:rsidRPr="002F320A" w:rsidRDefault="0062381A" w:rsidP="00D900DC">
      <w:pPr>
        <w:pStyle w:val="Heading4"/>
      </w:pPr>
      <w:r w:rsidRPr="002F320A">
        <w:t>In vivo assessment of drug interactions</w:t>
      </w:r>
    </w:p>
    <w:p w14:paraId="549CFE3D" w14:textId="77777777" w:rsidR="0062381A" w:rsidRPr="00D900DC" w:rsidRDefault="0062381A" w:rsidP="002F320A">
      <w:pPr>
        <w:keepNext/>
        <w:rPr>
          <w:rFonts w:ascii="Arial" w:hAnsi="Arial"/>
          <w:i/>
          <w:iCs/>
        </w:rPr>
      </w:pPr>
      <w:r w:rsidRPr="00D900DC">
        <w:rPr>
          <w:rFonts w:ascii="Arial" w:hAnsi="Arial"/>
          <w:i/>
          <w:iCs/>
        </w:rPr>
        <w:t>Drug interaction studies with AEDs</w:t>
      </w:r>
    </w:p>
    <w:p w14:paraId="25D2511D" w14:textId="2CB7EDC4" w:rsidR="0062381A" w:rsidRPr="002F320A" w:rsidRDefault="0062381A" w:rsidP="002F320A">
      <w:pPr>
        <w:rPr>
          <w:rFonts w:ascii="Arial" w:hAnsi="Arial"/>
        </w:rPr>
      </w:pPr>
      <w:r w:rsidRPr="002F320A">
        <w:rPr>
          <w:rFonts w:ascii="Arial" w:hAnsi="Arial"/>
        </w:rPr>
        <w:t xml:space="preserve">Potential interactions between </w:t>
      </w:r>
      <w:r w:rsidR="00EF74A1" w:rsidRPr="002F320A">
        <w:rPr>
          <w:rFonts w:ascii="Arial" w:hAnsi="Arial"/>
        </w:rPr>
        <w:t>EPIDYOLEX</w:t>
      </w:r>
      <w:r w:rsidRPr="002F320A">
        <w:rPr>
          <w:rFonts w:ascii="Arial" w:hAnsi="Arial"/>
        </w:rPr>
        <w:t xml:space="preserve"> (750</w:t>
      </w:r>
      <w:r w:rsidRPr="0062381A">
        <w:rPr>
          <w:rFonts w:ascii="Arial" w:hAnsi="Arial" w:cs="Arial"/>
          <w:noProof/>
        </w:rPr>
        <w:t> </w:t>
      </w:r>
      <w:r w:rsidRPr="002F320A">
        <w:rPr>
          <w:rFonts w:ascii="Arial" w:hAnsi="Arial"/>
        </w:rPr>
        <w:t>mg twice daily in healthy volunteers and 20</w:t>
      </w:r>
      <w:r w:rsidRPr="0062381A">
        <w:rPr>
          <w:rFonts w:ascii="Arial" w:hAnsi="Arial" w:cs="Arial"/>
          <w:noProof/>
        </w:rPr>
        <w:t> </w:t>
      </w:r>
      <w:r w:rsidRPr="002F320A">
        <w:rPr>
          <w:rFonts w:ascii="Arial" w:hAnsi="Arial"/>
        </w:rPr>
        <w:t>mg/kg/day in patients) and other AEDs were investigated in drug</w:t>
      </w:r>
      <w:r w:rsidRPr="0062381A">
        <w:rPr>
          <w:rFonts w:ascii="Arial" w:hAnsi="Arial" w:cs="Arial"/>
          <w:noProof/>
        </w:rPr>
        <w:noBreakHyphen/>
      </w:r>
      <w:r w:rsidRPr="002F320A">
        <w:rPr>
          <w:rFonts w:ascii="Arial" w:hAnsi="Arial"/>
        </w:rPr>
        <w:t>drug interaction studies in healthy volunteers and in patients and in a population pharmacokinetic analysis of plasma drug concentrations from placebo</w:t>
      </w:r>
      <w:r w:rsidRPr="0062381A">
        <w:rPr>
          <w:rFonts w:ascii="Arial" w:hAnsi="Arial" w:cs="Arial"/>
          <w:noProof/>
        </w:rPr>
        <w:noBreakHyphen/>
      </w:r>
      <w:r w:rsidRPr="002F320A">
        <w:rPr>
          <w:rFonts w:ascii="Arial" w:hAnsi="Arial"/>
        </w:rPr>
        <w:t>controlled studies in the treatment of patients with LGS.</w:t>
      </w:r>
    </w:p>
    <w:p w14:paraId="107E8F0B" w14:textId="77777777" w:rsidR="0062381A" w:rsidRPr="002F320A" w:rsidRDefault="0062381A" w:rsidP="002F320A">
      <w:pPr>
        <w:rPr>
          <w:rFonts w:ascii="Arial" w:hAnsi="Arial"/>
        </w:rPr>
      </w:pPr>
    </w:p>
    <w:p w14:paraId="624253BD" w14:textId="5A97998E" w:rsidR="0062381A" w:rsidRPr="002F320A" w:rsidRDefault="0062381A" w:rsidP="002F320A">
      <w:pPr>
        <w:rPr>
          <w:rFonts w:ascii="Arial" w:hAnsi="Arial"/>
        </w:rPr>
      </w:pPr>
      <w:r w:rsidRPr="002F320A">
        <w:rPr>
          <w:rFonts w:ascii="Arial" w:eastAsia="Arial Unicode MS" w:hAnsi="Arial"/>
        </w:rPr>
        <w:t xml:space="preserve">The combination of </w:t>
      </w:r>
      <w:r w:rsidR="00C60286" w:rsidRPr="002D4F5A">
        <w:rPr>
          <w:rFonts w:ascii="Arial" w:hAnsi="Arial"/>
        </w:rPr>
        <w:t>EPIDYOLEX</w:t>
      </w:r>
      <w:r w:rsidRPr="002F320A">
        <w:rPr>
          <w:rFonts w:ascii="Arial" w:hAnsi="Arial"/>
        </w:rPr>
        <w:t xml:space="preserve"> </w:t>
      </w:r>
      <w:r w:rsidRPr="002F320A">
        <w:rPr>
          <w:rFonts w:ascii="Arial" w:eastAsia="Arial Unicode MS" w:hAnsi="Arial"/>
        </w:rPr>
        <w:t xml:space="preserve">with </w:t>
      </w:r>
      <w:proofErr w:type="spellStart"/>
      <w:r w:rsidRPr="002F320A">
        <w:rPr>
          <w:rFonts w:ascii="Arial" w:eastAsia="Arial Unicode MS" w:hAnsi="Arial"/>
        </w:rPr>
        <w:t>clobazam</w:t>
      </w:r>
      <w:proofErr w:type="spellEnd"/>
      <w:r w:rsidRPr="002F320A">
        <w:rPr>
          <w:rFonts w:ascii="Arial" w:eastAsia="Arial Unicode MS" w:hAnsi="Arial"/>
        </w:rPr>
        <w:t xml:space="preserve"> caused an elevation in exposure to the active metabolite N</w:t>
      </w:r>
      <w:r w:rsidRPr="0062381A">
        <w:rPr>
          <w:rFonts w:ascii="Arial" w:eastAsia="Arial Unicode MS" w:hAnsi="Arial" w:cs="Arial"/>
        </w:rPr>
        <w:noBreakHyphen/>
      </w:r>
      <w:proofErr w:type="spellStart"/>
      <w:r w:rsidRPr="002F320A">
        <w:rPr>
          <w:rFonts w:ascii="Arial" w:eastAsia="Arial Unicode MS" w:hAnsi="Arial"/>
        </w:rPr>
        <w:t>desmethylclobazam</w:t>
      </w:r>
      <w:proofErr w:type="spellEnd"/>
      <w:r w:rsidRPr="002F320A">
        <w:rPr>
          <w:rFonts w:ascii="Arial" w:eastAsia="Arial Unicode MS" w:hAnsi="Arial"/>
        </w:rPr>
        <w:t xml:space="preserve">. Although exposure to </w:t>
      </w:r>
      <w:r w:rsidR="008C5AD0" w:rsidRPr="002D4F5A">
        <w:rPr>
          <w:rFonts w:ascii="Arial" w:hAnsi="Arial"/>
        </w:rPr>
        <w:t>EPIDYOLEX</w:t>
      </w:r>
      <w:r w:rsidRPr="002F320A">
        <w:rPr>
          <w:rFonts w:ascii="Arial" w:eastAsia="Arial Unicode MS" w:hAnsi="Arial"/>
        </w:rPr>
        <w:t xml:space="preserve"> was not notably affected by </w:t>
      </w:r>
      <w:proofErr w:type="spellStart"/>
      <w:r w:rsidRPr="002F320A">
        <w:rPr>
          <w:rFonts w:ascii="Arial" w:eastAsia="Arial Unicode MS" w:hAnsi="Arial"/>
        </w:rPr>
        <w:t>clobazam</w:t>
      </w:r>
      <w:proofErr w:type="spellEnd"/>
      <w:r w:rsidRPr="002F320A">
        <w:rPr>
          <w:rFonts w:ascii="Arial" w:eastAsia="Arial Unicode MS" w:hAnsi="Arial"/>
        </w:rPr>
        <w:t xml:space="preserve"> use, the levels of an active metabolite, 7</w:t>
      </w:r>
      <w:r w:rsidRPr="0062381A">
        <w:rPr>
          <w:rFonts w:ascii="Arial" w:eastAsia="Arial Unicode MS" w:hAnsi="Arial" w:cs="Arial"/>
        </w:rPr>
        <w:noBreakHyphen/>
      </w:r>
      <w:r w:rsidRPr="002F320A">
        <w:rPr>
          <w:rFonts w:ascii="Arial" w:eastAsia="Arial Unicode MS" w:hAnsi="Arial"/>
        </w:rPr>
        <w:t>OH</w:t>
      </w:r>
      <w:r w:rsidRPr="0062381A">
        <w:rPr>
          <w:rFonts w:ascii="Arial" w:eastAsia="Arial Unicode MS" w:hAnsi="Arial" w:cs="Arial"/>
        </w:rPr>
        <w:noBreakHyphen/>
      </w:r>
      <w:r w:rsidRPr="002F320A">
        <w:rPr>
          <w:rFonts w:ascii="Arial" w:eastAsia="Arial Unicode MS" w:hAnsi="Arial"/>
        </w:rPr>
        <w:t xml:space="preserve">CBD, were elevated by this combination. Therefore, dose adjustments of </w:t>
      </w:r>
      <w:r w:rsidR="00EF74A1" w:rsidRPr="002F320A">
        <w:rPr>
          <w:rFonts w:ascii="Arial" w:hAnsi="Arial"/>
        </w:rPr>
        <w:t>EPIDYOLEX</w:t>
      </w:r>
      <w:r w:rsidRPr="002F320A">
        <w:rPr>
          <w:rFonts w:ascii="Arial" w:hAnsi="Arial"/>
        </w:rPr>
        <w:t xml:space="preserve"> </w:t>
      </w:r>
      <w:r w:rsidRPr="002F320A">
        <w:rPr>
          <w:rFonts w:ascii="Arial" w:eastAsia="Arial Unicode MS" w:hAnsi="Arial"/>
        </w:rPr>
        <w:t xml:space="preserve">or </w:t>
      </w:r>
      <w:proofErr w:type="spellStart"/>
      <w:r w:rsidRPr="002F320A">
        <w:rPr>
          <w:rFonts w:ascii="Arial" w:eastAsia="Arial Unicode MS" w:hAnsi="Arial"/>
        </w:rPr>
        <w:t>clobazam</w:t>
      </w:r>
      <w:proofErr w:type="spellEnd"/>
      <w:r w:rsidRPr="002F320A">
        <w:rPr>
          <w:rFonts w:ascii="Arial" w:eastAsia="Arial Unicode MS" w:hAnsi="Arial"/>
        </w:rPr>
        <w:t xml:space="preserve"> may be required. The interactions are summarised in the table below.</w:t>
      </w:r>
    </w:p>
    <w:p w14:paraId="25936316" w14:textId="77777777" w:rsidR="0062381A" w:rsidRPr="002F320A" w:rsidRDefault="0062381A" w:rsidP="002F320A">
      <w:pPr>
        <w:rPr>
          <w:rFonts w:ascii="Arial" w:hAnsi="Arial"/>
        </w:rPr>
      </w:pPr>
    </w:p>
    <w:p w14:paraId="224D0C46" w14:textId="03C01C8C" w:rsidR="0062381A" w:rsidRPr="000511CF" w:rsidRDefault="0062381A" w:rsidP="002F320A">
      <w:pPr>
        <w:pStyle w:val="Caption"/>
        <w:keepNext/>
        <w:spacing w:after="0"/>
      </w:pPr>
      <w:r w:rsidRPr="002F320A">
        <w:rPr>
          <w:rFonts w:ascii="Arial" w:hAnsi="Arial"/>
          <w:sz w:val="24"/>
        </w:rPr>
        <w:t>Table</w:t>
      </w:r>
      <w:r w:rsidRPr="0062381A">
        <w:rPr>
          <w:rFonts w:ascii="Arial" w:hAnsi="Arial" w:cs="Arial"/>
          <w:noProof/>
          <w:sz w:val="24"/>
          <w:szCs w:val="24"/>
        </w:rPr>
        <w:t> </w:t>
      </w:r>
      <w:r w:rsidRPr="002F320A">
        <w:rPr>
          <w:rFonts w:ascii="Arial" w:hAnsi="Arial"/>
          <w:sz w:val="24"/>
        </w:rPr>
        <w:t xml:space="preserve">5: Drug interactions between </w:t>
      </w:r>
      <w:r w:rsidR="00EF74A1" w:rsidRPr="002F320A">
        <w:rPr>
          <w:rFonts w:ascii="Arial" w:hAnsi="Arial"/>
          <w:sz w:val="24"/>
        </w:rPr>
        <w:t>EPIDYOLEX</w:t>
      </w:r>
      <w:r w:rsidRPr="002F320A">
        <w:rPr>
          <w:rFonts w:ascii="Arial" w:hAnsi="Arial"/>
          <w:sz w:val="24"/>
        </w:rPr>
        <w:t xml:space="preserve"> and concomitant antiepileptic drugs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3"/>
        <w:gridCol w:w="3666"/>
        <w:gridCol w:w="3734"/>
      </w:tblGrid>
      <w:tr w:rsidR="0062381A" w:rsidRPr="0062381A" w14:paraId="6C28AA8B" w14:textId="77777777" w:rsidTr="00542845">
        <w:tc>
          <w:tcPr>
            <w:tcW w:w="2235" w:type="dxa"/>
            <w:shd w:val="clear" w:color="auto" w:fill="auto"/>
          </w:tcPr>
          <w:p w14:paraId="00DCA5A3" w14:textId="77777777" w:rsidR="0062381A" w:rsidRPr="000511CF" w:rsidRDefault="0062381A" w:rsidP="002F320A">
            <w:pPr>
              <w:keepNext/>
              <w:rPr>
                <w:b/>
              </w:rPr>
            </w:pPr>
            <w:r w:rsidRPr="002F320A">
              <w:rPr>
                <w:rFonts w:ascii="Arial" w:hAnsi="Arial"/>
                <w:b/>
                <w:sz w:val="22"/>
              </w:rPr>
              <w:t>Concomitant AED</w:t>
            </w:r>
          </w:p>
        </w:tc>
        <w:tc>
          <w:tcPr>
            <w:tcW w:w="3795" w:type="dxa"/>
            <w:shd w:val="clear" w:color="auto" w:fill="auto"/>
          </w:tcPr>
          <w:p w14:paraId="2BCB0747" w14:textId="47364893" w:rsidR="0062381A" w:rsidRPr="000511CF" w:rsidRDefault="0062381A" w:rsidP="002F320A">
            <w:pPr>
              <w:keepNext/>
              <w:rPr>
                <w:b/>
              </w:rPr>
            </w:pPr>
            <w:r w:rsidRPr="002F320A">
              <w:rPr>
                <w:rFonts w:ascii="Arial" w:hAnsi="Arial"/>
                <w:b/>
                <w:sz w:val="22"/>
              </w:rPr>
              <w:t>Influence of AED on cannabidiol</w:t>
            </w:r>
          </w:p>
        </w:tc>
        <w:tc>
          <w:tcPr>
            <w:tcW w:w="3865" w:type="dxa"/>
            <w:shd w:val="clear" w:color="auto" w:fill="auto"/>
          </w:tcPr>
          <w:p w14:paraId="26E2F6F4" w14:textId="5819AAC4" w:rsidR="0062381A" w:rsidRPr="000511CF" w:rsidRDefault="0062381A" w:rsidP="002F320A">
            <w:pPr>
              <w:keepNext/>
              <w:rPr>
                <w:b/>
              </w:rPr>
            </w:pPr>
            <w:r w:rsidRPr="002F320A">
              <w:rPr>
                <w:rFonts w:ascii="Arial" w:hAnsi="Arial"/>
                <w:b/>
                <w:sz w:val="22"/>
              </w:rPr>
              <w:t>Influence of cannabidiol on AED</w:t>
            </w:r>
          </w:p>
        </w:tc>
      </w:tr>
      <w:tr w:rsidR="0062381A" w:rsidRPr="0062381A" w14:paraId="04FB01A1" w14:textId="77777777" w:rsidTr="00542845">
        <w:tc>
          <w:tcPr>
            <w:tcW w:w="2235" w:type="dxa"/>
            <w:shd w:val="clear" w:color="auto" w:fill="auto"/>
          </w:tcPr>
          <w:p w14:paraId="6F238C05" w14:textId="77777777" w:rsidR="0062381A" w:rsidRPr="00237912" w:rsidRDefault="0062381A" w:rsidP="002F320A">
            <w:pPr>
              <w:keepNext/>
              <w:rPr>
                <w:rFonts w:ascii="Arial" w:hAnsi="Arial" w:cs="Arial"/>
              </w:rPr>
            </w:pPr>
            <w:proofErr w:type="spellStart"/>
            <w:r w:rsidRPr="00237912">
              <w:rPr>
                <w:rFonts w:ascii="Arial" w:hAnsi="Arial" w:cs="Arial"/>
                <w:sz w:val="22"/>
              </w:rPr>
              <w:t>Clobazam</w:t>
            </w:r>
            <w:proofErr w:type="spellEnd"/>
          </w:p>
        </w:tc>
        <w:tc>
          <w:tcPr>
            <w:tcW w:w="3795" w:type="dxa"/>
            <w:shd w:val="clear" w:color="auto" w:fill="auto"/>
          </w:tcPr>
          <w:p w14:paraId="41BF853E" w14:textId="774C6970" w:rsidR="0062381A" w:rsidRPr="00237912" w:rsidRDefault="0062381A" w:rsidP="00A50D37">
            <w:pPr>
              <w:keepNext/>
              <w:rPr>
                <w:rFonts w:ascii="Arial" w:hAnsi="Arial" w:cs="Arial"/>
                <w:sz w:val="22"/>
              </w:rPr>
            </w:pPr>
            <w:r w:rsidRPr="00237912">
              <w:rPr>
                <w:rFonts w:ascii="Arial" w:hAnsi="Arial" w:cs="Arial"/>
                <w:sz w:val="22"/>
              </w:rPr>
              <w:t>No effect on cannabidiol levels.</w:t>
            </w:r>
          </w:p>
          <w:p w14:paraId="6B6764E0" w14:textId="4CDDAE05" w:rsidR="0062381A" w:rsidRPr="00237912" w:rsidRDefault="0062381A" w:rsidP="006A3EBD">
            <w:pPr>
              <w:pStyle w:val="TableParagraph"/>
              <w:ind w:left="107" w:right="173"/>
            </w:pPr>
            <w:r w:rsidRPr="00237912">
              <w:t>Interaction resulting in an increase in exposure of the active metabolite 7</w:t>
            </w:r>
            <w:r w:rsidRPr="00237912">
              <w:noBreakHyphen/>
              <w:t>OH</w:t>
            </w:r>
            <w:r w:rsidRPr="00237912">
              <w:noBreakHyphen/>
              <w:t>CBD in HV*</w:t>
            </w:r>
            <w:r w:rsidR="006A3EBD">
              <w:t xml:space="preserve"> </w:t>
            </w:r>
            <w:r w:rsidRPr="00237912">
              <w:t xml:space="preserve"> studies.</w:t>
            </w:r>
            <w:r w:rsidRPr="00237912">
              <w:rPr>
                <w:vertAlign w:val="superscript"/>
              </w:rPr>
              <w:t xml:space="preserve"> a</w:t>
            </w:r>
          </w:p>
        </w:tc>
        <w:tc>
          <w:tcPr>
            <w:tcW w:w="3865" w:type="dxa"/>
            <w:shd w:val="clear" w:color="auto" w:fill="auto"/>
          </w:tcPr>
          <w:p w14:paraId="7895DEE8" w14:textId="6F69D02D" w:rsidR="0062381A" w:rsidRPr="00237912" w:rsidRDefault="0062381A" w:rsidP="00A50D37">
            <w:pPr>
              <w:keepNext/>
              <w:rPr>
                <w:rFonts w:ascii="Arial" w:hAnsi="Arial" w:cs="Arial"/>
                <w:sz w:val="22"/>
              </w:rPr>
            </w:pPr>
            <w:r w:rsidRPr="00237912">
              <w:rPr>
                <w:rFonts w:ascii="Arial" w:hAnsi="Arial" w:cs="Arial"/>
                <w:sz w:val="22"/>
              </w:rPr>
              <w:t xml:space="preserve">No effect on </w:t>
            </w:r>
            <w:proofErr w:type="spellStart"/>
            <w:r w:rsidRPr="00237912">
              <w:rPr>
                <w:rFonts w:ascii="Arial" w:hAnsi="Arial" w:cs="Arial"/>
                <w:sz w:val="22"/>
              </w:rPr>
              <w:t>clobazam</w:t>
            </w:r>
            <w:proofErr w:type="spellEnd"/>
            <w:r w:rsidRPr="00237912">
              <w:rPr>
                <w:rFonts w:ascii="Arial" w:hAnsi="Arial" w:cs="Arial"/>
                <w:sz w:val="22"/>
              </w:rPr>
              <w:t xml:space="preserve"> levels.</w:t>
            </w:r>
          </w:p>
          <w:p w14:paraId="28955C19" w14:textId="496450CC" w:rsidR="0062381A" w:rsidRPr="00237912" w:rsidRDefault="0062381A" w:rsidP="00542845">
            <w:pPr>
              <w:pStyle w:val="TableParagraph"/>
              <w:ind w:left="107" w:right="428"/>
              <w:rPr>
                <w:i/>
              </w:rPr>
            </w:pPr>
            <w:r w:rsidRPr="00237912">
              <w:t>Interaction resulting in approximately</w:t>
            </w:r>
            <w:r w:rsidR="00542845">
              <w:t xml:space="preserve"> </w:t>
            </w:r>
            <w:r w:rsidRPr="00237912">
              <w:t>3</w:t>
            </w:r>
            <w:r w:rsidRPr="00237912">
              <w:noBreakHyphen/>
              <w:t>fold increase in N</w:t>
            </w:r>
            <w:r w:rsidR="00542845">
              <w:noBreakHyphen/>
            </w:r>
            <w:proofErr w:type="spellStart"/>
            <w:r w:rsidRPr="00237912">
              <w:t>desmethylclobazam</w:t>
            </w:r>
            <w:proofErr w:type="spellEnd"/>
            <w:r w:rsidRPr="00237912">
              <w:t xml:space="preserve"> metabolite exposure.</w:t>
            </w:r>
            <w:r w:rsidRPr="00237912">
              <w:rPr>
                <w:vertAlign w:val="superscript"/>
              </w:rPr>
              <w:t xml:space="preserve"> b</w:t>
            </w:r>
            <w:r w:rsidRPr="00237912">
              <w:t xml:space="preserve"> </w:t>
            </w:r>
          </w:p>
        </w:tc>
      </w:tr>
      <w:tr w:rsidR="0062381A" w:rsidRPr="0062381A" w14:paraId="40194322" w14:textId="77777777" w:rsidTr="00542845">
        <w:tc>
          <w:tcPr>
            <w:tcW w:w="2235" w:type="dxa"/>
            <w:shd w:val="clear" w:color="auto" w:fill="auto"/>
          </w:tcPr>
          <w:p w14:paraId="2C7A2919" w14:textId="77777777" w:rsidR="0062381A" w:rsidRPr="00237912" w:rsidRDefault="0062381A" w:rsidP="002F320A">
            <w:pPr>
              <w:keepNext/>
              <w:rPr>
                <w:rFonts w:ascii="Arial" w:hAnsi="Arial" w:cs="Arial"/>
              </w:rPr>
            </w:pPr>
            <w:r w:rsidRPr="00237912">
              <w:rPr>
                <w:rFonts w:ascii="Arial" w:hAnsi="Arial" w:cs="Arial"/>
                <w:sz w:val="22"/>
              </w:rPr>
              <w:t>Valproate</w:t>
            </w:r>
          </w:p>
        </w:tc>
        <w:tc>
          <w:tcPr>
            <w:tcW w:w="3795" w:type="dxa"/>
            <w:shd w:val="clear" w:color="auto" w:fill="auto"/>
          </w:tcPr>
          <w:p w14:paraId="658772FB" w14:textId="77777777" w:rsidR="0062381A" w:rsidRPr="00237912" w:rsidRDefault="0062381A" w:rsidP="002F320A">
            <w:pPr>
              <w:keepNext/>
              <w:rPr>
                <w:rFonts w:ascii="Arial" w:hAnsi="Arial" w:cs="Arial"/>
              </w:rPr>
            </w:pPr>
            <w:r w:rsidRPr="00237912">
              <w:rPr>
                <w:rFonts w:ascii="Arial" w:hAnsi="Arial" w:cs="Arial"/>
                <w:sz w:val="22"/>
              </w:rPr>
              <w:t>No effect</w:t>
            </w:r>
          </w:p>
        </w:tc>
        <w:tc>
          <w:tcPr>
            <w:tcW w:w="3865" w:type="dxa"/>
            <w:shd w:val="clear" w:color="auto" w:fill="auto"/>
          </w:tcPr>
          <w:p w14:paraId="1852EB4A" w14:textId="77777777" w:rsidR="0062381A" w:rsidRPr="00237912" w:rsidRDefault="0062381A" w:rsidP="002F320A">
            <w:pPr>
              <w:keepNext/>
              <w:rPr>
                <w:rFonts w:ascii="Arial" w:hAnsi="Arial" w:cs="Arial"/>
              </w:rPr>
            </w:pPr>
            <w:r w:rsidRPr="00237912">
              <w:rPr>
                <w:rFonts w:ascii="Arial" w:hAnsi="Arial" w:cs="Arial"/>
                <w:sz w:val="22"/>
              </w:rPr>
              <w:t>No effect</w:t>
            </w:r>
          </w:p>
        </w:tc>
      </w:tr>
      <w:tr w:rsidR="0062381A" w:rsidRPr="0062381A" w14:paraId="70F8B6FD" w14:textId="77777777" w:rsidTr="00542845">
        <w:tc>
          <w:tcPr>
            <w:tcW w:w="2235" w:type="dxa"/>
            <w:shd w:val="clear" w:color="auto" w:fill="auto"/>
          </w:tcPr>
          <w:p w14:paraId="2431539C" w14:textId="77777777" w:rsidR="0062381A" w:rsidRPr="00237912" w:rsidRDefault="0062381A" w:rsidP="002F320A">
            <w:pPr>
              <w:keepNext/>
              <w:rPr>
                <w:rFonts w:ascii="Arial" w:hAnsi="Arial" w:cs="Arial"/>
              </w:rPr>
            </w:pPr>
            <w:r w:rsidRPr="00237912">
              <w:rPr>
                <w:rFonts w:ascii="Arial" w:hAnsi="Arial" w:cs="Arial"/>
                <w:sz w:val="22"/>
              </w:rPr>
              <w:t>Stiripentol</w:t>
            </w:r>
            <w:r w:rsidRPr="00237912">
              <w:rPr>
                <w:rFonts w:ascii="Arial" w:hAnsi="Arial" w:cs="Arial"/>
                <w:sz w:val="22"/>
                <w:vertAlign w:val="superscript"/>
              </w:rPr>
              <w:t xml:space="preserve"> </w:t>
            </w:r>
          </w:p>
        </w:tc>
        <w:tc>
          <w:tcPr>
            <w:tcW w:w="3795" w:type="dxa"/>
            <w:shd w:val="clear" w:color="auto" w:fill="auto"/>
          </w:tcPr>
          <w:p w14:paraId="13613C80" w14:textId="79777411" w:rsidR="0062381A" w:rsidRPr="00237912" w:rsidRDefault="0062381A" w:rsidP="00A50D37">
            <w:pPr>
              <w:keepNext/>
              <w:rPr>
                <w:rFonts w:ascii="Arial" w:hAnsi="Arial" w:cs="Arial"/>
                <w:sz w:val="22"/>
              </w:rPr>
            </w:pPr>
            <w:r w:rsidRPr="00237912">
              <w:rPr>
                <w:rFonts w:ascii="Arial" w:hAnsi="Arial" w:cs="Arial"/>
                <w:sz w:val="22"/>
              </w:rPr>
              <w:t xml:space="preserve">No effect on cannabidiol levels. </w:t>
            </w:r>
          </w:p>
          <w:p w14:paraId="145AB027" w14:textId="4C0A9B2C" w:rsidR="0062381A" w:rsidRPr="00237912" w:rsidRDefault="0062381A" w:rsidP="006A3EBD">
            <w:pPr>
              <w:pStyle w:val="TableParagraph"/>
              <w:ind w:left="107" w:right="222"/>
            </w:pPr>
            <w:r w:rsidRPr="00237912">
              <w:t xml:space="preserve">Interaction resulting in a decrease (approximately 30%) in </w:t>
            </w:r>
            <w:proofErr w:type="spellStart"/>
            <w:r w:rsidRPr="00237912">
              <w:t>C</w:t>
            </w:r>
            <w:r w:rsidRPr="00237912">
              <w:rPr>
                <w:vertAlign w:val="subscript"/>
              </w:rPr>
              <w:t>max</w:t>
            </w:r>
            <w:proofErr w:type="spellEnd"/>
            <w:r w:rsidRPr="00237912">
              <w:t xml:space="preserve"> and AUC of the active metabolite</w:t>
            </w:r>
            <w:r w:rsidR="006A3EBD">
              <w:t xml:space="preserve"> </w:t>
            </w:r>
            <w:r w:rsidRPr="00237912">
              <w:t>7</w:t>
            </w:r>
            <w:r w:rsidRPr="00237912">
              <w:noBreakHyphen/>
              <w:t>OH</w:t>
            </w:r>
            <w:r w:rsidRPr="00237912">
              <w:noBreakHyphen/>
              <w:t>CBD in HV* trials.</w:t>
            </w:r>
          </w:p>
        </w:tc>
        <w:tc>
          <w:tcPr>
            <w:tcW w:w="3865" w:type="dxa"/>
            <w:shd w:val="clear" w:color="auto" w:fill="auto"/>
          </w:tcPr>
          <w:p w14:paraId="76247DBD" w14:textId="77777777" w:rsidR="0062381A" w:rsidRPr="00237912" w:rsidRDefault="0062381A" w:rsidP="002F320A">
            <w:pPr>
              <w:keepNext/>
              <w:rPr>
                <w:rFonts w:ascii="Arial" w:hAnsi="Arial" w:cs="Arial"/>
              </w:rPr>
            </w:pPr>
            <w:r w:rsidRPr="00237912">
              <w:rPr>
                <w:rFonts w:ascii="Arial" w:hAnsi="Arial" w:cs="Arial"/>
                <w:sz w:val="22"/>
              </w:rPr>
              <w:t xml:space="preserve">Interaction resulting in an approximate 28% increase in </w:t>
            </w:r>
            <w:proofErr w:type="spellStart"/>
            <w:r w:rsidRPr="00237912">
              <w:rPr>
                <w:rFonts w:ascii="Arial" w:hAnsi="Arial" w:cs="Arial"/>
                <w:sz w:val="22"/>
              </w:rPr>
              <w:t>C</w:t>
            </w:r>
            <w:r w:rsidRPr="00237912">
              <w:rPr>
                <w:rFonts w:ascii="Arial" w:hAnsi="Arial" w:cs="Arial"/>
                <w:sz w:val="22"/>
                <w:vertAlign w:val="subscript"/>
              </w:rPr>
              <w:t>max</w:t>
            </w:r>
            <w:proofErr w:type="spellEnd"/>
            <w:r w:rsidRPr="00237912">
              <w:rPr>
                <w:rFonts w:ascii="Arial" w:hAnsi="Arial" w:cs="Arial"/>
                <w:sz w:val="22"/>
              </w:rPr>
              <w:t xml:space="preserve"> and 55% increase in AUC.</w:t>
            </w:r>
          </w:p>
        </w:tc>
      </w:tr>
    </w:tbl>
    <w:p w14:paraId="10910784" w14:textId="77777777" w:rsidR="0062381A" w:rsidRPr="002F320A" w:rsidRDefault="0062381A" w:rsidP="002F320A">
      <w:pPr>
        <w:rPr>
          <w:rFonts w:ascii="Arial" w:hAnsi="Arial"/>
          <w:sz w:val="22"/>
        </w:rPr>
      </w:pPr>
      <w:proofErr w:type="spellStart"/>
      <w:r w:rsidRPr="002F320A">
        <w:rPr>
          <w:rFonts w:ascii="Arial" w:hAnsi="Arial"/>
          <w:sz w:val="22"/>
          <w:vertAlign w:val="superscript"/>
        </w:rPr>
        <w:t>a</w:t>
      </w:r>
      <w:proofErr w:type="spellEnd"/>
      <w:r w:rsidRPr="002F320A">
        <w:rPr>
          <w:rFonts w:ascii="Arial" w:hAnsi="Arial"/>
          <w:sz w:val="22"/>
          <w:vertAlign w:val="superscript"/>
        </w:rPr>
        <w:t xml:space="preserve"> </w:t>
      </w:r>
      <w:r w:rsidRPr="002F320A">
        <w:rPr>
          <w:rFonts w:ascii="Arial" w:hAnsi="Arial"/>
          <w:sz w:val="22"/>
        </w:rPr>
        <w:t xml:space="preserve">average increases of 47% in AUC and 73% in </w:t>
      </w:r>
      <w:proofErr w:type="spellStart"/>
      <w:r w:rsidRPr="002F320A">
        <w:rPr>
          <w:rFonts w:ascii="Arial" w:hAnsi="Arial"/>
          <w:sz w:val="22"/>
        </w:rPr>
        <w:t>C</w:t>
      </w:r>
      <w:r w:rsidRPr="002F320A">
        <w:rPr>
          <w:rFonts w:ascii="Arial" w:hAnsi="Arial"/>
          <w:sz w:val="22"/>
          <w:vertAlign w:val="subscript"/>
        </w:rPr>
        <w:t>max</w:t>
      </w:r>
      <w:proofErr w:type="spellEnd"/>
      <w:r w:rsidRPr="002F320A">
        <w:rPr>
          <w:rFonts w:ascii="Arial" w:hAnsi="Arial"/>
          <w:sz w:val="22"/>
        </w:rPr>
        <w:t xml:space="preserve"> </w:t>
      </w:r>
      <w:r w:rsidRPr="00501186">
        <w:rPr>
          <w:rFonts w:ascii="Arial" w:hAnsi="Arial"/>
          <w:sz w:val="22"/>
          <w:vertAlign w:val="superscript"/>
        </w:rPr>
        <w:t xml:space="preserve">b </w:t>
      </w:r>
      <w:r w:rsidRPr="00501186">
        <w:rPr>
          <w:rFonts w:ascii="Arial" w:hAnsi="Arial"/>
          <w:sz w:val="22"/>
        </w:rPr>
        <w:t xml:space="preserve">based on </w:t>
      </w:r>
      <w:proofErr w:type="spellStart"/>
      <w:r w:rsidRPr="00501186">
        <w:rPr>
          <w:rFonts w:ascii="Arial" w:hAnsi="Arial"/>
          <w:sz w:val="22"/>
        </w:rPr>
        <w:t>C</w:t>
      </w:r>
      <w:r w:rsidRPr="00501186">
        <w:rPr>
          <w:rFonts w:ascii="Arial" w:hAnsi="Arial"/>
          <w:sz w:val="22"/>
          <w:vertAlign w:val="subscript"/>
        </w:rPr>
        <w:t>max</w:t>
      </w:r>
      <w:proofErr w:type="spellEnd"/>
      <w:r w:rsidRPr="00501186">
        <w:rPr>
          <w:rFonts w:ascii="Arial" w:hAnsi="Arial"/>
          <w:sz w:val="22"/>
        </w:rPr>
        <w:t xml:space="preserve"> and AUC</w:t>
      </w:r>
    </w:p>
    <w:p w14:paraId="26DA1352" w14:textId="77777777" w:rsidR="0062381A" w:rsidRPr="002F320A" w:rsidRDefault="0062381A" w:rsidP="002F320A">
      <w:pPr>
        <w:rPr>
          <w:rFonts w:ascii="Arial" w:hAnsi="Arial"/>
        </w:rPr>
      </w:pPr>
      <w:r w:rsidRPr="007568E4">
        <w:rPr>
          <w:rFonts w:ascii="Arial" w:hAnsi="Arial"/>
          <w:sz w:val="22"/>
        </w:rPr>
        <w:t xml:space="preserve">* </w:t>
      </w:r>
      <w:r w:rsidRPr="002F320A">
        <w:rPr>
          <w:rFonts w:ascii="Arial" w:hAnsi="Arial"/>
          <w:sz w:val="22"/>
        </w:rPr>
        <w:t>HV=Healthy Volunteer</w:t>
      </w:r>
    </w:p>
    <w:p w14:paraId="7858A44C" w14:textId="77777777" w:rsidR="0035128F" w:rsidRPr="002F320A" w:rsidRDefault="0035128F" w:rsidP="002F320A">
      <w:pPr>
        <w:pStyle w:val="NoSpacing"/>
        <w:rPr>
          <w:rFonts w:ascii="Arial" w:hAnsi="Arial"/>
        </w:rPr>
      </w:pPr>
    </w:p>
    <w:p w14:paraId="690DA2D0" w14:textId="77222BF3" w:rsidR="00B17C13" w:rsidRPr="002F320A" w:rsidRDefault="00E75CC8" w:rsidP="00D900DC">
      <w:pPr>
        <w:pStyle w:val="Heading2"/>
      </w:pPr>
      <w:bookmarkStart w:id="24" w:name="_PRECLINICAL_SAFETY_DATA"/>
      <w:bookmarkStart w:id="25" w:name="_bookmark6"/>
      <w:bookmarkEnd w:id="24"/>
      <w:bookmarkEnd w:id="25"/>
      <w:r w:rsidRPr="002F320A">
        <w:rPr>
          <w:rFonts w:eastAsia="Calibri"/>
        </w:rPr>
        <w:t>PRECLINICAL SAFETY DATA</w:t>
      </w:r>
    </w:p>
    <w:p w14:paraId="4B2BEC37" w14:textId="20F19416" w:rsidR="00B17C13" w:rsidRPr="002F320A" w:rsidRDefault="00B17C13" w:rsidP="00D900DC">
      <w:pPr>
        <w:pStyle w:val="Heading3"/>
        <w:rPr>
          <w:rFonts w:eastAsia="Calibri"/>
        </w:rPr>
      </w:pPr>
      <w:r w:rsidRPr="002F320A">
        <w:rPr>
          <w:rFonts w:eastAsia="Calibri"/>
        </w:rPr>
        <w:t>Genotoxicity</w:t>
      </w:r>
    </w:p>
    <w:p w14:paraId="4A663141" w14:textId="2EB13755" w:rsidR="000D2876" w:rsidRPr="00DB2630" w:rsidRDefault="000D2876" w:rsidP="0084108E">
      <w:pPr>
        <w:pStyle w:val="NoSpacing"/>
        <w:rPr>
          <w:rFonts w:ascii="Arial" w:eastAsia="Calibri" w:hAnsi="Arial" w:cs="Arial"/>
        </w:rPr>
      </w:pPr>
      <w:r w:rsidRPr="00572C5F">
        <w:rPr>
          <w:rFonts w:ascii="Arial" w:hAnsi="Arial" w:cs="Arial"/>
        </w:rPr>
        <w:t xml:space="preserve">Cannabidiol was not mutagenic in bacterial reverse mutation (Ames) assays, did not induce structural chromosomal aberrations in the </w:t>
      </w:r>
      <w:r w:rsidRPr="00D900DC">
        <w:rPr>
          <w:rFonts w:ascii="Arial" w:hAnsi="Arial" w:cs="Arial"/>
          <w:i/>
          <w:iCs/>
        </w:rPr>
        <w:t>in vivo</w:t>
      </w:r>
      <w:r w:rsidRPr="00572C5F">
        <w:rPr>
          <w:rFonts w:ascii="Arial" w:hAnsi="Arial" w:cs="Arial"/>
        </w:rPr>
        <w:t xml:space="preserve"> rat micronucleus test, and did not induce DNA strand breaks in the Comet assay. The genotoxic potential of the active metabolite 7</w:t>
      </w:r>
      <w:r w:rsidR="00035AB1">
        <w:rPr>
          <w:rFonts w:ascii="Arial" w:hAnsi="Arial" w:cs="Arial"/>
        </w:rPr>
        <w:noBreakHyphen/>
      </w:r>
      <w:r w:rsidRPr="00572C5F">
        <w:rPr>
          <w:rFonts w:ascii="Arial" w:hAnsi="Arial" w:cs="Arial"/>
        </w:rPr>
        <w:t>OH-CBD, or the abundant human metabolite, 7-COOH-CBD, has not been evaluated.</w:t>
      </w:r>
    </w:p>
    <w:p w14:paraId="22DC99B1" w14:textId="77777777" w:rsidR="003E2983" w:rsidRPr="002F320A" w:rsidRDefault="003E2983" w:rsidP="002F320A">
      <w:pPr>
        <w:pStyle w:val="NoSpacing"/>
        <w:rPr>
          <w:rFonts w:ascii="Arial" w:eastAsia="Calibri" w:hAnsi="Arial"/>
          <w:b/>
          <w:i/>
        </w:rPr>
      </w:pPr>
    </w:p>
    <w:p w14:paraId="3E6FA349" w14:textId="2C8F3702" w:rsidR="00B17C13" w:rsidRPr="002F320A" w:rsidRDefault="00B17C13" w:rsidP="00D900DC">
      <w:pPr>
        <w:pStyle w:val="Heading3"/>
        <w:rPr>
          <w:rFonts w:eastAsia="Calibri"/>
        </w:rPr>
      </w:pPr>
      <w:r w:rsidRPr="002F320A">
        <w:rPr>
          <w:rFonts w:eastAsia="Calibri"/>
        </w:rPr>
        <w:t>Carcinogenicity</w:t>
      </w:r>
    </w:p>
    <w:p w14:paraId="5BD7FEE2" w14:textId="4397D302" w:rsidR="00B17C13" w:rsidRPr="001C0B6E" w:rsidRDefault="00256FB6" w:rsidP="0084108E">
      <w:pPr>
        <w:pStyle w:val="NoSpacing"/>
        <w:rPr>
          <w:rFonts w:ascii="Arial" w:eastAsia="Calibri" w:hAnsi="Arial" w:cs="Arial"/>
          <w:strike/>
        </w:rPr>
      </w:pPr>
      <w:r w:rsidRPr="00572C5F">
        <w:rPr>
          <w:rFonts w:ascii="Arial" w:hAnsi="Arial" w:cs="Arial"/>
        </w:rPr>
        <w:t>Adequate studies of the carcinogenic potential of cannabidiol have not been conducted.</w:t>
      </w:r>
    </w:p>
    <w:p w14:paraId="085A1C5D" w14:textId="4B670C9A" w:rsidR="00B17C13" w:rsidRPr="002F320A" w:rsidRDefault="00B17C13" w:rsidP="002F320A">
      <w:pPr>
        <w:pStyle w:val="NoSpacing"/>
        <w:rPr>
          <w:rFonts w:ascii="Arial" w:hAnsi="Arial"/>
        </w:rPr>
      </w:pPr>
    </w:p>
    <w:p w14:paraId="6472CBB4" w14:textId="77777777" w:rsidR="00B17C13" w:rsidRPr="009C0EEB" w:rsidRDefault="00B17C13" w:rsidP="00D900DC">
      <w:pPr>
        <w:pStyle w:val="Heading1"/>
      </w:pPr>
      <w:r w:rsidRPr="002F320A">
        <w:t>PHARMACEUTICAL PARTICULARS</w:t>
      </w:r>
    </w:p>
    <w:p w14:paraId="22FDABA2" w14:textId="25BD93FD" w:rsidR="00B17C13" w:rsidRPr="002F320A" w:rsidRDefault="00E75CC8" w:rsidP="00D900DC">
      <w:pPr>
        <w:pStyle w:val="Heading2"/>
      </w:pPr>
      <w:bookmarkStart w:id="26" w:name="_LIST_OF_EXCIPIENTS"/>
      <w:bookmarkStart w:id="27" w:name="_bookmark7"/>
      <w:bookmarkEnd w:id="26"/>
      <w:bookmarkEnd w:id="27"/>
      <w:r w:rsidRPr="002F320A">
        <w:t>LIST OF EXCIPIENTS</w:t>
      </w:r>
    </w:p>
    <w:p w14:paraId="2504B585" w14:textId="1218CD99" w:rsidR="0062381A" w:rsidRPr="0062381A" w:rsidRDefault="007232F4" w:rsidP="00D900DC">
      <w:pPr>
        <w:pStyle w:val="NoSpacing"/>
        <w:keepNext/>
        <w:rPr>
          <w:rFonts w:ascii="Arial" w:hAnsi="Arial" w:cs="Arial"/>
        </w:rPr>
      </w:pPr>
      <w:r>
        <w:rPr>
          <w:rFonts w:ascii="Arial" w:hAnsi="Arial" w:cs="Arial"/>
        </w:rPr>
        <w:t>S</w:t>
      </w:r>
      <w:r w:rsidR="0062381A" w:rsidRPr="0062381A">
        <w:rPr>
          <w:rFonts w:ascii="Arial" w:hAnsi="Arial" w:cs="Arial"/>
        </w:rPr>
        <w:t>esame</w:t>
      </w:r>
      <w:r w:rsidR="0062381A" w:rsidRPr="002F320A">
        <w:rPr>
          <w:rFonts w:ascii="Arial" w:hAnsi="Arial"/>
        </w:rPr>
        <w:t xml:space="preserve"> oil</w:t>
      </w:r>
    </w:p>
    <w:p w14:paraId="40B468F0" w14:textId="5C9426DE" w:rsidR="0062381A" w:rsidRPr="00CF698F" w:rsidRDefault="00CF698F" w:rsidP="00D900DC">
      <w:pPr>
        <w:pStyle w:val="NoSpacing"/>
        <w:keepNext/>
        <w:rPr>
          <w:rFonts w:ascii="Arial" w:hAnsi="Arial" w:cs="Arial"/>
        </w:rPr>
      </w:pPr>
      <w:r w:rsidRPr="002F320A">
        <w:rPr>
          <w:rFonts w:ascii="Arial" w:hAnsi="Arial"/>
        </w:rPr>
        <w:t>E</w:t>
      </w:r>
      <w:r w:rsidR="0062381A" w:rsidRPr="002F320A">
        <w:rPr>
          <w:rFonts w:ascii="Arial" w:hAnsi="Arial"/>
        </w:rPr>
        <w:t>thanol</w:t>
      </w:r>
      <w:r w:rsidRPr="002F320A">
        <w:rPr>
          <w:rFonts w:ascii="Arial" w:hAnsi="Arial"/>
        </w:rPr>
        <w:t xml:space="preserve"> absolute</w:t>
      </w:r>
    </w:p>
    <w:p w14:paraId="642A8CD0" w14:textId="3782E2E8" w:rsidR="0062381A" w:rsidRPr="002F320A" w:rsidRDefault="0062381A" w:rsidP="00D900DC">
      <w:pPr>
        <w:pStyle w:val="NoSpacing"/>
        <w:keepNext/>
        <w:rPr>
          <w:rFonts w:ascii="Arial" w:hAnsi="Arial"/>
        </w:rPr>
      </w:pPr>
      <w:r w:rsidRPr="002F320A">
        <w:rPr>
          <w:rFonts w:ascii="Arial" w:hAnsi="Arial"/>
        </w:rPr>
        <w:t>Sucralose</w:t>
      </w:r>
    </w:p>
    <w:p w14:paraId="78AE2743" w14:textId="3AA40D02" w:rsidR="009B7BB6" w:rsidRPr="002F320A" w:rsidRDefault="0062381A" w:rsidP="00D900DC">
      <w:pPr>
        <w:pStyle w:val="NoSpacing"/>
        <w:keepNext/>
        <w:rPr>
          <w:rFonts w:ascii="Arial" w:hAnsi="Arial"/>
        </w:rPr>
      </w:pPr>
      <w:r w:rsidRPr="002F320A">
        <w:rPr>
          <w:rFonts w:ascii="Arial" w:hAnsi="Arial"/>
        </w:rPr>
        <w:t xml:space="preserve">Strawberry flavour </w:t>
      </w:r>
      <w:r w:rsidR="00DA50C3" w:rsidRPr="00DA50C3">
        <w:rPr>
          <w:rFonts w:ascii="Arial" w:hAnsi="Arial" w:cs="Arial"/>
        </w:rPr>
        <w:t xml:space="preserve">501094A </w:t>
      </w:r>
      <w:r w:rsidR="00DA50C3">
        <w:rPr>
          <w:rFonts w:ascii="Arial" w:hAnsi="Arial" w:cs="Arial"/>
        </w:rPr>
        <w:t xml:space="preserve">(ARTG PI No. </w:t>
      </w:r>
      <w:r w:rsidR="008C2CF8">
        <w:rPr>
          <w:rFonts w:ascii="Arial" w:hAnsi="Arial" w:cs="Arial"/>
        </w:rPr>
        <w:t>13</w:t>
      </w:r>
      <w:r w:rsidR="006922CC">
        <w:rPr>
          <w:rFonts w:ascii="Arial" w:hAnsi="Arial" w:cs="Arial"/>
        </w:rPr>
        <w:t>9687</w:t>
      </w:r>
      <w:r w:rsidR="00DA50C3" w:rsidRPr="002F320A">
        <w:rPr>
          <w:rFonts w:ascii="Arial" w:hAnsi="Arial"/>
        </w:rPr>
        <w:t>)</w:t>
      </w:r>
    </w:p>
    <w:p w14:paraId="06F4B874" w14:textId="77777777" w:rsidR="00AD1CF2" w:rsidRPr="002F320A" w:rsidRDefault="00AD1CF2" w:rsidP="002F320A">
      <w:pPr>
        <w:pStyle w:val="NoSpacing"/>
        <w:rPr>
          <w:rFonts w:ascii="Arial" w:hAnsi="Arial"/>
        </w:rPr>
      </w:pPr>
    </w:p>
    <w:p w14:paraId="4C252522" w14:textId="77777777" w:rsidR="009B7BB6" w:rsidRPr="000511CF" w:rsidRDefault="00E75CC8" w:rsidP="00D900DC">
      <w:pPr>
        <w:pStyle w:val="Heading2"/>
      </w:pPr>
      <w:r w:rsidRPr="002F320A">
        <w:t>INCOMPATIBILITIES</w:t>
      </w:r>
    </w:p>
    <w:p w14:paraId="480E637D" w14:textId="7140244D" w:rsidR="00B17C13" w:rsidRPr="00CF698F" w:rsidRDefault="0062381A" w:rsidP="0084108E">
      <w:pPr>
        <w:pStyle w:val="NoSpacing"/>
        <w:rPr>
          <w:rFonts w:ascii="Arial" w:hAnsi="Arial" w:cs="Arial"/>
        </w:rPr>
      </w:pPr>
      <w:r w:rsidRPr="00CF698F">
        <w:rPr>
          <w:rFonts w:ascii="Arial" w:hAnsi="Arial" w:cs="Arial"/>
        </w:rPr>
        <w:t xml:space="preserve">See section </w:t>
      </w:r>
      <w:hyperlink w:anchor="_INTERACTIONS_WITH_OTHER" w:history="1">
        <w:r w:rsidRPr="00CF698F">
          <w:rPr>
            <w:rStyle w:val="Hyperlink"/>
            <w:rFonts w:ascii="Arial" w:eastAsia="Calibri" w:hAnsi="Arial" w:cs="Arial"/>
            <w:bCs/>
          </w:rPr>
          <w:t>4.5 INTERACTIONS WITH OTHER MEDICINES AND OTHER FORMS OF INTERACTIONS</w:t>
        </w:r>
      </w:hyperlink>
      <w:r w:rsidRPr="00CF698F">
        <w:rPr>
          <w:rFonts w:ascii="Arial" w:eastAsia="Calibri" w:hAnsi="Arial" w:cs="Arial"/>
          <w:bCs/>
        </w:rPr>
        <w:t>.</w:t>
      </w:r>
    </w:p>
    <w:p w14:paraId="7EB5D3F6" w14:textId="7554E153" w:rsidR="00356C29" w:rsidRDefault="00356C29" w:rsidP="002F320A">
      <w:pPr>
        <w:pStyle w:val="NoSpacing"/>
        <w:rPr>
          <w:rFonts w:ascii="Arial" w:hAnsi="Arial"/>
        </w:rPr>
      </w:pPr>
    </w:p>
    <w:p w14:paraId="6B0B9FF4" w14:textId="77777777" w:rsidR="009B7BB6" w:rsidRPr="000511CF" w:rsidRDefault="00E75CC8" w:rsidP="00D900DC">
      <w:pPr>
        <w:pStyle w:val="Heading2"/>
      </w:pPr>
      <w:bookmarkStart w:id="28" w:name="_SHELF_LIFE"/>
      <w:bookmarkEnd w:id="28"/>
      <w:r w:rsidRPr="002F320A">
        <w:t>SHELF LIFE</w:t>
      </w:r>
    </w:p>
    <w:p w14:paraId="2FCA33AE" w14:textId="3F3928AD" w:rsidR="0062381A" w:rsidRPr="002F320A" w:rsidRDefault="007232F4" w:rsidP="002F320A">
      <w:pPr>
        <w:pStyle w:val="NoSpacing"/>
        <w:rPr>
          <w:rFonts w:ascii="Arial" w:hAnsi="Arial"/>
        </w:rPr>
      </w:pPr>
      <w:r>
        <w:rPr>
          <w:rFonts w:ascii="Arial" w:hAnsi="Arial" w:cs="Arial"/>
        </w:rPr>
        <w:t xml:space="preserve">Unopened bottle: </w:t>
      </w:r>
      <w:r w:rsidR="0062381A" w:rsidRPr="002F320A">
        <w:rPr>
          <w:rFonts w:ascii="Arial" w:hAnsi="Arial"/>
        </w:rPr>
        <w:t>2 years.</w:t>
      </w:r>
    </w:p>
    <w:p w14:paraId="7B2D5A32" w14:textId="77777777" w:rsidR="0062381A" w:rsidRPr="002F320A" w:rsidRDefault="0062381A" w:rsidP="002F320A">
      <w:pPr>
        <w:pStyle w:val="NoSpacing"/>
        <w:rPr>
          <w:rFonts w:ascii="Arial" w:hAnsi="Arial"/>
        </w:rPr>
      </w:pPr>
    </w:p>
    <w:p w14:paraId="5761AFB3" w14:textId="00BDDF07" w:rsidR="00E01067" w:rsidRPr="002F320A" w:rsidRDefault="0062381A" w:rsidP="002F320A">
      <w:pPr>
        <w:pStyle w:val="NoSpacing"/>
        <w:rPr>
          <w:rFonts w:ascii="Arial" w:hAnsi="Arial"/>
        </w:rPr>
      </w:pPr>
      <w:r w:rsidRPr="002F320A">
        <w:rPr>
          <w:rFonts w:ascii="Arial" w:hAnsi="Arial"/>
        </w:rPr>
        <w:t xml:space="preserve">Use within </w:t>
      </w:r>
      <w:r w:rsidR="0032217F" w:rsidRPr="002F320A">
        <w:rPr>
          <w:rFonts w:ascii="Arial" w:hAnsi="Arial"/>
        </w:rPr>
        <w:t>8</w:t>
      </w:r>
      <w:r w:rsidRPr="002F320A">
        <w:rPr>
          <w:rFonts w:ascii="Arial" w:hAnsi="Arial"/>
        </w:rPr>
        <w:t xml:space="preserve"> weeks after first opening the bottle</w:t>
      </w:r>
      <w:r w:rsidR="00BD5A73" w:rsidRPr="002F320A">
        <w:rPr>
          <w:rFonts w:ascii="Arial" w:hAnsi="Arial"/>
        </w:rPr>
        <w:t>.</w:t>
      </w:r>
    </w:p>
    <w:p w14:paraId="1ED5AE2D" w14:textId="77777777" w:rsidR="00AD1CF2" w:rsidRPr="00CF698F" w:rsidRDefault="00AD1CF2" w:rsidP="00E01067">
      <w:pPr>
        <w:pStyle w:val="NoSpacing"/>
        <w:rPr>
          <w:rFonts w:ascii="Arial" w:hAnsi="Arial" w:cs="Arial"/>
        </w:rPr>
      </w:pPr>
    </w:p>
    <w:p w14:paraId="6F223E0C" w14:textId="77777777" w:rsidR="00E75CC8" w:rsidRPr="000511CF" w:rsidRDefault="00E75CC8" w:rsidP="00D900DC">
      <w:pPr>
        <w:pStyle w:val="Heading2"/>
      </w:pPr>
      <w:bookmarkStart w:id="29" w:name="_SPECIAL_PRECAUTIONS_FOR_1"/>
      <w:bookmarkEnd w:id="29"/>
      <w:r w:rsidRPr="002F320A">
        <w:rPr>
          <w:rFonts w:eastAsia="Calibri"/>
        </w:rPr>
        <w:t>SPECIAL PRECAUTIONS FOR STORAGE</w:t>
      </w:r>
    </w:p>
    <w:p w14:paraId="69E6D8ED" w14:textId="2F64082F" w:rsidR="00E75CC8" w:rsidRPr="002F320A" w:rsidRDefault="00CF698F" w:rsidP="002F320A">
      <w:pPr>
        <w:pStyle w:val="NoSpacing"/>
        <w:rPr>
          <w:rFonts w:ascii="Arial" w:eastAsia="Calibri" w:hAnsi="Arial"/>
        </w:rPr>
      </w:pPr>
      <w:r w:rsidRPr="002F320A">
        <w:rPr>
          <w:rFonts w:ascii="Arial" w:eastAsia="Calibri" w:hAnsi="Arial"/>
        </w:rPr>
        <w:t>Store below 25°C.</w:t>
      </w:r>
    </w:p>
    <w:p w14:paraId="1FF5BC08" w14:textId="77777777" w:rsidR="00AD1CF2" w:rsidRPr="002F320A" w:rsidRDefault="00AD1CF2" w:rsidP="002F320A">
      <w:pPr>
        <w:rPr>
          <w:rFonts w:ascii="Arial" w:hAnsi="Arial"/>
        </w:rPr>
      </w:pPr>
    </w:p>
    <w:p w14:paraId="65F1C23A" w14:textId="77777777" w:rsidR="009B7BB6" w:rsidRPr="002F320A" w:rsidRDefault="00E75CC8" w:rsidP="00D900DC">
      <w:pPr>
        <w:pStyle w:val="Heading2"/>
      </w:pPr>
      <w:r w:rsidRPr="002F320A">
        <w:rPr>
          <w:rFonts w:eastAsia="Calibri"/>
        </w:rPr>
        <w:t>NATURE AND CONTENTS OF CONTAINER</w:t>
      </w:r>
    </w:p>
    <w:p w14:paraId="66145CD5" w14:textId="56C37BE4" w:rsidR="00CF698F" w:rsidRPr="002F320A" w:rsidRDefault="00CF698F" w:rsidP="002F320A">
      <w:pPr>
        <w:rPr>
          <w:rFonts w:ascii="Arial" w:hAnsi="Arial"/>
        </w:rPr>
      </w:pPr>
      <w:r w:rsidRPr="002F320A">
        <w:rPr>
          <w:rFonts w:ascii="Arial" w:hAnsi="Arial"/>
        </w:rPr>
        <w:t>Amber glass bottle (type III) with a child</w:t>
      </w:r>
      <w:r w:rsidRPr="00CF698F">
        <w:rPr>
          <w:rFonts w:ascii="Arial" w:hAnsi="Arial" w:cs="Arial"/>
        </w:rPr>
        <w:noBreakHyphen/>
      </w:r>
      <w:r w:rsidRPr="002F320A">
        <w:rPr>
          <w:rFonts w:ascii="Arial" w:hAnsi="Arial"/>
        </w:rPr>
        <w:t>resistant and tamper</w:t>
      </w:r>
      <w:r w:rsidRPr="00CF698F">
        <w:rPr>
          <w:rFonts w:ascii="Arial" w:hAnsi="Arial" w:cs="Arial"/>
        </w:rPr>
        <w:noBreakHyphen/>
      </w:r>
      <w:r w:rsidRPr="002F320A">
        <w:rPr>
          <w:rFonts w:ascii="Arial" w:hAnsi="Arial"/>
        </w:rPr>
        <w:t>evident screw cap (polypropylene). The bottle is packaged in a carton with two 5</w:t>
      </w:r>
      <w:r w:rsidRPr="00CF698F">
        <w:rPr>
          <w:rFonts w:ascii="Arial" w:hAnsi="Arial" w:cs="Arial"/>
        </w:rPr>
        <w:t> </w:t>
      </w:r>
      <w:r w:rsidR="00305723">
        <w:rPr>
          <w:rFonts w:ascii="Arial" w:hAnsi="Arial" w:cs="Arial"/>
        </w:rPr>
        <w:t>mL</w:t>
      </w:r>
      <w:r w:rsidRPr="002F320A">
        <w:rPr>
          <w:rFonts w:ascii="Arial" w:hAnsi="Arial"/>
        </w:rPr>
        <w:t xml:space="preserve"> and two 1</w:t>
      </w:r>
      <w:r w:rsidRPr="00CF698F">
        <w:rPr>
          <w:rFonts w:ascii="Arial" w:hAnsi="Arial" w:cs="Arial"/>
        </w:rPr>
        <w:t> </w:t>
      </w:r>
      <w:r w:rsidR="00305723">
        <w:rPr>
          <w:rFonts w:ascii="Arial" w:hAnsi="Arial" w:cs="Arial"/>
        </w:rPr>
        <w:t>mL</w:t>
      </w:r>
      <w:r w:rsidRPr="002F320A">
        <w:rPr>
          <w:rFonts w:ascii="Arial" w:hAnsi="Arial"/>
        </w:rPr>
        <w:t xml:space="preserve"> calibrated oral dosing syringes (plunger HDPE and barrel polypropylene) and two bottle adapters (LDPE).The 5</w:t>
      </w:r>
      <w:r w:rsidRPr="00CF698F">
        <w:rPr>
          <w:rFonts w:ascii="Arial" w:hAnsi="Arial" w:cs="Arial"/>
        </w:rPr>
        <w:t> </w:t>
      </w:r>
      <w:r w:rsidR="00305723">
        <w:rPr>
          <w:rFonts w:ascii="Arial" w:hAnsi="Arial" w:cs="Arial"/>
        </w:rPr>
        <w:t>mL</w:t>
      </w:r>
      <w:r w:rsidRPr="002F320A">
        <w:rPr>
          <w:rFonts w:ascii="Arial" w:hAnsi="Arial"/>
        </w:rPr>
        <w:t xml:space="preserve"> syringes are graduated in 0.1</w:t>
      </w:r>
      <w:r w:rsidRPr="00CF698F">
        <w:rPr>
          <w:rFonts w:ascii="Arial" w:hAnsi="Arial" w:cs="Arial"/>
        </w:rPr>
        <w:t> </w:t>
      </w:r>
      <w:r w:rsidR="00305723">
        <w:rPr>
          <w:rFonts w:ascii="Arial" w:hAnsi="Arial" w:cs="Arial"/>
        </w:rPr>
        <w:t>mL</w:t>
      </w:r>
      <w:r w:rsidRPr="002F320A">
        <w:rPr>
          <w:rFonts w:ascii="Arial" w:hAnsi="Arial"/>
        </w:rPr>
        <w:t xml:space="preserve"> increments and the 1</w:t>
      </w:r>
      <w:r w:rsidRPr="00CF698F">
        <w:rPr>
          <w:rFonts w:ascii="Arial" w:hAnsi="Arial" w:cs="Arial"/>
        </w:rPr>
        <w:t> </w:t>
      </w:r>
      <w:r w:rsidR="00305723">
        <w:rPr>
          <w:rFonts w:ascii="Arial" w:hAnsi="Arial" w:cs="Arial"/>
        </w:rPr>
        <w:t>mL</w:t>
      </w:r>
      <w:r w:rsidRPr="002F320A">
        <w:rPr>
          <w:rFonts w:ascii="Arial" w:hAnsi="Arial"/>
        </w:rPr>
        <w:t xml:space="preserve"> syringes are graduated in</w:t>
      </w:r>
      <w:r w:rsidRPr="00CF698F">
        <w:rPr>
          <w:rFonts w:ascii="Arial" w:hAnsi="Arial" w:cs="Arial"/>
        </w:rPr>
        <w:t xml:space="preserve"> </w:t>
      </w:r>
      <w:r w:rsidRPr="002F320A">
        <w:rPr>
          <w:rFonts w:ascii="Arial" w:hAnsi="Arial"/>
        </w:rPr>
        <w:t>0.05</w:t>
      </w:r>
      <w:r w:rsidRPr="00CF698F">
        <w:rPr>
          <w:rFonts w:ascii="Arial" w:hAnsi="Arial" w:cs="Arial"/>
        </w:rPr>
        <w:t> </w:t>
      </w:r>
      <w:r w:rsidR="00305723">
        <w:rPr>
          <w:rFonts w:ascii="Arial" w:hAnsi="Arial" w:cs="Arial"/>
        </w:rPr>
        <w:t>mL</w:t>
      </w:r>
      <w:r w:rsidRPr="002F320A">
        <w:rPr>
          <w:rFonts w:ascii="Arial" w:hAnsi="Arial"/>
        </w:rPr>
        <w:t xml:space="preserve"> increments.</w:t>
      </w:r>
    </w:p>
    <w:p w14:paraId="46FD2BCA" w14:textId="77777777" w:rsidR="00AD1CF2" w:rsidRPr="002F320A" w:rsidRDefault="00AD1CF2" w:rsidP="002F320A">
      <w:pPr>
        <w:pStyle w:val="NoSpacing"/>
        <w:rPr>
          <w:rFonts w:ascii="Arial" w:hAnsi="Arial"/>
        </w:rPr>
      </w:pPr>
    </w:p>
    <w:p w14:paraId="67042A67" w14:textId="77777777" w:rsidR="0042073F" w:rsidRPr="002F320A" w:rsidRDefault="00E75CC8" w:rsidP="00D900DC">
      <w:pPr>
        <w:pStyle w:val="Heading2"/>
      </w:pPr>
      <w:bookmarkStart w:id="30" w:name="_SPECIAL_PRECAUTIONS_FOR"/>
      <w:bookmarkEnd w:id="30"/>
      <w:r w:rsidRPr="002F320A">
        <w:rPr>
          <w:rFonts w:eastAsia="Calibri"/>
        </w:rPr>
        <w:t>SPECIAL PRECAUTIONS FOR DISPOSAL</w:t>
      </w:r>
    </w:p>
    <w:p w14:paraId="25DBAFD3" w14:textId="77777777" w:rsidR="009B7BB6" w:rsidRPr="002F320A" w:rsidRDefault="0042073F" w:rsidP="002F320A">
      <w:pPr>
        <w:pStyle w:val="NoSpacing"/>
        <w:rPr>
          <w:rFonts w:ascii="Arial" w:eastAsia="Calibri" w:hAnsi="Arial"/>
        </w:rPr>
      </w:pPr>
      <w:r w:rsidRPr="002F320A">
        <w:rPr>
          <w:rFonts w:ascii="Arial" w:eastAsia="Calibri" w:hAnsi="Arial"/>
        </w:rPr>
        <w:t>In Australia, any unused medicine or waste material should be disposed of in accordance with local requirements.</w:t>
      </w:r>
    </w:p>
    <w:p w14:paraId="1D4686B5" w14:textId="77777777" w:rsidR="00AD1CF2" w:rsidRPr="002F320A" w:rsidRDefault="00AD1CF2" w:rsidP="002F320A">
      <w:pPr>
        <w:pStyle w:val="NoSpacing"/>
        <w:rPr>
          <w:rFonts w:ascii="Arial" w:eastAsia="Calibri" w:hAnsi="Arial"/>
        </w:rPr>
      </w:pPr>
    </w:p>
    <w:p w14:paraId="0B7C7857" w14:textId="3119934C" w:rsidR="009B7BB6" w:rsidRDefault="00E75CC8" w:rsidP="00D900DC">
      <w:pPr>
        <w:pStyle w:val="Heading2"/>
        <w:rPr>
          <w:rFonts w:eastAsia="Calibri"/>
        </w:rPr>
      </w:pPr>
      <w:r w:rsidRPr="002F320A">
        <w:rPr>
          <w:rFonts w:eastAsia="Calibri"/>
        </w:rPr>
        <w:t>PHYSICOCHEMICAL PROPERTIES</w:t>
      </w:r>
    </w:p>
    <w:p w14:paraId="3D34A9EB" w14:textId="6D91178B" w:rsidR="00BD6ACC" w:rsidRPr="00BD6ACC" w:rsidRDefault="00BD6ACC" w:rsidP="00D900DC">
      <w:pPr>
        <w:pStyle w:val="Heading3"/>
      </w:pPr>
      <w:r w:rsidRPr="002F320A">
        <w:rPr>
          <w:rFonts w:eastAsia="Calibri"/>
        </w:rPr>
        <w:t>Chemical structure</w:t>
      </w:r>
    </w:p>
    <w:p w14:paraId="412166EA" w14:textId="475E66E1" w:rsidR="00085E0D" w:rsidRPr="002F320A" w:rsidRDefault="129B98E3" w:rsidP="00BB2AA5">
      <w:pPr>
        <w:pStyle w:val="NoSpacing"/>
        <w:jc w:val="center"/>
        <w:rPr>
          <w:rFonts w:ascii="Arial" w:eastAsia="Calibri" w:hAnsi="Arial"/>
        </w:rPr>
      </w:pPr>
      <w:r>
        <w:rPr>
          <w:noProof/>
          <w:lang w:eastAsia="en-AU"/>
        </w:rPr>
        <w:drawing>
          <wp:inline distT="0" distB="0" distL="0" distR="0" wp14:anchorId="5A6FE0E7" wp14:editId="3BDBF756">
            <wp:extent cx="3063240" cy="2121408"/>
            <wp:effectExtent l="0" t="0" r="3810" b="0"/>
            <wp:docPr id="904649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3063240" cy="2121408"/>
                    </a:xfrm>
                    <a:prstGeom prst="rect">
                      <a:avLst/>
                    </a:prstGeom>
                  </pic:spPr>
                </pic:pic>
              </a:graphicData>
            </a:graphic>
          </wp:inline>
        </w:drawing>
      </w:r>
    </w:p>
    <w:p w14:paraId="79777A80" w14:textId="77777777" w:rsidR="00080F08" w:rsidRPr="002F320A" w:rsidRDefault="00080F08" w:rsidP="002F320A">
      <w:pPr>
        <w:pStyle w:val="NoSpacing"/>
        <w:rPr>
          <w:rFonts w:ascii="Arial" w:eastAsia="Calibri" w:hAnsi="Arial"/>
        </w:rPr>
      </w:pPr>
    </w:p>
    <w:p w14:paraId="1C1118EC" w14:textId="496367D3" w:rsidR="00085E0D" w:rsidRPr="002F320A" w:rsidRDefault="00085E0D" w:rsidP="00D900DC">
      <w:pPr>
        <w:pStyle w:val="Heading3"/>
        <w:rPr>
          <w:rFonts w:eastAsia="Calibri"/>
        </w:rPr>
      </w:pPr>
      <w:r w:rsidRPr="002F320A">
        <w:rPr>
          <w:rFonts w:eastAsia="Calibri"/>
        </w:rPr>
        <w:t>CAS number</w:t>
      </w:r>
    </w:p>
    <w:p w14:paraId="3199073C" w14:textId="0592E90A" w:rsidR="00085E0D" w:rsidRPr="002F320A" w:rsidRDefault="004567C0" w:rsidP="002F320A">
      <w:pPr>
        <w:pStyle w:val="NoSpacing"/>
        <w:rPr>
          <w:rFonts w:ascii="Arial" w:eastAsia="Calibri" w:hAnsi="Arial"/>
        </w:rPr>
      </w:pPr>
      <w:r w:rsidRPr="002F320A">
        <w:rPr>
          <w:rFonts w:ascii="Arial" w:eastAsia="Calibri" w:hAnsi="Arial"/>
        </w:rPr>
        <w:t>13956-29-1.</w:t>
      </w:r>
    </w:p>
    <w:p w14:paraId="4001D1BE" w14:textId="77777777" w:rsidR="006A6212" w:rsidRPr="002F320A" w:rsidRDefault="006A6212" w:rsidP="002F320A">
      <w:pPr>
        <w:pStyle w:val="NoSpacing"/>
        <w:rPr>
          <w:rFonts w:ascii="Arial" w:eastAsia="Calibri" w:hAnsi="Arial"/>
        </w:rPr>
      </w:pPr>
    </w:p>
    <w:p w14:paraId="22AF579D" w14:textId="5437455D" w:rsidR="00085E0D" w:rsidRPr="00D900DC" w:rsidRDefault="00085E0D" w:rsidP="00D900DC">
      <w:pPr>
        <w:pStyle w:val="Heading1"/>
      </w:pPr>
      <w:r w:rsidRPr="00D900DC">
        <w:t xml:space="preserve">MEDICINE </w:t>
      </w:r>
      <w:r w:rsidR="00B47EB6" w:rsidRPr="00D900DC">
        <w:t>SCHEDULE</w:t>
      </w:r>
      <w:r w:rsidRPr="00D900DC">
        <w:t xml:space="preserve"> (POISONS STANDARD) </w:t>
      </w:r>
    </w:p>
    <w:p w14:paraId="74B6DB9D" w14:textId="6C4D5EF5" w:rsidR="00085E0D" w:rsidRPr="002F320A" w:rsidRDefault="008C1D88" w:rsidP="002F320A">
      <w:pPr>
        <w:pStyle w:val="NoSpacing"/>
        <w:rPr>
          <w:rFonts w:ascii="Arial" w:hAnsi="Arial"/>
        </w:rPr>
      </w:pPr>
      <w:r w:rsidRPr="002F320A">
        <w:rPr>
          <w:rFonts w:ascii="Arial" w:hAnsi="Arial"/>
        </w:rPr>
        <w:t>Schedule 4 – Prescription Only Medicine</w:t>
      </w:r>
    </w:p>
    <w:p w14:paraId="35E6E3F3" w14:textId="77777777" w:rsidR="00110BFB" w:rsidRPr="002F320A" w:rsidRDefault="00110BFB" w:rsidP="002F320A">
      <w:pPr>
        <w:pStyle w:val="NoSpacing"/>
        <w:rPr>
          <w:rFonts w:ascii="Arial" w:eastAsia="Calibri" w:hAnsi="Arial"/>
          <w:b/>
          <w:caps/>
          <w:kern w:val="28"/>
          <w:u w:val="single"/>
        </w:rPr>
      </w:pPr>
    </w:p>
    <w:p w14:paraId="6B49F80B" w14:textId="33FD5FD9" w:rsidR="00F914FD" w:rsidRPr="0062381A" w:rsidRDefault="00F00C49" w:rsidP="00952B5F">
      <w:pPr>
        <w:pStyle w:val="Heading1"/>
      </w:pPr>
      <w:r w:rsidRPr="00F00C49">
        <w:t>SPONSOR</w:t>
      </w:r>
    </w:p>
    <w:p w14:paraId="0FBDAF24" w14:textId="18AF06B4" w:rsidR="00C8654D" w:rsidRPr="0062381A" w:rsidRDefault="00F81258" w:rsidP="00D900DC">
      <w:pPr>
        <w:pStyle w:val="NoSpacing"/>
        <w:keepNext/>
        <w:rPr>
          <w:rFonts w:ascii="Arial" w:hAnsi="Arial" w:cs="Arial"/>
        </w:rPr>
      </w:pPr>
      <w:proofErr w:type="spellStart"/>
      <w:r w:rsidRPr="00F81258">
        <w:rPr>
          <w:rFonts w:ascii="Arial" w:hAnsi="Arial"/>
        </w:rPr>
        <w:t>Chiesi</w:t>
      </w:r>
      <w:proofErr w:type="spellEnd"/>
      <w:r w:rsidRPr="00F81258">
        <w:rPr>
          <w:rFonts w:ascii="Arial" w:hAnsi="Arial"/>
        </w:rPr>
        <w:t xml:space="preserve"> Australia Pty Ltd</w:t>
      </w:r>
    </w:p>
    <w:p w14:paraId="7AF4B657" w14:textId="446D3CDC" w:rsidR="00C8654D" w:rsidRPr="0062381A" w:rsidRDefault="00687889" w:rsidP="00D900DC">
      <w:pPr>
        <w:pStyle w:val="NoSpacing"/>
        <w:keepNext/>
        <w:rPr>
          <w:rFonts w:ascii="Arial" w:hAnsi="Arial" w:cs="Arial"/>
        </w:rPr>
      </w:pPr>
      <w:r w:rsidRPr="002F320A">
        <w:rPr>
          <w:rFonts w:ascii="Arial" w:hAnsi="Arial"/>
        </w:rPr>
        <w:t>Suite 3, 22 Gillman Street</w:t>
      </w:r>
    </w:p>
    <w:p w14:paraId="4F24A5C5" w14:textId="2DC499DE" w:rsidR="00C8654D" w:rsidRPr="0062381A" w:rsidRDefault="00687889" w:rsidP="00D900DC">
      <w:pPr>
        <w:pStyle w:val="NoSpacing"/>
        <w:keepNext/>
        <w:rPr>
          <w:rFonts w:ascii="Arial" w:hAnsi="Arial" w:cs="Arial"/>
        </w:rPr>
      </w:pPr>
      <w:r w:rsidRPr="002F320A">
        <w:rPr>
          <w:rFonts w:ascii="Arial" w:hAnsi="Arial"/>
        </w:rPr>
        <w:t>Hawthorn East VIC 3123</w:t>
      </w:r>
    </w:p>
    <w:p w14:paraId="4BF86250" w14:textId="77777777" w:rsidR="00C8654D" w:rsidRPr="002F320A" w:rsidRDefault="00C8654D" w:rsidP="00D900DC">
      <w:pPr>
        <w:pStyle w:val="NoSpacing"/>
        <w:keepNext/>
        <w:rPr>
          <w:rFonts w:ascii="Arial" w:hAnsi="Arial"/>
        </w:rPr>
      </w:pPr>
      <w:r w:rsidRPr="002F320A">
        <w:rPr>
          <w:rFonts w:ascii="Arial" w:hAnsi="Arial"/>
        </w:rPr>
        <w:t>Australia</w:t>
      </w:r>
    </w:p>
    <w:p w14:paraId="487D5266" w14:textId="71354E95" w:rsidR="00687889" w:rsidRPr="0062381A" w:rsidRDefault="002A6E54" w:rsidP="00D900DC">
      <w:pPr>
        <w:pStyle w:val="NoSpacing"/>
        <w:keepNext/>
        <w:rPr>
          <w:rFonts w:ascii="Arial" w:hAnsi="Arial" w:cs="Arial"/>
        </w:rPr>
      </w:pPr>
      <w:r w:rsidRPr="0062381A">
        <w:rPr>
          <w:rFonts w:ascii="Arial" w:hAnsi="Arial" w:cs="Arial"/>
        </w:rPr>
        <w:t>E</w:t>
      </w:r>
      <w:r w:rsidR="007F6A1C">
        <w:rPr>
          <w:rFonts w:ascii="Arial" w:hAnsi="Arial" w:cs="Arial"/>
        </w:rPr>
        <w:t>mail</w:t>
      </w:r>
      <w:r w:rsidRPr="0062381A">
        <w:rPr>
          <w:rFonts w:ascii="Arial" w:hAnsi="Arial" w:cs="Arial"/>
        </w:rPr>
        <w:t xml:space="preserve">: </w:t>
      </w:r>
      <w:r w:rsidR="007F6A1C" w:rsidRPr="007F6A1C">
        <w:rPr>
          <w:rStyle w:val="Hyperlink"/>
          <w:rFonts w:ascii="Arial" w:hAnsi="Arial" w:cs="Arial"/>
        </w:rPr>
        <w:t>medicalaffairs.au@chiesi.com</w:t>
      </w:r>
    </w:p>
    <w:p w14:paraId="0ACEEE19" w14:textId="77777777" w:rsidR="00F737E4" w:rsidRPr="0062381A" w:rsidRDefault="00F737E4" w:rsidP="00F87811">
      <w:pPr>
        <w:pStyle w:val="NoSpacing"/>
        <w:rPr>
          <w:rFonts w:ascii="Arial" w:hAnsi="Arial" w:cs="Arial"/>
        </w:rPr>
      </w:pPr>
    </w:p>
    <w:p w14:paraId="33733BED" w14:textId="77777777" w:rsidR="00C8654D" w:rsidRPr="00D900DC" w:rsidRDefault="00C8654D" w:rsidP="00D900DC">
      <w:pPr>
        <w:pStyle w:val="Heading1"/>
      </w:pPr>
      <w:r w:rsidRPr="00D900DC">
        <w:t xml:space="preserve">DATE OF FIRST </w:t>
      </w:r>
      <w:r w:rsidR="00085E0D" w:rsidRPr="00D900DC">
        <w:t>APPROVAL</w:t>
      </w:r>
    </w:p>
    <w:p w14:paraId="03EF9F84" w14:textId="2E67881C" w:rsidR="006A6212" w:rsidRPr="002F320A" w:rsidRDefault="00DF04C7" w:rsidP="002F320A">
      <w:pPr>
        <w:pStyle w:val="NoSpacing"/>
        <w:rPr>
          <w:rFonts w:ascii="Arial" w:hAnsi="Arial"/>
        </w:rPr>
      </w:pPr>
      <w:r>
        <w:rPr>
          <w:rFonts w:ascii="Arial" w:hAnsi="Arial"/>
        </w:rPr>
        <w:t>21 September 2020</w:t>
      </w:r>
    </w:p>
    <w:p w14:paraId="300A7D53" w14:textId="525000C5" w:rsidR="00B66655" w:rsidRDefault="00B66655" w:rsidP="002F320A">
      <w:pPr>
        <w:pStyle w:val="NoSpacing"/>
        <w:rPr>
          <w:rFonts w:ascii="Arial" w:hAnsi="Arial"/>
        </w:rPr>
      </w:pPr>
    </w:p>
    <w:p w14:paraId="5A2D1CC3" w14:textId="5350FA4D" w:rsidR="00D550CB" w:rsidRPr="00D550CB" w:rsidRDefault="00D550CB" w:rsidP="00D550CB">
      <w:pPr>
        <w:pStyle w:val="Heading1"/>
        <w:ind w:left="431" w:hanging="431"/>
      </w:pPr>
      <w:r w:rsidRPr="00D550CB">
        <w:t>DATE OF REVISION</w:t>
      </w:r>
    </w:p>
    <w:p w14:paraId="623A67F2" w14:textId="570E322E" w:rsidR="00D550CB" w:rsidRDefault="001756D6" w:rsidP="002F320A">
      <w:pPr>
        <w:pStyle w:val="NoSpacing"/>
        <w:rPr>
          <w:rFonts w:ascii="Arial" w:hAnsi="Arial"/>
        </w:rPr>
      </w:pPr>
      <w:r>
        <w:rPr>
          <w:rFonts w:ascii="Arial" w:hAnsi="Arial"/>
        </w:rPr>
        <w:t>08 December 2020</w:t>
      </w:r>
    </w:p>
    <w:p w14:paraId="7AC21F0E" w14:textId="47D039EE" w:rsidR="00AA3B49" w:rsidRDefault="00AA3B49" w:rsidP="00AA3B49">
      <w:pPr>
        <w:pStyle w:val="Heading2"/>
        <w:numPr>
          <w:ilvl w:val="0"/>
          <w:numId w:val="0"/>
        </w:numPr>
        <w:ind w:left="576" w:hanging="576"/>
      </w:pPr>
      <w:r w:rsidRPr="00AA3B49">
        <w:t>Summary table of changes</w:t>
      </w:r>
    </w:p>
    <w:tbl>
      <w:tblPr>
        <w:tblStyle w:val="TableGrid"/>
        <w:tblW w:w="0" w:type="auto"/>
        <w:tblLook w:val="04A0" w:firstRow="1" w:lastRow="0" w:firstColumn="1" w:lastColumn="0" w:noHBand="0" w:noVBand="1"/>
      </w:tblPr>
      <w:tblGrid>
        <w:gridCol w:w="1980"/>
        <w:gridCol w:w="7648"/>
      </w:tblGrid>
      <w:tr w:rsidR="00AA3B49" w:rsidRPr="00D550CB" w14:paraId="35AF7E7A" w14:textId="77777777" w:rsidTr="00D550CB">
        <w:tc>
          <w:tcPr>
            <w:tcW w:w="1980" w:type="dxa"/>
          </w:tcPr>
          <w:p w14:paraId="2F2F0D12" w14:textId="6F586CE7" w:rsidR="00AA3B49" w:rsidRPr="00D550CB" w:rsidRDefault="00AA3B49" w:rsidP="00D550CB">
            <w:pPr>
              <w:spacing w:before="40" w:after="40"/>
              <w:jc w:val="center"/>
              <w:rPr>
                <w:rFonts w:ascii="Arial" w:hAnsi="Arial" w:cs="Arial"/>
                <w:b/>
                <w:bCs/>
                <w:sz w:val="22"/>
                <w:szCs w:val="22"/>
              </w:rPr>
            </w:pPr>
            <w:r w:rsidRPr="00D550CB">
              <w:rPr>
                <w:rFonts w:ascii="Arial" w:hAnsi="Arial" w:cs="Arial"/>
                <w:b/>
                <w:bCs/>
                <w:sz w:val="22"/>
                <w:szCs w:val="22"/>
              </w:rPr>
              <w:t>Section changed</w:t>
            </w:r>
          </w:p>
        </w:tc>
        <w:tc>
          <w:tcPr>
            <w:tcW w:w="7648" w:type="dxa"/>
          </w:tcPr>
          <w:p w14:paraId="3B152815" w14:textId="788BDEA3" w:rsidR="00AA3B49" w:rsidRPr="00D550CB" w:rsidRDefault="00AA3B49" w:rsidP="00D550CB">
            <w:pPr>
              <w:spacing w:before="40" w:after="40"/>
              <w:rPr>
                <w:rFonts w:ascii="Arial" w:hAnsi="Arial" w:cs="Arial"/>
                <w:b/>
                <w:bCs/>
                <w:sz w:val="22"/>
                <w:szCs w:val="22"/>
              </w:rPr>
            </w:pPr>
            <w:r w:rsidRPr="00D550CB">
              <w:rPr>
                <w:rFonts w:ascii="Arial" w:hAnsi="Arial" w:cs="Arial"/>
                <w:b/>
                <w:bCs/>
                <w:sz w:val="22"/>
                <w:szCs w:val="22"/>
              </w:rPr>
              <w:t>Summary of new information</w:t>
            </w:r>
          </w:p>
        </w:tc>
      </w:tr>
      <w:tr w:rsidR="00AA3B49" w:rsidRPr="00D550CB" w14:paraId="4093089D" w14:textId="77777777" w:rsidTr="00D550CB">
        <w:tc>
          <w:tcPr>
            <w:tcW w:w="1980" w:type="dxa"/>
          </w:tcPr>
          <w:p w14:paraId="2893E7C9" w14:textId="57F28592" w:rsidR="00AA3B49" w:rsidRPr="00D550CB" w:rsidRDefault="00AA3B49" w:rsidP="00D550CB">
            <w:pPr>
              <w:spacing w:before="40" w:after="40"/>
              <w:jc w:val="center"/>
              <w:rPr>
                <w:rFonts w:ascii="Arial" w:hAnsi="Arial" w:cs="Arial"/>
                <w:sz w:val="22"/>
                <w:szCs w:val="22"/>
              </w:rPr>
            </w:pPr>
            <w:r w:rsidRPr="00D550CB">
              <w:rPr>
                <w:rFonts w:ascii="Arial" w:hAnsi="Arial" w:cs="Arial"/>
                <w:sz w:val="22"/>
                <w:szCs w:val="22"/>
              </w:rPr>
              <w:t>8</w:t>
            </w:r>
          </w:p>
        </w:tc>
        <w:tc>
          <w:tcPr>
            <w:tcW w:w="7648" w:type="dxa"/>
          </w:tcPr>
          <w:p w14:paraId="4D2FDF36" w14:textId="2AE1C910" w:rsidR="00AA3B49" w:rsidRPr="00D550CB" w:rsidRDefault="00AA3B49" w:rsidP="00D550CB">
            <w:pPr>
              <w:spacing w:before="40" w:after="40"/>
              <w:rPr>
                <w:rFonts w:ascii="Arial" w:hAnsi="Arial" w:cs="Arial"/>
                <w:sz w:val="22"/>
                <w:szCs w:val="22"/>
              </w:rPr>
            </w:pPr>
            <w:r w:rsidRPr="00D550CB">
              <w:rPr>
                <w:rFonts w:ascii="Arial" w:hAnsi="Arial" w:cs="Arial"/>
                <w:sz w:val="22"/>
                <w:szCs w:val="22"/>
              </w:rPr>
              <w:t xml:space="preserve">Change </w:t>
            </w:r>
            <w:r w:rsidR="00D550CB" w:rsidRPr="00D550CB">
              <w:rPr>
                <w:rFonts w:ascii="Arial" w:hAnsi="Arial" w:cs="Arial"/>
                <w:sz w:val="22"/>
                <w:szCs w:val="22"/>
              </w:rPr>
              <w:t>of</w:t>
            </w:r>
            <w:r w:rsidRPr="00D550CB">
              <w:rPr>
                <w:rFonts w:ascii="Arial" w:hAnsi="Arial" w:cs="Arial"/>
                <w:sz w:val="22"/>
                <w:szCs w:val="22"/>
              </w:rPr>
              <w:t xml:space="preserve"> Sponsor and contact details</w:t>
            </w:r>
          </w:p>
        </w:tc>
      </w:tr>
    </w:tbl>
    <w:p w14:paraId="1A4B4B6F" w14:textId="77777777" w:rsidR="00AA3B49" w:rsidRPr="00D550CB" w:rsidRDefault="00AA3B49" w:rsidP="00D550CB"/>
    <w:p w14:paraId="3BB116EC" w14:textId="65598348" w:rsidR="00B66655" w:rsidRPr="002F320A" w:rsidRDefault="00B66655" w:rsidP="002F320A">
      <w:pPr>
        <w:pStyle w:val="NoSpacing"/>
        <w:rPr>
          <w:rFonts w:ascii="Arial" w:hAnsi="Arial"/>
        </w:rPr>
      </w:pPr>
    </w:p>
    <w:sectPr w:rsidR="00B66655" w:rsidRPr="002F320A" w:rsidSect="00867379">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851" w:left="1134" w:header="709" w:footer="454" w:gutter="0"/>
      <w:cols w:space="1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20146" w14:textId="77777777" w:rsidR="00702FAA" w:rsidRDefault="00702FAA">
      <w:r>
        <w:separator/>
      </w:r>
    </w:p>
  </w:endnote>
  <w:endnote w:type="continuationSeparator" w:id="0">
    <w:p w14:paraId="22A56753" w14:textId="77777777" w:rsidR="00702FAA" w:rsidRDefault="00702FAA">
      <w:r>
        <w:continuationSeparator/>
      </w:r>
    </w:p>
  </w:endnote>
  <w:endnote w:type="continuationNotice" w:id="1">
    <w:p w14:paraId="5C1EBD18" w14:textId="77777777" w:rsidR="00702FAA" w:rsidRDefault="00702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21002A87" w:usb1="090F0000" w:usb2="00000010"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08A1" w14:textId="77777777" w:rsidR="00702FAA" w:rsidRDefault="00702FAA" w:rsidP="003C4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E9EF2E3" w14:textId="77777777" w:rsidR="00702FAA" w:rsidRDefault="00702FAA" w:rsidP="00D900DC">
    <w:pPr>
      <w:pStyle w:val="Footer"/>
      <w:ind w:right="360"/>
    </w:pPr>
    <w:bookmarkStart w:id="31" w:name="_Hlk12532884"/>
    <w:bookmarkEnd w:id="3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840D" w14:textId="2C2A2C51" w:rsidR="00702FAA" w:rsidRPr="002F320A" w:rsidRDefault="00702FAA" w:rsidP="002F320A">
    <w:pPr>
      <w:pStyle w:val="Footer"/>
      <w:pBdr>
        <w:top w:val="single" w:sz="4" w:space="1" w:color="auto"/>
      </w:pBdr>
      <w:ind w:right="360"/>
      <w:rPr>
        <w:rStyle w:val="PageNumber"/>
        <w:rFonts w:ascii="Arial" w:hAnsi="Arial"/>
      </w:rPr>
    </w:pPr>
    <w:r>
      <w:rPr>
        <w:rFonts w:ascii="Arial" w:hAnsi="Arial" w:cs="Arial"/>
        <w:sz w:val="20"/>
        <w:szCs w:val="20"/>
      </w:rPr>
      <w:t>EPIDYOLEX PI v2.0</w:t>
    </w:r>
    <w:r>
      <w:rPr>
        <w:rFonts w:ascii="Arial" w:hAnsi="Arial" w:cs="Arial"/>
        <w:sz w:val="20"/>
        <w:szCs w:val="20"/>
      </w:rPr>
      <w:tab/>
    </w:r>
    <w:r>
      <w:rPr>
        <w:rFonts w:ascii="Arial" w:hAnsi="Arial" w:cs="Arial"/>
        <w:sz w:val="20"/>
        <w:szCs w:val="20"/>
      </w:rPr>
      <w:tab/>
    </w:r>
    <w:r w:rsidRPr="007D1AA9">
      <w:rPr>
        <w:rStyle w:val="PageNumber"/>
        <w:rFonts w:ascii="Arial" w:hAnsi="Arial" w:cs="Arial"/>
        <w:sz w:val="20"/>
        <w:szCs w:val="20"/>
      </w:rPr>
      <w:t xml:space="preserve">Page </w:t>
    </w:r>
    <w:r w:rsidRPr="007D1AA9">
      <w:rPr>
        <w:rStyle w:val="PageNumber"/>
        <w:rFonts w:ascii="Arial" w:hAnsi="Arial" w:cs="Arial"/>
        <w:sz w:val="20"/>
        <w:szCs w:val="20"/>
      </w:rPr>
      <w:fldChar w:fldCharType="begin"/>
    </w:r>
    <w:r w:rsidRPr="007D1AA9">
      <w:rPr>
        <w:rStyle w:val="PageNumber"/>
        <w:rFonts w:ascii="Arial" w:hAnsi="Arial" w:cs="Arial"/>
        <w:sz w:val="20"/>
        <w:szCs w:val="20"/>
      </w:rPr>
      <w:instrText xml:space="preserve"> PAGE </w:instrText>
    </w:r>
    <w:r w:rsidRPr="007D1AA9">
      <w:rPr>
        <w:rStyle w:val="PageNumber"/>
        <w:rFonts w:ascii="Arial" w:hAnsi="Arial" w:cs="Arial"/>
        <w:sz w:val="20"/>
        <w:szCs w:val="20"/>
      </w:rPr>
      <w:fldChar w:fldCharType="separate"/>
    </w:r>
    <w:r w:rsidR="007C62BE">
      <w:rPr>
        <w:rStyle w:val="PageNumber"/>
        <w:rFonts w:ascii="Arial" w:hAnsi="Arial" w:cs="Arial"/>
        <w:noProof/>
        <w:sz w:val="20"/>
        <w:szCs w:val="20"/>
      </w:rPr>
      <w:t>23</w:t>
    </w:r>
    <w:r w:rsidRPr="007D1AA9">
      <w:rPr>
        <w:rStyle w:val="PageNumber"/>
        <w:rFonts w:ascii="Arial" w:hAnsi="Arial" w:cs="Arial"/>
        <w:sz w:val="20"/>
        <w:szCs w:val="20"/>
      </w:rPr>
      <w:fldChar w:fldCharType="end"/>
    </w:r>
    <w:r w:rsidRPr="007D1AA9">
      <w:rPr>
        <w:rStyle w:val="PageNumber"/>
        <w:rFonts w:ascii="Arial" w:hAnsi="Arial" w:cs="Arial"/>
        <w:sz w:val="20"/>
        <w:szCs w:val="20"/>
      </w:rPr>
      <w:t xml:space="preserve"> of </w:t>
    </w:r>
    <w:r w:rsidRPr="007D1AA9">
      <w:rPr>
        <w:rStyle w:val="PageNumber"/>
        <w:rFonts w:ascii="Arial" w:hAnsi="Arial" w:cs="Arial"/>
        <w:sz w:val="20"/>
        <w:szCs w:val="20"/>
      </w:rPr>
      <w:fldChar w:fldCharType="begin"/>
    </w:r>
    <w:r w:rsidRPr="007D1AA9">
      <w:rPr>
        <w:rStyle w:val="PageNumber"/>
        <w:rFonts w:ascii="Arial" w:hAnsi="Arial" w:cs="Arial"/>
        <w:sz w:val="20"/>
        <w:szCs w:val="20"/>
      </w:rPr>
      <w:instrText xml:space="preserve"> NUMPAGES </w:instrText>
    </w:r>
    <w:r w:rsidRPr="007D1AA9">
      <w:rPr>
        <w:rStyle w:val="PageNumber"/>
        <w:rFonts w:ascii="Arial" w:hAnsi="Arial" w:cs="Arial"/>
        <w:sz w:val="20"/>
        <w:szCs w:val="20"/>
      </w:rPr>
      <w:fldChar w:fldCharType="separate"/>
    </w:r>
    <w:r w:rsidR="007C62BE">
      <w:rPr>
        <w:rStyle w:val="PageNumber"/>
        <w:rFonts w:ascii="Arial" w:hAnsi="Arial" w:cs="Arial"/>
        <w:noProof/>
        <w:sz w:val="20"/>
        <w:szCs w:val="20"/>
      </w:rPr>
      <w:t>24</w:t>
    </w:r>
    <w:r w:rsidRPr="007D1AA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2E4A" w14:textId="77777777" w:rsidR="00702FAA" w:rsidRDefault="0070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CFAE" w14:textId="77777777" w:rsidR="00702FAA" w:rsidRDefault="00702FAA">
      <w:r>
        <w:separator/>
      </w:r>
    </w:p>
  </w:footnote>
  <w:footnote w:type="continuationSeparator" w:id="0">
    <w:p w14:paraId="1260F4A4" w14:textId="77777777" w:rsidR="00702FAA" w:rsidRDefault="00702FAA">
      <w:r>
        <w:continuationSeparator/>
      </w:r>
    </w:p>
  </w:footnote>
  <w:footnote w:type="continuationNotice" w:id="1">
    <w:p w14:paraId="0F336094" w14:textId="77777777" w:rsidR="00702FAA" w:rsidRDefault="00702F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0F8B" w14:textId="77777777" w:rsidR="00702FAA" w:rsidRDefault="00702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00A8" w14:textId="107DD36C" w:rsidR="00702FAA" w:rsidRDefault="00702FAA">
    <w:pPr>
      <w:pStyle w:val="Header"/>
    </w:pPr>
  </w:p>
  <w:tbl>
    <w:tblPr>
      <w:tblStyle w:val="TableGrid"/>
      <w:tblW w:w="0" w:type="auto"/>
      <w:shd w:val="clear" w:color="auto" w:fill="E4F2E0"/>
      <w:tblLook w:val="04A0" w:firstRow="1" w:lastRow="0" w:firstColumn="1" w:lastColumn="0" w:noHBand="0" w:noVBand="1"/>
    </w:tblPr>
    <w:tblGrid>
      <w:gridCol w:w="8720"/>
    </w:tblGrid>
    <w:tr w:rsidR="00702FAA" w:rsidRPr="000B2145" w14:paraId="355A461B" w14:textId="77777777" w:rsidTr="00702FAA">
      <w:trPr>
        <w:trHeight w:val="1012"/>
      </w:trPr>
      <w:tc>
        <w:tcPr>
          <w:tcW w:w="8720" w:type="dxa"/>
          <w:shd w:val="clear" w:color="auto" w:fill="E4F2E0"/>
        </w:tcPr>
        <w:p w14:paraId="5F109CF8" w14:textId="77777777" w:rsidR="00702FAA" w:rsidRPr="00560402" w:rsidRDefault="00702FAA" w:rsidP="00D579C2">
          <w:pPr>
            <w:pStyle w:val="Footer"/>
            <w:tabs>
              <w:tab w:val="center" w:pos="4513"/>
              <w:tab w:val="right" w:pos="9026"/>
            </w:tabs>
            <w:rPr>
              <w:b/>
              <w:sz w:val="18"/>
              <w:szCs w:val="18"/>
            </w:rPr>
          </w:pPr>
          <w:r w:rsidRPr="00EA0C3C">
            <w:rPr>
              <w:b/>
              <w:sz w:val="18"/>
              <w:szCs w:val="18"/>
            </w:rPr>
            <w:t>Attachment 1:</w:t>
          </w:r>
          <w:r>
            <w:t xml:space="preserve"> </w:t>
          </w:r>
          <w:r w:rsidRPr="00560402">
            <w:rPr>
              <w:b/>
              <w:sz w:val="18"/>
              <w:szCs w:val="18"/>
            </w:rPr>
            <w:t>AusPAR - EPIDYOLEX - cannabidiol - Emerge Health Pty Ltd - PM-2020-00157-1-1</w:t>
          </w:r>
        </w:p>
        <w:p w14:paraId="1B62B8DA" w14:textId="77777777" w:rsidR="00702FAA" w:rsidRPr="000B2145" w:rsidRDefault="00702FAA" w:rsidP="00D579C2">
          <w:pPr>
            <w:pStyle w:val="Footer"/>
            <w:rPr>
              <w:b/>
              <w:sz w:val="18"/>
              <w:szCs w:val="18"/>
            </w:rPr>
          </w:pPr>
          <w:r w:rsidRPr="00560402">
            <w:rPr>
              <w:b/>
              <w:sz w:val="18"/>
              <w:szCs w:val="18"/>
            </w:rPr>
            <w:t>Final – 15 January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2E91E735" w14:textId="77777777" w:rsidR="00702FAA" w:rsidRDefault="00702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5B2A" w14:textId="77777777" w:rsidR="00702FAA" w:rsidRDefault="00702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58E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4C3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86A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880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3A22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84F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FE2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2B8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0072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F0949"/>
    <w:multiLevelType w:val="hybridMultilevel"/>
    <w:tmpl w:val="D28CBB62"/>
    <w:lvl w:ilvl="0" w:tplc="28A6BE66">
      <w:start w:val="1"/>
      <w:numFmt w:val="bullet"/>
      <w:lvlText w:val=""/>
      <w:lvlJc w:val="left"/>
      <w:pPr>
        <w:tabs>
          <w:tab w:val="num" w:pos="360"/>
        </w:tabs>
        <w:ind w:left="360" w:hanging="360"/>
      </w:pPr>
      <w:rPr>
        <w:rFonts w:ascii="Symbol" w:hAnsi="Symbol" w:hint="default"/>
      </w:rPr>
    </w:lvl>
    <w:lvl w:ilvl="1" w:tplc="CDEA0EC4" w:tentative="1">
      <w:start w:val="1"/>
      <w:numFmt w:val="bullet"/>
      <w:lvlText w:val=""/>
      <w:lvlJc w:val="left"/>
      <w:pPr>
        <w:tabs>
          <w:tab w:val="num" w:pos="1080"/>
        </w:tabs>
        <w:ind w:left="1080" w:hanging="360"/>
      </w:pPr>
      <w:rPr>
        <w:rFonts w:ascii="Symbol" w:hAnsi="Symbol" w:hint="default"/>
      </w:rPr>
    </w:lvl>
    <w:lvl w:ilvl="2" w:tplc="C052B844" w:tentative="1">
      <w:start w:val="1"/>
      <w:numFmt w:val="bullet"/>
      <w:lvlText w:val=""/>
      <w:lvlJc w:val="left"/>
      <w:pPr>
        <w:tabs>
          <w:tab w:val="num" w:pos="1800"/>
        </w:tabs>
        <w:ind w:left="1800" w:hanging="360"/>
      </w:pPr>
      <w:rPr>
        <w:rFonts w:ascii="Symbol" w:hAnsi="Symbol" w:hint="default"/>
      </w:rPr>
    </w:lvl>
    <w:lvl w:ilvl="3" w:tplc="A68E49BC" w:tentative="1">
      <w:start w:val="1"/>
      <w:numFmt w:val="bullet"/>
      <w:lvlText w:val=""/>
      <w:lvlJc w:val="left"/>
      <w:pPr>
        <w:tabs>
          <w:tab w:val="num" w:pos="2520"/>
        </w:tabs>
        <w:ind w:left="2520" w:hanging="360"/>
      </w:pPr>
      <w:rPr>
        <w:rFonts w:ascii="Symbol" w:hAnsi="Symbol" w:hint="default"/>
      </w:rPr>
    </w:lvl>
    <w:lvl w:ilvl="4" w:tplc="1BEA3A66" w:tentative="1">
      <w:start w:val="1"/>
      <w:numFmt w:val="bullet"/>
      <w:lvlText w:val=""/>
      <w:lvlJc w:val="left"/>
      <w:pPr>
        <w:tabs>
          <w:tab w:val="num" w:pos="3240"/>
        </w:tabs>
        <w:ind w:left="3240" w:hanging="360"/>
      </w:pPr>
      <w:rPr>
        <w:rFonts w:ascii="Symbol" w:hAnsi="Symbol" w:hint="default"/>
      </w:rPr>
    </w:lvl>
    <w:lvl w:ilvl="5" w:tplc="B9E2B850" w:tentative="1">
      <w:start w:val="1"/>
      <w:numFmt w:val="bullet"/>
      <w:lvlText w:val=""/>
      <w:lvlJc w:val="left"/>
      <w:pPr>
        <w:tabs>
          <w:tab w:val="num" w:pos="3960"/>
        </w:tabs>
        <w:ind w:left="3960" w:hanging="360"/>
      </w:pPr>
      <w:rPr>
        <w:rFonts w:ascii="Symbol" w:hAnsi="Symbol" w:hint="default"/>
      </w:rPr>
    </w:lvl>
    <w:lvl w:ilvl="6" w:tplc="6172ED80" w:tentative="1">
      <w:start w:val="1"/>
      <w:numFmt w:val="bullet"/>
      <w:lvlText w:val=""/>
      <w:lvlJc w:val="left"/>
      <w:pPr>
        <w:tabs>
          <w:tab w:val="num" w:pos="4680"/>
        </w:tabs>
        <w:ind w:left="4680" w:hanging="360"/>
      </w:pPr>
      <w:rPr>
        <w:rFonts w:ascii="Symbol" w:hAnsi="Symbol" w:hint="default"/>
      </w:rPr>
    </w:lvl>
    <w:lvl w:ilvl="7" w:tplc="09847C96" w:tentative="1">
      <w:start w:val="1"/>
      <w:numFmt w:val="bullet"/>
      <w:lvlText w:val=""/>
      <w:lvlJc w:val="left"/>
      <w:pPr>
        <w:tabs>
          <w:tab w:val="num" w:pos="5400"/>
        </w:tabs>
        <w:ind w:left="5400" w:hanging="360"/>
      </w:pPr>
      <w:rPr>
        <w:rFonts w:ascii="Symbol" w:hAnsi="Symbol" w:hint="default"/>
      </w:rPr>
    </w:lvl>
    <w:lvl w:ilvl="8" w:tplc="EA2AEB8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24F16865"/>
    <w:multiLevelType w:val="hybridMultilevel"/>
    <w:tmpl w:val="775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81CD0"/>
    <w:multiLevelType w:val="hybridMultilevel"/>
    <w:tmpl w:val="253A6ECA"/>
    <w:lvl w:ilvl="0" w:tplc="FFFFFFFF">
      <w:start w:val="1"/>
      <w:numFmt w:val="bullet"/>
      <w:lvlText w:val="-"/>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5910E8"/>
    <w:multiLevelType w:val="multilevel"/>
    <w:tmpl w:val="63C0518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51E21733"/>
    <w:multiLevelType w:val="multilevel"/>
    <w:tmpl w:val="FD2042F2"/>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suff w:val="space"/>
      <w:lvlText w:val="%1.%2.%3.%4. "/>
      <w:lvlJc w:val="left"/>
      <w:pPr>
        <w:ind w:left="0" w:firstLine="0"/>
      </w:p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15:restartNumberingAfterBreak="0">
    <w:nsid w:val="5EF65B4F"/>
    <w:multiLevelType w:val="hybridMultilevel"/>
    <w:tmpl w:val="836432FA"/>
    <w:lvl w:ilvl="0" w:tplc="20FA99A6">
      <w:numFmt w:val="bullet"/>
      <w:lvlText w:val="-"/>
      <w:lvlJc w:val="left"/>
      <w:pPr>
        <w:ind w:left="613" w:hanging="361"/>
      </w:pPr>
      <w:rPr>
        <w:rFonts w:ascii="Arial" w:eastAsia="Arial" w:hAnsi="Arial" w:cs="Arial" w:hint="default"/>
        <w:spacing w:val="-3"/>
        <w:w w:val="99"/>
        <w:sz w:val="24"/>
        <w:szCs w:val="24"/>
      </w:rPr>
    </w:lvl>
    <w:lvl w:ilvl="1" w:tplc="FC1ECADE">
      <w:numFmt w:val="bullet"/>
      <w:lvlText w:val="•"/>
      <w:lvlJc w:val="left"/>
      <w:pPr>
        <w:ind w:left="1592" w:hanging="361"/>
      </w:pPr>
      <w:rPr>
        <w:rFonts w:hint="default"/>
      </w:rPr>
    </w:lvl>
    <w:lvl w:ilvl="2" w:tplc="202C7DF8">
      <w:numFmt w:val="bullet"/>
      <w:lvlText w:val="•"/>
      <w:lvlJc w:val="left"/>
      <w:pPr>
        <w:ind w:left="2564" w:hanging="361"/>
      </w:pPr>
      <w:rPr>
        <w:rFonts w:hint="default"/>
      </w:rPr>
    </w:lvl>
    <w:lvl w:ilvl="3" w:tplc="22A44C20">
      <w:numFmt w:val="bullet"/>
      <w:lvlText w:val="•"/>
      <w:lvlJc w:val="left"/>
      <w:pPr>
        <w:ind w:left="3536" w:hanging="361"/>
      </w:pPr>
      <w:rPr>
        <w:rFonts w:hint="default"/>
      </w:rPr>
    </w:lvl>
    <w:lvl w:ilvl="4" w:tplc="D9C289B6">
      <w:numFmt w:val="bullet"/>
      <w:lvlText w:val="•"/>
      <w:lvlJc w:val="left"/>
      <w:pPr>
        <w:ind w:left="4508" w:hanging="361"/>
      </w:pPr>
      <w:rPr>
        <w:rFonts w:hint="default"/>
      </w:rPr>
    </w:lvl>
    <w:lvl w:ilvl="5" w:tplc="AB428D8E">
      <w:numFmt w:val="bullet"/>
      <w:lvlText w:val="•"/>
      <w:lvlJc w:val="left"/>
      <w:pPr>
        <w:ind w:left="5480" w:hanging="361"/>
      </w:pPr>
      <w:rPr>
        <w:rFonts w:hint="default"/>
      </w:rPr>
    </w:lvl>
    <w:lvl w:ilvl="6" w:tplc="18BC34DA">
      <w:numFmt w:val="bullet"/>
      <w:lvlText w:val="•"/>
      <w:lvlJc w:val="left"/>
      <w:pPr>
        <w:ind w:left="6452" w:hanging="361"/>
      </w:pPr>
      <w:rPr>
        <w:rFonts w:hint="default"/>
      </w:rPr>
    </w:lvl>
    <w:lvl w:ilvl="7" w:tplc="140C6C86">
      <w:numFmt w:val="bullet"/>
      <w:lvlText w:val="•"/>
      <w:lvlJc w:val="left"/>
      <w:pPr>
        <w:ind w:left="7424" w:hanging="361"/>
      </w:pPr>
      <w:rPr>
        <w:rFonts w:hint="default"/>
      </w:rPr>
    </w:lvl>
    <w:lvl w:ilvl="8" w:tplc="BE4E3484">
      <w:numFmt w:val="bullet"/>
      <w:lvlText w:val="•"/>
      <w:lvlJc w:val="left"/>
      <w:pPr>
        <w:ind w:left="8396" w:hanging="361"/>
      </w:pPr>
      <w:rPr>
        <w:rFonts w:hint="default"/>
      </w:rPr>
    </w:lvl>
  </w:abstractNum>
  <w:num w:numId="1">
    <w:abstractNumId w:val="13"/>
  </w:num>
  <w:num w:numId="2">
    <w:abstractNumId w:val="12"/>
  </w:num>
  <w:num w:numId="3">
    <w:abstractNumId w:val="10"/>
  </w:num>
  <w:num w:numId="4">
    <w:abstractNumId w:val="14"/>
  </w:num>
  <w:num w:numId="5">
    <w:abstractNumId w:val="15"/>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AD"/>
    <w:rsid w:val="000002DE"/>
    <w:rsid w:val="000017A1"/>
    <w:rsid w:val="00002537"/>
    <w:rsid w:val="000026EC"/>
    <w:rsid w:val="00002743"/>
    <w:rsid w:val="00002FD7"/>
    <w:rsid w:val="00003873"/>
    <w:rsid w:val="00003BEC"/>
    <w:rsid w:val="00004991"/>
    <w:rsid w:val="00005046"/>
    <w:rsid w:val="00005C97"/>
    <w:rsid w:val="00005E63"/>
    <w:rsid w:val="000068B3"/>
    <w:rsid w:val="00007214"/>
    <w:rsid w:val="00007CA0"/>
    <w:rsid w:val="0001149A"/>
    <w:rsid w:val="000118B3"/>
    <w:rsid w:val="00011F08"/>
    <w:rsid w:val="00011F2E"/>
    <w:rsid w:val="000142E2"/>
    <w:rsid w:val="00014A05"/>
    <w:rsid w:val="00014D3C"/>
    <w:rsid w:val="0001585E"/>
    <w:rsid w:val="000168D9"/>
    <w:rsid w:val="00016CC9"/>
    <w:rsid w:val="000172C4"/>
    <w:rsid w:val="000173DC"/>
    <w:rsid w:val="000174F9"/>
    <w:rsid w:val="00020051"/>
    <w:rsid w:val="0002035B"/>
    <w:rsid w:val="000204C4"/>
    <w:rsid w:val="00020610"/>
    <w:rsid w:val="00021B0F"/>
    <w:rsid w:val="00022DD3"/>
    <w:rsid w:val="00022ED0"/>
    <w:rsid w:val="000237AC"/>
    <w:rsid w:val="00023FC5"/>
    <w:rsid w:val="00024E1A"/>
    <w:rsid w:val="0002530A"/>
    <w:rsid w:val="0002580D"/>
    <w:rsid w:val="00025EDC"/>
    <w:rsid w:val="000302DF"/>
    <w:rsid w:val="000328C9"/>
    <w:rsid w:val="0003357C"/>
    <w:rsid w:val="00033DA9"/>
    <w:rsid w:val="00035AAD"/>
    <w:rsid w:val="00035AB1"/>
    <w:rsid w:val="00035D02"/>
    <w:rsid w:val="00040134"/>
    <w:rsid w:val="00040D18"/>
    <w:rsid w:val="00042ED6"/>
    <w:rsid w:val="000435E1"/>
    <w:rsid w:val="000441BE"/>
    <w:rsid w:val="000441DF"/>
    <w:rsid w:val="0004464E"/>
    <w:rsid w:val="00044907"/>
    <w:rsid w:val="00046837"/>
    <w:rsid w:val="0004709F"/>
    <w:rsid w:val="0005072F"/>
    <w:rsid w:val="000511CF"/>
    <w:rsid w:val="00051635"/>
    <w:rsid w:val="00051836"/>
    <w:rsid w:val="00051DE8"/>
    <w:rsid w:val="00051E82"/>
    <w:rsid w:val="000521E1"/>
    <w:rsid w:val="00052685"/>
    <w:rsid w:val="000536DD"/>
    <w:rsid w:val="00053798"/>
    <w:rsid w:val="000541F6"/>
    <w:rsid w:val="00054BA0"/>
    <w:rsid w:val="00055B8E"/>
    <w:rsid w:val="00055DE7"/>
    <w:rsid w:val="000560EE"/>
    <w:rsid w:val="000570E2"/>
    <w:rsid w:val="0005758C"/>
    <w:rsid w:val="000605EA"/>
    <w:rsid w:val="0006156F"/>
    <w:rsid w:val="000627AF"/>
    <w:rsid w:val="00064B07"/>
    <w:rsid w:val="00064CB9"/>
    <w:rsid w:val="00067855"/>
    <w:rsid w:val="00070378"/>
    <w:rsid w:val="000704D5"/>
    <w:rsid w:val="00070BF0"/>
    <w:rsid w:val="00072098"/>
    <w:rsid w:val="00072D9D"/>
    <w:rsid w:val="00073C64"/>
    <w:rsid w:val="00073CB0"/>
    <w:rsid w:val="000744C3"/>
    <w:rsid w:val="00075B6D"/>
    <w:rsid w:val="00075FDC"/>
    <w:rsid w:val="000779A9"/>
    <w:rsid w:val="00077A0D"/>
    <w:rsid w:val="0008010F"/>
    <w:rsid w:val="00080940"/>
    <w:rsid w:val="00080F08"/>
    <w:rsid w:val="00082582"/>
    <w:rsid w:val="00085299"/>
    <w:rsid w:val="0008582D"/>
    <w:rsid w:val="00085B62"/>
    <w:rsid w:val="00085E0D"/>
    <w:rsid w:val="00085E92"/>
    <w:rsid w:val="00085FD4"/>
    <w:rsid w:val="0009119A"/>
    <w:rsid w:val="0009160B"/>
    <w:rsid w:val="00091875"/>
    <w:rsid w:val="00094854"/>
    <w:rsid w:val="0009569A"/>
    <w:rsid w:val="00095B1A"/>
    <w:rsid w:val="0009647D"/>
    <w:rsid w:val="00096E79"/>
    <w:rsid w:val="00097195"/>
    <w:rsid w:val="000A011C"/>
    <w:rsid w:val="000A0EF6"/>
    <w:rsid w:val="000A135E"/>
    <w:rsid w:val="000A14C9"/>
    <w:rsid w:val="000A1C04"/>
    <w:rsid w:val="000A1F78"/>
    <w:rsid w:val="000A2084"/>
    <w:rsid w:val="000A22D3"/>
    <w:rsid w:val="000A3226"/>
    <w:rsid w:val="000A3830"/>
    <w:rsid w:val="000A57B1"/>
    <w:rsid w:val="000A5A81"/>
    <w:rsid w:val="000A69E6"/>
    <w:rsid w:val="000B0942"/>
    <w:rsid w:val="000B0C0F"/>
    <w:rsid w:val="000B140E"/>
    <w:rsid w:val="000B3549"/>
    <w:rsid w:val="000B37F6"/>
    <w:rsid w:val="000B486B"/>
    <w:rsid w:val="000B5C6A"/>
    <w:rsid w:val="000B6EA0"/>
    <w:rsid w:val="000B7E61"/>
    <w:rsid w:val="000C169D"/>
    <w:rsid w:val="000C18F3"/>
    <w:rsid w:val="000C2BBB"/>
    <w:rsid w:val="000C4737"/>
    <w:rsid w:val="000C5150"/>
    <w:rsid w:val="000C520D"/>
    <w:rsid w:val="000C55D2"/>
    <w:rsid w:val="000C5680"/>
    <w:rsid w:val="000C590D"/>
    <w:rsid w:val="000C656F"/>
    <w:rsid w:val="000C7B55"/>
    <w:rsid w:val="000D0095"/>
    <w:rsid w:val="000D0592"/>
    <w:rsid w:val="000D157F"/>
    <w:rsid w:val="000D1D7F"/>
    <w:rsid w:val="000D2493"/>
    <w:rsid w:val="000D2876"/>
    <w:rsid w:val="000D2ACD"/>
    <w:rsid w:val="000D2CDB"/>
    <w:rsid w:val="000D3177"/>
    <w:rsid w:val="000D32E9"/>
    <w:rsid w:val="000D3481"/>
    <w:rsid w:val="000D39C7"/>
    <w:rsid w:val="000D3D82"/>
    <w:rsid w:val="000D4345"/>
    <w:rsid w:val="000D631C"/>
    <w:rsid w:val="000D6590"/>
    <w:rsid w:val="000D7A0F"/>
    <w:rsid w:val="000E0177"/>
    <w:rsid w:val="000E1EFE"/>
    <w:rsid w:val="000E23C8"/>
    <w:rsid w:val="000E2739"/>
    <w:rsid w:val="000E2D8A"/>
    <w:rsid w:val="000E43E7"/>
    <w:rsid w:val="000E587D"/>
    <w:rsid w:val="000E669A"/>
    <w:rsid w:val="000E6DF4"/>
    <w:rsid w:val="000E76D0"/>
    <w:rsid w:val="000E77F8"/>
    <w:rsid w:val="000F0616"/>
    <w:rsid w:val="000F0A3D"/>
    <w:rsid w:val="000F1531"/>
    <w:rsid w:val="000F19F1"/>
    <w:rsid w:val="000F1D57"/>
    <w:rsid w:val="000F212E"/>
    <w:rsid w:val="000F49E0"/>
    <w:rsid w:val="000F6FBA"/>
    <w:rsid w:val="00100498"/>
    <w:rsid w:val="00100E1A"/>
    <w:rsid w:val="00101BE3"/>
    <w:rsid w:val="00101ED5"/>
    <w:rsid w:val="001035E1"/>
    <w:rsid w:val="00103815"/>
    <w:rsid w:val="00104749"/>
    <w:rsid w:val="001050A1"/>
    <w:rsid w:val="001060B7"/>
    <w:rsid w:val="00106C42"/>
    <w:rsid w:val="001075F3"/>
    <w:rsid w:val="0010769B"/>
    <w:rsid w:val="00110058"/>
    <w:rsid w:val="00110B03"/>
    <w:rsid w:val="00110BFB"/>
    <w:rsid w:val="00110F33"/>
    <w:rsid w:val="001138B2"/>
    <w:rsid w:val="001145A2"/>
    <w:rsid w:val="00115204"/>
    <w:rsid w:val="001158C8"/>
    <w:rsid w:val="00117F30"/>
    <w:rsid w:val="0012106B"/>
    <w:rsid w:val="00121B11"/>
    <w:rsid w:val="00121D92"/>
    <w:rsid w:val="00121DAB"/>
    <w:rsid w:val="00122198"/>
    <w:rsid w:val="0012302F"/>
    <w:rsid w:val="00123238"/>
    <w:rsid w:val="001256EA"/>
    <w:rsid w:val="0012631B"/>
    <w:rsid w:val="00126AB4"/>
    <w:rsid w:val="0012757D"/>
    <w:rsid w:val="00127BA7"/>
    <w:rsid w:val="00130438"/>
    <w:rsid w:val="00131E40"/>
    <w:rsid w:val="00132894"/>
    <w:rsid w:val="001333DF"/>
    <w:rsid w:val="001336D2"/>
    <w:rsid w:val="00133D59"/>
    <w:rsid w:val="00134473"/>
    <w:rsid w:val="0013600C"/>
    <w:rsid w:val="00136A56"/>
    <w:rsid w:val="00137B84"/>
    <w:rsid w:val="00137BBF"/>
    <w:rsid w:val="00140157"/>
    <w:rsid w:val="00140EBC"/>
    <w:rsid w:val="001412BD"/>
    <w:rsid w:val="001420F9"/>
    <w:rsid w:val="00142C04"/>
    <w:rsid w:val="00144E5D"/>
    <w:rsid w:val="00145E2D"/>
    <w:rsid w:val="0014617B"/>
    <w:rsid w:val="0014643D"/>
    <w:rsid w:val="001464F4"/>
    <w:rsid w:val="001467B9"/>
    <w:rsid w:val="00147E0A"/>
    <w:rsid w:val="0015010C"/>
    <w:rsid w:val="0015030C"/>
    <w:rsid w:val="00150B58"/>
    <w:rsid w:val="00150BC8"/>
    <w:rsid w:val="001515F6"/>
    <w:rsid w:val="00151B38"/>
    <w:rsid w:val="00154195"/>
    <w:rsid w:val="00154782"/>
    <w:rsid w:val="00156A24"/>
    <w:rsid w:val="00157143"/>
    <w:rsid w:val="001573CA"/>
    <w:rsid w:val="00161B9E"/>
    <w:rsid w:val="00161C2F"/>
    <w:rsid w:val="00163733"/>
    <w:rsid w:val="00163B3C"/>
    <w:rsid w:val="00164EF7"/>
    <w:rsid w:val="001652C1"/>
    <w:rsid w:val="001658A7"/>
    <w:rsid w:val="00167136"/>
    <w:rsid w:val="00167B35"/>
    <w:rsid w:val="001708DA"/>
    <w:rsid w:val="00170B24"/>
    <w:rsid w:val="00170BEA"/>
    <w:rsid w:val="00171B66"/>
    <w:rsid w:val="00172139"/>
    <w:rsid w:val="0017264D"/>
    <w:rsid w:val="00174036"/>
    <w:rsid w:val="001745FE"/>
    <w:rsid w:val="001748B9"/>
    <w:rsid w:val="001756D6"/>
    <w:rsid w:val="00175975"/>
    <w:rsid w:val="00175C48"/>
    <w:rsid w:val="0017764C"/>
    <w:rsid w:val="00180A76"/>
    <w:rsid w:val="0018242C"/>
    <w:rsid w:val="00182534"/>
    <w:rsid w:val="0018356A"/>
    <w:rsid w:val="00183795"/>
    <w:rsid w:val="00184056"/>
    <w:rsid w:val="001851C5"/>
    <w:rsid w:val="0018628E"/>
    <w:rsid w:val="0018715F"/>
    <w:rsid w:val="00187F66"/>
    <w:rsid w:val="00187FB1"/>
    <w:rsid w:val="00190308"/>
    <w:rsid w:val="00190C93"/>
    <w:rsid w:val="001919C7"/>
    <w:rsid w:val="00191E89"/>
    <w:rsid w:val="0019272F"/>
    <w:rsid w:val="00192F94"/>
    <w:rsid w:val="0019338D"/>
    <w:rsid w:val="00193418"/>
    <w:rsid w:val="00193431"/>
    <w:rsid w:val="00193ACE"/>
    <w:rsid w:val="001943F8"/>
    <w:rsid w:val="00194921"/>
    <w:rsid w:val="00196BE5"/>
    <w:rsid w:val="001A0113"/>
    <w:rsid w:val="001A0C8A"/>
    <w:rsid w:val="001A146C"/>
    <w:rsid w:val="001A1CC7"/>
    <w:rsid w:val="001A23AC"/>
    <w:rsid w:val="001A31AB"/>
    <w:rsid w:val="001A35AE"/>
    <w:rsid w:val="001A3721"/>
    <w:rsid w:val="001A3776"/>
    <w:rsid w:val="001A5688"/>
    <w:rsid w:val="001A5F82"/>
    <w:rsid w:val="001A6442"/>
    <w:rsid w:val="001A663D"/>
    <w:rsid w:val="001A79F1"/>
    <w:rsid w:val="001A79FB"/>
    <w:rsid w:val="001B0585"/>
    <w:rsid w:val="001B0610"/>
    <w:rsid w:val="001B0953"/>
    <w:rsid w:val="001B2A7D"/>
    <w:rsid w:val="001B3CD9"/>
    <w:rsid w:val="001B3E6D"/>
    <w:rsid w:val="001B4EB1"/>
    <w:rsid w:val="001B63FB"/>
    <w:rsid w:val="001B670A"/>
    <w:rsid w:val="001B6A58"/>
    <w:rsid w:val="001B6DA3"/>
    <w:rsid w:val="001B73EB"/>
    <w:rsid w:val="001B7B73"/>
    <w:rsid w:val="001C0B6E"/>
    <w:rsid w:val="001C186C"/>
    <w:rsid w:val="001C2074"/>
    <w:rsid w:val="001C211B"/>
    <w:rsid w:val="001C2A55"/>
    <w:rsid w:val="001C34C9"/>
    <w:rsid w:val="001C365A"/>
    <w:rsid w:val="001C3B48"/>
    <w:rsid w:val="001C3F0A"/>
    <w:rsid w:val="001C40CE"/>
    <w:rsid w:val="001C44F0"/>
    <w:rsid w:val="001C4ADB"/>
    <w:rsid w:val="001C5771"/>
    <w:rsid w:val="001D03AD"/>
    <w:rsid w:val="001D08AF"/>
    <w:rsid w:val="001D0BA2"/>
    <w:rsid w:val="001D0BA4"/>
    <w:rsid w:val="001D0E5B"/>
    <w:rsid w:val="001D1B79"/>
    <w:rsid w:val="001D1D85"/>
    <w:rsid w:val="001D2284"/>
    <w:rsid w:val="001D26D7"/>
    <w:rsid w:val="001D32AF"/>
    <w:rsid w:val="001D6EDB"/>
    <w:rsid w:val="001E05F7"/>
    <w:rsid w:val="001E1BA7"/>
    <w:rsid w:val="001E28CA"/>
    <w:rsid w:val="001E363D"/>
    <w:rsid w:val="001E3680"/>
    <w:rsid w:val="001E3C20"/>
    <w:rsid w:val="001E3CBB"/>
    <w:rsid w:val="001E4141"/>
    <w:rsid w:val="001E4431"/>
    <w:rsid w:val="001E53CB"/>
    <w:rsid w:val="001E687F"/>
    <w:rsid w:val="001E6F69"/>
    <w:rsid w:val="001E72CD"/>
    <w:rsid w:val="001E7EA9"/>
    <w:rsid w:val="001E7FA8"/>
    <w:rsid w:val="001F0A94"/>
    <w:rsid w:val="001F0E67"/>
    <w:rsid w:val="001F0E7E"/>
    <w:rsid w:val="001F1B0E"/>
    <w:rsid w:val="001F1B2B"/>
    <w:rsid w:val="001F21AA"/>
    <w:rsid w:val="001F4A88"/>
    <w:rsid w:val="001F4D9E"/>
    <w:rsid w:val="001F50FC"/>
    <w:rsid w:val="001F6F69"/>
    <w:rsid w:val="00200C41"/>
    <w:rsid w:val="00201976"/>
    <w:rsid w:val="00202175"/>
    <w:rsid w:val="00203421"/>
    <w:rsid w:val="0020362B"/>
    <w:rsid w:val="00203702"/>
    <w:rsid w:val="002054F1"/>
    <w:rsid w:val="00205552"/>
    <w:rsid w:val="00205F6E"/>
    <w:rsid w:val="002119CF"/>
    <w:rsid w:val="00212D87"/>
    <w:rsid w:val="00213127"/>
    <w:rsid w:val="00215062"/>
    <w:rsid w:val="002162BF"/>
    <w:rsid w:val="0021663A"/>
    <w:rsid w:val="00217462"/>
    <w:rsid w:val="00217647"/>
    <w:rsid w:val="002200CC"/>
    <w:rsid w:val="0022078B"/>
    <w:rsid w:val="0022198C"/>
    <w:rsid w:val="002222C1"/>
    <w:rsid w:val="00222458"/>
    <w:rsid w:val="0022384C"/>
    <w:rsid w:val="00223883"/>
    <w:rsid w:val="00224739"/>
    <w:rsid w:val="00224A17"/>
    <w:rsid w:val="002262A6"/>
    <w:rsid w:val="0022639F"/>
    <w:rsid w:val="00226A65"/>
    <w:rsid w:val="0022754D"/>
    <w:rsid w:val="00227F39"/>
    <w:rsid w:val="00230879"/>
    <w:rsid w:val="00230CF2"/>
    <w:rsid w:val="00231659"/>
    <w:rsid w:val="00231AED"/>
    <w:rsid w:val="00232265"/>
    <w:rsid w:val="002335B0"/>
    <w:rsid w:val="0023416A"/>
    <w:rsid w:val="002348C0"/>
    <w:rsid w:val="00234BE5"/>
    <w:rsid w:val="00235233"/>
    <w:rsid w:val="00235AA4"/>
    <w:rsid w:val="00235FC9"/>
    <w:rsid w:val="00236AB8"/>
    <w:rsid w:val="002371B4"/>
    <w:rsid w:val="00237912"/>
    <w:rsid w:val="00237DFD"/>
    <w:rsid w:val="002408E3"/>
    <w:rsid w:val="002417A9"/>
    <w:rsid w:val="00241C7A"/>
    <w:rsid w:val="002426CA"/>
    <w:rsid w:val="0024359D"/>
    <w:rsid w:val="002437F1"/>
    <w:rsid w:val="0024404E"/>
    <w:rsid w:val="00244392"/>
    <w:rsid w:val="00244A3C"/>
    <w:rsid w:val="002454C0"/>
    <w:rsid w:val="00245723"/>
    <w:rsid w:val="00245B1F"/>
    <w:rsid w:val="0024647F"/>
    <w:rsid w:val="00247597"/>
    <w:rsid w:val="00247604"/>
    <w:rsid w:val="0024782A"/>
    <w:rsid w:val="00250ADD"/>
    <w:rsid w:val="0025118F"/>
    <w:rsid w:val="00251215"/>
    <w:rsid w:val="002513D4"/>
    <w:rsid w:val="0025235F"/>
    <w:rsid w:val="00252A18"/>
    <w:rsid w:val="00253151"/>
    <w:rsid w:val="00253FB6"/>
    <w:rsid w:val="002545FE"/>
    <w:rsid w:val="00254B82"/>
    <w:rsid w:val="00254D7D"/>
    <w:rsid w:val="0025518E"/>
    <w:rsid w:val="00255352"/>
    <w:rsid w:val="00255CDA"/>
    <w:rsid w:val="00255EAF"/>
    <w:rsid w:val="00256FB6"/>
    <w:rsid w:val="00257137"/>
    <w:rsid w:val="00257765"/>
    <w:rsid w:val="00261FA0"/>
    <w:rsid w:val="002647E2"/>
    <w:rsid w:val="00265484"/>
    <w:rsid w:val="002667CE"/>
    <w:rsid w:val="00266C4D"/>
    <w:rsid w:val="00267DB2"/>
    <w:rsid w:val="00271083"/>
    <w:rsid w:val="0027125A"/>
    <w:rsid w:val="0027139E"/>
    <w:rsid w:val="002719E6"/>
    <w:rsid w:val="00272ADD"/>
    <w:rsid w:val="00272C49"/>
    <w:rsid w:val="002733D0"/>
    <w:rsid w:val="00274932"/>
    <w:rsid w:val="00274C4D"/>
    <w:rsid w:val="00275D2E"/>
    <w:rsid w:val="00276915"/>
    <w:rsid w:val="00280838"/>
    <w:rsid w:val="00281269"/>
    <w:rsid w:val="00281AE4"/>
    <w:rsid w:val="00282217"/>
    <w:rsid w:val="00282F1E"/>
    <w:rsid w:val="0028382E"/>
    <w:rsid w:val="0028462D"/>
    <w:rsid w:val="002853BC"/>
    <w:rsid w:val="00285646"/>
    <w:rsid w:val="00285F85"/>
    <w:rsid w:val="00286355"/>
    <w:rsid w:val="00286502"/>
    <w:rsid w:val="002873BE"/>
    <w:rsid w:val="002877F4"/>
    <w:rsid w:val="00290752"/>
    <w:rsid w:val="00290765"/>
    <w:rsid w:val="00290C9A"/>
    <w:rsid w:val="002910E4"/>
    <w:rsid w:val="00292343"/>
    <w:rsid w:val="00293187"/>
    <w:rsid w:val="002937AE"/>
    <w:rsid w:val="002947AB"/>
    <w:rsid w:val="00294E48"/>
    <w:rsid w:val="002957E5"/>
    <w:rsid w:val="002961B8"/>
    <w:rsid w:val="002976DA"/>
    <w:rsid w:val="002A1597"/>
    <w:rsid w:val="002A2669"/>
    <w:rsid w:val="002A48C0"/>
    <w:rsid w:val="002A59DA"/>
    <w:rsid w:val="002A5C97"/>
    <w:rsid w:val="002A5E13"/>
    <w:rsid w:val="002A5F67"/>
    <w:rsid w:val="002A6A90"/>
    <w:rsid w:val="002A6E54"/>
    <w:rsid w:val="002A758A"/>
    <w:rsid w:val="002B03EE"/>
    <w:rsid w:val="002B04B1"/>
    <w:rsid w:val="002B1A3F"/>
    <w:rsid w:val="002B1E4D"/>
    <w:rsid w:val="002B1EA4"/>
    <w:rsid w:val="002B2A7C"/>
    <w:rsid w:val="002B30EA"/>
    <w:rsid w:val="002B383D"/>
    <w:rsid w:val="002B42D7"/>
    <w:rsid w:val="002B54BB"/>
    <w:rsid w:val="002B6103"/>
    <w:rsid w:val="002B7968"/>
    <w:rsid w:val="002B7D9C"/>
    <w:rsid w:val="002C10FD"/>
    <w:rsid w:val="002C1686"/>
    <w:rsid w:val="002C331A"/>
    <w:rsid w:val="002C354E"/>
    <w:rsid w:val="002C3FFE"/>
    <w:rsid w:val="002C44D9"/>
    <w:rsid w:val="002C4CF8"/>
    <w:rsid w:val="002C5618"/>
    <w:rsid w:val="002C67A6"/>
    <w:rsid w:val="002C68BB"/>
    <w:rsid w:val="002C6ADE"/>
    <w:rsid w:val="002C6F1A"/>
    <w:rsid w:val="002D0170"/>
    <w:rsid w:val="002D01C7"/>
    <w:rsid w:val="002D04CE"/>
    <w:rsid w:val="002D1021"/>
    <w:rsid w:val="002D111C"/>
    <w:rsid w:val="002D125B"/>
    <w:rsid w:val="002D1888"/>
    <w:rsid w:val="002D1FD8"/>
    <w:rsid w:val="002D2ECE"/>
    <w:rsid w:val="002D4F5A"/>
    <w:rsid w:val="002D53B2"/>
    <w:rsid w:val="002D5404"/>
    <w:rsid w:val="002D5B74"/>
    <w:rsid w:val="002D5F02"/>
    <w:rsid w:val="002E17B9"/>
    <w:rsid w:val="002E32EF"/>
    <w:rsid w:val="002E4462"/>
    <w:rsid w:val="002E446F"/>
    <w:rsid w:val="002E4A03"/>
    <w:rsid w:val="002E57DE"/>
    <w:rsid w:val="002E71DE"/>
    <w:rsid w:val="002E75AD"/>
    <w:rsid w:val="002E7A49"/>
    <w:rsid w:val="002F00B8"/>
    <w:rsid w:val="002F0D59"/>
    <w:rsid w:val="002F271E"/>
    <w:rsid w:val="002F2848"/>
    <w:rsid w:val="002F320A"/>
    <w:rsid w:val="002F4002"/>
    <w:rsid w:val="002F48B6"/>
    <w:rsid w:val="002F6244"/>
    <w:rsid w:val="002F629D"/>
    <w:rsid w:val="002F6424"/>
    <w:rsid w:val="002F6AA6"/>
    <w:rsid w:val="002F6C55"/>
    <w:rsid w:val="002F7915"/>
    <w:rsid w:val="002F7CC2"/>
    <w:rsid w:val="00301013"/>
    <w:rsid w:val="00301F77"/>
    <w:rsid w:val="003025A3"/>
    <w:rsid w:val="0030262F"/>
    <w:rsid w:val="00303072"/>
    <w:rsid w:val="003030A0"/>
    <w:rsid w:val="00303E44"/>
    <w:rsid w:val="003052F1"/>
    <w:rsid w:val="00305723"/>
    <w:rsid w:val="00305872"/>
    <w:rsid w:val="003061CF"/>
    <w:rsid w:val="0030625F"/>
    <w:rsid w:val="00307CC3"/>
    <w:rsid w:val="003107FD"/>
    <w:rsid w:val="00311F59"/>
    <w:rsid w:val="003132C1"/>
    <w:rsid w:val="00313E54"/>
    <w:rsid w:val="00314860"/>
    <w:rsid w:val="00315A4A"/>
    <w:rsid w:val="00315AA6"/>
    <w:rsid w:val="00315D6B"/>
    <w:rsid w:val="00316007"/>
    <w:rsid w:val="00316251"/>
    <w:rsid w:val="0031656A"/>
    <w:rsid w:val="0031700C"/>
    <w:rsid w:val="00317526"/>
    <w:rsid w:val="003177C2"/>
    <w:rsid w:val="003179E3"/>
    <w:rsid w:val="00320A5F"/>
    <w:rsid w:val="0032192E"/>
    <w:rsid w:val="00321A65"/>
    <w:rsid w:val="0032217F"/>
    <w:rsid w:val="00322D02"/>
    <w:rsid w:val="003235CE"/>
    <w:rsid w:val="003248BA"/>
    <w:rsid w:val="00324D3C"/>
    <w:rsid w:val="00325646"/>
    <w:rsid w:val="00325DE6"/>
    <w:rsid w:val="003260F5"/>
    <w:rsid w:val="00331348"/>
    <w:rsid w:val="003319DC"/>
    <w:rsid w:val="00332804"/>
    <w:rsid w:val="00332BE6"/>
    <w:rsid w:val="00333F77"/>
    <w:rsid w:val="0033402A"/>
    <w:rsid w:val="00334B2B"/>
    <w:rsid w:val="00335541"/>
    <w:rsid w:val="00335D5A"/>
    <w:rsid w:val="00337C08"/>
    <w:rsid w:val="003401E2"/>
    <w:rsid w:val="0034162D"/>
    <w:rsid w:val="00342504"/>
    <w:rsid w:val="00343098"/>
    <w:rsid w:val="0034374F"/>
    <w:rsid w:val="00345295"/>
    <w:rsid w:val="00346380"/>
    <w:rsid w:val="003463A0"/>
    <w:rsid w:val="00347273"/>
    <w:rsid w:val="003472B8"/>
    <w:rsid w:val="00347E7F"/>
    <w:rsid w:val="0035128F"/>
    <w:rsid w:val="0035184F"/>
    <w:rsid w:val="00351FCD"/>
    <w:rsid w:val="003520C3"/>
    <w:rsid w:val="003525C6"/>
    <w:rsid w:val="003531B1"/>
    <w:rsid w:val="0035414E"/>
    <w:rsid w:val="00354247"/>
    <w:rsid w:val="00355CEA"/>
    <w:rsid w:val="00356C29"/>
    <w:rsid w:val="0035720F"/>
    <w:rsid w:val="00361579"/>
    <w:rsid w:val="00361C73"/>
    <w:rsid w:val="00361FAD"/>
    <w:rsid w:val="0036299D"/>
    <w:rsid w:val="00363CFD"/>
    <w:rsid w:val="0036460A"/>
    <w:rsid w:val="00365090"/>
    <w:rsid w:val="00365D26"/>
    <w:rsid w:val="0036763B"/>
    <w:rsid w:val="00371902"/>
    <w:rsid w:val="00371AB7"/>
    <w:rsid w:val="0037200C"/>
    <w:rsid w:val="00372A2A"/>
    <w:rsid w:val="00372A2F"/>
    <w:rsid w:val="00372B73"/>
    <w:rsid w:val="00373FB8"/>
    <w:rsid w:val="00375B5D"/>
    <w:rsid w:val="00375CD1"/>
    <w:rsid w:val="003761FB"/>
    <w:rsid w:val="003763E6"/>
    <w:rsid w:val="00376C94"/>
    <w:rsid w:val="00376E5B"/>
    <w:rsid w:val="003770C9"/>
    <w:rsid w:val="0037713C"/>
    <w:rsid w:val="003809AF"/>
    <w:rsid w:val="00383189"/>
    <w:rsid w:val="0038383B"/>
    <w:rsid w:val="00383921"/>
    <w:rsid w:val="00383B36"/>
    <w:rsid w:val="00383F51"/>
    <w:rsid w:val="0038418C"/>
    <w:rsid w:val="003845E3"/>
    <w:rsid w:val="003846FC"/>
    <w:rsid w:val="003847B7"/>
    <w:rsid w:val="003851D4"/>
    <w:rsid w:val="0038628F"/>
    <w:rsid w:val="00387FC3"/>
    <w:rsid w:val="003906FF"/>
    <w:rsid w:val="00391746"/>
    <w:rsid w:val="0039251C"/>
    <w:rsid w:val="00393284"/>
    <w:rsid w:val="003934D0"/>
    <w:rsid w:val="00393556"/>
    <w:rsid w:val="0039371F"/>
    <w:rsid w:val="00394210"/>
    <w:rsid w:val="00394CFB"/>
    <w:rsid w:val="00394F89"/>
    <w:rsid w:val="00394FA2"/>
    <w:rsid w:val="00395541"/>
    <w:rsid w:val="00396399"/>
    <w:rsid w:val="00396EC5"/>
    <w:rsid w:val="0039787A"/>
    <w:rsid w:val="00397B21"/>
    <w:rsid w:val="003A0561"/>
    <w:rsid w:val="003A1081"/>
    <w:rsid w:val="003A15D1"/>
    <w:rsid w:val="003A2587"/>
    <w:rsid w:val="003A3525"/>
    <w:rsid w:val="003A3ADA"/>
    <w:rsid w:val="003A4FED"/>
    <w:rsid w:val="003A6317"/>
    <w:rsid w:val="003A6629"/>
    <w:rsid w:val="003A7772"/>
    <w:rsid w:val="003B09AC"/>
    <w:rsid w:val="003B0C5F"/>
    <w:rsid w:val="003B1ADF"/>
    <w:rsid w:val="003B1F7A"/>
    <w:rsid w:val="003B21DD"/>
    <w:rsid w:val="003B2C63"/>
    <w:rsid w:val="003B307F"/>
    <w:rsid w:val="003B3818"/>
    <w:rsid w:val="003B3D41"/>
    <w:rsid w:val="003B683C"/>
    <w:rsid w:val="003B6921"/>
    <w:rsid w:val="003B7384"/>
    <w:rsid w:val="003B76B0"/>
    <w:rsid w:val="003C046F"/>
    <w:rsid w:val="003C37E8"/>
    <w:rsid w:val="003C3852"/>
    <w:rsid w:val="003C3B3F"/>
    <w:rsid w:val="003C3B4C"/>
    <w:rsid w:val="003C40C5"/>
    <w:rsid w:val="003C4495"/>
    <w:rsid w:val="003C465B"/>
    <w:rsid w:val="003C4F99"/>
    <w:rsid w:val="003C5537"/>
    <w:rsid w:val="003C5F3D"/>
    <w:rsid w:val="003C74C6"/>
    <w:rsid w:val="003C7629"/>
    <w:rsid w:val="003C7CE7"/>
    <w:rsid w:val="003D0677"/>
    <w:rsid w:val="003D13E2"/>
    <w:rsid w:val="003D15F6"/>
    <w:rsid w:val="003D1810"/>
    <w:rsid w:val="003D3202"/>
    <w:rsid w:val="003D3D5C"/>
    <w:rsid w:val="003D41A9"/>
    <w:rsid w:val="003D4977"/>
    <w:rsid w:val="003D4E56"/>
    <w:rsid w:val="003D4ED7"/>
    <w:rsid w:val="003D5BF9"/>
    <w:rsid w:val="003D796D"/>
    <w:rsid w:val="003E0B10"/>
    <w:rsid w:val="003E1B10"/>
    <w:rsid w:val="003E2983"/>
    <w:rsid w:val="003E3AF4"/>
    <w:rsid w:val="003E40BF"/>
    <w:rsid w:val="003E4D2C"/>
    <w:rsid w:val="003E50AC"/>
    <w:rsid w:val="003E567D"/>
    <w:rsid w:val="003E6111"/>
    <w:rsid w:val="003E62A6"/>
    <w:rsid w:val="003E67EB"/>
    <w:rsid w:val="003E705B"/>
    <w:rsid w:val="003E763A"/>
    <w:rsid w:val="003E7DA1"/>
    <w:rsid w:val="003F104B"/>
    <w:rsid w:val="003F191C"/>
    <w:rsid w:val="003F1EDE"/>
    <w:rsid w:val="003F2522"/>
    <w:rsid w:val="003F2CA3"/>
    <w:rsid w:val="003F2E1A"/>
    <w:rsid w:val="003F354D"/>
    <w:rsid w:val="003F3AED"/>
    <w:rsid w:val="003F3CDF"/>
    <w:rsid w:val="003F4798"/>
    <w:rsid w:val="003F4D65"/>
    <w:rsid w:val="003F5113"/>
    <w:rsid w:val="003F5DF5"/>
    <w:rsid w:val="003F6554"/>
    <w:rsid w:val="003F70D9"/>
    <w:rsid w:val="003F7350"/>
    <w:rsid w:val="004010DC"/>
    <w:rsid w:val="00401231"/>
    <w:rsid w:val="00401436"/>
    <w:rsid w:val="00401BBA"/>
    <w:rsid w:val="0040214C"/>
    <w:rsid w:val="00404218"/>
    <w:rsid w:val="00404D84"/>
    <w:rsid w:val="0040557C"/>
    <w:rsid w:val="00405599"/>
    <w:rsid w:val="00411818"/>
    <w:rsid w:val="00412305"/>
    <w:rsid w:val="00412476"/>
    <w:rsid w:val="00413B65"/>
    <w:rsid w:val="00414B9B"/>
    <w:rsid w:val="00414EE6"/>
    <w:rsid w:val="00415645"/>
    <w:rsid w:val="004158C0"/>
    <w:rsid w:val="00415B3E"/>
    <w:rsid w:val="00416A3C"/>
    <w:rsid w:val="00417B99"/>
    <w:rsid w:val="0042073F"/>
    <w:rsid w:val="004207AB"/>
    <w:rsid w:val="004208BA"/>
    <w:rsid w:val="00420973"/>
    <w:rsid w:val="00420B86"/>
    <w:rsid w:val="00421139"/>
    <w:rsid w:val="00421600"/>
    <w:rsid w:val="004217FB"/>
    <w:rsid w:val="00421A31"/>
    <w:rsid w:val="004226DC"/>
    <w:rsid w:val="00422EB0"/>
    <w:rsid w:val="00423482"/>
    <w:rsid w:val="004238CA"/>
    <w:rsid w:val="00423DAB"/>
    <w:rsid w:val="0042540B"/>
    <w:rsid w:val="0042563A"/>
    <w:rsid w:val="004267FD"/>
    <w:rsid w:val="0042702A"/>
    <w:rsid w:val="004279F3"/>
    <w:rsid w:val="00427BEF"/>
    <w:rsid w:val="00431641"/>
    <w:rsid w:val="004325F2"/>
    <w:rsid w:val="00432922"/>
    <w:rsid w:val="00432B1F"/>
    <w:rsid w:val="00432FBD"/>
    <w:rsid w:val="004336A9"/>
    <w:rsid w:val="00434424"/>
    <w:rsid w:val="00434E76"/>
    <w:rsid w:val="00436435"/>
    <w:rsid w:val="00437C2A"/>
    <w:rsid w:val="00437E19"/>
    <w:rsid w:val="004409CD"/>
    <w:rsid w:val="00440CC1"/>
    <w:rsid w:val="00443385"/>
    <w:rsid w:val="00443C92"/>
    <w:rsid w:val="00443EE6"/>
    <w:rsid w:val="004464C7"/>
    <w:rsid w:val="004473C9"/>
    <w:rsid w:val="004474E6"/>
    <w:rsid w:val="00447AF8"/>
    <w:rsid w:val="00447CBE"/>
    <w:rsid w:val="00450BA6"/>
    <w:rsid w:val="00450FC2"/>
    <w:rsid w:val="00451925"/>
    <w:rsid w:val="00452492"/>
    <w:rsid w:val="00452525"/>
    <w:rsid w:val="004534FC"/>
    <w:rsid w:val="00453B2F"/>
    <w:rsid w:val="00455A0A"/>
    <w:rsid w:val="004567C0"/>
    <w:rsid w:val="004568E4"/>
    <w:rsid w:val="00456CCE"/>
    <w:rsid w:val="00457C86"/>
    <w:rsid w:val="00460227"/>
    <w:rsid w:val="00462D9C"/>
    <w:rsid w:val="00463359"/>
    <w:rsid w:val="00463A82"/>
    <w:rsid w:val="00463C79"/>
    <w:rsid w:val="00464786"/>
    <w:rsid w:val="00465A6E"/>
    <w:rsid w:val="004669D5"/>
    <w:rsid w:val="00466F34"/>
    <w:rsid w:val="004671F2"/>
    <w:rsid w:val="004672C8"/>
    <w:rsid w:val="00467718"/>
    <w:rsid w:val="004703D5"/>
    <w:rsid w:val="00470441"/>
    <w:rsid w:val="00470BE2"/>
    <w:rsid w:val="00470E76"/>
    <w:rsid w:val="00471489"/>
    <w:rsid w:val="004720D2"/>
    <w:rsid w:val="004722C5"/>
    <w:rsid w:val="00472855"/>
    <w:rsid w:val="00473234"/>
    <w:rsid w:val="00473ED8"/>
    <w:rsid w:val="0047404D"/>
    <w:rsid w:val="00474389"/>
    <w:rsid w:val="00474532"/>
    <w:rsid w:val="0047567A"/>
    <w:rsid w:val="004759B8"/>
    <w:rsid w:val="0047662B"/>
    <w:rsid w:val="0047678C"/>
    <w:rsid w:val="00476E8A"/>
    <w:rsid w:val="00481592"/>
    <w:rsid w:val="00481F23"/>
    <w:rsid w:val="004824F3"/>
    <w:rsid w:val="00483A1C"/>
    <w:rsid w:val="00483C22"/>
    <w:rsid w:val="00484AE8"/>
    <w:rsid w:val="0048515D"/>
    <w:rsid w:val="00485227"/>
    <w:rsid w:val="004855ED"/>
    <w:rsid w:val="00485FB0"/>
    <w:rsid w:val="00486775"/>
    <w:rsid w:val="00487279"/>
    <w:rsid w:val="00487595"/>
    <w:rsid w:val="004876A2"/>
    <w:rsid w:val="0049032D"/>
    <w:rsid w:val="00490D9E"/>
    <w:rsid w:val="00491044"/>
    <w:rsid w:val="004914CD"/>
    <w:rsid w:val="0049156C"/>
    <w:rsid w:val="00491CD7"/>
    <w:rsid w:val="00491FA1"/>
    <w:rsid w:val="004930BE"/>
    <w:rsid w:val="00494888"/>
    <w:rsid w:val="00494E3F"/>
    <w:rsid w:val="00496513"/>
    <w:rsid w:val="004979C8"/>
    <w:rsid w:val="00497DEF"/>
    <w:rsid w:val="004A075B"/>
    <w:rsid w:val="004A0772"/>
    <w:rsid w:val="004A2225"/>
    <w:rsid w:val="004A2AB5"/>
    <w:rsid w:val="004A320B"/>
    <w:rsid w:val="004A33F7"/>
    <w:rsid w:val="004A35AC"/>
    <w:rsid w:val="004A3626"/>
    <w:rsid w:val="004A4F33"/>
    <w:rsid w:val="004A572C"/>
    <w:rsid w:val="004A5796"/>
    <w:rsid w:val="004A5D6E"/>
    <w:rsid w:val="004A693E"/>
    <w:rsid w:val="004A6E2E"/>
    <w:rsid w:val="004B0AE6"/>
    <w:rsid w:val="004B0FDE"/>
    <w:rsid w:val="004B1074"/>
    <w:rsid w:val="004B1B1F"/>
    <w:rsid w:val="004B3A63"/>
    <w:rsid w:val="004B3C20"/>
    <w:rsid w:val="004B40BA"/>
    <w:rsid w:val="004B4569"/>
    <w:rsid w:val="004B5049"/>
    <w:rsid w:val="004B5525"/>
    <w:rsid w:val="004B6CDA"/>
    <w:rsid w:val="004C137B"/>
    <w:rsid w:val="004C19EB"/>
    <w:rsid w:val="004C1D4D"/>
    <w:rsid w:val="004C26EB"/>
    <w:rsid w:val="004C3360"/>
    <w:rsid w:val="004C4350"/>
    <w:rsid w:val="004C4F6C"/>
    <w:rsid w:val="004C56FC"/>
    <w:rsid w:val="004C661D"/>
    <w:rsid w:val="004C678D"/>
    <w:rsid w:val="004C6E67"/>
    <w:rsid w:val="004D05CB"/>
    <w:rsid w:val="004D159C"/>
    <w:rsid w:val="004D1F2D"/>
    <w:rsid w:val="004D2DDF"/>
    <w:rsid w:val="004D3982"/>
    <w:rsid w:val="004D3ED6"/>
    <w:rsid w:val="004D5968"/>
    <w:rsid w:val="004D6D71"/>
    <w:rsid w:val="004E1401"/>
    <w:rsid w:val="004E15C8"/>
    <w:rsid w:val="004E19C5"/>
    <w:rsid w:val="004E23D2"/>
    <w:rsid w:val="004E531B"/>
    <w:rsid w:val="004E53B2"/>
    <w:rsid w:val="004E54AE"/>
    <w:rsid w:val="004E6054"/>
    <w:rsid w:val="004E619A"/>
    <w:rsid w:val="004E628E"/>
    <w:rsid w:val="004E6786"/>
    <w:rsid w:val="004E6FCC"/>
    <w:rsid w:val="004E7801"/>
    <w:rsid w:val="004E7C52"/>
    <w:rsid w:val="004F098E"/>
    <w:rsid w:val="004F0A8F"/>
    <w:rsid w:val="004F29D5"/>
    <w:rsid w:val="004F3CF6"/>
    <w:rsid w:val="004F3E27"/>
    <w:rsid w:val="004F5345"/>
    <w:rsid w:val="004F5AFF"/>
    <w:rsid w:val="004F5C48"/>
    <w:rsid w:val="004F5F54"/>
    <w:rsid w:val="004F782D"/>
    <w:rsid w:val="0050023E"/>
    <w:rsid w:val="005002D7"/>
    <w:rsid w:val="00500B76"/>
    <w:rsid w:val="00500D57"/>
    <w:rsid w:val="00501186"/>
    <w:rsid w:val="005011E7"/>
    <w:rsid w:val="00501AC1"/>
    <w:rsid w:val="00504BCB"/>
    <w:rsid w:val="00504C06"/>
    <w:rsid w:val="00504FC7"/>
    <w:rsid w:val="0050562E"/>
    <w:rsid w:val="00506083"/>
    <w:rsid w:val="00507630"/>
    <w:rsid w:val="00507C64"/>
    <w:rsid w:val="00507F50"/>
    <w:rsid w:val="005115C2"/>
    <w:rsid w:val="005115C6"/>
    <w:rsid w:val="005128EA"/>
    <w:rsid w:val="00512C7B"/>
    <w:rsid w:val="005132F9"/>
    <w:rsid w:val="00513716"/>
    <w:rsid w:val="00513B4C"/>
    <w:rsid w:val="00513E77"/>
    <w:rsid w:val="0051495F"/>
    <w:rsid w:val="00514E4E"/>
    <w:rsid w:val="00515230"/>
    <w:rsid w:val="00515256"/>
    <w:rsid w:val="00515E41"/>
    <w:rsid w:val="00517A06"/>
    <w:rsid w:val="00517C85"/>
    <w:rsid w:val="0052059D"/>
    <w:rsid w:val="00520CC0"/>
    <w:rsid w:val="00520CF0"/>
    <w:rsid w:val="00520D4A"/>
    <w:rsid w:val="00520D8D"/>
    <w:rsid w:val="005211F4"/>
    <w:rsid w:val="00522D75"/>
    <w:rsid w:val="00522EFD"/>
    <w:rsid w:val="00523AFD"/>
    <w:rsid w:val="00523B05"/>
    <w:rsid w:val="00523FCF"/>
    <w:rsid w:val="00524AD5"/>
    <w:rsid w:val="00525AB8"/>
    <w:rsid w:val="00525BB6"/>
    <w:rsid w:val="0052641B"/>
    <w:rsid w:val="005266EE"/>
    <w:rsid w:val="005279AC"/>
    <w:rsid w:val="0053004B"/>
    <w:rsid w:val="00531B8A"/>
    <w:rsid w:val="005324DF"/>
    <w:rsid w:val="00533949"/>
    <w:rsid w:val="00534FB0"/>
    <w:rsid w:val="00535E39"/>
    <w:rsid w:val="005362E7"/>
    <w:rsid w:val="0054035E"/>
    <w:rsid w:val="0054076B"/>
    <w:rsid w:val="00541455"/>
    <w:rsid w:val="0054206F"/>
    <w:rsid w:val="005425DA"/>
    <w:rsid w:val="00542845"/>
    <w:rsid w:val="005428E2"/>
    <w:rsid w:val="00542B36"/>
    <w:rsid w:val="005436FE"/>
    <w:rsid w:val="00543E23"/>
    <w:rsid w:val="00543F39"/>
    <w:rsid w:val="0054534E"/>
    <w:rsid w:val="005459CA"/>
    <w:rsid w:val="00545DE6"/>
    <w:rsid w:val="00546190"/>
    <w:rsid w:val="00547411"/>
    <w:rsid w:val="005476A2"/>
    <w:rsid w:val="005503DA"/>
    <w:rsid w:val="0055257E"/>
    <w:rsid w:val="00552953"/>
    <w:rsid w:val="00552B68"/>
    <w:rsid w:val="00553F2C"/>
    <w:rsid w:val="005545E5"/>
    <w:rsid w:val="005556C7"/>
    <w:rsid w:val="00556991"/>
    <w:rsid w:val="005603E4"/>
    <w:rsid w:val="005603F7"/>
    <w:rsid w:val="005605FA"/>
    <w:rsid w:val="00560715"/>
    <w:rsid w:val="00561111"/>
    <w:rsid w:val="005615A6"/>
    <w:rsid w:val="0056209D"/>
    <w:rsid w:val="00562BBB"/>
    <w:rsid w:val="00563317"/>
    <w:rsid w:val="00563F4B"/>
    <w:rsid w:val="0056470B"/>
    <w:rsid w:val="00564F49"/>
    <w:rsid w:val="00565727"/>
    <w:rsid w:val="00565CBB"/>
    <w:rsid w:val="005662BF"/>
    <w:rsid w:val="00566A1D"/>
    <w:rsid w:val="0056708E"/>
    <w:rsid w:val="00570359"/>
    <w:rsid w:val="00570E9B"/>
    <w:rsid w:val="005715ED"/>
    <w:rsid w:val="005716BD"/>
    <w:rsid w:val="00572C5F"/>
    <w:rsid w:val="00572FDF"/>
    <w:rsid w:val="00574A25"/>
    <w:rsid w:val="0057578C"/>
    <w:rsid w:val="005767D4"/>
    <w:rsid w:val="00576E17"/>
    <w:rsid w:val="005806C8"/>
    <w:rsid w:val="0058083E"/>
    <w:rsid w:val="00580F71"/>
    <w:rsid w:val="00581D1B"/>
    <w:rsid w:val="0058201F"/>
    <w:rsid w:val="00582860"/>
    <w:rsid w:val="00583DBA"/>
    <w:rsid w:val="00584ECB"/>
    <w:rsid w:val="00587AB1"/>
    <w:rsid w:val="00587FFD"/>
    <w:rsid w:val="0059045E"/>
    <w:rsid w:val="0059069A"/>
    <w:rsid w:val="00590AB8"/>
    <w:rsid w:val="005917FD"/>
    <w:rsid w:val="00591BEF"/>
    <w:rsid w:val="00592492"/>
    <w:rsid w:val="00592874"/>
    <w:rsid w:val="00593D97"/>
    <w:rsid w:val="00594034"/>
    <w:rsid w:val="00594C20"/>
    <w:rsid w:val="005951F1"/>
    <w:rsid w:val="005958FA"/>
    <w:rsid w:val="00596053"/>
    <w:rsid w:val="00596596"/>
    <w:rsid w:val="00596B07"/>
    <w:rsid w:val="00596DEA"/>
    <w:rsid w:val="0059751B"/>
    <w:rsid w:val="00597CA3"/>
    <w:rsid w:val="005A1AC4"/>
    <w:rsid w:val="005A2434"/>
    <w:rsid w:val="005A277E"/>
    <w:rsid w:val="005A5298"/>
    <w:rsid w:val="005A59F7"/>
    <w:rsid w:val="005A64C7"/>
    <w:rsid w:val="005A700A"/>
    <w:rsid w:val="005B100E"/>
    <w:rsid w:val="005B1243"/>
    <w:rsid w:val="005B1508"/>
    <w:rsid w:val="005B174D"/>
    <w:rsid w:val="005B24EC"/>
    <w:rsid w:val="005B2742"/>
    <w:rsid w:val="005B2D63"/>
    <w:rsid w:val="005B41E5"/>
    <w:rsid w:val="005B63F8"/>
    <w:rsid w:val="005B75B9"/>
    <w:rsid w:val="005B7B90"/>
    <w:rsid w:val="005B7BFF"/>
    <w:rsid w:val="005C028D"/>
    <w:rsid w:val="005C02CD"/>
    <w:rsid w:val="005C0C96"/>
    <w:rsid w:val="005C0DC8"/>
    <w:rsid w:val="005C0E2E"/>
    <w:rsid w:val="005C247B"/>
    <w:rsid w:val="005C2491"/>
    <w:rsid w:val="005C2DC6"/>
    <w:rsid w:val="005C2F81"/>
    <w:rsid w:val="005C4352"/>
    <w:rsid w:val="005C44A2"/>
    <w:rsid w:val="005C4ADB"/>
    <w:rsid w:val="005C4AE9"/>
    <w:rsid w:val="005C53DB"/>
    <w:rsid w:val="005C54CD"/>
    <w:rsid w:val="005C5D18"/>
    <w:rsid w:val="005C6411"/>
    <w:rsid w:val="005C6BF5"/>
    <w:rsid w:val="005C705B"/>
    <w:rsid w:val="005D13A6"/>
    <w:rsid w:val="005D19E1"/>
    <w:rsid w:val="005D31D4"/>
    <w:rsid w:val="005D337C"/>
    <w:rsid w:val="005D339A"/>
    <w:rsid w:val="005D37C0"/>
    <w:rsid w:val="005D42A3"/>
    <w:rsid w:val="005D4EE9"/>
    <w:rsid w:val="005D62D9"/>
    <w:rsid w:val="005D66F4"/>
    <w:rsid w:val="005D67FD"/>
    <w:rsid w:val="005D73D8"/>
    <w:rsid w:val="005D78C1"/>
    <w:rsid w:val="005E0AC5"/>
    <w:rsid w:val="005E20AB"/>
    <w:rsid w:val="005E22B1"/>
    <w:rsid w:val="005E3294"/>
    <w:rsid w:val="005E36A2"/>
    <w:rsid w:val="005E41AB"/>
    <w:rsid w:val="005E4C20"/>
    <w:rsid w:val="005E4CD9"/>
    <w:rsid w:val="005E532E"/>
    <w:rsid w:val="005E54CB"/>
    <w:rsid w:val="005E6326"/>
    <w:rsid w:val="005E66C1"/>
    <w:rsid w:val="005E686E"/>
    <w:rsid w:val="005E7829"/>
    <w:rsid w:val="005F095B"/>
    <w:rsid w:val="005F13F3"/>
    <w:rsid w:val="005F3921"/>
    <w:rsid w:val="005F4BC4"/>
    <w:rsid w:val="005F4FD1"/>
    <w:rsid w:val="005F5E5B"/>
    <w:rsid w:val="005F7A81"/>
    <w:rsid w:val="005F7F11"/>
    <w:rsid w:val="006000A4"/>
    <w:rsid w:val="0060010B"/>
    <w:rsid w:val="006005F2"/>
    <w:rsid w:val="006008AA"/>
    <w:rsid w:val="00603DCD"/>
    <w:rsid w:val="006041DF"/>
    <w:rsid w:val="00605359"/>
    <w:rsid w:val="00606102"/>
    <w:rsid w:val="00606437"/>
    <w:rsid w:val="0060699F"/>
    <w:rsid w:val="00606A09"/>
    <w:rsid w:val="0060723F"/>
    <w:rsid w:val="00607C94"/>
    <w:rsid w:val="0061083C"/>
    <w:rsid w:val="00611128"/>
    <w:rsid w:val="00611EE2"/>
    <w:rsid w:val="006128C2"/>
    <w:rsid w:val="00612A9D"/>
    <w:rsid w:val="00612E89"/>
    <w:rsid w:val="00614CBE"/>
    <w:rsid w:val="00614FE8"/>
    <w:rsid w:val="006155F2"/>
    <w:rsid w:val="00616339"/>
    <w:rsid w:val="00616EA5"/>
    <w:rsid w:val="00620B59"/>
    <w:rsid w:val="00621067"/>
    <w:rsid w:val="006222AA"/>
    <w:rsid w:val="0062271D"/>
    <w:rsid w:val="006237D8"/>
    <w:rsid w:val="006237F6"/>
    <w:rsid w:val="0062381A"/>
    <w:rsid w:val="006239EE"/>
    <w:rsid w:val="0062621B"/>
    <w:rsid w:val="0062737A"/>
    <w:rsid w:val="006276A3"/>
    <w:rsid w:val="006279AF"/>
    <w:rsid w:val="00630215"/>
    <w:rsid w:val="00631D77"/>
    <w:rsid w:val="0063267A"/>
    <w:rsid w:val="0063371D"/>
    <w:rsid w:val="00633A7D"/>
    <w:rsid w:val="00633B3D"/>
    <w:rsid w:val="0063475C"/>
    <w:rsid w:val="00634A86"/>
    <w:rsid w:val="00634D69"/>
    <w:rsid w:val="00634D7C"/>
    <w:rsid w:val="00635D31"/>
    <w:rsid w:val="006363A9"/>
    <w:rsid w:val="00636703"/>
    <w:rsid w:val="00636F26"/>
    <w:rsid w:val="006375A6"/>
    <w:rsid w:val="00637716"/>
    <w:rsid w:val="006402F5"/>
    <w:rsid w:val="006412CD"/>
    <w:rsid w:val="006418C7"/>
    <w:rsid w:val="00642680"/>
    <w:rsid w:val="00642ABF"/>
    <w:rsid w:val="00645A53"/>
    <w:rsid w:val="00645C2C"/>
    <w:rsid w:val="00645DCF"/>
    <w:rsid w:val="0064683C"/>
    <w:rsid w:val="00646C33"/>
    <w:rsid w:val="006473B6"/>
    <w:rsid w:val="006501AB"/>
    <w:rsid w:val="006503DC"/>
    <w:rsid w:val="00650D61"/>
    <w:rsid w:val="0065101E"/>
    <w:rsid w:val="006510F2"/>
    <w:rsid w:val="006510F9"/>
    <w:rsid w:val="0065244E"/>
    <w:rsid w:val="006526E2"/>
    <w:rsid w:val="00653A73"/>
    <w:rsid w:val="00656109"/>
    <w:rsid w:val="00656573"/>
    <w:rsid w:val="006578D8"/>
    <w:rsid w:val="00660765"/>
    <w:rsid w:val="0066152E"/>
    <w:rsid w:val="0066168C"/>
    <w:rsid w:val="00661E0B"/>
    <w:rsid w:val="0066215B"/>
    <w:rsid w:val="006629C8"/>
    <w:rsid w:val="00662F41"/>
    <w:rsid w:val="00662FC2"/>
    <w:rsid w:val="00664E35"/>
    <w:rsid w:val="0066569E"/>
    <w:rsid w:val="00665C0D"/>
    <w:rsid w:val="00666B58"/>
    <w:rsid w:val="00667C36"/>
    <w:rsid w:val="00667E91"/>
    <w:rsid w:val="00670F0A"/>
    <w:rsid w:val="00671C20"/>
    <w:rsid w:val="006738CC"/>
    <w:rsid w:val="00673ECD"/>
    <w:rsid w:val="00674357"/>
    <w:rsid w:val="00674709"/>
    <w:rsid w:val="00674947"/>
    <w:rsid w:val="00675E78"/>
    <w:rsid w:val="0067604C"/>
    <w:rsid w:val="00676106"/>
    <w:rsid w:val="006769A0"/>
    <w:rsid w:val="00680ECB"/>
    <w:rsid w:val="00682F16"/>
    <w:rsid w:val="006832DA"/>
    <w:rsid w:val="006839F1"/>
    <w:rsid w:val="00683B1E"/>
    <w:rsid w:val="006848A7"/>
    <w:rsid w:val="00684975"/>
    <w:rsid w:val="00687204"/>
    <w:rsid w:val="00687889"/>
    <w:rsid w:val="00690725"/>
    <w:rsid w:val="0069091D"/>
    <w:rsid w:val="0069200B"/>
    <w:rsid w:val="006922CC"/>
    <w:rsid w:val="00692BA1"/>
    <w:rsid w:val="00692E11"/>
    <w:rsid w:val="00693E77"/>
    <w:rsid w:val="006940ED"/>
    <w:rsid w:val="006952F8"/>
    <w:rsid w:val="006957C2"/>
    <w:rsid w:val="00695854"/>
    <w:rsid w:val="00697062"/>
    <w:rsid w:val="00697AA0"/>
    <w:rsid w:val="00697C76"/>
    <w:rsid w:val="006A0798"/>
    <w:rsid w:val="006A0B07"/>
    <w:rsid w:val="006A29D0"/>
    <w:rsid w:val="006A32E9"/>
    <w:rsid w:val="006A36F6"/>
    <w:rsid w:val="006A3840"/>
    <w:rsid w:val="006A3EBD"/>
    <w:rsid w:val="006A4694"/>
    <w:rsid w:val="006A4A30"/>
    <w:rsid w:val="006A4A3F"/>
    <w:rsid w:val="006A6212"/>
    <w:rsid w:val="006A7928"/>
    <w:rsid w:val="006A7AF8"/>
    <w:rsid w:val="006A7FAB"/>
    <w:rsid w:val="006B008C"/>
    <w:rsid w:val="006B0179"/>
    <w:rsid w:val="006B179B"/>
    <w:rsid w:val="006B1E4D"/>
    <w:rsid w:val="006B251E"/>
    <w:rsid w:val="006B359F"/>
    <w:rsid w:val="006B42C8"/>
    <w:rsid w:val="006B4AD3"/>
    <w:rsid w:val="006B50A8"/>
    <w:rsid w:val="006B71D5"/>
    <w:rsid w:val="006C0803"/>
    <w:rsid w:val="006C1A9B"/>
    <w:rsid w:val="006C2125"/>
    <w:rsid w:val="006C2769"/>
    <w:rsid w:val="006C285E"/>
    <w:rsid w:val="006C2A2E"/>
    <w:rsid w:val="006C4598"/>
    <w:rsid w:val="006C4B72"/>
    <w:rsid w:val="006C55AB"/>
    <w:rsid w:val="006C7E08"/>
    <w:rsid w:val="006D13DA"/>
    <w:rsid w:val="006D150E"/>
    <w:rsid w:val="006D1678"/>
    <w:rsid w:val="006D21E6"/>
    <w:rsid w:val="006D2BCD"/>
    <w:rsid w:val="006D4CFE"/>
    <w:rsid w:val="006D690E"/>
    <w:rsid w:val="006D6B72"/>
    <w:rsid w:val="006D728C"/>
    <w:rsid w:val="006E0984"/>
    <w:rsid w:val="006E1184"/>
    <w:rsid w:val="006E126F"/>
    <w:rsid w:val="006E1A70"/>
    <w:rsid w:val="006E28BB"/>
    <w:rsid w:val="006E3AA8"/>
    <w:rsid w:val="006E4359"/>
    <w:rsid w:val="006E54A7"/>
    <w:rsid w:val="006E5CC2"/>
    <w:rsid w:val="006E66D7"/>
    <w:rsid w:val="006E746E"/>
    <w:rsid w:val="006F0C78"/>
    <w:rsid w:val="006F0E09"/>
    <w:rsid w:val="006F2282"/>
    <w:rsid w:val="006F2A10"/>
    <w:rsid w:val="006F3518"/>
    <w:rsid w:val="006F408A"/>
    <w:rsid w:val="006F490C"/>
    <w:rsid w:val="006F5A6F"/>
    <w:rsid w:val="006F711B"/>
    <w:rsid w:val="006F76D0"/>
    <w:rsid w:val="006F79B2"/>
    <w:rsid w:val="00700909"/>
    <w:rsid w:val="007009B2"/>
    <w:rsid w:val="00701BED"/>
    <w:rsid w:val="00702F34"/>
    <w:rsid w:val="00702FAA"/>
    <w:rsid w:val="007038E9"/>
    <w:rsid w:val="00704106"/>
    <w:rsid w:val="007042AE"/>
    <w:rsid w:val="007044A5"/>
    <w:rsid w:val="007050DA"/>
    <w:rsid w:val="007050E7"/>
    <w:rsid w:val="00705869"/>
    <w:rsid w:val="00706F47"/>
    <w:rsid w:val="00707862"/>
    <w:rsid w:val="00707A75"/>
    <w:rsid w:val="0071096B"/>
    <w:rsid w:val="00710D2B"/>
    <w:rsid w:val="0071104E"/>
    <w:rsid w:val="00711CC4"/>
    <w:rsid w:val="007126B7"/>
    <w:rsid w:val="00712AD6"/>
    <w:rsid w:val="00712CB1"/>
    <w:rsid w:val="007138ED"/>
    <w:rsid w:val="007139D3"/>
    <w:rsid w:val="00714E2B"/>
    <w:rsid w:val="007152D7"/>
    <w:rsid w:val="00715D7D"/>
    <w:rsid w:val="00716688"/>
    <w:rsid w:val="0071692C"/>
    <w:rsid w:val="007169BD"/>
    <w:rsid w:val="00720C6D"/>
    <w:rsid w:val="00721344"/>
    <w:rsid w:val="00722231"/>
    <w:rsid w:val="007232F4"/>
    <w:rsid w:val="007235CB"/>
    <w:rsid w:val="00723D65"/>
    <w:rsid w:val="0072428D"/>
    <w:rsid w:val="00724498"/>
    <w:rsid w:val="007269B0"/>
    <w:rsid w:val="007278F3"/>
    <w:rsid w:val="007279F0"/>
    <w:rsid w:val="00730328"/>
    <w:rsid w:val="007317CB"/>
    <w:rsid w:val="007325D6"/>
    <w:rsid w:val="007327F4"/>
    <w:rsid w:val="00732C9E"/>
    <w:rsid w:val="007331C2"/>
    <w:rsid w:val="007362F0"/>
    <w:rsid w:val="00736C3F"/>
    <w:rsid w:val="007371DA"/>
    <w:rsid w:val="00737C92"/>
    <w:rsid w:val="007410A0"/>
    <w:rsid w:val="00741D97"/>
    <w:rsid w:val="00741F2F"/>
    <w:rsid w:val="00742A00"/>
    <w:rsid w:val="00742BDE"/>
    <w:rsid w:val="00743610"/>
    <w:rsid w:val="00744503"/>
    <w:rsid w:val="007446AA"/>
    <w:rsid w:val="00744832"/>
    <w:rsid w:val="00744D54"/>
    <w:rsid w:val="00745A2D"/>
    <w:rsid w:val="007500BB"/>
    <w:rsid w:val="007501DB"/>
    <w:rsid w:val="007504D6"/>
    <w:rsid w:val="007504FE"/>
    <w:rsid w:val="00750E8C"/>
    <w:rsid w:val="00751BC2"/>
    <w:rsid w:val="00751D25"/>
    <w:rsid w:val="00753B31"/>
    <w:rsid w:val="00753BF1"/>
    <w:rsid w:val="007560E4"/>
    <w:rsid w:val="007568E4"/>
    <w:rsid w:val="00760182"/>
    <w:rsid w:val="0076018E"/>
    <w:rsid w:val="00761231"/>
    <w:rsid w:val="0076162D"/>
    <w:rsid w:val="0076172D"/>
    <w:rsid w:val="00761EE8"/>
    <w:rsid w:val="00762585"/>
    <w:rsid w:val="00762C2D"/>
    <w:rsid w:val="00762C47"/>
    <w:rsid w:val="00762E28"/>
    <w:rsid w:val="00764002"/>
    <w:rsid w:val="00765FAF"/>
    <w:rsid w:val="007661B5"/>
    <w:rsid w:val="007664A1"/>
    <w:rsid w:val="00766F30"/>
    <w:rsid w:val="00767AC2"/>
    <w:rsid w:val="00767ECE"/>
    <w:rsid w:val="007728CB"/>
    <w:rsid w:val="00772BAF"/>
    <w:rsid w:val="007730D7"/>
    <w:rsid w:val="0077346F"/>
    <w:rsid w:val="007747D4"/>
    <w:rsid w:val="00774D01"/>
    <w:rsid w:val="00775119"/>
    <w:rsid w:val="007759AB"/>
    <w:rsid w:val="00775A09"/>
    <w:rsid w:val="00775ED4"/>
    <w:rsid w:val="0077694B"/>
    <w:rsid w:val="00780608"/>
    <w:rsid w:val="00780ACE"/>
    <w:rsid w:val="00780FD1"/>
    <w:rsid w:val="00781559"/>
    <w:rsid w:val="00781EA1"/>
    <w:rsid w:val="007820FF"/>
    <w:rsid w:val="00783277"/>
    <w:rsid w:val="0078329E"/>
    <w:rsid w:val="00783F36"/>
    <w:rsid w:val="00784396"/>
    <w:rsid w:val="007843C6"/>
    <w:rsid w:val="00784875"/>
    <w:rsid w:val="007853C8"/>
    <w:rsid w:val="00786B92"/>
    <w:rsid w:val="00787363"/>
    <w:rsid w:val="00787F70"/>
    <w:rsid w:val="00787F91"/>
    <w:rsid w:val="00791AFB"/>
    <w:rsid w:val="0079243B"/>
    <w:rsid w:val="007950E7"/>
    <w:rsid w:val="007973D3"/>
    <w:rsid w:val="007977A3"/>
    <w:rsid w:val="007A0AE2"/>
    <w:rsid w:val="007A163E"/>
    <w:rsid w:val="007A27F8"/>
    <w:rsid w:val="007A282F"/>
    <w:rsid w:val="007A2B1F"/>
    <w:rsid w:val="007A4436"/>
    <w:rsid w:val="007A5215"/>
    <w:rsid w:val="007A5559"/>
    <w:rsid w:val="007A55F5"/>
    <w:rsid w:val="007B0D07"/>
    <w:rsid w:val="007B1985"/>
    <w:rsid w:val="007B1FA0"/>
    <w:rsid w:val="007B3CC6"/>
    <w:rsid w:val="007B3D07"/>
    <w:rsid w:val="007B4096"/>
    <w:rsid w:val="007B520B"/>
    <w:rsid w:val="007B5254"/>
    <w:rsid w:val="007B568F"/>
    <w:rsid w:val="007B5C08"/>
    <w:rsid w:val="007B6282"/>
    <w:rsid w:val="007B639E"/>
    <w:rsid w:val="007B652F"/>
    <w:rsid w:val="007B690C"/>
    <w:rsid w:val="007B6FBD"/>
    <w:rsid w:val="007C0103"/>
    <w:rsid w:val="007C187A"/>
    <w:rsid w:val="007C211A"/>
    <w:rsid w:val="007C2171"/>
    <w:rsid w:val="007C255E"/>
    <w:rsid w:val="007C294F"/>
    <w:rsid w:val="007C2E0D"/>
    <w:rsid w:val="007C3835"/>
    <w:rsid w:val="007C491B"/>
    <w:rsid w:val="007C51CA"/>
    <w:rsid w:val="007C529E"/>
    <w:rsid w:val="007C5EBF"/>
    <w:rsid w:val="007C62BE"/>
    <w:rsid w:val="007C6A4F"/>
    <w:rsid w:val="007C6C28"/>
    <w:rsid w:val="007C766E"/>
    <w:rsid w:val="007C7C6A"/>
    <w:rsid w:val="007D0B98"/>
    <w:rsid w:val="007D13C5"/>
    <w:rsid w:val="007D15E1"/>
    <w:rsid w:val="007D1824"/>
    <w:rsid w:val="007D18B7"/>
    <w:rsid w:val="007D1AA9"/>
    <w:rsid w:val="007D216E"/>
    <w:rsid w:val="007D21E8"/>
    <w:rsid w:val="007D322B"/>
    <w:rsid w:val="007D3457"/>
    <w:rsid w:val="007D3FFD"/>
    <w:rsid w:val="007D425E"/>
    <w:rsid w:val="007D42D2"/>
    <w:rsid w:val="007D5C5E"/>
    <w:rsid w:val="007D5F8E"/>
    <w:rsid w:val="007D6116"/>
    <w:rsid w:val="007D712C"/>
    <w:rsid w:val="007D75CC"/>
    <w:rsid w:val="007D796B"/>
    <w:rsid w:val="007E1E60"/>
    <w:rsid w:val="007E21BE"/>
    <w:rsid w:val="007E2B0C"/>
    <w:rsid w:val="007E4088"/>
    <w:rsid w:val="007E4C75"/>
    <w:rsid w:val="007E5374"/>
    <w:rsid w:val="007E5772"/>
    <w:rsid w:val="007E5BD7"/>
    <w:rsid w:val="007E791E"/>
    <w:rsid w:val="007F042E"/>
    <w:rsid w:val="007F0850"/>
    <w:rsid w:val="007F138F"/>
    <w:rsid w:val="007F13BC"/>
    <w:rsid w:val="007F19DF"/>
    <w:rsid w:val="007F1E32"/>
    <w:rsid w:val="007F23CB"/>
    <w:rsid w:val="007F274C"/>
    <w:rsid w:val="007F38DE"/>
    <w:rsid w:val="007F3FA8"/>
    <w:rsid w:val="007F660D"/>
    <w:rsid w:val="007F6806"/>
    <w:rsid w:val="007F6A1C"/>
    <w:rsid w:val="007F737A"/>
    <w:rsid w:val="007F786E"/>
    <w:rsid w:val="00800267"/>
    <w:rsid w:val="008006D2"/>
    <w:rsid w:val="00800D9B"/>
    <w:rsid w:val="008010C9"/>
    <w:rsid w:val="00801604"/>
    <w:rsid w:val="00801A40"/>
    <w:rsid w:val="00801D38"/>
    <w:rsid w:val="00801DBC"/>
    <w:rsid w:val="00802314"/>
    <w:rsid w:val="008027A0"/>
    <w:rsid w:val="00803978"/>
    <w:rsid w:val="00803BE5"/>
    <w:rsid w:val="00804C45"/>
    <w:rsid w:val="008064EA"/>
    <w:rsid w:val="00806CE5"/>
    <w:rsid w:val="008071F5"/>
    <w:rsid w:val="00810F15"/>
    <w:rsid w:val="00810F7E"/>
    <w:rsid w:val="008112DD"/>
    <w:rsid w:val="00812092"/>
    <w:rsid w:val="0081338C"/>
    <w:rsid w:val="00813CA5"/>
    <w:rsid w:val="00813D56"/>
    <w:rsid w:val="00816A13"/>
    <w:rsid w:val="00816EF4"/>
    <w:rsid w:val="008178DF"/>
    <w:rsid w:val="00817B5C"/>
    <w:rsid w:val="00817C40"/>
    <w:rsid w:val="00820596"/>
    <w:rsid w:val="008207E9"/>
    <w:rsid w:val="00821100"/>
    <w:rsid w:val="008216E6"/>
    <w:rsid w:val="00821853"/>
    <w:rsid w:val="00821C32"/>
    <w:rsid w:val="00822EB5"/>
    <w:rsid w:val="008254E8"/>
    <w:rsid w:val="00825D92"/>
    <w:rsid w:val="0082605F"/>
    <w:rsid w:val="008260EE"/>
    <w:rsid w:val="00826388"/>
    <w:rsid w:val="00826C57"/>
    <w:rsid w:val="00826F7D"/>
    <w:rsid w:val="008270DE"/>
    <w:rsid w:val="008279AB"/>
    <w:rsid w:val="0083099D"/>
    <w:rsid w:val="00831AB0"/>
    <w:rsid w:val="0083211C"/>
    <w:rsid w:val="008328AB"/>
    <w:rsid w:val="00833953"/>
    <w:rsid w:val="00834ECB"/>
    <w:rsid w:val="00835F22"/>
    <w:rsid w:val="0083625A"/>
    <w:rsid w:val="00836686"/>
    <w:rsid w:val="008376E5"/>
    <w:rsid w:val="00837976"/>
    <w:rsid w:val="00840481"/>
    <w:rsid w:val="0084108E"/>
    <w:rsid w:val="00841E60"/>
    <w:rsid w:val="00842276"/>
    <w:rsid w:val="0084297A"/>
    <w:rsid w:val="00842A49"/>
    <w:rsid w:val="00842AEB"/>
    <w:rsid w:val="00842B28"/>
    <w:rsid w:val="00843607"/>
    <w:rsid w:val="008436E1"/>
    <w:rsid w:val="008445E5"/>
    <w:rsid w:val="00844BBE"/>
    <w:rsid w:val="00844D0B"/>
    <w:rsid w:val="0084555C"/>
    <w:rsid w:val="008467F3"/>
    <w:rsid w:val="008476BA"/>
    <w:rsid w:val="008476D8"/>
    <w:rsid w:val="00847887"/>
    <w:rsid w:val="008502BE"/>
    <w:rsid w:val="00850A4D"/>
    <w:rsid w:val="0085224F"/>
    <w:rsid w:val="0085299E"/>
    <w:rsid w:val="0085328A"/>
    <w:rsid w:val="00853A59"/>
    <w:rsid w:val="008540E1"/>
    <w:rsid w:val="00855550"/>
    <w:rsid w:val="00855A86"/>
    <w:rsid w:val="00855C21"/>
    <w:rsid w:val="008562CF"/>
    <w:rsid w:val="008562D7"/>
    <w:rsid w:val="00856DD8"/>
    <w:rsid w:val="008577AA"/>
    <w:rsid w:val="008603A8"/>
    <w:rsid w:val="0086059D"/>
    <w:rsid w:val="00860D48"/>
    <w:rsid w:val="00862682"/>
    <w:rsid w:val="00864463"/>
    <w:rsid w:val="0086565F"/>
    <w:rsid w:val="00865F5E"/>
    <w:rsid w:val="00865FA3"/>
    <w:rsid w:val="00866E15"/>
    <w:rsid w:val="00867379"/>
    <w:rsid w:val="00870CFC"/>
    <w:rsid w:val="00871A12"/>
    <w:rsid w:val="00871D25"/>
    <w:rsid w:val="00871EB3"/>
    <w:rsid w:val="008722C8"/>
    <w:rsid w:val="00872947"/>
    <w:rsid w:val="0087337E"/>
    <w:rsid w:val="0087340A"/>
    <w:rsid w:val="00873AE1"/>
    <w:rsid w:val="00873F6D"/>
    <w:rsid w:val="008743A6"/>
    <w:rsid w:val="008748BD"/>
    <w:rsid w:val="00875B10"/>
    <w:rsid w:val="0087600E"/>
    <w:rsid w:val="00876A9D"/>
    <w:rsid w:val="008778ED"/>
    <w:rsid w:val="00880868"/>
    <w:rsid w:val="00881D74"/>
    <w:rsid w:val="00882593"/>
    <w:rsid w:val="00882774"/>
    <w:rsid w:val="00883183"/>
    <w:rsid w:val="00883C60"/>
    <w:rsid w:val="008844A2"/>
    <w:rsid w:val="00884C3E"/>
    <w:rsid w:val="0088523F"/>
    <w:rsid w:val="008855D7"/>
    <w:rsid w:val="00885683"/>
    <w:rsid w:val="008859F3"/>
    <w:rsid w:val="00885D28"/>
    <w:rsid w:val="00886806"/>
    <w:rsid w:val="008877DB"/>
    <w:rsid w:val="00887E48"/>
    <w:rsid w:val="008900C2"/>
    <w:rsid w:val="00890BAB"/>
    <w:rsid w:val="008911D7"/>
    <w:rsid w:val="0089136D"/>
    <w:rsid w:val="00891443"/>
    <w:rsid w:val="008916E1"/>
    <w:rsid w:val="00891D9A"/>
    <w:rsid w:val="00891F86"/>
    <w:rsid w:val="0089375C"/>
    <w:rsid w:val="00893D41"/>
    <w:rsid w:val="0089481D"/>
    <w:rsid w:val="00894919"/>
    <w:rsid w:val="00894D93"/>
    <w:rsid w:val="00894F69"/>
    <w:rsid w:val="008951A8"/>
    <w:rsid w:val="008952DC"/>
    <w:rsid w:val="00895B53"/>
    <w:rsid w:val="00895E2B"/>
    <w:rsid w:val="00896F76"/>
    <w:rsid w:val="008970B0"/>
    <w:rsid w:val="0089714B"/>
    <w:rsid w:val="00897E5F"/>
    <w:rsid w:val="008A26FA"/>
    <w:rsid w:val="008A387D"/>
    <w:rsid w:val="008A443D"/>
    <w:rsid w:val="008A45E7"/>
    <w:rsid w:val="008A4DC2"/>
    <w:rsid w:val="008A7053"/>
    <w:rsid w:val="008A716F"/>
    <w:rsid w:val="008A72F5"/>
    <w:rsid w:val="008A7480"/>
    <w:rsid w:val="008A7F8A"/>
    <w:rsid w:val="008B05E6"/>
    <w:rsid w:val="008B0653"/>
    <w:rsid w:val="008B0F65"/>
    <w:rsid w:val="008B1DC5"/>
    <w:rsid w:val="008B2162"/>
    <w:rsid w:val="008B22A2"/>
    <w:rsid w:val="008B2411"/>
    <w:rsid w:val="008B47F3"/>
    <w:rsid w:val="008B4801"/>
    <w:rsid w:val="008B6C49"/>
    <w:rsid w:val="008B7251"/>
    <w:rsid w:val="008B74D3"/>
    <w:rsid w:val="008B7CFC"/>
    <w:rsid w:val="008C067B"/>
    <w:rsid w:val="008C10AF"/>
    <w:rsid w:val="008C1D88"/>
    <w:rsid w:val="008C2036"/>
    <w:rsid w:val="008C26F2"/>
    <w:rsid w:val="008C2CF8"/>
    <w:rsid w:val="008C2E6F"/>
    <w:rsid w:val="008C34C5"/>
    <w:rsid w:val="008C3746"/>
    <w:rsid w:val="008C41D7"/>
    <w:rsid w:val="008C4511"/>
    <w:rsid w:val="008C4ABD"/>
    <w:rsid w:val="008C4E52"/>
    <w:rsid w:val="008C5AD0"/>
    <w:rsid w:val="008C5C8B"/>
    <w:rsid w:val="008C60E5"/>
    <w:rsid w:val="008C6EC0"/>
    <w:rsid w:val="008D0333"/>
    <w:rsid w:val="008D0F3D"/>
    <w:rsid w:val="008D0F4C"/>
    <w:rsid w:val="008D1662"/>
    <w:rsid w:val="008D2C7F"/>
    <w:rsid w:val="008D36F2"/>
    <w:rsid w:val="008D40E5"/>
    <w:rsid w:val="008D4AD8"/>
    <w:rsid w:val="008D6027"/>
    <w:rsid w:val="008D61C1"/>
    <w:rsid w:val="008D680B"/>
    <w:rsid w:val="008E0008"/>
    <w:rsid w:val="008E0BBD"/>
    <w:rsid w:val="008E1ECF"/>
    <w:rsid w:val="008E2344"/>
    <w:rsid w:val="008E24E3"/>
    <w:rsid w:val="008E3565"/>
    <w:rsid w:val="008E3E5A"/>
    <w:rsid w:val="008E4930"/>
    <w:rsid w:val="008E5046"/>
    <w:rsid w:val="008E561E"/>
    <w:rsid w:val="008F026E"/>
    <w:rsid w:val="008F1063"/>
    <w:rsid w:val="008F21C6"/>
    <w:rsid w:val="008F27E2"/>
    <w:rsid w:val="008F3FF3"/>
    <w:rsid w:val="008F4768"/>
    <w:rsid w:val="008F5F9B"/>
    <w:rsid w:val="008F70F2"/>
    <w:rsid w:val="008F76A8"/>
    <w:rsid w:val="008F7E90"/>
    <w:rsid w:val="00901B86"/>
    <w:rsid w:val="00901EC4"/>
    <w:rsid w:val="009024AA"/>
    <w:rsid w:val="009027DF"/>
    <w:rsid w:val="00903496"/>
    <w:rsid w:val="00904AAF"/>
    <w:rsid w:val="0090512F"/>
    <w:rsid w:val="009055DF"/>
    <w:rsid w:val="009059A2"/>
    <w:rsid w:val="00905ED1"/>
    <w:rsid w:val="00906188"/>
    <w:rsid w:val="009063D2"/>
    <w:rsid w:val="00907103"/>
    <w:rsid w:val="009073B0"/>
    <w:rsid w:val="00907996"/>
    <w:rsid w:val="00907EDC"/>
    <w:rsid w:val="00910476"/>
    <w:rsid w:val="009107B4"/>
    <w:rsid w:val="00910AD0"/>
    <w:rsid w:val="00910C60"/>
    <w:rsid w:val="00910CD0"/>
    <w:rsid w:val="00911970"/>
    <w:rsid w:val="00911D16"/>
    <w:rsid w:val="00913C5E"/>
    <w:rsid w:val="00916548"/>
    <w:rsid w:val="00916A3D"/>
    <w:rsid w:val="00916C01"/>
    <w:rsid w:val="00916E63"/>
    <w:rsid w:val="00917112"/>
    <w:rsid w:val="009175F4"/>
    <w:rsid w:val="00920047"/>
    <w:rsid w:val="00920202"/>
    <w:rsid w:val="0092046B"/>
    <w:rsid w:val="00920E19"/>
    <w:rsid w:val="00921284"/>
    <w:rsid w:val="009216D3"/>
    <w:rsid w:val="00922AA0"/>
    <w:rsid w:val="009230A2"/>
    <w:rsid w:val="00923213"/>
    <w:rsid w:val="00923E5C"/>
    <w:rsid w:val="009241AD"/>
    <w:rsid w:val="00924865"/>
    <w:rsid w:val="009248AB"/>
    <w:rsid w:val="00924B71"/>
    <w:rsid w:val="00924F01"/>
    <w:rsid w:val="0093021A"/>
    <w:rsid w:val="009312CE"/>
    <w:rsid w:val="009325A6"/>
    <w:rsid w:val="009331B2"/>
    <w:rsid w:val="00933FEA"/>
    <w:rsid w:val="0093433E"/>
    <w:rsid w:val="009343D2"/>
    <w:rsid w:val="00934F6B"/>
    <w:rsid w:val="00935521"/>
    <w:rsid w:val="0093552E"/>
    <w:rsid w:val="009357C4"/>
    <w:rsid w:val="00935D54"/>
    <w:rsid w:val="009363E2"/>
    <w:rsid w:val="0093684B"/>
    <w:rsid w:val="00937151"/>
    <w:rsid w:val="00937963"/>
    <w:rsid w:val="00941AE0"/>
    <w:rsid w:val="009424C0"/>
    <w:rsid w:val="00943494"/>
    <w:rsid w:val="00944C50"/>
    <w:rsid w:val="0094546A"/>
    <w:rsid w:val="0094686F"/>
    <w:rsid w:val="00946995"/>
    <w:rsid w:val="00947053"/>
    <w:rsid w:val="00950190"/>
    <w:rsid w:val="00951ECC"/>
    <w:rsid w:val="0095288B"/>
    <w:rsid w:val="00952B5F"/>
    <w:rsid w:val="009531BA"/>
    <w:rsid w:val="00953AFB"/>
    <w:rsid w:val="00953B0B"/>
    <w:rsid w:val="009547B2"/>
    <w:rsid w:val="00954F4D"/>
    <w:rsid w:val="009561D5"/>
    <w:rsid w:val="00956B0B"/>
    <w:rsid w:val="00957B4A"/>
    <w:rsid w:val="0096449C"/>
    <w:rsid w:val="00965347"/>
    <w:rsid w:val="009678CB"/>
    <w:rsid w:val="00970B9A"/>
    <w:rsid w:val="009721B3"/>
    <w:rsid w:val="00973356"/>
    <w:rsid w:val="009733C6"/>
    <w:rsid w:val="0097414B"/>
    <w:rsid w:val="00974638"/>
    <w:rsid w:val="00974686"/>
    <w:rsid w:val="009749EE"/>
    <w:rsid w:val="00976D21"/>
    <w:rsid w:val="009801F8"/>
    <w:rsid w:val="009804EB"/>
    <w:rsid w:val="009805FA"/>
    <w:rsid w:val="00981F56"/>
    <w:rsid w:val="00982D01"/>
    <w:rsid w:val="0098371C"/>
    <w:rsid w:val="00983B96"/>
    <w:rsid w:val="009849B4"/>
    <w:rsid w:val="00984AA4"/>
    <w:rsid w:val="00985842"/>
    <w:rsid w:val="0098714D"/>
    <w:rsid w:val="0098718E"/>
    <w:rsid w:val="009876C4"/>
    <w:rsid w:val="00990CBC"/>
    <w:rsid w:val="00991AE1"/>
    <w:rsid w:val="0099295C"/>
    <w:rsid w:val="00993ED6"/>
    <w:rsid w:val="00994567"/>
    <w:rsid w:val="00995A59"/>
    <w:rsid w:val="00995EC6"/>
    <w:rsid w:val="009965F1"/>
    <w:rsid w:val="009968A7"/>
    <w:rsid w:val="00996AB5"/>
    <w:rsid w:val="00996EEA"/>
    <w:rsid w:val="009970C6"/>
    <w:rsid w:val="00997F37"/>
    <w:rsid w:val="009A0596"/>
    <w:rsid w:val="009A38A8"/>
    <w:rsid w:val="009A4344"/>
    <w:rsid w:val="009A454C"/>
    <w:rsid w:val="009A4686"/>
    <w:rsid w:val="009A7399"/>
    <w:rsid w:val="009A73EF"/>
    <w:rsid w:val="009B0C90"/>
    <w:rsid w:val="009B0CB6"/>
    <w:rsid w:val="009B0D34"/>
    <w:rsid w:val="009B2931"/>
    <w:rsid w:val="009B3B18"/>
    <w:rsid w:val="009B46C7"/>
    <w:rsid w:val="009B4BA4"/>
    <w:rsid w:val="009B5835"/>
    <w:rsid w:val="009B5D59"/>
    <w:rsid w:val="009B71E0"/>
    <w:rsid w:val="009B75E7"/>
    <w:rsid w:val="009B7BB6"/>
    <w:rsid w:val="009C028A"/>
    <w:rsid w:val="009C09B4"/>
    <w:rsid w:val="009C0EEB"/>
    <w:rsid w:val="009C1B4D"/>
    <w:rsid w:val="009C1D3D"/>
    <w:rsid w:val="009C2255"/>
    <w:rsid w:val="009C2E19"/>
    <w:rsid w:val="009C3120"/>
    <w:rsid w:val="009C3423"/>
    <w:rsid w:val="009C35A8"/>
    <w:rsid w:val="009C35E0"/>
    <w:rsid w:val="009C3663"/>
    <w:rsid w:val="009C436A"/>
    <w:rsid w:val="009C4BDC"/>
    <w:rsid w:val="009C5DA3"/>
    <w:rsid w:val="009C6828"/>
    <w:rsid w:val="009D0F2C"/>
    <w:rsid w:val="009D1336"/>
    <w:rsid w:val="009D1639"/>
    <w:rsid w:val="009D3046"/>
    <w:rsid w:val="009D30BB"/>
    <w:rsid w:val="009D3335"/>
    <w:rsid w:val="009D454E"/>
    <w:rsid w:val="009D4B72"/>
    <w:rsid w:val="009D549C"/>
    <w:rsid w:val="009D5E41"/>
    <w:rsid w:val="009D61B9"/>
    <w:rsid w:val="009D6316"/>
    <w:rsid w:val="009D67B8"/>
    <w:rsid w:val="009D74B5"/>
    <w:rsid w:val="009E0B65"/>
    <w:rsid w:val="009E1C82"/>
    <w:rsid w:val="009E1FC2"/>
    <w:rsid w:val="009E3BA2"/>
    <w:rsid w:val="009E3D0C"/>
    <w:rsid w:val="009E3DA4"/>
    <w:rsid w:val="009E3FAF"/>
    <w:rsid w:val="009E586F"/>
    <w:rsid w:val="009E592A"/>
    <w:rsid w:val="009E609B"/>
    <w:rsid w:val="009E72A2"/>
    <w:rsid w:val="009E7DCD"/>
    <w:rsid w:val="009F2704"/>
    <w:rsid w:val="009F3AAF"/>
    <w:rsid w:val="009F3C80"/>
    <w:rsid w:val="009F42EC"/>
    <w:rsid w:val="009F4EAE"/>
    <w:rsid w:val="009F5021"/>
    <w:rsid w:val="009F5819"/>
    <w:rsid w:val="00A016C8"/>
    <w:rsid w:val="00A01C40"/>
    <w:rsid w:val="00A02394"/>
    <w:rsid w:val="00A0345D"/>
    <w:rsid w:val="00A03A3D"/>
    <w:rsid w:val="00A0502C"/>
    <w:rsid w:val="00A05CBE"/>
    <w:rsid w:val="00A0790E"/>
    <w:rsid w:val="00A079F1"/>
    <w:rsid w:val="00A07C0F"/>
    <w:rsid w:val="00A10077"/>
    <w:rsid w:val="00A10CEB"/>
    <w:rsid w:val="00A11459"/>
    <w:rsid w:val="00A1146F"/>
    <w:rsid w:val="00A13E84"/>
    <w:rsid w:val="00A13FEE"/>
    <w:rsid w:val="00A14249"/>
    <w:rsid w:val="00A147AF"/>
    <w:rsid w:val="00A14B90"/>
    <w:rsid w:val="00A16704"/>
    <w:rsid w:val="00A16986"/>
    <w:rsid w:val="00A17FED"/>
    <w:rsid w:val="00A203E3"/>
    <w:rsid w:val="00A22BA3"/>
    <w:rsid w:val="00A23147"/>
    <w:rsid w:val="00A23A71"/>
    <w:rsid w:val="00A243D7"/>
    <w:rsid w:val="00A2470E"/>
    <w:rsid w:val="00A24B7F"/>
    <w:rsid w:val="00A24D37"/>
    <w:rsid w:val="00A24D6F"/>
    <w:rsid w:val="00A250A6"/>
    <w:rsid w:val="00A26074"/>
    <w:rsid w:val="00A2632B"/>
    <w:rsid w:val="00A2697B"/>
    <w:rsid w:val="00A27AB8"/>
    <w:rsid w:val="00A27CBD"/>
    <w:rsid w:val="00A314B5"/>
    <w:rsid w:val="00A31B3A"/>
    <w:rsid w:val="00A324D1"/>
    <w:rsid w:val="00A32F1C"/>
    <w:rsid w:val="00A40335"/>
    <w:rsid w:val="00A40668"/>
    <w:rsid w:val="00A40F09"/>
    <w:rsid w:val="00A419F6"/>
    <w:rsid w:val="00A41F7D"/>
    <w:rsid w:val="00A42FD0"/>
    <w:rsid w:val="00A4307D"/>
    <w:rsid w:val="00A4687D"/>
    <w:rsid w:val="00A46F22"/>
    <w:rsid w:val="00A46FAD"/>
    <w:rsid w:val="00A4731D"/>
    <w:rsid w:val="00A473DF"/>
    <w:rsid w:val="00A50353"/>
    <w:rsid w:val="00A5036F"/>
    <w:rsid w:val="00A50A36"/>
    <w:rsid w:val="00A50BDC"/>
    <w:rsid w:val="00A50C00"/>
    <w:rsid w:val="00A50D37"/>
    <w:rsid w:val="00A51D11"/>
    <w:rsid w:val="00A524D1"/>
    <w:rsid w:val="00A5357D"/>
    <w:rsid w:val="00A536F0"/>
    <w:rsid w:val="00A53828"/>
    <w:rsid w:val="00A539FF"/>
    <w:rsid w:val="00A53A3A"/>
    <w:rsid w:val="00A554F0"/>
    <w:rsid w:val="00A5591C"/>
    <w:rsid w:val="00A56071"/>
    <w:rsid w:val="00A56597"/>
    <w:rsid w:val="00A60887"/>
    <w:rsid w:val="00A60915"/>
    <w:rsid w:val="00A60F21"/>
    <w:rsid w:val="00A6190A"/>
    <w:rsid w:val="00A62239"/>
    <w:rsid w:val="00A62B70"/>
    <w:rsid w:val="00A63007"/>
    <w:rsid w:val="00A63CA9"/>
    <w:rsid w:val="00A63D33"/>
    <w:rsid w:val="00A65977"/>
    <w:rsid w:val="00A65C6E"/>
    <w:rsid w:val="00A668C3"/>
    <w:rsid w:val="00A67ADB"/>
    <w:rsid w:val="00A716EF"/>
    <w:rsid w:val="00A71C1B"/>
    <w:rsid w:val="00A72106"/>
    <w:rsid w:val="00A722A3"/>
    <w:rsid w:val="00A72506"/>
    <w:rsid w:val="00A74DAF"/>
    <w:rsid w:val="00A7548B"/>
    <w:rsid w:val="00A77647"/>
    <w:rsid w:val="00A8012F"/>
    <w:rsid w:val="00A805C9"/>
    <w:rsid w:val="00A80AEC"/>
    <w:rsid w:val="00A80F17"/>
    <w:rsid w:val="00A81BFD"/>
    <w:rsid w:val="00A82493"/>
    <w:rsid w:val="00A833D3"/>
    <w:rsid w:val="00A84810"/>
    <w:rsid w:val="00A851CF"/>
    <w:rsid w:val="00A85B01"/>
    <w:rsid w:val="00A863CA"/>
    <w:rsid w:val="00A87F57"/>
    <w:rsid w:val="00A90397"/>
    <w:rsid w:val="00A910F6"/>
    <w:rsid w:val="00A911FD"/>
    <w:rsid w:val="00A925FF"/>
    <w:rsid w:val="00A933EA"/>
    <w:rsid w:val="00A93FB7"/>
    <w:rsid w:val="00A9478D"/>
    <w:rsid w:val="00A951E3"/>
    <w:rsid w:val="00A96342"/>
    <w:rsid w:val="00A97734"/>
    <w:rsid w:val="00AA11C5"/>
    <w:rsid w:val="00AA1575"/>
    <w:rsid w:val="00AA19CF"/>
    <w:rsid w:val="00AA1EFD"/>
    <w:rsid w:val="00AA3059"/>
    <w:rsid w:val="00AA37FD"/>
    <w:rsid w:val="00AA388C"/>
    <w:rsid w:val="00AA3B49"/>
    <w:rsid w:val="00AA5668"/>
    <w:rsid w:val="00AA5A02"/>
    <w:rsid w:val="00AB0003"/>
    <w:rsid w:val="00AB05F2"/>
    <w:rsid w:val="00AB150A"/>
    <w:rsid w:val="00AB213C"/>
    <w:rsid w:val="00AB2ECD"/>
    <w:rsid w:val="00AB34AF"/>
    <w:rsid w:val="00AB39AD"/>
    <w:rsid w:val="00AB3C39"/>
    <w:rsid w:val="00AB4256"/>
    <w:rsid w:val="00AB46D1"/>
    <w:rsid w:val="00AB4D11"/>
    <w:rsid w:val="00AB5F7C"/>
    <w:rsid w:val="00AB6EE7"/>
    <w:rsid w:val="00AB6F1D"/>
    <w:rsid w:val="00AB7622"/>
    <w:rsid w:val="00AB79A0"/>
    <w:rsid w:val="00AC1008"/>
    <w:rsid w:val="00AC1781"/>
    <w:rsid w:val="00AC1872"/>
    <w:rsid w:val="00AC1F53"/>
    <w:rsid w:val="00AC2691"/>
    <w:rsid w:val="00AC280C"/>
    <w:rsid w:val="00AC3BBE"/>
    <w:rsid w:val="00AC41B6"/>
    <w:rsid w:val="00AC6404"/>
    <w:rsid w:val="00AC707E"/>
    <w:rsid w:val="00AD1CF2"/>
    <w:rsid w:val="00AD373D"/>
    <w:rsid w:val="00AD3CB0"/>
    <w:rsid w:val="00AD3E29"/>
    <w:rsid w:val="00AD3F1F"/>
    <w:rsid w:val="00AD4066"/>
    <w:rsid w:val="00AD411C"/>
    <w:rsid w:val="00AD4728"/>
    <w:rsid w:val="00AD5EDB"/>
    <w:rsid w:val="00AD6E82"/>
    <w:rsid w:val="00AD7E6B"/>
    <w:rsid w:val="00AE06E9"/>
    <w:rsid w:val="00AE0801"/>
    <w:rsid w:val="00AE082D"/>
    <w:rsid w:val="00AE120C"/>
    <w:rsid w:val="00AE126E"/>
    <w:rsid w:val="00AE148A"/>
    <w:rsid w:val="00AE1BBA"/>
    <w:rsid w:val="00AE2526"/>
    <w:rsid w:val="00AE3610"/>
    <w:rsid w:val="00AE38FC"/>
    <w:rsid w:val="00AE39FE"/>
    <w:rsid w:val="00AE47D1"/>
    <w:rsid w:val="00AE4999"/>
    <w:rsid w:val="00AE542E"/>
    <w:rsid w:val="00AE6A9D"/>
    <w:rsid w:val="00AE756B"/>
    <w:rsid w:val="00AE7ACD"/>
    <w:rsid w:val="00AE7DDD"/>
    <w:rsid w:val="00AF0C77"/>
    <w:rsid w:val="00AF2245"/>
    <w:rsid w:val="00AF22B4"/>
    <w:rsid w:val="00AF2435"/>
    <w:rsid w:val="00AF2B5C"/>
    <w:rsid w:val="00AF37DA"/>
    <w:rsid w:val="00AF419A"/>
    <w:rsid w:val="00AF428E"/>
    <w:rsid w:val="00AF5078"/>
    <w:rsid w:val="00AF50F6"/>
    <w:rsid w:val="00AF535D"/>
    <w:rsid w:val="00AF5F61"/>
    <w:rsid w:val="00AF6563"/>
    <w:rsid w:val="00AF740F"/>
    <w:rsid w:val="00B00043"/>
    <w:rsid w:val="00B01588"/>
    <w:rsid w:val="00B01CDF"/>
    <w:rsid w:val="00B034FE"/>
    <w:rsid w:val="00B03BA7"/>
    <w:rsid w:val="00B04260"/>
    <w:rsid w:val="00B0567B"/>
    <w:rsid w:val="00B06901"/>
    <w:rsid w:val="00B071F7"/>
    <w:rsid w:val="00B0777E"/>
    <w:rsid w:val="00B077EB"/>
    <w:rsid w:val="00B07BA9"/>
    <w:rsid w:val="00B10147"/>
    <w:rsid w:val="00B10639"/>
    <w:rsid w:val="00B10B35"/>
    <w:rsid w:val="00B110FC"/>
    <w:rsid w:val="00B1144D"/>
    <w:rsid w:val="00B11484"/>
    <w:rsid w:val="00B11736"/>
    <w:rsid w:val="00B11B5A"/>
    <w:rsid w:val="00B11E34"/>
    <w:rsid w:val="00B11EAE"/>
    <w:rsid w:val="00B12561"/>
    <w:rsid w:val="00B125CA"/>
    <w:rsid w:val="00B1366F"/>
    <w:rsid w:val="00B1368C"/>
    <w:rsid w:val="00B1393A"/>
    <w:rsid w:val="00B15773"/>
    <w:rsid w:val="00B15CF8"/>
    <w:rsid w:val="00B16D31"/>
    <w:rsid w:val="00B17A1D"/>
    <w:rsid w:val="00B17C13"/>
    <w:rsid w:val="00B200CE"/>
    <w:rsid w:val="00B206FD"/>
    <w:rsid w:val="00B20733"/>
    <w:rsid w:val="00B221E2"/>
    <w:rsid w:val="00B24B04"/>
    <w:rsid w:val="00B25BDD"/>
    <w:rsid w:val="00B26404"/>
    <w:rsid w:val="00B274DC"/>
    <w:rsid w:val="00B30D82"/>
    <w:rsid w:val="00B30EB6"/>
    <w:rsid w:val="00B31BFF"/>
    <w:rsid w:val="00B32C53"/>
    <w:rsid w:val="00B33700"/>
    <w:rsid w:val="00B33FCF"/>
    <w:rsid w:val="00B34232"/>
    <w:rsid w:val="00B34AA2"/>
    <w:rsid w:val="00B34CE1"/>
    <w:rsid w:val="00B35E93"/>
    <w:rsid w:val="00B367AF"/>
    <w:rsid w:val="00B36CC6"/>
    <w:rsid w:val="00B36E98"/>
    <w:rsid w:val="00B374C6"/>
    <w:rsid w:val="00B378D6"/>
    <w:rsid w:val="00B40EE2"/>
    <w:rsid w:val="00B412E0"/>
    <w:rsid w:val="00B41BE9"/>
    <w:rsid w:val="00B42102"/>
    <w:rsid w:val="00B42204"/>
    <w:rsid w:val="00B42341"/>
    <w:rsid w:val="00B42D20"/>
    <w:rsid w:val="00B43A0A"/>
    <w:rsid w:val="00B43FCC"/>
    <w:rsid w:val="00B44756"/>
    <w:rsid w:val="00B44914"/>
    <w:rsid w:val="00B44BA9"/>
    <w:rsid w:val="00B44DFF"/>
    <w:rsid w:val="00B45111"/>
    <w:rsid w:val="00B45263"/>
    <w:rsid w:val="00B4526C"/>
    <w:rsid w:val="00B45E06"/>
    <w:rsid w:val="00B47EB6"/>
    <w:rsid w:val="00B505CA"/>
    <w:rsid w:val="00B5140A"/>
    <w:rsid w:val="00B51D16"/>
    <w:rsid w:val="00B51E3A"/>
    <w:rsid w:val="00B53CA3"/>
    <w:rsid w:val="00B5445C"/>
    <w:rsid w:val="00B546C6"/>
    <w:rsid w:val="00B55A0C"/>
    <w:rsid w:val="00B55E15"/>
    <w:rsid w:val="00B572E0"/>
    <w:rsid w:val="00B615F9"/>
    <w:rsid w:val="00B61FE9"/>
    <w:rsid w:val="00B62555"/>
    <w:rsid w:val="00B63681"/>
    <w:rsid w:val="00B63FA6"/>
    <w:rsid w:val="00B66655"/>
    <w:rsid w:val="00B70600"/>
    <w:rsid w:val="00B70675"/>
    <w:rsid w:val="00B713EA"/>
    <w:rsid w:val="00B71669"/>
    <w:rsid w:val="00B73487"/>
    <w:rsid w:val="00B739D4"/>
    <w:rsid w:val="00B73A58"/>
    <w:rsid w:val="00B75A32"/>
    <w:rsid w:val="00B76242"/>
    <w:rsid w:val="00B802EF"/>
    <w:rsid w:val="00B80603"/>
    <w:rsid w:val="00B814B3"/>
    <w:rsid w:val="00B81CC4"/>
    <w:rsid w:val="00B82A1A"/>
    <w:rsid w:val="00B83556"/>
    <w:rsid w:val="00B8385F"/>
    <w:rsid w:val="00B849C7"/>
    <w:rsid w:val="00B84C13"/>
    <w:rsid w:val="00B8655A"/>
    <w:rsid w:val="00B866F9"/>
    <w:rsid w:val="00B872C1"/>
    <w:rsid w:val="00B90A27"/>
    <w:rsid w:val="00B90D73"/>
    <w:rsid w:val="00B91608"/>
    <w:rsid w:val="00B92518"/>
    <w:rsid w:val="00B93583"/>
    <w:rsid w:val="00B94B34"/>
    <w:rsid w:val="00B9531A"/>
    <w:rsid w:val="00B953A7"/>
    <w:rsid w:val="00B96137"/>
    <w:rsid w:val="00B962EB"/>
    <w:rsid w:val="00B9649D"/>
    <w:rsid w:val="00B9699A"/>
    <w:rsid w:val="00B974CE"/>
    <w:rsid w:val="00B97B12"/>
    <w:rsid w:val="00BA04A1"/>
    <w:rsid w:val="00BA0FAE"/>
    <w:rsid w:val="00BA0FD4"/>
    <w:rsid w:val="00BA1589"/>
    <w:rsid w:val="00BA2538"/>
    <w:rsid w:val="00BA409E"/>
    <w:rsid w:val="00BA40F8"/>
    <w:rsid w:val="00BA4816"/>
    <w:rsid w:val="00BA522F"/>
    <w:rsid w:val="00BA62C3"/>
    <w:rsid w:val="00BA71CD"/>
    <w:rsid w:val="00BB0074"/>
    <w:rsid w:val="00BB13EA"/>
    <w:rsid w:val="00BB1592"/>
    <w:rsid w:val="00BB1A90"/>
    <w:rsid w:val="00BB1C12"/>
    <w:rsid w:val="00BB1C7B"/>
    <w:rsid w:val="00BB23B8"/>
    <w:rsid w:val="00BB2A7C"/>
    <w:rsid w:val="00BB2AA5"/>
    <w:rsid w:val="00BB3749"/>
    <w:rsid w:val="00BB43CB"/>
    <w:rsid w:val="00BB4F26"/>
    <w:rsid w:val="00BB6025"/>
    <w:rsid w:val="00BB7456"/>
    <w:rsid w:val="00BB7853"/>
    <w:rsid w:val="00BB7EB0"/>
    <w:rsid w:val="00BC05C6"/>
    <w:rsid w:val="00BC14C5"/>
    <w:rsid w:val="00BC22A7"/>
    <w:rsid w:val="00BC2E1B"/>
    <w:rsid w:val="00BC2E78"/>
    <w:rsid w:val="00BC338D"/>
    <w:rsid w:val="00BC349B"/>
    <w:rsid w:val="00BC3C5A"/>
    <w:rsid w:val="00BC3E82"/>
    <w:rsid w:val="00BC438E"/>
    <w:rsid w:val="00BC453E"/>
    <w:rsid w:val="00BC463B"/>
    <w:rsid w:val="00BC61BA"/>
    <w:rsid w:val="00BC6A40"/>
    <w:rsid w:val="00BC733D"/>
    <w:rsid w:val="00BC7717"/>
    <w:rsid w:val="00BD01E0"/>
    <w:rsid w:val="00BD071B"/>
    <w:rsid w:val="00BD0A2D"/>
    <w:rsid w:val="00BD0A5C"/>
    <w:rsid w:val="00BD0EB7"/>
    <w:rsid w:val="00BD18E3"/>
    <w:rsid w:val="00BD1AE7"/>
    <w:rsid w:val="00BD21CF"/>
    <w:rsid w:val="00BD2487"/>
    <w:rsid w:val="00BD24DE"/>
    <w:rsid w:val="00BD261F"/>
    <w:rsid w:val="00BD4880"/>
    <w:rsid w:val="00BD49E7"/>
    <w:rsid w:val="00BD5A73"/>
    <w:rsid w:val="00BD6958"/>
    <w:rsid w:val="00BD6ACC"/>
    <w:rsid w:val="00BD744B"/>
    <w:rsid w:val="00BD766F"/>
    <w:rsid w:val="00BD775A"/>
    <w:rsid w:val="00BD7A3C"/>
    <w:rsid w:val="00BD7E69"/>
    <w:rsid w:val="00BE0F59"/>
    <w:rsid w:val="00BE1A9A"/>
    <w:rsid w:val="00BE1BFD"/>
    <w:rsid w:val="00BE2043"/>
    <w:rsid w:val="00BE20EE"/>
    <w:rsid w:val="00BE252D"/>
    <w:rsid w:val="00BE39F1"/>
    <w:rsid w:val="00BE764C"/>
    <w:rsid w:val="00BE7BA3"/>
    <w:rsid w:val="00BF4950"/>
    <w:rsid w:val="00BF4F7C"/>
    <w:rsid w:val="00BF55AC"/>
    <w:rsid w:val="00BF5F13"/>
    <w:rsid w:val="00BF60D6"/>
    <w:rsid w:val="00C0085A"/>
    <w:rsid w:val="00C03BFB"/>
    <w:rsid w:val="00C049F2"/>
    <w:rsid w:val="00C04FEE"/>
    <w:rsid w:val="00C0516E"/>
    <w:rsid w:val="00C05923"/>
    <w:rsid w:val="00C06326"/>
    <w:rsid w:val="00C07B4B"/>
    <w:rsid w:val="00C102FC"/>
    <w:rsid w:val="00C106BC"/>
    <w:rsid w:val="00C110F1"/>
    <w:rsid w:val="00C128C4"/>
    <w:rsid w:val="00C132B9"/>
    <w:rsid w:val="00C140A0"/>
    <w:rsid w:val="00C14294"/>
    <w:rsid w:val="00C14497"/>
    <w:rsid w:val="00C152DD"/>
    <w:rsid w:val="00C15D29"/>
    <w:rsid w:val="00C15E6D"/>
    <w:rsid w:val="00C1628F"/>
    <w:rsid w:val="00C16C43"/>
    <w:rsid w:val="00C1780C"/>
    <w:rsid w:val="00C17A8E"/>
    <w:rsid w:val="00C21D84"/>
    <w:rsid w:val="00C24A09"/>
    <w:rsid w:val="00C255B7"/>
    <w:rsid w:val="00C25885"/>
    <w:rsid w:val="00C25A3D"/>
    <w:rsid w:val="00C26377"/>
    <w:rsid w:val="00C26443"/>
    <w:rsid w:val="00C27D73"/>
    <w:rsid w:val="00C27F51"/>
    <w:rsid w:val="00C30057"/>
    <w:rsid w:val="00C307F5"/>
    <w:rsid w:val="00C30C2C"/>
    <w:rsid w:val="00C31299"/>
    <w:rsid w:val="00C3197F"/>
    <w:rsid w:val="00C322E9"/>
    <w:rsid w:val="00C32312"/>
    <w:rsid w:val="00C3276C"/>
    <w:rsid w:val="00C328A7"/>
    <w:rsid w:val="00C32B0D"/>
    <w:rsid w:val="00C32FC9"/>
    <w:rsid w:val="00C3425F"/>
    <w:rsid w:val="00C34FAC"/>
    <w:rsid w:val="00C36A58"/>
    <w:rsid w:val="00C37114"/>
    <w:rsid w:val="00C37196"/>
    <w:rsid w:val="00C375AC"/>
    <w:rsid w:val="00C405AC"/>
    <w:rsid w:val="00C40905"/>
    <w:rsid w:val="00C42076"/>
    <w:rsid w:val="00C4291D"/>
    <w:rsid w:val="00C42944"/>
    <w:rsid w:val="00C47696"/>
    <w:rsid w:val="00C505E8"/>
    <w:rsid w:val="00C52CA8"/>
    <w:rsid w:val="00C52CE3"/>
    <w:rsid w:val="00C52EF7"/>
    <w:rsid w:val="00C52F01"/>
    <w:rsid w:val="00C538FF"/>
    <w:rsid w:val="00C54AF7"/>
    <w:rsid w:val="00C54EC0"/>
    <w:rsid w:val="00C55CDC"/>
    <w:rsid w:val="00C55D96"/>
    <w:rsid w:val="00C570EC"/>
    <w:rsid w:val="00C57B81"/>
    <w:rsid w:val="00C60286"/>
    <w:rsid w:val="00C60385"/>
    <w:rsid w:val="00C61453"/>
    <w:rsid w:val="00C616EC"/>
    <w:rsid w:val="00C61C86"/>
    <w:rsid w:val="00C620FB"/>
    <w:rsid w:val="00C62D99"/>
    <w:rsid w:val="00C6424C"/>
    <w:rsid w:val="00C6531D"/>
    <w:rsid w:val="00C65DF5"/>
    <w:rsid w:val="00C65ED9"/>
    <w:rsid w:val="00C701B8"/>
    <w:rsid w:val="00C7024A"/>
    <w:rsid w:val="00C708F1"/>
    <w:rsid w:val="00C71069"/>
    <w:rsid w:val="00C7110C"/>
    <w:rsid w:val="00C714C5"/>
    <w:rsid w:val="00C71B0F"/>
    <w:rsid w:val="00C727F6"/>
    <w:rsid w:val="00C72E3E"/>
    <w:rsid w:val="00C7316D"/>
    <w:rsid w:val="00C752A6"/>
    <w:rsid w:val="00C759F2"/>
    <w:rsid w:val="00C81730"/>
    <w:rsid w:val="00C81D44"/>
    <w:rsid w:val="00C82247"/>
    <w:rsid w:val="00C83DE2"/>
    <w:rsid w:val="00C841E8"/>
    <w:rsid w:val="00C84810"/>
    <w:rsid w:val="00C856C7"/>
    <w:rsid w:val="00C8587E"/>
    <w:rsid w:val="00C85D1E"/>
    <w:rsid w:val="00C8654D"/>
    <w:rsid w:val="00C86938"/>
    <w:rsid w:val="00C86F61"/>
    <w:rsid w:val="00C876B1"/>
    <w:rsid w:val="00C87D7A"/>
    <w:rsid w:val="00C92649"/>
    <w:rsid w:val="00C927B8"/>
    <w:rsid w:val="00C940CF"/>
    <w:rsid w:val="00C9558E"/>
    <w:rsid w:val="00C9637F"/>
    <w:rsid w:val="00C963BB"/>
    <w:rsid w:val="00CA03BB"/>
    <w:rsid w:val="00CA1E3E"/>
    <w:rsid w:val="00CA276C"/>
    <w:rsid w:val="00CA38AE"/>
    <w:rsid w:val="00CA4017"/>
    <w:rsid w:val="00CA60F5"/>
    <w:rsid w:val="00CA6434"/>
    <w:rsid w:val="00CA6736"/>
    <w:rsid w:val="00CA68E0"/>
    <w:rsid w:val="00CA6D13"/>
    <w:rsid w:val="00CA73DC"/>
    <w:rsid w:val="00CB0130"/>
    <w:rsid w:val="00CB06B5"/>
    <w:rsid w:val="00CB0EA0"/>
    <w:rsid w:val="00CB1AE2"/>
    <w:rsid w:val="00CB24E0"/>
    <w:rsid w:val="00CB2596"/>
    <w:rsid w:val="00CB282C"/>
    <w:rsid w:val="00CB2FF6"/>
    <w:rsid w:val="00CB3711"/>
    <w:rsid w:val="00CB4491"/>
    <w:rsid w:val="00CB4911"/>
    <w:rsid w:val="00CB4E6C"/>
    <w:rsid w:val="00CB55E7"/>
    <w:rsid w:val="00CB5F1A"/>
    <w:rsid w:val="00CB6723"/>
    <w:rsid w:val="00CB6C93"/>
    <w:rsid w:val="00CB74F3"/>
    <w:rsid w:val="00CC0494"/>
    <w:rsid w:val="00CC0DB6"/>
    <w:rsid w:val="00CC10C0"/>
    <w:rsid w:val="00CC19DF"/>
    <w:rsid w:val="00CC1E3B"/>
    <w:rsid w:val="00CC2386"/>
    <w:rsid w:val="00CC540A"/>
    <w:rsid w:val="00CC5CF5"/>
    <w:rsid w:val="00CC605F"/>
    <w:rsid w:val="00CC7595"/>
    <w:rsid w:val="00CD00E7"/>
    <w:rsid w:val="00CD0B88"/>
    <w:rsid w:val="00CD128C"/>
    <w:rsid w:val="00CD12E2"/>
    <w:rsid w:val="00CD2CEE"/>
    <w:rsid w:val="00CD3B2C"/>
    <w:rsid w:val="00CD5276"/>
    <w:rsid w:val="00CD654C"/>
    <w:rsid w:val="00CD73E3"/>
    <w:rsid w:val="00CD7581"/>
    <w:rsid w:val="00CD7E1C"/>
    <w:rsid w:val="00CE0BA9"/>
    <w:rsid w:val="00CE0E7F"/>
    <w:rsid w:val="00CE1255"/>
    <w:rsid w:val="00CE1905"/>
    <w:rsid w:val="00CE1D9A"/>
    <w:rsid w:val="00CE212A"/>
    <w:rsid w:val="00CE3B34"/>
    <w:rsid w:val="00CE3D95"/>
    <w:rsid w:val="00CE6FD4"/>
    <w:rsid w:val="00CE7171"/>
    <w:rsid w:val="00CE72EE"/>
    <w:rsid w:val="00CE7AEF"/>
    <w:rsid w:val="00CF0045"/>
    <w:rsid w:val="00CF02CB"/>
    <w:rsid w:val="00CF03EE"/>
    <w:rsid w:val="00CF0D22"/>
    <w:rsid w:val="00CF0FD8"/>
    <w:rsid w:val="00CF2E3B"/>
    <w:rsid w:val="00CF2E7B"/>
    <w:rsid w:val="00CF33E4"/>
    <w:rsid w:val="00CF3CCE"/>
    <w:rsid w:val="00CF4E27"/>
    <w:rsid w:val="00CF52A3"/>
    <w:rsid w:val="00CF698F"/>
    <w:rsid w:val="00D012BB"/>
    <w:rsid w:val="00D0192C"/>
    <w:rsid w:val="00D020C2"/>
    <w:rsid w:val="00D02407"/>
    <w:rsid w:val="00D02DB9"/>
    <w:rsid w:val="00D033B9"/>
    <w:rsid w:val="00D0471D"/>
    <w:rsid w:val="00D047B0"/>
    <w:rsid w:val="00D054C5"/>
    <w:rsid w:val="00D05AE2"/>
    <w:rsid w:val="00D05BBD"/>
    <w:rsid w:val="00D07652"/>
    <w:rsid w:val="00D077E2"/>
    <w:rsid w:val="00D0781D"/>
    <w:rsid w:val="00D10756"/>
    <w:rsid w:val="00D10C3C"/>
    <w:rsid w:val="00D10C48"/>
    <w:rsid w:val="00D122E6"/>
    <w:rsid w:val="00D13050"/>
    <w:rsid w:val="00D1419D"/>
    <w:rsid w:val="00D1495F"/>
    <w:rsid w:val="00D14DF8"/>
    <w:rsid w:val="00D15275"/>
    <w:rsid w:val="00D15648"/>
    <w:rsid w:val="00D173EC"/>
    <w:rsid w:val="00D1789F"/>
    <w:rsid w:val="00D178B7"/>
    <w:rsid w:val="00D17A70"/>
    <w:rsid w:val="00D17D9A"/>
    <w:rsid w:val="00D200D4"/>
    <w:rsid w:val="00D20D53"/>
    <w:rsid w:val="00D2156D"/>
    <w:rsid w:val="00D21BED"/>
    <w:rsid w:val="00D220E9"/>
    <w:rsid w:val="00D2229A"/>
    <w:rsid w:val="00D22AD1"/>
    <w:rsid w:val="00D22BD9"/>
    <w:rsid w:val="00D246C0"/>
    <w:rsid w:val="00D24F46"/>
    <w:rsid w:val="00D250BC"/>
    <w:rsid w:val="00D25258"/>
    <w:rsid w:val="00D267C1"/>
    <w:rsid w:val="00D26D2C"/>
    <w:rsid w:val="00D27FEA"/>
    <w:rsid w:val="00D304EC"/>
    <w:rsid w:val="00D30699"/>
    <w:rsid w:val="00D310FE"/>
    <w:rsid w:val="00D3179B"/>
    <w:rsid w:val="00D31FE2"/>
    <w:rsid w:val="00D329B0"/>
    <w:rsid w:val="00D32D9C"/>
    <w:rsid w:val="00D32DC0"/>
    <w:rsid w:val="00D32E78"/>
    <w:rsid w:val="00D34933"/>
    <w:rsid w:val="00D35699"/>
    <w:rsid w:val="00D36E7F"/>
    <w:rsid w:val="00D37CD3"/>
    <w:rsid w:val="00D41564"/>
    <w:rsid w:val="00D4167B"/>
    <w:rsid w:val="00D41C74"/>
    <w:rsid w:val="00D42A27"/>
    <w:rsid w:val="00D43EE7"/>
    <w:rsid w:val="00D44B13"/>
    <w:rsid w:val="00D45E88"/>
    <w:rsid w:val="00D460C0"/>
    <w:rsid w:val="00D46301"/>
    <w:rsid w:val="00D5043B"/>
    <w:rsid w:val="00D52845"/>
    <w:rsid w:val="00D52F59"/>
    <w:rsid w:val="00D53C95"/>
    <w:rsid w:val="00D53FC7"/>
    <w:rsid w:val="00D54825"/>
    <w:rsid w:val="00D550CB"/>
    <w:rsid w:val="00D5539F"/>
    <w:rsid w:val="00D55F33"/>
    <w:rsid w:val="00D562B3"/>
    <w:rsid w:val="00D5634C"/>
    <w:rsid w:val="00D5669D"/>
    <w:rsid w:val="00D567E8"/>
    <w:rsid w:val="00D579C2"/>
    <w:rsid w:val="00D606E4"/>
    <w:rsid w:val="00D60DAE"/>
    <w:rsid w:val="00D61240"/>
    <w:rsid w:val="00D614A3"/>
    <w:rsid w:val="00D61A17"/>
    <w:rsid w:val="00D61DC3"/>
    <w:rsid w:val="00D61E8B"/>
    <w:rsid w:val="00D62726"/>
    <w:rsid w:val="00D6346C"/>
    <w:rsid w:val="00D63610"/>
    <w:rsid w:val="00D63D4F"/>
    <w:rsid w:val="00D640E2"/>
    <w:rsid w:val="00D652F3"/>
    <w:rsid w:val="00D65575"/>
    <w:rsid w:val="00D6766A"/>
    <w:rsid w:val="00D701DC"/>
    <w:rsid w:val="00D7057C"/>
    <w:rsid w:val="00D70BA6"/>
    <w:rsid w:val="00D71448"/>
    <w:rsid w:val="00D71DC5"/>
    <w:rsid w:val="00D73647"/>
    <w:rsid w:val="00D73F20"/>
    <w:rsid w:val="00D74876"/>
    <w:rsid w:val="00D7542C"/>
    <w:rsid w:val="00D75C67"/>
    <w:rsid w:val="00D75ED0"/>
    <w:rsid w:val="00D76E2F"/>
    <w:rsid w:val="00D773B1"/>
    <w:rsid w:val="00D7762A"/>
    <w:rsid w:val="00D777A6"/>
    <w:rsid w:val="00D77A5A"/>
    <w:rsid w:val="00D801C5"/>
    <w:rsid w:val="00D8194B"/>
    <w:rsid w:val="00D81CFD"/>
    <w:rsid w:val="00D841B2"/>
    <w:rsid w:val="00D84CE7"/>
    <w:rsid w:val="00D84E6A"/>
    <w:rsid w:val="00D864AF"/>
    <w:rsid w:val="00D8673C"/>
    <w:rsid w:val="00D87570"/>
    <w:rsid w:val="00D8765C"/>
    <w:rsid w:val="00D900DC"/>
    <w:rsid w:val="00D9133E"/>
    <w:rsid w:val="00D92169"/>
    <w:rsid w:val="00D92468"/>
    <w:rsid w:val="00D929BF"/>
    <w:rsid w:val="00D94404"/>
    <w:rsid w:val="00D958E9"/>
    <w:rsid w:val="00D96021"/>
    <w:rsid w:val="00D960AD"/>
    <w:rsid w:val="00D9755A"/>
    <w:rsid w:val="00D97C82"/>
    <w:rsid w:val="00DA04E4"/>
    <w:rsid w:val="00DA21FC"/>
    <w:rsid w:val="00DA221D"/>
    <w:rsid w:val="00DA22F5"/>
    <w:rsid w:val="00DA2D33"/>
    <w:rsid w:val="00DA2D94"/>
    <w:rsid w:val="00DA50C3"/>
    <w:rsid w:val="00DA5ABF"/>
    <w:rsid w:val="00DA6AFB"/>
    <w:rsid w:val="00DA7882"/>
    <w:rsid w:val="00DB02A6"/>
    <w:rsid w:val="00DB06F4"/>
    <w:rsid w:val="00DB1C91"/>
    <w:rsid w:val="00DB254F"/>
    <w:rsid w:val="00DB2630"/>
    <w:rsid w:val="00DB5CB5"/>
    <w:rsid w:val="00DB7150"/>
    <w:rsid w:val="00DB7C65"/>
    <w:rsid w:val="00DB7E46"/>
    <w:rsid w:val="00DC0774"/>
    <w:rsid w:val="00DC0C27"/>
    <w:rsid w:val="00DC0E67"/>
    <w:rsid w:val="00DC2001"/>
    <w:rsid w:val="00DC2552"/>
    <w:rsid w:val="00DC369C"/>
    <w:rsid w:val="00DC4F8F"/>
    <w:rsid w:val="00DC5CD3"/>
    <w:rsid w:val="00DC6E83"/>
    <w:rsid w:val="00DC7723"/>
    <w:rsid w:val="00DC7CE2"/>
    <w:rsid w:val="00DD1347"/>
    <w:rsid w:val="00DD154A"/>
    <w:rsid w:val="00DD15DC"/>
    <w:rsid w:val="00DD1C06"/>
    <w:rsid w:val="00DD1C63"/>
    <w:rsid w:val="00DD2049"/>
    <w:rsid w:val="00DD27FA"/>
    <w:rsid w:val="00DD2D6F"/>
    <w:rsid w:val="00DD2F42"/>
    <w:rsid w:val="00DD32E7"/>
    <w:rsid w:val="00DD4955"/>
    <w:rsid w:val="00DD52A6"/>
    <w:rsid w:val="00DD55B5"/>
    <w:rsid w:val="00DD56CE"/>
    <w:rsid w:val="00DD5749"/>
    <w:rsid w:val="00DD6F14"/>
    <w:rsid w:val="00DD7BDB"/>
    <w:rsid w:val="00DD7C09"/>
    <w:rsid w:val="00DD7C97"/>
    <w:rsid w:val="00DD7DD2"/>
    <w:rsid w:val="00DE05BE"/>
    <w:rsid w:val="00DE0610"/>
    <w:rsid w:val="00DE1188"/>
    <w:rsid w:val="00DE2AA7"/>
    <w:rsid w:val="00DE2EE5"/>
    <w:rsid w:val="00DE3479"/>
    <w:rsid w:val="00DE34F4"/>
    <w:rsid w:val="00DE370E"/>
    <w:rsid w:val="00DE38B1"/>
    <w:rsid w:val="00DE47EA"/>
    <w:rsid w:val="00DE5BE4"/>
    <w:rsid w:val="00DE78B9"/>
    <w:rsid w:val="00DE7939"/>
    <w:rsid w:val="00DE7A58"/>
    <w:rsid w:val="00DE7EF8"/>
    <w:rsid w:val="00DF00E0"/>
    <w:rsid w:val="00DF0314"/>
    <w:rsid w:val="00DF04C7"/>
    <w:rsid w:val="00DF086C"/>
    <w:rsid w:val="00DF21BA"/>
    <w:rsid w:val="00DF25E9"/>
    <w:rsid w:val="00DF3624"/>
    <w:rsid w:val="00DF3E1E"/>
    <w:rsid w:val="00DF410C"/>
    <w:rsid w:val="00DF4568"/>
    <w:rsid w:val="00DF5EB4"/>
    <w:rsid w:val="00DF6310"/>
    <w:rsid w:val="00E01067"/>
    <w:rsid w:val="00E02D7D"/>
    <w:rsid w:val="00E03030"/>
    <w:rsid w:val="00E04812"/>
    <w:rsid w:val="00E04A62"/>
    <w:rsid w:val="00E07579"/>
    <w:rsid w:val="00E075D7"/>
    <w:rsid w:val="00E076DA"/>
    <w:rsid w:val="00E07991"/>
    <w:rsid w:val="00E10B4D"/>
    <w:rsid w:val="00E10C7B"/>
    <w:rsid w:val="00E11595"/>
    <w:rsid w:val="00E11BA2"/>
    <w:rsid w:val="00E120F6"/>
    <w:rsid w:val="00E12AAD"/>
    <w:rsid w:val="00E13231"/>
    <w:rsid w:val="00E13FF9"/>
    <w:rsid w:val="00E1432E"/>
    <w:rsid w:val="00E1493A"/>
    <w:rsid w:val="00E14A33"/>
    <w:rsid w:val="00E151FE"/>
    <w:rsid w:val="00E16350"/>
    <w:rsid w:val="00E16C95"/>
    <w:rsid w:val="00E1765C"/>
    <w:rsid w:val="00E1768B"/>
    <w:rsid w:val="00E215BF"/>
    <w:rsid w:val="00E21CDD"/>
    <w:rsid w:val="00E24943"/>
    <w:rsid w:val="00E251E8"/>
    <w:rsid w:val="00E25A5F"/>
    <w:rsid w:val="00E270DB"/>
    <w:rsid w:val="00E27B91"/>
    <w:rsid w:val="00E3098C"/>
    <w:rsid w:val="00E31E35"/>
    <w:rsid w:val="00E32EA7"/>
    <w:rsid w:val="00E33829"/>
    <w:rsid w:val="00E33AC9"/>
    <w:rsid w:val="00E34833"/>
    <w:rsid w:val="00E35A08"/>
    <w:rsid w:val="00E35CB9"/>
    <w:rsid w:val="00E364FE"/>
    <w:rsid w:val="00E369DA"/>
    <w:rsid w:val="00E36A88"/>
    <w:rsid w:val="00E36C98"/>
    <w:rsid w:val="00E37254"/>
    <w:rsid w:val="00E3747E"/>
    <w:rsid w:val="00E37639"/>
    <w:rsid w:val="00E40774"/>
    <w:rsid w:val="00E4167D"/>
    <w:rsid w:val="00E419CF"/>
    <w:rsid w:val="00E41BF2"/>
    <w:rsid w:val="00E42365"/>
    <w:rsid w:val="00E42DAD"/>
    <w:rsid w:val="00E444AE"/>
    <w:rsid w:val="00E4473C"/>
    <w:rsid w:val="00E44E56"/>
    <w:rsid w:val="00E462FD"/>
    <w:rsid w:val="00E465C9"/>
    <w:rsid w:val="00E465D4"/>
    <w:rsid w:val="00E50503"/>
    <w:rsid w:val="00E508BB"/>
    <w:rsid w:val="00E50B5F"/>
    <w:rsid w:val="00E50E06"/>
    <w:rsid w:val="00E526E6"/>
    <w:rsid w:val="00E53D73"/>
    <w:rsid w:val="00E54098"/>
    <w:rsid w:val="00E55DDC"/>
    <w:rsid w:val="00E6205B"/>
    <w:rsid w:val="00E624BC"/>
    <w:rsid w:val="00E635BA"/>
    <w:rsid w:val="00E6450A"/>
    <w:rsid w:val="00E647AD"/>
    <w:rsid w:val="00E65A25"/>
    <w:rsid w:val="00E65CC5"/>
    <w:rsid w:val="00E65E39"/>
    <w:rsid w:val="00E67525"/>
    <w:rsid w:val="00E72B58"/>
    <w:rsid w:val="00E7304D"/>
    <w:rsid w:val="00E731F5"/>
    <w:rsid w:val="00E73D0E"/>
    <w:rsid w:val="00E73FED"/>
    <w:rsid w:val="00E748BB"/>
    <w:rsid w:val="00E75B02"/>
    <w:rsid w:val="00E75CC8"/>
    <w:rsid w:val="00E76148"/>
    <w:rsid w:val="00E7614D"/>
    <w:rsid w:val="00E762BE"/>
    <w:rsid w:val="00E768C8"/>
    <w:rsid w:val="00E7720E"/>
    <w:rsid w:val="00E77E3D"/>
    <w:rsid w:val="00E77E93"/>
    <w:rsid w:val="00E80C49"/>
    <w:rsid w:val="00E80E06"/>
    <w:rsid w:val="00E81501"/>
    <w:rsid w:val="00E81ED6"/>
    <w:rsid w:val="00E8295C"/>
    <w:rsid w:val="00E83E4C"/>
    <w:rsid w:val="00E84185"/>
    <w:rsid w:val="00E857FE"/>
    <w:rsid w:val="00E85E69"/>
    <w:rsid w:val="00E870B9"/>
    <w:rsid w:val="00E871F8"/>
    <w:rsid w:val="00E87514"/>
    <w:rsid w:val="00E87542"/>
    <w:rsid w:val="00E87DFF"/>
    <w:rsid w:val="00E907A1"/>
    <w:rsid w:val="00E90DA8"/>
    <w:rsid w:val="00E90F4A"/>
    <w:rsid w:val="00E91939"/>
    <w:rsid w:val="00E920C0"/>
    <w:rsid w:val="00E9275C"/>
    <w:rsid w:val="00E92D7B"/>
    <w:rsid w:val="00E932F8"/>
    <w:rsid w:val="00E93D4B"/>
    <w:rsid w:val="00E948C0"/>
    <w:rsid w:val="00E94A57"/>
    <w:rsid w:val="00E94A80"/>
    <w:rsid w:val="00E958D0"/>
    <w:rsid w:val="00EA0021"/>
    <w:rsid w:val="00EA00EE"/>
    <w:rsid w:val="00EA05D7"/>
    <w:rsid w:val="00EA0623"/>
    <w:rsid w:val="00EA07DB"/>
    <w:rsid w:val="00EA0802"/>
    <w:rsid w:val="00EA0AF2"/>
    <w:rsid w:val="00EA259B"/>
    <w:rsid w:val="00EA275F"/>
    <w:rsid w:val="00EA2C70"/>
    <w:rsid w:val="00EA2FA8"/>
    <w:rsid w:val="00EA362F"/>
    <w:rsid w:val="00EA3B55"/>
    <w:rsid w:val="00EA4FF2"/>
    <w:rsid w:val="00EA577B"/>
    <w:rsid w:val="00EA614C"/>
    <w:rsid w:val="00EA7D22"/>
    <w:rsid w:val="00EB0475"/>
    <w:rsid w:val="00EB08D8"/>
    <w:rsid w:val="00EB1162"/>
    <w:rsid w:val="00EB1C4D"/>
    <w:rsid w:val="00EB2FF8"/>
    <w:rsid w:val="00EB39BF"/>
    <w:rsid w:val="00EB436E"/>
    <w:rsid w:val="00EB447B"/>
    <w:rsid w:val="00EB45EB"/>
    <w:rsid w:val="00EB4C74"/>
    <w:rsid w:val="00EB5372"/>
    <w:rsid w:val="00EB630B"/>
    <w:rsid w:val="00EB6873"/>
    <w:rsid w:val="00EC0D6D"/>
    <w:rsid w:val="00EC2470"/>
    <w:rsid w:val="00EC26AD"/>
    <w:rsid w:val="00EC28FF"/>
    <w:rsid w:val="00EC2A6D"/>
    <w:rsid w:val="00EC3061"/>
    <w:rsid w:val="00EC4D89"/>
    <w:rsid w:val="00EC503A"/>
    <w:rsid w:val="00EC56D5"/>
    <w:rsid w:val="00EC6227"/>
    <w:rsid w:val="00EC6BE7"/>
    <w:rsid w:val="00EC7489"/>
    <w:rsid w:val="00ED01CD"/>
    <w:rsid w:val="00ED2377"/>
    <w:rsid w:val="00ED2A6B"/>
    <w:rsid w:val="00ED2FD2"/>
    <w:rsid w:val="00ED306E"/>
    <w:rsid w:val="00ED3249"/>
    <w:rsid w:val="00ED570A"/>
    <w:rsid w:val="00ED5A39"/>
    <w:rsid w:val="00ED5E83"/>
    <w:rsid w:val="00ED703E"/>
    <w:rsid w:val="00ED728B"/>
    <w:rsid w:val="00ED7A12"/>
    <w:rsid w:val="00EE0520"/>
    <w:rsid w:val="00EE076A"/>
    <w:rsid w:val="00EE199F"/>
    <w:rsid w:val="00EE264E"/>
    <w:rsid w:val="00EE2CCF"/>
    <w:rsid w:val="00EE39B8"/>
    <w:rsid w:val="00EE3E13"/>
    <w:rsid w:val="00EE4280"/>
    <w:rsid w:val="00EE4551"/>
    <w:rsid w:val="00EE47CF"/>
    <w:rsid w:val="00EE4E79"/>
    <w:rsid w:val="00EE54E7"/>
    <w:rsid w:val="00EE54F8"/>
    <w:rsid w:val="00EE6102"/>
    <w:rsid w:val="00EE6A3C"/>
    <w:rsid w:val="00EE7182"/>
    <w:rsid w:val="00EE75CE"/>
    <w:rsid w:val="00EE774E"/>
    <w:rsid w:val="00EE7A6F"/>
    <w:rsid w:val="00EF07C5"/>
    <w:rsid w:val="00EF150B"/>
    <w:rsid w:val="00EF1991"/>
    <w:rsid w:val="00EF2C23"/>
    <w:rsid w:val="00EF400A"/>
    <w:rsid w:val="00EF434F"/>
    <w:rsid w:val="00EF4B33"/>
    <w:rsid w:val="00EF4F44"/>
    <w:rsid w:val="00EF57EA"/>
    <w:rsid w:val="00EF58DA"/>
    <w:rsid w:val="00EF7385"/>
    <w:rsid w:val="00EF73C6"/>
    <w:rsid w:val="00EF74A1"/>
    <w:rsid w:val="00EF750F"/>
    <w:rsid w:val="00EF7CB2"/>
    <w:rsid w:val="00F00C49"/>
    <w:rsid w:val="00F0156C"/>
    <w:rsid w:val="00F01F17"/>
    <w:rsid w:val="00F021EF"/>
    <w:rsid w:val="00F022E9"/>
    <w:rsid w:val="00F027A9"/>
    <w:rsid w:val="00F02904"/>
    <w:rsid w:val="00F02BC3"/>
    <w:rsid w:val="00F02FA9"/>
    <w:rsid w:val="00F050FD"/>
    <w:rsid w:val="00F05B6F"/>
    <w:rsid w:val="00F062CE"/>
    <w:rsid w:val="00F0645F"/>
    <w:rsid w:val="00F06BE5"/>
    <w:rsid w:val="00F07E29"/>
    <w:rsid w:val="00F11571"/>
    <w:rsid w:val="00F11B52"/>
    <w:rsid w:val="00F11EE5"/>
    <w:rsid w:val="00F12EC3"/>
    <w:rsid w:val="00F13EB3"/>
    <w:rsid w:val="00F15F9E"/>
    <w:rsid w:val="00F16AE8"/>
    <w:rsid w:val="00F16CC8"/>
    <w:rsid w:val="00F20D29"/>
    <w:rsid w:val="00F222C2"/>
    <w:rsid w:val="00F22975"/>
    <w:rsid w:val="00F253FF"/>
    <w:rsid w:val="00F25E34"/>
    <w:rsid w:val="00F265B7"/>
    <w:rsid w:val="00F26AEC"/>
    <w:rsid w:val="00F27E7D"/>
    <w:rsid w:val="00F30268"/>
    <w:rsid w:val="00F309BF"/>
    <w:rsid w:val="00F31A8A"/>
    <w:rsid w:val="00F33728"/>
    <w:rsid w:val="00F33A77"/>
    <w:rsid w:val="00F33C4F"/>
    <w:rsid w:val="00F3499E"/>
    <w:rsid w:val="00F35D8C"/>
    <w:rsid w:val="00F37A4F"/>
    <w:rsid w:val="00F37B3B"/>
    <w:rsid w:val="00F4041A"/>
    <w:rsid w:val="00F40D6E"/>
    <w:rsid w:val="00F43021"/>
    <w:rsid w:val="00F444A8"/>
    <w:rsid w:val="00F4591D"/>
    <w:rsid w:val="00F4595D"/>
    <w:rsid w:val="00F45E26"/>
    <w:rsid w:val="00F46A3C"/>
    <w:rsid w:val="00F47D71"/>
    <w:rsid w:val="00F50267"/>
    <w:rsid w:val="00F50476"/>
    <w:rsid w:val="00F5068A"/>
    <w:rsid w:val="00F508ED"/>
    <w:rsid w:val="00F52FC7"/>
    <w:rsid w:val="00F53279"/>
    <w:rsid w:val="00F532A9"/>
    <w:rsid w:val="00F53CA0"/>
    <w:rsid w:val="00F53D1F"/>
    <w:rsid w:val="00F54968"/>
    <w:rsid w:val="00F55447"/>
    <w:rsid w:val="00F55AFF"/>
    <w:rsid w:val="00F578DB"/>
    <w:rsid w:val="00F57C5F"/>
    <w:rsid w:val="00F603D7"/>
    <w:rsid w:val="00F605B0"/>
    <w:rsid w:val="00F613C9"/>
    <w:rsid w:val="00F63E33"/>
    <w:rsid w:val="00F63EB2"/>
    <w:rsid w:val="00F646E6"/>
    <w:rsid w:val="00F64E58"/>
    <w:rsid w:val="00F65137"/>
    <w:rsid w:val="00F65906"/>
    <w:rsid w:val="00F6608F"/>
    <w:rsid w:val="00F6658B"/>
    <w:rsid w:val="00F67492"/>
    <w:rsid w:val="00F70E66"/>
    <w:rsid w:val="00F71E15"/>
    <w:rsid w:val="00F72614"/>
    <w:rsid w:val="00F73794"/>
    <w:rsid w:val="00F737E4"/>
    <w:rsid w:val="00F73A5A"/>
    <w:rsid w:val="00F74CD9"/>
    <w:rsid w:val="00F7525C"/>
    <w:rsid w:val="00F75DA0"/>
    <w:rsid w:val="00F76312"/>
    <w:rsid w:val="00F77ECF"/>
    <w:rsid w:val="00F80099"/>
    <w:rsid w:val="00F8017D"/>
    <w:rsid w:val="00F80A6B"/>
    <w:rsid w:val="00F81258"/>
    <w:rsid w:val="00F82514"/>
    <w:rsid w:val="00F837B9"/>
    <w:rsid w:val="00F8401F"/>
    <w:rsid w:val="00F84044"/>
    <w:rsid w:val="00F84074"/>
    <w:rsid w:val="00F84DA1"/>
    <w:rsid w:val="00F85119"/>
    <w:rsid w:val="00F85233"/>
    <w:rsid w:val="00F85F5C"/>
    <w:rsid w:val="00F86650"/>
    <w:rsid w:val="00F86A8B"/>
    <w:rsid w:val="00F86CBC"/>
    <w:rsid w:val="00F871C3"/>
    <w:rsid w:val="00F87811"/>
    <w:rsid w:val="00F914FD"/>
    <w:rsid w:val="00F91737"/>
    <w:rsid w:val="00F92523"/>
    <w:rsid w:val="00F93446"/>
    <w:rsid w:val="00F9388E"/>
    <w:rsid w:val="00F94884"/>
    <w:rsid w:val="00F94D7E"/>
    <w:rsid w:val="00F967A4"/>
    <w:rsid w:val="00F96BFF"/>
    <w:rsid w:val="00FA0E48"/>
    <w:rsid w:val="00FA1320"/>
    <w:rsid w:val="00FA1436"/>
    <w:rsid w:val="00FA2BA4"/>
    <w:rsid w:val="00FA3F87"/>
    <w:rsid w:val="00FA414C"/>
    <w:rsid w:val="00FA55DA"/>
    <w:rsid w:val="00FA567B"/>
    <w:rsid w:val="00FA589E"/>
    <w:rsid w:val="00FA5E7A"/>
    <w:rsid w:val="00FA6094"/>
    <w:rsid w:val="00FA6CB3"/>
    <w:rsid w:val="00FA7041"/>
    <w:rsid w:val="00FA790F"/>
    <w:rsid w:val="00FB296B"/>
    <w:rsid w:val="00FB2AB6"/>
    <w:rsid w:val="00FB2B6A"/>
    <w:rsid w:val="00FB3DD1"/>
    <w:rsid w:val="00FB4717"/>
    <w:rsid w:val="00FB4BB0"/>
    <w:rsid w:val="00FB4E6B"/>
    <w:rsid w:val="00FB568F"/>
    <w:rsid w:val="00FB5FEB"/>
    <w:rsid w:val="00FB6BA8"/>
    <w:rsid w:val="00FB70C0"/>
    <w:rsid w:val="00FB79CC"/>
    <w:rsid w:val="00FC00A4"/>
    <w:rsid w:val="00FC0853"/>
    <w:rsid w:val="00FC1975"/>
    <w:rsid w:val="00FC46FB"/>
    <w:rsid w:val="00FC4D32"/>
    <w:rsid w:val="00FC675F"/>
    <w:rsid w:val="00FC68BC"/>
    <w:rsid w:val="00FC6A5E"/>
    <w:rsid w:val="00FC7D88"/>
    <w:rsid w:val="00FD0A36"/>
    <w:rsid w:val="00FD1B4D"/>
    <w:rsid w:val="00FD1FB3"/>
    <w:rsid w:val="00FD27E6"/>
    <w:rsid w:val="00FD3757"/>
    <w:rsid w:val="00FD3884"/>
    <w:rsid w:val="00FD3912"/>
    <w:rsid w:val="00FD4672"/>
    <w:rsid w:val="00FD48DB"/>
    <w:rsid w:val="00FD4949"/>
    <w:rsid w:val="00FD55E6"/>
    <w:rsid w:val="00FD6903"/>
    <w:rsid w:val="00FE0699"/>
    <w:rsid w:val="00FE0F66"/>
    <w:rsid w:val="00FE1B18"/>
    <w:rsid w:val="00FE1B71"/>
    <w:rsid w:val="00FE27D2"/>
    <w:rsid w:val="00FE2C75"/>
    <w:rsid w:val="00FE2C96"/>
    <w:rsid w:val="00FE4D5F"/>
    <w:rsid w:val="00FE5529"/>
    <w:rsid w:val="00FE6604"/>
    <w:rsid w:val="00FE6BD9"/>
    <w:rsid w:val="00FE775F"/>
    <w:rsid w:val="00FE778C"/>
    <w:rsid w:val="00FE7A74"/>
    <w:rsid w:val="00FF025D"/>
    <w:rsid w:val="00FF076F"/>
    <w:rsid w:val="00FF25FD"/>
    <w:rsid w:val="00FF429F"/>
    <w:rsid w:val="00FF4783"/>
    <w:rsid w:val="05259875"/>
    <w:rsid w:val="07154EA0"/>
    <w:rsid w:val="08383192"/>
    <w:rsid w:val="093279EB"/>
    <w:rsid w:val="0ABD8DA4"/>
    <w:rsid w:val="0C11C37A"/>
    <w:rsid w:val="0C3F21D3"/>
    <w:rsid w:val="129B98E3"/>
    <w:rsid w:val="137A7722"/>
    <w:rsid w:val="167C2DD8"/>
    <w:rsid w:val="182EEF31"/>
    <w:rsid w:val="18716006"/>
    <w:rsid w:val="1DFB466C"/>
    <w:rsid w:val="21EC8559"/>
    <w:rsid w:val="272BE066"/>
    <w:rsid w:val="2B15A025"/>
    <w:rsid w:val="2F73D62D"/>
    <w:rsid w:val="308EC085"/>
    <w:rsid w:val="30D8AB69"/>
    <w:rsid w:val="34C0AEC0"/>
    <w:rsid w:val="3522E5A9"/>
    <w:rsid w:val="3841DA99"/>
    <w:rsid w:val="38922160"/>
    <w:rsid w:val="3A38718C"/>
    <w:rsid w:val="3AA1DD60"/>
    <w:rsid w:val="3D66EA16"/>
    <w:rsid w:val="41649BDB"/>
    <w:rsid w:val="432530C9"/>
    <w:rsid w:val="44021FC7"/>
    <w:rsid w:val="44BD0389"/>
    <w:rsid w:val="4DE828F2"/>
    <w:rsid w:val="4E92D851"/>
    <w:rsid w:val="50E47EB7"/>
    <w:rsid w:val="52D53370"/>
    <w:rsid w:val="5570CC05"/>
    <w:rsid w:val="560AA923"/>
    <w:rsid w:val="5D24D0BB"/>
    <w:rsid w:val="602B83A0"/>
    <w:rsid w:val="62AB8967"/>
    <w:rsid w:val="65B6EBC9"/>
    <w:rsid w:val="67D1DBD3"/>
    <w:rsid w:val="6A7994E9"/>
    <w:rsid w:val="6B41E5CF"/>
    <w:rsid w:val="6DAC028D"/>
    <w:rsid w:val="6E4A49A9"/>
    <w:rsid w:val="6EA61F17"/>
    <w:rsid w:val="6EECFBA1"/>
    <w:rsid w:val="73E0CD3E"/>
    <w:rsid w:val="77C8969B"/>
    <w:rsid w:val="78EE84CB"/>
    <w:rsid w:val="7CAFE33F"/>
    <w:rsid w:val="7D61CE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A1C50"/>
  <w15:chartTrackingRefBased/>
  <w15:docId w15:val="{DAD22066-47E7-49D3-8884-956AC06E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Body Text Indent 3"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FAA"/>
    <w:rPr>
      <w:sz w:val="24"/>
      <w:szCs w:val="24"/>
      <w:lang w:eastAsia="en-US"/>
    </w:rPr>
  </w:style>
  <w:style w:type="paragraph" w:styleId="Heading1">
    <w:name w:val="heading 1"/>
    <w:basedOn w:val="Normal"/>
    <w:next w:val="Normal"/>
    <w:link w:val="Heading1Char"/>
    <w:autoRedefine/>
    <w:uiPriority w:val="9"/>
    <w:qFormat/>
    <w:rsid w:val="00C328A7"/>
    <w:pPr>
      <w:keepNext/>
      <w:widowControl w:val="0"/>
      <w:numPr>
        <w:numId w:val="1"/>
      </w:numPr>
      <w:spacing w:before="240" w:after="120"/>
      <w:jc w:val="both"/>
      <w:outlineLvl w:val="0"/>
    </w:pPr>
    <w:rPr>
      <w:rFonts w:ascii="Arial" w:eastAsia="Calibri" w:hAnsi="Arial" w:cs="Arial"/>
      <w:b/>
      <w:caps/>
      <w:kern w:val="28"/>
      <w:szCs w:val="20"/>
      <w:u w:val="single"/>
    </w:rPr>
  </w:style>
  <w:style w:type="paragraph" w:styleId="Heading2">
    <w:name w:val="heading 2"/>
    <w:basedOn w:val="Normal"/>
    <w:next w:val="Normal"/>
    <w:link w:val="Heading2Char"/>
    <w:uiPriority w:val="9"/>
    <w:unhideWhenUsed/>
    <w:qFormat/>
    <w:rsid w:val="00C328A7"/>
    <w:pPr>
      <w:keepNext/>
      <w:numPr>
        <w:ilvl w:val="1"/>
        <w:numId w:val="1"/>
      </w:numPr>
      <w:spacing w:before="240" w:after="120"/>
      <w:outlineLvl w:val="1"/>
    </w:pPr>
    <w:rPr>
      <w:rFonts w:ascii="Arial" w:hAnsi="Arial" w:cs="Arial"/>
      <w:b/>
      <w:bCs/>
    </w:rPr>
  </w:style>
  <w:style w:type="paragraph" w:styleId="Heading3">
    <w:name w:val="heading 3"/>
    <w:basedOn w:val="NoSpacing"/>
    <w:next w:val="Normal"/>
    <w:link w:val="Heading3Char"/>
    <w:unhideWhenUsed/>
    <w:qFormat/>
    <w:rsid w:val="00C328A7"/>
    <w:pPr>
      <w:keepNext/>
      <w:spacing w:before="120" w:after="120"/>
      <w:outlineLvl w:val="2"/>
    </w:pPr>
    <w:rPr>
      <w:rFonts w:ascii="Arial" w:hAnsi="Arial"/>
      <w:b/>
      <w:iCs/>
    </w:rPr>
  </w:style>
  <w:style w:type="paragraph" w:styleId="Heading4">
    <w:name w:val="heading 4"/>
    <w:basedOn w:val="NoSpacing"/>
    <w:next w:val="Normal"/>
    <w:link w:val="Heading4Char"/>
    <w:unhideWhenUsed/>
    <w:qFormat/>
    <w:rsid w:val="00C328A7"/>
    <w:pPr>
      <w:keepNext/>
      <w:spacing w:before="60" w:after="60"/>
      <w:outlineLvl w:val="3"/>
    </w:pPr>
    <w:rPr>
      <w:rFonts w:ascii="Arial" w:eastAsia="Calibri" w:hAnsi="Arial"/>
      <w:b/>
      <w:i/>
      <w:iCs/>
    </w:rPr>
  </w:style>
  <w:style w:type="paragraph" w:styleId="Heading5">
    <w:name w:val="heading 5"/>
    <w:basedOn w:val="Normal"/>
    <w:next w:val="Normal"/>
    <w:link w:val="Heading5Char"/>
    <w:semiHidden/>
    <w:unhideWhenUsed/>
    <w:qFormat/>
    <w:rsid w:val="00E75CC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E75CC8"/>
    <w:pPr>
      <w:numPr>
        <w:ilvl w:val="5"/>
        <w:numId w:val="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E75CC8"/>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E75CC8"/>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E75CC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54F1"/>
    <w:pPr>
      <w:tabs>
        <w:tab w:val="center" w:pos="4320"/>
        <w:tab w:val="right" w:pos="8640"/>
      </w:tabs>
    </w:pPr>
  </w:style>
  <w:style w:type="paragraph" w:styleId="Footer">
    <w:name w:val="footer"/>
    <w:basedOn w:val="Normal"/>
    <w:link w:val="FooterChar"/>
    <w:rsid w:val="002054F1"/>
    <w:pPr>
      <w:tabs>
        <w:tab w:val="center" w:pos="4320"/>
        <w:tab w:val="right" w:pos="8640"/>
      </w:tabs>
    </w:pPr>
  </w:style>
  <w:style w:type="character" w:styleId="PageNumber">
    <w:name w:val="page number"/>
    <w:basedOn w:val="DefaultParagraphFont"/>
    <w:rsid w:val="002054F1"/>
  </w:style>
  <w:style w:type="paragraph" w:styleId="BalloonText">
    <w:name w:val="Balloon Text"/>
    <w:basedOn w:val="Normal"/>
    <w:semiHidden/>
    <w:rsid w:val="00AE39FE"/>
    <w:rPr>
      <w:rFonts w:ascii="Tahoma" w:hAnsi="Tahoma" w:cs="Tahoma"/>
      <w:sz w:val="16"/>
      <w:szCs w:val="16"/>
    </w:rPr>
  </w:style>
  <w:style w:type="character" w:styleId="CommentReference">
    <w:name w:val="annotation reference"/>
    <w:rsid w:val="004E15C8"/>
    <w:rPr>
      <w:sz w:val="16"/>
      <w:szCs w:val="16"/>
    </w:rPr>
  </w:style>
  <w:style w:type="paragraph" w:styleId="CommentText">
    <w:name w:val="annotation text"/>
    <w:aliases w:val="Comment Text Char Char Char,Comment Text Char1 Char,Annotationtext,Comment Text Char1,Kommentartekst,Comment Text Char Char,Char Char Char,Char Char1, Char Char Char, Char Char1,Char1,Char2, Char1"/>
    <w:basedOn w:val="Normal"/>
    <w:link w:val="CommentTextChar"/>
    <w:rsid w:val="004E15C8"/>
    <w:rPr>
      <w:sz w:val="20"/>
      <w:szCs w:val="20"/>
    </w:rPr>
  </w:style>
  <w:style w:type="paragraph" w:styleId="CommentSubject">
    <w:name w:val="annotation subject"/>
    <w:basedOn w:val="CommentText"/>
    <w:next w:val="CommentText"/>
    <w:link w:val="CommentSubjectChar"/>
    <w:uiPriority w:val="99"/>
    <w:semiHidden/>
    <w:rsid w:val="004E15C8"/>
    <w:rPr>
      <w:b/>
      <w:bCs/>
    </w:rPr>
  </w:style>
  <w:style w:type="table" w:styleId="TableGrid">
    <w:name w:val="Table Grid"/>
    <w:basedOn w:val="TableNormal"/>
    <w:uiPriority w:val="59"/>
    <w:rsid w:val="00F47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055DF"/>
    <w:rPr>
      <w:b/>
      <w:bCs/>
    </w:rPr>
  </w:style>
  <w:style w:type="paragraph" w:customStyle="1" w:styleId="Text">
    <w:name w:val="Text"/>
    <w:link w:val="TextChar"/>
    <w:rsid w:val="001F1B2B"/>
    <w:pPr>
      <w:spacing w:before="120"/>
    </w:pPr>
    <w:rPr>
      <w:sz w:val="24"/>
      <w:szCs w:val="24"/>
      <w:lang w:val="en-US" w:eastAsia="en-US"/>
    </w:rPr>
  </w:style>
  <w:style w:type="character" w:customStyle="1" w:styleId="TextChar">
    <w:name w:val="Text Char"/>
    <w:link w:val="Text"/>
    <w:rsid w:val="001F1B2B"/>
    <w:rPr>
      <w:sz w:val="24"/>
      <w:szCs w:val="24"/>
      <w:lang w:val="en-US" w:eastAsia="en-US" w:bidi="ar-SA"/>
    </w:rPr>
  </w:style>
  <w:style w:type="character" w:customStyle="1" w:styleId="HeaderChar">
    <w:name w:val="Header Char"/>
    <w:link w:val="Header"/>
    <w:uiPriority w:val="99"/>
    <w:locked/>
    <w:rsid w:val="003B09AC"/>
    <w:rPr>
      <w:sz w:val="24"/>
      <w:szCs w:val="24"/>
      <w:lang w:eastAsia="en-US"/>
    </w:rPr>
  </w:style>
  <w:style w:type="paragraph" w:styleId="BodyTextIndent3">
    <w:name w:val="Body Text Indent 3"/>
    <w:basedOn w:val="Normal"/>
    <w:link w:val="BodyTextIndent3Char"/>
    <w:uiPriority w:val="99"/>
    <w:rsid w:val="003B09AC"/>
    <w:pPr>
      <w:tabs>
        <w:tab w:val="left" w:pos="0"/>
        <w:tab w:val="left" w:pos="851"/>
      </w:tabs>
      <w:ind w:left="855"/>
      <w:jc w:val="both"/>
    </w:pPr>
    <w:rPr>
      <w:rFonts w:ascii="Arial" w:hAnsi="Arial"/>
      <w:spacing w:val="-3"/>
      <w:szCs w:val="20"/>
      <w:lang w:val="en-GB" w:eastAsia="en-GB"/>
    </w:rPr>
  </w:style>
  <w:style w:type="character" w:customStyle="1" w:styleId="BodyTextIndent3Char">
    <w:name w:val="Body Text Indent 3 Char"/>
    <w:link w:val="BodyTextIndent3"/>
    <w:uiPriority w:val="99"/>
    <w:rsid w:val="003B09AC"/>
    <w:rPr>
      <w:rFonts w:ascii="Arial" w:hAnsi="Arial"/>
      <w:spacing w:val="-3"/>
      <w:sz w:val="24"/>
      <w:lang w:val="en-GB" w:eastAsia="en-GB"/>
    </w:rPr>
  </w:style>
  <w:style w:type="paragraph" w:customStyle="1" w:styleId="Default">
    <w:name w:val="Default"/>
    <w:rsid w:val="003B2C63"/>
    <w:pPr>
      <w:autoSpaceDE w:val="0"/>
      <w:autoSpaceDN w:val="0"/>
      <w:adjustRightInd w:val="0"/>
    </w:pPr>
    <w:rPr>
      <w:rFonts w:ascii="Cambria" w:hAnsi="Cambria" w:cs="Cambria"/>
      <w:color w:val="000000"/>
      <w:sz w:val="24"/>
      <w:szCs w:val="24"/>
    </w:rPr>
  </w:style>
  <w:style w:type="character" w:customStyle="1" w:styleId="Heading1Char">
    <w:name w:val="Heading 1 Char"/>
    <w:link w:val="Heading1"/>
    <w:uiPriority w:val="9"/>
    <w:rsid w:val="00C328A7"/>
    <w:rPr>
      <w:rFonts w:ascii="Arial" w:eastAsia="Calibri" w:hAnsi="Arial" w:cs="Arial"/>
      <w:b/>
      <w:caps/>
      <w:kern w:val="28"/>
      <w:sz w:val="24"/>
      <w:u w:val="single"/>
      <w:lang w:eastAsia="en-US"/>
    </w:rPr>
  </w:style>
  <w:style w:type="character" w:customStyle="1" w:styleId="Heading2Char">
    <w:name w:val="Heading 2 Char"/>
    <w:link w:val="Heading2"/>
    <w:uiPriority w:val="9"/>
    <w:rsid w:val="00C328A7"/>
    <w:rPr>
      <w:rFonts w:ascii="Arial" w:hAnsi="Arial" w:cs="Arial"/>
      <w:b/>
      <w:bCs/>
      <w:sz w:val="24"/>
      <w:szCs w:val="24"/>
      <w:lang w:eastAsia="en-US"/>
    </w:rPr>
  </w:style>
  <w:style w:type="paragraph" w:styleId="Revision">
    <w:name w:val="Revision"/>
    <w:hidden/>
    <w:uiPriority w:val="99"/>
    <w:semiHidden/>
    <w:rsid w:val="00423482"/>
    <w:rPr>
      <w:sz w:val="24"/>
      <w:szCs w:val="24"/>
      <w:lang w:eastAsia="en-US"/>
    </w:rPr>
  </w:style>
  <w:style w:type="character" w:customStyle="1" w:styleId="apple-converted-space">
    <w:name w:val="apple-converted-space"/>
    <w:rsid w:val="00E076DA"/>
  </w:style>
  <w:style w:type="character" w:customStyle="1" w:styleId="s1">
    <w:name w:val="s1"/>
    <w:rsid w:val="00D41564"/>
    <w:rPr>
      <w:rFonts w:ascii="Arial" w:hAnsi="Arial" w:cs="Arial" w:hint="default"/>
    </w:rPr>
  </w:style>
  <w:style w:type="paragraph" w:customStyle="1" w:styleId="Tableheading">
    <w:name w:val="Table heading"/>
    <w:basedOn w:val="Normal"/>
    <w:next w:val="Normal"/>
    <w:autoRedefine/>
    <w:qFormat/>
    <w:rsid w:val="007D1AA9"/>
    <w:rPr>
      <w:rFonts w:ascii="Arial" w:eastAsia="Calibri" w:hAnsi="Arial" w:cs="Arial"/>
      <w:b/>
      <w:sz w:val="20"/>
      <w:szCs w:val="20"/>
    </w:rPr>
  </w:style>
  <w:style w:type="paragraph" w:customStyle="1" w:styleId="Tablebody">
    <w:name w:val="Table body"/>
    <w:basedOn w:val="Normal"/>
    <w:next w:val="Normal"/>
    <w:autoRedefine/>
    <w:qFormat/>
    <w:rsid w:val="007D1AA9"/>
    <w:rPr>
      <w:rFonts w:ascii="Arial" w:eastAsia="Calibri" w:hAnsi="Arial" w:cs="Arial"/>
      <w:sz w:val="20"/>
      <w:szCs w:val="20"/>
    </w:rPr>
  </w:style>
  <w:style w:type="paragraph" w:customStyle="1" w:styleId="Tablefootnotes">
    <w:name w:val="Table footnotes"/>
    <w:basedOn w:val="Normal"/>
    <w:next w:val="Normal"/>
    <w:autoRedefine/>
    <w:qFormat/>
    <w:rsid w:val="007D1AA9"/>
    <w:pPr>
      <w:contextualSpacing/>
      <w:jc w:val="both"/>
    </w:pPr>
    <w:rPr>
      <w:rFonts w:ascii="Arial" w:hAnsi="Arial"/>
      <w:spacing w:val="5"/>
      <w:kern w:val="28"/>
      <w:sz w:val="18"/>
      <w:szCs w:val="52"/>
    </w:rPr>
  </w:style>
  <w:style w:type="paragraph" w:styleId="BodyText">
    <w:name w:val="Body Text"/>
    <w:basedOn w:val="Normal"/>
    <w:link w:val="BodyTextChar"/>
    <w:uiPriority w:val="1"/>
    <w:qFormat/>
    <w:rsid w:val="009C0EEB"/>
    <w:pPr>
      <w:spacing w:after="120"/>
    </w:pPr>
  </w:style>
  <w:style w:type="character" w:customStyle="1" w:styleId="BodyTextChar">
    <w:name w:val="Body Text Char"/>
    <w:link w:val="BodyText"/>
    <w:uiPriority w:val="1"/>
    <w:rsid w:val="004F5C48"/>
    <w:rPr>
      <w:sz w:val="24"/>
      <w:szCs w:val="24"/>
      <w:lang w:eastAsia="en-US"/>
    </w:rPr>
  </w:style>
  <w:style w:type="character" w:styleId="Hyperlink">
    <w:name w:val="Hyperlink"/>
    <w:basedOn w:val="DefaultParagraphFont"/>
    <w:rsid w:val="00B17C13"/>
    <w:rPr>
      <w:color w:val="0563C1" w:themeColor="hyperlink"/>
      <w:u w:val="single"/>
    </w:rPr>
  </w:style>
  <w:style w:type="character" w:customStyle="1" w:styleId="UnresolvedMention">
    <w:name w:val="Unresolved Mention"/>
    <w:basedOn w:val="DefaultParagraphFont"/>
    <w:uiPriority w:val="99"/>
    <w:semiHidden/>
    <w:unhideWhenUsed/>
    <w:rsid w:val="00B17C13"/>
    <w:rPr>
      <w:color w:val="605E5C"/>
      <w:shd w:val="clear" w:color="auto" w:fill="E1DFDD"/>
    </w:rPr>
  </w:style>
  <w:style w:type="paragraph" w:styleId="NoSpacing">
    <w:name w:val="No Spacing"/>
    <w:uiPriority w:val="1"/>
    <w:qFormat/>
    <w:rsid w:val="00F87811"/>
    <w:rPr>
      <w:sz w:val="24"/>
      <w:szCs w:val="24"/>
      <w:lang w:eastAsia="en-US"/>
    </w:rPr>
  </w:style>
  <w:style w:type="character" w:customStyle="1" w:styleId="Heading3Char">
    <w:name w:val="Heading 3 Char"/>
    <w:basedOn w:val="DefaultParagraphFont"/>
    <w:link w:val="Heading3"/>
    <w:rsid w:val="00C328A7"/>
    <w:rPr>
      <w:rFonts w:ascii="Arial" w:hAnsi="Arial"/>
      <w:b/>
      <w:iCs/>
      <w:sz w:val="24"/>
      <w:szCs w:val="24"/>
      <w:lang w:eastAsia="en-US"/>
    </w:rPr>
  </w:style>
  <w:style w:type="character" w:customStyle="1" w:styleId="Heading4Char">
    <w:name w:val="Heading 4 Char"/>
    <w:basedOn w:val="DefaultParagraphFont"/>
    <w:link w:val="Heading4"/>
    <w:rsid w:val="00C328A7"/>
    <w:rPr>
      <w:rFonts w:ascii="Arial" w:eastAsia="Calibri" w:hAnsi="Arial"/>
      <w:b/>
      <w:i/>
      <w:iCs/>
      <w:sz w:val="24"/>
      <w:szCs w:val="24"/>
      <w:lang w:eastAsia="en-US"/>
    </w:rPr>
  </w:style>
  <w:style w:type="character" w:customStyle="1" w:styleId="Heading5Char">
    <w:name w:val="Heading 5 Char"/>
    <w:basedOn w:val="DefaultParagraphFont"/>
    <w:link w:val="Heading5"/>
    <w:semiHidden/>
    <w:rsid w:val="00E75CC8"/>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semiHidden/>
    <w:rsid w:val="00E75CC8"/>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semiHidden/>
    <w:rsid w:val="00E75CC8"/>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E75CC8"/>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E75CC8"/>
    <w:rPr>
      <w:rFonts w:asciiTheme="majorHAnsi" w:eastAsiaTheme="majorEastAsia" w:hAnsiTheme="majorHAnsi" w:cstheme="majorBidi"/>
      <w:sz w:val="22"/>
      <w:szCs w:val="22"/>
      <w:lang w:eastAsia="en-US"/>
    </w:rPr>
  </w:style>
  <w:style w:type="character" w:styleId="FollowedHyperlink">
    <w:name w:val="FollowedHyperlink"/>
    <w:basedOn w:val="DefaultParagraphFont"/>
    <w:rsid w:val="00FD4949"/>
    <w:rPr>
      <w:color w:val="0000FF"/>
      <w:u w:val="single"/>
    </w:rPr>
  </w:style>
  <w:style w:type="paragraph" w:customStyle="1" w:styleId="NormalAgency">
    <w:name w:val="Normal (Agency)"/>
    <w:link w:val="NormalAgencyChar"/>
    <w:rsid w:val="001652C1"/>
    <w:rPr>
      <w:rFonts w:ascii="Verdana" w:eastAsia="SimSun" w:hAnsi="Verdana"/>
      <w:sz w:val="22"/>
      <w:szCs w:val="22"/>
      <w:lang w:val="en-GB" w:eastAsia="en-GB"/>
    </w:rPr>
  </w:style>
  <w:style w:type="character" w:customStyle="1" w:styleId="NormalAgencyChar">
    <w:name w:val="Normal (Agency) Char"/>
    <w:link w:val="NormalAgency"/>
    <w:locked/>
    <w:rsid w:val="001652C1"/>
    <w:rPr>
      <w:rFonts w:ascii="Verdana" w:eastAsia="SimSun" w:hAnsi="Verdana"/>
      <w:sz w:val="22"/>
      <w:szCs w:val="22"/>
      <w:lang w:val="en-GB" w:eastAsia="en-GB"/>
    </w:rPr>
  </w:style>
  <w:style w:type="paragraph" w:styleId="ListParagraph">
    <w:name w:val="List Paragraph"/>
    <w:basedOn w:val="Normal"/>
    <w:uiPriority w:val="1"/>
    <w:qFormat/>
    <w:rsid w:val="009C0EEB"/>
    <w:pPr>
      <w:tabs>
        <w:tab w:val="left" w:pos="567"/>
      </w:tabs>
      <w:spacing w:line="260" w:lineRule="exact"/>
      <w:ind w:left="720"/>
      <w:contextualSpacing/>
    </w:pPr>
    <w:rPr>
      <w:rFonts w:eastAsia="SimSun"/>
      <w:sz w:val="22"/>
      <w:szCs w:val="20"/>
      <w:lang w:val="en-GB"/>
    </w:rPr>
  </w:style>
  <w:style w:type="paragraph" w:customStyle="1" w:styleId="BodytextAgency">
    <w:name w:val="Body text (Agency)"/>
    <w:basedOn w:val="Normal"/>
    <w:link w:val="BodytextAgencyChar"/>
    <w:qFormat/>
    <w:rsid w:val="00316251"/>
    <w:pPr>
      <w:spacing w:after="140" w:line="280" w:lineRule="atLeast"/>
    </w:pPr>
    <w:rPr>
      <w:rFonts w:ascii="Verdana" w:eastAsia="SimSun" w:hAnsi="Verdana"/>
      <w:sz w:val="18"/>
      <w:szCs w:val="20"/>
      <w:lang w:val="en-GB" w:eastAsia="en-GB"/>
    </w:rPr>
  </w:style>
  <w:style w:type="character" w:customStyle="1" w:styleId="BodytextAgencyChar">
    <w:name w:val="Body text (Agency) Char"/>
    <w:link w:val="BodytextAgency"/>
    <w:locked/>
    <w:rsid w:val="00316251"/>
    <w:rPr>
      <w:rFonts w:ascii="Verdana" w:eastAsia="SimSun" w:hAnsi="Verdana"/>
      <w:sz w:val="18"/>
      <w:lang w:val="en-GB" w:eastAsia="en-GB"/>
    </w:rPr>
  </w:style>
  <w:style w:type="paragraph" w:customStyle="1" w:styleId="ParagraphStyle">
    <w:name w:val="Paragraph Style"/>
    <w:basedOn w:val="Normal"/>
    <w:uiPriority w:val="99"/>
    <w:rsid w:val="00316251"/>
    <w:pPr>
      <w:spacing w:before="120" w:after="120"/>
    </w:pPr>
    <w:rPr>
      <w:rFonts w:eastAsia="SimSun"/>
      <w:color w:val="000000"/>
      <w:szCs w:val="22"/>
      <w:lang w:val="en-CA"/>
    </w:rPr>
  </w:style>
  <w:style w:type="paragraph" w:customStyle="1" w:styleId="BMSTableHeader">
    <w:name w:val="BMS Table Header"/>
    <w:basedOn w:val="BMSTableText"/>
    <w:link w:val="BMSTableHeaderChar"/>
    <w:rsid w:val="00316251"/>
    <w:rPr>
      <w:b/>
    </w:rPr>
  </w:style>
  <w:style w:type="paragraph" w:customStyle="1" w:styleId="BMSTableText">
    <w:name w:val="BMS Table Text"/>
    <w:link w:val="BMSTableTextChar"/>
    <w:rsid w:val="00316251"/>
    <w:pPr>
      <w:tabs>
        <w:tab w:val="left" w:pos="360"/>
      </w:tabs>
      <w:spacing w:before="60" w:after="60"/>
      <w:jc w:val="center"/>
    </w:pPr>
    <w:rPr>
      <w:lang w:val="en-US" w:eastAsia="en-US"/>
    </w:rPr>
  </w:style>
  <w:style w:type="character" w:customStyle="1" w:styleId="BMSTableTextChar">
    <w:name w:val="BMS Table Text Char"/>
    <w:link w:val="BMSTableText"/>
    <w:rsid w:val="00316251"/>
    <w:rPr>
      <w:lang w:val="en-US" w:eastAsia="en-US"/>
    </w:rPr>
  </w:style>
  <w:style w:type="character" w:customStyle="1" w:styleId="BMSTableHeaderChar">
    <w:name w:val="BMS Table Header Char"/>
    <w:link w:val="BMSTableHeader"/>
    <w:rsid w:val="00316251"/>
    <w:rPr>
      <w:b/>
      <w:lang w:val="en-US" w:eastAsia="en-US"/>
    </w:rPr>
  </w:style>
  <w:style w:type="paragraph" w:customStyle="1" w:styleId="TableHeader">
    <w:name w:val="Table Header"/>
    <w:basedOn w:val="Normal"/>
    <w:rsid w:val="00DE2AA7"/>
    <w:pPr>
      <w:keepNext/>
    </w:pPr>
    <w:rPr>
      <w:b/>
      <w:sz w:val="20"/>
      <w:szCs w:val="20"/>
      <w:lang w:val="en-US"/>
    </w:rPr>
  </w:style>
  <w:style w:type="paragraph" w:customStyle="1" w:styleId="Tabletext">
    <w:name w:val="Tabletext"/>
    <w:basedOn w:val="Normal"/>
    <w:rsid w:val="00DE2AA7"/>
    <w:pPr>
      <w:widowControl w:val="0"/>
      <w:spacing w:before="40" w:after="40"/>
    </w:pPr>
    <w:rPr>
      <w:snapToGrid w:val="0"/>
      <w:sz w:val="20"/>
      <w:szCs w:val="20"/>
      <w:lang w:val="en-US"/>
    </w:rPr>
  </w:style>
  <w:style w:type="character" w:customStyle="1" w:styleId="CommentTextChar">
    <w:name w:val="Comment Text Char"/>
    <w:aliases w:val="Comment Text Char Char Char Char,Comment Text Char1 Char Char,Annotationtext Char,Comment Text Char1 Char1,Kommentartekst Char,Comment Text Char Char Char1,Char Char Char Char,Char Char1 Char, Char Char Char Char, Char Char1 Char"/>
    <w:link w:val="CommentText"/>
    <w:locked/>
    <w:rsid w:val="0035128F"/>
    <w:rPr>
      <w:lang w:eastAsia="en-US"/>
    </w:rPr>
  </w:style>
  <w:style w:type="table" w:customStyle="1" w:styleId="TableGrid2">
    <w:name w:val="Table Grid2"/>
    <w:basedOn w:val="TableNormal"/>
    <w:next w:val="TableGrid"/>
    <w:rsid w:val="00427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2381A"/>
    <w:pPr>
      <w:tabs>
        <w:tab w:val="left" w:pos="567"/>
      </w:tabs>
      <w:spacing w:after="200"/>
    </w:pPr>
    <w:rPr>
      <w:b/>
      <w:bCs/>
      <w:sz w:val="22"/>
      <w:szCs w:val="18"/>
      <w:lang w:val="en-GB"/>
    </w:rPr>
  </w:style>
  <w:style w:type="paragraph" w:styleId="NormalWeb">
    <w:name w:val="Normal (Web)"/>
    <w:basedOn w:val="Normal"/>
    <w:uiPriority w:val="99"/>
    <w:unhideWhenUsed/>
    <w:rsid w:val="007A4436"/>
    <w:pPr>
      <w:spacing w:before="100" w:beforeAutospacing="1" w:after="100" w:afterAutospacing="1"/>
    </w:pPr>
    <w:rPr>
      <w:lang w:val="en-GB" w:eastAsia="en-GB"/>
    </w:rPr>
  </w:style>
  <w:style w:type="character" w:customStyle="1" w:styleId="normaltextrun">
    <w:name w:val="normaltextrun"/>
    <w:basedOn w:val="DefaultParagraphFont"/>
    <w:rsid w:val="00FC1975"/>
  </w:style>
  <w:style w:type="character" w:customStyle="1" w:styleId="eop">
    <w:name w:val="eop"/>
    <w:basedOn w:val="DefaultParagraphFont"/>
    <w:rsid w:val="00FC1975"/>
  </w:style>
  <w:style w:type="paragraph" w:customStyle="1" w:styleId="Heading1Agency">
    <w:name w:val="Heading 1 (Agency)"/>
    <w:basedOn w:val="Normal"/>
    <w:next w:val="BodytextAgency"/>
    <w:qFormat/>
    <w:rsid w:val="00E251E8"/>
    <w:pPr>
      <w:keepNext/>
      <w:numPr>
        <w:numId w:val="4"/>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qFormat/>
    <w:rsid w:val="00E251E8"/>
    <w:pPr>
      <w:keepNext/>
      <w:numPr>
        <w:ilvl w:val="1"/>
        <w:numId w:val="4"/>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Normal"/>
    <w:next w:val="BodytextAgency"/>
    <w:qFormat/>
    <w:rsid w:val="00E251E8"/>
    <w:pPr>
      <w:keepNext/>
      <w:numPr>
        <w:ilvl w:val="2"/>
        <w:numId w:val="4"/>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BodytextAgency"/>
    <w:qFormat/>
    <w:rsid w:val="00E251E8"/>
    <w:pPr>
      <w:numPr>
        <w:ilvl w:val="3"/>
      </w:numPr>
      <w:outlineLvl w:val="3"/>
    </w:pPr>
    <w:rPr>
      <w:i/>
      <w:sz w:val="18"/>
      <w:szCs w:val="18"/>
    </w:rPr>
  </w:style>
  <w:style w:type="paragraph" w:customStyle="1" w:styleId="Heading5Agency">
    <w:name w:val="Heading 5 (Agency)"/>
    <w:basedOn w:val="Heading4Agency"/>
    <w:next w:val="BodytextAgency"/>
    <w:qFormat/>
    <w:rsid w:val="00E251E8"/>
    <w:pPr>
      <w:numPr>
        <w:ilvl w:val="4"/>
      </w:numPr>
      <w:outlineLvl w:val="4"/>
    </w:pPr>
    <w:rPr>
      <w:i w:val="0"/>
    </w:rPr>
  </w:style>
  <w:style w:type="paragraph" w:customStyle="1" w:styleId="Heading6Agency">
    <w:name w:val="Heading 6 (Agency)"/>
    <w:basedOn w:val="Heading5Agency"/>
    <w:next w:val="BodytextAgency"/>
    <w:semiHidden/>
    <w:rsid w:val="00E251E8"/>
    <w:pPr>
      <w:numPr>
        <w:ilvl w:val="5"/>
      </w:numPr>
      <w:outlineLvl w:val="5"/>
    </w:pPr>
  </w:style>
  <w:style w:type="paragraph" w:customStyle="1" w:styleId="Heading7Agency">
    <w:name w:val="Heading 7 (Agency)"/>
    <w:basedOn w:val="Heading6Agency"/>
    <w:next w:val="BodytextAgency"/>
    <w:semiHidden/>
    <w:rsid w:val="00E251E8"/>
    <w:pPr>
      <w:numPr>
        <w:ilvl w:val="6"/>
      </w:numPr>
      <w:outlineLvl w:val="6"/>
    </w:pPr>
  </w:style>
  <w:style w:type="paragraph" w:customStyle="1" w:styleId="Heading8Agency">
    <w:name w:val="Heading 8 (Agency)"/>
    <w:basedOn w:val="Heading7Agency"/>
    <w:next w:val="BodytextAgency"/>
    <w:semiHidden/>
    <w:rsid w:val="00E251E8"/>
    <w:pPr>
      <w:numPr>
        <w:ilvl w:val="7"/>
      </w:numPr>
      <w:outlineLvl w:val="7"/>
    </w:pPr>
  </w:style>
  <w:style w:type="paragraph" w:customStyle="1" w:styleId="Heading9Agency">
    <w:name w:val="Heading 9 (Agency)"/>
    <w:basedOn w:val="Heading8Agency"/>
    <w:next w:val="BodytextAgency"/>
    <w:semiHidden/>
    <w:rsid w:val="00E251E8"/>
    <w:pPr>
      <w:numPr>
        <w:ilvl w:val="8"/>
      </w:numPr>
      <w:outlineLvl w:val="8"/>
    </w:pPr>
  </w:style>
  <w:style w:type="character" w:customStyle="1" w:styleId="CommentSubjectChar">
    <w:name w:val="Comment Subject Char"/>
    <w:basedOn w:val="CommentTextChar"/>
    <w:link w:val="CommentSubject"/>
    <w:uiPriority w:val="99"/>
    <w:semiHidden/>
    <w:rsid w:val="000E43E7"/>
    <w:rPr>
      <w:b/>
      <w:bCs/>
      <w:lang w:eastAsia="en-US"/>
    </w:rPr>
  </w:style>
  <w:style w:type="paragraph" w:customStyle="1" w:styleId="TableParagraph">
    <w:name w:val="Table Paragraph"/>
    <w:basedOn w:val="Normal"/>
    <w:uiPriority w:val="1"/>
    <w:qFormat/>
    <w:rsid w:val="009C0EEB"/>
    <w:pPr>
      <w:widowControl w:val="0"/>
      <w:autoSpaceDE w:val="0"/>
      <w:autoSpaceDN w:val="0"/>
    </w:pPr>
    <w:rPr>
      <w:rFonts w:ascii="Arial" w:eastAsia="Arial" w:hAnsi="Arial" w:cs="Arial"/>
      <w:sz w:val="22"/>
      <w:szCs w:val="22"/>
      <w:lang w:val="en-US"/>
    </w:rPr>
  </w:style>
  <w:style w:type="paragraph" w:customStyle="1" w:styleId="xmsolistparagraph">
    <w:name w:val="x_msolistparagraph"/>
    <w:basedOn w:val="Normal"/>
    <w:rsid w:val="00494E3F"/>
    <w:pPr>
      <w:ind w:left="720"/>
    </w:pPr>
    <w:rPr>
      <w:rFonts w:ascii="Calibri" w:eastAsia="SimSun" w:hAnsi="Calibri" w:cs="Calibri"/>
      <w:sz w:val="22"/>
      <w:szCs w:val="22"/>
      <w:lang w:val="en-GB" w:eastAsia="zh-CN"/>
    </w:rPr>
  </w:style>
  <w:style w:type="character" w:customStyle="1" w:styleId="FooterChar">
    <w:name w:val="Footer Char"/>
    <w:basedOn w:val="DefaultParagraphFont"/>
    <w:link w:val="Footer"/>
    <w:rsid w:val="00D579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7203">
      <w:bodyDiv w:val="1"/>
      <w:marLeft w:val="0"/>
      <w:marRight w:val="0"/>
      <w:marTop w:val="0"/>
      <w:marBottom w:val="0"/>
      <w:divBdr>
        <w:top w:val="none" w:sz="0" w:space="0" w:color="auto"/>
        <w:left w:val="none" w:sz="0" w:space="0" w:color="auto"/>
        <w:bottom w:val="none" w:sz="0" w:space="0" w:color="auto"/>
        <w:right w:val="none" w:sz="0" w:space="0" w:color="auto"/>
      </w:divBdr>
    </w:div>
    <w:div w:id="248513164">
      <w:bodyDiv w:val="1"/>
      <w:marLeft w:val="0"/>
      <w:marRight w:val="0"/>
      <w:marTop w:val="0"/>
      <w:marBottom w:val="0"/>
      <w:divBdr>
        <w:top w:val="none" w:sz="0" w:space="0" w:color="auto"/>
        <w:left w:val="none" w:sz="0" w:space="0" w:color="auto"/>
        <w:bottom w:val="none" w:sz="0" w:space="0" w:color="auto"/>
        <w:right w:val="none" w:sz="0" w:space="0" w:color="auto"/>
      </w:divBdr>
    </w:div>
    <w:div w:id="402027676">
      <w:bodyDiv w:val="1"/>
      <w:marLeft w:val="0"/>
      <w:marRight w:val="0"/>
      <w:marTop w:val="0"/>
      <w:marBottom w:val="0"/>
      <w:divBdr>
        <w:top w:val="none" w:sz="0" w:space="0" w:color="auto"/>
        <w:left w:val="none" w:sz="0" w:space="0" w:color="auto"/>
        <w:bottom w:val="none" w:sz="0" w:space="0" w:color="auto"/>
        <w:right w:val="none" w:sz="0" w:space="0" w:color="auto"/>
      </w:divBdr>
    </w:div>
    <w:div w:id="606161131">
      <w:bodyDiv w:val="1"/>
      <w:marLeft w:val="0"/>
      <w:marRight w:val="0"/>
      <w:marTop w:val="0"/>
      <w:marBottom w:val="0"/>
      <w:divBdr>
        <w:top w:val="none" w:sz="0" w:space="0" w:color="auto"/>
        <w:left w:val="none" w:sz="0" w:space="0" w:color="auto"/>
        <w:bottom w:val="none" w:sz="0" w:space="0" w:color="auto"/>
        <w:right w:val="none" w:sz="0" w:space="0" w:color="auto"/>
      </w:divBdr>
      <w:divsChild>
        <w:div w:id="2028822015">
          <w:marLeft w:val="0"/>
          <w:marRight w:val="0"/>
          <w:marTop w:val="0"/>
          <w:marBottom w:val="0"/>
          <w:divBdr>
            <w:top w:val="none" w:sz="0" w:space="0" w:color="auto"/>
            <w:left w:val="none" w:sz="0" w:space="0" w:color="auto"/>
            <w:bottom w:val="none" w:sz="0" w:space="0" w:color="auto"/>
            <w:right w:val="none" w:sz="0" w:space="0" w:color="auto"/>
          </w:divBdr>
        </w:div>
      </w:divsChild>
    </w:div>
    <w:div w:id="645092875">
      <w:bodyDiv w:val="1"/>
      <w:marLeft w:val="0"/>
      <w:marRight w:val="0"/>
      <w:marTop w:val="0"/>
      <w:marBottom w:val="0"/>
      <w:divBdr>
        <w:top w:val="none" w:sz="0" w:space="0" w:color="auto"/>
        <w:left w:val="none" w:sz="0" w:space="0" w:color="auto"/>
        <w:bottom w:val="none" w:sz="0" w:space="0" w:color="auto"/>
        <w:right w:val="none" w:sz="0" w:space="0" w:color="auto"/>
      </w:divBdr>
      <w:divsChild>
        <w:div w:id="1310595935">
          <w:marLeft w:val="0"/>
          <w:marRight w:val="0"/>
          <w:marTop w:val="120"/>
          <w:marBottom w:val="120"/>
          <w:divBdr>
            <w:top w:val="none" w:sz="0" w:space="0" w:color="auto"/>
            <w:left w:val="none" w:sz="0" w:space="0" w:color="auto"/>
            <w:bottom w:val="none" w:sz="0" w:space="0" w:color="auto"/>
            <w:right w:val="none" w:sz="0" w:space="0" w:color="auto"/>
          </w:divBdr>
          <w:divsChild>
            <w:div w:id="6572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0825">
      <w:bodyDiv w:val="1"/>
      <w:marLeft w:val="0"/>
      <w:marRight w:val="0"/>
      <w:marTop w:val="0"/>
      <w:marBottom w:val="0"/>
      <w:divBdr>
        <w:top w:val="none" w:sz="0" w:space="0" w:color="auto"/>
        <w:left w:val="none" w:sz="0" w:space="0" w:color="auto"/>
        <w:bottom w:val="none" w:sz="0" w:space="0" w:color="auto"/>
        <w:right w:val="none" w:sz="0" w:space="0" w:color="auto"/>
      </w:divBdr>
    </w:div>
    <w:div w:id="1038169123">
      <w:bodyDiv w:val="1"/>
      <w:marLeft w:val="0"/>
      <w:marRight w:val="0"/>
      <w:marTop w:val="0"/>
      <w:marBottom w:val="0"/>
      <w:divBdr>
        <w:top w:val="none" w:sz="0" w:space="0" w:color="auto"/>
        <w:left w:val="none" w:sz="0" w:space="0" w:color="auto"/>
        <w:bottom w:val="none" w:sz="0" w:space="0" w:color="auto"/>
        <w:right w:val="none" w:sz="0" w:space="0" w:color="auto"/>
      </w:divBdr>
    </w:div>
    <w:div w:id="1272737166">
      <w:bodyDiv w:val="1"/>
      <w:marLeft w:val="0"/>
      <w:marRight w:val="0"/>
      <w:marTop w:val="0"/>
      <w:marBottom w:val="0"/>
      <w:divBdr>
        <w:top w:val="none" w:sz="0" w:space="0" w:color="auto"/>
        <w:left w:val="none" w:sz="0" w:space="0" w:color="auto"/>
        <w:bottom w:val="none" w:sz="0" w:space="0" w:color="auto"/>
        <w:right w:val="none" w:sz="0" w:space="0" w:color="auto"/>
      </w:divBdr>
    </w:div>
    <w:div w:id="1294602360">
      <w:bodyDiv w:val="1"/>
      <w:marLeft w:val="0"/>
      <w:marRight w:val="0"/>
      <w:marTop w:val="0"/>
      <w:marBottom w:val="0"/>
      <w:divBdr>
        <w:top w:val="none" w:sz="0" w:space="0" w:color="auto"/>
        <w:left w:val="none" w:sz="0" w:space="0" w:color="auto"/>
        <w:bottom w:val="none" w:sz="0" w:space="0" w:color="auto"/>
        <w:right w:val="none" w:sz="0" w:space="0" w:color="auto"/>
      </w:divBdr>
    </w:div>
    <w:div w:id="1304315312">
      <w:bodyDiv w:val="1"/>
      <w:marLeft w:val="0"/>
      <w:marRight w:val="0"/>
      <w:marTop w:val="0"/>
      <w:marBottom w:val="0"/>
      <w:divBdr>
        <w:top w:val="none" w:sz="0" w:space="0" w:color="auto"/>
        <w:left w:val="none" w:sz="0" w:space="0" w:color="auto"/>
        <w:bottom w:val="none" w:sz="0" w:space="0" w:color="auto"/>
        <w:right w:val="none" w:sz="0" w:space="0" w:color="auto"/>
      </w:divBdr>
      <w:divsChild>
        <w:div w:id="256259394">
          <w:marLeft w:val="0"/>
          <w:marRight w:val="0"/>
          <w:marTop w:val="0"/>
          <w:marBottom w:val="0"/>
          <w:divBdr>
            <w:top w:val="none" w:sz="0" w:space="0" w:color="auto"/>
            <w:left w:val="none" w:sz="0" w:space="0" w:color="auto"/>
            <w:bottom w:val="none" w:sz="0" w:space="0" w:color="auto"/>
            <w:right w:val="none" w:sz="0" w:space="0" w:color="auto"/>
          </w:divBdr>
        </w:div>
      </w:divsChild>
    </w:div>
    <w:div w:id="1576696729">
      <w:bodyDiv w:val="1"/>
      <w:marLeft w:val="0"/>
      <w:marRight w:val="0"/>
      <w:marTop w:val="0"/>
      <w:marBottom w:val="0"/>
      <w:divBdr>
        <w:top w:val="none" w:sz="0" w:space="0" w:color="auto"/>
        <w:left w:val="none" w:sz="0" w:space="0" w:color="auto"/>
        <w:bottom w:val="none" w:sz="0" w:space="0" w:color="auto"/>
        <w:right w:val="none" w:sz="0" w:space="0" w:color="auto"/>
      </w:divBdr>
      <w:divsChild>
        <w:div w:id="1445878519">
          <w:marLeft w:val="0"/>
          <w:marRight w:val="0"/>
          <w:marTop w:val="0"/>
          <w:marBottom w:val="0"/>
          <w:divBdr>
            <w:top w:val="none" w:sz="0" w:space="0" w:color="auto"/>
            <w:left w:val="none" w:sz="0" w:space="0" w:color="auto"/>
            <w:bottom w:val="none" w:sz="0" w:space="0" w:color="auto"/>
            <w:right w:val="none" w:sz="0" w:space="0" w:color="auto"/>
          </w:divBdr>
        </w:div>
      </w:divsChild>
    </w:div>
    <w:div w:id="1654945914">
      <w:bodyDiv w:val="1"/>
      <w:marLeft w:val="0"/>
      <w:marRight w:val="0"/>
      <w:marTop w:val="0"/>
      <w:marBottom w:val="0"/>
      <w:divBdr>
        <w:top w:val="none" w:sz="0" w:space="0" w:color="auto"/>
        <w:left w:val="none" w:sz="0" w:space="0" w:color="auto"/>
        <w:bottom w:val="none" w:sz="0" w:space="0" w:color="auto"/>
        <w:right w:val="none" w:sz="0" w:space="0" w:color="auto"/>
      </w:divBdr>
      <w:divsChild>
        <w:div w:id="1993021561">
          <w:marLeft w:val="0"/>
          <w:marRight w:val="0"/>
          <w:marTop w:val="0"/>
          <w:marBottom w:val="0"/>
          <w:divBdr>
            <w:top w:val="none" w:sz="0" w:space="0" w:color="auto"/>
            <w:left w:val="none" w:sz="0" w:space="0" w:color="auto"/>
            <w:bottom w:val="none" w:sz="0" w:space="0" w:color="auto"/>
            <w:right w:val="none" w:sz="0" w:space="0" w:color="auto"/>
          </w:divBdr>
        </w:div>
      </w:divsChild>
    </w:div>
    <w:div w:id="1722092100">
      <w:bodyDiv w:val="1"/>
      <w:marLeft w:val="0"/>
      <w:marRight w:val="0"/>
      <w:marTop w:val="0"/>
      <w:marBottom w:val="0"/>
      <w:divBdr>
        <w:top w:val="none" w:sz="0" w:space="0" w:color="auto"/>
        <w:left w:val="none" w:sz="0" w:space="0" w:color="auto"/>
        <w:bottom w:val="none" w:sz="0" w:space="0" w:color="auto"/>
        <w:right w:val="none" w:sz="0" w:space="0" w:color="auto"/>
      </w:divBdr>
    </w:div>
    <w:div w:id="1886916227">
      <w:bodyDiv w:val="1"/>
      <w:marLeft w:val="0"/>
      <w:marRight w:val="0"/>
      <w:marTop w:val="0"/>
      <w:marBottom w:val="0"/>
      <w:divBdr>
        <w:top w:val="none" w:sz="0" w:space="0" w:color="auto"/>
        <w:left w:val="none" w:sz="0" w:space="0" w:color="auto"/>
        <w:bottom w:val="none" w:sz="0" w:space="0" w:color="auto"/>
        <w:right w:val="none" w:sz="0" w:space="0" w:color="auto"/>
      </w:divBdr>
    </w:div>
    <w:div w:id="1914968661">
      <w:bodyDiv w:val="1"/>
      <w:marLeft w:val="0"/>
      <w:marRight w:val="0"/>
      <w:marTop w:val="0"/>
      <w:marBottom w:val="0"/>
      <w:divBdr>
        <w:top w:val="none" w:sz="0" w:space="0" w:color="auto"/>
        <w:left w:val="none" w:sz="0" w:space="0" w:color="auto"/>
        <w:bottom w:val="none" w:sz="0" w:space="0" w:color="auto"/>
        <w:right w:val="none" w:sz="0" w:space="0" w:color="auto"/>
      </w:divBdr>
    </w:div>
    <w:div w:id="1955942263">
      <w:bodyDiv w:val="1"/>
      <w:marLeft w:val="0"/>
      <w:marRight w:val="0"/>
      <w:marTop w:val="0"/>
      <w:marBottom w:val="0"/>
      <w:divBdr>
        <w:top w:val="none" w:sz="0" w:space="0" w:color="auto"/>
        <w:left w:val="none" w:sz="0" w:space="0" w:color="auto"/>
        <w:bottom w:val="none" w:sz="0" w:space="0" w:color="auto"/>
        <w:right w:val="none" w:sz="0" w:space="0" w:color="auto"/>
      </w:divBdr>
    </w:div>
    <w:div w:id="2047170845">
      <w:bodyDiv w:val="1"/>
      <w:marLeft w:val="0"/>
      <w:marRight w:val="0"/>
      <w:marTop w:val="0"/>
      <w:marBottom w:val="0"/>
      <w:divBdr>
        <w:top w:val="none" w:sz="0" w:space="0" w:color="auto"/>
        <w:left w:val="none" w:sz="0" w:space="0" w:color="auto"/>
        <w:bottom w:val="none" w:sz="0" w:space="0" w:color="auto"/>
        <w:right w:val="none" w:sz="0" w:space="0" w:color="auto"/>
      </w:divBdr>
      <w:divsChild>
        <w:div w:id="30273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ACAE3A9CF5D408C57B564CADBCB8D" ma:contentTypeVersion="36" ma:contentTypeDescription="Create a new document." ma:contentTypeScope="" ma:versionID="ac248a44ca95c5c9b0a1181a14f65526">
  <xsd:schema xmlns:xsd="http://www.w3.org/2001/XMLSchema" xmlns:xs="http://www.w3.org/2001/XMLSchema" xmlns:p="http://schemas.microsoft.com/office/2006/metadata/properties" xmlns:ns2="ad649d17-acc0-405f-85f4-e2c694b31a37" xmlns:ns3="a115da04-8395-478b-ab13-95947c04b152" targetNamespace="http://schemas.microsoft.com/office/2006/metadata/properties" ma:root="true" ma:fieldsID="de7b084cb45c7b8e3a56385621b556a8" ns2:_="" ns3:_="">
    <xsd:import namespace="ad649d17-acc0-405f-85f4-e2c694b31a37"/>
    <xsd:import namespace="a115da04-8395-478b-ab13-95947c04b1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49d17-acc0-405f-85f4-e2c694b31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5da04-8395-478b-ab13-95947c04b1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d649d17-acc0-405f-85f4-e2c694b31a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6F57-8F48-4F6D-86DA-7DCF6B1F9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49d17-acc0-405f-85f4-e2c694b31a37"/>
    <ds:schemaRef ds:uri="a115da04-8395-478b-ab13-95947c04b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C500D-1378-4D5E-85D1-7FA7AE245B19}">
  <ds:schemaRefs>
    <ds:schemaRef ds:uri="http://schemas.microsoft.com/sharepoint/events"/>
  </ds:schemaRefs>
</ds:datastoreItem>
</file>

<file path=customXml/itemProps3.xml><?xml version="1.0" encoding="utf-8"?>
<ds:datastoreItem xmlns:ds="http://schemas.openxmlformats.org/officeDocument/2006/customXml" ds:itemID="{C4321A17-1BF6-4D4F-BE25-FA9BA9B9D8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115da04-8395-478b-ab13-95947c04b152"/>
    <ds:schemaRef ds:uri="http://schemas.openxmlformats.org/package/2006/metadata/core-properties"/>
    <ds:schemaRef ds:uri="ad649d17-acc0-405f-85f4-e2c694b31a37"/>
    <ds:schemaRef ds:uri="http://www.w3.org/XML/1998/namespace"/>
    <ds:schemaRef ds:uri="http://purl.org/dc/dcmitype/"/>
  </ds:schemaRefs>
</ds:datastoreItem>
</file>

<file path=customXml/itemProps4.xml><?xml version="1.0" encoding="utf-8"?>
<ds:datastoreItem xmlns:ds="http://schemas.openxmlformats.org/officeDocument/2006/customXml" ds:itemID="{B18A013C-F20E-4850-B17C-6FCDE4389C8F}">
  <ds:schemaRefs>
    <ds:schemaRef ds:uri="http://schemas.microsoft.com/sharepoint/v3/contenttype/forms"/>
  </ds:schemaRefs>
</ds:datastoreItem>
</file>

<file path=customXml/itemProps5.xml><?xml version="1.0" encoding="utf-8"?>
<ds:datastoreItem xmlns:ds="http://schemas.openxmlformats.org/officeDocument/2006/customXml" ds:itemID="{02390778-0CC9-4AEC-A3F7-9F2C8A04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24</Pages>
  <Words>7323</Words>
  <Characters>44875</Characters>
  <Application>Microsoft Office Word</Application>
  <DocSecurity>0</DocSecurity>
  <Lines>975</Lines>
  <Paragraphs>483</Paragraphs>
  <ScaleCrop>false</ScaleCrop>
  <HeadingPairs>
    <vt:vector size="2" baseType="variant">
      <vt:variant>
        <vt:lpstr>Title</vt:lpstr>
      </vt:variant>
      <vt:variant>
        <vt:i4>1</vt:i4>
      </vt:variant>
    </vt:vector>
  </HeadingPairs>
  <TitlesOfParts>
    <vt:vector size="1" baseType="lpstr">
      <vt:lpstr>Epidyolex - Product Information</vt:lpstr>
    </vt:vector>
  </TitlesOfParts>
  <Company>Chiesi Australia</Company>
  <LinksUpToDate>false</LinksUpToDate>
  <CharactersWithSpaces>51715</CharactersWithSpaces>
  <SharedDoc>false</SharedDoc>
  <HLinks>
    <vt:vector size="252" baseType="variant">
      <vt:variant>
        <vt:i4>7667728</vt:i4>
      </vt:variant>
      <vt:variant>
        <vt:i4>318</vt:i4>
      </vt:variant>
      <vt:variant>
        <vt:i4>0</vt:i4>
      </vt:variant>
      <vt:variant>
        <vt:i4>5</vt:i4>
      </vt:variant>
      <vt:variant>
        <vt:lpwstr>mailto:customerservice@emergehealth.com.au</vt:lpwstr>
      </vt:variant>
      <vt:variant>
        <vt:lpwstr/>
      </vt:variant>
      <vt:variant>
        <vt:i4>2097168</vt:i4>
      </vt:variant>
      <vt:variant>
        <vt:i4>315</vt:i4>
      </vt:variant>
      <vt:variant>
        <vt:i4>0</vt:i4>
      </vt:variant>
      <vt:variant>
        <vt:i4>5</vt:i4>
      </vt:variant>
      <vt:variant>
        <vt:lpwstr/>
      </vt:variant>
      <vt:variant>
        <vt:lpwstr>_INTERACTIONS_WITH_OTHER</vt:lpwstr>
      </vt:variant>
      <vt:variant>
        <vt:i4>2097168</vt:i4>
      </vt:variant>
      <vt:variant>
        <vt:i4>306</vt:i4>
      </vt:variant>
      <vt:variant>
        <vt:i4>0</vt:i4>
      </vt:variant>
      <vt:variant>
        <vt:i4>5</vt:i4>
      </vt:variant>
      <vt:variant>
        <vt:lpwstr/>
      </vt:variant>
      <vt:variant>
        <vt:lpwstr>_INTERACTIONS_WITH_OTHER</vt:lpwstr>
      </vt:variant>
      <vt:variant>
        <vt:i4>5505064</vt:i4>
      </vt:variant>
      <vt:variant>
        <vt:i4>297</vt:i4>
      </vt:variant>
      <vt:variant>
        <vt:i4>0</vt:i4>
      </vt:variant>
      <vt:variant>
        <vt:i4>5</vt:i4>
      </vt:variant>
      <vt:variant>
        <vt:lpwstr/>
      </vt:variant>
      <vt:variant>
        <vt:lpwstr>_ADVERSE_EFFECTS_(UNDESIRABLE</vt:lpwstr>
      </vt:variant>
      <vt:variant>
        <vt:i4>1048614</vt:i4>
      </vt:variant>
      <vt:variant>
        <vt:i4>288</vt:i4>
      </vt:variant>
      <vt:variant>
        <vt:i4>0</vt:i4>
      </vt:variant>
      <vt:variant>
        <vt:i4>5</vt:i4>
      </vt:variant>
      <vt:variant>
        <vt:lpwstr/>
      </vt:variant>
      <vt:variant>
        <vt:lpwstr>_DOSE_AND_METHOD</vt:lpwstr>
      </vt:variant>
      <vt:variant>
        <vt:i4>1048614</vt:i4>
      </vt:variant>
      <vt:variant>
        <vt:i4>282</vt:i4>
      </vt:variant>
      <vt:variant>
        <vt:i4>0</vt:i4>
      </vt:variant>
      <vt:variant>
        <vt:i4>5</vt:i4>
      </vt:variant>
      <vt:variant>
        <vt:lpwstr/>
      </vt:variant>
      <vt:variant>
        <vt:lpwstr>_DOSE_AND_METHOD</vt:lpwstr>
      </vt:variant>
      <vt:variant>
        <vt:i4>1048614</vt:i4>
      </vt:variant>
      <vt:variant>
        <vt:i4>273</vt:i4>
      </vt:variant>
      <vt:variant>
        <vt:i4>0</vt:i4>
      </vt:variant>
      <vt:variant>
        <vt:i4>5</vt:i4>
      </vt:variant>
      <vt:variant>
        <vt:lpwstr/>
      </vt:variant>
      <vt:variant>
        <vt:lpwstr>_DOSE_AND_METHOD</vt:lpwstr>
      </vt:variant>
      <vt:variant>
        <vt:i4>6684776</vt:i4>
      </vt:variant>
      <vt:variant>
        <vt:i4>252</vt:i4>
      </vt:variant>
      <vt:variant>
        <vt:i4>0</vt:i4>
      </vt:variant>
      <vt:variant>
        <vt:i4>5</vt:i4>
      </vt:variant>
      <vt:variant>
        <vt:lpwstr/>
      </vt:variant>
      <vt:variant>
        <vt:lpwstr>_PHARMACOKINETIC_PROPERTIES</vt:lpwstr>
      </vt:variant>
      <vt:variant>
        <vt:i4>2097168</vt:i4>
      </vt:variant>
      <vt:variant>
        <vt:i4>249</vt:i4>
      </vt:variant>
      <vt:variant>
        <vt:i4>0</vt:i4>
      </vt:variant>
      <vt:variant>
        <vt:i4>5</vt:i4>
      </vt:variant>
      <vt:variant>
        <vt:lpwstr/>
      </vt:variant>
      <vt:variant>
        <vt:lpwstr>_INTERACTIONS_WITH_OTHER</vt:lpwstr>
      </vt:variant>
      <vt:variant>
        <vt:i4>5898317</vt:i4>
      </vt:variant>
      <vt:variant>
        <vt:i4>246</vt:i4>
      </vt:variant>
      <vt:variant>
        <vt:i4>0</vt:i4>
      </vt:variant>
      <vt:variant>
        <vt:i4>5</vt:i4>
      </vt:variant>
      <vt:variant>
        <vt:lpwstr>http://www.tga.gov.au/reporting-problems</vt:lpwstr>
      </vt:variant>
      <vt:variant>
        <vt:lpwstr/>
      </vt:variant>
      <vt:variant>
        <vt:i4>7340156</vt:i4>
      </vt:variant>
      <vt:variant>
        <vt:i4>240</vt:i4>
      </vt:variant>
      <vt:variant>
        <vt:i4>0</vt:i4>
      </vt:variant>
      <vt:variant>
        <vt:i4>5</vt:i4>
      </vt:variant>
      <vt:variant>
        <vt:lpwstr/>
      </vt:variant>
      <vt:variant>
        <vt:lpwstr>_PHARMACODYNAMIC_PROPERTIES</vt:lpwstr>
      </vt:variant>
      <vt:variant>
        <vt:i4>2686977</vt:i4>
      </vt:variant>
      <vt:variant>
        <vt:i4>234</vt:i4>
      </vt:variant>
      <vt:variant>
        <vt:i4>0</vt:i4>
      </vt:variant>
      <vt:variant>
        <vt:i4>5</vt:i4>
      </vt:variant>
      <vt:variant>
        <vt:lpwstr/>
      </vt:variant>
      <vt:variant>
        <vt:lpwstr>_special_warnings_and</vt:lpwstr>
      </vt:variant>
      <vt:variant>
        <vt:i4>5505064</vt:i4>
      </vt:variant>
      <vt:variant>
        <vt:i4>225</vt:i4>
      </vt:variant>
      <vt:variant>
        <vt:i4>0</vt:i4>
      </vt:variant>
      <vt:variant>
        <vt:i4>5</vt:i4>
      </vt:variant>
      <vt:variant>
        <vt:lpwstr/>
      </vt:variant>
      <vt:variant>
        <vt:lpwstr>_ADVERSE_EFFECTS_(UNDESIRABLE</vt:lpwstr>
      </vt:variant>
      <vt:variant>
        <vt:i4>2686977</vt:i4>
      </vt:variant>
      <vt:variant>
        <vt:i4>222</vt:i4>
      </vt:variant>
      <vt:variant>
        <vt:i4>0</vt:i4>
      </vt:variant>
      <vt:variant>
        <vt:i4>5</vt:i4>
      </vt:variant>
      <vt:variant>
        <vt:lpwstr/>
      </vt:variant>
      <vt:variant>
        <vt:lpwstr>_special_warnings_and</vt:lpwstr>
      </vt:variant>
      <vt:variant>
        <vt:i4>2686977</vt:i4>
      </vt:variant>
      <vt:variant>
        <vt:i4>204</vt:i4>
      </vt:variant>
      <vt:variant>
        <vt:i4>0</vt:i4>
      </vt:variant>
      <vt:variant>
        <vt:i4>5</vt:i4>
      </vt:variant>
      <vt:variant>
        <vt:lpwstr/>
      </vt:variant>
      <vt:variant>
        <vt:lpwstr>_special_warnings_and</vt:lpwstr>
      </vt:variant>
      <vt:variant>
        <vt:i4>2686977</vt:i4>
      </vt:variant>
      <vt:variant>
        <vt:i4>195</vt:i4>
      </vt:variant>
      <vt:variant>
        <vt:i4>0</vt:i4>
      </vt:variant>
      <vt:variant>
        <vt:i4>5</vt:i4>
      </vt:variant>
      <vt:variant>
        <vt:lpwstr/>
      </vt:variant>
      <vt:variant>
        <vt:lpwstr>_special_warnings_and</vt:lpwstr>
      </vt:variant>
      <vt:variant>
        <vt:i4>2686977</vt:i4>
      </vt:variant>
      <vt:variant>
        <vt:i4>189</vt:i4>
      </vt:variant>
      <vt:variant>
        <vt:i4>0</vt:i4>
      </vt:variant>
      <vt:variant>
        <vt:i4>5</vt:i4>
      </vt:variant>
      <vt:variant>
        <vt:lpwstr/>
      </vt:variant>
      <vt:variant>
        <vt:lpwstr>_special_warnings_and</vt:lpwstr>
      </vt:variant>
      <vt:variant>
        <vt:i4>5505064</vt:i4>
      </vt:variant>
      <vt:variant>
        <vt:i4>183</vt:i4>
      </vt:variant>
      <vt:variant>
        <vt:i4>0</vt:i4>
      </vt:variant>
      <vt:variant>
        <vt:i4>5</vt:i4>
      </vt:variant>
      <vt:variant>
        <vt:lpwstr/>
      </vt:variant>
      <vt:variant>
        <vt:lpwstr>_ADVERSE_EFFECTS_(UNDESIRABLE</vt:lpwstr>
      </vt:variant>
      <vt:variant>
        <vt:i4>2686977</vt:i4>
      </vt:variant>
      <vt:variant>
        <vt:i4>180</vt:i4>
      </vt:variant>
      <vt:variant>
        <vt:i4>0</vt:i4>
      </vt:variant>
      <vt:variant>
        <vt:i4>5</vt:i4>
      </vt:variant>
      <vt:variant>
        <vt:lpwstr/>
      </vt:variant>
      <vt:variant>
        <vt:lpwstr>_special_warnings_and</vt:lpwstr>
      </vt:variant>
      <vt:variant>
        <vt:i4>6684776</vt:i4>
      </vt:variant>
      <vt:variant>
        <vt:i4>168</vt:i4>
      </vt:variant>
      <vt:variant>
        <vt:i4>0</vt:i4>
      </vt:variant>
      <vt:variant>
        <vt:i4>5</vt:i4>
      </vt:variant>
      <vt:variant>
        <vt:lpwstr/>
      </vt:variant>
      <vt:variant>
        <vt:lpwstr>_PHARMACOKINETIC_PROPERTIES</vt:lpwstr>
      </vt:variant>
      <vt:variant>
        <vt:i4>5505064</vt:i4>
      </vt:variant>
      <vt:variant>
        <vt:i4>162</vt:i4>
      </vt:variant>
      <vt:variant>
        <vt:i4>0</vt:i4>
      </vt:variant>
      <vt:variant>
        <vt:i4>5</vt:i4>
      </vt:variant>
      <vt:variant>
        <vt:lpwstr/>
      </vt:variant>
      <vt:variant>
        <vt:lpwstr>_ADVERSE_EFFECTS_(UNDESIRABLE</vt:lpwstr>
      </vt:variant>
      <vt:variant>
        <vt:i4>2686977</vt:i4>
      </vt:variant>
      <vt:variant>
        <vt:i4>159</vt:i4>
      </vt:variant>
      <vt:variant>
        <vt:i4>0</vt:i4>
      </vt:variant>
      <vt:variant>
        <vt:i4>5</vt:i4>
      </vt:variant>
      <vt:variant>
        <vt:lpwstr/>
      </vt:variant>
      <vt:variant>
        <vt:lpwstr>_special_warnings_and</vt:lpwstr>
      </vt:variant>
      <vt:variant>
        <vt:i4>6684776</vt:i4>
      </vt:variant>
      <vt:variant>
        <vt:i4>147</vt:i4>
      </vt:variant>
      <vt:variant>
        <vt:i4>0</vt:i4>
      </vt:variant>
      <vt:variant>
        <vt:i4>5</vt:i4>
      </vt:variant>
      <vt:variant>
        <vt:lpwstr/>
      </vt:variant>
      <vt:variant>
        <vt:lpwstr>_PHARMACOKINETIC_PROPERTIES</vt:lpwstr>
      </vt:variant>
      <vt:variant>
        <vt:i4>1048614</vt:i4>
      </vt:variant>
      <vt:variant>
        <vt:i4>144</vt:i4>
      </vt:variant>
      <vt:variant>
        <vt:i4>0</vt:i4>
      </vt:variant>
      <vt:variant>
        <vt:i4>5</vt:i4>
      </vt:variant>
      <vt:variant>
        <vt:lpwstr/>
      </vt:variant>
      <vt:variant>
        <vt:lpwstr>_DOSE_AND_METHOD</vt:lpwstr>
      </vt:variant>
      <vt:variant>
        <vt:i4>6684776</vt:i4>
      </vt:variant>
      <vt:variant>
        <vt:i4>132</vt:i4>
      </vt:variant>
      <vt:variant>
        <vt:i4>0</vt:i4>
      </vt:variant>
      <vt:variant>
        <vt:i4>5</vt:i4>
      </vt:variant>
      <vt:variant>
        <vt:lpwstr/>
      </vt:variant>
      <vt:variant>
        <vt:lpwstr>_PHARMACOKINETIC_PROPERTIES</vt:lpwstr>
      </vt:variant>
      <vt:variant>
        <vt:i4>1048614</vt:i4>
      </vt:variant>
      <vt:variant>
        <vt:i4>129</vt:i4>
      </vt:variant>
      <vt:variant>
        <vt:i4>0</vt:i4>
      </vt:variant>
      <vt:variant>
        <vt:i4>5</vt:i4>
      </vt:variant>
      <vt:variant>
        <vt:lpwstr/>
      </vt:variant>
      <vt:variant>
        <vt:lpwstr>_DOSE_AND_METHOD</vt:lpwstr>
      </vt:variant>
      <vt:variant>
        <vt:i4>1048614</vt:i4>
      </vt:variant>
      <vt:variant>
        <vt:i4>117</vt:i4>
      </vt:variant>
      <vt:variant>
        <vt:i4>0</vt:i4>
      </vt:variant>
      <vt:variant>
        <vt:i4>5</vt:i4>
      </vt:variant>
      <vt:variant>
        <vt:lpwstr/>
      </vt:variant>
      <vt:variant>
        <vt:lpwstr>_DOSE_AND_METHOD</vt:lpwstr>
      </vt:variant>
      <vt:variant>
        <vt:i4>5505064</vt:i4>
      </vt:variant>
      <vt:variant>
        <vt:i4>108</vt:i4>
      </vt:variant>
      <vt:variant>
        <vt:i4>0</vt:i4>
      </vt:variant>
      <vt:variant>
        <vt:i4>5</vt:i4>
      </vt:variant>
      <vt:variant>
        <vt:lpwstr/>
      </vt:variant>
      <vt:variant>
        <vt:lpwstr>_ADVERSE_EFFECTS_(UNDESIRABLE</vt:lpwstr>
      </vt:variant>
      <vt:variant>
        <vt:i4>2097168</vt:i4>
      </vt:variant>
      <vt:variant>
        <vt:i4>105</vt:i4>
      </vt:variant>
      <vt:variant>
        <vt:i4>0</vt:i4>
      </vt:variant>
      <vt:variant>
        <vt:i4>5</vt:i4>
      </vt:variant>
      <vt:variant>
        <vt:lpwstr/>
      </vt:variant>
      <vt:variant>
        <vt:lpwstr>_INTERACTIONS_WITH_OTHER</vt:lpwstr>
      </vt:variant>
      <vt:variant>
        <vt:i4>6684776</vt:i4>
      </vt:variant>
      <vt:variant>
        <vt:i4>90</vt:i4>
      </vt:variant>
      <vt:variant>
        <vt:i4>0</vt:i4>
      </vt:variant>
      <vt:variant>
        <vt:i4>5</vt:i4>
      </vt:variant>
      <vt:variant>
        <vt:lpwstr/>
      </vt:variant>
      <vt:variant>
        <vt:lpwstr>_PHARMACOKINETIC_PROPERTIES</vt:lpwstr>
      </vt:variant>
      <vt:variant>
        <vt:i4>5505064</vt:i4>
      </vt:variant>
      <vt:variant>
        <vt:i4>87</vt:i4>
      </vt:variant>
      <vt:variant>
        <vt:i4>0</vt:i4>
      </vt:variant>
      <vt:variant>
        <vt:i4>5</vt:i4>
      </vt:variant>
      <vt:variant>
        <vt:lpwstr/>
      </vt:variant>
      <vt:variant>
        <vt:lpwstr>_ADVERSE_EFFECTS_(UNDESIRABLE</vt:lpwstr>
      </vt:variant>
      <vt:variant>
        <vt:i4>2686977</vt:i4>
      </vt:variant>
      <vt:variant>
        <vt:i4>78</vt:i4>
      </vt:variant>
      <vt:variant>
        <vt:i4>0</vt:i4>
      </vt:variant>
      <vt:variant>
        <vt:i4>5</vt:i4>
      </vt:variant>
      <vt:variant>
        <vt:lpwstr/>
      </vt:variant>
      <vt:variant>
        <vt:lpwstr>_special_warnings_and</vt:lpwstr>
      </vt:variant>
      <vt:variant>
        <vt:i4>4259940</vt:i4>
      </vt:variant>
      <vt:variant>
        <vt:i4>69</vt:i4>
      </vt:variant>
      <vt:variant>
        <vt:i4>0</vt:i4>
      </vt:variant>
      <vt:variant>
        <vt:i4>5</vt:i4>
      </vt:variant>
      <vt:variant>
        <vt:lpwstr/>
      </vt:variant>
      <vt:variant>
        <vt:lpwstr>_LIST_OF_EXCIPIENTS</vt:lpwstr>
      </vt:variant>
      <vt:variant>
        <vt:i4>2097168</vt:i4>
      </vt:variant>
      <vt:variant>
        <vt:i4>63</vt:i4>
      </vt:variant>
      <vt:variant>
        <vt:i4>0</vt:i4>
      </vt:variant>
      <vt:variant>
        <vt:i4>5</vt:i4>
      </vt:variant>
      <vt:variant>
        <vt:lpwstr/>
      </vt:variant>
      <vt:variant>
        <vt:lpwstr>_INTERACTIONS_WITH_OTHER</vt:lpwstr>
      </vt:variant>
      <vt:variant>
        <vt:i4>2686977</vt:i4>
      </vt:variant>
      <vt:variant>
        <vt:i4>60</vt:i4>
      </vt:variant>
      <vt:variant>
        <vt:i4>0</vt:i4>
      </vt:variant>
      <vt:variant>
        <vt:i4>5</vt:i4>
      </vt:variant>
      <vt:variant>
        <vt:lpwstr/>
      </vt:variant>
      <vt:variant>
        <vt:lpwstr>_special_warnings_and</vt:lpwstr>
      </vt:variant>
      <vt:variant>
        <vt:i4>6684776</vt:i4>
      </vt:variant>
      <vt:variant>
        <vt:i4>45</vt:i4>
      </vt:variant>
      <vt:variant>
        <vt:i4>0</vt:i4>
      </vt:variant>
      <vt:variant>
        <vt:i4>5</vt:i4>
      </vt:variant>
      <vt:variant>
        <vt:lpwstr/>
      </vt:variant>
      <vt:variant>
        <vt:lpwstr>_PHARMACOKINETIC_PROPERTIES</vt:lpwstr>
      </vt:variant>
      <vt:variant>
        <vt:i4>6684776</vt:i4>
      </vt:variant>
      <vt:variant>
        <vt:i4>39</vt:i4>
      </vt:variant>
      <vt:variant>
        <vt:i4>0</vt:i4>
      </vt:variant>
      <vt:variant>
        <vt:i4>5</vt:i4>
      </vt:variant>
      <vt:variant>
        <vt:lpwstr/>
      </vt:variant>
      <vt:variant>
        <vt:lpwstr>_PHARMACOKINETIC_PROPERTIES</vt:lpwstr>
      </vt:variant>
      <vt:variant>
        <vt:i4>2686977</vt:i4>
      </vt:variant>
      <vt:variant>
        <vt:i4>36</vt:i4>
      </vt:variant>
      <vt:variant>
        <vt:i4>0</vt:i4>
      </vt:variant>
      <vt:variant>
        <vt:i4>5</vt:i4>
      </vt:variant>
      <vt:variant>
        <vt:lpwstr/>
      </vt:variant>
      <vt:variant>
        <vt:lpwstr>_special_warnings_and</vt:lpwstr>
      </vt:variant>
      <vt:variant>
        <vt:i4>6684776</vt:i4>
      </vt:variant>
      <vt:variant>
        <vt:i4>27</vt:i4>
      </vt:variant>
      <vt:variant>
        <vt:i4>0</vt:i4>
      </vt:variant>
      <vt:variant>
        <vt:i4>5</vt:i4>
      </vt:variant>
      <vt:variant>
        <vt:lpwstr/>
      </vt:variant>
      <vt:variant>
        <vt:lpwstr>_PHARMACOKINETIC_PROPERTIES</vt:lpwstr>
      </vt:variant>
      <vt:variant>
        <vt:i4>2686977</vt:i4>
      </vt:variant>
      <vt:variant>
        <vt:i4>18</vt:i4>
      </vt:variant>
      <vt:variant>
        <vt:i4>0</vt:i4>
      </vt:variant>
      <vt:variant>
        <vt:i4>5</vt:i4>
      </vt:variant>
      <vt:variant>
        <vt:lpwstr/>
      </vt:variant>
      <vt:variant>
        <vt:lpwstr>_special_warnings_and</vt:lpwstr>
      </vt:variant>
      <vt:variant>
        <vt:i4>2686977</vt:i4>
      </vt:variant>
      <vt:variant>
        <vt:i4>12</vt:i4>
      </vt:variant>
      <vt:variant>
        <vt:i4>0</vt:i4>
      </vt:variant>
      <vt:variant>
        <vt:i4>5</vt:i4>
      </vt:variant>
      <vt:variant>
        <vt:lpwstr/>
      </vt:variant>
      <vt:variant>
        <vt:lpwstr>_special_warnings_and</vt:lpwstr>
      </vt:variant>
      <vt:variant>
        <vt:i4>4259940</vt:i4>
      </vt:variant>
      <vt:variant>
        <vt:i4>3</vt:i4>
      </vt:variant>
      <vt:variant>
        <vt:i4>0</vt:i4>
      </vt:variant>
      <vt:variant>
        <vt:i4>5</vt:i4>
      </vt:variant>
      <vt:variant>
        <vt:lpwstr/>
      </vt:variant>
      <vt:variant>
        <vt:lpwstr>_LIST_OF_EXCIPIENTS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Cannabidiol</dc:title>
  <dc:subject>prescription medicines</dc:subject>
  <dc:creator>Chiesi Australia</dc:creator>
  <cp:keywords/>
  <cp:lastPrinted>2020-12-09T07:21:00Z</cp:lastPrinted>
  <dcterms:created xsi:type="dcterms:W3CDTF">2021-01-28T01:25:00Z</dcterms:created>
  <dcterms:modified xsi:type="dcterms:W3CDTF">2021-01-28T03:44:00Z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#43252-v3</vt:lpwstr>
  </property>
  <property fmtid="{D5CDD505-2E9C-101B-9397-08002B2CF9AE}" pid="3" name="ContentTypeId">
    <vt:lpwstr>0x0101007A6ACAE3A9CF5D408C57B564CADBCB8D</vt:lpwstr>
  </property>
  <property fmtid="{D5CDD505-2E9C-101B-9397-08002B2CF9AE}" pid="4" name="Application Number">
    <vt:lpwstr>65;#TBD|e619ca5a-7e67-451b-a174-deef354960dc</vt:lpwstr>
  </property>
  <property fmtid="{D5CDD505-2E9C-101B-9397-08002B2CF9AE}" pid="5" name="Product">
    <vt:lpwstr>1;#CBD|b160fb82-96e8-49ca-bf7c-8c48995abc65</vt:lpwstr>
  </property>
  <property fmtid="{D5CDD505-2E9C-101B-9397-08002B2CF9AE}" pid="6" name="TaxCatchAll">
    <vt:lpwstr>65;#TBD|e619ca5a-7e67-451b-a174-deef354960dc;#1;#CBD|b160fb82-96e8-49ca-bf7c-8c48995abc65</vt:lpwstr>
  </property>
  <property fmtid="{D5CDD505-2E9C-101B-9397-08002B2CF9AE}" pid="7" name="la06b187399149f2a3edd9b4c742390e">
    <vt:lpwstr>TBD|e619ca5a-7e67-451b-a174-deef354960dc</vt:lpwstr>
  </property>
  <property fmtid="{D5CDD505-2E9C-101B-9397-08002B2CF9AE}" pid="8" name="ld78854e09184ffbab43d67d34e5dd09">
    <vt:lpwstr>CBD|b160fb82-96e8-49ca-bf7c-8c48995abc65</vt:lpwstr>
  </property>
  <property fmtid="{D5CDD505-2E9C-101B-9397-08002B2CF9AE}" pid="9" name="oc595d34c7a743f28c9816f3b61de44b">
    <vt:lpwstr/>
  </property>
  <property fmtid="{D5CDD505-2E9C-101B-9397-08002B2CF9AE}" pid="10" name="Document_x0020_Type">
    <vt:lpwstr/>
  </property>
  <property fmtid="{D5CDD505-2E9C-101B-9397-08002B2CF9AE}" pid="11" name="Document_x0020_Sub_x0020_Type">
    <vt:lpwstr/>
  </property>
  <property fmtid="{D5CDD505-2E9C-101B-9397-08002B2CF9AE}" pid="12" name="bca91c8288424b6db19724c7f3225b3a">
    <vt:lpwstr/>
  </property>
  <property fmtid="{D5CDD505-2E9C-101B-9397-08002B2CF9AE}" pid="13" name="Drug_x0020_Products">
    <vt:lpwstr/>
  </property>
  <property fmtid="{D5CDD505-2E9C-101B-9397-08002B2CF9AE}" pid="14" name="mf7cf9f255284b3c971f331b8b5afe3c">
    <vt:lpwstr/>
  </property>
  <property fmtid="{D5CDD505-2E9C-101B-9397-08002B2CF9AE}" pid="15" name="Functional_x0020_Area">
    <vt:lpwstr/>
  </property>
  <property fmtid="{D5CDD505-2E9C-101B-9397-08002B2CF9AE}" pid="16" name="Application_x0020_Type">
    <vt:lpwstr/>
  </property>
  <property fmtid="{D5CDD505-2E9C-101B-9397-08002B2CF9AE}" pid="17" name="Indication">
    <vt:lpwstr/>
  </property>
  <property fmtid="{D5CDD505-2E9C-101B-9397-08002B2CF9AE}" pid="18" name="Country">
    <vt:lpwstr/>
  </property>
  <property fmtid="{D5CDD505-2E9C-101B-9397-08002B2CF9AE}" pid="19" name="c616f0994aad48c88eaad5503af16255">
    <vt:lpwstr/>
  </property>
  <property fmtid="{D5CDD505-2E9C-101B-9397-08002B2CF9AE}" pid="20" name="ab55ea2921254e459c46f92f5b936f78">
    <vt:lpwstr/>
  </property>
  <property fmtid="{D5CDD505-2E9C-101B-9397-08002B2CF9AE}" pid="21" name="g5a6844f77744dea80ba1a47b2ab3b4b">
    <vt:lpwstr/>
  </property>
  <property fmtid="{D5CDD505-2E9C-101B-9397-08002B2CF9AE}" pid="22" name="kd5f0641026c438597c768fdc842c657">
    <vt:lpwstr/>
  </property>
  <property fmtid="{D5CDD505-2E9C-101B-9397-08002B2CF9AE}" pid="23" name="Document Type">
    <vt:lpwstr/>
  </property>
  <property fmtid="{D5CDD505-2E9C-101B-9397-08002B2CF9AE}" pid="24" name="Drug Products">
    <vt:lpwstr/>
  </property>
  <property fmtid="{D5CDD505-2E9C-101B-9397-08002B2CF9AE}" pid="25" name="Document Sub Type">
    <vt:lpwstr/>
  </property>
  <property fmtid="{D5CDD505-2E9C-101B-9397-08002B2CF9AE}" pid="26" name="Functional Area">
    <vt:lpwstr/>
  </property>
  <property fmtid="{D5CDD505-2E9C-101B-9397-08002B2CF9AE}" pid="27" name="Application Type">
    <vt:lpwstr/>
  </property>
  <property fmtid="{D5CDD505-2E9C-101B-9397-08002B2CF9AE}" pid="28" name="Created">
    <vt:filetime>2020-01-29T00:00:00Z</vt:filetime>
  </property>
  <property fmtid="{D5CDD505-2E9C-101B-9397-08002B2CF9AE}" pid="29" name="Creator">
    <vt:lpwstr>LORENZ.YAPP 1.0.54.0</vt:lpwstr>
  </property>
  <property fmtid="{D5CDD505-2E9C-101B-9397-08002B2CF9AE}" pid="30" name="LastSaved">
    <vt:filetime>2020-08-06T00:00:00Z</vt:filetime>
  </property>
</Properties>
</file>