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C4251E" w:rsidP="00096AA7">
            <w:pPr>
              <w:rPr>
                <w:rFonts w:ascii="Arial" w:hAnsi="Arial" w:cs="Arial"/>
                <w:b/>
                <w:color w:val="002C47"/>
                <w:sz w:val="36"/>
                <w:szCs w:val="36"/>
              </w:rPr>
            </w:pPr>
            <w:bookmarkStart w:id="0" w:name="_GoBack"/>
            <w:bookmarkEnd w:id="0"/>
            <w:r>
              <w:rPr>
                <w:rFonts w:ascii="Arial" w:hAnsi="Arial" w:cs="Arial"/>
                <w:b/>
                <w:color w:val="002C47"/>
                <w:sz w:val="36"/>
                <w:szCs w:val="36"/>
              </w:rPr>
              <w:t>September</w:t>
            </w:r>
            <w:r w:rsidR="00F41987">
              <w:rPr>
                <w:rFonts w:ascii="Arial" w:hAnsi="Arial" w:cs="Arial"/>
                <w:b/>
                <w:color w:val="002C47"/>
                <w:sz w:val="36"/>
                <w:szCs w:val="36"/>
              </w:rPr>
              <w:t xml:space="preserve"> 2015</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F41987">
            <w:pPr>
              <w:pStyle w:val="Title"/>
              <w:rPr>
                <w:color w:val="FFFFFF" w:themeColor="background1"/>
              </w:rPr>
            </w:pPr>
            <w:r w:rsidRPr="00A964D1">
              <w:rPr>
                <w:color w:val="FFFFFF" w:themeColor="background1"/>
              </w:rPr>
              <w:t xml:space="preserve">Australian Public Assessment Report for </w:t>
            </w:r>
            <w:r w:rsidR="00F41987">
              <w:rPr>
                <w:color w:val="FFFFFF" w:themeColor="background1"/>
              </w:rPr>
              <w:t>Carglumic acid</w:t>
            </w:r>
          </w:p>
        </w:tc>
      </w:tr>
      <w:tr w:rsidR="0032583B" w:rsidRPr="00B64760" w:rsidTr="0032583B">
        <w:tc>
          <w:tcPr>
            <w:tcW w:w="9079" w:type="dxa"/>
          </w:tcPr>
          <w:p w:rsidR="0032583B" w:rsidRPr="008E7846" w:rsidRDefault="0032583B" w:rsidP="00F41987">
            <w:pPr>
              <w:pStyle w:val="Subtitle"/>
              <w:rPr>
                <w:color w:val="FFFFFF" w:themeColor="background1"/>
              </w:rPr>
            </w:pPr>
            <w:r w:rsidRPr="008E7846">
              <w:rPr>
                <w:color w:val="FFFFFF" w:themeColor="background1"/>
              </w:rPr>
              <w:t xml:space="preserve">Proprietary Product Name: </w:t>
            </w:r>
            <w:r w:rsidR="005007B8" w:rsidRPr="005007B8">
              <w:rPr>
                <w:color w:val="FFFFFF" w:themeColor="background1"/>
              </w:rPr>
              <w:t>Carbaglu</w:t>
            </w:r>
          </w:p>
        </w:tc>
      </w:tr>
      <w:tr w:rsidR="0032583B" w:rsidRPr="00B64760" w:rsidTr="0032583B">
        <w:trPr>
          <w:trHeight w:val="486"/>
        </w:trPr>
        <w:tc>
          <w:tcPr>
            <w:tcW w:w="9079" w:type="dxa"/>
          </w:tcPr>
          <w:p w:rsidR="0032583B" w:rsidRPr="008E7846" w:rsidRDefault="0032583B" w:rsidP="00F41987">
            <w:pPr>
              <w:pStyle w:val="Subtitle"/>
              <w:rPr>
                <w:color w:val="FFFFFF" w:themeColor="background1"/>
              </w:rPr>
            </w:pPr>
            <w:r w:rsidRPr="008E7846">
              <w:rPr>
                <w:color w:val="FFFFFF" w:themeColor="background1"/>
              </w:rPr>
              <w:t xml:space="preserve">Sponsor: </w:t>
            </w:r>
            <w:r w:rsidR="00F41987">
              <w:rPr>
                <w:color w:val="FFFFFF" w:themeColor="background1"/>
              </w:rPr>
              <w:t>Emerge Health Pty Ltd</w:t>
            </w:r>
            <w:r w:rsidRPr="008E7846">
              <w:rPr>
                <w:color w:val="FFFFFF" w:themeColor="background1"/>
              </w:rPr>
              <w:t xml:space="preserve"> </w:t>
            </w:r>
          </w:p>
        </w:tc>
      </w:tr>
    </w:tbl>
    <w:p w:rsidR="008E7846" w:rsidRPr="0085156D" w:rsidRDefault="008E7846" w:rsidP="0085156D">
      <w:r w:rsidRPr="0085156D">
        <w:br w:type="page"/>
      </w:r>
    </w:p>
    <w:p w:rsidR="008E7846" w:rsidRPr="001F6CBA" w:rsidRDefault="008E7846" w:rsidP="00213904">
      <w:pPr>
        <w:pStyle w:val="NonTOCHeading2"/>
      </w:pPr>
      <w:r w:rsidRPr="001F6CBA">
        <w:lastRenderedPageBreak/>
        <w:t xml:space="preserve">About the </w:t>
      </w:r>
      <w:r w:rsidRPr="00213904">
        <w:t>Therapeutic</w:t>
      </w:r>
      <w:r w:rsidRPr="001F6CBA">
        <w:t xml:space="preserve"> Goods Administration (TGA)</w:t>
      </w:r>
    </w:p>
    <w:p w:rsidR="008E7846" w:rsidRDefault="008E7846" w:rsidP="00307144">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307144">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307144">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307144">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307144">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4F47D6">
          <w:rPr>
            <w:rStyle w:val="Hyperlink"/>
          </w:rPr>
          <w:t>https://www.tga.gov.au</w:t>
        </w:r>
      </w:hyperlink>
      <w:r w:rsidR="00112F56">
        <w:t>&gt;</w:t>
      </w:r>
      <w:r>
        <w:t>.</w:t>
      </w:r>
    </w:p>
    <w:p w:rsidR="008E7846" w:rsidRDefault="008E7846" w:rsidP="008E7846">
      <w:pPr>
        <w:pStyle w:val="NonTOCHeading2"/>
      </w:pPr>
      <w:r>
        <w:t>About AusPARs</w:t>
      </w:r>
    </w:p>
    <w:p w:rsidR="008E7846" w:rsidRDefault="008E7846" w:rsidP="00307144">
      <w:pPr>
        <w:pStyle w:val="ListBullet"/>
        <w:numPr>
          <w:ilvl w:val="0"/>
          <w:numId w:val="1"/>
        </w:numPr>
        <w:ind w:left="357" w:hanging="357"/>
      </w:pPr>
      <w:r>
        <w:t xml:space="preserve">An Australian Public Assessment Record (AusPAR) provides information about the evaluation of a prescription medicine and the considerations that led the TGA to approve or not approve a prescription medicine submission. </w:t>
      </w:r>
    </w:p>
    <w:p w:rsidR="008E7846" w:rsidRDefault="008E7846" w:rsidP="00307144">
      <w:pPr>
        <w:pStyle w:val="ListBullet"/>
        <w:numPr>
          <w:ilvl w:val="0"/>
          <w:numId w:val="1"/>
        </w:numPr>
        <w:ind w:left="357" w:hanging="357"/>
      </w:pPr>
      <w:r>
        <w:t>AusPARs are prepared and published by the TGA.</w:t>
      </w:r>
    </w:p>
    <w:p w:rsidR="008E7846" w:rsidRDefault="008E7846" w:rsidP="00307144">
      <w:pPr>
        <w:pStyle w:val="ListBullet"/>
        <w:numPr>
          <w:ilvl w:val="0"/>
          <w:numId w:val="1"/>
        </w:numPr>
        <w:ind w:left="357" w:hanging="357"/>
      </w:pPr>
      <w:r>
        <w:t>An AusPAR is prepared for submissions that relate to new chemical entities, generic medicines, major variations, and extensions of indications.</w:t>
      </w:r>
    </w:p>
    <w:p w:rsidR="008E7846" w:rsidRDefault="008E7846" w:rsidP="00307144">
      <w:pPr>
        <w:pStyle w:val="ListBullet"/>
        <w:numPr>
          <w:ilvl w:val="0"/>
          <w:numId w:val="1"/>
        </w:numPr>
        <w:ind w:left="357" w:hanging="357"/>
      </w:pPr>
      <w:r>
        <w:t>An AusPAR is a static document, in that it will provide information that relates to a submission at a particular point in time.</w:t>
      </w:r>
    </w:p>
    <w:p w:rsidR="00B452CE" w:rsidRDefault="008E7846" w:rsidP="00307144">
      <w:pPr>
        <w:pStyle w:val="ListBullet"/>
        <w:numPr>
          <w:ilvl w:val="0"/>
          <w:numId w:val="1"/>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3E0B99">
        <w:rPr>
          <w:rFonts w:cs="Arial"/>
          <w:lang w:val="en-GB"/>
        </w:rPr>
        <w:t>5</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727A5A"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33190152" w:history="1">
            <w:r w:rsidR="00727A5A" w:rsidRPr="00C023DA">
              <w:rPr>
                <w:rStyle w:val="Hyperlink"/>
                <w:noProof/>
              </w:rPr>
              <w:t>List of the most common abbreviations used in this AusPAR</w:t>
            </w:r>
            <w:r w:rsidR="00727A5A">
              <w:rPr>
                <w:noProof/>
                <w:webHidden/>
              </w:rPr>
              <w:tab/>
            </w:r>
            <w:r w:rsidR="00727A5A">
              <w:rPr>
                <w:noProof/>
                <w:webHidden/>
              </w:rPr>
              <w:fldChar w:fldCharType="begin"/>
            </w:r>
            <w:r w:rsidR="00727A5A">
              <w:rPr>
                <w:noProof/>
                <w:webHidden/>
              </w:rPr>
              <w:instrText xml:space="preserve"> PAGEREF _Toc433190152 \h </w:instrText>
            </w:r>
            <w:r w:rsidR="00727A5A">
              <w:rPr>
                <w:noProof/>
                <w:webHidden/>
              </w:rPr>
            </w:r>
            <w:r w:rsidR="00727A5A">
              <w:rPr>
                <w:noProof/>
                <w:webHidden/>
              </w:rPr>
              <w:fldChar w:fldCharType="separate"/>
            </w:r>
            <w:r w:rsidR="00727A5A">
              <w:rPr>
                <w:noProof/>
                <w:webHidden/>
              </w:rPr>
              <w:t>5</w:t>
            </w:r>
            <w:r w:rsidR="00727A5A">
              <w:rPr>
                <w:noProof/>
                <w:webHidden/>
              </w:rPr>
              <w:fldChar w:fldCharType="end"/>
            </w:r>
          </w:hyperlink>
        </w:p>
        <w:p w:rsidR="00727A5A" w:rsidRDefault="00D552BF">
          <w:pPr>
            <w:pStyle w:val="TOC2"/>
            <w:rPr>
              <w:rFonts w:asciiTheme="minorHAnsi" w:eastAsiaTheme="minorEastAsia" w:hAnsiTheme="minorHAnsi" w:cstheme="minorBidi"/>
              <w:b w:val="0"/>
              <w:noProof/>
              <w:sz w:val="22"/>
              <w:lang w:eastAsia="en-AU"/>
            </w:rPr>
          </w:pPr>
          <w:hyperlink w:anchor="_Toc433190153" w:history="1">
            <w:r w:rsidR="00727A5A" w:rsidRPr="00C023DA">
              <w:rPr>
                <w:rStyle w:val="Hyperlink"/>
                <w:noProof/>
              </w:rPr>
              <w:t>I. Introduction to product submission</w:t>
            </w:r>
            <w:r w:rsidR="00727A5A">
              <w:rPr>
                <w:noProof/>
                <w:webHidden/>
              </w:rPr>
              <w:tab/>
            </w:r>
            <w:r w:rsidR="00727A5A">
              <w:rPr>
                <w:noProof/>
                <w:webHidden/>
              </w:rPr>
              <w:fldChar w:fldCharType="begin"/>
            </w:r>
            <w:r w:rsidR="00727A5A">
              <w:rPr>
                <w:noProof/>
                <w:webHidden/>
              </w:rPr>
              <w:instrText xml:space="preserve"> PAGEREF _Toc433190153 \h </w:instrText>
            </w:r>
            <w:r w:rsidR="00727A5A">
              <w:rPr>
                <w:noProof/>
                <w:webHidden/>
              </w:rPr>
            </w:r>
            <w:r w:rsidR="00727A5A">
              <w:rPr>
                <w:noProof/>
                <w:webHidden/>
              </w:rPr>
              <w:fldChar w:fldCharType="separate"/>
            </w:r>
            <w:r w:rsidR="00727A5A">
              <w:rPr>
                <w:noProof/>
                <w:webHidden/>
              </w:rPr>
              <w:t>7</w:t>
            </w:r>
            <w:r w:rsidR="00727A5A">
              <w:rPr>
                <w:noProof/>
                <w:webHidden/>
              </w:rPr>
              <w:fldChar w:fldCharType="end"/>
            </w:r>
          </w:hyperlink>
        </w:p>
        <w:p w:rsidR="00727A5A" w:rsidRDefault="00D552BF">
          <w:pPr>
            <w:pStyle w:val="TOC3"/>
            <w:rPr>
              <w:rFonts w:asciiTheme="minorHAnsi" w:eastAsiaTheme="minorEastAsia" w:hAnsiTheme="minorHAnsi" w:cstheme="minorBidi"/>
              <w:noProof/>
              <w:lang w:eastAsia="en-AU"/>
            </w:rPr>
          </w:pPr>
          <w:hyperlink w:anchor="_Toc433190154" w:history="1">
            <w:r w:rsidR="00727A5A" w:rsidRPr="00C023DA">
              <w:rPr>
                <w:rStyle w:val="Hyperlink"/>
                <w:noProof/>
              </w:rPr>
              <w:t>Submission</w:t>
            </w:r>
            <w:r w:rsidR="00727A5A" w:rsidRPr="00C023DA">
              <w:rPr>
                <w:rStyle w:val="Hyperlink"/>
                <w:noProof/>
                <w:lang w:eastAsia="en-AU"/>
              </w:rPr>
              <w:t xml:space="preserve"> details</w:t>
            </w:r>
            <w:r w:rsidR="00727A5A">
              <w:rPr>
                <w:noProof/>
                <w:webHidden/>
              </w:rPr>
              <w:tab/>
            </w:r>
            <w:r w:rsidR="00727A5A">
              <w:rPr>
                <w:noProof/>
                <w:webHidden/>
              </w:rPr>
              <w:fldChar w:fldCharType="begin"/>
            </w:r>
            <w:r w:rsidR="00727A5A">
              <w:rPr>
                <w:noProof/>
                <w:webHidden/>
              </w:rPr>
              <w:instrText xml:space="preserve"> PAGEREF _Toc433190154 \h </w:instrText>
            </w:r>
            <w:r w:rsidR="00727A5A">
              <w:rPr>
                <w:noProof/>
                <w:webHidden/>
              </w:rPr>
            </w:r>
            <w:r w:rsidR="00727A5A">
              <w:rPr>
                <w:noProof/>
                <w:webHidden/>
              </w:rPr>
              <w:fldChar w:fldCharType="separate"/>
            </w:r>
            <w:r w:rsidR="00727A5A">
              <w:rPr>
                <w:noProof/>
                <w:webHidden/>
              </w:rPr>
              <w:t>7</w:t>
            </w:r>
            <w:r w:rsidR="00727A5A">
              <w:rPr>
                <w:noProof/>
                <w:webHidden/>
              </w:rPr>
              <w:fldChar w:fldCharType="end"/>
            </w:r>
          </w:hyperlink>
        </w:p>
        <w:p w:rsidR="00727A5A" w:rsidRDefault="00D552BF">
          <w:pPr>
            <w:pStyle w:val="TOC3"/>
            <w:rPr>
              <w:rFonts w:asciiTheme="minorHAnsi" w:eastAsiaTheme="minorEastAsia" w:hAnsiTheme="minorHAnsi" w:cstheme="minorBidi"/>
              <w:noProof/>
              <w:lang w:eastAsia="en-AU"/>
            </w:rPr>
          </w:pPr>
          <w:hyperlink w:anchor="_Toc433190155" w:history="1">
            <w:r w:rsidR="00727A5A" w:rsidRPr="00C023DA">
              <w:rPr>
                <w:rStyle w:val="Hyperlink"/>
                <w:noProof/>
              </w:rPr>
              <w:t>Product background</w:t>
            </w:r>
            <w:r w:rsidR="00727A5A">
              <w:rPr>
                <w:noProof/>
                <w:webHidden/>
              </w:rPr>
              <w:tab/>
            </w:r>
            <w:r w:rsidR="00727A5A">
              <w:rPr>
                <w:noProof/>
                <w:webHidden/>
              </w:rPr>
              <w:fldChar w:fldCharType="begin"/>
            </w:r>
            <w:r w:rsidR="00727A5A">
              <w:rPr>
                <w:noProof/>
                <w:webHidden/>
              </w:rPr>
              <w:instrText xml:space="preserve"> PAGEREF _Toc433190155 \h </w:instrText>
            </w:r>
            <w:r w:rsidR="00727A5A">
              <w:rPr>
                <w:noProof/>
                <w:webHidden/>
              </w:rPr>
            </w:r>
            <w:r w:rsidR="00727A5A">
              <w:rPr>
                <w:noProof/>
                <w:webHidden/>
              </w:rPr>
              <w:fldChar w:fldCharType="separate"/>
            </w:r>
            <w:r w:rsidR="00727A5A">
              <w:rPr>
                <w:noProof/>
                <w:webHidden/>
              </w:rPr>
              <w:t>8</w:t>
            </w:r>
            <w:r w:rsidR="00727A5A">
              <w:rPr>
                <w:noProof/>
                <w:webHidden/>
              </w:rPr>
              <w:fldChar w:fldCharType="end"/>
            </w:r>
          </w:hyperlink>
        </w:p>
        <w:p w:rsidR="00727A5A" w:rsidRDefault="00D552BF">
          <w:pPr>
            <w:pStyle w:val="TOC3"/>
            <w:rPr>
              <w:rFonts w:asciiTheme="minorHAnsi" w:eastAsiaTheme="minorEastAsia" w:hAnsiTheme="minorHAnsi" w:cstheme="minorBidi"/>
              <w:noProof/>
              <w:lang w:eastAsia="en-AU"/>
            </w:rPr>
          </w:pPr>
          <w:hyperlink w:anchor="_Toc433190156" w:history="1">
            <w:r w:rsidR="00727A5A" w:rsidRPr="00C023DA">
              <w:rPr>
                <w:rStyle w:val="Hyperlink"/>
                <w:noProof/>
              </w:rPr>
              <w:t>Regulatory status</w:t>
            </w:r>
            <w:r w:rsidR="00727A5A">
              <w:rPr>
                <w:noProof/>
                <w:webHidden/>
              </w:rPr>
              <w:tab/>
            </w:r>
            <w:r w:rsidR="00727A5A">
              <w:rPr>
                <w:noProof/>
                <w:webHidden/>
              </w:rPr>
              <w:fldChar w:fldCharType="begin"/>
            </w:r>
            <w:r w:rsidR="00727A5A">
              <w:rPr>
                <w:noProof/>
                <w:webHidden/>
              </w:rPr>
              <w:instrText xml:space="preserve"> PAGEREF _Toc433190156 \h </w:instrText>
            </w:r>
            <w:r w:rsidR="00727A5A">
              <w:rPr>
                <w:noProof/>
                <w:webHidden/>
              </w:rPr>
            </w:r>
            <w:r w:rsidR="00727A5A">
              <w:rPr>
                <w:noProof/>
                <w:webHidden/>
              </w:rPr>
              <w:fldChar w:fldCharType="separate"/>
            </w:r>
            <w:r w:rsidR="00727A5A">
              <w:rPr>
                <w:noProof/>
                <w:webHidden/>
              </w:rPr>
              <w:t>9</w:t>
            </w:r>
            <w:r w:rsidR="00727A5A">
              <w:rPr>
                <w:noProof/>
                <w:webHidden/>
              </w:rPr>
              <w:fldChar w:fldCharType="end"/>
            </w:r>
          </w:hyperlink>
        </w:p>
        <w:p w:rsidR="00727A5A" w:rsidRDefault="00D552BF">
          <w:pPr>
            <w:pStyle w:val="TOC3"/>
            <w:rPr>
              <w:rFonts w:asciiTheme="minorHAnsi" w:eastAsiaTheme="minorEastAsia" w:hAnsiTheme="minorHAnsi" w:cstheme="minorBidi"/>
              <w:noProof/>
              <w:lang w:eastAsia="en-AU"/>
            </w:rPr>
          </w:pPr>
          <w:hyperlink w:anchor="_Toc433190157" w:history="1">
            <w:r w:rsidR="00727A5A" w:rsidRPr="00C023DA">
              <w:rPr>
                <w:rStyle w:val="Hyperlink"/>
                <w:noProof/>
              </w:rPr>
              <w:t>Product Information</w:t>
            </w:r>
            <w:r w:rsidR="00727A5A">
              <w:rPr>
                <w:noProof/>
                <w:webHidden/>
              </w:rPr>
              <w:tab/>
            </w:r>
            <w:r w:rsidR="00727A5A">
              <w:rPr>
                <w:noProof/>
                <w:webHidden/>
              </w:rPr>
              <w:fldChar w:fldCharType="begin"/>
            </w:r>
            <w:r w:rsidR="00727A5A">
              <w:rPr>
                <w:noProof/>
                <w:webHidden/>
              </w:rPr>
              <w:instrText xml:space="preserve"> PAGEREF _Toc433190157 \h </w:instrText>
            </w:r>
            <w:r w:rsidR="00727A5A">
              <w:rPr>
                <w:noProof/>
                <w:webHidden/>
              </w:rPr>
            </w:r>
            <w:r w:rsidR="00727A5A">
              <w:rPr>
                <w:noProof/>
                <w:webHidden/>
              </w:rPr>
              <w:fldChar w:fldCharType="separate"/>
            </w:r>
            <w:r w:rsidR="00727A5A">
              <w:rPr>
                <w:noProof/>
                <w:webHidden/>
              </w:rPr>
              <w:t>12</w:t>
            </w:r>
            <w:r w:rsidR="00727A5A">
              <w:rPr>
                <w:noProof/>
                <w:webHidden/>
              </w:rPr>
              <w:fldChar w:fldCharType="end"/>
            </w:r>
          </w:hyperlink>
        </w:p>
        <w:p w:rsidR="00727A5A" w:rsidRDefault="00D552BF">
          <w:pPr>
            <w:pStyle w:val="TOC2"/>
            <w:rPr>
              <w:rFonts w:asciiTheme="minorHAnsi" w:eastAsiaTheme="minorEastAsia" w:hAnsiTheme="minorHAnsi" w:cstheme="minorBidi"/>
              <w:b w:val="0"/>
              <w:noProof/>
              <w:sz w:val="22"/>
              <w:lang w:eastAsia="en-AU"/>
            </w:rPr>
          </w:pPr>
          <w:hyperlink w:anchor="_Toc433190158" w:history="1">
            <w:r w:rsidR="00727A5A" w:rsidRPr="00C023DA">
              <w:rPr>
                <w:rStyle w:val="Hyperlink"/>
                <w:noProof/>
              </w:rPr>
              <w:t>II. Quality findings</w:t>
            </w:r>
            <w:r w:rsidR="00727A5A">
              <w:rPr>
                <w:noProof/>
                <w:webHidden/>
              </w:rPr>
              <w:tab/>
            </w:r>
            <w:r w:rsidR="00727A5A">
              <w:rPr>
                <w:noProof/>
                <w:webHidden/>
              </w:rPr>
              <w:fldChar w:fldCharType="begin"/>
            </w:r>
            <w:r w:rsidR="00727A5A">
              <w:rPr>
                <w:noProof/>
                <w:webHidden/>
              </w:rPr>
              <w:instrText xml:space="preserve"> PAGEREF _Toc433190158 \h </w:instrText>
            </w:r>
            <w:r w:rsidR="00727A5A">
              <w:rPr>
                <w:noProof/>
                <w:webHidden/>
              </w:rPr>
            </w:r>
            <w:r w:rsidR="00727A5A">
              <w:rPr>
                <w:noProof/>
                <w:webHidden/>
              </w:rPr>
              <w:fldChar w:fldCharType="separate"/>
            </w:r>
            <w:r w:rsidR="00727A5A">
              <w:rPr>
                <w:noProof/>
                <w:webHidden/>
              </w:rPr>
              <w:t>12</w:t>
            </w:r>
            <w:r w:rsidR="00727A5A">
              <w:rPr>
                <w:noProof/>
                <w:webHidden/>
              </w:rPr>
              <w:fldChar w:fldCharType="end"/>
            </w:r>
          </w:hyperlink>
        </w:p>
        <w:p w:rsidR="00727A5A" w:rsidRDefault="00D552BF">
          <w:pPr>
            <w:pStyle w:val="TOC3"/>
            <w:rPr>
              <w:rFonts w:asciiTheme="minorHAnsi" w:eastAsiaTheme="minorEastAsia" w:hAnsiTheme="minorHAnsi" w:cstheme="minorBidi"/>
              <w:noProof/>
              <w:lang w:eastAsia="en-AU"/>
            </w:rPr>
          </w:pPr>
          <w:hyperlink w:anchor="_Toc433190159" w:history="1">
            <w:r w:rsidR="00727A5A" w:rsidRPr="00C023DA">
              <w:rPr>
                <w:rStyle w:val="Hyperlink"/>
                <w:noProof/>
              </w:rPr>
              <w:t>Drug substance (active ingredient)</w:t>
            </w:r>
            <w:r w:rsidR="00727A5A">
              <w:rPr>
                <w:noProof/>
                <w:webHidden/>
              </w:rPr>
              <w:tab/>
            </w:r>
            <w:r w:rsidR="00727A5A">
              <w:rPr>
                <w:noProof/>
                <w:webHidden/>
              </w:rPr>
              <w:fldChar w:fldCharType="begin"/>
            </w:r>
            <w:r w:rsidR="00727A5A">
              <w:rPr>
                <w:noProof/>
                <w:webHidden/>
              </w:rPr>
              <w:instrText xml:space="preserve"> PAGEREF _Toc433190159 \h </w:instrText>
            </w:r>
            <w:r w:rsidR="00727A5A">
              <w:rPr>
                <w:noProof/>
                <w:webHidden/>
              </w:rPr>
            </w:r>
            <w:r w:rsidR="00727A5A">
              <w:rPr>
                <w:noProof/>
                <w:webHidden/>
              </w:rPr>
              <w:fldChar w:fldCharType="separate"/>
            </w:r>
            <w:r w:rsidR="00727A5A">
              <w:rPr>
                <w:noProof/>
                <w:webHidden/>
              </w:rPr>
              <w:t>12</w:t>
            </w:r>
            <w:r w:rsidR="00727A5A">
              <w:rPr>
                <w:noProof/>
                <w:webHidden/>
              </w:rPr>
              <w:fldChar w:fldCharType="end"/>
            </w:r>
          </w:hyperlink>
        </w:p>
        <w:p w:rsidR="00727A5A" w:rsidRDefault="00D552BF">
          <w:pPr>
            <w:pStyle w:val="TOC3"/>
            <w:rPr>
              <w:rFonts w:asciiTheme="minorHAnsi" w:eastAsiaTheme="minorEastAsia" w:hAnsiTheme="minorHAnsi" w:cstheme="minorBidi"/>
              <w:noProof/>
              <w:lang w:eastAsia="en-AU"/>
            </w:rPr>
          </w:pPr>
          <w:hyperlink w:anchor="_Toc433190160" w:history="1">
            <w:r w:rsidR="00727A5A" w:rsidRPr="00C023DA">
              <w:rPr>
                <w:rStyle w:val="Hyperlink"/>
                <w:noProof/>
              </w:rPr>
              <w:t>Drug product</w:t>
            </w:r>
            <w:r w:rsidR="00727A5A">
              <w:rPr>
                <w:noProof/>
                <w:webHidden/>
              </w:rPr>
              <w:tab/>
            </w:r>
            <w:r w:rsidR="00727A5A">
              <w:rPr>
                <w:noProof/>
                <w:webHidden/>
              </w:rPr>
              <w:fldChar w:fldCharType="begin"/>
            </w:r>
            <w:r w:rsidR="00727A5A">
              <w:rPr>
                <w:noProof/>
                <w:webHidden/>
              </w:rPr>
              <w:instrText xml:space="preserve"> PAGEREF _Toc433190160 \h </w:instrText>
            </w:r>
            <w:r w:rsidR="00727A5A">
              <w:rPr>
                <w:noProof/>
                <w:webHidden/>
              </w:rPr>
            </w:r>
            <w:r w:rsidR="00727A5A">
              <w:rPr>
                <w:noProof/>
                <w:webHidden/>
              </w:rPr>
              <w:fldChar w:fldCharType="separate"/>
            </w:r>
            <w:r w:rsidR="00727A5A">
              <w:rPr>
                <w:noProof/>
                <w:webHidden/>
              </w:rPr>
              <w:t>12</w:t>
            </w:r>
            <w:r w:rsidR="00727A5A">
              <w:rPr>
                <w:noProof/>
                <w:webHidden/>
              </w:rPr>
              <w:fldChar w:fldCharType="end"/>
            </w:r>
          </w:hyperlink>
        </w:p>
        <w:p w:rsidR="00727A5A" w:rsidRDefault="00D552BF">
          <w:pPr>
            <w:pStyle w:val="TOC3"/>
            <w:rPr>
              <w:rFonts w:asciiTheme="minorHAnsi" w:eastAsiaTheme="minorEastAsia" w:hAnsiTheme="minorHAnsi" w:cstheme="minorBidi"/>
              <w:noProof/>
              <w:lang w:eastAsia="en-AU"/>
            </w:rPr>
          </w:pPr>
          <w:hyperlink w:anchor="_Toc433190161" w:history="1">
            <w:r w:rsidR="00727A5A" w:rsidRPr="00C023DA">
              <w:rPr>
                <w:rStyle w:val="Hyperlink"/>
                <w:noProof/>
              </w:rPr>
              <w:t>Biopharmaceutics</w:t>
            </w:r>
            <w:r w:rsidR="00727A5A">
              <w:rPr>
                <w:noProof/>
                <w:webHidden/>
              </w:rPr>
              <w:tab/>
            </w:r>
            <w:r w:rsidR="00727A5A">
              <w:rPr>
                <w:noProof/>
                <w:webHidden/>
              </w:rPr>
              <w:fldChar w:fldCharType="begin"/>
            </w:r>
            <w:r w:rsidR="00727A5A">
              <w:rPr>
                <w:noProof/>
                <w:webHidden/>
              </w:rPr>
              <w:instrText xml:space="preserve"> PAGEREF _Toc433190161 \h </w:instrText>
            </w:r>
            <w:r w:rsidR="00727A5A">
              <w:rPr>
                <w:noProof/>
                <w:webHidden/>
              </w:rPr>
            </w:r>
            <w:r w:rsidR="00727A5A">
              <w:rPr>
                <w:noProof/>
                <w:webHidden/>
              </w:rPr>
              <w:fldChar w:fldCharType="separate"/>
            </w:r>
            <w:r w:rsidR="00727A5A">
              <w:rPr>
                <w:noProof/>
                <w:webHidden/>
              </w:rPr>
              <w:t>13</w:t>
            </w:r>
            <w:r w:rsidR="00727A5A">
              <w:rPr>
                <w:noProof/>
                <w:webHidden/>
              </w:rPr>
              <w:fldChar w:fldCharType="end"/>
            </w:r>
          </w:hyperlink>
        </w:p>
        <w:p w:rsidR="00727A5A" w:rsidRDefault="00D552BF">
          <w:pPr>
            <w:pStyle w:val="TOC3"/>
            <w:rPr>
              <w:rFonts w:asciiTheme="minorHAnsi" w:eastAsiaTheme="minorEastAsia" w:hAnsiTheme="minorHAnsi" w:cstheme="minorBidi"/>
              <w:noProof/>
              <w:lang w:eastAsia="en-AU"/>
            </w:rPr>
          </w:pPr>
          <w:hyperlink w:anchor="_Toc433190162" w:history="1">
            <w:r w:rsidR="00727A5A" w:rsidRPr="00C023DA">
              <w:rPr>
                <w:rStyle w:val="Hyperlink"/>
                <w:noProof/>
              </w:rPr>
              <w:t>Quality summary and conclusions</w:t>
            </w:r>
            <w:r w:rsidR="00727A5A">
              <w:rPr>
                <w:noProof/>
                <w:webHidden/>
              </w:rPr>
              <w:tab/>
            </w:r>
            <w:r w:rsidR="00727A5A">
              <w:rPr>
                <w:noProof/>
                <w:webHidden/>
              </w:rPr>
              <w:fldChar w:fldCharType="begin"/>
            </w:r>
            <w:r w:rsidR="00727A5A">
              <w:rPr>
                <w:noProof/>
                <w:webHidden/>
              </w:rPr>
              <w:instrText xml:space="preserve"> PAGEREF _Toc433190162 \h </w:instrText>
            </w:r>
            <w:r w:rsidR="00727A5A">
              <w:rPr>
                <w:noProof/>
                <w:webHidden/>
              </w:rPr>
            </w:r>
            <w:r w:rsidR="00727A5A">
              <w:rPr>
                <w:noProof/>
                <w:webHidden/>
              </w:rPr>
              <w:fldChar w:fldCharType="separate"/>
            </w:r>
            <w:r w:rsidR="00727A5A">
              <w:rPr>
                <w:noProof/>
                <w:webHidden/>
              </w:rPr>
              <w:t>13</w:t>
            </w:r>
            <w:r w:rsidR="00727A5A">
              <w:rPr>
                <w:noProof/>
                <w:webHidden/>
              </w:rPr>
              <w:fldChar w:fldCharType="end"/>
            </w:r>
          </w:hyperlink>
        </w:p>
        <w:p w:rsidR="00727A5A" w:rsidRDefault="00D552BF">
          <w:pPr>
            <w:pStyle w:val="TOC2"/>
            <w:rPr>
              <w:rFonts w:asciiTheme="minorHAnsi" w:eastAsiaTheme="minorEastAsia" w:hAnsiTheme="minorHAnsi" w:cstheme="minorBidi"/>
              <w:b w:val="0"/>
              <w:noProof/>
              <w:sz w:val="22"/>
              <w:lang w:eastAsia="en-AU"/>
            </w:rPr>
          </w:pPr>
          <w:hyperlink w:anchor="_Toc433190163" w:history="1">
            <w:r w:rsidR="00727A5A" w:rsidRPr="00C023DA">
              <w:rPr>
                <w:rStyle w:val="Hyperlink"/>
                <w:noProof/>
              </w:rPr>
              <w:t>III. Nonclinical findings</w:t>
            </w:r>
            <w:r w:rsidR="00727A5A">
              <w:rPr>
                <w:noProof/>
                <w:webHidden/>
              </w:rPr>
              <w:tab/>
            </w:r>
            <w:r w:rsidR="00727A5A">
              <w:rPr>
                <w:noProof/>
                <w:webHidden/>
              </w:rPr>
              <w:fldChar w:fldCharType="begin"/>
            </w:r>
            <w:r w:rsidR="00727A5A">
              <w:rPr>
                <w:noProof/>
                <w:webHidden/>
              </w:rPr>
              <w:instrText xml:space="preserve"> PAGEREF _Toc433190163 \h </w:instrText>
            </w:r>
            <w:r w:rsidR="00727A5A">
              <w:rPr>
                <w:noProof/>
                <w:webHidden/>
              </w:rPr>
            </w:r>
            <w:r w:rsidR="00727A5A">
              <w:rPr>
                <w:noProof/>
                <w:webHidden/>
              </w:rPr>
              <w:fldChar w:fldCharType="separate"/>
            </w:r>
            <w:r w:rsidR="00727A5A">
              <w:rPr>
                <w:noProof/>
                <w:webHidden/>
              </w:rPr>
              <w:t>13</w:t>
            </w:r>
            <w:r w:rsidR="00727A5A">
              <w:rPr>
                <w:noProof/>
                <w:webHidden/>
              </w:rPr>
              <w:fldChar w:fldCharType="end"/>
            </w:r>
          </w:hyperlink>
        </w:p>
        <w:p w:rsidR="00727A5A" w:rsidRDefault="00D552BF">
          <w:pPr>
            <w:pStyle w:val="TOC3"/>
            <w:rPr>
              <w:rFonts w:asciiTheme="minorHAnsi" w:eastAsiaTheme="minorEastAsia" w:hAnsiTheme="minorHAnsi" w:cstheme="minorBidi"/>
              <w:noProof/>
              <w:lang w:eastAsia="en-AU"/>
            </w:rPr>
          </w:pPr>
          <w:hyperlink w:anchor="_Toc433190164" w:history="1">
            <w:r w:rsidR="00727A5A" w:rsidRPr="00C023DA">
              <w:rPr>
                <w:rStyle w:val="Hyperlink"/>
                <w:noProof/>
              </w:rPr>
              <w:t>Introduction</w:t>
            </w:r>
            <w:r w:rsidR="00727A5A">
              <w:rPr>
                <w:noProof/>
                <w:webHidden/>
              </w:rPr>
              <w:tab/>
            </w:r>
            <w:r w:rsidR="00727A5A">
              <w:rPr>
                <w:noProof/>
                <w:webHidden/>
              </w:rPr>
              <w:fldChar w:fldCharType="begin"/>
            </w:r>
            <w:r w:rsidR="00727A5A">
              <w:rPr>
                <w:noProof/>
                <w:webHidden/>
              </w:rPr>
              <w:instrText xml:space="preserve"> PAGEREF _Toc433190164 \h </w:instrText>
            </w:r>
            <w:r w:rsidR="00727A5A">
              <w:rPr>
                <w:noProof/>
                <w:webHidden/>
              </w:rPr>
            </w:r>
            <w:r w:rsidR="00727A5A">
              <w:rPr>
                <w:noProof/>
                <w:webHidden/>
              </w:rPr>
              <w:fldChar w:fldCharType="separate"/>
            </w:r>
            <w:r w:rsidR="00727A5A">
              <w:rPr>
                <w:noProof/>
                <w:webHidden/>
              </w:rPr>
              <w:t>13</w:t>
            </w:r>
            <w:r w:rsidR="00727A5A">
              <w:rPr>
                <w:noProof/>
                <w:webHidden/>
              </w:rPr>
              <w:fldChar w:fldCharType="end"/>
            </w:r>
          </w:hyperlink>
        </w:p>
        <w:p w:rsidR="00727A5A" w:rsidRDefault="00D552BF">
          <w:pPr>
            <w:pStyle w:val="TOC3"/>
            <w:rPr>
              <w:rFonts w:asciiTheme="minorHAnsi" w:eastAsiaTheme="minorEastAsia" w:hAnsiTheme="minorHAnsi" w:cstheme="minorBidi"/>
              <w:noProof/>
              <w:lang w:eastAsia="en-AU"/>
            </w:rPr>
          </w:pPr>
          <w:hyperlink w:anchor="_Toc433190165" w:history="1">
            <w:r w:rsidR="00727A5A" w:rsidRPr="00C023DA">
              <w:rPr>
                <w:rStyle w:val="Hyperlink"/>
                <w:noProof/>
              </w:rPr>
              <w:t>Pharmacology</w:t>
            </w:r>
            <w:r w:rsidR="00727A5A">
              <w:rPr>
                <w:noProof/>
                <w:webHidden/>
              </w:rPr>
              <w:tab/>
            </w:r>
            <w:r w:rsidR="00727A5A">
              <w:rPr>
                <w:noProof/>
                <w:webHidden/>
              </w:rPr>
              <w:fldChar w:fldCharType="begin"/>
            </w:r>
            <w:r w:rsidR="00727A5A">
              <w:rPr>
                <w:noProof/>
                <w:webHidden/>
              </w:rPr>
              <w:instrText xml:space="preserve"> PAGEREF _Toc433190165 \h </w:instrText>
            </w:r>
            <w:r w:rsidR="00727A5A">
              <w:rPr>
                <w:noProof/>
                <w:webHidden/>
              </w:rPr>
            </w:r>
            <w:r w:rsidR="00727A5A">
              <w:rPr>
                <w:noProof/>
                <w:webHidden/>
              </w:rPr>
              <w:fldChar w:fldCharType="separate"/>
            </w:r>
            <w:r w:rsidR="00727A5A">
              <w:rPr>
                <w:noProof/>
                <w:webHidden/>
              </w:rPr>
              <w:t>13</w:t>
            </w:r>
            <w:r w:rsidR="00727A5A">
              <w:rPr>
                <w:noProof/>
                <w:webHidden/>
              </w:rPr>
              <w:fldChar w:fldCharType="end"/>
            </w:r>
          </w:hyperlink>
        </w:p>
        <w:p w:rsidR="00727A5A" w:rsidRDefault="00D552BF">
          <w:pPr>
            <w:pStyle w:val="TOC3"/>
            <w:rPr>
              <w:rFonts w:asciiTheme="minorHAnsi" w:eastAsiaTheme="minorEastAsia" w:hAnsiTheme="minorHAnsi" w:cstheme="minorBidi"/>
              <w:noProof/>
              <w:lang w:eastAsia="en-AU"/>
            </w:rPr>
          </w:pPr>
          <w:hyperlink w:anchor="_Toc433190166" w:history="1">
            <w:r w:rsidR="00727A5A" w:rsidRPr="00C023DA">
              <w:rPr>
                <w:rStyle w:val="Hyperlink"/>
                <w:noProof/>
              </w:rPr>
              <w:t>Pharmacokinetics</w:t>
            </w:r>
            <w:r w:rsidR="00727A5A">
              <w:rPr>
                <w:noProof/>
                <w:webHidden/>
              </w:rPr>
              <w:tab/>
            </w:r>
            <w:r w:rsidR="00727A5A">
              <w:rPr>
                <w:noProof/>
                <w:webHidden/>
              </w:rPr>
              <w:fldChar w:fldCharType="begin"/>
            </w:r>
            <w:r w:rsidR="00727A5A">
              <w:rPr>
                <w:noProof/>
                <w:webHidden/>
              </w:rPr>
              <w:instrText xml:space="preserve"> PAGEREF _Toc433190166 \h </w:instrText>
            </w:r>
            <w:r w:rsidR="00727A5A">
              <w:rPr>
                <w:noProof/>
                <w:webHidden/>
              </w:rPr>
            </w:r>
            <w:r w:rsidR="00727A5A">
              <w:rPr>
                <w:noProof/>
                <w:webHidden/>
              </w:rPr>
              <w:fldChar w:fldCharType="separate"/>
            </w:r>
            <w:r w:rsidR="00727A5A">
              <w:rPr>
                <w:noProof/>
                <w:webHidden/>
              </w:rPr>
              <w:t>14</w:t>
            </w:r>
            <w:r w:rsidR="00727A5A">
              <w:rPr>
                <w:noProof/>
                <w:webHidden/>
              </w:rPr>
              <w:fldChar w:fldCharType="end"/>
            </w:r>
          </w:hyperlink>
        </w:p>
        <w:p w:rsidR="00727A5A" w:rsidRDefault="00D552BF">
          <w:pPr>
            <w:pStyle w:val="TOC3"/>
            <w:rPr>
              <w:rFonts w:asciiTheme="minorHAnsi" w:eastAsiaTheme="minorEastAsia" w:hAnsiTheme="minorHAnsi" w:cstheme="minorBidi"/>
              <w:noProof/>
              <w:lang w:eastAsia="en-AU"/>
            </w:rPr>
          </w:pPr>
          <w:hyperlink w:anchor="_Toc433190167" w:history="1">
            <w:r w:rsidR="00727A5A" w:rsidRPr="00C023DA">
              <w:rPr>
                <w:rStyle w:val="Hyperlink"/>
                <w:noProof/>
              </w:rPr>
              <w:t>Toxicology</w:t>
            </w:r>
            <w:r w:rsidR="00727A5A">
              <w:rPr>
                <w:noProof/>
                <w:webHidden/>
              </w:rPr>
              <w:tab/>
            </w:r>
            <w:r w:rsidR="00727A5A">
              <w:rPr>
                <w:noProof/>
                <w:webHidden/>
              </w:rPr>
              <w:fldChar w:fldCharType="begin"/>
            </w:r>
            <w:r w:rsidR="00727A5A">
              <w:rPr>
                <w:noProof/>
                <w:webHidden/>
              </w:rPr>
              <w:instrText xml:space="preserve"> PAGEREF _Toc433190167 \h </w:instrText>
            </w:r>
            <w:r w:rsidR="00727A5A">
              <w:rPr>
                <w:noProof/>
                <w:webHidden/>
              </w:rPr>
            </w:r>
            <w:r w:rsidR="00727A5A">
              <w:rPr>
                <w:noProof/>
                <w:webHidden/>
              </w:rPr>
              <w:fldChar w:fldCharType="separate"/>
            </w:r>
            <w:r w:rsidR="00727A5A">
              <w:rPr>
                <w:noProof/>
                <w:webHidden/>
              </w:rPr>
              <w:t>15</w:t>
            </w:r>
            <w:r w:rsidR="00727A5A">
              <w:rPr>
                <w:noProof/>
                <w:webHidden/>
              </w:rPr>
              <w:fldChar w:fldCharType="end"/>
            </w:r>
          </w:hyperlink>
        </w:p>
        <w:p w:rsidR="00727A5A" w:rsidRDefault="00D552BF">
          <w:pPr>
            <w:pStyle w:val="TOC3"/>
            <w:rPr>
              <w:rFonts w:asciiTheme="minorHAnsi" w:eastAsiaTheme="minorEastAsia" w:hAnsiTheme="minorHAnsi" w:cstheme="minorBidi"/>
              <w:noProof/>
              <w:lang w:eastAsia="en-AU"/>
            </w:rPr>
          </w:pPr>
          <w:hyperlink w:anchor="_Toc433190168" w:history="1">
            <w:r w:rsidR="00727A5A" w:rsidRPr="00C023DA">
              <w:rPr>
                <w:rStyle w:val="Hyperlink"/>
                <w:noProof/>
              </w:rPr>
              <w:t>Nonclinical summary and conclusions</w:t>
            </w:r>
            <w:r w:rsidR="00727A5A">
              <w:rPr>
                <w:noProof/>
                <w:webHidden/>
              </w:rPr>
              <w:tab/>
            </w:r>
            <w:r w:rsidR="00727A5A">
              <w:rPr>
                <w:noProof/>
                <w:webHidden/>
              </w:rPr>
              <w:fldChar w:fldCharType="begin"/>
            </w:r>
            <w:r w:rsidR="00727A5A">
              <w:rPr>
                <w:noProof/>
                <w:webHidden/>
              </w:rPr>
              <w:instrText xml:space="preserve"> PAGEREF _Toc433190168 \h </w:instrText>
            </w:r>
            <w:r w:rsidR="00727A5A">
              <w:rPr>
                <w:noProof/>
                <w:webHidden/>
              </w:rPr>
            </w:r>
            <w:r w:rsidR="00727A5A">
              <w:rPr>
                <w:noProof/>
                <w:webHidden/>
              </w:rPr>
              <w:fldChar w:fldCharType="separate"/>
            </w:r>
            <w:r w:rsidR="00727A5A">
              <w:rPr>
                <w:noProof/>
                <w:webHidden/>
              </w:rPr>
              <w:t>19</w:t>
            </w:r>
            <w:r w:rsidR="00727A5A">
              <w:rPr>
                <w:noProof/>
                <w:webHidden/>
              </w:rPr>
              <w:fldChar w:fldCharType="end"/>
            </w:r>
          </w:hyperlink>
        </w:p>
        <w:p w:rsidR="00727A5A" w:rsidRDefault="00D552BF">
          <w:pPr>
            <w:pStyle w:val="TOC2"/>
            <w:rPr>
              <w:rFonts w:asciiTheme="minorHAnsi" w:eastAsiaTheme="minorEastAsia" w:hAnsiTheme="minorHAnsi" w:cstheme="minorBidi"/>
              <w:b w:val="0"/>
              <w:noProof/>
              <w:sz w:val="22"/>
              <w:lang w:eastAsia="en-AU"/>
            </w:rPr>
          </w:pPr>
          <w:hyperlink w:anchor="_Toc433190169" w:history="1">
            <w:r w:rsidR="00727A5A" w:rsidRPr="00C023DA">
              <w:rPr>
                <w:rStyle w:val="Hyperlink"/>
                <w:noProof/>
              </w:rPr>
              <w:t>IV. Clinical findings</w:t>
            </w:r>
            <w:r w:rsidR="00727A5A">
              <w:rPr>
                <w:noProof/>
                <w:webHidden/>
              </w:rPr>
              <w:tab/>
            </w:r>
            <w:r w:rsidR="00727A5A">
              <w:rPr>
                <w:noProof/>
                <w:webHidden/>
              </w:rPr>
              <w:fldChar w:fldCharType="begin"/>
            </w:r>
            <w:r w:rsidR="00727A5A">
              <w:rPr>
                <w:noProof/>
                <w:webHidden/>
              </w:rPr>
              <w:instrText xml:space="preserve"> PAGEREF _Toc433190169 \h </w:instrText>
            </w:r>
            <w:r w:rsidR="00727A5A">
              <w:rPr>
                <w:noProof/>
                <w:webHidden/>
              </w:rPr>
            </w:r>
            <w:r w:rsidR="00727A5A">
              <w:rPr>
                <w:noProof/>
                <w:webHidden/>
              </w:rPr>
              <w:fldChar w:fldCharType="separate"/>
            </w:r>
            <w:r w:rsidR="00727A5A">
              <w:rPr>
                <w:noProof/>
                <w:webHidden/>
              </w:rPr>
              <w:t>20</w:t>
            </w:r>
            <w:r w:rsidR="00727A5A">
              <w:rPr>
                <w:noProof/>
                <w:webHidden/>
              </w:rPr>
              <w:fldChar w:fldCharType="end"/>
            </w:r>
          </w:hyperlink>
        </w:p>
        <w:p w:rsidR="00727A5A" w:rsidRDefault="00D552BF">
          <w:pPr>
            <w:pStyle w:val="TOC3"/>
            <w:rPr>
              <w:rFonts w:asciiTheme="minorHAnsi" w:eastAsiaTheme="minorEastAsia" w:hAnsiTheme="minorHAnsi" w:cstheme="minorBidi"/>
              <w:noProof/>
              <w:lang w:eastAsia="en-AU"/>
            </w:rPr>
          </w:pPr>
          <w:hyperlink w:anchor="_Toc433190170" w:history="1">
            <w:r w:rsidR="00727A5A" w:rsidRPr="00C023DA">
              <w:rPr>
                <w:rStyle w:val="Hyperlink"/>
                <w:noProof/>
              </w:rPr>
              <w:t>Pharmacokinetics</w:t>
            </w:r>
            <w:r w:rsidR="00727A5A">
              <w:rPr>
                <w:noProof/>
                <w:webHidden/>
              </w:rPr>
              <w:tab/>
            </w:r>
            <w:r w:rsidR="00727A5A">
              <w:rPr>
                <w:noProof/>
                <w:webHidden/>
              </w:rPr>
              <w:fldChar w:fldCharType="begin"/>
            </w:r>
            <w:r w:rsidR="00727A5A">
              <w:rPr>
                <w:noProof/>
                <w:webHidden/>
              </w:rPr>
              <w:instrText xml:space="preserve"> PAGEREF _Toc433190170 \h </w:instrText>
            </w:r>
            <w:r w:rsidR="00727A5A">
              <w:rPr>
                <w:noProof/>
                <w:webHidden/>
              </w:rPr>
            </w:r>
            <w:r w:rsidR="00727A5A">
              <w:rPr>
                <w:noProof/>
                <w:webHidden/>
              </w:rPr>
              <w:fldChar w:fldCharType="separate"/>
            </w:r>
            <w:r w:rsidR="00727A5A">
              <w:rPr>
                <w:noProof/>
                <w:webHidden/>
              </w:rPr>
              <w:t>22</w:t>
            </w:r>
            <w:r w:rsidR="00727A5A">
              <w:rPr>
                <w:noProof/>
                <w:webHidden/>
              </w:rPr>
              <w:fldChar w:fldCharType="end"/>
            </w:r>
          </w:hyperlink>
        </w:p>
        <w:p w:rsidR="00727A5A" w:rsidRDefault="00D552BF">
          <w:pPr>
            <w:pStyle w:val="TOC3"/>
            <w:rPr>
              <w:rFonts w:asciiTheme="minorHAnsi" w:eastAsiaTheme="minorEastAsia" w:hAnsiTheme="minorHAnsi" w:cstheme="minorBidi"/>
              <w:noProof/>
              <w:lang w:eastAsia="en-AU"/>
            </w:rPr>
          </w:pPr>
          <w:hyperlink w:anchor="_Toc433190171" w:history="1">
            <w:r w:rsidR="00727A5A" w:rsidRPr="00C023DA">
              <w:rPr>
                <w:rStyle w:val="Hyperlink"/>
                <w:noProof/>
              </w:rPr>
              <w:t>Pharmacodynamics</w:t>
            </w:r>
            <w:r w:rsidR="00727A5A">
              <w:rPr>
                <w:noProof/>
                <w:webHidden/>
              </w:rPr>
              <w:tab/>
            </w:r>
            <w:r w:rsidR="00727A5A">
              <w:rPr>
                <w:noProof/>
                <w:webHidden/>
              </w:rPr>
              <w:fldChar w:fldCharType="begin"/>
            </w:r>
            <w:r w:rsidR="00727A5A">
              <w:rPr>
                <w:noProof/>
                <w:webHidden/>
              </w:rPr>
              <w:instrText xml:space="preserve"> PAGEREF _Toc433190171 \h </w:instrText>
            </w:r>
            <w:r w:rsidR="00727A5A">
              <w:rPr>
                <w:noProof/>
                <w:webHidden/>
              </w:rPr>
            </w:r>
            <w:r w:rsidR="00727A5A">
              <w:rPr>
                <w:noProof/>
                <w:webHidden/>
              </w:rPr>
              <w:fldChar w:fldCharType="separate"/>
            </w:r>
            <w:r w:rsidR="00727A5A">
              <w:rPr>
                <w:noProof/>
                <w:webHidden/>
              </w:rPr>
              <w:t>24</w:t>
            </w:r>
            <w:r w:rsidR="00727A5A">
              <w:rPr>
                <w:noProof/>
                <w:webHidden/>
              </w:rPr>
              <w:fldChar w:fldCharType="end"/>
            </w:r>
          </w:hyperlink>
        </w:p>
        <w:p w:rsidR="00727A5A" w:rsidRDefault="00D552BF">
          <w:pPr>
            <w:pStyle w:val="TOC3"/>
            <w:rPr>
              <w:rFonts w:asciiTheme="minorHAnsi" w:eastAsiaTheme="minorEastAsia" w:hAnsiTheme="minorHAnsi" w:cstheme="minorBidi"/>
              <w:noProof/>
              <w:lang w:eastAsia="en-AU"/>
            </w:rPr>
          </w:pPr>
          <w:hyperlink w:anchor="_Toc433190172" w:history="1">
            <w:r w:rsidR="00727A5A" w:rsidRPr="00C023DA">
              <w:rPr>
                <w:rStyle w:val="Hyperlink"/>
                <w:noProof/>
              </w:rPr>
              <w:t>Dosage selection for the pivotal studies</w:t>
            </w:r>
            <w:r w:rsidR="00727A5A">
              <w:rPr>
                <w:noProof/>
                <w:webHidden/>
              </w:rPr>
              <w:tab/>
            </w:r>
            <w:r w:rsidR="00727A5A">
              <w:rPr>
                <w:noProof/>
                <w:webHidden/>
              </w:rPr>
              <w:fldChar w:fldCharType="begin"/>
            </w:r>
            <w:r w:rsidR="00727A5A">
              <w:rPr>
                <w:noProof/>
                <w:webHidden/>
              </w:rPr>
              <w:instrText xml:space="preserve"> PAGEREF _Toc433190172 \h </w:instrText>
            </w:r>
            <w:r w:rsidR="00727A5A">
              <w:rPr>
                <w:noProof/>
                <w:webHidden/>
              </w:rPr>
            </w:r>
            <w:r w:rsidR="00727A5A">
              <w:rPr>
                <w:noProof/>
                <w:webHidden/>
              </w:rPr>
              <w:fldChar w:fldCharType="separate"/>
            </w:r>
            <w:r w:rsidR="00727A5A">
              <w:rPr>
                <w:noProof/>
                <w:webHidden/>
              </w:rPr>
              <w:t>24</w:t>
            </w:r>
            <w:r w:rsidR="00727A5A">
              <w:rPr>
                <w:noProof/>
                <w:webHidden/>
              </w:rPr>
              <w:fldChar w:fldCharType="end"/>
            </w:r>
          </w:hyperlink>
        </w:p>
        <w:p w:rsidR="00727A5A" w:rsidRDefault="00D552BF">
          <w:pPr>
            <w:pStyle w:val="TOC3"/>
            <w:rPr>
              <w:rFonts w:asciiTheme="minorHAnsi" w:eastAsiaTheme="minorEastAsia" w:hAnsiTheme="minorHAnsi" w:cstheme="minorBidi"/>
              <w:noProof/>
              <w:lang w:eastAsia="en-AU"/>
            </w:rPr>
          </w:pPr>
          <w:hyperlink w:anchor="_Toc433190173" w:history="1">
            <w:r w:rsidR="00727A5A" w:rsidRPr="00C023DA">
              <w:rPr>
                <w:rStyle w:val="Hyperlink"/>
                <w:noProof/>
              </w:rPr>
              <w:t>Efficacy - Treatment of NAGS deficiency</w:t>
            </w:r>
            <w:r w:rsidR="00727A5A">
              <w:rPr>
                <w:noProof/>
                <w:webHidden/>
              </w:rPr>
              <w:tab/>
            </w:r>
            <w:r w:rsidR="00727A5A">
              <w:rPr>
                <w:noProof/>
                <w:webHidden/>
              </w:rPr>
              <w:fldChar w:fldCharType="begin"/>
            </w:r>
            <w:r w:rsidR="00727A5A">
              <w:rPr>
                <w:noProof/>
                <w:webHidden/>
              </w:rPr>
              <w:instrText xml:space="preserve"> PAGEREF _Toc433190173 \h </w:instrText>
            </w:r>
            <w:r w:rsidR="00727A5A">
              <w:rPr>
                <w:noProof/>
                <w:webHidden/>
              </w:rPr>
            </w:r>
            <w:r w:rsidR="00727A5A">
              <w:rPr>
                <w:noProof/>
                <w:webHidden/>
              </w:rPr>
              <w:fldChar w:fldCharType="separate"/>
            </w:r>
            <w:r w:rsidR="00727A5A">
              <w:rPr>
                <w:noProof/>
                <w:webHidden/>
              </w:rPr>
              <w:t>24</w:t>
            </w:r>
            <w:r w:rsidR="00727A5A">
              <w:rPr>
                <w:noProof/>
                <w:webHidden/>
              </w:rPr>
              <w:fldChar w:fldCharType="end"/>
            </w:r>
          </w:hyperlink>
        </w:p>
        <w:p w:rsidR="00727A5A" w:rsidRDefault="00D552BF">
          <w:pPr>
            <w:pStyle w:val="TOC3"/>
            <w:rPr>
              <w:rFonts w:asciiTheme="minorHAnsi" w:eastAsiaTheme="minorEastAsia" w:hAnsiTheme="minorHAnsi" w:cstheme="minorBidi"/>
              <w:noProof/>
              <w:lang w:eastAsia="en-AU"/>
            </w:rPr>
          </w:pPr>
          <w:hyperlink w:anchor="_Toc433190174" w:history="1">
            <w:r w:rsidR="00727A5A" w:rsidRPr="00C023DA">
              <w:rPr>
                <w:rStyle w:val="Hyperlink"/>
                <w:noProof/>
              </w:rPr>
              <w:t>Efficacy - The acute treatment of hyperammonaemia in organic acidaemia</w:t>
            </w:r>
            <w:r w:rsidR="00727A5A">
              <w:rPr>
                <w:noProof/>
                <w:webHidden/>
              </w:rPr>
              <w:tab/>
            </w:r>
            <w:r w:rsidR="00727A5A">
              <w:rPr>
                <w:noProof/>
                <w:webHidden/>
              </w:rPr>
              <w:fldChar w:fldCharType="begin"/>
            </w:r>
            <w:r w:rsidR="00727A5A">
              <w:rPr>
                <w:noProof/>
                <w:webHidden/>
              </w:rPr>
              <w:instrText xml:space="preserve"> PAGEREF _Toc433190174 \h </w:instrText>
            </w:r>
            <w:r w:rsidR="00727A5A">
              <w:rPr>
                <w:noProof/>
                <w:webHidden/>
              </w:rPr>
            </w:r>
            <w:r w:rsidR="00727A5A">
              <w:rPr>
                <w:noProof/>
                <w:webHidden/>
              </w:rPr>
              <w:fldChar w:fldCharType="separate"/>
            </w:r>
            <w:r w:rsidR="00727A5A">
              <w:rPr>
                <w:noProof/>
                <w:webHidden/>
              </w:rPr>
              <w:t>24</w:t>
            </w:r>
            <w:r w:rsidR="00727A5A">
              <w:rPr>
                <w:noProof/>
                <w:webHidden/>
              </w:rPr>
              <w:fldChar w:fldCharType="end"/>
            </w:r>
          </w:hyperlink>
        </w:p>
        <w:p w:rsidR="00727A5A" w:rsidRDefault="00D552BF">
          <w:pPr>
            <w:pStyle w:val="TOC3"/>
            <w:rPr>
              <w:rFonts w:asciiTheme="minorHAnsi" w:eastAsiaTheme="minorEastAsia" w:hAnsiTheme="minorHAnsi" w:cstheme="minorBidi"/>
              <w:noProof/>
              <w:lang w:eastAsia="en-AU"/>
            </w:rPr>
          </w:pPr>
          <w:hyperlink w:anchor="_Toc433190175" w:history="1">
            <w:r w:rsidR="00727A5A" w:rsidRPr="00C023DA">
              <w:rPr>
                <w:rStyle w:val="Hyperlink"/>
                <w:noProof/>
              </w:rPr>
              <w:t>Safety</w:t>
            </w:r>
            <w:r w:rsidR="00727A5A">
              <w:rPr>
                <w:noProof/>
                <w:webHidden/>
              </w:rPr>
              <w:tab/>
            </w:r>
            <w:r w:rsidR="00727A5A">
              <w:rPr>
                <w:noProof/>
                <w:webHidden/>
              </w:rPr>
              <w:fldChar w:fldCharType="begin"/>
            </w:r>
            <w:r w:rsidR="00727A5A">
              <w:rPr>
                <w:noProof/>
                <w:webHidden/>
              </w:rPr>
              <w:instrText xml:space="preserve"> PAGEREF _Toc433190175 \h </w:instrText>
            </w:r>
            <w:r w:rsidR="00727A5A">
              <w:rPr>
                <w:noProof/>
                <w:webHidden/>
              </w:rPr>
            </w:r>
            <w:r w:rsidR="00727A5A">
              <w:rPr>
                <w:noProof/>
                <w:webHidden/>
              </w:rPr>
              <w:fldChar w:fldCharType="separate"/>
            </w:r>
            <w:r w:rsidR="00727A5A">
              <w:rPr>
                <w:noProof/>
                <w:webHidden/>
              </w:rPr>
              <w:t>25</w:t>
            </w:r>
            <w:r w:rsidR="00727A5A">
              <w:rPr>
                <w:noProof/>
                <w:webHidden/>
              </w:rPr>
              <w:fldChar w:fldCharType="end"/>
            </w:r>
          </w:hyperlink>
        </w:p>
        <w:p w:rsidR="00727A5A" w:rsidRDefault="00D552BF">
          <w:pPr>
            <w:pStyle w:val="TOC3"/>
            <w:rPr>
              <w:rFonts w:asciiTheme="minorHAnsi" w:eastAsiaTheme="minorEastAsia" w:hAnsiTheme="minorHAnsi" w:cstheme="minorBidi"/>
              <w:noProof/>
              <w:lang w:eastAsia="en-AU"/>
            </w:rPr>
          </w:pPr>
          <w:hyperlink w:anchor="_Toc433190176" w:history="1">
            <w:r w:rsidR="00727A5A" w:rsidRPr="00C023DA">
              <w:rPr>
                <w:rStyle w:val="Hyperlink"/>
                <w:noProof/>
              </w:rPr>
              <w:t>First round benefit-risk assessment</w:t>
            </w:r>
            <w:r w:rsidR="00727A5A">
              <w:rPr>
                <w:noProof/>
                <w:webHidden/>
              </w:rPr>
              <w:tab/>
            </w:r>
            <w:r w:rsidR="00727A5A">
              <w:rPr>
                <w:noProof/>
                <w:webHidden/>
              </w:rPr>
              <w:fldChar w:fldCharType="begin"/>
            </w:r>
            <w:r w:rsidR="00727A5A">
              <w:rPr>
                <w:noProof/>
                <w:webHidden/>
              </w:rPr>
              <w:instrText xml:space="preserve"> PAGEREF _Toc433190176 \h </w:instrText>
            </w:r>
            <w:r w:rsidR="00727A5A">
              <w:rPr>
                <w:noProof/>
                <w:webHidden/>
              </w:rPr>
            </w:r>
            <w:r w:rsidR="00727A5A">
              <w:rPr>
                <w:noProof/>
                <w:webHidden/>
              </w:rPr>
              <w:fldChar w:fldCharType="separate"/>
            </w:r>
            <w:r w:rsidR="00727A5A">
              <w:rPr>
                <w:noProof/>
                <w:webHidden/>
              </w:rPr>
              <w:t>30</w:t>
            </w:r>
            <w:r w:rsidR="00727A5A">
              <w:rPr>
                <w:noProof/>
                <w:webHidden/>
              </w:rPr>
              <w:fldChar w:fldCharType="end"/>
            </w:r>
          </w:hyperlink>
        </w:p>
        <w:p w:rsidR="00727A5A" w:rsidRDefault="00D552BF">
          <w:pPr>
            <w:pStyle w:val="TOC3"/>
            <w:rPr>
              <w:rFonts w:asciiTheme="minorHAnsi" w:eastAsiaTheme="minorEastAsia" w:hAnsiTheme="minorHAnsi" w:cstheme="minorBidi"/>
              <w:noProof/>
              <w:lang w:eastAsia="en-AU"/>
            </w:rPr>
          </w:pPr>
          <w:hyperlink w:anchor="_Toc433190177" w:history="1">
            <w:r w:rsidR="00727A5A" w:rsidRPr="00C023DA">
              <w:rPr>
                <w:rStyle w:val="Hyperlink"/>
                <w:noProof/>
              </w:rPr>
              <w:t>First round recommendation regarding authorisation</w:t>
            </w:r>
            <w:r w:rsidR="00727A5A">
              <w:rPr>
                <w:noProof/>
                <w:webHidden/>
              </w:rPr>
              <w:tab/>
            </w:r>
            <w:r w:rsidR="00727A5A">
              <w:rPr>
                <w:noProof/>
                <w:webHidden/>
              </w:rPr>
              <w:fldChar w:fldCharType="begin"/>
            </w:r>
            <w:r w:rsidR="00727A5A">
              <w:rPr>
                <w:noProof/>
                <w:webHidden/>
              </w:rPr>
              <w:instrText xml:space="preserve"> PAGEREF _Toc433190177 \h </w:instrText>
            </w:r>
            <w:r w:rsidR="00727A5A">
              <w:rPr>
                <w:noProof/>
                <w:webHidden/>
              </w:rPr>
            </w:r>
            <w:r w:rsidR="00727A5A">
              <w:rPr>
                <w:noProof/>
                <w:webHidden/>
              </w:rPr>
              <w:fldChar w:fldCharType="separate"/>
            </w:r>
            <w:r w:rsidR="00727A5A">
              <w:rPr>
                <w:noProof/>
                <w:webHidden/>
              </w:rPr>
              <w:t>31</w:t>
            </w:r>
            <w:r w:rsidR="00727A5A">
              <w:rPr>
                <w:noProof/>
                <w:webHidden/>
              </w:rPr>
              <w:fldChar w:fldCharType="end"/>
            </w:r>
          </w:hyperlink>
        </w:p>
        <w:p w:rsidR="00727A5A" w:rsidRDefault="00D552BF">
          <w:pPr>
            <w:pStyle w:val="TOC3"/>
            <w:rPr>
              <w:rFonts w:asciiTheme="minorHAnsi" w:eastAsiaTheme="minorEastAsia" w:hAnsiTheme="minorHAnsi" w:cstheme="minorBidi"/>
              <w:noProof/>
              <w:lang w:eastAsia="en-AU"/>
            </w:rPr>
          </w:pPr>
          <w:hyperlink w:anchor="_Toc433190178" w:history="1">
            <w:r w:rsidR="00727A5A" w:rsidRPr="00C023DA">
              <w:rPr>
                <w:rStyle w:val="Hyperlink"/>
                <w:noProof/>
              </w:rPr>
              <w:t>Clinical questions</w:t>
            </w:r>
            <w:r w:rsidR="00727A5A">
              <w:rPr>
                <w:noProof/>
                <w:webHidden/>
              </w:rPr>
              <w:tab/>
            </w:r>
            <w:r w:rsidR="00727A5A">
              <w:rPr>
                <w:noProof/>
                <w:webHidden/>
              </w:rPr>
              <w:fldChar w:fldCharType="begin"/>
            </w:r>
            <w:r w:rsidR="00727A5A">
              <w:rPr>
                <w:noProof/>
                <w:webHidden/>
              </w:rPr>
              <w:instrText xml:space="preserve"> PAGEREF _Toc433190178 \h </w:instrText>
            </w:r>
            <w:r w:rsidR="00727A5A">
              <w:rPr>
                <w:noProof/>
                <w:webHidden/>
              </w:rPr>
            </w:r>
            <w:r w:rsidR="00727A5A">
              <w:rPr>
                <w:noProof/>
                <w:webHidden/>
              </w:rPr>
              <w:fldChar w:fldCharType="separate"/>
            </w:r>
            <w:r w:rsidR="00727A5A">
              <w:rPr>
                <w:noProof/>
                <w:webHidden/>
              </w:rPr>
              <w:t>31</w:t>
            </w:r>
            <w:r w:rsidR="00727A5A">
              <w:rPr>
                <w:noProof/>
                <w:webHidden/>
              </w:rPr>
              <w:fldChar w:fldCharType="end"/>
            </w:r>
          </w:hyperlink>
        </w:p>
        <w:p w:rsidR="00727A5A" w:rsidRDefault="00D552BF">
          <w:pPr>
            <w:pStyle w:val="TOC2"/>
            <w:rPr>
              <w:rFonts w:asciiTheme="minorHAnsi" w:eastAsiaTheme="minorEastAsia" w:hAnsiTheme="minorHAnsi" w:cstheme="minorBidi"/>
              <w:b w:val="0"/>
              <w:noProof/>
              <w:sz w:val="22"/>
              <w:lang w:eastAsia="en-AU"/>
            </w:rPr>
          </w:pPr>
          <w:hyperlink w:anchor="_Toc433190179" w:history="1">
            <w:r w:rsidR="00727A5A" w:rsidRPr="00C023DA">
              <w:rPr>
                <w:rStyle w:val="Hyperlink"/>
                <w:noProof/>
              </w:rPr>
              <w:t>Second round evaluation of clinical data submitted in response to questions</w:t>
            </w:r>
            <w:r w:rsidR="00727A5A">
              <w:rPr>
                <w:noProof/>
                <w:webHidden/>
              </w:rPr>
              <w:tab/>
            </w:r>
            <w:r w:rsidR="00727A5A">
              <w:rPr>
                <w:noProof/>
                <w:webHidden/>
              </w:rPr>
              <w:fldChar w:fldCharType="begin"/>
            </w:r>
            <w:r w:rsidR="00727A5A">
              <w:rPr>
                <w:noProof/>
                <w:webHidden/>
              </w:rPr>
              <w:instrText xml:space="preserve"> PAGEREF _Toc433190179 \h </w:instrText>
            </w:r>
            <w:r w:rsidR="00727A5A">
              <w:rPr>
                <w:noProof/>
                <w:webHidden/>
              </w:rPr>
            </w:r>
            <w:r w:rsidR="00727A5A">
              <w:rPr>
                <w:noProof/>
                <w:webHidden/>
              </w:rPr>
              <w:fldChar w:fldCharType="separate"/>
            </w:r>
            <w:r w:rsidR="00727A5A">
              <w:rPr>
                <w:noProof/>
                <w:webHidden/>
              </w:rPr>
              <w:t>32</w:t>
            </w:r>
            <w:r w:rsidR="00727A5A">
              <w:rPr>
                <w:noProof/>
                <w:webHidden/>
              </w:rPr>
              <w:fldChar w:fldCharType="end"/>
            </w:r>
          </w:hyperlink>
        </w:p>
        <w:p w:rsidR="00727A5A" w:rsidRDefault="00D552BF">
          <w:pPr>
            <w:pStyle w:val="TOC3"/>
            <w:rPr>
              <w:rFonts w:asciiTheme="minorHAnsi" w:eastAsiaTheme="minorEastAsia" w:hAnsiTheme="minorHAnsi" w:cstheme="minorBidi"/>
              <w:noProof/>
              <w:lang w:eastAsia="en-AU"/>
            </w:rPr>
          </w:pPr>
          <w:hyperlink w:anchor="_Toc433190180" w:history="1">
            <w:r w:rsidR="00727A5A" w:rsidRPr="00C023DA">
              <w:rPr>
                <w:rStyle w:val="Hyperlink"/>
                <w:noProof/>
              </w:rPr>
              <w:t>Clinical questions</w:t>
            </w:r>
            <w:r w:rsidR="00727A5A">
              <w:rPr>
                <w:noProof/>
                <w:webHidden/>
              </w:rPr>
              <w:tab/>
            </w:r>
            <w:r w:rsidR="00727A5A">
              <w:rPr>
                <w:noProof/>
                <w:webHidden/>
              </w:rPr>
              <w:fldChar w:fldCharType="begin"/>
            </w:r>
            <w:r w:rsidR="00727A5A">
              <w:rPr>
                <w:noProof/>
                <w:webHidden/>
              </w:rPr>
              <w:instrText xml:space="preserve"> PAGEREF _Toc433190180 \h </w:instrText>
            </w:r>
            <w:r w:rsidR="00727A5A">
              <w:rPr>
                <w:noProof/>
                <w:webHidden/>
              </w:rPr>
            </w:r>
            <w:r w:rsidR="00727A5A">
              <w:rPr>
                <w:noProof/>
                <w:webHidden/>
              </w:rPr>
              <w:fldChar w:fldCharType="separate"/>
            </w:r>
            <w:r w:rsidR="00727A5A">
              <w:rPr>
                <w:noProof/>
                <w:webHidden/>
              </w:rPr>
              <w:t>32</w:t>
            </w:r>
            <w:r w:rsidR="00727A5A">
              <w:rPr>
                <w:noProof/>
                <w:webHidden/>
              </w:rPr>
              <w:fldChar w:fldCharType="end"/>
            </w:r>
          </w:hyperlink>
        </w:p>
        <w:p w:rsidR="00727A5A" w:rsidRDefault="00D552BF">
          <w:pPr>
            <w:pStyle w:val="TOC3"/>
            <w:rPr>
              <w:rFonts w:asciiTheme="minorHAnsi" w:eastAsiaTheme="minorEastAsia" w:hAnsiTheme="minorHAnsi" w:cstheme="minorBidi"/>
              <w:noProof/>
              <w:lang w:eastAsia="en-AU"/>
            </w:rPr>
          </w:pPr>
          <w:hyperlink w:anchor="_Toc433190181" w:history="1">
            <w:r w:rsidR="00727A5A" w:rsidRPr="00C023DA">
              <w:rPr>
                <w:rStyle w:val="Hyperlink"/>
                <w:noProof/>
              </w:rPr>
              <w:t>Second round benefit-risk assessment</w:t>
            </w:r>
            <w:r w:rsidR="00727A5A">
              <w:rPr>
                <w:noProof/>
                <w:webHidden/>
              </w:rPr>
              <w:tab/>
            </w:r>
            <w:r w:rsidR="00727A5A">
              <w:rPr>
                <w:noProof/>
                <w:webHidden/>
              </w:rPr>
              <w:fldChar w:fldCharType="begin"/>
            </w:r>
            <w:r w:rsidR="00727A5A">
              <w:rPr>
                <w:noProof/>
                <w:webHidden/>
              </w:rPr>
              <w:instrText xml:space="preserve"> PAGEREF _Toc433190181 \h </w:instrText>
            </w:r>
            <w:r w:rsidR="00727A5A">
              <w:rPr>
                <w:noProof/>
                <w:webHidden/>
              </w:rPr>
            </w:r>
            <w:r w:rsidR="00727A5A">
              <w:rPr>
                <w:noProof/>
                <w:webHidden/>
              </w:rPr>
              <w:fldChar w:fldCharType="separate"/>
            </w:r>
            <w:r w:rsidR="00727A5A">
              <w:rPr>
                <w:noProof/>
                <w:webHidden/>
              </w:rPr>
              <w:t>33</w:t>
            </w:r>
            <w:r w:rsidR="00727A5A">
              <w:rPr>
                <w:noProof/>
                <w:webHidden/>
              </w:rPr>
              <w:fldChar w:fldCharType="end"/>
            </w:r>
          </w:hyperlink>
        </w:p>
        <w:p w:rsidR="00727A5A" w:rsidRDefault="00D552BF">
          <w:pPr>
            <w:pStyle w:val="TOC3"/>
            <w:rPr>
              <w:rFonts w:asciiTheme="minorHAnsi" w:eastAsiaTheme="minorEastAsia" w:hAnsiTheme="minorHAnsi" w:cstheme="minorBidi"/>
              <w:noProof/>
              <w:lang w:eastAsia="en-AU"/>
            </w:rPr>
          </w:pPr>
          <w:hyperlink w:anchor="_Toc433190182" w:history="1">
            <w:r w:rsidR="00727A5A" w:rsidRPr="00C023DA">
              <w:rPr>
                <w:rStyle w:val="Hyperlink"/>
                <w:noProof/>
              </w:rPr>
              <w:t>Second round recommendation regarding authorisation</w:t>
            </w:r>
            <w:r w:rsidR="00727A5A">
              <w:rPr>
                <w:noProof/>
                <w:webHidden/>
              </w:rPr>
              <w:tab/>
            </w:r>
            <w:r w:rsidR="00727A5A">
              <w:rPr>
                <w:noProof/>
                <w:webHidden/>
              </w:rPr>
              <w:fldChar w:fldCharType="begin"/>
            </w:r>
            <w:r w:rsidR="00727A5A">
              <w:rPr>
                <w:noProof/>
                <w:webHidden/>
              </w:rPr>
              <w:instrText xml:space="preserve"> PAGEREF _Toc433190182 \h </w:instrText>
            </w:r>
            <w:r w:rsidR="00727A5A">
              <w:rPr>
                <w:noProof/>
                <w:webHidden/>
              </w:rPr>
            </w:r>
            <w:r w:rsidR="00727A5A">
              <w:rPr>
                <w:noProof/>
                <w:webHidden/>
              </w:rPr>
              <w:fldChar w:fldCharType="separate"/>
            </w:r>
            <w:r w:rsidR="00727A5A">
              <w:rPr>
                <w:noProof/>
                <w:webHidden/>
              </w:rPr>
              <w:t>33</w:t>
            </w:r>
            <w:r w:rsidR="00727A5A">
              <w:rPr>
                <w:noProof/>
                <w:webHidden/>
              </w:rPr>
              <w:fldChar w:fldCharType="end"/>
            </w:r>
          </w:hyperlink>
        </w:p>
        <w:p w:rsidR="00727A5A" w:rsidRDefault="00D552BF">
          <w:pPr>
            <w:pStyle w:val="TOC2"/>
            <w:rPr>
              <w:rFonts w:asciiTheme="minorHAnsi" w:eastAsiaTheme="minorEastAsia" w:hAnsiTheme="minorHAnsi" w:cstheme="minorBidi"/>
              <w:b w:val="0"/>
              <w:noProof/>
              <w:sz w:val="22"/>
              <w:lang w:eastAsia="en-AU"/>
            </w:rPr>
          </w:pPr>
          <w:hyperlink w:anchor="_Toc433190183" w:history="1">
            <w:r w:rsidR="00727A5A" w:rsidRPr="00C023DA">
              <w:rPr>
                <w:rStyle w:val="Hyperlink"/>
                <w:noProof/>
              </w:rPr>
              <w:t>V. Pharmacovigilance findings</w:t>
            </w:r>
            <w:r w:rsidR="00727A5A">
              <w:rPr>
                <w:noProof/>
                <w:webHidden/>
              </w:rPr>
              <w:tab/>
            </w:r>
            <w:r w:rsidR="00727A5A">
              <w:rPr>
                <w:noProof/>
                <w:webHidden/>
              </w:rPr>
              <w:fldChar w:fldCharType="begin"/>
            </w:r>
            <w:r w:rsidR="00727A5A">
              <w:rPr>
                <w:noProof/>
                <w:webHidden/>
              </w:rPr>
              <w:instrText xml:space="preserve"> PAGEREF _Toc433190183 \h </w:instrText>
            </w:r>
            <w:r w:rsidR="00727A5A">
              <w:rPr>
                <w:noProof/>
                <w:webHidden/>
              </w:rPr>
            </w:r>
            <w:r w:rsidR="00727A5A">
              <w:rPr>
                <w:noProof/>
                <w:webHidden/>
              </w:rPr>
              <w:fldChar w:fldCharType="separate"/>
            </w:r>
            <w:r w:rsidR="00727A5A">
              <w:rPr>
                <w:noProof/>
                <w:webHidden/>
              </w:rPr>
              <w:t>33</w:t>
            </w:r>
            <w:r w:rsidR="00727A5A">
              <w:rPr>
                <w:noProof/>
                <w:webHidden/>
              </w:rPr>
              <w:fldChar w:fldCharType="end"/>
            </w:r>
          </w:hyperlink>
        </w:p>
        <w:p w:rsidR="00727A5A" w:rsidRDefault="00D552BF">
          <w:pPr>
            <w:pStyle w:val="TOC3"/>
            <w:rPr>
              <w:rFonts w:asciiTheme="minorHAnsi" w:eastAsiaTheme="minorEastAsia" w:hAnsiTheme="minorHAnsi" w:cstheme="minorBidi"/>
              <w:noProof/>
              <w:lang w:eastAsia="en-AU"/>
            </w:rPr>
          </w:pPr>
          <w:hyperlink w:anchor="_Toc433190184" w:history="1">
            <w:r w:rsidR="00727A5A" w:rsidRPr="00C023DA">
              <w:rPr>
                <w:rStyle w:val="Hyperlink"/>
                <w:noProof/>
                <w:lang w:eastAsia="en-AU"/>
              </w:rPr>
              <w:t xml:space="preserve">Risk </w:t>
            </w:r>
            <w:r w:rsidR="00727A5A" w:rsidRPr="00C023DA">
              <w:rPr>
                <w:rStyle w:val="Hyperlink"/>
                <w:noProof/>
              </w:rPr>
              <w:t>management</w:t>
            </w:r>
            <w:r w:rsidR="00727A5A" w:rsidRPr="00C023DA">
              <w:rPr>
                <w:rStyle w:val="Hyperlink"/>
                <w:noProof/>
                <w:lang w:eastAsia="en-AU"/>
              </w:rPr>
              <w:t xml:space="preserve"> plan</w:t>
            </w:r>
            <w:r w:rsidR="00727A5A">
              <w:rPr>
                <w:noProof/>
                <w:webHidden/>
              </w:rPr>
              <w:tab/>
            </w:r>
            <w:r w:rsidR="00727A5A">
              <w:rPr>
                <w:noProof/>
                <w:webHidden/>
              </w:rPr>
              <w:fldChar w:fldCharType="begin"/>
            </w:r>
            <w:r w:rsidR="00727A5A">
              <w:rPr>
                <w:noProof/>
                <w:webHidden/>
              </w:rPr>
              <w:instrText xml:space="preserve"> PAGEREF _Toc433190184 \h </w:instrText>
            </w:r>
            <w:r w:rsidR="00727A5A">
              <w:rPr>
                <w:noProof/>
                <w:webHidden/>
              </w:rPr>
            </w:r>
            <w:r w:rsidR="00727A5A">
              <w:rPr>
                <w:noProof/>
                <w:webHidden/>
              </w:rPr>
              <w:fldChar w:fldCharType="separate"/>
            </w:r>
            <w:r w:rsidR="00727A5A">
              <w:rPr>
                <w:noProof/>
                <w:webHidden/>
              </w:rPr>
              <w:t>33</w:t>
            </w:r>
            <w:r w:rsidR="00727A5A">
              <w:rPr>
                <w:noProof/>
                <w:webHidden/>
              </w:rPr>
              <w:fldChar w:fldCharType="end"/>
            </w:r>
          </w:hyperlink>
        </w:p>
        <w:p w:rsidR="00727A5A" w:rsidRDefault="00D552BF">
          <w:pPr>
            <w:pStyle w:val="TOC2"/>
            <w:rPr>
              <w:rFonts w:asciiTheme="minorHAnsi" w:eastAsiaTheme="minorEastAsia" w:hAnsiTheme="minorHAnsi" w:cstheme="minorBidi"/>
              <w:b w:val="0"/>
              <w:noProof/>
              <w:sz w:val="22"/>
              <w:lang w:eastAsia="en-AU"/>
            </w:rPr>
          </w:pPr>
          <w:hyperlink w:anchor="_Toc433190185" w:history="1">
            <w:r w:rsidR="00727A5A" w:rsidRPr="00C023DA">
              <w:rPr>
                <w:rStyle w:val="Hyperlink"/>
                <w:noProof/>
              </w:rPr>
              <w:t>VI. Overall conclusion and risk/benefit assessment</w:t>
            </w:r>
            <w:r w:rsidR="00727A5A">
              <w:rPr>
                <w:noProof/>
                <w:webHidden/>
              </w:rPr>
              <w:tab/>
            </w:r>
            <w:r w:rsidR="00727A5A">
              <w:rPr>
                <w:noProof/>
                <w:webHidden/>
              </w:rPr>
              <w:fldChar w:fldCharType="begin"/>
            </w:r>
            <w:r w:rsidR="00727A5A">
              <w:rPr>
                <w:noProof/>
                <w:webHidden/>
              </w:rPr>
              <w:instrText xml:space="preserve"> PAGEREF _Toc433190185 \h </w:instrText>
            </w:r>
            <w:r w:rsidR="00727A5A">
              <w:rPr>
                <w:noProof/>
                <w:webHidden/>
              </w:rPr>
            </w:r>
            <w:r w:rsidR="00727A5A">
              <w:rPr>
                <w:noProof/>
                <w:webHidden/>
              </w:rPr>
              <w:fldChar w:fldCharType="separate"/>
            </w:r>
            <w:r w:rsidR="00727A5A">
              <w:rPr>
                <w:noProof/>
                <w:webHidden/>
              </w:rPr>
              <w:t>46</w:t>
            </w:r>
            <w:r w:rsidR="00727A5A">
              <w:rPr>
                <w:noProof/>
                <w:webHidden/>
              </w:rPr>
              <w:fldChar w:fldCharType="end"/>
            </w:r>
          </w:hyperlink>
        </w:p>
        <w:p w:rsidR="00727A5A" w:rsidRDefault="00D552BF">
          <w:pPr>
            <w:pStyle w:val="TOC3"/>
            <w:rPr>
              <w:rFonts w:asciiTheme="minorHAnsi" w:eastAsiaTheme="minorEastAsia" w:hAnsiTheme="minorHAnsi" w:cstheme="minorBidi"/>
              <w:noProof/>
              <w:lang w:eastAsia="en-AU"/>
            </w:rPr>
          </w:pPr>
          <w:hyperlink w:anchor="_Toc433190186" w:history="1">
            <w:r w:rsidR="00727A5A" w:rsidRPr="00C023DA">
              <w:rPr>
                <w:rStyle w:val="Hyperlink"/>
                <w:noProof/>
              </w:rPr>
              <w:t>Quality</w:t>
            </w:r>
            <w:r w:rsidR="00727A5A">
              <w:rPr>
                <w:noProof/>
                <w:webHidden/>
              </w:rPr>
              <w:tab/>
            </w:r>
            <w:r w:rsidR="00727A5A">
              <w:rPr>
                <w:noProof/>
                <w:webHidden/>
              </w:rPr>
              <w:fldChar w:fldCharType="begin"/>
            </w:r>
            <w:r w:rsidR="00727A5A">
              <w:rPr>
                <w:noProof/>
                <w:webHidden/>
              </w:rPr>
              <w:instrText xml:space="preserve"> PAGEREF _Toc433190186 \h </w:instrText>
            </w:r>
            <w:r w:rsidR="00727A5A">
              <w:rPr>
                <w:noProof/>
                <w:webHidden/>
              </w:rPr>
            </w:r>
            <w:r w:rsidR="00727A5A">
              <w:rPr>
                <w:noProof/>
                <w:webHidden/>
              </w:rPr>
              <w:fldChar w:fldCharType="separate"/>
            </w:r>
            <w:r w:rsidR="00727A5A">
              <w:rPr>
                <w:noProof/>
                <w:webHidden/>
              </w:rPr>
              <w:t>46</w:t>
            </w:r>
            <w:r w:rsidR="00727A5A">
              <w:rPr>
                <w:noProof/>
                <w:webHidden/>
              </w:rPr>
              <w:fldChar w:fldCharType="end"/>
            </w:r>
          </w:hyperlink>
        </w:p>
        <w:p w:rsidR="00727A5A" w:rsidRDefault="00D552BF">
          <w:pPr>
            <w:pStyle w:val="TOC3"/>
            <w:rPr>
              <w:rFonts w:asciiTheme="minorHAnsi" w:eastAsiaTheme="minorEastAsia" w:hAnsiTheme="minorHAnsi" w:cstheme="minorBidi"/>
              <w:noProof/>
              <w:lang w:eastAsia="en-AU"/>
            </w:rPr>
          </w:pPr>
          <w:hyperlink w:anchor="_Toc433190187" w:history="1">
            <w:r w:rsidR="00727A5A" w:rsidRPr="00C023DA">
              <w:rPr>
                <w:rStyle w:val="Hyperlink"/>
                <w:noProof/>
              </w:rPr>
              <w:t>Nonclinical</w:t>
            </w:r>
            <w:r w:rsidR="00727A5A">
              <w:rPr>
                <w:noProof/>
                <w:webHidden/>
              </w:rPr>
              <w:tab/>
            </w:r>
            <w:r w:rsidR="00727A5A">
              <w:rPr>
                <w:noProof/>
                <w:webHidden/>
              </w:rPr>
              <w:fldChar w:fldCharType="begin"/>
            </w:r>
            <w:r w:rsidR="00727A5A">
              <w:rPr>
                <w:noProof/>
                <w:webHidden/>
              </w:rPr>
              <w:instrText xml:space="preserve"> PAGEREF _Toc433190187 \h </w:instrText>
            </w:r>
            <w:r w:rsidR="00727A5A">
              <w:rPr>
                <w:noProof/>
                <w:webHidden/>
              </w:rPr>
            </w:r>
            <w:r w:rsidR="00727A5A">
              <w:rPr>
                <w:noProof/>
                <w:webHidden/>
              </w:rPr>
              <w:fldChar w:fldCharType="separate"/>
            </w:r>
            <w:r w:rsidR="00727A5A">
              <w:rPr>
                <w:noProof/>
                <w:webHidden/>
              </w:rPr>
              <w:t>46</w:t>
            </w:r>
            <w:r w:rsidR="00727A5A">
              <w:rPr>
                <w:noProof/>
                <w:webHidden/>
              </w:rPr>
              <w:fldChar w:fldCharType="end"/>
            </w:r>
          </w:hyperlink>
        </w:p>
        <w:p w:rsidR="00727A5A" w:rsidRDefault="00D552BF">
          <w:pPr>
            <w:pStyle w:val="TOC3"/>
            <w:rPr>
              <w:rFonts w:asciiTheme="minorHAnsi" w:eastAsiaTheme="minorEastAsia" w:hAnsiTheme="minorHAnsi" w:cstheme="minorBidi"/>
              <w:noProof/>
              <w:lang w:eastAsia="en-AU"/>
            </w:rPr>
          </w:pPr>
          <w:hyperlink w:anchor="_Toc433190188" w:history="1">
            <w:r w:rsidR="00727A5A" w:rsidRPr="00C023DA">
              <w:rPr>
                <w:rStyle w:val="Hyperlink"/>
                <w:noProof/>
              </w:rPr>
              <w:t>Clinical</w:t>
            </w:r>
            <w:r w:rsidR="00727A5A">
              <w:rPr>
                <w:noProof/>
                <w:webHidden/>
              </w:rPr>
              <w:tab/>
            </w:r>
            <w:r w:rsidR="00727A5A">
              <w:rPr>
                <w:noProof/>
                <w:webHidden/>
              </w:rPr>
              <w:fldChar w:fldCharType="begin"/>
            </w:r>
            <w:r w:rsidR="00727A5A">
              <w:rPr>
                <w:noProof/>
                <w:webHidden/>
              </w:rPr>
              <w:instrText xml:space="preserve"> PAGEREF _Toc433190188 \h </w:instrText>
            </w:r>
            <w:r w:rsidR="00727A5A">
              <w:rPr>
                <w:noProof/>
                <w:webHidden/>
              </w:rPr>
            </w:r>
            <w:r w:rsidR="00727A5A">
              <w:rPr>
                <w:noProof/>
                <w:webHidden/>
              </w:rPr>
              <w:fldChar w:fldCharType="separate"/>
            </w:r>
            <w:r w:rsidR="00727A5A">
              <w:rPr>
                <w:noProof/>
                <w:webHidden/>
              </w:rPr>
              <w:t>47</w:t>
            </w:r>
            <w:r w:rsidR="00727A5A">
              <w:rPr>
                <w:noProof/>
                <w:webHidden/>
              </w:rPr>
              <w:fldChar w:fldCharType="end"/>
            </w:r>
          </w:hyperlink>
        </w:p>
        <w:p w:rsidR="00727A5A" w:rsidRDefault="00D552BF">
          <w:pPr>
            <w:pStyle w:val="TOC3"/>
            <w:rPr>
              <w:rFonts w:asciiTheme="minorHAnsi" w:eastAsiaTheme="minorEastAsia" w:hAnsiTheme="minorHAnsi" w:cstheme="minorBidi"/>
              <w:noProof/>
              <w:lang w:eastAsia="en-AU"/>
            </w:rPr>
          </w:pPr>
          <w:hyperlink w:anchor="_Toc433190189" w:history="1">
            <w:r w:rsidR="00727A5A" w:rsidRPr="00C023DA">
              <w:rPr>
                <w:rStyle w:val="Hyperlink"/>
                <w:noProof/>
                <w:lang w:eastAsia="en-AU"/>
              </w:rPr>
              <w:t xml:space="preserve">Risk </w:t>
            </w:r>
            <w:r w:rsidR="00727A5A" w:rsidRPr="00C023DA">
              <w:rPr>
                <w:rStyle w:val="Hyperlink"/>
                <w:noProof/>
              </w:rPr>
              <w:t>management</w:t>
            </w:r>
            <w:r w:rsidR="00727A5A" w:rsidRPr="00C023DA">
              <w:rPr>
                <w:rStyle w:val="Hyperlink"/>
                <w:noProof/>
                <w:lang w:eastAsia="en-AU"/>
              </w:rPr>
              <w:t xml:space="preserve"> plan</w:t>
            </w:r>
            <w:r w:rsidR="00727A5A">
              <w:rPr>
                <w:noProof/>
                <w:webHidden/>
              </w:rPr>
              <w:tab/>
            </w:r>
            <w:r w:rsidR="00727A5A">
              <w:rPr>
                <w:noProof/>
                <w:webHidden/>
              </w:rPr>
              <w:fldChar w:fldCharType="begin"/>
            </w:r>
            <w:r w:rsidR="00727A5A">
              <w:rPr>
                <w:noProof/>
                <w:webHidden/>
              </w:rPr>
              <w:instrText xml:space="preserve"> PAGEREF _Toc433190189 \h </w:instrText>
            </w:r>
            <w:r w:rsidR="00727A5A">
              <w:rPr>
                <w:noProof/>
                <w:webHidden/>
              </w:rPr>
            </w:r>
            <w:r w:rsidR="00727A5A">
              <w:rPr>
                <w:noProof/>
                <w:webHidden/>
              </w:rPr>
              <w:fldChar w:fldCharType="separate"/>
            </w:r>
            <w:r w:rsidR="00727A5A">
              <w:rPr>
                <w:noProof/>
                <w:webHidden/>
              </w:rPr>
              <w:t>54</w:t>
            </w:r>
            <w:r w:rsidR="00727A5A">
              <w:rPr>
                <w:noProof/>
                <w:webHidden/>
              </w:rPr>
              <w:fldChar w:fldCharType="end"/>
            </w:r>
          </w:hyperlink>
        </w:p>
        <w:p w:rsidR="00727A5A" w:rsidRDefault="00D552BF">
          <w:pPr>
            <w:pStyle w:val="TOC3"/>
            <w:rPr>
              <w:rFonts w:asciiTheme="minorHAnsi" w:eastAsiaTheme="minorEastAsia" w:hAnsiTheme="minorHAnsi" w:cstheme="minorBidi"/>
              <w:noProof/>
              <w:lang w:eastAsia="en-AU"/>
            </w:rPr>
          </w:pPr>
          <w:hyperlink w:anchor="_Toc433190190" w:history="1">
            <w:r w:rsidR="00727A5A" w:rsidRPr="00C023DA">
              <w:rPr>
                <w:rStyle w:val="Hyperlink"/>
                <w:noProof/>
              </w:rPr>
              <w:t>Risk-benefit analysis</w:t>
            </w:r>
            <w:r w:rsidR="00727A5A">
              <w:rPr>
                <w:noProof/>
                <w:webHidden/>
              </w:rPr>
              <w:tab/>
            </w:r>
            <w:r w:rsidR="00727A5A">
              <w:rPr>
                <w:noProof/>
                <w:webHidden/>
              </w:rPr>
              <w:fldChar w:fldCharType="begin"/>
            </w:r>
            <w:r w:rsidR="00727A5A">
              <w:rPr>
                <w:noProof/>
                <w:webHidden/>
              </w:rPr>
              <w:instrText xml:space="preserve"> PAGEREF _Toc433190190 \h </w:instrText>
            </w:r>
            <w:r w:rsidR="00727A5A">
              <w:rPr>
                <w:noProof/>
                <w:webHidden/>
              </w:rPr>
            </w:r>
            <w:r w:rsidR="00727A5A">
              <w:rPr>
                <w:noProof/>
                <w:webHidden/>
              </w:rPr>
              <w:fldChar w:fldCharType="separate"/>
            </w:r>
            <w:r w:rsidR="00727A5A">
              <w:rPr>
                <w:noProof/>
                <w:webHidden/>
              </w:rPr>
              <w:t>54</w:t>
            </w:r>
            <w:r w:rsidR="00727A5A">
              <w:rPr>
                <w:noProof/>
                <w:webHidden/>
              </w:rPr>
              <w:fldChar w:fldCharType="end"/>
            </w:r>
          </w:hyperlink>
        </w:p>
        <w:p w:rsidR="00727A5A" w:rsidRDefault="00D552BF">
          <w:pPr>
            <w:pStyle w:val="TOC3"/>
            <w:rPr>
              <w:rFonts w:asciiTheme="minorHAnsi" w:eastAsiaTheme="minorEastAsia" w:hAnsiTheme="minorHAnsi" w:cstheme="minorBidi"/>
              <w:noProof/>
              <w:lang w:eastAsia="en-AU"/>
            </w:rPr>
          </w:pPr>
          <w:hyperlink w:anchor="_Toc433190191" w:history="1">
            <w:r w:rsidR="00727A5A" w:rsidRPr="00C023DA">
              <w:rPr>
                <w:rStyle w:val="Hyperlink"/>
                <w:noProof/>
              </w:rPr>
              <w:t>Outcome</w:t>
            </w:r>
            <w:r w:rsidR="00727A5A">
              <w:rPr>
                <w:noProof/>
                <w:webHidden/>
              </w:rPr>
              <w:tab/>
            </w:r>
            <w:r w:rsidR="00727A5A">
              <w:rPr>
                <w:noProof/>
                <w:webHidden/>
              </w:rPr>
              <w:fldChar w:fldCharType="begin"/>
            </w:r>
            <w:r w:rsidR="00727A5A">
              <w:rPr>
                <w:noProof/>
                <w:webHidden/>
              </w:rPr>
              <w:instrText xml:space="preserve"> PAGEREF _Toc433190191 \h </w:instrText>
            </w:r>
            <w:r w:rsidR="00727A5A">
              <w:rPr>
                <w:noProof/>
                <w:webHidden/>
              </w:rPr>
            </w:r>
            <w:r w:rsidR="00727A5A">
              <w:rPr>
                <w:noProof/>
                <w:webHidden/>
              </w:rPr>
              <w:fldChar w:fldCharType="separate"/>
            </w:r>
            <w:r w:rsidR="00727A5A">
              <w:rPr>
                <w:noProof/>
                <w:webHidden/>
              </w:rPr>
              <w:t>61</w:t>
            </w:r>
            <w:r w:rsidR="00727A5A">
              <w:rPr>
                <w:noProof/>
                <w:webHidden/>
              </w:rPr>
              <w:fldChar w:fldCharType="end"/>
            </w:r>
          </w:hyperlink>
        </w:p>
        <w:p w:rsidR="00727A5A" w:rsidRDefault="00D552BF">
          <w:pPr>
            <w:pStyle w:val="TOC2"/>
            <w:rPr>
              <w:rFonts w:asciiTheme="minorHAnsi" w:eastAsiaTheme="minorEastAsia" w:hAnsiTheme="minorHAnsi" w:cstheme="minorBidi"/>
              <w:b w:val="0"/>
              <w:noProof/>
              <w:sz w:val="22"/>
              <w:lang w:eastAsia="en-AU"/>
            </w:rPr>
          </w:pPr>
          <w:hyperlink w:anchor="_Toc433190192" w:history="1">
            <w:r w:rsidR="00727A5A" w:rsidRPr="00C023DA">
              <w:rPr>
                <w:rStyle w:val="Hyperlink"/>
                <w:noProof/>
              </w:rPr>
              <w:t>Attachment 1. Product Information</w:t>
            </w:r>
            <w:r w:rsidR="00727A5A">
              <w:rPr>
                <w:noProof/>
                <w:webHidden/>
              </w:rPr>
              <w:tab/>
            </w:r>
            <w:r w:rsidR="00727A5A">
              <w:rPr>
                <w:noProof/>
                <w:webHidden/>
              </w:rPr>
              <w:fldChar w:fldCharType="begin"/>
            </w:r>
            <w:r w:rsidR="00727A5A">
              <w:rPr>
                <w:noProof/>
                <w:webHidden/>
              </w:rPr>
              <w:instrText xml:space="preserve"> PAGEREF _Toc433190192 \h </w:instrText>
            </w:r>
            <w:r w:rsidR="00727A5A">
              <w:rPr>
                <w:noProof/>
                <w:webHidden/>
              </w:rPr>
            </w:r>
            <w:r w:rsidR="00727A5A">
              <w:rPr>
                <w:noProof/>
                <w:webHidden/>
              </w:rPr>
              <w:fldChar w:fldCharType="separate"/>
            </w:r>
            <w:r w:rsidR="00727A5A">
              <w:rPr>
                <w:noProof/>
                <w:webHidden/>
              </w:rPr>
              <w:t>61</w:t>
            </w:r>
            <w:r w:rsidR="00727A5A">
              <w:rPr>
                <w:noProof/>
                <w:webHidden/>
              </w:rPr>
              <w:fldChar w:fldCharType="end"/>
            </w:r>
          </w:hyperlink>
        </w:p>
        <w:p w:rsidR="00727A5A" w:rsidRDefault="00D552BF">
          <w:pPr>
            <w:pStyle w:val="TOC2"/>
            <w:rPr>
              <w:rFonts w:asciiTheme="minorHAnsi" w:eastAsiaTheme="minorEastAsia" w:hAnsiTheme="minorHAnsi" w:cstheme="minorBidi"/>
              <w:b w:val="0"/>
              <w:noProof/>
              <w:sz w:val="22"/>
              <w:lang w:eastAsia="en-AU"/>
            </w:rPr>
          </w:pPr>
          <w:hyperlink w:anchor="_Toc433190193" w:history="1">
            <w:r w:rsidR="00727A5A" w:rsidRPr="00C023DA">
              <w:rPr>
                <w:rStyle w:val="Hyperlink"/>
                <w:noProof/>
              </w:rPr>
              <w:t>Attachment</w:t>
            </w:r>
            <w:r w:rsidR="00727A5A" w:rsidRPr="00C023DA">
              <w:rPr>
                <w:rStyle w:val="Hyperlink"/>
                <w:noProof/>
                <w:lang w:eastAsia="en-AU"/>
              </w:rPr>
              <w:t xml:space="preserve"> 2. Extract from the Clinical Evaluation Report</w:t>
            </w:r>
            <w:r w:rsidR="00727A5A">
              <w:rPr>
                <w:noProof/>
                <w:webHidden/>
              </w:rPr>
              <w:tab/>
            </w:r>
            <w:r w:rsidR="00727A5A">
              <w:rPr>
                <w:noProof/>
                <w:webHidden/>
              </w:rPr>
              <w:fldChar w:fldCharType="begin"/>
            </w:r>
            <w:r w:rsidR="00727A5A">
              <w:rPr>
                <w:noProof/>
                <w:webHidden/>
              </w:rPr>
              <w:instrText xml:space="preserve"> PAGEREF _Toc433190193 \h </w:instrText>
            </w:r>
            <w:r w:rsidR="00727A5A">
              <w:rPr>
                <w:noProof/>
                <w:webHidden/>
              </w:rPr>
            </w:r>
            <w:r w:rsidR="00727A5A">
              <w:rPr>
                <w:noProof/>
                <w:webHidden/>
              </w:rPr>
              <w:fldChar w:fldCharType="separate"/>
            </w:r>
            <w:r w:rsidR="00727A5A">
              <w:rPr>
                <w:noProof/>
                <w:webHidden/>
              </w:rPr>
              <w:t>61</w:t>
            </w:r>
            <w:r w:rsidR="00727A5A">
              <w:rPr>
                <w:noProof/>
                <w:webHidden/>
              </w:rPr>
              <w:fldChar w:fldCharType="end"/>
            </w:r>
          </w:hyperlink>
        </w:p>
        <w:p w:rsidR="003A7F6C" w:rsidRPr="00B811C6" w:rsidRDefault="00DB6124" w:rsidP="00B811C6">
          <w:pPr>
            <w:pStyle w:val="TOC2"/>
          </w:pPr>
          <w:r>
            <w:fldChar w:fldCharType="end"/>
          </w:r>
        </w:p>
      </w:sdtContent>
    </w:sdt>
    <w:bookmarkStart w:id="3" w:name="_Toc314842482" w:displacedByCustomXml="prev"/>
    <w:p w:rsidR="00FD119B" w:rsidRDefault="00FD119B" w:rsidP="00213904">
      <w:r>
        <w:br w:type="page"/>
      </w:r>
    </w:p>
    <w:p w:rsidR="00FD119B" w:rsidRPr="00FD119B" w:rsidRDefault="00FD119B" w:rsidP="00213904">
      <w:pPr>
        <w:pStyle w:val="Heading2"/>
      </w:pPr>
      <w:bookmarkStart w:id="4" w:name="_Toc351716269"/>
      <w:bookmarkStart w:id="5" w:name="_Toc351718881"/>
      <w:bookmarkStart w:id="6" w:name="_Toc355338616"/>
      <w:bookmarkStart w:id="7" w:name="_Toc356306144"/>
      <w:bookmarkStart w:id="8" w:name="_Toc433190152"/>
      <w:r w:rsidRPr="00FD119B">
        <w:lastRenderedPageBreak/>
        <w:t xml:space="preserve">List of </w:t>
      </w:r>
      <w:r w:rsidRPr="00213904">
        <w:t>the</w:t>
      </w:r>
      <w:r w:rsidRPr="00FD119B">
        <w:t xml:space="preserve"> most common abbreviations</w:t>
      </w:r>
      <w:bookmarkEnd w:id="4"/>
      <w:bookmarkEnd w:id="5"/>
      <w:bookmarkEnd w:id="6"/>
      <w:bookmarkEnd w:id="7"/>
      <w:r w:rsidRPr="00FD119B">
        <w:t xml:space="preserve"> used in this </w:t>
      </w:r>
      <w:r w:rsidRPr="004F0C4A">
        <w:t>AusPAR</w:t>
      </w:r>
      <w:bookmarkEnd w:id="8"/>
    </w:p>
    <w:tbl>
      <w:tblPr>
        <w:tblStyle w:val="TableTGAblue"/>
        <w:tblW w:w="0" w:type="auto"/>
        <w:tblLook w:val="04A0" w:firstRow="1" w:lastRow="0" w:firstColumn="1" w:lastColumn="0" w:noHBand="0" w:noVBand="1"/>
      </w:tblPr>
      <w:tblGrid>
        <w:gridCol w:w="1890"/>
        <w:gridCol w:w="6830"/>
      </w:tblGrid>
      <w:tr w:rsidR="00FD119B" w:rsidRPr="00FD119B" w:rsidTr="00213904">
        <w:trPr>
          <w:cnfStyle w:val="100000000000" w:firstRow="1" w:lastRow="0" w:firstColumn="0" w:lastColumn="0" w:oddVBand="0" w:evenVBand="0" w:oddHBand="0" w:evenHBand="0" w:firstRowFirstColumn="0" w:firstRowLastColumn="0" w:lastRowFirstColumn="0" w:lastRowLastColumn="0"/>
        </w:trPr>
        <w:tc>
          <w:tcPr>
            <w:tcW w:w="1809" w:type="dxa"/>
          </w:tcPr>
          <w:p w:rsidR="00FD119B" w:rsidRPr="00FD119B" w:rsidRDefault="00FD119B" w:rsidP="00213904">
            <w:pPr>
              <w:rPr>
                <w:lang w:eastAsia="en-US"/>
              </w:rPr>
            </w:pPr>
            <w:r w:rsidRPr="00FD119B">
              <w:rPr>
                <w:lang w:eastAsia="en-US"/>
              </w:rPr>
              <w:t>Abbreviation</w:t>
            </w:r>
          </w:p>
        </w:tc>
        <w:tc>
          <w:tcPr>
            <w:tcW w:w="6911" w:type="dxa"/>
          </w:tcPr>
          <w:p w:rsidR="00FD119B" w:rsidRPr="00FD119B" w:rsidRDefault="00FD119B" w:rsidP="00213904">
            <w:pPr>
              <w:rPr>
                <w:lang w:eastAsia="en-US"/>
              </w:rPr>
            </w:pPr>
            <w:r w:rsidRPr="00FD119B">
              <w:rPr>
                <w:lang w:eastAsia="en-US"/>
              </w:rPr>
              <w:t>Meaning</w:t>
            </w:r>
          </w:p>
        </w:tc>
      </w:tr>
      <w:tr w:rsidR="00A41A6F" w:rsidRPr="00182F73" w:rsidTr="00213904">
        <w:tc>
          <w:tcPr>
            <w:tcW w:w="1809" w:type="dxa"/>
          </w:tcPr>
          <w:p w:rsidR="00A41A6F" w:rsidRDefault="00E70F1E" w:rsidP="00213904">
            <w:r>
              <w:t>ADME</w:t>
            </w:r>
          </w:p>
        </w:tc>
        <w:tc>
          <w:tcPr>
            <w:tcW w:w="6911" w:type="dxa"/>
          </w:tcPr>
          <w:p w:rsidR="00A41A6F" w:rsidRDefault="00E70F1E" w:rsidP="00213904">
            <w:r>
              <w:t>absorption, distribution, metabolism and excretion study</w:t>
            </w:r>
          </w:p>
        </w:tc>
      </w:tr>
      <w:tr w:rsidR="00AC5810" w:rsidRPr="00182F73" w:rsidTr="00213904">
        <w:tc>
          <w:tcPr>
            <w:tcW w:w="1809" w:type="dxa"/>
          </w:tcPr>
          <w:p w:rsidR="00AC5810" w:rsidRPr="00182F73" w:rsidRDefault="0047598F" w:rsidP="00213904">
            <w:r>
              <w:t>AE</w:t>
            </w:r>
          </w:p>
        </w:tc>
        <w:tc>
          <w:tcPr>
            <w:tcW w:w="6911" w:type="dxa"/>
          </w:tcPr>
          <w:p w:rsidR="00AC5810" w:rsidRPr="00182F73" w:rsidRDefault="0047598F" w:rsidP="00213904">
            <w:r>
              <w:t>adverse event</w:t>
            </w:r>
          </w:p>
        </w:tc>
      </w:tr>
      <w:tr w:rsidR="009D6134" w:rsidRPr="00182F73" w:rsidTr="00213904">
        <w:tc>
          <w:tcPr>
            <w:tcW w:w="1809" w:type="dxa"/>
          </w:tcPr>
          <w:p w:rsidR="009D6134" w:rsidRDefault="009D6134" w:rsidP="00213904">
            <w:r w:rsidRPr="009D6134">
              <w:t>ALAT</w:t>
            </w:r>
          </w:p>
        </w:tc>
        <w:tc>
          <w:tcPr>
            <w:tcW w:w="6911" w:type="dxa"/>
          </w:tcPr>
          <w:p w:rsidR="009D6134" w:rsidRDefault="009D6134" w:rsidP="00213904">
            <w:r>
              <w:t xml:space="preserve">Alanine </w:t>
            </w:r>
            <w:r w:rsidRPr="009D6134">
              <w:rPr>
                <w:color w:val="auto"/>
              </w:rPr>
              <w:t>amino transferase</w:t>
            </w:r>
          </w:p>
        </w:tc>
      </w:tr>
      <w:tr w:rsidR="0027557F" w:rsidRPr="00182F73" w:rsidTr="00213904">
        <w:tc>
          <w:tcPr>
            <w:tcW w:w="1809" w:type="dxa"/>
          </w:tcPr>
          <w:p w:rsidR="0027557F" w:rsidRPr="009D6134" w:rsidRDefault="0027557F" w:rsidP="00213904">
            <w:r>
              <w:t>ARTG</w:t>
            </w:r>
          </w:p>
        </w:tc>
        <w:tc>
          <w:tcPr>
            <w:tcW w:w="6911" w:type="dxa"/>
          </w:tcPr>
          <w:p w:rsidR="0027557F" w:rsidRDefault="0027557F" w:rsidP="00213904">
            <w:r w:rsidRPr="0027557F">
              <w:t>Australian Register</w:t>
            </w:r>
            <w:r>
              <w:t xml:space="preserve"> of Therapeutic Goods</w:t>
            </w:r>
          </w:p>
        </w:tc>
      </w:tr>
      <w:tr w:rsidR="007921DD" w:rsidRPr="00182F73" w:rsidTr="00213904">
        <w:tc>
          <w:tcPr>
            <w:tcW w:w="1809" w:type="dxa"/>
          </w:tcPr>
          <w:p w:rsidR="007921DD" w:rsidRPr="00182F73" w:rsidRDefault="00FA4801" w:rsidP="00213904">
            <w:r w:rsidRPr="00FA4801">
              <w:t>ASA</w:t>
            </w:r>
          </w:p>
        </w:tc>
        <w:tc>
          <w:tcPr>
            <w:tcW w:w="6911" w:type="dxa"/>
          </w:tcPr>
          <w:p w:rsidR="007921DD" w:rsidRPr="00182F73" w:rsidRDefault="007921DD" w:rsidP="00213904">
            <w:r>
              <w:t>Australian Specific Annexe (of the RMP)</w:t>
            </w:r>
          </w:p>
        </w:tc>
      </w:tr>
      <w:tr w:rsidR="009D6134" w:rsidRPr="00182F73" w:rsidTr="00213904">
        <w:tc>
          <w:tcPr>
            <w:tcW w:w="1809" w:type="dxa"/>
          </w:tcPr>
          <w:p w:rsidR="009D6134" w:rsidRPr="00FA4801" w:rsidRDefault="009D6134" w:rsidP="00213904">
            <w:r>
              <w:t>ASAT</w:t>
            </w:r>
          </w:p>
        </w:tc>
        <w:tc>
          <w:tcPr>
            <w:tcW w:w="6911" w:type="dxa"/>
          </w:tcPr>
          <w:p w:rsidR="009D6134" w:rsidRDefault="009D6134" w:rsidP="00213904">
            <w:r>
              <w:t>Aspartate aminotransferase</w:t>
            </w:r>
          </w:p>
        </w:tc>
      </w:tr>
      <w:tr w:rsidR="00AC5810" w:rsidRPr="00182F73" w:rsidTr="00213904">
        <w:tc>
          <w:tcPr>
            <w:tcW w:w="1809" w:type="dxa"/>
          </w:tcPr>
          <w:p w:rsidR="00AC5810" w:rsidRPr="00182F73" w:rsidRDefault="00AC5810" w:rsidP="00213904">
            <w:r w:rsidRPr="00182F73">
              <w:t>AUC</w:t>
            </w:r>
          </w:p>
        </w:tc>
        <w:tc>
          <w:tcPr>
            <w:tcW w:w="6911" w:type="dxa"/>
          </w:tcPr>
          <w:p w:rsidR="00AC5810" w:rsidRPr="00182F73" w:rsidRDefault="00FA4801" w:rsidP="00213904">
            <w:r>
              <w:t xml:space="preserve">area under the plasma </w:t>
            </w:r>
            <w:r w:rsidR="00AC5810" w:rsidRPr="00182F73">
              <w:t>concentration time curve</w:t>
            </w:r>
          </w:p>
        </w:tc>
      </w:tr>
      <w:tr w:rsidR="003B38B5" w:rsidRPr="00182F73" w:rsidTr="00213904">
        <w:tc>
          <w:tcPr>
            <w:tcW w:w="1809" w:type="dxa"/>
          </w:tcPr>
          <w:p w:rsidR="003B38B5" w:rsidRPr="00182F73" w:rsidRDefault="003B38B5" w:rsidP="00213904">
            <w:r>
              <w:t>CGA</w:t>
            </w:r>
          </w:p>
        </w:tc>
        <w:tc>
          <w:tcPr>
            <w:tcW w:w="6911" w:type="dxa"/>
          </w:tcPr>
          <w:p w:rsidR="003B38B5" w:rsidRPr="00182F73" w:rsidRDefault="003B38B5" w:rsidP="00213904">
            <w:r>
              <w:t>c</w:t>
            </w:r>
            <w:r w:rsidRPr="003B38B5">
              <w:t>arglumic acid</w:t>
            </w:r>
          </w:p>
        </w:tc>
      </w:tr>
      <w:tr w:rsidR="00F93145" w:rsidRPr="00182F73" w:rsidTr="00213904">
        <w:tc>
          <w:tcPr>
            <w:tcW w:w="1809" w:type="dxa"/>
          </w:tcPr>
          <w:p w:rsidR="00F93145" w:rsidRDefault="00F93145" w:rsidP="00213904">
            <w:r>
              <w:t>CI</w:t>
            </w:r>
          </w:p>
        </w:tc>
        <w:tc>
          <w:tcPr>
            <w:tcW w:w="6911" w:type="dxa"/>
          </w:tcPr>
          <w:p w:rsidR="00F93145" w:rsidRDefault="00F93145" w:rsidP="00213904">
            <w:r>
              <w:t>confidence interval</w:t>
            </w:r>
          </w:p>
        </w:tc>
      </w:tr>
      <w:tr w:rsidR="00AC5810" w:rsidRPr="00182F73" w:rsidTr="00213904">
        <w:tc>
          <w:tcPr>
            <w:tcW w:w="1809" w:type="dxa"/>
          </w:tcPr>
          <w:p w:rsidR="00AC5810" w:rsidRPr="00182F73" w:rsidRDefault="00FB79E9" w:rsidP="00213904">
            <w:r w:rsidRPr="000B7AC1">
              <w:t>C</w:t>
            </w:r>
            <w:r w:rsidRPr="00FB79E9">
              <w:rPr>
                <w:vertAlign w:val="subscript"/>
              </w:rPr>
              <w:t>max</w:t>
            </w:r>
          </w:p>
        </w:tc>
        <w:tc>
          <w:tcPr>
            <w:tcW w:w="6911" w:type="dxa"/>
          </w:tcPr>
          <w:p w:rsidR="00AC5810" w:rsidRPr="00182F73" w:rsidRDefault="00AC5810" w:rsidP="00213904">
            <w:r w:rsidRPr="00182F73">
              <w:t>maximum plasma concentration</w:t>
            </w:r>
          </w:p>
        </w:tc>
      </w:tr>
      <w:tr w:rsidR="0027483E" w:rsidRPr="00182F73" w:rsidTr="00213904">
        <w:tc>
          <w:tcPr>
            <w:tcW w:w="1809" w:type="dxa"/>
          </w:tcPr>
          <w:p w:rsidR="0027483E" w:rsidRPr="000B7AC1" w:rsidRDefault="0027483E" w:rsidP="00213904">
            <w:r>
              <w:t>CNS</w:t>
            </w:r>
          </w:p>
        </w:tc>
        <w:tc>
          <w:tcPr>
            <w:tcW w:w="6911" w:type="dxa"/>
          </w:tcPr>
          <w:p w:rsidR="0027483E" w:rsidRPr="00182F73" w:rsidRDefault="0027483E" w:rsidP="00213904">
            <w:r>
              <w:t>Central nervous system</w:t>
            </w:r>
          </w:p>
        </w:tc>
      </w:tr>
      <w:tr w:rsidR="00AC5810" w:rsidRPr="00182F73" w:rsidTr="00213904">
        <w:tc>
          <w:tcPr>
            <w:tcW w:w="1809" w:type="dxa"/>
          </w:tcPr>
          <w:p w:rsidR="00AC5810" w:rsidRPr="00182F73" w:rsidRDefault="00AC5810" w:rsidP="00213904">
            <w:r w:rsidRPr="00182F73">
              <w:t>CPMP</w:t>
            </w:r>
          </w:p>
        </w:tc>
        <w:tc>
          <w:tcPr>
            <w:tcW w:w="6911" w:type="dxa"/>
          </w:tcPr>
          <w:p w:rsidR="00AC5810" w:rsidRPr="00182F73" w:rsidRDefault="00AC5810" w:rsidP="00213904">
            <w:r w:rsidRPr="00182F73">
              <w:t>Committee for Proprietary Medicinal Products</w:t>
            </w:r>
          </w:p>
        </w:tc>
      </w:tr>
      <w:tr w:rsidR="00AC5810" w:rsidRPr="00182F73" w:rsidTr="00213904">
        <w:tc>
          <w:tcPr>
            <w:tcW w:w="1809" w:type="dxa"/>
          </w:tcPr>
          <w:p w:rsidR="00AC5810" w:rsidRPr="00182F73" w:rsidRDefault="003B38B5" w:rsidP="00213904">
            <w:r>
              <w:t>CPS</w:t>
            </w:r>
            <w:r w:rsidR="00E14D65">
              <w:t>1</w:t>
            </w:r>
          </w:p>
        </w:tc>
        <w:tc>
          <w:tcPr>
            <w:tcW w:w="6911" w:type="dxa"/>
          </w:tcPr>
          <w:p w:rsidR="00AC5810" w:rsidRPr="00182F73" w:rsidRDefault="00E14D65" w:rsidP="00213904">
            <w:r>
              <w:t>carbamyl phosphate synthetase 1</w:t>
            </w:r>
          </w:p>
        </w:tc>
      </w:tr>
      <w:tr w:rsidR="00CB616B" w:rsidRPr="00182F73" w:rsidTr="00213904">
        <w:tc>
          <w:tcPr>
            <w:tcW w:w="1809" w:type="dxa"/>
          </w:tcPr>
          <w:p w:rsidR="00CB616B" w:rsidRPr="00182F73" w:rsidRDefault="00CB616B" w:rsidP="00213904">
            <w:r>
              <w:t>CYP450</w:t>
            </w:r>
          </w:p>
        </w:tc>
        <w:tc>
          <w:tcPr>
            <w:tcW w:w="6911" w:type="dxa"/>
          </w:tcPr>
          <w:p w:rsidR="00CB616B" w:rsidRPr="00182F73" w:rsidRDefault="00CB616B" w:rsidP="00213904">
            <w:r>
              <w:t>Cytochrome P450</w:t>
            </w:r>
          </w:p>
        </w:tc>
      </w:tr>
      <w:tr w:rsidR="00AC5810" w:rsidRPr="00182F73" w:rsidTr="00213904">
        <w:tc>
          <w:tcPr>
            <w:tcW w:w="1809" w:type="dxa"/>
          </w:tcPr>
          <w:p w:rsidR="00AC5810" w:rsidRPr="00182F73" w:rsidRDefault="008B2B56" w:rsidP="00213904">
            <w:r>
              <w:t>DNA</w:t>
            </w:r>
          </w:p>
        </w:tc>
        <w:tc>
          <w:tcPr>
            <w:tcW w:w="6911" w:type="dxa"/>
          </w:tcPr>
          <w:p w:rsidR="00AC5810" w:rsidRPr="00182F73" w:rsidRDefault="00AC5810" w:rsidP="00213904">
            <w:r w:rsidRPr="00182F73">
              <w:t xml:space="preserve">deoxyribonucleic acid </w:t>
            </w:r>
          </w:p>
        </w:tc>
      </w:tr>
      <w:tr w:rsidR="00AC5810" w:rsidRPr="00182F73" w:rsidTr="00213904">
        <w:tc>
          <w:tcPr>
            <w:tcW w:w="1809" w:type="dxa"/>
          </w:tcPr>
          <w:p w:rsidR="00AC5810" w:rsidRPr="00182F73" w:rsidRDefault="00AC5810" w:rsidP="00213904">
            <w:r w:rsidRPr="00182F73">
              <w:t>ECG</w:t>
            </w:r>
          </w:p>
        </w:tc>
        <w:tc>
          <w:tcPr>
            <w:tcW w:w="6911" w:type="dxa"/>
          </w:tcPr>
          <w:p w:rsidR="00AC5810" w:rsidRPr="00182F73" w:rsidRDefault="00AC5810" w:rsidP="00213904">
            <w:r w:rsidRPr="00182F73">
              <w:t>electrocardiogram</w:t>
            </w:r>
          </w:p>
        </w:tc>
      </w:tr>
      <w:tr w:rsidR="00AC5810" w:rsidRPr="00182F73" w:rsidTr="00213904">
        <w:tc>
          <w:tcPr>
            <w:tcW w:w="1809" w:type="dxa"/>
          </w:tcPr>
          <w:p w:rsidR="00AC5810" w:rsidRPr="00182F73" w:rsidRDefault="008B2B56" w:rsidP="00213904">
            <w:r>
              <w:t>EMEA</w:t>
            </w:r>
          </w:p>
        </w:tc>
        <w:tc>
          <w:tcPr>
            <w:tcW w:w="6911" w:type="dxa"/>
          </w:tcPr>
          <w:p w:rsidR="00AC5810" w:rsidRPr="00182F73" w:rsidRDefault="00AC5810" w:rsidP="00213904">
            <w:r w:rsidRPr="00182F73">
              <w:t>European</w:t>
            </w:r>
            <w:r w:rsidR="008B2B56">
              <w:t xml:space="preserve"> Medicines Agency</w:t>
            </w:r>
          </w:p>
        </w:tc>
      </w:tr>
      <w:tr w:rsidR="00152579" w:rsidRPr="00182F73" w:rsidTr="00213904">
        <w:tc>
          <w:tcPr>
            <w:tcW w:w="1809" w:type="dxa"/>
          </w:tcPr>
          <w:p w:rsidR="00152579" w:rsidRPr="00182F73" w:rsidRDefault="00152579" w:rsidP="00213904">
            <w:r w:rsidRPr="00152579">
              <w:t>ER</w:t>
            </w:r>
            <w:r w:rsidRPr="00152579">
              <w:rPr>
                <w:vertAlign w:val="subscript"/>
              </w:rPr>
              <w:t>AUC</w:t>
            </w:r>
          </w:p>
        </w:tc>
        <w:tc>
          <w:tcPr>
            <w:tcW w:w="6911" w:type="dxa"/>
          </w:tcPr>
          <w:p w:rsidR="00152579" w:rsidRPr="00182F73" w:rsidRDefault="00152579" w:rsidP="00213904">
            <w:r>
              <w:t>exposure ratio based on AUC</w:t>
            </w:r>
          </w:p>
        </w:tc>
      </w:tr>
      <w:tr w:rsidR="0027557F" w:rsidRPr="00182F73" w:rsidTr="00213904">
        <w:tc>
          <w:tcPr>
            <w:tcW w:w="1809" w:type="dxa"/>
          </w:tcPr>
          <w:p w:rsidR="0027557F" w:rsidRPr="00152579" w:rsidRDefault="0027557F" w:rsidP="00213904">
            <w:r>
              <w:t>EU</w:t>
            </w:r>
          </w:p>
        </w:tc>
        <w:tc>
          <w:tcPr>
            <w:tcW w:w="6911" w:type="dxa"/>
          </w:tcPr>
          <w:p w:rsidR="0027557F" w:rsidRDefault="0027557F" w:rsidP="00213904">
            <w:r>
              <w:t>European Union</w:t>
            </w:r>
          </w:p>
        </w:tc>
      </w:tr>
      <w:tr w:rsidR="00AC5810" w:rsidRPr="00182F73" w:rsidTr="00213904">
        <w:tc>
          <w:tcPr>
            <w:tcW w:w="1809" w:type="dxa"/>
          </w:tcPr>
          <w:p w:rsidR="00AC5810" w:rsidRPr="00182F73" w:rsidRDefault="008B2B56" w:rsidP="00213904">
            <w:r>
              <w:t>FDA</w:t>
            </w:r>
          </w:p>
        </w:tc>
        <w:tc>
          <w:tcPr>
            <w:tcW w:w="6911" w:type="dxa"/>
          </w:tcPr>
          <w:p w:rsidR="00AC5810" w:rsidRPr="00182F73" w:rsidRDefault="008B2B56" w:rsidP="00213904">
            <w:r>
              <w:t>Food and Drug Administration</w:t>
            </w:r>
          </w:p>
        </w:tc>
      </w:tr>
      <w:tr w:rsidR="00AC5810" w:rsidRPr="00182F73" w:rsidTr="00213904">
        <w:tc>
          <w:tcPr>
            <w:tcW w:w="1809" w:type="dxa"/>
          </w:tcPr>
          <w:p w:rsidR="00AC5810" w:rsidRPr="00182F73" w:rsidRDefault="00AC5810" w:rsidP="00213904">
            <w:r w:rsidRPr="00182F73">
              <w:t>GCP</w:t>
            </w:r>
          </w:p>
        </w:tc>
        <w:tc>
          <w:tcPr>
            <w:tcW w:w="6911" w:type="dxa"/>
          </w:tcPr>
          <w:p w:rsidR="00AC5810" w:rsidRPr="00182F73" w:rsidRDefault="00AC5810" w:rsidP="00213904">
            <w:r w:rsidRPr="00182F73">
              <w:t>Good Clinical Practice</w:t>
            </w:r>
          </w:p>
        </w:tc>
      </w:tr>
      <w:tr w:rsidR="00286D80" w:rsidRPr="00182F73" w:rsidTr="00213904">
        <w:tc>
          <w:tcPr>
            <w:tcW w:w="1809" w:type="dxa"/>
          </w:tcPr>
          <w:p w:rsidR="00286D80" w:rsidRPr="00182F73" w:rsidRDefault="00286D80" w:rsidP="00213904">
            <w:r>
              <w:t>GLP</w:t>
            </w:r>
          </w:p>
        </w:tc>
        <w:tc>
          <w:tcPr>
            <w:tcW w:w="6911" w:type="dxa"/>
          </w:tcPr>
          <w:p w:rsidR="00286D80" w:rsidRPr="00182F73" w:rsidRDefault="00286D80" w:rsidP="00213904">
            <w:r>
              <w:t>Good laboratory practice</w:t>
            </w:r>
          </w:p>
        </w:tc>
      </w:tr>
      <w:tr w:rsidR="0027557F" w:rsidRPr="00182F73" w:rsidTr="00213904">
        <w:tc>
          <w:tcPr>
            <w:tcW w:w="1809" w:type="dxa"/>
          </w:tcPr>
          <w:p w:rsidR="0027557F" w:rsidRPr="00182F73" w:rsidRDefault="0027557F" w:rsidP="00213904">
            <w:r>
              <w:t>ICH</w:t>
            </w:r>
          </w:p>
        </w:tc>
        <w:tc>
          <w:tcPr>
            <w:tcW w:w="6911" w:type="dxa"/>
          </w:tcPr>
          <w:p w:rsidR="0027557F" w:rsidRPr="00182F73" w:rsidRDefault="0027557F" w:rsidP="00213904">
            <w:r>
              <w:t>The International Conference on Harmonisation of Technical Requirements for Registration of Pharmaceuticals for Human Use</w:t>
            </w:r>
          </w:p>
        </w:tc>
      </w:tr>
      <w:tr w:rsidR="0027557F" w:rsidRPr="00182F73" w:rsidTr="00213904">
        <w:tc>
          <w:tcPr>
            <w:tcW w:w="1809" w:type="dxa"/>
          </w:tcPr>
          <w:p w:rsidR="0027557F" w:rsidRDefault="0027557F" w:rsidP="00213904">
            <w:r>
              <w:t>IV</w:t>
            </w:r>
          </w:p>
        </w:tc>
        <w:tc>
          <w:tcPr>
            <w:tcW w:w="6911" w:type="dxa"/>
          </w:tcPr>
          <w:p w:rsidR="0027557F" w:rsidRDefault="0027557F" w:rsidP="00213904">
            <w:r>
              <w:t>intravenous</w:t>
            </w:r>
          </w:p>
        </w:tc>
      </w:tr>
      <w:tr w:rsidR="003821E3" w:rsidRPr="00182F73" w:rsidTr="00213904">
        <w:tc>
          <w:tcPr>
            <w:tcW w:w="1809" w:type="dxa"/>
          </w:tcPr>
          <w:p w:rsidR="003821E3" w:rsidRDefault="003821E3" w:rsidP="00213904">
            <w:r>
              <w:lastRenderedPageBreak/>
              <w:t>IVA</w:t>
            </w:r>
          </w:p>
        </w:tc>
        <w:tc>
          <w:tcPr>
            <w:tcW w:w="6911" w:type="dxa"/>
          </w:tcPr>
          <w:p w:rsidR="003821E3" w:rsidRDefault="003821E3" w:rsidP="00213904">
            <w:r>
              <w:t>isovaleric acidaemia</w:t>
            </w:r>
          </w:p>
        </w:tc>
      </w:tr>
      <w:tr w:rsidR="00AC5810" w:rsidRPr="00182F73" w:rsidTr="00213904">
        <w:tc>
          <w:tcPr>
            <w:tcW w:w="1809" w:type="dxa"/>
          </w:tcPr>
          <w:p w:rsidR="00AC5810" w:rsidRPr="00182F73" w:rsidRDefault="00AC5810" w:rsidP="00213904">
            <w:r w:rsidRPr="00182F73">
              <w:t>LDH</w:t>
            </w:r>
          </w:p>
        </w:tc>
        <w:tc>
          <w:tcPr>
            <w:tcW w:w="6911" w:type="dxa"/>
          </w:tcPr>
          <w:p w:rsidR="00AC5810" w:rsidRPr="00182F73" w:rsidRDefault="00AC5810" w:rsidP="00213904">
            <w:r w:rsidRPr="00182F73">
              <w:t>lactate dehydrogenase</w:t>
            </w:r>
          </w:p>
        </w:tc>
      </w:tr>
      <w:tr w:rsidR="00AC5810" w:rsidRPr="00182F73" w:rsidTr="00213904">
        <w:tc>
          <w:tcPr>
            <w:tcW w:w="1809" w:type="dxa"/>
          </w:tcPr>
          <w:p w:rsidR="00AC5810" w:rsidRPr="00182F73" w:rsidRDefault="00AC5810" w:rsidP="00213904">
            <w:r w:rsidRPr="00182F73">
              <w:t>mg</w:t>
            </w:r>
          </w:p>
        </w:tc>
        <w:tc>
          <w:tcPr>
            <w:tcW w:w="6911" w:type="dxa"/>
          </w:tcPr>
          <w:p w:rsidR="00AC5810" w:rsidRPr="00182F73" w:rsidRDefault="00AC5810" w:rsidP="00213904">
            <w:r w:rsidRPr="00182F73">
              <w:t>milligram</w:t>
            </w:r>
          </w:p>
        </w:tc>
      </w:tr>
      <w:tr w:rsidR="0027557F" w:rsidRPr="00182F73" w:rsidTr="00213904">
        <w:tc>
          <w:tcPr>
            <w:tcW w:w="1809" w:type="dxa"/>
          </w:tcPr>
          <w:p w:rsidR="0027557F" w:rsidRPr="00182F73" w:rsidRDefault="0027557F" w:rsidP="00213904">
            <w:r>
              <w:t>MMA</w:t>
            </w:r>
          </w:p>
        </w:tc>
        <w:tc>
          <w:tcPr>
            <w:tcW w:w="6911" w:type="dxa"/>
          </w:tcPr>
          <w:p w:rsidR="0027557F" w:rsidRPr="00182F73" w:rsidRDefault="0027557F" w:rsidP="00213904">
            <w:r>
              <w:t>methylmalonic acidaemia</w:t>
            </w:r>
          </w:p>
        </w:tc>
      </w:tr>
      <w:tr w:rsidR="003B38B5" w:rsidRPr="00182F73" w:rsidTr="00213904">
        <w:tc>
          <w:tcPr>
            <w:tcW w:w="1809" w:type="dxa"/>
          </w:tcPr>
          <w:p w:rsidR="003B38B5" w:rsidRPr="00182F73" w:rsidRDefault="003B38B5" w:rsidP="00213904">
            <w:r>
              <w:t>NAG</w:t>
            </w:r>
          </w:p>
        </w:tc>
        <w:tc>
          <w:tcPr>
            <w:tcW w:w="6911" w:type="dxa"/>
          </w:tcPr>
          <w:p w:rsidR="003B38B5" w:rsidRPr="00182F73" w:rsidRDefault="003B38B5" w:rsidP="00213904">
            <w:r w:rsidRPr="003B38B5">
              <w:t>N-acetylglutamate</w:t>
            </w:r>
          </w:p>
        </w:tc>
      </w:tr>
      <w:tr w:rsidR="00AC5810" w:rsidRPr="00182F73" w:rsidTr="00213904">
        <w:tc>
          <w:tcPr>
            <w:tcW w:w="1809" w:type="dxa"/>
          </w:tcPr>
          <w:p w:rsidR="00AC5810" w:rsidRPr="00182F73" w:rsidRDefault="0084317F" w:rsidP="00213904">
            <w:r>
              <w:t>NAGS</w:t>
            </w:r>
          </w:p>
        </w:tc>
        <w:tc>
          <w:tcPr>
            <w:tcW w:w="6911" w:type="dxa"/>
          </w:tcPr>
          <w:p w:rsidR="00AC5810" w:rsidRPr="00182F73" w:rsidRDefault="0084317F" w:rsidP="00213904">
            <w:r>
              <w:t>N-acetylglutamate synthase</w:t>
            </w:r>
          </w:p>
        </w:tc>
      </w:tr>
      <w:tr w:rsidR="00AC5810" w:rsidRPr="00182F73" w:rsidTr="00213904">
        <w:tc>
          <w:tcPr>
            <w:tcW w:w="1809" w:type="dxa"/>
          </w:tcPr>
          <w:p w:rsidR="00AC5810" w:rsidRPr="00182F73" w:rsidRDefault="00D7554B" w:rsidP="00213904">
            <w:r w:rsidRPr="000101CA">
              <w:t>NH</w:t>
            </w:r>
            <w:r w:rsidRPr="00D7554B">
              <w:rPr>
                <w:vertAlign w:val="subscript"/>
              </w:rPr>
              <w:t>3</w:t>
            </w:r>
          </w:p>
        </w:tc>
        <w:tc>
          <w:tcPr>
            <w:tcW w:w="6911" w:type="dxa"/>
          </w:tcPr>
          <w:p w:rsidR="00AC5810" w:rsidRPr="00182F73" w:rsidRDefault="0084317F" w:rsidP="00213904">
            <w:r>
              <w:t>ammonia</w:t>
            </w:r>
          </w:p>
        </w:tc>
      </w:tr>
      <w:tr w:rsidR="0027557F" w:rsidRPr="00182F73" w:rsidTr="00213904">
        <w:tc>
          <w:tcPr>
            <w:tcW w:w="1809" w:type="dxa"/>
          </w:tcPr>
          <w:p w:rsidR="0027557F" w:rsidRPr="000101CA" w:rsidRDefault="0027557F" w:rsidP="00213904">
            <w:r>
              <w:t>OA</w:t>
            </w:r>
          </w:p>
        </w:tc>
        <w:tc>
          <w:tcPr>
            <w:tcW w:w="6911" w:type="dxa"/>
          </w:tcPr>
          <w:p w:rsidR="0027557F" w:rsidRDefault="0027557F" w:rsidP="00213904">
            <w:r w:rsidRPr="0027557F">
              <w:t>Organic acidaemias</w:t>
            </w:r>
          </w:p>
        </w:tc>
      </w:tr>
      <w:tr w:rsidR="00AC5810" w:rsidRPr="00182F73" w:rsidTr="00213904">
        <w:tc>
          <w:tcPr>
            <w:tcW w:w="1809" w:type="dxa"/>
          </w:tcPr>
          <w:p w:rsidR="00AC5810" w:rsidRPr="00182F73" w:rsidRDefault="00BF4A86" w:rsidP="00213904">
            <w:r>
              <w:t>OE</w:t>
            </w:r>
          </w:p>
        </w:tc>
        <w:tc>
          <w:tcPr>
            <w:tcW w:w="6911" w:type="dxa"/>
          </w:tcPr>
          <w:p w:rsidR="00AC5810" w:rsidRPr="00182F73" w:rsidRDefault="00BF4A86" w:rsidP="00213904">
            <w:r>
              <w:t>Orphan Europe</w:t>
            </w:r>
          </w:p>
        </w:tc>
      </w:tr>
      <w:tr w:rsidR="0027557F" w:rsidRPr="00182F73" w:rsidTr="00213904">
        <w:tc>
          <w:tcPr>
            <w:tcW w:w="1809" w:type="dxa"/>
          </w:tcPr>
          <w:p w:rsidR="0027557F" w:rsidRDefault="0027557F" w:rsidP="00213904">
            <w:r>
              <w:t>PA</w:t>
            </w:r>
          </w:p>
        </w:tc>
        <w:tc>
          <w:tcPr>
            <w:tcW w:w="6911" w:type="dxa"/>
          </w:tcPr>
          <w:p w:rsidR="0027557F" w:rsidRDefault="0027557F" w:rsidP="00213904">
            <w:r>
              <w:t>propionic acidaemia</w:t>
            </w:r>
          </w:p>
        </w:tc>
      </w:tr>
      <w:tr w:rsidR="00FE24FA" w:rsidRPr="00182F73" w:rsidTr="00213904">
        <w:tc>
          <w:tcPr>
            <w:tcW w:w="1809" w:type="dxa"/>
          </w:tcPr>
          <w:p w:rsidR="00FE24FA" w:rsidRPr="00182F73" w:rsidRDefault="00FE24FA" w:rsidP="00213904">
            <w:r w:rsidRPr="00FE24FA">
              <w:t>PCNA</w:t>
            </w:r>
          </w:p>
        </w:tc>
        <w:tc>
          <w:tcPr>
            <w:tcW w:w="6911" w:type="dxa"/>
          </w:tcPr>
          <w:p w:rsidR="00FE24FA" w:rsidRPr="00182F73" w:rsidRDefault="00FE24FA" w:rsidP="00213904">
            <w:r>
              <w:t>Proliferating cell nuclear antigen</w:t>
            </w:r>
          </w:p>
        </w:tc>
      </w:tr>
      <w:tr w:rsidR="00AC5810" w:rsidRPr="00182F73" w:rsidTr="00213904">
        <w:tc>
          <w:tcPr>
            <w:tcW w:w="1809" w:type="dxa"/>
          </w:tcPr>
          <w:p w:rsidR="00AC5810" w:rsidRPr="00182F73" w:rsidRDefault="00AC5810" w:rsidP="00213904">
            <w:r w:rsidRPr="00182F73">
              <w:t>pH</w:t>
            </w:r>
          </w:p>
        </w:tc>
        <w:tc>
          <w:tcPr>
            <w:tcW w:w="6911" w:type="dxa"/>
          </w:tcPr>
          <w:p w:rsidR="00AC5810" w:rsidRPr="00182F73" w:rsidRDefault="00AC5810" w:rsidP="00213904">
            <w:r w:rsidRPr="00182F73">
              <w:t>Acidity (pH)</w:t>
            </w:r>
          </w:p>
        </w:tc>
      </w:tr>
      <w:tr w:rsidR="0027557F" w:rsidRPr="00182F73" w:rsidTr="00213904">
        <w:tc>
          <w:tcPr>
            <w:tcW w:w="1809" w:type="dxa"/>
          </w:tcPr>
          <w:p w:rsidR="0027557F" w:rsidRPr="00182F73" w:rsidRDefault="0027557F" w:rsidP="00213904">
            <w:r>
              <w:t>PI</w:t>
            </w:r>
          </w:p>
        </w:tc>
        <w:tc>
          <w:tcPr>
            <w:tcW w:w="6911" w:type="dxa"/>
          </w:tcPr>
          <w:p w:rsidR="0027557F" w:rsidRPr="00182F73" w:rsidRDefault="0027557F" w:rsidP="00213904">
            <w:r>
              <w:t>Product Information</w:t>
            </w:r>
          </w:p>
        </w:tc>
      </w:tr>
      <w:tr w:rsidR="00AC5810" w:rsidRPr="00182F73" w:rsidTr="00213904">
        <w:tc>
          <w:tcPr>
            <w:tcW w:w="1809" w:type="dxa"/>
          </w:tcPr>
          <w:p w:rsidR="00AC5810" w:rsidRPr="00182F73" w:rsidRDefault="00BF4A86" w:rsidP="00213904">
            <w:r>
              <w:t>PK</w:t>
            </w:r>
          </w:p>
        </w:tc>
        <w:tc>
          <w:tcPr>
            <w:tcW w:w="6911" w:type="dxa"/>
          </w:tcPr>
          <w:p w:rsidR="00AC5810" w:rsidRPr="00182F73" w:rsidRDefault="00BF4A86" w:rsidP="00213904">
            <w:r>
              <w:t>pharmacokinetics</w:t>
            </w:r>
          </w:p>
        </w:tc>
      </w:tr>
      <w:tr w:rsidR="0058111F" w:rsidRPr="00182F73" w:rsidTr="00213904">
        <w:tc>
          <w:tcPr>
            <w:tcW w:w="1809" w:type="dxa"/>
          </w:tcPr>
          <w:p w:rsidR="0058111F" w:rsidRPr="00182F73" w:rsidRDefault="0058111F" w:rsidP="00213904">
            <w:r>
              <w:t>PO</w:t>
            </w:r>
          </w:p>
        </w:tc>
        <w:tc>
          <w:tcPr>
            <w:tcW w:w="6911" w:type="dxa"/>
          </w:tcPr>
          <w:p w:rsidR="0058111F" w:rsidRPr="00182F73" w:rsidRDefault="0058111F" w:rsidP="00213904">
            <w:r>
              <w:t>Per oral</w:t>
            </w:r>
          </w:p>
        </w:tc>
      </w:tr>
      <w:tr w:rsidR="00922653" w:rsidRPr="00182F73" w:rsidTr="00213904">
        <w:tc>
          <w:tcPr>
            <w:tcW w:w="1809" w:type="dxa"/>
          </w:tcPr>
          <w:p w:rsidR="00922653" w:rsidRPr="00182F73" w:rsidRDefault="0084317F" w:rsidP="00213904">
            <w:r>
              <w:t>PSUR</w:t>
            </w:r>
            <w:r w:rsidR="00922653" w:rsidRPr="00922653">
              <w:t>s</w:t>
            </w:r>
          </w:p>
        </w:tc>
        <w:tc>
          <w:tcPr>
            <w:tcW w:w="6911" w:type="dxa"/>
          </w:tcPr>
          <w:p w:rsidR="00F93145" w:rsidRPr="00182F73" w:rsidRDefault="00922653" w:rsidP="00213904">
            <w:r>
              <w:t>Periodic Safety Update Reports</w:t>
            </w:r>
          </w:p>
        </w:tc>
      </w:tr>
      <w:tr w:rsidR="0044219F" w:rsidRPr="00182F73" w:rsidTr="00213904">
        <w:tc>
          <w:tcPr>
            <w:tcW w:w="1809" w:type="dxa"/>
          </w:tcPr>
          <w:p w:rsidR="0044219F" w:rsidRDefault="0044219F" w:rsidP="00213904">
            <w:r>
              <w:t>PT</w:t>
            </w:r>
          </w:p>
        </w:tc>
        <w:tc>
          <w:tcPr>
            <w:tcW w:w="6911" w:type="dxa"/>
          </w:tcPr>
          <w:p w:rsidR="0044219F" w:rsidRDefault="0044219F" w:rsidP="00213904">
            <w:r>
              <w:t>preferred term (medical dictionary for regulatory activities)</w:t>
            </w:r>
          </w:p>
        </w:tc>
      </w:tr>
      <w:tr w:rsidR="00F93145" w:rsidRPr="00182F73" w:rsidTr="00213904">
        <w:tc>
          <w:tcPr>
            <w:tcW w:w="1809" w:type="dxa"/>
          </w:tcPr>
          <w:p w:rsidR="00F93145" w:rsidRDefault="00F93145" w:rsidP="00213904">
            <w:r>
              <w:t>QT</w:t>
            </w:r>
          </w:p>
        </w:tc>
        <w:tc>
          <w:tcPr>
            <w:tcW w:w="6911" w:type="dxa"/>
          </w:tcPr>
          <w:p w:rsidR="00F93145" w:rsidRDefault="00F93145" w:rsidP="00213904">
            <w:r w:rsidRPr="00F93145">
              <w:t>QT interval</w:t>
            </w:r>
          </w:p>
        </w:tc>
      </w:tr>
      <w:tr w:rsidR="00AC5810" w:rsidRPr="00182F73" w:rsidTr="00213904">
        <w:tc>
          <w:tcPr>
            <w:tcW w:w="1809" w:type="dxa"/>
          </w:tcPr>
          <w:p w:rsidR="00AC5810" w:rsidRPr="00182F73" w:rsidRDefault="00AC5810" w:rsidP="00213904">
            <w:r w:rsidRPr="00182F73">
              <w:t>QTc</w:t>
            </w:r>
          </w:p>
        </w:tc>
        <w:tc>
          <w:tcPr>
            <w:tcW w:w="6911" w:type="dxa"/>
          </w:tcPr>
          <w:p w:rsidR="00AC5810" w:rsidRPr="00182F73" w:rsidRDefault="00AC5810" w:rsidP="00213904">
            <w:r w:rsidRPr="00182F73">
              <w:t>QT interval, corrected for heart rate</w:t>
            </w:r>
          </w:p>
        </w:tc>
      </w:tr>
      <w:tr w:rsidR="003D6989" w:rsidRPr="00182F73" w:rsidTr="00213904">
        <w:tc>
          <w:tcPr>
            <w:tcW w:w="1809" w:type="dxa"/>
          </w:tcPr>
          <w:p w:rsidR="003D6989" w:rsidRPr="00182F73" w:rsidRDefault="003D6989" w:rsidP="00213904">
            <w:r>
              <w:t>SAE(s)</w:t>
            </w:r>
          </w:p>
        </w:tc>
        <w:tc>
          <w:tcPr>
            <w:tcW w:w="6911" w:type="dxa"/>
          </w:tcPr>
          <w:p w:rsidR="003D6989" w:rsidRPr="00182F73" w:rsidRDefault="003D6989" w:rsidP="00213904">
            <w:r>
              <w:t>serious adverse event(s)</w:t>
            </w:r>
          </w:p>
        </w:tc>
      </w:tr>
      <w:tr w:rsidR="00AC5810" w:rsidRPr="00182F73" w:rsidTr="00213904">
        <w:tc>
          <w:tcPr>
            <w:tcW w:w="1809" w:type="dxa"/>
          </w:tcPr>
          <w:p w:rsidR="00AC5810" w:rsidRPr="00182F73" w:rsidRDefault="00BF4A86" w:rsidP="00213904">
            <w:r>
              <w:t>SAS</w:t>
            </w:r>
          </w:p>
        </w:tc>
        <w:tc>
          <w:tcPr>
            <w:tcW w:w="6911" w:type="dxa"/>
          </w:tcPr>
          <w:p w:rsidR="00AC5810" w:rsidRPr="00182F73" w:rsidRDefault="00E3082B" w:rsidP="00213904">
            <w:r>
              <w:t>special access scheme</w:t>
            </w:r>
          </w:p>
        </w:tc>
      </w:tr>
      <w:tr w:rsidR="00F93145" w:rsidRPr="00182F73" w:rsidTr="00213904">
        <w:tc>
          <w:tcPr>
            <w:tcW w:w="1809" w:type="dxa"/>
          </w:tcPr>
          <w:p w:rsidR="00F93145" w:rsidRDefault="00F93145" w:rsidP="00213904">
            <w:r>
              <w:t>SD</w:t>
            </w:r>
          </w:p>
        </w:tc>
        <w:tc>
          <w:tcPr>
            <w:tcW w:w="6911" w:type="dxa"/>
          </w:tcPr>
          <w:p w:rsidR="00F93145" w:rsidRDefault="00F93145" w:rsidP="00213904">
            <w:r>
              <w:t>standard deviation</w:t>
            </w:r>
          </w:p>
        </w:tc>
      </w:tr>
      <w:tr w:rsidR="003D6989" w:rsidRPr="00182F73" w:rsidTr="00213904">
        <w:tc>
          <w:tcPr>
            <w:tcW w:w="1809" w:type="dxa"/>
          </w:tcPr>
          <w:p w:rsidR="003D6989" w:rsidRDefault="003D6989" w:rsidP="00213904">
            <w:r>
              <w:t>SOC</w:t>
            </w:r>
          </w:p>
        </w:tc>
        <w:tc>
          <w:tcPr>
            <w:tcW w:w="6911" w:type="dxa"/>
          </w:tcPr>
          <w:p w:rsidR="003D6989" w:rsidRDefault="003D6989" w:rsidP="00213904">
            <w:r>
              <w:t>system organ class</w:t>
            </w:r>
          </w:p>
        </w:tc>
      </w:tr>
      <w:tr w:rsidR="00AC5810" w:rsidRPr="00182F73" w:rsidTr="00213904">
        <w:tc>
          <w:tcPr>
            <w:tcW w:w="1809" w:type="dxa"/>
          </w:tcPr>
          <w:p w:rsidR="00AC5810" w:rsidRPr="00182F73" w:rsidRDefault="00AC5810" w:rsidP="00213904">
            <w:r w:rsidRPr="00182F73">
              <w:t>t</w:t>
            </w:r>
            <w:r w:rsidRPr="00182F73">
              <w:rPr>
                <w:vertAlign w:val="subscript"/>
              </w:rPr>
              <w:t>max</w:t>
            </w:r>
          </w:p>
        </w:tc>
        <w:tc>
          <w:tcPr>
            <w:tcW w:w="6911" w:type="dxa"/>
          </w:tcPr>
          <w:p w:rsidR="00AC5810" w:rsidRPr="00182F73" w:rsidRDefault="00AC5810" w:rsidP="00213904">
            <w:r w:rsidRPr="00182F73">
              <w:t>time to reach maximum plasma concentration</w:t>
            </w:r>
          </w:p>
        </w:tc>
      </w:tr>
      <w:tr w:rsidR="00AC5810" w:rsidRPr="00182F73" w:rsidTr="00213904">
        <w:tc>
          <w:tcPr>
            <w:tcW w:w="1809" w:type="dxa"/>
          </w:tcPr>
          <w:p w:rsidR="00AC5810" w:rsidRPr="00182F73" w:rsidRDefault="00AF4B17" w:rsidP="00213904">
            <w:r>
              <w:t>UCD</w:t>
            </w:r>
          </w:p>
        </w:tc>
        <w:tc>
          <w:tcPr>
            <w:tcW w:w="6911" w:type="dxa"/>
          </w:tcPr>
          <w:p w:rsidR="00AC5810" w:rsidRPr="00182F73" w:rsidRDefault="00ED405E" w:rsidP="00213904">
            <w:r>
              <w:t>urea cycle disorder</w:t>
            </w:r>
          </w:p>
        </w:tc>
      </w:tr>
    </w:tbl>
    <w:p w:rsidR="00FD119B" w:rsidRPr="00FD119B" w:rsidRDefault="00FD119B" w:rsidP="00213904">
      <w:r w:rsidRPr="00FD119B">
        <w:br w:type="page"/>
      </w:r>
    </w:p>
    <w:p w:rsidR="008E7846" w:rsidRDefault="00F53C07" w:rsidP="00213904">
      <w:pPr>
        <w:pStyle w:val="Heading2"/>
      </w:pPr>
      <w:bookmarkStart w:id="9" w:name="_Toc433190153"/>
      <w:r>
        <w:lastRenderedPageBreak/>
        <w:t>I.</w:t>
      </w:r>
      <w:r w:rsidR="008E7846">
        <w:t xml:space="preserve"> Introduction to product submission</w:t>
      </w:r>
      <w:bookmarkEnd w:id="9"/>
      <w:bookmarkEnd w:id="1"/>
      <w:bookmarkEnd w:id="3"/>
    </w:p>
    <w:p w:rsidR="008E7846" w:rsidRDefault="008E7846" w:rsidP="00213904">
      <w:pPr>
        <w:pStyle w:val="Heading3"/>
        <w:rPr>
          <w:lang w:eastAsia="en-AU"/>
        </w:rPr>
      </w:pPr>
      <w:bookmarkStart w:id="10" w:name="_Toc247691502"/>
      <w:bookmarkStart w:id="11" w:name="_Toc314842483"/>
      <w:bookmarkStart w:id="12" w:name="_Toc433190154"/>
      <w:r w:rsidRPr="00213904">
        <w:t>Submission</w:t>
      </w:r>
      <w:r>
        <w:rPr>
          <w:lang w:eastAsia="en-AU"/>
        </w:rPr>
        <w:t xml:space="preserve"> details</w:t>
      </w:r>
      <w:bookmarkEnd w:id="10"/>
      <w:bookmarkEnd w:id="11"/>
      <w:bookmarkEnd w:id="12"/>
    </w:p>
    <w:tbl>
      <w:tblPr>
        <w:tblW w:w="9497" w:type="dxa"/>
        <w:tblInd w:w="108" w:type="dxa"/>
        <w:tblLook w:val="01E0" w:firstRow="1" w:lastRow="1" w:firstColumn="1" w:lastColumn="1" w:noHBand="0" w:noVBand="0"/>
      </w:tblPr>
      <w:tblGrid>
        <w:gridCol w:w="2907"/>
        <w:gridCol w:w="6590"/>
      </w:tblGrid>
      <w:tr w:rsidR="008E7846" w:rsidRPr="003D1E62" w:rsidTr="0089635C">
        <w:trPr>
          <w:trHeight w:hRule="exact" w:val="454"/>
        </w:trPr>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590" w:type="dxa"/>
          </w:tcPr>
          <w:p w:rsidR="008E7846" w:rsidRPr="003D1E62" w:rsidRDefault="008E7846" w:rsidP="00213904">
            <w:r w:rsidRPr="003D1E62">
              <w:t xml:space="preserve">New </w:t>
            </w:r>
            <w:r w:rsidR="001B5C90">
              <w:t>c</w:t>
            </w:r>
            <w:r w:rsidRPr="003D1E62">
              <w:t xml:space="preserve">hemical </w:t>
            </w:r>
            <w:r w:rsidR="001B5C90">
              <w:t>e</w:t>
            </w:r>
            <w:r w:rsidR="00AC5810">
              <w:t>ntity</w:t>
            </w:r>
          </w:p>
        </w:tc>
      </w:tr>
      <w:tr w:rsidR="008E7846" w:rsidRPr="003D1E62" w:rsidTr="0089635C">
        <w:trPr>
          <w:trHeight w:hRule="exact" w:val="454"/>
        </w:trPr>
        <w:tc>
          <w:tcPr>
            <w:tcW w:w="2907" w:type="dxa"/>
          </w:tcPr>
          <w:p w:rsidR="008E7846" w:rsidRPr="003D1E62" w:rsidRDefault="008E7846" w:rsidP="003D1E62">
            <w:r w:rsidRPr="003D1E62">
              <w:rPr>
                <w:i/>
              </w:rPr>
              <w:t>Decision</w:t>
            </w:r>
            <w:r w:rsidRPr="003D1E62">
              <w:t>:</w:t>
            </w:r>
          </w:p>
        </w:tc>
        <w:tc>
          <w:tcPr>
            <w:tcW w:w="6590" w:type="dxa"/>
          </w:tcPr>
          <w:p w:rsidR="008E7846" w:rsidRPr="003D1E62" w:rsidRDefault="008E7846" w:rsidP="00AC5810">
            <w:r w:rsidRPr="003D1E62">
              <w:t xml:space="preserve">Approved </w:t>
            </w:r>
          </w:p>
        </w:tc>
      </w:tr>
      <w:tr w:rsidR="008E7846" w:rsidRPr="003D1E62" w:rsidTr="0089635C">
        <w:trPr>
          <w:trHeight w:hRule="exact" w:val="454"/>
        </w:trPr>
        <w:tc>
          <w:tcPr>
            <w:tcW w:w="2907" w:type="dxa"/>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6590" w:type="dxa"/>
          </w:tcPr>
          <w:p w:rsidR="008E7846" w:rsidRPr="003D1E62" w:rsidRDefault="00AC5810" w:rsidP="001B5C90">
            <w:r>
              <w:t>30 January 2015</w:t>
            </w:r>
          </w:p>
        </w:tc>
      </w:tr>
    </w:tbl>
    <w:p w:rsidR="008E7846" w:rsidRDefault="008E7846" w:rsidP="008E7846"/>
    <w:tbl>
      <w:tblPr>
        <w:tblW w:w="9214" w:type="dxa"/>
        <w:tblInd w:w="108" w:type="dxa"/>
        <w:tblLook w:val="01E0" w:firstRow="1" w:lastRow="1" w:firstColumn="1" w:lastColumn="1" w:noHBand="0" w:noVBand="0"/>
      </w:tblPr>
      <w:tblGrid>
        <w:gridCol w:w="2907"/>
        <w:gridCol w:w="6307"/>
      </w:tblGrid>
      <w:tr w:rsidR="008E7846" w:rsidRPr="00487162" w:rsidTr="00BF1190">
        <w:tc>
          <w:tcPr>
            <w:tcW w:w="2907" w:type="dxa"/>
          </w:tcPr>
          <w:p w:rsidR="008E7846" w:rsidRPr="00487162" w:rsidRDefault="00AC5810" w:rsidP="00E45619">
            <w:pPr>
              <w:rPr>
                <w:i/>
              </w:rPr>
            </w:pPr>
            <w:r>
              <w:rPr>
                <w:i/>
              </w:rPr>
              <w:t>Active ingredient</w:t>
            </w:r>
            <w:r w:rsidR="001B5C90">
              <w:rPr>
                <w:i/>
              </w:rPr>
              <w:t>:</w:t>
            </w:r>
          </w:p>
        </w:tc>
        <w:tc>
          <w:tcPr>
            <w:tcW w:w="6307" w:type="dxa"/>
          </w:tcPr>
          <w:p w:rsidR="008E7846" w:rsidRPr="00487162" w:rsidRDefault="00AC5810" w:rsidP="00E45619">
            <w:r>
              <w:t>Carglumic acid</w:t>
            </w:r>
          </w:p>
        </w:tc>
      </w:tr>
      <w:tr w:rsidR="008E7846" w:rsidRPr="00487162" w:rsidTr="00BF1190">
        <w:tc>
          <w:tcPr>
            <w:tcW w:w="2907" w:type="dxa"/>
          </w:tcPr>
          <w:p w:rsidR="008E7846" w:rsidRPr="00487162" w:rsidRDefault="008E7846" w:rsidP="001B5C90">
            <w:pPr>
              <w:rPr>
                <w:i/>
              </w:rPr>
            </w:pPr>
            <w:r w:rsidRPr="00487162">
              <w:rPr>
                <w:i/>
              </w:rPr>
              <w:t>Product</w:t>
            </w:r>
            <w:r w:rsidR="00AC5810">
              <w:rPr>
                <w:i/>
              </w:rPr>
              <w:t xml:space="preserve"> name</w:t>
            </w:r>
            <w:r w:rsidR="001B5C90">
              <w:rPr>
                <w:i/>
              </w:rPr>
              <w:t>:</w:t>
            </w:r>
          </w:p>
        </w:tc>
        <w:tc>
          <w:tcPr>
            <w:tcW w:w="6307" w:type="dxa"/>
          </w:tcPr>
          <w:p w:rsidR="008E7846" w:rsidRPr="00487162" w:rsidRDefault="00AC5810" w:rsidP="00E45619">
            <w:r>
              <w:t>Carbaglu</w:t>
            </w:r>
          </w:p>
        </w:tc>
      </w:tr>
      <w:tr w:rsidR="008E7846" w:rsidRPr="00487162" w:rsidTr="00BF1190">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rsidR="008E7846" w:rsidRDefault="00AC5810" w:rsidP="00BC59C7">
            <w:pPr>
              <w:spacing w:after="0" w:line="240" w:lineRule="auto"/>
            </w:pPr>
            <w:r>
              <w:t>Emerge Health Pty Ltd</w:t>
            </w:r>
          </w:p>
          <w:p w:rsidR="00AC5810" w:rsidRDefault="00AC5810" w:rsidP="00BC59C7">
            <w:pPr>
              <w:spacing w:before="0" w:after="0" w:line="240" w:lineRule="auto"/>
            </w:pPr>
            <w:r>
              <w:t>Suite 3, Level 1, 2 Theatre Place</w:t>
            </w:r>
          </w:p>
          <w:p w:rsidR="00AC5810" w:rsidRPr="00487162" w:rsidRDefault="00AC5810" w:rsidP="00BC59C7">
            <w:pPr>
              <w:spacing w:before="0" w:after="0" w:line="240" w:lineRule="auto"/>
            </w:pPr>
            <w:r>
              <w:t>C</w:t>
            </w:r>
            <w:r w:rsidR="00D8329F">
              <w:t>anterbury</w:t>
            </w:r>
            <w:r>
              <w:t xml:space="preserve"> VIC 3126</w:t>
            </w:r>
          </w:p>
        </w:tc>
      </w:tr>
      <w:tr w:rsidR="008E7846" w:rsidRPr="00487162" w:rsidTr="00BF1190">
        <w:tc>
          <w:tcPr>
            <w:tcW w:w="2907" w:type="dxa"/>
          </w:tcPr>
          <w:p w:rsidR="008E7846" w:rsidRPr="00487162" w:rsidRDefault="008C5346" w:rsidP="00E45619">
            <w:pPr>
              <w:rPr>
                <w:i/>
              </w:rPr>
            </w:pPr>
            <w:r>
              <w:rPr>
                <w:i/>
              </w:rPr>
              <w:t>Dose form</w:t>
            </w:r>
            <w:r w:rsidR="001B5C90">
              <w:rPr>
                <w:i/>
              </w:rPr>
              <w:t>:</w:t>
            </w:r>
          </w:p>
        </w:tc>
        <w:tc>
          <w:tcPr>
            <w:tcW w:w="6307" w:type="dxa"/>
          </w:tcPr>
          <w:p w:rsidR="008E7846" w:rsidRPr="00487162" w:rsidRDefault="008C5346" w:rsidP="00E45619">
            <w:r>
              <w:t>Tablet, dispersible</w:t>
            </w:r>
          </w:p>
        </w:tc>
      </w:tr>
      <w:tr w:rsidR="008E7846" w:rsidRPr="00487162" w:rsidTr="00BF1190">
        <w:tc>
          <w:tcPr>
            <w:tcW w:w="2907" w:type="dxa"/>
          </w:tcPr>
          <w:p w:rsidR="008E7846" w:rsidRPr="00487162" w:rsidRDefault="008C5346" w:rsidP="00E45619">
            <w:pPr>
              <w:rPr>
                <w:i/>
              </w:rPr>
            </w:pPr>
            <w:r>
              <w:rPr>
                <w:i/>
              </w:rPr>
              <w:t>Strength</w:t>
            </w:r>
            <w:r w:rsidR="008E7846" w:rsidRPr="00487162">
              <w:rPr>
                <w:i/>
              </w:rPr>
              <w:t xml:space="preserve">: </w:t>
            </w:r>
          </w:p>
        </w:tc>
        <w:tc>
          <w:tcPr>
            <w:tcW w:w="6307" w:type="dxa"/>
          </w:tcPr>
          <w:p w:rsidR="008E7846" w:rsidRPr="00487162" w:rsidRDefault="008C5346" w:rsidP="00E45619">
            <w:r>
              <w:t>200 mg</w:t>
            </w:r>
          </w:p>
        </w:tc>
      </w:tr>
      <w:tr w:rsidR="008E7846" w:rsidRPr="00487162" w:rsidTr="00BF1190">
        <w:tc>
          <w:tcPr>
            <w:tcW w:w="2907" w:type="dxa"/>
          </w:tcPr>
          <w:p w:rsidR="008E7846" w:rsidRPr="00487162" w:rsidRDefault="008C5346" w:rsidP="00E45619">
            <w:pPr>
              <w:rPr>
                <w:i/>
              </w:rPr>
            </w:pPr>
            <w:r>
              <w:rPr>
                <w:i/>
              </w:rPr>
              <w:t>Container</w:t>
            </w:r>
            <w:r w:rsidR="008E7846" w:rsidRPr="00487162">
              <w:rPr>
                <w:i/>
              </w:rPr>
              <w:t>:</w:t>
            </w:r>
          </w:p>
        </w:tc>
        <w:tc>
          <w:tcPr>
            <w:tcW w:w="6307" w:type="dxa"/>
          </w:tcPr>
          <w:p w:rsidR="008E7846" w:rsidRPr="00487162" w:rsidRDefault="00BC2B56" w:rsidP="00E45619">
            <w:r>
              <w:t>T</w:t>
            </w:r>
            <w:r w:rsidR="008C5346">
              <w:t>ube</w:t>
            </w:r>
          </w:p>
        </w:tc>
      </w:tr>
      <w:tr w:rsidR="008E7846" w:rsidRPr="00487162" w:rsidTr="00BF1190">
        <w:tc>
          <w:tcPr>
            <w:tcW w:w="2907" w:type="dxa"/>
          </w:tcPr>
          <w:p w:rsidR="008E7846" w:rsidRPr="00487162" w:rsidRDefault="008E7846" w:rsidP="00E45619">
            <w:pPr>
              <w:rPr>
                <w:i/>
              </w:rPr>
            </w:pPr>
            <w:r w:rsidRPr="00487162">
              <w:rPr>
                <w:i/>
              </w:rPr>
              <w:t>Pack size(s):</w:t>
            </w:r>
          </w:p>
        </w:tc>
        <w:tc>
          <w:tcPr>
            <w:tcW w:w="6307" w:type="dxa"/>
          </w:tcPr>
          <w:p w:rsidR="008E7846" w:rsidRPr="00487162" w:rsidRDefault="008C5346" w:rsidP="00E45619">
            <w:r>
              <w:t>5 tablets, 60 tablets</w:t>
            </w:r>
          </w:p>
        </w:tc>
      </w:tr>
      <w:tr w:rsidR="008E7846" w:rsidRPr="00487162" w:rsidTr="00BF1190">
        <w:tc>
          <w:tcPr>
            <w:tcW w:w="2907"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rsidR="008E7846" w:rsidRPr="00BC59C7" w:rsidRDefault="008C5346" w:rsidP="00BC59C7">
            <w:pPr>
              <w:spacing w:after="0" w:line="240" w:lineRule="auto"/>
              <w:rPr>
                <w:rFonts w:eastAsia="MS Mincho"/>
                <w:i/>
                <w:lang w:eastAsia="ja-JP"/>
              </w:rPr>
            </w:pPr>
            <w:r w:rsidRPr="00BC59C7">
              <w:rPr>
                <w:rFonts w:eastAsia="MS Mincho"/>
                <w:i/>
                <w:lang w:eastAsia="ja-JP"/>
              </w:rPr>
              <w:t>Carbaglu is indicated in the treatment of</w:t>
            </w:r>
          </w:p>
          <w:p w:rsidR="008C5346" w:rsidRPr="00BC59C7" w:rsidRDefault="008C5346" w:rsidP="00BC59C7">
            <w:pPr>
              <w:pStyle w:val="ListBullet"/>
              <w:spacing w:before="0" w:after="0" w:line="240" w:lineRule="auto"/>
              <w:rPr>
                <w:i/>
                <w:lang w:eastAsia="ja-JP"/>
              </w:rPr>
            </w:pPr>
            <w:r w:rsidRPr="00BC59C7">
              <w:rPr>
                <w:i/>
                <w:lang w:eastAsia="ja-JP"/>
              </w:rPr>
              <w:t>Hyperammonaemia due to N-acetylglutamate synthase primary deficiency</w:t>
            </w:r>
          </w:p>
          <w:p w:rsidR="008C5346" w:rsidRPr="00BC59C7" w:rsidRDefault="008C5346" w:rsidP="00BC59C7">
            <w:pPr>
              <w:pStyle w:val="ListBullet"/>
              <w:spacing w:before="0" w:after="0" w:line="240" w:lineRule="auto"/>
              <w:rPr>
                <w:i/>
                <w:lang w:eastAsia="ja-JP"/>
              </w:rPr>
            </w:pPr>
            <w:r w:rsidRPr="00BC59C7">
              <w:rPr>
                <w:i/>
                <w:lang w:eastAsia="ja-JP"/>
              </w:rPr>
              <w:t>Hyperammonaemia due to Organic Acidaemias such as:</w:t>
            </w:r>
          </w:p>
          <w:p w:rsidR="008C5346" w:rsidRPr="00BC59C7" w:rsidRDefault="008C5346" w:rsidP="00BC59C7">
            <w:pPr>
              <w:pStyle w:val="ListBullet2"/>
              <w:spacing w:before="0" w:after="0" w:line="240" w:lineRule="auto"/>
              <w:rPr>
                <w:i/>
                <w:lang w:eastAsia="ja-JP"/>
              </w:rPr>
            </w:pPr>
            <w:r w:rsidRPr="00BC59C7">
              <w:rPr>
                <w:i/>
                <w:lang w:eastAsia="ja-JP"/>
              </w:rPr>
              <w:t>Hyperammonaemia due to isovaleric acidaemia</w:t>
            </w:r>
          </w:p>
          <w:p w:rsidR="008C5346" w:rsidRPr="00BC59C7" w:rsidRDefault="008C5346" w:rsidP="00BC59C7">
            <w:pPr>
              <w:pStyle w:val="ListBullet2"/>
              <w:spacing w:before="0" w:after="0" w:line="240" w:lineRule="auto"/>
              <w:rPr>
                <w:i/>
                <w:lang w:eastAsia="ja-JP"/>
              </w:rPr>
            </w:pPr>
            <w:r w:rsidRPr="00BC59C7">
              <w:rPr>
                <w:i/>
                <w:lang w:eastAsia="ja-JP"/>
              </w:rPr>
              <w:t>Hyperammonaemia due to methymalonic acidaemia</w:t>
            </w:r>
          </w:p>
          <w:p w:rsidR="008C5346" w:rsidRPr="00BC59C7" w:rsidRDefault="008C5346" w:rsidP="00E45619">
            <w:pPr>
              <w:pStyle w:val="ListBullet2"/>
              <w:spacing w:before="0" w:after="0" w:line="240" w:lineRule="auto"/>
              <w:rPr>
                <w:i/>
                <w:lang w:eastAsia="ja-JP"/>
              </w:rPr>
            </w:pPr>
            <w:r w:rsidRPr="00BC59C7">
              <w:rPr>
                <w:i/>
                <w:lang w:eastAsia="ja-JP"/>
              </w:rPr>
              <w:t>Hyperammonaemia due to propionic acidaemia</w:t>
            </w:r>
          </w:p>
        </w:tc>
      </w:tr>
      <w:tr w:rsidR="008E7846" w:rsidRPr="00487162" w:rsidTr="00BF1190">
        <w:tc>
          <w:tcPr>
            <w:tcW w:w="2907" w:type="dxa"/>
          </w:tcPr>
          <w:p w:rsidR="008E7846" w:rsidRPr="00487162" w:rsidRDefault="008C5346" w:rsidP="00E45619">
            <w:pPr>
              <w:rPr>
                <w:i/>
              </w:rPr>
            </w:pPr>
            <w:r>
              <w:rPr>
                <w:i/>
              </w:rPr>
              <w:t>Route</w:t>
            </w:r>
            <w:r w:rsidR="008E7846" w:rsidRPr="00487162">
              <w:rPr>
                <w:i/>
              </w:rPr>
              <w:t xml:space="preserve"> of administration:</w:t>
            </w:r>
          </w:p>
        </w:tc>
        <w:tc>
          <w:tcPr>
            <w:tcW w:w="6307" w:type="dxa"/>
          </w:tcPr>
          <w:p w:rsidR="008E7846" w:rsidRPr="00487162" w:rsidRDefault="00BC2B56" w:rsidP="00E45619">
            <w:r>
              <w:t>O</w:t>
            </w:r>
            <w:r w:rsidR="008C5346">
              <w:t>ral</w:t>
            </w:r>
            <w:r>
              <w:t xml:space="preserve"> (PO)</w:t>
            </w:r>
          </w:p>
        </w:tc>
      </w:tr>
      <w:tr w:rsidR="008E7846" w:rsidRPr="00487162" w:rsidTr="00BF1190">
        <w:tc>
          <w:tcPr>
            <w:tcW w:w="2907" w:type="dxa"/>
          </w:tcPr>
          <w:p w:rsidR="008E7846" w:rsidRPr="00487162" w:rsidRDefault="008E7846" w:rsidP="00E45619">
            <w:pPr>
              <w:rPr>
                <w:i/>
              </w:rPr>
            </w:pPr>
            <w:r w:rsidRPr="00487162">
              <w:rPr>
                <w:i/>
              </w:rPr>
              <w:t>Dosage:</w:t>
            </w:r>
          </w:p>
        </w:tc>
        <w:tc>
          <w:tcPr>
            <w:tcW w:w="6307" w:type="dxa"/>
          </w:tcPr>
          <w:p w:rsidR="008E7846" w:rsidRPr="00487162" w:rsidRDefault="00BC59C7" w:rsidP="00BC59C7">
            <w:r>
              <w:t>The recommended initial dosage for acute hyperammonaemia is 100 mg/kg/day to 250 mg/kg/day.</w:t>
            </w:r>
            <w:r w:rsidR="00FB79E9">
              <w:t>(</w:t>
            </w:r>
            <w:r>
              <w:t xml:space="preserve">see approved Product Information for full </w:t>
            </w:r>
            <w:r w:rsidRPr="00BC59C7">
              <w:rPr>
                <w:i/>
              </w:rPr>
              <w:t>Dosage and Administration</w:t>
            </w:r>
            <w:r w:rsidR="00213904">
              <w:t>)</w:t>
            </w:r>
          </w:p>
        </w:tc>
      </w:tr>
      <w:tr w:rsidR="008E7846" w:rsidRPr="00487162" w:rsidTr="00BF1190">
        <w:tc>
          <w:tcPr>
            <w:tcW w:w="2907" w:type="dxa"/>
          </w:tcPr>
          <w:p w:rsidR="008E7846" w:rsidRPr="00487162" w:rsidRDefault="008E7846" w:rsidP="001B5C90">
            <w:pPr>
              <w:rPr>
                <w:i/>
              </w:rPr>
            </w:pPr>
            <w:r w:rsidRPr="00487162">
              <w:rPr>
                <w:i/>
              </w:rPr>
              <w:t xml:space="preserve">ARTG </w:t>
            </w:r>
            <w:r w:rsidR="001B5C90">
              <w:rPr>
                <w:i/>
              </w:rPr>
              <w:t>n</w:t>
            </w:r>
            <w:r w:rsidR="00BC59C7">
              <w:rPr>
                <w:i/>
              </w:rPr>
              <w:t>umber</w:t>
            </w:r>
            <w:r w:rsidR="001B5C90">
              <w:rPr>
                <w:i/>
              </w:rPr>
              <w:t>:</w:t>
            </w:r>
          </w:p>
        </w:tc>
        <w:tc>
          <w:tcPr>
            <w:tcW w:w="6307" w:type="dxa"/>
          </w:tcPr>
          <w:p w:rsidR="008E7846" w:rsidRPr="00487162" w:rsidRDefault="00F41987" w:rsidP="00E45619">
            <w:r>
              <w:t>215632</w:t>
            </w:r>
          </w:p>
        </w:tc>
      </w:tr>
    </w:tbl>
    <w:p w:rsidR="00874337" w:rsidRDefault="00874337" w:rsidP="003A3B87">
      <w:bookmarkStart w:id="13" w:name="_Toc247691503"/>
      <w:bookmarkStart w:id="14" w:name="_Toc314842484"/>
      <w:r>
        <w:br w:type="page"/>
      </w:r>
    </w:p>
    <w:p w:rsidR="008E7846" w:rsidRDefault="008E7846" w:rsidP="00213904">
      <w:pPr>
        <w:pStyle w:val="Heading3"/>
      </w:pPr>
      <w:bookmarkStart w:id="15" w:name="_Toc433190155"/>
      <w:r>
        <w:lastRenderedPageBreak/>
        <w:t xml:space="preserve">Product </w:t>
      </w:r>
      <w:r w:rsidRPr="00213904">
        <w:t>background</w:t>
      </w:r>
      <w:bookmarkEnd w:id="13"/>
      <w:bookmarkEnd w:id="14"/>
      <w:bookmarkEnd w:id="15"/>
    </w:p>
    <w:p w:rsidR="008E7846" w:rsidRDefault="00940A89" w:rsidP="00213904">
      <w:r w:rsidRPr="00940A89">
        <w:t xml:space="preserve">This AusPAR describes the application by </w:t>
      </w:r>
      <w:r w:rsidR="00874337">
        <w:t>Emerge Health Pty Ltd (</w:t>
      </w:r>
      <w:r w:rsidRPr="00940A89">
        <w:t>the sponsor</w:t>
      </w:r>
      <w:r w:rsidR="00874337">
        <w:t>)</w:t>
      </w:r>
      <w:r w:rsidRPr="00940A89">
        <w:t xml:space="preserve"> to register </w:t>
      </w:r>
      <w:r w:rsidR="00874337" w:rsidRPr="00874337">
        <w:t>Carbaglu</w:t>
      </w:r>
      <w:r w:rsidR="00874337">
        <w:t>, c</w:t>
      </w:r>
      <w:r w:rsidR="00874337" w:rsidRPr="00874337">
        <w:t xml:space="preserve">arglumic acid </w:t>
      </w:r>
      <w:r w:rsidR="00874337">
        <w:t>for the following indication:</w:t>
      </w:r>
    </w:p>
    <w:p w:rsidR="00BC2B56" w:rsidRPr="00213904" w:rsidRDefault="00BC2B56" w:rsidP="00213904">
      <w:pPr>
        <w:rPr>
          <w:i/>
        </w:rPr>
      </w:pPr>
      <w:r w:rsidRPr="00213904">
        <w:rPr>
          <w:i/>
        </w:rPr>
        <w:t>Carbaglu is indicated in the treatment of</w:t>
      </w:r>
    </w:p>
    <w:p w:rsidR="00BC2B56" w:rsidRPr="00213904" w:rsidRDefault="00BC2B56" w:rsidP="00213904">
      <w:pPr>
        <w:pStyle w:val="ListBullet"/>
        <w:rPr>
          <w:i/>
        </w:rPr>
      </w:pPr>
      <w:r w:rsidRPr="00213904">
        <w:rPr>
          <w:i/>
        </w:rPr>
        <w:t>Hyperammonaemia due to N-acetylglutamate synthase primary deficiency</w:t>
      </w:r>
    </w:p>
    <w:p w:rsidR="00BC2B56" w:rsidRPr="00213904" w:rsidRDefault="00BC2B56" w:rsidP="00213904">
      <w:pPr>
        <w:pStyle w:val="ListBullet"/>
        <w:rPr>
          <w:i/>
        </w:rPr>
      </w:pPr>
      <w:r w:rsidRPr="00213904">
        <w:rPr>
          <w:i/>
        </w:rPr>
        <w:t>Hyperammonaemia due to Organic Acidaemias such as:</w:t>
      </w:r>
    </w:p>
    <w:p w:rsidR="00BC2B56" w:rsidRPr="00213904" w:rsidRDefault="00BC2B56" w:rsidP="00213904">
      <w:pPr>
        <w:pStyle w:val="ListBullet2"/>
        <w:rPr>
          <w:i/>
        </w:rPr>
      </w:pPr>
      <w:r w:rsidRPr="00213904">
        <w:rPr>
          <w:i/>
        </w:rPr>
        <w:t>Hyperammonaemia due to isovaleric acidaemia</w:t>
      </w:r>
    </w:p>
    <w:p w:rsidR="00BC2B56" w:rsidRPr="00213904" w:rsidRDefault="00BC2B56" w:rsidP="00213904">
      <w:pPr>
        <w:pStyle w:val="ListBullet2"/>
        <w:rPr>
          <w:i/>
        </w:rPr>
      </w:pPr>
      <w:r w:rsidRPr="00213904">
        <w:rPr>
          <w:i/>
        </w:rPr>
        <w:t>Hyperammonaemia due to methymalonic acidaemia</w:t>
      </w:r>
    </w:p>
    <w:p w:rsidR="00BC2B56" w:rsidRPr="00213904" w:rsidRDefault="00BC2B56" w:rsidP="00213904">
      <w:pPr>
        <w:pStyle w:val="ListBullet2"/>
        <w:rPr>
          <w:i/>
        </w:rPr>
      </w:pPr>
      <w:r w:rsidRPr="00213904">
        <w:rPr>
          <w:i/>
        </w:rPr>
        <w:t>Hyperammonaemia due to propionic acidaemia.</w:t>
      </w:r>
    </w:p>
    <w:p w:rsidR="00874337" w:rsidRDefault="00874337" w:rsidP="00213904">
      <w:r w:rsidRPr="00874337">
        <w:t>Urea cycle is the metabolic pathway for converting ammonia (</w:t>
      </w:r>
      <w:r w:rsidR="00D7554B" w:rsidRPr="000101CA">
        <w:t>NH</w:t>
      </w:r>
      <w:r w:rsidR="00D7554B" w:rsidRPr="00D7554B">
        <w:rPr>
          <w:vertAlign w:val="subscript"/>
        </w:rPr>
        <w:t>3</w:t>
      </w:r>
      <w:r w:rsidRPr="00874337">
        <w:t>) to urea for excretion via kidneys. A number of urea cycle disorders (UCD) can occur in this pathway.</w:t>
      </w:r>
      <w:r w:rsidR="00BC2B56" w:rsidRPr="00BC2B56">
        <w:t xml:space="preserve"> A list of UCDs is included under </w:t>
      </w:r>
      <w:r w:rsidR="00BC2B56" w:rsidRPr="00BC2B56">
        <w:rPr>
          <w:i/>
        </w:rPr>
        <w:t>Clinical findings</w:t>
      </w:r>
      <w:r w:rsidR="00BC2B56" w:rsidRPr="00BC2B56">
        <w:t xml:space="preserve"> below. </w:t>
      </w:r>
      <w:r>
        <w:t>The cycle is depicted in Figure 1.</w:t>
      </w:r>
    </w:p>
    <w:p w:rsidR="00874337" w:rsidRDefault="00874337" w:rsidP="00213904">
      <w:pPr>
        <w:pStyle w:val="FigureTitle"/>
      </w:pPr>
      <w:r>
        <w:t>Figure 1. The Urea Cycle</w:t>
      </w:r>
      <w:r w:rsidR="00042857">
        <w:t>.</w:t>
      </w:r>
    </w:p>
    <w:p w:rsidR="00874337" w:rsidRDefault="00B727B7" w:rsidP="00B727B7">
      <w:r>
        <w:rPr>
          <w:noProof/>
          <w:lang w:eastAsia="en-AU"/>
        </w:rPr>
        <w:drawing>
          <wp:inline distT="0" distB="0" distL="0" distR="0" wp14:anchorId="430C4E2A" wp14:editId="4A1F775A">
            <wp:extent cx="5229860" cy="4182110"/>
            <wp:effectExtent l="0" t="0" r="8890" b="8890"/>
            <wp:docPr id="3" name="Picture 3" descr="Figure 3. The Urea Cycle." title="Figure 3. The Urea Cycle."/>
            <wp:cNvGraphicFramePr/>
            <a:graphic xmlns:a="http://schemas.openxmlformats.org/drawingml/2006/main">
              <a:graphicData uri="http://schemas.openxmlformats.org/drawingml/2006/picture">
                <pic:pic xmlns:pic="http://schemas.openxmlformats.org/drawingml/2006/picture">
                  <pic:nvPicPr>
                    <pic:cNvPr id="4" name="Picture 4" descr="Figure 3. The Urea Cycle."/>
                    <pic:cNvPicPr/>
                  </pic:nvPicPr>
                  <pic:blipFill rotWithShape="1">
                    <a:blip r:embed="rId14"/>
                    <a:srcRect l="3094" t="5225"/>
                    <a:stretch/>
                  </pic:blipFill>
                  <pic:spPr bwMode="auto">
                    <a:xfrm>
                      <a:off x="0" y="0"/>
                      <a:ext cx="5229860" cy="4182110"/>
                    </a:xfrm>
                    <a:prstGeom prst="rect">
                      <a:avLst/>
                    </a:prstGeom>
                    <a:ln>
                      <a:noFill/>
                    </a:ln>
                    <a:extLst>
                      <a:ext uri="{53640926-AAD7-44D8-BBD7-CCE9431645EC}">
                        <a14:shadowObscured xmlns:a14="http://schemas.microsoft.com/office/drawing/2010/main"/>
                      </a:ext>
                    </a:extLst>
                  </pic:spPr>
                </pic:pic>
              </a:graphicData>
            </a:graphic>
          </wp:inline>
        </w:drawing>
      </w:r>
    </w:p>
    <w:p w:rsidR="001601B5" w:rsidRPr="001601B5" w:rsidRDefault="001601B5" w:rsidP="00213904">
      <w:r w:rsidRPr="001601B5">
        <w:t>Carglumic acid is a structural analogue of N-acetylglutamate</w:t>
      </w:r>
      <w:r>
        <w:t xml:space="preserve"> (NAG)</w:t>
      </w:r>
      <w:r w:rsidRPr="001601B5">
        <w:t>, a naturally occurring activator of carbamoyl phosphate synthetase 1 (CPS1), the first enzyme of the urea cycle. N-acetylglutamate is the product of N-acetylglutamate synthase</w:t>
      </w:r>
      <w:r>
        <w:t xml:space="preserve"> (NAGS)</w:t>
      </w:r>
      <w:r w:rsidRPr="001601B5">
        <w:t>. Carglumic acid has been shown in vitro to activate liver CPS1. Carglumic acid reduced blood ammonia levels in mice with N-acetylglutamate synthase deficiency.</w:t>
      </w:r>
    </w:p>
    <w:p w:rsidR="00B727B7" w:rsidRPr="00B727B7" w:rsidRDefault="00B727B7" w:rsidP="00213904">
      <w:pPr>
        <w:pStyle w:val="Heading4"/>
      </w:pPr>
      <w:r w:rsidRPr="00B727B7">
        <w:t xml:space="preserve">Urea </w:t>
      </w:r>
      <w:r w:rsidR="005C720E">
        <w:t>c</w:t>
      </w:r>
      <w:r w:rsidRPr="00B727B7">
        <w:t xml:space="preserve">ycle </w:t>
      </w:r>
      <w:r w:rsidR="005C720E">
        <w:t>d</w:t>
      </w:r>
      <w:r w:rsidRPr="00B727B7">
        <w:t>isorders</w:t>
      </w:r>
    </w:p>
    <w:p w:rsidR="00B727B7" w:rsidRPr="00B727B7" w:rsidRDefault="00B727B7" w:rsidP="00213904">
      <w:r w:rsidRPr="00B727B7">
        <w:t>The urea cycle is the metabolic pathway that transforms nitrogen to urea for e</w:t>
      </w:r>
      <w:r w:rsidR="00A02BAA">
        <w:t>xcretion from the body (Figure 1</w:t>
      </w:r>
      <w:r w:rsidRPr="00B727B7">
        <w:t>). Deficiency of an enzyme in the pathway causes a urea cycle disorder (UCD). The UCDs are:</w:t>
      </w:r>
    </w:p>
    <w:p w:rsidR="00B727B7" w:rsidRPr="00B727B7" w:rsidRDefault="00B727B7" w:rsidP="00213904">
      <w:pPr>
        <w:pStyle w:val="ListBullet"/>
      </w:pPr>
      <w:r w:rsidRPr="00B727B7">
        <w:lastRenderedPageBreak/>
        <w:t>Carbamyl phosphate synthetase I (CPSI) deficiency</w:t>
      </w:r>
    </w:p>
    <w:p w:rsidR="00B727B7" w:rsidRPr="00B727B7" w:rsidRDefault="00B727B7" w:rsidP="00213904">
      <w:pPr>
        <w:pStyle w:val="ListBullet"/>
      </w:pPr>
      <w:r w:rsidRPr="00B727B7">
        <w:t>Ornithine transcarbamylase (OTC) deficiency</w:t>
      </w:r>
    </w:p>
    <w:p w:rsidR="00B727B7" w:rsidRPr="00B727B7" w:rsidRDefault="00B727B7" w:rsidP="00213904">
      <w:pPr>
        <w:pStyle w:val="ListBullet"/>
      </w:pPr>
      <w:r w:rsidRPr="00B727B7">
        <w:t>Argininosuccinate synthetase (ASS) deficiency (also known as classic citrullin</w:t>
      </w:r>
      <w:r w:rsidR="00B02ACC">
        <w:t>aemia</w:t>
      </w:r>
      <w:r w:rsidRPr="00B727B7">
        <w:t xml:space="preserve"> or type I citrullin</w:t>
      </w:r>
      <w:r w:rsidR="00B02ACC">
        <w:t>aemia</w:t>
      </w:r>
      <w:r w:rsidRPr="00B727B7">
        <w:t>, CTLN1)</w:t>
      </w:r>
    </w:p>
    <w:p w:rsidR="00B727B7" w:rsidRPr="00B727B7" w:rsidRDefault="00B727B7" w:rsidP="00213904">
      <w:pPr>
        <w:pStyle w:val="ListBullet"/>
      </w:pPr>
      <w:r w:rsidRPr="00B727B7">
        <w:t>Argininosuccinate lyase (ASL) deficiency (also known as argininosuccinic aciduria)</w:t>
      </w:r>
    </w:p>
    <w:p w:rsidR="00B727B7" w:rsidRPr="00B727B7" w:rsidRDefault="00B727B7" w:rsidP="00213904">
      <w:pPr>
        <w:pStyle w:val="ListBullet"/>
      </w:pPr>
      <w:r w:rsidRPr="00B727B7">
        <w:t>N-acetyl glutamate synthetase (NAGS) deficiency</w:t>
      </w:r>
    </w:p>
    <w:p w:rsidR="00B727B7" w:rsidRPr="00B727B7" w:rsidRDefault="00B727B7" w:rsidP="00213904">
      <w:pPr>
        <w:pStyle w:val="ListBullet"/>
      </w:pPr>
      <w:r w:rsidRPr="00B727B7">
        <w:t>Arginase deficiency</w:t>
      </w:r>
    </w:p>
    <w:p w:rsidR="00B727B7" w:rsidRPr="00B727B7" w:rsidRDefault="00B727B7" w:rsidP="00213904">
      <w:r w:rsidRPr="00B727B7">
        <w:t>Urea cycle disorders, except for arginase deficiency, result in hyperammon</w:t>
      </w:r>
      <w:r w:rsidR="00B02ACC">
        <w:t>aemia</w:t>
      </w:r>
      <w:r w:rsidRPr="00B727B7">
        <w:t xml:space="preserve"> and life threatening metabolic decompensations in infancy. Survivors of the metabolic decompensation frequently have severe neurologic injury. Prompt recognition and treatment are needed to improve outcome.</w:t>
      </w:r>
    </w:p>
    <w:p w:rsidR="00874337" w:rsidRPr="00874337" w:rsidRDefault="00874337" w:rsidP="00213904">
      <w:r w:rsidRPr="00874337">
        <w:t xml:space="preserve">In both forms of disease (NAGS deficiency and OA) early identification, diagnosis and treatment is critical. The clinical management requires high </w:t>
      </w:r>
      <w:r w:rsidRPr="0027557F">
        <w:t xml:space="preserve">level </w:t>
      </w:r>
      <w:r w:rsidR="0027557F" w:rsidRPr="0027557F">
        <w:t xml:space="preserve">intensive care unit </w:t>
      </w:r>
      <w:r w:rsidRPr="0027557F">
        <w:t xml:space="preserve">care </w:t>
      </w:r>
      <w:r w:rsidRPr="00874337">
        <w:t xml:space="preserve">to support physiological functions and use of use of ‘ammonia scavengers’. These scavenger agents are non-specific and none are currently registered in Australia. The drugs which have been supplied under Special Access Scheme (SAS) for unapproved medicines in individual patients include sodium phenylbutyrate, sodium benzoate, arginine </w:t>
      </w:r>
      <w:r w:rsidR="00122F35">
        <w:t xml:space="preserve">and carnitine. Approximately 50 to </w:t>
      </w:r>
      <w:r w:rsidRPr="00874337">
        <w:t xml:space="preserve">75 requests per year are approved by the TGA delegates (SAS Category B) and a similar number appears to be notified to TGA by physicians under SAS Category A. There is one record of supply of </w:t>
      </w:r>
      <w:r w:rsidR="00E14D65" w:rsidRPr="00E14D65">
        <w:t>carglumic acid</w:t>
      </w:r>
      <w:r w:rsidRPr="00874337">
        <w:t xml:space="preserve"> under SAS in 2012.</w:t>
      </w:r>
    </w:p>
    <w:p w:rsidR="008E7846" w:rsidRPr="003F31A2" w:rsidRDefault="00386150" w:rsidP="00213904">
      <w:pPr>
        <w:pStyle w:val="Heading3"/>
      </w:pPr>
      <w:bookmarkStart w:id="16" w:name="_Toc314842485"/>
      <w:bookmarkStart w:id="17" w:name="_Toc247691504"/>
      <w:bookmarkStart w:id="18" w:name="_Toc433190156"/>
      <w:r>
        <w:t>Regulatory s</w:t>
      </w:r>
      <w:r w:rsidR="008E7846">
        <w:t>tatus</w:t>
      </w:r>
      <w:bookmarkEnd w:id="16"/>
      <w:bookmarkEnd w:id="17"/>
      <w:bookmarkEnd w:id="18"/>
    </w:p>
    <w:p w:rsidR="00940A89" w:rsidRPr="00940A89" w:rsidRDefault="00940A89" w:rsidP="00213904">
      <w:bookmarkStart w:id="19" w:name="_Toc247691505"/>
      <w:bookmarkStart w:id="20" w:name="_Toc314842486"/>
      <w:r w:rsidRPr="00940A89">
        <w:t>The product received initial registration on the Australian Register</w:t>
      </w:r>
      <w:r w:rsidR="004B2E36">
        <w:t xml:space="preserve"> of Therapeutic Goods (</w:t>
      </w:r>
      <w:r w:rsidR="004B2E36" w:rsidRPr="0027557F">
        <w:t>ARTG</w:t>
      </w:r>
      <w:r w:rsidR="004B2E36">
        <w:t>) on 12 February 2015.</w:t>
      </w:r>
    </w:p>
    <w:p w:rsidR="00940A89" w:rsidRDefault="00940A89" w:rsidP="00213904">
      <w:r w:rsidRPr="00940A89">
        <w:t xml:space="preserve">At the time the TGA considered this </w:t>
      </w:r>
      <w:r w:rsidR="004B2E36" w:rsidRPr="00940A89">
        <w:t>application;</w:t>
      </w:r>
      <w:r w:rsidRPr="00940A89">
        <w:t xml:space="preserve"> a similar application had been approved in </w:t>
      </w:r>
      <w:r w:rsidR="004B2E36">
        <w:t xml:space="preserve">the following countries as shown in Table </w:t>
      </w:r>
      <w:r w:rsidR="00122F35">
        <w:t>1</w:t>
      </w:r>
      <w:r w:rsidR="004B2E36">
        <w:t>.</w:t>
      </w:r>
    </w:p>
    <w:p w:rsidR="004B2E36" w:rsidRDefault="00122F35" w:rsidP="00213904">
      <w:pPr>
        <w:pStyle w:val="TableTitle"/>
      </w:pPr>
      <w:r>
        <w:lastRenderedPageBreak/>
        <w:t>Table 1</w:t>
      </w:r>
      <w:r w:rsidR="004B2E36">
        <w:t xml:space="preserve">. </w:t>
      </w:r>
      <w:r w:rsidR="00055761" w:rsidRPr="00213904">
        <w:t>C</w:t>
      </w:r>
      <w:r w:rsidR="00014A6C" w:rsidRPr="00213904">
        <w:t>arglumic</w:t>
      </w:r>
      <w:r w:rsidR="00014A6C">
        <w:t xml:space="preserve"> acid international regulatory status.</w:t>
      </w:r>
    </w:p>
    <w:p w:rsidR="002A564D" w:rsidRDefault="002A564D" w:rsidP="00213904">
      <w:r>
        <w:rPr>
          <w:noProof/>
          <w:lang w:eastAsia="en-AU"/>
        </w:rPr>
        <w:drawing>
          <wp:inline distT="0" distB="0" distL="0" distR="0" wp14:anchorId="34328639" wp14:editId="1153F9F9">
            <wp:extent cx="5400040" cy="6468509"/>
            <wp:effectExtent l="0" t="0" r="0" b="8890"/>
            <wp:docPr id="16" name="Picture 16" descr="Table 1. carglumic acid international regulatory status." title="Tab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00040" cy="6468509"/>
                    </a:xfrm>
                    <a:prstGeom prst="rect">
                      <a:avLst/>
                    </a:prstGeom>
                  </pic:spPr>
                </pic:pic>
              </a:graphicData>
            </a:graphic>
          </wp:inline>
        </w:drawing>
      </w:r>
    </w:p>
    <w:p w:rsidR="00014A6C" w:rsidRDefault="00122F35" w:rsidP="00213904">
      <w:pPr>
        <w:pStyle w:val="TableTitle"/>
      </w:pPr>
      <w:r w:rsidRPr="00213904">
        <w:lastRenderedPageBreak/>
        <w:t>Table</w:t>
      </w:r>
      <w:r>
        <w:t xml:space="preserve"> 1. (</w:t>
      </w:r>
      <w:r w:rsidR="00014A6C">
        <w:t>continued</w:t>
      </w:r>
      <w:r>
        <w:t>)</w:t>
      </w:r>
    </w:p>
    <w:p w:rsidR="002A564D" w:rsidRDefault="002A564D" w:rsidP="00213904">
      <w:r>
        <w:rPr>
          <w:noProof/>
          <w:lang w:eastAsia="en-AU"/>
        </w:rPr>
        <w:drawing>
          <wp:inline distT="0" distB="0" distL="0" distR="0" wp14:anchorId="5DA980F3" wp14:editId="4AC4CCA8">
            <wp:extent cx="5400040" cy="5483118"/>
            <wp:effectExtent l="0" t="0" r="0" b="3810"/>
            <wp:docPr id="18" name="Picture 18" descr="Table 1. carglumic acid international regulatory status." title="Table 1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00040" cy="5483118"/>
                    </a:xfrm>
                    <a:prstGeom prst="rect">
                      <a:avLst/>
                    </a:prstGeom>
                  </pic:spPr>
                </pic:pic>
              </a:graphicData>
            </a:graphic>
          </wp:inline>
        </w:drawing>
      </w:r>
    </w:p>
    <w:p w:rsidR="004B2E36" w:rsidRDefault="004B2E36" w:rsidP="00213904">
      <w:pPr>
        <w:pStyle w:val="TableDescription"/>
      </w:pPr>
      <w:r>
        <w:t>A: authorised. AR: authorisation renewal.</w:t>
      </w:r>
    </w:p>
    <w:p w:rsidR="002D5FBA" w:rsidRPr="002D5FBA" w:rsidRDefault="002D5FBA" w:rsidP="00213904">
      <w:pPr>
        <w:pStyle w:val="Heading4"/>
      </w:pPr>
      <w:r w:rsidRPr="002D5FBA">
        <w:t xml:space="preserve">Orphan </w:t>
      </w:r>
      <w:r w:rsidR="00213904">
        <w:t>d</w:t>
      </w:r>
      <w:r w:rsidRPr="002D5FBA">
        <w:t xml:space="preserve">rug </w:t>
      </w:r>
      <w:r w:rsidR="00213904" w:rsidRPr="00213904">
        <w:t>s</w:t>
      </w:r>
      <w:r w:rsidRPr="00213904">
        <w:t>tatus</w:t>
      </w:r>
    </w:p>
    <w:p w:rsidR="002D5FBA" w:rsidRPr="0020078F" w:rsidRDefault="002D5FBA" w:rsidP="00213904">
      <w:r w:rsidRPr="0020078F">
        <w:t>The TGA Delegate of the Secretary designated carglumic acid as an orphan drug for the treatment of;</w:t>
      </w:r>
    </w:p>
    <w:p w:rsidR="002D5FBA" w:rsidRPr="00213904" w:rsidRDefault="002D5FBA" w:rsidP="00213904">
      <w:pPr>
        <w:pStyle w:val="ListBullet"/>
        <w:rPr>
          <w:i/>
        </w:rPr>
      </w:pPr>
      <w:r w:rsidRPr="00213904">
        <w:rPr>
          <w:i/>
        </w:rPr>
        <w:t>Hyperammonaemia due to N-acetylglutamate synthase primary deficiency</w:t>
      </w:r>
    </w:p>
    <w:p w:rsidR="002D5FBA" w:rsidRPr="00213904" w:rsidRDefault="002D5FBA" w:rsidP="00213904">
      <w:pPr>
        <w:pStyle w:val="ListBullet"/>
        <w:rPr>
          <w:i/>
        </w:rPr>
      </w:pPr>
      <w:r w:rsidRPr="00213904">
        <w:rPr>
          <w:i/>
        </w:rPr>
        <w:t>Hyperammonaemia due to Organic Acidaemias such as:</w:t>
      </w:r>
    </w:p>
    <w:p w:rsidR="002D5FBA" w:rsidRPr="00213904" w:rsidRDefault="002D5FBA" w:rsidP="00213904">
      <w:pPr>
        <w:pStyle w:val="ListBullet2"/>
        <w:rPr>
          <w:i/>
        </w:rPr>
      </w:pPr>
      <w:r w:rsidRPr="00213904">
        <w:rPr>
          <w:i/>
        </w:rPr>
        <w:t>Hyperammonaemia due to isovaleric acidaemia</w:t>
      </w:r>
    </w:p>
    <w:p w:rsidR="002D5FBA" w:rsidRPr="00213904" w:rsidRDefault="002D5FBA" w:rsidP="00213904">
      <w:pPr>
        <w:pStyle w:val="ListBullet2"/>
        <w:rPr>
          <w:i/>
        </w:rPr>
      </w:pPr>
      <w:r w:rsidRPr="00213904">
        <w:rPr>
          <w:i/>
        </w:rPr>
        <w:t>Hyperammonaemia due to methymalonic acidaemia</w:t>
      </w:r>
    </w:p>
    <w:p w:rsidR="002D5FBA" w:rsidRPr="00213904" w:rsidRDefault="002D5FBA" w:rsidP="00213904">
      <w:pPr>
        <w:pStyle w:val="ListBullet2"/>
        <w:rPr>
          <w:i/>
        </w:rPr>
      </w:pPr>
      <w:r w:rsidRPr="00213904">
        <w:rPr>
          <w:i/>
        </w:rPr>
        <w:t>Hyperammonaemia due to propionic acidaemia</w:t>
      </w:r>
    </w:p>
    <w:p w:rsidR="002D5FBA" w:rsidRPr="0020078F" w:rsidRDefault="002D5FBA" w:rsidP="00213904">
      <w:r w:rsidRPr="0020078F">
        <w:t>on 29 February 2012.</w:t>
      </w:r>
    </w:p>
    <w:p w:rsidR="002D5FBA" w:rsidRPr="0020078F" w:rsidRDefault="00B727B7" w:rsidP="00213904">
      <w:r>
        <w:t>Information provided by the s</w:t>
      </w:r>
      <w:r w:rsidR="002D5FBA" w:rsidRPr="0020078F">
        <w:t>ponsor at the time of ‘orphan drug’ designation indicated a prevalence of 146 patients in Australia at present covering both NAGS and the 3 OAs.</w:t>
      </w:r>
    </w:p>
    <w:p w:rsidR="008E7846" w:rsidRDefault="008E7846" w:rsidP="00213904">
      <w:pPr>
        <w:pStyle w:val="Heading3"/>
      </w:pPr>
      <w:bookmarkStart w:id="21" w:name="_Toc433190157"/>
      <w:r w:rsidRPr="00213904">
        <w:lastRenderedPageBreak/>
        <w:t>Product</w:t>
      </w:r>
      <w:r>
        <w:t xml:space="preserve"> Information</w:t>
      </w:r>
      <w:bookmarkEnd w:id="19"/>
      <w:bookmarkEnd w:id="20"/>
      <w:bookmarkEnd w:id="21"/>
    </w:p>
    <w:p w:rsidR="00940A89" w:rsidRDefault="00940A89" w:rsidP="00213904">
      <w:pPr>
        <w:rPr>
          <w:b/>
          <w:bCs/>
        </w:rPr>
      </w:pPr>
      <w:bookmarkStart w:id="22" w:name="_Toc247691506"/>
      <w:bookmarkStart w:id="23" w:name="_Toc314842487"/>
      <w:r w:rsidRPr="00940A89">
        <w:t>The approved Product Information (PI) current at the time this AusPAR was prepared can be found as Attachment 1. For the most recent Product Information please refer to the TGA website at &lt;</w:t>
      </w:r>
      <w:hyperlink r:id="rId17" w:history="1">
        <w:r w:rsidR="00383221">
          <w:rPr>
            <w:rStyle w:val="Hyperlink"/>
          </w:rPr>
          <w:t>https://www.tga.gov.au/product-information-pi</w:t>
        </w:r>
      </w:hyperlink>
      <w:r w:rsidRPr="00940A89">
        <w:t>&gt;.</w:t>
      </w:r>
    </w:p>
    <w:p w:rsidR="008E7846" w:rsidRPr="003602A9" w:rsidRDefault="008E7846" w:rsidP="00822D83">
      <w:pPr>
        <w:pStyle w:val="Heading2"/>
      </w:pPr>
      <w:bookmarkStart w:id="24" w:name="_Toc433190158"/>
      <w:r>
        <w:t>II. Quality</w:t>
      </w:r>
      <w:bookmarkEnd w:id="2"/>
      <w:r>
        <w:t xml:space="preserve"> </w:t>
      </w:r>
      <w:r w:rsidRPr="00822D83">
        <w:t>findings</w:t>
      </w:r>
      <w:bookmarkEnd w:id="22"/>
      <w:bookmarkEnd w:id="23"/>
      <w:bookmarkEnd w:id="24"/>
    </w:p>
    <w:p w:rsidR="008E7846" w:rsidRPr="00CC36BD" w:rsidRDefault="008E7846" w:rsidP="00822D83">
      <w:pPr>
        <w:pStyle w:val="Heading3"/>
      </w:pPr>
      <w:bookmarkStart w:id="25" w:name="_Toc247691507"/>
      <w:bookmarkStart w:id="26" w:name="_Toc314842488"/>
      <w:bookmarkStart w:id="27" w:name="_Toc433190159"/>
      <w:r w:rsidRPr="00CC36BD">
        <w:t xml:space="preserve">Drug substance (active </w:t>
      </w:r>
      <w:r w:rsidRPr="00822D83">
        <w:t>ingredient</w:t>
      </w:r>
      <w:r w:rsidRPr="00CC36BD">
        <w:t>)</w:t>
      </w:r>
      <w:bookmarkEnd w:id="25"/>
      <w:bookmarkEnd w:id="26"/>
      <w:bookmarkEnd w:id="27"/>
    </w:p>
    <w:p w:rsidR="0004205F" w:rsidRDefault="0004205F" w:rsidP="00822D83">
      <w:r w:rsidRPr="0004205F">
        <w:t>The chemical name of carglumic acid is N–carbamoyl- L-glutamic acid or (2S)-2-(carbamoylamino)</w:t>
      </w:r>
      <w:r>
        <w:t xml:space="preserve"> </w:t>
      </w:r>
      <w:r w:rsidRPr="0004205F">
        <w:t>pentanedioic acid.</w:t>
      </w:r>
      <w:r w:rsidR="00CC36BD">
        <w:t xml:space="preserve"> </w:t>
      </w:r>
      <w:r w:rsidRPr="0004205F">
        <w:t>The active substance has one chiral carbon atom and has an optical isomer, which is N-carbamoyl-D-glutamic acid.</w:t>
      </w:r>
      <w:r>
        <w:t xml:space="preserve"> The structure is shown in Figure 2.</w:t>
      </w:r>
    </w:p>
    <w:p w:rsidR="0004205F" w:rsidRDefault="00122F35" w:rsidP="00822D83">
      <w:pPr>
        <w:pStyle w:val="FigureTitle"/>
      </w:pPr>
      <w:r>
        <w:t>Figure 2 Structure of c</w:t>
      </w:r>
      <w:r w:rsidR="0004205F">
        <w:t>arglumic acid.</w:t>
      </w:r>
    </w:p>
    <w:p w:rsidR="00432DC0" w:rsidRPr="0004205F" w:rsidRDefault="00432DC0" w:rsidP="00B727B7">
      <w:r>
        <w:rPr>
          <w:noProof/>
          <w:lang w:eastAsia="en-AU"/>
        </w:rPr>
        <w:drawing>
          <wp:inline distT="0" distB="0" distL="0" distR="0" wp14:anchorId="7AEC35D3" wp14:editId="52D9D5F7">
            <wp:extent cx="2133600" cy="1962150"/>
            <wp:effectExtent l="0" t="0" r="0" b="0"/>
            <wp:docPr id="2" name="Picture 2" descr="Figure 2 Structure of carglumic acid."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133600" cy="1962150"/>
                    </a:xfrm>
                    <a:prstGeom prst="rect">
                      <a:avLst/>
                    </a:prstGeom>
                  </pic:spPr>
                </pic:pic>
              </a:graphicData>
            </a:graphic>
          </wp:inline>
        </w:drawing>
      </w:r>
    </w:p>
    <w:p w:rsidR="008E7846" w:rsidRDefault="0004205F" w:rsidP="00822D83">
      <w:r w:rsidRPr="0004205F">
        <w:t>Carglumic acid is a white crystalline powder, soluble in boiling water, slightly soluble in cold water and practically insoluble in organic solvents. The pH of a 0.5% aqueous solution is between 2.2 and</w:t>
      </w:r>
      <w:r w:rsidR="00CC36BD">
        <w:t xml:space="preserve"> </w:t>
      </w:r>
      <w:r w:rsidRPr="0004205F">
        <w:t>3.2</w:t>
      </w:r>
      <w:r w:rsidR="00CD601D">
        <w:t xml:space="preserve">. </w:t>
      </w:r>
      <w:r w:rsidR="00432DC0" w:rsidRPr="00432DC0">
        <w:t>The analytical methods used in routine controls were adequately validated and thus considered suitable. The production yield and the particle size of the active substance are also reproducible.</w:t>
      </w:r>
      <w:r w:rsidR="00432DC0">
        <w:t xml:space="preserve"> </w:t>
      </w:r>
      <w:r w:rsidR="00432DC0" w:rsidRPr="00432DC0">
        <w:t>All impurity limits were adequately justified.</w:t>
      </w:r>
    </w:p>
    <w:p w:rsidR="008E7846" w:rsidRDefault="008E7846" w:rsidP="00822D83">
      <w:pPr>
        <w:pStyle w:val="Heading3"/>
      </w:pPr>
      <w:bookmarkStart w:id="28" w:name="_Toc247691508"/>
      <w:bookmarkStart w:id="29" w:name="_Toc314842490"/>
      <w:bookmarkStart w:id="30" w:name="_Toc433190160"/>
      <w:r w:rsidRPr="00822D83">
        <w:t>Drug</w:t>
      </w:r>
      <w:r w:rsidRPr="008751DC">
        <w:t xml:space="preserve"> </w:t>
      </w:r>
      <w:r>
        <w:t>p</w:t>
      </w:r>
      <w:r w:rsidRPr="008751DC">
        <w:t>roduct</w:t>
      </w:r>
      <w:bookmarkEnd w:id="28"/>
      <w:bookmarkEnd w:id="29"/>
      <w:bookmarkEnd w:id="30"/>
    </w:p>
    <w:p w:rsidR="00432DC0" w:rsidRPr="00432DC0" w:rsidRDefault="00432DC0" w:rsidP="00822D83">
      <w:r w:rsidRPr="00432DC0">
        <w:t>The tablets have been formulated so as to obtain an easily water dispersible form with rapid in vitro dissolution profile. Because the dose shall be adapted to individual requirements scored tablets have been chosen as they provide dose regimen flexibility through the breaking of the tablets into halves or quarters.</w:t>
      </w:r>
    </w:p>
    <w:p w:rsidR="00432DC0" w:rsidRPr="00432DC0" w:rsidRDefault="00432DC0" w:rsidP="00822D83">
      <w:r w:rsidRPr="00432DC0">
        <w:t>The method of manufacture is a conventional high shear wet granulation and oven drying process, followed by compression. The choice of the excipients, their function and quantity has been sufficiently justified. Process parameters for mixing, drying and granule sizing are given and in process controls are stated. Validation was perfor</w:t>
      </w:r>
      <w:r w:rsidR="003821E3">
        <w:t>med on four industrial batches.</w:t>
      </w:r>
    </w:p>
    <w:p w:rsidR="00432DC0" w:rsidRPr="00432DC0" w:rsidRDefault="00400430" w:rsidP="00822D83">
      <w:r>
        <w:t>S</w:t>
      </w:r>
      <w:r w:rsidR="00432DC0" w:rsidRPr="00432DC0">
        <w:t>tability studies were carried out with a series of 3 batches corresponding to the final formula.</w:t>
      </w:r>
      <w:r w:rsidR="00CC36BD">
        <w:t xml:space="preserve"> </w:t>
      </w:r>
      <w:r w:rsidR="00432DC0" w:rsidRPr="00432DC0">
        <w:t xml:space="preserve">All stability studies were conducted in compliance with </w:t>
      </w:r>
      <w:r w:rsidR="0027483E">
        <w:t>t</w:t>
      </w:r>
      <w:r w:rsidR="0027557F" w:rsidRPr="0027557F">
        <w:t>he International Conference on Harmonisation of Technical Requirements for Registration of Pharmaceuticals for Human Use (</w:t>
      </w:r>
      <w:r w:rsidR="00432DC0" w:rsidRPr="0027557F">
        <w:t>ICH</w:t>
      </w:r>
      <w:r w:rsidR="0027557F" w:rsidRPr="0027557F">
        <w:t>)</w:t>
      </w:r>
      <w:r w:rsidR="00432DC0" w:rsidRPr="0027557F">
        <w:t xml:space="preserve"> requirements</w:t>
      </w:r>
      <w:r w:rsidR="00432DC0" w:rsidRPr="00432DC0">
        <w:t>. The batches have been tested for all parameters included in the specifications with the addition of tablets hardness (no limit stated), friability (&lt;</w:t>
      </w:r>
      <w:r w:rsidR="00122F35">
        <w:t xml:space="preserve"> </w:t>
      </w:r>
      <w:r w:rsidR="00432DC0" w:rsidRPr="00432DC0">
        <w:t>1.0%) and w</w:t>
      </w:r>
      <w:r w:rsidR="00E1362D">
        <w:t xml:space="preserve">ater content (no limit stated). </w:t>
      </w:r>
      <w:r w:rsidR="00432DC0" w:rsidRPr="00432DC0">
        <w:t xml:space="preserve">During these studies, </w:t>
      </w:r>
      <w:r w:rsidR="00432DC0" w:rsidRPr="00432DC0">
        <w:lastRenderedPageBreak/>
        <w:t xml:space="preserve">whatever the storage conditions, all parameters remained within specifications with the exception of impurities content which is </w:t>
      </w:r>
      <w:r w:rsidR="00E1362D">
        <w:t xml:space="preserve">time and temperature dependant. </w:t>
      </w:r>
      <w:r>
        <w:t>T</w:t>
      </w:r>
      <w:r w:rsidR="00432DC0" w:rsidRPr="00432DC0">
        <w:t xml:space="preserve">he proposed shelf life for the unopened commercially packaged product is 30 months </w:t>
      </w:r>
      <w:r w:rsidR="00122F35">
        <w:t>‘</w:t>
      </w:r>
      <w:r w:rsidR="00432DC0" w:rsidRPr="00432DC0">
        <w:t>Store at 2-8°C. (Refrigerate. Do not freeze). Protect from light.</w:t>
      </w:r>
      <w:r w:rsidR="00122F35">
        <w:t>’</w:t>
      </w:r>
    </w:p>
    <w:p w:rsidR="00432DC0" w:rsidRPr="00432DC0" w:rsidRDefault="00432DC0" w:rsidP="00822D83">
      <w:r w:rsidRPr="00432DC0">
        <w:t>The results from a complementary stability study also support the recommended shelf life of the product after first opening Store below 30°C. Do not refrigerate. Keep the container tightly closed in order to protect from moisture. Discard one month after first opening</w:t>
      </w:r>
      <w:r w:rsidR="00400430">
        <w:t>.</w:t>
      </w:r>
    </w:p>
    <w:p w:rsidR="008E7846" w:rsidRDefault="008E7846" w:rsidP="00822D83">
      <w:pPr>
        <w:pStyle w:val="Heading3"/>
      </w:pPr>
      <w:bookmarkStart w:id="31" w:name="_Toc314842491"/>
      <w:bookmarkStart w:id="32" w:name="_Toc433190161"/>
      <w:r w:rsidRPr="00822D83">
        <w:t>Biopharmaceutics</w:t>
      </w:r>
      <w:bookmarkEnd w:id="31"/>
      <w:bookmarkEnd w:id="32"/>
    </w:p>
    <w:p w:rsidR="00432DC0" w:rsidRPr="00432DC0" w:rsidRDefault="00432DC0" w:rsidP="00822D83">
      <w:r w:rsidRPr="00432DC0">
        <w:t>The results of a comparative pharmacokinetic study between the dispersible tablet and the reference oral powder forms ensure that no bioavailability problems are expected due to substance properties or biopharmaceutics factors under present manufacture conditions. No significant differences were found between the developed formulation and the reference powder. However this initial formulation has been modified</w:t>
      </w:r>
      <w:r w:rsidR="00E1362D">
        <w:t xml:space="preserve"> to respond to a safety concern</w:t>
      </w:r>
      <w:r w:rsidRPr="00432DC0">
        <w:t>. Dissolution studies support this change.</w:t>
      </w:r>
    </w:p>
    <w:p w:rsidR="008E7846" w:rsidRPr="008751DC" w:rsidRDefault="008E7846" w:rsidP="00822D83">
      <w:pPr>
        <w:pStyle w:val="Heading3"/>
      </w:pPr>
      <w:bookmarkStart w:id="33" w:name="_Toc247691509"/>
      <w:bookmarkStart w:id="34" w:name="_Toc314842493"/>
      <w:bookmarkStart w:id="35" w:name="_Toc433190162"/>
      <w:r>
        <w:t>Quality s</w:t>
      </w:r>
      <w:r w:rsidRPr="008751DC">
        <w:t>ummary</w:t>
      </w:r>
      <w:r>
        <w:t xml:space="preserve"> and </w:t>
      </w:r>
      <w:r w:rsidRPr="00822D83">
        <w:t>conclusions</w:t>
      </w:r>
      <w:bookmarkEnd w:id="33"/>
      <w:bookmarkEnd w:id="34"/>
      <w:bookmarkEnd w:id="35"/>
    </w:p>
    <w:p w:rsidR="008E7846" w:rsidRPr="00DB0CFB" w:rsidRDefault="00432DC0" w:rsidP="00822D83">
      <w:r w:rsidRPr="00DB0CFB">
        <w:t>Registration is recommended with respect to chemistry, quality control and bioavailability aspects.</w:t>
      </w:r>
    </w:p>
    <w:p w:rsidR="008E7846" w:rsidRDefault="008E7846" w:rsidP="00822D83">
      <w:pPr>
        <w:pStyle w:val="Heading2"/>
      </w:pPr>
      <w:bookmarkStart w:id="36" w:name="_Toc196046439"/>
      <w:bookmarkStart w:id="37" w:name="_Toc247691510"/>
      <w:bookmarkStart w:id="38" w:name="_Toc314842494"/>
      <w:bookmarkStart w:id="39" w:name="_Toc433190163"/>
      <w:r>
        <w:t xml:space="preserve">III. </w:t>
      </w:r>
      <w:r w:rsidRPr="00822D83">
        <w:t>Nonclinical</w:t>
      </w:r>
      <w:bookmarkEnd w:id="36"/>
      <w:r>
        <w:t xml:space="preserve"> findings</w:t>
      </w:r>
      <w:bookmarkEnd w:id="37"/>
      <w:bookmarkEnd w:id="38"/>
      <w:bookmarkEnd w:id="39"/>
    </w:p>
    <w:p w:rsidR="008E7846" w:rsidRDefault="008E7846" w:rsidP="00822D83">
      <w:pPr>
        <w:pStyle w:val="Heading3"/>
      </w:pPr>
      <w:bookmarkStart w:id="40" w:name="_Toc247691511"/>
      <w:bookmarkStart w:id="41" w:name="_Toc314842495"/>
      <w:bookmarkStart w:id="42" w:name="_Toc433190164"/>
      <w:r w:rsidRPr="00822D83">
        <w:t>Introduction</w:t>
      </w:r>
      <w:bookmarkEnd w:id="40"/>
      <w:bookmarkEnd w:id="41"/>
      <w:bookmarkEnd w:id="42"/>
    </w:p>
    <w:p w:rsidR="004334C7" w:rsidRPr="004334C7" w:rsidRDefault="000B7AC1" w:rsidP="00822D83">
      <w:r w:rsidRPr="000B7AC1">
        <w:t>The breadth of studies in the submitted dossier was generally smalle</w:t>
      </w:r>
      <w:r w:rsidR="00400430">
        <w:t>r than would be expected for a new chemical e</w:t>
      </w:r>
      <w:r w:rsidR="00E1362D">
        <w:t xml:space="preserve">ntity submission as </w:t>
      </w:r>
      <w:r w:rsidRPr="000B7AC1">
        <w:t xml:space="preserve">minimal pharmacology studies were submitted to support efficacy, no secondary pharmacology studies, a basic set of </w:t>
      </w:r>
      <w:r w:rsidR="00E1362D">
        <w:t xml:space="preserve">pharmacokinetic studies, repeat </w:t>
      </w:r>
      <w:r w:rsidRPr="000B7AC1">
        <w:t xml:space="preserve">dose studies were conducted with only a single species, and no carcinogenicity studies were submitted. However, the quality of the studies that were submitted was generally high, with all relevant studies conducted under </w:t>
      </w:r>
      <w:r w:rsidR="00286D80">
        <w:t>g</w:t>
      </w:r>
      <w:r w:rsidR="00286D80" w:rsidRPr="00286D80">
        <w:t>ood laboratory practice (</w:t>
      </w:r>
      <w:r w:rsidRPr="00286D80">
        <w:t>GLP</w:t>
      </w:r>
      <w:r w:rsidR="00286D80" w:rsidRPr="00286D80">
        <w:t>)</w:t>
      </w:r>
      <w:r w:rsidRPr="00286D80">
        <w:t xml:space="preserve"> conditions. As carglumic </w:t>
      </w:r>
      <w:r w:rsidRPr="000B7AC1">
        <w:t>acid has been registered for ten years in Europe with clinical data available to contribute to knowledge of</w:t>
      </w:r>
      <w:r w:rsidR="00400430">
        <w:t xml:space="preserve"> the safety profile of the drug</w:t>
      </w:r>
      <w:r w:rsidRPr="000B7AC1">
        <w:t xml:space="preserve"> a</w:t>
      </w:r>
      <w:r w:rsidR="00400430">
        <w:t xml:space="preserve">nd taking into account the life </w:t>
      </w:r>
      <w:r w:rsidRPr="000B7AC1">
        <w:t xml:space="preserve">threatening nature of the disease, the minimal </w:t>
      </w:r>
      <w:r w:rsidR="001A4C40">
        <w:t xml:space="preserve">nonclinical </w:t>
      </w:r>
      <w:r w:rsidRPr="000B7AC1">
        <w:t>package submitted is considered generally adequate.</w:t>
      </w:r>
    </w:p>
    <w:p w:rsidR="008E7846" w:rsidRDefault="008E7846" w:rsidP="00822D83">
      <w:pPr>
        <w:pStyle w:val="Heading3"/>
      </w:pPr>
      <w:bookmarkStart w:id="43" w:name="_Toc247691512"/>
      <w:bookmarkStart w:id="44" w:name="_Toc314842496"/>
      <w:bookmarkStart w:id="45" w:name="_Toc433190165"/>
      <w:r w:rsidRPr="00822D83">
        <w:t>Pharmacology</w:t>
      </w:r>
      <w:bookmarkEnd w:id="43"/>
      <w:bookmarkEnd w:id="44"/>
      <w:bookmarkEnd w:id="45"/>
    </w:p>
    <w:p w:rsidR="000B7AC1" w:rsidRPr="000B7AC1" w:rsidRDefault="000B7AC1" w:rsidP="00822D83">
      <w:pPr>
        <w:pStyle w:val="Heading4"/>
      </w:pPr>
      <w:r w:rsidRPr="000B7AC1">
        <w:t xml:space="preserve">Primary </w:t>
      </w:r>
      <w:r w:rsidRPr="00822D83">
        <w:t>pharmacology</w:t>
      </w:r>
    </w:p>
    <w:p w:rsidR="000B7AC1" w:rsidRPr="000B7AC1" w:rsidRDefault="000B7AC1" w:rsidP="00822D83">
      <w:pPr>
        <w:pStyle w:val="Heading5"/>
      </w:pPr>
      <w:r w:rsidRPr="000B7AC1">
        <w:t xml:space="preserve">Rationale and </w:t>
      </w:r>
      <w:r w:rsidRPr="00822D83">
        <w:t>mechanism</w:t>
      </w:r>
      <w:r w:rsidRPr="000B7AC1">
        <w:t xml:space="preserve"> of action</w:t>
      </w:r>
    </w:p>
    <w:p w:rsidR="000B7AC1" w:rsidRPr="000B7AC1" w:rsidRDefault="000B7AC1" w:rsidP="00822D83">
      <w:r w:rsidRPr="000B7AC1">
        <w:t>N-Acetylglutamate is a cofactor necessary for the function of the urea cycle, the main pathway of ammonia detoxification. Patients with a deficiency in N-acetylglutamate synthase (NAGS) are unable to synthes</w:t>
      </w:r>
      <w:r w:rsidR="00400430">
        <w:t xml:space="preserve">ise NAG, which can lead to life </w:t>
      </w:r>
      <w:r w:rsidRPr="000B7AC1">
        <w:t>threatening hyperammonaemia. Carglumic acid is intended to act as an analogue of NAG to help reduce and prevent hyperammonaemia in patients deficient in NAGS.</w:t>
      </w:r>
    </w:p>
    <w:p w:rsidR="000B7AC1" w:rsidRPr="000B7AC1" w:rsidRDefault="000B7AC1" w:rsidP="00822D83">
      <w:r w:rsidRPr="000B7AC1">
        <w:t>Organic acidaemia is characterised by the excretion of non</w:t>
      </w:r>
      <w:r w:rsidR="00400430">
        <w:t xml:space="preserve"> </w:t>
      </w:r>
      <w:r w:rsidRPr="000B7AC1">
        <w:t>amino organic acids in the urine, which generally occurs as a result of a dysfunction of specific steps in amino acid catabolism. Patients with propionic acidaemia</w:t>
      </w:r>
      <w:r w:rsidR="0027557F">
        <w:t xml:space="preserve"> (</w:t>
      </w:r>
      <w:r w:rsidR="0027557F" w:rsidRPr="0027557F">
        <w:t>PA</w:t>
      </w:r>
      <w:r w:rsidR="0027557F">
        <w:t>)</w:t>
      </w:r>
      <w:r w:rsidRPr="000B7AC1">
        <w:t xml:space="preserve"> or methylmalonic acidaemia</w:t>
      </w:r>
      <w:r w:rsidR="0027557F">
        <w:t xml:space="preserve"> (MMA)</w:t>
      </w:r>
      <w:r w:rsidRPr="000B7AC1">
        <w:t xml:space="preserve"> </w:t>
      </w:r>
      <w:r w:rsidRPr="000B7AC1">
        <w:lastRenderedPageBreak/>
        <w:t>have recurrent episodes of hyperammonaemia. Carglumic acid is intended to reduce the hyperammonaemia in these patients by increasing ureagenesis.</w:t>
      </w:r>
    </w:p>
    <w:p w:rsidR="000B7AC1" w:rsidRPr="000B7AC1" w:rsidRDefault="000B7AC1" w:rsidP="00822D83">
      <w:pPr>
        <w:pStyle w:val="Heading5"/>
      </w:pPr>
      <w:r w:rsidRPr="00822D83">
        <w:t>Pharmacological</w:t>
      </w:r>
      <w:r w:rsidRPr="000B7AC1">
        <w:t xml:space="preserve"> action</w:t>
      </w:r>
    </w:p>
    <w:p w:rsidR="000B7AC1" w:rsidRPr="000B7AC1" w:rsidRDefault="000B7AC1" w:rsidP="00822D83">
      <w:r w:rsidRPr="000B7AC1">
        <w:t>Carb</w:t>
      </w:r>
      <w:r w:rsidR="00E14D65">
        <w:t>amoyl phosphate synthase</w:t>
      </w:r>
      <w:r w:rsidRPr="000B7AC1">
        <w:t xml:space="preserve"> is the first enzyme of the urea cycle and it requires NAG for full functional activity. In vitro studies demonstrated that carglumic acid could effectively act as a cofactor for CPS</w:t>
      </w:r>
      <w:r w:rsidR="003B38B5">
        <w:t>1</w:t>
      </w:r>
      <w:r w:rsidRPr="000B7AC1">
        <w:t xml:space="preserve">, but its potency was 14 times lower than the typical endogenous cofactor, NAG. </w:t>
      </w:r>
      <w:r w:rsidR="00400430" w:rsidRPr="000B7AC1">
        <w:t>Nonetheless</w:t>
      </w:r>
      <w:r w:rsidRPr="000B7AC1">
        <w:t>, the data support the notion that carglumic acid could substitute for NAG in patients with no or low levels of this compound.</w:t>
      </w:r>
    </w:p>
    <w:p w:rsidR="000B7AC1" w:rsidRPr="000B7AC1" w:rsidRDefault="000B7AC1" w:rsidP="00822D83">
      <w:r w:rsidRPr="000B7AC1">
        <w:t>The efficacy of carglumic acid was assessed in a mouse model of NAGS deficiency. In the absence of appropriate supplementation, these mice displayed severe signs of hyperammonaemia (lethargy, seizures, lying on side and decerebrate posture) with elevated plasma ammonia levels confirmed. Deaths occurred within 24 h</w:t>
      </w:r>
      <w:r w:rsidR="00E1362D">
        <w:t>ours</w:t>
      </w:r>
      <w:r w:rsidRPr="000B7AC1">
        <w:t>. The animal model is considered an appropriate model for the NAGS deficiency indication.</w:t>
      </w:r>
      <w:r w:rsidR="001A4C40">
        <w:t xml:space="preserve"> </w:t>
      </w:r>
      <w:r w:rsidRPr="000B7AC1">
        <w:t>Supplementation with carglumic acid (15</w:t>
      </w:r>
      <w:r w:rsidR="00400430">
        <w:t xml:space="preserve">0 mg/kg/day </w:t>
      </w:r>
      <w:r w:rsidR="003821E3">
        <w:t>p</w:t>
      </w:r>
      <w:r w:rsidR="009F45C7" w:rsidRPr="009F45C7">
        <w:t xml:space="preserve">er oral </w:t>
      </w:r>
      <w:r w:rsidR="009F45C7">
        <w:t>(</w:t>
      </w:r>
      <w:r w:rsidR="00400430">
        <w:t>PO</w:t>
      </w:r>
      <w:r w:rsidR="009F45C7">
        <w:t>)</w:t>
      </w:r>
      <w:r w:rsidR="00400430">
        <w:t>; 450 mg/m</w:t>
      </w:r>
      <w:r w:rsidR="00400430" w:rsidRPr="001A4C40">
        <w:rPr>
          <w:vertAlign w:val="superscript"/>
        </w:rPr>
        <w:t>2</w:t>
      </w:r>
      <w:r w:rsidR="00400430">
        <w:t xml:space="preserve">/day, approximately </w:t>
      </w:r>
      <w:r w:rsidRPr="000B7AC1">
        <w:t>9% of the maximum clinical dose</w:t>
      </w:r>
      <w:r w:rsidRPr="00E1362D">
        <w:rPr>
          <w:vertAlign w:val="superscript"/>
        </w:rPr>
        <w:footnoteReference w:id="1"/>
      </w:r>
      <w:r w:rsidRPr="000B7AC1">
        <w:t>) improved survival (by 50%). When provided with citrulline, the survival rate improved considerably (89%) and the plasma levels of ammonia had normalised. A similar improvement in the survival rate was also observed in neonates (with treatment beginning a few hours following birth).</w:t>
      </w:r>
    </w:p>
    <w:p w:rsidR="000B7AC1" w:rsidRPr="000B7AC1" w:rsidRDefault="000B7AC1" w:rsidP="00822D83">
      <w:r w:rsidRPr="000B7AC1">
        <w:t xml:space="preserve">Overall, the pharmacology studies support the proposed use of carglumic acid for the treatment of hyperammonaemia in patients with a NAGS deficiency. The enhanced improvement in survival with the combination of carglumic acid and citrulline in the mouse model of the disease suggests carglumic acid alone </w:t>
      </w:r>
      <w:r w:rsidR="001A4C40">
        <w:t xml:space="preserve">is not adequate to prevent life </w:t>
      </w:r>
      <w:r w:rsidRPr="000B7AC1">
        <w:t>threatening hyperammonaemia and additional ammonia lowering agents should be provided with carglumic acid to patients.</w:t>
      </w:r>
    </w:p>
    <w:p w:rsidR="000B7AC1" w:rsidRPr="000B7AC1" w:rsidRDefault="000B7AC1" w:rsidP="00822D83">
      <w:pPr>
        <w:pStyle w:val="Heading5"/>
      </w:pPr>
      <w:r w:rsidRPr="000B7AC1">
        <w:t xml:space="preserve">Secondary pharmacodynamics and </w:t>
      </w:r>
      <w:r w:rsidRPr="00822D83">
        <w:t>safety</w:t>
      </w:r>
      <w:r w:rsidRPr="000B7AC1">
        <w:t xml:space="preserve"> pharmacology</w:t>
      </w:r>
    </w:p>
    <w:p w:rsidR="000B7AC1" w:rsidRPr="000B7AC1" w:rsidRDefault="000B7AC1" w:rsidP="00822D83">
      <w:r w:rsidRPr="000B7AC1">
        <w:t>No secondary pharmacology studies were submitted. This is considered accep</w:t>
      </w:r>
      <w:r w:rsidR="00BF120B">
        <w:t xml:space="preserve">table, given no off </w:t>
      </w:r>
      <w:r w:rsidRPr="000B7AC1">
        <w:t>target activities were seen in the toxicity studies.</w:t>
      </w:r>
    </w:p>
    <w:p w:rsidR="004334C7" w:rsidRPr="004334C7" w:rsidRDefault="000B7AC1" w:rsidP="00822D83">
      <w:r w:rsidRPr="000B7AC1">
        <w:t>Safety pharmacology studies assessed the effect on the cardiovascular, respiratory and central nervous systems. All studies were adequately conducted under GLP conditions. Effects on the renal and gastrointestinal systems were examined in the toxicity studies. In vitro, there was no effect on action potential duration in canine Purkinje fibres at ≤</w:t>
      </w:r>
      <w:r w:rsidR="00FB79E9">
        <w:t xml:space="preserve"> </w:t>
      </w:r>
      <w:r w:rsidRPr="000B7AC1">
        <w:t xml:space="preserve">100 µM (19 </w:t>
      </w:r>
      <w:r w:rsidR="00BF120B">
        <w:t>µ</w:t>
      </w:r>
      <w:r w:rsidRPr="000B7AC1">
        <w:t>g/mL; 7 times the clinical</w:t>
      </w:r>
      <w:r w:rsidR="00E14D65">
        <w:t xml:space="preserve"> </w:t>
      </w:r>
      <w:r w:rsidR="00E14D65" w:rsidRPr="00E14D65">
        <w:t>maximum plasma concentration</w:t>
      </w:r>
      <w:r w:rsidR="00E14D65">
        <w:t xml:space="preserve"> (</w:t>
      </w:r>
      <w:r w:rsidR="00FB79E9" w:rsidRPr="000B7AC1">
        <w:t>C</w:t>
      </w:r>
      <w:r w:rsidR="00FB79E9" w:rsidRPr="00FB79E9">
        <w:rPr>
          <w:vertAlign w:val="subscript"/>
        </w:rPr>
        <w:t>max</w:t>
      </w:r>
      <w:r w:rsidRPr="000B7AC1">
        <w:t>)</w:t>
      </w:r>
      <w:r w:rsidR="00E14D65">
        <w:t>)</w:t>
      </w:r>
      <w:r w:rsidRPr="000B7AC1">
        <w:t>. No abnormalities were detected in</w:t>
      </w:r>
      <w:r w:rsidR="008B2B56">
        <w:t xml:space="preserve"> </w:t>
      </w:r>
      <w:r w:rsidR="008B2B56" w:rsidRPr="008B2B56">
        <w:t>electrocardiogram</w:t>
      </w:r>
      <w:r w:rsidRPr="000B7AC1">
        <w:t xml:space="preserve"> </w:t>
      </w:r>
      <w:r w:rsidR="008B2B56">
        <w:t>(</w:t>
      </w:r>
      <w:r w:rsidRPr="000B7AC1">
        <w:t>ECG</w:t>
      </w:r>
      <w:r w:rsidR="008B2B56">
        <w:t>)</w:t>
      </w:r>
      <w:r w:rsidRPr="000B7AC1">
        <w:t xml:space="preserve"> recordings of dogs that received </w:t>
      </w:r>
      <w:r w:rsidR="00BF120B">
        <w:t xml:space="preserve">≤ </w:t>
      </w:r>
      <w:r w:rsidRPr="000B7AC1">
        <w:t xml:space="preserve">1000 mg/kg PO carglumic acid (exposure ratio based on </w:t>
      </w:r>
      <w:r w:rsidR="00FB79E9" w:rsidRPr="000B7AC1">
        <w:t>C</w:t>
      </w:r>
      <w:r w:rsidR="00FB79E9" w:rsidRPr="00FB79E9">
        <w:rPr>
          <w:vertAlign w:val="subscript"/>
        </w:rPr>
        <w:t>max</w:t>
      </w:r>
      <w:r w:rsidRPr="000B7AC1">
        <w:t xml:space="preserve"> </w:t>
      </w:r>
      <w:r w:rsidR="00FB79E9">
        <w:t>(</w:t>
      </w:r>
      <w:r w:rsidRPr="000B7AC1">
        <w:t>ER</w:t>
      </w:r>
      <w:r w:rsidR="00FB79E9">
        <w:t> </w:t>
      </w:r>
      <w:r w:rsidR="00FB79E9" w:rsidRPr="000B7AC1">
        <w:t>C</w:t>
      </w:r>
      <w:r w:rsidR="00FB79E9" w:rsidRPr="00FB79E9">
        <w:rPr>
          <w:vertAlign w:val="subscript"/>
        </w:rPr>
        <w:t>max</w:t>
      </w:r>
      <w:r w:rsidR="00FB79E9">
        <w:t>)</w:t>
      </w:r>
      <w:r w:rsidRPr="000B7AC1">
        <w:t xml:space="preserve"> 53). No adverse effects were seen on </w:t>
      </w:r>
      <w:r w:rsidR="0027483E">
        <w:t>central nervous system (</w:t>
      </w:r>
      <w:r w:rsidRPr="000B7AC1">
        <w:t>CNS</w:t>
      </w:r>
      <w:r w:rsidR="0027483E">
        <w:t>)</w:t>
      </w:r>
      <w:r w:rsidRPr="000B7AC1">
        <w:t xml:space="preserve"> or respiratory function in rats that received ≤</w:t>
      </w:r>
      <w:r w:rsidR="00BF120B">
        <w:t xml:space="preserve"> </w:t>
      </w:r>
      <w:r w:rsidRPr="000B7AC1">
        <w:t xml:space="preserve">1000 mg/kg PO carglumic acid (estimated </w:t>
      </w:r>
      <w:r w:rsidR="00FB79E9" w:rsidRPr="000B7AC1">
        <w:t>C</w:t>
      </w:r>
      <w:r w:rsidR="00FB79E9" w:rsidRPr="00FB79E9">
        <w:rPr>
          <w:vertAlign w:val="subscript"/>
        </w:rPr>
        <w:t>max</w:t>
      </w:r>
      <w:r w:rsidRPr="000B7AC1">
        <w:t xml:space="preserve"> 90.7 µg/mL </w:t>
      </w:r>
      <w:r w:rsidR="00FB79E9">
        <w:t>(</w:t>
      </w:r>
      <w:r w:rsidRPr="000B7AC1">
        <w:t>based on Study 20330</w:t>
      </w:r>
      <w:r w:rsidR="00FB79E9">
        <w:t>)</w:t>
      </w:r>
      <w:r w:rsidRPr="000B7AC1">
        <w:t xml:space="preserve">, 33 times the clinical </w:t>
      </w:r>
      <w:r w:rsidR="00FB79E9" w:rsidRPr="000B7AC1">
        <w:t>C</w:t>
      </w:r>
      <w:r w:rsidR="00FB79E9" w:rsidRPr="00FB79E9">
        <w:rPr>
          <w:vertAlign w:val="subscript"/>
        </w:rPr>
        <w:t>max</w:t>
      </w:r>
      <w:r w:rsidRPr="000B7AC1">
        <w:t>) or on the renal and gastrointestinal system in rats that received repeated oral doses of carglumic acid (≤</w:t>
      </w:r>
      <w:r w:rsidR="00BF120B">
        <w:t xml:space="preserve"> </w:t>
      </w:r>
      <w:r w:rsidRPr="000B7AC1">
        <w:t xml:space="preserve">2000 mg/kg). Overall, no adverse effects on the cardiovascular, respiratory, renal, gastrointestinal or </w:t>
      </w:r>
      <w:r w:rsidR="0027483E">
        <w:t>CNS</w:t>
      </w:r>
      <w:r w:rsidRPr="000B7AC1">
        <w:t xml:space="preserve"> are predicted during clinical use.</w:t>
      </w:r>
    </w:p>
    <w:p w:rsidR="008E7846" w:rsidRDefault="008E7846" w:rsidP="00822D83">
      <w:pPr>
        <w:pStyle w:val="Heading3"/>
      </w:pPr>
      <w:bookmarkStart w:id="46" w:name="_Toc247691513"/>
      <w:bookmarkStart w:id="47" w:name="_Toc314842497"/>
      <w:bookmarkStart w:id="48" w:name="_Toc433190166"/>
      <w:r w:rsidRPr="00822D83">
        <w:t>Pharmacokinetics</w:t>
      </w:r>
      <w:bookmarkEnd w:id="46"/>
      <w:bookmarkEnd w:id="47"/>
      <w:bookmarkEnd w:id="48"/>
    </w:p>
    <w:p w:rsidR="000B7AC1" w:rsidRPr="000B7AC1" w:rsidRDefault="000B7AC1" w:rsidP="00822D83">
      <w:bookmarkStart w:id="49" w:name="_Toc247691514"/>
      <w:bookmarkStart w:id="50" w:name="_Toc314842498"/>
      <w:r w:rsidRPr="000B7AC1">
        <w:t xml:space="preserve">The rate of oral absorption of carglumic acid was moderate in all species (rats, rabbits, dogs and humans) </w:t>
      </w:r>
      <w:r w:rsidR="00AF4B17">
        <w:t xml:space="preserve">with </w:t>
      </w:r>
      <w:r w:rsidR="00AF4B17" w:rsidRPr="00AF4B17">
        <w:t xml:space="preserve">time to reach maximum plasma concentration </w:t>
      </w:r>
      <w:r w:rsidR="00AF4B17">
        <w:t>(t</w:t>
      </w:r>
      <w:r w:rsidR="00BF120B" w:rsidRPr="00FB43DD">
        <w:rPr>
          <w:vertAlign w:val="subscript"/>
        </w:rPr>
        <w:t>max</w:t>
      </w:r>
      <w:r w:rsidR="00AF4B17">
        <w:t xml:space="preserve">) </w:t>
      </w:r>
      <w:r w:rsidR="00BF120B">
        <w:t xml:space="preserve">values ranging from 2 to </w:t>
      </w:r>
      <w:r w:rsidRPr="000B7AC1">
        <w:t>8 h</w:t>
      </w:r>
      <w:r w:rsidR="00BF120B">
        <w:t>ours</w:t>
      </w:r>
      <w:r w:rsidRPr="000B7AC1">
        <w:t>. Oral bioavailability was moderate to low in dogs (32</w:t>
      </w:r>
      <w:r w:rsidR="00BF120B">
        <w:t xml:space="preserve"> to </w:t>
      </w:r>
      <w:r w:rsidRPr="000B7AC1">
        <w:t>33%)</w:t>
      </w:r>
      <w:r w:rsidR="00FB43DD">
        <w:t xml:space="preserve">. Exposures were less than dose </w:t>
      </w:r>
      <w:r w:rsidRPr="000B7AC1">
        <w:t>proportional in rats and rabbits (not assessed in other species). There were no sex differences in any pharmacokinetic parameters in rats and dogs. The terminal elimination half-life was similar in dogs and human</w:t>
      </w:r>
      <w:r w:rsidR="00BF120B">
        <w:t xml:space="preserve"> subjects (21 to </w:t>
      </w:r>
      <w:r w:rsidRPr="000B7AC1">
        <w:t xml:space="preserve">30 </w:t>
      </w:r>
      <w:r w:rsidRPr="000B7AC1">
        <w:lastRenderedPageBreak/>
        <w:t>h</w:t>
      </w:r>
      <w:r w:rsidR="00BF120B">
        <w:t>ours</w:t>
      </w:r>
      <w:r w:rsidRPr="000B7AC1">
        <w:t>). There was no evide</w:t>
      </w:r>
      <w:r w:rsidR="00FB43DD">
        <w:t xml:space="preserve">nce of accumulation with repeat </w:t>
      </w:r>
      <w:r w:rsidRPr="000B7AC1">
        <w:t xml:space="preserve">dosing to rats and rabbits. </w:t>
      </w:r>
      <w:r w:rsidR="00BF120B">
        <w:t xml:space="preserve">However, lower exposures (by 57 to </w:t>
      </w:r>
      <w:r w:rsidRPr="000B7AC1">
        <w:t>80%) were seen in (pregnant) rab</w:t>
      </w:r>
      <w:r w:rsidR="00BF120B">
        <w:t xml:space="preserve">bits (but not rats) with repeat </w:t>
      </w:r>
      <w:r w:rsidRPr="000B7AC1">
        <w:t>dosing, suggesting a difference in absorption or metabolism in this species.</w:t>
      </w:r>
    </w:p>
    <w:p w:rsidR="000B7AC1" w:rsidRPr="000B7AC1" w:rsidRDefault="000B7AC1" w:rsidP="00822D83">
      <w:r w:rsidRPr="000B7AC1">
        <w:t xml:space="preserve">No plasma protein binding data were provided. There was no particular partitioning of carglumic acid into blood </w:t>
      </w:r>
      <w:r w:rsidR="00FB43DD" w:rsidRPr="000B7AC1">
        <w:t>cells;</w:t>
      </w:r>
      <w:r w:rsidRPr="000B7AC1">
        <w:t xml:space="preserve"> however, there was an indication of partitioning of metabolites into blood cells. The apparent volume of distribution was larger than total body water in rats and human subjects, suggesting extensive extravascular distribution. Following oral dosing of </w:t>
      </w:r>
      <w:r w:rsidR="00A13DF6" w:rsidRPr="00A13DF6">
        <w:t>radioactive carbon labelled</w:t>
      </w:r>
      <w:r w:rsidR="00A13DF6" w:rsidRPr="00A13DF6">
        <w:rPr>
          <w:vertAlign w:val="superscript"/>
        </w:rPr>
        <w:t xml:space="preserve"> </w:t>
      </w:r>
      <w:r w:rsidR="00A13DF6" w:rsidRPr="00A13DF6">
        <w:t>(</w:t>
      </w:r>
      <w:r w:rsidR="00A13DF6" w:rsidRPr="00A13DF6">
        <w:rPr>
          <w:vertAlign w:val="superscript"/>
        </w:rPr>
        <w:t>14</w:t>
      </w:r>
      <w:r w:rsidR="00A13DF6" w:rsidRPr="00A13DF6">
        <w:t>C)-</w:t>
      </w:r>
      <w:r w:rsidRPr="000B7AC1">
        <w:t>carglumic acid to rats, high levels of radioactivity were predominantly observed in organs involved in absorption and excretion. There was no specific ac</w:t>
      </w:r>
      <w:r w:rsidR="00BF120B">
        <w:t xml:space="preserve">cumulation or retention of drug </w:t>
      </w:r>
      <w:r w:rsidRPr="000B7AC1">
        <w:t>related material in any tissue. There was l</w:t>
      </w:r>
      <w:r w:rsidR="00FB43DD">
        <w:t xml:space="preserve">imited penetration of the blood </w:t>
      </w:r>
      <w:r w:rsidRPr="000B7AC1">
        <w:t>b</w:t>
      </w:r>
      <w:r w:rsidR="00BF120B">
        <w:t xml:space="preserve">rain barrier (concentrations 10 to </w:t>
      </w:r>
      <w:r w:rsidRPr="000B7AC1">
        <w:t>20% those in blood).</w:t>
      </w:r>
    </w:p>
    <w:p w:rsidR="000B7AC1" w:rsidRPr="000B7AC1" w:rsidRDefault="000B7AC1" w:rsidP="00822D83">
      <w:r w:rsidRPr="000B7AC1">
        <w:t>In vitro, minimal metabolism (</w:t>
      </w:r>
      <w:r w:rsidR="00FB43DD">
        <w:t>≤</w:t>
      </w:r>
      <w:r w:rsidR="00BF120B">
        <w:t xml:space="preserve"> </w:t>
      </w:r>
      <w:r w:rsidRPr="000B7AC1">
        <w:t xml:space="preserve">8%) was detected in rat, dog, monkey and human hepatocytes. With the exception of one of three individuals, minimal metabolism was observed in human subjects (approximately 17%). Greater metabolism was seen in dogs (30% following </w:t>
      </w:r>
      <w:r w:rsidR="0027557F">
        <w:t>intravenous (</w:t>
      </w:r>
      <w:r w:rsidRPr="0027557F">
        <w:t>IV</w:t>
      </w:r>
      <w:r w:rsidR="0027557F" w:rsidRPr="0027557F">
        <w:t>)</w:t>
      </w:r>
      <w:r w:rsidRPr="000B7AC1">
        <w:t xml:space="preserve"> dosing and 60% following PO dosing). The higher level of metabolism following oral dosing (</w:t>
      </w:r>
      <w:r w:rsidR="00BF03CC">
        <w:t>compared with</w:t>
      </w:r>
      <w:r w:rsidRPr="000B7AC1">
        <w:t xml:space="preserve"> IV dosing) in</w:t>
      </w:r>
      <w:r w:rsidR="00FB43DD">
        <w:t xml:space="preserve"> dogs is suggestive of some pre </w:t>
      </w:r>
      <w:r w:rsidRPr="000B7AC1">
        <w:t xml:space="preserve">systemic metabolism, possibly occurring in the gastrointestinal tract. Metabolites observed in dogs were hydantoin-5-propionic acid, diaza-1,3-dione-2,4-carboxy-7-cycloheptane and glutamate. Expiration of </w:t>
      </w:r>
      <w:r w:rsidRPr="00A13DF6">
        <w:t>14</w:t>
      </w:r>
      <w:r w:rsidR="00A13DF6">
        <w:t xml:space="preserve"> carbon dioxide (</w:t>
      </w:r>
      <w:r w:rsidRPr="000B7AC1">
        <w:t>CO</w:t>
      </w:r>
      <w:r w:rsidRPr="00BF03CC">
        <w:rPr>
          <w:vertAlign w:val="subscript"/>
        </w:rPr>
        <w:t>2</w:t>
      </w:r>
      <w:r w:rsidR="00A13DF6">
        <w:t>)</w:t>
      </w:r>
      <w:r w:rsidRPr="000B7AC1">
        <w:t xml:space="preserve"> was detectable in rats, dogs and humans (9%, ≤</w:t>
      </w:r>
      <w:r w:rsidR="00BF03CC">
        <w:t xml:space="preserve"> </w:t>
      </w:r>
      <w:r w:rsidRPr="000B7AC1">
        <w:t>1.5% and &lt;</w:t>
      </w:r>
      <w:r w:rsidR="00BF03CC">
        <w:t xml:space="preserve"> </w:t>
      </w:r>
      <w:r w:rsidRPr="000B7AC1">
        <w:t xml:space="preserve">4%, respectively, of the dose) following </w:t>
      </w:r>
      <w:r w:rsidR="00FB43DD" w:rsidRPr="00FB43DD">
        <w:rPr>
          <w:vertAlign w:val="superscript"/>
        </w:rPr>
        <w:t>14</w:t>
      </w:r>
      <w:r w:rsidR="00FB43DD" w:rsidRPr="000B7AC1">
        <w:t>C-</w:t>
      </w:r>
      <w:r w:rsidRPr="000B7AC1">
        <w:t>carglumic acid. Overall, there were no meaningful metabolic differences across species.</w:t>
      </w:r>
    </w:p>
    <w:p w:rsidR="000B7AC1" w:rsidRPr="000B7AC1" w:rsidRDefault="00FB43DD" w:rsidP="00822D83">
      <w:r>
        <w:t xml:space="preserve">Excretion of drug </w:t>
      </w:r>
      <w:r w:rsidR="000B7AC1" w:rsidRPr="000B7AC1">
        <w:t>related material was predominantly via the urine (approximately 80%) in dogs following IV dosing. Higher faecal excretion was seen in rats and dogs following oral dosing (18</w:t>
      </w:r>
      <w:r w:rsidR="00BF03CC">
        <w:t xml:space="preserve"> to </w:t>
      </w:r>
      <w:r>
        <w:t xml:space="preserve">37%). Drug </w:t>
      </w:r>
      <w:r w:rsidR="000B7AC1" w:rsidRPr="000B7AC1">
        <w:t>related material was excreted predominantly in the faeces in most human subjects (72%). The higher excretion in faeces following oral dosing is likely due to poor absorption.</w:t>
      </w:r>
    </w:p>
    <w:p w:rsidR="000B7AC1" w:rsidRPr="000B7AC1" w:rsidRDefault="000B7AC1" w:rsidP="00822D83">
      <w:r w:rsidRPr="000B7AC1">
        <w:t>Overall, the pharmacokinetic profile of carglumic acid in rats and humans was qualitatively similar, thus supporting the use of the chosen animal species in toxicity studies.</w:t>
      </w:r>
    </w:p>
    <w:p w:rsidR="000B7AC1" w:rsidRPr="000B7AC1" w:rsidRDefault="000B7AC1" w:rsidP="00822D83">
      <w:pPr>
        <w:pStyle w:val="Heading4"/>
      </w:pPr>
      <w:bookmarkStart w:id="51" w:name="_Toc294861725"/>
      <w:r w:rsidRPr="000B7AC1">
        <w:t>Pharmacokinetic drug interactions</w:t>
      </w:r>
      <w:bookmarkEnd w:id="51"/>
    </w:p>
    <w:p w:rsidR="004334C7" w:rsidRDefault="000B7AC1" w:rsidP="00822D83">
      <w:r w:rsidRPr="000B7AC1">
        <w:t>As carglumic acid undergoes minimal metabolism, at least in most human subjects, co-administered drugs that are inducers or inhibitors of</w:t>
      </w:r>
      <w:r w:rsidR="00CB616B">
        <w:t xml:space="preserve"> cytochrome P450 (</w:t>
      </w:r>
      <w:r w:rsidRPr="0027557F">
        <w:t>CYP4</w:t>
      </w:r>
      <w:r w:rsidRPr="000B7AC1">
        <w:t>50</w:t>
      </w:r>
      <w:r w:rsidR="00CB616B">
        <w:t>)</w:t>
      </w:r>
      <w:r w:rsidRPr="000B7AC1">
        <w:t xml:space="preserve"> enzymes are unlikely to affect the exposure to carglumic acid. No significant inhibition of CYP1A2, </w:t>
      </w:r>
      <w:r w:rsidR="0020078F">
        <w:t>CYP</w:t>
      </w:r>
      <w:r w:rsidRPr="000B7AC1">
        <w:t xml:space="preserve">2A6, </w:t>
      </w:r>
      <w:r w:rsidR="0020078F">
        <w:t>CYP</w:t>
      </w:r>
      <w:r w:rsidRPr="000B7AC1">
        <w:t xml:space="preserve">2B6, </w:t>
      </w:r>
      <w:r w:rsidR="0020078F">
        <w:t>CYP</w:t>
      </w:r>
      <w:r w:rsidRPr="000B7AC1">
        <w:t xml:space="preserve">2C8, </w:t>
      </w:r>
      <w:r w:rsidR="0020078F">
        <w:t>CYP</w:t>
      </w:r>
      <w:r w:rsidRPr="000B7AC1">
        <w:t xml:space="preserve">2C9, </w:t>
      </w:r>
      <w:r w:rsidR="0020078F">
        <w:t>CYP</w:t>
      </w:r>
      <w:r w:rsidRPr="000B7AC1">
        <w:t xml:space="preserve">2C19, </w:t>
      </w:r>
      <w:r w:rsidR="0020078F">
        <w:t>CYP</w:t>
      </w:r>
      <w:r w:rsidRPr="000B7AC1">
        <w:t xml:space="preserve">2D6, </w:t>
      </w:r>
      <w:r w:rsidR="0020078F">
        <w:t>CYP</w:t>
      </w:r>
      <w:r w:rsidRPr="000B7AC1">
        <w:t xml:space="preserve">2E1 or </w:t>
      </w:r>
      <w:r w:rsidR="0020078F">
        <w:t>CYP</w:t>
      </w:r>
      <w:r w:rsidRPr="000B7AC1">
        <w:t>3A4/5 activity was observed with ≤</w:t>
      </w:r>
      <w:r w:rsidR="00CB616B">
        <w:t xml:space="preserve"> </w:t>
      </w:r>
      <w:r w:rsidRPr="000B7AC1">
        <w:t xml:space="preserve">200 µM carglumic acid (14 times the clinical </w:t>
      </w:r>
      <w:r w:rsidR="00FB79E9" w:rsidRPr="000B7AC1">
        <w:t>C</w:t>
      </w:r>
      <w:r w:rsidR="00FB79E9" w:rsidRPr="00FB79E9">
        <w:rPr>
          <w:vertAlign w:val="subscript"/>
        </w:rPr>
        <w:t>max</w:t>
      </w:r>
      <w:r w:rsidRPr="000B7AC1">
        <w:t xml:space="preserve">). Carglumic acid did not induce CYP1A1/2, </w:t>
      </w:r>
      <w:r w:rsidR="0020078F">
        <w:t>CYP</w:t>
      </w:r>
      <w:r w:rsidRPr="000B7AC1">
        <w:t xml:space="preserve">2B6 or </w:t>
      </w:r>
      <w:r w:rsidR="0020078F">
        <w:t>CYP</w:t>
      </w:r>
      <w:r w:rsidRPr="000B7AC1">
        <w:t>3A4/5 activity in human hepatocytes (≤</w:t>
      </w:r>
      <w:r w:rsidR="00CB616B">
        <w:t xml:space="preserve"> </w:t>
      </w:r>
      <w:r w:rsidRPr="000B7AC1">
        <w:t xml:space="preserve">200 µM; 14 times the clinical </w:t>
      </w:r>
      <w:r w:rsidR="00FB79E9" w:rsidRPr="000B7AC1">
        <w:t>C</w:t>
      </w:r>
      <w:r w:rsidR="00FB79E9" w:rsidRPr="00FB79E9">
        <w:rPr>
          <w:vertAlign w:val="subscript"/>
        </w:rPr>
        <w:t>max</w:t>
      </w:r>
      <w:r w:rsidRPr="000B7AC1">
        <w:t>). Therefore, carglumic acid is not expected to alter the exposure of drugs that are substrates of CYP450 enzymes. No studies have been conducted to assess interactions involving transporters.</w:t>
      </w:r>
    </w:p>
    <w:p w:rsidR="001B5C90" w:rsidRDefault="008E7846" w:rsidP="00822D83">
      <w:pPr>
        <w:pStyle w:val="Heading3"/>
      </w:pPr>
      <w:bookmarkStart w:id="52" w:name="_Toc433190167"/>
      <w:r w:rsidRPr="00822D83">
        <w:t>Toxicology</w:t>
      </w:r>
      <w:bookmarkEnd w:id="49"/>
      <w:bookmarkEnd w:id="50"/>
      <w:bookmarkEnd w:id="52"/>
    </w:p>
    <w:p w:rsidR="000B7AC1" w:rsidRPr="000B7AC1" w:rsidRDefault="000B7AC1" w:rsidP="00C74153">
      <w:pPr>
        <w:pStyle w:val="Heading4"/>
      </w:pPr>
      <w:bookmarkStart w:id="53" w:name="_Toc294861727"/>
      <w:r w:rsidRPr="000B7AC1">
        <w:t>Acute toxicity</w:t>
      </w:r>
      <w:bookmarkEnd w:id="53"/>
    </w:p>
    <w:p w:rsidR="000B7AC1" w:rsidRPr="000B7AC1" w:rsidRDefault="00CB616B" w:rsidP="00822D83">
      <w:r>
        <w:t xml:space="preserve">Single </w:t>
      </w:r>
      <w:r w:rsidR="000B7AC1" w:rsidRPr="000B7AC1">
        <w:t>dose toxicity studies with carglumic acid were conducted in rats (</w:t>
      </w:r>
      <w:r w:rsidR="00D1023B">
        <w:t>PO</w:t>
      </w:r>
      <w:r w:rsidR="000B7AC1" w:rsidRPr="000B7AC1">
        <w:t xml:space="preserve"> and I</w:t>
      </w:r>
      <w:r w:rsidR="002D6A00">
        <w:t xml:space="preserve">V dosing). The studies were GLP </w:t>
      </w:r>
      <w:r w:rsidR="000B7AC1" w:rsidRPr="000B7AC1">
        <w:t xml:space="preserve">compliant and conducted according to the relevant </w:t>
      </w:r>
      <w:r w:rsidR="0027557F" w:rsidRPr="0027557F">
        <w:t xml:space="preserve">European Union </w:t>
      </w:r>
      <w:r w:rsidR="0027557F" w:rsidRPr="0027557F">
        <w:lastRenderedPageBreak/>
        <w:t>(</w:t>
      </w:r>
      <w:r w:rsidR="000B7AC1" w:rsidRPr="0027557F">
        <w:t>EU</w:t>
      </w:r>
      <w:r w:rsidR="0027557F" w:rsidRPr="0027557F">
        <w:t>)</w:t>
      </w:r>
      <w:r w:rsidR="000B7AC1" w:rsidRPr="0027557F">
        <w:t xml:space="preserve"> gui</w:t>
      </w:r>
      <w:r w:rsidR="002D6A00" w:rsidRPr="0027557F">
        <w:t>deline</w:t>
      </w:r>
      <w:r>
        <w:rPr>
          <w:rStyle w:val="FootnoteReference"/>
        </w:rPr>
        <w:footnoteReference w:id="2"/>
      </w:r>
      <w:r w:rsidR="002D6A00">
        <w:t xml:space="preserve">. The maximum </w:t>
      </w:r>
      <w:r w:rsidR="00D1023B">
        <w:t>non-</w:t>
      </w:r>
      <w:r w:rsidR="00D1023B" w:rsidRPr="000B7AC1">
        <w:t>lethal</w:t>
      </w:r>
      <w:r w:rsidR="000B7AC1" w:rsidRPr="000B7AC1">
        <w:t xml:space="preserve"> dose was the highest </w:t>
      </w:r>
      <w:r w:rsidR="002D6A00">
        <w:t xml:space="preserve">tested, </w:t>
      </w:r>
      <w:r w:rsidR="000B7AC1" w:rsidRPr="000B7AC1">
        <w:t>238.6 mg/k</w:t>
      </w:r>
      <w:r w:rsidR="00D1023B">
        <w:t xml:space="preserve">g IV and 2000 mg/kg PO. No drug </w:t>
      </w:r>
      <w:r w:rsidR="000B7AC1" w:rsidRPr="000B7AC1">
        <w:t>related toxicities were evident, suggesting a low order of toxicity.</w:t>
      </w:r>
    </w:p>
    <w:p w:rsidR="000B7AC1" w:rsidRPr="000B7AC1" w:rsidRDefault="000B7AC1" w:rsidP="00822D83">
      <w:pPr>
        <w:pStyle w:val="Heading4"/>
      </w:pPr>
      <w:bookmarkStart w:id="54" w:name="_Toc294861728"/>
      <w:r w:rsidRPr="00822D83">
        <w:t>Repeat</w:t>
      </w:r>
      <w:r w:rsidRPr="000B7AC1">
        <w:t>-dose toxicity</w:t>
      </w:r>
      <w:bookmarkEnd w:id="54"/>
    </w:p>
    <w:p w:rsidR="000B7AC1" w:rsidRPr="000B7AC1" w:rsidRDefault="002D6A00" w:rsidP="00822D83">
      <w:r>
        <w:t xml:space="preserve">Repeat </w:t>
      </w:r>
      <w:r w:rsidR="000B7AC1" w:rsidRPr="000B7AC1">
        <w:t>dose toxicity studies were conducted in newborn (4 days of age at the start of dosing) and young rats for 2 weeks and 26 weeks duration, respectively. Both studies were conducted under GLP conditions. The duration of the pivotal study is acceptable, given the intended chronic use of the drug. The age of the animals is considered appropriate given the age of the intended patient group (neonates to adults). The maximum tested d</w:t>
      </w:r>
      <w:r>
        <w:t xml:space="preserve">oses are considered </w:t>
      </w:r>
      <w:r w:rsidR="00D1023B">
        <w:t>acceptable;</w:t>
      </w:r>
      <w:r w:rsidR="000B7AC1" w:rsidRPr="000B7AC1">
        <w:t xml:space="preserve"> the limit dose (1000 mg/kg/day) was used in the pivotal study with </w:t>
      </w:r>
      <w:r>
        <w:t xml:space="preserve">a higher dose used in the short </w:t>
      </w:r>
      <w:r w:rsidR="000B7AC1" w:rsidRPr="000B7AC1">
        <w:t xml:space="preserve">term study. A comprehensive examination of potential toxicities was undertaken in both studies. Adequate exposures </w:t>
      </w:r>
      <w:r w:rsidR="00FA4801">
        <w:t>(</w:t>
      </w:r>
      <w:r w:rsidR="00FA4801" w:rsidRPr="00FA4801">
        <w:t xml:space="preserve">area under the plasma concentration time curve </w:t>
      </w:r>
      <w:r w:rsidR="000B7AC1" w:rsidRPr="000B7AC1">
        <w:t>(AUC</w:t>
      </w:r>
      <w:r w:rsidR="00FA4801">
        <w:t>)</w:t>
      </w:r>
      <w:r w:rsidR="000B7AC1" w:rsidRPr="000B7AC1">
        <w:t xml:space="preserve"> and </w:t>
      </w:r>
      <w:r w:rsidR="00FB79E9" w:rsidRPr="000B7AC1">
        <w:t>C</w:t>
      </w:r>
      <w:r w:rsidR="00FB79E9" w:rsidRPr="00FB79E9">
        <w:rPr>
          <w:vertAlign w:val="subscript"/>
        </w:rPr>
        <w:t>max</w:t>
      </w:r>
      <w:r w:rsidR="00F668CC">
        <w:t>)</w:t>
      </w:r>
      <w:r w:rsidR="00FA4801">
        <w:t>)</w:t>
      </w:r>
      <w:r w:rsidR="00F668CC">
        <w:t xml:space="preserve"> were achieved (Table 2</w:t>
      </w:r>
      <w:r w:rsidR="000B7AC1" w:rsidRPr="000B7AC1">
        <w:t>).</w:t>
      </w:r>
    </w:p>
    <w:p w:rsidR="000B7AC1" w:rsidRPr="000B7AC1" w:rsidRDefault="000B7AC1" w:rsidP="00822D83">
      <w:pPr>
        <w:pStyle w:val="Heading5"/>
      </w:pPr>
      <w:r w:rsidRPr="000B7AC1">
        <w:t xml:space="preserve">Relative </w:t>
      </w:r>
      <w:r w:rsidRPr="00822D83">
        <w:t>exposure</w:t>
      </w:r>
    </w:p>
    <w:p w:rsidR="000B7AC1" w:rsidRPr="000B7AC1" w:rsidRDefault="000B7AC1" w:rsidP="00822D83">
      <w:r w:rsidRPr="000B7AC1">
        <w:t>No exposure data were provided for the maximum dose of 250 mg/kg/day. As this dose</w:t>
      </w:r>
      <w:r w:rsidR="002D6A00">
        <w:t xml:space="preserve"> is intended to be given over 2 to </w:t>
      </w:r>
      <w:r w:rsidRPr="000B7AC1">
        <w:t xml:space="preserve">4 doses, the </w:t>
      </w:r>
      <w:r w:rsidR="00FB79E9" w:rsidRPr="000B7AC1">
        <w:t>C</w:t>
      </w:r>
      <w:r w:rsidR="00FB79E9" w:rsidRPr="00FB79E9">
        <w:rPr>
          <w:vertAlign w:val="subscript"/>
        </w:rPr>
        <w:t>max</w:t>
      </w:r>
      <w:r w:rsidRPr="000B7AC1">
        <w:t xml:space="preserve"> value for a 100 mg/kg dose will be used for comparative purposes. Exposure (AUC) to a 250 mg/kg/day dose is estimated by extrapolation from the AUC for a 100 mg/kg dose (estimated to be 53 </w:t>
      </w:r>
      <w:r w:rsidR="002D6A00">
        <w:t>µ</w:t>
      </w:r>
      <w:r w:rsidR="00F668CC">
        <w:t>g∙h/mL).</w:t>
      </w:r>
    </w:p>
    <w:p w:rsidR="000B7AC1" w:rsidRPr="000B7AC1" w:rsidRDefault="00F668CC" w:rsidP="00822D83">
      <w:pPr>
        <w:pStyle w:val="TableTitle"/>
      </w:pPr>
      <w:r>
        <w:t xml:space="preserve">Table 2. Relative exposure in repeat </w:t>
      </w:r>
      <w:r w:rsidR="000B7AC1" w:rsidRPr="00822D83">
        <w:t>dose</w:t>
      </w:r>
      <w:r w:rsidR="000B7AC1" w:rsidRPr="000B7AC1">
        <w:t xml:space="preserve"> </w:t>
      </w:r>
      <w:r w:rsidR="000B7AC1" w:rsidRPr="00822D83">
        <w:t>toxicity</w:t>
      </w:r>
      <w:r w:rsidR="000B7AC1" w:rsidRPr="000B7AC1">
        <w:t xml:space="preserve"> studies</w:t>
      </w:r>
      <w:r>
        <w:t>.</w:t>
      </w:r>
    </w:p>
    <w:tbl>
      <w:tblPr>
        <w:tblStyle w:val="TableTGAblue"/>
        <w:tblW w:w="8328" w:type="dxa"/>
        <w:tblLayout w:type="fixed"/>
        <w:tblLook w:val="01E0" w:firstRow="1" w:lastRow="1" w:firstColumn="1" w:lastColumn="1" w:noHBand="0" w:noVBand="0"/>
      </w:tblPr>
      <w:tblGrid>
        <w:gridCol w:w="962"/>
        <w:gridCol w:w="1121"/>
        <w:gridCol w:w="1484"/>
        <w:gridCol w:w="1190"/>
        <w:gridCol w:w="1190"/>
        <w:gridCol w:w="1190"/>
        <w:gridCol w:w="1191"/>
      </w:tblGrid>
      <w:tr w:rsidR="00C74153" w:rsidRPr="00822D83" w:rsidTr="003A3B87">
        <w:trPr>
          <w:cnfStyle w:val="100000000000" w:firstRow="1" w:lastRow="0" w:firstColumn="0" w:lastColumn="0" w:oddVBand="0" w:evenVBand="0" w:oddHBand="0" w:evenHBand="0" w:firstRowFirstColumn="0" w:firstRowLastColumn="0" w:lastRowFirstColumn="0" w:lastRowLastColumn="0"/>
          <w:trHeight w:val="326"/>
        </w:trPr>
        <w:tc>
          <w:tcPr>
            <w:tcW w:w="962" w:type="dxa"/>
            <w:vMerge w:val="restart"/>
          </w:tcPr>
          <w:p w:rsidR="000B7AC1" w:rsidRPr="00822D83" w:rsidRDefault="000B7AC1" w:rsidP="00822D83">
            <w:pPr>
              <w:ind w:left="0" w:right="-105"/>
              <w:rPr>
                <w:sz w:val="20"/>
                <w:szCs w:val="20"/>
              </w:rPr>
            </w:pPr>
            <w:r w:rsidRPr="00822D83">
              <w:rPr>
                <w:sz w:val="20"/>
                <w:szCs w:val="20"/>
              </w:rPr>
              <w:t>Species</w:t>
            </w:r>
          </w:p>
        </w:tc>
        <w:tc>
          <w:tcPr>
            <w:tcW w:w="1121" w:type="dxa"/>
            <w:vMerge w:val="restart"/>
          </w:tcPr>
          <w:p w:rsidR="000B7AC1" w:rsidRPr="00822D83" w:rsidRDefault="000B7AC1" w:rsidP="00822D83">
            <w:pPr>
              <w:ind w:left="0" w:right="0"/>
              <w:rPr>
                <w:sz w:val="20"/>
                <w:szCs w:val="20"/>
              </w:rPr>
            </w:pPr>
            <w:r w:rsidRPr="00822D83">
              <w:rPr>
                <w:sz w:val="20"/>
                <w:szCs w:val="20"/>
              </w:rPr>
              <w:t>Study duration</w:t>
            </w:r>
          </w:p>
        </w:tc>
        <w:tc>
          <w:tcPr>
            <w:tcW w:w="1484" w:type="dxa"/>
            <w:vMerge w:val="restart"/>
          </w:tcPr>
          <w:p w:rsidR="00D1023B" w:rsidRPr="00822D83" w:rsidRDefault="00D1023B" w:rsidP="00822D83">
            <w:pPr>
              <w:ind w:left="0" w:right="-51"/>
              <w:rPr>
                <w:sz w:val="20"/>
                <w:szCs w:val="20"/>
              </w:rPr>
            </w:pPr>
            <w:r w:rsidRPr="00822D83">
              <w:rPr>
                <w:sz w:val="20"/>
                <w:szCs w:val="20"/>
              </w:rPr>
              <w:t>Dose</w:t>
            </w:r>
          </w:p>
          <w:p w:rsidR="000B7AC1" w:rsidRPr="00822D83" w:rsidRDefault="000B7AC1" w:rsidP="00822D83">
            <w:pPr>
              <w:ind w:left="0" w:right="-51"/>
              <w:rPr>
                <w:sz w:val="20"/>
                <w:szCs w:val="20"/>
              </w:rPr>
            </w:pPr>
            <w:r w:rsidRPr="00822D83">
              <w:rPr>
                <w:sz w:val="20"/>
                <w:szCs w:val="20"/>
              </w:rPr>
              <w:t>(mg/kg/day)</w:t>
            </w:r>
          </w:p>
        </w:tc>
        <w:tc>
          <w:tcPr>
            <w:tcW w:w="1190" w:type="dxa"/>
            <w:vMerge w:val="restart"/>
          </w:tcPr>
          <w:p w:rsidR="000B7AC1" w:rsidRPr="00822D83" w:rsidRDefault="000B7AC1" w:rsidP="00822D83">
            <w:pPr>
              <w:ind w:left="0" w:right="0"/>
              <w:rPr>
                <w:sz w:val="20"/>
                <w:szCs w:val="20"/>
              </w:rPr>
            </w:pPr>
            <w:r w:rsidRPr="00822D83">
              <w:rPr>
                <w:sz w:val="20"/>
                <w:szCs w:val="20"/>
              </w:rPr>
              <w:t>AUC</w:t>
            </w:r>
            <w:r w:rsidRPr="00822D83">
              <w:rPr>
                <w:sz w:val="20"/>
                <w:szCs w:val="20"/>
                <w:vertAlign w:val="subscript"/>
              </w:rPr>
              <w:t>0–24</w:t>
            </w:r>
            <w:r w:rsidRPr="00822D83">
              <w:rPr>
                <w:w w:val="50"/>
                <w:sz w:val="20"/>
                <w:szCs w:val="20"/>
                <w:vertAlign w:val="subscript"/>
              </w:rPr>
              <w:t> </w:t>
            </w:r>
            <w:r w:rsidRPr="00822D83">
              <w:rPr>
                <w:sz w:val="20"/>
                <w:szCs w:val="20"/>
                <w:vertAlign w:val="subscript"/>
              </w:rPr>
              <w:t>h</w:t>
            </w:r>
            <w:r w:rsidR="00D1023B" w:rsidRPr="00822D83">
              <w:rPr>
                <w:sz w:val="20"/>
                <w:szCs w:val="20"/>
              </w:rPr>
              <w:t xml:space="preserve"> </w:t>
            </w:r>
            <w:r w:rsidRPr="00822D83">
              <w:rPr>
                <w:sz w:val="20"/>
                <w:szCs w:val="20"/>
              </w:rPr>
              <w:t>(µg∙h/mL)</w:t>
            </w:r>
          </w:p>
        </w:tc>
        <w:tc>
          <w:tcPr>
            <w:tcW w:w="1190" w:type="dxa"/>
            <w:vMerge w:val="restart"/>
          </w:tcPr>
          <w:p w:rsidR="000B7AC1" w:rsidRPr="00822D83" w:rsidRDefault="00FB79E9" w:rsidP="00822D83">
            <w:pPr>
              <w:ind w:left="63" w:right="61"/>
              <w:rPr>
                <w:sz w:val="20"/>
                <w:szCs w:val="20"/>
              </w:rPr>
            </w:pPr>
            <w:r w:rsidRPr="00822D83">
              <w:rPr>
                <w:sz w:val="20"/>
                <w:szCs w:val="20"/>
              </w:rPr>
              <w:t>C</w:t>
            </w:r>
            <w:r w:rsidRPr="00822D83">
              <w:rPr>
                <w:sz w:val="20"/>
                <w:szCs w:val="20"/>
                <w:vertAlign w:val="subscript"/>
              </w:rPr>
              <w:t>max</w:t>
            </w:r>
            <w:r w:rsidR="000B7AC1" w:rsidRPr="00822D83">
              <w:rPr>
                <w:sz w:val="20"/>
                <w:szCs w:val="20"/>
              </w:rPr>
              <w:t xml:space="preserve"> </w:t>
            </w:r>
            <w:r w:rsidR="00F668CC" w:rsidRPr="00822D83">
              <w:rPr>
                <w:sz w:val="20"/>
                <w:szCs w:val="20"/>
              </w:rPr>
              <w:t>µ</w:t>
            </w:r>
            <w:r w:rsidR="000B7AC1" w:rsidRPr="00822D83">
              <w:rPr>
                <w:sz w:val="20"/>
                <w:szCs w:val="20"/>
              </w:rPr>
              <w:t>g/mL)</w:t>
            </w:r>
          </w:p>
        </w:tc>
        <w:tc>
          <w:tcPr>
            <w:tcW w:w="2380" w:type="dxa"/>
            <w:gridSpan w:val="2"/>
          </w:tcPr>
          <w:p w:rsidR="000B7AC1" w:rsidRPr="00822D83" w:rsidRDefault="000B7AC1" w:rsidP="00822D83">
            <w:pPr>
              <w:ind w:left="0" w:right="0"/>
              <w:rPr>
                <w:sz w:val="20"/>
                <w:szCs w:val="20"/>
              </w:rPr>
            </w:pPr>
            <w:r w:rsidRPr="00822D83">
              <w:rPr>
                <w:sz w:val="20"/>
                <w:szCs w:val="20"/>
              </w:rPr>
              <w:t>Exposure ratio based on</w:t>
            </w:r>
          </w:p>
        </w:tc>
      </w:tr>
      <w:tr w:rsidR="000B7AC1" w:rsidRPr="00822D83" w:rsidTr="003A3B87">
        <w:trPr>
          <w:trHeight w:val="136"/>
        </w:trPr>
        <w:tc>
          <w:tcPr>
            <w:tcW w:w="962" w:type="dxa"/>
            <w:vMerge/>
          </w:tcPr>
          <w:p w:rsidR="000B7AC1" w:rsidRPr="00822D83" w:rsidRDefault="000B7AC1" w:rsidP="00822D83">
            <w:pPr>
              <w:ind w:left="0" w:right="-105"/>
              <w:rPr>
                <w:sz w:val="20"/>
                <w:szCs w:val="20"/>
              </w:rPr>
            </w:pPr>
          </w:p>
        </w:tc>
        <w:tc>
          <w:tcPr>
            <w:tcW w:w="1121" w:type="dxa"/>
            <w:vMerge/>
          </w:tcPr>
          <w:p w:rsidR="000B7AC1" w:rsidRPr="00822D83" w:rsidRDefault="000B7AC1" w:rsidP="00822D83">
            <w:pPr>
              <w:ind w:left="0" w:right="0"/>
              <w:rPr>
                <w:sz w:val="20"/>
                <w:szCs w:val="20"/>
              </w:rPr>
            </w:pPr>
          </w:p>
        </w:tc>
        <w:tc>
          <w:tcPr>
            <w:tcW w:w="1484" w:type="dxa"/>
            <w:vMerge/>
          </w:tcPr>
          <w:p w:rsidR="000B7AC1" w:rsidRPr="00822D83" w:rsidRDefault="000B7AC1" w:rsidP="00822D83">
            <w:pPr>
              <w:ind w:left="0" w:right="-51"/>
              <w:rPr>
                <w:sz w:val="20"/>
                <w:szCs w:val="20"/>
              </w:rPr>
            </w:pPr>
          </w:p>
        </w:tc>
        <w:tc>
          <w:tcPr>
            <w:tcW w:w="1190" w:type="dxa"/>
            <w:vMerge/>
          </w:tcPr>
          <w:p w:rsidR="000B7AC1" w:rsidRPr="00822D83" w:rsidRDefault="000B7AC1" w:rsidP="00822D83">
            <w:pPr>
              <w:ind w:left="0" w:right="0"/>
              <w:rPr>
                <w:sz w:val="20"/>
                <w:szCs w:val="20"/>
              </w:rPr>
            </w:pPr>
          </w:p>
        </w:tc>
        <w:tc>
          <w:tcPr>
            <w:tcW w:w="1190" w:type="dxa"/>
            <w:vMerge/>
          </w:tcPr>
          <w:p w:rsidR="000B7AC1" w:rsidRPr="00822D83" w:rsidRDefault="000B7AC1" w:rsidP="00822D83">
            <w:pPr>
              <w:ind w:left="63" w:right="61"/>
              <w:rPr>
                <w:sz w:val="20"/>
                <w:szCs w:val="20"/>
              </w:rPr>
            </w:pPr>
          </w:p>
        </w:tc>
        <w:tc>
          <w:tcPr>
            <w:tcW w:w="1190" w:type="dxa"/>
          </w:tcPr>
          <w:p w:rsidR="000B7AC1" w:rsidRPr="00822D83" w:rsidRDefault="000B7AC1" w:rsidP="00822D83">
            <w:pPr>
              <w:ind w:left="0" w:right="0"/>
              <w:rPr>
                <w:sz w:val="20"/>
                <w:szCs w:val="20"/>
              </w:rPr>
            </w:pPr>
            <w:r w:rsidRPr="00822D83">
              <w:rPr>
                <w:sz w:val="20"/>
                <w:szCs w:val="20"/>
              </w:rPr>
              <w:t>AUC</w:t>
            </w:r>
          </w:p>
        </w:tc>
        <w:tc>
          <w:tcPr>
            <w:tcW w:w="1191" w:type="dxa"/>
          </w:tcPr>
          <w:p w:rsidR="000B7AC1" w:rsidRPr="00822D83" w:rsidRDefault="00FB79E9" w:rsidP="00822D83">
            <w:pPr>
              <w:ind w:left="0" w:right="0"/>
              <w:rPr>
                <w:sz w:val="20"/>
                <w:szCs w:val="20"/>
              </w:rPr>
            </w:pPr>
            <w:r w:rsidRPr="00822D83">
              <w:rPr>
                <w:sz w:val="20"/>
                <w:szCs w:val="20"/>
              </w:rPr>
              <w:t>C</w:t>
            </w:r>
            <w:r w:rsidRPr="00822D83">
              <w:rPr>
                <w:sz w:val="20"/>
                <w:szCs w:val="20"/>
                <w:vertAlign w:val="subscript"/>
              </w:rPr>
              <w:t>max</w:t>
            </w:r>
          </w:p>
        </w:tc>
      </w:tr>
      <w:tr w:rsidR="000B7AC1" w:rsidRPr="00822D83" w:rsidTr="00822D83">
        <w:trPr>
          <w:trHeight w:val="214"/>
        </w:trPr>
        <w:tc>
          <w:tcPr>
            <w:tcW w:w="962" w:type="dxa"/>
            <w:vMerge w:val="restart"/>
          </w:tcPr>
          <w:p w:rsidR="000B7AC1" w:rsidRPr="00822D83" w:rsidRDefault="00D1023B" w:rsidP="00822D83">
            <w:pPr>
              <w:ind w:left="0" w:right="-105"/>
              <w:rPr>
                <w:kern w:val="2"/>
                <w:sz w:val="20"/>
                <w:szCs w:val="20"/>
              </w:rPr>
            </w:pPr>
            <w:r w:rsidRPr="00822D83">
              <w:rPr>
                <w:kern w:val="2"/>
                <w:sz w:val="20"/>
                <w:szCs w:val="20"/>
              </w:rPr>
              <w:t xml:space="preserve">Rat </w:t>
            </w:r>
            <w:r w:rsidR="000B7AC1" w:rsidRPr="00822D83">
              <w:rPr>
                <w:kern w:val="2"/>
                <w:sz w:val="20"/>
                <w:szCs w:val="20"/>
              </w:rPr>
              <w:t>(SD)</w:t>
            </w:r>
          </w:p>
        </w:tc>
        <w:tc>
          <w:tcPr>
            <w:tcW w:w="1121" w:type="dxa"/>
            <w:vMerge w:val="restart"/>
          </w:tcPr>
          <w:p w:rsidR="000B7AC1" w:rsidRPr="00822D83" w:rsidRDefault="000B7AC1" w:rsidP="00822D83">
            <w:pPr>
              <w:ind w:left="0" w:right="0"/>
              <w:rPr>
                <w:i/>
                <w:kern w:val="2"/>
                <w:sz w:val="20"/>
                <w:szCs w:val="20"/>
                <w:vertAlign w:val="superscript"/>
              </w:rPr>
            </w:pPr>
            <w:r w:rsidRPr="00822D83">
              <w:rPr>
                <w:kern w:val="2"/>
                <w:sz w:val="20"/>
                <w:szCs w:val="20"/>
              </w:rPr>
              <w:t>2 weeks</w:t>
            </w:r>
            <w:r w:rsidR="0058111F" w:rsidRPr="00822D83">
              <w:rPr>
                <w:kern w:val="2"/>
                <w:sz w:val="20"/>
                <w:szCs w:val="20"/>
              </w:rPr>
              <w:t xml:space="preserve"> </w:t>
            </w:r>
            <w:r w:rsidRPr="00822D83">
              <w:rPr>
                <w:i/>
                <w:kern w:val="2"/>
                <w:sz w:val="20"/>
                <w:szCs w:val="20"/>
                <w:vertAlign w:val="superscript"/>
              </w:rPr>
              <w:t>a</w:t>
            </w:r>
          </w:p>
        </w:tc>
        <w:tc>
          <w:tcPr>
            <w:tcW w:w="1484" w:type="dxa"/>
          </w:tcPr>
          <w:p w:rsidR="000B7AC1" w:rsidRPr="00822D83" w:rsidRDefault="000B7AC1" w:rsidP="00822D83">
            <w:pPr>
              <w:ind w:left="0" w:right="-51"/>
              <w:rPr>
                <w:kern w:val="2"/>
                <w:sz w:val="20"/>
                <w:szCs w:val="20"/>
              </w:rPr>
            </w:pPr>
            <w:r w:rsidRPr="00822D83">
              <w:rPr>
                <w:kern w:val="2"/>
                <w:sz w:val="20"/>
                <w:szCs w:val="20"/>
              </w:rPr>
              <w:t>250</w:t>
            </w:r>
          </w:p>
        </w:tc>
        <w:tc>
          <w:tcPr>
            <w:tcW w:w="1190" w:type="dxa"/>
          </w:tcPr>
          <w:p w:rsidR="000B7AC1" w:rsidRPr="00822D83" w:rsidRDefault="000B7AC1" w:rsidP="00822D83">
            <w:pPr>
              <w:ind w:left="0" w:right="0"/>
              <w:rPr>
                <w:color w:val="000000"/>
                <w:sz w:val="20"/>
                <w:szCs w:val="20"/>
              </w:rPr>
            </w:pPr>
            <w:r w:rsidRPr="00822D83">
              <w:rPr>
                <w:color w:val="000000"/>
                <w:sz w:val="20"/>
                <w:szCs w:val="20"/>
              </w:rPr>
              <w:t>325</w:t>
            </w:r>
          </w:p>
        </w:tc>
        <w:tc>
          <w:tcPr>
            <w:tcW w:w="1190" w:type="dxa"/>
          </w:tcPr>
          <w:p w:rsidR="000B7AC1" w:rsidRPr="00822D83" w:rsidRDefault="000B7AC1" w:rsidP="00822D83">
            <w:pPr>
              <w:ind w:left="63" w:right="61"/>
              <w:rPr>
                <w:color w:val="000000"/>
                <w:sz w:val="20"/>
                <w:szCs w:val="20"/>
              </w:rPr>
            </w:pPr>
            <w:r w:rsidRPr="00822D83">
              <w:rPr>
                <w:color w:val="000000"/>
                <w:sz w:val="20"/>
                <w:szCs w:val="20"/>
              </w:rPr>
              <w:t>45</w:t>
            </w:r>
          </w:p>
        </w:tc>
        <w:tc>
          <w:tcPr>
            <w:tcW w:w="1190" w:type="dxa"/>
          </w:tcPr>
          <w:p w:rsidR="000B7AC1" w:rsidRPr="00822D83" w:rsidRDefault="000B7AC1" w:rsidP="00822D83">
            <w:pPr>
              <w:ind w:left="0" w:right="0"/>
              <w:rPr>
                <w:color w:val="000000"/>
                <w:sz w:val="20"/>
                <w:szCs w:val="20"/>
              </w:rPr>
            </w:pPr>
            <w:r w:rsidRPr="00822D83">
              <w:rPr>
                <w:color w:val="000000"/>
                <w:kern w:val="2"/>
                <w:sz w:val="20"/>
                <w:szCs w:val="20"/>
              </w:rPr>
              <w:t>6</w:t>
            </w:r>
          </w:p>
        </w:tc>
        <w:tc>
          <w:tcPr>
            <w:tcW w:w="1191" w:type="dxa"/>
          </w:tcPr>
          <w:p w:rsidR="000B7AC1" w:rsidRPr="00822D83" w:rsidRDefault="000B7AC1" w:rsidP="00822D83">
            <w:pPr>
              <w:ind w:left="0" w:right="0"/>
              <w:rPr>
                <w:color w:val="000000"/>
                <w:sz w:val="20"/>
                <w:szCs w:val="20"/>
              </w:rPr>
            </w:pPr>
            <w:r w:rsidRPr="00822D83">
              <w:rPr>
                <w:color w:val="000000"/>
                <w:kern w:val="2"/>
                <w:sz w:val="20"/>
                <w:szCs w:val="20"/>
              </w:rPr>
              <w:t>17</w:t>
            </w:r>
          </w:p>
        </w:tc>
      </w:tr>
      <w:tr w:rsidR="000B7AC1" w:rsidRPr="00822D83" w:rsidTr="00822D83">
        <w:trPr>
          <w:trHeight w:val="214"/>
        </w:trPr>
        <w:tc>
          <w:tcPr>
            <w:tcW w:w="962" w:type="dxa"/>
            <w:vMerge/>
          </w:tcPr>
          <w:p w:rsidR="000B7AC1" w:rsidRPr="00822D83" w:rsidRDefault="000B7AC1" w:rsidP="00822D83">
            <w:pPr>
              <w:ind w:left="0" w:right="-105"/>
              <w:rPr>
                <w:color w:val="00B050"/>
                <w:kern w:val="2"/>
                <w:sz w:val="20"/>
                <w:szCs w:val="20"/>
              </w:rPr>
            </w:pPr>
          </w:p>
        </w:tc>
        <w:tc>
          <w:tcPr>
            <w:tcW w:w="1121" w:type="dxa"/>
            <w:vMerge/>
          </w:tcPr>
          <w:p w:rsidR="000B7AC1" w:rsidRPr="00822D83" w:rsidRDefault="000B7AC1" w:rsidP="00822D83">
            <w:pPr>
              <w:ind w:left="0" w:right="0"/>
              <w:rPr>
                <w:kern w:val="2"/>
                <w:sz w:val="20"/>
                <w:szCs w:val="20"/>
              </w:rPr>
            </w:pPr>
          </w:p>
        </w:tc>
        <w:tc>
          <w:tcPr>
            <w:tcW w:w="1484" w:type="dxa"/>
          </w:tcPr>
          <w:p w:rsidR="000B7AC1" w:rsidRPr="00822D83" w:rsidRDefault="000B7AC1" w:rsidP="00822D83">
            <w:pPr>
              <w:ind w:left="0" w:right="-51"/>
              <w:rPr>
                <w:kern w:val="2"/>
                <w:sz w:val="20"/>
                <w:szCs w:val="20"/>
              </w:rPr>
            </w:pPr>
            <w:r w:rsidRPr="00822D83">
              <w:rPr>
                <w:kern w:val="2"/>
                <w:sz w:val="20"/>
                <w:szCs w:val="20"/>
              </w:rPr>
              <w:t>500</w:t>
            </w:r>
          </w:p>
        </w:tc>
        <w:tc>
          <w:tcPr>
            <w:tcW w:w="1190" w:type="dxa"/>
          </w:tcPr>
          <w:p w:rsidR="000B7AC1" w:rsidRPr="00822D83" w:rsidRDefault="000B7AC1" w:rsidP="00822D83">
            <w:pPr>
              <w:ind w:left="0" w:right="0"/>
              <w:rPr>
                <w:color w:val="000000"/>
                <w:sz w:val="20"/>
                <w:szCs w:val="20"/>
              </w:rPr>
            </w:pPr>
            <w:r w:rsidRPr="00822D83">
              <w:rPr>
                <w:color w:val="000000"/>
                <w:sz w:val="20"/>
                <w:szCs w:val="20"/>
              </w:rPr>
              <w:t>649</w:t>
            </w:r>
          </w:p>
        </w:tc>
        <w:tc>
          <w:tcPr>
            <w:tcW w:w="1190" w:type="dxa"/>
          </w:tcPr>
          <w:p w:rsidR="000B7AC1" w:rsidRPr="00822D83" w:rsidRDefault="000B7AC1" w:rsidP="00822D83">
            <w:pPr>
              <w:ind w:left="63" w:right="61"/>
              <w:rPr>
                <w:color w:val="000000"/>
                <w:sz w:val="20"/>
                <w:szCs w:val="20"/>
              </w:rPr>
            </w:pPr>
            <w:r w:rsidRPr="00822D83">
              <w:rPr>
                <w:color w:val="000000"/>
                <w:sz w:val="20"/>
                <w:szCs w:val="20"/>
              </w:rPr>
              <w:t>90</w:t>
            </w:r>
          </w:p>
        </w:tc>
        <w:tc>
          <w:tcPr>
            <w:tcW w:w="1190" w:type="dxa"/>
          </w:tcPr>
          <w:p w:rsidR="000B7AC1" w:rsidRPr="00822D83" w:rsidRDefault="000B7AC1" w:rsidP="00822D83">
            <w:pPr>
              <w:ind w:left="0" w:right="0"/>
              <w:rPr>
                <w:color w:val="000000"/>
                <w:sz w:val="20"/>
                <w:szCs w:val="20"/>
              </w:rPr>
            </w:pPr>
            <w:r w:rsidRPr="00822D83">
              <w:rPr>
                <w:color w:val="000000"/>
                <w:kern w:val="2"/>
                <w:sz w:val="20"/>
                <w:szCs w:val="20"/>
              </w:rPr>
              <w:t>12</w:t>
            </w:r>
          </w:p>
        </w:tc>
        <w:tc>
          <w:tcPr>
            <w:tcW w:w="1191" w:type="dxa"/>
          </w:tcPr>
          <w:p w:rsidR="000B7AC1" w:rsidRPr="00822D83" w:rsidRDefault="000B7AC1" w:rsidP="00822D83">
            <w:pPr>
              <w:ind w:left="0" w:right="0"/>
              <w:rPr>
                <w:color w:val="000000"/>
                <w:sz w:val="20"/>
                <w:szCs w:val="20"/>
              </w:rPr>
            </w:pPr>
            <w:r w:rsidRPr="00822D83">
              <w:rPr>
                <w:color w:val="000000"/>
                <w:kern w:val="2"/>
                <w:sz w:val="20"/>
                <w:szCs w:val="20"/>
              </w:rPr>
              <w:t>33</w:t>
            </w:r>
          </w:p>
        </w:tc>
      </w:tr>
      <w:tr w:rsidR="000B7AC1" w:rsidRPr="00822D83" w:rsidTr="00822D83">
        <w:trPr>
          <w:trHeight w:val="214"/>
        </w:trPr>
        <w:tc>
          <w:tcPr>
            <w:tcW w:w="962" w:type="dxa"/>
            <w:vMerge/>
          </w:tcPr>
          <w:p w:rsidR="000B7AC1" w:rsidRPr="00822D83" w:rsidRDefault="000B7AC1" w:rsidP="00822D83">
            <w:pPr>
              <w:ind w:left="0" w:right="-105"/>
              <w:rPr>
                <w:color w:val="00B050"/>
                <w:kern w:val="2"/>
                <w:sz w:val="20"/>
                <w:szCs w:val="20"/>
              </w:rPr>
            </w:pPr>
          </w:p>
        </w:tc>
        <w:tc>
          <w:tcPr>
            <w:tcW w:w="1121" w:type="dxa"/>
            <w:vMerge/>
          </w:tcPr>
          <w:p w:rsidR="000B7AC1" w:rsidRPr="00822D83" w:rsidRDefault="000B7AC1" w:rsidP="00822D83">
            <w:pPr>
              <w:ind w:left="0" w:right="0"/>
              <w:rPr>
                <w:kern w:val="2"/>
                <w:sz w:val="20"/>
                <w:szCs w:val="20"/>
              </w:rPr>
            </w:pPr>
          </w:p>
        </w:tc>
        <w:tc>
          <w:tcPr>
            <w:tcW w:w="1484" w:type="dxa"/>
          </w:tcPr>
          <w:p w:rsidR="000B7AC1" w:rsidRPr="00822D83" w:rsidRDefault="000B7AC1" w:rsidP="00822D83">
            <w:pPr>
              <w:ind w:left="0" w:right="-51"/>
              <w:rPr>
                <w:kern w:val="2"/>
                <w:sz w:val="20"/>
                <w:szCs w:val="20"/>
              </w:rPr>
            </w:pPr>
            <w:r w:rsidRPr="00822D83">
              <w:rPr>
                <w:kern w:val="2"/>
                <w:sz w:val="20"/>
                <w:szCs w:val="20"/>
              </w:rPr>
              <w:t>1000</w:t>
            </w:r>
          </w:p>
        </w:tc>
        <w:tc>
          <w:tcPr>
            <w:tcW w:w="1190" w:type="dxa"/>
          </w:tcPr>
          <w:p w:rsidR="000B7AC1" w:rsidRPr="00822D83" w:rsidRDefault="000B7AC1" w:rsidP="00822D83">
            <w:pPr>
              <w:ind w:left="0" w:right="0"/>
              <w:rPr>
                <w:color w:val="000000"/>
                <w:sz w:val="20"/>
                <w:szCs w:val="20"/>
              </w:rPr>
            </w:pPr>
            <w:r w:rsidRPr="00822D83">
              <w:rPr>
                <w:color w:val="000000"/>
                <w:sz w:val="20"/>
                <w:szCs w:val="20"/>
              </w:rPr>
              <w:t>1298</w:t>
            </w:r>
          </w:p>
        </w:tc>
        <w:tc>
          <w:tcPr>
            <w:tcW w:w="1190" w:type="dxa"/>
          </w:tcPr>
          <w:p w:rsidR="000B7AC1" w:rsidRPr="00822D83" w:rsidRDefault="000B7AC1" w:rsidP="00822D83">
            <w:pPr>
              <w:ind w:left="63" w:right="61"/>
              <w:rPr>
                <w:color w:val="000000"/>
                <w:sz w:val="20"/>
                <w:szCs w:val="20"/>
              </w:rPr>
            </w:pPr>
            <w:r w:rsidRPr="00822D83">
              <w:rPr>
                <w:color w:val="000000"/>
                <w:sz w:val="20"/>
                <w:szCs w:val="20"/>
              </w:rPr>
              <w:t>179</w:t>
            </w:r>
          </w:p>
        </w:tc>
        <w:tc>
          <w:tcPr>
            <w:tcW w:w="1190" w:type="dxa"/>
          </w:tcPr>
          <w:p w:rsidR="000B7AC1" w:rsidRPr="00822D83" w:rsidRDefault="000B7AC1" w:rsidP="00822D83">
            <w:pPr>
              <w:ind w:left="0" w:right="0"/>
              <w:rPr>
                <w:color w:val="000000"/>
                <w:sz w:val="20"/>
                <w:szCs w:val="20"/>
              </w:rPr>
            </w:pPr>
            <w:r w:rsidRPr="00822D83">
              <w:rPr>
                <w:color w:val="000000"/>
                <w:kern w:val="2"/>
                <w:sz w:val="20"/>
                <w:szCs w:val="20"/>
              </w:rPr>
              <w:t>24</w:t>
            </w:r>
          </w:p>
        </w:tc>
        <w:tc>
          <w:tcPr>
            <w:tcW w:w="1191" w:type="dxa"/>
          </w:tcPr>
          <w:p w:rsidR="000B7AC1" w:rsidRPr="00822D83" w:rsidRDefault="000B7AC1" w:rsidP="00822D83">
            <w:pPr>
              <w:ind w:left="0" w:right="0"/>
              <w:rPr>
                <w:color w:val="000000"/>
                <w:sz w:val="20"/>
                <w:szCs w:val="20"/>
              </w:rPr>
            </w:pPr>
            <w:r w:rsidRPr="00822D83">
              <w:rPr>
                <w:color w:val="000000"/>
                <w:kern w:val="2"/>
                <w:sz w:val="20"/>
                <w:szCs w:val="20"/>
              </w:rPr>
              <w:t>66</w:t>
            </w:r>
          </w:p>
        </w:tc>
      </w:tr>
      <w:tr w:rsidR="000B7AC1" w:rsidRPr="00822D83" w:rsidTr="00822D83">
        <w:trPr>
          <w:trHeight w:val="214"/>
        </w:trPr>
        <w:tc>
          <w:tcPr>
            <w:tcW w:w="962" w:type="dxa"/>
            <w:vMerge/>
          </w:tcPr>
          <w:p w:rsidR="000B7AC1" w:rsidRPr="00822D83" w:rsidRDefault="000B7AC1" w:rsidP="00822D83">
            <w:pPr>
              <w:ind w:left="0" w:right="-105"/>
              <w:rPr>
                <w:color w:val="00B050"/>
                <w:kern w:val="2"/>
                <w:sz w:val="20"/>
                <w:szCs w:val="20"/>
              </w:rPr>
            </w:pPr>
          </w:p>
        </w:tc>
        <w:tc>
          <w:tcPr>
            <w:tcW w:w="1121" w:type="dxa"/>
            <w:vMerge/>
          </w:tcPr>
          <w:p w:rsidR="000B7AC1" w:rsidRPr="00822D83" w:rsidRDefault="000B7AC1" w:rsidP="00822D83">
            <w:pPr>
              <w:ind w:left="0" w:right="0"/>
              <w:rPr>
                <w:kern w:val="2"/>
                <w:sz w:val="20"/>
                <w:szCs w:val="20"/>
              </w:rPr>
            </w:pPr>
          </w:p>
        </w:tc>
        <w:tc>
          <w:tcPr>
            <w:tcW w:w="1484" w:type="dxa"/>
          </w:tcPr>
          <w:p w:rsidR="000B7AC1" w:rsidRPr="00822D83" w:rsidRDefault="000B7AC1" w:rsidP="00822D83">
            <w:pPr>
              <w:ind w:left="0" w:right="-51"/>
              <w:rPr>
                <w:kern w:val="2"/>
                <w:sz w:val="20"/>
                <w:szCs w:val="20"/>
              </w:rPr>
            </w:pPr>
            <w:r w:rsidRPr="00822D83">
              <w:rPr>
                <w:kern w:val="2"/>
                <w:sz w:val="20"/>
                <w:szCs w:val="20"/>
              </w:rPr>
              <w:t>2000</w:t>
            </w:r>
          </w:p>
        </w:tc>
        <w:tc>
          <w:tcPr>
            <w:tcW w:w="1190" w:type="dxa"/>
          </w:tcPr>
          <w:p w:rsidR="000B7AC1" w:rsidRPr="00822D83" w:rsidRDefault="000B7AC1" w:rsidP="00822D83">
            <w:pPr>
              <w:ind w:left="0" w:right="0"/>
              <w:rPr>
                <w:color w:val="000000"/>
                <w:sz w:val="20"/>
                <w:szCs w:val="20"/>
              </w:rPr>
            </w:pPr>
            <w:r w:rsidRPr="00822D83">
              <w:rPr>
                <w:color w:val="000000"/>
                <w:sz w:val="20"/>
                <w:szCs w:val="20"/>
              </w:rPr>
              <w:t>2596</w:t>
            </w:r>
          </w:p>
        </w:tc>
        <w:tc>
          <w:tcPr>
            <w:tcW w:w="1190" w:type="dxa"/>
          </w:tcPr>
          <w:p w:rsidR="000B7AC1" w:rsidRPr="00822D83" w:rsidRDefault="000B7AC1" w:rsidP="00822D83">
            <w:pPr>
              <w:ind w:left="63" w:right="61"/>
              <w:rPr>
                <w:color w:val="000000"/>
                <w:sz w:val="20"/>
                <w:szCs w:val="20"/>
              </w:rPr>
            </w:pPr>
            <w:r w:rsidRPr="00822D83">
              <w:rPr>
                <w:color w:val="000000"/>
                <w:sz w:val="20"/>
                <w:szCs w:val="20"/>
              </w:rPr>
              <w:t>358</w:t>
            </w:r>
          </w:p>
        </w:tc>
        <w:tc>
          <w:tcPr>
            <w:tcW w:w="1190" w:type="dxa"/>
          </w:tcPr>
          <w:p w:rsidR="000B7AC1" w:rsidRPr="00822D83" w:rsidRDefault="000B7AC1" w:rsidP="00822D83">
            <w:pPr>
              <w:ind w:left="0" w:right="0"/>
              <w:rPr>
                <w:color w:val="000000"/>
                <w:sz w:val="20"/>
                <w:szCs w:val="20"/>
              </w:rPr>
            </w:pPr>
            <w:r w:rsidRPr="00822D83">
              <w:rPr>
                <w:color w:val="000000"/>
                <w:kern w:val="2"/>
                <w:sz w:val="20"/>
                <w:szCs w:val="20"/>
              </w:rPr>
              <w:t>49</w:t>
            </w:r>
          </w:p>
        </w:tc>
        <w:tc>
          <w:tcPr>
            <w:tcW w:w="1191" w:type="dxa"/>
          </w:tcPr>
          <w:p w:rsidR="000B7AC1" w:rsidRPr="00822D83" w:rsidRDefault="000B7AC1" w:rsidP="00822D83">
            <w:pPr>
              <w:ind w:left="0" w:right="0"/>
              <w:rPr>
                <w:color w:val="000000"/>
                <w:sz w:val="20"/>
                <w:szCs w:val="20"/>
              </w:rPr>
            </w:pPr>
            <w:r w:rsidRPr="00822D83">
              <w:rPr>
                <w:color w:val="000000"/>
                <w:kern w:val="2"/>
                <w:sz w:val="20"/>
                <w:szCs w:val="20"/>
              </w:rPr>
              <w:t>132</w:t>
            </w:r>
          </w:p>
        </w:tc>
      </w:tr>
      <w:tr w:rsidR="000B7AC1" w:rsidRPr="00822D83" w:rsidTr="00822D83">
        <w:trPr>
          <w:trHeight w:val="214"/>
        </w:trPr>
        <w:tc>
          <w:tcPr>
            <w:tcW w:w="962" w:type="dxa"/>
            <w:vMerge/>
          </w:tcPr>
          <w:p w:rsidR="000B7AC1" w:rsidRPr="00822D83" w:rsidRDefault="000B7AC1" w:rsidP="00822D83">
            <w:pPr>
              <w:ind w:left="0" w:right="-105"/>
              <w:rPr>
                <w:color w:val="00B050"/>
                <w:kern w:val="2"/>
                <w:sz w:val="20"/>
                <w:szCs w:val="20"/>
              </w:rPr>
            </w:pPr>
          </w:p>
        </w:tc>
        <w:tc>
          <w:tcPr>
            <w:tcW w:w="1121" w:type="dxa"/>
            <w:vMerge w:val="restart"/>
          </w:tcPr>
          <w:p w:rsidR="000B7AC1" w:rsidRPr="00822D83" w:rsidRDefault="000B7AC1" w:rsidP="00822D83">
            <w:pPr>
              <w:ind w:left="0" w:right="0"/>
              <w:rPr>
                <w:kern w:val="2"/>
                <w:sz w:val="20"/>
                <w:szCs w:val="20"/>
              </w:rPr>
            </w:pPr>
            <w:r w:rsidRPr="00822D83">
              <w:rPr>
                <w:kern w:val="2"/>
                <w:sz w:val="20"/>
                <w:szCs w:val="20"/>
              </w:rPr>
              <w:t>26 weeks</w:t>
            </w:r>
          </w:p>
        </w:tc>
        <w:tc>
          <w:tcPr>
            <w:tcW w:w="1484" w:type="dxa"/>
          </w:tcPr>
          <w:p w:rsidR="000B7AC1" w:rsidRPr="00822D83" w:rsidRDefault="000B7AC1" w:rsidP="00822D83">
            <w:pPr>
              <w:ind w:left="0" w:right="-51"/>
              <w:rPr>
                <w:kern w:val="2"/>
                <w:sz w:val="20"/>
                <w:szCs w:val="20"/>
              </w:rPr>
            </w:pPr>
            <w:r w:rsidRPr="00822D83">
              <w:rPr>
                <w:kern w:val="2"/>
                <w:sz w:val="20"/>
                <w:szCs w:val="20"/>
              </w:rPr>
              <w:t>500</w:t>
            </w:r>
          </w:p>
        </w:tc>
        <w:tc>
          <w:tcPr>
            <w:tcW w:w="1190" w:type="dxa"/>
          </w:tcPr>
          <w:p w:rsidR="000B7AC1" w:rsidRPr="00822D83" w:rsidRDefault="000B7AC1" w:rsidP="00822D83">
            <w:pPr>
              <w:ind w:left="0" w:right="0"/>
              <w:rPr>
                <w:color w:val="000000"/>
                <w:sz w:val="20"/>
                <w:szCs w:val="20"/>
              </w:rPr>
            </w:pPr>
            <w:r w:rsidRPr="00822D83">
              <w:rPr>
                <w:color w:val="000000"/>
                <w:kern w:val="2"/>
                <w:sz w:val="20"/>
                <w:szCs w:val="20"/>
              </w:rPr>
              <w:t>476</w:t>
            </w:r>
          </w:p>
        </w:tc>
        <w:tc>
          <w:tcPr>
            <w:tcW w:w="1190" w:type="dxa"/>
          </w:tcPr>
          <w:p w:rsidR="000B7AC1" w:rsidRPr="00822D83" w:rsidRDefault="000B7AC1" w:rsidP="00822D83">
            <w:pPr>
              <w:ind w:left="63" w:right="61"/>
              <w:rPr>
                <w:color w:val="000000"/>
                <w:sz w:val="20"/>
                <w:szCs w:val="20"/>
              </w:rPr>
            </w:pPr>
            <w:r w:rsidRPr="00822D83">
              <w:rPr>
                <w:color w:val="000000"/>
                <w:kern w:val="2"/>
                <w:sz w:val="20"/>
                <w:szCs w:val="20"/>
              </w:rPr>
              <w:t>75</w:t>
            </w:r>
          </w:p>
        </w:tc>
        <w:tc>
          <w:tcPr>
            <w:tcW w:w="1190" w:type="dxa"/>
          </w:tcPr>
          <w:p w:rsidR="000B7AC1" w:rsidRPr="00822D83" w:rsidRDefault="000B7AC1" w:rsidP="00822D83">
            <w:pPr>
              <w:ind w:left="0" w:right="0"/>
              <w:rPr>
                <w:color w:val="000000"/>
                <w:sz w:val="20"/>
                <w:szCs w:val="20"/>
              </w:rPr>
            </w:pPr>
            <w:r w:rsidRPr="00822D83">
              <w:rPr>
                <w:color w:val="000000"/>
                <w:kern w:val="2"/>
                <w:sz w:val="20"/>
                <w:szCs w:val="20"/>
              </w:rPr>
              <w:t>9</w:t>
            </w:r>
          </w:p>
        </w:tc>
        <w:tc>
          <w:tcPr>
            <w:tcW w:w="1191" w:type="dxa"/>
          </w:tcPr>
          <w:p w:rsidR="000B7AC1" w:rsidRPr="00822D83" w:rsidRDefault="000B7AC1" w:rsidP="00822D83">
            <w:pPr>
              <w:ind w:left="0" w:right="0"/>
              <w:rPr>
                <w:color w:val="000000"/>
                <w:sz w:val="20"/>
                <w:szCs w:val="20"/>
              </w:rPr>
            </w:pPr>
            <w:r w:rsidRPr="00822D83">
              <w:rPr>
                <w:color w:val="000000"/>
                <w:kern w:val="2"/>
                <w:sz w:val="20"/>
                <w:szCs w:val="20"/>
              </w:rPr>
              <w:t>28</w:t>
            </w:r>
          </w:p>
        </w:tc>
      </w:tr>
      <w:tr w:rsidR="000B7AC1" w:rsidRPr="00822D83" w:rsidTr="00822D83">
        <w:trPr>
          <w:trHeight w:val="214"/>
        </w:trPr>
        <w:tc>
          <w:tcPr>
            <w:tcW w:w="962" w:type="dxa"/>
            <w:vMerge/>
          </w:tcPr>
          <w:p w:rsidR="000B7AC1" w:rsidRPr="00822D83" w:rsidRDefault="000B7AC1" w:rsidP="00822D83">
            <w:pPr>
              <w:ind w:left="0" w:right="-105"/>
              <w:rPr>
                <w:kern w:val="2"/>
                <w:sz w:val="20"/>
                <w:szCs w:val="20"/>
              </w:rPr>
            </w:pPr>
          </w:p>
        </w:tc>
        <w:tc>
          <w:tcPr>
            <w:tcW w:w="1121" w:type="dxa"/>
            <w:vMerge/>
          </w:tcPr>
          <w:p w:rsidR="000B7AC1" w:rsidRPr="00822D83" w:rsidRDefault="000B7AC1" w:rsidP="00822D83">
            <w:pPr>
              <w:ind w:left="0" w:right="0"/>
              <w:rPr>
                <w:color w:val="00B050"/>
                <w:kern w:val="2"/>
                <w:sz w:val="20"/>
                <w:szCs w:val="20"/>
              </w:rPr>
            </w:pPr>
          </w:p>
        </w:tc>
        <w:tc>
          <w:tcPr>
            <w:tcW w:w="1484" w:type="dxa"/>
          </w:tcPr>
          <w:p w:rsidR="000B7AC1" w:rsidRPr="00822D83" w:rsidRDefault="000B7AC1" w:rsidP="00822D83">
            <w:pPr>
              <w:ind w:left="0" w:right="-51"/>
              <w:rPr>
                <w:kern w:val="2"/>
                <w:sz w:val="20"/>
                <w:szCs w:val="20"/>
              </w:rPr>
            </w:pPr>
            <w:r w:rsidRPr="00822D83">
              <w:rPr>
                <w:kern w:val="2"/>
                <w:sz w:val="20"/>
                <w:szCs w:val="20"/>
              </w:rPr>
              <w:t>1000</w:t>
            </w:r>
          </w:p>
        </w:tc>
        <w:tc>
          <w:tcPr>
            <w:tcW w:w="1190" w:type="dxa"/>
          </w:tcPr>
          <w:p w:rsidR="000B7AC1" w:rsidRPr="00822D83" w:rsidRDefault="000B7AC1" w:rsidP="00822D83">
            <w:pPr>
              <w:ind w:left="0" w:right="0"/>
              <w:rPr>
                <w:color w:val="000000"/>
                <w:sz w:val="20"/>
                <w:szCs w:val="20"/>
              </w:rPr>
            </w:pPr>
            <w:r w:rsidRPr="00822D83">
              <w:rPr>
                <w:color w:val="000000"/>
                <w:kern w:val="2"/>
                <w:sz w:val="20"/>
                <w:szCs w:val="20"/>
              </w:rPr>
              <w:t>755</w:t>
            </w:r>
          </w:p>
        </w:tc>
        <w:tc>
          <w:tcPr>
            <w:tcW w:w="1190" w:type="dxa"/>
          </w:tcPr>
          <w:p w:rsidR="000B7AC1" w:rsidRPr="00822D83" w:rsidRDefault="000B7AC1" w:rsidP="00822D83">
            <w:pPr>
              <w:ind w:left="63" w:right="61"/>
              <w:rPr>
                <w:color w:val="000000"/>
                <w:sz w:val="20"/>
                <w:szCs w:val="20"/>
              </w:rPr>
            </w:pPr>
            <w:r w:rsidRPr="00822D83">
              <w:rPr>
                <w:color w:val="000000"/>
                <w:kern w:val="2"/>
                <w:sz w:val="20"/>
                <w:szCs w:val="20"/>
              </w:rPr>
              <w:t>86</w:t>
            </w:r>
          </w:p>
        </w:tc>
        <w:tc>
          <w:tcPr>
            <w:tcW w:w="1190" w:type="dxa"/>
          </w:tcPr>
          <w:p w:rsidR="000B7AC1" w:rsidRPr="00822D83" w:rsidRDefault="000B7AC1" w:rsidP="00822D83">
            <w:pPr>
              <w:ind w:left="0" w:right="0"/>
              <w:rPr>
                <w:color w:val="000000"/>
                <w:sz w:val="20"/>
                <w:szCs w:val="20"/>
              </w:rPr>
            </w:pPr>
            <w:r w:rsidRPr="00822D83">
              <w:rPr>
                <w:color w:val="000000"/>
                <w:kern w:val="2"/>
                <w:sz w:val="20"/>
                <w:szCs w:val="20"/>
              </w:rPr>
              <w:t>14</w:t>
            </w:r>
          </w:p>
        </w:tc>
        <w:tc>
          <w:tcPr>
            <w:tcW w:w="1191" w:type="dxa"/>
          </w:tcPr>
          <w:p w:rsidR="000B7AC1" w:rsidRPr="00822D83" w:rsidRDefault="000B7AC1" w:rsidP="00822D83">
            <w:pPr>
              <w:ind w:left="0" w:right="0"/>
              <w:rPr>
                <w:color w:val="000000"/>
                <w:sz w:val="20"/>
                <w:szCs w:val="20"/>
              </w:rPr>
            </w:pPr>
            <w:r w:rsidRPr="00822D83">
              <w:rPr>
                <w:color w:val="000000"/>
                <w:kern w:val="2"/>
                <w:sz w:val="20"/>
                <w:szCs w:val="20"/>
              </w:rPr>
              <w:t>32</w:t>
            </w:r>
          </w:p>
        </w:tc>
      </w:tr>
      <w:tr w:rsidR="000B7AC1" w:rsidRPr="00822D83" w:rsidTr="00822D83">
        <w:trPr>
          <w:trHeight w:val="214"/>
        </w:trPr>
        <w:tc>
          <w:tcPr>
            <w:tcW w:w="962" w:type="dxa"/>
          </w:tcPr>
          <w:p w:rsidR="000B7AC1" w:rsidRPr="00822D83" w:rsidRDefault="000B7AC1" w:rsidP="00822D83">
            <w:pPr>
              <w:ind w:left="0" w:right="-105"/>
              <w:rPr>
                <w:kern w:val="2"/>
                <w:sz w:val="20"/>
                <w:szCs w:val="20"/>
              </w:rPr>
            </w:pPr>
            <w:r w:rsidRPr="00822D83">
              <w:rPr>
                <w:kern w:val="2"/>
                <w:sz w:val="20"/>
                <w:szCs w:val="20"/>
              </w:rPr>
              <w:t>Human</w:t>
            </w:r>
          </w:p>
        </w:tc>
        <w:tc>
          <w:tcPr>
            <w:tcW w:w="1121" w:type="dxa"/>
          </w:tcPr>
          <w:p w:rsidR="000B7AC1" w:rsidRPr="00822D83" w:rsidRDefault="000B7AC1" w:rsidP="00822D83">
            <w:pPr>
              <w:ind w:left="0" w:right="0"/>
              <w:rPr>
                <w:color w:val="auto"/>
                <w:kern w:val="2"/>
                <w:sz w:val="20"/>
                <w:szCs w:val="20"/>
              </w:rPr>
            </w:pPr>
            <w:r w:rsidRPr="00822D83">
              <w:rPr>
                <w:kern w:val="2"/>
                <w:sz w:val="20"/>
                <w:szCs w:val="20"/>
              </w:rPr>
              <w:t>–</w:t>
            </w:r>
          </w:p>
        </w:tc>
        <w:tc>
          <w:tcPr>
            <w:tcW w:w="1484" w:type="dxa"/>
          </w:tcPr>
          <w:p w:rsidR="000B7AC1" w:rsidRPr="00822D83" w:rsidRDefault="000B7AC1" w:rsidP="00822D83">
            <w:pPr>
              <w:ind w:left="0" w:right="-51"/>
              <w:rPr>
                <w:kern w:val="2"/>
                <w:sz w:val="20"/>
                <w:szCs w:val="20"/>
              </w:rPr>
            </w:pPr>
            <w:r w:rsidRPr="00822D83">
              <w:rPr>
                <w:kern w:val="2"/>
                <w:sz w:val="20"/>
                <w:szCs w:val="20"/>
              </w:rPr>
              <w:t>250</w:t>
            </w:r>
          </w:p>
        </w:tc>
        <w:tc>
          <w:tcPr>
            <w:tcW w:w="1190" w:type="dxa"/>
          </w:tcPr>
          <w:p w:rsidR="000B7AC1" w:rsidRPr="00822D83" w:rsidRDefault="000B7AC1" w:rsidP="00822D83">
            <w:pPr>
              <w:ind w:left="0" w:right="0"/>
              <w:rPr>
                <w:kern w:val="2"/>
                <w:sz w:val="20"/>
                <w:szCs w:val="20"/>
              </w:rPr>
            </w:pPr>
            <w:r w:rsidRPr="00822D83">
              <w:rPr>
                <w:kern w:val="2"/>
                <w:sz w:val="20"/>
                <w:szCs w:val="20"/>
              </w:rPr>
              <w:t>53</w:t>
            </w:r>
          </w:p>
        </w:tc>
        <w:tc>
          <w:tcPr>
            <w:tcW w:w="1190" w:type="dxa"/>
          </w:tcPr>
          <w:p w:rsidR="000B7AC1" w:rsidRPr="00822D83" w:rsidRDefault="000B7AC1" w:rsidP="00822D83">
            <w:pPr>
              <w:ind w:left="63" w:right="61"/>
              <w:rPr>
                <w:kern w:val="2"/>
                <w:sz w:val="20"/>
                <w:szCs w:val="20"/>
              </w:rPr>
            </w:pPr>
            <w:r w:rsidRPr="00822D83">
              <w:rPr>
                <w:kern w:val="2"/>
                <w:sz w:val="20"/>
                <w:szCs w:val="20"/>
              </w:rPr>
              <w:t>2.71</w:t>
            </w:r>
          </w:p>
        </w:tc>
        <w:tc>
          <w:tcPr>
            <w:tcW w:w="1190" w:type="dxa"/>
          </w:tcPr>
          <w:p w:rsidR="000B7AC1" w:rsidRPr="00822D83" w:rsidRDefault="000B7AC1" w:rsidP="00822D83">
            <w:pPr>
              <w:ind w:left="0" w:right="0"/>
              <w:rPr>
                <w:kern w:val="2"/>
                <w:sz w:val="20"/>
                <w:szCs w:val="20"/>
              </w:rPr>
            </w:pPr>
            <w:r w:rsidRPr="00822D83">
              <w:rPr>
                <w:kern w:val="2"/>
                <w:sz w:val="20"/>
                <w:szCs w:val="20"/>
              </w:rPr>
              <w:t>–</w:t>
            </w:r>
          </w:p>
        </w:tc>
        <w:tc>
          <w:tcPr>
            <w:tcW w:w="1191" w:type="dxa"/>
          </w:tcPr>
          <w:p w:rsidR="000B7AC1" w:rsidRPr="00822D83" w:rsidRDefault="000B7AC1" w:rsidP="00822D83">
            <w:pPr>
              <w:ind w:left="0" w:right="0"/>
              <w:rPr>
                <w:kern w:val="2"/>
                <w:sz w:val="20"/>
                <w:szCs w:val="20"/>
              </w:rPr>
            </w:pPr>
            <w:r w:rsidRPr="00822D83">
              <w:rPr>
                <w:kern w:val="2"/>
                <w:sz w:val="20"/>
                <w:szCs w:val="20"/>
              </w:rPr>
              <w:t>–</w:t>
            </w:r>
          </w:p>
        </w:tc>
      </w:tr>
    </w:tbl>
    <w:p w:rsidR="00C9747E" w:rsidRDefault="00F668CC" w:rsidP="00822D83">
      <w:pPr>
        <w:pStyle w:val="TableDescription"/>
      </w:pPr>
      <w:r>
        <w:rPr>
          <w:vertAlign w:val="superscript"/>
        </w:rPr>
        <w:t xml:space="preserve">a. </w:t>
      </w:r>
      <w:r w:rsidR="000B7AC1" w:rsidRPr="000B7AC1">
        <w:t>exposure data for the 500, 1000 and 2000 mg/kg/day doses were ext</w:t>
      </w:r>
      <w:r w:rsidR="00D1023B">
        <w:t xml:space="preserve">rapolated from data for the 250 mg/kg/day dose and may be over </w:t>
      </w:r>
      <w:r w:rsidR="000B7AC1" w:rsidRPr="000B7AC1">
        <w:t xml:space="preserve">estimates given the less </w:t>
      </w:r>
      <w:r w:rsidR="00D1023B">
        <w:t xml:space="preserve">than dose </w:t>
      </w:r>
      <w:r w:rsidR="000B7AC1" w:rsidRPr="000B7AC1">
        <w:t>proportional relationship with exposure in this species</w:t>
      </w:r>
    </w:p>
    <w:p w:rsidR="000B7AC1" w:rsidRPr="000B7AC1" w:rsidRDefault="000B7AC1" w:rsidP="00822D83">
      <w:pPr>
        <w:pStyle w:val="Heading5"/>
      </w:pPr>
      <w:r w:rsidRPr="00822D83">
        <w:t>Major</w:t>
      </w:r>
      <w:r w:rsidRPr="000B7AC1">
        <w:t xml:space="preserve"> toxicities</w:t>
      </w:r>
    </w:p>
    <w:p w:rsidR="000B7AC1" w:rsidRPr="000B7AC1" w:rsidRDefault="000B7AC1" w:rsidP="00822D83">
      <w:r w:rsidRPr="000B7AC1">
        <w:t>All neonatal mice that received 2000 mg/kg/day PO carglumic acid died after 2</w:t>
      </w:r>
      <w:r w:rsidR="002D6A00">
        <w:t xml:space="preserve"> to </w:t>
      </w:r>
      <w:r w:rsidRPr="000B7AC1">
        <w:t>3 days of dosing. No deaths were observed at ≤</w:t>
      </w:r>
      <w:r w:rsidR="002D6A00">
        <w:t xml:space="preserve"> </w:t>
      </w:r>
      <w:r w:rsidRPr="000B7AC1">
        <w:t>1000 mg/kg/day PO (exposure based on AUC, at least 14 times the clinical exposure). During the first 10 days of dosing, reduced bodyweight gain was observed in neonates that received 1000 mg/kg/day PO and adults that received 2</w:t>
      </w:r>
      <w:r w:rsidR="00A13DF6">
        <w:t>000 mg/kg/day PO carglumic acid. A</w:t>
      </w:r>
      <w:r w:rsidRPr="000B7AC1">
        <w:t xml:space="preserve">fter </w:t>
      </w:r>
      <w:r w:rsidR="00A13DF6">
        <w:t>this</w:t>
      </w:r>
      <w:r w:rsidRPr="000B7AC1">
        <w:t xml:space="preserve"> their bodyweight appeared to normalise. Initial high doses may cause a metabolic disturban</w:t>
      </w:r>
      <w:r w:rsidR="00EA0954">
        <w:t xml:space="preserve">ce which stabilises with </w:t>
      </w:r>
      <w:r w:rsidR="00EA0954">
        <w:lastRenderedPageBreak/>
        <w:t xml:space="preserve">repeat </w:t>
      </w:r>
      <w:r w:rsidRPr="000B7AC1">
        <w:t>dosing. Neonates appeared to be more sensitive to this effect than adults or young adults. Orange faeces were seen in neonates (but not juveniles) that received 1000 mg/kg/day PO carglumic acid.</w:t>
      </w:r>
    </w:p>
    <w:p w:rsidR="000B7AC1" w:rsidRPr="000B7AC1" w:rsidRDefault="000B7AC1" w:rsidP="00822D83">
      <w:r w:rsidRPr="000B7AC1">
        <w:t>There was no significant macroscopic or microscopic evidence of toxicity at ≤</w:t>
      </w:r>
      <w:r w:rsidR="002D6A00">
        <w:t> 1000 </w:t>
      </w:r>
      <w:r w:rsidRPr="000B7AC1">
        <w:t xml:space="preserve">mg/kg/day (resulting in 14 times the clinical AUC). There was a minor increase in liver weights at 1000 mg/kg/day </w:t>
      </w:r>
      <w:r w:rsidR="00A13DF6" w:rsidRPr="00A13DF6">
        <w:t>PO</w:t>
      </w:r>
      <w:r w:rsidR="00A13DF6">
        <w:t xml:space="preserve"> but as it occurred without </w:t>
      </w:r>
      <w:r w:rsidR="00A13DF6" w:rsidRPr="00A13DF6">
        <w:t>evidence of hepatic injury</w:t>
      </w:r>
      <w:r w:rsidR="00A13DF6">
        <w:t xml:space="preserve"> it </w:t>
      </w:r>
      <w:r w:rsidR="00A13DF6" w:rsidRPr="00A13DF6">
        <w:t xml:space="preserve">is not </w:t>
      </w:r>
      <w:r w:rsidRPr="000B7AC1">
        <w:t>considered to be a toxicologi</w:t>
      </w:r>
      <w:r w:rsidR="002D6A00">
        <w:t xml:space="preserve">cal concern. Deposition of drug </w:t>
      </w:r>
      <w:r w:rsidRPr="000B7AC1">
        <w:t>related material on the stomach mucosal sur</w:t>
      </w:r>
      <w:r w:rsidR="00A13DF6">
        <w:t xml:space="preserve">face was seen in some neonates </w:t>
      </w:r>
      <w:r w:rsidRPr="000B7AC1">
        <w:t>but without any evidence of gastrointestinal damage. Hyper</w:t>
      </w:r>
      <w:r w:rsidR="0058111F">
        <w:t xml:space="preserve"> </w:t>
      </w:r>
      <w:r w:rsidRPr="000B7AC1">
        <w:t>salivation was seen in most animals that received 1000 mg/kg/day</w:t>
      </w:r>
      <w:r w:rsidR="00A13DF6">
        <w:t xml:space="preserve"> PO carglumic acid for 26 weeks</w:t>
      </w:r>
      <w:r w:rsidRPr="000B7AC1">
        <w:t xml:space="preserve"> but this was not considered </w:t>
      </w:r>
      <w:r w:rsidR="002D6A00">
        <w:t xml:space="preserve">adverse. Overall, no clinically </w:t>
      </w:r>
      <w:r w:rsidRPr="000B7AC1">
        <w:t>relevant toxicities were observed.</w:t>
      </w:r>
    </w:p>
    <w:p w:rsidR="000B7AC1" w:rsidRPr="000B7AC1" w:rsidRDefault="000B7AC1" w:rsidP="00822D83">
      <w:pPr>
        <w:pStyle w:val="Heading4"/>
      </w:pPr>
      <w:bookmarkStart w:id="55" w:name="_Toc294861729"/>
      <w:r w:rsidRPr="00822D83">
        <w:t>Genotoxicity</w:t>
      </w:r>
      <w:bookmarkEnd w:id="55"/>
    </w:p>
    <w:p w:rsidR="000B7AC1" w:rsidRPr="000B7AC1" w:rsidRDefault="000B7AC1" w:rsidP="00822D83">
      <w:r w:rsidRPr="000B7AC1">
        <w:t>The genotoxic potential of carglumic acid was assessed in the standard battery of tests, conducted according to t</w:t>
      </w:r>
      <w:r w:rsidR="00FE24FA">
        <w:t>he relevant guideline</w:t>
      </w:r>
      <w:r w:rsidR="002D6A00" w:rsidRPr="00FE24FA">
        <w:rPr>
          <w:rStyle w:val="FootnoteReference"/>
        </w:rPr>
        <w:footnoteReference w:id="3"/>
      </w:r>
      <w:r w:rsidR="00CD601D">
        <w:t>. In vitro</w:t>
      </w:r>
      <w:r w:rsidRPr="000B7AC1">
        <w:t xml:space="preserve"> carglumic acid was not mutagenic in bacterial cells and was not clastogenic in human lymphocytes. Occasional positive results were observed in th</w:t>
      </w:r>
      <w:r w:rsidR="00A13DF6">
        <w:t>e in vitro clastogenicity assay but the</w:t>
      </w:r>
      <w:r w:rsidRPr="000B7AC1">
        <w:t>s</w:t>
      </w:r>
      <w:r w:rsidR="00A13DF6">
        <w:t xml:space="preserve">e </w:t>
      </w:r>
      <w:r w:rsidRPr="000B7AC1">
        <w:t>w</w:t>
      </w:r>
      <w:r w:rsidR="00A13DF6">
        <w:t>ere</w:t>
      </w:r>
      <w:r w:rsidRPr="000B7AC1">
        <w:t xml:space="preserve"> shown to be artefactual. Negative results were seen in the rat micronucleus assay at oral doses ≤</w:t>
      </w:r>
      <w:r w:rsidR="002D6A00">
        <w:t> </w:t>
      </w:r>
      <w:r w:rsidR="00FE24FA">
        <w:t>7000 </w:t>
      </w:r>
      <w:r w:rsidRPr="000B7AC1">
        <w:t>mg/kg (estimated AUC 6650 µg∙h/mL; 126 times the maximum clinical exposure). There was no evidence of proliferation (</w:t>
      </w:r>
      <w:r w:rsidR="00BF4A86">
        <w:t>p</w:t>
      </w:r>
      <w:r w:rsidR="00FE24FA" w:rsidRPr="00FE24FA">
        <w:t xml:space="preserve">roliferating cell nuclear antigen </w:t>
      </w:r>
      <w:r w:rsidR="00FE24FA">
        <w:t>(</w:t>
      </w:r>
      <w:r w:rsidRPr="000B7AC1">
        <w:t>PCNA</w:t>
      </w:r>
      <w:r w:rsidR="00FE24FA">
        <w:t>)</w:t>
      </w:r>
      <w:r w:rsidRPr="000B7AC1">
        <w:t xml:space="preserve"> assay; multiple tissues </w:t>
      </w:r>
      <w:r w:rsidR="00CD601D">
        <w:t xml:space="preserve">assessed) in the pivotal repeat </w:t>
      </w:r>
      <w:r w:rsidRPr="000B7AC1">
        <w:t>dose toxicity study. The weight of evidence indicates a low genotoxic potential with carglumic acid.</w:t>
      </w:r>
    </w:p>
    <w:p w:rsidR="000B7AC1" w:rsidRPr="000B7AC1" w:rsidRDefault="000B7AC1" w:rsidP="00822D83">
      <w:pPr>
        <w:pStyle w:val="Heading4"/>
      </w:pPr>
      <w:bookmarkStart w:id="56" w:name="_Toc294861730"/>
      <w:r w:rsidRPr="00822D83">
        <w:t>Carcinogenicity</w:t>
      </w:r>
      <w:bookmarkEnd w:id="56"/>
    </w:p>
    <w:p w:rsidR="000B7AC1" w:rsidRPr="000B7AC1" w:rsidRDefault="000B7AC1" w:rsidP="00822D83">
      <w:r w:rsidRPr="000B7AC1">
        <w:t>No carcinogenici</w:t>
      </w:r>
      <w:r w:rsidR="002D6A00">
        <w:t>ty studies were submitted. The s</w:t>
      </w:r>
      <w:r w:rsidRPr="000B7AC1">
        <w:t>ponsor stated that carcinogenicity studies are not normally re</w:t>
      </w:r>
      <w:r w:rsidR="00A13DF6">
        <w:t>quired for this type of product</w:t>
      </w:r>
      <w:r w:rsidRPr="000B7AC1">
        <w:t xml:space="preserve"> citing ICH S6</w:t>
      </w:r>
      <w:r w:rsidR="00D8329F">
        <w:rPr>
          <w:rStyle w:val="FootnoteReference"/>
        </w:rPr>
        <w:footnoteReference w:id="4"/>
      </w:r>
      <w:r w:rsidRPr="000B7AC1">
        <w:t>. However, ICH S6 is not relevant for this type of synthetic product. Given the intended chronic use of carglumic acid, carcinogenicity studies would normally be expected. However, the absence of any toxicity, i</w:t>
      </w:r>
      <w:r w:rsidR="002D6A00">
        <w:t xml:space="preserve">ncluding immunotoxicity and pre </w:t>
      </w:r>
      <w:r w:rsidRPr="000B7AC1">
        <w:t>neoplastic</w:t>
      </w:r>
      <w:r w:rsidR="002D6A00">
        <w:t xml:space="preserve"> lesions, in the pivotal repeat </w:t>
      </w:r>
      <w:r w:rsidRPr="000B7AC1">
        <w:t>dose toxicity study combined with the negative findings in genotoxicity studies, carglumic acid is considered to have a low carcinogenic potential. Nonetheless, in the longer term, a carcinogenicity study shou</w:t>
      </w:r>
      <w:r w:rsidR="00A13DF6">
        <w:t>ld be conducted to confirm this</w:t>
      </w:r>
      <w:r w:rsidRPr="000B7AC1">
        <w:t xml:space="preserve"> but the absence of such a study should not pre</w:t>
      </w:r>
      <w:r w:rsidR="002D6A00">
        <w:t xml:space="preserve">clude registration for the life </w:t>
      </w:r>
      <w:r w:rsidRPr="000B7AC1">
        <w:t>threatening indication.</w:t>
      </w:r>
    </w:p>
    <w:p w:rsidR="000B7AC1" w:rsidRPr="000B7AC1" w:rsidRDefault="000B7AC1" w:rsidP="00822D83">
      <w:pPr>
        <w:pStyle w:val="Heading4"/>
      </w:pPr>
      <w:r w:rsidRPr="00822D83">
        <w:t>Reproductive</w:t>
      </w:r>
      <w:r w:rsidRPr="000B7AC1">
        <w:t xml:space="preserve"> toxicity</w:t>
      </w:r>
    </w:p>
    <w:p w:rsidR="000B7AC1" w:rsidRPr="000B7AC1" w:rsidRDefault="000B7AC1" w:rsidP="00822D83">
      <w:r w:rsidRPr="000B7AC1">
        <w:t>Submitted reproductive toxicity studies assessed effects on female fertility and pre/postnatal development in rats and effects on embryofetal development in rats and rabbits. All s</w:t>
      </w:r>
      <w:r w:rsidR="00D8329F">
        <w:t xml:space="preserve">tudies were GLP </w:t>
      </w:r>
      <w:r w:rsidRPr="000B7AC1">
        <w:t>compliant and were adequately conducted. Maximu</w:t>
      </w:r>
      <w:r w:rsidR="002D6A00">
        <w:t>m tested doses were acceptable,</w:t>
      </w:r>
      <w:r w:rsidRPr="000B7AC1">
        <w:t xml:space="preserve"> the limit dose (or higher) was used and maternal toxicity was observed at the highest dose in rabbits. Adequate exposures were achieved in the rat fertility/embryofetal study, while low exposures were achie</w:t>
      </w:r>
      <w:r w:rsidR="00152579">
        <w:t>ved in the rabbit study (Table 3</w:t>
      </w:r>
      <w:r w:rsidRPr="000B7AC1">
        <w:t>), primarily due to the lo</w:t>
      </w:r>
      <w:r w:rsidR="00D8329F">
        <w:t xml:space="preserve">wer exposures seen after repeat </w:t>
      </w:r>
      <w:r w:rsidRPr="000B7AC1">
        <w:t>dosing.</w:t>
      </w:r>
    </w:p>
    <w:p w:rsidR="000B7AC1" w:rsidRPr="000B7AC1" w:rsidRDefault="00152579" w:rsidP="00822D83">
      <w:pPr>
        <w:pStyle w:val="TableTitle"/>
      </w:pPr>
      <w:r>
        <w:lastRenderedPageBreak/>
        <w:t>Table 3</w:t>
      </w:r>
      <w:r w:rsidR="000B7AC1" w:rsidRPr="000B7AC1">
        <w:t xml:space="preserve">. Relative </w:t>
      </w:r>
      <w:r w:rsidR="000B7AC1" w:rsidRPr="00822D83">
        <w:t>exposure</w:t>
      </w:r>
      <w:r w:rsidR="000B7AC1" w:rsidRPr="000B7AC1">
        <w:t xml:space="preserve"> in the reproductive toxicity studies</w:t>
      </w:r>
      <w:r>
        <w:t>.</w:t>
      </w:r>
    </w:p>
    <w:tbl>
      <w:tblPr>
        <w:tblStyle w:val="TableTGAblue"/>
        <w:tblW w:w="7762" w:type="dxa"/>
        <w:tblLayout w:type="fixed"/>
        <w:tblLook w:val="01E0" w:firstRow="1" w:lastRow="1" w:firstColumn="1" w:lastColumn="1" w:noHBand="0" w:noVBand="0"/>
      </w:tblPr>
      <w:tblGrid>
        <w:gridCol w:w="1270"/>
        <w:gridCol w:w="1957"/>
        <w:gridCol w:w="1559"/>
        <w:gridCol w:w="1134"/>
        <w:gridCol w:w="1842"/>
      </w:tblGrid>
      <w:tr w:rsidR="000B7AC1" w:rsidRPr="00822D83" w:rsidTr="00822D83">
        <w:trPr>
          <w:cnfStyle w:val="100000000000" w:firstRow="1" w:lastRow="0" w:firstColumn="0" w:lastColumn="0" w:oddVBand="0" w:evenVBand="0" w:oddHBand="0" w:evenHBand="0" w:firstRowFirstColumn="0" w:firstRowLastColumn="0" w:lastRowFirstColumn="0" w:lastRowLastColumn="0"/>
          <w:trHeight w:val="620"/>
        </w:trPr>
        <w:tc>
          <w:tcPr>
            <w:tcW w:w="1270" w:type="dxa"/>
          </w:tcPr>
          <w:p w:rsidR="000B7AC1" w:rsidRPr="00822D83" w:rsidRDefault="000B7AC1" w:rsidP="00822D83">
            <w:pPr>
              <w:ind w:left="0" w:right="61"/>
              <w:rPr>
                <w:sz w:val="20"/>
                <w:szCs w:val="20"/>
              </w:rPr>
            </w:pPr>
            <w:r w:rsidRPr="00822D83">
              <w:rPr>
                <w:sz w:val="20"/>
                <w:szCs w:val="20"/>
              </w:rPr>
              <w:t>Species</w:t>
            </w:r>
          </w:p>
        </w:tc>
        <w:tc>
          <w:tcPr>
            <w:tcW w:w="1957" w:type="dxa"/>
          </w:tcPr>
          <w:p w:rsidR="000B7AC1" w:rsidRPr="00822D83" w:rsidRDefault="000B7AC1" w:rsidP="00822D83">
            <w:pPr>
              <w:ind w:left="6" w:right="34"/>
              <w:rPr>
                <w:sz w:val="20"/>
                <w:szCs w:val="20"/>
              </w:rPr>
            </w:pPr>
            <w:r w:rsidRPr="00822D83">
              <w:rPr>
                <w:sz w:val="20"/>
                <w:szCs w:val="20"/>
              </w:rPr>
              <w:t>Study</w:t>
            </w:r>
          </w:p>
        </w:tc>
        <w:tc>
          <w:tcPr>
            <w:tcW w:w="1559" w:type="dxa"/>
          </w:tcPr>
          <w:p w:rsidR="000B7AC1" w:rsidRPr="00822D83" w:rsidRDefault="00D8329F" w:rsidP="00822D83">
            <w:pPr>
              <w:ind w:left="34" w:right="0"/>
              <w:rPr>
                <w:sz w:val="20"/>
                <w:szCs w:val="20"/>
              </w:rPr>
            </w:pPr>
            <w:r w:rsidRPr="00822D83">
              <w:rPr>
                <w:sz w:val="20"/>
                <w:szCs w:val="20"/>
              </w:rPr>
              <w:t xml:space="preserve">Dose </w:t>
            </w:r>
            <w:r w:rsidR="000B7AC1" w:rsidRPr="00822D83">
              <w:rPr>
                <w:sz w:val="20"/>
                <w:szCs w:val="20"/>
              </w:rPr>
              <w:t>(mg/kg/day)</w:t>
            </w:r>
          </w:p>
        </w:tc>
        <w:tc>
          <w:tcPr>
            <w:tcW w:w="1134" w:type="dxa"/>
          </w:tcPr>
          <w:p w:rsidR="000B7AC1" w:rsidRPr="00822D83" w:rsidRDefault="000B7AC1" w:rsidP="00822D83">
            <w:pPr>
              <w:ind w:left="34" w:right="-108"/>
              <w:rPr>
                <w:sz w:val="20"/>
                <w:szCs w:val="20"/>
              </w:rPr>
            </w:pPr>
            <w:r w:rsidRPr="00822D83">
              <w:rPr>
                <w:sz w:val="20"/>
                <w:szCs w:val="20"/>
              </w:rPr>
              <w:t>AUC</w:t>
            </w:r>
            <w:r w:rsidRPr="00822D83">
              <w:rPr>
                <w:sz w:val="20"/>
                <w:szCs w:val="20"/>
                <w:vertAlign w:val="subscript"/>
              </w:rPr>
              <w:t>0–24</w:t>
            </w:r>
            <w:r w:rsidRPr="00822D83">
              <w:rPr>
                <w:w w:val="50"/>
                <w:sz w:val="20"/>
                <w:szCs w:val="20"/>
                <w:vertAlign w:val="subscript"/>
              </w:rPr>
              <w:t> </w:t>
            </w:r>
            <w:r w:rsidRPr="00822D83">
              <w:rPr>
                <w:sz w:val="20"/>
                <w:szCs w:val="20"/>
                <w:vertAlign w:val="subscript"/>
              </w:rPr>
              <w:t>h</w:t>
            </w:r>
            <w:r w:rsidR="00D8329F" w:rsidRPr="00822D83">
              <w:rPr>
                <w:sz w:val="20"/>
                <w:szCs w:val="20"/>
              </w:rPr>
              <w:t xml:space="preserve"> </w:t>
            </w:r>
            <w:r w:rsidRPr="00822D83">
              <w:rPr>
                <w:sz w:val="20"/>
                <w:szCs w:val="20"/>
              </w:rPr>
              <w:t>(µg∙h/mL)</w:t>
            </w:r>
          </w:p>
        </w:tc>
        <w:tc>
          <w:tcPr>
            <w:tcW w:w="1842" w:type="dxa"/>
          </w:tcPr>
          <w:p w:rsidR="000B7AC1" w:rsidRPr="00822D83" w:rsidRDefault="000B7AC1" w:rsidP="00822D83">
            <w:pPr>
              <w:ind w:left="34" w:right="0"/>
              <w:rPr>
                <w:sz w:val="20"/>
                <w:szCs w:val="20"/>
              </w:rPr>
            </w:pPr>
            <w:r w:rsidRPr="00822D83">
              <w:rPr>
                <w:sz w:val="20"/>
                <w:szCs w:val="20"/>
              </w:rPr>
              <w:t>Exposure ratio based on</w:t>
            </w:r>
            <w:r w:rsidR="00D8329F" w:rsidRPr="00822D83">
              <w:rPr>
                <w:sz w:val="20"/>
                <w:szCs w:val="20"/>
              </w:rPr>
              <w:t xml:space="preserve"> </w:t>
            </w:r>
            <w:r w:rsidRPr="00822D83">
              <w:rPr>
                <w:sz w:val="20"/>
                <w:szCs w:val="20"/>
              </w:rPr>
              <w:t>AUC</w:t>
            </w:r>
          </w:p>
        </w:tc>
      </w:tr>
      <w:tr w:rsidR="000B7AC1" w:rsidRPr="00822D83" w:rsidTr="00822D83">
        <w:trPr>
          <w:trHeight w:val="196"/>
        </w:trPr>
        <w:tc>
          <w:tcPr>
            <w:tcW w:w="1270" w:type="dxa"/>
            <w:vMerge w:val="restart"/>
          </w:tcPr>
          <w:p w:rsidR="000B7AC1" w:rsidRPr="00822D83" w:rsidRDefault="00D8329F" w:rsidP="00822D83">
            <w:pPr>
              <w:ind w:left="0" w:right="61"/>
              <w:rPr>
                <w:kern w:val="2"/>
                <w:sz w:val="20"/>
                <w:szCs w:val="20"/>
              </w:rPr>
            </w:pPr>
            <w:r w:rsidRPr="00822D83">
              <w:rPr>
                <w:kern w:val="2"/>
                <w:sz w:val="20"/>
                <w:szCs w:val="20"/>
              </w:rPr>
              <w:t xml:space="preserve">Rat </w:t>
            </w:r>
            <w:r w:rsidR="000B7AC1" w:rsidRPr="00822D83">
              <w:rPr>
                <w:kern w:val="2"/>
                <w:sz w:val="20"/>
                <w:szCs w:val="20"/>
              </w:rPr>
              <w:t>(S</w:t>
            </w:r>
            <w:r w:rsidR="00C91C0C" w:rsidRPr="00822D83">
              <w:rPr>
                <w:kern w:val="2"/>
                <w:sz w:val="20"/>
                <w:szCs w:val="20"/>
              </w:rPr>
              <w:t xml:space="preserve">prague </w:t>
            </w:r>
            <w:r w:rsidR="000B7AC1" w:rsidRPr="00822D83">
              <w:rPr>
                <w:kern w:val="2"/>
                <w:sz w:val="20"/>
                <w:szCs w:val="20"/>
              </w:rPr>
              <w:t>D</w:t>
            </w:r>
            <w:r w:rsidR="00C91C0C" w:rsidRPr="00822D83">
              <w:rPr>
                <w:kern w:val="2"/>
                <w:sz w:val="20"/>
                <w:szCs w:val="20"/>
              </w:rPr>
              <w:t>awley</w:t>
            </w:r>
            <w:r w:rsidR="000B7AC1" w:rsidRPr="00822D83">
              <w:rPr>
                <w:kern w:val="2"/>
                <w:sz w:val="20"/>
                <w:szCs w:val="20"/>
              </w:rPr>
              <w:t>)</w:t>
            </w:r>
          </w:p>
        </w:tc>
        <w:tc>
          <w:tcPr>
            <w:tcW w:w="1957" w:type="dxa"/>
            <w:vMerge w:val="restart"/>
          </w:tcPr>
          <w:p w:rsidR="000B7AC1" w:rsidRPr="00822D83" w:rsidRDefault="000B7AC1" w:rsidP="00822D83">
            <w:pPr>
              <w:ind w:left="6" w:right="34"/>
              <w:rPr>
                <w:kern w:val="2"/>
                <w:sz w:val="20"/>
                <w:szCs w:val="20"/>
              </w:rPr>
            </w:pPr>
            <w:r w:rsidRPr="00822D83">
              <w:rPr>
                <w:kern w:val="2"/>
                <w:sz w:val="20"/>
                <w:szCs w:val="20"/>
              </w:rPr>
              <w:t>Fertility/embryofetal development</w:t>
            </w:r>
          </w:p>
        </w:tc>
        <w:tc>
          <w:tcPr>
            <w:tcW w:w="1559" w:type="dxa"/>
          </w:tcPr>
          <w:p w:rsidR="000B7AC1" w:rsidRPr="00822D83" w:rsidRDefault="000B7AC1" w:rsidP="00822D83">
            <w:pPr>
              <w:ind w:left="34" w:right="0"/>
              <w:rPr>
                <w:kern w:val="2"/>
                <w:sz w:val="20"/>
                <w:szCs w:val="20"/>
              </w:rPr>
            </w:pPr>
            <w:r w:rsidRPr="00822D83">
              <w:rPr>
                <w:kern w:val="2"/>
                <w:sz w:val="20"/>
                <w:szCs w:val="20"/>
              </w:rPr>
              <w:t>500</w:t>
            </w:r>
          </w:p>
        </w:tc>
        <w:tc>
          <w:tcPr>
            <w:tcW w:w="1134" w:type="dxa"/>
          </w:tcPr>
          <w:p w:rsidR="000B7AC1" w:rsidRPr="00822D83" w:rsidRDefault="000B7AC1" w:rsidP="00822D83">
            <w:pPr>
              <w:ind w:left="34" w:right="-108"/>
              <w:rPr>
                <w:color w:val="000000"/>
                <w:sz w:val="20"/>
                <w:szCs w:val="20"/>
              </w:rPr>
            </w:pPr>
            <w:r w:rsidRPr="00822D83">
              <w:rPr>
                <w:color w:val="000000"/>
                <w:kern w:val="2"/>
                <w:sz w:val="20"/>
                <w:szCs w:val="20"/>
              </w:rPr>
              <w:t>477</w:t>
            </w:r>
          </w:p>
        </w:tc>
        <w:tc>
          <w:tcPr>
            <w:tcW w:w="1842" w:type="dxa"/>
          </w:tcPr>
          <w:p w:rsidR="000B7AC1" w:rsidRPr="00822D83" w:rsidRDefault="000B7AC1" w:rsidP="00822D83">
            <w:pPr>
              <w:ind w:left="34" w:right="0"/>
              <w:rPr>
                <w:color w:val="000000"/>
                <w:sz w:val="20"/>
                <w:szCs w:val="20"/>
              </w:rPr>
            </w:pPr>
            <w:r w:rsidRPr="00822D83">
              <w:rPr>
                <w:color w:val="000000"/>
                <w:kern w:val="2"/>
                <w:sz w:val="20"/>
                <w:szCs w:val="20"/>
              </w:rPr>
              <w:t>9</w:t>
            </w:r>
          </w:p>
        </w:tc>
      </w:tr>
      <w:tr w:rsidR="000B7AC1" w:rsidRPr="00822D83" w:rsidTr="00822D83">
        <w:trPr>
          <w:trHeight w:val="196"/>
        </w:trPr>
        <w:tc>
          <w:tcPr>
            <w:tcW w:w="1270" w:type="dxa"/>
            <w:vMerge/>
          </w:tcPr>
          <w:p w:rsidR="000B7AC1" w:rsidRPr="00822D83" w:rsidRDefault="000B7AC1" w:rsidP="00822D83">
            <w:pPr>
              <w:ind w:left="0" w:right="61"/>
              <w:rPr>
                <w:kern w:val="2"/>
                <w:sz w:val="20"/>
                <w:szCs w:val="20"/>
              </w:rPr>
            </w:pPr>
          </w:p>
        </w:tc>
        <w:tc>
          <w:tcPr>
            <w:tcW w:w="1957" w:type="dxa"/>
            <w:vMerge/>
          </w:tcPr>
          <w:p w:rsidR="000B7AC1" w:rsidRPr="00822D83" w:rsidRDefault="000B7AC1" w:rsidP="00822D83">
            <w:pPr>
              <w:ind w:left="6" w:right="34"/>
              <w:rPr>
                <w:kern w:val="2"/>
                <w:sz w:val="20"/>
                <w:szCs w:val="20"/>
              </w:rPr>
            </w:pPr>
          </w:p>
        </w:tc>
        <w:tc>
          <w:tcPr>
            <w:tcW w:w="1559" w:type="dxa"/>
          </w:tcPr>
          <w:p w:rsidR="000B7AC1" w:rsidRPr="00822D83" w:rsidRDefault="000B7AC1" w:rsidP="00822D83">
            <w:pPr>
              <w:ind w:left="34" w:right="0"/>
              <w:rPr>
                <w:kern w:val="2"/>
                <w:sz w:val="20"/>
                <w:szCs w:val="20"/>
              </w:rPr>
            </w:pPr>
            <w:r w:rsidRPr="00822D83">
              <w:rPr>
                <w:kern w:val="2"/>
                <w:sz w:val="20"/>
                <w:szCs w:val="20"/>
              </w:rPr>
              <w:t>2000</w:t>
            </w:r>
          </w:p>
        </w:tc>
        <w:tc>
          <w:tcPr>
            <w:tcW w:w="1134" w:type="dxa"/>
          </w:tcPr>
          <w:p w:rsidR="000B7AC1" w:rsidRPr="00822D83" w:rsidRDefault="000B7AC1" w:rsidP="00822D83">
            <w:pPr>
              <w:ind w:left="34" w:right="-108"/>
              <w:rPr>
                <w:color w:val="000000"/>
                <w:sz w:val="20"/>
                <w:szCs w:val="20"/>
              </w:rPr>
            </w:pPr>
            <w:r w:rsidRPr="00822D83">
              <w:rPr>
                <w:color w:val="000000"/>
                <w:kern w:val="2"/>
                <w:sz w:val="20"/>
                <w:szCs w:val="20"/>
              </w:rPr>
              <w:t>1478</w:t>
            </w:r>
          </w:p>
        </w:tc>
        <w:tc>
          <w:tcPr>
            <w:tcW w:w="1842" w:type="dxa"/>
          </w:tcPr>
          <w:p w:rsidR="000B7AC1" w:rsidRPr="00822D83" w:rsidRDefault="000B7AC1" w:rsidP="00822D83">
            <w:pPr>
              <w:ind w:left="34" w:right="0"/>
              <w:rPr>
                <w:color w:val="000000"/>
                <w:sz w:val="20"/>
                <w:szCs w:val="20"/>
              </w:rPr>
            </w:pPr>
            <w:r w:rsidRPr="00822D83">
              <w:rPr>
                <w:color w:val="000000"/>
                <w:kern w:val="2"/>
                <w:sz w:val="20"/>
                <w:szCs w:val="20"/>
              </w:rPr>
              <w:t>28</w:t>
            </w:r>
          </w:p>
        </w:tc>
      </w:tr>
      <w:tr w:rsidR="000B7AC1" w:rsidRPr="00822D83" w:rsidTr="00822D83">
        <w:trPr>
          <w:trHeight w:val="196"/>
        </w:trPr>
        <w:tc>
          <w:tcPr>
            <w:tcW w:w="1270" w:type="dxa"/>
            <w:vMerge w:val="restart"/>
          </w:tcPr>
          <w:p w:rsidR="000B7AC1" w:rsidRPr="00822D83" w:rsidRDefault="00D8329F" w:rsidP="00822D83">
            <w:pPr>
              <w:ind w:left="0" w:right="61"/>
              <w:rPr>
                <w:kern w:val="2"/>
                <w:sz w:val="20"/>
                <w:szCs w:val="20"/>
              </w:rPr>
            </w:pPr>
            <w:r w:rsidRPr="00822D83">
              <w:rPr>
                <w:kern w:val="2"/>
                <w:sz w:val="20"/>
                <w:szCs w:val="20"/>
              </w:rPr>
              <w:t xml:space="preserve">Rabbit </w:t>
            </w:r>
            <w:r w:rsidR="000B7AC1" w:rsidRPr="00822D83">
              <w:rPr>
                <w:kern w:val="2"/>
                <w:sz w:val="20"/>
                <w:szCs w:val="20"/>
              </w:rPr>
              <w:t>(N</w:t>
            </w:r>
            <w:r w:rsidR="00C91C0C" w:rsidRPr="00822D83">
              <w:rPr>
                <w:kern w:val="2"/>
                <w:sz w:val="20"/>
                <w:szCs w:val="20"/>
              </w:rPr>
              <w:t xml:space="preserve">ew </w:t>
            </w:r>
            <w:r w:rsidR="000B7AC1" w:rsidRPr="00822D83">
              <w:rPr>
                <w:kern w:val="2"/>
                <w:sz w:val="20"/>
                <w:szCs w:val="20"/>
              </w:rPr>
              <w:t>Z</w:t>
            </w:r>
            <w:r w:rsidR="00C91C0C" w:rsidRPr="00822D83">
              <w:rPr>
                <w:kern w:val="2"/>
                <w:sz w:val="20"/>
                <w:szCs w:val="20"/>
              </w:rPr>
              <w:t xml:space="preserve">ealand </w:t>
            </w:r>
            <w:r w:rsidR="000B7AC1" w:rsidRPr="00822D83">
              <w:rPr>
                <w:kern w:val="2"/>
                <w:sz w:val="20"/>
                <w:szCs w:val="20"/>
              </w:rPr>
              <w:t>W</w:t>
            </w:r>
            <w:r w:rsidR="00C91C0C" w:rsidRPr="00822D83">
              <w:rPr>
                <w:kern w:val="2"/>
                <w:sz w:val="20"/>
                <w:szCs w:val="20"/>
              </w:rPr>
              <w:t>hite</w:t>
            </w:r>
            <w:r w:rsidR="000B7AC1" w:rsidRPr="00822D83">
              <w:rPr>
                <w:kern w:val="2"/>
                <w:sz w:val="20"/>
                <w:szCs w:val="20"/>
              </w:rPr>
              <w:t>)</w:t>
            </w:r>
          </w:p>
        </w:tc>
        <w:tc>
          <w:tcPr>
            <w:tcW w:w="1957" w:type="dxa"/>
            <w:vMerge w:val="restart"/>
          </w:tcPr>
          <w:p w:rsidR="000B7AC1" w:rsidRPr="00822D83" w:rsidRDefault="000B7AC1" w:rsidP="00822D83">
            <w:pPr>
              <w:ind w:left="6" w:right="34"/>
              <w:rPr>
                <w:kern w:val="2"/>
                <w:sz w:val="20"/>
                <w:szCs w:val="20"/>
              </w:rPr>
            </w:pPr>
            <w:r w:rsidRPr="00822D83">
              <w:rPr>
                <w:kern w:val="2"/>
                <w:sz w:val="20"/>
                <w:szCs w:val="20"/>
              </w:rPr>
              <w:t>Embryo</w:t>
            </w:r>
            <w:r w:rsidR="00A02BAA" w:rsidRPr="00822D83">
              <w:rPr>
                <w:kern w:val="2"/>
                <w:sz w:val="20"/>
                <w:szCs w:val="20"/>
              </w:rPr>
              <w:t xml:space="preserve"> </w:t>
            </w:r>
            <w:r w:rsidRPr="00822D83">
              <w:rPr>
                <w:kern w:val="2"/>
                <w:sz w:val="20"/>
                <w:szCs w:val="20"/>
              </w:rPr>
              <w:t>fetal development</w:t>
            </w:r>
          </w:p>
        </w:tc>
        <w:tc>
          <w:tcPr>
            <w:tcW w:w="1559" w:type="dxa"/>
          </w:tcPr>
          <w:p w:rsidR="000B7AC1" w:rsidRPr="00822D83" w:rsidRDefault="000B7AC1" w:rsidP="00822D83">
            <w:pPr>
              <w:ind w:left="34" w:right="0"/>
              <w:rPr>
                <w:kern w:val="2"/>
                <w:sz w:val="20"/>
                <w:szCs w:val="20"/>
              </w:rPr>
            </w:pPr>
            <w:r w:rsidRPr="00822D83">
              <w:rPr>
                <w:kern w:val="2"/>
                <w:sz w:val="20"/>
                <w:szCs w:val="20"/>
              </w:rPr>
              <w:t>250</w:t>
            </w:r>
          </w:p>
        </w:tc>
        <w:tc>
          <w:tcPr>
            <w:tcW w:w="1134" w:type="dxa"/>
          </w:tcPr>
          <w:p w:rsidR="000B7AC1" w:rsidRPr="00822D83" w:rsidRDefault="000B7AC1" w:rsidP="00822D83">
            <w:pPr>
              <w:ind w:left="34" w:right="-108"/>
              <w:rPr>
                <w:color w:val="000000"/>
                <w:kern w:val="2"/>
                <w:sz w:val="20"/>
                <w:szCs w:val="20"/>
              </w:rPr>
            </w:pPr>
            <w:r w:rsidRPr="00822D83">
              <w:rPr>
                <w:color w:val="000000"/>
                <w:kern w:val="2"/>
                <w:sz w:val="20"/>
                <w:szCs w:val="20"/>
              </w:rPr>
              <w:t>76.2</w:t>
            </w:r>
          </w:p>
        </w:tc>
        <w:tc>
          <w:tcPr>
            <w:tcW w:w="1842" w:type="dxa"/>
          </w:tcPr>
          <w:p w:rsidR="000B7AC1" w:rsidRPr="00822D83" w:rsidRDefault="000B7AC1" w:rsidP="00822D83">
            <w:pPr>
              <w:ind w:left="34" w:right="0"/>
              <w:rPr>
                <w:color w:val="000000"/>
                <w:kern w:val="2"/>
                <w:sz w:val="20"/>
                <w:szCs w:val="20"/>
              </w:rPr>
            </w:pPr>
            <w:r w:rsidRPr="00822D83">
              <w:rPr>
                <w:color w:val="000000"/>
                <w:kern w:val="2"/>
                <w:sz w:val="20"/>
                <w:szCs w:val="20"/>
              </w:rPr>
              <w:t>1.4</w:t>
            </w:r>
          </w:p>
        </w:tc>
      </w:tr>
      <w:tr w:rsidR="000B7AC1" w:rsidRPr="00822D83" w:rsidTr="00822D83">
        <w:trPr>
          <w:trHeight w:val="196"/>
        </w:trPr>
        <w:tc>
          <w:tcPr>
            <w:tcW w:w="1270" w:type="dxa"/>
            <w:vMerge/>
          </w:tcPr>
          <w:p w:rsidR="000B7AC1" w:rsidRPr="00822D83" w:rsidRDefault="000B7AC1" w:rsidP="00822D83">
            <w:pPr>
              <w:ind w:left="0" w:right="61"/>
              <w:rPr>
                <w:kern w:val="2"/>
                <w:sz w:val="20"/>
                <w:szCs w:val="20"/>
              </w:rPr>
            </w:pPr>
          </w:p>
        </w:tc>
        <w:tc>
          <w:tcPr>
            <w:tcW w:w="1957" w:type="dxa"/>
            <w:vMerge/>
          </w:tcPr>
          <w:p w:rsidR="000B7AC1" w:rsidRPr="00822D83" w:rsidRDefault="000B7AC1" w:rsidP="00822D83">
            <w:pPr>
              <w:ind w:left="6" w:right="34"/>
              <w:rPr>
                <w:color w:val="4C8E3A" w:themeColor="accent6" w:themeTint="BF"/>
                <w:kern w:val="2"/>
                <w:sz w:val="20"/>
                <w:szCs w:val="20"/>
              </w:rPr>
            </w:pPr>
          </w:p>
        </w:tc>
        <w:tc>
          <w:tcPr>
            <w:tcW w:w="1559" w:type="dxa"/>
          </w:tcPr>
          <w:p w:rsidR="000B7AC1" w:rsidRPr="00822D83" w:rsidRDefault="000B7AC1" w:rsidP="00822D83">
            <w:pPr>
              <w:ind w:left="34" w:right="0"/>
              <w:rPr>
                <w:kern w:val="2"/>
                <w:sz w:val="20"/>
                <w:szCs w:val="20"/>
              </w:rPr>
            </w:pPr>
            <w:r w:rsidRPr="00822D83">
              <w:rPr>
                <w:kern w:val="2"/>
                <w:sz w:val="20"/>
                <w:szCs w:val="20"/>
              </w:rPr>
              <w:t>1000</w:t>
            </w:r>
          </w:p>
        </w:tc>
        <w:tc>
          <w:tcPr>
            <w:tcW w:w="1134" w:type="dxa"/>
          </w:tcPr>
          <w:p w:rsidR="000B7AC1" w:rsidRPr="00822D83" w:rsidRDefault="000B7AC1" w:rsidP="00822D83">
            <w:pPr>
              <w:ind w:left="34" w:right="-108"/>
              <w:rPr>
                <w:color w:val="000000"/>
                <w:sz w:val="20"/>
                <w:szCs w:val="20"/>
              </w:rPr>
            </w:pPr>
            <w:r w:rsidRPr="00822D83">
              <w:rPr>
                <w:color w:val="000000"/>
                <w:kern w:val="2"/>
                <w:sz w:val="20"/>
                <w:szCs w:val="20"/>
              </w:rPr>
              <w:t>126</w:t>
            </w:r>
          </w:p>
        </w:tc>
        <w:tc>
          <w:tcPr>
            <w:tcW w:w="1842" w:type="dxa"/>
          </w:tcPr>
          <w:p w:rsidR="000B7AC1" w:rsidRPr="00822D83" w:rsidRDefault="000B7AC1" w:rsidP="00822D83">
            <w:pPr>
              <w:ind w:left="34" w:right="0"/>
              <w:rPr>
                <w:color w:val="000000"/>
                <w:sz w:val="20"/>
                <w:szCs w:val="20"/>
              </w:rPr>
            </w:pPr>
            <w:r w:rsidRPr="00822D83">
              <w:rPr>
                <w:color w:val="000000"/>
                <w:kern w:val="2"/>
                <w:sz w:val="20"/>
                <w:szCs w:val="20"/>
              </w:rPr>
              <w:t>2.4</w:t>
            </w:r>
          </w:p>
        </w:tc>
      </w:tr>
      <w:tr w:rsidR="000B7AC1" w:rsidRPr="00822D83" w:rsidTr="00822D83">
        <w:trPr>
          <w:trHeight w:val="196"/>
        </w:trPr>
        <w:tc>
          <w:tcPr>
            <w:tcW w:w="1270" w:type="dxa"/>
          </w:tcPr>
          <w:p w:rsidR="000B7AC1" w:rsidRPr="00822D83" w:rsidRDefault="000B7AC1" w:rsidP="00822D83">
            <w:pPr>
              <w:ind w:left="0" w:right="61"/>
              <w:rPr>
                <w:kern w:val="2"/>
                <w:sz w:val="20"/>
                <w:szCs w:val="20"/>
              </w:rPr>
            </w:pPr>
            <w:r w:rsidRPr="00822D83">
              <w:rPr>
                <w:kern w:val="2"/>
                <w:sz w:val="20"/>
                <w:szCs w:val="20"/>
              </w:rPr>
              <w:t>Human</w:t>
            </w:r>
          </w:p>
        </w:tc>
        <w:tc>
          <w:tcPr>
            <w:tcW w:w="1957" w:type="dxa"/>
          </w:tcPr>
          <w:p w:rsidR="000B7AC1" w:rsidRPr="00822D83" w:rsidRDefault="000B7AC1" w:rsidP="00822D83">
            <w:pPr>
              <w:ind w:left="6" w:right="34"/>
              <w:rPr>
                <w:color w:val="auto"/>
                <w:kern w:val="2"/>
                <w:sz w:val="20"/>
                <w:szCs w:val="20"/>
              </w:rPr>
            </w:pPr>
            <w:r w:rsidRPr="00822D83">
              <w:rPr>
                <w:color w:val="auto"/>
                <w:kern w:val="2"/>
                <w:sz w:val="20"/>
                <w:szCs w:val="20"/>
              </w:rPr>
              <w:t>–</w:t>
            </w:r>
          </w:p>
        </w:tc>
        <w:tc>
          <w:tcPr>
            <w:tcW w:w="1559" w:type="dxa"/>
          </w:tcPr>
          <w:p w:rsidR="000B7AC1" w:rsidRPr="00822D83" w:rsidRDefault="000B7AC1" w:rsidP="00822D83">
            <w:pPr>
              <w:ind w:left="34" w:right="0"/>
              <w:rPr>
                <w:color w:val="auto"/>
                <w:kern w:val="2"/>
                <w:sz w:val="20"/>
                <w:szCs w:val="20"/>
              </w:rPr>
            </w:pPr>
            <w:r w:rsidRPr="00822D83">
              <w:rPr>
                <w:color w:val="auto"/>
                <w:kern w:val="2"/>
                <w:sz w:val="20"/>
                <w:szCs w:val="20"/>
              </w:rPr>
              <w:t>250</w:t>
            </w:r>
          </w:p>
        </w:tc>
        <w:tc>
          <w:tcPr>
            <w:tcW w:w="1134" w:type="dxa"/>
          </w:tcPr>
          <w:p w:rsidR="000B7AC1" w:rsidRPr="00822D83" w:rsidRDefault="000B7AC1" w:rsidP="00822D83">
            <w:pPr>
              <w:ind w:left="34" w:right="-108"/>
              <w:rPr>
                <w:color w:val="000000"/>
                <w:sz w:val="20"/>
                <w:szCs w:val="20"/>
              </w:rPr>
            </w:pPr>
            <w:r w:rsidRPr="00822D83">
              <w:rPr>
                <w:color w:val="000000"/>
                <w:kern w:val="2"/>
                <w:sz w:val="20"/>
                <w:szCs w:val="20"/>
              </w:rPr>
              <w:t>53</w:t>
            </w:r>
          </w:p>
        </w:tc>
        <w:tc>
          <w:tcPr>
            <w:tcW w:w="1842" w:type="dxa"/>
          </w:tcPr>
          <w:p w:rsidR="000B7AC1" w:rsidRPr="00822D83" w:rsidRDefault="000B7AC1" w:rsidP="00822D83">
            <w:pPr>
              <w:ind w:left="34" w:right="0"/>
              <w:rPr>
                <w:color w:val="000000"/>
                <w:sz w:val="20"/>
                <w:szCs w:val="20"/>
              </w:rPr>
            </w:pPr>
            <w:r w:rsidRPr="00822D83">
              <w:rPr>
                <w:color w:val="000000"/>
                <w:kern w:val="2"/>
                <w:sz w:val="20"/>
                <w:szCs w:val="20"/>
              </w:rPr>
              <w:t>–</w:t>
            </w:r>
          </w:p>
        </w:tc>
      </w:tr>
    </w:tbl>
    <w:p w:rsidR="000B7AC1" w:rsidRPr="000B7AC1" w:rsidRDefault="000B7AC1" w:rsidP="00822D83">
      <w:pPr>
        <w:pStyle w:val="TableDescription"/>
      </w:pPr>
      <w:r w:rsidRPr="000B7AC1">
        <w:t>mg/kg to mg/m2 conversion factors were 6, 12 and 33 for rats, rabbits and humans, respectively</w:t>
      </w:r>
      <w:r w:rsidR="00682827">
        <w:t>.</w:t>
      </w:r>
    </w:p>
    <w:p w:rsidR="000B7AC1" w:rsidRPr="00152579" w:rsidRDefault="000B7AC1" w:rsidP="00822D83">
      <w:r w:rsidRPr="000B7AC1">
        <w:t>There was no effect on female fertility in rats at ≤</w:t>
      </w:r>
      <w:r w:rsidR="002D6A00">
        <w:t xml:space="preserve"> </w:t>
      </w:r>
      <w:r w:rsidRPr="000B7AC1">
        <w:t>2000 mg/k</w:t>
      </w:r>
      <w:r w:rsidR="00D8329F">
        <w:t xml:space="preserve">g/day PO. In the pivotal repeat </w:t>
      </w:r>
      <w:r w:rsidRPr="000B7AC1">
        <w:t>dose toxicity study, no effects on sperm quality or number or fertility were seen in male rats that received ≤</w:t>
      </w:r>
      <w:r w:rsidR="002D6A00">
        <w:t xml:space="preserve"> </w:t>
      </w:r>
      <w:r w:rsidRPr="000B7AC1">
        <w:t xml:space="preserve">1000 mg/kg/day PO for 26 weeks (exposure ratio based on AUC </w:t>
      </w:r>
      <w:r w:rsidR="00FB79E9" w:rsidRPr="00152579">
        <w:t>(</w:t>
      </w:r>
      <w:r w:rsidRPr="00152579">
        <w:t>ER</w:t>
      </w:r>
      <w:r w:rsidRPr="00152579">
        <w:rPr>
          <w:vertAlign w:val="subscript"/>
        </w:rPr>
        <w:t>AUC</w:t>
      </w:r>
      <w:r w:rsidR="00FB79E9" w:rsidRPr="00152579">
        <w:t>)</w:t>
      </w:r>
      <w:r w:rsidRPr="00152579">
        <w:t xml:space="preserve"> 14). </w:t>
      </w:r>
      <w:r w:rsidRPr="000B7AC1">
        <w:t>Therefore, effects on fertility are not predicted during clinical use. No adverse effects were seen on embryofetal development in rats or rabbits at ≤</w:t>
      </w:r>
      <w:r w:rsidR="002D6A00">
        <w:t xml:space="preserve"> </w:t>
      </w:r>
      <w:r w:rsidR="00682827">
        <w:t>2000 </w:t>
      </w:r>
      <w:r w:rsidRPr="000B7AC1">
        <w:t xml:space="preserve">mg/kg/day PO </w:t>
      </w:r>
      <w:r w:rsidRPr="0027557F">
        <w:t>(ER</w:t>
      </w:r>
      <w:r w:rsidRPr="0027557F">
        <w:rPr>
          <w:vertAlign w:val="subscript"/>
        </w:rPr>
        <w:t>AUC</w:t>
      </w:r>
      <w:r w:rsidRPr="0027557F">
        <w:t xml:space="preserve"> 28) and </w:t>
      </w:r>
      <w:r w:rsidRPr="000B7AC1">
        <w:t>≤</w:t>
      </w:r>
      <w:r w:rsidR="002D6A00">
        <w:t xml:space="preserve"> </w:t>
      </w:r>
      <w:r w:rsidRPr="000B7AC1">
        <w:t xml:space="preserve">1000 mg/kg/day </w:t>
      </w:r>
      <w:r w:rsidRPr="00152579">
        <w:t>PO (ER</w:t>
      </w:r>
      <w:r w:rsidRPr="00152579">
        <w:rPr>
          <w:vertAlign w:val="subscript"/>
        </w:rPr>
        <w:t>AUC</w:t>
      </w:r>
      <w:r w:rsidRPr="00152579">
        <w:t> 2.4</w:t>
      </w:r>
      <w:r w:rsidR="00682827" w:rsidRPr="00152579">
        <w:t>), respectively.</w:t>
      </w:r>
    </w:p>
    <w:p w:rsidR="000B7AC1" w:rsidRPr="000B7AC1" w:rsidRDefault="000B7AC1" w:rsidP="00822D83">
      <w:r w:rsidRPr="000B7AC1">
        <w:t>In a pre/postnatal study in rats, pups from dams that received ≥</w:t>
      </w:r>
      <w:r w:rsidR="002D6A00">
        <w:t xml:space="preserve"> </w:t>
      </w:r>
      <w:r w:rsidRPr="000B7AC1">
        <w:t>500 mg/kg/day PO carg</w:t>
      </w:r>
      <w:r w:rsidR="002D6A00">
        <w:t>lumic acid from gestation D</w:t>
      </w:r>
      <w:r w:rsidRPr="000B7AC1">
        <w:t>ay 6 and throughout lactation had reduced bodyweight gain with reduced p</w:t>
      </w:r>
      <w:r w:rsidR="002D6A00">
        <w:t>ostnatal survival to lactation D</w:t>
      </w:r>
      <w:r w:rsidRPr="000B7AC1">
        <w:t>ay 4 (1000 mg/kg/day PO only). As the pups were normal at birth and carglumic acid was excreted in milk (20% of maternal plasma levels), it is likely that the adverse effect on neonatal survival and growth are due to consumption of maternal milk. It is</w:t>
      </w:r>
      <w:r w:rsidR="002D6A00">
        <w:t xml:space="preserve"> unknown if it is a direct drug </w:t>
      </w:r>
      <w:r w:rsidRPr="000B7AC1">
        <w:t>related effect or if there is an indirect effect on milk quality. Aside from the reduced survival and impaired weight gain, there were no adverse effects on developmental parameters. The data indicate that mothers taking carglumic acid should not breast feed.</w:t>
      </w:r>
    </w:p>
    <w:p w:rsidR="000B7AC1" w:rsidRPr="000B7AC1" w:rsidRDefault="000B7AC1" w:rsidP="00822D83">
      <w:pPr>
        <w:pStyle w:val="Heading5"/>
      </w:pPr>
      <w:r w:rsidRPr="000B7AC1">
        <w:t xml:space="preserve">Pregnancy </w:t>
      </w:r>
      <w:r w:rsidRPr="00822D83">
        <w:t>classification</w:t>
      </w:r>
    </w:p>
    <w:p w:rsidR="000B7AC1" w:rsidRPr="000B7AC1" w:rsidRDefault="00A13DF6" w:rsidP="00822D83">
      <w:r>
        <w:t>The s</w:t>
      </w:r>
      <w:r w:rsidR="000B7AC1" w:rsidRPr="000B7AC1">
        <w:t>ponsor has proposed Pregnancy Category C</w:t>
      </w:r>
      <w:r w:rsidR="002D6A00">
        <w:rPr>
          <w:rStyle w:val="FootnoteReference"/>
        </w:rPr>
        <w:footnoteReference w:id="5"/>
      </w:r>
      <w:r w:rsidR="000B7AC1" w:rsidRPr="000B7AC1">
        <w:t xml:space="preserve">. This is for drugs which, due </w:t>
      </w:r>
      <w:r>
        <w:t>to their pharmacological action</w:t>
      </w:r>
      <w:r w:rsidR="000B7AC1" w:rsidRPr="000B7AC1">
        <w:t xml:space="preserve"> have caused adverse fetal effects in animals. No adverse effects were observed in embryofetal development studies in rats and rabbits. Therefore, Category B1</w:t>
      </w:r>
      <w:r w:rsidR="002D6A00">
        <w:rPr>
          <w:rStyle w:val="FootnoteReference"/>
        </w:rPr>
        <w:footnoteReference w:id="6"/>
      </w:r>
      <w:r w:rsidR="000B7AC1" w:rsidRPr="000B7AC1">
        <w:t xml:space="preserve"> is considered more appropriate.</w:t>
      </w:r>
    </w:p>
    <w:p w:rsidR="000B7AC1" w:rsidRPr="000B7AC1" w:rsidRDefault="000B7AC1" w:rsidP="00822D83">
      <w:pPr>
        <w:pStyle w:val="Heading4"/>
      </w:pPr>
      <w:r w:rsidRPr="00822D83">
        <w:t>Paediatric</w:t>
      </w:r>
      <w:r w:rsidRPr="000B7AC1">
        <w:t xml:space="preserve"> use</w:t>
      </w:r>
    </w:p>
    <w:p w:rsidR="000B7AC1" w:rsidRPr="000B7AC1" w:rsidRDefault="000B7AC1" w:rsidP="00822D83">
      <w:r w:rsidRPr="000B7AC1">
        <w:t>Carglumic acid is intended for use in patients of all ages (neonates to adults). When given to neonatal and juvenile rats (≤</w:t>
      </w:r>
      <w:r w:rsidR="005A6101">
        <w:t xml:space="preserve"> </w:t>
      </w:r>
      <w:r w:rsidRPr="000B7AC1">
        <w:t>1000 mg/kg/day PO</w:t>
      </w:r>
      <w:r w:rsidRPr="00152579">
        <w:t>; ER</w:t>
      </w:r>
      <w:r w:rsidRPr="00152579">
        <w:rPr>
          <w:vertAlign w:val="subscript"/>
        </w:rPr>
        <w:t>AUC</w:t>
      </w:r>
      <w:r w:rsidRPr="00152579">
        <w:t xml:space="preserve"> 14), there </w:t>
      </w:r>
      <w:r w:rsidRPr="000B7AC1">
        <w:t>was no adverse effect on physical or reflex development. There was no effect on neuro</w:t>
      </w:r>
      <w:r w:rsidR="00682827">
        <w:t xml:space="preserve"> </w:t>
      </w:r>
      <w:r w:rsidRPr="000B7AC1">
        <w:t>behavioural or sexual development in pups that were exposed to carglumic acid in breast milk. Overall, there were no concerns identified for a paediatric indication.</w:t>
      </w:r>
    </w:p>
    <w:p w:rsidR="008E7846" w:rsidRDefault="008E7846" w:rsidP="00822D83">
      <w:pPr>
        <w:pStyle w:val="Heading3"/>
      </w:pPr>
      <w:bookmarkStart w:id="57" w:name="_Toc247691515"/>
      <w:bookmarkStart w:id="58" w:name="_Toc314842499"/>
      <w:bookmarkStart w:id="59" w:name="_Toc433190168"/>
      <w:r>
        <w:lastRenderedPageBreak/>
        <w:t>Nonclinical summary and conclusions</w:t>
      </w:r>
      <w:bookmarkEnd w:id="57"/>
      <w:bookmarkEnd w:id="58"/>
      <w:bookmarkEnd w:id="59"/>
    </w:p>
    <w:p w:rsidR="00DB0CFB" w:rsidRPr="00DB0CFB" w:rsidRDefault="00DB0CFB" w:rsidP="00822D83">
      <w:pPr>
        <w:pStyle w:val="ListBullet"/>
      </w:pPr>
      <w:r w:rsidRPr="00DB0CFB">
        <w:t xml:space="preserve">The submitted </w:t>
      </w:r>
      <w:r w:rsidR="00682827">
        <w:t>nonclinical</w:t>
      </w:r>
      <w:r w:rsidRPr="00DB0CFB">
        <w:t xml:space="preserve"> package was generally small but considered adequate given the history of cli</w:t>
      </w:r>
      <w:r w:rsidR="005A6101">
        <w:t xml:space="preserve">nical use and the proposed life </w:t>
      </w:r>
      <w:r w:rsidRPr="00DB0CFB">
        <w:t>threatening indication.</w:t>
      </w:r>
    </w:p>
    <w:p w:rsidR="00DB0CFB" w:rsidRPr="00DB0CFB" w:rsidRDefault="00DB0CFB" w:rsidP="00822D83">
      <w:pPr>
        <w:pStyle w:val="ListBullet"/>
      </w:pPr>
      <w:r w:rsidRPr="00DB0CFB">
        <w:t xml:space="preserve">In a mouse model of NAG synthase deficiency, carglumic acid </w:t>
      </w:r>
      <w:r w:rsidRPr="00822D83">
        <w:t>reduced</w:t>
      </w:r>
      <w:r w:rsidRPr="00DB0CFB">
        <w:t xml:space="preserve"> plasma ammonia levels and improved the survival rate of animals. A more significant improvement was observed when carglumic acid was provided in combination with citrulline.</w:t>
      </w:r>
    </w:p>
    <w:p w:rsidR="00DB0CFB" w:rsidRPr="00DB0CFB" w:rsidRDefault="00DB0CFB" w:rsidP="00822D83">
      <w:pPr>
        <w:pStyle w:val="ListBullet"/>
      </w:pPr>
      <w:r w:rsidRPr="00DB0CFB">
        <w:t xml:space="preserve">Safety pharmacology studies </w:t>
      </w:r>
      <w:r w:rsidRPr="00822D83">
        <w:t>covered</w:t>
      </w:r>
      <w:r w:rsidRPr="00DB0CFB">
        <w:t xml:space="preserve"> the</w:t>
      </w:r>
      <w:r w:rsidR="008D3F75">
        <w:t xml:space="preserve"> central nervous system</w:t>
      </w:r>
      <w:r w:rsidRPr="00DB0CFB">
        <w:t>, cardiovascular and respiratory systems. No adverse effects were observed at high doses/concentrations.</w:t>
      </w:r>
    </w:p>
    <w:p w:rsidR="00DB0CFB" w:rsidRPr="00DB0CFB" w:rsidRDefault="00DB0CFB" w:rsidP="00822D83">
      <w:pPr>
        <w:pStyle w:val="ListBullet"/>
      </w:pPr>
      <w:r w:rsidRPr="00DB0CFB">
        <w:t>The rate of oral absorption of carglumic acid was moderate in all species. Oral bioavailability was moderate to low in do</w:t>
      </w:r>
      <w:r w:rsidR="005A6101">
        <w:t xml:space="preserve">gs. Tissue </w:t>
      </w:r>
      <w:r w:rsidR="005A6101" w:rsidRPr="00822D83">
        <w:t>distribution</w:t>
      </w:r>
      <w:r w:rsidR="005A6101">
        <w:t xml:space="preserve"> of drug </w:t>
      </w:r>
      <w:r w:rsidRPr="00DB0CFB">
        <w:t>related material was unremarkable in rats. Carglumic acid undergoes minimal (human subjects) to moderate (dogs) metabolism. Following oral dosing, both faecal and urinary excretion was seen in animals, while predominantly faecal excretion was seen in human subjects.</w:t>
      </w:r>
    </w:p>
    <w:p w:rsidR="00DB0CFB" w:rsidRPr="00DB0CFB" w:rsidRDefault="00DB0CFB" w:rsidP="004E5E68">
      <w:pPr>
        <w:pStyle w:val="ListBullet"/>
      </w:pPr>
      <w:r w:rsidRPr="00DB0CFB">
        <w:t>Pharmacokinetic drug interactions involving CYP450 enzymes are not predicted.</w:t>
      </w:r>
    </w:p>
    <w:p w:rsidR="00DB0CFB" w:rsidRPr="00DB0CFB" w:rsidRDefault="00DB0CFB" w:rsidP="004E5E68">
      <w:pPr>
        <w:pStyle w:val="ListBullet"/>
      </w:pPr>
      <w:r w:rsidRPr="00DB0CFB">
        <w:t>A low order of toxicity was seen in rats following a single oral or IV dose of carglumic acid.</w:t>
      </w:r>
    </w:p>
    <w:p w:rsidR="00DB0CFB" w:rsidRPr="00DB0CFB" w:rsidRDefault="00682827" w:rsidP="00822D83">
      <w:pPr>
        <w:pStyle w:val="ListBullet"/>
      </w:pPr>
      <w:r>
        <w:t xml:space="preserve">Repeat </w:t>
      </w:r>
      <w:r w:rsidR="00DB0CFB" w:rsidRPr="00DB0CFB">
        <w:t>dose toxicity studies were conducted in newborn and young rats for 2 weeks and 26 weeks duration, respectively. There was no significant macroscopic or microscopic evidence of toxicity at ≤</w:t>
      </w:r>
      <w:r w:rsidR="005A6101">
        <w:t xml:space="preserve"> </w:t>
      </w:r>
      <w:r w:rsidR="00DB0CFB" w:rsidRPr="00DB0CFB">
        <w:t>1000 mg/kg/day (resulting in 14 times the clinical AUC). Minor impairment of bodyweight development was seen in neonates in the first few days of receiving 1000 mg/kg/day carglum</w:t>
      </w:r>
      <w:r>
        <w:t xml:space="preserve">ic acid. Overall, no clinically </w:t>
      </w:r>
      <w:r w:rsidR="00DB0CFB" w:rsidRPr="00DB0CFB">
        <w:t>relevant toxicities were observed.</w:t>
      </w:r>
    </w:p>
    <w:p w:rsidR="00DB0CFB" w:rsidRPr="00DB0CFB" w:rsidRDefault="00DB0CFB" w:rsidP="00822D83">
      <w:pPr>
        <w:pStyle w:val="ListBullet"/>
      </w:pPr>
      <w:r w:rsidRPr="00DB0CFB">
        <w:t xml:space="preserve">The weight of evidence indicates a low genotoxic potential with carglumic acid. No carcinogenicity studies </w:t>
      </w:r>
      <w:r w:rsidRPr="00822D83">
        <w:t>were</w:t>
      </w:r>
      <w:r w:rsidRPr="00DB0CFB">
        <w:t xml:space="preserve"> submitted. The absence of such studies should not preclude registration.</w:t>
      </w:r>
    </w:p>
    <w:p w:rsidR="00DB0CFB" w:rsidRPr="00DB0CFB" w:rsidRDefault="00DB0CFB" w:rsidP="004E5E68">
      <w:pPr>
        <w:pStyle w:val="ListBullet"/>
      </w:pPr>
      <w:r w:rsidRPr="00DB0CFB">
        <w:t>Fertility was unaffected in rats at high exp</w:t>
      </w:r>
      <w:r w:rsidR="005A6101">
        <w:t xml:space="preserve">osures. No adverse embryofetal </w:t>
      </w:r>
      <w:r w:rsidRPr="00DB0CFB">
        <w:t>changes or effects on embryofetal development were observed in rats and rabbits. Carglumic acid was excreted in milk in lactating rats, with reduced postnatal survival and pup</w:t>
      </w:r>
      <w:r w:rsidR="00682827">
        <w:t xml:space="preserve"> weight gain observed in breast </w:t>
      </w:r>
      <w:r w:rsidRPr="00DB0CFB">
        <w:t>fed pups.</w:t>
      </w:r>
    </w:p>
    <w:p w:rsidR="00DB0CFB" w:rsidRPr="00DB0CFB" w:rsidRDefault="00DB0CFB" w:rsidP="00DB0CFB">
      <w:pPr>
        <w:pStyle w:val="ListBullet"/>
      </w:pPr>
      <w:r w:rsidRPr="00DB0CFB">
        <w:t>No adverse effects on development were seen in the toxicity studies relevant to a paediatric indication.</w:t>
      </w:r>
    </w:p>
    <w:p w:rsidR="00DB0CFB" w:rsidRPr="00DB0CFB" w:rsidRDefault="004E5E68" w:rsidP="00822D83">
      <w:pPr>
        <w:pStyle w:val="Heading4"/>
      </w:pPr>
      <w:bookmarkStart w:id="60" w:name="_Toc294861479"/>
      <w:bookmarkStart w:id="61" w:name="_Toc295290862"/>
      <w:bookmarkStart w:id="62" w:name="_Toc371337716"/>
      <w:r w:rsidRPr="00822D83">
        <w:t>Conclusions</w:t>
      </w:r>
      <w:r w:rsidRPr="00DB0CFB">
        <w:t xml:space="preserve"> and recommendation</w:t>
      </w:r>
      <w:bookmarkEnd w:id="60"/>
      <w:bookmarkEnd w:id="61"/>
      <w:bookmarkEnd w:id="62"/>
    </w:p>
    <w:p w:rsidR="00DB0CFB" w:rsidRPr="00DB0CFB" w:rsidRDefault="00DB0CFB" w:rsidP="00822D83">
      <w:pPr>
        <w:pStyle w:val="ListBullet"/>
      </w:pPr>
      <w:r w:rsidRPr="00DB0CFB">
        <w:t xml:space="preserve">The primary pharmacology studies support the proposed use of the drug as an oral agent for the treatment of hyperammonaemia due to NAG synthase deficiency. The data indicate that use with additional agents may be necessary, as recommended in the </w:t>
      </w:r>
      <w:r w:rsidR="005A6101" w:rsidRPr="0027557F">
        <w:t>PI</w:t>
      </w:r>
      <w:r w:rsidR="0058111F" w:rsidRPr="0027557F">
        <w:t>.</w:t>
      </w:r>
    </w:p>
    <w:p w:rsidR="00DB0CFB" w:rsidRPr="00DB0CFB" w:rsidRDefault="00682827" w:rsidP="00822D83">
      <w:pPr>
        <w:pStyle w:val="ListBullet"/>
      </w:pPr>
      <w:r>
        <w:t xml:space="preserve">No clinically </w:t>
      </w:r>
      <w:r w:rsidR="00DB0CFB" w:rsidRPr="00DB0CFB">
        <w:t xml:space="preserve">relevant safety concerns were identified. Adverse effects occurred at relatively high </w:t>
      </w:r>
      <w:r w:rsidR="00DB0CFB" w:rsidRPr="00822D83">
        <w:t>exposures</w:t>
      </w:r>
      <w:r w:rsidR="00DB0CFB" w:rsidRPr="00DB0CFB">
        <w:t>.</w:t>
      </w:r>
    </w:p>
    <w:p w:rsidR="00DB0CFB" w:rsidRPr="00DB0CFB" w:rsidRDefault="00DB0CFB" w:rsidP="004E5E68">
      <w:pPr>
        <w:pStyle w:val="ListBullet"/>
      </w:pPr>
      <w:r w:rsidRPr="00DB0CFB">
        <w:t>There are no objections on nonclinical grounds to the registration of Carbaglu for the proposed indication.</w:t>
      </w:r>
    </w:p>
    <w:p w:rsidR="00DB0CFB" w:rsidRPr="0084242A" w:rsidRDefault="0084242A" w:rsidP="00822D83">
      <w:pPr>
        <w:pStyle w:val="ListBullet"/>
      </w:pPr>
      <w:r w:rsidRPr="0084242A">
        <w:t>The</w:t>
      </w:r>
      <w:r w:rsidR="00DB0CFB" w:rsidRPr="0084242A">
        <w:t xml:space="preserve"> </w:t>
      </w:r>
      <w:r w:rsidRPr="0084242A">
        <w:t xml:space="preserve">nonclinical evaluator also recommended amendments to the draft </w:t>
      </w:r>
      <w:r w:rsidR="0027557F">
        <w:t>PI</w:t>
      </w:r>
      <w:r w:rsidRPr="0084242A">
        <w:t xml:space="preserve"> document but these are beyond the scope of this AusPAR.</w:t>
      </w:r>
    </w:p>
    <w:p w:rsidR="008E7846" w:rsidRPr="00254787" w:rsidRDefault="008E7846" w:rsidP="00822D83">
      <w:pPr>
        <w:pStyle w:val="Heading2"/>
      </w:pPr>
      <w:bookmarkStart w:id="63" w:name="_Toc196046462"/>
      <w:bookmarkStart w:id="64" w:name="_Toc247691516"/>
      <w:bookmarkStart w:id="65" w:name="_Toc314842500"/>
      <w:bookmarkStart w:id="66" w:name="_Toc433190169"/>
      <w:bookmarkStart w:id="67" w:name="_Toc163441353"/>
      <w:bookmarkStart w:id="68" w:name="_Toc163441348"/>
      <w:r>
        <w:lastRenderedPageBreak/>
        <w:t xml:space="preserve">IV. </w:t>
      </w:r>
      <w:r w:rsidRPr="00254787">
        <w:t>Clinical</w:t>
      </w:r>
      <w:bookmarkEnd w:id="63"/>
      <w:r>
        <w:t xml:space="preserve"> </w:t>
      </w:r>
      <w:r w:rsidR="003A7F6C">
        <w:t>f</w:t>
      </w:r>
      <w:r>
        <w:t>indings</w:t>
      </w:r>
      <w:bookmarkEnd w:id="64"/>
      <w:bookmarkEnd w:id="65"/>
      <w:bookmarkEnd w:id="66"/>
    </w:p>
    <w:p w:rsidR="00C80137" w:rsidRDefault="00C80137" w:rsidP="00822D83">
      <w:bookmarkStart w:id="69"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rsidR="00605AD4" w:rsidRDefault="00605AD4" w:rsidP="00822D83">
      <w:pPr>
        <w:pStyle w:val="Heading4"/>
      </w:pPr>
      <w:bookmarkStart w:id="70" w:name="_Toc196046464"/>
      <w:bookmarkStart w:id="71" w:name="_Toc247691518"/>
      <w:bookmarkStart w:id="72" w:name="_Toc314842502"/>
      <w:bookmarkEnd w:id="69"/>
      <w:r w:rsidRPr="00605AD4">
        <w:t xml:space="preserve">Clinical </w:t>
      </w:r>
      <w:r w:rsidR="00822D83" w:rsidRPr="00822D83">
        <w:t>r</w:t>
      </w:r>
      <w:r w:rsidRPr="00822D83">
        <w:t>ationale</w:t>
      </w:r>
    </w:p>
    <w:p w:rsidR="0009376D" w:rsidRPr="0009376D" w:rsidRDefault="0009376D" w:rsidP="00822D83">
      <w:pPr>
        <w:pStyle w:val="Heading5"/>
      </w:pPr>
      <w:r w:rsidRPr="0009376D">
        <w:t>Typical presentation</w:t>
      </w:r>
    </w:p>
    <w:p w:rsidR="0009376D" w:rsidRPr="0009376D" w:rsidRDefault="0009376D" w:rsidP="00822D83">
      <w:r w:rsidRPr="0009376D">
        <w:t xml:space="preserve">Severe defects typically present in term newborns </w:t>
      </w:r>
      <w:r w:rsidR="00CD601D" w:rsidRPr="0009376D">
        <w:t>that</w:t>
      </w:r>
      <w:r w:rsidRPr="0009376D">
        <w:t xml:space="preserve"> appear well for the first 24 to 48 hours after birth. The infant becomes symptomatic after feeding has started because </w:t>
      </w:r>
      <w:r w:rsidR="00CF24E1">
        <w:t>of the</w:t>
      </w:r>
      <w:r w:rsidRPr="0009376D">
        <w:t xml:space="preserve"> protein load. Initial signs include somnolence, inability to maintain normal body temperature, and poor feeding, usually followed by vomiting, lethargy, and coma</w:t>
      </w:r>
      <w:r w:rsidR="00957AA2">
        <w:t>.</w:t>
      </w:r>
    </w:p>
    <w:p w:rsidR="0009376D" w:rsidRPr="0009376D" w:rsidRDefault="0009376D" w:rsidP="00822D83">
      <w:r w:rsidRPr="0009376D">
        <w:t>A common early sign in newborns with hyperammon</w:t>
      </w:r>
      <w:r w:rsidR="00B02ACC">
        <w:t>a</w:t>
      </w:r>
      <w:r w:rsidRPr="0009376D">
        <w:t>emia is central hyperventilation leading to respiratory alkalosis. Hyperventilation is thought to result from cerebral oedema caused by the accumulation of ammonia and other metabolites. Increasing cerebral oedema also may result in abnormal posturing and progressive encephalopathy with hypoventilation and respiratory arrest. Approximately 50 percent of infants with severe hyperammon</w:t>
      </w:r>
      <w:r w:rsidR="00B02ACC">
        <w:t>aemia</w:t>
      </w:r>
      <w:r w:rsidRPr="0009376D">
        <w:t xml:space="preserve"> have seizures.</w:t>
      </w:r>
    </w:p>
    <w:p w:rsidR="0009376D" w:rsidRDefault="0009376D" w:rsidP="00822D83">
      <w:r w:rsidRPr="0009376D">
        <w:t>Affected patients have a lifelong risk of metabolic decompensation with intercurrent hyperammon</w:t>
      </w:r>
      <w:r w:rsidR="00B02ACC">
        <w:t>aemia</w:t>
      </w:r>
      <w:r w:rsidRPr="0009376D">
        <w:t>. Metabolic decompensation usually occurs during episodes of increased catabolism, such as infections (</w:t>
      </w:r>
      <w:r w:rsidR="00FC6203">
        <w:t>for example,</w:t>
      </w:r>
      <w:r w:rsidR="00A13DF6">
        <w:t xml:space="preserve"> gastroenteritis and otitis media), fasting, surgery</w:t>
      </w:r>
      <w:r w:rsidRPr="0009376D">
        <w:t xml:space="preserve"> or trauma.</w:t>
      </w:r>
    </w:p>
    <w:p w:rsidR="00217F53" w:rsidRPr="00217F53" w:rsidRDefault="009D6134" w:rsidP="00C71B47">
      <w:pPr>
        <w:pStyle w:val="Heading4"/>
      </w:pPr>
      <w:bookmarkStart w:id="73" w:name="_Toc398497484"/>
      <w:r w:rsidRPr="009D6134">
        <w:t>N-acetyl-glutamate synthase</w:t>
      </w:r>
      <w:r w:rsidR="00217F53" w:rsidRPr="00217F53">
        <w:t xml:space="preserve"> </w:t>
      </w:r>
      <w:r w:rsidR="00C71B47" w:rsidRPr="00C71B47">
        <w:t>d</w:t>
      </w:r>
      <w:r w:rsidR="00217F53" w:rsidRPr="00C71B47">
        <w:t>eficiency</w:t>
      </w:r>
      <w:bookmarkEnd w:id="73"/>
    </w:p>
    <w:p w:rsidR="00217F53" w:rsidRPr="00217F53" w:rsidRDefault="009D6134" w:rsidP="00217F53">
      <w:r>
        <w:t>N-acetyl-glutamate synthase (NAGS)</w:t>
      </w:r>
      <w:r w:rsidR="00217F53" w:rsidRPr="00217F53">
        <w:t xml:space="preserve"> deficiency is a recessive autosomal inherited metabolic disorder. </w:t>
      </w:r>
      <w:r w:rsidRPr="009D6134">
        <w:t>N-acetyl-glutamate synthase</w:t>
      </w:r>
      <w:r w:rsidR="00217F53" w:rsidRPr="00217F53">
        <w:t xml:space="preserve"> deficiency is one the most severe and rarest of the hereditary </w:t>
      </w:r>
      <w:r w:rsidR="009F5CFA">
        <w:t>urea cycle disorder</w:t>
      </w:r>
      <w:r w:rsidR="00217F53" w:rsidRPr="00217F53">
        <w:t xml:space="preserve">s. </w:t>
      </w:r>
      <w:r w:rsidRPr="009D6134">
        <w:t>N-acetyl-glutamate synthase</w:t>
      </w:r>
      <w:r w:rsidR="00217F53" w:rsidRPr="00217F53">
        <w:t xml:space="preserve"> is a mitochondrial enzyme, which is essential for the function of the urea cycle converting ammonia into urea in the liver cells and el</w:t>
      </w:r>
      <w:r w:rsidR="009F5CFA">
        <w:t>imination through the kidneys.</w:t>
      </w:r>
    </w:p>
    <w:p w:rsidR="00217F53" w:rsidRPr="00217F53" w:rsidRDefault="00217F53" w:rsidP="00C71B47">
      <w:r w:rsidRPr="00217F53">
        <w:t>The impairment of ammonia detoxication due to NAGS deficiency results in acute and chronic hyperammonaemia, hyperglutaminaemia and, eventually, hypocitrullinaemia. Hyperammonaemia and hyperglutaminaemia are particularly toxic</w:t>
      </w:r>
      <w:r w:rsidR="009F5CFA">
        <w:t xml:space="preserve"> to the central nervous system.</w:t>
      </w:r>
    </w:p>
    <w:p w:rsidR="00217F53" w:rsidRPr="00217F53" w:rsidRDefault="009D6134" w:rsidP="00C71B47">
      <w:r w:rsidRPr="009D6134">
        <w:t>N-acetyl-glutamate synthase</w:t>
      </w:r>
      <w:r w:rsidR="00217F53" w:rsidRPr="00217F53">
        <w:t xml:space="preserve"> deficiency represents a serious life-threatening clinical condition. Patients with severe complete NAGS deficiency rapidly develop hyperammonaemia soon after birth (between 24 and 48 hours). The clinical course in the neonatal period may be lethal. Left untreated or insufficiently corrected, this condition leads to cerebral oedema, coma and eventually death. For those children who survive, psychomotor retardation is a frequent ou</w:t>
      </w:r>
      <w:r w:rsidR="009F5CFA">
        <w:t>tcome.</w:t>
      </w:r>
    </w:p>
    <w:p w:rsidR="00217F53" w:rsidRPr="00217F53" w:rsidRDefault="00217F53" w:rsidP="00C71B47">
      <w:r w:rsidRPr="00217F53">
        <w:t>Patients with partial NAGS deficiency (late onset) can present symptoms at almost any time of life because of any stressful triggering event such as an infection, trauma, vaccination, surgery and pregnancy.</w:t>
      </w:r>
    </w:p>
    <w:p w:rsidR="00A13DF6" w:rsidRPr="00A13DF6" w:rsidRDefault="00A13DF6" w:rsidP="00C71B47">
      <w:pPr>
        <w:pStyle w:val="Heading4"/>
      </w:pPr>
      <w:bookmarkStart w:id="74" w:name="_Toc398497485"/>
      <w:r w:rsidRPr="00A13DF6">
        <w:t xml:space="preserve">Organic </w:t>
      </w:r>
      <w:r w:rsidRPr="00C71B47">
        <w:t>Acidaemias</w:t>
      </w:r>
      <w:bookmarkEnd w:id="74"/>
    </w:p>
    <w:p w:rsidR="00A13DF6" w:rsidRPr="00A13DF6" w:rsidRDefault="00A13DF6" w:rsidP="00C71B47">
      <w:r w:rsidRPr="00A13DF6">
        <w:t xml:space="preserve">The term ‘organic acidaemia’ or ‘organic aciduria’ (OA) applies to a group of disorders characterised by the excretion of non amino organic acids in urine. OAs are the result of dysfunction of specific step/s in amino acid catabolism, usually the result of specific deficient enzyme activity. The majority of the classic organic acid disorders are caused by abnormal amino acid catabolism of branched chain amino acids or lysine. They include maple syrup urine disease, propionic acidaemia (PA), methylmalonic acidaemia (MMA), </w:t>
      </w:r>
      <w:r w:rsidRPr="00A13DF6">
        <w:lastRenderedPageBreak/>
        <w:t>methylmalonic aciduria and homocystinuria, isovaleric acidaemia (IVA), biotin unresponsive 3-methylcrotonyl-CoA carboxylasedeficiency, 3-hydroxy-3-methylglutaryl CoA(HMG-CoA) lyase deficiency, ketothiolase deficiency, and glutaric acidaemia type I.</w:t>
      </w:r>
    </w:p>
    <w:p w:rsidR="008B1C4F" w:rsidRPr="008B1C4F" w:rsidRDefault="00217F53" w:rsidP="00C71B47">
      <w:r w:rsidRPr="00217F53">
        <w:t>The first clinical manifestations in all OAs could start in early stage (neo</w:t>
      </w:r>
      <w:r w:rsidR="009F5CFA">
        <w:t>natal period) or in late stage.</w:t>
      </w:r>
      <w:r w:rsidR="00A0483F">
        <w:t xml:space="preserve"> </w:t>
      </w:r>
      <w:r w:rsidRPr="00217F53">
        <w:t>A neonate affected with an OA is usually well at birth and for the f</w:t>
      </w:r>
      <w:r w:rsidR="00A0483F">
        <w:t xml:space="preserve">irst few hours or days of life. </w:t>
      </w:r>
      <w:r w:rsidRPr="00217F53">
        <w:t xml:space="preserve">The usual clinical presentation is at the time of a metabolic decompensation that leads towards toxic encephalopathy, vomiting, poor feeding, neurologic symptoms such as seizures, abnormal muscle tone, and lethargy, progressing to coma. </w:t>
      </w:r>
      <w:r w:rsidR="008B1C4F" w:rsidRPr="008B1C4F">
        <w:t>The earlier is the onset of the first clinical manifestations the higher the severity and the poorer the outcome for the patient. Prognosis could be improved by early diagnosis and prompt effective treatment.</w:t>
      </w:r>
    </w:p>
    <w:p w:rsidR="00217F53" w:rsidRPr="0009376D" w:rsidRDefault="00217F53" w:rsidP="0009376D">
      <w:r w:rsidRPr="00217F53">
        <w:t>In the late onset, older child or adolescent, variant forms of the OAs can present as progressive loss of intellectual functi</w:t>
      </w:r>
      <w:r w:rsidRPr="00C71B47">
        <w:t>o</w:t>
      </w:r>
      <w:r w:rsidRPr="00217F53">
        <w:t>ns, ataxia or other focal neurologic signs, Reye-like syndrome, recurrent keto-acidosis, or psychiatric symptoms.</w:t>
      </w:r>
    </w:p>
    <w:p w:rsidR="00605AD4" w:rsidRDefault="00605AD4" w:rsidP="00C71B47">
      <w:pPr>
        <w:pStyle w:val="Heading4"/>
      </w:pPr>
      <w:r w:rsidRPr="00C71B47">
        <w:t>Guidance</w:t>
      </w:r>
    </w:p>
    <w:p w:rsidR="00FE29A5" w:rsidRPr="00FE29A5" w:rsidRDefault="00FE29A5" w:rsidP="00C71B47">
      <w:r w:rsidRPr="00FE29A5">
        <w:t>The following guidance documents were supplied to the evaluator:</w:t>
      </w:r>
    </w:p>
    <w:p w:rsidR="00FE29A5" w:rsidRPr="00FE29A5" w:rsidRDefault="00FE29A5" w:rsidP="00C71B47">
      <w:pPr>
        <w:pStyle w:val="ListBullet"/>
      </w:pPr>
      <w:r w:rsidRPr="00FE29A5">
        <w:t>Clinical Investigation of Medicinal Products for Long Term Use (Directive 75/318/EEC)</w:t>
      </w:r>
    </w:p>
    <w:p w:rsidR="00FE29A5" w:rsidRPr="00FE29A5" w:rsidRDefault="00FE29A5" w:rsidP="00C71B47">
      <w:pPr>
        <w:pStyle w:val="ListBullet"/>
      </w:pPr>
      <w:r w:rsidRPr="00C71B47">
        <w:t>Guideline</w:t>
      </w:r>
      <w:r w:rsidRPr="00FE29A5">
        <w:t xml:space="preserve"> on the Investigation of Medicinal Products in the Term and Preterm Neonate (EMEA/536810/2008)</w:t>
      </w:r>
    </w:p>
    <w:p w:rsidR="00FE29A5" w:rsidRPr="00FE29A5" w:rsidRDefault="00FE29A5" w:rsidP="00FE29A5">
      <w:pPr>
        <w:pStyle w:val="ListBullet"/>
      </w:pPr>
      <w:r w:rsidRPr="00FE29A5">
        <w:t>Guideline on the role of Pharmacokinetics in the Development of Medicinal Products in the Paediatric Population (EMEA/CHMP/EWP/147013/2004)</w:t>
      </w:r>
    </w:p>
    <w:p w:rsidR="00FE29A5" w:rsidRPr="00FE29A5" w:rsidRDefault="00FE29A5" w:rsidP="00FE29A5">
      <w:pPr>
        <w:pStyle w:val="ListBullet"/>
      </w:pPr>
      <w:r w:rsidRPr="00FE29A5">
        <w:t>Note for Guidance on Clinical Investigation of Medicinal Products in the Paediatric Population (CPMP/ICH/2711/99)</w:t>
      </w:r>
    </w:p>
    <w:p w:rsidR="00FE29A5" w:rsidRPr="00FE29A5" w:rsidRDefault="00FE29A5" w:rsidP="00FE29A5">
      <w:pPr>
        <w:pStyle w:val="ListBullet"/>
      </w:pPr>
      <w:r w:rsidRPr="00FE29A5">
        <w:t>Reflection Paper Formulations of Choice for the Paediatric Population (EMEA/CHMP/</w:t>
      </w:r>
      <w:r w:rsidRPr="00C71B47">
        <w:t>P</w:t>
      </w:r>
      <w:r w:rsidRPr="00FE29A5">
        <w:t>EG/194810/2005)</w:t>
      </w:r>
    </w:p>
    <w:p w:rsidR="00605AD4" w:rsidRDefault="00605AD4" w:rsidP="00C71B47">
      <w:pPr>
        <w:pStyle w:val="Heading4"/>
      </w:pPr>
      <w:r w:rsidRPr="00C71B47">
        <w:t>Contents</w:t>
      </w:r>
      <w:r w:rsidRPr="00605AD4">
        <w:t xml:space="preserve"> of the clinical dossier</w:t>
      </w:r>
    </w:p>
    <w:p w:rsidR="00FE29A5" w:rsidRPr="00FE29A5" w:rsidRDefault="00FE29A5" w:rsidP="00C71B47">
      <w:r w:rsidRPr="00FE29A5">
        <w:t>The submission contained the following clinical information:</w:t>
      </w:r>
    </w:p>
    <w:p w:rsidR="00FE29A5" w:rsidRPr="00FE29A5" w:rsidRDefault="00FE29A5" w:rsidP="00C71B47">
      <w:pPr>
        <w:pStyle w:val="ListBullet"/>
      </w:pPr>
      <w:r w:rsidRPr="00FE29A5">
        <w:t xml:space="preserve">2 clinical pharmacology studies, both of these provided pharmacokinetic data in normal </w:t>
      </w:r>
      <w:r w:rsidRPr="00C71B47">
        <w:t>adult</w:t>
      </w:r>
      <w:r w:rsidRPr="00FE29A5">
        <w:t xml:space="preserve"> human subjects.</w:t>
      </w:r>
    </w:p>
    <w:p w:rsidR="00FE29A5" w:rsidRPr="00FE29A5" w:rsidRDefault="00FE29A5" w:rsidP="00FE29A5">
      <w:pPr>
        <w:pStyle w:val="ListBullet"/>
      </w:pPr>
      <w:r w:rsidRPr="00FE29A5">
        <w:t>Several bio-analytical studies.</w:t>
      </w:r>
    </w:p>
    <w:p w:rsidR="00FE29A5" w:rsidRPr="00FE29A5" w:rsidRDefault="00FE29A5" w:rsidP="00FE29A5">
      <w:pPr>
        <w:pStyle w:val="ListBullet"/>
      </w:pPr>
      <w:r w:rsidRPr="00FE29A5">
        <w:t>Two pivotal efficacy/safety studies.</w:t>
      </w:r>
    </w:p>
    <w:p w:rsidR="00FE29A5" w:rsidRDefault="00FE29A5" w:rsidP="00C71B47">
      <w:pPr>
        <w:pStyle w:val="ListBullet"/>
      </w:pPr>
      <w:r w:rsidRPr="00FE29A5">
        <w:t xml:space="preserve">One clinical safety report, one report for the risk of </w:t>
      </w:r>
      <w:r w:rsidR="00F93145">
        <w:t xml:space="preserve">QT </w:t>
      </w:r>
      <w:r w:rsidR="00F93145" w:rsidRPr="00F93145">
        <w:t>interval (</w:t>
      </w:r>
      <w:r w:rsidRPr="00F93145">
        <w:t>QT</w:t>
      </w:r>
      <w:r w:rsidR="00F93145" w:rsidRPr="00F93145">
        <w:t>)</w:t>
      </w:r>
      <w:r w:rsidRPr="00F93145">
        <w:t xml:space="preserve"> prolongation </w:t>
      </w:r>
      <w:r w:rsidRPr="00FE29A5">
        <w:t xml:space="preserve">and seven periodic safety </w:t>
      </w:r>
      <w:r w:rsidRPr="00C71B47">
        <w:t>update</w:t>
      </w:r>
      <w:r w:rsidRPr="00FE29A5">
        <w:t xml:space="preserve"> reports</w:t>
      </w:r>
      <w:r w:rsidR="00E3082B">
        <w:t xml:space="preserve"> (</w:t>
      </w:r>
      <w:r w:rsidR="00E3082B" w:rsidRPr="00E3082B">
        <w:t>PSUR</w:t>
      </w:r>
      <w:r w:rsidR="00E3082B">
        <w:t>s)</w:t>
      </w:r>
      <w:r w:rsidRPr="00FE29A5">
        <w:t>.</w:t>
      </w:r>
    </w:p>
    <w:p w:rsidR="00696DFD" w:rsidRPr="00FE29A5" w:rsidRDefault="00696DFD" w:rsidP="00C71B47">
      <w:r>
        <w:t>There were no population pharmacokinetic analyses, clinical dose finding studies or other efficacy/safety studies.</w:t>
      </w:r>
    </w:p>
    <w:p w:rsidR="00605AD4" w:rsidRDefault="00605AD4" w:rsidP="00C71B47">
      <w:pPr>
        <w:pStyle w:val="Heading4"/>
      </w:pPr>
      <w:r w:rsidRPr="00C71B47">
        <w:t>Paediatric</w:t>
      </w:r>
      <w:r w:rsidRPr="00605AD4">
        <w:t xml:space="preserve"> data</w:t>
      </w:r>
    </w:p>
    <w:p w:rsidR="00FE29A5" w:rsidRPr="00FE29A5" w:rsidRDefault="00FE29A5" w:rsidP="00C71B47">
      <w:r w:rsidRPr="00FE29A5">
        <w:t>The submission included paediatric pharmacokinetic, efficacy and safety data including in young neonates.</w:t>
      </w:r>
    </w:p>
    <w:p w:rsidR="00605AD4" w:rsidRDefault="00605AD4" w:rsidP="003A3B87">
      <w:pPr>
        <w:pStyle w:val="Heading4"/>
      </w:pPr>
      <w:r w:rsidRPr="00605AD4">
        <w:lastRenderedPageBreak/>
        <w:t xml:space="preserve">Good </w:t>
      </w:r>
      <w:r w:rsidRPr="00C71B47">
        <w:t>clinical</w:t>
      </w:r>
      <w:r w:rsidRPr="00605AD4">
        <w:t xml:space="preserve"> practice</w:t>
      </w:r>
    </w:p>
    <w:p w:rsidR="00FE29A5" w:rsidRPr="00FE29A5" w:rsidRDefault="00FE29A5" w:rsidP="00C71B47">
      <w:bookmarkStart w:id="75" w:name="_Toc241374282"/>
      <w:r w:rsidRPr="00FE29A5">
        <w:t xml:space="preserve">The two pharmacokinetic studies in normal human adults were reported to have complied with </w:t>
      </w:r>
      <w:r w:rsidR="008B2B56" w:rsidRPr="008B2B56">
        <w:t xml:space="preserve">Good Clinical Practice </w:t>
      </w:r>
      <w:r w:rsidR="008B2B56">
        <w:t>(</w:t>
      </w:r>
      <w:r w:rsidRPr="00FE29A5">
        <w:t>GCP</w:t>
      </w:r>
      <w:r w:rsidR="008B2B56">
        <w:t>)</w:t>
      </w:r>
      <w:r w:rsidRPr="00FE29A5">
        <w:t>.</w:t>
      </w:r>
    </w:p>
    <w:p w:rsidR="00FE29A5" w:rsidRPr="00FE29A5" w:rsidRDefault="00FE29A5" w:rsidP="00C71B47">
      <w:r w:rsidRPr="00FE29A5">
        <w:t>The retrospective clinical studies did not fully comply with GCP. While the data for the retrospective studies was collected in accordance with GCP principles, the original clinical data entry was not part of a clinical study (it was routine clinical practice) and, hence, not GCP compliant.</w:t>
      </w:r>
      <w:bookmarkEnd w:id="75"/>
    </w:p>
    <w:p w:rsidR="008E7846" w:rsidRDefault="008E7846" w:rsidP="00C71B47">
      <w:pPr>
        <w:pStyle w:val="Heading3"/>
      </w:pPr>
      <w:bookmarkStart w:id="76" w:name="_Toc433190170"/>
      <w:r w:rsidRPr="00C71B47">
        <w:t>Pharmacokinetics</w:t>
      </w:r>
      <w:bookmarkEnd w:id="67"/>
      <w:bookmarkEnd w:id="70"/>
      <w:bookmarkEnd w:id="71"/>
      <w:bookmarkEnd w:id="72"/>
      <w:bookmarkEnd w:id="76"/>
    </w:p>
    <w:p w:rsidR="0026229A" w:rsidRPr="0026229A" w:rsidRDefault="0026229A" w:rsidP="00C71B47">
      <w:pPr>
        <w:pStyle w:val="Heading4"/>
      </w:pPr>
      <w:r w:rsidRPr="0026229A">
        <w:t>Studies</w:t>
      </w:r>
      <w:r w:rsidR="00A0483F">
        <w:t xml:space="preserve"> providing pharmacokinetic data</w:t>
      </w:r>
    </w:p>
    <w:p w:rsidR="0026229A" w:rsidRPr="0026229A" w:rsidRDefault="0026229A" w:rsidP="00C71B47">
      <w:r w:rsidRPr="00BF4A86">
        <w:t xml:space="preserve">The </w:t>
      </w:r>
      <w:r w:rsidR="00BF4A86" w:rsidRPr="00BF4A86">
        <w:rPr>
          <w:bCs/>
        </w:rPr>
        <w:t>pharmacokinetic</w:t>
      </w:r>
      <w:r w:rsidR="00BF4A86">
        <w:rPr>
          <w:bCs/>
        </w:rPr>
        <w:t>s</w:t>
      </w:r>
      <w:r w:rsidR="00BF4A86" w:rsidRPr="00BF4A86">
        <w:t xml:space="preserve"> </w:t>
      </w:r>
      <w:r w:rsidR="00BF4A86">
        <w:t>(</w:t>
      </w:r>
      <w:r w:rsidRPr="00BF4A86">
        <w:t>PK</w:t>
      </w:r>
      <w:r w:rsidR="00BF4A86">
        <w:t>)</w:t>
      </w:r>
      <w:r w:rsidRPr="0026229A">
        <w:t xml:space="preserve"> dataset included the following:</w:t>
      </w:r>
    </w:p>
    <w:p w:rsidR="0026229A" w:rsidRPr="0026229A" w:rsidRDefault="0026229A" w:rsidP="00C71B47">
      <w:pPr>
        <w:pStyle w:val="ListBullet"/>
      </w:pPr>
      <w:r w:rsidRPr="0026229A">
        <w:t xml:space="preserve">Single dose </w:t>
      </w:r>
      <w:r w:rsidR="00BF4A86" w:rsidRPr="00BF4A86">
        <w:t xml:space="preserve">PK </w:t>
      </w:r>
      <w:r w:rsidRPr="0026229A">
        <w:t xml:space="preserve">in 15 normal adult volunteers including 3 subjects as part of a mass </w:t>
      </w:r>
      <w:r w:rsidRPr="00C71B47">
        <w:t>balance</w:t>
      </w:r>
      <w:r w:rsidRPr="0026229A">
        <w:t xml:space="preserve"> study.</w:t>
      </w:r>
    </w:p>
    <w:p w:rsidR="0026229A" w:rsidRPr="0026229A" w:rsidRDefault="0026229A" w:rsidP="0026229A">
      <w:pPr>
        <w:pStyle w:val="ListBullet"/>
      </w:pPr>
      <w:r w:rsidRPr="0026229A">
        <w:t>A total of 23 samples from 10 patients receiving car</w:t>
      </w:r>
      <w:r w:rsidR="001A71E6">
        <w:t xml:space="preserve">glumic acid as part of a follow </w:t>
      </w:r>
      <w:r w:rsidRPr="0026229A">
        <w:t>up program.</w:t>
      </w:r>
    </w:p>
    <w:p w:rsidR="0026229A" w:rsidRPr="0026229A" w:rsidRDefault="0026229A" w:rsidP="00C71B47">
      <w:pPr>
        <w:pStyle w:val="ListBullet"/>
      </w:pPr>
      <w:r w:rsidRPr="0026229A">
        <w:t xml:space="preserve">A </w:t>
      </w:r>
      <w:r w:rsidRPr="00C71B47">
        <w:t>total</w:t>
      </w:r>
      <w:r w:rsidRPr="0026229A">
        <w:t xml:space="preserve"> of 53 samples in 20 patients receiving carglumic acid as part of treatment with carglumic acid.</w:t>
      </w:r>
    </w:p>
    <w:p w:rsidR="0026229A" w:rsidRDefault="0026229A" w:rsidP="00C71B47">
      <w:r w:rsidRPr="0026229A">
        <w:t>None of the pharmacokinetic studies had deficiencies that excluded their results from consideration.</w:t>
      </w:r>
    </w:p>
    <w:p w:rsidR="00582427" w:rsidRDefault="00582427" w:rsidP="00C71B47">
      <w:r>
        <w:t xml:space="preserve">The findings of the study in normal adult (male) </w:t>
      </w:r>
      <w:r w:rsidR="00696DFD">
        <w:t>volunteers are shown in Figure 3</w:t>
      </w:r>
      <w:r>
        <w:t xml:space="preserve"> and T</w:t>
      </w:r>
      <w:r w:rsidR="001A297B">
        <w:t>able 4</w:t>
      </w:r>
      <w:r>
        <w:t xml:space="preserve"> below.</w:t>
      </w:r>
    </w:p>
    <w:p w:rsidR="00582427" w:rsidRPr="003500BA" w:rsidRDefault="00696DFD" w:rsidP="00C71B47">
      <w:pPr>
        <w:pStyle w:val="FigureTitle"/>
      </w:pPr>
      <w:bookmarkStart w:id="77" w:name="_Toc398497653"/>
      <w:r>
        <w:t>Figure 3</w:t>
      </w:r>
      <w:r w:rsidR="00582427" w:rsidRPr="003500BA">
        <w:t xml:space="preserve">. </w:t>
      </w:r>
      <w:r w:rsidR="00582427" w:rsidRPr="00F93145">
        <w:t xml:space="preserve">Mean and </w:t>
      </w:r>
      <w:r w:rsidR="00F93145">
        <w:t>standard deviation (S</w:t>
      </w:r>
      <w:r w:rsidR="00582427" w:rsidRPr="00F93145">
        <w:t>D</w:t>
      </w:r>
      <w:r w:rsidR="00F93145">
        <w:t>)</w:t>
      </w:r>
      <w:r w:rsidR="00582427" w:rsidRPr="00F93145">
        <w:t xml:space="preserve"> </w:t>
      </w:r>
      <w:r w:rsidR="00582427" w:rsidRPr="003500BA">
        <w:t>plasma profiles for carglumic acid obtained after single oral administration of 100 mg/kg of OE312</w:t>
      </w:r>
      <w:r w:rsidR="00582427">
        <w:t xml:space="preserve"> in 12 healthy male volunteers</w:t>
      </w:r>
      <w:bookmarkEnd w:id="77"/>
      <w:r w:rsidR="00582427">
        <w:t>.</w:t>
      </w:r>
    </w:p>
    <w:p w:rsidR="00582427" w:rsidRDefault="00582427" w:rsidP="00C71B47">
      <w:r>
        <w:rPr>
          <w:noProof/>
          <w:lang w:eastAsia="en-AU"/>
        </w:rPr>
        <w:drawing>
          <wp:inline distT="0" distB="0" distL="0" distR="0" wp14:anchorId="09F23761" wp14:editId="2C434521">
            <wp:extent cx="5400040" cy="2712584"/>
            <wp:effectExtent l="0" t="0" r="0" b="0"/>
            <wp:docPr id="20" name="Picture 20" descr="Figure 3. Mean and standard deviation (SD) plasma profiles for carglumic acid obtained after single oral administration of 100 mg/kg of OE312 in 12 healthy male volunteers."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00040" cy="2712584"/>
                    </a:xfrm>
                    <a:prstGeom prst="rect">
                      <a:avLst/>
                    </a:prstGeom>
                  </pic:spPr>
                </pic:pic>
              </a:graphicData>
            </a:graphic>
          </wp:inline>
        </w:drawing>
      </w:r>
    </w:p>
    <w:p w:rsidR="00582427" w:rsidRPr="00582427" w:rsidRDefault="001A297B" w:rsidP="00C71B47">
      <w:pPr>
        <w:pStyle w:val="TableTitle"/>
      </w:pPr>
      <w:bookmarkStart w:id="78" w:name="_Toc398497615"/>
      <w:r>
        <w:lastRenderedPageBreak/>
        <w:t>Table 4</w:t>
      </w:r>
      <w:r w:rsidR="00582427" w:rsidRPr="00582427">
        <w:t xml:space="preserve">. Pharmacokinetic </w:t>
      </w:r>
      <w:r w:rsidR="00582427" w:rsidRPr="00C71B47">
        <w:t>parameters</w:t>
      </w:r>
      <w:r w:rsidR="00582427" w:rsidRPr="00582427">
        <w:t xml:space="preserve"> of carglumic acid</w:t>
      </w:r>
      <w:bookmarkEnd w:id="78"/>
      <w:r w:rsidR="00582427" w:rsidRPr="00582427">
        <w:t>.</w:t>
      </w:r>
    </w:p>
    <w:p w:rsidR="00582427" w:rsidRPr="0026229A" w:rsidRDefault="00582427" w:rsidP="00C71B47">
      <w:r>
        <w:rPr>
          <w:noProof/>
          <w:lang w:eastAsia="en-AU"/>
        </w:rPr>
        <w:drawing>
          <wp:inline distT="0" distB="0" distL="0" distR="0" wp14:anchorId="2BBFC201" wp14:editId="768270FC">
            <wp:extent cx="5400040" cy="3951614"/>
            <wp:effectExtent l="0" t="0" r="0" b="0"/>
            <wp:docPr id="30" name="Picture 30" descr="Table 4. Pharmacokinetic parameters of carglumic acid." title="Tabl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00040" cy="3951614"/>
                    </a:xfrm>
                    <a:prstGeom prst="rect">
                      <a:avLst/>
                    </a:prstGeom>
                  </pic:spPr>
                </pic:pic>
              </a:graphicData>
            </a:graphic>
          </wp:inline>
        </w:drawing>
      </w:r>
    </w:p>
    <w:p w:rsidR="00605AD4" w:rsidRDefault="00605AD4" w:rsidP="00C71B47">
      <w:pPr>
        <w:pStyle w:val="Heading4"/>
      </w:pPr>
      <w:r>
        <w:t xml:space="preserve">Evaluator’s </w:t>
      </w:r>
      <w:r w:rsidRPr="00C71B47">
        <w:t>conclusions</w:t>
      </w:r>
      <w:r>
        <w:t xml:space="preserve"> on pharmacokinetics</w:t>
      </w:r>
    </w:p>
    <w:p w:rsidR="0026229A" w:rsidRPr="0026229A" w:rsidRDefault="0026229A" w:rsidP="00C71B47">
      <w:r w:rsidRPr="0026229A">
        <w:t>The bioequivalence study in 12 normal adult males does define the PK parameters for a single dose of carglumic acid in this population. The study also demonstrated bioequivalence between Carbaglu and the unregistered powder previously available for treatment. The mass balance study in three adult males indicated a significant variation in the disposition of carglumic acid even though all three subjects had similar serum carglumic acid profiles.</w:t>
      </w:r>
    </w:p>
    <w:p w:rsidR="0026229A" w:rsidRPr="0026229A" w:rsidRDefault="0026229A" w:rsidP="00C71B47">
      <w:r w:rsidRPr="0026229A">
        <w:t>The pharmacokinetic data in treated patients were sparse and difficult to interpret. The sponsor only produced raw data and no analysis of these data was presented. There were a range of concentrations seen in treated patients; these being within the range seen in the normal subjects. What is missing is a PK analysis of these data to estimate PK parameters or the likely concentration profile in the treated patients, most of whom were infants and children. The sponsor should have attempted an analysis of these data, for example, using population pharmacokinetic methods. The model could have been informed by the available adult data.</w:t>
      </w:r>
    </w:p>
    <w:p w:rsidR="0026229A" w:rsidRPr="0026229A" w:rsidRDefault="0026229A" w:rsidP="00C71B47">
      <w:r w:rsidRPr="0026229A">
        <w:t xml:space="preserve">In summary, the pharmacokinetic data are insufficient to support the registration of Carbaglu for use in the target patient population. The evaluator recommends that the sponsor perform further analysis on the available data to investigate whether a satisfactory analysis of these data is possible to better define the </w:t>
      </w:r>
      <w:r w:rsidR="00BF4A86" w:rsidRPr="00BF4A86">
        <w:t xml:space="preserve">PK </w:t>
      </w:r>
      <w:r w:rsidRPr="0026229A">
        <w:t>of Carbaglu in infants and children.</w:t>
      </w:r>
      <w:bookmarkStart w:id="79" w:name="_Toc196046481"/>
      <w:bookmarkStart w:id="80" w:name="_Toc247691520"/>
      <w:bookmarkStart w:id="81" w:name="_Toc314842503"/>
    </w:p>
    <w:p w:rsidR="008E7846" w:rsidRDefault="008E7846" w:rsidP="00C71B47">
      <w:pPr>
        <w:pStyle w:val="Heading3"/>
      </w:pPr>
      <w:bookmarkStart w:id="82" w:name="_Toc433190171"/>
      <w:r w:rsidRPr="00C71B47">
        <w:lastRenderedPageBreak/>
        <w:t>Pharmacodynamics</w:t>
      </w:r>
      <w:bookmarkEnd w:id="68"/>
      <w:bookmarkEnd w:id="79"/>
      <w:bookmarkEnd w:id="80"/>
      <w:bookmarkEnd w:id="81"/>
      <w:bookmarkEnd w:id="82"/>
    </w:p>
    <w:p w:rsidR="00605AD4" w:rsidRDefault="00605AD4" w:rsidP="00C71B47">
      <w:pPr>
        <w:pStyle w:val="Heading4"/>
      </w:pPr>
      <w:r>
        <w:t xml:space="preserve">Studies providing </w:t>
      </w:r>
      <w:r w:rsidRPr="00C71B47">
        <w:t>pharmacodynamic</w:t>
      </w:r>
      <w:r>
        <w:t xml:space="preserve"> data</w:t>
      </w:r>
    </w:p>
    <w:p w:rsidR="0026229A" w:rsidRPr="0026229A" w:rsidRDefault="0026229A" w:rsidP="00C71B47">
      <w:r w:rsidRPr="0026229A">
        <w:t>No specific pharmacodynamic studies were submitted in the dossier.</w:t>
      </w:r>
    </w:p>
    <w:p w:rsidR="008E7846" w:rsidRDefault="00605AD4" w:rsidP="00C71B47">
      <w:pPr>
        <w:pStyle w:val="Heading3"/>
      </w:pPr>
      <w:bookmarkStart w:id="83" w:name="_Toc433190172"/>
      <w:r>
        <w:t>Dosage selection for the pivotal studies</w:t>
      </w:r>
      <w:bookmarkEnd w:id="83"/>
    </w:p>
    <w:p w:rsidR="0026229A" w:rsidRPr="0026229A" w:rsidRDefault="0026229A" w:rsidP="00C71B47">
      <w:r w:rsidRPr="0026229A">
        <w:t>There was no rational dose selection for the pivotal studies based upon prior pharmacokinetic studies. The pivotal clinical studies were retrospective clinical case series and the dose administered was determined by the individual treating physician.</w:t>
      </w:r>
    </w:p>
    <w:p w:rsidR="0084284C" w:rsidRPr="0084284C" w:rsidRDefault="008E7846" w:rsidP="00C71B47">
      <w:pPr>
        <w:pStyle w:val="Heading3"/>
      </w:pPr>
      <w:bookmarkStart w:id="84" w:name="_Toc163441372"/>
      <w:bookmarkStart w:id="85" w:name="_Toc196046485"/>
      <w:bookmarkStart w:id="86" w:name="_Toc247691521"/>
      <w:bookmarkStart w:id="87" w:name="_Toc314842504"/>
      <w:bookmarkStart w:id="88" w:name="_Toc433190173"/>
      <w:r w:rsidRPr="00254787">
        <w:t>Efficacy</w:t>
      </w:r>
      <w:bookmarkEnd w:id="84"/>
      <w:bookmarkEnd w:id="85"/>
      <w:bookmarkEnd w:id="86"/>
      <w:bookmarkEnd w:id="87"/>
      <w:r w:rsidR="0084284C">
        <w:t xml:space="preserve"> - </w:t>
      </w:r>
      <w:r w:rsidR="0084284C" w:rsidRPr="0084284C">
        <w:t xml:space="preserve">Treatment of </w:t>
      </w:r>
      <w:r w:rsidR="0084284C" w:rsidRPr="00C71B47">
        <w:t>NAGS</w:t>
      </w:r>
      <w:r w:rsidR="0084284C" w:rsidRPr="0084284C">
        <w:t xml:space="preserve"> deficiency</w:t>
      </w:r>
      <w:bookmarkEnd w:id="88"/>
    </w:p>
    <w:p w:rsidR="00605AD4" w:rsidRDefault="00605AD4" w:rsidP="00C71B47">
      <w:pPr>
        <w:pStyle w:val="Heading4"/>
      </w:pPr>
      <w:bookmarkStart w:id="89" w:name="_Toc184439992"/>
      <w:bookmarkStart w:id="90" w:name="_Toc184440279"/>
      <w:bookmarkStart w:id="91" w:name="_Toc184444657"/>
      <w:bookmarkStart w:id="92" w:name="_Toc196046487"/>
      <w:r>
        <w:t xml:space="preserve">Studies </w:t>
      </w:r>
      <w:r w:rsidRPr="00C71B47">
        <w:t>providing</w:t>
      </w:r>
      <w:r>
        <w:t xml:space="preserve"> efficacy data</w:t>
      </w:r>
    </w:p>
    <w:p w:rsidR="0084284C" w:rsidRDefault="0084284C" w:rsidP="00C71B47">
      <w:pPr>
        <w:pStyle w:val="Heading5"/>
      </w:pPr>
      <w:bookmarkStart w:id="93" w:name="_Ref243301615"/>
      <w:r w:rsidRPr="0084284C">
        <w:t xml:space="preserve">Study </w:t>
      </w:r>
      <w:bookmarkEnd w:id="93"/>
      <w:r w:rsidR="007C7BFF">
        <w:t>–</w:t>
      </w:r>
      <w:r w:rsidRPr="0084284C">
        <w:t xml:space="preserve"> Carbaglu</w:t>
      </w:r>
      <w:r w:rsidR="007C7BFF">
        <w:t>;</w:t>
      </w:r>
      <w:r w:rsidRPr="0084284C">
        <w:t xml:space="preserve"> Retrospective Data Review in NAGS Deficiency Patients</w:t>
      </w:r>
    </w:p>
    <w:p w:rsidR="00696DFD" w:rsidRPr="00696DFD" w:rsidRDefault="00696DFD" w:rsidP="00C71B47">
      <w:r w:rsidRPr="00696DFD">
        <w:t>For details see Attachment 2</w:t>
      </w:r>
    </w:p>
    <w:p w:rsidR="0084284C" w:rsidRDefault="004F6989" w:rsidP="004F6989">
      <w:pPr>
        <w:pStyle w:val="Heading5"/>
      </w:pPr>
      <w:bookmarkStart w:id="94" w:name="_Ref271037188"/>
      <w:bookmarkStart w:id="95" w:name="_Ref271037210"/>
      <w:bookmarkStart w:id="96" w:name="_Toc272414655"/>
      <w:bookmarkStart w:id="97" w:name="_Toc290846277"/>
      <w:bookmarkStart w:id="98" w:name="_Toc398497528"/>
      <w:r w:rsidRPr="004F6989">
        <w:t>Other efficacy studies</w:t>
      </w:r>
      <w:bookmarkEnd w:id="94"/>
      <w:bookmarkEnd w:id="95"/>
      <w:bookmarkEnd w:id="96"/>
      <w:bookmarkEnd w:id="97"/>
      <w:bookmarkEnd w:id="98"/>
    </w:p>
    <w:p w:rsidR="00696DFD" w:rsidRPr="00696DFD" w:rsidRDefault="00696DFD" w:rsidP="00C71B47">
      <w:r w:rsidRPr="00696DFD">
        <w:t>For details see Attachment 2</w:t>
      </w:r>
    </w:p>
    <w:p w:rsidR="00C9743B" w:rsidRPr="00C9743B" w:rsidRDefault="00C9743B" w:rsidP="00C71B47">
      <w:pPr>
        <w:pStyle w:val="Heading4"/>
      </w:pPr>
      <w:bookmarkStart w:id="99" w:name="_Toc290888819"/>
      <w:bookmarkStart w:id="100" w:name="_Toc398497531"/>
      <w:r w:rsidRPr="00074867">
        <w:t xml:space="preserve">Evaluator’s conclusions on </w:t>
      </w:r>
      <w:r w:rsidRPr="00C71B47">
        <w:t>clinical</w:t>
      </w:r>
      <w:r w:rsidRPr="00074867">
        <w:t xml:space="preserve"> efficacy for the Treatment of NAGS deficiency</w:t>
      </w:r>
      <w:bookmarkEnd w:id="99"/>
      <w:bookmarkEnd w:id="100"/>
    </w:p>
    <w:p w:rsidR="00C9743B" w:rsidRPr="00C9743B" w:rsidRDefault="00C9743B" w:rsidP="00C71B47">
      <w:r w:rsidRPr="00C9743B">
        <w:t>The available retrospective data were limited and of poor quality. There were missing data in patients with follow up levels on Days 1 to 7 for each of the efficacy outcomes (missing data in 2 to 14 out of 21 patients for ammonia, 1 to 6 out of 21 patients for glutamine, and 1 to 5 out of 21 patients for citrulline). The regimen including dosing was determined by the individual treating physicians. Also the data were not collected prospectively. The data set would have been more rigorous if the enrolled subjects were subject to a single protocol and data were collected prospectively. Finally, the report was only up until 2007 and further efficacy data may be available after that time. However, NAGS deficiency is a rare disorder and the evaluator accepts that a randomised controlled study was not feasible. Despite the limitations in the data, there is evidence that the administration of carglumic acid results in a dramatic and relatively sustained improvement on the biochemical changes and the clinical symptoms of acute hyperammonaemia associated with NAGS deficiency. The limited long term data indicate that there may be ongoing benefit in administration of carglumic acid to these patients. While there is no control group, there is expected to be a very poor prognosis in individuals severely affected with NAGS deficiency. The limited data presented in the dossier supports that carglumic acid may improve the outcome in some of these patients.</w:t>
      </w:r>
    </w:p>
    <w:p w:rsidR="00C9743B" w:rsidRPr="00C9743B" w:rsidRDefault="00C9743B" w:rsidP="00C71B47">
      <w:r w:rsidRPr="00C9743B">
        <w:t>In summary, the efficacy data are sufficient to support the registration of Carbaglu for use in the treatment of NAGS deficiency.</w:t>
      </w:r>
    </w:p>
    <w:p w:rsidR="00C9743B" w:rsidRDefault="00C9743B" w:rsidP="00C71B47">
      <w:pPr>
        <w:pStyle w:val="Heading3"/>
      </w:pPr>
      <w:bookmarkStart w:id="101" w:name="_Toc424546942"/>
      <w:bookmarkStart w:id="102" w:name="_Toc433190174"/>
      <w:r w:rsidRPr="00C9743B">
        <w:t xml:space="preserve">Efficacy </w:t>
      </w:r>
      <w:r>
        <w:t xml:space="preserve">- </w:t>
      </w:r>
      <w:r w:rsidRPr="00074867">
        <w:t xml:space="preserve">The </w:t>
      </w:r>
      <w:r w:rsidR="00595256">
        <w:t>a</w:t>
      </w:r>
      <w:r w:rsidRPr="00074867">
        <w:t xml:space="preserve">cute </w:t>
      </w:r>
      <w:r w:rsidR="00595256">
        <w:t>t</w:t>
      </w:r>
      <w:r w:rsidRPr="00074867">
        <w:t xml:space="preserve">reatment of </w:t>
      </w:r>
      <w:r w:rsidR="00595256">
        <w:t>h</w:t>
      </w:r>
      <w:r w:rsidRPr="00074867">
        <w:t xml:space="preserve">yperammonaemia in </w:t>
      </w:r>
      <w:r w:rsidR="00595256">
        <w:t>o</w:t>
      </w:r>
      <w:r w:rsidRPr="00074867">
        <w:t xml:space="preserve">rganic </w:t>
      </w:r>
      <w:r w:rsidR="00595256">
        <w:t>a</w:t>
      </w:r>
      <w:r w:rsidRPr="00074867">
        <w:t>cidaemia</w:t>
      </w:r>
      <w:bookmarkEnd w:id="101"/>
      <w:bookmarkEnd w:id="102"/>
    </w:p>
    <w:p w:rsidR="00696DFD" w:rsidRDefault="00696DFD" w:rsidP="00C71B47">
      <w:pPr>
        <w:pStyle w:val="Heading4"/>
      </w:pPr>
      <w:bookmarkStart w:id="103" w:name="_Toc290888812"/>
      <w:r w:rsidRPr="00696DFD">
        <w:t xml:space="preserve">Study </w:t>
      </w:r>
      <w:bookmarkEnd w:id="103"/>
      <w:r w:rsidRPr="00696DFD">
        <w:t xml:space="preserve">- Carbaglu </w:t>
      </w:r>
      <w:r w:rsidR="00595256">
        <w:t>r</w:t>
      </w:r>
      <w:r w:rsidRPr="00696DFD">
        <w:t xml:space="preserve">etrospective </w:t>
      </w:r>
      <w:r w:rsidR="00595256">
        <w:t>o</w:t>
      </w:r>
      <w:r w:rsidRPr="00696DFD">
        <w:t xml:space="preserve">bservational </w:t>
      </w:r>
      <w:r w:rsidR="00595256">
        <w:t>s</w:t>
      </w:r>
      <w:r w:rsidRPr="00696DFD">
        <w:t xml:space="preserve">tudy of </w:t>
      </w:r>
      <w:r w:rsidR="00595256">
        <w:t>h</w:t>
      </w:r>
      <w:r w:rsidRPr="00696DFD">
        <w:t xml:space="preserve">yperammonaemia in </w:t>
      </w:r>
      <w:r w:rsidR="00595256">
        <w:t>o</w:t>
      </w:r>
      <w:r w:rsidRPr="00696DFD">
        <w:t xml:space="preserve">rganic </w:t>
      </w:r>
      <w:r w:rsidR="00595256">
        <w:t>a</w:t>
      </w:r>
      <w:r w:rsidRPr="00696DFD">
        <w:t xml:space="preserve">cidaemia </w:t>
      </w:r>
      <w:r w:rsidR="00595256">
        <w:t>d</w:t>
      </w:r>
      <w:r w:rsidRPr="00696DFD">
        <w:t xml:space="preserve">ecompensation </w:t>
      </w:r>
      <w:r w:rsidR="00595256">
        <w:t>e</w:t>
      </w:r>
      <w:r w:rsidRPr="00696DFD">
        <w:t>pisode</w:t>
      </w:r>
    </w:p>
    <w:p w:rsidR="00696DFD" w:rsidRPr="00696DFD" w:rsidRDefault="00696DFD" w:rsidP="00092147">
      <w:r>
        <w:t xml:space="preserve">For details see </w:t>
      </w:r>
      <w:r w:rsidRPr="00696DFD">
        <w:t>Attachment</w:t>
      </w:r>
      <w:r>
        <w:t xml:space="preserve"> 2</w:t>
      </w:r>
    </w:p>
    <w:p w:rsidR="00537B70" w:rsidRPr="004549FF" w:rsidRDefault="00537B70" w:rsidP="00092147">
      <w:pPr>
        <w:pStyle w:val="Heading4"/>
      </w:pPr>
      <w:bookmarkStart w:id="104" w:name="_Ref271126605"/>
      <w:bookmarkStart w:id="105" w:name="_Toc272414657"/>
      <w:bookmarkStart w:id="106" w:name="_Toc290846282"/>
      <w:bookmarkStart w:id="107" w:name="_Toc398497536"/>
      <w:r w:rsidRPr="004549FF">
        <w:lastRenderedPageBreak/>
        <w:t xml:space="preserve">Evaluator’s conclusions on clinical efficacy for </w:t>
      </w:r>
      <w:bookmarkEnd w:id="104"/>
      <w:bookmarkEnd w:id="105"/>
      <w:bookmarkEnd w:id="106"/>
      <w:r w:rsidR="003A3B87">
        <w:t>t</w:t>
      </w:r>
      <w:r w:rsidRPr="004549FF">
        <w:t xml:space="preserve">he </w:t>
      </w:r>
      <w:r w:rsidR="003A3B87">
        <w:t>a</w:t>
      </w:r>
      <w:r w:rsidRPr="004549FF">
        <w:t xml:space="preserve">cute </w:t>
      </w:r>
      <w:r w:rsidR="003A3B87">
        <w:t>t</w:t>
      </w:r>
      <w:r w:rsidRPr="004549FF">
        <w:t xml:space="preserve">reatment of </w:t>
      </w:r>
      <w:r w:rsidR="003A3B87">
        <w:t>h</w:t>
      </w:r>
      <w:r w:rsidRPr="004549FF">
        <w:t xml:space="preserve">yperammonaemia in </w:t>
      </w:r>
      <w:r w:rsidR="003A3B87">
        <w:t>o</w:t>
      </w:r>
      <w:r w:rsidRPr="004549FF">
        <w:t xml:space="preserve">rganic </w:t>
      </w:r>
      <w:r w:rsidR="003A3B87">
        <w:t>a</w:t>
      </w:r>
      <w:r w:rsidRPr="004549FF">
        <w:t xml:space="preserve">cidaemia </w:t>
      </w:r>
      <w:r w:rsidR="003A3B87">
        <w:t>d</w:t>
      </w:r>
      <w:r w:rsidRPr="00092147">
        <w:t>ecompensation</w:t>
      </w:r>
      <w:r w:rsidRPr="004549FF">
        <w:t xml:space="preserve"> </w:t>
      </w:r>
      <w:r w:rsidR="003A3B87">
        <w:t>e</w:t>
      </w:r>
      <w:r w:rsidRPr="004549FF">
        <w:t>pisodes</w:t>
      </w:r>
      <w:bookmarkEnd w:id="107"/>
    </w:p>
    <w:p w:rsidR="00537B70" w:rsidRPr="004549FF" w:rsidRDefault="00537B70" w:rsidP="00092147">
      <w:r w:rsidRPr="004549FF">
        <w:t xml:space="preserve">The available retrospective data are limited and of poor quality. The regimen including dosing was determined by the individual treating physicians. Again the data were not collected prospectively. The data set would have been more rigorous if the enrolled subjects were subject to a single protocol and data were collected prospectively. Finally, the report was only up until 2009 and further efficacy data may be available after that time. The evaluator accepts that a randomised controlled study was not feasible given the rarity of organic </w:t>
      </w:r>
      <w:r>
        <w:t>aci</w:t>
      </w:r>
      <w:r w:rsidRPr="004549FF">
        <w:t>d</w:t>
      </w:r>
      <w:r>
        <w:t>a</w:t>
      </w:r>
      <w:r w:rsidRPr="004549FF">
        <w:t>emia decompensation episodes. Despite the limitations in the data, there is evidence that the administration of carglumic acid results in a dramatic and relatively sustained improvement on the biochemical changes and the clinical symptoms of acute hyperammonaemia associated with the types</w:t>
      </w:r>
      <w:r>
        <w:t xml:space="preserve"> of organic acidaemia studied. </w:t>
      </w:r>
      <w:r w:rsidRPr="004549FF">
        <w:t>While there is no control group, there is expected to be a very poor outcome with severe hyperammonaemia assoc</w:t>
      </w:r>
      <w:r>
        <w:t xml:space="preserve">iated with organic acidaemia. </w:t>
      </w:r>
      <w:r w:rsidRPr="004549FF">
        <w:t>Because of the retrospective nature of the study, not all outcomes were measured in all patients. Also only one adult patient was included in the dossier; explained by the fact that few patients survive into adulthood. The limited data presented in the dossier supports that carglumic acid may improve the outcome in some of these patients.</w:t>
      </w:r>
    </w:p>
    <w:p w:rsidR="00537B70" w:rsidRPr="00537B70" w:rsidRDefault="00537B70" w:rsidP="00092147">
      <w:r w:rsidRPr="00905E3C">
        <w:t>In summary, the efficacy data, although limited, are sufficient to support the registration of Carbaglu for use in the treatment of hyperammonaemia in organic acidaemia decompensation episodes.</w:t>
      </w:r>
    </w:p>
    <w:p w:rsidR="008E7846" w:rsidRPr="002E238E" w:rsidRDefault="008E7846" w:rsidP="00092147">
      <w:pPr>
        <w:pStyle w:val="Heading3"/>
      </w:pPr>
      <w:bookmarkStart w:id="108" w:name="_Toc163441378"/>
      <w:bookmarkStart w:id="109" w:name="_Toc196046495"/>
      <w:bookmarkStart w:id="110" w:name="_Toc247691522"/>
      <w:bookmarkStart w:id="111" w:name="_Toc314842505"/>
      <w:bookmarkStart w:id="112" w:name="_Toc433190175"/>
      <w:bookmarkEnd w:id="89"/>
      <w:bookmarkEnd w:id="90"/>
      <w:bookmarkEnd w:id="91"/>
      <w:bookmarkEnd w:id="92"/>
      <w:r w:rsidRPr="00092147">
        <w:t>Safety</w:t>
      </w:r>
      <w:bookmarkEnd w:id="108"/>
      <w:bookmarkEnd w:id="109"/>
      <w:bookmarkEnd w:id="110"/>
      <w:bookmarkEnd w:id="111"/>
      <w:bookmarkEnd w:id="112"/>
    </w:p>
    <w:p w:rsidR="00605AD4" w:rsidRDefault="00605AD4" w:rsidP="00092147">
      <w:pPr>
        <w:pStyle w:val="Heading4"/>
      </w:pPr>
      <w:bookmarkStart w:id="113" w:name="_Toc247691524"/>
      <w:bookmarkStart w:id="114" w:name="_Toc314842508"/>
      <w:bookmarkStart w:id="115" w:name="_Toc196046504"/>
      <w:bookmarkStart w:id="116" w:name="_Toc163441390"/>
      <w:r w:rsidRPr="00605AD4">
        <w:t xml:space="preserve">Studies </w:t>
      </w:r>
      <w:r w:rsidRPr="00092147">
        <w:t>providing</w:t>
      </w:r>
      <w:r w:rsidRPr="00605AD4">
        <w:t xml:space="preserve"> safety data</w:t>
      </w:r>
    </w:p>
    <w:p w:rsidR="00E70F1E" w:rsidRPr="00E70F1E" w:rsidRDefault="00E70F1E" w:rsidP="00092147">
      <w:pPr>
        <w:pStyle w:val="Heading5"/>
      </w:pPr>
      <w:bookmarkStart w:id="117" w:name="_Toc398497539"/>
      <w:r w:rsidRPr="00E70F1E">
        <w:t>Study of NAG</w:t>
      </w:r>
      <w:r w:rsidR="0084317F">
        <w:t>S</w:t>
      </w:r>
      <w:r w:rsidRPr="00E70F1E">
        <w:t xml:space="preserve"> </w:t>
      </w:r>
      <w:r w:rsidRPr="00092147">
        <w:t>deficient</w:t>
      </w:r>
      <w:r w:rsidRPr="00E70F1E">
        <w:t xml:space="preserve"> patients</w:t>
      </w:r>
      <w:bookmarkEnd w:id="117"/>
    </w:p>
    <w:p w:rsidR="00E70F1E" w:rsidRPr="00E70F1E" w:rsidRDefault="00E70F1E" w:rsidP="00092147">
      <w:r w:rsidRPr="00E70F1E">
        <w:t>In the pivotal efficacy studies</w:t>
      </w:r>
      <w:r w:rsidR="00696DFD">
        <w:t xml:space="preserve"> d</w:t>
      </w:r>
      <w:r w:rsidR="00E43465">
        <w:t>ata were</w:t>
      </w:r>
      <w:r w:rsidRPr="00E70F1E">
        <w:t xml:space="preserve"> retrieved from the clinical record retrospectively. The data were analysed by indication and considered NAG</w:t>
      </w:r>
      <w:r w:rsidR="0084317F">
        <w:t>S</w:t>
      </w:r>
      <w:r w:rsidRPr="00E70F1E">
        <w:t xml:space="preserve"> deficient patients and organic</w:t>
      </w:r>
      <w:r w:rsidR="003662EA">
        <w:t xml:space="preserve"> acidaemia patients separately.</w:t>
      </w:r>
    </w:p>
    <w:p w:rsidR="00E70F1E" w:rsidRPr="00E70F1E" w:rsidRDefault="0047598F" w:rsidP="00092147">
      <w:r>
        <w:t>General AEs</w:t>
      </w:r>
      <w:r w:rsidR="00E70F1E" w:rsidRPr="00E70F1E">
        <w:t xml:space="preserve"> were assessed by the sponsor as part of their study analysis.</w:t>
      </w:r>
    </w:p>
    <w:p w:rsidR="00E70F1E" w:rsidRPr="00E70F1E" w:rsidRDefault="00E70F1E" w:rsidP="00092147">
      <w:pPr>
        <w:pStyle w:val="Heading5"/>
      </w:pPr>
      <w:bookmarkStart w:id="118" w:name="_Toc398497540"/>
      <w:r w:rsidRPr="00E70F1E">
        <w:t>Study of patients treated for hyperammonaemia due to organic acidaemia</w:t>
      </w:r>
      <w:bookmarkEnd w:id="118"/>
    </w:p>
    <w:p w:rsidR="00E70F1E" w:rsidRPr="00E70F1E" w:rsidRDefault="00E70F1E" w:rsidP="00092147">
      <w:pPr>
        <w:pStyle w:val="Heading6"/>
      </w:pPr>
      <w:bookmarkStart w:id="119" w:name="_Toc398497541"/>
      <w:r w:rsidRPr="00E70F1E">
        <w:t>Other studies evaluable for safety only</w:t>
      </w:r>
      <w:bookmarkEnd w:id="119"/>
    </w:p>
    <w:p w:rsidR="00E70F1E" w:rsidRPr="00E70F1E" w:rsidRDefault="00E70F1E" w:rsidP="00092147">
      <w:pPr>
        <w:pStyle w:val="Heading7"/>
      </w:pPr>
      <w:r w:rsidRPr="00E70F1E">
        <w:t xml:space="preserve">Exposure in </w:t>
      </w:r>
      <w:r w:rsidR="00092147">
        <w:t>h</w:t>
      </w:r>
      <w:r w:rsidRPr="00E70F1E">
        <w:t xml:space="preserve">ealthy </w:t>
      </w:r>
      <w:r w:rsidR="00092147">
        <w:t>v</w:t>
      </w:r>
      <w:r w:rsidRPr="00E70F1E">
        <w:t>olunteers</w:t>
      </w:r>
    </w:p>
    <w:p w:rsidR="00E70F1E" w:rsidRPr="00E70F1E" w:rsidRDefault="00E70F1E" w:rsidP="00092147">
      <w:r w:rsidRPr="00E70F1E">
        <w:t>Two sponsored clinical trials in he</w:t>
      </w:r>
      <w:r w:rsidR="009D7DEC">
        <w:t xml:space="preserve">althy volunteers were performed. Fifteen </w:t>
      </w:r>
      <w:r w:rsidRPr="00E70F1E">
        <w:t xml:space="preserve">healthy volunteers </w:t>
      </w:r>
      <w:r w:rsidR="009D7DEC">
        <w:t xml:space="preserve">were </w:t>
      </w:r>
      <w:r w:rsidRPr="00E70F1E">
        <w:t>exposed to carglumic acid in total.</w:t>
      </w:r>
    </w:p>
    <w:p w:rsidR="00605AD4" w:rsidRDefault="00605AD4" w:rsidP="00092147">
      <w:pPr>
        <w:pStyle w:val="Heading4"/>
      </w:pPr>
      <w:r w:rsidRPr="00605AD4">
        <w:t xml:space="preserve">Patient </w:t>
      </w:r>
      <w:r w:rsidRPr="00092147">
        <w:t>exposure</w:t>
      </w:r>
    </w:p>
    <w:p w:rsidR="00E70F1E" w:rsidRPr="00A02BAA" w:rsidRDefault="00E70F1E" w:rsidP="00092147">
      <w:r w:rsidRPr="00E70F1E">
        <w:t>According to the NAGS safety report, including patients who received carglumic acid only as therapeutic test of individual clinical/biochemical response before initiating any long</w:t>
      </w:r>
      <w:r w:rsidR="003662EA">
        <w:t xml:space="preserve"> </w:t>
      </w:r>
      <w:r w:rsidRPr="00E70F1E">
        <w:t>term treatment (n</w:t>
      </w:r>
      <w:r w:rsidR="003662EA">
        <w:t xml:space="preserve"> </w:t>
      </w:r>
      <w:r w:rsidRPr="00E70F1E">
        <w:t>=</w:t>
      </w:r>
      <w:r w:rsidR="003662EA">
        <w:t xml:space="preserve"> </w:t>
      </w:r>
      <w:r w:rsidRPr="00E70F1E">
        <w:t xml:space="preserve">44 patients), 143 patients have been exposed to carglumic acid irrespective of the indication (23 patients for confirmed NAGS and 76 for other non-approved indications) from 1 January 1991 up to 31 December </w:t>
      </w:r>
      <w:r w:rsidRPr="00A02BAA">
        <w:t>2008 (</w:t>
      </w:r>
      <w:r w:rsidR="00A02BAA" w:rsidRPr="00A02BAA">
        <w:t xml:space="preserve">Figure </w:t>
      </w:r>
      <w:r w:rsidR="00DB6BA7" w:rsidRPr="00A02BAA">
        <w:t>4)</w:t>
      </w:r>
      <w:r w:rsidR="003662EA" w:rsidRPr="00A02BAA">
        <w:t>.</w:t>
      </w:r>
    </w:p>
    <w:p w:rsidR="00E70F1E" w:rsidRPr="00E70F1E" w:rsidRDefault="00FF7F75" w:rsidP="00092147">
      <w:pPr>
        <w:ind w:left="993" w:hanging="993"/>
      </w:pPr>
      <w:r w:rsidRPr="008B1C4F">
        <w:t>Comment:</w:t>
      </w:r>
      <w:r>
        <w:t xml:space="preserve"> </w:t>
      </w:r>
      <w:r w:rsidR="00E70F1E" w:rsidRPr="00E70F1E">
        <w:t>The report does not state from which reports the Non-NAGS patients are derived from and this should be clarified.</w:t>
      </w:r>
    </w:p>
    <w:p w:rsidR="00E70F1E" w:rsidRDefault="00DB6BA7" w:rsidP="00092147">
      <w:pPr>
        <w:pStyle w:val="FigureTitle"/>
      </w:pPr>
      <w:r w:rsidRPr="00A02BAA">
        <w:lastRenderedPageBreak/>
        <w:t>Figure</w:t>
      </w:r>
      <w:r w:rsidR="00A02BAA" w:rsidRPr="00A02BAA">
        <w:t xml:space="preserve"> </w:t>
      </w:r>
      <w:r w:rsidRPr="00A02BAA">
        <w:t>4</w:t>
      </w:r>
      <w:r w:rsidR="00FF7F75" w:rsidRPr="00A02BAA">
        <w:t xml:space="preserve"> Patient </w:t>
      </w:r>
      <w:r w:rsidR="003E28B6">
        <w:t>e</w:t>
      </w:r>
      <w:r w:rsidR="00FF7F75">
        <w:t>xposure</w:t>
      </w:r>
      <w:r w:rsidR="007F24B2">
        <w:t>.</w:t>
      </w:r>
    </w:p>
    <w:p w:rsidR="00FF7F75" w:rsidRDefault="00FF7F75" w:rsidP="00092147">
      <w:r>
        <w:rPr>
          <w:noProof/>
          <w:lang w:eastAsia="en-AU"/>
        </w:rPr>
        <w:drawing>
          <wp:inline distT="0" distB="0" distL="0" distR="0" wp14:anchorId="4C8C8F75" wp14:editId="47686381">
            <wp:extent cx="4800600" cy="3171825"/>
            <wp:effectExtent l="0" t="0" r="0" b="9525"/>
            <wp:docPr id="9" name="Picture 9" descr="Figure 4 Patient exposure."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800600" cy="3171825"/>
                    </a:xfrm>
                    <a:prstGeom prst="rect">
                      <a:avLst/>
                    </a:prstGeom>
                  </pic:spPr>
                </pic:pic>
              </a:graphicData>
            </a:graphic>
          </wp:inline>
        </w:drawing>
      </w:r>
    </w:p>
    <w:p w:rsidR="00FF7F75" w:rsidRPr="00FF7F75" w:rsidRDefault="00FF7F75" w:rsidP="00092147">
      <w:pPr>
        <w:pStyle w:val="Heading6"/>
      </w:pPr>
      <w:r w:rsidRPr="00FF7F75">
        <w:t>Study of NAG</w:t>
      </w:r>
      <w:r w:rsidR="0084317F">
        <w:t>S</w:t>
      </w:r>
      <w:r w:rsidRPr="00FF7F75">
        <w:t xml:space="preserve"> deficient </w:t>
      </w:r>
      <w:r w:rsidRPr="00092147">
        <w:t>patients</w:t>
      </w:r>
    </w:p>
    <w:p w:rsidR="00FF7F75" w:rsidRDefault="00FF7F75" w:rsidP="00092147">
      <w:r w:rsidRPr="00FF7F75">
        <w:t xml:space="preserve">For the safety analysis, 23 patients were exposed at least to one dose of the study drug and were considered as the </w:t>
      </w:r>
      <w:r w:rsidR="009A1A60">
        <w:t>‘</w:t>
      </w:r>
      <w:r w:rsidRPr="00FF7F75">
        <w:t>safety population</w:t>
      </w:r>
      <w:r w:rsidR="009A1A60">
        <w:t>’</w:t>
      </w:r>
      <w:r w:rsidRPr="00FF7F75">
        <w:t>. At the report cut-off date (31/12/2007), the cumulative treatment duration for NAGS defici</w:t>
      </w:r>
      <w:r w:rsidR="003662EA">
        <w:t xml:space="preserve">ency patients was 187.4 patient </w:t>
      </w:r>
      <w:r w:rsidRPr="00FF7F75">
        <w:t xml:space="preserve">years taking into account the reported discontinuations. </w:t>
      </w:r>
      <w:r w:rsidR="003662EA">
        <w:t>Table 5</w:t>
      </w:r>
      <w:r w:rsidRPr="00FF7F75">
        <w:t xml:space="preserve"> </w:t>
      </w:r>
      <w:r w:rsidR="003662EA">
        <w:t xml:space="preserve">in Attachment 2 </w:t>
      </w:r>
      <w:r w:rsidRPr="00FF7F75">
        <w:t xml:space="preserve">summarises the details for each patient </w:t>
      </w:r>
      <w:r w:rsidRPr="00A02BAA">
        <w:t>while</w:t>
      </w:r>
      <w:r w:rsidR="009D7DEC" w:rsidRPr="00A02BAA">
        <w:t xml:space="preserve"> Figure 5 below,</w:t>
      </w:r>
      <w:r w:rsidRPr="00A02BAA">
        <w:t xml:space="preserve"> shows the total duration of </w:t>
      </w:r>
      <w:r w:rsidRPr="00FF7F75">
        <w:t>carglumic acid dosing.</w:t>
      </w:r>
    </w:p>
    <w:p w:rsidR="003662EA" w:rsidRPr="00A02BAA" w:rsidRDefault="003662EA" w:rsidP="00092147">
      <w:pPr>
        <w:pStyle w:val="FigureTitle"/>
      </w:pPr>
      <w:bookmarkStart w:id="120" w:name="_Ref380788598"/>
      <w:bookmarkStart w:id="121" w:name="_Toc398497673"/>
      <w:r w:rsidRPr="00A02BAA">
        <w:lastRenderedPageBreak/>
        <w:t>Figure</w:t>
      </w:r>
      <w:bookmarkEnd w:id="120"/>
      <w:r w:rsidR="00A02BAA" w:rsidRPr="00A02BAA">
        <w:t xml:space="preserve"> </w:t>
      </w:r>
      <w:r w:rsidR="00DB6BA7" w:rsidRPr="00A02BAA">
        <w:t>5</w:t>
      </w:r>
      <w:r w:rsidRPr="00A02BAA">
        <w:t xml:space="preserve">. Total </w:t>
      </w:r>
      <w:r w:rsidRPr="00092147">
        <w:t>duration</w:t>
      </w:r>
      <w:r w:rsidRPr="00A02BAA">
        <w:t xml:space="preserve"> of Carglumic Acid Dosing</w:t>
      </w:r>
      <w:bookmarkEnd w:id="121"/>
      <w:r w:rsidRPr="00A02BAA">
        <w:t>.</w:t>
      </w:r>
    </w:p>
    <w:p w:rsidR="003662EA" w:rsidRPr="003662EA" w:rsidRDefault="006E2195" w:rsidP="00092147">
      <w:r>
        <w:rPr>
          <w:noProof/>
          <w:lang w:eastAsia="en-AU"/>
        </w:rPr>
        <w:drawing>
          <wp:inline distT="0" distB="0" distL="0" distR="0" wp14:anchorId="0ABE2A34" wp14:editId="3C65B44E">
            <wp:extent cx="4261899" cy="3989863"/>
            <wp:effectExtent l="0" t="0" r="5715" b="0"/>
            <wp:docPr id="48" name="Picture 48" descr="Figure 5. Total duration of Carglumic Acid Dosing." title="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260368" cy="3988429"/>
                    </a:xfrm>
                    <a:prstGeom prst="rect">
                      <a:avLst/>
                    </a:prstGeom>
                  </pic:spPr>
                </pic:pic>
              </a:graphicData>
            </a:graphic>
          </wp:inline>
        </w:drawing>
      </w:r>
    </w:p>
    <w:p w:rsidR="00FF7F75" w:rsidRPr="00FF7F75" w:rsidRDefault="00FF7F75" w:rsidP="00092147">
      <w:pPr>
        <w:pStyle w:val="Heading6"/>
      </w:pPr>
      <w:r w:rsidRPr="00FF7F75">
        <w:t xml:space="preserve">Study of patients treated for </w:t>
      </w:r>
      <w:r w:rsidRPr="00092147">
        <w:t>hyperammonaemia</w:t>
      </w:r>
      <w:r w:rsidRPr="00FF7F75">
        <w:t xml:space="preserve"> due to organic acidaemia</w:t>
      </w:r>
    </w:p>
    <w:p w:rsidR="00FF7F75" w:rsidRPr="00FA0223" w:rsidRDefault="00FF7F75" w:rsidP="00092147">
      <w:r w:rsidRPr="00FF7F75">
        <w:t>A total of 57 patients were exposed at least to one dose of the study d</w:t>
      </w:r>
      <w:r w:rsidR="006E2195">
        <w:t>rug and were considered as the ‘safety population’. Th</w:t>
      </w:r>
      <w:r w:rsidRPr="00FF7F75">
        <w:t>e duration of the treatment with carglumic acid was between 1 and 16 days, with a mean of 5.3 days (median= 4.0 days). In regards to daily dose, the first dose of carglumic acid in the safety population ranged between 10 to 303 mg/kg, with a mean dose of 86.5 mg/kg (median</w:t>
      </w:r>
      <w:r w:rsidR="006E2195">
        <w:t xml:space="preserve"> </w:t>
      </w:r>
      <w:r w:rsidRPr="00FF7F75">
        <w:t>=</w:t>
      </w:r>
      <w:r w:rsidR="006E2195">
        <w:t xml:space="preserve"> </w:t>
      </w:r>
      <w:r w:rsidRPr="00FF7F75">
        <w:t>62.9) of treatment. In 32.8% of the patients, the first dose was &lt;</w:t>
      </w:r>
      <w:r w:rsidR="006E2195">
        <w:t xml:space="preserve"> </w:t>
      </w:r>
      <w:r w:rsidRPr="00FF7F75">
        <w:t>50 mg/kg, 26.9% between 50 and 100 mg/kg, 37.3% between 100 and 250 mg/kg, and 3.0% above 250 mg/kg. The duration of therapy ranged from 1 to 16 days (</w:t>
      </w:r>
      <w:r w:rsidR="00FA0223" w:rsidRPr="00FA0223">
        <w:t>Table 5</w:t>
      </w:r>
      <w:r w:rsidRPr="00FA0223">
        <w:t>).</w:t>
      </w:r>
    </w:p>
    <w:p w:rsidR="006E2195" w:rsidRPr="006E2195" w:rsidRDefault="006E2195" w:rsidP="00092147">
      <w:pPr>
        <w:pStyle w:val="TableTitle"/>
      </w:pPr>
      <w:bookmarkStart w:id="122" w:name="_Ref380789627"/>
      <w:bookmarkStart w:id="123" w:name="_Toc398497638"/>
      <w:r w:rsidRPr="00FA0223">
        <w:lastRenderedPageBreak/>
        <w:t>Table</w:t>
      </w:r>
      <w:bookmarkEnd w:id="122"/>
      <w:r w:rsidR="001A297B" w:rsidRPr="00FA0223">
        <w:t xml:space="preserve"> </w:t>
      </w:r>
      <w:r w:rsidR="00FA0223" w:rsidRPr="00FA0223">
        <w:t>5</w:t>
      </w:r>
      <w:r w:rsidRPr="00FA0223">
        <w:t xml:space="preserve">. </w:t>
      </w:r>
      <w:r w:rsidRPr="006E2195">
        <w:t xml:space="preserve">Duration </w:t>
      </w:r>
      <w:r w:rsidRPr="00092147">
        <w:t>of</w:t>
      </w:r>
      <w:r w:rsidRPr="006E2195">
        <w:t xml:space="preserve"> carglumic acid treatment</w:t>
      </w:r>
      <w:bookmarkEnd w:id="123"/>
      <w:r w:rsidR="001A297B">
        <w:t>.</w:t>
      </w:r>
    </w:p>
    <w:p w:rsidR="00FF7F75" w:rsidRDefault="006E2195" w:rsidP="00092147">
      <w:r>
        <w:rPr>
          <w:noProof/>
          <w:lang w:eastAsia="en-AU"/>
        </w:rPr>
        <w:drawing>
          <wp:inline distT="0" distB="0" distL="0" distR="0" wp14:anchorId="24C2DCA5" wp14:editId="62976448">
            <wp:extent cx="2584174" cy="3203668"/>
            <wp:effectExtent l="0" t="0" r="6985" b="0"/>
            <wp:docPr id="49" name="Picture 49" descr="Table 5. Duration of carglumic acid treatment." title="Tabl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583506" cy="3202840"/>
                    </a:xfrm>
                    <a:prstGeom prst="rect">
                      <a:avLst/>
                    </a:prstGeom>
                  </pic:spPr>
                </pic:pic>
              </a:graphicData>
            </a:graphic>
          </wp:inline>
        </w:drawing>
      </w:r>
    </w:p>
    <w:p w:rsidR="00C14E71" w:rsidRPr="00C14E71" w:rsidRDefault="00C14E71" w:rsidP="00092147">
      <w:pPr>
        <w:pStyle w:val="Heading4"/>
      </w:pPr>
      <w:r w:rsidRPr="00C14E71">
        <w:t>Post</w:t>
      </w:r>
      <w:r w:rsidR="007F24B2">
        <w:t xml:space="preserve"> </w:t>
      </w:r>
      <w:r w:rsidRPr="00C14E71">
        <w:t>marketing data</w:t>
      </w:r>
    </w:p>
    <w:p w:rsidR="00C14E71" w:rsidRPr="00C14E71" w:rsidRDefault="00C14E71" w:rsidP="00C14E71">
      <w:r w:rsidRPr="00C14E71">
        <w:t>The sponsor submitted the following safety updates:</w:t>
      </w:r>
    </w:p>
    <w:p w:rsidR="00C14E71" w:rsidRPr="00C14E71" w:rsidRDefault="008B1C4F" w:rsidP="00092147">
      <w:r>
        <w:t>The c</w:t>
      </w:r>
      <w:r w:rsidR="00C14E71" w:rsidRPr="00C14E71">
        <w:t>linical safety</w:t>
      </w:r>
      <w:r>
        <w:t xml:space="preserve"> report on carglumic acid covered</w:t>
      </w:r>
      <w:r w:rsidR="00C14E71" w:rsidRPr="00C14E71">
        <w:t xml:space="preserve"> the period of 1 January 1991 to 31 December 2008. Orphan Europe </w:t>
      </w:r>
      <w:r w:rsidR="00BF4A86">
        <w:t xml:space="preserve">(OE) </w:t>
      </w:r>
      <w:r w:rsidR="007F24B2">
        <w:t>r</w:t>
      </w:r>
      <w:r w:rsidR="00C14E71" w:rsidRPr="00C14E71">
        <w:t xml:space="preserve">eport (16 March 2009) </w:t>
      </w:r>
      <w:r w:rsidR="00E3082B" w:rsidRPr="00E3082B">
        <w:t>PSUR</w:t>
      </w:r>
      <w:r w:rsidR="00C14E71" w:rsidRPr="00C14E71">
        <w:t xml:space="preserve"> for Cabarglu (carglumic acid) Period covered by this report: Feb 1, 2003 to July 31, 2003. This report covers the studies included in the dossier and has been reviewed as part of the safety data analysis.</w:t>
      </w:r>
    </w:p>
    <w:p w:rsidR="00C14E71" w:rsidRPr="00C14E71" w:rsidRDefault="00C14E71" w:rsidP="00092147">
      <w:r w:rsidRPr="00C14E71">
        <w:t>Periodic Safety Update Report for Carbaglu (carglumic acid)</w:t>
      </w:r>
      <w:r w:rsidR="007F24B2">
        <w:t xml:space="preserve"> </w:t>
      </w:r>
      <w:r w:rsidRPr="00C14E71">
        <w:t>Period covered by this report: Aug 1, 2003 to Jan 31, 2004.</w:t>
      </w:r>
    </w:p>
    <w:p w:rsidR="00C14E71" w:rsidRPr="00C14E71" w:rsidRDefault="00C14E71" w:rsidP="00092147">
      <w:r w:rsidRPr="00C14E71">
        <w:t>Periodic Safety Update Report for Carbaglu (carglumic acid) Period covered by this report: Feb 1, 2004 to July 31, 2004. One death reported (thought unrelated).</w:t>
      </w:r>
    </w:p>
    <w:p w:rsidR="00C14E71" w:rsidRPr="00C14E71" w:rsidRDefault="00C14E71" w:rsidP="00C14E71">
      <w:r w:rsidRPr="00C14E71">
        <w:t>Periodic Safety Update Report for Carbaglu (carglumic acid) Period covered by this report: Aug 1, 2004 to Jan 31, 2005.</w:t>
      </w:r>
    </w:p>
    <w:p w:rsidR="00C14E71" w:rsidRPr="00C14E71" w:rsidRDefault="00C14E71" w:rsidP="00092147">
      <w:r w:rsidRPr="00C14E71">
        <w:t>Periodic Safety Update Report for Carbaglu (carglumic acid) Period covered by this report: Feb 1, 2005 to Jan 31, 2006.</w:t>
      </w:r>
    </w:p>
    <w:p w:rsidR="00C14E71" w:rsidRPr="00C14E71" w:rsidRDefault="00C14E71" w:rsidP="00092147">
      <w:r w:rsidRPr="00C14E71">
        <w:t>Periodic Safety Update Report for Carbaglu (carglumic acid) Period covered by this report: Feb 1, 2006 to Jan 31, 2007.</w:t>
      </w:r>
    </w:p>
    <w:p w:rsidR="00C14E71" w:rsidRPr="00C14E71" w:rsidRDefault="00C14E71" w:rsidP="00092147">
      <w:r w:rsidRPr="00C14E71">
        <w:t>Periodic Safety Update Report for Carbaglu (carglumic acid) Period covered by this repor</w:t>
      </w:r>
      <w:r w:rsidR="00092147">
        <w:t>t: Feb 1, 2007 to Jan 31, 2010.</w:t>
      </w:r>
    </w:p>
    <w:p w:rsidR="00C14E71" w:rsidRPr="00335BD2" w:rsidRDefault="00C14E71" w:rsidP="00092147">
      <w:pPr>
        <w:ind w:left="993" w:hanging="993"/>
      </w:pPr>
      <w:r w:rsidRPr="00092147">
        <w:t>Comment: This report</w:t>
      </w:r>
      <w:r w:rsidRPr="00C14E71">
        <w:t xml:space="preserve"> covers a large number of AEs and some deaths (see Table 31 of Attachment 2). It is unclear how many of these overlap with those already reported in the retrospective studies and whether they were included in the safety report. This report does include two severe cardiac events; a cardiac arrest and a cardio-respiratory arrest. Given the paucity of QT/QTc</w:t>
      </w:r>
      <w:r w:rsidR="00E3082B">
        <w:t xml:space="preserve"> (</w:t>
      </w:r>
      <w:r w:rsidR="00E3082B" w:rsidRPr="00E3082B">
        <w:t>QT interval, corrected for heart rate</w:t>
      </w:r>
      <w:r w:rsidR="00E3082B">
        <w:t>)</w:t>
      </w:r>
      <w:r w:rsidRPr="00C14E71">
        <w:t xml:space="preserve"> data in the dossier, an effect of carglumic acid cannot be excluded. The sponsor should clarify how many of the AEs </w:t>
      </w:r>
      <w:r w:rsidR="00E3082B">
        <w:t>overlap with the safety report.</w:t>
      </w:r>
    </w:p>
    <w:p w:rsidR="00C14E71" w:rsidRPr="00C14E71" w:rsidRDefault="00C14E71" w:rsidP="00092147">
      <w:pPr>
        <w:pStyle w:val="Heading4"/>
      </w:pPr>
      <w:r w:rsidRPr="00C14E71">
        <w:lastRenderedPageBreak/>
        <w:t>Safety issues with the potential for major regulatory impact</w:t>
      </w:r>
    </w:p>
    <w:p w:rsidR="00C14E71" w:rsidRPr="00C14E71" w:rsidRDefault="00C14E71" w:rsidP="00092147">
      <w:pPr>
        <w:pStyle w:val="Heading5"/>
      </w:pPr>
      <w:bookmarkStart w:id="124" w:name="_Toc272414681"/>
      <w:bookmarkStart w:id="125" w:name="_Toc290846319"/>
      <w:bookmarkStart w:id="126" w:name="_Toc398497566"/>
      <w:r w:rsidRPr="00C14E71">
        <w:t xml:space="preserve">Liver </w:t>
      </w:r>
      <w:r w:rsidRPr="00092147">
        <w:t>toxicity</w:t>
      </w:r>
      <w:bookmarkEnd w:id="124"/>
      <w:bookmarkEnd w:id="125"/>
      <w:bookmarkEnd w:id="126"/>
    </w:p>
    <w:p w:rsidR="00C14E71" w:rsidRPr="00C14E71" w:rsidRDefault="00C14E71" w:rsidP="00092147">
      <w:r w:rsidRPr="00C14E71">
        <w:t>As far as the evaluator could assess from the listings, there were no signals indic</w:t>
      </w:r>
      <w:r w:rsidR="007F24B2">
        <w:t>ating a risk of liver toxicity.</w:t>
      </w:r>
    </w:p>
    <w:p w:rsidR="00C14E71" w:rsidRPr="00C14E71" w:rsidRDefault="00C14E71" w:rsidP="00092147">
      <w:pPr>
        <w:ind w:left="993" w:hanging="993"/>
      </w:pPr>
      <w:r>
        <w:t xml:space="preserve">Comment: </w:t>
      </w:r>
      <w:r w:rsidRPr="00C14E71">
        <w:t>The sponsor should provide an analysis confirming that there is no indicati</w:t>
      </w:r>
      <w:r>
        <w:t>on of a risk of liver toxicity.</w:t>
      </w:r>
    </w:p>
    <w:p w:rsidR="00C14E71" w:rsidRPr="00C14E71" w:rsidRDefault="00C14E71" w:rsidP="00092147">
      <w:pPr>
        <w:pStyle w:val="Heading5"/>
      </w:pPr>
      <w:bookmarkStart w:id="127" w:name="_Toc272414682"/>
      <w:bookmarkStart w:id="128" w:name="_Toc290846320"/>
      <w:bookmarkStart w:id="129" w:name="_Toc398497567"/>
      <w:r w:rsidRPr="00092147">
        <w:t>Haematological</w:t>
      </w:r>
      <w:r w:rsidRPr="00C14E71">
        <w:t xml:space="preserve"> toxicity</w:t>
      </w:r>
      <w:bookmarkEnd w:id="127"/>
      <w:bookmarkEnd w:id="128"/>
      <w:bookmarkEnd w:id="129"/>
    </w:p>
    <w:p w:rsidR="00C14E71" w:rsidRPr="00C14E71" w:rsidRDefault="00C14E71" w:rsidP="00092147">
      <w:r w:rsidRPr="00C14E71">
        <w:t>As far as the evaluator could assess from the listings, there were no signals indicating a r</w:t>
      </w:r>
      <w:r>
        <w:t>isk of haematological toxicity.</w:t>
      </w:r>
    </w:p>
    <w:p w:rsidR="00C14E71" w:rsidRPr="00C14E71" w:rsidRDefault="00C14E71" w:rsidP="00092147">
      <w:pPr>
        <w:ind w:left="993" w:hanging="993"/>
      </w:pPr>
      <w:r>
        <w:t xml:space="preserve">Comment: </w:t>
      </w:r>
      <w:r w:rsidRPr="00C14E71">
        <w:t>The sponsor should provide an analysis confirming that there is no indication of a r</w:t>
      </w:r>
      <w:r>
        <w:t>isk of haematological toxicity.</w:t>
      </w:r>
    </w:p>
    <w:p w:rsidR="00C14E71" w:rsidRPr="00C14E71" w:rsidRDefault="00C14E71" w:rsidP="00092147">
      <w:pPr>
        <w:pStyle w:val="Heading5"/>
      </w:pPr>
      <w:bookmarkStart w:id="130" w:name="_Toc272414683"/>
      <w:bookmarkStart w:id="131" w:name="_Toc290846321"/>
      <w:bookmarkStart w:id="132" w:name="_Toc398497568"/>
      <w:r w:rsidRPr="00C14E71">
        <w:t xml:space="preserve">Serious </w:t>
      </w:r>
      <w:r w:rsidRPr="00092147">
        <w:t>skin</w:t>
      </w:r>
      <w:r w:rsidRPr="00C14E71">
        <w:t xml:space="preserve"> reactions</w:t>
      </w:r>
      <w:bookmarkEnd w:id="130"/>
      <w:bookmarkEnd w:id="131"/>
      <w:bookmarkEnd w:id="132"/>
    </w:p>
    <w:p w:rsidR="00C14E71" w:rsidRPr="00C14E71" w:rsidRDefault="00C14E71" w:rsidP="00092147">
      <w:r w:rsidRPr="00C14E71">
        <w:t xml:space="preserve">As far as the evaluator could assess from the listings, there were no signals indicating a </w:t>
      </w:r>
      <w:r w:rsidR="007F24B2">
        <w:t>risk of serious skin reactions.</w:t>
      </w:r>
    </w:p>
    <w:p w:rsidR="00C14E71" w:rsidRPr="00C14E71" w:rsidRDefault="00C14E71" w:rsidP="00092147">
      <w:pPr>
        <w:pStyle w:val="Heading5"/>
      </w:pPr>
      <w:bookmarkStart w:id="133" w:name="_Toc272414684"/>
      <w:bookmarkStart w:id="134" w:name="_Toc290846322"/>
      <w:bookmarkStart w:id="135" w:name="_Toc398497569"/>
      <w:r w:rsidRPr="00092147">
        <w:t>Cardiovascular</w:t>
      </w:r>
      <w:r w:rsidRPr="00C14E71">
        <w:t xml:space="preserve"> safety</w:t>
      </w:r>
      <w:bookmarkEnd w:id="133"/>
      <w:bookmarkEnd w:id="134"/>
      <w:bookmarkEnd w:id="135"/>
    </w:p>
    <w:p w:rsidR="00C14E71" w:rsidRPr="00C14E71" w:rsidRDefault="00C14E71" w:rsidP="00092147">
      <w:r w:rsidRPr="00C14E71">
        <w:t>As far as the evaluator could assess from the data, there were no signals indicating a risk of cardiovascular toxicity.</w:t>
      </w:r>
      <w:r w:rsidR="00092147">
        <w:t xml:space="preserve"> </w:t>
      </w:r>
      <w:r w:rsidRPr="00C14E71">
        <w:t>However, the information around the risk of QT prolongation is inadequate to fully assess this risk.</w:t>
      </w:r>
    </w:p>
    <w:p w:rsidR="00C14E71" w:rsidRPr="00C14E71" w:rsidRDefault="00C14E71" w:rsidP="00092147">
      <w:pPr>
        <w:ind w:left="993" w:hanging="993"/>
      </w:pPr>
      <w:r w:rsidRPr="00092147">
        <w:t>Comment: The two cardiac deaths suggest that further investigation of the potential</w:t>
      </w:r>
      <w:r w:rsidRPr="00C14E71">
        <w:t xml:space="preserve"> cardiotoxicity should be undertaken.</w:t>
      </w:r>
    </w:p>
    <w:p w:rsidR="00C14E71" w:rsidRPr="00C14E71" w:rsidRDefault="00C14E71" w:rsidP="00092147">
      <w:pPr>
        <w:pStyle w:val="Heading5"/>
      </w:pPr>
      <w:bookmarkStart w:id="136" w:name="_Toc241374323"/>
      <w:bookmarkStart w:id="137" w:name="_Toc272414685"/>
      <w:bookmarkStart w:id="138" w:name="_Toc290846323"/>
      <w:bookmarkStart w:id="139" w:name="_Toc398497570"/>
      <w:r w:rsidRPr="00C14E71">
        <w:t xml:space="preserve">Unwanted </w:t>
      </w:r>
      <w:r w:rsidRPr="00092147">
        <w:t>immunological</w:t>
      </w:r>
      <w:r w:rsidRPr="00C14E71">
        <w:t xml:space="preserve"> events</w:t>
      </w:r>
      <w:bookmarkEnd w:id="136"/>
      <w:bookmarkEnd w:id="137"/>
      <w:bookmarkEnd w:id="138"/>
      <w:bookmarkEnd w:id="139"/>
    </w:p>
    <w:p w:rsidR="00C14E71" w:rsidRPr="00C14E71" w:rsidRDefault="00C14E71" w:rsidP="00092147">
      <w:r w:rsidRPr="00C14E71">
        <w:t>As far as the evaluator could assess from the listings, there were no signals indicating a risk of u</w:t>
      </w:r>
      <w:r>
        <w:t>nwanted immunological toxicity.</w:t>
      </w:r>
    </w:p>
    <w:p w:rsidR="00C14E71" w:rsidRPr="00445DE9" w:rsidRDefault="00C14E71" w:rsidP="00092147">
      <w:pPr>
        <w:pStyle w:val="Heading4"/>
      </w:pPr>
      <w:bookmarkStart w:id="140" w:name="_Toc272414686"/>
      <w:bookmarkStart w:id="141" w:name="_Ref273005527"/>
      <w:bookmarkStart w:id="142" w:name="_Toc290846324"/>
      <w:bookmarkStart w:id="143" w:name="_Toc398497571"/>
      <w:r w:rsidRPr="00445DE9">
        <w:t xml:space="preserve">Other </w:t>
      </w:r>
      <w:r w:rsidRPr="00092147">
        <w:t>safety</w:t>
      </w:r>
      <w:r w:rsidRPr="00445DE9">
        <w:t xml:space="preserve"> issues</w:t>
      </w:r>
      <w:bookmarkEnd w:id="140"/>
      <w:bookmarkEnd w:id="141"/>
      <w:bookmarkEnd w:id="142"/>
      <w:bookmarkEnd w:id="143"/>
    </w:p>
    <w:p w:rsidR="00C14E71" w:rsidRPr="00445DE9" w:rsidRDefault="00C14E71" w:rsidP="00092147">
      <w:pPr>
        <w:pStyle w:val="Heading5"/>
      </w:pPr>
      <w:bookmarkStart w:id="144" w:name="_Toc241374322"/>
      <w:bookmarkStart w:id="145" w:name="_Ref272331212"/>
      <w:bookmarkStart w:id="146" w:name="_Toc272414687"/>
      <w:bookmarkStart w:id="147" w:name="_Toc290846325"/>
      <w:bookmarkStart w:id="148" w:name="_Toc398497572"/>
      <w:r w:rsidRPr="00445DE9">
        <w:t xml:space="preserve">Safety in </w:t>
      </w:r>
      <w:r w:rsidRPr="00092147">
        <w:t>special</w:t>
      </w:r>
      <w:r w:rsidRPr="00445DE9">
        <w:t xml:space="preserve"> populations</w:t>
      </w:r>
      <w:bookmarkEnd w:id="144"/>
      <w:bookmarkEnd w:id="145"/>
      <w:bookmarkEnd w:id="146"/>
      <w:bookmarkEnd w:id="147"/>
      <w:bookmarkEnd w:id="148"/>
    </w:p>
    <w:p w:rsidR="00C14E71" w:rsidRPr="00445DE9" w:rsidRDefault="00C14E71" w:rsidP="00092147">
      <w:r w:rsidRPr="00445DE9">
        <w:t>Most of the presented data was in neonates and children. There were no data related to pregnancy or the elderly.</w:t>
      </w:r>
    </w:p>
    <w:p w:rsidR="00C14E71" w:rsidRPr="00445DE9" w:rsidRDefault="00C14E71" w:rsidP="00092147">
      <w:pPr>
        <w:pStyle w:val="Heading5"/>
      </w:pPr>
      <w:bookmarkStart w:id="149" w:name="_Toc241374324"/>
      <w:bookmarkStart w:id="150" w:name="_Ref272331214"/>
      <w:bookmarkStart w:id="151" w:name="_Toc272414688"/>
      <w:bookmarkStart w:id="152" w:name="_Toc290846326"/>
      <w:bookmarkStart w:id="153" w:name="_Toc398497573"/>
      <w:r w:rsidRPr="00445DE9">
        <w:t xml:space="preserve">Safety related to </w:t>
      </w:r>
      <w:r w:rsidRPr="00092147">
        <w:t>drug</w:t>
      </w:r>
      <w:r w:rsidRPr="00445DE9">
        <w:t>-drug interactions and other interactions</w:t>
      </w:r>
      <w:bookmarkEnd w:id="149"/>
      <w:bookmarkEnd w:id="150"/>
      <w:bookmarkEnd w:id="151"/>
      <w:bookmarkEnd w:id="152"/>
      <w:bookmarkEnd w:id="153"/>
    </w:p>
    <w:p w:rsidR="00335BD2" w:rsidRPr="00335BD2" w:rsidRDefault="00C14E71" w:rsidP="00C14E71">
      <w:pPr>
        <w:autoSpaceDE w:val="0"/>
        <w:autoSpaceDN w:val="0"/>
        <w:adjustRightInd w:val="0"/>
      </w:pPr>
      <w:r w:rsidRPr="00445DE9">
        <w:t>No data were presented in relation to drug-drug interactions.</w:t>
      </w:r>
    </w:p>
    <w:p w:rsidR="00605AD4" w:rsidRPr="00605AD4" w:rsidRDefault="00605AD4" w:rsidP="00092147">
      <w:pPr>
        <w:pStyle w:val="Heading4"/>
      </w:pPr>
      <w:r w:rsidRPr="00605AD4">
        <w:t xml:space="preserve">Evaluator’s </w:t>
      </w:r>
      <w:r w:rsidRPr="00092147">
        <w:t>conclusions</w:t>
      </w:r>
      <w:r w:rsidRPr="00605AD4">
        <w:t xml:space="preserve"> on safety</w:t>
      </w:r>
    </w:p>
    <w:p w:rsidR="00FF7F75" w:rsidRPr="00FF7F75" w:rsidRDefault="00FF7F75" w:rsidP="00092147">
      <w:r w:rsidRPr="00FF7F75">
        <w:t xml:space="preserve">Overall, the safety profile is consistent across the studies and the reported </w:t>
      </w:r>
      <w:r w:rsidR="0047598F" w:rsidRPr="0047598F">
        <w:t xml:space="preserve">AE </w:t>
      </w:r>
      <w:r w:rsidRPr="00FF7F75">
        <w:t>s do not indic</w:t>
      </w:r>
      <w:r w:rsidR="003D6989">
        <w:t xml:space="preserve">ate any major safety concerns. </w:t>
      </w:r>
      <w:r w:rsidRPr="00FF7F75">
        <w:t>However, the safety section has several inconsistencies that require further expl</w:t>
      </w:r>
      <w:r w:rsidR="009A1A60">
        <w:t>anation as detailed below.</w:t>
      </w:r>
    </w:p>
    <w:p w:rsidR="00FF7F75" w:rsidRPr="00A02BAA" w:rsidRDefault="00FF7F75" w:rsidP="00092147">
      <w:r w:rsidRPr="00FF7F75">
        <w:t>According to the NAGS safety report, including patients who received carglumic acid only as therapeutic test of individual clinical/biochemical response before initiating any long-term treatment (n</w:t>
      </w:r>
      <w:r w:rsidR="0061028C">
        <w:t xml:space="preserve"> </w:t>
      </w:r>
      <w:r w:rsidRPr="00FF7F75">
        <w:t>=</w:t>
      </w:r>
      <w:r w:rsidR="0061028C">
        <w:t xml:space="preserve"> </w:t>
      </w:r>
      <w:r w:rsidRPr="00FF7F75">
        <w:t xml:space="preserve">44 patients), 143 patients have been exposed to carglumic acid irrespective of the indication (23 patients for confirmed NAGS and 76 for other non-approved indications) from 1 January 1991 up to 31 December </w:t>
      </w:r>
      <w:r w:rsidRPr="00A02BAA">
        <w:t>2008 (</w:t>
      </w:r>
      <w:r w:rsidR="00DB6BA7" w:rsidRPr="00A02BAA">
        <w:t xml:space="preserve">Figure </w:t>
      </w:r>
      <w:r w:rsidR="003D6989" w:rsidRPr="00A02BAA">
        <w:t>4</w:t>
      </w:r>
      <w:r w:rsidRPr="00A02BAA">
        <w:t>).</w:t>
      </w:r>
    </w:p>
    <w:p w:rsidR="00FF7F75" w:rsidRPr="00FF7F75" w:rsidRDefault="003D6989" w:rsidP="00092147">
      <w:pPr>
        <w:ind w:left="993" w:hanging="993"/>
      </w:pPr>
      <w:r w:rsidRPr="00092147">
        <w:t>Comment</w:t>
      </w:r>
      <w:r w:rsidRPr="008B1C4F">
        <w:rPr>
          <w:b/>
        </w:rPr>
        <w:t>:</w:t>
      </w:r>
      <w:r>
        <w:t xml:space="preserve"> </w:t>
      </w:r>
      <w:r w:rsidR="00FF7F75" w:rsidRPr="00FF7F75">
        <w:t>The report does no</w:t>
      </w:r>
      <w:r w:rsidR="0061028C">
        <w:t>t state from which reports the n</w:t>
      </w:r>
      <w:r w:rsidR="00FF7F75" w:rsidRPr="00FF7F75">
        <w:t>on-NAGS patients are derived from and this shou</w:t>
      </w:r>
      <w:r w:rsidR="0061028C">
        <w:t>ld be clarified.</w:t>
      </w:r>
    </w:p>
    <w:p w:rsidR="00FF7F75" w:rsidRPr="00FA0223" w:rsidRDefault="00FF7F75" w:rsidP="00092147">
      <w:r w:rsidRPr="00FF7F75">
        <w:t>According to the safety report, as of 31 December 2008, 18 of the 23 patients suffering from NAGS deficiency have experienced one or more AEs. In total, 120 AEs wer</w:t>
      </w:r>
      <w:r w:rsidR="0047598F">
        <w:t xml:space="preserve">e reported </w:t>
      </w:r>
      <w:r w:rsidR="0047598F">
        <w:lastRenderedPageBreak/>
        <w:t>including 37 SAEs</w:t>
      </w:r>
      <w:r w:rsidR="003D6989">
        <w:t xml:space="preserve"> and 83 non-serious AEs. </w:t>
      </w:r>
      <w:r w:rsidRPr="00FF7F75">
        <w:t xml:space="preserve">However, in the study report, a total of 17 patients experienced an AE, with a total of 118 AEs </w:t>
      </w:r>
      <w:r w:rsidRPr="003D6989">
        <w:t>(see</w:t>
      </w:r>
      <w:r w:rsidR="003D6989" w:rsidRPr="003D6989">
        <w:t xml:space="preserve"> Table 27, Attachment 2</w:t>
      </w:r>
      <w:r w:rsidRPr="003D6989">
        <w:t xml:space="preserve">) with the type of events </w:t>
      </w:r>
      <w:r w:rsidRPr="00FA0223">
        <w:t xml:space="preserve">reported in </w:t>
      </w:r>
      <w:r w:rsidR="00F87F3D" w:rsidRPr="00FA0223">
        <w:t xml:space="preserve">Table </w:t>
      </w:r>
      <w:r w:rsidR="00FA0223" w:rsidRPr="00FA0223">
        <w:t>28,</w:t>
      </w:r>
      <w:r w:rsidR="003D6989" w:rsidRPr="00FA0223">
        <w:t xml:space="preserve"> </w:t>
      </w:r>
      <w:r w:rsidR="00FA0223" w:rsidRPr="00FA0223">
        <w:t>Attachment 2</w:t>
      </w:r>
      <w:r w:rsidRPr="00FA0223">
        <w:t>.</w:t>
      </w:r>
    </w:p>
    <w:p w:rsidR="00FF7F75" w:rsidRPr="00FF7F75" w:rsidRDefault="003D6989" w:rsidP="00092147">
      <w:r w:rsidRPr="00092147">
        <w:t>Comment</w:t>
      </w:r>
      <w:r w:rsidRPr="008B1C4F">
        <w:rPr>
          <w:b/>
        </w:rPr>
        <w:t>:</w:t>
      </w:r>
      <w:r>
        <w:t xml:space="preserve"> </w:t>
      </w:r>
      <w:r w:rsidR="00FF7F75" w:rsidRPr="00FF7F75">
        <w:t>The inconsistencies in the number of AEs betwe</w:t>
      </w:r>
      <w:r w:rsidR="0061028C">
        <w:t>en reports should be clarified.</w:t>
      </w:r>
    </w:p>
    <w:p w:rsidR="00FF7F75" w:rsidRPr="00FF7F75" w:rsidRDefault="00FF7F75" w:rsidP="00092147">
      <w:r w:rsidRPr="00FF7F75">
        <w:t xml:space="preserve">In the report titled </w:t>
      </w:r>
      <w:r w:rsidR="003D6989">
        <w:t>‘</w:t>
      </w:r>
      <w:r w:rsidRPr="00FF7F75">
        <w:t xml:space="preserve">Carbaglu Retrospective Observational Study of Hyperammonaemia in Organic Acidaemia Decompensation </w:t>
      </w:r>
      <w:r w:rsidRPr="003D6989">
        <w:t>Episodes</w:t>
      </w:r>
      <w:r w:rsidR="003D6989" w:rsidRPr="003D6989">
        <w:t>’</w:t>
      </w:r>
      <w:r w:rsidR="003D6989" w:rsidRPr="00FA0223">
        <w:t xml:space="preserve">: </w:t>
      </w:r>
      <w:r w:rsidRPr="00FA0223">
        <w:t xml:space="preserve">Table 14 states that </w:t>
      </w:r>
      <w:r w:rsidRPr="003D6989">
        <w:t xml:space="preserve">N=67 while </w:t>
      </w:r>
      <w:r w:rsidRPr="00FF7F75">
        <w:t>the study itself states that N=57.</w:t>
      </w:r>
    </w:p>
    <w:p w:rsidR="00FF7F75" w:rsidRPr="00FF7F75" w:rsidRDefault="003D6989" w:rsidP="00092147">
      <w:r w:rsidRPr="00092147">
        <w:t>Comment</w:t>
      </w:r>
      <w:r w:rsidR="009D7DEC" w:rsidRPr="00092147">
        <w:t>s</w:t>
      </w:r>
      <w:r w:rsidRPr="008B1C4F">
        <w:rPr>
          <w:b/>
        </w:rPr>
        <w:t>:</w:t>
      </w:r>
      <w:r>
        <w:t xml:space="preserve"> </w:t>
      </w:r>
      <w:r w:rsidR="00FF7F75" w:rsidRPr="00FF7F75">
        <w:t>The inconsistencies in the number o</w:t>
      </w:r>
      <w:r>
        <w:t>f patients should be clarified.</w:t>
      </w:r>
    </w:p>
    <w:p w:rsidR="00FF7F75" w:rsidRPr="00FF7F75" w:rsidRDefault="009D7DEC" w:rsidP="00092147">
      <w:pPr>
        <w:ind w:left="1134"/>
      </w:pPr>
      <w:r>
        <w:t>T</w:t>
      </w:r>
      <w:r w:rsidR="00FF7F75" w:rsidRPr="00FF7F75">
        <w:t>he sponsor should provide an analysis confirming that there is no indicati</w:t>
      </w:r>
      <w:r w:rsidR="003D6989">
        <w:t>on of a risk of liver toxicity.</w:t>
      </w:r>
    </w:p>
    <w:p w:rsidR="00FF7F75" w:rsidRPr="00FF7F75" w:rsidRDefault="00FF7F75" w:rsidP="00092147">
      <w:pPr>
        <w:ind w:left="1134"/>
      </w:pPr>
      <w:r w:rsidRPr="00FF7F75">
        <w:t>The sponsor should provide an analysis confirming that there is no indication of a r</w:t>
      </w:r>
      <w:r w:rsidR="003D6989">
        <w:t>isk of haematological toxicity.</w:t>
      </w:r>
    </w:p>
    <w:p w:rsidR="00605AD4" w:rsidRPr="00605AD4" w:rsidRDefault="00FF7F75" w:rsidP="00092147">
      <w:pPr>
        <w:ind w:left="1134"/>
      </w:pPr>
      <w:r w:rsidRPr="00FF7F75">
        <w:t>A further investigation of the potential cardi</w:t>
      </w:r>
      <w:r w:rsidR="007F24B2">
        <w:t>otoxicity should be undertaken.</w:t>
      </w:r>
    </w:p>
    <w:p w:rsidR="00605AD4" w:rsidRPr="00605AD4" w:rsidRDefault="00605AD4" w:rsidP="00092147">
      <w:pPr>
        <w:pStyle w:val="Heading3"/>
        <w:rPr>
          <w:rFonts w:eastAsia="Cambria"/>
        </w:rPr>
      </w:pPr>
      <w:bookmarkStart w:id="154" w:name="_Toc433190176"/>
      <w:r w:rsidRPr="00605AD4">
        <w:rPr>
          <w:rFonts w:eastAsia="Cambria"/>
        </w:rPr>
        <w:t xml:space="preserve">First </w:t>
      </w:r>
      <w:r w:rsidR="00092147">
        <w:rPr>
          <w:rFonts w:eastAsia="Cambria"/>
        </w:rPr>
        <w:t>r</w:t>
      </w:r>
      <w:r w:rsidRPr="00605AD4">
        <w:rPr>
          <w:rFonts w:eastAsia="Cambria"/>
        </w:rPr>
        <w:t xml:space="preserve">ound </w:t>
      </w:r>
      <w:r w:rsidR="00092147">
        <w:rPr>
          <w:rFonts w:eastAsia="Cambria"/>
        </w:rPr>
        <w:t>b</w:t>
      </w:r>
      <w:r w:rsidRPr="00605AD4">
        <w:rPr>
          <w:rFonts w:eastAsia="Cambria"/>
        </w:rPr>
        <w:t>enefit-</w:t>
      </w:r>
      <w:r w:rsidR="00092147">
        <w:rPr>
          <w:rFonts w:eastAsia="Cambria"/>
        </w:rPr>
        <w:t>r</w:t>
      </w:r>
      <w:r w:rsidRPr="00605AD4">
        <w:rPr>
          <w:rFonts w:eastAsia="Cambria"/>
        </w:rPr>
        <w:t xml:space="preserve">isk </w:t>
      </w:r>
      <w:r w:rsidR="00092147" w:rsidRPr="00092147">
        <w:rPr>
          <w:rFonts w:eastAsia="Cambria"/>
        </w:rPr>
        <w:t>a</w:t>
      </w:r>
      <w:r w:rsidRPr="00092147">
        <w:rPr>
          <w:rFonts w:eastAsia="Cambria"/>
        </w:rPr>
        <w:t>ssessment</w:t>
      </w:r>
      <w:bookmarkEnd w:id="154"/>
    </w:p>
    <w:p w:rsidR="00605AD4" w:rsidRDefault="00605AD4" w:rsidP="00092147">
      <w:pPr>
        <w:pStyle w:val="Heading4"/>
      </w:pPr>
      <w:r w:rsidRPr="00605AD4">
        <w:t xml:space="preserve">First round assessment of </w:t>
      </w:r>
      <w:r w:rsidRPr="00092147">
        <w:t>benefits</w:t>
      </w:r>
    </w:p>
    <w:p w:rsidR="00B860C1" w:rsidRPr="00B860C1" w:rsidRDefault="00B860C1" w:rsidP="00092147">
      <w:r w:rsidRPr="00B860C1">
        <w:t>The benefits of Carbaglu in the proposed usage are:</w:t>
      </w:r>
    </w:p>
    <w:p w:rsidR="00B860C1" w:rsidRPr="00B860C1" w:rsidRDefault="00B860C1" w:rsidP="00092147">
      <w:pPr>
        <w:pStyle w:val="ListBullet"/>
      </w:pPr>
      <w:r w:rsidRPr="00B860C1">
        <w:t xml:space="preserve">Improvement in the biochemical and clinical derangements associated with acute </w:t>
      </w:r>
      <w:r w:rsidRPr="00092147">
        <w:t>hyperammonaemia</w:t>
      </w:r>
      <w:r w:rsidRPr="00B860C1">
        <w:t xml:space="preserve"> caused by NAGS deficiency </w:t>
      </w:r>
      <w:r w:rsidR="007F24B2">
        <w:t>and in some organic acidaemias.</w:t>
      </w:r>
    </w:p>
    <w:p w:rsidR="00B860C1" w:rsidRPr="00B860C1" w:rsidRDefault="00B860C1" w:rsidP="00092147">
      <w:pPr>
        <w:pStyle w:val="ListBullet"/>
      </w:pPr>
      <w:r w:rsidRPr="00B860C1">
        <w:t xml:space="preserve">While the numbers of patients with each particular type of organic acidaemias are small, the evaluator appreciates that these are extremely rare diseases and that the proposed treatment is for the hyperammonaemia rather than the underlying biochemical defect. The </w:t>
      </w:r>
      <w:r w:rsidRPr="00092147">
        <w:t>endpoints</w:t>
      </w:r>
      <w:r w:rsidRPr="00B860C1">
        <w:t xml:space="preserve"> of improvement in the clinical biochemical markers of hyperammonaemia are appropriate and the primary endpoint of plasma ammonia concentrations is what would be used clinically. The evaluator does not think it is necessary to divide up the organic acidaemias for the purpose of treatment of the main complication; that being hyperammonaemia.</w:t>
      </w:r>
    </w:p>
    <w:p w:rsidR="00B860C1" w:rsidRPr="00B860C1" w:rsidRDefault="00B860C1" w:rsidP="00092147">
      <w:pPr>
        <w:pStyle w:val="ListBullet"/>
      </w:pPr>
      <w:r w:rsidRPr="00B860C1">
        <w:t xml:space="preserve">Potential long term improved outcomes in patients, </w:t>
      </w:r>
      <w:r w:rsidRPr="00092147">
        <w:t>with</w:t>
      </w:r>
      <w:r w:rsidRPr="00B860C1">
        <w:t xml:space="preserve"> NAGS deficiency, who receives ongoing therapy. The evaluator does acknowledge the lack of long term data on effects of treatment on growth and development. This is due lack of long-term data in enough patients in a sufficient number of patients.</w:t>
      </w:r>
    </w:p>
    <w:p w:rsidR="00B860C1" w:rsidRPr="00B860C1" w:rsidRDefault="00B860C1" w:rsidP="00092147">
      <w:pPr>
        <w:pStyle w:val="ListBullet"/>
      </w:pPr>
      <w:r w:rsidRPr="00B860C1">
        <w:t>There are adequate data, albeit limited, in older neonates and children to support the efficacy of Carbaglu in these populations. There are almost no data in young adults and no data in older adults presented in the dossier. This is due to the extreme rarity of the disorder in adulthood. This may change in the future as more patients survive into adulthood with ongoing improvements in the therapy in childhood.</w:t>
      </w:r>
    </w:p>
    <w:p w:rsidR="00605AD4" w:rsidRDefault="00605AD4" w:rsidP="00092147">
      <w:pPr>
        <w:pStyle w:val="Heading4"/>
      </w:pPr>
      <w:r w:rsidRPr="00605AD4">
        <w:t xml:space="preserve">First round </w:t>
      </w:r>
      <w:r w:rsidRPr="00092147">
        <w:t>assessment</w:t>
      </w:r>
      <w:r w:rsidRPr="00605AD4">
        <w:t xml:space="preserve"> of risks</w:t>
      </w:r>
    </w:p>
    <w:p w:rsidR="00B860C1" w:rsidRPr="00B860C1" w:rsidRDefault="00B860C1" w:rsidP="00092147">
      <w:r w:rsidRPr="00B860C1">
        <w:t xml:space="preserve">Overall, the safety profile of Carbaglu is acceptable given the severity of the disease which it is treating. No concerning </w:t>
      </w:r>
      <w:r w:rsidR="0047598F" w:rsidRPr="0047598F">
        <w:t xml:space="preserve">AE </w:t>
      </w:r>
      <w:r w:rsidRPr="00B860C1">
        <w:t>s were identified, although it must be acknowledged that the dataset is necessarily small.</w:t>
      </w:r>
    </w:p>
    <w:p w:rsidR="00B860C1" w:rsidRPr="00B860C1" w:rsidRDefault="00B860C1" w:rsidP="00092147">
      <w:r w:rsidRPr="00B860C1">
        <w:t>The risks of Carbaglu in the proposed usage are related to the inadequacy of the presented data. Specifically these are:</w:t>
      </w:r>
    </w:p>
    <w:p w:rsidR="00B860C1" w:rsidRPr="00B860C1" w:rsidRDefault="00B860C1" w:rsidP="00B860C1">
      <w:pPr>
        <w:pStyle w:val="ListBullet"/>
      </w:pPr>
      <w:r w:rsidRPr="00B860C1">
        <w:lastRenderedPageBreak/>
        <w:t>Poorly defined dosing regimen due to inadequate pharmacokinetic data in the target population. There are almost no data in adult patients and the data in children is not presented in a way that supports the proposed weight based dosing.</w:t>
      </w:r>
    </w:p>
    <w:p w:rsidR="00B860C1" w:rsidRPr="00B860C1" w:rsidRDefault="00B860C1" w:rsidP="00092147">
      <w:pPr>
        <w:pStyle w:val="ListBullet"/>
      </w:pPr>
      <w:r w:rsidRPr="00B860C1">
        <w:t xml:space="preserve">Some deficiencies in the </w:t>
      </w:r>
      <w:r w:rsidRPr="00092147">
        <w:t>safety</w:t>
      </w:r>
      <w:r w:rsidRPr="00B860C1">
        <w:t xml:space="preserve"> data, specifically concerning:</w:t>
      </w:r>
    </w:p>
    <w:p w:rsidR="00B860C1" w:rsidRPr="00092147" w:rsidRDefault="00B860C1" w:rsidP="00092147">
      <w:pPr>
        <w:pStyle w:val="ListBullet2"/>
      </w:pPr>
      <w:r w:rsidRPr="00092147">
        <w:t>Uncertainty about the sources of patient safety data in the summary reports.</w:t>
      </w:r>
    </w:p>
    <w:p w:rsidR="00B860C1" w:rsidRPr="00092147" w:rsidRDefault="00B860C1" w:rsidP="00092147">
      <w:pPr>
        <w:pStyle w:val="ListBullet2"/>
      </w:pPr>
      <w:r w:rsidRPr="00092147">
        <w:t>Inconsistencies in the number of AEs between reports.</w:t>
      </w:r>
    </w:p>
    <w:p w:rsidR="00B860C1" w:rsidRPr="00092147" w:rsidRDefault="00B860C1" w:rsidP="00092147">
      <w:pPr>
        <w:pStyle w:val="ListBullet2"/>
      </w:pPr>
      <w:r w:rsidRPr="00092147">
        <w:t>Incomplete data on the risk of liver toxicity.</w:t>
      </w:r>
    </w:p>
    <w:p w:rsidR="00B860C1" w:rsidRPr="00092147" w:rsidRDefault="00B860C1" w:rsidP="00092147">
      <w:pPr>
        <w:pStyle w:val="ListBullet2"/>
      </w:pPr>
      <w:r w:rsidRPr="00092147">
        <w:t>Incomplete data on the risk of haematological toxicity.</w:t>
      </w:r>
    </w:p>
    <w:p w:rsidR="00B860C1" w:rsidRPr="00092147" w:rsidRDefault="00B860C1" w:rsidP="00092147">
      <w:pPr>
        <w:pStyle w:val="ListBullet2"/>
      </w:pPr>
      <w:r w:rsidRPr="00092147">
        <w:t>Incomplete data on the risk of cardiotoxicity.</w:t>
      </w:r>
    </w:p>
    <w:p w:rsidR="00605AD4" w:rsidRPr="00605AD4" w:rsidRDefault="00605AD4" w:rsidP="00092147">
      <w:pPr>
        <w:pStyle w:val="Heading4"/>
      </w:pPr>
      <w:r w:rsidRPr="00605AD4">
        <w:t xml:space="preserve">First </w:t>
      </w:r>
      <w:r w:rsidRPr="00092147">
        <w:t>round</w:t>
      </w:r>
      <w:r w:rsidRPr="00605AD4">
        <w:t xml:space="preserve"> assessment of benefit-risk balance</w:t>
      </w:r>
    </w:p>
    <w:p w:rsidR="00B860C1" w:rsidRPr="00B860C1" w:rsidRDefault="00B860C1" w:rsidP="00092147">
      <w:r w:rsidRPr="00B860C1">
        <w:t>The proposed indications are rare and the consequences of non-treatment are disabling and, in some cases, life-threatening. There are few other potential therapies for the treatment of hyperammonaemia and none of the</w:t>
      </w:r>
      <w:r w:rsidR="009A1A60">
        <w:t xml:space="preserve">se are particularly effective. </w:t>
      </w:r>
      <w:r w:rsidRPr="00B860C1">
        <w:t>Carbaglu currently offers the best acute therapy for hyperammonaemia associated with NAGS deficiency and the organic acidaem</w:t>
      </w:r>
      <w:r w:rsidR="009A1A60">
        <w:t xml:space="preserve">ias as well as a potential long </w:t>
      </w:r>
      <w:r w:rsidRPr="00B860C1">
        <w:t>term therapy for patients with NAGS deficiency.</w:t>
      </w:r>
    </w:p>
    <w:p w:rsidR="00605AD4" w:rsidRPr="00605AD4" w:rsidRDefault="00B860C1" w:rsidP="00092147">
      <w:r w:rsidRPr="00B860C1">
        <w:t>Despite this, the benefit-risk balance of Carbaglu is currently unfavo</w:t>
      </w:r>
      <w:r w:rsidR="009D7DEC">
        <w:t>urable given the proposed usage</w:t>
      </w:r>
      <w:r w:rsidRPr="00B860C1">
        <w:t xml:space="preserve"> but would become favourable </w:t>
      </w:r>
      <w:r w:rsidRPr="00092147">
        <w:t>if t</w:t>
      </w:r>
      <w:r w:rsidRPr="00B860C1">
        <w:t xml:space="preserve">he changes recommended </w:t>
      </w:r>
      <w:r w:rsidR="007F24B2">
        <w:t>below</w:t>
      </w:r>
      <w:r w:rsidRPr="00B860C1">
        <w:t xml:space="preserve"> are adopted. Specifically these are that the dosing be better supported and the outstanding issues around the safety data addressed satisfactorily.</w:t>
      </w:r>
    </w:p>
    <w:p w:rsidR="00605AD4" w:rsidRPr="00605AD4" w:rsidRDefault="00605AD4" w:rsidP="00092147">
      <w:pPr>
        <w:pStyle w:val="Heading3"/>
        <w:rPr>
          <w:rFonts w:eastAsia="Cambria"/>
        </w:rPr>
      </w:pPr>
      <w:bookmarkStart w:id="155" w:name="_Toc433190177"/>
      <w:r w:rsidRPr="00605AD4">
        <w:rPr>
          <w:rFonts w:eastAsia="Cambria"/>
        </w:rPr>
        <w:t xml:space="preserve">First </w:t>
      </w:r>
      <w:r w:rsidR="00092147">
        <w:rPr>
          <w:rFonts w:eastAsia="Cambria"/>
        </w:rPr>
        <w:t>r</w:t>
      </w:r>
      <w:r w:rsidRPr="00605AD4">
        <w:rPr>
          <w:rFonts w:eastAsia="Cambria"/>
        </w:rPr>
        <w:t xml:space="preserve">ound </w:t>
      </w:r>
      <w:r w:rsidR="00092147">
        <w:rPr>
          <w:rFonts w:eastAsia="Cambria"/>
        </w:rPr>
        <w:t>r</w:t>
      </w:r>
      <w:r w:rsidRPr="00605AD4">
        <w:rPr>
          <w:rFonts w:eastAsia="Cambria"/>
        </w:rPr>
        <w:t xml:space="preserve">ecommendation </w:t>
      </w:r>
      <w:r w:rsidR="00092147">
        <w:rPr>
          <w:rFonts w:eastAsia="Cambria"/>
        </w:rPr>
        <w:t>r</w:t>
      </w:r>
      <w:r w:rsidRPr="00605AD4">
        <w:rPr>
          <w:rFonts w:eastAsia="Cambria"/>
        </w:rPr>
        <w:t xml:space="preserve">egarding </w:t>
      </w:r>
      <w:r w:rsidR="00092147" w:rsidRPr="00092147">
        <w:rPr>
          <w:rFonts w:eastAsia="Cambria"/>
        </w:rPr>
        <w:t>a</w:t>
      </w:r>
      <w:r w:rsidRPr="00092147">
        <w:rPr>
          <w:rFonts w:eastAsia="Cambria"/>
        </w:rPr>
        <w:t>uthorisation</w:t>
      </w:r>
      <w:bookmarkEnd w:id="155"/>
    </w:p>
    <w:p w:rsidR="00B860C1" w:rsidRPr="00B860C1" w:rsidRDefault="00B860C1" w:rsidP="00092147">
      <w:r w:rsidRPr="00B860C1">
        <w:t>The evaluator recommends that the application for Carbaglu currently be rejected. The application could be approved if the sponsor provides the following:</w:t>
      </w:r>
    </w:p>
    <w:p w:rsidR="00B860C1" w:rsidRPr="00092147" w:rsidRDefault="00B860C1" w:rsidP="00092147">
      <w:pPr>
        <w:pStyle w:val="ListBullet"/>
      </w:pPr>
      <w:r w:rsidRPr="00092147">
        <w:t>A report estimating the PK parameters and the likely concentration profile of in the treated patients; defining differences between infants, children and adults if possible.</w:t>
      </w:r>
    </w:p>
    <w:p w:rsidR="00B860C1" w:rsidRPr="00092147" w:rsidRDefault="00B860C1" w:rsidP="00092147">
      <w:pPr>
        <w:pStyle w:val="ListBullet"/>
      </w:pPr>
      <w:r w:rsidRPr="00092147">
        <w:t>The sources of patient safety data in the summary reports should be clarified.</w:t>
      </w:r>
    </w:p>
    <w:p w:rsidR="00B860C1" w:rsidRPr="00092147" w:rsidRDefault="00B860C1" w:rsidP="00092147">
      <w:pPr>
        <w:pStyle w:val="ListBullet"/>
      </w:pPr>
      <w:r w:rsidRPr="00092147">
        <w:t>The inconsistencies in the number of AEs between reports should be addressed.</w:t>
      </w:r>
    </w:p>
    <w:p w:rsidR="00B860C1" w:rsidRPr="00092147" w:rsidRDefault="00B860C1" w:rsidP="00092147">
      <w:pPr>
        <w:pStyle w:val="ListBullet"/>
      </w:pPr>
      <w:r w:rsidRPr="00092147">
        <w:t>An analysis confirming that there is no indication of a risk of liver toxicity.</w:t>
      </w:r>
    </w:p>
    <w:p w:rsidR="00B860C1" w:rsidRPr="00092147" w:rsidRDefault="00B860C1" w:rsidP="00092147">
      <w:pPr>
        <w:pStyle w:val="ListBullet"/>
      </w:pPr>
      <w:r w:rsidRPr="00092147">
        <w:t>An analysis confirming that there is no indication of a risk of haematological toxicity.</w:t>
      </w:r>
    </w:p>
    <w:p w:rsidR="00605AD4" w:rsidRPr="00092147" w:rsidRDefault="00B860C1" w:rsidP="00092147">
      <w:pPr>
        <w:pStyle w:val="ListBullet"/>
      </w:pPr>
      <w:r w:rsidRPr="00092147">
        <w:t>A further discussion, and potentially analysis, investigating cardiotoxicity.</w:t>
      </w:r>
    </w:p>
    <w:p w:rsidR="00605AD4" w:rsidRPr="00605AD4" w:rsidRDefault="00605AD4" w:rsidP="00092147">
      <w:pPr>
        <w:pStyle w:val="Heading3"/>
        <w:rPr>
          <w:rFonts w:eastAsia="Cambria"/>
        </w:rPr>
      </w:pPr>
      <w:bookmarkStart w:id="156" w:name="_Toc433190178"/>
      <w:r w:rsidRPr="00605AD4">
        <w:rPr>
          <w:rFonts w:eastAsia="Cambria"/>
        </w:rPr>
        <w:t xml:space="preserve">Clinical </w:t>
      </w:r>
      <w:r w:rsidR="00092147" w:rsidRPr="00092147">
        <w:rPr>
          <w:rFonts w:eastAsia="Cambria"/>
        </w:rPr>
        <w:t>q</w:t>
      </w:r>
      <w:r w:rsidRPr="00092147">
        <w:rPr>
          <w:rFonts w:eastAsia="Cambria"/>
        </w:rPr>
        <w:t>uestions</w:t>
      </w:r>
      <w:bookmarkEnd w:id="156"/>
    </w:p>
    <w:p w:rsidR="00C2358E" w:rsidRPr="00C2358E" w:rsidRDefault="00C2358E" w:rsidP="00092147">
      <w:pPr>
        <w:pStyle w:val="Heading4"/>
      </w:pPr>
      <w:bookmarkStart w:id="157" w:name="_Toc272414702"/>
      <w:bookmarkStart w:id="158" w:name="_Toc290846342"/>
      <w:bookmarkStart w:id="159" w:name="_Toc398497587"/>
      <w:r w:rsidRPr="00092147">
        <w:t>Pharmacokinetics</w:t>
      </w:r>
      <w:bookmarkEnd w:id="157"/>
      <w:bookmarkEnd w:id="158"/>
      <w:bookmarkEnd w:id="159"/>
    </w:p>
    <w:p w:rsidR="00C2358E" w:rsidRPr="00C2358E" w:rsidRDefault="00C2358E" w:rsidP="00092147">
      <w:pPr>
        <w:pStyle w:val="Numberbullet0"/>
      </w:pPr>
      <w:r w:rsidRPr="00C2358E">
        <w:t xml:space="preserve">There is no PK analysis of the patient data. PK parameters for a single dose of carglumic acid in 12 healthy adults </w:t>
      </w:r>
      <w:r w:rsidRPr="00092147">
        <w:t>were</w:t>
      </w:r>
      <w:r w:rsidRPr="00C2358E">
        <w:t xml:space="preserve"> submitted. However, the PK data in treated patients were sparse and difficult to interpret. Only raw data was produced and no analys</w:t>
      </w:r>
      <w:r w:rsidR="00541EE9">
        <w:t xml:space="preserve">is of these data was presented. </w:t>
      </w:r>
      <w:r w:rsidRPr="00C2358E">
        <w:t>Please provide a population PK analysis based on these data to allow estimation of PK parameters in infants, children and adults.</w:t>
      </w:r>
    </w:p>
    <w:p w:rsidR="00C2358E" w:rsidRPr="00C2358E" w:rsidRDefault="00C2358E" w:rsidP="00092147">
      <w:pPr>
        <w:pStyle w:val="Heading4"/>
      </w:pPr>
      <w:bookmarkStart w:id="160" w:name="_Toc272414703"/>
      <w:bookmarkStart w:id="161" w:name="_Toc290846343"/>
      <w:bookmarkStart w:id="162" w:name="_Toc398497588"/>
      <w:r w:rsidRPr="00092147">
        <w:lastRenderedPageBreak/>
        <w:t>Pharmacodynamics</w:t>
      </w:r>
      <w:bookmarkEnd w:id="160"/>
      <w:bookmarkEnd w:id="161"/>
      <w:bookmarkEnd w:id="162"/>
    </w:p>
    <w:p w:rsidR="00C2358E" w:rsidRPr="00C2358E" w:rsidRDefault="00C2358E" w:rsidP="00092147">
      <w:r w:rsidRPr="00C2358E">
        <w:t>No further questions.</w:t>
      </w:r>
    </w:p>
    <w:p w:rsidR="00C2358E" w:rsidRPr="00C2358E" w:rsidRDefault="00C2358E" w:rsidP="00092147">
      <w:pPr>
        <w:pStyle w:val="Heading4"/>
      </w:pPr>
      <w:bookmarkStart w:id="163" w:name="_Toc272414704"/>
      <w:bookmarkStart w:id="164" w:name="_Toc290846344"/>
      <w:bookmarkStart w:id="165" w:name="_Toc398497589"/>
      <w:r w:rsidRPr="00092147">
        <w:t>Efficacy</w:t>
      </w:r>
      <w:bookmarkEnd w:id="163"/>
      <w:bookmarkEnd w:id="164"/>
      <w:bookmarkEnd w:id="165"/>
    </w:p>
    <w:p w:rsidR="00C2358E" w:rsidRPr="009D7DEC" w:rsidRDefault="00C2358E" w:rsidP="00092147">
      <w:pPr>
        <w:pStyle w:val="Numberbullet0"/>
        <w:numPr>
          <w:ilvl w:val="0"/>
          <w:numId w:val="20"/>
        </w:numPr>
      </w:pPr>
      <w:r w:rsidRPr="009D7DEC">
        <w:t>From</w:t>
      </w:r>
      <w:r w:rsidR="003D6989" w:rsidRPr="009D7DEC">
        <w:t xml:space="preserve"> the report (for the Carbaglu retrospective observational study of hyperammonaemia)</w:t>
      </w:r>
      <w:r w:rsidRPr="009D7DEC">
        <w:t xml:space="preserve"> </w:t>
      </w:r>
      <w:r w:rsidR="003D6989" w:rsidRPr="009D7DEC">
        <w:t xml:space="preserve">(see </w:t>
      </w:r>
      <w:r w:rsidRPr="009D7DEC">
        <w:t xml:space="preserve">Section </w:t>
      </w:r>
      <w:r w:rsidR="009D7DEC">
        <w:t>7.3.1.8 ‘A</w:t>
      </w:r>
      <w:r w:rsidR="003D6989" w:rsidRPr="009D7DEC">
        <w:t xml:space="preserve">nalysis populations’, Attachment 2), </w:t>
      </w:r>
      <w:r w:rsidRPr="009D7DEC">
        <w:t xml:space="preserve">the sponsor </w:t>
      </w:r>
      <w:r w:rsidRPr="00092147">
        <w:t>should</w:t>
      </w:r>
      <w:r w:rsidRPr="009D7DEC">
        <w:t xml:space="preserve"> explain why 16 patients were excluded from the efficacy evaluation when there were 17 </w:t>
      </w:r>
      <w:r w:rsidR="007F24B2" w:rsidRPr="009D7DEC">
        <w:t>patients with major deviations.</w:t>
      </w:r>
    </w:p>
    <w:p w:rsidR="00C2358E" w:rsidRPr="009D7DEC" w:rsidRDefault="00F87F3D" w:rsidP="00092147">
      <w:pPr>
        <w:pStyle w:val="Numberbullet0"/>
        <w:numPr>
          <w:ilvl w:val="0"/>
          <w:numId w:val="20"/>
        </w:numPr>
      </w:pPr>
      <w:r w:rsidRPr="009D7DEC">
        <w:t xml:space="preserve">From the report (for the Carbaglu retrospective observational study of hyperammonaemia) (see </w:t>
      </w:r>
      <w:r w:rsidR="00C2358E" w:rsidRPr="009D7DEC">
        <w:t xml:space="preserve">Section </w:t>
      </w:r>
      <w:r w:rsidR="009D7DEC">
        <w:t>7.3.1.16 ‘D</w:t>
      </w:r>
      <w:r w:rsidRPr="009D7DEC">
        <w:t>emographics’, Attachment 2)</w:t>
      </w:r>
      <w:r w:rsidR="00C2358E" w:rsidRPr="009D7DEC">
        <w:t xml:space="preserve">, the sponsor should clarify the </w:t>
      </w:r>
      <w:r w:rsidR="00C2358E" w:rsidRPr="00092147">
        <w:t>differences</w:t>
      </w:r>
      <w:r w:rsidR="00C2358E" w:rsidRPr="009D7DEC">
        <w:t xml:space="preserve"> in weight at the initiation of the episodes and the initiation of the treatment.</w:t>
      </w:r>
    </w:p>
    <w:p w:rsidR="005704FC" w:rsidRPr="005704FC" w:rsidRDefault="00C2358E" w:rsidP="00092147">
      <w:pPr>
        <w:pStyle w:val="Heading4"/>
      </w:pPr>
      <w:bookmarkStart w:id="166" w:name="_Toc272414705"/>
      <w:bookmarkStart w:id="167" w:name="_Toc290846345"/>
      <w:bookmarkStart w:id="168" w:name="_Toc398497590"/>
      <w:r w:rsidRPr="00092147">
        <w:t>Safety</w:t>
      </w:r>
      <w:bookmarkEnd w:id="166"/>
      <w:bookmarkEnd w:id="167"/>
      <w:bookmarkEnd w:id="168"/>
    </w:p>
    <w:p w:rsidR="00C2358E" w:rsidRPr="005704FC" w:rsidRDefault="00C2358E" w:rsidP="00092147">
      <w:pPr>
        <w:pStyle w:val="Numberbullet0"/>
        <w:numPr>
          <w:ilvl w:val="0"/>
          <w:numId w:val="23"/>
        </w:numPr>
      </w:pPr>
      <w:r w:rsidRPr="00092147">
        <w:t>According</w:t>
      </w:r>
      <w:r w:rsidRPr="005704FC">
        <w:t xml:space="preserve"> to the NAGS safety report, including patients who received carglumic acid only as therapeutic test of individual clinical/biochemical response before initiating any long-term treatment (n</w:t>
      </w:r>
      <w:r w:rsidR="009A1A60">
        <w:t xml:space="preserve"> </w:t>
      </w:r>
      <w:r w:rsidRPr="005704FC">
        <w:t>=</w:t>
      </w:r>
      <w:r w:rsidR="009A1A60">
        <w:t xml:space="preserve"> </w:t>
      </w:r>
      <w:r w:rsidRPr="005704FC">
        <w:t>44 patients), 143 patients have been exposed to carglumic acid irrespective of the indication (23 patients for confirmed NAGS and 76 for other non-approved indications) from 1 January 1991 up to 31 December 2008</w:t>
      </w:r>
      <w:r w:rsidR="00F87F3D" w:rsidRPr="00092147">
        <w:rPr>
          <w:color w:val="FF0000"/>
        </w:rPr>
        <w:t xml:space="preserve"> </w:t>
      </w:r>
      <w:r w:rsidR="00F87F3D" w:rsidRPr="00F87F3D">
        <w:t>(</w:t>
      </w:r>
      <w:r w:rsidR="00F87F3D" w:rsidRPr="00A02BAA">
        <w:t>Figure</w:t>
      </w:r>
      <w:r w:rsidR="00A02BAA">
        <w:t xml:space="preserve"> </w:t>
      </w:r>
      <w:r w:rsidR="00F87F3D" w:rsidRPr="00F87F3D">
        <w:t>4 above)</w:t>
      </w:r>
      <w:r w:rsidRPr="00F87F3D">
        <w:t>.</w:t>
      </w:r>
      <w:r w:rsidR="005704FC" w:rsidRPr="00F87F3D">
        <w:t xml:space="preserve"> </w:t>
      </w:r>
      <w:r w:rsidRPr="00F87F3D">
        <w:t xml:space="preserve">The report does not state from which reports the Non-NAGS patients are derived from and this should </w:t>
      </w:r>
      <w:r w:rsidRPr="005704FC">
        <w:t>be clarified.</w:t>
      </w:r>
    </w:p>
    <w:p w:rsidR="00C2358E" w:rsidRPr="005704FC" w:rsidRDefault="00C2358E" w:rsidP="00092147">
      <w:pPr>
        <w:pStyle w:val="Numberbullet0"/>
      </w:pPr>
      <w:r w:rsidRPr="005704FC">
        <w:t xml:space="preserve">According to the safety report, as of 31 December 2008, 18 of the 23 patients </w:t>
      </w:r>
      <w:r w:rsidRPr="00092147">
        <w:t>suffering</w:t>
      </w:r>
      <w:r w:rsidRPr="005704FC">
        <w:t xml:space="preserve"> from NAGS deficiency have experienced one or more AEs. In total, 120 AEs were reported inclu</w:t>
      </w:r>
      <w:r w:rsidR="0047598F">
        <w:t>ding 37 SAEs</w:t>
      </w:r>
      <w:r w:rsidRPr="005704FC">
        <w:t xml:space="preserve"> and 83 non-serious AEs. However, in the study report, a total of 17 patients experienced an AE, with a total of 118 AEs</w:t>
      </w:r>
      <w:r w:rsidR="00C575A7" w:rsidRPr="00C575A7">
        <w:t xml:space="preserve"> with the type of events reported </w:t>
      </w:r>
      <w:r w:rsidR="00C575A7" w:rsidRPr="00FA0223">
        <w:t xml:space="preserve">in Table </w:t>
      </w:r>
      <w:r w:rsidR="00FA0223" w:rsidRPr="00FA0223">
        <w:t>28</w:t>
      </w:r>
      <w:r w:rsidR="00C575A7" w:rsidRPr="00FA0223">
        <w:t xml:space="preserve"> </w:t>
      </w:r>
      <w:r w:rsidR="00FA0223" w:rsidRPr="00FA0223">
        <w:t>Attachment 2</w:t>
      </w:r>
      <w:r w:rsidRPr="00FA0223">
        <w:t>.</w:t>
      </w:r>
      <w:r w:rsidR="005704FC" w:rsidRPr="00FA0223">
        <w:t xml:space="preserve"> </w:t>
      </w:r>
      <w:r w:rsidRPr="00FA0223">
        <w:t xml:space="preserve">The inconsistencies </w:t>
      </w:r>
      <w:r w:rsidRPr="005704FC">
        <w:t>in the number of AEs between reports should be clarified.</w:t>
      </w:r>
    </w:p>
    <w:p w:rsidR="00C2358E" w:rsidRPr="00C575A7" w:rsidRDefault="00C2358E" w:rsidP="00092147">
      <w:pPr>
        <w:pStyle w:val="Numberbullet0"/>
      </w:pPr>
      <w:r w:rsidRPr="005704FC">
        <w:t xml:space="preserve">The </w:t>
      </w:r>
      <w:r w:rsidRPr="00092147">
        <w:t>sponsor</w:t>
      </w:r>
      <w:r w:rsidRPr="005704FC">
        <w:t xml:space="preserve"> should provide an analysis confirming their assertion that there is no indication of a risk of liver </w:t>
      </w:r>
      <w:r w:rsidRPr="00C575A7">
        <w:t>toxicity (</w:t>
      </w:r>
      <w:r w:rsidR="00C575A7">
        <w:t>see S</w:t>
      </w:r>
      <w:r w:rsidRPr="00C575A7">
        <w:t xml:space="preserve">ection </w:t>
      </w:r>
      <w:r w:rsidR="00C575A7" w:rsidRPr="00C575A7">
        <w:t>8.7 Attachment 2</w:t>
      </w:r>
      <w:r w:rsidRPr="00C575A7">
        <w:t>)</w:t>
      </w:r>
      <w:r w:rsidR="005704FC" w:rsidRPr="00C575A7">
        <w:t>.</w:t>
      </w:r>
    </w:p>
    <w:p w:rsidR="00C2358E" w:rsidRPr="005704FC" w:rsidRDefault="00C2358E" w:rsidP="00092147">
      <w:pPr>
        <w:pStyle w:val="Numberbullet0"/>
      </w:pPr>
      <w:r w:rsidRPr="005704FC">
        <w:t xml:space="preserve">The </w:t>
      </w:r>
      <w:r w:rsidRPr="00092147">
        <w:t>sponsor</w:t>
      </w:r>
      <w:r w:rsidRPr="005704FC">
        <w:t xml:space="preserve"> should provide an analysis confirming their assertion that there is no indication of a risk of haema</w:t>
      </w:r>
      <w:r w:rsidR="005262B7">
        <w:t xml:space="preserve">tological toxicity </w:t>
      </w:r>
      <w:r w:rsidR="005262B7" w:rsidRPr="005262B7">
        <w:t>(see Section 8.7 Attachment 2).</w:t>
      </w:r>
    </w:p>
    <w:p w:rsidR="00C2358E" w:rsidRPr="005704FC" w:rsidRDefault="00C2358E" w:rsidP="00092147">
      <w:pPr>
        <w:pStyle w:val="Numberbullet0"/>
      </w:pPr>
      <w:r w:rsidRPr="005704FC">
        <w:t xml:space="preserve">A further </w:t>
      </w:r>
      <w:r w:rsidRPr="00092147">
        <w:t>investigation</w:t>
      </w:r>
      <w:r w:rsidRPr="005704FC">
        <w:t xml:space="preserve"> of the potential for cardiotoxicity should be undertaken </w:t>
      </w:r>
      <w:r w:rsidR="005262B7" w:rsidRPr="005262B7">
        <w:t>(see Section 8.7 Attachment 2)</w:t>
      </w:r>
      <w:r w:rsidRPr="005704FC">
        <w:t>.</w:t>
      </w:r>
    </w:p>
    <w:p w:rsidR="00C2358E" w:rsidRPr="005704FC" w:rsidRDefault="00C2358E" w:rsidP="00092147">
      <w:pPr>
        <w:pStyle w:val="Numberbullet0"/>
      </w:pPr>
      <w:r w:rsidRPr="005704FC">
        <w:t xml:space="preserve">The </w:t>
      </w:r>
      <w:r w:rsidRPr="00092147">
        <w:t>sponsor</w:t>
      </w:r>
      <w:r w:rsidRPr="005704FC">
        <w:t xml:space="preserve"> should supply a listing or analysis of vital</w:t>
      </w:r>
      <w:r w:rsidR="005262B7">
        <w:t xml:space="preserve"> signs in the clinical studies </w:t>
      </w:r>
      <w:r w:rsidR="005262B7" w:rsidRPr="005262B7">
        <w:t>(see Section 8.7 Attachment 2).</w:t>
      </w:r>
    </w:p>
    <w:p w:rsidR="00605AD4" w:rsidRPr="005262B7" w:rsidRDefault="00C2358E" w:rsidP="00092147">
      <w:pPr>
        <w:pStyle w:val="Numberbullet0"/>
      </w:pPr>
      <w:r w:rsidRPr="005704FC">
        <w:t xml:space="preserve">The sponsor </w:t>
      </w:r>
      <w:r w:rsidRPr="00092147">
        <w:t>should</w:t>
      </w:r>
      <w:r w:rsidRPr="005704FC">
        <w:t xml:space="preserve"> clarify how many of the AEs in the </w:t>
      </w:r>
      <w:r w:rsidR="00E3082B" w:rsidRPr="00E3082B">
        <w:t>PSUR</w:t>
      </w:r>
      <w:r w:rsidR="00A02BAA">
        <w:t xml:space="preserve"> </w:t>
      </w:r>
      <w:r w:rsidRPr="005704FC">
        <w:t>for Carbaglu (carglumic acid) Period covered by this report:</w:t>
      </w:r>
      <w:r w:rsidR="000C6E71">
        <w:t xml:space="preserve"> 1</w:t>
      </w:r>
      <w:r w:rsidRPr="005704FC">
        <w:t xml:space="preserve"> Feb</w:t>
      </w:r>
      <w:r w:rsidR="000C6E71">
        <w:t>ruary</w:t>
      </w:r>
      <w:r w:rsidRPr="005704FC">
        <w:t xml:space="preserve"> 2007 to </w:t>
      </w:r>
      <w:r w:rsidR="000C6E71">
        <w:t xml:space="preserve">31 </w:t>
      </w:r>
      <w:r w:rsidRPr="005704FC">
        <w:t>Jan</w:t>
      </w:r>
      <w:r w:rsidR="000C6E71">
        <w:t>uary</w:t>
      </w:r>
      <w:r w:rsidRPr="005704FC">
        <w:t xml:space="preserve"> 2010 overlap with the safety </w:t>
      </w:r>
      <w:r w:rsidRPr="005262B7">
        <w:t xml:space="preserve">report (see </w:t>
      </w:r>
      <w:r w:rsidR="005262B7" w:rsidRPr="005262B7">
        <w:t>post marketing data above</w:t>
      </w:r>
      <w:r w:rsidRPr="005262B7">
        <w:t>).</w:t>
      </w:r>
    </w:p>
    <w:p w:rsidR="00605AD4" w:rsidRPr="00605AD4" w:rsidRDefault="00605AD4" w:rsidP="00092147">
      <w:pPr>
        <w:pStyle w:val="Heading2"/>
        <w:rPr>
          <w:rFonts w:eastAsia="Cambria"/>
        </w:rPr>
      </w:pPr>
      <w:bookmarkStart w:id="169" w:name="_Toc433190179"/>
      <w:r w:rsidRPr="00605AD4">
        <w:rPr>
          <w:rFonts w:eastAsia="Cambria"/>
        </w:rPr>
        <w:t xml:space="preserve">Second </w:t>
      </w:r>
      <w:r w:rsidR="00092147">
        <w:rPr>
          <w:rFonts w:eastAsia="Cambria"/>
        </w:rPr>
        <w:t>r</w:t>
      </w:r>
      <w:r w:rsidRPr="00605AD4">
        <w:rPr>
          <w:rFonts w:eastAsia="Cambria"/>
        </w:rPr>
        <w:t xml:space="preserve">ound </w:t>
      </w:r>
      <w:r w:rsidR="00092147">
        <w:rPr>
          <w:rFonts w:eastAsia="Cambria"/>
        </w:rPr>
        <w:t>e</w:t>
      </w:r>
      <w:r w:rsidRPr="00605AD4">
        <w:rPr>
          <w:rFonts w:eastAsia="Cambria"/>
        </w:rPr>
        <w:t xml:space="preserve">valuation of clinical data </w:t>
      </w:r>
      <w:r w:rsidRPr="00092147">
        <w:rPr>
          <w:rFonts w:eastAsia="Cambria"/>
        </w:rPr>
        <w:t>submitted</w:t>
      </w:r>
      <w:r w:rsidRPr="00605AD4">
        <w:rPr>
          <w:rFonts w:eastAsia="Cambria"/>
        </w:rPr>
        <w:t xml:space="preserve"> in response to questions</w:t>
      </w:r>
      <w:bookmarkEnd w:id="169"/>
    </w:p>
    <w:p w:rsidR="005704FC" w:rsidRDefault="005704FC" w:rsidP="00092147">
      <w:pPr>
        <w:pStyle w:val="Heading3"/>
      </w:pPr>
      <w:bookmarkStart w:id="170" w:name="_Toc398497594"/>
      <w:bookmarkStart w:id="171" w:name="_Toc433190180"/>
      <w:r w:rsidRPr="00092147">
        <w:t>Clinical</w:t>
      </w:r>
      <w:r w:rsidRPr="00445DE9">
        <w:t xml:space="preserve"> questions</w:t>
      </w:r>
      <w:bookmarkEnd w:id="170"/>
      <w:bookmarkEnd w:id="171"/>
    </w:p>
    <w:p w:rsidR="000C6E71" w:rsidRPr="000C6E71" w:rsidRDefault="000C6E71" w:rsidP="00092147">
      <w:r>
        <w:t>For details of the sponsor’s responses and the evaluator’s comments on these responses see Attachment 2.</w:t>
      </w:r>
    </w:p>
    <w:p w:rsidR="00605AD4" w:rsidRDefault="00605AD4" w:rsidP="00092147">
      <w:pPr>
        <w:pStyle w:val="Heading3"/>
        <w:rPr>
          <w:rFonts w:eastAsia="Cambria"/>
        </w:rPr>
      </w:pPr>
      <w:bookmarkStart w:id="172" w:name="_Toc433190181"/>
      <w:r w:rsidRPr="00605AD4">
        <w:rPr>
          <w:rFonts w:eastAsia="Cambria"/>
        </w:rPr>
        <w:lastRenderedPageBreak/>
        <w:t xml:space="preserve">Second </w:t>
      </w:r>
      <w:r w:rsidR="00092147">
        <w:rPr>
          <w:rFonts w:eastAsia="Cambria"/>
        </w:rPr>
        <w:t>r</w:t>
      </w:r>
      <w:r w:rsidRPr="00605AD4">
        <w:rPr>
          <w:rFonts w:eastAsia="Cambria"/>
        </w:rPr>
        <w:t xml:space="preserve">ound </w:t>
      </w:r>
      <w:r w:rsidR="00092147">
        <w:rPr>
          <w:rFonts w:eastAsia="Cambria"/>
        </w:rPr>
        <w:t>b</w:t>
      </w:r>
      <w:r w:rsidRPr="00605AD4">
        <w:rPr>
          <w:rFonts w:eastAsia="Cambria"/>
        </w:rPr>
        <w:t>enefit-</w:t>
      </w:r>
      <w:r w:rsidR="00092147">
        <w:rPr>
          <w:rFonts w:eastAsia="Cambria"/>
        </w:rPr>
        <w:t>r</w:t>
      </w:r>
      <w:r w:rsidRPr="00605AD4">
        <w:rPr>
          <w:rFonts w:eastAsia="Cambria"/>
        </w:rPr>
        <w:t xml:space="preserve">isk </w:t>
      </w:r>
      <w:r w:rsidR="00092147" w:rsidRPr="00092147">
        <w:rPr>
          <w:rFonts w:eastAsia="Cambria"/>
        </w:rPr>
        <w:t>a</w:t>
      </w:r>
      <w:r w:rsidRPr="00092147">
        <w:rPr>
          <w:rFonts w:eastAsia="Cambria"/>
        </w:rPr>
        <w:t>ssessment</w:t>
      </w:r>
      <w:bookmarkEnd w:id="172"/>
    </w:p>
    <w:p w:rsidR="00FD12F2" w:rsidRPr="00FD12F2" w:rsidRDefault="00FD12F2" w:rsidP="00092147">
      <w:pPr>
        <w:pStyle w:val="Heading4"/>
      </w:pPr>
      <w:bookmarkStart w:id="173" w:name="_Toc272414709"/>
      <w:bookmarkStart w:id="174" w:name="_Toc290846349"/>
      <w:bookmarkStart w:id="175" w:name="_Toc290888886"/>
      <w:bookmarkStart w:id="176" w:name="_Toc394948228"/>
      <w:bookmarkStart w:id="177" w:name="_Toc398497600"/>
      <w:r w:rsidRPr="00FD12F2">
        <w:t>Second round assessment of benefits</w:t>
      </w:r>
      <w:bookmarkEnd w:id="173"/>
      <w:bookmarkEnd w:id="174"/>
      <w:bookmarkEnd w:id="175"/>
      <w:bookmarkEnd w:id="176"/>
      <w:bookmarkEnd w:id="177"/>
    </w:p>
    <w:p w:rsidR="00FD12F2" w:rsidRPr="00FD12F2" w:rsidRDefault="00FD12F2" w:rsidP="00092147">
      <w:r w:rsidRPr="00FD12F2">
        <w:t xml:space="preserve">No new clinical information was submitted in response to questions. Accordingly, the risks of carglumic acid are unchanged from those identified in </w:t>
      </w:r>
      <w:r>
        <w:t>the first round assessment of benefits.</w:t>
      </w:r>
    </w:p>
    <w:p w:rsidR="00FD12F2" w:rsidRPr="00FD12F2" w:rsidRDefault="00FD12F2" w:rsidP="00092147">
      <w:pPr>
        <w:pStyle w:val="Heading4"/>
      </w:pPr>
      <w:bookmarkStart w:id="178" w:name="_Toc272414710"/>
      <w:bookmarkStart w:id="179" w:name="_Toc290846350"/>
      <w:bookmarkStart w:id="180" w:name="_Toc290888887"/>
      <w:bookmarkStart w:id="181" w:name="_Toc394948229"/>
      <w:bookmarkStart w:id="182" w:name="_Toc398497601"/>
      <w:r w:rsidRPr="00FD12F2">
        <w:t xml:space="preserve">Second round </w:t>
      </w:r>
      <w:r w:rsidRPr="00092147">
        <w:t>assessment</w:t>
      </w:r>
      <w:r w:rsidRPr="00FD12F2">
        <w:t xml:space="preserve"> of risks</w:t>
      </w:r>
      <w:bookmarkEnd w:id="178"/>
      <w:bookmarkEnd w:id="179"/>
      <w:bookmarkEnd w:id="180"/>
      <w:bookmarkEnd w:id="181"/>
      <w:bookmarkEnd w:id="182"/>
    </w:p>
    <w:p w:rsidR="00FD12F2" w:rsidRPr="00FD12F2" w:rsidRDefault="00FD12F2" w:rsidP="00092147">
      <w:r w:rsidRPr="00FD12F2">
        <w:t>After consideration of the responses to clinical questions, the risks of carglumic acid in the proposed usage are:</w:t>
      </w:r>
    </w:p>
    <w:p w:rsidR="00FD12F2" w:rsidRPr="00FD12F2" w:rsidRDefault="00FD12F2" w:rsidP="00092147">
      <w:pPr>
        <w:pStyle w:val="ListBullet"/>
      </w:pPr>
      <w:r w:rsidRPr="00FD12F2">
        <w:t xml:space="preserve">Poorly defined dosing regimen due to inadequate pharmacokinetic data in the target population. </w:t>
      </w:r>
      <w:r w:rsidRPr="00092147">
        <w:t>There</w:t>
      </w:r>
      <w:r w:rsidRPr="00FD12F2">
        <w:t xml:space="preserve"> are almost no data in adult patients and the data in children is not presented in a way that supports the proposed weight based dosing.</w:t>
      </w:r>
    </w:p>
    <w:p w:rsidR="00FD12F2" w:rsidRPr="00FD12F2" w:rsidRDefault="00FD12F2" w:rsidP="00092147">
      <w:pPr>
        <w:pStyle w:val="Heading4"/>
      </w:pPr>
      <w:bookmarkStart w:id="183" w:name="_Toc272414711"/>
      <w:bookmarkStart w:id="184" w:name="_Toc290846351"/>
      <w:bookmarkStart w:id="185" w:name="_Toc290888888"/>
      <w:bookmarkStart w:id="186" w:name="_Toc394948230"/>
      <w:bookmarkStart w:id="187" w:name="_Toc398497602"/>
      <w:r w:rsidRPr="00FD12F2">
        <w:t>Second round assessment of benefit-risk balance</w:t>
      </w:r>
      <w:bookmarkEnd w:id="183"/>
      <w:bookmarkEnd w:id="184"/>
      <w:bookmarkEnd w:id="185"/>
      <w:bookmarkEnd w:id="186"/>
      <w:bookmarkEnd w:id="187"/>
    </w:p>
    <w:p w:rsidR="00605AD4" w:rsidRDefault="00BA315F" w:rsidP="00546154">
      <w:r>
        <w:t>T</w:t>
      </w:r>
      <w:r w:rsidR="00FD12F2" w:rsidRPr="00FD12F2">
        <w:t>he benefit-risk balance of Carbaglu is currently unfavo</w:t>
      </w:r>
      <w:r>
        <w:t>urable given the proposed usage</w:t>
      </w:r>
      <w:r w:rsidR="00FD12F2" w:rsidRPr="00FD12F2">
        <w:t xml:space="preserve"> but would have become favourable if the changes recommended in </w:t>
      </w:r>
      <w:r w:rsidR="00FD12F2">
        <w:t>the first round recommendation regarding authorisation</w:t>
      </w:r>
      <w:r w:rsidR="00FD12F2" w:rsidRPr="00FD12F2">
        <w:t xml:space="preserve"> had been adopted. Specifically these were that the dosing be better supported and the outstanding issues around the safety data addressed satisfactorily. The response from the sponsor did not address these concerns.</w:t>
      </w:r>
    </w:p>
    <w:p w:rsidR="00FD12F2" w:rsidRPr="00FD12F2" w:rsidRDefault="00FD12F2" w:rsidP="00092147">
      <w:pPr>
        <w:pStyle w:val="Heading3"/>
      </w:pPr>
      <w:bookmarkStart w:id="188" w:name="_Ref272160677"/>
      <w:bookmarkStart w:id="189" w:name="_Toc272414713"/>
      <w:bookmarkStart w:id="190" w:name="_Toc290846352"/>
      <w:bookmarkStart w:id="191" w:name="_Toc290888889"/>
      <w:bookmarkStart w:id="192" w:name="_Toc394948231"/>
      <w:bookmarkStart w:id="193" w:name="_Toc398497603"/>
      <w:bookmarkStart w:id="194" w:name="_Toc433190182"/>
      <w:r w:rsidRPr="00FD12F2">
        <w:t xml:space="preserve">Second round </w:t>
      </w:r>
      <w:r w:rsidRPr="00092147">
        <w:t>recommendation</w:t>
      </w:r>
      <w:r w:rsidRPr="00FD12F2">
        <w:t xml:space="preserve"> regarding authorisation</w:t>
      </w:r>
      <w:bookmarkEnd w:id="188"/>
      <w:bookmarkEnd w:id="189"/>
      <w:bookmarkEnd w:id="190"/>
      <w:bookmarkEnd w:id="191"/>
      <w:bookmarkEnd w:id="192"/>
      <w:bookmarkEnd w:id="193"/>
      <w:bookmarkEnd w:id="194"/>
      <w:r w:rsidRPr="00FD12F2">
        <w:t xml:space="preserve"> </w:t>
      </w:r>
    </w:p>
    <w:p w:rsidR="00FD12F2" w:rsidRPr="00FD12F2" w:rsidRDefault="00FD12F2" w:rsidP="00092147">
      <w:r w:rsidRPr="00FD12F2">
        <w:t>As the sponsor failed to address the pharmacokinetic and safety concerns raised by the first round evaluation, the evaluator recommends that the application for Carbaglu currently be rejected.</w:t>
      </w:r>
    </w:p>
    <w:p w:rsidR="008E7846" w:rsidRPr="00E41208" w:rsidRDefault="008E7846" w:rsidP="00092147">
      <w:pPr>
        <w:pStyle w:val="Heading2"/>
      </w:pPr>
      <w:bookmarkStart w:id="195" w:name="_Toc433190183"/>
      <w:r w:rsidRPr="00E41208">
        <w:t xml:space="preserve">V. </w:t>
      </w:r>
      <w:r w:rsidRPr="00092147">
        <w:t>Pharmacovigilance</w:t>
      </w:r>
      <w:r w:rsidRPr="00E41208">
        <w:t xml:space="preserve"> </w:t>
      </w:r>
      <w:r>
        <w:t>f</w:t>
      </w:r>
      <w:r w:rsidRPr="00E41208">
        <w:t>indings</w:t>
      </w:r>
      <w:bookmarkEnd w:id="113"/>
      <w:bookmarkEnd w:id="114"/>
      <w:bookmarkEnd w:id="195"/>
    </w:p>
    <w:p w:rsidR="008E7846" w:rsidRDefault="00386150" w:rsidP="00092147">
      <w:pPr>
        <w:pStyle w:val="Heading3"/>
        <w:rPr>
          <w:lang w:eastAsia="en-AU"/>
        </w:rPr>
      </w:pPr>
      <w:bookmarkStart w:id="196" w:name="_Toc247691526"/>
      <w:bookmarkStart w:id="197" w:name="_Toc314842509"/>
      <w:bookmarkStart w:id="198" w:name="_Toc433190184"/>
      <w:r>
        <w:rPr>
          <w:lang w:eastAsia="en-AU"/>
        </w:rPr>
        <w:t xml:space="preserve">Risk </w:t>
      </w:r>
      <w:r w:rsidRPr="00092147">
        <w:t>m</w:t>
      </w:r>
      <w:r w:rsidR="008E7846" w:rsidRPr="00092147">
        <w:t>anagement</w:t>
      </w:r>
      <w:r w:rsidR="008E7846">
        <w:rPr>
          <w:lang w:eastAsia="en-AU"/>
        </w:rPr>
        <w:t xml:space="preserve"> </w:t>
      </w:r>
      <w:r>
        <w:rPr>
          <w:lang w:eastAsia="en-AU"/>
        </w:rPr>
        <w:t>p</w:t>
      </w:r>
      <w:r w:rsidR="008E7846">
        <w:rPr>
          <w:lang w:eastAsia="en-AU"/>
        </w:rPr>
        <w:t>lan</w:t>
      </w:r>
      <w:bookmarkEnd w:id="196"/>
      <w:bookmarkEnd w:id="197"/>
      <w:bookmarkEnd w:id="198"/>
    </w:p>
    <w:p w:rsidR="008E7846" w:rsidRDefault="008E7846" w:rsidP="00092147">
      <w:r w:rsidRPr="00417F51">
        <w:t>The sponsor submitted a Risk Management Plan</w:t>
      </w:r>
      <w:r w:rsidR="00417F51" w:rsidRPr="00417F51">
        <w:t xml:space="preserve"> EU-RMP v</w:t>
      </w:r>
      <w:r w:rsidR="00066F36">
        <w:t>ersion OE/PV/CARB/1211, dated 8 Dec</w:t>
      </w:r>
      <w:r w:rsidR="000C6E71">
        <w:t>ember</w:t>
      </w:r>
      <w:r w:rsidR="00066F36">
        <w:t xml:space="preserve"> </w:t>
      </w:r>
      <w:r w:rsidR="00417F51" w:rsidRPr="00417F51">
        <w:t>2011, data lock poi</w:t>
      </w:r>
      <w:r w:rsidR="00066F36">
        <w:t>nt 25 Oct</w:t>
      </w:r>
      <w:r w:rsidR="000C6E71">
        <w:t>ober</w:t>
      </w:r>
      <w:r w:rsidR="00066F36">
        <w:t xml:space="preserve"> </w:t>
      </w:r>
      <w:r w:rsidR="00417F51" w:rsidRPr="00417F51">
        <w:t xml:space="preserve">2011 </w:t>
      </w:r>
      <w:r w:rsidR="00207AC7">
        <w:t>and</w:t>
      </w:r>
      <w:r w:rsidR="00417F51" w:rsidRPr="00417F51">
        <w:t xml:space="preserve"> </w:t>
      </w:r>
      <w:r w:rsidR="00FA4801" w:rsidRPr="00FA4801">
        <w:t xml:space="preserve">Australian Specific Annexe </w:t>
      </w:r>
      <w:r w:rsidR="00FA4801">
        <w:t>(</w:t>
      </w:r>
      <w:r w:rsidR="00417F51" w:rsidRPr="00417F51">
        <w:t>ASA</w:t>
      </w:r>
      <w:r w:rsidR="00FA4801">
        <w:t>)</w:t>
      </w:r>
      <w:r w:rsidR="00066F36">
        <w:t xml:space="preserve"> version 0.1, dated 4 Oct</w:t>
      </w:r>
      <w:r w:rsidR="000C6E71">
        <w:t>ober</w:t>
      </w:r>
      <w:r w:rsidR="00066F36">
        <w:t xml:space="preserve"> </w:t>
      </w:r>
      <w:r w:rsidR="00417F51" w:rsidRPr="00417F51">
        <w:t>2013</w:t>
      </w:r>
      <w:r w:rsidR="006F25B8" w:rsidRPr="00417F51">
        <w:t xml:space="preserve"> (</w:t>
      </w:r>
      <w:r>
        <w:rPr>
          <w:lang w:eastAsia="en-AU"/>
        </w:rPr>
        <w:t xml:space="preserve">which was reviewed by the TGA’s </w:t>
      </w:r>
      <w:r w:rsidR="00417F51" w:rsidRPr="00417F51">
        <w:rPr>
          <w:lang w:eastAsia="en-AU"/>
        </w:rPr>
        <w:t>Post Market Surveillance Branch (PMSB)</w:t>
      </w:r>
      <w:r w:rsidR="00066F36">
        <w:rPr>
          <w:lang w:eastAsia="en-AU"/>
        </w:rPr>
        <w:t>.</w:t>
      </w:r>
    </w:p>
    <w:p w:rsidR="008E7846" w:rsidRDefault="003A7F6C" w:rsidP="00092147">
      <w:pPr>
        <w:pStyle w:val="Heading4"/>
        <w:rPr>
          <w:lang w:eastAsia="en-AU"/>
        </w:rPr>
      </w:pPr>
      <w:r>
        <w:rPr>
          <w:lang w:eastAsia="en-AU"/>
        </w:rPr>
        <w:t xml:space="preserve">Safety </w:t>
      </w:r>
      <w:r w:rsidRPr="00092147">
        <w:t>s</w:t>
      </w:r>
      <w:r w:rsidR="008E7846" w:rsidRPr="00092147">
        <w:t>pecification</w:t>
      </w:r>
    </w:p>
    <w:p w:rsidR="008E7846" w:rsidRDefault="008E7846" w:rsidP="00092147">
      <w:pPr>
        <w:rPr>
          <w:lang w:eastAsia="en-AU"/>
        </w:rPr>
      </w:pPr>
      <w:r>
        <w:rPr>
          <w:lang w:eastAsia="en-AU"/>
        </w:rPr>
        <w:t>The</w:t>
      </w:r>
      <w:r w:rsidR="006F25B8">
        <w:rPr>
          <w:lang w:eastAsia="en-AU"/>
        </w:rPr>
        <w:t xml:space="preserve"> sponsor provided a summary of o</w:t>
      </w:r>
      <w:r>
        <w:rPr>
          <w:lang w:eastAsia="en-AU"/>
        </w:rPr>
        <w:t xml:space="preserve">ngoing safety </w:t>
      </w:r>
      <w:r w:rsidR="006F25B8">
        <w:rPr>
          <w:lang w:eastAsia="en-AU"/>
        </w:rPr>
        <w:t>c</w:t>
      </w:r>
      <w:r>
        <w:rPr>
          <w:lang w:eastAsia="en-AU"/>
        </w:rPr>
        <w:t>on</w:t>
      </w:r>
      <w:r w:rsidR="001A297B">
        <w:rPr>
          <w:lang w:eastAsia="en-AU"/>
        </w:rPr>
        <w:t xml:space="preserve">cerns </w:t>
      </w:r>
      <w:r w:rsidR="00FA0223">
        <w:rPr>
          <w:lang w:eastAsia="en-AU"/>
        </w:rPr>
        <w:t>which are shown at Table 6</w:t>
      </w:r>
      <w:r>
        <w:rPr>
          <w:lang w:eastAsia="en-AU"/>
        </w:rPr>
        <w:t>.</w:t>
      </w:r>
    </w:p>
    <w:p w:rsidR="006569A3" w:rsidRDefault="00FA0223" w:rsidP="00092147">
      <w:pPr>
        <w:pStyle w:val="TableTitle"/>
        <w:rPr>
          <w:lang w:eastAsia="en-AU"/>
        </w:rPr>
      </w:pPr>
      <w:r>
        <w:rPr>
          <w:lang w:eastAsia="en-AU"/>
        </w:rPr>
        <w:t>Table 6</w:t>
      </w:r>
      <w:r w:rsidR="006569A3">
        <w:rPr>
          <w:lang w:eastAsia="en-AU"/>
        </w:rPr>
        <w:t xml:space="preserve"> Important </w:t>
      </w:r>
      <w:r w:rsidR="006569A3" w:rsidRPr="00092147">
        <w:t>identified</w:t>
      </w:r>
      <w:r w:rsidR="006569A3">
        <w:rPr>
          <w:lang w:eastAsia="en-AU"/>
        </w:rPr>
        <w:t xml:space="preserve"> and potential risks and missing information.</w:t>
      </w:r>
    </w:p>
    <w:tbl>
      <w:tblPr>
        <w:tblStyle w:val="TableTGAblue"/>
        <w:tblW w:w="0" w:type="auto"/>
        <w:tblLook w:val="04A0" w:firstRow="1" w:lastRow="0" w:firstColumn="1" w:lastColumn="0" w:noHBand="0" w:noVBand="1"/>
      </w:tblPr>
      <w:tblGrid>
        <w:gridCol w:w="4360"/>
        <w:gridCol w:w="4360"/>
      </w:tblGrid>
      <w:tr w:rsidR="00F75535" w:rsidTr="00551032">
        <w:trPr>
          <w:cnfStyle w:val="100000000000" w:firstRow="1" w:lastRow="0" w:firstColumn="0" w:lastColumn="0" w:oddVBand="0" w:evenVBand="0" w:oddHBand="0" w:evenHBand="0" w:firstRowFirstColumn="0" w:firstRowLastColumn="0" w:lastRowFirstColumn="0" w:lastRowLastColumn="0"/>
        </w:trPr>
        <w:tc>
          <w:tcPr>
            <w:tcW w:w="8720" w:type="dxa"/>
            <w:gridSpan w:val="2"/>
          </w:tcPr>
          <w:p w:rsidR="00F75535" w:rsidRDefault="00F75535" w:rsidP="00F75535"/>
        </w:tc>
      </w:tr>
      <w:tr w:rsidR="005328B1" w:rsidTr="00F75535">
        <w:tc>
          <w:tcPr>
            <w:tcW w:w="4360" w:type="dxa"/>
          </w:tcPr>
          <w:p w:rsidR="005328B1" w:rsidRDefault="005328B1" w:rsidP="00F75535">
            <w:r>
              <w:t>Important identified risks</w:t>
            </w:r>
          </w:p>
        </w:tc>
        <w:tc>
          <w:tcPr>
            <w:tcW w:w="4360" w:type="dxa"/>
          </w:tcPr>
          <w:p w:rsidR="005328B1" w:rsidRDefault="00B35BD8" w:rsidP="00F75535">
            <w:r>
              <w:t>No special concerns have arisen</w:t>
            </w:r>
          </w:p>
        </w:tc>
      </w:tr>
      <w:tr w:rsidR="005328B1" w:rsidTr="00F75535">
        <w:tc>
          <w:tcPr>
            <w:tcW w:w="4360" w:type="dxa"/>
          </w:tcPr>
          <w:p w:rsidR="005328B1" w:rsidRDefault="005328B1" w:rsidP="00F75535">
            <w:r>
              <w:t>Important potential risks</w:t>
            </w:r>
          </w:p>
        </w:tc>
        <w:tc>
          <w:tcPr>
            <w:tcW w:w="4360" w:type="dxa"/>
          </w:tcPr>
          <w:p w:rsidR="005328B1" w:rsidRDefault="00B35BD8" w:rsidP="00F75535">
            <w:r>
              <w:t>Lack of efficacy due to a not confirmed diagnosis of the metabolic disease or inadequate low dosing</w:t>
            </w:r>
          </w:p>
        </w:tc>
      </w:tr>
      <w:tr w:rsidR="006569A3" w:rsidTr="00F75535">
        <w:tc>
          <w:tcPr>
            <w:tcW w:w="4360" w:type="dxa"/>
            <w:vMerge w:val="restart"/>
          </w:tcPr>
          <w:p w:rsidR="006569A3" w:rsidRDefault="006569A3" w:rsidP="00F75535">
            <w:r>
              <w:lastRenderedPageBreak/>
              <w:t>Important missing information</w:t>
            </w:r>
          </w:p>
        </w:tc>
        <w:tc>
          <w:tcPr>
            <w:tcW w:w="4360" w:type="dxa"/>
          </w:tcPr>
          <w:p w:rsidR="006569A3" w:rsidRDefault="006569A3" w:rsidP="00F75535">
            <w:r>
              <w:t>Bradycardia</w:t>
            </w:r>
          </w:p>
        </w:tc>
      </w:tr>
      <w:tr w:rsidR="006569A3" w:rsidTr="00F75535">
        <w:tc>
          <w:tcPr>
            <w:tcW w:w="4360" w:type="dxa"/>
            <w:vMerge/>
          </w:tcPr>
          <w:p w:rsidR="006569A3" w:rsidRDefault="006569A3" w:rsidP="00F75535"/>
        </w:tc>
        <w:tc>
          <w:tcPr>
            <w:tcW w:w="4360" w:type="dxa"/>
          </w:tcPr>
          <w:p w:rsidR="006569A3" w:rsidRDefault="006569A3" w:rsidP="00F75535">
            <w:r>
              <w:t>Pyrexia related effects</w:t>
            </w:r>
          </w:p>
        </w:tc>
      </w:tr>
      <w:tr w:rsidR="006569A3" w:rsidTr="00F75535">
        <w:tc>
          <w:tcPr>
            <w:tcW w:w="4360" w:type="dxa"/>
            <w:vMerge/>
          </w:tcPr>
          <w:p w:rsidR="006569A3" w:rsidRDefault="006569A3" w:rsidP="00F75535"/>
        </w:tc>
        <w:tc>
          <w:tcPr>
            <w:tcW w:w="4360" w:type="dxa"/>
          </w:tcPr>
          <w:p w:rsidR="006569A3" w:rsidRDefault="006569A3" w:rsidP="00F75535">
            <w:r>
              <w:t>Unknown food and drug interactions</w:t>
            </w:r>
          </w:p>
        </w:tc>
      </w:tr>
      <w:tr w:rsidR="006569A3" w:rsidTr="00F75535">
        <w:tc>
          <w:tcPr>
            <w:tcW w:w="4360" w:type="dxa"/>
            <w:vMerge/>
          </w:tcPr>
          <w:p w:rsidR="006569A3" w:rsidRDefault="006569A3" w:rsidP="00F75535"/>
        </w:tc>
        <w:tc>
          <w:tcPr>
            <w:tcW w:w="4360" w:type="dxa"/>
          </w:tcPr>
          <w:p w:rsidR="006569A3" w:rsidRDefault="006569A3" w:rsidP="00F75535">
            <w:r>
              <w:t>Effects on pregnancy and fetal outcomes</w:t>
            </w:r>
          </w:p>
        </w:tc>
      </w:tr>
    </w:tbl>
    <w:p w:rsidR="008E7846" w:rsidRPr="005262B7" w:rsidRDefault="008E7846" w:rsidP="00F75535">
      <w:pPr>
        <w:pStyle w:val="Heading4"/>
        <w:rPr>
          <w:lang w:eastAsia="en-AU"/>
        </w:rPr>
      </w:pPr>
      <w:r w:rsidRPr="00F75535">
        <w:t>Pharmacovigilance</w:t>
      </w:r>
      <w:r w:rsidRPr="005262B7">
        <w:rPr>
          <w:lang w:eastAsia="en-AU"/>
        </w:rPr>
        <w:t xml:space="preserve"> </w:t>
      </w:r>
      <w:r w:rsidR="003A7F6C" w:rsidRPr="005262B7">
        <w:rPr>
          <w:lang w:eastAsia="en-AU"/>
        </w:rPr>
        <w:t>p</w:t>
      </w:r>
      <w:r w:rsidRPr="005262B7">
        <w:rPr>
          <w:lang w:eastAsia="en-AU"/>
        </w:rPr>
        <w:t>lan</w:t>
      </w:r>
    </w:p>
    <w:p w:rsidR="008E7846" w:rsidRPr="005262B7" w:rsidRDefault="005262B7" w:rsidP="00F75535">
      <w:r w:rsidRPr="005262B7">
        <w:t>The sponsor addresses all ongoing safety concerns through routine pharmacovigilance activities.</w:t>
      </w:r>
    </w:p>
    <w:p w:rsidR="005262B7" w:rsidRPr="00F75535" w:rsidRDefault="005262B7" w:rsidP="00F75535">
      <w:pPr>
        <w:rPr>
          <w:i/>
        </w:rPr>
      </w:pPr>
      <w:r w:rsidRPr="005262B7">
        <w:t xml:space="preserve">In addition, a Carbaglu surveillance protocol is underway in the USA. The sponsor states: </w:t>
      </w:r>
      <w:r w:rsidR="00141D96" w:rsidRPr="00F75535">
        <w:rPr>
          <w:i/>
        </w:rPr>
        <w:t>‘</w:t>
      </w:r>
      <w:r w:rsidRPr="00F75535">
        <w:rPr>
          <w:i/>
        </w:rPr>
        <w:t>This protocol entitled Orphan Europe Carbaglu Surveillance Protocol in Collaboration with the Longitudinal Study of Urea Cycle Disorders (Protocol No 5111) was developed and agreed to with the US Food and Drug Administration (FDA) as part of the approval for Carbaglu. It is noted that Carbaglu is indicated specifically for the treatment of hyperammonaemia due to NAGS deficiency, a reduced indication when compared to the indication provided in Section 1.</w:t>
      </w:r>
    </w:p>
    <w:p w:rsidR="005262B7" w:rsidRPr="00F75535" w:rsidRDefault="005262B7" w:rsidP="00F75535">
      <w:pPr>
        <w:rPr>
          <w:i/>
        </w:rPr>
      </w:pPr>
      <w:r w:rsidRPr="00F75535">
        <w:rPr>
          <w:i/>
        </w:rPr>
        <w:t>The purpose of this study is to conduct post-marketing surveillance of carglumic acid to obtain long-term clinical safety information. The study is intended to be conducted over 15 years, and is performed in collaboration with the existing National Institutes of Health (NIH) sponsored Urea Cycle Disorders Consortium (UCDC). The surveillance program will include the development of a registry of patient with NAGS deficiency and a sub-study intended to study the effects of carglumic acid on pregnancy and foetal outcomes.</w:t>
      </w:r>
    </w:p>
    <w:p w:rsidR="005262B7" w:rsidRPr="00F75535" w:rsidRDefault="00141D96" w:rsidP="00F75535">
      <w:pPr>
        <w:rPr>
          <w:i/>
        </w:rPr>
      </w:pPr>
      <w:r w:rsidRPr="00F75535">
        <w:rPr>
          <w:i/>
        </w:rPr>
        <w:t>The Carbaglu</w:t>
      </w:r>
      <w:r w:rsidR="005262B7" w:rsidRPr="00F75535">
        <w:rPr>
          <w:i/>
        </w:rPr>
        <w:t xml:space="preserve"> Surveillance Protocol will require an annual reconciliation of all adverse events, with these events reported to the FDA and a final report forwarded to the FDA at the completion of the protocol in 2026.</w:t>
      </w:r>
    </w:p>
    <w:p w:rsidR="005262B7" w:rsidRPr="00F75535" w:rsidRDefault="005262B7" w:rsidP="00F75535">
      <w:pPr>
        <w:rPr>
          <w:i/>
        </w:rPr>
      </w:pPr>
      <w:r w:rsidRPr="00F75535">
        <w:rPr>
          <w:i/>
        </w:rPr>
        <w:t>The Carbaglu Surveillance Protocol will generate additional safety data on the use of carglumic acid for the treatment of hyperammonaemia due to NAGS, thereby supporting safety of the product in the treatment of Australian patients. Although the indication approved by the FDA is more restrictive than proposed as part of Emerge Health’s application, it is considered that the safety information can be directly extrapolated to the Australian population based on the hyperammonaemia treatment regime.</w:t>
      </w:r>
      <w:r w:rsidR="00141D96" w:rsidRPr="00F75535">
        <w:rPr>
          <w:i/>
        </w:rPr>
        <w:t>’</w:t>
      </w:r>
    </w:p>
    <w:p w:rsidR="000C6E71" w:rsidRDefault="005262B7" w:rsidP="00F75535">
      <w:r w:rsidRPr="005262B7">
        <w:t>Regarding the pharmacovigilance system i</w:t>
      </w:r>
      <w:r w:rsidR="000C6E71">
        <w:t>n Australia the sponsor states:</w:t>
      </w:r>
    </w:p>
    <w:p w:rsidR="005262B7" w:rsidRPr="00F75535" w:rsidRDefault="005262B7" w:rsidP="00F75535">
      <w:pPr>
        <w:rPr>
          <w:i/>
        </w:rPr>
      </w:pPr>
      <w:r w:rsidRPr="00F75535">
        <w:rPr>
          <w:i/>
        </w:rPr>
        <w:t>Emerge Health has developed and implemented a pharmacovigilance system based primarily on the requirements stated in the TGA issued Australian Requirements and Recommendations for Pharmacovigilance Responsibilities of Sponsors of Medicines. Emerge Health’s pharmacovigilance process collects critical information relating to a possible adverse event to allow its assessment. All worldwide adverse events relating to</w:t>
      </w:r>
      <w:r w:rsidR="00141D96" w:rsidRPr="00F75535">
        <w:rPr>
          <w:i/>
        </w:rPr>
        <w:t xml:space="preserve"> the administration of Carbaglu</w:t>
      </w:r>
      <w:r w:rsidRPr="00F75535">
        <w:rPr>
          <w:i/>
        </w:rPr>
        <w:t xml:space="preserve"> are collected by the finished product manufacturer, Orphan Europe who consolidates all events to determine any applicable changes to the core safety information and consequently the Australian </w:t>
      </w:r>
      <w:r w:rsidR="00066F36" w:rsidRPr="00F75535">
        <w:rPr>
          <w:i/>
        </w:rPr>
        <w:t>PI</w:t>
      </w:r>
      <w:r w:rsidRPr="00F75535">
        <w:rPr>
          <w:i/>
        </w:rPr>
        <w:t>.</w:t>
      </w:r>
    </w:p>
    <w:p w:rsidR="005262B7" w:rsidRPr="00F75535" w:rsidRDefault="005262B7" w:rsidP="00F75535">
      <w:pPr>
        <w:rPr>
          <w:i/>
        </w:rPr>
      </w:pPr>
      <w:r w:rsidRPr="00F75535">
        <w:rPr>
          <w:i/>
        </w:rPr>
        <w:t>Emerge He</w:t>
      </w:r>
      <w:r w:rsidR="00141D96" w:rsidRPr="00F75535">
        <w:rPr>
          <w:i/>
        </w:rPr>
        <w:t>alth proposes that the Carbaglu</w:t>
      </w:r>
      <w:r w:rsidR="00066F36" w:rsidRPr="00F75535">
        <w:rPr>
          <w:i/>
        </w:rPr>
        <w:t xml:space="preserve"> surveillance p</w:t>
      </w:r>
      <w:r w:rsidRPr="00F75535">
        <w:rPr>
          <w:i/>
        </w:rPr>
        <w:t>rotocol will not be extended to include Australian patients, nor will a similar study be conducted in Australia.</w:t>
      </w:r>
    </w:p>
    <w:p w:rsidR="005262B7" w:rsidRPr="00F75535" w:rsidRDefault="00141D96" w:rsidP="00F75535">
      <w:pPr>
        <w:rPr>
          <w:i/>
        </w:rPr>
      </w:pPr>
      <w:r w:rsidRPr="00F75535">
        <w:rPr>
          <w:i/>
        </w:rPr>
        <w:t>The supply of Carbaglu</w:t>
      </w:r>
      <w:r w:rsidR="005262B7" w:rsidRPr="00F75535">
        <w:rPr>
          <w:i/>
        </w:rPr>
        <w:t xml:space="preserve"> in Australia does not require any specific pharmacovigilance requirements in addition to routine surveillance practices. These routine pharmacovigilance practices will involve the following activities:</w:t>
      </w:r>
    </w:p>
    <w:p w:rsidR="005262B7" w:rsidRPr="00F75535" w:rsidRDefault="005262B7" w:rsidP="00F75535">
      <w:pPr>
        <w:pStyle w:val="ListBullet"/>
        <w:rPr>
          <w:i/>
        </w:rPr>
      </w:pPr>
      <w:r w:rsidRPr="00F75535">
        <w:rPr>
          <w:i/>
        </w:rPr>
        <w:lastRenderedPageBreak/>
        <w:t>All suspected adverse reactions that are reported to the personnel of the company are collected and collated in an accessible manner in collaboration with Orphan Europe;</w:t>
      </w:r>
    </w:p>
    <w:p w:rsidR="005262B7" w:rsidRPr="00F75535" w:rsidRDefault="005262B7" w:rsidP="00F75535">
      <w:pPr>
        <w:pStyle w:val="ListBullet"/>
        <w:rPr>
          <w:i/>
        </w:rPr>
      </w:pPr>
      <w:r w:rsidRPr="00F75535">
        <w:rPr>
          <w:i/>
        </w:rPr>
        <w:t>Reporting to regulatory authorities;</w:t>
      </w:r>
    </w:p>
    <w:p w:rsidR="005262B7" w:rsidRPr="00F75535" w:rsidRDefault="005262B7" w:rsidP="00F75535">
      <w:pPr>
        <w:pStyle w:val="ListBullet"/>
        <w:rPr>
          <w:i/>
        </w:rPr>
      </w:pPr>
      <w:r w:rsidRPr="00F75535">
        <w:rPr>
          <w:i/>
        </w:rPr>
        <w:t xml:space="preserve">Continuous monitoring of the safety profiles of approved products including signal detection and updating of </w:t>
      </w:r>
      <w:r w:rsidR="00066F36" w:rsidRPr="00F75535">
        <w:rPr>
          <w:i/>
        </w:rPr>
        <w:t>labelling</w:t>
      </w:r>
      <w:r w:rsidRPr="00F75535">
        <w:rPr>
          <w:i/>
        </w:rPr>
        <w:t>;</w:t>
      </w:r>
    </w:p>
    <w:p w:rsidR="005262B7" w:rsidRPr="00F75535" w:rsidRDefault="005262B7" w:rsidP="00F75535">
      <w:pPr>
        <w:pStyle w:val="ListBullet"/>
        <w:rPr>
          <w:i/>
        </w:rPr>
      </w:pPr>
      <w:r w:rsidRPr="00F75535">
        <w:rPr>
          <w:i/>
        </w:rPr>
        <w:t>Submission of PSURs;</w:t>
      </w:r>
    </w:p>
    <w:p w:rsidR="005262B7" w:rsidRPr="00F75535" w:rsidRDefault="005262B7" w:rsidP="00F75535">
      <w:pPr>
        <w:pStyle w:val="ListBullet"/>
        <w:rPr>
          <w:i/>
        </w:rPr>
      </w:pPr>
      <w:r w:rsidRPr="00F75535">
        <w:rPr>
          <w:i/>
        </w:rPr>
        <w:t xml:space="preserve">Meeting other local </w:t>
      </w:r>
      <w:r w:rsidR="00141D96" w:rsidRPr="00F75535">
        <w:rPr>
          <w:i/>
        </w:rPr>
        <w:t>regulatory agency requirements.</w:t>
      </w:r>
    </w:p>
    <w:p w:rsidR="00141D96" w:rsidRPr="00141D96" w:rsidRDefault="00141D96" w:rsidP="00F75535">
      <w:r w:rsidRPr="00141D96">
        <w:t xml:space="preserve">The sponsor states on page 12 of the EU-RMP that </w:t>
      </w:r>
      <w:r w:rsidRPr="00F75535">
        <w:rPr>
          <w:i/>
        </w:rPr>
        <w:t>‘routine pharmacovigilance will perform additional monitoring of special cases of lack of efficacy’</w:t>
      </w:r>
      <w:r w:rsidRPr="00141D96">
        <w:t>.</w:t>
      </w:r>
    </w:p>
    <w:p w:rsidR="00141D96" w:rsidRDefault="00141D96" w:rsidP="00F75535">
      <w:r w:rsidRPr="00141D96">
        <w:t xml:space="preserve">Regarding collection of adverse events in the pre- and post-authorisation phase in Europe, the sponsor states: </w:t>
      </w:r>
    </w:p>
    <w:p w:rsidR="00141D96" w:rsidRPr="00F75535" w:rsidRDefault="00141D96" w:rsidP="00F75535">
      <w:pPr>
        <w:rPr>
          <w:i/>
        </w:rPr>
      </w:pPr>
      <w:r w:rsidRPr="00F75535">
        <w:rPr>
          <w:i/>
        </w:rPr>
        <w:t>‘Before the European approval, patients were provided with Carbaglu</w:t>
      </w:r>
      <w:r w:rsidR="00066F36" w:rsidRPr="00F75535">
        <w:rPr>
          <w:i/>
        </w:rPr>
        <w:t xml:space="preserve"> on a named </w:t>
      </w:r>
      <w:r w:rsidRPr="00F75535">
        <w:rPr>
          <w:i/>
        </w:rPr>
        <w:t>patient basis; during this period, treating physicians provided OE with clinical data via specific forms designed by Orphan Europe (OE). After European approval, treating physicians continued to provide OE with clinical data via these specific forms. In addition to that and according to European regulations, these physicians spontaneously reported to OE information on adverse events (AE).</w:t>
      </w:r>
    </w:p>
    <w:p w:rsidR="00141D96" w:rsidRPr="00F75535" w:rsidRDefault="00141D96" w:rsidP="00F75535">
      <w:pPr>
        <w:rPr>
          <w:i/>
        </w:rPr>
      </w:pPr>
      <w:r w:rsidRPr="00F75535">
        <w:rPr>
          <w:i/>
        </w:rPr>
        <w:t>Therefore, the data available in the safety database describes all safety information originated from solicited sources (i</w:t>
      </w:r>
      <w:r w:rsidR="00066F36" w:rsidRPr="00F75535">
        <w:rPr>
          <w:i/>
        </w:rPr>
        <w:t xml:space="preserve">ncluding clinical trials, named </w:t>
      </w:r>
      <w:r w:rsidRPr="00F75535">
        <w:rPr>
          <w:i/>
        </w:rPr>
        <w:t>patient programmes, and patient registries) and unsolicited source (spontaneous reporting, literature reports, and regulatory cases notified by authorities).</w:t>
      </w:r>
    </w:p>
    <w:p w:rsidR="005262B7" w:rsidRPr="00F75535" w:rsidRDefault="00141D96" w:rsidP="00F75535">
      <w:pPr>
        <w:rPr>
          <w:i/>
        </w:rPr>
      </w:pPr>
      <w:r w:rsidRPr="00F75535">
        <w:rPr>
          <w:i/>
        </w:rPr>
        <w:t>All these cases are recorded into the OE global safety database (GSDB). The cut-off date for the RMP of Carbaglu, October 25, 2011, is based on the arbitrary date relating to the data available in the global safety database, covering the pre- and post-authorisation experience with Carbaglu.’</w:t>
      </w:r>
    </w:p>
    <w:p w:rsidR="008E7846" w:rsidRPr="00141D96" w:rsidRDefault="008E7846" w:rsidP="00F75535">
      <w:pPr>
        <w:pStyle w:val="Heading4"/>
        <w:rPr>
          <w:lang w:eastAsia="en-AU"/>
        </w:rPr>
      </w:pPr>
      <w:r w:rsidRPr="00141D96">
        <w:rPr>
          <w:lang w:eastAsia="en-AU"/>
        </w:rPr>
        <w:t xml:space="preserve">Risk </w:t>
      </w:r>
      <w:r w:rsidR="003A7F6C" w:rsidRPr="00141D96">
        <w:rPr>
          <w:lang w:eastAsia="en-AU"/>
        </w:rPr>
        <w:t>m</w:t>
      </w:r>
      <w:r w:rsidRPr="00141D96">
        <w:rPr>
          <w:lang w:eastAsia="en-AU"/>
        </w:rPr>
        <w:t xml:space="preserve">inimisation </w:t>
      </w:r>
      <w:r w:rsidR="003A7F6C" w:rsidRPr="00141D96">
        <w:rPr>
          <w:lang w:eastAsia="en-AU"/>
        </w:rPr>
        <w:t>a</w:t>
      </w:r>
      <w:r w:rsidRPr="00141D96">
        <w:rPr>
          <w:lang w:eastAsia="en-AU"/>
        </w:rPr>
        <w:t>ctivities</w:t>
      </w:r>
    </w:p>
    <w:p w:rsidR="00FD4624" w:rsidRDefault="00141D96" w:rsidP="00F75535">
      <w:bookmarkStart w:id="199" w:name="_Toc247691527"/>
      <w:r w:rsidRPr="00FD4624">
        <w:t>Th</w:t>
      </w:r>
      <w:r w:rsidR="00066F36">
        <w:t xml:space="preserve">e sponsor proposes routine risk </w:t>
      </w:r>
      <w:r w:rsidRPr="00FD4624">
        <w:t>minimisation activities to addre</w:t>
      </w:r>
      <w:r w:rsidR="00F75535">
        <w:t>ss all ongoing safety concerns.</w:t>
      </w:r>
    </w:p>
    <w:p w:rsidR="00FD4624" w:rsidRDefault="00141D96" w:rsidP="00F75535">
      <w:r w:rsidRPr="00FD4624">
        <w:t>In addition, it is not</w:t>
      </w:r>
      <w:r w:rsidR="000C6E71">
        <w:t>ed that the sponsor describes (T</w:t>
      </w:r>
      <w:r w:rsidRPr="00FD4624">
        <w:t>able 17 in EU-RMP) that routine risk-minimisatio</w:t>
      </w:r>
      <w:r w:rsidR="000C6E71">
        <w:t>n activities are not sufficient</w:t>
      </w:r>
      <w:r w:rsidRPr="00FD4624">
        <w:t xml:space="preserve"> to</w:t>
      </w:r>
      <w:r w:rsidR="00FD4624">
        <w:t xml:space="preserve"> address the potential risk of ‘</w:t>
      </w:r>
      <w:r w:rsidRPr="00FD4624">
        <w:t>Effect o</w:t>
      </w:r>
      <w:r w:rsidR="00FD4624">
        <w:t>n Pregnancy and Foetal Outcomes’</w:t>
      </w:r>
      <w:r w:rsidRPr="00FD4624">
        <w:t>. However, the activities described are:</w:t>
      </w:r>
    </w:p>
    <w:p w:rsidR="00FD4624" w:rsidRPr="00F75535" w:rsidRDefault="00141D96" w:rsidP="00F75535">
      <w:pPr>
        <w:pStyle w:val="ListBullet"/>
      </w:pPr>
      <w:r w:rsidRPr="00F75535">
        <w:t>Provision of information in the PI,</w:t>
      </w:r>
    </w:p>
    <w:p w:rsidR="00FD4624" w:rsidRPr="00F75535" w:rsidRDefault="00141D96" w:rsidP="00F75535">
      <w:pPr>
        <w:pStyle w:val="ListBullet"/>
      </w:pPr>
      <w:r w:rsidRPr="00F75535">
        <w:t>A survei</w:t>
      </w:r>
      <w:r w:rsidR="00FD4624" w:rsidRPr="00F75535">
        <w:t>llance protocol.</w:t>
      </w:r>
    </w:p>
    <w:p w:rsidR="00141D96" w:rsidRPr="00FD4624" w:rsidRDefault="00141D96" w:rsidP="00F75535">
      <w:r w:rsidRPr="00FD4624">
        <w:t>Provision of information in th</w:t>
      </w:r>
      <w:r w:rsidR="00FD4624">
        <w:t xml:space="preserve">e PI is considered routine risk </w:t>
      </w:r>
      <w:r w:rsidRPr="00FD4624">
        <w:t>minimisation, and the surveillance protocol is considered additional p</w:t>
      </w:r>
      <w:r w:rsidR="000C6E71">
        <w:t>harmacovigilance. Therefore, T</w:t>
      </w:r>
      <w:r w:rsidRPr="00FD4624">
        <w:t>able 17 should be amended to</w:t>
      </w:r>
      <w:r w:rsidR="00FD4624">
        <w:t xml:space="preserve"> clarify that only routine risk </w:t>
      </w:r>
      <w:r w:rsidRPr="00FD4624">
        <w:t>minimisation activities are used for all ongoing safety concerns.</w:t>
      </w:r>
    </w:p>
    <w:p w:rsidR="006F25B8" w:rsidRPr="00FD4624" w:rsidRDefault="00FD4624" w:rsidP="00FD462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jc w:val="both"/>
        <w:rPr>
          <w:b/>
        </w:rPr>
      </w:pPr>
      <w:r>
        <w:t xml:space="preserve">Comment: </w:t>
      </w:r>
      <w:r w:rsidRPr="004C7990">
        <w:t xml:space="preserve">There are no </w:t>
      </w:r>
      <w:r>
        <w:t xml:space="preserve">objections to the proposed risk </w:t>
      </w:r>
      <w:r w:rsidRPr="004C7990">
        <w:t>minimisation activities.</w:t>
      </w:r>
    </w:p>
    <w:p w:rsidR="006F25B8" w:rsidRDefault="006F25B8" w:rsidP="00F75535">
      <w:pPr>
        <w:pStyle w:val="Heading4"/>
        <w:rPr>
          <w:lang w:eastAsia="en-AU"/>
        </w:rPr>
      </w:pPr>
      <w:r w:rsidRPr="006F25B8">
        <w:rPr>
          <w:lang w:eastAsia="en-AU"/>
        </w:rPr>
        <w:t xml:space="preserve">Reconciliation of issues outlined in the RMP report </w:t>
      </w:r>
    </w:p>
    <w:p w:rsidR="00364026" w:rsidRDefault="00FA0223" w:rsidP="00F75535">
      <w:pPr>
        <w:rPr>
          <w:lang w:eastAsia="en-AU"/>
        </w:rPr>
      </w:pPr>
      <w:r>
        <w:rPr>
          <w:lang w:eastAsia="en-AU"/>
        </w:rPr>
        <w:t>Table 7</w:t>
      </w:r>
      <w:r w:rsidR="006F25B8">
        <w:rPr>
          <w:lang w:eastAsia="en-AU"/>
        </w:rPr>
        <w:t xml:space="preserve"> summarises the </w:t>
      </w:r>
      <w:r w:rsidR="006569A3" w:rsidRPr="006569A3">
        <w:rPr>
          <w:lang w:eastAsia="en-AU"/>
        </w:rPr>
        <w:t>PMSB</w:t>
      </w:r>
      <w:r w:rsidR="006F25B8">
        <w:rPr>
          <w:lang w:eastAsia="en-AU"/>
        </w:rPr>
        <w:t xml:space="preserve">’s first round evaluation of the RMP, the sponsor’s responses to issues raised by the </w:t>
      </w:r>
      <w:r w:rsidR="006569A3" w:rsidRPr="006569A3">
        <w:rPr>
          <w:lang w:eastAsia="en-AU"/>
        </w:rPr>
        <w:t>PMSB</w:t>
      </w:r>
      <w:r w:rsidR="006F25B8">
        <w:rPr>
          <w:lang w:eastAsia="en-AU"/>
        </w:rPr>
        <w:t xml:space="preserve"> and the </w:t>
      </w:r>
      <w:r w:rsidR="006569A3" w:rsidRPr="006569A3">
        <w:rPr>
          <w:lang w:eastAsia="en-AU"/>
        </w:rPr>
        <w:t>PMSB</w:t>
      </w:r>
      <w:r w:rsidR="006F25B8">
        <w:rPr>
          <w:lang w:eastAsia="en-AU"/>
        </w:rPr>
        <w:t>’s evaluation of the sponsor’s responses.</w:t>
      </w:r>
    </w:p>
    <w:p w:rsidR="00364026" w:rsidRDefault="00FA0223" w:rsidP="00F75535">
      <w:pPr>
        <w:pStyle w:val="TableTitle"/>
        <w:rPr>
          <w:lang w:eastAsia="en-AU"/>
        </w:rPr>
      </w:pPr>
      <w:r>
        <w:rPr>
          <w:lang w:eastAsia="en-AU"/>
        </w:rPr>
        <w:lastRenderedPageBreak/>
        <w:t>Table 7.</w:t>
      </w:r>
      <w:r w:rsidR="00066F36">
        <w:rPr>
          <w:lang w:eastAsia="en-AU"/>
        </w:rPr>
        <w:t xml:space="preserve"> </w:t>
      </w:r>
      <w:r w:rsidR="00066F36" w:rsidRPr="00066F36">
        <w:rPr>
          <w:lang w:eastAsia="en-AU"/>
        </w:rPr>
        <w:t xml:space="preserve">Reconciliation </w:t>
      </w:r>
      <w:r w:rsidR="00066F36" w:rsidRPr="00F75535">
        <w:t>of</w:t>
      </w:r>
      <w:r w:rsidR="00066F36" w:rsidRPr="00066F36">
        <w:rPr>
          <w:lang w:eastAsia="en-AU"/>
        </w:rPr>
        <w:t xml:space="preserve"> issues outlined in the RMP report</w:t>
      </w:r>
      <w:r w:rsidR="00066F36">
        <w:rPr>
          <w:lang w:eastAsia="en-AU"/>
        </w:rPr>
        <w:t>.</w:t>
      </w:r>
      <w:r w:rsidR="000C6E71">
        <w:rPr>
          <w:lang w:eastAsia="en-AU"/>
        </w:rPr>
        <w:t xml:space="preserve"> Up to here</w:t>
      </w:r>
    </w:p>
    <w:tbl>
      <w:tblPr>
        <w:tblStyle w:val="TableTGAblue"/>
        <w:tblW w:w="5000" w:type="pct"/>
        <w:tblLayout w:type="fixed"/>
        <w:tblLook w:val="04A0" w:firstRow="1" w:lastRow="0" w:firstColumn="1" w:lastColumn="0" w:noHBand="0" w:noVBand="1"/>
      </w:tblPr>
      <w:tblGrid>
        <w:gridCol w:w="3137"/>
        <w:gridCol w:w="2918"/>
        <w:gridCol w:w="2665"/>
      </w:tblGrid>
      <w:tr w:rsidR="00364026" w:rsidRPr="00107999" w:rsidTr="00F75535">
        <w:trPr>
          <w:cnfStyle w:val="100000000000" w:firstRow="1" w:lastRow="0" w:firstColumn="0" w:lastColumn="0" w:oddVBand="0" w:evenVBand="0" w:oddHBand="0" w:evenHBand="0" w:firstRowFirstColumn="0" w:firstRowLastColumn="0" w:lastRowFirstColumn="0" w:lastRowLastColumn="0"/>
        </w:trPr>
        <w:tc>
          <w:tcPr>
            <w:tcW w:w="1799" w:type="pct"/>
            <w:noWrap/>
          </w:tcPr>
          <w:p w:rsidR="00364026" w:rsidRPr="00107999" w:rsidRDefault="00364026" w:rsidP="00551032">
            <w:pPr>
              <w:ind w:left="0" w:right="0"/>
            </w:pPr>
            <w:r w:rsidRPr="00107999">
              <w:t>Recommendation in RMP evaluation report</w:t>
            </w:r>
          </w:p>
        </w:tc>
        <w:tc>
          <w:tcPr>
            <w:tcW w:w="1673" w:type="pct"/>
            <w:noWrap/>
          </w:tcPr>
          <w:p w:rsidR="00364026" w:rsidRPr="00F75535" w:rsidRDefault="00364026" w:rsidP="00551032">
            <w:pPr>
              <w:ind w:left="0" w:right="27"/>
              <w:rPr>
                <w:b w:val="0"/>
              </w:rPr>
            </w:pPr>
            <w:r w:rsidRPr="00107999">
              <w:t>Sponsor’s response</w:t>
            </w:r>
          </w:p>
        </w:tc>
        <w:tc>
          <w:tcPr>
            <w:tcW w:w="1528" w:type="pct"/>
            <w:noWrap/>
          </w:tcPr>
          <w:p w:rsidR="00364026" w:rsidRPr="00107999" w:rsidRDefault="006569A3" w:rsidP="00551032">
            <w:pPr>
              <w:ind w:left="41" w:right="0"/>
            </w:pPr>
            <w:r w:rsidRPr="006569A3">
              <w:t>PMSB</w:t>
            </w:r>
            <w:r w:rsidR="00364026" w:rsidRPr="00107999">
              <w:t xml:space="preserve"> evaluator’s comment</w:t>
            </w:r>
          </w:p>
        </w:tc>
      </w:tr>
      <w:tr w:rsidR="00364026" w:rsidRPr="00107999" w:rsidTr="00F75535">
        <w:tc>
          <w:tcPr>
            <w:tcW w:w="1799" w:type="pct"/>
            <w:noWrap/>
          </w:tcPr>
          <w:p w:rsidR="00364026" w:rsidRPr="00364026" w:rsidRDefault="009F5CFA" w:rsidP="00551032">
            <w:pPr>
              <w:ind w:left="0" w:right="0"/>
            </w:pPr>
            <w:r>
              <w:t xml:space="preserve">1. </w:t>
            </w:r>
            <w:r w:rsidR="00364026" w:rsidRPr="00364026">
              <w:t xml:space="preserve">Safety considerations may be raised by the nonclinical and clinical evaluators through the </w:t>
            </w:r>
            <w:r w:rsidR="00AD2505">
              <w:t xml:space="preserve">TGA’s </w:t>
            </w:r>
            <w:r w:rsidR="00364026" w:rsidRPr="00364026">
              <w:t xml:space="preserve">request </w:t>
            </w:r>
            <w:r w:rsidR="00AD2505">
              <w:t xml:space="preserve">for information </w:t>
            </w:r>
            <w:r w:rsidR="00922653">
              <w:t>and/or the nonclinical and clinical e</w:t>
            </w:r>
            <w:r w:rsidR="00364026" w:rsidRPr="00364026">
              <w:t>valuati</w:t>
            </w:r>
            <w:r w:rsidR="00922653">
              <w:t>on reports</w:t>
            </w:r>
            <w:r w:rsidR="00FD114B">
              <w:t xml:space="preserve"> respectively. </w:t>
            </w:r>
            <w:r w:rsidR="00364026" w:rsidRPr="00364026">
              <w:t xml:space="preserve">It is important to ensure that the information provided in response to these include a consideration of the relevance for the </w:t>
            </w:r>
            <w:r w:rsidR="00FC29E3">
              <w:t>RMP, a</w:t>
            </w:r>
            <w:r w:rsidR="00364026" w:rsidRPr="00364026">
              <w:t>nd any specific information needed to address this issue in the</w:t>
            </w:r>
            <w:r w:rsidR="00FD114B">
              <w:t xml:space="preserve"> RMP. </w:t>
            </w:r>
            <w:r w:rsidR="00364026" w:rsidRPr="00364026">
              <w:t>For any safety considerations so raised, the sponsor should provide information that is relevant and necessary to address the issue in the RMP.</w:t>
            </w:r>
          </w:p>
        </w:tc>
        <w:tc>
          <w:tcPr>
            <w:tcW w:w="1673" w:type="pct"/>
            <w:noWrap/>
          </w:tcPr>
          <w:p w:rsidR="00364026" w:rsidRPr="00364026" w:rsidRDefault="00364026" w:rsidP="00551032">
            <w:pPr>
              <w:ind w:left="0" w:right="27"/>
            </w:pPr>
            <w:r w:rsidRPr="00364026">
              <w:t xml:space="preserve">Following a review of cases reported until 31 May 2014, </w:t>
            </w:r>
            <w:r w:rsidR="00BF4A86" w:rsidRPr="00BF4A86">
              <w:t>OE</w:t>
            </w:r>
            <w:r w:rsidRPr="00364026">
              <w:t xml:space="preserve"> considered that no change in the risk profile was identified. Potential risks were reported in the RMP.</w:t>
            </w:r>
          </w:p>
        </w:tc>
        <w:tc>
          <w:tcPr>
            <w:tcW w:w="1528" w:type="pct"/>
            <w:noWrap/>
          </w:tcPr>
          <w:p w:rsidR="00364026" w:rsidRPr="00364026" w:rsidRDefault="00FD114B" w:rsidP="00551032">
            <w:pPr>
              <w:ind w:left="41" w:right="0"/>
            </w:pPr>
            <w:r>
              <w:t>The clinical and non</w:t>
            </w:r>
            <w:r w:rsidR="00364026" w:rsidRPr="00364026">
              <w:t xml:space="preserve">clinical evaluator will assess the validity of this response and ensure that the sponsor has satisfactorily addressed the issues raised in the CER and </w:t>
            </w:r>
            <w:r w:rsidR="00FC29E3" w:rsidRPr="00FC29E3">
              <w:t>nonclinical evaluation report (NCER).</w:t>
            </w:r>
          </w:p>
        </w:tc>
      </w:tr>
      <w:tr w:rsidR="00364026" w:rsidRPr="00107999" w:rsidTr="00F75535">
        <w:tc>
          <w:tcPr>
            <w:tcW w:w="1799" w:type="pct"/>
            <w:noWrap/>
          </w:tcPr>
          <w:p w:rsidR="00364026" w:rsidRPr="00364026" w:rsidRDefault="009F5CFA" w:rsidP="00551032">
            <w:pPr>
              <w:ind w:left="0" w:right="0"/>
            </w:pPr>
            <w:r>
              <w:t xml:space="preserve">2. </w:t>
            </w:r>
            <w:r w:rsidR="00364026" w:rsidRPr="00364026">
              <w:t>The sponsor should amend the RMP to reflect that only routine risk-minimization activities are carried out to address all ongoing safety concerns.</w:t>
            </w:r>
          </w:p>
        </w:tc>
        <w:tc>
          <w:tcPr>
            <w:tcW w:w="1673" w:type="pct"/>
            <w:noWrap/>
          </w:tcPr>
          <w:p w:rsidR="00364026" w:rsidRPr="00364026" w:rsidRDefault="00922653" w:rsidP="00551032">
            <w:pPr>
              <w:ind w:left="0" w:right="27"/>
            </w:pPr>
            <w:r>
              <w:t>The s</w:t>
            </w:r>
            <w:r w:rsidR="00364026" w:rsidRPr="00364026">
              <w:t>ponsors is pleased to confirm that the latest version of the RMP (</w:t>
            </w:r>
            <w:r w:rsidR="00037CC2" w:rsidRPr="00037CC2">
              <w:t xml:space="preserve">European RMP </w:t>
            </w:r>
            <w:r w:rsidR="00037CC2">
              <w:t xml:space="preserve">version </w:t>
            </w:r>
            <w:r w:rsidR="00037CC2" w:rsidRPr="00037CC2">
              <w:t>OE/PV/CARB/0114 data lock point 31 May 2014</w:t>
            </w:r>
            <w:r w:rsidR="00364026" w:rsidRPr="00364026">
              <w:t>) has been amended to reflect that only routine risk minimisation activities are carried out to address all ongoing safety concerns. The ongoing safety concerns are potential risk of lack of efficacy, rash and cardiomyopathy. These ongoing safety concerns were reported in routine risk minimisation activities.</w:t>
            </w:r>
          </w:p>
        </w:tc>
        <w:tc>
          <w:tcPr>
            <w:tcW w:w="1528" w:type="pct"/>
            <w:noWrap/>
          </w:tcPr>
          <w:p w:rsidR="00364026" w:rsidRPr="00364026" w:rsidRDefault="00364026" w:rsidP="00551032">
            <w:pPr>
              <w:ind w:left="41" w:right="0"/>
            </w:pPr>
            <w:r w:rsidRPr="00364026">
              <w:t xml:space="preserve">The sponsor describes in the EU-RMP as well as </w:t>
            </w:r>
            <w:r w:rsidR="00037CC2">
              <w:t xml:space="preserve">in the ASA that additional risk </w:t>
            </w:r>
            <w:r w:rsidRPr="00364026">
              <w:t xml:space="preserve">minimisation activities are carried out for the missing information of </w:t>
            </w:r>
            <w:r w:rsidR="009F5CFA">
              <w:t>‘</w:t>
            </w:r>
            <w:r w:rsidRPr="00364026">
              <w:t>Pregnant or Breast feeding women</w:t>
            </w:r>
            <w:r w:rsidR="009F5CFA">
              <w:t>’</w:t>
            </w:r>
            <w:r w:rsidRPr="00364026">
              <w:t>. The activity described is a surveillance program conducted in the USA.</w:t>
            </w:r>
          </w:p>
          <w:p w:rsidR="00364026" w:rsidRPr="00364026" w:rsidRDefault="00364026" w:rsidP="00551032">
            <w:pPr>
              <w:ind w:left="41" w:right="0"/>
            </w:pPr>
            <w:r w:rsidRPr="00364026">
              <w:t>This activity is considered an additional pharmacovigilance acti</w:t>
            </w:r>
            <w:r w:rsidR="00037CC2">
              <w:t xml:space="preserve">vity and not an additional risk </w:t>
            </w:r>
            <w:r w:rsidRPr="00364026">
              <w:t>minimisation activity.</w:t>
            </w:r>
          </w:p>
          <w:p w:rsidR="00364026" w:rsidRPr="00364026" w:rsidRDefault="00364026" w:rsidP="00551032">
            <w:pPr>
              <w:ind w:left="41" w:right="0"/>
            </w:pPr>
            <w:r w:rsidRPr="00364026">
              <w:t>Consequently, the RMP has not been amended as requested in the round 1 RMP evaluation and therefore, this recommendation remains.</w:t>
            </w:r>
          </w:p>
        </w:tc>
      </w:tr>
      <w:tr w:rsidR="00364026" w:rsidRPr="00107999" w:rsidTr="00F75535">
        <w:tc>
          <w:tcPr>
            <w:tcW w:w="1799" w:type="pct"/>
            <w:noWrap/>
          </w:tcPr>
          <w:p w:rsidR="00364026" w:rsidRPr="00364026" w:rsidRDefault="009F5CFA" w:rsidP="00551032">
            <w:pPr>
              <w:ind w:left="0" w:right="0"/>
            </w:pPr>
            <w:r>
              <w:t xml:space="preserve">3. </w:t>
            </w:r>
            <w:r w:rsidR="00364026" w:rsidRPr="00364026">
              <w:t xml:space="preserve">It is recommended that the sponsor submits a more up to </w:t>
            </w:r>
            <w:r w:rsidR="00364026" w:rsidRPr="00364026">
              <w:lastRenderedPageBreak/>
              <w:t>date version of the RMP, alongside with a summary table, outlining the differences between the currently available RMP and the more up to date version.</w:t>
            </w:r>
          </w:p>
        </w:tc>
        <w:tc>
          <w:tcPr>
            <w:tcW w:w="1673" w:type="pct"/>
            <w:noWrap/>
          </w:tcPr>
          <w:p w:rsidR="00364026" w:rsidRPr="00364026" w:rsidRDefault="00364026" w:rsidP="00551032">
            <w:pPr>
              <w:ind w:left="0" w:right="27"/>
            </w:pPr>
            <w:r w:rsidRPr="00364026">
              <w:lastRenderedPageBreak/>
              <w:t xml:space="preserve">As noted above, an updated EU-RMP is submitted that </w:t>
            </w:r>
            <w:r w:rsidRPr="00364026">
              <w:lastRenderedPageBreak/>
              <w:t>has a data lock point of 31 May 2014.</w:t>
            </w:r>
          </w:p>
          <w:p w:rsidR="00364026" w:rsidRPr="00364026" w:rsidRDefault="00364026" w:rsidP="00551032">
            <w:pPr>
              <w:ind w:left="0" w:right="27"/>
              <w:rPr>
                <w:highlight w:val="yellow"/>
              </w:rPr>
            </w:pPr>
            <w:r w:rsidRPr="00364026">
              <w:t xml:space="preserve">A summary of the difference relating to the ongoing safety concern from the EU-RMP submitted with the initial </w:t>
            </w:r>
            <w:r w:rsidR="00037CC2">
              <w:t>a</w:t>
            </w:r>
            <w:r w:rsidRPr="00364026">
              <w:t xml:space="preserve">pplication and the updated documents provided as part of this response are summarised </w:t>
            </w:r>
            <w:r w:rsidR="009F5CFA">
              <w:t>below (points 4.1 to 4.4)</w:t>
            </w:r>
          </w:p>
        </w:tc>
        <w:tc>
          <w:tcPr>
            <w:tcW w:w="1528" w:type="pct"/>
            <w:noWrap/>
          </w:tcPr>
          <w:p w:rsidR="00364026" w:rsidRPr="00364026" w:rsidRDefault="00364026" w:rsidP="00551032">
            <w:pPr>
              <w:ind w:left="41" w:right="0"/>
            </w:pPr>
            <w:r w:rsidRPr="00364026">
              <w:lastRenderedPageBreak/>
              <w:t xml:space="preserve">The response has been noted. Of note, the </w:t>
            </w:r>
            <w:r w:rsidRPr="00364026">
              <w:lastRenderedPageBreak/>
              <w:t>documents provided are inconsistent, and this should be corrected prior to approval.</w:t>
            </w:r>
          </w:p>
        </w:tc>
      </w:tr>
      <w:tr w:rsidR="00364026" w:rsidRPr="00107999" w:rsidTr="00F75535">
        <w:tc>
          <w:tcPr>
            <w:tcW w:w="1799" w:type="pct"/>
            <w:noWrap/>
          </w:tcPr>
          <w:p w:rsidR="00364026" w:rsidRPr="00364026" w:rsidRDefault="00364026" w:rsidP="00551032">
            <w:pPr>
              <w:ind w:left="0" w:right="0"/>
            </w:pPr>
            <w:r w:rsidRPr="00364026">
              <w:lastRenderedPageBreak/>
              <w:t xml:space="preserve">4.1: Cardiac effects (bradycardia) and General disorders and administration site conditions (Pyrexia) are identified </w:t>
            </w:r>
            <w:r w:rsidR="0047598F" w:rsidRPr="0047598F">
              <w:t xml:space="preserve">AE </w:t>
            </w:r>
            <w:r w:rsidRPr="00364026">
              <w:t xml:space="preserve">s, which are described to occur with a frequency of uncommon. Consequently, these </w:t>
            </w:r>
            <w:r w:rsidR="0047598F" w:rsidRPr="0047598F">
              <w:t>AE</w:t>
            </w:r>
            <w:r w:rsidRPr="00364026">
              <w:t>s should be listed as important identified risks in the table of ongoing safety concerns.</w:t>
            </w:r>
          </w:p>
        </w:tc>
        <w:tc>
          <w:tcPr>
            <w:tcW w:w="1673" w:type="pct"/>
            <w:noWrap/>
          </w:tcPr>
          <w:p w:rsidR="00364026" w:rsidRPr="00364026" w:rsidRDefault="00922653" w:rsidP="00551032">
            <w:pPr>
              <w:ind w:left="0" w:right="27"/>
            </w:pPr>
            <w:r>
              <w:t xml:space="preserve">4.1.1. </w:t>
            </w:r>
            <w:r w:rsidR="00364026" w:rsidRPr="00364026">
              <w:t>Bradycardia: One case of bradycardia was reported.</w:t>
            </w:r>
          </w:p>
          <w:p w:rsidR="00364026" w:rsidRPr="00364026" w:rsidRDefault="00364026" w:rsidP="00551032">
            <w:pPr>
              <w:ind w:left="0" w:right="27"/>
            </w:pPr>
            <w:r w:rsidRPr="00364026">
              <w:t xml:space="preserve">Case </w:t>
            </w:r>
            <w:r w:rsidR="001E2724">
              <w:t>X1</w:t>
            </w:r>
            <w:bookmarkStart w:id="200" w:name="_Ref425320318"/>
            <w:r w:rsidR="001E2724">
              <w:rPr>
                <w:rStyle w:val="FootnoteReference"/>
              </w:rPr>
              <w:footnoteReference w:id="7"/>
            </w:r>
            <w:bookmarkEnd w:id="200"/>
            <w:r w:rsidRPr="00364026">
              <w:t xml:space="preserve">: PT bradycardia This event of bradycardia occurred in a patient treated for </w:t>
            </w:r>
            <w:r w:rsidR="0027557F">
              <w:t>MMA</w:t>
            </w:r>
            <w:r w:rsidRPr="00364026">
              <w:t>. The event was considered as not serious by the reporter (no value of heart rate available). The patient recovered the same day.</w:t>
            </w:r>
          </w:p>
          <w:p w:rsidR="00364026" w:rsidRPr="00364026" w:rsidRDefault="00364026" w:rsidP="00551032">
            <w:pPr>
              <w:ind w:left="0" w:right="27"/>
            </w:pPr>
            <w:r w:rsidRPr="00364026">
              <w:t xml:space="preserve">Conclusion: </w:t>
            </w:r>
            <w:r w:rsidR="00BF4A86" w:rsidRPr="00BF4A86">
              <w:t>OE</w:t>
            </w:r>
            <w:r w:rsidRPr="00364026">
              <w:t xml:space="preserve"> considers that this bradycardia is probably due to the patient status (decompensation episode associated with vomiting and pyrexia) and is not related to </w:t>
            </w:r>
            <w:r w:rsidR="00AD2505">
              <w:t>Carbaglu</w:t>
            </w:r>
            <w:r w:rsidRPr="00364026">
              <w:t xml:space="preserve"> toxicity. Consequently, this </w:t>
            </w:r>
            <w:r w:rsidR="0047598F" w:rsidRPr="0047598F">
              <w:t>AE</w:t>
            </w:r>
            <w:r w:rsidRPr="00364026">
              <w:t xml:space="preserve"> will be not listed as important identified risk in the table of ongoing safety concerns.</w:t>
            </w:r>
          </w:p>
        </w:tc>
        <w:tc>
          <w:tcPr>
            <w:tcW w:w="1528" w:type="pct"/>
            <w:noWrap/>
          </w:tcPr>
          <w:p w:rsidR="00364026" w:rsidRPr="00364026" w:rsidRDefault="00364026" w:rsidP="00551032">
            <w:pPr>
              <w:ind w:left="41" w:right="0"/>
            </w:pPr>
            <w:r w:rsidRPr="00364026">
              <w:t>4.1.1: Pending acceptance by the Office of Medicines Authorisation,</w:t>
            </w:r>
            <w:r w:rsidR="001E2724">
              <w:t xml:space="preserve"> this is considered acceptable.</w:t>
            </w:r>
          </w:p>
        </w:tc>
      </w:tr>
      <w:tr w:rsidR="001E2724" w:rsidRPr="00107999" w:rsidTr="00F75535">
        <w:tc>
          <w:tcPr>
            <w:tcW w:w="1799" w:type="pct"/>
            <w:noWrap/>
          </w:tcPr>
          <w:p w:rsidR="001E2724" w:rsidRPr="00364026" w:rsidRDefault="001E2724" w:rsidP="00551032">
            <w:pPr>
              <w:ind w:left="0" w:right="0"/>
            </w:pPr>
          </w:p>
        </w:tc>
        <w:tc>
          <w:tcPr>
            <w:tcW w:w="1673" w:type="pct"/>
            <w:noWrap/>
          </w:tcPr>
          <w:p w:rsidR="001E2724" w:rsidRPr="001E2724" w:rsidRDefault="001E2724" w:rsidP="00551032">
            <w:pPr>
              <w:ind w:left="0" w:right="27"/>
            </w:pPr>
            <w:r w:rsidRPr="001E2724">
              <w:t xml:space="preserve">4.1.2-Pyrexia: A review of all Carbaglu cases received until 30 May 2014 was performed. Six cases with following PT (Pyrexia) were identified. Five cases were considered by the reporter as unrelated and for one case the causality was unlikely. For the case with </w:t>
            </w:r>
            <w:r w:rsidRPr="001E2724">
              <w:lastRenderedPageBreak/>
              <w:t>causality unlikely (</w:t>
            </w:r>
            <w:r>
              <w:t>X2</w:t>
            </w:r>
            <w:r w:rsidRPr="001E2724">
              <w:rPr>
                <w:vertAlign w:val="superscript"/>
              </w:rPr>
              <w:fldChar w:fldCharType="begin"/>
            </w:r>
            <w:r w:rsidRPr="001E2724">
              <w:rPr>
                <w:vertAlign w:val="superscript"/>
              </w:rPr>
              <w:instrText xml:space="preserve"> NOTEREF _Ref425320318 \h </w:instrText>
            </w:r>
            <w:r>
              <w:rPr>
                <w:vertAlign w:val="superscript"/>
              </w:rPr>
              <w:instrText xml:space="preserve"> \* MERGEFORMAT </w:instrText>
            </w:r>
            <w:r w:rsidRPr="001E2724">
              <w:rPr>
                <w:vertAlign w:val="superscript"/>
              </w:rPr>
            </w:r>
            <w:r w:rsidRPr="001E2724">
              <w:rPr>
                <w:vertAlign w:val="superscript"/>
              </w:rPr>
              <w:fldChar w:fldCharType="separate"/>
            </w:r>
            <w:r w:rsidR="003A3B87">
              <w:rPr>
                <w:vertAlign w:val="superscript"/>
              </w:rPr>
              <w:t>7</w:t>
            </w:r>
            <w:r w:rsidRPr="001E2724">
              <w:rPr>
                <w:vertAlign w:val="superscript"/>
              </w:rPr>
              <w:fldChar w:fldCharType="end"/>
            </w:r>
            <w:r w:rsidRPr="001E2724">
              <w:t>) the patient aged 3 years old experienced pyrexia in a context of decompensation episode. The pyrexia</w:t>
            </w:r>
            <w:r>
              <w:t xml:space="preserve"> </w:t>
            </w:r>
            <w:r w:rsidRPr="001E2724">
              <w:t>resolved.</w:t>
            </w:r>
          </w:p>
          <w:p w:rsidR="001E2724" w:rsidRPr="00364026" w:rsidRDefault="001E2724" w:rsidP="00551032">
            <w:pPr>
              <w:ind w:left="0" w:right="27"/>
            </w:pPr>
            <w:r w:rsidRPr="001E2724">
              <w:t xml:space="preserve">Conclusion: </w:t>
            </w:r>
            <w:r w:rsidR="00BF4A86" w:rsidRPr="00BF4A86">
              <w:t>OE</w:t>
            </w:r>
            <w:r w:rsidRPr="001E2724">
              <w:t xml:space="preserve"> considers that this pyrexia is probably due to an infection (common in a 3 years old child). This infection was probably responsible for this decompensation episode and was not related to Carbaglu toxicity. Consequently, this </w:t>
            </w:r>
            <w:r w:rsidR="0047598F" w:rsidRPr="0047598F">
              <w:t>AE</w:t>
            </w:r>
            <w:r w:rsidRPr="001E2724">
              <w:t xml:space="preserve"> will be not listed as important identified risk in the table of ongoing safety concerns.</w:t>
            </w:r>
          </w:p>
        </w:tc>
        <w:tc>
          <w:tcPr>
            <w:tcW w:w="1528" w:type="pct"/>
            <w:noWrap/>
          </w:tcPr>
          <w:p w:rsidR="001E2724" w:rsidRPr="00364026" w:rsidRDefault="001E2724" w:rsidP="00551032">
            <w:pPr>
              <w:ind w:left="41" w:right="0"/>
            </w:pPr>
            <w:r w:rsidRPr="001E2724">
              <w:lastRenderedPageBreak/>
              <w:t>4.1.2: Pending acceptance by the Office of Medicines Authorisation, this is considered acceptable.</w:t>
            </w:r>
          </w:p>
        </w:tc>
      </w:tr>
      <w:tr w:rsidR="00683E31" w:rsidRPr="00107999" w:rsidTr="00F75535">
        <w:tc>
          <w:tcPr>
            <w:tcW w:w="1799" w:type="pct"/>
            <w:noWrap/>
          </w:tcPr>
          <w:p w:rsidR="00683E31" w:rsidRPr="00683E31" w:rsidRDefault="00364026" w:rsidP="00551032">
            <w:pPr>
              <w:ind w:left="0" w:right="0"/>
            </w:pPr>
            <w:r w:rsidRPr="00683E31">
              <w:lastRenderedPageBreak/>
              <w:t xml:space="preserve">4.2: Gastrointestinal disorders (diarrhoea and vomiting) and investigations (increased transaminases) are reported </w:t>
            </w:r>
            <w:r w:rsidR="0047598F" w:rsidRPr="0047598F">
              <w:t xml:space="preserve">AE </w:t>
            </w:r>
            <w:r w:rsidRPr="00683E31">
              <w:t>s which are described to occur with a frequency as uncommon. Consequently, it is recommended that these events are added as important identified risks in the table of ongoing safety concerns.</w:t>
            </w:r>
          </w:p>
        </w:tc>
        <w:tc>
          <w:tcPr>
            <w:tcW w:w="1673" w:type="pct"/>
            <w:noWrap/>
          </w:tcPr>
          <w:p w:rsidR="00364026" w:rsidRPr="00683E31" w:rsidRDefault="009111CD" w:rsidP="00551032">
            <w:pPr>
              <w:ind w:left="0" w:right="27"/>
            </w:pPr>
            <w:r>
              <w:t xml:space="preserve">4.2.1. </w:t>
            </w:r>
            <w:r w:rsidR="00364026" w:rsidRPr="00683E31">
              <w:t>Diarrhoea: Six cases of diarrhoea were reported. Three cases were considered as not related by the reporter. Three other cases were reported by patients. For two cases (</w:t>
            </w:r>
            <w:r>
              <w:t>X3</w:t>
            </w:r>
            <w:r w:rsidRPr="009111CD">
              <w:rPr>
                <w:vertAlign w:val="superscript"/>
              </w:rPr>
              <w:fldChar w:fldCharType="begin"/>
            </w:r>
            <w:r w:rsidRPr="009111CD">
              <w:rPr>
                <w:vertAlign w:val="superscript"/>
              </w:rPr>
              <w:instrText xml:space="preserve"> NOTEREF _Ref425320318 \h </w:instrText>
            </w:r>
            <w:r>
              <w:rPr>
                <w:vertAlign w:val="superscript"/>
              </w:rPr>
              <w:instrText xml:space="preserve"> \* MERGEFORMAT </w:instrText>
            </w:r>
            <w:r w:rsidRPr="009111CD">
              <w:rPr>
                <w:vertAlign w:val="superscript"/>
              </w:rPr>
            </w:r>
            <w:r w:rsidRPr="009111CD">
              <w:rPr>
                <w:vertAlign w:val="superscript"/>
              </w:rPr>
              <w:fldChar w:fldCharType="separate"/>
            </w:r>
            <w:r w:rsidR="003A3B87">
              <w:rPr>
                <w:vertAlign w:val="superscript"/>
              </w:rPr>
              <w:t>7</w:t>
            </w:r>
            <w:r w:rsidRPr="009111CD">
              <w:rPr>
                <w:vertAlign w:val="superscript"/>
              </w:rPr>
              <w:fldChar w:fldCharType="end"/>
            </w:r>
            <w:r w:rsidR="00364026" w:rsidRPr="00683E31">
              <w:t xml:space="preserve"> </w:t>
            </w:r>
            <w:r>
              <w:t>and X4</w:t>
            </w:r>
            <w:r w:rsidRPr="009111CD">
              <w:rPr>
                <w:vertAlign w:val="superscript"/>
              </w:rPr>
              <w:fldChar w:fldCharType="begin"/>
            </w:r>
            <w:r w:rsidRPr="009111CD">
              <w:rPr>
                <w:vertAlign w:val="superscript"/>
              </w:rPr>
              <w:instrText xml:space="preserve"> NOTEREF _Ref425320318 \h </w:instrText>
            </w:r>
            <w:r>
              <w:rPr>
                <w:vertAlign w:val="superscript"/>
              </w:rPr>
              <w:instrText xml:space="preserve"> \* MERGEFORMAT </w:instrText>
            </w:r>
            <w:r w:rsidRPr="009111CD">
              <w:rPr>
                <w:vertAlign w:val="superscript"/>
              </w:rPr>
            </w:r>
            <w:r w:rsidRPr="009111CD">
              <w:rPr>
                <w:vertAlign w:val="superscript"/>
              </w:rPr>
              <w:fldChar w:fldCharType="separate"/>
            </w:r>
            <w:r w:rsidR="003A3B87">
              <w:rPr>
                <w:vertAlign w:val="superscript"/>
              </w:rPr>
              <w:t>7</w:t>
            </w:r>
            <w:r w:rsidRPr="009111CD">
              <w:rPr>
                <w:vertAlign w:val="superscript"/>
              </w:rPr>
              <w:fldChar w:fldCharType="end"/>
            </w:r>
            <w:r w:rsidR="00364026" w:rsidRPr="00683E31">
              <w:t xml:space="preserve">), patients presented watery diarrhoea when they start </w:t>
            </w:r>
            <w:r w:rsidR="00AD2505">
              <w:t>Carbaglu</w:t>
            </w:r>
            <w:r w:rsidR="00364026" w:rsidRPr="00683E31">
              <w:t xml:space="preserve">. The dosage was reduced and the problem resolved. A case was confirmed by physician as probably related to </w:t>
            </w:r>
            <w:r w:rsidR="00AD2505">
              <w:t>Carbaglu</w:t>
            </w:r>
            <w:r w:rsidR="00364026" w:rsidRPr="00683E31">
              <w:t>.</w:t>
            </w:r>
          </w:p>
          <w:p w:rsidR="00683E31" w:rsidRPr="00683E31" w:rsidRDefault="00364026" w:rsidP="00551032">
            <w:pPr>
              <w:ind w:left="0" w:right="27"/>
            </w:pPr>
            <w:r w:rsidRPr="00683E31">
              <w:t xml:space="preserve">Conclusion: </w:t>
            </w:r>
            <w:r w:rsidR="00BF4A86" w:rsidRPr="00BF4A86">
              <w:t>OE</w:t>
            </w:r>
            <w:r w:rsidRPr="00683E31">
              <w:t xml:space="preserve"> considers that diarrhoea can occur with a frequency as uncommon. These cases of diarrhoea were considered as non-serious because patients were not admitted to hospital. It is advised to decrease the dose to resolve the problem. </w:t>
            </w:r>
            <w:r w:rsidR="00BF4A86" w:rsidRPr="00BF4A86">
              <w:t>OE</w:t>
            </w:r>
            <w:r w:rsidRPr="00683E31">
              <w:t xml:space="preserve"> considers that diarrhoea is </w:t>
            </w:r>
            <w:r w:rsidR="009F5CFA">
              <w:t>‘</w:t>
            </w:r>
            <w:r w:rsidRPr="00683E31">
              <w:t>not an important identified risk</w:t>
            </w:r>
            <w:r w:rsidR="009F5CFA">
              <w:t>’</w:t>
            </w:r>
            <w:r w:rsidR="009111CD">
              <w:t>.</w:t>
            </w:r>
          </w:p>
        </w:tc>
        <w:tc>
          <w:tcPr>
            <w:tcW w:w="1528" w:type="pct"/>
            <w:noWrap/>
          </w:tcPr>
          <w:p w:rsidR="00683E31" w:rsidRPr="00683E31" w:rsidRDefault="00364026" w:rsidP="00551032">
            <w:pPr>
              <w:ind w:left="41" w:right="0"/>
            </w:pPr>
            <w:r w:rsidRPr="00683E31">
              <w:t>4.2.1: Pending acceptance by the Office of Medicines Authorisation,</w:t>
            </w:r>
            <w:r w:rsidR="00FD4624">
              <w:t xml:space="preserve"> this is considered acceptable.</w:t>
            </w:r>
          </w:p>
        </w:tc>
      </w:tr>
      <w:tr w:rsidR="001E2724" w:rsidRPr="00107999" w:rsidTr="00F75535">
        <w:tc>
          <w:tcPr>
            <w:tcW w:w="1799" w:type="pct"/>
            <w:noWrap/>
          </w:tcPr>
          <w:p w:rsidR="001E2724" w:rsidRPr="00683E31" w:rsidRDefault="001E2724" w:rsidP="00551032">
            <w:pPr>
              <w:ind w:left="0" w:right="0"/>
            </w:pPr>
          </w:p>
        </w:tc>
        <w:tc>
          <w:tcPr>
            <w:tcW w:w="1673" w:type="pct"/>
            <w:noWrap/>
          </w:tcPr>
          <w:p w:rsidR="001E2724" w:rsidRPr="001E2724" w:rsidRDefault="009111CD" w:rsidP="00551032">
            <w:pPr>
              <w:ind w:left="0" w:right="27"/>
            </w:pPr>
            <w:r>
              <w:t xml:space="preserve">4.2.2. </w:t>
            </w:r>
            <w:r w:rsidR="001E2724" w:rsidRPr="001E2724">
              <w:t xml:space="preserve">Vomiting: Fourteen cases of diarrhoea were </w:t>
            </w:r>
            <w:r w:rsidR="001E2724" w:rsidRPr="001E2724">
              <w:lastRenderedPageBreak/>
              <w:t>reported. Ten cases were considered as not related by the reporter. For one case the causality was unlikely and for four cases the causality was not reported.</w:t>
            </w:r>
          </w:p>
          <w:p w:rsidR="001E2724" w:rsidRPr="001E2724" w:rsidRDefault="001E2724" w:rsidP="00551032">
            <w:pPr>
              <w:ind w:left="0" w:right="27"/>
            </w:pPr>
            <w:r w:rsidRPr="001E2724">
              <w:t>For these four cases, vomiting occurred at the beginning of treatment. However, Carbaglu is prescribed when the patient had hyperammonaemia and vomiting is a common symptom of the disease. Accordingly, it is difficult to assess if vomiting is</w:t>
            </w:r>
            <w:r w:rsidRPr="001E2724">
              <w:rPr>
                <w:color w:val="auto"/>
                <w:szCs w:val="22"/>
                <w:lang w:eastAsia="en-US"/>
              </w:rPr>
              <w:t xml:space="preserve"> </w:t>
            </w:r>
            <w:r w:rsidRPr="001E2724">
              <w:t>due to Carbaglu or not or has worsened the underlying disease.</w:t>
            </w:r>
          </w:p>
          <w:p w:rsidR="001E2724" w:rsidRPr="00683E31" w:rsidRDefault="001E2724" w:rsidP="00551032">
            <w:pPr>
              <w:ind w:left="0" w:right="27"/>
            </w:pPr>
            <w:r w:rsidRPr="001E2724">
              <w:t xml:space="preserve">Vomiting is not a serious </w:t>
            </w:r>
            <w:r w:rsidR="0047598F" w:rsidRPr="0047598F">
              <w:t>AE</w:t>
            </w:r>
            <w:r w:rsidRPr="001E2724">
              <w:t xml:space="preserve"> and cannot be considered as an important identified risk. Vomiting can be considered as ‘an identified risk not important’. As it is not possible to identify the cause of vomiting, </w:t>
            </w:r>
            <w:r w:rsidR="00BF4A86" w:rsidRPr="00BF4A86">
              <w:t>OE</w:t>
            </w:r>
            <w:r w:rsidRPr="001E2724">
              <w:t xml:space="preserve"> considers that vomiting can occur with a frequency as uncommon.</w:t>
            </w:r>
          </w:p>
        </w:tc>
        <w:tc>
          <w:tcPr>
            <w:tcW w:w="1528" w:type="pct"/>
            <w:noWrap/>
          </w:tcPr>
          <w:p w:rsidR="001E2724" w:rsidRPr="00683E31" w:rsidRDefault="001E2724" w:rsidP="00551032">
            <w:pPr>
              <w:ind w:left="41" w:right="0"/>
            </w:pPr>
            <w:r w:rsidRPr="001E2724">
              <w:lastRenderedPageBreak/>
              <w:t xml:space="preserve">4.2.2: Pending acceptance by the Office </w:t>
            </w:r>
            <w:r w:rsidRPr="001E2724">
              <w:lastRenderedPageBreak/>
              <w:t>of Medicines Authorisation, this is considered acceptable.</w:t>
            </w:r>
          </w:p>
        </w:tc>
      </w:tr>
      <w:tr w:rsidR="001E2724" w:rsidRPr="00107999" w:rsidTr="00F75535">
        <w:tc>
          <w:tcPr>
            <w:tcW w:w="1799" w:type="pct"/>
            <w:noWrap/>
          </w:tcPr>
          <w:p w:rsidR="001E2724" w:rsidRPr="00683E31" w:rsidRDefault="001E2724" w:rsidP="00551032">
            <w:pPr>
              <w:ind w:left="0" w:right="0"/>
            </w:pPr>
          </w:p>
        </w:tc>
        <w:tc>
          <w:tcPr>
            <w:tcW w:w="1673" w:type="pct"/>
            <w:noWrap/>
          </w:tcPr>
          <w:p w:rsidR="001E2724" w:rsidRPr="001E2724" w:rsidRDefault="009111CD" w:rsidP="00551032">
            <w:pPr>
              <w:ind w:left="0" w:right="27"/>
            </w:pPr>
            <w:r>
              <w:t xml:space="preserve">4.2.3. </w:t>
            </w:r>
            <w:r w:rsidR="001E2724" w:rsidRPr="001E2724">
              <w:t>Increased transaminases: Six cases with following PT were identified as events which can be considered as ‘increased transaminase’. For three cases these events were considered by the physician as not related to Carbaglu. Three events were reviewed.</w:t>
            </w:r>
          </w:p>
          <w:p w:rsidR="001E2724" w:rsidRPr="001E2724" w:rsidRDefault="001E2724" w:rsidP="00551032">
            <w:pPr>
              <w:ind w:left="0" w:right="27"/>
            </w:pPr>
            <w:r w:rsidRPr="001E2724">
              <w:t xml:space="preserve">Conclusion: After review of these cases, </w:t>
            </w:r>
            <w:r w:rsidR="00BF4A86" w:rsidRPr="00BF4A86">
              <w:t>OE</w:t>
            </w:r>
            <w:r w:rsidRPr="001E2724">
              <w:t xml:space="preserve"> considers that the event increased transaminase is not a potential or identified risk. </w:t>
            </w:r>
          </w:p>
        </w:tc>
        <w:tc>
          <w:tcPr>
            <w:tcW w:w="1528" w:type="pct"/>
            <w:noWrap/>
          </w:tcPr>
          <w:p w:rsidR="001E2724" w:rsidRPr="001E2724" w:rsidRDefault="001E2724" w:rsidP="00551032">
            <w:pPr>
              <w:ind w:left="41" w:right="0"/>
            </w:pPr>
            <w:r w:rsidRPr="001E2724">
              <w:t>4.2.3: Pending acceptance by the Office of Medicines Authorisation, this is considered acceptable.</w:t>
            </w:r>
          </w:p>
          <w:p w:rsidR="001E2724" w:rsidRPr="00683E31" w:rsidRDefault="001E2724" w:rsidP="00551032">
            <w:pPr>
              <w:ind w:left="41" w:right="0"/>
            </w:pPr>
            <w:r w:rsidRPr="001E2724">
              <w:t xml:space="preserve">Please note: The information provided under point 4.2.3 in the middle column of this table is only an extract of the sponsor’s response. </w:t>
            </w:r>
          </w:p>
        </w:tc>
      </w:tr>
      <w:tr w:rsidR="00683E31" w:rsidRPr="00107999" w:rsidTr="00F75535">
        <w:tc>
          <w:tcPr>
            <w:tcW w:w="1799" w:type="pct"/>
            <w:noWrap/>
          </w:tcPr>
          <w:p w:rsidR="00683E31" w:rsidRPr="00683E31" w:rsidRDefault="00364026" w:rsidP="00551032">
            <w:pPr>
              <w:ind w:left="0" w:right="0"/>
            </w:pPr>
            <w:r w:rsidRPr="00683E31">
              <w:t xml:space="preserve">4.3: Skin and sub cutaneous tissue disorders (increased </w:t>
            </w:r>
            <w:r w:rsidRPr="00683E31">
              <w:lastRenderedPageBreak/>
              <w:t xml:space="preserve">sweating) is a reported </w:t>
            </w:r>
            <w:r w:rsidR="0047598F" w:rsidRPr="0047598F">
              <w:t>AE</w:t>
            </w:r>
            <w:r w:rsidRPr="00683E31">
              <w:t>, which is described to occur with a frequency of common. Consequently, it is recommended that this event be added as important identified risk in the table of ongoing safety concerns.</w:t>
            </w:r>
          </w:p>
        </w:tc>
        <w:tc>
          <w:tcPr>
            <w:tcW w:w="1673" w:type="pct"/>
            <w:noWrap/>
          </w:tcPr>
          <w:p w:rsidR="00364026" w:rsidRPr="00683E31" w:rsidRDefault="00364026" w:rsidP="00551032">
            <w:pPr>
              <w:ind w:left="0" w:right="27"/>
            </w:pPr>
            <w:r w:rsidRPr="00683E31">
              <w:lastRenderedPageBreak/>
              <w:t xml:space="preserve">4.3: Two cases of hydrosis were reported in the safety </w:t>
            </w:r>
            <w:r w:rsidRPr="00683E31">
              <w:lastRenderedPageBreak/>
              <w:t>database until 31 May 2014:</w:t>
            </w:r>
          </w:p>
          <w:p w:rsidR="00364026" w:rsidRPr="00683E31" w:rsidRDefault="00364026" w:rsidP="00551032">
            <w:pPr>
              <w:ind w:left="0" w:right="27"/>
            </w:pPr>
            <w:r w:rsidRPr="00683E31">
              <w:t xml:space="preserve">For the first case (case </w:t>
            </w:r>
            <w:r w:rsidR="009111CD">
              <w:t>X5</w:t>
            </w:r>
            <w:r w:rsidR="009111CD" w:rsidRPr="009111CD">
              <w:rPr>
                <w:vertAlign w:val="superscript"/>
              </w:rPr>
              <w:fldChar w:fldCharType="begin"/>
            </w:r>
            <w:r w:rsidR="009111CD" w:rsidRPr="009111CD">
              <w:rPr>
                <w:vertAlign w:val="superscript"/>
              </w:rPr>
              <w:instrText xml:space="preserve"> NOTEREF _Ref425320318 \h </w:instrText>
            </w:r>
            <w:r w:rsidR="009111CD">
              <w:rPr>
                <w:vertAlign w:val="superscript"/>
              </w:rPr>
              <w:instrText xml:space="preserve"> \* MERGEFORMAT </w:instrText>
            </w:r>
            <w:r w:rsidR="009111CD" w:rsidRPr="009111CD">
              <w:rPr>
                <w:vertAlign w:val="superscript"/>
              </w:rPr>
            </w:r>
            <w:r w:rsidR="009111CD" w:rsidRPr="009111CD">
              <w:rPr>
                <w:vertAlign w:val="superscript"/>
              </w:rPr>
              <w:fldChar w:fldCharType="separate"/>
            </w:r>
            <w:r w:rsidR="003A3B87">
              <w:rPr>
                <w:vertAlign w:val="superscript"/>
              </w:rPr>
              <w:t>7</w:t>
            </w:r>
            <w:r w:rsidR="009111CD" w:rsidRPr="009111CD">
              <w:rPr>
                <w:vertAlign w:val="superscript"/>
              </w:rPr>
              <w:fldChar w:fldCharType="end"/>
            </w:r>
            <w:r w:rsidRPr="00683E31">
              <w:t xml:space="preserve">) according to </w:t>
            </w:r>
            <w:r w:rsidR="00BF4A86" w:rsidRPr="00BF4A86">
              <w:t>OE</w:t>
            </w:r>
            <w:r w:rsidRPr="00683E31">
              <w:t xml:space="preserve">, the causality is unlikely because the baby presented with sweating within a warm environment (hot weather). Moreover, the onset was unclear and may have commenced before </w:t>
            </w:r>
            <w:r w:rsidR="00AD2505">
              <w:t>Carbaglu</w:t>
            </w:r>
            <w:r w:rsidRPr="00683E31">
              <w:t xml:space="preserve"> administration.</w:t>
            </w:r>
          </w:p>
          <w:p w:rsidR="00364026" w:rsidRPr="00683E31" w:rsidRDefault="00364026" w:rsidP="00551032">
            <w:pPr>
              <w:ind w:left="0" w:right="27"/>
            </w:pPr>
            <w:r w:rsidRPr="00683E31">
              <w:t xml:space="preserve">For the second case (case </w:t>
            </w:r>
            <w:r w:rsidR="009111CD">
              <w:t>X6</w:t>
            </w:r>
            <w:r w:rsidR="009111CD" w:rsidRPr="009111CD">
              <w:rPr>
                <w:vertAlign w:val="superscript"/>
              </w:rPr>
              <w:fldChar w:fldCharType="begin"/>
            </w:r>
            <w:r w:rsidR="009111CD" w:rsidRPr="009111CD">
              <w:rPr>
                <w:vertAlign w:val="superscript"/>
              </w:rPr>
              <w:instrText xml:space="preserve"> NOTEREF _Ref425320318 \h </w:instrText>
            </w:r>
            <w:r w:rsidR="009111CD">
              <w:rPr>
                <w:vertAlign w:val="superscript"/>
              </w:rPr>
              <w:instrText xml:space="preserve"> \* MERGEFORMAT </w:instrText>
            </w:r>
            <w:r w:rsidR="009111CD" w:rsidRPr="009111CD">
              <w:rPr>
                <w:vertAlign w:val="superscript"/>
              </w:rPr>
            </w:r>
            <w:r w:rsidR="009111CD" w:rsidRPr="009111CD">
              <w:rPr>
                <w:vertAlign w:val="superscript"/>
              </w:rPr>
              <w:fldChar w:fldCharType="separate"/>
            </w:r>
            <w:r w:rsidR="003A3B87">
              <w:rPr>
                <w:vertAlign w:val="superscript"/>
              </w:rPr>
              <w:t>7</w:t>
            </w:r>
            <w:r w:rsidR="009111CD" w:rsidRPr="009111CD">
              <w:rPr>
                <w:vertAlign w:val="superscript"/>
              </w:rPr>
              <w:fldChar w:fldCharType="end"/>
            </w:r>
            <w:r w:rsidRPr="00683E31">
              <w:t>), the patient presented at unspecified date excessive sweating. The reporter causality was not mentioned.</w:t>
            </w:r>
          </w:p>
          <w:p w:rsidR="00683E31" w:rsidRPr="00683E31" w:rsidRDefault="00364026" w:rsidP="00551032">
            <w:pPr>
              <w:ind w:left="0" w:right="27"/>
            </w:pPr>
            <w:r w:rsidRPr="00683E31">
              <w:t xml:space="preserve">Conclusion: After review of these two cases, </w:t>
            </w:r>
            <w:r w:rsidR="00BF4A86" w:rsidRPr="00BF4A86">
              <w:t>OE</w:t>
            </w:r>
            <w:r w:rsidRPr="00683E31">
              <w:t xml:space="preserve"> considers that there is no potential or identified risk for event hyperhydrosis.</w:t>
            </w:r>
          </w:p>
        </w:tc>
        <w:tc>
          <w:tcPr>
            <w:tcW w:w="1528" w:type="pct"/>
            <w:noWrap/>
          </w:tcPr>
          <w:p w:rsidR="00683E31" w:rsidRPr="00683E31" w:rsidRDefault="00364026" w:rsidP="00551032">
            <w:pPr>
              <w:ind w:left="41" w:right="0"/>
            </w:pPr>
            <w:r w:rsidRPr="00683E31">
              <w:lastRenderedPageBreak/>
              <w:t xml:space="preserve">4.3: Pending acceptance by the Office of Medicines </w:t>
            </w:r>
            <w:r w:rsidRPr="00683E31">
              <w:lastRenderedPageBreak/>
              <w:t>Authorisation, this is considered acceptable.</w:t>
            </w:r>
          </w:p>
        </w:tc>
      </w:tr>
      <w:tr w:rsidR="00683E31" w:rsidRPr="00107999" w:rsidTr="00F75535">
        <w:tc>
          <w:tcPr>
            <w:tcW w:w="1799" w:type="pct"/>
            <w:noWrap/>
          </w:tcPr>
          <w:p w:rsidR="00683E31" w:rsidRPr="00364026" w:rsidRDefault="00364026" w:rsidP="00551032">
            <w:pPr>
              <w:ind w:left="0" w:right="0"/>
            </w:pPr>
            <w:r w:rsidRPr="00683E31">
              <w:lastRenderedPageBreak/>
              <w:t>4.4: It appears that there is no data available about the safety of the product in patients with renal and hepatic insufficiency. Consequently, it is recommended that these patients groups be added as missing information in the table of ongoing safety concerns.</w:t>
            </w:r>
          </w:p>
        </w:tc>
        <w:tc>
          <w:tcPr>
            <w:tcW w:w="1673" w:type="pct"/>
            <w:noWrap/>
          </w:tcPr>
          <w:p w:rsidR="00364026" w:rsidRPr="00683E31" w:rsidRDefault="00364026" w:rsidP="00551032">
            <w:pPr>
              <w:ind w:left="0" w:right="27"/>
            </w:pPr>
            <w:r w:rsidRPr="00683E31">
              <w:t xml:space="preserve">4.4: </w:t>
            </w:r>
            <w:r w:rsidR="00BF4A86" w:rsidRPr="00BF4A86">
              <w:t>OE</w:t>
            </w:r>
            <w:r w:rsidRPr="00683E31">
              <w:t xml:space="preserve"> has confirmed that there remains no data available about the safety of the product in patients with renal and hepatic insufficiency.</w:t>
            </w:r>
          </w:p>
          <w:p w:rsidR="00683E31" w:rsidRPr="00364026" w:rsidRDefault="00364026" w:rsidP="00551032">
            <w:pPr>
              <w:ind w:left="0" w:right="27"/>
            </w:pPr>
            <w:r w:rsidRPr="00683E31">
              <w:t>To address this, within the updated RMP, Section 2.4.3 Limitations in respect to populations typically under-represented in clinical trial development programs has been expanded to include patients with renal or hepatic impairment. Furthermore, this cohort of patients has been in</w:t>
            </w:r>
            <w:r w:rsidR="00922653">
              <w:t>cluded in Table 2-8 within the s</w:t>
            </w:r>
            <w:r w:rsidRPr="00683E31">
              <w:t>ection Important Missing Information.</w:t>
            </w:r>
          </w:p>
        </w:tc>
        <w:tc>
          <w:tcPr>
            <w:tcW w:w="1528" w:type="pct"/>
            <w:noWrap/>
          </w:tcPr>
          <w:p w:rsidR="00683E31" w:rsidRPr="00364026" w:rsidRDefault="00364026" w:rsidP="00551032">
            <w:pPr>
              <w:ind w:left="41" w:right="0"/>
            </w:pPr>
            <w:r w:rsidRPr="00683E31">
              <w:t>4.4: Pending acceptance by the Office of Medicines Authorisation, this is considered acceptable.</w:t>
            </w:r>
          </w:p>
        </w:tc>
      </w:tr>
      <w:tr w:rsidR="00364026" w:rsidRPr="00107999" w:rsidTr="00F75535">
        <w:tc>
          <w:tcPr>
            <w:tcW w:w="1799" w:type="pct"/>
            <w:noWrap/>
          </w:tcPr>
          <w:p w:rsidR="00364026" w:rsidRPr="00364026" w:rsidRDefault="0094317B" w:rsidP="00551032">
            <w:pPr>
              <w:ind w:left="0" w:right="0"/>
            </w:pPr>
            <w:r>
              <w:t xml:space="preserve">5. </w:t>
            </w:r>
            <w:r w:rsidR="00364026" w:rsidRPr="00364026">
              <w:t>It is recommended that results of the surveillance protocol be separately reported in any future PSUR.</w:t>
            </w:r>
          </w:p>
        </w:tc>
        <w:tc>
          <w:tcPr>
            <w:tcW w:w="1673" w:type="pct"/>
            <w:noWrap/>
          </w:tcPr>
          <w:p w:rsidR="00364026" w:rsidRPr="00364026" w:rsidRDefault="00922653" w:rsidP="00551032">
            <w:pPr>
              <w:ind w:left="0" w:right="27"/>
            </w:pPr>
            <w:r>
              <w:t>The s</w:t>
            </w:r>
            <w:r w:rsidR="00495C09">
              <w:t>ponsor</w:t>
            </w:r>
            <w:r w:rsidR="00364026" w:rsidRPr="00364026">
              <w:t xml:space="preserve"> hereby confirm</w:t>
            </w:r>
            <w:r w:rsidR="00495C09">
              <w:t>s</w:t>
            </w:r>
            <w:r w:rsidR="00364026" w:rsidRPr="00364026">
              <w:t xml:space="preserve"> that the results of the surveillance protocol be separately reported in future PSUR’s for </w:t>
            </w:r>
            <w:r w:rsidR="00AD2505">
              <w:t>Carbaglu</w:t>
            </w:r>
            <w:r w:rsidR="00364026" w:rsidRPr="00364026">
              <w:t xml:space="preserve"> </w:t>
            </w:r>
            <w:r w:rsidR="00364026" w:rsidRPr="00364026">
              <w:lastRenderedPageBreak/>
              <w:t>submitted in Australia.</w:t>
            </w:r>
          </w:p>
        </w:tc>
        <w:tc>
          <w:tcPr>
            <w:tcW w:w="1528" w:type="pct"/>
            <w:noWrap/>
          </w:tcPr>
          <w:p w:rsidR="00364026" w:rsidRPr="00364026" w:rsidRDefault="00364026" w:rsidP="00551032">
            <w:pPr>
              <w:ind w:left="41" w:right="0"/>
            </w:pPr>
            <w:r w:rsidRPr="00364026">
              <w:lastRenderedPageBreak/>
              <w:t>This is considered acceptable.</w:t>
            </w:r>
          </w:p>
        </w:tc>
      </w:tr>
      <w:tr w:rsidR="00364026" w:rsidRPr="00107999" w:rsidTr="00F75535">
        <w:tc>
          <w:tcPr>
            <w:tcW w:w="1799" w:type="pct"/>
            <w:noWrap/>
          </w:tcPr>
          <w:p w:rsidR="00364026" w:rsidRPr="00364026" w:rsidRDefault="00EA5F49" w:rsidP="00551032">
            <w:pPr>
              <w:ind w:left="0" w:right="0"/>
            </w:pPr>
            <w:r>
              <w:lastRenderedPageBreak/>
              <w:t xml:space="preserve">6. </w:t>
            </w:r>
            <w:r w:rsidR="00364026" w:rsidRPr="00364026">
              <w:t>The sponsor should provide an attachment to the ASA setting out all the forthcoming studies and the anticipated dates for their submission in Australia.</w:t>
            </w:r>
          </w:p>
        </w:tc>
        <w:tc>
          <w:tcPr>
            <w:tcW w:w="1673" w:type="pct"/>
            <w:noWrap/>
          </w:tcPr>
          <w:p w:rsidR="00364026" w:rsidRPr="00364026" w:rsidRDefault="00922653" w:rsidP="00551032">
            <w:pPr>
              <w:ind w:left="0" w:right="27"/>
            </w:pPr>
            <w:r>
              <w:t>The s</w:t>
            </w:r>
            <w:r w:rsidR="00364026" w:rsidRPr="00364026">
              <w:t>ponsor wishes to confirm that no forthcoming studies are planned for Australia. However Appendix 2 of the ASA summarises the status of the global studies currently underway and the anticipated timeframe for the submission of interim and final data.</w:t>
            </w:r>
          </w:p>
        </w:tc>
        <w:tc>
          <w:tcPr>
            <w:tcW w:w="1528" w:type="pct"/>
            <w:noWrap/>
          </w:tcPr>
          <w:p w:rsidR="00364026" w:rsidRPr="00364026" w:rsidRDefault="00364026" w:rsidP="00551032">
            <w:pPr>
              <w:ind w:left="41" w:right="0"/>
            </w:pPr>
            <w:r w:rsidRPr="00364026">
              <w:t>This is considered acceptable.</w:t>
            </w:r>
          </w:p>
        </w:tc>
      </w:tr>
      <w:tr w:rsidR="00364026" w:rsidRPr="00107999" w:rsidTr="00F75535">
        <w:tc>
          <w:tcPr>
            <w:tcW w:w="1799" w:type="pct"/>
            <w:noWrap/>
          </w:tcPr>
          <w:p w:rsidR="00364026" w:rsidRPr="00364026" w:rsidRDefault="00EA5F49" w:rsidP="00551032">
            <w:pPr>
              <w:ind w:left="0" w:right="0"/>
            </w:pPr>
            <w:r>
              <w:t xml:space="preserve">7. </w:t>
            </w:r>
            <w:r w:rsidR="00364026" w:rsidRPr="00364026">
              <w:t>The information in the safety database is based on a cut-off date of October 2011. It is recommended that the sponsor submits more up to date data.</w:t>
            </w:r>
          </w:p>
        </w:tc>
        <w:tc>
          <w:tcPr>
            <w:tcW w:w="1673" w:type="pct"/>
            <w:noWrap/>
          </w:tcPr>
          <w:p w:rsidR="00364026" w:rsidRPr="00364026" w:rsidRDefault="00364026" w:rsidP="00551032">
            <w:pPr>
              <w:ind w:left="0" w:right="27"/>
            </w:pPr>
            <w:r w:rsidRPr="00364026">
              <w:t>As noted above, the updated RMP document has a data lock cut-off date of 31 May 2014.</w:t>
            </w:r>
          </w:p>
        </w:tc>
        <w:tc>
          <w:tcPr>
            <w:tcW w:w="1528" w:type="pct"/>
            <w:noWrap/>
          </w:tcPr>
          <w:p w:rsidR="00364026" w:rsidRPr="00364026" w:rsidRDefault="00364026" w:rsidP="00551032">
            <w:pPr>
              <w:ind w:left="41" w:right="0"/>
            </w:pPr>
            <w:r w:rsidRPr="00364026">
              <w:t>The response has been noted. Of note, the documents provided are inconsistent, and this should be cor</w:t>
            </w:r>
            <w:r w:rsidR="00495C09">
              <w:t>rected prior to approval</w:t>
            </w:r>
            <w:r w:rsidRPr="00364026">
              <w:t>.</w:t>
            </w:r>
          </w:p>
        </w:tc>
      </w:tr>
      <w:tr w:rsidR="00364026" w:rsidRPr="00107999" w:rsidTr="00F75535">
        <w:tc>
          <w:tcPr>
            <w:tcW w:w="1799" w:type="pct"/>
            <w:noWrap/>
          </w:tcPr>
          <w:p w:rsidR="00364026" w:rsidRPr="00683E31" w:rsidRDefault="00EA5F49" w:rsidP="00551032">
            <w:pPr>
              <w:ind w:left="0" w:right="0"/>
            </w:pPr>
            <w:r>
              <w:t xml:space="preserve">8. </w:t>
            </w:r>
            <w:r w:rsidR="00364026" w:rsidRPr="00683E31">
              <w:t>The sponsor should amend the RMP to clarify that lack of efficac</w:t>
            </w:r>
            <w:r w:rsidR="00495C09">
              <w:t>y is addressed through routine p</w:t>
            </w:r>
            <w:r w:rsidR="00364026" w:rsidRPr="00683E31">
              <w:t>harmacovigilance only. Nevertheless, this activity is not described in the ASA, and the sponsor should amend the ASA to include details about this activity to address this potential risk in Australia.</w:t>
            </w:r>
          </w:p>
        </w:tc>
        <w:tc>
          <w:tcPr>
            <w:tcW w:w="1673" w:type="pct"/>
            <w:noWrap/>
          </w:tcPr>
          <w:p w:rsidR="00364026" w:rsidRPr="00165C05" w:rsidRDefault="00364026" w:rsidP="00551032">
            <w:pPr>
              <w:ind w:left="0" w:right="27"/>
            </w:pPr>
            <w:r w:rsidRPr="00165C05">
              <w:t>All cases of potential lack of efficacy were reviewed in the paragraph 2.6.5. Lack of efficacy was</w:t>
            </w:r>
            <w:r>
              <w:t xml:space="preserve"> </w:t>
            </w:r>
            <w:r w:rsidRPr="00165C05">
              <w:t>considered as a potential risk. This potential risk was added in the RMP paragraph 5.1 Risk</w:t>
            </w:r>
            <w:r>
              <w:t xml:space="preserve"> </w:t>
            </w:r>
            <w:r w:rsidRPr="00165C05">
              <w:t>minimization measures.</w:t>
            </w:r>
          </w:p>
        </w:tc>
        <w:tc>
          <w:tcPr>
            <w:tcW w:w="1528" w:type="pct"/>
            <w:noWrap/>
          </w:tcPr>
          <w:p w:rsidR="00364026" w:rsidRDefault="00364026" w:rsidP="00551032">
            <w:pPr>
              <w:ind w:left="41" w:right="0"/>
            </w:pPr>
            <w:r>
              <w:t xml:space="preserve">In the ASA in section </w:t>
            </w:r>
            <w:r w:rsidR="009F5CFA">
              <w:t>‘</w:t>
            </w:r>
            <w:r>
              <w:t>pharmacovigilance practices in Australia</w:t>
            </w:r>
            <w:r w:rsidR="009F5CFA">
              <w:t>’</w:t>
            </w:r>
            <w:r>
              <w:t xml:space="preserve"> the sponsor describes that routine pharmacovigilance activities will be carried out to monitor the potential risk of </w:t>
            </w:r>
            <w:r w:rsidR="009F5CFA">
              <w:t>‘</w:t>
            </w:r>
            <w:r>
              <w:t>lack of efficacy</w:t>
            </w:r>
            <w:r w:rsidR="009F5CFA">
              <w:t>’</w:t>
            </w:r>
            <w:r>
              <w:t>. Furthermore, the sponsor describes various risk-minimisation activities in this section, including:</w:t>
            </w:r>
          </w:p>
          <w:p w:rsidR="00364026" w:rsidRPr="004C7BBC" w:rsidRDefault="00364026" w:rsidP="00551032">
            <w:pPr>
              <w:ind w:left="41" w:right="0"/>
            </w:pPr>
            <w:r>
              <w:t xml:space="preserve">A.) </w:t>
            </w:r>
            <w:r w:rsidRPr="004C7BBC">
              <w:t>Raise the awareness to physicians to not cease Carbaglu use too early in the treatment</w:t>
            </w:r>
            <w:r>
              <w:t xml:space="preserve"> </w:t>
            </w:r>
            <w:r w:rsidRPr="004C7BBC">
              <w:t>of hyperammonaemia</w:t>
            </w:r>
          </w:p>
          <w:p w:rsidR="00364026" w:rsidRPr="004C7BBC" w:rsidRDefault="00364026" w:rsidP="00551032">
            <w:pPr>
              <w:ind w:left="41" w:right="0"/>
            </w:pPr>
            <w:r>
              <w:t xml:space="preserve">B.) </w:t>
            </w:r>
            <w:r w:rsidRPr="004C7BBC">
              <w:t xml:space="preserve">Comprehensive dosage and administration instructions within the Australian </w:t>
            </w:r>
            <w:r w:rsidR="0027557F">
              <w:t>PI</w:t>
            </w:r>
          </w:p>
          <w:p w:rsidR="00364026" w:rsidRPr="004C7BBC" w:rsidRDefault="00364026" w:rsidP="00551032">
            <w:pPr>
              <w:ind w:left="41" w:right="0"/>
            </w:pPr>
            <w:r>
              <w:t xml:space="preserve">C.) </w:t>
            </w:r>
            <w:r w:rsidRPr="004C7BBC">
              <w:t>Inclusion of the</w:t>
            </w:r>
            <w:r w:rsidR="00495C09">
              <w:t xml:space="preserve"> Carglumic acid Responsive Test</w:t>
            </w:r>
            <w:r w:rsidRPr="004C7BBC">
              <w:t xml:space="preserve"> within the</w:t>
            </w:r>
            <w:r>
              <w:t xml:space="preserve"> </w:t>
            </w:r>
            <w:r w:rsidRPr="004C7BBC">
              <w:t xml:space="preserve">Dosage and Administration section of </w:t>
            </w:r>
            <w:r w:rsidRPr="004C7BBC">
              <w:lastRenderedPageBreak/>
              <w:t xml:space="preserve">the Australian </w:t>
            </w:r>
            <w:r w:rsidR="0027557F">
              <w:t>PI</w:t>
            </w:r>
            <w:r w:rsidRPr="004C7BBC">
              <w:t xml:space="preserve"> to allow</w:t>
            </w:r>
            <w:r>
              <w:t xml:space="preserve"> </w:t>
            </w:r>
            <w:r w:rsidRPr="004C7BBC">
              <w:t>adapting of the dose to the patient’s needs</w:t>
            </w:r>
          </w:p>
          <w:p w:rsidR="00364026" w:rsidRDefault="00364026" w:rsidP="00551032">
            <w:pPr>
              <w:ind w:left="41" w:right="0"/>
            </w:pPr>
            <w:r>
              <w:t xml:space="preserve">D.) </w:t>
            </w:r>
            <w:r w:rsidRPr="004C7BBC">
              <w:t>Inclusion of the Therapeutic Monitoring information within the Precautions section of</w:t>
            </w:r>
            <w:r>
              <w:t xml:space="preserve"> </w:t>
            </w:r>
            <w:r w:rsidRPr="004C7BBC">
              <w:t xml:space="preserve">the Australian </w:t>
            </w:r>
            <w:r w:rsidR="0027557F">
              <w:t>PI</w:t>
            </w:r>
            <w:r w:rsidRPr="004C7BBC">
              <w:t>.</w:t>
            </w:r>
          </w:p>
          <w:p w:rsidR="00364026" w:rsidRPr="00495C09" w:rsidRDefault="00364026" w:rsidP="00551032">
            <w:pPr>
              <w:ind w:left="41" w:right="0"/>
            </w:pPr>
            <w:r w:rsidRPr="00495C09">
              <w:t>All these activit</w:t>
            </w:r>
            <w:r w:rsidR="00495C09">
              <w:t xml:space="preserve">ies are considered routine risk </w:t>
            </w:r>
            <w:r w:rsidRPr="00495C09">
              <w:t>minimisation activities and therefore, should be removed from the pharmacovigilance s</w:t>
            </w:r>
            <w:r w:rsidR="00495C09">
              <w:t xml:space="preserve">ection and included in the risk </w:t>
            </w:r>
            <w:r w:rsidRPr="00495C09">
              <w:t>minimisation plan section of the ASA. Furthermore, the sponsor should provide further clarification as to how the awareness of physicians will be raised, as mentioned in point A.)</w:t>
            </w:r>
            <w:r w:rsidR="00495C09">
              <w:t>,</w:t>
            </w:r>
            <w:r w:rsidRPr="00495C09">
              <w:t xml:space="preserve"> above.</w:t>
            </w:r>
          </w:p>
        </w:tc>
      </w:tr>
      <w:tr w:rsidR="00364026" w:rsidRPr="00107999" w:rsidTr="00F75535">
        <w:tc>
          <w:tcPr>
            <w:tcW w:w="1799" w:type="pct"/>
            <w:noWrap/>
          </w:tcPr>
          <w:p w:rsidR="00364026" w:rsidRPr="00683E31" w:rsidRDefault="00EA5F49" w:rsidP="00551032">
            <w:pPr>
              <w:ind w:left="0" w:right="0"/>
            </w:pPr>
            <w:r>
              <w:lastRenderedPageBreak/>
              <w:t xml:space="preserve">9. </w:t>
            </w:r>
            <w:r w:rsidR="00364026" w:rsidRPr="00683E31">
              <w:t xml:space="preserve">The statement above Table 16 in the EU-RMP should be amended to describe that </w:t>
            </w:r>
            <w:r w:rsidR="009F5CFA">
              <w:t>‘</w:t>
            </w:r>
            <w:r w:rsidR="00364026" w:rsidRPr="00683E31">
              <w:t>Effects of pregnancy and foetal outcomes</w:t>
            </w:r>
            <w:r w:rsidR="009F5CFA">
              <w:t>’</w:t>
            </w:r>
            <w:r w:rsidR="00364026" w:rsidRPr="00683E31">
              <w:t xml:space="preserve"> is the only ongoing safety concerns, for which </w:t>
            </w:r>
            <w:r w:rsidR="007921DD">
              <w:t>additional p</w:t>
            </w:r>
            <w:r w:rsidR="00364026" w:rsidRPr="00683E31">
              <w:t>harmacovigilance activities are carried out, in form of a surveillance protocol.</w:t>
            </w:r>
          </w:p>
        </w:tc>
        <w:tc>
          <w:tcPr>
            <w:tcW w:w="1673" w:type="pct"/>
            <w:noWrap/>
          </w:tcPr>
          <w:p w:rsidR="00364026" w:rsidRPr="006457ED" w:rsidRDefault="00FC29E3" w:rsidP="00551032">
            <w:pPr>
              <w:ind w:left="0" w:right="27"/>
            </w:pPr>
            <w:r>
              <w:t>The s</w:t>
            </w:r>
            <w:r w:rsidR="00364026" w:rsidRPr="006457ED">
              <w:t>ponsor refers to Section 5.1 Risk minimization measures by safety concern has been updated,</w:t>
            </w:r>
            <w:r w:rsidR="00364026">
              <w:t xml:space="preserve"> </w:t>
            </w:r>
            <w:r w:rsidR="00364026" w:rsidRPr="006457ED">
              <w:t>where Table 5.1.1 Risk minimization measures: pregnancy and breast-feeding has included the US</w:t>
            </w:r>
            <w:r w:rsidR="00364026">
              <w:t xml:space="preserve"> </w:t>
            </w:r>
            <w:r w:rsidR="00364026" w:rsidRPr="006457ED">
              <w:t>surveillance protocol which included exposure during pregnancy and assessment of foetal outcomes as</w:t>
            </w:r>
            <w:r w:rsidR="00364026">
              <w:t xml:space="preserve"> </w:t>
            </w:r>
            <w:r w:rsidR="00364026" w:rsidRPr="006457ED">
              <w:t>a means to assess the effectiveness risk minimization measure.</w:t>
            </w:r>
          </w:p>
        </w:tc>
        <w:tc>
          <w:tcPr>
            <w:tcW w:w="1528" w:type="pct"/>
            <w:noWrap/>
          </w:tcPr>
          <w:p w:rsidR="00364026" w:rsidRDefault="00364026" w:rsidP="00551032">
            <w:pPr>
              <w:ind w:left="41" w:right="0"/>
            </w:pPr>
            <w:r>
              <w:t>A surveillance protocol constitutes an additional pharmacovigilance a</w:t>
            </w:r>
            <w:r w:rsidR="007921DD">
              <w:t xml:space="preserve">ctivity, not an additional risk </w:t>
            </w:r>
            <w:r>
              <w:t>minimi</w:t>
            </w:r>
            <w:r w:rsidR="00FC29E3">
              <w:t>sation activity. Consequently, T</w:t>
            </w:r>
            <w:r>
              <w:t>able 5.1.1, and any other table as required, should be amended to d</w:t>
            </w:r>
            <w:r w:rsidR="007921DD">
              <w:t xml:space="preserve">escribe that no additional risk </w:t>
            </w:r>
            <w:r>
              <w:t xml:space="preserve">minimisation activity is carried out for the risk of </w:t>
            </w:r>
            <w:r w:rsidR="009F5CFA">
              <w:t>‘</w:t>
            </w:r>
            <w:r w:rsidRPr="00560BC9">
              <w:t>pregnancy and breast-feeding</w:t>
            </w:r>
            <w:r w:rsidR="009F5CFA">
              <w:t>’</w:t>
            </w:r>
            <w:r>
              <w:t>, but that an additional pharmacovigilance activity is carried out.</w:t>
            </w:r>
          </w:p>
          <w:p w:rsidR="00364026" w:rsidRPr="007921DD" w:rsidRDefault="00364026" w:rsidP="00551032">
            <w:pPr>
              <w:ind w:left="41" w:right="0"/>
            </w:pPr>
            <w:r w:rsidRPr="007921DD">
              <w:t>This recommendation remains.</w:t>
            </w:r>
          </w:p>
        </w:tc>
      </w:tr>
      <w:tr w:rsidR="00364026" w:rsidRPr="00107999" w:rsidTr="00F75535">
        <w:tc>
          <w:tcPr>
            <w:tcW w:w="1799" w:type="pct"/>
            <w:noWrap/>
          </w:tcPr>
          <w:p w:rsidR="00364026" w:rsidRPr="00683E31" w:rsidRDefault="00EA5F49" w:rsidP="00551032">
            <w:pPr>
              <w:ind w:left="0" w:right="0"/>
            </w:pPr>
            <w:r>
              <w:t xml:space="preserve">10. </w:t>
            </w:r>
            <w:r w:rsidR="00364026" w:rsidRPr="00683E31">
              <w:t xml:space="preserve">It is recommended that the sponsor amends the EU-RMP to include information regarding the potential for </w:t>
            </w:r>
            <w:r w:rsidR="00364026" w:rsidRPr="00683E31">
              <w:lastRenderedPageBreak/>
              <w:t>medication errors.</w:t>
            </w:r>
          </w:p>
        </w:tc>
        <w:tc>
          <w:tcPr>
            <w:tcW w:w="1673" w:type="pct"/>
            <w:noWrap/>
          </w:tcPr>
          <w:p w:rsidR="00364026" w:rsidRPr="006457ED" w:rsidRDefault="00364026" w:rsidP="00551032">
            <w:pPr>
              <w:ind w:left="0" w:right="27"/>
            </w:pPr>
            <w:r w:rsidRPr="006457ED">
              <w:lastRenderedPageBreak/>
              <w:t>In response to</w:t>
            </w:r>
            <w:r w:rsidR="007921DD">
              <w:t xml:space="preserve"> the recommendation above, the sponsor refers to Section 2.6.4 p</w:t>
            </w:r>
            <w:r w:rsidRPr="006457ED">
              <w:t>otential for medical</w:t>
            </w:r>
            <w:r>
              <w:t xml:space="preserve"> </w:t>
            </w:r>
            <w:r w:rsidRPr="006457ED">
              <w:lastRenderedPageBreak/>
              <w:t>errors within the updated EU-RMP which addresses this additional EU</w:t>
            </w:r>
            <w:r>
              <w:t xml:space="preserve"> </w:t>
            </w:r>
            <w:r w:rsidRPr="006457ED">
              <w:t>requirement.</w:t>
            </w:r>
          </w:p>
        </w:tc>
        <w:tc>
          <w:tcPr>
            <w:tcW w:w="1528" w:type="pct"/>
            <w:noWrap/>
          </w:tcPr>
          <w:p w:rsidR="00364026" w:rsidRPr="00107999" w:rsidRDefault="00364026" w:rsidP="00551032">
            <w:pPr>
              <w:ind w:left="41" w:right="0"/>
            </w:pPr>
            <w:r>
              <w:lastRenderedPageBreak/>
              <w:t>This is considered acceptable.</w:t>
            </w:r>
          </w:p>
        </w:tc>
      </w:tr>
      <w:tr w:rsidR="00364026" w:rsidRPr="00107999" w:rsidTr="00F75535">
        <w:tc>
          <w:tcPr>
            <w:tcW w:w="1799" w:type="pct"/>
            <w:noWrap/>
          </w:tcPr>
          <w:p w:rsidR="00364026" w:rsidRPr="00683E31" w:rsidRDefault="00EA5F49" w:rsidP="00551032">
            <w:pPr>
              <w:ind w:left="0" w:right="0"/>
            </w:pPr>
            <w:r>
              <w:lastRenderedPageBreak/>
              <w:t xml:space="preserve">11. </w:t>
            </w:r>
            <w:r w:rsidR="00364026" w:rsidRPr="00683E31">
              <w:t>The sponsor should provide a table summari</w:t>
            </w:r>
            <w:r w:rsidR="007921DD">
              <w:t>sing the safety specification, p</w:t>
            </w:r>
            <w:r w:rsidR="00364026" w:rsidRPr="00683E31">
              <w:t>harmacovigilance plan and planned risk minimization measures in Australian context in the ASA. Wording pertaining to important safety concerns in the proposed Australian PI and CMI should be included in the table.</w:t>
            </w:r>
          </w:p>
        </w:tc>
        <w:tc>
          <w:tcPr>
            <w:tcW w:w="1673" w:type="pct"/>
            <w:noWrap/>
          </w:tcPr>
          <w:p w:rsidR="00364026" w:rsidRPr="007F23D1" w:rsidRDefault="00364026" w:rsidP="00551032">
            <w:pPr>
              <w:ind w:left="0" w:right="27"/>
            </w:pPr>
            <w:r w:rsidRPr="007F23D1">
              <w:t xml:space="preserve">In response to the </w:t>
            </w:r>
            <w:r w:rsidR="00320FD1">
              <w:t>TGA</w:t>
            </w:r>
            <w:r w:rsidRPr="007F23D1">
              <w:t>’s requested changes, please refer to the updated ASA provided in</w:t>
            </w:r>
            <w:r>
              <w:t xml:space="preserve"> </w:t>
            </w:r>
            <w:r w:rsidRPr="007F23D1">
              <w:t>this response.</w:t>
            </w:r>
          </w:p>
        </w:tc>
        <w:tc>
          <w:tcPr>
            <w:tcW w:w="1528" w:type="pct"/>
            <w:noWrap/>
          </w:tcPr>
          <w:p w:rsidR="00364026" w:rsidRPr="00107999" w:rsidRDefault="00364026" w:rsidP="00551032">
            <w:pPr>
              <w:ind w:left="41" w:right="0"/>
            </w:pPr>
            <w:r>
              <w:t xml:space="preserve">The response has been noted. However, this table should be amended to include the potential risk of </w:t>
            </w:r>
            <w:r w:rsidR="009F5CFA">
              <w:t>‘</w:t>
            </w:r>
            <w:r>
              <w:t>lack of efficacy</w:t>
            </w:r>
            <w:r w:rsidR="009F5CFA">
              <w:t>’</w:t>
            </w:r>
            <w:r>
              <w:t>.</w:t>
            </w:r>
          </w:p>
        </w:tc>
      </w:tr>
      <w:tr w:rsidR="00364026" w:rsidRPr="00107999" w:rsidTr="00F75535">
        <w:tc>
          <w:tcPr>
            <w:tcW w:w="1799" w:type="pct"/>
            <w:noWrap/>
          </w:tcPr>
          <w:p w:rsidR="00364026" w:rsidRPr="00683E31" w:rsidRDefault="00EA5F49" w:rsidP="00551032">
            <w:pPr>
              <w:ind w:left="0" w:right="0"/>
            </w:pPr>
            <w:r>
              <w:t xml:space="preserve">12. </w:t>
            </w:r>
            <w:r w:rsidR="00364026" w:rsidRPr="00683E31">
              <w:t xml:space="preserve">The sponsor should amend the ASA to describe </w:t>
            </w:r>
            <w:r w:rsidR="009F5CFA">
              <w:t>‘</w:t>
            </w:r>
            <w:r w:rsidR="00364026" w:rsidRPr="00683E31">
              <w:t>bradycardia</w:t>
            </w:r>
            <w:r w:rsidR="009F5CFA">
              <w:t>’</w:t>
            </w:r>
            <w:r w:rsidR="00364026" w:rsidRPr="00683E31">
              <w:t xml:space="preserve"> and </w:t>
            </w:r>
            <w:r w:rsidR="009F5CFA">
              <w:t>‘</w:t>
            </w:r>
            <w:r w:rsidR="007921DD">
              <w:t>p</w:t>
            </w:r>
            <w:r w:rsidR="00364026" w:rsidRPr="00683E31">
              <w:t>yrexia related effects</w:t>
            </w:r>
            <w:r w:rsidR="009F5CFA">
              <w:t>’</w:t>
            </w:r>
            <w:r w:rsidR="00364026" w:rsidRPr="00683E31">
              <w:t xml:space="preserve"> as identified risk. Furthermore, to align the classification of the ongoing safety concerns with the EURMP, the ASA should be amended to classify </w:t>
            </w:r>
            <w:r w:rsidR="009F5CFA">
              <w:t>‘</w:t>
            </w:r>
            <w:r w:rsidR="007921DD">
              <w:t>u</w:t>
            </w:r>
            <w:r w:rsidR="00364026" w:rsidRPr="00683E31">
              <w:t>nknown food and drug interactions</w:t>
            </w:r>
            <w:r w:rsidR="009F5CFA">
              <w:t>’</w:t>
            </w:r>
            <w:r w:rsidR="00364026" w:rsidRPr="00683E31">
              <w:t xml:space="preserve"> and effects on pregnancy and foetal outcome</w:t>
            </w:r>
            <w:r w:rsidR="009F5CFA">
              <w:t>’</w:t>
            </w:r>
            <w:r w:rsidR="00364026" w:rsidRPr="00683E31">
              <w:t xml:space="preserve"> as missing information.</w:t>
            </w:r>
          </w:p>
        </w:tc>
        <w:tc>
          <w:tcPr>
            <w:tcW w:w="1673" w:type="pct"/>
            <w:noWrap/>
          </w:tcPr>
          <w:p w:rsidR="00364026" w:rsidRPr="007F23D1" w:rsidRDefault="00364026" w:rsidP="00551032">
            <w:pPr>
              <w:ind w:left="0" w:right="27"/>
            </w:pPr>
            <w:r w:rsidRPr="007F23D1">
              <w:t>As discussed in the Question 4.1, bradycardia and pyrexia are not considered as identified risk based</w:t>
            </w:r>
            <w:r>
              <w:t xml:space="preserve"> </w:t>
            </w:r>
            <w:r w:rsidRPr="007F23D1">
              <w:t xml:space="preserve">on the review by </w:t>
            </w:r>
            <w:r w:rsidR="00BF4A86" w:rsidRPr="00BF4A86">
              <w:t>OE</w:t>
            </w:r>
            <w:r w:rsidRPr="007F23D1">
              <w:t>.</w:t>
            </w:r>
          </w:p>
          <w:p w:rsidR="00364026" w:rsidRPr="007F23D1" w:rsidRDefault="00364026" w:rsidP="00551032">
            <w:pPr>
              <w:ind w:left="0" w:right="27"/>
            </w:pPr>
            <w:r w:rsidRPr="007F23D1">
              <w:t xml:space="preserve">Further, the risks of </w:t>
            </w:r>
            <w:r w:rsidR="009F5CFA">
              <w:t>‘</w:t>
            </w:r>
            <w:r w:rsidR="007921DD">
              <w:t>u</w:t>
            </w:r>
            <w:r w:rsidRPr="007F23D1">
              <w:t>nknown and food and drug interactions</w:t>
            </w:r>
            <w:r w:rsidR="009F5CFA">
              <w:t>’</w:t>
            </w:r>
            <w:r w:rsidRPr="007F23D1">
              <w:t xml:space="preserve"> and </w:t>
            </w:r>
            <w:r w:rsidR="009F5CFA">
              <w:t>‘</w:t>
            </w:r>
            <w:r w:rsidRPr="007F23D1">
              <w:t>effects on pregnancy and foetal</w:t>
            </w:r>
            <w:r>
              <w:t xml:space="preserve"> </w:t>
            </w:r>
            <w:r w:rsidRPr="007F23D1">
              <w:t>outcome</w:t>
            </w:r>
            <w:r w:rsidR="009F5CFA">
              <w:t>’</w:t>
            </w:r>
            <w:r w:rsidRPr="007F23D1">
              <w:t xml:space="preserve"> have been included within the RMP (Section 2.4.4) and also within the updated</w:t>
            </w:r>
            <w:r>
              <w:t xml:space="preserve"> </w:t>
            </w:r>
            <w:r w:rsidRPr="007F23D1">
              <w:t xml:space="preserve">ASA. These documents have been </w:t>
            </w:r>
            <w:r w:rsidR="007921DD">
              <w:t>provided in the response</w:t>
            </w:r>
            <w:r w:rsidRPr="007F23D1">
              <w:t>.</w:t>
            </w:r>
          </w:p>
        </w:tc>
        <w:tc>
          <w:tcPr>
            <w:tcW w:w="1528" w:type="pct"/>
            <w:noWrap/>
          </w:tcPr>
          <w:p w:rsidR="00364026" w:rsidRPr="00107999" w:rsidRDefault="00364026" w:rsidP="00551032">
            <w:pPr>
              <w:ind w:left="41" w:right="0"/>
            </w:pPr>
            <w:r>
              <w:t>This is considered acceptable.</w:t>
            </w:r>
          </w:p>
        </w:tc>
      </w:tr>
      <w:tr w:rsidR="00364026" w:rsidRPr="00107999" w:rsidTr="00F75535">
        <w:tc>
          <w:tcPr>
            <w:tcW w:w="1799" w:type="pct"/>
            <w:noWrap/>
          </w:tcPr>
          <w:p w:rsidR="00364026" w:rsidRPr="00683E31" w:rsidRDefault="00EA5F49" w:rsidP="00551032">
            <w:pPr>
              <w:ind w:left="0" w:right="0"/>
            </w:pPr>
            <w:r>
              <w:t xml:space="preserve">13. </w:t>
            </w:r>
            <w:r w:rsidR="00364026" w:rsidRPr="00683E31">
              <w:t xml:space="preserve">The sponsor describes </w:t>
            </w:r>
            <w:r w:rsidR="009F5CFA">
              <w:t>‘</w:t>
            </w:r>
            <w:r w:rsidR="007921DD">
              <w:t>routine p</w:t>
            </w:r>
            <w:r w:rsidR="00364026" w:rsidRPr="00683E31">
              <w:t>harmacovigilance activities</w:t>
            </w:r>
            <w:r w:rsidR="009F5CFA">
              <w:t>’</w:t>
            </w:r>
            <w:r w:rsidR="00364026" w:rsidRPr="00683E31">
              <w:t xml:space="preserve"> in section 3.1.1 and </w:t>
            </w:r>
            <w:r w:rsidR="009F5CFA">
              <w:t>‘</w:t>
            </w:r>
            <w:r w:rsidR="007921DD">
              <w:t>r</w:t>
            </w:r>
            <w:r w:rsidR="00364026" w:rsidRPr="00683E31">
              <w:t xml:space="preserve">eview of the safety information derived through the </w:t>
            </w:r>
            <w:r w:rsidR="00AD2505">
              <w:t>Carbaglu</w:t>
            </w:r>
            <w:r w:rsidR="00364026" w:rsidRPr="00683E31">
              <w:t xml:space="preserve"> surveillance protocol</w:t>
            </w:r>
            <w:r w:rsidR="009F5CFA">
              <w:t>’</w:t>
            </w:r>
            <w:r w:rsidR="00364026" w:rsidRPr="00683E31">
              <w:t xml:space="preserve"> in section 3.1.2 of the ASA</w:t>
            </w:r>
            <w:r w:rsidR="007921DD">
              <w:t xml:space="preserve"> as planned actions in the risk </w:t>
            </w:r>
            <w:r w:rsidR="00364026" w:rsidRPr="00683E31">
              <w:t>minimization pla</w:t>
            </w:r>
            <w:r w:rsidR="007921DD">
              <w:t>n. These activities constitute p</w:t>
            </w:r>
            <w:r w:rsidR="00364026" w:rsidRPr="00683E31">
              <w:t>harmacovigilance activities and therefore, are not considered part of the risk minimisation plan.</w:t>
            </w:r>
          </w:p>
        </w:tc>
        <w:tc>
          <w:tcPr>
            <w:tcW w:w="1673" w:type="pct"/>
            <w:noWrap/>
          </w:tcPr>
          <w:p w:rsidR="00364026" w:rsidRPr="007F23D1" w:rsidRDefault="007921DD" w:rsidP="00551032">
            <w:pPr>
              <w:ind w:left="0" w:right="27"/>
            </w:pPr>
            <w:r>
              <w:t>The sponsor</w:t>
            </w:r>
            <w:r w:rsidR="00364026" w:rsidRPr="00EF1228">
              <w:t xml:space="preserve"> confirms that ‘routine phar</w:t>
            </w:r>
            <w:r>
              <w:t>macovigilance activities’ and ‘r</w:t>
            </w:r>
            <w:r w:rsidR="00364026" w:rsidRPr="00EF1228">
              <w:t>eview of the safety</w:t>
            </w:r>
            <w:r w:rsidR="00364026">
              <w:t xml:space="preserve"> </w:t>
            </w:r>
            <w:r w:rsidR="00364026" w:rsidRPr="00EF1228">
              <w:t xml:space="preserve">information derived through the </w:t>
            </w:r>
            <w:r w:rsidR="00AD2505">
              <w:t>Carbaglu</w:t>
            </w:r>
            <w:r w:rsidR="00364026" w:rsidRPr="00EF1228">
              <w:t xml:space="preserve"> surveillance protocol’ have been included within the</w:t>
            </w:r>
            <w:r w:rsidR="00364026">
              <w:t xml:space="preserve"> </w:t>
            </w:r>
            <w:r>
              <w:t>pharmacovigilance p</w:t>
            </w:r>
            <w:r w:rsidR="00364026" w:rsidRPr="00EF1228">
              <w:t>lan section of the ASA rather than the risk minimization section.</w:t>
            </w:r>
          </w:p>
        </w:tc>
        <w:tc>
          <w:tcPr>
            <w:tcW w:w="1528" w:type="pct"/>
            <w:noWrap/>
          </w:tcPr>
          <w:p w:rsidR="00364026" w:rsidRPr="00107999" w:rsidRDefault="00364026" w:rsidP="00551032">
            <w:pPr>
              <w:ind w:left="41" w:right="0"/>
            </w:pPr>
            <w:r>
              <w:t>This is considered acceptable.</w:t>
            </w:r>
          </w:p>
        </w:tc>
      </w:tr>
      <w:tr w:rsidR="00364026" w:rsidRPr="00107999" w:rsidTr="00F75535">
        <w:tc>
          <w:tcPr>
            <w:tcW w:w="1799" w:type="pct"/>
            <w:noWrap/>
          </w:tcPr>
          <w:p w:rsidR="00364026" w:rsidRPr="00683E31" w:rsidRDefault="00EA5F49" w:rsidP="00551032">
            <w:pPr>
              <w:ind w:left="0" w:right="0"/>
            </w:pPr>
            <w:r>
              <w:t xml:space="preserve">14. </w:t>
            </w:r>
            <w:r w:rsidR="00364026" w:rsidRPr="00683E31">
              <w:t>Recommendations for amendments of the PI/CMI.</w:t>
            </w:r>
          </w:p>
        </w:tc>
        <w:tc>
          <w:tcPr>
            <w:tcW w:w="1673" w:type="pct"/>
            <w:noWrap/>
          </w:tcPr>
          <w:p w:rsidR="00364026" w:rsidRPr="008C4DDF" w:rsidRDefault="00320FD1" w:rsidP="00551032">
            <w:pPr>
              <w:ind w:left="0" w:right="27"/>
            </w:pPr>
            <w:r>
              <w:t>The s</w:t>
            </w:r>
            <w:r w:rsidR="00364026" w:rsidRPr="008C4DDF">
              <w:t xml:space="preserve">ponsor can confirm amendments recommended within the </w:t>
            </w:r>
            <w:r>
              <w:t>TGA’s</w:t>
            </w:r>
            <w:r w:rsidR="00364026" w:rsidRPr="008C4DDF">
              <w:t xml:space="preserve"> evaluation </w:t>
            </w:r>
            <w:r w:rsidR="00364026" w:rsidRPr="008C4DDF">
              <w:lastRenderedPageBreak/>
              <w:t>report have been</w:t>
            </w:r>
            <w:r w:rsidR="00364026">
              <w:t xml:space="preserve"> </w:t>
            </w:r>
            <w:r w:rsidR="00364026" w:rsidRPr="008C4DDF">
              <w:t>made to the proposed Australian PI and CMI. Copies of the updat</w:t>
            </w:r>
            <w:r w:rsidR="00475F94">
              <w:t>ed documents have been provided.</w:t>
            </w:r>
          </w:p>
        </w:tc>
        <w:tc>
          <w:tcPr>
            <w:tcW w:w="1528" w:type="pct"/>
            <w:noWrap/>
          </w:tcPr>
          <w:p w:rsidR="00364026" w:rsidRPr="00475F94" w:rsidRDefault="00364026" w:rsidP="00551032">
            <w:pPr>
              <w:ind w:left="41" w:right="0"/>
            </w:pPr>
            <w:r>
              <w:lastRenderedPageBreak/>
              <w:t xml:space="preserve">Regarding the potential risk of Rash, the sponsor states in the EU-RMP </w:t>
            </w:r>
            <w:r w:rsidR="009F5CFA" w:rsidRPr="00475F94">
              <w:lastRenderedPageBreak/>
              <w:t>‘</w:t>
            </w:r>
            <w:r w:rsidRPr="00475F94">
              <w:t xml:space="preserve">Rash will be added in the </w:t>
            </w:r>
            <w:r w:rsidR="00320FD1" w:rsidRPr="00320FD1">
              <w:t>Summary of Product Characteristics (SmPC):</w:t>
            </w:r>
            <w:r w:rsidRPr="00475F94">
              <w:t xml:space="preserve"> </w:t>
            </w:r>
            <w:r w:rsidR="00475F94" w:rsidRPr="00475F94">
              <w:t>frequency</w:t>
            </w:r>
            <w:r w:rsidRPr="00475F94">
              <w:t xml:space="preserve"> uncommon</w:t>
            </w:r>
            <w:r w:rsidR="009F5CFA" w:rsidRPr="00475F94">
              <w:t>’</w:t>
            </w:r>
            <w:r w:rsidRPr="00475F94">
              <w:t>.</w:t>
            </w:r>
          </w:p>
          <w:p w:rsidR="00364026" w:rsidRPr="00475F94" w:rsidRDefault="00364026" w:rsidP="00551032">
            <w:pPr>
              <w:ind w:left="41" w:right="0"/>
            </w:pPr>
            <w:r w:rsidRPr="00475F94">
              <w:t xml:space="preserve">Information regarding </w:t>
            </w:r>
            <w:r w:rsidR="009F5CFA" w:rsidRPr="00475F94">
              <w:t>‘</w:t>
            </w:r>
            <w:r w:rsidRPr="00475F94">
              <w:t>Rash</w:t>
            </w:r>
            <w:r w:rsidR="009F5CFA" w:rsidRPr="00475F94">
              <w:t>’</w:t>
            </w:r>
            <w:r w:rsidRPr="00475F94">
              <w:t xml:space="preserve"> is not incl</w:t>
            </w:r>
            <w:r w:rsidR="00475F94">
              <w:t xml:space="preserve">uded in the proposed Australian </w:t>
            </w:r>
            <w:r w:rsidRPr="00475F94">
              <w:t>PI</w:t>
            </w:r>
            <w:r w:rsidR="00475F94">
              <w:t>, and it is recommended to the D</w:t>
            </w:r>
            <w:r w:rsidRPr="00475F94">
              <w:t>elegate, that the sponsor adds information regarding this event in</w:t>
            </w:r>
            <w:r w:rsidR="00475F94">
              <w:t xml:space="preserve"> the Australian </w:t>
            </w:r>
            <w:r w:rsidRPr="00475F94">
              <w:t>PI. The risk-minimisation plan of the ASA should be updated accordingly.</w:t>
            </w:r>
          </w:p>
        </w:tc>
      </w:tr>
    </w:tbl>
    <w:p w:rsidR="002052A7" w:rsidRPr="002052A7" w:rsidRDefault="002052A7" w:rsidP="001F6ECA">
      <w:pPr>
        <w:pStyle w:val="Heading4"/>
      </w:pPr>
      <w:r w:rsidRPr="005B6A95">
        <w:lastRenderedPageBreak/>
        <w:t xml:space="preserve">Summary of </w:t>
      </w:r>
      <w:r w:rsidRPr="001F6ECA">
        <w:t>outstanding</w:t>
      </w:r>
      <w:r>
        <w:t xml:space="preserve"> issues</w:t>
      </w:r>
    </w:p>
    <w:p w:rsidR="002052A7" w:rsidRPr="002052A7" w:rsidRDefault="002052A7" w:rsidP="001F6ECA">
      <w:pPr>
        <w:pStyle w:val="Heading5"/>
      </w:pPr>
      <w:r w:rsidRPr="001F6ECA">
        <w:t>Issues</w:t>
      </w:r>
      <w:r w:rsidRPr="002052A7">
        <w:t xml:space="preserve"> in relation to the RMP </w:t>
      </w:r>
    </w:p>
    <w:p w:rsidR="002052A7" w:rsidRPr="002052A7" w:rsidRDefault="002052A7" w:rsidP="001F6ECA">
      <w:pPr>
        <w:pStyle w:val="ListBullet"/>
      </w:pPr>
      <w:r w:rsidRPr="002052A7">
        <w:t xml:space="preserve">It is recommended that the sponsor rectifies document internal </w:t>
      </w:r>
      <w:r w:rsidRPr="001F6ECA">
        <w:t>inconsistencies</w:t>
      </w:r>
      <w:r w:rsidRPr="002052A7">
        <w:t>/incorrect descriptions in the EU-RMP/ASA, in an updated version of the EU-RMP/ASA prior to approval</w:t>
      </w:r>
      <w:r>
        <w:t>.</w:t>
      </w:r>
    </w:p>
    <w:p w:rsidR="002052A7" w:rsidRPr="000E3B21" w:rsidRDefault="002052A7" w:rsidP="001F6ECA">
      <w:pPr>
        <w:pStyle w:val="ListBullet"/>
      </w:pPr>
      <w:r w:rsidRPr="000E3B21">
        <w:t xml:space="preserve">The sponsor </w:t>
      </w:r>
      <w:r w:rsidRPr="001F6ECA">
        <w:t>should</w:t>
      </w:r>
      <w:r w:rsidRPr="000E3B21">
        <w:t xml:space="preserve"> amend the RMP to reflect that only routine risk minimization activities are implemented to address all ongoing safety concerns (</w:t>
      </w:r>
      <w:r w:rsidR="00320FD1">
        <w:t>see P</w:t>
      </w:r>
      <w:r w:rsidR="00066F36">
        <w:t>oint 2 in T</w:t>
      </w:r>
      <w:r w:rsidR="00320FD1">
        <w:t>able </w:t>
      </w:r>
      <w:r w:rsidR="00FA0223">
        <w:t>7</w:t>
      </w:r>
      <w:r w:rsidRPr="000E3B21">
        <w:t>).</w:t>
      </w:r>
    </w:p>
    <w:p w:rsidR="002052A7" w:rsidRPr="000E3B21" w:rsidRDefault="002052A7" w:rsidP="002052A7">
      <w:pPr>
        <w:pStyle w:val="ListBullet"/>
      </w:pPr>
      <w:r w:rsidRPr="002052A7">
        <w:t xml:space="preserve">It is recommended that the risk-minimisation and pharmacovigilance section of the EU-RMP/ASA be amended as stated </w:t>
      </w:r>
      <w:r w:rsidR="00320FD1">
        <w:t>in P</w:t>
      </w:r>
      <w:r w:rsidR="00066F36">
        <w:t>oint 8 in T</w:t>
      </w:r>
      <w:r w:rsidRPr="000E3B21">
        <w:t xml:space="preserve">able </w:t>
      </w:r>
      <w:r w:rsidR="00FA0223">
        <w:t>7</w:t>
      </w:r>
      <w:r w:rsidR="00320FD1">
        <w:t>.</w:t>
      </w:r>
    </w:p>
    <w:p w:rsidR="002052A7" w:rsidRPr="000E3B21" w:rsidRDefault="002052A7" w:rsidP="001F6ECA">
      <w:pPr>
        <w:pStyle w:val="ListBullet"/>
      </w:pPr>
      <w:r w:rsidRPr="002052A7">
        <w:t>The EU-RMP shoul</w:t>
      </w:r>
      <w:r>
        <w:t>d be amended to describe that ‘e</w:t>
      </w:r>
      <w:r w:rsidRPr="002052A7">
        <w:t>ffects of pregnancy and foetal outcomes</w:t>
      </w:r>
      <w:r>
        <w:t>’</w:t>
      </w:r>
      <w:r w:rsidRPr="002052A7">
        <w:t xml:space="preserve"> is the only ongoing safety </w:t>
      </w:r>
      <w:r w:rsidRPr="001F6ECA">
        <w:t>concerns</w:t>
      </w:r>
      <w:r w:rsidRPr="002052A7">
        <w:t xml:space="preserve">, for which additional pharmacovigilance activities are implemented, in form of a surveillance </w:t>
      </w:r>
      <w:r w:rsidR="00320FD1">
        <w:t>protocol (see P</w:t>
      </w:r>
      <w:r w:rsidR="00066F36">
        <w:t>oint 9 in T</w:t>
      </w:r>
      <w:r w:rsidRPr="000E3B21">
        <w:t xml:space="preserve">able </w:t>
      </w:r>
      <w:r w:rsidR="00FA0223">
        <w:t>7</w:t>
      </w:r>
      <w:r w:rsidR="00320FD1">
        <w:t>).</w:t>
      </w:r>
    </w:p>
    <w:p w:rsidR="002052A7" w:rsidRPr="000E3B21" w:rsidRDefault="002052A7" w:rsidP="001F6ECA">
      <w:pPr>
        <w:pStyle w:val="ListBullet"/>
      </w:pPr>
      <w:r w:rsidRPr="002052A7">
        <w:t xml:space="preserve">The sponsor should provide an updated table, including the potential risk of </w:t>
      </w:r>
      <w:r>
        <w:t>‘l</w:t>
      </w:r>
      <w:r w:rsidRPr="002052A7">
        <w:t>ack of efficacy</w:t>
      </w:r>
      <w:r>
        <w:t>’</w:t>
      </w:r>
      <w:r w:rsidRPr="002052A7">
        <w:t xml:space="preserve">, </w:t>
      </w:r>
      <w:r w:rsidRPr="001F6ECA">
        <w:t>summari</w:t>
      </w:r>
      <w:r w:rsidR="005F29AE" w:rsidRPr="001F6ECA">
        <w:t>sing</w:t>
      </w:r>
      <w:r w:rsidR="005F29AE">
        <w:t xml:space="preserve"> the safety specification, p</w:t>
      </w:r>
      <w:r w:rsidRPr="002052A7">
        <w:t xml:space="preserve">harmacovigilance plan and planned risk minimization measures in Australian context in the ASA. Wording pertaining to important safety concerns in the proposed Australian PI and CMI should be included in the </w:t>
      </w:r>
      <w:r w:rsidRPr="000E3B21">
        <w:t>tabl</w:t>
      </w:r>
      <w:r w:rsidR="00320FD1">
        <w:t>e (see P</w:t>
      </w:r>
      <w:r w:rsidR="00066F36">
        <w:t>oint 11 in T</w:t>
      </w:r>
      <w:r w:rsidRPr="000E3B21">
        <w:t xml:space="preserve">able </w:t>
      </w:r>
      <w:r w:rsidR="00FA0223">
        <w:t>7</w:t>
      </w:r>
      <w:r w:rsidR="005F29AE" w:rsidRPr="000E3B21">
        <w:t>).</w:t>
      </w:r>
    </w:p>
    <w:p w:rsidR="00364026" w:rsidRDefault="005F29AE" w:rsidP="001F6ECA">
      <w:pPr>
        <w:pStyle w:val="ListBullet"/>
      </w:pPr>
      <w:r>
        <w:t>Information regarding “r</w:t>
      </w:r>
      <w:r w:rsidR="002052A7" w:rsidRPr="002052A7">
        <w:t>ash” is not incl</w:t>
      </w:r>
      <w:r>
        <w:t xml:space="preserve">uded in the proposed Australian </w:t>
      </w:r>
      <w:r w:rsidR="002052A7" w:rsidRPr="002052A7">
        <w:t>PI</w:t>
      </w:r>
      <w:r>
        <w:t>, and it is recommended to the D</w:t>
      </w:r>
      <w:r w:rsidR="002052A7" w:rsidRPr="002052A7">
        <w:t>elegate, that the sponsor adds information regardi</w:t>
      </w:r>
      <w:r>
        <w:t xml:space="preserve">ng this event in the Australian </w:t>
      </w:r>
      <w:r w:rsidR="002052A7" w:rsidRPr="002052A7">
        <w:t>PI. The risk-minimisation plan of the ASA</w:t>
      </w:r>
      <w:r>
        <w:t xml:space="preserve"> should be updated accordingly.</w:t>
      </w:r>
    </w:p>
    <w:p w:rsidR="002052A7" w:rsidRDefault="002052A7" w:rsidP="001F6ECA">
      <w:pPr>
        <w:pStyle w:val="Heading4"/>
        <w:rPr>
          <w:lang w:eastAsia="en-AU"/>
        </w:rPr>
      </w:pPr>
      <w:r w:rsidRPr="001F6ECA">
        <w:t>Advice</w:t>
      </w:r>
      <w:r>
        <w:rPr>
          <w:lang w:eastAsia="en-AU"/>
        </w:rPr>
        <w:t xml:space="preserve"> from the Advisory Committee on the Safety of Medicines (ACSOM).</w:t>
      </w:r>
    </w:p>
    <w:p w:rsidR="002052A7" w:rsidRDefault="002052A7" w:rsidP="001F6ECA">
      <w:r>
        <w:t xml:space="preserve">ACSOM advice was not sought for this </w:t>
      </w:r>
      <w:r w:rsidRPr="005B6A95">
        <w:t>submission.</w:t>
      </w:r>
    </w:p>
    <w:p w:rsidR="002052A7" w:rsidRDefault="002052A7" w:rsidP="001F6ECA">
      <w:pPr>
        <w:pStyle w:val="Heading4"/>
      </w:pPr>
      <w:r>
        <w:lastRenderedPageBreak/>
        <w:t>Key changes to the updated RMP</w:t>
      </w:r>
    </w:p>
    <w:p w:rsidR="005C7499" w:rsidRDefault="005C7499" w:rsidP="001F6ECA">
      <w:r w:rsidRPr="005C7499">
        <w:t xml:space="preserve">In their response to the TGA </w:t>
      </w:r>
      <w:r>
        <w:t>r</w:t>
      </w:r>
      <w:r w:rsidR="0094317B">
        <w:t>equest</w:t>
      </w:r>
      <w:r>
        <w:t xml:space="preserve"> for information</w:t>
      </w:r>
      <w:r w:rsidRPr="005C7499">
        <w:t xml:space="preserve"> the sponsor provided an updated EU-RMP ve</w:t>
      </w:r>
      <w:r>
        <w:t xml:space="preserve">rsion OE/PV/CARB/0114, dated 23 July </w:t>
      </w:r>
      <w:r w:rsidR="0094317B">
        <w:t xml:space="preserve">2014, data lock point 31 May </w:t>
      </w:r>
      <w:r w:rsidRPr="005C7499">
        <w:t>201</w:t>
      </w:r>
      <w:r w:rsidR="0094317B">
        <w:t>4 and ASA version 0.2, dated 31 Jul</w:t>
      </w:r>
      <w:r w:rsidR="00320FD1">
        <w:t>y</w:t>
      </w:r>
      <w:r w:rsidR="0094317B">
        <w:t xml:space="preserve"> </w:t>
      </w:r>
      <w:r w:rsidRPr="005C7499">
        <w:t xml:space="preserve">2014. Key changes from the version evaluated </w:t>
      </w:r>
      <w:r w:rsidR="0094317B">
        <w:t>in the first round</w:t>
      </w:r>
      <w:r w:rsidRPr="005C7499">
        <w:t xml:space="preserve"> are described by the sponsor in the ASA </w:t>
      </w:r>
      <w:r w:rsidR="0094317B">
        <w:t xml:space="preserve">as shown in Table </w:t>
      </w:r>
      <w:r w:rsidR="00FA0223">
        <w:t>8</w:t>
      </w:r>
      <w:r w:rsidR="001A297B">
        <w:t>.</w:t>
      </w:r>
    </w:p>
    <w:p w:rsidR="001A297B" w:rsidRPr="005C7499" w:rsidRDefault="00FA0223" w:rsidP="001F6ECA">
      <w:pPr>
        <w:pStyle w:val="TableTitle"/>
      </w:pPr>
      <w:r>
        <w:t>Table 8</w:t>
      </w:r>
      <w:r w:rsidR="00066F36">
        <w:t>. Key changes to the RMP.</w:t>
      </w:r>
    </w:p>
    <w:tbl>
      <w:tblPr>
        <w:tblStyle w:val="TableTGAblue"/>
        <w:tblW w:w="0" w:type="auto"/>
        <w:tblLook w:val="04A0" w:firstRow="1" w:lastRow="0" w:firstColumn="1" w:lastColumn="0" w:noHBand="0" w:noVBand="1"/>
      </w:tblPr>
      <w:tblGrid>
        <w:gridCol w:w="2906"/>
        <w:gridCol w:w="2907"/>
        <w:gridCol w:w="2907"/>
      </w:tblGrid>
      <w:tr w:rsidR="005F29AE" w:rsidTr="001F6ECA">
        <w:trPr>
          <w:cnfStyle w:val="100000000000" w:firstRow="1" w:lastRow="0" w:firstColumn="0" w:lastColumn="0" w:oddVBand="0" w:evenVBand="0" w:oddHBand="0" w:evenHBand="0" w:firstRowFirstColumn="0" w:firstRowLastColumn="0" w:lastRowFirstColumn="0" w:lastRowLastColumn="0"/>
        </w:trPr>
        <w:tc>
          <w:tcPr>
            <w:tcW w:w="2906" w:type="dxa"/>
          </w:tcPr>
          <w:p w:rsidR="005F29AE" w:rsidRDefault="005F29AE" w:rsidP="001F6ECA">
            <w:pPr>
              <w:ind w:left="0" w:right="0"/>
            </w:pPr>
            <w:r>
              <w:t>RMP OE/PV/CARB/1211</w:t>
            </w:r>
          </w:p>
        </w:tc>
        <w:tc>
          <w:tcPr>
            <w:tcW w:w="2907" w:type="dxa"/>
          </w:tcPr>
          <w:p w:rsidR="005F29AE" w:rsidRDefault="005F29AE" w:rsidP="001F6ECA">
            <w:pPr>
              <w:ind w:left="0" w:right="0"/>
            </w:pPr>
            <w:r>
              <w:t>RMP OE/PV/CARB/1104</w:t>
            </w:r>
          </w:p>
        </w:tc>
        <w:tc>
          <w:tcPr>
            <w:tcW w:w="2907" w:type="dxa"/>
          </w:tcPr>
          <w:p w:rsidR="005F29AE" w:rsidRDefault="005F29AE" w:rsidP="001F6ECA">
            <w:pPr>
              <w:ind w:left="-1" w:right="0"/>
            </w:pPr>
            <w:r>
              <w:t>Comments</w:t>
            </w:r>
          </w:p>
        </w:tc>
      </w:tr>
      <w:tr w:rsidR="005F29AE" w:rsidRPr="001F6ECA" w:rsidTr="001F6ECA">
        <w:tc>
          <w:tcPr>
            <w:tcW w:w="8720" w:type="dxa"/>
            <w:gridSpan w:val="3"/>
          </w:tcPr>
          <w:p w:rsidR="005F29AE" w:rsidRPr="001F6ECA" w:rsidRDefault="005F29AE" w:rsidP="001F6ECA">
            <w:pPr>
              <w:ind w:left="-1" w:right="0"/>
              <w:rPr>
                <w:b/>
              </w:rPr>
            </w:pPr>
            <w:r w:rsidRPr="001F6ECA">
              <w:rPr>
                <w:b/>
              </w:rPr>
              <w:t xml:space="preserve">Important </w:t>
            </w:r>
            <w:r w:rsidR="00522CC7" w:rsidRPr="001F6ECA">
              <w:rPr>
                <w:b/>
              </w:rPr>
              <w:t>identified risks</w:t>
            </w:r>
          </w:p>
        </w:tc>
      </w:tr>
      <w:tr w:rsidR="005F29AE" w:rsidTr="001F6ECA">
        <w:tc>
          <w:tcPr>
            <w:tcW w:w="2906" w:type="dxa"/>
          </w:tcPr>
          <w:p w:rsidR="005F29AE" w:rsidRDefault="00522CC7" w:rsidP="001F6ECA">
            <w:pPr>
              <w:ind w:left="0" w:right="0"/>
            </w:pPr>
            <w:r>
              <w:t>N</w:t>
            </w:r>
            <w:r w:rsidR="005F29AE" w:rsidRPr="005F29AE">
              <w:t>o special concerns have arisen</w:t>
            </w:r>
          </w:p>
        </w:tc>
        <w:tc>
          <w:tcPr>
            <w:tcW w:w="2907" w:type="dxa"/>
          </w:tcPr>
          <w:p w:rsidR="005F29AE" w:rsidRDefault="00522CC7" w:rsidP="001F6ECA">
            <w:pPr>
              <w:ind w:left="0" w:right="0"/>
            </w:pPr>
            <w:r>
              <w:t>N</w:t>
            </w:r>
            <w:r w:rsidRPr="00522CC7">
              <w:t>o special concerns have arisen</w:t>
            </w:r>
          </w:p>
        </w:tc>
        <w:tc>
          <w:tcPr>
            <w:tcW w:w="2907" w:type="dxa"/>
          </w:tcPr>
          <w:p w:rsidR="005F29AE" w:rsidRDefault="00522CC7" w:rsidP="001F6ECA">
            <w:pPr>
              <w:ind w:left="-1" w:right="0"/>
            </w:pPr>
            <w:r>
              <w:t>No modification because since 2011, no new risk was clearly identified.</w:t>
            </w:r>
          </w:p>
        </w:tc>
      </w:tr>
      <w:tr w:rsidR="00522CC7" w:rsidRPr="001F6ECA" w:rsidTr="001F6ECA">
        <w:tc>
          <w:tcPr>
            <w:tcW w:w="8720" w:type="dxa"/>
            <w:gridSpan w:val="3"/>
          </w:tcPr>
          <w:p w:rsidR="00522CC7" w:rsidRPr="001F6ECA" w:rsidRDefault="00522CC7" w:rsidP="001F6ECA">
            <w:pPr>
              <w:ind w:left="-1" w:right="0"/>
              <w:rPr>
                <w:b/>
              </w:rPr>
            </w:pPr>
            <w:r w:rsidRPr="001F6ECA">
              <w:rPr>
                <w:b/>
              </w:rPr>
              <w:t>Important potential risks</w:t>
            </w:r>
          </w:p>
        </w:tc>
      </w:tr>
      <w:tr w:rsidR="00522CC7" w:rsidTr="001F6ECA">
        <w:tc>
          <w:tcPr>
            <w:tcW w:w="2906" w:type="dxa"/>
          </w:tcPr>
          <w:p w:rsidR="00522CC7" w:rsidRDefault="00320FD1" w:rsidP="001F6ECA">
            <w:pPr>
              <w:ind w:left="0" w:right="0"/>
            </w:pPr>
            <w:r>
              <w:t>Lack of efficacy did</w:t>
            </w:r>
            <w:r w:rsidR="00522CC7">
              <w:t xml:space="preserve"> to a not confirmed diagnosis of the metabolic disease or inadequate low dosing.</w:t>
            </w:r>
          </w:p>
        </w:tc>
        <w:tc>
          <w:tcPr>
            <w:tcW w:w="2907" w:type="dxa"/>
          </w:tcPr>
          <w:p w:rsidR="00522CC7" w:rsidRDefault="00522CC7" w:rsidP="001F6ECA">
            <w:pPr>
              <w:ind w:left="0" w:right="0"/>
            </w:pPr>
            <w:r>
              <w:t>Lack of efficacy</w:t>
            </w:r>
          </w:p>
          <w:p w:rsidR="00522CC7" w:rsidRDefault="00522CC7" w:rsidP="001F6ECA">
            <w:pPr>
              <w:ind w:left="0" w:right="0"/>
            </w:pPr>
            <w:r>
              <w:t>Rash</w:t>
            </w:r>
          </w:p>
          <w:p w:rsidR="00522CC7" w:rsidRDefault="00522CC7" w:rsidP="001F6ECA">
            <w:pPr>
              <w:ind w:left="0" w:right="0"/>
            </w:pPr>
            <w:r>
              <w:t>Cardiomyopathy</w:t>
            </w:r>
          </w:p>
        </w:tc>
        <w:tc>
          <w:tcPr>
            <w:tcW w:w="2907" w:type="dxa"/>
          </w:tcPr>
          <w:p w:rsidR="00522CC7" w:rsidRDefault="00522CC7" w:rsidP="001F6ECA">
            <w:pPr>
              <w:ind w:left="-1" w:right="0"/>
            </w:pPr>
            <w:r>
              <w:t xml:space="preserve">Lack of efficacy: a review of all cases of ‘potential’ lack of efficacy was performed. After this review, </w:t>
            </w:r>
            <w:r w:rsidR="00BF4A86" w:rsidRPr="00BF4A86">
              <w:t>OE</w:t>
            </w:r>
            <w:r>
              <w:t xml:space="preserve"> considers that there is no risk identified of ‘lack of efficacy.</w:t>
            </w:r>
          </w:p>
          <w:p w:rsidR="00522CC7" w:rsidRDefault="00522CC7" w:rsidP="001F6ECA">
            <w:pPr>
              <w:ind w:left="-1" w:right="0"/>
            </w:pPr>
            <w:r>
              <w:t>Rash: one case of rash occurred. The causality is doubtful, so it is a potential risk.</w:t>
            </w:r>
          </w:p>
          <w:p w:rsidR="00522CC7" w:rsidRDefault="00522CC7" w:rsidP="001F6ECA">
            <w:pPr>
              <w:ind w:left="-1" w:right="0"/>
            </w:pPr>
            <w:r>
              <w:t xml:space="preserve">Cardiomyopathy: one case of cardiomyopathy occurred in a </w:t>
            </w:r>
            <w:r w:rsidRPr="003B38B5">
              <w:rPr>
                <w:color w:val="auto"/>
              </w:rPr>
              <w:t>CPS</w:t>
            </w:r>
            <w:r w:rsidR="003B38B5" w:rsidRPr="003B38B5">
              <w:rPr>
                <w:color w:val="auto"/>
              </w:rPr>
              <w:t>1</w:t>
            </w:r>
            <w:r w:rsidRPr="003B38B5">
              <w:rPr>
                <w:color w:val="auto"/>
              </w:rPr>
              <w:t xml:space="preserve"> </w:t>
            </w:r>
            <w:r>
              <w:t>patient. The causality is doubtful, so it is a potential risk.</w:t>
            </w:r>
          </w:p>
        </w:tc>
      </w:tr>
      <w:tr w:rsidR="00522CC7" w:rsidRPr="001F6ECA" w:rsidTr="001F6ECA">
        <w:tc>
          <w:tcPr>
            <w:tcW w:w="8720" w:type="dxa"/>
            <w:gridSpan w:val="3"/>
          </w:tcPr>
          <w:p w:rsidR="00522CC7" w:rsidRPr="001F6ECA" w:rsidRDefault="00522CC7" w:rsidP="001F6ECA">
            <w:pPr>
              <w:ind w:left="-1" w:right="0"/>
              <w:rPr>
                <w:b/>
              </w:rPr>
            </w:pPr>
            <w:r w:rsidRPr="001F6ECA">
              <w:rPr>
                <w:b/>
              </w:rPr>
              <w:t>Important missing information</w:t>
            </w:r>
          </w:p>
        </w:tc>
      </w:tr>
      <w:tr w:rsidR="00522CC7" w:rsidTr="001F6ECA">
        <w:tc>
          <w:tcPr>
            <w:tcW w:w="2906" w:type="dxa"/>
          </w:tcPr>
          <w:p w:rsidR="00522CC7" w:rsidRDefault="00653B37" w:rsidP="001F6ECA">
            <w:pPr>
              <w:ind w:left="0" w:right="0"/>
            </w:pPr>
            <w:r>
              <w:t>Bradycardia</w:t>
            </w:r>
          </w:p>
          <w:p w:rsidR="00653B37" w:rsidRDefault="00653B37" w:rsidP="001F6ECA">
            <w:pPr>
              <w:ind w:left="0" w:right="0"/>
            </w:pPr>
            <w:r>
              <w:t>Pyrexia related effects</w:t>
            </w:r>
          </w:p>
          <w:p w:rsidR="00653B37" w:rsidRDefault="00653B37" w:rsidP="001F6ECA">
            <w:pPr>
              <w:ind w:left="0" w:right="0"/>
            </w:pPr>
            <w:r>
              <w:t>Unknown food and drug interactions</w:t>
            </w:r>
          </w:p>
          <w:p w:rsidR="00653B37" w:rsidRDefault="00653B37" w:rsidP="001F6ECA">
            <w:pPr>
              <w:ind w:left="0" w:right="0"/>
            </w:pPr>
            <w:r>
              <w:t>Effects on pregnancy and foetal outcomes</w:t>
            </w:r>
          </w:p>
        </w:tc>
        <w:tc>
          <w:tcPr>
            <w:tcW w:w="2907" w:type="dxa"/>
          </w:tcPr>
          <w:p w:rsidR="00522CC7" w:rsidRDefault="00653B37" w:rsidP="001F6ECA">
            <w:pPr>
              <w:ind w:left="0" w:right="0"/>
            </w:pPr>
            <w:r>
              <w:t>P</w:t>
            </w:r>
            <w:r w:rsidR="005C7499">
              <w:t>regnant or breast feeding women</w:t>
            </w:r>
          </w:p>
          <w:p w:rsidR="00653B37" w:rsidRDefault="00653B37" w:rsidP="001F6ECA">
            <w:pPr>
              <w:ind w:left="0" w:right="0"/>
            </w:pPr>
            <w:r>
              <w:t>Fertility</w:t>
            </w:r>
          </w:p>
          <w:p w:rsidR="00653B37" w:rsidRDefault="00653B37" w:rsidP="001F6ECA">
            <w:pPr>
              <w:ind w:left="0" w:right="0"/>
            </w:pPr>
            <w:r>
              <w:t xml:space="preserve">Patients with </w:t>
            </w:r>
            <w:r w:rsidR="005C7499">
              <w:t>cardiac diseases/renal and hepatic impairment</w:t>
            </w:r>
          </w:p>
          <w:p w:rsidR="005C7499" w:rsidRDefault="005C7499" w:rsidP="001F6ECA">
            <w:pPr>
              <w:ind w:left="0" w:right="0"/>
            </w:pPr>
            <w:r>
              <w:t>Unknown food and drug interaction</w:t>
            </w:r>
          </w:p>
        </w:tc>
        <w:tc>
          <w:tcPr>
            <w:tcW w:w="2907" w:type="dxa"/>
          </w:tcPr>
          <w:p w:rsidR="00522CC7" w:rsidRDefault="005C7499" w:rsidP="001F6ECA">
            <w:pPr>
              <w:ind w:left="-1" w:right="0"/>
            </w:pPr>
            <w:r>
              <w:t xml:space="preserve">Bradycardia and pyrexia were events, it cannot be a missing information. After a review of cases of bradycardia and pyrexia, these events are not considered as potential or identified risks. Fertility and patients with cardiac diseases/real and hepatic impairment were added because there are not enough data for these specific populations. Unknown food and drug interaction is still important </w:t>
            </w:r>
            <w:r>
              <w:lastRenderedPageBreak/>
              <w:t>missing information because there is not enough data since 2011 to evaluate.</w:t>
            </w:r>
          </w:p>
        </w:tc>
      </w:tr>
    </w:tbl>
    <w:p w:rsidR="002052A7" w:rsidRPr="000E3B21" w:rsidRDefault="002052A7" w:rsidP="001F6ECA">
      <w:pPr>
        <w:pStyle w:val="Heading4"/>
      </w:pPr>
      <w:r w:rsidRPr="000E3B21">
        <w:lastRenderedPageBreak/>
        <w:t xml:space="preserve">Suggested conditions of </w:t>
      </w:r>
      <w:r w:rsidRPr="001F6ECA">
        <w:t>registration</w:t>
      </w:r>
    </w:p>
    <w:p w:rsidR="002052A7" w:rsidRPr="0094317B" w:rsidRDefault="0094317B" w:rsidP="001F6ECA">
      <w:r w:rsidRPr="0094317B">
        <w:t>The European Risk Management Plan (ve</w:t>
      </w:r>
      <w:r w:rsidR="00320FD1">
        <w:t xml:space="preserve">rsion OE/PV/CARB/0114, dated 23 </w:t>
      </w:r>
      <w:r w:rsidRPr="0094317B">
        <w:t>Jul</w:t>
      </w:r>
      <w:r w:rsidR="00320FD1">
        <w:t xml:space="preserve">y 2014, data lock point 31 May </w:t>
      </w:r>
      <w:r w:rsidRPr="0094317B">
        <w:t>2014), with Australian Specif</w:t>
      </w:r>
      <w:r w:rsidR="00320FD1">
        <w:t>ic Annex (version 0.2, dated 31 July </w:t>
      </w:r>
      <w:r w:rsidRPr="0094317B">
        <w:t xml:space="preserve">2014), to be revised to the satisfaction of the TGA, must be implemented (see </w:t>
      </w:r>
      <w:r w:rsidR="00320FD1" w:rsidRPr="00320FD1">
        <w:rPr>
          <w:i/>
        </w:rPr>
        <w:t>Outstanding</w:t>
      </w:r>
      <w:r w:rsidRPr="0094317B">
        <w:t xml:space="preserve"> issues above).</w:t>
      </w:r>
    </w:p>
    <w:p w:rsidR="008E7846" w:rsidRPr="00792A32" w:rsidRDefault="008E7846" w:rsidP="001F6ECA">
      <w:pPr>
        <w:pStyle w:val="Heading2"/>
      </w:pPr>
      <w:bookmarkStart w:id="201" w:name="_Toc314842510"/>
      <w:bookmarkStart w:id="202" w:name="_Toc433190185"/>
      <w:r>
        <w:t xml:space="preserve">VI. </w:t>
      </w:r>
      <w:r w:rsidRPr="001F6ECA">
        <w:t>Overall</w:t>
      </w:r>
      <w:r w:rsidRPr="00792A32">
        <w:t xml:space="preserve"> </w:t>
      </w:r>
      <w:r>
        <w:t>c</w:t>
      </w:r>
      <w:r w:rsidRPr="00792A32">
        <w:t xml:space="preserve">onclusion and </w:t>
      </w:r>
      <w:r>
        <w:t>r</w:t>
      </w:r>
      <w:r w:rsidRPr="00792A32">
        <w:t>isk/</w:t>
      </w:r>
      <w:r>
        <w:t>b</w:t>
      </w:r>
      <w:r w:rsidRPr="00792A32">
        <w:t xml:space="preserve">enefit </w:t>
      </w:r>
      <w:r>
        <w:t>a</w:t>
      </w:r>
      <w:r w:rsidRPr="00792A32">
        <w:t>ssessment</w:t>
      </w:r>
      <w:bookmarkEnd w:id="115"/>
      <w:bookmarkEnd w:id="199"/>
      <w:bookmarkEnd w:id="201"/>
      <w:bookmarkEnd w:id="202"/>
    </w:p>
    <w:p w:rsidR="008E7846" w:rsidRDefault="008E7846" w:rsidP="001F6ECA">
      <w:bookmarkStart w:id="203" w:name="_Toc247691528"/>
      <w:r>
        <w:t xml:space="preserve">The submission was summarised in the following </w:t>
      </w:r>
      <w:r w:rsidRPr="00EF5C48">
        <w:t xml:space="preserve">Delegate’s </w:t>
      </w:r>
      <w:r>
        <w:t>overview</w:t>
      </w:r>
      <w:r w:rsidRPr="00EF5C48">
        <w:t xml:space="preserve"> and recommendation</w:t>
      </w:r>
      <w:r>
        <w:t>s:</w:t>
      </w:r>
    </w:p>
    <w:p w:rsidR="008E7846" w:rsidRDefault="008E7846" w:rsidP="001F6ECA">
      <w:pPr>
        <w:pStyle w:val="Heading3"/>
      </w:pPr>
      <w:bookmarkStart w:id="204" w:name="_Toc314842511"/>
      <w:bookmarkStart w:id="205" w:name="_Toc433190186"/>
      <w:r w:rsidRPr="001F6ECA">
        <w:t>Quality</w:t>
      </w:r>
      <w:bookmarkEnd w:id="203"/>
      <w:bookmarkEnd w:id="204"/>
      <w:bookmarkEnd w:id="205"/>
    </w:p>
    <w:p w:rsidR="00AC3B3C" w:rsidRPr="00AC3B3C" w:rsidRDefault="00AC3B3C" w:rsidP="001F6ECA">
      <w:bookmarkStart w:id="206" w:name="_Toc314842512"/>
      <w:r w:rsidRPr="00AC3B3C">
        <w:t>Registration is recommended with respect to chemistry, quality control and bioavailability aspects.</w:t>
      </w:r>
    </w:p>
    <w:p w:rsidR="008E7846" w:rsidRDefault="008E7846" w:rsidP="001F6ECA">
      <w:pPr>
        <w:pStyle w:val="Heading3"/>
      </w:pPr>
      <w:bookmarkStart w:id="207" w:name="_Toc433190187"/>
      <w:r w:rsidRPr="001F6ECA">
        <w:t>Nonclinical</w:t>
      </w:r>
      <w:bookmarkEnd w:id="206"/>
      <w:bookmarkEnd w:id="207"/>
    </w:p>
    <w:p w:rsidR="00AD2505" w:rsidRPr="00AD2505" w:rsidRDefault="00AD2505" w:rsidP="001F6ECA">
      <w:r w:rsidRPr="00AD2505">
        <w:t>In v</w:t>
      </w:r>
      <w:r w:rsidR="00AC3B3C">
        <w:t xml:space="preserve">itro, </w:t>
      </w:r>
      <w:r w:rsidR="00E14D65" w:rsidRPr="00E14D65">
        <w:t>carglumic acid</w:t>
      </w:r>
      <w:r w:rsidR="00AC3B3C">
        <w:t xml:space="preserve"> activates hepatic CPS</w:t>
      </w:r>
      <w:r w:rsidRPr="00AD2505">
        <w:t xml:space="preserve">1. Although </w:t>
      </w:r>
      <w:r w:rsidR="00E14D65" w:rsidRPr="00E14D65">
        <w:t>carglumic acid</w:t>
      </w:r>
      <w:r w:rsidR="003B38B5">
        <w:t xml:space="preserve"> has lower affinity for CPS</w:t>
      </w:r>
      <w:r w:rsidRPr="00AD2505">
        <w:t xml:space="preserve">1 than naturally occurring NAG, in vivo it showed better protective effect than NAG and therefore a better drug candidate. The more effective and longer lasting in vivo effect of </w:t>
      </w:r>
      <w:r w:rsidR="00E14D65" w:rsidRPr="00E14D65">
        <w:t>carglumic acid</w:t>
      </w:r>
      <w:r w:rsidRPr="00AD2505">
        <w:t xml:space="preserve"> is due to a higher permeability across the </w:t>
      </w:r>
      <w:r w:rsidR="00320FD1">
        <w:t>mitochondrial membrane than NAG</w:t>
      </w:r>
      <w:r w:rsidRPr="00AD2505">
        <w:t xml:space="preserve"> and the greater resistance of </w:t>
      </w:r>
      <w:r w:rsidR="00E14D65" w:rsidRPr="00E14D65">
        <w:t>carglumic acid</w:t>
      </w:r>
      <w:r w:rsidRPr="00AD2505">
        <w:t xml:space="preserve"> to hydrolysis by aminocyclase present in cytoplasm of hepatocytes.</w:t>
      </w:r>
    </w:p>
    <w:p w:rsidR="00AD2505" w:rsidRPr="00AD2505" w:rsidRDefault="00AD2505" w:rsidP="001F6ECA">
      <w:r w:rsidRPr="00AD2505">
        <w:t xml:space="preserve">In a mouse model of NAGS deficiency, </w:t>
      </w:r>
      <w:r w:rsidR="00E14D65" w:rsidRPr="00E14D65">
        <w:t>carglumic acid</w:t>
      </w:r>
      <w:r w:rsidRPr="00AD2505">
        <w:t xml:space="preserve"> reduced plasma ammonia levels and improved survival rate of animals. A more significant improvement was observed when </w:t>
      </w:r>
      <w:r w:rsidR="00E14D65" w:rsidRPr="00E14D65">
        <w:t>carglumic acid</w:t>
      </w:r>
      <w:r w:rsidRPr="00AD2505">
        <w:t xml:space="preserve"> was provided in combination with citrulline.</w:t>
      </w:r>
    </w:p>
    <w:p w:rsidR="00AD2505" w:rsidRPr="00AD2505" w:rsidRDefault="00AD2505" w:rsidP="001F6ECA">
      <w:r w:rsidRPr="00AD2505">
        <w:t>Metabolites observed in dogs were hydantoin-5-propionic acid (5-HPA), diaza-1, 3-dion</w:t>
      </w:r>
      <w:r w:rsidR="00066F36">
        <w:t>e-2, 4-carboxy-7-cycloheptane (d</w:t>
      </w:r>
      <w:r w:rsidRPr="00AD2505">
        <w:t>iaza) and glutamic acid (glutamate).</w:t>
      </w:r>
    </w:p>
    <w:p w:rsidR="00AD2505" w:rsidRPr="00AD2505" w:rsidRDefault="00AD2505" w:rsidP="001F6ECA">
      <w:r w:rsidRPr="00AD2505">
        <w:t xml:space="preserve">In humans, plasma concentrations of 5-HPA were all below or close to </w:t>
      </w:r>
      <w:r w:rsidR="00320FD1" w:rsidRPr="00320FD1">
        <w:t>the lowe</w:t>
      </w:r>
      <w:r w:rsidR="00320FD1">
        <w:t>r</w:t>
      </w:r>
      <w:r w:rsidR="00320FD1" w:rsidRPr="00320FD1">
        <w:t xml:space="preserve"> limit of quantification (LoQ) </w:t>
      </w:r>
      <w:r w:rsidRPr="00AD2505">
        <w:t>(10</w:t>
      </w:r>
      <w:r w:rsidR="003B38B5">
        <w:t xml:space="preserve"> </w:t>
      </w:r>
      <w:r w:rsidRPr="00AD2505">
        <w:t xml:space="preserve">ng/mL). </w:t>
      </w:r>
      <w:r w:rsidR="00320FD1">
        <w:t>C</w:t>
      </w:r>
      <w:r w:rsidR="00E14D65" w:rsidRPr="00E14D65">
        <w:t>arglumic acid</w:t>
      </w:r>
      <w:r w:rsidRPr="00AD2505">
        <w:t xml:space="preserve"> was the main component in the excreta of human subjects (83% in faeces and 100% in urine). Radiolabelled </w:t>
      </w:r>
      <w:r w:rsidRPr="000B40CD">
        <w:rPr>
          <w:vertAlign w:val="superscript"/>
        </w:rPr>
        <w:t>14</w:t>
      </w:r>
      <w:r w:rsidRPr="00AD2505">
        <w:t>CO</w:t>
      </w:r>
      <w:r w:rsidRPr="000B40CD">
        <w:rPr>
          <w:vertAlign w:val="subscript"/>
        </w:rPr>
        <w:t>2</w:t>
      </w:r>
      <w:r w:rsidRPr="00AD2505">
        <w:t xml:space="preserve"> was detectable in the breath of human subjects who received </w:t>
      </w:r>
      <w:r w:rsidRPr="00320FD1">
        <w:rPr>
          <w:vertAlign w:val="superscript"/>
        </w:rPr>
        <w:t>14</w:t>
      </w:r>
      <w:r w:rsidRPr="00AD2505">
        <w:t xml:space="preserve">C labelled </w:t>
      </w:r>
      <w:r w:rsidR="00E14D65" w:rsidRPr="00E14D65">
        <w:t>carglumic acid</w:t>
      </w:r>
      <w:r w:rsidRPr="00AD2505">
        <w:t xml:space="preserve"> (0.7</w:t>
      </w:r>
      <w:r w:rsidR="00F05048">
        <w:t xml:space="preserve"> to </w:t>
      </w:r>
      <w:r w:rsidRPr="00AD2505">
        <w:t xml:space="preserve">3.8% of the dose). </w:t>
      </w:r>
      <w:r w:rsidR="00E14D65">
        <w:t>C</w:t>
      </w:r>
      <w:r w:rsidR="00E14D65" w:rsidRPr="00E14D65">
        <w:t>arglumic acid</w:t>
      </w:r>
      <w:r w:rsidRPr="00AD2505">
        <w:t xml:space="preserve"> undergoes minimal (human) to moderate (dogs) metabolism. Following oral dosing, both faecal and urinary excretion was seen in animals, while predominantly faecal excretion was seen in humans. Pharmacokinetic drug interactions involving CYP450 enzymes are not expected.</w:t>
      </w:r>
    </w:p>
    <w:p w:rsidR="00AD2505" w:rsidRPr="00AD2505" w:rsidRDefault="00AD2505" w:rsidP="001F6ECA">
      <w:r w:rsidRPr="00AD2505">
        <w:t>Safety pharmacology studies covered the central nervous system, cardiovascular system and respiratory system. No adverse effects were observed at high doses/concentrations.</w:t>
      </w:r>
    </w:p>
    <w:p w:rsidR="00AD2505" w:rsidRPr="00AD2505" w:rsidRDefault="00AD2505" w:rsidP="001F6ECA">
      <w:r w:rsidRPr="00AD2505">
        <w:t>A low order of toxicity was seen in rats following a single</w:t>
      </w:r>
      <w:r w:rsidR="00F05048">
        <w:t xml:space="preserve"> oral or IV dose of </w:t>
      </w:r>
      <w:r w:rsidR="00E14D65" w:rsidRPr="00E14D65">
        <w:t>carglumic acid</w:t>
      </w:r>
      <w:r w:rsidR="00F05048">
        <w:t xml:space="preserve">. Repeat </w:t>
      </w:r>
      <w:r w:rsidRPr="00AD2505">
        <w:t>dose toxicity studies were conducted in newborn and young rats for 2 weeks and 26 weeks duration, respectively. There was no significant macroscopic or microscopic evidence of toxicity at ≤</w:t>
      </w:r>
      <w:r w:rsidR="00AC3B3C">
        <w:t xml:space="preserve"> </w:t>
      </w:r>
      <w:r w:rsidRPr="00AD2505">
        <w:t>100</w:t>
      </w:r>
      <w:r w:rsidR="00207AC7">
        <w:t>0 mg</w:t>
      </w:r>
      <w:r w:rsidRPr="00AD2505">
        <w:t xml:space="preserve">/kg/day (14 x clinical AUC). Minor impairment of </w:t>
      </w:r>
      <w:r w:rsidRPr="00AD2505">
        <w:lastRenderedPageBreak/>
        <w:t>bodyweight development was seen in neonates in the first few days of receiving 100</w:t>
      </w:r>
      <w:r w:rsidR="00AC3B3C">
        <w:t>0 </w:t>
      </w:r>
      <w:r w:rsidR="00207AC7">
        <w:t>mg</w:t>
      </w:r>
      <w:r w:rsidRPr="00AD2505">
        <w:t>/kg/</w:t>
      </w:r>
      <w:r w:rsidR="00F05048">
        <w:t xml:space="preserve">day </w:t>
      </w:r>
      <w:r w:rsidR="00E14D65" w:rsidRPr="00E14D65">
        <w:t>carglumic acid</w:t>
      </w:r>
      <w:r w:rsidR="00F05048">
        <w:t xml:space="preserve">. Overall, no clinically </w:t>
      </w:r>
      <w:r w:rsidRPr="00AD2505">
        <w:t>relevant toxicities were observed.</w:t>
      </w:r>
    </w:p>
    <w:p w:rsidR="00AD2505" w:rsidRPr="00AD2505" w:rsidRDefault="00AD2505" w:rsidP="001F6ECA">
      <w:r w:rsidRPr="00AD2505">
        <w:t xml:space="preserve">The weight of evidence indicates a low genotoxic potential with </w:t>
      </w:r>
      <w:r w:rsidR="00E14D65" w:rsidRPr="00E14D65">
        <w:t>carglumic acid</w:t>
      </w:r>
      <w:r w:rsidRPr="00AD2505">
        <w:t>. No carcinogenicity studies were submitted.</w:t>
      </w:r>
    </w:p>
    <w:p w:rsidR="00AD2505" w:rsidRPr="00AD2505" w:rsidRDefault="00AD2505" w:rsidP="001F6ECA">
      <w:r w:rsidRPr="00AD2505">
        <w:t>Fertility was unaffected in rats at high exposures. No adverse embryofetal changes or effects on embryofetal development wer</w:t>
      </w:r>
      <w:r w:rsidR="00066F36">
        <w:t>e observed in rats and rabbits.</w:t>
      </w:r>
      <w:r w:rsidR="00F6219C">
        <w:t xml:space="preserve"> C</w:t>
      </w:r>
      <w:r w:rsidR="00E14D65" w:rsidRPr="00E14D65">
        <w:t>arglumic acid</w:t>
      </w:r>
      <w:r w:rsidRPr="00AD2505">
        <w:t xml:space="preserve"> was excreted in milk in lactating rats, with reduced postnatal survival and pup</w:t>
      </w:r>
      <w:r w:rsidR="00F05048">
        <w:t xml:space="preserve"> weight gain observed in breast </w:t>
      </w:r>
      <w:r w:rsidRPr="00AD2505">
        <w:t>fed pups. No adverse effects on development were seen in the toxicity studies relevant to a paediatric indication. Pregnancy category C is proposed.</w:t>
      </w:r>
    </w:p>
    <w:p w:rsidR="00AD2505" w:rsidRPr="00AD2505" w:rsidRDefault="00AC3B3C" w:rsidP="001F6ECA">
      <w:r>
        <w:t>The nonclinical evaluators</w:t>
      </w:r>
      <w:r w:rsidR="00AD2505" w:rsidRPr="00AD2505">
        <w:t xml:space="preserve"> have no objection to the proposed clinical use.</w:t>
      </w:r>
    </w:p>
    <w:p w:rsidR="008E7846" w:rsidRDefault="008E7846" w:rsidP="001F6ECA">
      <w:pPr>
        <w:pStyle w:val="Heading3"/>
      </w:pPr>
      <w:bookmarkStart w:id="208" w:name="_Toc247691530"/>
      <w:bookmarkStart w:id="209" w:name="_Toc314842513"/>
      <w:bookmarkStart w:id="210" w:name="_Toc433190188"/>
      <w:r w:rsidRPr="001F6ECA">
        <w:t>Clinical</w:t>
      </w:r>
      <w:bookmarkEnd w:id="208"/>
      <w:bookmarkEnd w:id="209"/>
      <w:bookmarkEnd w:id="210"/>
    </w:p>
    <w:p w:rsidR="006F3483" w:rsidRPr="006F3483" w:rsidRDefault="006F3483" w:rsidP="001F6ECA">
      <w:r w:rsidRPr="006F3483">
        <w:t>The</w:t>
      </w:r>
      <w:r w:rsidR="00AC3B3C">
        <w:t xml:space="preserve"> clinical dossier consisted of two</w:t>
      </w:r>
      <w:r w:rsidRPr="006F3483">
        <w:t xml:space="preserve"> pharmacology stud</w:t>
      </w:r>
      <w:r w:rsidR="00AC3B3C">
        <w:t>ies (PK in healthy adults) and two</w:t>
      </w:r>
      <w:r w:rsidRPr="006F3483">
        <w:t xml:space="preserve"> retrospective reviews of efficacy/safety data considered pivotal for this submission. The</w:t>
      </w:r>
      <w:r w:rsidR="00207AC7">
        <w:t xml:space="preserve"> safety data also included post </w:t>
      </w:r>
      <w:r w:rsidRPr="006F3483">
        <w:t>market safety reports.</w:t>
      </w:r>
    </w:p>
    <w:p w:rsidR="006F3483" w:rsidRPr="006F3483" w:rsidRDefault="006F3483" w:rsidP="001F6ECA">
      <w:r w:rsidRPr="006F3483">
        <w:t>No PK studies in target population or special populations were conducted. No drug interaction studies were conducted. There w</w:t>
      </w:r>
      <w:r w:rsidR="00207AC7">
        <w:t xml:space="preserve">ere no dose </w:t>
      </w:r>
      <w:r w:rsidRPr="006F3483">
        <w:t>finding studies.</w:t>
      </w:r>
    </w:p>
    <w:p w:rsidR="006F3483" w:rsidRPr="006F3483" w:rsidRDefault="006F3483" w:rsidP="001F6ECA">
      <w:r w:rsidRPr="006F3483">
        <w:t xml:space="preserve">The clinical evaluator recommends rejection due to inadequately described </w:t>
      </w:r>
      <w:r w:rsidR="00BF4A86" w:rsidRPr="00BF4A86">
        <w:t xml:space="preserve">PK </w:t>
      </w:r>
      <w:r w:rsidRPr="006F3483">
        <w:t>in neonates and concern about insuffi</w:t>
      </w:r>
      <w:r w:rsidR="00207AC7">
        <w:t>cient information about safety</w:t>
      </w:r>
      <w:r w:rsidR="00F05048">
        <w:t>.</w:t>
      </w:r>
    </w:p>
    <w:p w:rsidR="00582427" w:rsidRPr="00582427" w:rsidRDefault="006F3483" w:rsidP="001F6ECA">
      <w:pPr>
        <w:pStyle w:val="Heading4"/>
      </w:pPr>
      <w:bookmarkStart w:id="211" w:name="_Ref271189106"/>
      <w:bookmarkStart w:id="212" w:name="_Ref271189143"/>
      <w:bookmarkStart w:id="213" w:name="_Toc272414618"/>
      <w:bookmarkStart w:id="214" w:name="_Toc290846241"/>
      <w:bookmarkStart w:id="215" w:name="_Toc398497505"/>
      <w:r w:rsidRPr="001F6ECA">
        <w:t>Pharmacokinetics</w:t>
      </w:r>
    </w:p>
    <w:p w:rsidR="006F3483" w:rsidRPr="006F3483" w:rsidRDefault="006F3483" w:rsidP="001F6ECA">
      <w:pPr>
        <w:pStyle w:val="Heading5"/>
      </w:pPr>
      <w:bookmarkStart w:id="216" w:name="_Toc398497506"/>
      <w:bookmarkEnd w:id="211"/>
      <w:bookmarkEnd w:id="212"/>
      <w:bookmarkEnd w:id="213"/>
      <w:bookmarkEnd w:id="214"/>
      <w:bookmarkEnd w:id="215"/>
      <w:r w:rsidRPr="006F3483">
        <w:t>Study OE 312/PK/99-01</w:t>
      </w:r>
    </w:p>
    <w:bookmarkEnd w:id="216"/>
    <w:p w:rsidR="006F3483" w:rsidRDefault="006F3483" w:rsidP="001F6ECA">
      <w:r w:rsidRPr="006F3483">
        <w:t>This was an open label single (oral) dose (100</w:t>
      </w:r>
      <w:r w:rsidR="00207AC7">
        <w:t xml:space="preserve"> </w:t>
      </w:r>
      <w:r w:rsidRPr="006F3483">
        <w:t>mg/kg), bioequivalence (BE) study of 200</w:t>
      </w:r>
      <w:r w:rsidR="00207AC7">
        <w:t xml:space="preserve"> </w:t>
      </w:r>
      <w:r w:rsidRPr="006F3483">
        <w:t xml:space="preserve">mg </w:t>
      </w:r>
      <w:r w:rsidR="00E14D65" w:rsidRPr="00E14D65">
        <w:t>carglumic acid</w:t>
      </w:r>
      <w:r w:rsidRPr="006F3483">
        <w:t xml:space="preserve"> dispersible tablet </w:t>
      </w:r>
      <w:r w:rsidR="00207AC7">
        <w:t>versus</w:t>
      </w:r>
      <w:r w:rsidRPr="006F3483">
        <w:t xml:space="preserve"> </w:t>
      </w:r>
      <w:r w:rsidR="00E14D65" w:rsidRPr="00E14D65">
        <w:t>carglumic acid</w:t>
      </w:r>
      <w:r w:rsidRPr="006F3483">
        <w:t xml:space="preserve"> powder in 12 healthy young mal</w:t>
      </w:r>
      <w:r w:rsidR="00207AC7">
        <w:t xml:space="preserve">es (mean age 23 years; range 18 to </w:t>
      </w:r>
      <w:r w:rsidRPr="006F3483">
        <w:t>28 years). The results indicate that the dispersible 200</w:t>
      </w:r>
      <w:r w:rsidR="00207AC7">
        <w:t xml:space="preserve"> </w:t>
      </w:r>
      <w:r w:rsidRPr="006F3483">
        <w:t>mg tablet was BE to the powder formulation with respect to the</w:t>
      </w:r>
      <w:r w:rsidR="00F05048">
        <w:t xml:space="preserve"> parent drug carglumic acid (N-carbamyl-L-g</w:t>
      </w:r>
      <w:r w:rsidRPr="006F3483">
        <w:t xml:space="preserve">lutamic acid) as shown </w:t>
      </w:r>
      <w:r w:rsidR="00A47C91">
        <w:t>in Table 4 (above).</w:t>
      </w:r>
    </w:p>
    <w:p w:rsidR="006F3483" w:rsidRPr="006F3483" w:rsidRDefault="006F3483" w:rsidP="001F6ECA">
      <w:r w:rsidRPr="006F3483">
        <w:t>Total body clearance was about 6</w:t>
      </w:r>
      <w:r w:rsidR="003B38B5">
        <w:t xml:space="preserve"> </w:t>
      </w:r>
      <w:r w:rsidRPr="006F3483">
        <w:t>L/min and volume of distribution was about 3000</w:t>
      </w:r>
      <w:r w:rsidR="003B38B5">
        <w:t xml:space="preserve"> </w:t>
      </w:r>
      <w:r w:rsidRPr="006F3483">
        <w:t>L. The amount of N</w:t>
      </w:r>
      <w:r w:rsidR="00E14D65" w:rsidRPr="00E14D65">
        <w:t xml:space="preserve"> carglumic acid</w:t>
      </w:r>
      <w:r w:rsidRPr="006F3483">
        <w:t xml:space="preserve"> excreted unchanged in urine was low (5% of dose 24</w:t>
      </w:r>
      <w:r w:rsidR="003B38B5">
        <w:t xml:space="preserve"> </w:t>
      </w:r>
      <w:r w:rsidRPr="006F3483">
        <w:t>h</w:t>
      </w:r>
      <w:r w:rsidR="00AC3B3C">
        <w:t xml:space="preserve"> post administration). The half-</w:t>
      </w:r>
      <w:r w:rsidRPr="006F3483">
        <w:t>life could not be accurately determined in this study due to lack of adequate sampling in a biphasi</w:t>
      </w:r>
      <w:r w:rsidR="003B38B5">
        <w:t>c distribution. Bioavailability</w:t>
      </w:r>
      <w:r w:rsidRPr="006F3483">
        <w:t xml:space="preserve"> is stated to be 30%. This cannot be absolute </w:t>
      </w:r>
      <w:r w:rsidR="003B38B5">
        <w:t>b</w:t>
      </w:r>
      <w:r w:rsidR="003B38B5" w:rsidRPr="003B38B5">
        <w:t>ioavailability</w:t>
      </w:r>
      <w:r w:rsidRPr="006F3483">
        <w:t xml:space="preserve"> as an IV study was not done. The sponsor is request to clarify this in its pre-ACPM response.</w:t>
      </w:r>
    </w:p>
    <w:p w:rsidR="006F3483" w:rsidRPr="006F3483" w:rsidRDefault="006F3483" w:rsidP="001F6ECA">
      <w:r w:rsidRPr="006F3483">
        <w:t>In addition, the sponsor is requested to clarify the administration instructions (volume of fluid and any additional rinsing for the undissolved, remaining content of the tabl</w:t>
      </w:r>
      <w:r w:rsidR="000B40CD">
        <w:t>et) for inclusion in PI in its p</w:t>
      </w:r>
      <w:r w:rsidRPr="006F3483">
        <w:t>re-</w:t>
      </w:r>
      <w:r w:rsidR="000B40CD" w:rsidRPr="000B40CD">
        <w:t xml:space="preserve">Advisory Committee on Prescription Medicines (ACPM) </w:t>
      </w:r>
      <w:r w:rsidRPr="006F3483">
        <w:t>response. The instruction should be precise, consistent with the conditions of administration during the clinical trials, and note any differences for neonates and children or adults.</w:t>
      </w:r>
    </w:p>
    <w:p w:rsidR="006F3483" w:rsidRPr="006F3483" w:rsidRDefault="006F3483" w:rsidP="001F6ECA">
      <w:pPr>
        <w:pStyle w:val="Heading5"/>
      </w:pPr>
      <w:bookmarkStart w:id="217" w:name="_Ref380870841"/>
      <w:bookmarkStart w:id="218" w:name="_Ref380870873"/>
      <w:bookmarkStart w:id="219" w:name="_Ref380870931"/>
      <w:bookmarkStart w:id="220" w:name="_Toc398497509"/>
      <w:r w:rsidRPr="006F3483">
        <w:t>Study SPC 313-1</w:t>
      </w:r>
      <w:bookmarkEnd w:id="217"/>
      <w:bookmarkEnd w:id="218"/>
      <w:bookmarkEnd w:id="219"/>
      <w:bookmarkEnd w:id="220"/>
    </w:p>
    <w:p w:rsidR="006F3483" w:rsidRDefault="006F3483" w:rsidP="001F6ECA">
      <w:r w:rsidRPr="006F3483">
        <w:t>This was a mass-balance st</w:t>
      </w:r>
      <w:r w:rsidR="00207AC7">
        <w:t xml:space="preserve">udy in 3 healthy males (aged 40 to </w:t>
      </w:r>
      <w:r w:rsidRPr="006F3483">
        <w:t xml:space="preserve">55 years) each of whom received a single oral dose of </w:t>
      </w:r>
      <w:r w:rsidRPr="00207AC7">
        <w:rPr>
          <w:vertAlign w:val="superscript"/>
        </w:rPr>
        <w:t>14</w:t>
      </w:r>
      <w:r w:rsidRPr="006F3483">
        <w:t xml:space="preserve">C labelled </w:t>
      </w:r>
      <w:r w:rsidR="00E14D65" w:rsidRPr="00E14D65">
        <w:t>carglumic acid</w:t>
      </w:r>
      <w:r w:rsidRPr="006F3483">
        <w:t xml:space="preserve"> (10</w:t>
      </w:r>
      <w:r w:rsidR="00207AC7">
        <w:t>0 mg</w:t>
      </w:r>
      <w:r w:rsidRPr="006F3483">
        <w:t xml:space="preserve">/kg). The parent compound was shown to be excreted in faeces (about 60% in Subjects 001 </w:t>
      </w:r>
      <w:r w:rsidR="00207AC7">
        <w:t>and</w:t>
      </w:r>
      <w:r w:rsidRPr="006F3483">
        <w:t xml:space="preserve"> 003 and 8.5% in Subject 002) and to a lesser extent in urine (approximately 8%). These results matched the radioactivity detected in faeces (approximately 72% in Subjects 001 </w:t>
      </w:r>
      <w:r w:rsidR="00207AC7">
        <w:t>and</w:t>
      </w:r>
      <w:r w:rsidRPr="006F3483">
        <w:t xml:space="preserve"> 003 and 16.5% in Subject 002) and in urine (approximately 9%). The estimated PK parameters were as follows</w:t>
      </w:r>
      <w:r w:rsidR="00207AC7">
        <w:t xml:space="preserve"> in Table </w:t>
      </w:r>
      <w:r w:rsidR="00FA0223">
        <w:t>9</w:t>
      </w:r>
      <w:r w:rsidR="001A297B">
        <w:t>.</w:t>
      </w:r>
    </w:p>
    <w:p w:rsidR="00207AC7" w:rsidRPr="006F3483" w:rsidRDefault="00207AC7" w:rsidP="001F6ECA">
      <w:pPr>
        <w:pStyle w:val="TableTitle"/>
      </w:pPr>
      <w:r>
        <w:lastRenderedPageBreak/>
        <w:t xml:space="preserve">Table </w:t>
      </w:r>
      <w:r w:rsidR="00FA0223">
        <w:t>9</w:t>
      </w:r>
      <w:r>
        <w:t xml:space="preserve">. Pharmacokinetic parameters for </w:t>
      </w:r>
      <w:r w:rsidR="00E14D65" w:rsidRPr="00E14D65">
        <w:t>carglumic acid</w:t>
      </w:r>
      <w:r>
        <w:t>.</w:t>
      </w:r>
    </w:p>
    <w:p w:rsidR="006F3483" w:rsidRDefault="006F3483" w:rsidP="001F6ECA">
      <w:r>
        <w:rPr>
          <w:noProof/>
          <w:lang w:eastAsia="en-AU"/>
        </w:rPr>
        <w:drawing>
          <wp:inline distT="0" distB="0" distL="0" distR="0" wp14:anchorId="64EEFCCA" wp14:editId="3F64BB08">
            <wp:extent cx="4619625" cy="3057525"/>
            <wp:effectExtent l="0" t="0" r="9525" b="9525"/>
            <wp:docPr id="5" name="Picture 5" descr="Table 9. Pharmacokinetic parameters for carglumic acid." title="Tabl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619625" cy="3057525"/>
                    </a:xfrm>
                    <a:prstGeom prst="rect">
                      <a:avLst/>
                    </a:prstGeom>
                  </pic:spPr>
                </pic:pic>
              </a:graphicData>
            </a:graphic>
          </wp:inline>
        </w:drawing>
      </w:r>
    </w:p>
    <w:p w:rsidR="006F3483" w:rsidRPr="006F3483" w:rsidRDefault="006F3483" w:rsidP="001F6ECA">
      <w:r w:rsidRPr="006F3483">
        <w:t xml:space="preserve">A proportion of carglumic acid may be degraded or metabolised by the intestinal bacterial flora. The likely end product of </w:t>
      </w:r>
      <w:r w:rsidR="00E14D65" w:rsidRPr="00E14D65">
        <w:t>carglumic acid</w:t>
      </w:r>
      <w:r w:rsidRPr="006F3483">
        <w:t xml:space="preserve"> metabolism after absorption is carbon dioxide, eliminated through the lungs.</w:t>
      </w:r>
    </w:p>
    <w:p w:rsidR="006F3483" w:rsidRDefault="006F3483" w:rsidP="001F6ECA">
      <w:r w:rsidRPr="006F3483">
        <w:t xml:space="preserve">In response to a question in </w:t>
      </w:r>
      <w:r w:rsidR="00322DA1">
        <w:t>the first round</w:t>
      </w:r>
      <w:r w:rsidRPr="006F3483">
        <w:t xml:space="preserve"> evaluation the sponsor provided an expert opinion and included a graph of </w:t>
      </w:r>
      <w:r w:rsidR="00E14D65" w:rsidRPr="00E14D65">
        <w:t>carglumic acid</w:t>
      </w:r>
      <w:r w:rsidRPr="006F3483">
        <w:t xml:space="preserve"> plasma levels in a small number of patients (&lt; 6 months old and &gt; 6 months old)</w:t>
      </w:r>
      <w:r w:rsidR="00A47C91">
        <w:t xml:space="preserve"> ( see Figure </w:t>
      </w:r>
      <w:r w:rsidR="00E56774">
        <w:t>24 Attachment 2</w:t>
      </w:r>
      <w:r w:rsidR="00A47C91">
        <w:t>).</w:t>
      </w:r>
    </w:p>
    <w:p w:rsidR="006F3483" w:rsidRPr="006F3483" w:rsidRDefault="006F3483" w:rsidP="001F6ECA">
      <w:r w:rsidRPr="006F3483">
        <w:t>The graph appears to indicate that dosing up to 9</w:t>
      </w:r>
      <w:r w:rsidR="00207AC7">
        <w:t>0 mg</w:t>
      </w:r>
      <w:r w:rsidRPr="006F3483">
        <w:t xml:space="preserve">/kg/day body weight in neonates may provide similar (higher) plasma levels of </w:t>
      </w:r>
      <w:r w:rsidR="00E14D65" w:rsidRPr="00E14D65">
        <w:t>carglumic acid</w:t>
      </w:r>
      <w:r w:rsidRPr="006F3483">
        <w:t xml:space="preserve"> compared to &gt;</w:t>
      </w:r>
      <w:r w:rsidR="00D7554B">
        <w:t xml:space="preserve"> </w:t>
      </w:r>
      <w:r w:rsidRPr="006F3483">
        <w:t>10</w:t>
      </w:r>
      <w:r w:rsidR="00207AC7">
        <w:t>0 mg</w:t>
      </w:r>
      <w:r w:rsidRPr="006F3483">
        <w:t>/kg/day dosing in &gt;</w:t>
      </w:r>
      <w:r w:rsidR="00D7554B">
        <w:t xml:space="preserve"> </w:t>
      </w:r>
      <w:r w:rsidRPr="006F3483">
        <w:t>6 months old age group. The proposed Australian PI is same as that approved in Europe and includes the following text:</w:t>
      </w:r>
    </w:p>
    <w:p w:rsidR="006F3483" w:rsidRPr="001F6ECA" w:rsidRDefault="00D7554B" w:rsidP="001F6ECA">
      <w:pPr>
        <w:ind w:left="720"/>
        <w:rPr>
          <w:i/>
        </w:rPr>
      </w:pPr>
      <w:r w:rsidRPr="001F6ECA">
        <w:rPr>
          <w:i/>
        </w:rPr>
        <w:t>‘</w:t>
      </w:r>
      <w:r w:rsidR="006F3483" w:rsidRPr="001F6ECA">
        <w:rPr>
          <w:i/>
        </w:rPr>
        <w:t>Plasma levels of carglumic acid were measured in patients of all age categories, from newborn infants to adolescents, treat</w:t>
      </w:r>
      <w:r w:rsidRPr="001F6ECA">
        <w:rPr>
          <w:i/>
        </w:rPr>
        <w:t>ed with various daily doses (7 to</w:t>
      </w:r>
      <w:r w:rsidR="006F3483" w:rsidRPr="001F6ECA">
        <w:rPr>
          <w:i/>
        </w:rPr>
        <w:t xml:space="preserve"> 122 mg/kg/day). Their range was consistent with those measured in healthy adults, even in newborn infants. Whatever the daily dose, they were slowly declining over 15 hours to levels around 100ng/mL.</w:t>
      </w:r>
      <w:r w:rsidRPr="001F6ECA">
        <w:rPr>
          <w:i/>
        </w:rPr>
        <w:t>’</w:t>
      </w:r>
    </w:p>
    <w:p w:rsidR="006F3483" w:rsidRPr="006F3483" w:rsidRDefault="00D7554B" w:rsidP="001F6ECA">
      <w:pPr>
        <w:pStyle w:val="Heading4"/>
      </w:pPr>
      <w:bookmarkStart w:id="221" w:name="_Toc241374306"/>
      <w:bookmarkStart w:id="222" w:name="_Ref269120909"/>
      <w:bookmarkStart w:id="223" w:name="_Ref269201687"/>
      <w:bookmarkStart w:id="224" w:name="_Ref269223123"/>
      <w:bookmarkStart w:id="225" w:name="_Toc272414650"/>
      <w:bookmarkStart w:id="226" w:name="_Ref272918447"/>
      <w:bookmarkStart w:id="227" w:name="_Ref273000275"/>
      <w:bookmarkStart w:id="228" w:name="_Toc290846272"/>
      <w:bookmarkStart w:id="229" w:name="_Toc398497524"/>
      <w:r w:rsidRPr="006F3483">
        <w:t xml:space="preserve">Clinical </w:t>
      </w:r>
      <w:r w:rsidRPr="001F6ECA">
        <w:t>efficacy</w:t>
      </w:r>
      <w:bookmarkEnd w:id="221"/>
      <w:bookmarkEnd w:id="222"/>
      <w:bookmarkEnd w:id="223"/>
      <w:bookmarkEnd w:id="224"/>
      <w:bookmarkEnd w:id="225"/>
      <w:bookmarkEnd w:id="226"/>
      <w:bookmarkEnd w:id="227"/>
      <w:bookmarkEnd w:id="228"/>
      <w:bookmarkEnd w:id="229"/>
    </w:p>
    <w:p w:rsidR="006F3483" w:rsidRPr="006F3483" w:rsidRDefault="006F3483" w:rsidP="001F6ECA">
      <w:pPr>
        <w:pStyle w:val="Heading5"/>
      </w:pPr>
      <w:bookmarkStart w:id="230" w:name="_Toc398497525"/>
      <w:r w:rsidRPr="006F3483">
        <w:t xml:space="preserve">NAGS </w:t>
      </w:r>
      <w:r w:rsidRPr="001F6ECA">
        <w:t>deficiency</w:t>
      </w:r>
      <w:bookmarkStart w:id="231" w:name="_Ref271040927"/>
      <w:bookmarkStart w:id="232" w:name="_Ref271040932"/>
      <w:bookmarkStart w:id="233" w:name="_Toc272414653"/>
      <w:bookmarkStart w:id="234" w:name="_Toc290846275"/>
      <w:bookmarkStart w:id="235" w:name="_Toc398497527"/>
      <w:bookmarkEnd w:id="230"/>
      <w:r w:rsidRPr="006F3483">
        <w:t xml:space="preserve"> - retrospective review</w:t>
      </w:r>
      <w:bookmarkEnd w:id="231"/>
      <w:bookmarkEnd w:id="232"/>
      <w:bookmarkEnd w:id="233"/>
      <w:bookmarkEnd w:id="234"/>
      <w:bookmarkEnd w:id="235"/>
    </w:p>
    <w:p w:rsidR="006F3483" w:rsidRDefault="006F3483" w:rsidP="001F6ECA">
      <w:r w:rsidRPr="006F3483">
        <w:t>This was a retrospective review of</w:t>
      </w:r>
      <w:r w:rsidR="00D7554B">
        <w:t xml:space="preserve"> data from patients in a ‘Named </w:t>
      </w:r>
      <w:r w:rsidRPr="006F3483">
        <w:t xml:space="preserve">Patient Use’ programme in Europe from 1991 to 2007. A total of 23 NAGS deficiency patients (14 male; 9 female) were identified among all treated with </w:t>
      </w:r>
      <w:r w:rsidR="00E14D65" w:rsidRPr="00E14D65">
        <w:t>carglumic acid</w:t>
      </w:r>
      <w:r w:rsidRPr="006F3483">
        <w:t xml:space="preserve"> for hyperammonaemia due to various causes. Molecular testing (DNA confirmation) was available in 18 patients (subsequently one more patient was confirmed homozygous). Eighteen patients were had ongoing </w:t>
      </w:r>
      <w:r w:rsidR="00E14D65" w:rsidRPr="00E14D65">
        <w:t>carglumic acid</w:t>
      </w:r>
      <w:r w:rsidRPr="006F3483">
        <w:t xml:space="preserve"> tr</w:t>
      </w:r>
      <w:r w:rsidR="00322DA1">
        <w:t xml:space="preserve">eatment at the time of data cut </w:t>
      </w:r>
      <w:r w:rsidRPr="006F3483">
        <w:t xml:space="preserve">off as </w:t>
      </w:r>
      <w:r w:rsidR="00A47C91">
        <w:t xml:space="preserve">shown </w:t>
      </w:r>
      <w:r w:rsidR="00A47C91" w:rsidRPr="00E56774">
        <w:rPr>
          <w:color w:val="000000" w:themeColor="text1"/>
        </w:rPr>
        <w:t xml:space="preserve">in Figure </w:t>
      </w:r>
      <w:r w:rsidR="00E56774" w:rsidRPr="00E56774">
        <w:rPr>
          <w:color w:val="000000" w:themeColor="text1"/>
        </w:rPr>
        <w:t>7</w:t>
      </w:r>
      <w:r w:rsidR="00D7554B" w:rsidRPr="00E56774">
        <w:rPr>
          <w:color w:val="000000" w:themeColor="text1"/>
        </w:rPr>
        <w:t xml:space="preserve"> </w:t>
      </w:r>
      <w:r w:rsidR="00E56774" w:rsidRPr="00E56774">
        <w:rPr>
          <w:color w:val="000000" w:themeColor="text1"/>
        </w:rPr>
        <w:t>Attachment 2</w:t>
      </w:r>
      <w:r w:rsidR="00A47C91" w:rsidRPr="00E56774">
        <w:rPr>
          <w:color w:val="000000" w:themeColor="text1"/>
        </w:rPr>
        <w:t>.</w:t>
      </w:r>
    </w:p>
    <w:p w:rsidR="006F3483" w:rsidRPr="006F3483" w:rsidRDefault="006F3483" w:rsidP="001F6ECA">
      <w:r w:rsidRPr="006F3483">
        <w:t>All patients were children &lt;</w:t>
      </w:r>
      <w:r w:rsidR="00B621A4">
        <w:t xml:space="preserve"> </w:t>
      </w:r>
      <w:r w:rsidRPr="006F3483">
        <w:t xml:space="preserve">1 month to 13 years old. In 9 patients, treatment with </w:t>
      </w:r>
      <w:r w:rsidR="00E14D65" w:rsidRPr="00E14D65">
        <w:t>carglumic acid</w:t>
      </w:r>
      <w:r w:rsidRPr="006F3483">
        <w:t xml:space="preserve"> was initiated within the neonatal period. Nine patients started treatment betwee</w:t>
      </w:r>
      <w:r w:rsidR="00D7554B">
        <w:t xml:space="preserve">n 2 to </w:t>
      </w:r>
      <w:r w:rsidRPr="006F3483">
        <w:t>7 months of age and 5 patie</w:t>
      </w:r>
      <w:r w:rsidR="00D7554B">
        <w:t xml:space="preserve">nts started treatment between 1 to </w:t>
      </w:r>
      <w:r w:rsidRPr="006F3483">
        <w:t xml:space="preserve">13 years of age. The mean baseline plasma </w:t>
      </w:r>
      <w:r w:rsidR="00D7554B" w:rsidRPr="000101CA">
        <w:t>NH</w:t>
      </w:r>
      <w:r w:rsidR="00D7554B" w:rsidRPr="00D7554B">
        <w:rPr>
          <w:vertAlign w:val="subscript"/>
        </w:rPr>
        <w:t>3</w:t>
      </w:r>
      <w:r w:rsidRPr="006F3483">
        <w:t xml:space="preserve"> (n = 20) was 218.9 (SD 299.0) </w:t>
      </w:r>
      <w:r w:rsidR="00D7554B">
        <w:t>µ</w:t>
      </w:r>
      <w:r w:rsidRPr="006F3483">
        <w:t>mol/L (median 142</w:t>
      </w:r>
      <w:r w:rsidR="00322DA1">
        <w:t xml:space="preserve"> </w:t>
      </w:r>
      <w:r w:rsidR="00F6219C">
        <w:t>µ</w:t>
      </w:r>
      <w:r w:rsidRPr="006F3483">
        <w:t>mol/L).</w:t>
      </w:r>
    </w:p>
    <w:p w:rsidR="006F3483" w:rsidRPr="006F3483" w:rsidRDefault="006F3483" w:rsidP="001F6ECA">
      <w:r w:rsidRPr="006F3483">
        <w:lastRenderedPageBreak/>
        <w:t>The patients were treated for</w:t>
      </w:r>
      <w:r w:rsidR="00D7554B">
        <w:t xml:space="preserve"> a median of 95 months (range 7 to </w:t>
      </w:r>
      <w:r w:rsidRPr="006F3483">
        <w:t>248 months). During acute treatment dose</w:t>
      </w:r>
      <w:r w:rsidR="00D7554B">
        <w:t xml:space="preserve">s between 100 to </w:t>
      </w:r>
      <w:r w:rsidRPr="006F3483">
        <w:t>25</w:t>
      </w:r>
      <w:r w:rsidR="00207AC7">
        <w:t>0 mg</w:t>
      </w:r>
      <w:r w:rsidR="00D7554B">
        <w:t xml:space="preserve">/kg/day administered 2 to </w:t>
      </w:r>
      <w:r w:rsidRPr="006F3483">
        <w:t>5 times per day were used. The dose was then reduced over time depending upon the response.</w:t>
      </w:r>
    </w:p>
    <w:p w:rsidR="006F3483" w:rsidRPr="006F3483" w:rsidRDefault="006F3483" w:rsidP="001F6ECA">
      <w:r w:rsidRPr="006F3483">
        <w:t>The concomitant treatments included specific amino acids, ammonia scavengers (carnitine, sodium benzoate, phenylbutyrate) and haemodialysis. The timing of these interventions</w:t>
      </w:r>
      <w:r w:rsidR="00322DA1">
        <w:t xml:space="preserve"> was not assessed. The sponsor wa</w:t>
      </w:r>
      <w:r w:rsidRPr="006F3483">
        <w:t>s requested to provide details if available.</w:t>
      </w:r>
    </w:p>
    <w:p w:rsidR="006F3483" w:rsidRPr="006F3483" w:rsidRDefault="006F3483" w:rsidP="001F6ECA">
      <w:r w:rsidRPr="006F3483">
        <w:t xml:space="preserve">The efficacy was analysed </w:t>
      </w:r>
      <w:r w:rsidR="00D7554B">
        <w:t>short term</w:t>
      </w:r>
      <w:r w:rsidRPr="006F3483">
        <w:t xml:space="preserve"> (first 7 days of treatment) and </w:t>
      </w:r>
      <w:r w:rsidR="00D7554B">
        <w:t>long term</w:t>
      </w:r>
      <w:r w:rsidRPr="006F3483">
        <w:t xml:space="preserve"> (last</w:t>
      </w:r>
      <w:r w:rsidR="00B621A4">
        <w:t xml:space="preserve"> reported evaluation excluding D</w:t>
      </w:r>
      <w:r w:rsidRPr="006F3483">
        <w:t>ay zero) and showed following results:</w:t>
      </w:r>
    </w:p>
    <w:p w:rsidR="006F3483" w:rsidRDefault="006F3483" w:rsidP="001F6ECA">
      <w:pPr>
        <w:pStyle w:val="ListBullet"/>
      </w:pPr>
      <w:r w:rsidRPr="006F3483">
        <w:t>T</w:t>
      </w:r>
      <w:r w:rsidR="0084317F">
        <w:t xml:space="preserve">he reduction in plasma </w:t>
      </w:r>
      <w:r w:rsidR="00D7554B" w:rsidRPr="000101CA">
        <w:t>NH</w:t>
      </w:r>
      <w:r w:rsidR="00D7554B" w:rsidRPr="00D7554B">
        <w:rPr>
          <w:vertAlign w:val="subscript"/>
        </w:rPr>
        <w:t>3</w:t>
      </w:r>
      <w:r w:rsidRPr="006F3483">
        <w:t xml:space="preserve"> was rapid (on day</w:t>
      </w:r>
      <w:r w:rsidR="00D7554B">
        <w:t xml:space="preserve"> 1) and occurred over initial 1 to </w:t>
      </w:r>
      <w:r w:rsidRPr="006F3483">
        <w:t xml:space="preserve">3 </w:t>
      </w:r>
      <w:r w:rsidRPr="001F6ECA">
        <w:t>days</w:t>
      </w:r>
      <w:r w:rsidRPr="006F3483">
        <w:t xml:space="preserve">. The initial response (acute phase treatment over </w:t>
      </w:r>
      <w:r w:rsidR="00D7554B">
        <w:t>first</w:t>
      </w:r>
      <w:r w:rsidRPr="006F3483">
        <w:t xml:space="preserve"> 7 days) was maintained in the </w:t>
      </w:r>
      <w:r w:rsidR="00D7554B">
        <w:t>long term</w:t>
      </w:r>
      <w:r w:rsidRPr="006F3483">
        <w:t xml:space="preserve"> (last available observation) as shown </w:t>
      </w:r>
      <w:r w:rsidR="00A47C91">
        <w:t>in Figure</w:t>
      </w:r>
      <w:r w:rsidR="00B621A4">
        <w:t>s</w:t>
      </w:r>
      <w:r w:rsidR="00A47C91">
        <w:t xml:space="preserve"> </w:t>
      </w:r>
      <w:r w:rsidR="00E56774">
        <w:t>8</w:t>
      </w:r>
      <w:r w:rsidR="00A47C91">
        <w:t xml:space="preserve"> and </w:t>
      </w:r>
      <w:r w:rsidR="00E56774">
        <w:t>9</w:t>
      </w:r>
      <w:r w:rsidR="00B621A4">
        <w:t xml:space="preserve"> </w:t>
      </w:r>
      <w:r w:rsidR="00E56774">
        <w:t>in Attachment 2</w:t>
      </w:r>
      <w:r w:rsidR="00A5090B">
        <w:t xml:space="preserve"> respectively</w:t>
      </w:r>
      <w:r w:rsidR="00A47C91">
        <w:t>.</w:t>
      </w:r>
    </w:p>
    <w:p w:rsidR="000101CA" w:rsidRPr="000101CA" w:rsidRDefault="000101CA" w:rsidP="001F6ECA">
      <w:pPr>
        <w:pStyle w:val="ListBullet"/>
      </w:pPr>
      <w:r w:rsidRPr="000101CA">
        <w:t xml:space="preserve">The </w:t>
      </w:r>
      <w:r w:rsidRPr="001F6ECA">
        <w:t>mean</w:t>
      </w:r>
      <w:r w:rsidRPr="000101CA">
        <w:t xml:space="preserve"> plasma </w:t>
      </w:r>
      <w:r w:rsidR="00D7554B" w:rsidRPr="000101CA">
        <w:t>NH</w:t>
      </w:r>
      <w:r w:rsidR="00D7554B" w:rsidRPr="00D7554B">
        <w:rPr>
          <w:vertAlign w:val="subscript"/>
        </w:rPr>
        <w:t>3</w:t>
      </w:r>
      <w:r w:rsidRPr="000101CA">
        <w:t xml:space="preserve"> (n = 21) at last available observation (long term) was 52.0</w:t>
      </w:r>
      <w:r w:rsidR="00B621A4">
        <w:t xml:space="preserve"> µ</w:t>
      </w:r>
      <w:r w:rsidRPr="000101CA">
        <w:t>mol/L (SD 88.6). The 95% confidence interval for the mean was 11.4</w:t>
      </w:r>
      <w:r w:rsidR="00B621A4">
        <w:t xml:space="preserve"> µ</w:t>
      </w:r>
      <w:r w:rsidRPr="000101CA">
        <w:t>mol/L to 92.1</w:t>
      </w:r>
      <w:r w:rsidR="00B621A4">
        <w:t xml:space="preserve"> µ</w:t>
      </w:r>
      <w:r w:rsidRPr="000101CA">
        <w:t>mol/L.</w:t>
      </w:r>
    </w:p>
    <w:p w:rsidR="000101CA" w:rsidRDefault="000101CA" w:rsidP="001F6ECA">
      <w:r w:rsidRPr="000101CA">
        <w:t>The data presented in the currently approved US prescribing information differs from that presented above with respect to the number of patient</w:t>
      </w:r>
      <w:r w:rsidR="00B621A4">
        <w:t>s</w:t>
      </w:r>
      <w:r w:rsidRPr="000101CA">
        <w:t xml:space="preserve"> at successive time</w:t>
      </w:r>
      <w:r w:rsidR="00F43D50">
        <w:t xml:space="preserve"> </w:t>
      </w:r>
      <w:r w:rsidRPr="000101CA">
        <w:t>points and is reproduced below</w:t>
      </w:r>
      <w:r w:rsidR="00F43D50">
        <w:t xml:space="preserve"> in Table </w:t>
      </w:r>
      <w:r w:rsidR="00FA0223">
        <w:t>10</w:t>
      </w:r>
      <w:r w:rsidRPr="000101CA">
        <w:t>:</w:t>
      </w:r>
    </w:p>
    <w:p w:rsidR="00F43D50" w:rsidRDefault="00F43D50" w:rsidP="001F6ECA">
      <w:pPr>
        <w:pStyle w:val="TableTitle"/>
      </w:pPr>
      <w:r>
        <w:t xml:space="preserve">Table </w:t>
      </w:r>
      <w:r w:rsidR="00FA0223">
        <w:t>10.</w:t>
      </w:r>
      <w:r>
        <w:t xml:space="preserve"> Plasma ammonia levels at baseline and after treatment with Carbaglu.</w:t>
      </w:r>
    </w:p>
    <w:p w:rsidR="000101CA" w:rsidRDefault="00F43D50" w:rsidP="001F6ECA">
      <w:r>
        <w:rPr>
          <w:noProof/>
          <w:lang w:eastAsia="en-AU"/>
        </w:rPr>
        <w:drawing>
          <wp:inline distT="0" distB="0" distL="0" distR="0" wp14:anchorId="16680018" wp14:editId="2ED8588F">
            <wp:extent cx="5400040" cy="4096278"/>
            <wp:effectExtent l="0" t="0" r="0" b="0"/>
            <wp:docPr id="24" name="Picture 24" descr="Table 10. Plasma ammonia levels at baseline and after treatment with Carbaglu." title="Tabl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00040" cy="4096278"/>
                    </a:xfrm>
                    <a:prstGeom prst="rect">
                      <a:avLst/>
                    </a:prstGeom>
                  </pic:spPr>
                </pic:pic>
              </a:graphicData>
            </a:graphic>
          </wp:inline>
        </w:drawing>
      </w:r>
    </w:p>
    <w:p w:rsidR="000101CA" w:rsidRPr="00B621A4" w:rsidRDefault="000101CA" w:rsidP="001F6ECA">
      <w:r w:rsidRPr="000101CA">
        <w:t xml:space="preserve">Plasma glutamine levels similarly decreased over first 3 days of treatment and were maintained long term (last available value) as shown </w:t>
      </w:r>
      <w:r w:rsidR="00F43D50">
        <w:t xml:space="preserve">in Figures </w:t>
      </w:r>
      <w:r w:rsidR="00620285">
        <w:t>12</w:t>
      </w:r>
      <w:r w:rsidR="00F43D50">
        <w:t xml:space="preserve"> and </w:t>
      </w:r>
      <w:r w:rsidR="00620285">
        <w:t>13</w:t>
      </w:r>
      <w:r w:rsidR="00F43D50">
        <w:t xml:space="preserve"> (</w:t>
      </w:r>
      <w:r w:rsidR="00620285">
        <w:t>Attachment 2</w:t>
      </w:r>
      <w:r w:rsidR="00F43D50">
        <w:t>) respectively</w:t>
      </w:r>
      <w:r w:rsidR="00A47C91">
        <w:t>.</w:t>
      </w:r>
      <w:r w:rsidR="00B621A4">
        <w:t xml:space="preserve"> </w:t>
      </w:r>
      <w:r w:rsidRPr="007B6238">
        <w:rPr>
          <w:rFonts w:asciiTheme="minorHAnsi" w:hAnsiTheme="minorHAnsi"/>
        </w:rPr>
        <w:t xml:space="preserve">The changes in plasma </w:t>
      </w:r>
      <w:r w:rsidRPr="000B37F1">
        <w:rPr>
          <w:rFonts w:asciiTheme="minorHAnsi" w:hAnsiTheme="minorHAnsi"/>
        </w:rPr>
        <w:t>citrulline</w:t>
      </w:r>
      <w:r>
        <w:rPr>
          <w:rFonts w:asciiTheme="minorHAnsi" w:hAnsiTheme="minorHAnsi"/>
        </w:rPr>
        <w:t xml:space="preserve"> levels indicated</w:t>
      </w:r>
      <w:r w:rsidRPr="007B6238">
        <w:rPr>
          <w:rFonts w:asciiTheme="minorHAnsi" w:hAnsiTheme="minorHAnsi"/>
        </w:rPr>
        <w:t xml:space="preserve"> an </w:t>
      </w:r>
      <w:r>
        <w:rPr>
          <w:rFonts w:asciiTheme="minorHAnsi" w:hAnsiTheme="minorHAnsi"/>
        </w:rPr>
        <w:t>overall expected increase</w:t>
      </w:r>
      <w:r w:rsidR="000B37F1">
        <w:rPr>
          <w:rFonts w:asciiTheme="minorHAnsi" w:hAnsiTheme="minorHAnsi"/>
        </w:rPr>
        <w:t xml:space="preserve"> as shown in F</w:t>
      </w:r>
      <w:r w:rsidR="00ED7AA9">
        <w:rPr>
          <w:rFonts w:asciiTheme="minorHAnsi" w:hAnsiTheme="minorHAnsi"/>
        </w:rPr>
        <w:t xml:space="preserve">igures </w:t>
      </w:r>
      <w:r w:rsidR="00620285">
        <w:rPr>
          <w:rFonts w:asciiTheme="minorHAnsi" w:hAnsiTheme="minorHAnsi"/>
        </w:rPr>
        <w:t>15</w:t>
      </w:r>
      <w:r w:rsidR="00ED7AA9">
        <w:rPr>
          <w:rFonts w:asciiTheme="minorHAnsi" w:hAnsiTheme="minorHAnsi"/>
        </w:rPr>
        <w:t xml:space="preserve"> and </w:t>
      </w:r>
      <w:r w:rsidR="00620285">
        <w:rPr>
          <w:rFonts w:asciiTheme="minorHAnsi" w:hAnsiTheme="minorHAnsi"/>
        </w:rPr>
        <w:t>16</w:t>
      </w:r>
      <w:r w:rsidR="00ED7AA9">
        <w:rPr>
          <w:rFonts w:asciiTheme="minorHAnsi" w:hAnsiTheme="minorHAnsi"/>
        </w:rPr>
        <w:t xml:space="preserve"> (</w:t>
      </w:r>
      <w:r w:rsidR="00620285">
        <w:rPr>
          <w:rFonts w:asciiTheme="minorHAnsi" w:hAnsiTheme="minorHAnsi"/>
        </w:rPr>
        <w:t>Attachment 2</w:t>
      </w:r>
      <w:r w:rsidR="00ED7AA9">
        <w:rPr>
          <w:rFonts w:asciiTheme="minorHAnsi" w:hAnsiTheme="minorHAnsi"/>
        </w:rPr>
        <w:t>) respectively</w:t>
      </w:r>
      <w:r w:rsidR="000B37F1">
        <w:rPr>
          <w:rFonts w:asciiTheme="minorHAnsi" w:hAnsiTheme="minorHAnsi"/>
        </w:rPr>
        <w:t>.</w:t>
      </w:r>
    </w:p>
    <w:p w:rsidR="000101CA" w:rsidRPr="000101CA" w:rsidRDefault="000101CA" w:rsidP="001F6ECA">
      <w:r w:rsidRPr="000101CA">
        <w:t xml:space="preserve">Among 10 patients with data available, 7 reported with ‘affected neurological development’ at baseline. At last follow up normal neurological development was reported </w:t>
      </w:r>
      <w:r w:rsidRPr="000101CA">
        <w:lastRenderedPageBreak/>
        <w:t xml:space="preserve">in 5 out of these 7 patients. No patient with ‘unaffected’ status at baseline progressed to ‘affected neurological’ status at the </w:t>
      </w:r>
      <w:r w:rsidR="00D7554B">
        <w:t>long term</w:t>
      </w:r>
      <w:r w:rsidRPr="000101CA">
        <w:t xml:space="preserve"> evaluation.</w:t>
      </w:r>
      <w:r w:rsidR="00B621A4">
        <w:t xml:space="preserve"> </w:t>
      </w:r>
      <w:r w:rsidRPr="000101CA">
        <w:t xml:space="preserve">Among 7 patients with baseline data, 4 had signs of ‘retardation’. At last follow up recovery of psychomotor function was reported in 2 out of these 4 patients. No patient worsened after initiation of </w:t>
      </w:r>
      <w:r w:rsidR="00E14D65" w:rsidRPr="00E14D65">
        <w:t>carglumic acid</w:t>
      </w:r>
      <w:r w:rsidRPr="000101CA">
        <w:t xml:space="preserve"> treatment.</w:t>
      </w:r>
    </w:p>
    <w:p w:rsidR="000101CA" w:rsidRPr="000101CA" w:rsidRDefault="000101CA" w:rsidP="001F6ECA">
      <w:r w:rsidRPr="000101CA">
        <w:t>Among 10 patients with hepatic data at baseline, 2 had ‘disrupted’ hepatic status. At the last evaluation, no patient was reported with ‘disrupted’ hepatic status.</w:t>
      </w:r>
    </w:p>
    <w:p w:rsidR="000101CA" w:rsidRPr="000101CA" w:rsidRDefault="000101CA" w:rsidP="001F6ECA">
      <w:bookmarkStart w:id="236" w:name="_Toc398497529"/>
      <w:r w:rsidRPr="000101CA">
        <w:t xml:space="preserve">Diet analysis showed that the majority of patients were quickly able to be switched from restricted protein intake to free protein intake with </w:t>
      </w:r>
      <w:r w:rsidR="00E14D65" w:rsidRPr="00E14D65">
        <w:t>carglumic acid</w:t>
      </w:r>
      <w:r w:rsidRPr="000101CA">
        <w:t xml:space="preserve"> treatment and normalisation of plasma ammonia levels, with the exception of one patient who was maintained under a mildly restricted protein diet on a </w:t>
      </w:r>
      <w:r w:rsidR="00D7554B">
        <w:t>long term</w:t>
      </w:r>
      <w:r w:rsidRPr="000101CA">
        <w:t xml:space="preserve"> basis.</w:t>
      </w:r>
    </w:p>
    <w:p w:rsidR="000101CA" w:rsidRPr="000101CA" w:rsidRDefault="000101CA" w:rsidP="001F6ECA">
      <w:pPr>
        <w:pStyle w:val="Heading5"/>
      </w:pPr>
      <w:r w:rsidRPr="000101CA">
        <w:t xml:space="preserve">Experience with </w:t>
      </w:r>
      <w:r w:rsidR="00E14D65" w:rsidRPr="001F6ECA">
        <w:t>carglumic</w:t>
      </w:r>
      <w:r w:rsidR="00E14D65" w:rsidRPr="00E14D65">
        <w:t xml:space="preserve"> acid</w:t>
      </w:r>
      <w:r w:rsidRPr="000101CA">
        <w:t xml:space="preserve"> in USA</w:t>
      </w:r>
    </w:p>
    <w:bookmarkEnd w:id="236"/>
    <w:p w:rsidR="000101CA" w:rsidRPr="000101CA" w:rsidRDefault="000101CA" w:rsidP="001F6ECA">
      <w:r w:rsidRPr="000101CA">
        <w:t xml:space="preserve">In a report covering the period from January 2004 to November 2008, seven patients had been enrolled in a FDA funded study (2 NAGS deficiency, 4 </w:t>
      </w:r>
      <w:r w:rsidR="0027557F" w:rsidRPr="0027557F">
        <w:t>PA</w:t>
      </w:r>
      <w:r w:rsidRPr="000101CA">
        <w:t xml:space="preserve"> and 1 NAGS deficiency heterozygous) with the objective of assessing the effect of a 3 day treatment with </w:t>
      </w:r>
      <w:r w:rsidR="00E14D65" w:rsidRPr="00E14D65">
        <w:t>carglumic acid</w:t>
      </w:r>
      <w:r w:rsidRPr="000101CA">
        <w:t xml:space="preserve"> on serum urea using radiolabelled </w:t>
      </w:r>
      <w:r w:rsidRPr="00ED7AA9">
        <w:rPr>
          <w:vertAlign w:val="superscript"/>
        </w:rPr>
        <w:t>13</w:t>
      </w:r>
      <w:r w:rsidRPr="00ED7AA9">
        <w:t>C o</w:t>
      </w:r>
      <w:r w:rsidRPr="000101CA">
        <w:t xml:space="preserve">r </w:t>
      </w:r>
      <w:r w:rsidRPr="00ED7AA9">
        <w:rPr>
          <w:vertAlign w:val="superscript"/>
        </w:rPr>
        <w:t>15</w:t>
      </w:r>
      <w:r w:rsidRPr="000101CA">
        <w:t xml:space="preserve">N tracer. Patients were assessed pre-treatment and 72 hours after oral or gastrostomy administration of </w:t>
      </w:r>
      <w:r w:rsidR="00E14D65" w:rsidRPr="00E14D65">
        <w:t>carglumic acid</w:t>
      </w:r>
      <w:r w:rsidRPr="000101CA">
        <w:t xml:space="preserve"> at a dose of 10</w:t>
      </w:r>
      <w:r w:rsidR="00207AC7">
        <w:t>0 mg</w:t>
      </w:r>
      <w:r w:rsidRPr="000101CA">
        <w:t>/kg/day for patients &lt;</w:t>
      </w:r>
      <w:r w:rsidR="00ED7AA9">
        <w:t xml:space="preserve"> </w:t>
      </w:r>
      <w:r w:rsidRPr="000101CA">
        <w:t>25</w:t>
      </w:r>
      <w:r w:rsidR="00620285">
        <w:t xml:space="preserve"> </w:t>
      </w:r>
      <w:r w:rsidRPr="000101CA">
        <w:t>kg body weight or 2.2 g/m</w:t>
      </w:r>
      <w:r w:rsidRPr="00ED7AA9">
        <w:rPr>
          <w:vertAlign w:val="superscript"/>
        </w:rPr>
        <w:t>2</w:t>
      </w:r>
      <w:r w:rsidRPr="000101CA">
        <w:t>/day for patients &gt;</w:t>
      </w:r>
      <w:r w:rsidR="00ED7AA9">
        <w:t> </w:t>
      </w:r>
      <w:r w:rsidRPr="000101CA">
        <w:t>25</w:t>
      </w:r>
      <w:r w:rsidR="00ED7AA9">
        <w:t> </w:t>
      </w:r>
      <w:r w:rsidRPr="000101CA">
        <w:t>kg body weight.</w:t>
      </w:r>
    </w:p>
    <w:p w:rsidR="000101CA" w:rsidRPr="000101CA" w:rsidRDefault="000101CA" w:rsidP="001F6ECA">
      <w:r w:rsidRPr="000101CA">
        <w:t xml:space="preserve">Patient 1 and 3 had NAGS deficiency and both responded to treatment with a decrease in </w:t>
      </w:r>
      <w:r w:rsidR="00D7554B" w:rsidRPr="000101CA">
        <w:t>NH</w:t>
      </w:r>
      <w:r w:rsidR="00D7554B" w:rsidRPr="00D7554B">
        <w:rPr>
          <w:vertAlign w:val="subscript"/>
        </w:rPr>
        <w:t>3</w:t>
      </w:r>
      <w:r w:rsidRPr="000101CA">
        <w:t xml:space="preserve"> and glutamine and increased urea. Patient 2 had w</w:t>
      </w:r>
      <w:r w:rsidR="00041D6B">
        <w:t xml:space="preserve">as NAGS </w:t>
      </w:r>
      <w:r w:rsidRPr="000101CA">
        <w:t>mutation heterozygous and showed no significant change in any parameter.</w:t>
      </w:r>
    </w:p>
    <w:p w:rsidR="000101CA" w:rsidRPr="000101CA" w:rsidRDefault="000101CA" w:rsidP="001F6ECA">
      <w:r w:rsidRPr="000101CA">
        <w:t xml:space="preserve">Patients 4 to 7 had </w:t>
      </w:r>
      <w:r w:rsidR="0027557F" w:rsidRPr="0027557F">
        <w:t>PA</w:t>
      </w:r>
      <w:r w:rsidRPr="000101CA">
        <w:t xml:space="preserve">. Their pre-treatment ureagenesis was much less compromised than NAGS deficiency patients. They showed some increase in urea production and decrease in glutamine, while the decrease in </w:t>
      </w:r>
      <w:r w:rsidR="00D7554B" w:rsidRPr="000101CA">
        <w:t>NH</w:t>
      </w:r>
      <w:r w:rsidR="00D7554B" w:rsidRPr="00D7554B">
        <w:rPr>
          <w:vertAlign w:val="subscript"/>
        </w:rPr>
        <w:t>3</w:t>
      </w:r>
      <w:r w:rsidRPr="000101CA">
        <w:t xml:space="preserve"> was observed in patients 5 and 7 but not in patients 4 and 6.</w:t>
      </w:r>
    </w:p>
    <w:p w:rsidR="000101CA" w:rsidRPr="000101CA" w:rsidRDefault="000101CA" w:rsidP="001F6ECA">
      <w:pPr>
        <w:pStyle w:val="Heading5"/>
      </w:pPr>
      <w:bookmarkStart w:id="237" w:name="_Toc398497532"/>
      <w:bookmarkStart w:id="238" w:name="_Toc290888811"/>
      <w:r w:rsidRPr="000101CA">
        <w:t xml:space="preserve">Organic </w:t>
      </w:r>
      <w:r w:rsidRPr="001F6ECA">
        <w:t>Acidaemia</w:t>
      </w:r>
      <w:bookmarkEnd w:id="237"/>
      <w:r w:rsidRPr="001F6ECA">
        <w:t>s</w:t>
      </w:r>
      <w:bookmarkStart w:id="239" w:name="_Toc398497534"/>
      <w:bookmarkEnd w:id="238"/>
      <w:r w:rsidRPr="000101CA">
        <w:t xml:space="preserve"> – retrospective review</w:t>
      </w:r>
      <w:bookmarkEnd w:id="239"/>
    </w:p>
    <w:p w:rsidR="000101CA" w:rsidRPr="000101CA" w:rsidRDefault="000101CA" w:rsidP="001F6ECA">
      <w:r w:rsidRPr="000101CA">
        <w:t xml:space="preserve">This was a retrospective review of data from patients treated with </w:t>
      </w:r>
      <w:r w:rsidR="00E14D65" w:rsidRPr="00E14D65">
        <w:t>carglumic acid</w:t>
      </w:r>
      <w:r w:rsidRPr="000101CA">
        <w:t xml:space="preserve"> for hyperammonaemia during OA decompensation episodes.</w:t>
      </w:r>
      <w:r w:rsidR="00322DA1">
        <w:t xml:space="preserve"> Patients from multiple centres across 7 countries</w:t>
      </w:r>
      <w:r w:rsidRPr="000101CA">
        <w:t xml:space="preserve"> were included covering the period January 1995 to November 2009.</w:t>
      </w:r>
    </w:p>
    <w:p w:rsidR="000101CA" w:rsidRPr="000101CA" w:rsidRDefault="000101CA" w:rsidP="001F6ECA">
      <w:r w:rsidRPr="000101CA">
        <w:t xml:space="preserve">To be eligible </w:t>
      </w:r>
      <w:r w:rsidR="00322DA1">
        <w:t>for inclusion into this dataset</w:t>
      </w:r>
      <w:r w:rsidRPr="000101CA">
        <w:t xml:space="preserve"> the patients were required to have confir</w:t>
      </w:r>
      <w:r w:rsidR="00322DA1">
        <w:t>med OA (</w:t>
      </w:r>
      <w:r w:rsidR="0027557F" w:rsidRPr="0027557F">
        <w:t>PA</w:t>
      </w:r>
      <w:r w:rsidR="00322DA1">
        <w:t xml:space="preserve">, </w:t>
      </w:r>
      <w:r w:rsidR="003821E3">
        <w:t>MMA</w:t>
      </w:r>
      <w:r w:rsidR="00A40310">
        <w:t xml:space="preserve"> or </w:t>
      </w:r>
      <w:r w:rsidR="003821E3">
        <w:t>IVA</w:t>
      </w:r>
      <w:r w:rsidRPr="000101CA">
        <w:t>), pre-treatment hyperammonaemia &gt; 60</w:t>
      </w:r>
      <w:r w:rsidR="00041D6B">
        <w:t xml:space="preserve"> </w:t>
      </w:r>
      <w:r w:rsidRPr="000101CA">
        <w:t xml:space="preserve">µmol/L and hyperammonaemia in at least one OA decompensation episode treated with </w:t>
      </w:r>
      <w:r w:rsidR="00E14D65" w:rsidRPr="00E14D65">
        <w:t>carglumic acid</w:t>
      </w:r>
      <w:r w:rsidRPr="000101CA">
        <w:t>. In neonates, ammon</w:t>
      </w:r>
      <w:r w:rsidR="00B02ACC">
        <w:t>aemia</w:t>
      </w:r>
      <w:r w:rsidRPr="000101CA">
        <w:t xml:space="preserve"> is considered as plasma </w:t>
      </w:r>
      <w:r w:rsidR="00D7554B" w:rsidRPr="000101CA">
        <w:t>NH</w:t>
      </w:r>
      <w:r w:rsidR="00D7554B" w:rsidRPr="00D7554B">
        <w:rPr>
          <w:vertAlign w:val="subscript"/>
        </w:rPr>
        <w:t>3</w:t>
      </w:r>
      <w:r w:rsidRPr="000101CA">
        <w:t xml:space="preserve"> of 100</w:t>
      </w:r>
      <w:r w:rsidR="00041D6B">
        <w:t xml:space="preserve"> </w:t>
      </w:r>
      <w:r w:rsidR="00F6219C">
        <w:t>µmol/L. However a</w:t>
      </w:r>
      <w:r w:rsidR="00A0699F">
        <w:t xml:space="preserve"> </w:t>
      </w:r>
      <w:r w:rsidRPr="000101CA">
        <w:t>60</w:t>
      </w:r>
      <w:r w:rsidR="00A0699F">
        <w:t> </w:t>
      </w:r>
      <w:r w:rsidRPr="000101CA">
        <w:t>µmo</w:t>
      </w:r>
      <w:r w:rsidR="00041D6B">
        <w:t>l/L threshold</w:t>
      </w:r>
      <w:r w:rsidR="00F6219C">
        <w:t>,</w:t>
      </w:r>
      <w:r w:rsidR="00041D6B">
        <w:t xml:space="preserve"> as defined in non </w:t>
      </w:r>
      <w:r w:rsidRPr="000101CA">
        <w:t>neonatal population was used in this study.</w:t>
      </w:r>
    </w:p>
    <w:p w:rsidR="000101CA" w:rsidRPr="000101CA" w:rsidRDefault="000101CA" w:rsidP="001F6ECA">
      <w:r w:rsidRPr="000101CA">
        <w:t xml:space="preserve">Patients with severe hepatic insufficiency, inherited hepatic malformation or intercurrent disease were excluded. A total of 41 (4 </w:t>
      </w:r>
      <w:r w:rsidR="003821E3">
        <w:t>IVA</w:t>
      </w:r>
      <w:r w:rsidRPr="000101CA">
        <w:t xml:space="preserve">, 21 </w:t>
      </w:r>
      <w:r w:rsidR="003821E3">
        <w:t>MMA</w:t>
      </w:r>
      <w:r w:rsidRPr="000101CA">
        <w:t xml:space="preserve"> and 16 </w:t>
      </w:r>
      <w:r w:rsidR="0027557F" w:rsidRPr="0027557F">
        <w:t>PA</w:t>
      </w:r>
      <w:r w:rsidRPr="000101CA">
        <w:t>) patients comprised the efficacy set, and 57 were included in the safety set. The dosing was at the discretion of the treating physician. The efficacy outcom</w:t>
      </w:r>
      <w:r w:rsidR="0084317F">
        <w:t xml:space="preserve">e was change in plasma </w:t>
      </w:r>
      <w:r w:rsidR="00D7554B" w:rsidRPr="000101CA">
        <w:t>NH</w:t>
      </w:r>
      <w:r w:rsidR="00D7554B" w:rsidRPr="00D7554B">
        <w:rPr>
          <w:vertAlign w:val="subscript"/>
        </w:rPr>
        <w:t>3</w:t>
      </w:r>
      <w:r w:rsidRPr="000101CA">
        <w:t xml:space="preserve"> from baseline to endpoint (up to 15 days after start of </w:t>
      </w:r>
      <w:r w:rsidR="00E14D65" w:rsidRPr="00E14D65">
        <w:t>carglumic acid</w:t>
      </w:r>
      <w:r w:rsidRPr="000101CA">
        <w:t xml:space="preserve"> treatment) for every decompensation episode treated with </w:t>
      </w:r>
      <w:r w:rsidR="00E14D65" w:rsidRPr="00E14D65">
        <w:t>carglumic acid</w:t>
      </w:r>
      <w:r w:rsidRPr="000101CA">
        <w:t>.</w:t>
      </w:r>
    </w:p>
    <w:p w:rsidR="000101CA" w:rsidRPr="000101CA" w:rsidRDefault="000101CA" w:rsidP="001F6ECA">
      <w:r w:rsidRPr="000101CA">
        <w:t>At baseline, the median age was 9</w:t>
      </w:r>
      <w:r w:rsidR="00041D6B">
        <w:t xml:space="preserve"> days (range 2 to 8067 days; Q1 to </w:t>
      </w:r>
      <w:r w:rsidRPr="000101CA">
        <w:t>Q3</w:t>
      </w:r>
      <w:r w:rsidR="00003EC2">
        <w:rPr>
          <w:rStyle w:val="FootnoteReference"/>
        </w:rPr>
        <w:footnoteReference w:id="8"/>
      </w:r>
      <w:r w:rsidRPr="000101CA">
        <w:t xml:space="preserve"> 5 to 220 days). The participants had symptoms consistent with OA decompensation, including significant neurological and gastrointestinal symptoms. At the time of first decompensation episode, 28 patients were neonates and 13 were &gt;</w:t>
      </w:r>
      <w:r w:rsidR="00041D6B">
        <w:t xml:space="preserve"> 4 weeks age. All non </w:t>
      </w:r>
      <w:r w:rsidRPr="000101CA">
        <w:t>neonates were children except for 1 adult. One patient suffered a second decompensation episode within the neonatal period. A total of 48 decompensation episodes were repo</w:t>
      </w:r>
      <w:r w:rsidR="00041D6B">
        <w:t xml:space="preserve">rted (29 in neonates, 19 </w:t>
      </w:r>
      <w:r w:rsidR="00041D6B">
        <w:lastRenderedPageBreak/>
        <w:t xml:space="preserve">in non </w:t>
      </w:r>
      <w:r w:rsidRPr="000101CA">
        <w:t xml:space="preserve">neonates). A number of patients (43.8% episodes) were treated with an ammonia scavenger prior to initiation of </w:t>
      </w:r>
      <w:r w:rsidR="00E14D65" w:rsidRPr="00E14D65">
        <w:t>carglumic acid</w:t>
      </w:r>
      <w:r w:rsidRPr="000101CA">
        <w:t xml:space="preserve"> therapy.</w:t>
      </w:r>
    </w:p>
    <w:p w:rsidR="000101CA" w:rsidRDefault="000101CA" w:rsidP="001F6ECA">
      <w:r w:rsidRPr="000101CA">
        <w:t xml:space="preserve">The majority of the episodes were initially treated with </w:t>
      </w:r>
      <w:r w:rsidR="00E14D65" w:rsidRPr="00E14D65">
        <w:t>carglumic acid</w:t>
      </w:r>
      <w:r w:rsidRPr="000101CA">
        <w:t xml:space="preserve"> dose</w:t>
      </w:r>
      <w:r w:rsidR="00041D6B">
        <w:t xml:space="preserve"> of 100 to </w:t>
      </w:r>
      <w:r w:rsidRPr="000101CA">
        <w:t>25</w:t>
      </w:r>
      <w:r w:rsidR="00A40310">
        <w:t>0 </w:t>
      </w:r>
      <w:r w:rsidR="00207AC7">
        <w:t>mg</w:t>
      </w:r>
      <w:r w:rsidRPr="000101CA">
        <w:t xml:space="preserve">/kg/day. The initial </w:t>
      </w:r>
      <w:r w:rsidR="00E14D65" w:rsidRPr="00E14D65">
        <w:t>carglumic acid</w:t>
      </w:r>
      <w:r w:rsidRPr="000101CA">
        <w:t xml:space="preserve"> initial dose was comparable in the three diagnosis groups. The trend to a decrease in the </w:t>
      </w:r>
      <w:r w:rsidR="00E14D65" w:rsidRPr="00E14D65">
        <w:t>carglumic acid</w:t>
      </w:r>
      <w:r w:rsidRPr="000101CA">
        <w:t xml:space="preserve"> dose over the treatment days was observed. The histograms </w:t>
      </w:r>
      <w:r w:rsidR="000B37F1" w:rsidRPr="00A02BAA">
        <w:t xml:space="preserve">in Figure </w:t>
      </w:r>
      <w:r w:rsidR="00A02BAA">
        <w:t>6</w:t>
      </w:r>
      <w:r w:rsidR="00A40310">
        <w:t xml:space="preserve"> </w:t>
      </w:r>
      <w:r w:rsidRPr="000101CA">
        <w:t>below</w:t>
      </w:r>
      <w:r w:rsidR="00595D7B">
        <w:t>,</w:t>
      </w:r>
      <w:r w:rsidRPr="000101CA">
        <w:t xml:space="preserve"> show categories and frequency of doses used on the </w:t>
      </w:r>
      <w:r w:rsidR="00041D6B">
        <w:t>first</w:t>
      </w:r>
      <w:r w:rsidRPr="000101CA">
        <w:t xml:space="preserve"> and last day (up to 15 days post treatment at the discre</w:t>
      </w:r>
      <w:r w:rsidR="00A40310">
        <w:t>tion of the treating physician).</w:t>
      </w:r>
    </w:p>
    <w:p w:rsidR="00A40310" w:rsidRPr="00A02BAA" w:rsidRDefault="00A02BAA" w:rsidP="001F6ECA">
      <w:pPr>
        <w:pStyle w:val="FigureTitle"/>
      </w:pPr>
      <w:r w:rsidRPr="00A02BAA">
        <w:t>Figure 6</w:t>
      </w:r>
      <w:r w:rsidR="00A40310" w:rsidRPr="00A02BAA">
        <w:t xml:space="preserve">. </w:t>
      </w:r>
      <w:r w:rsidR="00010679" w:rsidRPr="00A02BAA">
        <w:t xml:space="preserve">Carglumic acid dose </w:t>
      </w:r>
      <w:r w:rsidR="00010679" w:rsidRPr="001F6ECA">
        <w:t>categories</w:t>
      </w:r>
      <w:r w:rsidR="00010679" w:rsidRPr="00A02BAA">
        <w:t xml:space="preserve"> - f</w:t>
      </w:r>
      <w:r w:rsidR="00A40310" w:rsidRPr="00A02BAA">
        <w:t xml:space="preserve">irst and last day </w:t>
      </w:r>
      <w:r w:rsidR="00010679" w:rsidRPr="00A02BAA">
        <w:t>(</w:t>
      </w:r>
      <w:r w:rsidR="00A40310" w:rsidRPr="00A02BAA">
        <w:t>efficacy population</w:t>
      </w:r>
      <w:r w:rsidR="00010679" w:rsidRPr="00A02BAA">
        <w:t>)</w:t>
      </w:r>
      <w:r w:rsidR="00595D7B" w:rsidRPr="00A02BAA">
        <w:t>.</w:t>
      </w:r>
    </w:p>
    <w:p w:rsidR="000101CA" w:rsidRDefault="00010679" w:rsidP="001F6ECA">
      <w:r>
        <w:rPr>
          <w:noProof/>
          <w:lang w:eastAsia="en-AU"/>
        </w:rPr>
        <w:drawing>
          <wp:inline distT="0" distB="0" distL="0" distR="0" wp14:anchorId="3CCA367F" wp14:editId="34998A18">
            <wp:extent cx="5400040" cy="3224893"/>
            <wp:effectExtent l="0" t="0" r="0" b="0"/>
            <wp:docPr id="6" name="Picture 6" descr="Figure 6. Carglumic acid dose categories - first and last day (efficacy population)." title="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00040" cy="3224893"/>
                    </a:xfrm>
                    <a:prstGeom prst="rect">
                      <a:avLst/>
                    </a:prstGeom>
                  </pic:spPr>
                </pic:pic>
              </a:graphicData>
            </a:graphic>
          </wp:inline>
        </w:drawing>
      </w:r>
    </w:p>
    <w:p w:rsidR="000101CA" w:rsidRPr="000101CA" w:rsidRDefault="000101CA" w:rsidP="001F6ECA">
      <w:r w:rsidRPr="000101CA">
        <w:t>The duration of OA episode was a median of 6 days in the overall efficacy population (median of 6 days in neonate efficacy population and 7 days in no</w:t>
      </w:r>
      <w:r w:rsidR="00010679">
        <w:t xml:space="preserve">n-neonate efficacy population). </w:t>
      </w:r>
      <w:r w:rsidRPr="000101CA">
        <w:t xml:space="preserve">A total of 34 (82.9%) patients suffered 1 decompensation episode treated with </w:t>
      </w:r>
      <w:r w:rsidR="00E14D65" w:rsidRPr="00E14D65">
        <w:t>carglumic acid</w:t>
      </w:r>
      <w:r w:rsidRPr="000101CA">
        <w:t xml:space="preserve">, 6 patients (14.6%) suffered 2 decompensation episodes treated with </w:t>
      </w:r>
      <w:r w:rsidR="00E14D65" w:rsidRPr="00E14D65">
        <w:t>carglumic acid</w:t>
      </w:r>
      <w:r w:rsidRPr="000101CA">
        <w:t xml:space="preserve"> and 1 (2.4%) patient suffered 3 episodes treated with </w:t>
      </w:r>
      <w:r w:rsidR="00E14D65" w:rsidRPr="00E14D65">
        <w:t>carglumic acid</w:t>
      </w:r>
      <w:r w:rsidRPr="000101CA">
        <w:t>.</w:t>
      </w:r>
    </w:p>
    <w:p w:rsidR="000101CA" w:rsidRPr="000101CA" w:rsidRDefault="000101CA" w:rsidP="001F6ECA">
      <w:r w:rsidRPr="000101CA">
        <w:t xml:space="preserve">The time elapsed in decompensation episodes between the start of episode and the initiation of the treatment with </w:t>
      </w:r>
      <w:r w:rsidR="00E14D65" w:rsidRPr="00E14D65">
        <w:t>carglumic acid</w:t>
      </w:r>
      <w:r w:rsidRPr="000101CA">
        <w:t xml:space="preserve"> was a mean of 3 days (4.2 days </w:t>
      </w:r>
      <w:r w:rsidR="0027557F" w:rsidRPr="0027557F">
        <w:t>PA</w:t>
      </w:r>
      <w:r w:rsidRPr="000101CA">
        <w:t xml:space="preserve">, 2.5 days </w:t>
      </w:r>
      <w:r w:rsidR="003821E3">
        <w:t>MMA</w:t>
      </w:r>
      <w:r w:rsidRPr="000101CA">
        <w:t xml:space="preserve">, 0.8 days </w:t>
      </w:r>
      <w:r w:rsidR="003821E3">
        <w:t>IVA</w:t>
      </w:r>
      <w:r w:rsidRPr="000101CA">
        <w:t>). The mean time between the start of episodes and the initiation of treatment was 1.5 days in the neonate efficac</w:t>
      </w:r>
      <w:r w:rsidR="00041D6B">
        <w:t xml:space="preserve">y group and 5.3 days in the non </w:t>
      </w:r>
      <w:r w:rsidRPr="000101CA">
        <w:t>neonate efficacy group.</w:t>
      </w:r>
    </w:p>
    <w:p w:rsidR="000101CA" w:rsidRPr="000101CA" w:rsidRDefault="000101CA" w:rsidP="001F6ECA">
      <w:r w:rsidRPr="000101CA">
        <w:t xml:space="preserve">The duration of treatment for hyperammonaemia with </w:t>
      </w:r>
      <w:r w:rsidR="00E14D65" w:rsidRPr="00E14D65">
        <w:t>carglumic acid</w:t>
      </w:r>
      <w:r w:rsidRPr="000101CA">
        <w:t xml:space="preserve"> ranged between 1 to 15 days with a mean of 5.5 days (5.2 days </w:t>
      </w:r>
      <w:r w:rsidR="0027557F" w:rsidRPr="0027557F">
        <w:t>PA</w:t>
      </w:r>
      <w:r w:rsidRPr="000101CA">
        <w:t xml:space="preserve">, 6.1 days </w:t>
      </w:r>
      <w:r w:rsidR="003821E3">
        <w:t>MMA</w:t>
      </w:r>
      <w:r w:rsidRPr="000101CA">
        <w:t xml:space="preserve">, 3.5 days </w:t>
      </w:r>
      <w:r w:rsidR="003821E3">
        <w:t>IVA</w:t>
      </w:r>
      <w:r w:rsidRPr="000101CA">
        <w:t>). The mean duration of treatment in the neonates was 4</w:t>
      </w:r>
      <w:r w:rsidR="00041D6B">
        <w:t xml:space="preserve">.9 days and 6.5 days in the non </w:t>
      </w:r>
      <w:r w:rsidRPr="000101CA">
        <w:t>neonates.</w:t>
      </w:r>
    </w:p>
    <w:p w:rsidR="000101CA" w:rsidRPr="000101CA" w:rsidRDefault="000101CA" w:rsidP="001F6ECA">
      <w:r w:rsidRPr="000101CA">
        <w:t xml:space="preserve">The median time to achieve the primary endpoint in overall efficacy population was 36.5 hours (mean 58.7 hours). The median time to achieve the primary end point was 38.4 hours in the neonate efficacy </w:t>
      </w:r>
      <w:r w:rsidR="00A40310">
        <w:t xml:space="preserve">group and 28.3 hours in the non </w:t>
      </w:r>
      <w:r w:rsidRPr="000101CA">
        <w:t xml:space="preserve">neonate efficacy group. The time was similar with or without </w:t>
      </w:r>
      <w:r w:rsidR="00D7554B" w:rsidRPr="000101CA">
        <w:t>NH</w:t>
      </w:r>
      <w:r w:rsidR="00D7554B" w:rsidRPr="00D7554B">
        <w:rPr>
          <w:vertAlign w:val="subscript"/>
        </w:rPr>
        <w:t>3</w:t>
      </w:r>
      <w:r w:rsidRPr="000101CA">
        <w:t xml:space="preserve"> scavenger use.</w:t>
      </w:r>
    </w:p>
    <w:p w:rsidR="000101CA" w:rsidRDefault="000101CA" w:rsidP="001F6ECA">
      <w:r w:rsidRPr="000101CA">
        <w:t xml:space="preserve">Mean </w:t>
      </w:r>
      <w:r w:rsidR="00D7554B" w:rsidRPr="000101CA">
        <w:t>NH</w:t>
      </w:r>
      <w:r w:rsidR="00D7554B" w:rsidRPr="00D7554B">
        <w:rPr>
          <w:vertAlign w:val="subscript"/>
        </w:rPr>
        <w:t>3</w:t>
      </w:r>
      <w:r w:rsidRPr="000101CA">
        <w:t xml:space="preserve"> at baseline was 350</w:t>
      </w:r>
      <w:r w:rsidR="00041D6B">
        <w:t xml:space="preserve"> </w:t>
      </w:r>
      <w:r w:rsidRPr="000101CA">
        <w:t>µmol/L (median 215</w:t>
      </w:r>
      <w:r w:rsidR="00041D6B">
        <w:t xml:space="preserve"> </w:t>
      </w:r>
      <w:r w:rsidRPr="000101CA">
        <w:t xml:space="preserve">µmol/L). Mean </w:t>
      </w:r>
      <w:r w:rsidR="00D7554B" w:rsidRPr="000101CA">
        <w:t>NH</w:t>
      </w:r>
      <w:r w:rsidR="00D7554B" w:rsidRPr="00D7554B">
        <w:rPr>
          <w:vertAlign w:val="subscript"/>
        </w:rPr>
        <w:t>3</w:t>
      </w:r>
      <w:r w:rsidRPr="000101CA">
        <w:t xml:space="preserve"> at endpoint was 58.5</w:t>
      </w:r>
      <w:r w:rsidR="00041D6B">
        <w:t xml:space="preserve"> </w:t>
      </w:r>
      <w:r w:rsidRPr="000101CA">
        <w:t>µmol/L (median52.0</w:t>
      </w:r>
      <w:r w:rsidR="00041D6B">
        <w:t xml:space="preserve"> </w:t>
      </w:r>
      <w:r w:rsidRPr="000101CA">
        <w:t>µmol/L) indicating correction of ammon</w:t>
      </w:r>
      <w:r w:rsidR="00B02ACC">
        <w:t>aemia</w:t>
      </w:r>
      <w:r w:rsidRPr="000101CA">
        <w:t xml:space="preserve"> with </w:t>
      </w:r>
      <w:r w:rsidR="00E14D65" w:rsidRPr="00E14D65">
        <w:t>carglumic acid</w:t>
      </w:r>
      <w:r w:rsidRPr="000101CA">
        <w:t xml:space="preserve"> treatment. Mean change in </w:t>
      </w:r>
      <w:r w:rsidR="00D7554B" w:rsidRPr="000101CA">
        <w:t>NH</w:t>
      </w:r>
      <w:r w:rsidR="00D7554B" w:rsidRPr="00D7554B">
        <w:rPr>
          <w:vertAlign w:val="subscript"/>
        </w:rPr>
        <w:t>3</w:t>
      </w:r>
      <w:r w:rsidRPr="000101CA">
        <w:t xml:space="preserve"> from baseline to endpoint was </w:t>
      </w:r>
      <w:r w:rsidR="00041D6B">
        <w:t xml:space="preserve">– </w:t>
      </w:r>
      <w:r w:rsidRPr="000101CA">
        <w:t>292</w:t>
      </w:r>
      <w:r w:rsidR="00041D6B">
        <w:t xml:space="preserve"> </w:t>
      </w:r>
      <w:r w:rsidR="00A0699F">
        <w:t>µmol/L (SD </w:t>
      </w:r>
      <w:r w:rsidRPr="000101CA">
        <w:t>321). At baseline, all episodes had ammon</w:t>
      </w:r>
      <w:r w:rsidR="00B02ACC">
        <w:t>aemia</w:t>
      </w:r>
      <w:r w:rsidRPr="000101CA">
        <w:t xml:space="preserve"> &gt;</w:t>
      </w:r>
      <w:r w:rsidR="00041D6B">
        <w:t xml:space="preserve"> </w:t>
      </w:r>
      <w:r w:rsidRPr="000101CA">
        <w:t>60</w:t>
      </w:r>
      <w:r w:rsidR="00041D6B">
        <w:t xml:space="preserve"> </w:t>
      </w:r>
      <w:r w:rsidRPr="000101CA">
        <w:t xml:space="preserve">µmol/L. At endpoint, 62.5% </w:t>
      </w:r>
      <w:r w:rsidRPr="000101CA">
        <w:lastRenderedPageBreak/>
        <w:t>were ≤</w:t>
      </w:r>
      <w:r w:rsidR="00A0699F">
        <w:t> </w:t>
      </w:r>
      <w:r w:rsidRPr="000101CA">
        <w:t>60</w:t>
      </w:r>
      <w:r w:rsidR="00A0699F">
        <w:t> </w:t>
      </w:r>
      <w:r w:rsidRPr="000101CA">
        <w:t>µmol/L and 37.5% &gt;</w:t>
      </w:r>
      <w:r w:rsidR="00041D6B">
        <w:t xml:space="preserve"> </w:t>
      </w:r>
      <w:r w:rsidRPr="000101CA">
        <w:t>60</w:t>
      </w:r>
      <w:r w:rsidR="00041D6B">
        <w:t xml:space="preserve"> </w:t>
      </w:r>
      <w:r w:rsidRPr="000101CA">
        <w:t xml:space="preserve">µmol/L. The response was rapid as shown </w:t>
      </w:r>
      <w:r w:rsidR="00A40310">
        <w:t xml:space="preserve">in Figure </w:t>
      </w:r>
      <w:r w:rsidR="00A0699F">
        <w:t>21 Attachment 2</w:t>
      </w:r>
      <w:r w:rsidR="00A40310">
        <w:t>.</w:t>
      </w:r>
    </w:p>
    <w:p w:rsidR="000101CA" w:rsidRPr="000101CA" w:rsidRDefault="000101CA" w:rsidP="001F6ECA">
      <w:r w:rsidRPr="000101CA">
        <w:t xml:space="preserve">At baseline, mean </w:t>
      </w:r>
      <w:r w:rsidR="00D7554B" w:rsidRPr="000101CA">
        <w:t>NH</w:t>
      </w:r>
      <w:r w:rsidR="00D7554B" w:rsidRPr="00D7554B">
        <w:rPr>
          <w:vertAlign w:val="subscript"/>
        </w:rPr>
        <w:t>3</w:t>
      </w:r>
      <w:r w:rsidRPr="000101CA">
        <w:t xml:space="preserve"> in patients not treated with ammonia scavengers prior to initiation of </w:t>
      </w:r>
      <w:r w:rsidR="00E14D65" w:rsidRPr="00E14D65">
        <w:t>carglumic acid</w:t>
      </w:r>
      <w:r w:rsidRPr="000101CA">
        <w:t xml:space="preserve"> therapy was lower (261</w:t>
      </w:r>
      <w:r w:rsidR="00041D6B">
        <w:t xml:space="preserve"> </w:t>
      </w:r>
      <w:r w:rsidRPr="000101CA">
        <w:t>µmol/L) compared to patients who received prior scavenger treatment (466</w:t>
      </w:r>
      <w:r w:rsidR="00041D6B">
        <w:t xml:space="preserve"> </w:t>
      </w:r>
      <w:r w:rsidRPr="000101CA">
        <w:t xml:space="preserve">µmol/L). The response to </w:t>
      </w:r>
      <w:r w:rsidR="00E14D65" w:rsidRPr="00E14D65">
        <w:t>carglumic acid</w:t>
      </w:r>
      <w:r w:rsidRPr="000101CA">
        <w:t xml:space="preserve"> was equally effective in both subgroups with mean </w:t>
      </w:r>
      <w:r w:rsidR="00D7554B" w:rsidRPr="000101CA">
        <w:t>NH</w:t>
      </w:r>
      <w:r w:rsidR="00D7554B" w:rsidRPr="00D7554B">
        <w:rPr>
          <w:vertAlign w:val="subscript"/>
        </w:rPr>
        <w:t>3</w:t>
      </w:r>
      <w:r w:rsidRPr="000101CA">
        <w:t xml:space="preserve"> at endpoint of 56</w:t>
      </w:r>
      <w:r w:rsidR="00CB06A9">
        <w:t xml:space="preserve"> </w:t>
      </w:r>
      <w:r w:rsidRPr="000101CA">
        <w:t>µmol/L in the former and 38</w:t>
      </w:r>
      <w:r w:rsidR="00041D6B">
        <w:t xml:space="preserve"> </w:t>
      </w:r>
      <w:r w:rsidRPr="000101CA">
        <w:t xml:space="preserve">µmol/L in the latter group. The proportion of patients with endpoint </w:t>
      </w:r>
      <w:r w:rsidR="00D7554B" w:rsidRPr="000101CA">
        <w:t>NH</w:t>
      </w:r>
      <w:r w:rsidR="00D7554B" w:rsidRPr="00D7554B">
        <w:rPr>
          <w:vertAlign w:val="subscript"/>
        </w:rPr>
        <w:t>3</w:t>
      </w:r>
      <w:r w:rsidRPr="000101CA">
        <w:t xml:space="preserve"> ≤ 60</w:t>
      </w:r>
      <w:r w:rsidR="00041D6B">
        <w:t xml:space="preserve"> </w:t>
      </w:r>
      <w:r w:rsidRPr="000101CA">
        <w:t xml:space="preserve">µmol/L was 56% in those with prior scavenger treatment compared to 71% among those without prior treatment with </w:t>
      </w:r>
      <w:r w:rsidR="00D7554B" w:rsidRPr="000101CA">
        <w:t>NH</w:t>
      </w:r>
      <w:r w:rsidR="00D7554B" w:rsidRPr="00D7554B">
        <w:rPr>
          <w:vertAlign w:val="subscript"/>
        </w:rPr>
        <w:t>3</w:t>
      </w:r>
      <w:r w:rsidRPr="000101CA">
        <w:t xml:space="preserve"> scavengers.</w:t>
      </w:r>
    </w:p>
    <w:p w:rsidR="000101CA" w:rsidRPr="000101CA" w:rsidRDefault="000101CA" w:rsidP="001F6ECA">
      <w:r w:rsidRPr="000101CA">
        <w:t xml:space="preserve">Amino acid chromatography indicated that glutamine levels were reduced from high to normal and from normal to low with </w:t>
      </w:r>
      <w:r w:rsidR="00E14D65" w:rsidRPr="00E14D65">
        <w:t>carglumic acid</w:t>
      </w:r>
      <w:r w:rsidRPr="000101CA">
        <w:t xml:space="preserve"> treatment. Other amino acids levels in plasma also showed a trend towards lower concentrations. The results of urinary organic acid by diagnostic categories (</w:t>
      </w:r>
      <w:r w:rsidR="003821E3">
        <w:t>IVA</w:t>
      </w:r>
      <w:r w:rsidRPr="000101CA">
        <w:t xml:space="preserve">, </w:t>
      </w:r>
      <w:r w:rsidR="003821E3">
        <w:t>MMA</w:t>
      </w:r>
      <w:r w:rsidRPr="000101CA">
        <w:t xml:space="preserve">, </w:t>
      </w:r>
      <w:r w:rsidR="0027557F">
        <w:t>PA</w:t>
      </w:r>
      <w:r w:rsidRPr="000101CA">
        <w:t>) were variable.</w:t>
      </w:r>
    </w:p>
    <w:p w:rsidR="000101CA" w:rsidRPr="000101CA" w:rsidRDefault="000101CA" w:rsidP="001F6ECA">
      <w:r w:rsidRPr="000101CA">
        <w:t>At baseline, 65.7% patients were in low plasma bicarbonate (HCO</w:t>
      </w:r>
      <w:r w:rsidRPr="00041D6B">
        <w:rPr>
          <w:vertAlign w:val="subscript"/>
        </w:rPr>
        <w:t>3</w:t>
      </w:r>
      <w:r w:rsidRPr="000101CA">
        <w:t>) range and 34.3% in the normal range. At endpoint, 55.0% were in low HCO</w:t>
      </w:r>
      <w:r w:rsidRPr="00B82658">
        <w:rPr>
          <w:vertAlign w:val="subscript"/>
        </w:rPr>
        <w:t>3</w:t>
      </w:r>
      <w:r w:rsidRPr="000101CA">
        <w:t xml:space="preserve"> range and 45.0% were in normal range. The effect was similar among patients treated with </w:t>
      </w:r>
      <w:r w:rsidR="00D7554B" w:rsidRPr="000101CA">
        <w:t>NH</w:t>
      </w:r>
      <w:r w:rsidR="00D7554B" w:rsidRPr="00D7554B">
        <w:rPr>
          <w:vertAlign w:val="subscript"/>
        </w:rPr>
        <w:t>3</w:t>
      </w:r>
      <w:r w:rsidRPr="000101CA">
        <w:t xml:space="preserve"> scavengers and those not treated with </w:t>
      </w:r>
      <w:r w:rsidR="00D7554B" w:rsidRPr="000101CA">
        <w:t>NH</w:t>
      </w:r>
      <w:r w:rsidR="00D7554B" w:rsidRPr="00D7554B">
        <w:rPr>
          <w:vertAlign w:val="subscript"/>
        </w:rPr>
        <w:t>3</w:t>
      </w:r>
      <w:r w:rsidRPr="000101CA">
        <w:t xml:space="preserve"> scavengers prior to receiving </w:t>
      </w:r>
      <w:r w:rsidR="00E14D65" w:rsidRPr="00E14D65">
        <w:t>carglumic acid</w:t>
      </w:r>
      <w:r w:rsidRPr="000101CA">
        <w:t>.</w:t>
      </w:r>
    </w:p>
    <w:p w:rsidR="000101CA" w:rsidRPr="000101CA" w:rsidRDefault="000101CA" w:rsidP="001F6ECA">
      <w:r w:rsidRPr="000101CA">
        <w:t>Beneficial effect was recorded for patient improvement in neurological status, psychiatric status, psychomotor status, hepatic status and respiratory data at endpoint compared to baseline. A significant number of patients had missing data at endpoint and therefore a proportionate comparison is not possible (</w:t>
      </w:r>
      <w:r w:rsidR="00755627" w:rsidRPr="00755627">
        <w:t>Table 24</w:t>
      </w:r>
      <w:r w:rsidRPr="00755627">
        <w:t xml:space="preserve">, </w:t>
      </w:r>
      <w:r w:rsidR="00755627">
        <w:t>A</w:t>
      </w:r>
      <w:r w:rsidR="00755627" w:rsidRPr="00755627">
        <w:t>ttachment 2</w:t>
      </w:r>
      <w:r w:rsidRPr="00755627">
        <w:t>).</w:t>
      </w:r>
    </w:p>
    <w:p w:rsidR="000101CA" w:rsidRPr="000101CA" w:rsidRDefault="000101CA" w:rsidP="001F6ECA">
      <w:pPr>
        <w:pStyle w:val="Heading4"/>
      </w:pPr>
      <w:r w:rsidRPr="001F6ECA">
        <w:t>Clinical</w:t>
      </w:r>
      <w:r w:rsidRPr="000101CA">
        <w:t xml:space="preserve"> safety</w:t>
      </w:r>
    </w:p>
    <w:p w:rsidR="000101CA" w:rsidRPr="000101CA" w:rsidRDefault="000101CA" w:rsidP="001F6ECA">
      <w:r w:rsidRPr="000101CA">
        <w:t xml:space="preserve">A total of 143 patients, including 44 who received </w:t>
      </w:r>
      <w:r w:rsidR="00E14D65" w:rsidRPr="00E14D65">
        <w:t>carglumic acid</w:t>
      </w:r>
      <w:r w:rsidRPr="000101CA">
        <w:t xml:space="preserve"> as therapeutic test, have been exposed to </w:t>
      </w:r>
      <w:r w:rsidR="00E14D65" w:rsidRPr="00E14D65">
        <w:t>carglumic acid</w:t>
      </w:r>
      <w:r w:rsidRPr="000101CA">
        <w:t>. These included 99 long term treatment patients includ</w:t>
      </w:r>
      <w:r w:rsidR="00755627">
        <w:t xml:space="preserve">ing 23 NAGS patients and 76 non </w:t>
      </w:r>
      <w:r w:rsidRPr="000101CA">
        <w:t>NAGS deficiency patients between 1 January 1991 and 31 December 2008.</w:t>
      </w:r>
    </w:p>
    <w:p w:rsidR="000101CA" w:rsidRPr="000101CA" w:rsidRDefault="000101CA" w:rsidP="001F6ECA">
      <w:pPr>
        <w:pStyle w:val="Heading5"/>
      </w:pPr>
      <w:r w:rsidRPr="001F6ECA">
        <w:t>NAGS</w:t>
      </w:r>
      <w:r w:rsidRPr="000101CA">
        <w:t xml:space="preserve"> deficiency</w:t>
      </w:r>
    </w:p>
    <w:p w:rsidR="000101CA" w:rsidRDefault="000101CA" w:rsidP="001F6ECA">
      <w:r w:rsidRPr="000101CA">
        <w:t xml:space="preserve">For the safety analysis, 23 patients were exposed to at least to one dose of </w:t>
      </w:r>
      <w:r w:rsidR="00E14D65" w:rsidRPr="00E14D65">
        <w:t>carglumic acid</w:t>
      </w:r>
      <w:r w:rsidRPr="000101CA">
        <w:t xml:space="preserve">. The cumulative treatment duration for NAGS deficiency patients was 187.4 </w:t>
      </w:r>
      <w:r w:rsidR="00964338">
        <w:t>patient years</w:t>
      </w:r>
      <w:r w:rsidRPr="000101CA">
        <w:t xml:space="preserve">. The </w:t>
      </w:r>
      <w:r w:rsidR="00964338">
        <w:t>duration of treatment (Figure 23</w:t>
      </w:r>
      <w:r w:rsidRPr="000101CA">
        <w:t xml:space="preserve">, </w:t>
      </w:r>
      <w:r w:rsidR="00964338" w:rsidRPr="00964338">
        <w:t>Attachment 2</w:t>
      </w:r>
      <w:r w:rsidRPr="000101CA">
        <w:t xml:space="preserve">) for these </w:t>
      </w:r>
      <w:r w:rsidR="00964338">
        <w:t xml:space="preserve">patients appears to have been 0 to 50 months (35%), 50 to 100 months (17%), 100 to </w:t>
      </w:r>
      <w:r w:rsidRPr="000101CA">
        <w:t>150 months (26%), 15</w:t>
      </w:r>
      <w:r w:rsidR="00964338">
        <w:t xml:space="preserve">0 to 200 months (17%) and 200 to </w:t>
      </w:r>
      <w:r w:rsidRPr="000101CA">
        <w:t xml:space="preserve">250 months (4%). A total of 18/23 patients experienced at least one AE and included as </w:t>
      </w:r>
      <w:r w:rsidR="00964338">
        <w:t xml:space="preserve">shown in Table </w:t>
      </w:r>
      <w:r w:rsidR="00FA0223">
        <w:t>11</w:t>
      </w:r>
      <w:r w:rsidR="00964338">
        <w:t xml:space="preserve"> below </w:t>
      </w:r>
      <w:r w:rsidR="00B82658">
        <w:t>(reference US label).</w:t>
      </w:r>
    </w:p>
    <w:p w:rsidR="00964338" w:rsidRPr="000101CA" w:rsidRDefault="00964338" w:rsidP="001F6ECA">
      <w:pPr>
        <w:pStyle w:val="TableTitle"/>
      </w:pPr>
      <w:r>
        <w:t xml:space="preserve">Table </w:t>
      </w:r>
      <w:r w:rsidR="00FA0223">
        <w:t>11</w:t>
      </w:r>
      <w:r w:rsidR="003E28B6">
        <w:t>.</w:t>
      </w:r>
      <w:r>
        <w:t xml:space="preserve"> Adverse </w:t>
      </w:r>
      <w:r w:rsidRPr="001F6ECA">
        <w:t>events</w:t>
      </w:r>
      <w:r>
        <w:t xml:space="preserve"> for NAGs deficiency patients</w:t>
      </w:r>
      <w:r w:rsidR="00FE502E">
        <w:t>.</w:t>
      </w:r>
    </w:p>
    <w:p w:rsidR="000101CA" w:rsidRDefault="000101CA" w:rsidP="001F6ECA">
      <w:r>
        <w:rPr>
          <w:noProof/>
          <w:lang w:eastAsia="en-AU"/>
        </w:rPr>
        <w:drawing>
          <wp:inline distT="0" distB="0" distL="0" distR="0" wp14:anchorId="01537A0A" wp14:editId="7A7D7166">
            <wp:extent cx="5400040" cy="5029540"/>
            <wp:effectExtent l="0" t="0" r="0" b="0"/>
            <wp:docPr id="14" name="Picture 14" descr="Table 11. Adverse events for NAGs deficiency patients." title="Tabl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00040" cy="5029540"/>
                    </a:xfrm>
                    <a:prstGeom prst="rect">
                      <a:avLst/>
                    </a:prstGeom>
                  </pic:spPr>
                </pic:pic>
              </a:graphicData>
            </a:graphic>
          </wp:inline>
        </w:drawing>
      </w:r>
    </w:p>
    <w:p w:rsidR="000101CA" w:rsidRPr="000101CA" w:rsidRDefault="000101CA" w:rsidP="001F6ECA">
      <w:r w:rsidRPr="000101CA">
        <w:t>A total of 37 SAEs and 2 deaths were reported and were not considered treatment related.</w:t>
      </w:r>
    </w:p>
    <w:p w:rsidR="000101CA" w:rsidRPr="000101CA" w:rsidRDefault="0027557F" w:rsidP="00595256">
      <w:pPr>
        <w:pStyle w:val="Heading5"/>
      </w:pPr>
      <w:r>
        <w:t xml:space="preserve">Organic </w:t>
      </w:r>
      <w:r w:rsidR="00595256">
        <w:t>a</w:t>
      </w:r>
      <w:r w:rsidRPr="00595256">
        <w:t>cidaemias</w:t>
      </w:r>
    </w:p>
    <w:p w:rsidR="000101CA" w:rsidRPr="000101CA" w:rsidRDefault="000101CA" w:rsidP="00595256">
      <w:r w:rsidRPr="000101CA">
        <w:t xml:space="preserve">A total of 57 patients were exposed at least to one dose of the study drug. The duration </w:t>
      </w:r>
      <w:r w:rsidR="00964338">
        <w:t xml:space="preserve">of the treatment with </w:t>
      </w:r>
      <w:r w:rsidR="00E14D65" w:rsidRPr="00E14D65">
        <w:t>carglumic acid</w:t>
      </w:r>
      <w:r w:rsidR="00964338">
        <w:t xml:space="preserve"> was 1 to </w:t>
      </w:r>
      <w:r w:rsidRPr="000101CA">
        <w:t xml:space="preserve">16 days (mean 5.3 days; median 4 days). The first dose of </w:t>
      </w:r>
      <w:r w:rsidR="00E14D65" w:rsidRPr="00E14D65">
        <w:t>carglumic acid</w:t>
      </w:r>
      <w:r w:rsidRPr="000101CA">
        <w:t xml:space="preserve"> ranged from 10 to 303 mg/kg (mean 86.5</w:t>
      </w:r>
      <w:r w:rsidR="00964338">
        <w:t xml:space="preserve"> </w:t>
      </w:r>
      <w:r w:rsidRPr="000101CA">
        <w:t>mg/kg; median 62.9</w:t>
      </w:r>
      <w:r w:rsidR="00964338">
        <w:t xml:space="preserve"> </w:t>
      </w:r>
      <w:r w:rsidR="00CB06A9">
        <w:t>mg/kg).</w:t>
      </w:r>
    </w:p>
    <w:p w:rsidR="000101CA" w:rsidRPr="000101CA" w:rsidRDefault="000101CA" w:rsidP="00595256">
      <w:r w:rsidRPr="000101CA">
        <w:t xml:space="preserve">A total of 25/57 patients experienced at least one AE. A total of 74 AEs were reported. A total of 24 </w:t>
      </w:r>
      <w:r w:rsidR="0047598F">
        <w:t>AEs</w:t>
      </w:r>
      <w:r w:rsidR="00CB06A9">
        <w:t xml:space="preserve"> </w:t>
      </w:r>
      <w:r w:rsidRPr="000101CA">
        <w:t>in 9 patients were considered related to medication. A total of 22 SAEs were report</w:t>
      </w:r>
      <w:r w:rsidR="00CB06A9">
        <w:t xml:space="preserve">ed. Seven deaths were reported. </w:t>
      </w:r>
      <w:r w:rsidRPr="000101CA">
        <w:t xml:space="preserve">For all fatal SAEs, investigator’s causality assessment to study drug was ‘unrelated’, except for one event ‘neurological damage’ for which investigator’s causality assessment was </w:t>
      </w:r>
      <w:r w:rsidR="009F5CFA">
        <w:t>‘</w:t>
      </w:r>
      <w:r w:rsidRPr="000101CA">
        <w:t>related</w:t>
      </w:r>
      <w:r w:rsidR="009F5CFA">
        <w:t>’</w:t>
      </w:r>
      <w:r w:rsidRPr="000101CA">
        <w:t>.</w:t>
      </w:r>
    </w:p>
    <w:p w:rsidR="000101CA" w:rsidRPr="000101CA" w:rsidRDefault="000101CA" w:rsidP="00595256">
      <w:r w:rsidRPr="000101CA">
        <w:t>For other SAEs, investigator’s causality assessment was ‘unrelated’, except for 5 events (cardiac arrest, diarrhoea, hepatic enzyme increased, worsening of encephalopathy and respiratory failure) for which investigator’s causality assessment was ‘unknown’ or ‘not mentioned’.</w:t>
      </w:r>
    </w:p>
    <w:p w:rsidR="000101CA" w:rsidRPr="000101CA" w:rsidRDefault="000101CA" w:rsidP="00595256">
      <w:r w:rsidRPr="000101CA">
        <w:t xml:space="preserve">Overall in the dataset, the ECG data, including from healthy subjects in PK studies, was considered inadequate to assess the risk of QT/QTc prolongation with </w:t>
      </w:r>
      <w:r w:rsidR="00E14D65" w:rsidRPr="00E14D65">
        <w:t>carglumic acid</w:t>
      </w:r>
      <w:r w:rsidRPr="000101CA">
        <w:t>.</w:t>
      </w:r>
    </w:p>
    <w:p w:rsidR="000101CA" w:rsidRPr="000101CA" w:rsidRDefault="000101CA" w:rsidP="00595256">
      <w:r w:rsidRPr="000101CA">
        <w:t xml:space="preserve">The adverse/safety outcomes, reported in the overall dataset, were generally considered related to the underlying disease. </w:t>
      </w:r>
      <w:r w:rsidR="00E14D65">
        <w:t>C</w:t>
      </w:r>
      <w:r w:rsidR="00E14D65" w:rsidRPr="00E14D65">
        <w:t>arglumic acid</w:t>
      </w:r>
      <w:r w:rsidRPr="000101CA">
        <w:t xml:space="preserve"> was well tolerated. The </w:t>
      </w:r>
      <w:r w:rsidR="0047598F" w:rsidRPr="0047598F">
        <w:t xml:space="preserve">AE </w:t>
      </w:r>
      <w:r w:rsidRPr="000101CA">
        <w:t>s reported in the periodic safety updates were, consistent with those reported in the retrospective review of data.</w:t>
      </w:r>
    </w:p>
    <w:p w:rsidR="000101CA" w:rsidRPr="000101CA" w:rsidRDefault="000101CA" w:rsidP="00595256">
      <w:r w:rsidRPr="000101CA">
        <w:t xml:space="preserve">In </w:t>
      </w:r>
      <w:r w:rsidR="00CB06A9">
        <w:t xml:space="preserve">response to questions raised by the TGA </w:t>
      </w:r>
      <w:r w:rsidRPr="000101CA">
        <w:t xml:space="preserve">, the sponsor confirmed that a review of all </w:t>
      </w:r>
      <w:r w:rsidR="00964338">
        <w:t>C</w:t>
      </w:r>
      <w:r w:rsidR="00964338" w:rsidRPr="000101CA">
        <w:t>arbaglu</w:t>
      </w:r>
      <w:r w:rsidRPr="000101CA">
        <w:t xml:space="preserve"> cases received until 30 May 2014 had been performed by </w:t>
      </w:r>
      <w:r w:rsidR="00BF4A86" w:rsidRPr="00BF4A86">
        <w:t>OE</w:t>
      </w:r>
      <w:r w:rsidRPr="000101CA">
        <w:t xml:space="preserve"> which showed as follows:</w:t>
      </w:r>
    </w:p>
    <w:p w:rsidR="000101CA" w:rsidRPr="000101CA" w:rsidRDefault="000101CA" w:rsidP="00595256">
      <w:pPr>
        <w:pStyle w:val="ListBullet"/>
      </w:pPr>
      <w:r w:rsidRPr="000101CA">
        <w:t xml:space="preserve">Nine cases were identified as events which can be considered as liver toxicity. Six of these events were considered by the physician as ‘not related’. The other 3 cases included 1 case of </w:t>
      </w:r>
      <w:r w:rsidR="00A0699F" w:rsidRPr="00595256">
        <w:t>aspartate</w:t>
      </w:r>
      <w:r w:rsidR="00A0699F" w:rsidRPr="00A0699F">
        <w:t xml:space="preserve"> aminotransferase (AST)/alanine aminotransferase (ALT) </w:t>
      </w:r>
      <w:r w:rsidRPr="000101CA">
        <w:t>increased (hepatic cytolysis, transaminases 10</w:t>
      </w:r>
      <w:r w:rsidR="00964338">
        <w:t xml:space="preserve"> x normal, intra </w:t>
      </w:r>
      <w:r w:rsidRPr="000101CA">
        <w:t>cranial hypertension, multi organ failure death), 1 case of elevation of liver enzymes (sepsis, recovered) and 1 case of raised transaminase (no details, ‘off label use’).</w:t>
      </w:r>
    </w:p>
    <w:p w:rsidR="000101CA" w:rsidRPr="000101CA" w:rsidRDefault="000101CA" w:rsidP="00595256">
      <w:pPr>
        <w:pStyle w:val="ListBullet"/>
      </w:pPr>
      <w:r w:rsidRPr="000101CA">
        <w:t xml:space="preserve">Two cases were identified as events as haematological toxicity including eosinophilia (on multiple drugs including antivirals; death) and thrombocytopenia </w:t>
      </w:r>
      <w:r w:rsidR="00207AC7">
        <w:t>and</w:t>
      </w:r>
      <w:r w:rsidRPr="000101CA">
        <w:t xml:space="preserve"> coagulopathy (hypotensive cardiac arrest, coagulopathy, thrombocytopenia, recovered).</w:t>
      </w:r>
    </w:p>
    <w:p w:rsidR="000101CA" w:rsidRPr="000101CA" w:rsidRDefault="000101CA" w:rsidP="00595256">
      <w:pPr>
        <w:pStyle w:val="ListBullet"/>
      </w:pPr>
      <w:r w:rsidRPr="000101CA">
        <w:t xml:space="preserve">Three cases were </w:t>
      </w:r>
      <w:r w:rsidRPr="00595256">
        <w:t>identified</w:t>
      </w:r>
      <w:r w:rsidRPr="000101CA">
        <w:t xml:space="preserve"> as cardiotoxicity including 1 restrictive cardiomyopathy, 1 cardiac arrest (patient previously described under thrombocytopenia </w:t>
      </w:r>
      <w:r w:rsidR="00207AC7">
        <w:t>and</w:t>
      </w:r>
      <w:r w:rsidRPr="000101CA">
        <w:t xml:space="preserve"> coagulopathy) and 1 bradycardia (recovered).</w:t>
      </w:r>
    </w:p>
    <w:p w:rsidR="000101CA" w:rsidRPr="000101CA" w:rsidRDefault="000101CA" w:rsidP="00595256">
      <w:r w:rsidRPr="000101CA">
        <w:t xml:space="preserve">The sponsor </w:t>
      </w:r>
      <w:r w:rsidR="00BF3937">
        <w:t>wa</w:t>
      </w:r>
      <w:r w:rsidRPr="000101CA">
        <w:t xml:space="preserve">s requested to include a tabular summary of all </w:t>
      </w:r>
      <w:r w:rsidR="0047598F" w:rsidRPr="0047598F">
        <w:t>AE</w:t>
      </w:r>
      <w:r w:rsidRPr="000101CA">
        <w:t>s in its pre-ACPM response based on the review of safety data to 30 May 2014 and any further deta</w:t>
      </w:r>
      <w:r w:rsidR="00964338">
        <w:t>ils of hepatic adverse effects.</w:t>
      </w:r>
    </w:p>
    <w:p w:rsidR="007B6132" w:rsidRDefault="007B6132" w:rsidP="00595256">
      <w:pPr>
        <w:pStyle w:val="Heading4"/>
      </w:pPr>
      <w:bookmarkStart w:id="240" w:name="_Toc314842514"/>
      <w:r w:rsidRPr="007B6132">
        <w:t xml:space="preserve">Clinical evaluator’s recommendation (if </w:t>
      </w:r>
      <w:r w:rsidRPr="00595256">
        <w:t>applicable</w:t>
      </w:r>
      <w:r w:rsidRPr="007B6132">
        <w:t>)</w:t>
      </w:r>
    </w:p>
    <w:p w:rsidR="00AD2505" w:rsidRPr="00134631" w:rsidRDefault="006F3483" w:rsidP="00595256">
      <w:r w:rsidRPr="00134631">
        <w:t xml:space="preserve">The clinical evaluator recommends rejection due to inadequately described </w:t>
      </w:r>
      <w:r w:rsidR="00BF4A86" w:rsidRPr="00BF4A86">
        <w:t xml:space="preserve">PK </w:t>
      </w:r>
      <w:r w:rsidRPr="00134631">
        <w:t>in neonates and concern about insuffi</w:t>
      </w:r>
      <w:r w:rsidR="00134631">
        <w:t>cient information about safety.</w:t>
      </w:r>
    </w:p>
    <w:p w:rsidR="008E7846" w:rsidRDefault="00386150" w:rsidP="00595256">
      <w:pPr>
        <w:pStyle w:val="Heading3"/>
        <w:rPr>
          <w:lang w:eastAsia="en-AU"/>
        </w:rPr>
      </w:pPr>
      <w:bookmarkStart w:id="241" w:name="_Toc433190189"/>
      <w:r>
        <w:rPr>
          <w:lang w:eastAsia="en-AU"/>
        </w:rPr>
        <w:t xml:space="preserve">Risk </w:t>
      </w:r>
      <w:r w:rsidRPr="00595256">
        <w:t>m</w:t>
      </w:r>
      <w:r w:rsidR="008E7846" w:rsidRPr="00595256">
        <w:t>anagement</w:t>
      </w:r>
      <w:r w:rsidR="008E7846">
        <w:rPr>
          <w:lang w:eastAsia="en-AU"/>
        </w:rPr>
        <w:t xml:space="preserve"> </w:t>
      </w:r>
      <w:r>
        <w:rPr>
          <w:lang w:eastAsia="en-AU"/>
        </w:rPr>
        <w:t>p</w:t>
      </w:r>
      <w:r w:rsidR="008E7846">
        <w:rPr>
          <w:lang w:eastAsia="en-AU"/>
        </w:rPr>
        <w:t>lan</w:t>
      </w:r>
      <w:bookmarkEnd w:id="240"/>
      <w:bookmarkEnd w:id="241"/>
    </w:p>
    <w:p w:rsidR="008E7846" w:rsidRPr="000101CA" w:rsidRDefault="000101CA" w:rsidP="00595256">
      <w:r w:rsidRPr="000101CA">
        <w:t xml:space="preserve">The European Risk Management Plan (version OE/PV/CARB/0114, dated </w:t>
      </w:r>
      <w:r w:rsidR="00A0699F">
        <w:t xml:space="preserve">23 July 2014, data lock point 31 May </w:t>
      </w:r>
      <w:r w:rsidRPr="000101CA">
        <w:t>2014), with Australian Specifi</w:t>
      </w:r>
      <w:r w:rsidR="00A0699F">
        <w:t>c Annex (version 0.2, dated 31 July </w:t>
      </w:r>
      <w:r w:rsidRPr="000101CA">
        <w:t xml:space="preserve">2014), apply to this submission and will </w:t>
      </w:r>
      <w:r w:rsidR="00AD1728">
        <w:t>be a condition of registration.</w:t>
      </w:r>
    </w:p>
    <w:p w:rsidR="008E7846" w:rsidRDefault="00AA0ED0" w:rsidP="00595256">
      <w:pPr>
        <w:pStyle w:val="Heading3"/>
      </w:pPr>
      <w:bookmarkStart w:id="242" w:name="_Toc247691531"/>
      <w:bookmarkStart w:id="243" w:name="_Toc314842515"/>
      <w:bookmarkStart w:id="244" w:name="_Toc433190190"/>
      <w:bookmarkStart w:id="245" w:name="_Toc196046505"/>
      <w:bookmarkStart w:id="246" w:name="_Toc196046949"/>
      <w:r>
        <w:t xml:space="preserve">Risk-benefit </w:t>
      </w:r>
      <w:r w:rsidRPr="00595256">
        <w:t>a</w:t>
      </w:r>
      <w:r w:rsidR="008E7846" w:rsidRPr="00595256">
        <w:t>nalysis</w:t>
      </w:r>
      <w:bookmarkEnd w:id="242"/>
      <w:bookmarkEnd w:id="243"/>
      <w:bookmarkEnd w:id="244"/>
    </w:p>
    <w:p w:rsidR="00D23139" w:rsidRDefault="00D23139" w:rsidP="00595256">
      <w:pPr>
        <w:pStyle w:val="Heading4"/>
      </w:pPr>
      <w:r w:rsidRPr="00D23139">
        <w:t xml:space="preserve">Delegate’s </w:t>
      </w:r>
      <w:r w:rsidRPr="00595256">
        <w:t>considerations</w:t>
      </w:r>
      <w:r w:rsidRPr="00D23139">
        <w:t xml:space="preserve"> </w:t>
      </w:r>
    </w:p>
    <w:p w:rsidR="000101CA" w:rsidRPr="000101CA" w:rsidRDefault="000101CA" w:rsidP="00595256">
      <w:pPr>
        <w:pStyle w:val="Heading5"/>
      </w:pPr>
      <w:r w:rsidRPr="000101CA">
        <w:t xml:space="preserve">Delegate’s </w:t>
      </w:r>
      <w:r w:rsidRPr="00595256">
        <w:t>conclusion</w:t>
      </w:r>
      <w:r w:rsidRPr="000101CA">
        <w:t xml:space="preserve"> </w:t>
      </w:r>
      <w:r w:rsidR="00207AC7">
        <w:t>and</w:t>
      </w:r>
      <w:r w:rsidRPr="000101CA">
        <w:t xml:space="preserve"> recommendation</w:t>
      </w:r>
    </w:p>
    <w:p w:rsidR="000101CA" w:rsidRPr="000101CA" w:rsidRDefault="000101CA" w:rsidP="00595256">
      <w:pPr>
        <w:pStyle w:val="Numberbullet0"/>
        <w:numPr>
          <w:ilvl w:val="0"/>
          <w:numId w:val="17"/>
        </w:numPr>
      </w:pPr>
      <w:r w:rsidRPr="000101CA">
        <w:t xml:space="preserve">NAGS deficiency and Organic Acidaemias (3 types: </w:t>
      </w:r>
      <w:r w:rsidR="003821E3">
        <w:t>IVA</w:t>
      </w:r>
      <w:r w:rsidR="00AD1728" w:rsidRPr="00AD1728">
        <w:t xml:space="preserve">, </w:t>
      </w:r>
      <w:r w:rsidR="003821E3">
        <w:t>MMA</w:t>
      </w:r>
      <w:r w:rsidR="00AD1728">
        <w:t xml:space="preserve"> and </w:t>
      </w:r>
      <w:r w:rsidR="0027557F">
        <w:t>PA</w:t>
      </w:r>
      <w:r w:rsidRPr="000101CA">
        <w:t xml:space="preserve">) are very rare inherited metabolic disorders of urea cycle. The proposed indication was granted ‘orphan’ status. The disorders result is </w:t>
      </w:r>
      <w:r w:rsidR="00134631">
        <w:t xml:space="preserve">a </w:t>
      </w:r>
      <w:r w:rsidRPr="000101CA">
        <w:t>life threatening toxic ammonia accumulation in plasma in the neonatal period or early childhood and have severe clinical sequelae in survivors. There are not many therapeutic options and none are specific or currently registered. The treatment needs to be initiated promptly in all cases whether neonatal (early onset) or late onset.</w:t>
      </w:r>
    </w:p>
    <w:p w:rsidR="000101CA" w:rsidRPr="000101CA" w:rsidRDefault="00E14D65" w:rsidP="00595256">
      <w:pPr>
        <w:pStyle w:val="Numberbullet0"/>
        <w:numPr>
          <w:ilvl w:val="0"/>
          <w:numId w:val="17"/>
        </w:numPr>
      </w:pPr>
      <w:r>
        <w:t>Carglumic acid</w:t>
      </w:r>
      <w:r w:rsidR="000101CA" w:rsidRPr="000101CA">
        <w:t xml:space="preserve"> is a specific and direct activator of </w:t>
      </w:r>
      <w:r w:rsidR="003B38B5">
        <w:t>CPS</w:t>
      </w:r>
      <w:r>
        <w:t>1</w:t>
      </w:r>
      <w:r w:rsidR="00134631">
        <w:t>,</w:t>
      </w:r>
      <w:r w:rsidR="000101CA" w:rsidRPr="000101CA">
        <w:t xml:space="preserve"> the first enzyme of urea cycle. </w:t>
      </w:r>
      <w:r>
        <w:t>C</w:t>
      </w:r>
      <w:r w:rsidRPr="00E14D65">
        <w:t>arglumic acid</w:t>
      </w:r>
      <w:r w:rsidR="000101CA" w:rsidRPr="000101CA">
        <w:t xml:space="preserve"> has been </w:t>
      </w:r>
      <w:r w:rsidR="000101CA" w:rsidRPr="00595256">
        <w:t>approved</w:t>
      </w:r>
      <w:r w:rsidR="000101CA" w:rsidRPr="000101CA">
        <w:t xml:space="preserve"> in Europe since 2003 (NAGS deficiency and OAs) and was approved in the USA in 2010 (NA</w:t>
      </w:r>
      <w:r w:rsidR="00134631">
        <w:t>GS</w:t>
      </w:r>
      <w:r w:rsidR="000101CA" w:rsidRPr="000101CA">
        <w:t xml:space="preserve"> deficiency).</w:t>
      </w:r>
    </w:p>
    <w:p w:rsidR="000101CA" w:rsidRPr="000101CA" w:rsidRDefault="00E14D65" w:rsidP="00595256">
      <w:pPr>
        <w:pStyle w:val="Numberbullet0"/>
        <w:numPr>
          <w:ilvl w:val="0"/>
          <w:numId w:val="17"/>
        </w:numPr>
      </w:pPr>
      <w:r>
        <w:t>C</w:t>
      </w:r>
      <w:r w:rsidRPr="00E14D65">
        <w:t>arglumic acid</w:t>
      </w:r>
      <w:r w:rsidR="000101CA" w:rsidRPr="000101CA">
        <w:t xml:space="preserve"> is administered orally and there appears to be no attempt to develop a parenteral preparation. The drug is considered to have underg</w:t>
      </w:r>
      <w:r w:rsidR="00BF3937">
        <w:t xml:space="preserve">one adequate testing in the </w:t>
      </w:r>
      <w:r w:rsidR="00A0699F">
        <w:t>nonclinical</w:t>
      </w:r>
      <w:r w:rsidR="000101CA" w:rsidRPr="000101CA">
        <w:t xml:space="preserve"> (</w:t>
      </w:r>
      <w:r w:rsidR="000101CA" w:rsidRPr="00595256">
        <w:t>toxicology</w:t>
      </w:r>
      <w:r w:rsidR="000101CA" w:rsidRPr="000101CA">
        <w:t xml:space="preserve"> studies) phase and there are no objections to the registration from the </w:t>
      </w:r>
      <w:r w:rsidR="00AD1728">
        <w:t>nonclinical</w:t>
      </w:r>
      <w:r w:rsidR="000101CA" w:rsidRPr="000101CA">
        <w:t xml:space="preserve"> evaluators.</w:t>
      </w:r>
    </w:p>
    <w:p w:rsidR="000101CA" w:rsidRPr="000101CA" w:rsidRDefault="000101CA" w:rsidP="00595256">
      <w:pPr>
        <w:pStyle w:val="Numberbullet0"/>
        <w:numPr>
          <w:ilvl w:val="0"/>
          <w:numId w:val="17"/>
        </w:numPr>
      </w:pPr>
      <w:r w:rsidRPr="000101CA">
        <w:t>Clinical data are understandably very limited. The PK information is minimal but considered acceptable. Further PK modelling especially in neonates would doubtless have been more useful. There are also no dose response</w:t>
      </w:r>
      <w:r w:rsidR="00134631">
        <w:t xml:space="preserve"> data. The proposed dosing (100 to </w:t>
      </w:r>
      <w:r w:rsidRPr="000101CA">
        <w:t>25</w:t>
      </w:r>
      <w:r w:rsidR="00207AC7">
        <w:t>0 mg</w:t>
      </w:r>
      <w:r w:rsidRPr="000101CA">
        <w:t>/kg/day) is based on clinical usage only. The risk of drug-drug interactions is considered very low.</w:t>
      </w:r>
    </w:p>
    <w:p w:rsidR="000101CA" w:rsidRPr="000101CA" w:rsidRDefault="000101CA" w:rsidP="00595256">
      <w:pPr>
        <w:pStyle w:val="Numberbullet0"/>
        <w:numPr>
          <w:ilvl w:val="0"/>
          <w:numId w:val="17"/>
        </w:numPr>
      </w:pPr>
      <w:r w:rsidRPr="000101CA">
        <w:t xml:space="preserve">Treatment with </w:t>
      </w:r>
      <w:r w:rsidR="00E14D65" w:rsidRPr="00E14D65">
        <w:t>carglumic acid</w:t>
      </w:r>
      <w:r w:rsidRPr="000101CA">
        <w:t xml:space="preserve">, in case of NAGS deficiency and can be divided into 2 phases: acute treatment (initial 7 </w:t>
      </w:r>
      <w:r w:rsidRPr="00595256">
        <w:t>days</w:t>
      </w:r>
      <w:r w:rsidRPr="000101CA">
        <w:t xml:space="preserve">) and </w:t>
      </w:r>
      <w:r w:rsidR="00D7554B">
        <w:t>long term</w:t>
      </w:r>
      <w:r w:rsidRPr="000101CA">
        <w:t xml:space="preserve"> m</w:t>
      </w:r>
      <w:r w:rsidR="00FD114B">
        <w:t xml:space="preserve">aintenance (reported exposure 1 to </w:t>
      </w:r>
      <w:r w:rsidRPr="000101CA">
        <w:t>16 years; potentially indefinite). In OAs (</w:t>
      </w:r>
      <w:r w:rsidR="003821E3">
        <w:t>IVA</w:t>
      </w:r>
      <w:r w:rsidRPr="000101CA">
        <w:t xml:space="preserve">, </w:t>
      </w:r>
      <w:r w:rsidR="003821E3">
        <w:t>MMA</w:t>
      </w:r>
      <w:r w:rsidRPr="000101CA">
        <w:t xml:space="preserve">, </w:t>
      </w:r>
      <w:r w:rsidR="0027557F">
        <w:t>PA</w:t>
      </w:r>
      <w:r w:rsidRPr="000101CA">
        <w:t xml:space="preserve">), the endpoint is resolution of decompensation episode (up to 15 days in the reported data; maintenance not defined). The total clinical experience consists of 23 NAGS deficiency and 41 OA patients available in respective retrospective analysis of data for efficacy and safety. Data for additional 7 patients </w:t>
      </w:r>
      <w:r w:rsidR="00BE7865">
        <w:t xml:space="preserve">(4 NAGS and 3 OA) </w:t>
      </w:r>
      <w:r w:rsidRPr="000101CA">
        <w:t>treated in the USA was also included.</w:t>
      </w:r>
    </w:p>
    <w:p w:rsidR="000101CA" w:rsidRPr="000101CA" w:rsidRDefault="000101CA" w:rsidP="00595256">
      <w:pPr>
        <w:pStyle w:val="Numberbullet0"/>
        <w:numPr>
          <w:ilvl w:val="0"/>
          <w:numId w:val="17"/>
        </w:numPr>
      </w:pPr>
      <w:r w:rsidRPr="000101CA">
        <w:t>The results showed rapid and dramatic fall in plasma ammonia lev</w:t>
      </w:r>
      <w:r w:rsidR="00FD114B">
        <w:t xml:space="preserve">els with normalisation within 1 to </w:t>
      </w:r>
      <w:r w:rsidRPr="000101CA">
        <w:t xml:space="preserve">3 days after starting therapy with </w:t>
      </w:r>
      <w:r w:rsidR="00E14D65" w:rsidRPr="00E14D65">
        <w:t>carglumic acid</w:t>
      </w:r>
      <w:r w:rsidRPr="000101CA">
        <w:t xml:space="preserve">. The effect on secondary biochemical </w:t>
      </w:r>
      <w:r w:rsidRPr="00595256">
        <w:t>outcomes</w:t>
      </w:r>
      <w:r w:rsidRPr="000101CA">
        <w:t xml:space="preserve"> (glutamine, citrulline, urea) was consistent with expectation of restarting of urea production cycle. The </w:t>
      </w:r>
      <w:r w:rsidR="00E14D65" w:rsidRPr="00E14D65">
        <w:t>carglumic acid</w:t>
      </w:r>
      <w:r w:rsidRPr="000101CA">
        <w:t>, in acute phase, was used in conjunction with ammonia scavengers in both NAGS deficiency and OA indications.</w:t>
      </w:r>
    </w:p>
    <w:p w:rsidR="000101CA" w:rsidRPr="000101CA" w:rsidRDefault="000101CA" w:rsidP="00595256">
      <w:pPr>
        <w:pStyle w:val="Numberbullet0"/>
        <w:numPr>
          <w:ilvl w:val="0"/>
          <w:numId w:val="17"/>
        </w:numPr>
      </w:pPr>
      <w:r w:rsidRPr="000101CA">
        <w:t>The control of ammon</w:t>
      </w:r>
      <w:r w:rsidR="00B02ACC">
        <w:t>aemia</w:t>
      </w:r>
      <w:r w:rsidRPr="000101CA">
        <w:t xml:space="preserve"> was maintained with treatment over the long term (last available observation). The clinical </w:t>
      </w:r>
      <w:r w:rsidRPr="00595256">
        <w:t>outcomes</w:t>
      </w:r>
      <w:r w:rsidRPr="000101CA">
        <w:t xml:space="preserve"> in terms of neurological and psychomotor development and normalisation of diet were beneficial. Ongoing treatment was associated with prevention of decompensation episodes.</w:t>
      </w:r>
    </w:p>
    <w:p w:rsidR="000101CA" w:rsidRPr="000101CA" w:rsidRDefault="000101CA" w:rsidP="00595256">
      <w:pPr>
        <w:pStyle w:val="Numberbullet0"/>
        <w:numPr>
          <w:ilvl w:val="0"/>
          <w:numId w:val="17"/>
        </w:numPr>
      </w:pPr>
      <w:r w:rsidRPr="000101CA">
        <w:t>In all ca</w:t>
      </w:r>
      <w:r w:rsidR="00FD114B">
        <w:t xml:space="preserve">ses a variable oral dose of 100 to </w:t>
      </w:r>
      <w:r w:rsidRPr="000101CA">
        <w:t>25</w:t>
      </w:r>
      <w:r w:rsidR="00207AC7">
        <w:t>0 mg</w:t>
      </w:r>
      <w:r w:rsidRPr="000101CA">
        <w:t xml:space="preserve">/kg/day in divided daily doses was used initially and then lowered gradually in maintenance phase according to patient response principally based on plasma biochemical </w:t>
      </w:r>
      <w:r w:rsidRPr="00595256">
        <w:t>markers</w:t>
      </w:r>
      <w:r w:rsidRPr="000101CA">
        <w:t xml:space="preserve"> such as </w:t>
      </w:r>
      <w:r w:rsidR="00D7554B" w:rsidRPr="000101CA">
        <w:t>NH</w:t>
      </w:r>
      <w:r w:rsidR="00D7554B" w:rsidRPr="00595256">
        <w:rPr>
          <w:vertAlign w:val="subscript"/>
        </w:rPr>
        <w:t>3</w:t>
      </w:r>
      <w:r w:rsidRPr="000101CA">
        <w:t>.</w:t>
      </w:r>
    </w:p>
    <w:p w:rsidR="000101CA" w:rsidRPr="000101CA" w:rsidRDefault="000101CA" w:rsidP="00595256">
      <w:pPr>
        <w:pStyle w:val="Numberbullet0"/>
        <w:numPr>
          <w:ilvl w:val="0"/>
          <w:numId w:val="17"/>
        </w:numPr>
      </w:pPr>
      <w:r w:rsidRPr="000101CA">
        <w:t xml:space="preserve">The number of patients and the data are very small, retrospective and incomplete and any meaningful inferential statistical analysis is not possible. However, even more than the small numbers, the bigger limitation was </w:t>
      </w:r>
      <w:r w:rsidRPr="00595256">
        <w:t>missing</w:t>
      </w:r>
      <w:r w:rsidRPr="000101CA">
        <w:t xml:space="preserve"> information for the patients included in the dataset which also makes any qualitative judgement difficult.</w:t>
      </w:r>
    </w:p>
    <w:p w:rsidR="000101CA" w:rsidRPr="000101CA" w:rsidRDefault="000101CA" w:rsidP="00281140">
      <w:pPr>
        <w:pStyle w:val="Numberbullet0"/>
        <w:numPr>
          <w:ilvl w:val="0"/>
          <w:numId w:val="17"/>
        </w:numPr>
      </w:pPr>
      <w:r w:rsidRPr="000101CA">
        <w:t xml:space="preserve">Similarly the dataset is too small for full characterisation of safety profile although overall the treatment with </w:t>
      </w:r>
      <w:r w:rsidR="00E14D65" w:rsidRPr="00E14D65">
        <w:t>carglumic acid</w:t>
      </w:r>
      <w:r w:rsidRPr="000101CA">
        <w:t xml:space="preserve"> was well tolerated. Most safety/adverse outcomes could be ascribed to the manifestations of underlying metabolic disorder and its complications. Thus the proposed use may be considered acceptable given the clinical context.</w:t>
      </w:r>
    </w:p>
    <w:p w:rsidR="000101CA" w:rsidRPr="000101CA" w:rsidRDefault="000101CA" w:rsidP="00595256">
      <w:pPr>
        <w:pStyle w:val="Numberbullet0"/>
        <w:numPr>
          <w:ilvl w:val="0"/>
          <w:numId w:val="17"/>
        </w:numPr>
      </w:pPr>
      <w:r w:rsidRPr="000101CA">
        <w:t xml:space="preserve">However, certain specific risks such as cardiotoxicity and hepatotoxicity are </w:t>
      </w:r>
      <w:r w:rsidRPr="00595256">
        <w:t>significant</w:t>
      </w:r>
      <w:r w:rsidRPr="000101CA">
        <w:t xml:space="preserve"> concerns. </w:t>
      </w:r>
      <w:r w:rsidR="00E14D65">
        <w:t>C</w:t>
      </w:r>
      <w:r w:rsidR="00E14D65" w:rsidRPr="00E14D65">
        <w:t>arglumic acid</w:t>
      </w:r>
      <w:r w:rsidRPr="000101CA">
        <w:t>’s site of action is hepatic cells and it is more resistant to hydrolysis compared to its natural analogue. It is biologically plausible that its long term exposure may be toxic to hepatocytes. One case of hepatic necrosis in a small dataset may be indicative of this risk.</w:t>
      </w:r>
    </w:p>
    <w:p w:rsidR="000101CA" w:rsidRPr="000101CA" w:rsidRDefault="000101CA" w:rsidP="00595256">
      <w:pPr>
        <w:pStyle w:val="Numberbullet0"/>
        <w:numPr>
          <w:ilvl w:val="0"/>
          <w:numId w:val="17"/>
        </w:numPr>
      </w:pPr>
      <w:r w:rsidRPr="000101CA">
        <w:t>It is not conceivable that more data can be obtained in a prospective manner in sufficient numbers to allow better characterisation of efficacy and safety. On the other hand, expectation of a</w:t>
      </w:r>
      <w:r w:rsidR="00FD114B">
        <w:t xml:space="preserve">ccumulation of data in the post </w:t>
      </w:r>
      <w:r w:rsidRPr="000101CA">
        <w:t>market phase is</w:t>
      </w:r>
      <w:r w:rsidR="003D4E34">
        <w:t xml:space="preserve"> reasonable, especially if post-</w:t>
      </w:r>
      <w:r w:rsidRPr="000101CA">
        <w:t xml:space="preserve">market activities include </w:t>
      </w:r>
      <w:r w:rsidR="00D7554B">
        <w:t>long term</w:t>
      </w:r>
      <w:r w:rsidRPr="000101CA">
        <w:t xml:space="preserve"> follow up of treated patients for major outcomes such as </w:t>
      </w:r>
      <w:r w:rsidR="00D7554B">
        <w:t>long term</w:t>
      </w:r>
      <w:r w:rsidRPr="000101CA">
        <w:t xml:space="preserve"> survival.</w:t>
      </w:r>
    </w:p>
    <w:p w:rsidR="00BF3937" w:rsidRPr="000101CA" w:rsidRDefault="000101CA" w:rsidP="00595256">
      <w:r w:rsidRPr="000101CA">
        <w:t xml:space="preserve">Given the arguments above and pending advice from the ACPM, </w:t>
      </w:r>
      <w:r w:rsidR="00FD114B">
        <w:t>the Delegate is</w:t>
      </w:r>
      <w:r w:rsidRPr="000101CA">
        <w:t xml:space="preserve"> of the opinion that approval of carglumic acid 20</w:t>
      </w:r>
      <w:r w:rsidR="00207AC7">
        <w:t>0 mg</w:t>
      </w:r>
      <w:r w:rsidRPr="000101CA">
        <w:t xml:space="preserve"> dispersible oral tablets (C</w:t>
      </w:r>
      <w:r w:rsidR="00BF3937" w:rsidRPr="000101CA">
        <w:t>arbaglu</w:t>
      </w:r>
      <w:r w:rsidRPr="000101CA">
        <w:t xml:space="preserve">), for the proposed indications (NAGS deficiency; OAs specifically </w:t>
      </w:r>
      <w:r w:rsidR="003821E3">
        <w:t>IVA</w:t>
      </w:r>
      <w:r w:rsidRPr="000101CA">
        <w:t xml:space="preserve">, </w:t>
      </w:r>
      <w:r w:rsidR="003821E3">
        <w:t>MMA</w:t>
      </w:r>
      <w:r w:rsidRPr="000101CA">
        <w:t xml:space="preserve"> and </w:t>
      </w:r>
      <w:r w:rsidR="0027557F">
        <w:t>PA</w:t>
      </w:r>
      <w:r w:rsidRPr="000101CA">
        <w:t>) as well as the dosing regimen as proposed, is clinically justifiable in the context of a rare and serious inherited metabolic disorder and despite obvious deficiencies in the suppor</w:t>
      </w:r>
      <w:r w:rsidR="00FD114B">
        <w:t>ting dataset.</w:t>
      </w:r>
    </w:p>
    <w:p w:rsidR="00D23139" w:rsidRDefault="00D23139" w:rsidP="00595256">
      <w:pPr>
        <w:pStyle w:val="Heading4"/>
      </w:pPr>
      <w:r w:rsidRPr="00595256">
        <w:t>Proposed</w:t>
      </w:r>
      <w:r w:rsidRPr="00D23139">
        <w:t xml:space="preserve"> action</w:t>
      </w:r>
    </w:p>
    <w:p w:rsidR="006E4E7F" w:rsidRPr="006E4E7F" w:rsidRDefault="00B3520C" w:rsidP="00595256">
      <w:r>
        <w:t>The Delegate has</w:t>
      </w:r>
      <w:r w:rsidR="006E4E7F" w:rsidRPr="006E4E7F">
        <w:t xml:space="preserve"> no reason to say, at this time, that the application for carglumic acid (</w:t>
      </w:r>
      <w:r w:rsidR="00FD114B">
        <w:t>C</w:t>
      </w:r>
      <w:r w:rsidR="00FD114B" w:rsidRPr="006E4E7F">
        <w:t>arbaglu</w:t>
      </w:r>
      <w:r w:rsidR="006E4E7F" w:rsidRPr="006E4E7F">
        <w:t>) should not be approved for registration for the proposed indication.</w:t>
      </w:r>
    </w:p>
    <w:p w:rsidR="00D23139" w:rsidRDefault="00D23139" w:rsidP="00595256">
      <w:pPr>
        <w:pStyle w:val="Heading4"/>
      </w:pPr>
      <w:r w:rsidRPr="00595256">
        <w:t>Request</w:t>
      </w:r>
      <w:r w:rsidRPr="00D23139">
        <w:t xml:space="preserve"> for ACPM advice</w:t>
      </w:r>
    </w:p>
    <w:p w:rsidR="006E4E7F" w:rsidRPr="006E4E7F" w:rsidRDefault="006E4E7F" w:rsidP="00595256">
      <w:r w:rsidRPr="006E4E7F">
        <w:t>The Committee is requested to provide advice on the following specific issues:</w:t>
      </w:r>
    </w:p>
    <w:p w:rsidR="006E4E7F" w:rsidRPr="00FD114B" w:rsidRDefault="00AD1728" w:rsidP="00595256">
      <w:pPr>
        <w:pStyle w:val="Numberbullet0"/>
        <w:numPr>
          <w:ilvl w:val="0"/>
          <w:numId w:val="12"/>
        </w:numPr>
      </w:pPr>
      <w:r>
        <w:t xml:space="preserve">Is the proposed dosing (100 to </w:t>
      </w:r>
      <w:r w:rsidR="006E4E7F" w:rsidRPr="00FD114B">
        <w:t>25</w:t>
      </w:r>
      <w:r w:rsidR="00207AC7" w:rsidRPr="00FD114B">
        <w:t>0 mg</w:t>
      </w:r>
      <w:r w:rsidR="006E4E7F" w:rsidRPr="00FD114B">
        <w:t xml:space="preserve">/kg), including neonates, justifiable despite </w:t>
      </w:r>
      <w:r w:rsidR="006E4E7F" w:rsidRPr="00595256">
        <w:t>absence</w:t>
      </w:r>
      <w:r w:rsidR="006E4E7F" w:rsidRPr="00FD114B">
        <w:t xml:space="preserve"> of PK modelling and dose response evaluation?</w:t>
      </w:r>
    </w:p>
    <w:p w:rsidR="006E4E7F" w:rsidRPr="00FD114B" w:rsidRDefault="006E4E7F" w:rsidP="00595256">
      <w:pPr>
        <w:pStyle w:val="Numberbullet0"/>
        <w:numPr>
          <w:ilvl w:val="0"/>
          <w:numId w:val="12"/>
        </w:numPr>
      </w:pPr>
      <w:r w:rsidRPr="00FD114B">
        <w:t>Is</w:t>
      </w:r>
      <w:r w:rsidRPr="00595256">
        <w:t xml:space="preserve"> </w:t>
      </w:r>
      <w:r w:rsidRPr="00FD114B">
        <w:t>the supporting dataset sufficient given the clinical context</w:t>
      </w:r>
      <w:r w:rsidR="003D4E34">
        <w:t>,</w:t>
      </w:r>
      <w:r w:rsidRPr="00FD114B">
        <w:t xml:space="preserve"> </w:t>
      </w:r>
      <w:r w:rsidR="003D4E34">
        <w:t>that is,</w:t>
      </w:r>
      <w:r w:rsidRPr="00FD114B">
        <w:t xml:space="preserve"> rarity, seriousness and </w:t>
      </w:r>
      <w:r w:rsidRPr="00595256">
        <w:t>lack</w:t>
      </w:r>
      <w:r w:rsidRPr="00FD114B">
        <w:t xml:space="preserve"> of therapeutic options?</w:t>
      </w:r>
    </w:p>
    <w:p w:rsidR="006E4E7F" w:rsidRPr="00FD114B" w:rsidRDefault="006E4E7F" w:rsidP="00595256">
      <w:pPr>
        <w:pStyle w:val="Numberbullet0"/>
        <w:numPr>
          <w:ilvl w:val="0"/>
          <w:numId w:val="12"/>
        </w:numPr>
      </w:pPr>
      <w:r w:rsidRPr="00FD114B">
        <w:t xml:space="preserve">Has sufficient safety data been presented given the safety concerns of hepatotoxicity and cardiotoxicity and does ACPM have any specific advice regarding these concerns for the </w:t>
      </w:r>
      <w:r w:rsidR="0027557F">
        <w:t>PI</w:t>
      </w:r>
      <w:r w:rsidRPr="00FD114B">
        <w:t>?</w:t>
      </w:r>
    </w:p>
    <w:p w:rsidR="006E4E7F" w:rsidRPr="00FD114B" w:rsidRDefault="00BF3937" w:rsidP="00595256">
      <w:pPr>
        <w:pStyle w:val="Numberbullet0"/>
        <w:numPr>
          <w:ilvl w:val="0"/>
          <w:numId w:val="12"/>
        </w:numPr>
      </w:pPr>
      <w:r>
        <w:t xml:space="preserve">Does the </w:t>
      </w:r>
      <w:r w:rsidRPr="00595256">
        <w:t>c</w:t>
      </w:r>
      <w:r w:rsidR="006E4E7F" w:rsidRPr="00595256">
        <w:t>ommittee</w:t>
      </w:r>
      <w:r w:rsidR="006E4E7F" w:rsidRPr="00FD114B">
        <w:t xml:space="preserve"> have further specific advice regarding post market activities such as long term follow up of patients?</w:t>
      </w:r>
    </w:p>
    <w:p w:rsidR="006E4E7F" w:rsidRPr="006E4E7F" w:rsidRDefault="00BF3937" w:rsidP="00595256">
      <w:r>
        <w:t>The c</w:t>
      </w:r>
      <w:r w:rsidR="006E4E7F" w:rsidRPr="006E4E7F">
        <w:t>ommittee is (also) requested to provide advice on any other issues that it thinks may be relevant to a decision on whether or not to approve this application.</w:t>
      </w:r>
    </w:p>
    <w:p w:rsidR="00D23139" w:rsidRDefault="00D23139" w:rsidP="00595256">
      <w:pPr>
        <w:pStyle w:val="Heading4"/>
      </w:pPr>
      <w:r w:rsidRPr="00D23139">
        <w:t xml:space="preserve">Response from </w:t>
      </w:r>
      <w:r w:rsidR="00595256" w:rsidRPr="00595256">
        <w:t>sponsor</w:t>
      </w:r>
    </w:p>
    <w:p w:rsidR="00EE4F74" w:rsidRDefault="00EE4F74" w:rsidP="00595256">
      <w:pPr>
        <w:rPr>
          <w:b/>
        </w:rPr>
      </w:pPr>
      <w:r w:rsidRPr="00EE4F74">
        <w:t xml:space="preserve">Emerge Health and our </w:t>
      </w:r>
      <w:r w:rsidR="00F6219C" w:rsidRPr="00EE4F74">
        <w:t xml:space="preserve">partner </w:t>
      </w:r>
      <w:r w:rsidR="00F6219C" w:rsidRPr="00BF4A86">
        <w:t>OE</w:t>
      </w:r>
      <w:r w:rsidR="00F6219C">
        <w:t>, are</w:t>
      </w:r>
      <w:r w:rsidRPr="00EE4F74">
        <w:t xml:space="preserve"> pleased to have the opportunity to respond</w:t>
      </w:r>
      <w:r>
        <w:t xml:space="preserve"> </w:t>
      </w:r>
      <w:r w:rsidR="00AD1728">
        <w:t>to the Delegate</w:t>
      </w:r>
      <w:r w:rsidR="003D4E34">
        <w:t>’</w:t>
      </w:r>
      <w:r w:rsidR="00AD1728">
        <w:t>s o</w:t>
      </w:r>
      <w:r w:rsidRPr="00EE4F74">
        <w:t>verview following the evaluation of the C</w:t>
      </w:r>
      <w:r w:rsidR="00AD1728" w:rsidRPr="00EE4F74">
        <w:t>arbaglu</w:t>
      </w:r>
      <w:r w:rsidRPr="00EE4F74">
        <w:t xml:space="preserve"> </w:t>
      </w:r>
      <w:r>
        <w:t xml:space="preserve">(carglumic acid) </w:t>
      </w:r>
      <w:r w:rsidRPr="00EE4F74">
        <w:t xml:space="preserve">dispersible tablets Category 1 Application. </w:t>
      </w:r>
      <w:r w:rsidR="003D4E34">
        <w:t xml:space="preserve">The sponsor </w:t>
      </w:r>
      <w:r w:rsidRPr="00EE4F74">
        <w:t>welcome</w:t>
      </w:r>
      <w:r>
        <w:t>d the Delegate</w:t>
      </w:r>
      <w:r w:rsidR="003D4E34">
        <w:t>’</w:t>
      </w:r>
      <w:r>
        <w:t xml:space="preserve">s initial opinion </w:t>
      </w:r>
      <w:r w:rsidRPr="00EE4F74">
        <w:t>that the propose</w:t>
      </w:r>
      <w:r>
        <w:t>d indication for C</w:t>
      </w:r>
      <w:r w:rsidR="00B3520C">
        <w:t>arbaglu</w:t>
      </w:r>
      <w:r>
        <w:t xml:space="preserve"> (NAGS </w:t>
      </w:r>
      <w:r w:rsidRPr="00EE4F74">
        <w:t xml:space="preserve">deficiency and Organic Acidaemia’s </w:t>
      </w:r>
      <w:r w:rsidR="003821E3">
        <w:t>IVA</w:t>
      </w:r>
      <w:r w:rsidRPr="00EE4F74">
        <w:t xml:space="preserve">, </w:t>
      </w:r>
      <w:r w:rsidR="003821E3">
        <w:t xml:space="preserve">MMA </w:t>
      </w:r>
      <w:r w:rsidRPr="00EE4F74">
        <w:t xml:space="preserve">and </w:t>
      </w:r>
      <w:r w:rsidR="0027557F">
        <w:t>PA</w:t>
      </w:r>
      <w:r w:rsidRPr="00EE4F74">
        <w:t xml:space="preserve">) and </w:t>
      </w:r>
      <w:r>
        <w:t xml:space="preserve">the dosing regime is clinically </w:t>
      </w:r>
      <w:r w:rsidRPr="00EE4F74">
        <w:t>justifiable, thereby supporting the approval of the product</w:t>
      </w:r>
      <w:r w:rsidRPr="00EE4F74">
        <w:rPr>
          <w:b/>
        </w:rPr>
        <w:t>.</w:t>
      </w:r>
    </w:p>
    <w:p w:rsidR="00EE4F74" w:rsidRPr="00EE4F74" w:rsidRDefault="00EE4F74" w:rsidP="00595256">
      <w:pPr>
        <w:pStyle w:val="Heading5"/>
      </w:pPr>
      <w:r w:rsidRPr="00EE4F74">
        <w:t xml:space="preserve">Proposed </w:t>
      </w:r>
      <w:r w:rsidR="00595256" w:rsidRPr="00595256">
        <w:t>i</w:t>
      </w:r>
      <w:r w:rsidRPr="00595256">
        <w:t>ndication</w:t>
      </w:r>
    </w:p>
    <w:p w:rsidR="00EE4F74" w:rsidRPr="00EE4F74" w:rsidRDefault="00EE4F74" w:rsidP="00595256">
      <w:r w:rsidRPr="00EE4F74">
        <w:t>Emerge Health has proposed the following indication for C</w:t>
      </w:r>
      <w:r w:rsidR="00B3520C" w:rsidRPr="00EE4F74">
        <w:t>arbaglu</w:t>
      </w:r>
      <w:r w:rsidRPr="00EE4F74">
        <w:t xml:space="preserve"> so as to align with the</w:t>
      </w:r>
      <w:r>
        <w:t xml:space="preserve"> </w:t>
      </w:r>
      <w:r w:rsidRPr="00EE4F74">
        <w:t>approved indication in Europe:</w:t>
      </w:r>
    </w:p>
    <w:p w:rsidR="00EE4F74" w:rsidRPr="00595256" w:rsidRDefault="00EE4F74" w:rsidP="00595256">
      <w:pPr>
        <w:rPr>
          <w:i/>
        </w:rPr>
      </w:pPr>
      <w:r w:rsidRPr="00595256">
        <w:rPr>
          <w:i/>
        </w:rPr>
        <w:t>Carbaglu is indicated in treatment of</w:t>
      </w:r>
    </w:p>
    <w:p w:rsidR="00EE4F74" w:rsidRPr="00595256" w:rsidRDefault="00EE4F74" w:rsidP="00595256">
      <w:pPr>
        <w:pStyle w:val="ListBullet"/>
        <w:rPr>
          <w:i/>
        </w:rPr>
      </w:pPr>
      <w:r w:rsidRPr="00595256">
        <w:rPr>
          <w:i/>
        </w:rPr>
        <w:t>hyperammonaemia due to N-acetylglutamate synthase primary deficiency.</w:t>
      </w:r>
    </w:p>
    <w:p w:rsidR="00EE4F74" w:rsidRPr="00595256" w:rsidRDefault="00EE4F74" w:rsidP="00595256">
      <w:pPr>
        <w:pStyle w:val="ListBullet"/>
        <w:rPr>
          <w:i/>
        </w:rPr>
      </w:pPr>
      <w:r w:rsidRPr="00595256">
        <w:rPr>
          <w:i/>
        </w:rPr>
        <w:t>hyperammonaemia due to isovaleric acidaemia.</w:t>
      </w:r>
    </w:p>
    <w:p w:rsidR="00EE4F74" w:rsidRPr="00595256" w:rsidRDefault="00EE4F74" w:rsidP="00595256">
      <w:pPr>
        <w:pStyle w:val="ListBullet"/>
        <w:rPr>
          <w:i/>
        </w:rPr>
      </w:pPr>
      <w:r w:rsidRPr="00595256">
        <w:rPr>
          <w:i/>
        </w:rPr>
        <w:t>hyperammonaemia due to methymalonic acidaemia.</w:t>
      </w:r>
    </w:p>
    <w:p w:rsidR="00EE4F74" w:rsidRPr="00595256" w:rsidRDefault="00EE4F74" w:rsidP="00595256">
      <w:pPr>
        <w:pStyle w:val="ListBullet"/>
        <w:rPr>
          <w:i/>
        </w:rPr>
      </w:pPr>
      <w:r w:rsidRPr="00595256">
        <w:rPr>
          <w:i/>
        </w:rPr>
        <w:t>hyperammonaemia due to propionic acidaemia.</w:t>
      </w:r>
    </w:p>
    <w:p w:rsidR="00EE4F74" w:rsidRPr="00EE4F74" w:rsidRDefault="00EE4F74" w:rsidP="00595256">
      <w:pPr>
        <w:pStyle w:val="Heading5"/>
      </w:pPr>
      <w:r w:rsidRPr="00EE4F74">
        <w:t xml:space="preserve">Outstanding </w:t>
      </w:r>
      <w:r w:rsidR="00595256">
        <w:t>p</w:t>
      </w:r>
      <w:r w:rsidRPr="00EE4F74">
        <w:t xml:space="preserve">harmaceutical </w:t>
      </w:r>
      <w:r w:rsidR="00595256">
        <w:t>c</w:t>
      </w:r>
      <w:r w:rsidRPr="00EE4F74">
        <w:t xml:space="preserve">hemistry </w:t>
      </w:r>
      <w:r w:rsidR="00595256" w:rsidRPr="00595256">
        <w:t>m</w:t>
      </w:r>
      <w:r w:rsidRPr="00595256">
        <w:t>atters</w:t>
      </w:r>
    </w:p>
    <w:p w:rsidR="00EE4F74" w:rsidRDefault="00EE4F74" w:rsidP="00595256">
      <w:r>
        <w:t xml:space="preserve">Emerge Health is </w:t>
      </w:r>
      <w:r w:rsidRPr="00EE4F74">
        <w:t xml:space="preserve">pleased to confirm that subsequent discussions </w:t>
      </w:r>
      <w:r w:rsidR="00E33FFC">
        <w:t xml:space="preserve">with </w:t>
      </w:r>
      <w:r w:rsidRPr="00B3520C">
        <w:t>the TGA have res</w:t>
      </w:r>
      <w:r w:rsidR="00B3520C" w:rsidRPr="00B3520C">
        <w:t>olved</w:t>
      </w:r>
      <w:r w:rsidRPr="00B3520C">
        <w:t xml:space="preserve"> any </w:t>
      </w:r>
      <w:r>
        <w:t xml:space="preserve">outstanding </w:t>
      </w:r>
      <w:r w:rsidR="00E33FFC">
        <w:t>matters relating to pharmaceutical chemistry matters.</w:t>
      </w:r>
    </w:p>
    <w:p w:rsidR="00EE4F74" w:rsidRPr="00EE4F74" w:rsidRDefault="00EE4F74" w:rsidP="00595256">
      <w:pPr>
        <w:pStyle w:val="Heading5"/>
      </w:pPr>
      <w:r w:rsidRPr="00EE4F74">
        <w:t xml:space="preserve">Response to </w:t>
      </w:r>
      <w:r w:rsidR="00595256">
        <w:t>c</w:t>
      </w:r>
      <w:r w:rsidRPr="00EE4F74">
        <w:t xml:space="preserve">omments on </w:t>
      </w:r>
      <w:r w:rsidR="00595256">
        <w:t>c</w:t>
      </w:r>
      <w:r w:rsidRPr="00EE4F74">
        <w:t xml:space="preserve">linical </w:t>
      </w:r>
      <w:r w:rsidR="00595256" w:rsidRPr="00595256">
        <w:t>d</w:t>
      </w:r>
      <w:r w:rsidRPr="00595256">
        <w:t>ata</w:t>
      </w:r>
    </w:p>
    <w:p w:rsidR="00EE4F74" w:rsidRPr="00EE4F74" w:rsidRDefault="00EE4F74" w:rsidP="00595256">
      <w:pPr>
        <w:pStyle w:val="Heading6"/>
      </w:pPr>
      <w:r w:rsidRPr="00595256">
        <w:t>Pharmacokinetic</w:t>
      </w:r>
      <w:r w:rsidR="00B3520C" w:rsidRPr="00595256">
        <w:t>s</w:t>
      </w:r>
    </w:p>
    <w:p w:rsidR="00EE4F74" w:rsidRPr="00EE4F74" w:rsidRDefault="00EE4F74" w:rsidP="00595256">
      <w:r w:rsidRPr="00EE4F74">
        <w:t>Emerge Health refers to the points raised as part of the clinic</w:t>
      </w:r>
      <w:r>
        <w:t xml:space="preserve">al evaluation, specifically the </w:t>
      </w:r>
      <w:r w:rsidRPr="00EE4F74">
        <w:t>limitations of the pharmacokinetic data in target population o</w:t>
      </w:r>
      <w:r>
        <w:t xml:space="preserve">r special population, including </w:t>
      </w:r>
      <w:r w:rsidRPr="00EE4F74">
        <w:t>the lack of drug interaction or dose ranging studies. Emer</w:t>
      </w:r>
      <w:r>
        <w:t xml:space="preserve">ge Health also acknowledges the </w:t>
      </w:r>
      <w:r w:rsidRPr="00EE4F74">
        <w:t>Delegates comment that the ‘</w:t>
      </w:r>
      <w:r w:rsidRPr="003D4E34">
        <w:rPr>
          <w:i/>
        </w:rPr>
        <w:t>PK information is minimal but considered acceptable</w:t>
      </w:r>
      <w:r>
        <w:t xml:space="preserve">’ and </w:t>
      </w:r>
      <w:r w:rsidRPr="00EE4F74">
        <w:t>‘</w:t>
      </w:r>
      <w:r w:rsidRPr="003D4E34">
        <w:rPr>
          <w:i/>
        </w:rPr>
        <w:t>further PK modelling especially in neonates would doubtless have been more useful</w:t>
      </w:r>
      <w:r w:rsidRPr="00EE4F74">
        <w:t>’.</w:t>
      </w:r>
    </w:p>
    <w:p w:rsidR="00EE4F74" w:rsidRPr="00EE4F74" w:rsidRDefault="00EE4F74" w:rsidP="00595256">
      <w:r w:rsidRPr="00EE4F74">
        <w:t>The development program followed for C</w:t>
      </w:r>
      <w:r w:rsidR="00B3520C" w:rsidRPr="00EE4F74">
        <w:t>arbaglu</w:t>
      </w:r>
      <w:r w:rsidRPr="00EE4F74">
        <w:t xml:space="preserve"> was </w:t>
      </w:r>
      <w:r>
        <w:t xml:space="preserve">one intended to demonstrate the </w:t>
      </w:r>
      <w:r w:rsidRPr="00EE4F74">
        <w:t>safety and efficacy of carglumic acid in the treatment of hyperammonaemia as</w:t>
      </w:r>
      <w:r>
        <w:t xml:space="preserve"> expeditiously </w:t>
      </w:r>
      <w:r w:rsidRPr="00EE4F74">
        <w:t>as possible, to fulfil an unmet clinical need. Orphan E</w:t>
      </w:r>
      <w:r>
        <w:t>urope have acknowledged</w:t>
      </w:r>
      <w:r w:rsidR="00B3520C">
        <w:t>,</w:t>
      </w:r>
      <w:r>
        <w:t xml:space="preserve"> that to </w:t>
      </w:r>
      <w:r w:rsidR="00B3520C">
        <w:t>achieve this</w:t>
      </w:r>
      <w:r w:rsidRPr="00EE4F74">
        <w:t xml:space="preserve"> additional PK studies were considered not feasib</w:t>
      </w:r>
      <w:r>
        <w:t xml:space="preserve">le in such as sparse population </w:t>
      </w:r>
      <w:r w:rsidRPr="00EE4F74">
        <w:t>such as NAGS patients. Also analysis of the PK parameters in</w:t>
      </w:r>
      <w:r>
        <w:t xml:space="preserve"> the population used or the </w:t>
      </w:r>
      <w:r w:rsidRPr="00EE4F74">
        <w:t>clinical studies were considered as not ethically acceptable, p</w:t>
      </w:r>
      <w:r>
        <w:t xml:space="preserve">articularly due to the need for </w:t>
      </w:r>
      <w:r w:rsidRPr="00EE4F74">
        <w:t>repeated blood samplings in the young study participants</w:t>
      </w:r>
      <w:r>
        <w:t xml:space="preserve">. Monitoring of blood levels of </w:t>
      </w:r>
      <w:r w:rsidRPr="00EE4F74">
        <w:t xml:space="preserve">carglumic acid was conducted in a small number of patients </w:t>
      </w:r>
      <w:r w:rsidR="003F51B3" w:rsidRPr="003F51B3">
        <w:t>(Table 5,</w:t>
      </w:r>
      <w:r w:rsidRPr="003F51B3">
        <w:t xml:space="preserve"> </w:t>
      </w:r>
      <w:r w:rsidR="003F51B3" w:rsidRPr="003F51B3">
        <w:t>Attachment 2</w:t>
      </w:r>
      <w:r w:rsidR="00B3520C" w:rsidRPr="003F51B3">
        <w:t>)</w:t>
      </w:r>
      <w:r w:rsidR="00B3520C">
        <w:t xml:space="preserve"> however, </w:t>
      </w:r>
      <w:r w:rsidRPr="00EE4F74">
        <w:t>these data collected were not sufficient to assess the whole PK profile in paediatric subjects.</w:t>
      </w:r>
    </w:p>
    <w:p w:rsidR="00EE4F74" w:rsidRPr="00EE4F74" w:rsidRDefault="00B3520C" w:rsidP="00595256">
      <w:r>
        <w:t>The s</w:t>
      </w:r>
      <w:r w:rsidR="00EE4F74" w:rsidRPr="00EE4F74">
        <w:t>ponsor wishes to confirm that absolute bioavaila</w:t>
      </w:r>
      <w:r w:rsidR="00EE4F74">
        <w:t>bility of C</w:t>
      </w:r>
      <w:r>
        <w:t xml:space="preserve">arbaglu </w:t>
      </w:r>
      <w:r w:rsidR="00EE4F74">
        <w:t xml:space="preserve">has not been </w:t>
      </w:r>
      <w:r w:rsidR="00EE4F74" w:rsidRPr="00EE4F74">
        <w:t>assessed due to the difficulties encountered as part of manufac</w:t>
      </w:r>
      <w:r w:rsidR="00EE4F74">
        <w:t xml:space="preserve">turing an solution of carglumic </w:t>
      </w:r>
      <w:r w:rsidR="0027557F">
        <w:t>acid for IV</w:t>
      </w:r>
      <w:r w:rsidR="00EE4F74" w:rsidRPr="00EE4F74">
        <w:t xml:space="preserve"> infusion against which to compare the</w:t>
      </w:r>
      <w:r w:rsidR="00EE4F74">
        <w:t xml:space="preserve"> oral administration. Carglumic </w:t>
      </w:r>
      <w:r w:rsidR="00EE4F74" w:rsidRPr="00EE4F74">
        <w:t>acid is not stable at neutral pH that would be suitable for IV adm</w:t>
      </w:r>
      <w:r w:rsidR="003D4E34">
        <w:t>inistration</w:t>
      </w:r>
      <w:r w:rsidR="00EE4F74">
        <w:t xml:space="preserve"> and an appropriate </w:t>
      </w:r>
      <w:r w:rsidR="00EE4F74" w:rsidRPr="00EE4F74">
        <w:t>formulation should be specifically developed.</w:t>
      </w:r>
    </w:p>
    <w:p w:rsidR="00EE4F74" w:rsidRDefault="00B3520C" w:rsidP="00595256">
      <w:r>
        <w:t>The s</w:t>
      </w:r>
      <w:r w:rsidR="00EE4F74" w:rsidRPr="00EE4F74">
        <w:t>ponsor refers to the determination of relative bioavailabi</w:t>
      </w:r>
      <w:r w:rsidR="00EE4F74">
        <w:t xml:space="preserve">lity of the dispersible tablets </w:t>
      </w:r>
      <w:r w:rsidR="00EE4F74" w:rsidRPr="00EE4F74">
        <w:t>assessed in healthy volunteers (refer to Study No OE312/PK/9</w:t>
      </w:r>
      <w:r w:rsidR="00EE4F74">
        <w:t xml:space="preserve">9-01) that compared dispersible </w:t>
      </w:r>
      <w:r w:rsidR="00EE4F74" w:rsidRPr="00EE4F74">
        <w:t>tablets with an extemporary suspension of carglumic acid in 250 mL of water. The intact</w:t>
      </w:r>
      <w:r w:rsidR="00EE4F74">
        <w:t xml:space="preserve"> </w:t>
      </w:r>
      <w:r w:rsidR="00EE4F74" w:rsidRPr="00EE4F74">
        <w:t>tablets resulted bioequivalent to the suspension of carglumic acid.</w:t>
      </w:r>
    </w:p>
    <w:p w:rsidR="00EE4F74" w:rsidRDefault="00EE4F74" w:rsidP="00595256">
      <w:r w:rsidRPr="00EE4F74">
        <w:t xml:space="preserve">Further PK assessment of carglumic acid as provided in the </w:t>
      </w:r>
      <w:r w:rsidRPr="0047598F">
        <w:t xml:space="preserve">ADME </w:t>
      </w:r>
      <w:r w:rsidR="0047598F">
        <w:t>(</w:t>
      </w:r>
      <w:r w:rsidR="0047598F" w:rsidRPr="0047598F">
        <w:t>absorption, distribution</w:t>
      </w:r>
      <w:r w:rsidR="0047598F">
        <w:t>, metabolism and excretion</w:t>
      </w:r>
      <w:r w:rsidR="0047598F" w:rsidRPr="0047598F">
        <w:t xml:space="preserve"> </w:t>
      </w:r>
      <w:r w:rsidRPr="00EE4F74">
        <w:t>study</w:t>
      </w:r>
      <w:r w:rsidR="0047598F">
        <w:t>,</w:t>
      </w:r>
      <w:r w:rsidRPr="00EE4F74">
        <w:t xml:space="preserve"> performed in hea</w:t>
      </w:r>
      <w:r w:rsidR="003D4E34">
        <w:t>lthy volunteers (Study SPC313-1)</w:t>
      </w:r>
      <w:r w:rsidRPr="00EE4F74">
        <w:t xml:space="preserve"> where it was shown that at least 8% of the parent compound is absorbed (based on urinary excretion); while up to 70% of the administered dose is excreted i</w:t>
      </w:r>
      <w:r w:rsidR="00A41A6F">
        <w:t>n faeces as unmodified compound</w:t>
      </w:r>
      <w:r w:rsidRPr="00EE4F74">
        <w:t xml:space="preserve"> suggesting that most of this amount is not absorbed. Moreover about 12% of the total radioactivity is recovered in faeces as compounds derived from </w:t>
      </w:r>
      <w:r w:rsidR="00A41A6F" w:rsidRPr="00EE4F74">
        <w:t>labelled</w:t>
      </w:r>
      <w:r w:rsidRPr="00EE4F74">
        <w:t xml:space="preserve"> carglumic acid, however it was not possible to establish if these related compounds are metabolites of the parent compound or degradation products due to the metabolism of enteric flora. Therefore, we can conclude that absolute bioavailability may range from 8% to 30% of the administered dose, which is in agreement with the value of about 30% observed in the dog </w:t>
      </w:r>
      <w:r w:rsidR="00A41A6F">
        <w:t>(non</w:t>
      </w:r>
      <w:r w:rsidRPr="00EE4F74">
        <w:t>clinical study Biotec Centre 026/06 027).</w:t>
      </w:r>
    </w:p>
    <w:p w:rsidR="00EE4F74" w:rsidRPr="00EE4F74" w:rsidRDefault="00EE4F74" w:rsidP="00595256">
      <w:r w:rsidRPr="00EE4F74">
        <w:t>Despite the low volume of PK data, the impact of these omissions may be reduced by the</w:t>
      </w:r>
      <w:r>
        <w:t xml:space="preserve"> </w:t>
      </w:r>
      <w:r w:rsidRPr="00EE4F74">
        <w:t>need to individually adjust the dose admin</w:t>
      </w:r>
      <w:r>
        <w:t xml:space="preserve">istered based of its effects on hyperammonaemia. </w:t>
      </w:r>
      <w:r w:rsidRPr="00EE4F74">
        <w:t>The measurements of the glutamine levels in patients receiving c</w:t>
      </w:r>
      <w:r w:rsidR="001720CA">
        <w:t>arglumic acid (NAGS deficiency,</w:t>
      </w:r>
      <w:r w:rsidRPr="00EE4F74">
        <w:t xml:space="preserve"> retrospective review</w:t>
      </w:r>
      <w:r w:rsidR="003F51B3" w:rsidRPr="003F51B3">
        <w:t>; see Figures 12</w:t>
      </w:r>
      <w:r w:rsidRPr="003F51B3">
        <w:t xml:space="preserve"> </w:t>
      </w:r>
      <w:r w:rsidR="00207AC7" w:rsidRPr="003F51B3">
        <w:t>and</w:t>
      </w:r>
      <w:r w:rsidR="003F51B3" w:rsidRPr="003F51B3">
        <w:t xml:space="preserve"> 13</w:t>
      </w:r>
      <w:r w:rsidRPr="003F51B3">
        <w:t xml:space="preserve"> </w:t>
      </w:r>
      <w:r w:rsidR="003D4E34">
        <w:t>Attachment </w:t>
      </w:r>
      <w:r w:rsidR="003F51B3" w:rsidRPr="003F51B3">
        <w:t>2</w:t>
      </w:r>
      <w:r w:rsidRPr="003F51B3">
        <w:t>) al</w:t>
      </w:r>
      <w:r w:rsidRPr="00EE4F74">
        <w:t xml:space="preserve">low for the monitoring of the </w:t>
      </w:r>
      <w:r>
        <w:t xml:space="preserve">treatment as well as, providing </w:t>
      </w:r>
      <w:r w:rsidRPr="00EE4F74">
        <w:t>data to allow the adjustment of the doses.</w:t>
      </w:r>
    </w:p>
    <w:p w:rsidR="00EE4F74" w:rsidRPr="00EE4F74" w:rsidRDefault="00EE4F74" w:rsidP="00595256">
      <w:pPr>
        <w:pStyle w:val="Heading6"/>
      </w:pPr>
      <w:r w:rsidRPr="00EE4F74">
        <w:t xml:space="preserve">Clinical </w:t>
      </w:r>
      <w:r w:rsidR="00595256">
        <w:t>e</w:t>
      </w:r>
      <w:r w:rsidRPr="00EE4F74">
        <w:t xml:space="preserve">fficacy – Concomitant </w:t>
      </w:r>
      <w:r w:rsidR="00595256">
        <w:t>t</w:t>
      </w:r>
      <w:r w:rsidRPr="00EE4F74">
        <w:t xml:space="preserve">reatments used during NAGS </w:t>
      </w:r>
      <w:r w:rsidR="00595256">
        <w:t>d</w:t>
      </w:r>
      <w:r w:rsidRPr="00EE4F74">
        <w:t xml:space="preserve">eficiency </w:t>
      </w:r>
      <w:r w:rsidR="00595256" w:rsidRPr="00595256">
        <w:t>s</w:t>
      </w:r>
      <w:r w:rsidRPr="00595256">
        <w:t>tudy</w:t>
      </w:r>
    </w:p>
    <w:p w:rsidR="00EE4F74" w:rsidRDefault="00A41A6F" w:rsidP="00595256">
      <w:r>
        <w:t>The s</w:t>
      </w:r>
      <w:r w:rsidRPr="00EE4F74">
        <w:t>ponsor refers to the Delegates</w:t>
      </w:r>
      <w:r>
        <w:t>’</w:t>
      </w:r>
      <w:r w:rsidRPr="00EE4F74">
        <w:t xml:space="preserve"> comments relating to</w:t>
      </w:r>
      <w:r>
        <w:t xml:space="preserve"> the concomitant treatments for </w:t>
      </w:r>
      <w:r w:rsidRPr="00EE4F74">
        <w:t>hyperammonaemia reported as part of the NAGS Defici</w:t>
      </w:r>
      <w:r>
        <w:t>ency study and confirms</w:t>
      </w:r>
      <w:r w:rsidR="00EE4F74">
        <w:t xml:space="preserve"> that the </w:t>
      </w:r>
      <w:r w:rsidR="00EE4F74" w:rsidRPr="00EE4F74">
        <w:t xml:space="preserve">description of the treatments was </w:t>
      </w:r>
      <w:r w:rsidR="00EE4F74" w:rsidRPr="00025335">
        <w:t xml:space="preserve">provided </w:t>
      </w:r>
      <w:r w:rsidR="00025335" w:rsidRPr="00025335">
        <w:t>(see</w:t>
      </w:r>
      <w:r w:rsidR="00EE4F74" w:rsidRPr="00025335">
        <w:t xml:space="preserve"> Table </w:t>
      </w:r>
      <w:r w:rsidR="00EF3FFA">
        <w:t>11 of</w:t>
      </w:r>
      <w:r w:rsidR="00EE4F74" w:rsidRPr="00025335">
        <w:t xml:space="preserve"> </w:t>
      </w:r>
      <w:r w:rsidR="00025335" w:rsidRPr="00025335">
        <w:t xml:space="preserve">Attachment </w:t>
      </w:r>
      <w:r w:rsidR="00025335">
        <w:t>2)</w:t>
      </w:r>
      <w:r w:rsidR="00EE4F74">
        <w:t xml:space="preserve"> </w:t>
      </w:r>
      <w:r w:rsidR="00EE4F74" w:rsidRPr="00EE4F74">
        <w:t xml:space="preserve">as part of the original application. </w:t>
      </w:r>
      <w:r w:rsidR="00EE4F74">
        <w:t xml:space="preserve">It is noted </w:t>
      </w:r>
      <w:r w:rsidR="00EE4F74" w:rsidRPr="00EE4F74">
        <w:t>that the timing of the use of these concomitant treatments w</w:t>
      </w:r>
      <w:r w:rsidR="00EE4F74">
        <w:t xml:space="preserve">as not reported in the original </w:t>
      </w:r>
      <w:r w:rsidR="00EE4F74" w:rsidRPr="00EE4F74">
        <w:t>clinical study report. Part II of the clinical study report provide</w:t>
      </w:r>
      <w:r w:rsidR="00EE4F74">
        <w:t xml:space="preserve">d the respective timings of </w:t>
      </w:r>
      <w:r w:rsidR="00EE4F74" w:rsidRPr="00EE4F74">
        <w:t>previous or concomitant use of standard treatment and t</w:t>
      </w:r>
      <w:r w:rsidR="00EE4F74">
        <w:t xml:space="preserve">he initiation of carglumic acid </w:t>
      </w:r>
      <w:r w:rsidR="00EE4F74" w:rsidRPr="00EE4F74">
        <w:t>treatment by patient.</w:t>
      </w:r>
    </w:p>
    <w:p w:rsidR="002A564D" w:rsidRDefault="00EE4F74" w:rsidP="00595256">
      <w:r w:rsidRPr="00EE4F74">
        <w:t>Due to the serious nature of the underlying condition, the suggested guidelines for the</w:t>
      </w:r>
      <w:r>
        <w:t xml:space="preserve"> </w:t>
      </w:r>
      <w:r w:rsidRPr="00EE4F74">
        <w:t>management of urea cycle disorders</w:t>
      </w:r>
      <w:r w:rsidR="00EF3FFA">
        <w:rPr>
          <w:rStyle w:val="FootnoteReference"/>
        </w:rPr>
        <w:footnoteReference w:id="9"/>
      </w:r>
      <w:r w:rsidR="002A564D">
        <w:t xml:space="preserve"> </w:t>
      </w:r>
      <w:r w:rsidRPr="00EE4F74">
        <w:t xml:space="preserve">recommends </w:t>
      </w:r>
      <w:r w:rsidR="00EF3FFA">
        <w:t xml:space="preserve">to </w:t>
      </w:r>
      <w:r w:rsidRPr="00EE4F74">
        <w:t>administer several treatments concurrently to expedite the ammonia</w:t>
      </w:r>
      <w:r w:rsidR="002A564D">
        <w:t xml:space="preserve"> </w:t>
      </w:r>
      <w:r w:rsidR="002A564D" w:rsidRPr="002A564D">
        <w:t>detoxification. Further, once NAGS deficiency is diagnosed and the patient is stable,</w:t>
      </w:r>
      <w:r w:rsidR="002A564D">
        <w:t xml:space="preserve"> </w:t>
      </w:r>
      <w:r w:rsidR="002A564D" w:rsidRPr="002A564D">
        <w:t>monotherapy with C</w:t>
      </w:r>
      <w:r w:rsidR="00A41A6F" w:rsidRPr="002A564D">
        <w:t>arbaglu</w:t>
      </w:r>
      <w:r w:rsidR="002A564D" w:rsidRPr="002A564D">
        <w:t xml:space="preserve"> is the drug of choice.</w:t>
      </w:r>
    </w:p>
    <w:p w:rsidR="002A564D" w:rsidRPr="00595256" w:rsidRDefault="002A564D" w:rsidP="00595256">
      <w:pPr>
        <w:rPr>
          <w:i/>
        </w:rPr>
      </w:pPr>
      <w:r w:rsidRPr="00595256">
        <w:rPr>
          <w:i/>
        </w:rPr>
        <w:t xml:space="preserve">Present a tabular listing of all </w:t>
      </w:r>
      <w:r w:rsidR="0047598F" w:rsidRPr="00595256">
        <w:rPr>
          <w:i/>
        </w:rPr>
        <w:t>AE</w:t>
      </w:r>
      <w:r w:rsidRPr="00595256">
        <w:rPr>
          <w:i/>
        </w:rPr>
        <w:t xml:space="preserve">s based on the review of safety data to 30 May 2014 and any further details on hepatic </w:t>
      </w:r>
      <w:r w:rsidR="0047598F" w:rsidRPr="00595256">
        <w:rPr>
          <w:i/>
        </w:rPr>
        <w:t>AE</w:t>
      </w:r>
      <w:r w:rsidRPr="00595256">
        <w:rPr>
          <w:i/>
        </w:rPr>
        <w:t>s</w:t>
      </w:r>
      <w:r w:rsidR="00F6219C" w:rsidRPr="00595256">
        <w:rPr>
          <w:i/>
        </w:rPr>
        <w:t>.</w:t>
      </w:r>
    </w:p>
    <w:p w:rsidR="002A564D" w:rsidRPr="00595256" w:rsidRDefault="002A564D" w:rsidP="00595256">
      <w:pPr>
        <w:rPr>
          <w:i/>
        </w:rPr>
      </w:pPr>
      <w:r w:rsidRPr="00595256">
        <w:rPr>
          <w:i/>
        </w:rPr>
        <w:t>The noted inability to conduct a qualitative assessment of the data from the clinical studies based on the low numbers of subjects and the missing data</w:t>
      </w:r>
      <w:r w:rsidR="00F6219C" w:rsidRPr="00595256">
        <w:rPr>
          <w:i/>
        </w:rPr>
        <w:t>.</w:t>
      </w:r>
    </w:p>
    <w:p w:rsidR="002A564D" w:rsidRPr="00595256" w:rsidRDefault="002A564D" w:rsidP="00595256">
      <w:pPr>
        <w:rPr>
          <w:i/>
        </w:rPr>
      </w:pPr>
      <w:r w:rsidRPr="00595256">
        <w:rPr>
          <w:i/>
        </w:rPr>
        <w:t>Any addition</w:t>
      </w:r>
      <w:r w:rsidR="00733DD9" w:rsidRPr="00595256">
        <w:rPr>
          <w:i/>
        </w:rPr>
        <w:t>al</w:t>
      </w:r>
      <w:r w:rsidRPr="00595256">
        <w:rPr>
          <w:i/>
        </w:rPr>
        <w:t xml:space="preserve"> PSUR’s available since the submission of the most recent PSUR</w:t>
      </w:r>
      <w:r w:rsidR="00F6219C" w:rsidRPr="00595256">
        <w:rPr>
          <w:i/>
        </w:rPr>
        <w:t>.</w:t>
      </w:r>
    </w:p>
    <w:p w:rsidR="002A564D" w:rsidRPr="00595256" w:rsidRDefault="002A564D" w:rsidP="00595256">
      <w:pPr>
        <w:rPr>
          <w:i/>
        </w:rPr>
      </w:pPr>
      <w:r w:rsidRPr="00595256">
        <w:rPr>
          <w:i/>
        </w:rPr>
        <w:t xml:space="preserve">Comment on not supplying data for blood pressure, pulse rate and respiratory rates (as </w:t>
      </w:r>
      <w:r w:rsidR="000E7C52" w:rsidRPr="00595256">
        <w:rPr>
          <w:i/>
        </w:rPr>
        <w:t>per page 80</w:t>
      </w:r>
      <w:r w:rsidRPr="00595256">
        <w:rPr>
          <w:i/>
        </w:rPr>
        <w:t xml:space="preserve"> of </w:t>
      </w:r>
      <w:r w:rsidR="000E7C52" w:rsidRPr="00595256">
        <w:rPr>
          <w:i/>
        </w:rPr>
        <w:t>Attachment 2</w:t>
      </w:r>
      <w:r w:rsidRPr="00595256">
        <w:rPr>
          <w:i/>
        </w:rPr>
        <w:t>)</w:t>
      </w:r>
      <w:r w:rsidR="000E7C52" w:rsidRPr="00595256">
        <w:rPr>
          <w:i/>
        </w:rPr>
        <w:t>.</w:t>
      </w:r>
    </w:p>
    <w:p w:rsidR="002A564D" w:rsidRPr="002A564D" w:rsidRDefault="002A564D" w:rsidP="00595256">
      <w:pPr>
        <w:pStyle w:val="Heading6"/>
      </w:pPr>
      <w:r w:rsidRPr="002A564D">
        <w:t xml:space="preserve">Clinical </w:t>
      </w:r>
      <w:r w:rsidR="00595256" w:rsidRPr="00595256">
        <w:t>s</w:t>
      </w:r>
      <w:r w:rsidRPr="00595256">
        <w:t>afety</w:t>
      </w:r>
    </w:p>
    <w:p w:rsidR="002A564D" w:rsidRDefault="00A41A6F" w:rsidP="00595256">
      <w:r>
        <w:t>The s</w:t>
      </w:r>
      <w:r w:rsidR="002A564D" w:rsidRPr="002A564D">
        <w:t xml:space="preserve">ponsor has provided a tabular summary of spontaneous </w:t>
      </w:r>
      <w:r w:rsidR="0047598F" w:rsidRPr="0047598F">
        <w:t>AE</w:t>
      </w:r>
      <w:r w:rsidR="002A564D">
        <w:t xml:space="preserve">s reported until 31 </w:t>
      </w:r>
      <w:r w:rsidR="003D4E34">
        <w:t xml:space="preserve">May 2014 </w:t>
      </w:r>
      <w:r w:rsidR="002A564D" w:rsidRPr="002A564D">
        <w:t xml:space="preserve">along with a tabular summary of </w:t>
      </w:r>
      <w:r w:rsidR="0047598F" w:rsidRPr="0047598F">
        <w:t>AE</w:t>
      </w:r>
      <w:r w:rsidR="002A564D">
        <w:t xml:space="preserve">s reported as part of the NAGS </w:t>
      </w:r>
      <w:r w:rsidR="002A564D" w:rsidRPr="002A564D">
        <w:t>Deficiency and Organic Acidaemia clinical studies. These ta</w:t>
      </w:r>
      <w:r w:rsidR="002A564D">
        <w:t xml:space="preserve">bular summaries are provided as </w:t>
      </w:r>
      <w:r w:rsidR="000E7C52">
        <w:t xml:space="preserve">a part </w:t>
      </w:r>
      <w:r w:rsidR="002A564D" w:rsidRPr="002A564D">
        <w:t>of this response.</w:t>
      </w:r>
    </w:p>
    <w:p w:rsidR="00CE6B67" w:rsidRDefault="00CE6B67" w:rsidP="00595256">
      <w:pPr>
        <w:pStyle w:val="TableTitle"/>
      </w:pPr>
      <w:r>
        <w:t xml:space="preserve">Table </w:t>
      </w:r>
      <w:r w:rsidR="00FA0223">
        <w:t>12.</w:t>
      </w:r>
      <w:r>
        <w:t xml:space="preserve"> </w:t>
      </w:r>
      <w:r w:rsidRPr="00595256">
        <w:t>Serious</w:t>
      </w:r>
      <w:r>
        <w:t xml:space="preserve"> adverse event received in the study NAGS</w:t>
      </w:r>
      <w:r w:rsidR="00F6219C">
        <w:t>.</w:t>
      </w:r>
    </w:p>
    <w:p w:rsidR="00CE6B67" w:rsidRDefault="00CE2C0C" w:rsidP="00595256">
      <w:r>
        <w:rPr>
          <w:noProof/>
          <w:lang w:eastAsia="en-AU"/>
        </w:rPr>
        <w:drawing>
          <wp:inline distT="0" distB="0" distL="0" distR="0" wp14:anchorId="397456DC" wp14:editId="3F34FE14">
            <wp:extent cx="5400040" cy="3229639"/>
            <wp:effectExtent l="0" t="0" r="0" b="8890"/>
            <wp:docPr id="44" name="Picture 44" descr="Table 12. Serious adverse event received in the study NAGS." title="Tabl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00040" cy="3229639"/>
                    </a:xfrm>
                    <a:prstGeom prst="rect">
                      <a:avLst/>
                    </a:prstGeom>
                  </pic:spPr>
                </pic:pic>
              </a:graphicData>
            </a:graphic>
          </wp:inline>
        </w:drawing>
      </w:r>
    </w:p>
    <w:p w:rsidR="00CE6B67" w:rsidRDefault="00CE6B67" w:rsidP="00595256">
      <w:pPr>
        <w:pStyle w:val="TableTitle"/>
      </w:pPr>
      <w:r>
        <w:t xml:space="preserve">Table </w:t>
      </w:r>
      <w:r w:rsidR="00FA0223">
        <w:t>13</w:t>
      </w:r>
      <w:r>
        <w:t xml:space="preserve">. Serious </w:t>
      </w:r>
      <w:r w:rsidRPr="00595256">
        <w:t>adverse</w:t>
      </w:r>
      <w:r>
        <w:t xml:space="preserve"> event received in the study OA 2009: Carbaglu retrospective observational study of hyperammonaemia in OA decompensation episodes.</w:t>
      </w:r>
    </w:p>
    <w:p w:rsidR="00CE6B67" w:rsidRDefault="00E86F0C" w:rsidP="00595256">
      <w:r>
        <w:rPr>
          <w:noProof/>
          <w:lang w:eastAsia="en-AU"/>
        </w:rPr>
        <w:drawing>
          <wp:inline distT="0" distB="0" distL="0" distR="0" wp14:anchorId="6F041C08" wp14:editId="0BB445C9">
            <wp:extent cx="5400040" cy="3008676"/>
            <wp:effectExtent l="0" t="0" r="0" b="1270"/>
            <wp:docPr id="40" name="Picture 40" descr="Table 13. Serious adverse event received in the study OA 2009: Carbaglu retrospective observational study of hyperammonaemia in OA decompensation episodes." title="Tabl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00040" cy="3008676"/>
                    </a:xfrm>
                    <a:prstGeom prst="rect">
                      <a:avLst/>
                    </a:prstGeom>
                  </pic:spPr>
                </pic:pic>
              </a:graphicData>
            </a:graphic>
          </wp:inline>
        </w:drawing>
      </w:r>
      <w:r>
        <w:rPr>
          <w:noProof/>
          <w:lang w:eastAsia="en-AU"/>
        </w:rPr>
        <mc:AlternateContent>
          <mc:Choice Requires="wps">
            <w:drawing>
              <wp:anchor distT="0" distB="0" distL="114300" distR="114300" simplePos="0" relativeHeight="251669504" behindDoc="0" locked="0" layoutInCell="1" allowOverlap="1" wp14:anchorId="1DE5F2A2" wp14:editId="1999F6B0">
                <wp:simplePos x="0" y="0"/>
                <wp:positionH relativeFrom="column">
                  <wp:posOffset>659765</wp:posOffset>
                </wp:positionH>
                <wp:positionV relativeFrom="paragraph">
                  <wp:posOffset>2895600</wp:posOffset>
                </wp:positionV>
                <wp:extent cx="615950" cy="76200"/>
                <wp:effectExtent l="0" t="0" r="12700" b="19050"/>
                <wp:wrapNone/>
                <wp:docPr id="39" name="Text Box 39"/>
                <wp:cNvGraphicFramePr/>
                <a:graphic xmlns:a="http://schemas.openxmlformats.org/drawingml/2006/main">
                  <a:graphicData uri="http://schemas.microsoft.com/office/word/2010/wordprocessingShape">
                    <wps:wsp>
                      <wps:cNvSpPr txBox="1"/>
                      <wps:spPr>
                        <a:xfrm>
                          <a:off x="0" y="0"/>
                          <a:ext cx="615950" cy="76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5256" w:rsidRDefault="005952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9" o:spid="_x0000_s1026" type="#_x0000_t202" style="position:absolute;margin-left:51.95pt;margin-top:228pt;width:48.5pt;height:6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" fillcolor="white [3201]" strokeweight=".5pt">
                <v:textbox>
                  <w:txbxContent>
                    <w:p w:rsidR="00595256" w:rsidRDefault="00595256"/>
                  </w:txbxContent>
                </v:textbox>
              </v:shape>
            </w:pict>
          </mc:Fallback>
        </mc:AlternateContent>
      </w:r>
      <w:r>
        <w:rPr>
          <w:noProof/>
          <w:lang w:eastAsia="en-AU"/>
        </w:rPr>
        <mc:AlternateContent>
          <mc:Choice Requires="wps">
            <w:drawing>
              <wp:anchor distT="0" distB="0" distL="114300" distR="114300" simplePos="0" relativeHeight="251668480" behindDoc="0" locked="0" layoutInCell="1" allowOverlap="1" wp14:anchorId="42997C81" wp14:editId="154A2E0B">
                <wp:simplePos x="0" y="0"/>
                <wp:positionH relativeFrom="column">
                  <wp:posOffset>647065</wp:posOffset>
                </wp:positionH>
                <wp:positionV relativeFrom="paragraph">
                  <wp:posOffset>2692400</wp:posOffset>
                </wp:positionV>
                <wp:extent cx="628650" cy="76200"/>
                <wp:effectExtent l="0" t="0" r="19050" b="19050"/>
                <wp:wrapNone/>
                <wp:docPr id="38" name="Text Box 38"/>
                <wp:cNvGraphicFramePr/>
                <a:graphic xmlns:a="http://schemas.openxmlformats.org/drawingml/2006/main">
                  <a:graphicData uri="http://schemas.microsoft.com/office/word/2010/wordprocessingShape">
                    <wps:wsp>
                      <wps:cNvSpPr txBox="1"/>
                      <wps:spPr>
                        <a:xfrm>
                          <a:off x="0" y="0"/>
                          <a:ext cx="628650" cy="76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5256" w:rsidRDefault="005952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8" o:spid="_x0000_s1027" type="#_x0000_t202" style="position:absolute;margin-left:50.95pt;margin-top:212pt;width:49.5pt;height:6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" fillcolor="white [3201]" strokeweight=".5pt">
                <v:textbox>
                  <w:txbxContent>
                    <w:p w:rsidR="00595256" w:rsidRDefault="00595256"/>
                  </w:txbxContent>
                </v:textbox>
              </v:shape>
            </w:pict>
          </mc:Fallback>
        </mc:AlternateContent>
      </w:r>
      <w:r>
        <w:rPr>
          <w:noProof/>
          <w:lang w:eastAsia="en-AU"/>
        </w:rPr>
        <mc:AlternateContent>
          <mc:Choice Requires="wps">
            <w:drawing>
              <wp:anchor distT="0" distB="0" distL="114300" distR="114300" simplePos="0" relativeHeight="251667456" behindDoc="0" locked="0" layoutInCell="1" allowOverlap="1" wp14:anchorId="59D512EB" wp14:editId="5E43A0AE">
                <wp:simplePos x="0" y="0"/>
                <wp:positionH relativeFrom="column">
                  <wp:posOffset>653415</wp:posOffset>
                </wp:positionH>
                <wp:positionV relativeFrom="paragraph">
                  <wp:posOffset>2590800</wp:posOffset>
                </wp:positionV>
                <wp:extent cx="615950" cy="82550"/>
                <wp:effectExtent l="0" t="0" r="12700" b="12700"/>
                <wp:wrapNone/>
                <wp:docPr id="37" name="Text Box 37"/>
                <wp:cNvGraphicFramePr/>
                <a:graphic xmlns:a="http://schemas.openxmlformats.org/drawingml/2006/main">
                  <a:graphicData uri="http://schemas.microsoft.com/office/word/2010/wordprocessingShape">
                    <wps:wsp>
                      <wps:cNvSpPr txBox="1"/>
                      <wps:spPr>
                        <a:xfrm>
                          <a:off x="0" y="0"/>
                          <a:ext cx="615950" cy="82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5256" w:rsidRDefault="005952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7" o:spid="_x0000_s1028" type="#_x0000_t202" style="position:absolute;margin-left:51.45pt;margin-top:204pt;width:48.5pt;height:6.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" fillcolor="white [3201]" strokeweight=".5pt">
                <v:textbox>
                  <w:txbxContent>
                    <w:p w:rsidR="00595256" w:rsidRDefault="00595256"/>
                  </w:txbxContent>
                </v:textbox>
              </v:shape>
            </w:pict>
          </mc:Fallback>
        </mc:AlternateContent>
      </w:r>
      <w:r>
        <w:rPr>
          <w:noProof/>
          <w:lang w:eastAsia="en-AU"/>
        </w:rPr>
        <mc:AlternateContent>
          <mc:Choice Requires="wps">
            <w:drawing>
              <wp:anchor distT="0" distB="0" distL="114300" distR="114300" simplePos="0" relativeHeight="251666432" behindDoc="0" locked="0" layoutInCell="1" allowOverlap="1" wp14:anchorId="63780ED9" wp14:editId="0FDE7A4B">
                <wp:simplePos x="0" y="0"/>
                <wp:positionH relativeFrom="column">
                  <wp:posOffset>666115</wp:posOffset>
                </wp:positionH>
                <wp:positionV relativeFrom="paragraph">
                  <wp:posOffset>2273300</wp:posOffset>
                </wp:positionV>
                <wp:extent cx="603250" cy="101600"/>
                <wp:effectExtent l="0" t="0" r="25400" b="12700"/>
                <wp:wrapNone/>
                <wp:docPr id="36" name="Text Box 36"/>
                <wp:cNvGraphicFramePr/>
                <a:graphic xmlns:a="http://schemas.openxmlformats.org/drawingml/2006/main">
                  <a:graphicData uri="http://schemas.microsoft.com/office/word/2010/wordprocessingShape">
                    <wps:wsp>
                      <wps:cNvSpPr txBox="1"/>
                      <wps:spPr>
                        <a:xfrm>
                          <a:off x="0" y="0"/>
                          <a:ext cx="603250" cy="10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5256" w:rsidRDefault="005952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6" o:spid="_x0000_s1029" type="#_x0000_t202" style="position:absolute;margin-left:52.45pt;margin-top:179pt;width:47.5pt;height:8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" fillcolor="white [3201]" strokeweight=".5pt">
                <v:textbox>
                  <w:txbxContent>
                    <w:p w:rsidR="00595256" w:rsidRDefault="00595256"/>
                  </w:txbxContent>
                </v:textbox>
              </v:shape>
            </w:pict>
          </mc:Fallback>
        </mc:AlternateContent>
      </w:r>
    </w:p>
    <w:p w:rsidR="00CE6B67" w:rsidRPr="000B37F1" w:rsidRDefault="00CE6B67" w:rsidP="00595256">
      <w:pPr>
        <w:pStyle w:val="TableTitle"/>
      </w:pPr>
      <w:r w:rsidRPr="000B37F1">
        <w:t xml:space="preserve">Table </w:t>
      </w:r>
      <w:r w:rsidR="00FA0223">
        <w:t>14.</w:t>
      </w:r>
      <w:r w:rsidRPr="000B37F1">
        <w:t xml:space="preserve"> Spontaneous cases received until 31 May 2014</w:t>
      </w:r>
      <w:r w:rsidR="00FE502E">
        <w:t>.</w:t>
      </w:r>
    </w:p>
    <w:p w:rsidR="00CE6B67" w:rsidRPr="002A564D" w:rsidRDefault="00A83086" w:rsidP="00595256">
      <w:r>
        <w:rPr>
          <w:noProof/>
          <w:lang w:eastAsia="en-AU"/>
        </w:rPr>
        <w:drawing>
          <wp:inline distT="0" distB="0" distL="0" distR="0" wp14:anchorId="65065274" wp14:editId="3E9629B9">
            <wp:extent cx="5400040" cy="3264255"/>
            <wp:effectExtent l="0" t="0" r="0" b="0"/>
            <wp:docPr id="57" name="Picture 57" descr="Table 14. Spontaneous cases received until 31 May 2014." title="Tabl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00040" cy="3264255"/>
                    </a:xfrm>
                    <a:prstGeom prst="rect">
                      <a:avLst/>
                    </a:prstGeom>
                  </pic:spPr>
                </pic:pic>
              </a:graphicData>
            </a:graphic>
          </wp:inline>
        </w:drawing>
      </w:r>
    </w:p>
    <w:p w:rsidR="008E7846" w:rsidRDefault="008E7846" w:rsidP="00595256">
      <w:pPr>
        <w:pStyle w:val="Heading4"/>
      </w:pPr>
      <w:r>
        <w:t xml:space="preserve">Advisory </w:t>
      </w:r>
      <w:r w:rsidR="00595256">
        <w:t>c</w:t>
      </w:r>
      <w:r>
        <w:t xml:space="preserve">ommittee </w:t>
      </w:r>
      <w:r w:rsidR="00595256" w:rsidRPr="00595256">
        <w:t>c</w:t>
      </w:r>
      <w:r w:rsidRPr="00595256">
        <w:t>onsiderations</w:t>
      </w:r>
    </w:p>
    <w:p w:rsidR="008E7846" w:rsidRDefault="00D23139" w:rsidP="00595256">
      <w:r w:rsidRPr="00D23139">
        <w:t>The Advisory Committee on Prescription Medicines (ACPM), having considered the evaluations and the Delegate’s overview, as well as the sponsor’s response to these documents, advised the following:</w:t>
      </w:r>
    </w:p>
    <w:p w:rsidR="00490B93" w:rsidRPr="00595256" w:rsidRDefault="00490B93" w:rsidP="00595256">
      <w:r w:rsidRPr="00B05D45">
        <w:t xml:space="preserve">The ACPM, taking into account the submitted evidence of efficacy, safety and quality, agreed with the delegate and considered </w:t>
      </w:r>
      <w:r w:rsidRPr="00B05D45">
        <w:rPr>
          <w:bCs/>
        </w:rPr>
        <w:t>C</w:t>
      </w:r>
      <w:r w:rsidR="00DB6BA7" w:rsidRPr="00B05D45">
        <w:rPr>
          <w:bCs/>
        </w:rPr>
        <w:t>arbaglu</w:t>
      </w:r>
      <w:r w:rsidRPr="00B05D45">
        <w:t xml:space="preserve"> </w:t>
      </w:r>
      <w:r w:rsidRPr="00B05D45">
        <w:rPr>
          <w:bCs/>
        </w:rPr>
        <w:t>dispersible tablets containing 200 mg of carglumic acid</w:t>
      </w:r>
      <w:r w:rsidRPr="00B05D45">
        <w:rPr>
          <w:b/>
          <w:bCs/>
        </w:rPr>
        <w:t xml:space="preserve"> </w:t>
      </w:r>
      <w:r w:rsidRPr="00B05D45">
        <w:t>to have an overall positive benefit–risk profile for the indication</w:t>
      </w:r>
      <w:r w:rsidR="00DB6BA7" w:rsidRPr="00595256">
        <w:t>;</w:t>
      </w:r>
    </w:p>
    <w:p w:rsidR="00490B93" w:rsidRPr="00595256" w:rsidRDefault="00490B93" w:rsidP="00595256">
      <w:pPr>
        <w:rPr>
          <w:i/>
        </w:rPr>
      </w:pPr>
      <w:r w:rsidRPr="00595256">
        <w:rPr>
          <w:i/>
        </w:rPr>
        <w:t>C</w:t>
      </w:r>
      <w:r w:rsidR="00DB6BA7" w:rsidRPr="00595256">
        <w:rPr>
          <w:i/>
        </w:rPr>
        <w:t>arbaglu</w:t>
      </w:r>
      <w:r w:rsidRPr="00595256">
        <w:rPr>
          <w:i/>
        </w:rPr>
        <w:t xml:space="preserve"> is indicated in the treatment of;</w:t>
      </w:r>
    </w:p>
    <w:p w:rsidR="00490B93" w:rsidRPr="00595256" w:rsidRDefault="00490B93" w:rsidP="00595256">
      <w:pPr>
        <w:pStyle w:val="ListBullet"/>
        <w:rPr>
          <w:i/>
          <w:lang w:eastAsia="ja-JP"/>
        </w:rPr>
      </w:pPr>
      <w:r w:rsidRPr="00595256">
        <w:rPr>
          <w:i/>
          <w:lang w:eastAsia="ja-JP"/>
        </w:rPr>
        <w:t>Hyperammonaemia due to N-acetylglutam</w:t>
      </w:r>
      <w:r w:rsidR="003D4E34" w:rsidRPr="00595256">
        <w:rPr>
          <w:i/>
          <w:lang w:eastAsia="ja-JP"/>
        </w:rPr>
        <w:t>ate synthase primary deficiency</w:t>
      </w:r>
    </w:p>
    <w:p w:rsidR="00490B93" w:rsidRPr="00595256" w:rsidRDefault="00490B93" w:rsidP="00595256">
      <w:pPr>
        <w:pStyle w:val="ListBullet"/>
        <w:rPr>
          <w:i/>
          <w:lang w:eastAsia="ja-JP"/>
        </w:rPr>
      </w:pPr>
      <w:r w:rsidRPr="00595256">
        <w:rPr>
          <w:i/>
          <w:lang w:eastAsia="ja-JP"/>
        </w:rPr>
        <w:t>Hyperammonaemia due to isovaleric acidaemia</w:t>
      </w:r>
    </w:p>
    <w:p w:rsidR="00490B93" w:rsidRPr="00595256" w:rsidRDefault="00490B93" w:rsidP="00595256">
      <w:pPr>
        <w:pStyle w:val="ListBullet"/>
        <w:rPr>
          <w:i/>
          <w:lang w:eastAsia="ja-JP"/>
        </w:rPr>
      </w:pPr>
      <w:r w:rsidRPr="00595256">
        <w:rPr>
          <w:i/>
          <w:lang w:eastAsia="ja-JP"/>
        </w:rPr>
        <w:t>Hyperammonaemia due to methyl-malonic acidaemia</w:t>
      </w:r>
    </w:p>
    <w:p w:rsidR="00490B93" w:rsidRPr="00595256" w:rsidRDefault="00490B93" w:rsidP="00595256">
      <w:pPr>
        <w:pStyle w:val="ListBullet"/>
        <w:rPr>
          <w:i/>
          <w:lang w:eastAsia="ja-JP"/>
        </w:rPr>
      </w:pPr>
      <w:r w:rsidRPr="00595256">
        <w:rPr>
          <w:i/>
          <w:lang w:eastAsia="ja-JP"/>
        </w:rPr>
        <w:t>Hyperammonaemia due to propionic acidaemia</w:t>
      </w:r>
    </w:p>
    <w:p w:rsidR="00490B93" w:rsidRPr="00B05D45" w:rsidRDefault="00490B93" w:rsidP="00595256">
      <w:pPr>
        <w:pStyle w:val="Heading5"/>
        <w:rPr>
          <w:u w:val="single"/>
        </w:rPr>
      </w:pPr>
      <w:r w:rsidRPr="00595256">
        <w:t>Proposed</w:t>
      </w:r>
      <w:r w:rsidRPr="00B05D45">
        <w:t xml:space="preserve"> Product Information (PI)/Consumer Medicine Information (CMI) amendments</w:t>
      </w:r>
    </w:p>
    <w:p w:rsidR="00B14662" w:rsidRPr="00B14662" w:rsidRDefault="00B14662" w:rsidP="00595256">
      <w:r w:rsidRPr="00B14662">
        <w:t xml:space="preserve">The ACPM agreed with the Delegate to the proposed amendments to the PI and Consumer Medicine Information (CMI) and specifically advised on </w:t>
      </w:r>
      <w:r>
        <w:t>the inclusion of the following:</w:t>
      </w:r>
    </w:p>
    <w:p w:rsidR="00B14662" w:rsidRPr="00B14662" w:rsidRDefault="00B14662" w:rsidP="00595256">
      <w:pPr>
        <w:pStyle w:val="ListBullet"/>
      </w:pPr>
      <w:r w:rsidRPr="00B14662">
        <w:t>A statement in the Precautions section could be considered to the effect that there is insufficient evidence to determine if there is an association between Carbaglu and cardiotoxicity.</w:t>
      </w:r>
    </w:p>
    <w:p w:rsidR="00B14662" w:rsidRPr="00B14662" w:rsidRDefault="00B14662" w:rsidP="00595256">
      <w:pPr>
        <w:pStyle w:val="ListBullet"/>
      </w:pPr>
      <w:r w:rsidRPr="00B14662">
        <w:t>The Committee noted the term ‘Consumer Medical Information’ in the heading in the accompanying CMI. This should be corrected to ‘Consumer Medicine Information’.</w:t>
      </w:r>
    </w:p>
    <w:p w:rsidR="00490B93" w:rsidRPr="00B05D45" w:rsidRDefault="00490B93" w:rsidP="00595256">
      <w:pPr>
        <w:pStyle w:val="Heading5"/>
        <w:rPr>
          <w:rFonts w:eastAsia="MS Mincho"/>
          <w:highlight w:val="yellow"/>
          <w:lang w:eastAsia="ja-JP"/>
        </w:rPr>
      </w:pPr>
      <w:r w:rsidRPr="00B05D45">
        <w:rPr>
          <w:rFonts w:eastAsia="MS Mincho"/>
          <w:lang w:eastAsia="ja-JP"/>
        </w:rPr>
        <w:t xml:space="preserve">Specific </w:t>
      </w:r>
      <w:r w:rsidR="00595256" w:rsidRPr="00595256">
        <w:rPr>
          <w:rFonts w:eastAsia="MS Mincho"/>
        </w:rPr>
        <w:t>a</w:t>
      </w:r>
      <w:r w:rsidRPr="00595256">
        <w:rPr>
          <w:rFonts w:eastAsia="MS Mincho"/>
        </w:rPr>
        <w:t>dvice</w:t>
      </w:r>
    </w:p>
    <w:p w:rsidR="00490B93" w:rsidRPr="00A76579" w:rsidRDefault="00490B93" w:rsidP="00595256">
      <w:pPr>
        <w:rPr>
          <w:b/>
          <w:bCs/>
          <w:iCs/>
          <w:highlight w:val="yellow"/>
        </w:rPr>
      </w:pPr>
      <w:r w:rsidRPr="00A76579">
        <w:t>The ACPM advised th</w:t>
      </w:r>
      <w:r w:rsidR="00A76579" w:rsidRPr="00A76579">
        <w:t>e following in response to the D</w:t>
      </w:r>
      <w:r w:rsidRPr="00A76579">
        <w:t>elegate’s specific questions on this submission:</w:t>
      </w:r>
    </w:p>
    <w:p w:rsidR="00490B93" w:rsidRPr="00595256" w:rsidRDefault="00490B93" w:rsidP="00595256">
      <w:pPr>
        <w:pStyle w:val="Numberbullet0"/>
        <w:numPr>
          <w:ilvl w:val="0"/>
          <w:numId w:val="16"/>
        </w:numPr>
        <w:rPr>
          <w:i/>
        </w:rPr>
      </w:pPr>
      <w:r w:rsidRPr="00595256">
        <w:rPr>
          <w:i/>
        </w:rPr>
        <w:t>Is the proposed dosing (100-250 mg/kg), including neonates, justifiable despite absence of PK modelling and dose response evaluation?</w:t>
      </w:r>
    </w:p>
    <w:p w:rsidR="00490B93" w:rsidRPr="00A76579" w:rsidRDefault="00062B69" w:rsidP="00595256">
      <w:r>
        <w:t xml:space="preserve">The </w:t>
      </w:r>
      <w:r w:rsidR="00490B93" w:rsidRPr="00A76579">
        <w:t>ACPM advised that, given the limited data possible in this small population, the proposed dose range is consistent with that used in clinical practice to treat the proposed indication/s and is therefore justifiable on this basis.</w:t>
      </w:r>
    </w:p>
    <w:p w:rsidR="00490B93" w:rsidRPr="00595256" w:rsidRDefault="00490B93" w:rsidP="00595256">
      <w:pPr>
        <w:pStyle w:val="Numberbullet0"/>
        <w:rPr>
          <w:i/>
        </w:rPr>
      </w:pPr>
      <w:r w:rsidRPr="00595256">
        <w:rPr>
          <w:i/>
        </w:rPr>
        <w:t>Is the supporting dataset sufficient given the clinical context i.e. rarity, seriousness and lack of therapeutic options?</w:t>
      </w:r>
    </w:p>
    <w:p w:rsidR="00490B93" w:rsidRPr="00A76579" w:rsidRDefault="00062B69" w:rsidP="00595256">
      <w:r>
        <w:t xml:space="preserve">The </w:t>
      </w:r>
      <w:r w:rsidR="00490B93" w:rsidRPr="00A76579">
        <w:t>ACPM agreed the target population is extremely small and therefore there are limited data available on the use of C</w:t>
      </w:r>
      <w:r w:rsidR="00A76579" w:rsidRPr="00A76579">
        <w:t>arbaglu</w:t>
      </w:r>
      <w:r w:rsidR="00490B93" w:rsidRPr="00A76579">
        <w:t xml:space="preserve"> in the proposed setting. However, the data that are available are consistently and highly supportive of the use of C</w:t>
      </w:r>
      <w:r w:rsidR="00A76579" w:rsidRPr="00A76579">
        <w:t>arbaglu</w:t>
      </w:r>
      <w:r w:rsidR="00490B93" w:rsidRPr="00A76579">
        <w:t xml:space="preserve"> in the proposed indications. </w:t>
      </w:r>
    </w:p>
    <w:p w:rsidR="00490B93" w:rsidRPr="00595256" w:rsidRDefault="00490B93" w:rsidP="00595256">
      <w:pPr>
        <w:pStyle w:val="Numberbullet0"/>
        <w:rPr>
          <w:i/>
        </w:rPr>
      </w:pPr>
      <w:r w:rsidRPr="00595256">
        <w:rPr>
          <w:i/>
        </w:rPr>
        <w:t>Has sufficient safety data been presented given the safety concerns of hepatotoxicity and cardiotoxicity and does ACPM have any specific advice regarding these concerns for the Product Information?</w:t>
      </w:r>
    </w:p>
    <w:p w:rsidR="00490B93" w:rsidRPr="00A76579" w:rsidRDefault="00490B93" w:rsidP="00595256">
      <w:r w:rsidRPr="00A76579">
        <w:t>ACPM considered adverse hepatic and cardiac events seen in studies of C</w:t>
      </w:r>
      <w:r w:rsidR="00A76579" w:rsidRPr="00A76579">
        <w:t>arbaglu</w:t>
      </w:r>
      <w:r w:rsidRPr="00A76579">
        <w:t xml:space="preserve"> are most </w:t>
      </w:r>
      <w:r w:rsidR="00B14662" w:rsidRPr="00B14662">
        <w:t>l</w:t>
      </w:r>
      <w:r w:rsidR="00B14662">
        <w:t>ikely confounded by the disease</w:t>
      </w:r>
      <w:r w:rsidR="00B14662" w:rsidRPr="00B14662">
        <w:t>.</w:t>
      </w:r>
    </w:p>
    <w:p w:rsidR="00490B93" w:rsidRPr="00A76579" w:rsidRDefault="00490B93" w:rsidP="00595256">
      <w:r w:rsidRPr="00A76579">
        <w:t>Hepatotoxicity is often associated with hyperammonaemia and adverse hepatic effects observed in studies of C</w:t>
      </w:r>
      <w:r w:rsidR="00A76579" w:rsidRPr="00A76579">
        <w:t>arbaglu</w:t>
      </w:r>
      <w:r w:rsidRPr="00A76579">
        <w:t>. Similarly hyperammonaemia can also itself be a cause of cardiotoxicity. It was therefore difficult to establish if adverse hepatic and cardiac events observed in studies of C</w:t>
      </w:r>
      <w:r w:rsidR="00A76579" w:rsidRPr="00A76579">
        <w:t>arbaglu</w:t>
      </w:r>
      <w:r w:rsidRPr="00A76579">
        <w:t xml:space="preserve"> were </w:t>
      </w:r>
      <w:r w:rsidR="00A76579">
        <w:t>due to the drug or the disease.</w:t>
      </w:r>
    </w:p>
    <w:p w:rsidR="00490B93" w:rsidRPr="00595256" w:rsidRDefault="00490B93" w:rsidP="00595256">
      <w:pPr>
        <w:pStyle w:val="Numberbullet0"/>
        <w:rPr>
          <w:i/>
        </w:rPr>
      </w:pPr>
      <w:r w:rsidRPr="00595256">
        <w:rPr>
          <w:i/>
        </w:rPr>
        <w:t>Does the Committee have further specific advice regarding post market activities such as long term follow up of patients?</w:t>
      </w:r>
    </w:p>
    <w:p w:rsidR="000F1652" w:rsidRPr="00A322B3" w:rsidRDefault="00490B93" w:rsidP="00595256">
      <w:r w:rsidRPr="00A76579">
        <w:t>ACPM supported the use of National and International registries to study patients taking C</w:t>
      </w:r>
      <w:r w:rsidR="00A76579" w:rsidRPr="00A76579">
        <w:t>arbaglu</w:t>
      </w:r>
      <w:r w:rsidRPr="00A76579">
        <w:t>. Ideally, study outcomes should be stratified by specific indication and dose, which may be helpful in defining optimal treatments and doses.</w:t>
      </w:r>
    </w:p>
    <w:p w:rsidR="008E7846" w:rsidRPr="002E238E" w:rsidRDefault="008E7846" w:rsidP="00595256">
      <w:pPr>
        <w:pStyle w:val="Heading3"/>
      </w:pPr>
      <w:bookmarkStart w:id="247" w:name="_Toc247691532"/>
      <w:bookmarkStart w:id="248" w:name="_Toc314842516"/>
      <w:bookmarkStart w:id="249" w:name="_Toc433190191"/>
      <w:bookmarkEnd w:id="116"/>
      <w:bookmarkEnd w:id="245"/>
      <w:bookmarkEnd w:id="246"/>
      <w:r w:rsidRPr="00595256">
        <w:t>Outcome</w:t>
      </w:r>
      <w:bookmarkEnd w:id="247"/>
      <w:bookmarkEnd w:id="248"/>
      <w:bookmarkEnd w:id="249"/>
    </w:p>
    <w:p w:rsidR="00D23139" w:rsidRPr="00D23139" w:rsidRDefault="00D23139" w:rsidP="00595256">
      <w:bookmarkStart w:id="250" w:name="_Toc247691533"/>
      <w:bookmarkStart w:id="251" w:name="_Toc314842517"/>
      <w:r w:rsidRPr="00D23139">
        <w:t xml:space="preserve">Based on a review of quality, safety and efficacy, TGA approved the registration of </w:t>
      </w:r>
      <w:r w:rsidR="00733C25">
        <w:t>Carbaglu carglumic acid 200mg</w:t>
      </w:r>
      <w:r w:rsidRPr="00D23139">
        <w:t xml:space="preserve"> </w:t>
      </w:r>
      <w:r w:rsidR="00733C25">
        <w:t>dispersible tablets for oral administration</w:t>
      </w:r>
      <w:r w:rsidRPr="00D23139">
        <w:t>, indicated for:</w:t>
      </w:r>
    </w:p>
    <w:p w:rsidR="00733C25" w:rsidRPr="00595256" w:rsidRDefault="00733C25" w:rsidP="00595256">
      <w:pPr>
        <w:rPr>
          <w:i/>
        </w:rPr>
      </w:pPr>
      <w:r w:rsidRPr="00595256">
        <w:rPr>
          <w:i/>
        </w:rPr>
        <w:t>Carbaglu is indicated in the treatment of;</w:t>
      </w:r>
    </w:p>
    <w:p w:rsidR="00733C25" w:rsidRPr="00595256" w:rsidRDefault="00733C25" w:rsidP="00595256">
      <w:pPr>
        <w:pStyle w:val="ListBullet"/>
        <w:rPr>
          <w:i/>
        </w:rPr>
      </w:pPr>
      <w:r w:rsidRPr="00595256">
        <w:rPr>
          <w:i/>
        </w:rPr>
        <w:t>Hyperammonaemia due to N-acetylglutamate synthase primary deficiency</w:t>
      </w:r>
    </w:p>
    <w:p w:rsidR="001F3002" w:rsidRPr="00595256" w:rsidRDefault="00733C25" w:rsidP="00595256">
      <w:pPr>
        <w:pStyle w:val="ListBullet"/>
        <w:rPr>
          <w:i/>
        </w:rPr>
      </w:pPr>
      <w:r w:rsidRPr="00595256">
        <w:rPr>
          <w:i/>
        </w:rPr>
        <w:t xml:space="preserve">Hyperammonaemia </w:t>
      </w:r>
      <w:r w:rsidR="001F3002" w:rsidRPr="00595256">
        <w:rPr>
          <w:i/>
        </w:rPr>
        <w:t>due to Organic Acidaemias such as:</w:t>
      </w:r>
    </w:p>
    <w:p w:rsidR="00733C25" w:rsidRPr="00595256" w:rsidRDefault="001F3002" w:rsidP="00595256">
      <w:pPr>
        <w:pStyle w:val="ListBullet2"/>
        <w:rPr>
          <w:i/>
        </w:rPr>
      </w:pPr>
      <w:r w:rsidRPr="00595256">
        <w:rPr>
          <w:i/>
        </w:rPr>
        <w:t>Hyperammonaemia due</w:t>
      </w:r>
      <w:r w:rsidR="00733C25" w:rsidRPr="00595256">
        <w:rPr>
          <w:i/>
        </w:rPr>
        <w:t xml:space="preserve"> to isovaleric acidaemia</w:t>
      </w:r>
    </w:p>
    <w:p w:rsidR="00733C25" w:rsidRPr="00595256" w:rsidRDefault="00733C25" w:rsidP="00595256">
      <w:pPr>
        <w:pStyle w:val="ListBullet2"/>
        <w:rPr>
          <w:i/>
        </w:rPr>
      </w:pPr>
      <w:r w:rsidRPr="00595256">
        <w:rPr>
          <w:i/>
        </w:rPr>
        <w:t>Hyperammonaemia due to methyl-malonic acidaemia</w:t>
      </w:r>
    </w:p>
    <w:p w:rsidR="00D23139" w:rsidRPr="00595256" w:rsidRDefault="00733C25" w:rsidP="00595256">
      <w:pPr>
        <w:pStyle w:val="ListBullet2"/>
        <w:rPr>
          <w:i/>
        </w:rPr>
      </w:pPr>
      <w:r w:rsidRPr="00595256">
        <w:rPr>
          <w:i/>
        </w:rPr>
        <w:t>Hyperammonaemia due to propionic acidaemia</w:t>
      </w:r>
    </w:p>
    <w:p w:rsidR="00D23139" w:rsidRPr="00D23139" w:rsidRDefault="00D23139" w:rsidP="00595256">
      <w:pPr>
        <w:pStyle w:val="Heading4"/>
      </w:pPr>
      <w:r w:rsidRPr="00D23139">
        <w:t xml:space="preserve">Specific </w:t>
      </w:r>
      <w:r w:rsidRPr="00595256">
        <w:t>conditions</w:t>
      </w:r>
      <w:r w:rsidRPr="00D23139">
        <w:t xml:space="preserve"> of registration applying to these goods</w:t>
      </w:r>
    </w:p>
    <w:p w:rsidR="00B14662" w:rsidRDefault="001F3002" w:rsidP="00595256">
      <w:pPr>
        <w:pStyle w:val="Numberbullet0"/>
        <w:numPr>
          <w:ilvl w:val="0"/>
          <w:numId w:val="22"/>
        </w:numPr>
      </w:pPr>
      <w:r>
        <w:t xml:space="preserve">The implementation of the </w:t>
      </w:r>
      <w:r w:rsidRPr="001F3002">
        <w:t>carglumic acid EU-Risk Management Plan (EU</w:t>
      </w:r>
      <w:r>
        <w:t xml:space="preserve">-RMP), </w:t>
      </w:r>
      <w:r w:rsidRPr="00595256">
        <w:t>version</w:t>
      </w:r>
      <w:r>
        <w:t xml:space="preserve"> OBIPV/CARB/0114, </w:t>
      </w:r>
      <w:r w:rsidRPr="001F3002">
        <w:t>date</w:t>
      </w:r>
      <w:r w:rsidR="00B14662">
        <w:t xml:space="preserve">d 23 July 2014, datalock point 31 May </w:t>
      </w:r>
      <w:r w:rsidRPr="001F3002">
        <w:t>2014 an</w:t>
      </w:r>
      <w:r w:rsidR="00B14662">
        <w:t>d ASA version 0.2, dated 31 J</w:t>
      </w:r>
      <w:r>
        <w:t xml:space="preserve">uly </w:t>
      </w:r>
      <w:r w:rsidRPr="001F3002">
        <w:t>2014 revised to the satisfaction of the TGA, included</w:t>
      </w:r>
      <w:r>
        <w:t xml:space="preserve"> with submission PM-2013-02751-</w:t>
      </w:r>
      <w:r w:rsidR="00281140">
        <w:t>1</w:t>
      </w:r>
      <w:r w:rsidRPr="001F3002">
        <w:t>-3, and any subsequent revisions, as agreed with</w:t>
      </w:r>
      <w:r>
        <w:t xml:space="preserve"> the TGA will be implemented in </w:t>
      </w:r>
      <w:r w:rsidR="00B14662">
        <w:t>Australia.</w:t>
      </w:r>
    </w:p>
    <w:p w:rsidR="001F3002" w:rsidRPr="001F3002" w:rsidRDefault="001F3002" w:rsidP="00595256">
      <w:pPr>
        <w:pStyle w:val="Numberbullet0"/>
        <w:numPr>
          <w:ilvl w:val="0"/>
          <w:numId w:val="22"/>
        </w:numPr>
      </w:pPr>
      <w:r w:rsidRPr="001F3002">
        <w:t>In addition, inclusion of Australian pati</w:t>
      </w:r>
      <w:r>
        <w:t xml:space="preserve">ents in overseas registries and </w:t>
      </w:r>
      <w:r w:rsidRPr="001F3002">
        <w:t>reporting of information from overseas registries to the TGA</w:t>
      </w:r>
      <w:r>
        <w:t>, as agreed with the Post</w:t>
      </w:r>
      <w:r w:rsidR="00062B69">
        <w:t xml:space="preserve"> </w:t>
      </w:r>
      <w:r>
        <w:t xml:space="preserve">market </w:t>
      </w:r>
      <w:r w:rsidRPr="001F3002">
        <w:t xml:space="preserve">Surveillance </w:t>
      </w:r>
      <w:r w:rsidRPr="00595256">
        <w:t>Branch</w:t>
      </w:r>
      <w:r w:rsidRPr="001F3002">
        <w:t xml:space="preserve"> of the TGA, sho</w:t>
      </w:r>
      <w:r>
        <w:t>uld be included in an updated AS</w:t>
      </w:r>
      <w:r w:rsidRPr="001F3002">
        <w:t>A.</w:t>
      </w:r>
    </w:p>
    <w:p w:rsidR="008E7846" w:rsidRDefault="00A80B5B" w:rsidP="00595256">
      <w:pPr>
        <w:pStyle w:val="Heading2"/>
      </w:pPr>
      <w:bookmarkStart w:id="252" w:name="_Toc433190192"/>
      <w:r>
        <w:t xml:space="preserve">Attachment 1. </w:t>
      </w:r>
      <w:r w:rsidR="008E7846">
        <w:t xml:space="preserve">Product </w:t>
      </w:r>
      <w:r w:rsidR="00AA0ED0" w:rsidRPr="00595256">
        <w:t>I</w:t>
      </w:r>
      <w:r w:rsidR="008E7846" w:rsidRPr="00595256">
        <w:t>nformation</w:t>
      </w:r>
      <w:bookmarkEnd w:id="250"/>
      <w:bookmarkEnd w:id="251"/>
      <w:bookmarkEnd w:id="252"/>
    </w:p>
    <w:p w:rsidR="00C80137" w:rsidRDefault="002B3624" w:rsidP="00595256">
      <w:pPr>
        <w:rPr>
          <w:color w:val="000000"/>
          <w:lang w:eastAsia="en-AU"/>
        </w:rPr>
      </w:pPr>
      <w:r w:rsidRPr="002B3624">
        <w:t xml:space="preserve">The Product Information approved for main </w:t>
      </w:r>
      <w:r w:rsidR="00733C25">
        <w:t>Carbaglu</w:t>
      </w:r>
      <w:r w:rsidRPr="002B3624">
        <w:t>at the time this AusPAR was published is at Attachment 1. For the most recent Product Information please refer to the TGA website at &lt;</w:t>
      </w:r>
      <w:hyperlink r:id="rId31" w:history="1">
        <w:r w:rsidR="00383221">
          <w:rPr>
            <w:rStyle w:val="Hyperlink"/>
          </w:rPr>
          <w:t>https://www.tga.gov.au/product-information-pi</w:t>
        </w:r>
      </w:hyperlink>
      <w:r w:rsidR="00733C25">
        <w:t>&gt;</w:t>
      </w:r>
      <w:r w:rsidRPr="00733C25">
        <w:t>.</w:t>
      </w:r>
    </w:p>
    <w:p w:rsidR="001C32CD" w:rsidRDefault="00C80137" w:rsidP="00595256">
      <w:pPr>
        <w:pStyle w:val="Heading2"/>
        <w:rPr>
          <w:lang w:eastAsia="en-AU"/>
        </w:rPr>
      </w:pPr>
      <w:bookmarkStart w:id="253" w:name="_Toc433190193"/>
      <w:r w:rsidRPr="00595256">
        <w:t>Attachment</w:t>
      </w:r>
      <w:r>
        <w:rPr>
          <w:lang w:eastAsia="en-AU"/>
        </w:rPr>
        <w:t xml:space="preserve"> 2.</w:t>
      </w:r>
      <w:r w:rsidR="00A80B5B">
        <w:rPr>
          <w:lang w:eastAsia="en-AU"/>
        </w:rPr>
        <w:t xml:space="preserve"> </w:t>
      </w:r>
      <w:r>
        <w:rPr>
          <w:lang w:eastAsia="en-AU"/>
        </w:rPr>
        <w:t>Extract from the Clinical Evaluation Report</w:t>
      </w:r>
      <w:bookmarkEnd w:id="253"/>
    </w:p>
    <w:p w:rsidR="00291957" w:rsidRDefault="00291957" w:rsidP="00595256">
      <w:pPr>
        <w:rPr>
          <w:lang w:eastAsia="ja-JP"/>
        </w:rPr>
      </w:pPr>
    </w:p>
    <w:p w:rsidR="00C80137" w:rsidRPr="001D043B" w:rsidRDefault="00C80137" w:rsidP="00595256">
      <w:pPr>
        <w:sectPr w:rsidR="00C80137" w:rsidRPr="001D043B" w:rsidSect="00B452CE">
          <w:headerReference w:type="even" r:id="rId32"/>
          <w:headerReference w:type="default" r:id="rId33"/>
          <w:headerReference w:type="first" r:id="rId34"/>
          <w:footerReference w:type="first" r:id="rId35"/>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A05FA4">
        <w:trPr>
          <w:trHeight w:hRule="exact" w:val="704"/>
        </w:trPr>
        <w:tc>
          <w:tcPr>
            <w:tcW w:w="9175" w:type="dxa"/>
          </w:tcPr>
          <w:p w:rsidR="001C32CD" w:rsidRPr="00487162" w:rsidRDefault="001C32CD" w:rsidP="00A05FA4">
            <w:pPr>
              <w:pStyle w:val="TGASignoff"/>
            </w:pPr>
            <w:r w:rsidRPr="00487162">
              <w:t>Therapeutic Goods Administration</w:t>
            </w:r>
          </w:p>
        </w:tc>
      </w:tr>
      <w:tr w:rsidR="001C32CD" w:rsidRPr="004C239D" w:rsidTr="00A05FA4">
        <w:trPr>
          <w:trHeight w:val="1221"/>
        </w:trPr>
        <w:tc>
          <w:tcPr>
            <w:tcW w:w="9175" w:type="dxa"/>
            <w:tcMar>
              <w:top w:w="28" w:type="dxa"/>
            </w:tcMar>
          </w:tcPr>
          <w:p w:rsidR="001C32CD" w:rsidRPr="00487162" w:rsidRDefault="001C32CD" w:rsidP="00A05FA4">
            <w:pPr>
              <w:pStyle w:val="Address"/>
            </w:pPr>
            <w:r w:rsidRPr="00487162">
              <w:t>PO Box 100 Woden ACT 2606 Australia</w:t>
            </w:r>
          </w:p>
          <w:p w:rsidR="001C32CD" w:rsidRPr="00487162" w:rsidRDefault="001C32CD" w:rsidP="00A05FA4">
            <w:pPr>
              <w:pStyle w:val="Address"/>
            </w:pPr>
            <w:r w:rsidRPr="00487162">
              <w:t xml:space="preserve">Email: </w:t>
            </w:r>
            <w:hyperlink r:id="rId36" w:history="1">
              <w:r w:rsidRPr="004C239D">
                <w:rPr>
                  <w:rStyle w:val="Hyperlink"/>
                </w:rPr>
                <w:t>info@tga.gov.au</w:t>
              </w:r>
            </w:hyperlink>
            <w:r w:rsidR="00092147">
              <w:t xml:space="preserve"> </w:t>
            </w:r>
            <w:r w:rsidRPr="00487162">
              <w:t>Phone: 1800 020 653</w:t>
            </w:r>
            <w:r w:rsidR="00092147">
              <w:t xml:space="preserve"> </w:t>
            </w:r>
            <w:r w:rsidRPr="00487162">
              <w:t>Fax: 02 6232 8605</w:t>
            </w:r>
          </w:p>
          <w:p w:rsidR="001C32CD" w:rsidRPr="004C239D" w:rsidRDefault="00D552BF" w:rsidP="00A05FA4">
            <w:pPr>
              <w:pStyle w:val="Address"/>
              <w:spacing w:line="260" w:lineRule="atLeast"/>
              <w:rPr>
                <w:b/>
                <w:color w:val="0000FF"/>
                <w:u w:val="single"/>
              </w:rPr>
            </w:pPr>
            <w:hyperlink r:id="rId37" w:history="1">
              <w:r w:rsidR="004F47D6">
                <w:rPr>
                  <w:rStyle w:val="Hyperlink"/>
                  <w:b/>
                </w:rPr>
                <w:t>https://www.tga.gov.au</w:t>
              </w:r>
            </w:hyperlink>
          </w:p>
        </w:tc>
      </w:tr>
    </w:tbl>
    <w:p w:rsidR="00774E1D" w:rsidRPr="008A5E0B" w:rsidRDefault="00774E1D" w:rsidP="004C239D"/>
    <w:sectPr w:rsidR="00774E1D" w:rsidRPr="008A5E0B" w:rsidSect="001C32CD">
      <w:headerReference w:type="even" r:id="rId38"/>
      <w:headerReference w:type="default" r:id="rId39"/>
      <w:footerReference w:type="default" r:id="rId40"/>
      <w:headerReference w:type="first" r:id="rId41"/>
      <w:footerReference w:type="first" r:id="rId42"/>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5256" w:rsidRDefault="00595256" w:rsidP="00C40A36">
      <w:pPr>
        <w:spacing w:after="0"/>
      </w:pPr>
      <w:r>
        <w:separator/>
      </w:r>
    </w:p>
  </w:endnote>
  <w:endnote w:type="continuationSeparator" w:id="0">
    <w:p w:rsidR="00595256" w:rsidRDefault="00595256"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595256" w:rsidRPr="00487162" w:rsidTr="00DB750B">
      <w:trPr>
        <w:trHeight w:val="269"/>
      </w:trPr>
      <w:tc>
        <w:tcPr>
          <w:tcW w:w="7371" w:type="dxa"/>
          <w:tcMar>
            <w:top w:w="142" w:type="dxa"/>
            <w:bottom w:w="0" w:type="dxa"/>
          </w:tcMar>
        </w:tcPr>
        <w:p w:rsidR="00595256" w:rsidRPr="00487162" w:rsidRDefault="00595256" w:rsidP="003E28B6">
          <w:pPr>
            <w:pStyle w:val="Footer"/>
          </w:pPr>
          <w:r w:rsidRPr="00487162">
            <w:t xml:space="preserve">AusPAR </w:t>
          </w:r>
          <w:r>
            <w:t>Carbaglu carglumic acid</w:t>
          </w:r>
          <w:r w:rsidRPr="00487162">
            <w:t xml:space="preserve"> </w:t>
          </w:r>
          <w:r>
            <w:t>Emerge Health Pty Ltd PM-2013-02751-1-3 -2 September 2015</w:t>
          </w:r>
        </w:p>
      </w:tc>
      <w:tc>
        <w:tcPr>
          <w:tcW w:w="1490" w:type="dxa"/>
          <w:tcMar>
            <w:top w:w="142" w:type="dxa"/>
            <w:bottom w:w="0" w:type="dxa"/>
          </w:tcMar>
        </w:tcPr>
        <w:p w:rsidR="00595256" w:rsidRPr="00487162" w:rsidRDefault="00595256" w:rsidP="00DB750B">
          <w:pPr>
            <w:pStyle w:val="Footer"/>
            <w:jc w:val="right"/>
          </w:pPr>
          <w:r w:rsidRPr="00487162">
            <w:t xml:space="preserve">Page </w:t>
          </w:r>
          <w:r>
            <w:fldChar w:fldCharType="begin"/>
          </w:r>
          <w:r>
            <w:instrText xml:space="preserve"> PAGE  \* Arabic </w:instrText>
          </w:r>
          <w:r>
            <w:fldChar w:fldCharType="separate"/>
          </w:r>
          <w:r w:rsidR="00D552BF">
            <w:rPr>
              <w:noProof/>
            </w:rPr>
            <w:t>51</w:t>
          </w:r>
          <w:r>
            <w:fldChar w:fldCharType="end"/>
          </w:r>
          <w:r w:rsidRPr="00487162">
            <w:t xml:space="preserve"> of </w:t>
          </w:r>
          <w:r w:rsidR="00D552BF">
            <w:fldChar w:fldCharType="begin"/>
          </w:r>
          <w:r w:rsidR="00D552BF">
            <w:instrText xml:space="preserve"> NUMPAGES  \* Arabic </w:instrText>
          </w:r>
          <w:r w:rsidR="00D552BF">
            <w:fldChar w:fldCharType="separate"/>
          </w:r>
          <w:r w:rsidR="00D552BF">
            <w:rPr>
              <w:noProof/>
            </w:rPr>
            <w:t>51</w:t>
          </w:r>
          <w:r w:rsidR="00D552BF">
            <w:rPr>
              <w:noProof/>
            </w:rPr>
            <w:fldChar w:fldCharType="end"/>
          </w:r>
        </w:p>
      </w:tc>
    </w:tr>
  </w:tbl>
  <w:p w:rsidR="00595256" w:rsidRDefault="00595256"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595256" w:rsidRPr="00487162" w:rsidTr="00E45619">
      <w:trPr>
        <w:trHeight w:val="269"/>
      </w:trPr>
      <w:tc>
        <w:tcPr>
          <w:tcW w:w="4519" w:type="dxa"/>
          <w:tcBorders>
            <w:top w:val="single" w:sz="4" w:space="0" w:color="auto"/>
          </w:tcBorders>
          <w:tcMar>
            <w:top w:w="142" w:type="dxa"/>
            <w:bottom w:w="0" w:type="dxa"/>
          </w:tcMar>
        </w:tcPr>
        <w:p w:rsidR="00595256" w:rsidRPr="00487162" w:rsidRDefault="00595256" w:rsidP="00FE1DEE">
          <w:pPr>
            <w:pStyle w:val="Footer"/>
          </w:pPr>
          <w:r w:rsidRPr="00487162">
            <w:t>Document title, Part #, Section # - Section title</w:t>
          </w:r>
        </w:p>
        <w:p w:rsidR="00595256" w:rsidRPr="00487162" w:rsidRDefault="00595256" w:rsidP="00FE1DEE">
          <w:pPr>
            <w:pStyle w:val="Footer"/>
          </w:pPr>
          <w:r w:rsidRPr="00487162">
            <w:t>V1.0 October 2010</w:t>
          </w:r>
        </w:p>
      </w:tc>
      <w:tc>
        <w:tcPr>
          <w:tcW w:w="4342" w:type="dxa"/>
          <w:tcBorders>
            <w:top w:val="single" w:sz="4" w:space="0" w:color="auto"/>
          </w:tcBorders>
          <w:tcMar>
            <w:top w:w="142" w:type="dxa"/>
            <w:bottom w:w="0" w:type="dxa"/>
          </w:tcMar>
        </w:tcPr>
        <w:p w:rsidR="00595256" w:rsidRPr="00487162" w:rsidRDefault="00595256"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D552BF">
            <w:fldChar w:fldCharType="begin"/>
          </w:r>
          <w:r w:rsidR="00D552BF">
            <w:instrText xml:space="preserve"> NUMPAGES  </w:instrText>
          </w:r>
          <w:r w:rsidR="00D552BF">
            <w:fldChar w:fldCharType="separate"/>
          </w:r>
          <w:r w:rsidR="003A3B87">
            <w:rPr>
              <w:noProof/>
            </w:rPr>
            <w:t>1</w:t>
          </w:r>
          <w:r w:rsidR="00D552BF">
            <w:rPr>
              <w:noProof/>
            </w:rPr>
            <w:fldChar w:fldCharType="end"/>
          </w:r>
        </w:p>
      </w:tc>
    </w:tr>
  </w:tbl>
  <w:p w:rsidR="00595256" w:rsidRDefault="0059525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256" w:rsidRPr="001C32CD" w:rsidRDefault="00595256"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595256" w:rsidTr="0010601F">
      <w:trPr>
        <w:trHeight w:val="108"/>
      </w:trPr>
      <w:tc>
        <w:tcPr>
          <w:tcW w:w="8875" w:type="dxa"/>
          <w:gridSpan w:val="2"/>
          <w:tcBorders>
            <w:bottom w:val="single" w:sz="4" w:space="0" w:color="auto"/>
          </w:tcBorders>
          <w:tcMar>
            <w:right w:w="284" w:type="dxa"/>
          </w:tcMar>
        </w:tcPr>
        <w:p w:rsidR="00595256" w:rsidRDefault="00595256" w:rsidP="006E08B3">
          <w:pPr>
            <w:pStyle w:val="Heading3"/>
          </w:pPr>
          <w:r>
            <w:t>Copyright</w:t>
          </w:r>
        </w:p>
        <w:p w:rsidR="00595256" w:rsidRDefault="00595256" w:rsidP="006E08B3">
          <w:r>
            <w:rPr>
              <w:rFonts w:cs="Arial"/>
            </w:rPr>
            <w:t>©</w:t>
          </w:r>
          <w:r>
            <w:t xml:space="preserve"> Commonwealth of Australia [add year]</w:t>
          </w:r>
        </w:p>
        <w:p w:rsidR="00595256" w:rsidRDefault="00595256" w:rsidP="006E08B3"/>
        <w:p w:rsidR="00595256" w:rsidRDefault="00595256"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595256" w:rsidRDefault="00595256" w:rsidP="006E08B3"/>
        <w:p w:rsidR="00595256" w:rsidRDefault="00595256" w:rsidP="006E08B3">
          <w:pPr>
            <w:pStyle w:val="Heading3"/>
          </w:pPr>
          <w:r>
            <w:t>Confidentiality</w:t>
          </w:r>
        </w:p>
        <w:p w:rsidR="00595256" w:rsidRDefault="00595256"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595256" w:rsidRDefault="00595256" w:rsidP="006E08B3"/>
        <w:p w:rsidR="00595256" w:rsidRDefault="00595256" w:rsidP="006E08B3">
          <w:r>
            <w:t>For submission made by individuals, all personal details, other than your name, will be removed from your submission before it is published on the TGA’s Internet site.</w:t>
          </w:r>
        </w:p>
        <w:p w:rsidR="00595256" w:rsidRDefault="00595256" w:rsidP="006E08B3"/>
        <w:p w:rsidR="00595256" w:rsidRDefault="00595256" w:rsidP="006E08B3">
          <w:r>
            <w:t>In addition, a list of parties making submissions will be published. If you do not wish to be identified with your submission you must specifically request this in the space provided ib the submission coversheet.</w:t>
          </w:r>
        </w:p>
      </w:tc>
    </w:tr>
    <w:tr w:rsidR="00595256" w:rsidTr="0010601F">
      <w:trPr>
        <w:trHeight w:val="417"/>
      </w:trPr>
      <w:tc>
        <w:tcPr>
          <w:tcW w:w="4519" w:type="dxa"/>
          <w:tcBorders>
            <w:top w:val="single" w:sz="4" w:space="0" w:color="auto"/>
          </w:tcBorders>
          <w:tcMar>
            <w:top w:w="142" w:type="dxa"/>
            <w:bottom w:w="0" w:type="dxa"/>
          </w:tcMar>
        </w:tcPr>
        <w:p w:rsidR="00595256" w:rsidRDefault="00595256" w:rsidP="006E08B3">
          <w:r>
            <w:t>Document title, Part #, Section # - Section title</w:t>
          </w:r>
        </w:p>
        <w:p w:rsidR="00595256" w:rsidRDefault="00595256" w:rsidP="006E08B3">
          <w:r>
            <w:t>V1.0 October 2010</w:t>
          </w:r>
        </w:p>
      </w:tc>
      <w:tc>
        <w:tcPr>
          <w:tcW w:w="4356" w:type="dxa"/>
          <w:tcBorders>
            <w:top w:val="single" w:sz="4" w:space="0" w:color="auto"/>
          </w:tcBorders>
          <w:tcMar>
            <w:top w:w="142" w:type="dxa"/>
            <w:bottom w:w="0" w:type="dxa"/>
          </w:tcMar>
        </w:tcPr>
        <w:p w:rsidR="00595256" w:rsidRDefault="00595256"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D552BF">
            <w:fldChar w:fldCharType="begin"/>
          </w:r>
          <w:r w:rsidR="00D552BF">
            <w:instrText xml:space="preserve"> NUMPAGES  \* Arabic </w:instrText>
          </w:r>
          <w:r w:rsidR="00D552BF">
            <w:fldChar w:fldCharType="separate"/>
          </w:r>
          <w:r w:rsidR="003A3B87">
            <w:rPr>
              <w:noProof/>
            </w:rPr>
            <w:t>1</w:t>
          </w:r>
          <w:r w:rsidR="00D552BF">
            <w:rPr>
              <w:noProof/>
            </w:rPr>
            <w:fldChar w:fldCharType="end"/>
          </w:r>
          <w:r>
            <w:t xml:space="preserve">  </w:t>
          </w:r>
        </w:p>
      </w:tc>
    </w:tr>
  </w:tbl>
  <w:p w:rsidR="00595256" w:rsidRDefault="0059525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5256" w:rsidRDefault="00595256" w:rsidP="00C40A36">
      <w:pPr>
        <w:spacing w:after="0"/>
      </w:pPr>
      <w:r>
        <w:separator/>
      </w:r>
    </w:p>
  </w:footnote>
  <w:footnote w:type="continuationSeparator" w:id="0">
    <w:p w:rsidR="00595256" w:rsidRDefault="00595256" w:rsidP="00C40A36">
      <w:pPr>
        <w:spacing w:after="0"/>
      </w:pPr>
      <w:r>
        <w:continuationSeparator/>
      </w:r>
    </w:p>
  </w:footnote>
  <w:footnote w:id="1">
    <w:p w:rsidR="00595256" w:rsidRDefault="00595256" w:rsidP="000B7AC1">
      <w:pPr>
        <w:pStyle w:val="FootnoteText"/>
      </w:pPr>
      <w:r>
        <w:rPr>
          <w:rStyle w:val="FootnoteReference"/>
        </w:rPr>
        <w:footnoteRef/>
      </w:r>
      <w:r>
        <w:t xml:space="preserve"> Based on a maximum clinical dose of 250 mg/kg/day, and a mg/kg to </w:t>
      </w:r>
      <w:r w:rsidRPr="00282ACD">
        <w:t>mg/m</w:t>
      </w:r>
      <w:r w:rsidRPr="00282ACD">
        <w:rPr>
          <w:vertAlign w:val="superscript"/>
        </w:rPr>
        <w:t>2</w:t>
      </w:r>
      <w:r>
        <w:t xml:space="preserve"> conversion factor of 20 for a 10 kg child.</w:t>
      </w:r>
    </w:p>
  </w:footnote>
  <w:footnote w:id="2">
    <w:p w:rsidR="00595256" w:rsidRDefault="00595256">
      <w:pPr>
        <w:pStyle w:val="FootnoteText"/>
      </w:pPr>
      <w:r>
        <w:rPr>
          <w:rStyle w:val="FootnoteReference"/>
        </w:rPr>
        <w:footnoteRef/>
      </w:r>
      <w:r>
        <w:t xml:space="preserve"> Eudralex Vol 3. </w:t>
      </w:r>
      <w:r w:rsidRPr="00CB616B">
        <w:t>3BS1a</w:t>
      </w:r>
      <w:r>
        <w:t xml:space="preserve"> Single Dose Toxicity</w:t>
      </w:r>
    </w:p>
  </w:footnote>
  <w:footnote w:id="3">
    <w:p w:rsidR="00595256" w:rsidRDefault="00595256">
      <w:pPr>
        <w:pStyle w:val="FootnoteText"/>
      </w:pPr>
      <w:r>
        <w:rPr>
          <w:rStyle w:val="FootnoteReference"/>
        </w:rPr>
        <w:footnoteRef/>
      </w:r>
      <w:r>
        <w:t xml:space="preserve"> </w:t>
      </w:r>
      <w:r w:rsidRPr="00FE24FA">
        <w:t>ICH S2(R1</w:t>
      </w:r>
      <w:r>
        <w:t>)International Conference on Harmonisation of Technical Requirements for Registration of Pharmaceuticals for Human Use; Guidance on Genotoxicity testing and data interpretation for pharmaceuticals intended for human use S2 (R1).</w:t>
      </w:r>
    </w:p>
  </w:footnote>
  <w:footnote w:id="4">
    <w:p w:rsidR="00595256" w:rsidRDefault="00595256">
      <w:pPr>
        <w:pStyle w:val="FootnoteText"/>
      </w:pPr>
      <w:r>
        <w:rPr>
          <w:rStyle w:val="FootnoteReference"/>
        </w:rPr>
        <w:footnoteRef/>
      </w:r>
      <w:r>
        <w:t xml:space="preserve"> ICH S6(R1)ICH Harmonised tripartite guideline. Preclinical safety evaluation of biotechnology-derived pharmaceuticals S6(R1).</w:t>
      </w:r>
    </w:p>
  </w:footnote>
  <w:footnote w:id="5">
    <w:p w:rsidR="00595256" w:rsidRPr="005A6101" w:rsidRDefault="00595256">
      <w:pPr>
        <w:pStyle w:val="FootnoteText"/>
        <w:rPr>
          <w:i/>
        </w:rPr>
      </w:pPr>
      <w:r>
        <w:rPr>
          <w:rStyle w:val="FootnoteReference"/>
        </w:rPr>
        <w:footnoteRef/>
      </w:r>
      <w:r>
        <w:t xml:space="preserve"> Category C: </w:t>
      </w:r>
      <w:r w:rsidRPr="005A6101">
        <w:rPr>
          <w:i/>
          <w:lang w:val="en"/>
        </w:rPr>
        <w:t>Drugs which, owing to their pharmacological effects, have caused or may be suspected of causing, harmful effects on the human fetus or neonate without causing malformations. These effects may be reversible. Accompanying texts should be consulted for further details.</w:t>
      </w:r>
    </w:p>
  </w:footnote>
  <w:footnote w:id="6">
    <w:p w:rsidR="00595256" w:rsidRPr="005A6101" w:rsidRDefault="00595256">
      <w:pPr>
        <w:pStyle w:val="FootnoteText"/>
        <w:rPr>
          <w:i/>
          <w:lang w:val="en"/>
        </w:rPr>
      </w:pPr>
      <w:r>
        <w:rPr>
          <w:rStyle w:val="FootnoteReference"/>
        </w:rPr>
        <w:footnoteRef/>
      </w:r>
      <w:r>
        <w:t xml:space="preserve"> Category B1: </w:t>
      </w:r>
      <w:r w:rsidRPr="005A6101">
        <w:rPr>
          <w:i/>
          <w:lang w:val="en"/>
        </w:rPr>
        <w:t>Drugs which have been taken by only a limited number of pregnant women and women of childbearing age, without an increase in the frequency of malformation or other direct or indirect harmful effects on the human fetus having been observed. Studies in animals have not shown evidence of an increased occurrence of fetal damage.</w:t>
      </w:r>
    </w:p>
  </w:footnote>
  <w:footnote w:id="7">
    <w:p w:rsidR="00595256" w:rsidRDefault="00595256">
      <w:pPr>
        <w:pStyle w:val="FootnoteText"/>
      </w:pPr>
      <w:r>
        <w:rPr>
          <w:rStyle w:val="FootnoteReference"/>
        </w:rPr>
        <w:footnoteRef/>
      </w:r>
      <w:r>
        <w:t xml:space="preserve"> Identifying information redacted</w:t>
      </w:r>
    </w:p>
  </w:footnote>
  <w:footnote w:id="8">
    <w:p w:rsidR="00595256" w:rsidRDefault="00595256">
      <w:pPr>
        <w:pStyle w:val="FootnoteText"/>
      </w:pPr>
      <w:r>
        <w:rPr>
          <w:rStyle w:val="FootnoteReference"/>
        </w:rPr>
        <w:footnoteRef/>
      </w:r>
      <w:r>
        <w:t xml:space="preserve"> Interquartile range, that is, values from 25</w:t>
      </w:r>
      <w:r w:rsidRPr="00003EC2">
        <w:rPr>
          <w:vertAlign w:val="superscript"/>
        </w:rPr>
        <w:t>th</w:t>
      </w:r>
      <w:r>
        <w:t xml:space="preserve"> to 75</w:t>
      </w:r>
      <w:r w:rsidRPr="00003EC2">
        <w:rPr>
          <w:vertAlign w:val="superscript"/>
        </w:rPr>
        <w:t>th</w:t>
      </w:r>
      <w:r>
        <w:t xml:space="preserve"> percentile.</w:t>
      </w:r>
    </w:p>
  </w:footnote>
  <w:footnote w:id="9">
    <w:p w:rsidR="00595256" w:rsidRDefault="00595256">
      <w:pPr>
        <w:pStyle w:val="FootnoteText"/>
      </w:pPr>
      <w:r>
        <w:rPr>
          <w:rStyle w:val="FootnoteReference"/>
        </w:rPr>
        <w:footnoteRef/>
      </w:r>
      <w:r>
        <w:t xml:space="preserve"> &lt;</w:t>
      </w:r>
      <w:hyperlink r:id="rId1" w:history="1">
        <w:r w:rsidRPr="00595256">
          <w:rPr>
            <w:rStyle w:val="Hyperlink"/>
          </w:rPr>
          <w:t>http://www.ojrd.com/content/7/1/32</w:t>
        </w:r>
      </w:hyperlink>
      <w:r>
        <w:t>&gt;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256" w:rsidRDefault="00595256"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256" w:rsidRDefault="00595256">
    <w:pPr>
      <w:rPr>
        <w:noProof/>
        <w:lang w:eastAsia="en-AU"/>
      </w:rPr>
    </w:pPr>
    <w:r w:rsidRPr="00347824">
      <w:rPr>
        <w:noProof/>
        <w:lang w:eastAsia="en-AU"/>
      </w:rPr>
      <w:drawing>
        <wp:anchor distT="0" distB="0" distL="114300" distR="114300" simplePos="0" relativeHeight="251659264" behindDoc="1" locked="0" layoutInCell="1" allowOverlap="1" wp14:anchorId="0DF77191" wp14:editId="68CC9094">
          <wp:simplePos x="0" y="0"/>
          <wp:positionH relativeFrom="column">
            <wp:posOffset>-1096038</wp:posOffset>
          </wp:positionH>
          <wp:positionV relativeFrom="paragraph">
            <wp:posOffset>-583896</wp:posOffset>
          </wp:positionV>
          <wp:extent cx="7577593" cy="10702455"/>
          <wp:effectExtent l="0" t="0" r="4445" b="3810"/>
          <wp:wrapNone/>
          <wp:docPr id="10"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80174" cy="10706100"/>
                  </a:xfrm>
                  <a:prstGeom prst="rect">
                    <a:avLst/>
                  </a:prstGeom>
                </pic:spPr>
              </pic:pic>
            </a:graphicData>
          </a:graphic>
          <wp14:sizeRelH relativeFrom="margin">
            <wp14:pctWidth>0</wp14:pctWidth>
          </wp14:sizeRelH>
        </wp:anchor>
      </w:drawing>
    </w:r>
  </w:p>
  <w:p w:rsidR="00595256" w:rsidRDefault="00595256" w:rsidP="00593AD1">
    <w:pPr>
      <w:pStyle w:val="HeaderNoLine"/>
    </w:pPr>
    <w:r>
      <w:rPr>
        <w:noProof/>
        <w:lang w:eastAsia="en-AU"/>
      </w:rPr>
      <w:drawing>
        <wp:inline distT="0" distB="0" distL="0" distR="0" wp14:anchorId="0AD373DB" wp14:editId="6D105639">
          <wp:extent cx="5400675" cy="7639050"/>
          <wp:effectExtent l="0" t="0" r="9525" b="0"/>
          <wp:docPr id="11" name="Picture 1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256" w:rsidRDefault="0059525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256" w:rsidRDefault="00595256">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256" w:rsidRDefault="00595256">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256" w:rsidRDefault="0059525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256" w:rsidRDefault="00595256"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256" w:rsidRDefault="00595256" w:rsidP="006E08B3">
    <w:r>
      <w:t>Therapeutic Goods Administration</w:t>
    </w:r>
  </w:p>
  <w:p w:rsidR="00595256" w:rsidRDefault="00595256"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457D24"/>
    <w:multiLevelType w:val="hybridMultilevel"/>
    <w:tmpl w:val="3EC6B8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nsid w:val="15273BC7"/>
    <w:multiLevelType w:val="hybridMultilevel"/>
    <w:tmpl w:val="54941140"/>
    <w:lvl w:ilvl="0" w:tplc="0C09000F">
      <w:start w:val="1"/>
      <w:numFmt w:val="decimal"/>
      <w:lvlText w:val="%1."/>
      <w:lvlJc w:val="left"/>
      <w:pPr>
        <w:ind w:left="2422" w:hanging="360"/>
      </w:pPr>
    </w:lvl>
    <w:lvl w:ilvl="1" w:tplc="0C090019" w:tentative="1">
      <w:start w:val="1"/>
      <w:numFmt w:val="lowerLetter"/>
      <w:lvlText w:val="%2."/>
      <w:lvlJc w:val="left"/>
      <w:pPr>
        <w:ind w:left="3142" w:hanging="360"/>
      </w:pPr>
    </w:lvl>
    <w:lvl w:ilvl="2" w:tplc="0C09001B" w:tentative="1">
      <w:start w:val="1"/>
      <w:numFmt w:val="lowerRoman"/>
      <w:lvlText w:val="%3."/>
      <w:lvlJc w:val="right"/>
      <w:pPr>
        <w:ind w:left="3862" w:hanging="180"/>
      </w:pPr>
    </w:lvl>
    <w:lvl w:ilvl="3" w:tplc="0C09000F" w:tentative="1">
      <w:start w:val="1"/>
      <w:numFmt w:val="decimal"/>
      <w:lvlText w:val="%4."/>
      <w:lvlJc w:val="left"/>
      <w:pPr>
        <w:ind w:left="4582" w:hanging="360"/>
      </w:pPr>
    </w:lvl>
    <w:lvl w:ilvl="4" w:tplc="0C090019" w:tentative="1">
      <w:start w:val="1"/>
      <w:numFmt w:val="lowerLetter"/>
      <w:lvlText w:val="%5."/>
      <w:lvlJc w:val="left"/>
      <w:pPr>
        <w:ind w:left="5302" w:hanging="360"/>
      </w:pPr>
    </w:lvl>
    <w:lvl w:ilvl="5" w:tplc="0C09001B" w:tentative="1">
      <w:start w:val="1"/>
      <w:numFmt w:val="lowerRoman"/>
      <w:lvlText w:val="%6."/>
      <w:lvlJc w:val="right"/>
      <w:pPr>
        <w:ind w:left="6022" w:hanging="180"/>
      </w:pPr>
    </w:lvl>
    <w:lvl w:ilvl="6" w:tplc="0C09000F" w:tentative="1">
      <w:start w:val="1"/>
      <w:numFmt w:val="decimal"/>
      <w:lvlText w:val="%7."/>
      <w:lvlJc w:val="left"/>
      <w:pPr>
        <w:ind w:left="6742" w:hanging="360"/>
      </w:pPr>
    </w:lvl>
    <w:lvl w:ilvl="7" w:tplc="0C090019" w:tentative="1">
      <w:start w:val="1"/>
      <w:numFmt w:val="lowerLetter"/>
      <w:lvlText w:val="%8."/>
      <w:lvlJc w:val="left"/>
      <w:pPr>
        <w:ind w:left="7462" w:hanging="360"/>
      </w:pPr>
    </w:lvl>
    <w:lvl w:ilvl="8" w:tplc="0C09001B" w:tentative="1">
      <w:start w:val="1"/>
      <w:numFmt w:val="lowerRoman"/>
      <w:lvlText w:val="%9."/>
      <w:lvlJc w:val="right"/>
      <w:pPr>
        <w:ind w:left="8182" w:hanging="180"/>
      </w:pPr>
    </w:lvl>
  </w:abstractNum>
  <w:abstractNum w:abstractNumId="3">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nsid w:val="20EC358A"/>
    <w:multiLevelType w:val="multilevel"/>
    <w:tmpl w:val="55B42AB2"/>
    <w:lvl w:ilvl="0">
      <w:start w:val="1"/>
      <w:numFmt w:val="decimal"/>
      <w:lvlText w:val="%1."/>
      <w:lvlJc w:val="left"/>
      <w:pPr>
        <w:ind w:left="425" w:hanging="425"/>
      </w:pPr>
      <w:rPr>
        <w:rFonts w:hint="default"/>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2D0B360B"/>
    <w:multiLevelType w:val="hybridMultilevel"/>
    <w:tmpl w:val="722A45FA"/>
    <w:lvl w:ilvl="0" w:tplc="B470D99A">
      <w:numFmt w:val="bullet"/>
      <w:lvlText w:val="•"/>
      <w:lvlJc w:val="left"/>
      <w:pPr>
        <w:ind w:left="720" w:hanging="360"/>
      </w:pPr>
      <w:rPr>
        <w:rFonts w:ascii="Cambria" w:eastAsia="MS Mincho" w:hAnsi="Cambri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7">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8">
    <w:nsid w:val="3B3060A3"/>
    <w:multiLevelType w:val="hybridMultilevel"/>
    <w:tmpl w:val="02D046A0"/>
    <w:styleLink w:val="ListBullets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4EAE2646"/>
    <w:multiLevelType w:val="hybridMultilevel"/>
    <w:tmpl w:val="C0D67A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70827DA1"/>
    <w:multiLevelType w:val="hybridMultilevel"/>
    <w:tmpl w:val="D44AB4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062" w:hanging="360"/>
      </w:pPr>
      <w:rPr>
        <w:rFonts w:ascii="Symbol" w:hAnsi="Symbol" w:hint="default"/>
      </w:rPr>
    </w:lvl>
    <w:lvl w:ilvl="3" w:tplc="EA042BF4">
      <w:start w:val="2"/>
      <w:numFmt w:val="bullet"/>
      <w:lvlText w:val="•"/>
      <w:lvlJc w:val="left"/>
      <w:pPr>
        <w:ind w:left="2880" w:hanging="360"/>
      </w:pPr>
      <w:rPr>
        <w:rFonts w:ascii="Cambria" w:eastAsia="MS Mincho" w:hAnsi="Cambria" w:cs="Calibri"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72EA4E81"/>
    <w:multiLevelType w:val="hybridMultilevel"/>
    <w:tmpl w:val="06E252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3"/>
  </w:num>
  <w:num w:numId="4">
    <w:abstractNumId w:val="1"/>
  </w:num>
  <w:num w:numId="5">
    <w:abstractNumId w:val="6"/>
  </w:num>
  <w:num w:numId="6">
    <w:abstractNumId w:val="7"/>
  </w:num>
  <w:num w:numId="7">
    <w:abstractNumId w:val="9"/>
  </w:num>
  <w:num w:numId="8">
    <w:abstractNumId w:val="8"/>
  </w:num>
  <w:num w:numId="9">
    <w:abstractNumId w:val="5"/>
  </w:num>
  <w:num w:numId="10">
    <w:abstractNumId w:val="10"/>
  </w:num>
  <w:num w:numId="11">
    <w:abstractNumId w:val="2"/>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11"/>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269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35BC"/>
    <w:rsid w:val="00002031"/>
    <w:rsid w:val="00003EC2"/>
    <w:rsid w:val="00004734"/>
    <w:rsid w:val="00006B22"/>
    <w:rsid w:val="000101CA"/>
    <w:rsid w:val="00010679"/>
    <w:rsid w:val="0001276A"/>
    <w:rsid w:val="00014A6C"/>
    <w:rsid w:val="000246AE"/>
    <w:rsid w:val="00025335"/>
    <w:rsid w:val="00025C67"/>
    <w:rsid w:val="00032556"/>
    <w:rsid w:val="000335BC"/>
    <w:rsid w:val="00037CC2"/>
    <w:rsid w:val="00041D6B"/>
    <w:rsid w:val="0004205F"/>
    <w:rsid w:val="00042857"/>
    <w:rsid w:val="00044772"/>
    <w:rsid w:val="0005559E"/>
    <w:rsid w:val="00055761"/>
    <w:rsid w:val="000604D6"/>
    <w:rsid w:val="00062B69"/>
    <w:rsid w:val="00066F36"/>
    <w:rsid w:val="000734D8"/>
    <w:rsid w:val="00077775"/>
    <w:rsid w:val="00090471"/>
    <w:rsid w:val="00092147"/>
    <w:rsid w:val="0009376D"/>
    <w:rsid w:val="00096AA7"/>
    <w:rsid w:val="000A3AED"/>
    <w:rsid w:val="000B3532"/>
    <w:rsid w:val="000B37F1"/>
    <w:rsid w:val="000B3A75"/>
    <w:rsid w:val="000B40CD"/>
    <w:rsid w:val="000B7AC1"/>
    <w:rsid w:val="000C00C2"/>
    <w:rsid w:val="000C690F"/>
    <w:rsid w:val="000C6E71"/>
    <w:rsid w:val="000D1295"/>
    <w:rsid w:val="000D391B"/>
    <w:rsid w:val="000D3D6D"/>
    <w:rsid w:val="000D4FC7"/>
    <w:rsid w:val="000E3B21"/>
    <w:rsid w:val="000E6196"/>
    <w:rsid w:val="000E7C52"/>
    <w:rsid w:val="000F1652"/>
    <w:rsid w:val="000F4869"/>
    <w:rsid w:val="000F5B42"/>
    <w:rsid w:val="000F6E6F"/>
    <w:rsid w:val="0010601F"/>
    <w:rsid w:val="0010788A"/>
    <w:rsid w:val="00107A31"/>
    <w:rsid w:val="00110EA5"/>
    <w:rsid w:val="00112F56"/>
    <w:rsid w:val="0011422C"/>
    <w:rsid w:val="00122F35"/>
    <w:rsid w:val="00125318"/>
    <w:rsid w:val="001305A2"/>
    <w:rsid w:val="00133238"/>
    <w:rsid w:val="00134631"/>
    <w:rsid w:val="0014197B"/>
    <w:rsid w:val="00141D96"/>
    <w:rsid w:val="001447CD"/>
    <w:rsid w:val="001516B1"/>
    <w:rsid w:val="00152579"/>
    <w:rsid w:val="00154EBB"/>
    <w:rsid w:val="00156316"/>
    <w:rsid w:val="001601B5"/>
    <w:rsid w:val="00162D14"/>
    <w:rsid w:val="00165389"/>
    <w:rsid w:val="001720CA"/>
    <w:rsid w:val="0017693F"/>
    <w:rsid w:val="0018110E"/>
    <w:rsid w:val="00181684"/>
    <w:rsid w:val="001843C6"/>
    <w:rsid w:val="001850E0"/>
    <w:rsid w:val="001A2158"/>
    <w:rsid w:val="001A297B"/>
    <w:rsid w:val="001A29EF"/>
    <w:rsid w:val="001A4C40"/>
    <w:rsid w:val="001A525F"/>
    <w:rsid w:val="001A5B65"/>
    <w:rsid w:val="001A71E6"/>
    <w:rsid w:val="001B09F9"/>
    <w:rsid w:val="001B4B75"/>
    <w:rsid w:val="001B5C90"/>
    <w:rsid w:val="001B6448"/>
    <w:rsid w:val="001C32CD"/>
    <w:rsid w:val="001D1A0E"/>
    <w:rsid w:val="001D2984"/>
    <w:rsid w:val="001E07CF"/>
    <w:rsid w:val="001E2724"/>
    <w:rsid w:val="001E59F1"/>
    <w:rsid w:val="001F3002"/>
    <w:rsid w:val="001F49EB"/>
    <w:rsid w:val="001F6CBA"/>
    <w:rsid w:val="001F6ECA"/>
    <w:rsid w:val="0020078F"/>
    <w:rsid w:val="00201D4E"/>
    <w:rsid w:val="002052A7"/>
    <w:rsid w:val="002076C9"/>
    <w:rsid w:val="00207AC7"/>
    <w:rsid w:val="00213904"/>
    <w:rsid w:val="00217F53"/>
    <w:rsid w:val="00220B8A"/>
    <w:rsid w:val="002257F3"/>
    <w:rsid w:val="00233456"/>
    <w:rsid w:val="002339A5"/>
    <w:rsid w:val="00257848"/>
    <w:rsid w:val="0026229A"/>
    <w:rsid w:val="0027084A"/>
    <w:rsid w:val="0027483E"/>
    <w:rsid w:val="0027557F"/>
    <w:rsid w:val="00281140"/>
    <w:rsid w:val="002838BB"/>
    <w:rsid w:val="002839D1"/>
    <w:rsid w:val="00286434"/>
    <w:rsid w:val="00286C59"/>
    <w:rsid w:val="00286D80"/>
    <w:rsid w:val="00291957"/>
    <w:rsid w:val="002942D1"/>
    <w:rsid w:val="0029501A"/>
    <w:rsid w:val="002A0345"/>
    <w:rsid w:val="002A3721"/>
    <w:rsid w:val="002A564D"/>
    <w:rsid w:val="002B1638"/>
    <w:rsid w:val="002B3624"/>
    <w:rsid w:val="002D5FBA"/>
    <w:rsid w:val="002D6A00"/>
    <w:rsid w:val="002E40B3"/>
    <w:rsid w:val="002E4C9A"/>
    <w:rsid w:val="002F11F8"/>
    <w:rsid w:val="002F3F56"/>
    <w:rsid w:val="002F44B5"/>
    <w:rsid w:val="002F45EE"/>
    <w:rsid w:val="002F6179"/>
    <w:rsid w:val="002F7F24"/>
    <w:rsid w:val="00307144"/>
    <w:rsid w:val="00311AC0"/>
    <w:rsid w:val="00314D0E"/>
    <w:rsid w:val="00320FD1"/>
    <w:rsid w:val="00322DA1"/>
    <w:rsid w:val="0032583B"/>
    <w:rsid w:val="00327883"/>
    <w:rsid w:val="00335504"/>
    <w:rsid w:val="00335BD2"/>
    <w:rsid w:val="003456BF"/>
    <w:rsid w:val="00347824"/>
    <w:rsid w:val="00350567"/>
    <w:rsid w:val="003521E8"/>
    <w:rsid w:val="00364026"/>
    <w:rsid w:val="003662EA"/>
    <w:rsid w:val="003728F3"/>
    <w:rsid w:val="0037496E"/>
    <w:rsid w:val="003821E3"/>
    <w:rsid w:val="00383221"/>
    <w:rsid w:val="00386150"/>
    <w:rsid w:val="003874CE"/>
    <w:rsid w:val="00390900"/>
    <w:rsid w:val="003A3B87"/>
    <w:rsid w:val="003A581C"/>
    <w:rsid w:val="003A7F6C"/>
    <w:rsid w:val="003B38B5"/>
    <w:rsid w:val="003B4D60"/>
    <w:rsid w:val="003B6C10"/>
    <w:rsid w:val="003B7E39"/>
    <w:rsid w:val="003C58DC"/>
    <w:rsid w:val="003D1E62"/>
    <w:rsid w:val="003D4E34"/>
    <w:rsid w:val="003D4FBD"/>
    <w:rsid w:val="003D6989"/>
    <w:rsid w:val="003D7431"/>
    <w:rsid w:val="003E0B99"/>
    <w:rsid w:val="003E2486"/>
    <w:rsid w:val="003E28B6"/>
    <w:rsid w:val="003E3208"/>
    <w:rsid w:val="003F0B04"/>
    <w:rsid w:val="003F2504"/>
    <w:rsid w:val="003F51B3"/>
    <w:rsid w:val="00400430"/>
    <w:rsid w:val="0040134E"/>
    <w:rsid w:val="00416A5F"/>
    <w:rsid w:val="00417F51"/>
    <w:rsid w:val="00424CFD"/>
    <w:rsid w:val="00432DC0"/>
    <w:rsid w:val="004334C7"/>
    <w:rsid w:val="00440A2D"/>
    <w:rsid w:val="0044219F"/>
    <w:rsid w:val="004564A7"/>
    <w:rsid w:val="004617BF"/>
    <w:rsid w:val="00463658"/>
    <w:rsid w:val="004637A0"/>
    <w:rsid w:val="004722CC"/>
    <w:rsid w:val="0047598F"/>
    <w:rsid w:val="00475F94"/>
    <w:rsid w:val="00490B93"/>
    <w:rsid w:val="004936E4"/>
    <w:rsid w:val="00494E60"/>
    <w:rsid w:val="00495C09"/>
    <w:rsid w:val="00497487"/>
    <w:rsid w:val="004A7390"/>
    <w:rsid w:val="004B2E36"/>
    <w:rsid w:val="004B7B76"/>
    <w:rsid w:val="004C239D"/>
    <w:rsid w:val="004C2DCA"/>
    <w:rsid w:val="004C61D2"/>
    <w:rsid w:val="004C70DF"/>
    <w:rsid w:val="004E5E68"/>
    <w:rsid w:val="004F0C4A"/>
    <w:rsid w:val="004F0F38"/>
    <w:rsid w:val="004F47D6"/>
    <w:rsid w:val="004F6989"/>
    <w:rsid w:val="005007B8"/>
    <w:rsid w:val="0050116C"/>
    <w:rsid w:val="00501921"/>
    <w:rsid w:val="00522CC7"/>
    <w:rsid w:val="005262B7"/>
    <w:rsid w:val="00530354"/>
    <w:rsid w:val="005328B1"/>
    <w:rsid w:val="0053625B"/>
    <w:rsid w:val="00537B70"/>
    <w:rsid w:val="00541EE9"/>
    <w:rsid w:val="005434C6"/>
    <w:rsid w:val="00543B39"/>
    <w:rsid w:val="00546154"/>
    <w:rsid w:val="00550096"/>
    <w:rsid w:val="00551032"/>
    <w:rsid w:val="00555280"/>
    <w:rsid w:val="00557FF9"/>
    <w:rsid w:val="005704FC"/>
    <w:rsid w:val="005711D5"/>
    <w:rsid w:val="00576378"/>
    <w:rsid w:val="00577130"/>
    <w:rsid w:val="00577945"/>
    <w:rsid w:val="00577E38"/>
    <w:rsid w:val="0058111F"/>
    <w:rsid w:val="00582427"/>
    <w:rsid w:val="00585322"/>
    <w:rsid w:val="005857C6"/>
    <w:rsid w:val="00592F6E"/>
    <w:rsid w:val="00593AD1"/>
    <w:rsid w:val="00595256"/>
    <w:rsid w:val="00595D7B"/>
    <w:rsid w:val="005A6101"/>
    <w:rsid w:val="005A68B6"/>
    <w:rsid w:val="005C5570"/>
    <w:rsid w:val="005C720E"/>
    <w:rsid w:val="005C7499"/>
    <w:rsid w:val="005C79A4"/>
    <w:rsid w:val="005D5442"/>
    <w:rsid w:val="005E3540"/>
    <w:rsid w:val="005F29AE"/>
    <w:rsid w:val="00603F32"/>
    <w:rsid w:val="00605AD4"/>
    <w:rsid w:val="0061028C"/>
    <w:rsid w:val="00620285"/>
    <w:rsid w:val="00625A6E"/>
    <w:rsid w:val="00632398"/>
    <w:rsid w:val="00640FC3"/>
    <w:rsid w:val="00642020"/>
    <w:rsid w:val="0065337B"/>
    <w:rsid w:val="00653B37"/>
    <w:rsid w:val="0065419D"/>
    <w:rsid w:val="006569A3"/>
    <w:rsid w:val="006604D8"/>
    <w:rsid w:val="00661CDF"/>
    <w:rsid w:val="00664A5B"/>
    <w:rsid w:val="0066735C"/>
    <w:rsid w:val="006763D2"/>
    <w:rsid w:val="00680C08"/>
    <w:rsid w:val="00682827"/>
    <w:rsid w:val="00683E31"/>
    <w:rsid w:val="006931B1"/>
    <w:rsid w:val="00696DFD"/>
    <w:rsid w:val="006A15C0"/>
    <w:rsid w:val="006A3E42"/>
    <w:rsid w:val="006A7EA2"/>
    <w:rsid w:val="006B4F59"/>
    <w:rsid w:val="006C3E2A"/>
    <w:rsid w:val="006C642F"/>
    <w:rsid w:val="006D03E5"/>
    <w:rsid w:val="006D5D3E"/>
    <w:rsid w:val="006E08B3"/>
    <w:rsid w:val="006E2195"/>
    <w:rsid w:val="006E4E7F"/>
    <w:rsid w:val="006F17AC"/>
    <w:rsid w:val="006F25B8"/>
    <w:rsid w:val="006F3483"/>
    <w:rsid w:val="006F572E"/>
    <w:rsid w:val="007046D6"/>
    <w:rsid w:val="00705DB0"/>
    <w:rsid w:val="00707BF9"/>
    <w:rsid w:val="00722B57"/>
    <w:rsid w:val="00727A5A"/>
    <w:rsid w:val="00730F8A"/>
    <w:rsid w:val="00733C25"/>
    <w:rsid w:val="00733DD9"/>
    <w:rsid w:val="00735A8C"/>
    <w:rsid w:val="0074253D"/>
    <w:rsid w:val="0074429B"/>
    <w:rsid w:val="00755627"/>
    <w:rsid w:val="007608B7"/>
    <w:rsid w:val="007615BC"/>
    <w:rsid w:val="00762F05"/>
    <w:rsid w:val="007652FF"/>
    <w:rsid w:val="00770EF1"/>
    <w:rsid w:val="00773EF7"/>
    <w:rsid w:val="00774E1D"/>
    <w:rsid w:val="007765D8"/>
    <w:rsid w:val="0077675A"/>
    <w:rsid w:val="00780355"/>
    <w:rsid w:val="007819FD"/>
    <w:rsid w:val="00785721"/>
    <w:rsid w:val="007921DD"/>
    <w:rsid w:val="00793A59"/>
    <w:rsid w:val="007B6132"/>
    <w:rsid w:val="007B6E9F"/>
    <w:rsid w:val="007C1216"/>
    <w:rsid w:val="007C1AF7"/>
    <w:rsid w:val="007C7BFF"/>
    <w:rsid w:val="007F24B2"/>
    <w:rsid w:val="00805D27"/>
    <w:rsid w:val="00805DA6"/>
    <w:rsid w:val="008178B9"/>
    <w:rsid w:val="00821776"/>
    <w:rsid w:val="00822D83"/>
    <w:rsid w:val="008321F5"/>
    <w:rsid w:val="00832369"/>
    <w:rsid w:val="00834660"/>
    <w:rsid w:val="00836BC2"/>
    <w:rsid w:val="008374BB"/>
    <w:rsid w:val="00840B01"/>
    <w:rsid w:val="0084242A"/>
    <w:rsid w:val="0084284C"/>
    <w:rsid w:val="0084317F"/>
    <w:rsid w:val="0085156D"/>
    <w:rsid w:val="0085637C"/>
    <w:rsid w:val="0085641B"/>
    <w:rsid w:val="00857136"/>
    <w:rsid w:val="00874337"/>
    <w:rsid w:val="00885B11"/>
    <w:rsid w:val="00886D15"/>
    <w:rsid w:val="00887DD8"/>
    <w:rsid w:val="00891BA9"/>
    <w:rsid w:val="00892319"/>
    <w:rsid w:val="00896018"/>
    <w:rsid w:val="008960DD"/>
    <w:rsid w:val="0089635C"/>
    <w:rsid w:val="008A2B9D"/>
    <w:rsid w:val="008A3D9F"/>
    <w:rsid w:val="008A5E0B"/>
    <w:rsid w:val="008A6D59"/>
    <w:rsid w:val="008B1C4F"/>
    <w:rsid w:val="008B24D4"/>
    <w:rsid w:val="008B2B56"/>
    <w:rsid w:val="008B4B03"/>
    <w:rsid w:val="008B596F"/>
    <w:rsid w:val="008C159F"/>
    <w:rsid w:val="008C1623"/>
    <w:rsid w:val="008C1850"/>
    <w:rsid w:val="008C51A9"/>
    <w:rsid w:val="008C5346"/>
    <w:rsid w:val="008D3F75"/>
    <w:rsid w:val="008E7846"/>
    <w:rsid w:val="008F02E5"/>
    <w:rsid w:val="008F1CCC"/>
    <w:rsid w:val="008F2967"/>
    <w:rsid w:val="008F3337"/>
    <w:rsid w:val="008F6943"/>
    <w:rsid w:val="00902A21"/>
    <w:rsid w:val="009111CD"/>
    <w:rsid w:val="00920321"/>
    <w:rsid w:val="00920330"/>
    <w:rsid w:val="009219D7"/>
    <w:rsid w:val="00922653"/>
    <w:rsid w:val="00922D53"/>
    <w:rsid w:val="00923B70"/>
    <w:rsid w:val="00924482"/>
    <w:rsid w:val="00930237"/>
    <w:rsid w:val="00940A89"/>
    <w:rsid w:val="0094317B"/>
    <w:rsid w:val="00946EA5"/>
    <w:rsid w:val="00957AA2"/>
    <w:rsid w:val="00961A1D"/>
    <w:rsid w:val="00963C08"/>
    <w:rsid w:val="00964338"/>
    <w:rsid w:val="0098585A"/>
    <w:rsid w:val="00997C5F"/>
    <w:rsid w:val="009A1A60"/>
    <w:rsid w:val="009A4CED"/>
    <w:rsid w:val="009A690D"/>
    <w:rsid w:val="009A73E2"/>
    <w:rsid w:val="009A79D9"/>
    <w:rsid w:val="009B1D12"/>
    <w:rsid w:val="009B416B"/>
    <w:rsid w:val="009C4BD5"/>
    <w:rsid w:val="009D6134"/>
    <w:rsid w:val="009D7B77"/>
    <w:rsid w:val="009D7DEC"/>
    <w:rsid w:val="009E0BB0"/>
    <w:rsid w:val="009E3FBB"/>
    <w:rsid w:val="009F3891"/>
    <w:rsid w:val="009F45C7"/>
    <w:rsid w:val="009F5CFA"/>
    <w:rsid w:val="00A02BAA"/>
    <w:rsid w:val="00A0483F"/>
    <w:rsid w:val="00A04F85"/>
    <w:rsid w:val="00A05FA4"/>
    <w:rsid w:val="00A0699F"/>
    <w:rsid w:val="00A102E4"/>
    <w:rsid w:val="00A12C42"/>
    <w:rsid w:val="00A13DF6"/>
    <w:rsid w:val="00A14DF7"/>
    <w:rsid w:val="00A3246D"/>
    <w:rsid w:val="00A33335"/>
    <w:rsid w:val="00A36FA7"/>
    <w:rsid w:val="00A40310"/>
    <w:rsid w:val="00A41A6F"/>
    <w:rsid w:val="00A44DDB"/>
    <w:rsid w:val="00A475B7"/>
    <w:rsid w:val="00A47AF7"/>
    <w:rsid w:val="00A47C3E"/>
    <w:rsid w:val="00A47C91"/>
    <w:rsid w:val="00A50226"/>
    <w:rsid w:val="00A5090B"/>
    <w:rsid w:val="00A60BAD"/>
    <w:rsid w:val="00A76579"/>
    <w:rsid w:val="00A80B5B"/>
    <w:rsid w:val="00A83086"/>
    <w:rsid w:val="00A84E36"/>
    <w:rsid w:val="00A964D1"/>
    <w:rsid w:val="00AA0ED0"/>
    <w:rsid w:val="00AC2B40"/>
    <w:rsid w:val="00AC2BB2"/>
    <w:rsid w:val="00AC2C3C"/>
    <w:rsid w:val="00AC3B3C"/>
    <w:rsid w:val="00AC512D"/>
    <w:rsid w:val="00AC5810"/>
    <w:rsid w:val="00AD0083"/>
    <w:rsid w:val="00AD1728"/>
    <w:rsid w:val="00AD2505"/>
    <w:rsid w:val="00AD3935"/>
    <w:rsid w:val="00AE65EB"/>
    <w:rsid w:val="00AE67A7"/>
    <w:rsid w:val="00AF1D94"/>
    <w:rsid w:val="00AF4B17"/>
    <w:rsid w:val="00AF60C5"/>
    <w:rsid w:val="00B009C6"/>
    <w:rsid w:val="00B01548"/>
    <w:rsid w:val="00B02ACC"/>
    <w:rsid w:val="00B1067C"/>
    <w:rsid w:val="00B13EBD"/>
    <w:rsid w:val="00B14662"/>
    <w:rsid w:val="00B21D29"/>
    <w:rsid w:val="00B25034"/>
    <w:rsid w:val="00B2550D"/>
    <w:rsid w:val="00B33588"/>
    <w:rsid w:val="00B33863"/>
    <w:rsid w:val="00B3520C"/>
    <w:rsid w:val="00B35BD8"/>
    <w:rsid w:val="00B37D17"/>
    <w:rsid w:val="00B4175E"/>
    <w:rsid w:val="00B452CE"/>
    <w:rsid w:val="00B53EB3"/>
    <w:rsid w:val="00B54C25"/>
    <w:rsid w:val="00B5605D"/>
    <w:rsid w:val="00B621A4"/>
    <w:rsid w:val="00B727B7"/>
    <w:rsid w:val="00B76B91"/>
    <w:rsid w:val="00B77EB1"/>
    <w:rsid w:val="00B804E8"/>
    <w:rsid w:val="00B811C6"/>
    <w:rsid w:val="00B82658"/>
    <w:rsid w:val="00B855B0"/>
    <w:rsid w:val="00B860C1"/>
    <w:rsid w:val="00B92E08"/>
    <w:rsid w:val="00BA315F"/>
    <w:rsid w:val="00BC0A9A"/>
    <w:rsid w:val="00BC2B56"/>
    <w:rsid w:val="00BC5401"/>
    <w:rsid w:val="00BC59C7"/>
    <w:rsid w:val="00BC622A"/>
    <w:rsid w:val="00BE0A78"/>
    <w:rsid w:val="00BE35D1"/>
    <w:rsid w:val="00BE7865"/>
    <w:rsid w:val="00BE79F0"/>
    <w:rsid w:val="00BF03CC"/>
    <w:rsid w:val="00BF046D"/>
    <w:rsid w:val="00BF1190"/>
    <w:rsid w:val="00BF120B"/>
    <w:rsid w:val="00BF3937"/>
    <w:rsid w:val="00BF4A86"/>
    <w:rsid w:val="00BF5D04"/>
    <w:rsid w:val="00C1164D"/>
    <w:rsid w:val="00C14E71"/>
    <w:rsid w:val="00C16861"/>
    <w:rsid w:val="00C2358E"/>
    <w:rsid w:val="00C346AB"/>
    <w:rsid w:val="00C36EA6"/>
    <w:rsid w:val="00C404A6"/>
    <w:rsid w:val="00C40A36"/>
    <w:rsid w:val="00C4251E"/>
    <w:rsid w:val="00C44419"/>
    <w:rsid w:val="00C45E7B"/>
    <w:rsid w:val="00C471B1"/>
    <w:rsid w:val="00C575A7"/>
    <w:rsid w:val="00C6316B"/>
    <w:rsid w:val="00C634A9"/>
    <w:rsid w:val="00C64586"/>
    <w:rsid w:val="00C70D53"/>
    <w:rsid w:val="00C71B47"/>
    <w:rsid w:val="00C73D0B"/>
    <w:rsid w:val="00C74153"/>
    <w:rsid w:val="00C772FF"/>
    <w:rsid w:val="00C80137"/>
    <w:rsid w:val="00C801AF"/>
    <w:rsid w:val="00C80256"/>
    <w:rsid w:val="00C91C0C"/>
    <w:rsid w:val="00C9743B"/>
    <w:rsid w:val="00C9747E"/>
    <w:rsid w:val="00CB06A9"/>
    <w:rsid w:val="00CB616B"/>
    <w:rsid w:val="00CB6BC0"/>
    <w:rsid w:val="00CC1B7C"/>
    <w:rsid w:val="00CC36BD"/>
    <w:rsid w:val="00CC727F"/>
    <w:rsid w:val="00CD601D"/>
    <w:rsid w:val="00CE04D1"/>
    <w:rsid w:val="00CE2C0C"/>
    <w:rsid w:val="00CE6B67"/>
    <w:rsid w:val="00CF15C3"/>
    <w:rsid w:val="00CF24E1"/>
    <w:rsid w:val="00CF2B6F"/>
    <w:rsid w:val="00CF2F3E"/>
    <w:rsid w:val="00CF4ABA"/>
    <w:rsid w:val="00CF58B6"/>
    <w:rsid w:val="00D0062D"/>
    <w:rsid w:val="00D017ED"/>
    <w:rsid w:val="00D040D3"/>
    <w:rsid w:val="00D04176"/>
    <w:rsid w:val="00D04C65"/>
    <w:rsid w:val="00D1023B"/>
    <w:rsid w:val="00D201D2"/>
    <w:rsid w:val="00D224FE"/>
    <w:rsid w:val="00D23139"/>
    <w:rsid w:val="00D311F3"/>
    <w:rsid w:val="00D40F97"/>
    <w:rsid w:val="00D425BB"/>
    <w:rsid w:val="00D552BF"/>
    <w:rsid w:val="00D6493E"/>
    <w:rsid w:val="00D7195D"/>
    <w:rsid w:val="00D7301E"/>
    <w:rsid w:val="00D7554B"/>
    <w:rsid w:val="00D8329F"/>
    <w:rsid w:val="00D83AE1"/>
    <w:rsid w:val="00D855D4"/>
    <w:rsid w:val="00D923AA"/>
    <w:rsid w:val="00D93466"/>
    <w:rsid w:val="00D96836"/>
    <w:rsid w:val="00DA1124"/>
    <w:rsid w:val="00DB0CFB"/>
    <w:rsid w:val="00DB1BE6"/>
    <w:rsid w:val="00DB6124"/>
    <w:rsid w:val="00DB6BA7"/>
    <w:rsid w:val="00DB750B"/>
    <w:rsid w:val="00DB75B7"/>
    <w:rsid w:val="00DC6E02"/>
    <w:rsid w:val="00DE02AE"/>
    <w:rsid w:val="00DF1D7F"/>
    <w:rsid w:val="00DF4BE4"/>
    <w:rsid w:val="00E02FB4"/>
    <w:rsid w:val="00E10889"/>
    <w:rsid w:val="00E1362D"/>
    <w:rsid w:val="00E13FC7"/>
    <w:rsid w:val="00E14D65"/>
    <w:rsid w:val="00E17098"/>
    <w:rsid w:val="00E20571"/>
    <w:rsid w:val="00E235F7"/>
    <w:rsid w:val="00E23659"/>
    <w:rsid w:val="00E239D4"/>
    <w:rsid w:val="00E26130"/>
    <w:rsid w:val="00E3082B"/>
    <w:rsid w:val="00E33FFC"/>
    <w:rsid w:val="00E40B22"/>
    <w:rsid w:val="00E43465"/>
    <w:rsid w:val="00E44ED1"/>
    <w:rsid w:val="00E45619"/>
    <w:rsid w:val="00E4588F"/>
    <w:rsid w:val="00E46DA3"/>
    <w:rsid w:val="00E51BB1"/>
    <w:rsid w:val="00E56774"/>
    <w:rsid w:val="00E624A5"/>
    <w:rsid w:val="00E64BA4"/>
    <w:rsid w:val="00E70F1E"/>
    <w:rsid w:val="00E7344E"/>
    <w:rsid w:val="00E86F0C"/>
    <w:rsid w:val="00E916F1"/>
    <w:rsid w:val="00EA0954"/>
    <w:rsid w:val="00EA5F49"/>
    <w:rsid w:val="00EB0798"/>
    <w:rsid w:val="00EB40AD"/>
    <w:rsid w:val="00EB586E"/>
    <w:rsid w:val="00EB5FC8"/>
    <w:rsid w:val="00EC7A85"/>
    <w:rsid w:val="00ED3CAD"/>
    <w:rsid w:val="00ED405E"/>
    <w:rsid w:val="00ED5A41"/>
    <w:rsid w:val="00ED7AA9"/>
    <w:rsid w:val="00EE1DE8"/>
    <w:rsid w:val="00EE4F74"/>
    <w:rsid w:val="00EE6338"/>
    <w:rsid w:val="00EF3FFA"/>
    <w:rsid w:val="00F033EC"/>
    <w:rsid w:val="00F04F68"/>
    <w:rsid w:val="00F05048"/>
    <w:rsid w:val="00F12670"/>
    <w:rsid w:val="00F14B27"/>
    <w:rsid w:val="00F3148D"/>
    <w:rsid w:val="00F325C5"/>
    <w:rsid w:val="00F32FE0"/>
    <w:rsid w:val="00F35298"/>
    <w:rsid w:val="00F41987"/>
    <w:rsid w:val="00F43D50"/>
    <w:rsid w:val="00F47333"/>
    <w:rsid w:val="00F47E37"/>
    <w:rsid w:val="00F53C07"/>
    <w:rsid w:val="00F54B65"/>
    <w:rsid w:val="00F562C4"/>
    <w:rsid w:val="00F56776"/>
    <w:rsid w:val="00F6219C"/>
    <w:rsid w:val="00F640B6"/>
    <w:rsid w:val="00F668CC"/>
    <w:rsid w:val="00F75535"/>
    <w:rsid w:val="00F80E40"/>
    <w:rsid w:val="00F848D9"/>
    <w:rsid w:val="00F87F3D"/>
    <w:rsid w:val="00F93145"/>
    <w:rsid w:val="00FA0223"/>
    <w:rsid w:val="00FA4801"/>
    <w:rsid w:val="00FA5B82"/>
    <w:rsid w:val="00FA639E"/>
    <w:rsid w:val="00FB43DD"/>
    <w:rsid w:val="00FB79E9"/>
    <w:rsid w:val="00FC25E4"/>
    <w:rsid w:val="00FC29E3"/>
    <w:rsid w:val="00FC4EF7"/>
    <w:rsid w:val="00FC6203"/>
    <w:rsid w:val="00FD0824"/>
    <w:rsid w:val="00FD114B"/>
    <w:rsid w:val="00FD119B"/>
    <w:rsid w:val="00FD12F2"/>
    <w:rsid w:val="00FD1EDC"/>
    <w:rsid w:val="00FD4624"/>
    <w:rsid w:val="00FE1DEE"/>
    <w:rsid w:val="00FE24FA"/>
    <w:rsid w:val="00FE29A5"/>
    <w:rsid w:val="00FE502E"/>
    <w:rsid w:val="00FF2126"/>
    <w:rsid w:val="00FF5755"/>
    <w:rsid w:val="00FF69BE"/>
    <w:rsid w:val="00FF7B93"/>
    <w:rsid w:val="00FF7F75"/>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69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0" w:unhideWhenUsed="0" w:qFormat="1"/>
    <w:lsdException w:name="footnote reference"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3A3B87"/>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qFormat/>
    <w:rsid w:val="00AD0083"/>
    <w:pPr>
      <w:keepNext/>
      <w:spacing w:after="60" w:line="180" w:lineRule="atLeast"/>
      <w:outlineLvl w:val="6"/>
    </w:pPr>
    <w:rPr>
      <w:rFonts w:eastAsia="Times New Roman"/>
      <w:bCs/>
      <w:sz w:val="18"/>
      <w:szCs w:val="24"/>
    </w:rPr>
  </w:style>
  <w:style w:type="paragraph" w:styleId="Heading8">
    <w:name w:val="heading 8"/>
    <w:basedOn w:val="Normal"/>
    <w:next w:val="Normal"/>
    <w:link w:val="Heading8Char"/>
    <w:autoRedefine/>
    <w:qFormat/>
    <w:rsid w:val="00AD2505"/>
    <w:pPr>
      <w:keepNext/>
      <w:tabs>
        <w:tab w:val="num" w:pos="5760"/>
      </w:tabs>
      <w:spacing w:before="0" w:line="240" w:lineRule="auto"/>
      <w:ind w:left="5760" w:hanging="360"/>
      <w:outlineLvl w:val="7"/>
    </w:pPr>
    <w:rPr>
      <w:rFonts w:ascii="Calibri" w:eastAsia="Times New Roman" w:hAnsi="Calibri"/>
      <w:b/>
      <w:iCs/>
      <w:kern w:val="16"/>
      <w:sz w:val="20"/>
      <w:szCs w:val="24"/>
      <w:lang w:eastAsia="ja-JP"/>
    </w:rPr>
  </w:style>
  <w:style w:type="paragraph" w:styleId="Heading9">
    <w:name w:val="heading 9"/>
    <w:basedOn w:val="Normal"/>
    <w:next w:val="Normal"/>
    <w:link w:val="Heading9Char"/>
    <w:unhideWhenUsed/>
    <w:qFormat/>
    <w:rsid w:val="0009376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4"/>
      </w:numPr>
    </w:pPr>
  </w:style>
  <w:style w:type="paragraph" w:customStyle="1" w:styleId="Numberbullet2">
    <w:name w:val="Number bullet 2"/>
    <w:basedOn w:val="ListBullet2"/>
    <w:uiPriority w:val="2"/>
    <w:qFormat/>
    <w:rsid w:val="004C2DCA"/>
    <w:pPr>
      <w:numPr>
        <w:numId w:val="4"/>
      </w:numPr>
    </w:pPr>
  </w:style>
  <w:style w:type="paragraph" w:customStyle="1" w:styleId="Numberbullet3">
    <w:name w:val="Number bullet 3"/>
    <w:basedOn w:val="ListBullet3"/>
    <w:uiPriority w:val="2"/>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semiHidden/>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semiHidden/>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8F02E5"/>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paragraph" w:customStyle="1" w:styleId="Standard">
    <w:name w:val="Standard"/>
    <w:basedOn w:val="Normal"/>
    <w:link w:val="StandardChar"/>
    <w:rsid w:val="000B7AC1"/>
    <w:pPr>
      <w:spacing w:before="0" w:after="220" w:line="252" w:lineRule="auto"/>
    </w:pPr>
    <w:rPr>
      <w:rFonts w:eastAsia="Times New Roman"/>
      <w:snapToGrid w:val="0"/>
      <w:kern w:val="16"/>
      <w:szCs w:val="24"/>
    </w:rPr>
  </w:style>
  <w:style w:type="paragraph" w:customStyle="1" w:styleId="WhiteSpace">
    <w:name w:val="White Space"/>
    <w:basedOn w:val="Standard"/>
    <w:next w:val="Standard"/>
    <w:link w:val="WhiteSpaceChar"/>
    <w:rsid w:val="000B7AC1"/>
    <w:pPr>
      <w:spacing w:after="0"/>
    </w:pPr>
    <w:rPr>
      <w:sz w:val="16"/>
      <w:szCs w:val="16"/>
    </w:rPr>
  </w:style>
  <w:style w:type="character" w:customStyle="1" w:styleId="StandardChar">
    <w:name w:val="Standard Char"/>
    <w:basedOn w:val="DefaultParagraphFont"/>
    <w:link w:val="Standard"/>
    <w:rsid w:val="000B7AC1"/>
    <w:rPr>
      <w:rFonts w:ascii="Cambria" w:eastAsia="Times New Roman" w:hAnsi="Cambria" w:cs="Times New Roman"/>
      <w:snapToGrid w:val="0"/>
      <w:kern w:val="16"/>
      <w:szCs w:val="24"/>
    </w:rPr>
  </w:style>
  <w:style w:type="paragraph" w:customStyle="1" w:styleId="AssessmentSubsection">
    <w:name w:val="Assessment Subsection"/>
    <w:basedOn w:val="Standard"/>
    <w:next w:val="Standard"/>
    <w:rsid w:val="000B7AC1"/>
    <w:pPr>
      <w:keepNext/>
      <w:spacing w:after="110"/>
      <w:outlineLvl w:val="2"/>
    </w:pPr>
    <w:rPr>
      <w:b/>
      <w:i/>
    </w:rPr>
  </w:style>
  <w:style w:type="character" w:customStyle="1" w:styleId="WhiteSpaceChar">
    <w:name w:val="White Space Char"/>
    <w:basedOn w:val="DefaultParagraphFont"/>
    <w:link w:val="WhiteSpace"/>
    <w:rsid w:val="000B7AC1"/>
    <w:rPr>
      <w:rFonts w:ascii="Cambria" w:eastAsia="Times New Roman" w:hAnsi="Cambria" w:cs="Times New Roman"/>
      <w:snapToGrid w:val="0"/>
      <w:kern w:val="16"/>
      <w:sz w:val="16"/>
      <w:szCs w:val="16"/>
    </w:rPr>
  </w:style>
  <w:style w:type="paragraph" w:customStyle="1" w:styleId="AssessmentSubsection2">
    <w:name w:val="Assessment Subsection 2"/>
    <w:basedOn w:val="AssessmentSubsection"/>
    <w:next w:val="Standard"/>
    <w:rsid w:val="000B7AC1"/>
    <w:pPr>
      <w:outlineLvl w:val="3"/>
    </w:pPr>
    <w:rPr>
      <w:b w:val="0"/>
    </w:rPr>
  </w:style>
  <w:style w:type="character" w:customStyle="1" w:styleId="TableTitleChar">
    <w:name w:val="Table Title Char"/>
    <w:basedOn w:val="StandardChar"/>
    <w:link w:val="TableTitle"/>
    <w:rsid w:val="000B7AC1"/>
    <w:rPr>
      <w:rFonts w:ascii="Cambria" w:eastAsia="Cambria" w:hAnsi="Cambria" w:cs="Times New Roman"/>
      <w:b/>
      <w:snapToGrid/>
      <w:kern w:val="16"/>
      <w:szCs w:val="24"/>
    </w:rPr>
  </w:style>
  <w:style w:type="character" w:customStyle="1" w:styleId="TabletextChar">
    <w:name w:val="Table text Char"/>
    <w:basedOn w:val="DefaultParagraphFont"/>
    <w:link w:val="Tabletext"/>
    <w:rsid w:val="000B7AC1"/>
    <w:rPr>
      <w:rFonts w:ascii="Cambria" w:eastAsia="Cambria" w:hAnsi="Cambria" w:cs="Times New Roman"/>
      <w:sz w:val="19"/>
    </w:rPr>
  </w:style>
  <w:style w:type="paragraph" w:customStyle="1" w:styleId="TableHeader">
    <w:name w:val="Table Header"/>
    <w:basedOn w:val="Normal"/>
    <w:rsid w:val="000B7AC1"/>
    <w:pPr>
      <w:keepNext/>
      <w:keepLines/>
      <w:widowControl w:val="0"/>
      <w:spacing w:before="60" w:after="60" w:line="200" w:lineRule="exact"/>
      <w:jc w:val="center"/>
    </w:pPr>
    <w:rPr>
      <w:rFonts w:eastAsia="MS Mincho" w:cstheme="minorBidi"/>
      <w:b/>
      <w:kern w:val="2"/>
      <w:sz w:val="19"/>
      <w:szCs w:val="19"/>
    </w:rPr>
  </w:style>
  <w:style w:type="paragraph" w:customStyle="1" w:styleId="AssessmentSection">
    <w:name w:val="Assessment Section"/>
    <w:basedOn w:val="AssessmentSubsection"/>
    <w:next w:val="Standard"/>
    <w:rsid w:val="000B7AC1"/>
    <w:pPr>
      <w:outlineLvl w:val="1"/>
    </w:pPr>
    <w:rPr>
      <w:i w:val="0"/>
    </w:rPr>
  </w:style>
  <w:style w:type="paragraph" w:styleId="NormalWeb">
    <w:name w:val="Normal (Web)"/>
    <w:basedOn w:val="Normal"/>
    <w:uiPriority w:val="99"/>
    <w:semiHidden/>
    <w:unhideWhenUsed/>
    <w:rsid w:val="00416A5F"/>
    <w:rPr>
      <w:rFonts w:ascii="Times New Roman" w:hAnsi="Times New Roman"/>
      <w:sz w:val="24"/>
      <w:szCs w:val="24"/>
    </w:rPr>
  </w:style>
  <w:style w:type="character" w:customStyle="1" w:styleId="Heading9Char">
    <w:name w:val="Heading 9 Char"/>
    <w:basedOn w:val="DefaultParagraphFont"/>
    <w:link w:val="Heading9"/>
    <w:uiPriority w:val="9"/>
    <w:semiHidden/>
    <w:rsid w:val="0009376D"/>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09376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character" w:customStyle="1" w:styleId="h1">
    <w:name w:val="h1"/>
    <w:basedOn w:val="DefaultParagraphFont"/>
    <w:rsid w:val="0009376D"/>
  </w:style>
  <w:style w:type="character" w:customStyle="1" w:styleId="h2">
    <w:name w:val="h2"/>
    <w:basedOn w:val="DefaultParagraphFont"/>
    <w:rsid w:val="0009376D"/>
  </w:style>
  <w:style w:type="character" w:customStyle="1" w:styleId="nowrap">
    <w:name w:val="nowrap"/>
    <w:basedOn w:val="DefaultParagraphFont"/>
    <w:rsid w:val="0009376D"/>
  </w:style>
  <w:style w:type="character" w:customStyle="1" w:styleId="h3">
    <w:name w:val="h3"/>
    <w:basedOn w:val="DefaultParagraphFont"/>
    <w:rsid w:val="0009376D"/>
  </w:style>
  <w:style w:type="character" w:customStyle="1" w:styleId="Heading8Char">
    <w:name w:val="Heading 8 Char"/>
    <w:basedOn w:val="DefaultParagraphFont"/>
    <w:link w:val="Heading8"/>
    <w:rsid w:val="00AD2505"/>
    <w:rPr>
      <w:rFonts w:ascii="Calibri" w:eastAsia="Times New Roman" w:hAnsi="Calibri" w:cs="Times New Roman"/>
      <w:b/>
      <w:iCs/>
      <w:kern w:val="16"/>
      <w:sz w:val="20"/>
      <w:szCs w:val="24"/>
      <w:lang w:eastAsia="ja-JP"/>
    </w:rPr>
  </w:style>
  <w:style w:type="paragraph" w:customStyle="1" w:styleId="Bulletpoint">
    <w:name w:val="Bullet point"/>
    <w:basedOn w:val="Normal"/>
    <w:rsid w:val="00AD2505"/>
    <w:pPr>
      <w:tabs>
        <w:tab w:val="num" w:pos="369"/>
        <w:tab w:val="left" w:pos="397"/>
      </w:tabs>
      <w:spacing w:before="0" w:after="180" w:line="252" w:lineRule="auto"/>
      <w:ind w:left="369" w:hanging="227"/>
    </w:pPr>
    <w:rPr>
      <w:rFonts w:eastAsia="Times New Roman"/>
      <w:snapToGrid w:val="0"/>
      <w:kern w:val="16"/>
      <w:szCs w:val="24"/>
    </w:rPr>
  </w:style>
  <w:style w:type="paragraph" w:customStyle="1" w:styleId="Bullet1">
    <w:name w:val="Bullet 1"/>
    <w:basedOn w:val="Normal"/>
    <w:rsid w:val="00FE29A5"/>
    <w:pPr>
      <w:numPr>
        <w:numId w:val="5"/>
      </w:numPr>
      <w:spacing w:after="0" w:line="240" w:lineRule="auto"/>
    </w:pPr>
    <w:rPr>
      <w:rFonts w:eastAsia="Times New Roman"/>
      <w:kern w:val="24"/>
      <w:szCs w:val="24"/>
      <w:lang w:eastAsia="en-AU"/>
    </w:rPr>
  </w:style>
  <w:style w:type="paragraph" w:customStyle="1" w:styleId="Bullet2">
    <w:name w:val="Bullet 2"/>
    <w:basedOn w:val="Bullet1"/>
    <w:rsid w:val="00FE29A5"/>
    <w:pPr>
      <w:numPr>
        <w:numId w:val="6"/>
      </w:numPr>
    </w:pPr>
  </w:style>
  <w:style w:type="numbering" w:customStyle="1" w:styleId="ListBullets2">
    <w:name w:val="ListBullets2"/>
    <w:uiPriority w:val="99"/>
    <w:locked/>
    <w:rsid w:val="00490B93"/>
    <w:pPr>
      <w:numPr>
        <w:numId w:val="8"/>
      </w:numPr>
    </w:pPr>
  </w:style>
  <w:style w:type="character" w:styleId="CommentReference">
    <w:name w:val="annotation reference"/>
    <w:basedOn w:val="DefaultParagraphFont"/>
    <w:uiPriority w:val="99"/>
    <w:semiHidden/>
    <w:unhideWhenUsed/>
    <w:rsid w:val="00A5090B"/>
    <w:rPr>
      <w:sz w:val="16"/>
      <w:szCs w:val="16"/>
    </w:rPr>
  </w:style>
  <w:style w:type="paragraph" w:styleId="CommentText">
    <w:name w:val="annotation text"/>
    <w:basedOn w:val="Normal"/>
    <w:link w:val="CommentTextChar"/>
    <w:uiPriority w:val="99"/>
    <w:semiHidden/>
    <w:unhideWhenUsed/>
    <w:rsid w:val="00A5090B"/>
    <w:pPr>
      <w:spacing w:line="240" w:lineRule="auto"/>
    </w:pPr>
    <w:rPr>
      <w:sz w:val="20"/>
      <w:szCs w:val="20"/>
    </w:rPr>
  </w:style>
  <w:style w:type="character" w:customStyle="1" w:styleId="CommentTextChar">
    <w:name w:val="Comment Text Char"/>
    <w:basedOn w:val="DefaultParagraphFont"/>
    <w:link w:val="CommentText"/>
    <w:uiPriority w:val="99"/>
    <w:semiHidden/>
    <w:rsid w:val="00A5090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A5090B"/>
    <w:rPr>
      <w:b/>
      <w:bCs/>
    </w:rPr>
  </w:style>
  <w:style w:type="character" w:customStyle="1" w:styleId="CommentSubjectChar">
    <w:name w:val="Comment Subject Char"/>
    <w:basedOn w:val="CommentTextChar"/>
    <w:link w:val="CommentSubject"/>
    <w:uiPriority w:val="99"/>
    <w:semiHidden/>
    <w:rsid w:val="00A5090B"/>
    <w:rPr>
      <w:rFonts w:ascii="Cambria" w:eastAsia="Cambria" w:hAnsi="Cambria"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0" w:unhideWhenUsed="0" w:qFormat="1"/>
    <w:lsdException w:name="footnote reference"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3A3B87"/>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qFormat/>
    <w:rsid w:val="00AD0083"/>
    <w:pPr>
      <w:keepNext/>
      <w:spacing w:after="60" w:line="180" w:lineRule="atLeast"/>
      <w:outlineLvl w:val="6"/>
    </w:pPr>
    <w:rPr>
      <w:rFonts w:eastAsia="Times New Roman"/>
      <w:bCs/>
      <w:sz w:val="18"/>
      <w:szCs w:val="24"/>
    </w:rPr>
  </w:style>
  <w:style w:type="paragraph" w:styleId="Heading8">
    <w:name w:val="heading 8"/>
    <w:basedOn w:val="Normal"/>
    <w:next w:val="Normal"/>
    <w:link w:val="Heading8Char"/>
    <w:autoRedefine/>
    <w:qFormat/>
    <w:rsid w:val="00AD2505"/>
    <w:pPr>
      <w:keepNext/>
      <w:tabs>
        <w:tab w:val="num" w:pos="5760"/>
      </w:tabs>
      <w:spacing w:before="0" w:line="240" w:lineRule="auto"/>
      <w:ind w:left="5760" w:hanging="360"/>
      <w:outlineLvl w:val="7"/>
    </w:pPr>
    <w:rPr>
      <w:rFonts w:ascii="Calibri" w:eastAsia="Times New Roman" w:hAnsi="Calibri"/>
      <w:b/>
      <w:iCs/>
      <w:kern w:val="16"/>
      <w:sz w:val="20"/>
      <w:szCs w:val="24"/>
      <w:lang w:eastAsia="ja-JP"/>
    </w:rPr>
  </w:style>
  <w:style w:type="paragraph" w:styleId="Heading9">
    <w:name w:val="heading 9"/>
    <w:basedOn w:val="Normal"/>
    <w:next w:val="Normal"/>
    <w:link w:val="Heading9Char"/>
    <w:unhideWhenUsed/>
    <w:qFormat/>
    <w:rsid w:val="0009376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4"/>
      </w:numPr>
    </w:pPr>
  </w:style>
  <w:style w:type="paragraph" w:customStyle="1" w:styleId="Numberbullet2">
    <w:name w:val="Number bullet 2"/>
    <w:basedOn w:val="ListBullet2"/>
    <w:uiPriority w:val="2"/>
    <w:qFormat/>
    <w:rsid w:val="004C2DCA"/>
    <w:pPr>
      <w:numPr>
        <w:numId w:val="4"/>
      </w:numPr>
    </w:pPr>
  </w:style>
  <w:style w:type="paragraph" w:customStyle="1" w:styleId="Numberbullet3">
    <w:name w:val="Number bullet 3"/>
    <w:basedOn w:val="ListBullet3"/>
    <w:uiPriority w:val="2"/>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semiHidden/>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semiHidden/>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8F02E5"/>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paragraph" w:customStyle="1" w:styleId="Standard">
    <w:name w:val="Standard"/>
    <w:basedOn w:val="Normal"/>
    <w:link w:val="StandardChar"/>
    <w:rsid w:val="000B7AC1"/>
    <w:pPr>
      <w:spacing w:before="0" w:after="220" w:line="252" w:lineRule="auto"/>
    </w:pPr>
    <w:rPr>
      <w:rFonts w:eastAsia="Times New Roman"/>
      <w:snapToGrid w:val="0"/>
      <w:kern w:val="16"/>
      <w:szCs w:val="24"/>
    </w:rPr>
  </w:style>
  <w:style w:type="paragraph" w:customStyle="1" w:styleId="WhiteSpace">
    <w:name w:val="White Space"/>
    <w:basedOn w:val="Standard"/>
    <w:next w:val="Standard"/>
    <w:link w:val="WhiteSpaceChar"/>
    <w:rsid w:val="000B7AC1"/>
    <w:pPr>
      <w:spacing w:after="0"/>
    </w:pPr>
    <w:rPr>
      <w:sz w:val="16"/>
      <w:szCs w:val="16"/>
    </w:rPr>
  </w:style>
  <w:style w:type="character" w:customStyle="1" w:styleId="StandardChar">
    <w:name w:val="Standard Char"/>
    <w:basedOn w:val="DefaultParagraphFont"/>
    <w:link w:val="Standard"/>
    <w:rsid w:val="000B7AC1"/>
    <w:rPr>
      <w:rFonts w:ascii="Cambria" w:eastAsia="Times New Roman" w:hAnsi="Cambria" w:cs="Times New Roman"/>
      <w:snapToGrid w:val="0"/>
      <w:kern w:val="16"/>
      <w:szCs w:val="24"/>
    </w:rPr>
  </w:style>
  <w:style w:type="paragraph" w:customStyle="1" w:styleId="AssessmentSubsection">
    <w:name w:val="Assessment Subsection"/>
    <w:basedOn w:val="Standard"/>
    <w:next w:val="Standard"/>
    <w:rsid w:val="000B7AC1"/>
    <w:pPr>
      <w:keepNext/>
      <w:spacing w:after="110"/>
      <w:outlineLvl w:val="2"/>
    </w:pPr>
    <w:rPr>
      <w:b/>
      <w:i/>
    </w:rPr>
  </w:style>
  <w:style w:type="character" w:customStyle="1" w:styleId="WhiteSpaceChar">
    <w:name w:val="White Space Char"/>
    <w:basedOn w:val="DefaultParagraphFont"/>
    <w:link w:val="WhiteSpace"/>
    <w:rsid w:val="000B7AC1"/>
    <w:rPr>
      <w:rFonts w:ascii="Cambria" w:eastAsia="Times New Roman" w:hAnsi="Cambria" w:cs="Times New Roman"/>
      <w:snapToGrid w:val="0"/>
      <w:kern w:val="16"/>
      <w:sz w:val="16"/>
      <w:szCs w:val="16"/>
    </w:rPr>
  </w:style>
  <w:style w:type="paragraph" w:customStyle="1" w:styleId="AssessmentSubsection2">
    <w:name w:val="Assessment Subsection 2"/>
    <w:basedOn w:val="AssessmentSubsection"/>
    <w:next w:val="Standard"/>
    <w:rsid w:val="000B7AC1"/>
    <w:pPr>
      <w:outlineLvl w:val="3"/>
    </w:pPr>
    <w:rPr>
      <w:b w:val="0"/>
    </w:rPr>
  </w:style>
  <w:style w:type="character" w:customStyle="1" w:styleId="TableTitleChar">
    <w:name w:val="Table Title Char"/>
    <w:basedOn w:val="StandardChar"/>
    <w:link w:val="TableTitle"/>
    <w:rsid w:val="000B7AC1"/>
    <w:rPr>
      <w:rFonts w:ascii="Cambria" w:eastAsia="Cambria" w:hAnsi="Cambria" w:cs="Times New Roman"/>
      <w:b/>
      <w:snapToGrid/>
      <w:kern w:val="16"/>
      <w:szCs w:val="24"/>
    </w:rPr>
  </w:style>
  <w:style w:type="character" w:customStyle="1" w:styleId="TabletextChar">
    <w:name w:val="Table text Char"/>
    <w:basedOn w:val="DefaultParagraphFont"/>
    <w:link w:val="Tabletext"/>
    <w:rsid w:val="000B7AC1"/>
    <w:rPr>
      <w:rFonts w:ascii="Cambria" w:eastAsia="Cambria" w:hAnsi="Cambria" w:cs="Times New Roman"/>
      <w:sz w:val="19"/>
    </w:rPr>
  </w:style>
  <w:style w:type="paragraph" w:customStyle="1" w:styleId="TableHeader">
    <w:name w:val="Table Header"/>
    <w:basedOn w:val="Normal"/>
    <w:rsid w:val="000B7AC1"/>
    <w:pPr>
      <w:keepNext/>
      <w:keepLines/>
      <w:widowControl w:val="0"/>
      <w:spacing w:before="60" w:after="60" w:line="200" w:lineRule="exact"/>
      <w:jc w:val="center"/>
    </w:pPr>
    <w:rPr>
      <w:rFonts w:eastAsia="MS Mincho" w:cstheme="minorBidi"/>
      <w:b/>
      <w:kern w:val="2"/>
      <w:sz w:val="19"/>
      <w:szCs w:val="19"/>
    </w:rPr>
  </w:style>
  <w:style w:type="paragraph" w:customStyle="1" w:styleId="AssessmentSection">
    <w:name w:val="Assessment Section"/>
    <w:basedOn w:val="AssessmentSubsection"/>
    <w:next w:val="Standard"/>
    <w:rsid w:val="000B7AC1"/>
    <w:pPr>
      <w:outlineLvl w:val="1"/>
    </w:pPr>
    <w:rPr>
      <w:i w:val="0"/>
    </w:rPr>
  </w:style>
  <w:style w:type="paragraph" w:styleId="NormalWeb">
    <w:name w:val="Normal (Web)"/>
    <w:basedOn w:val="Normal"/>
    <w:uiPriority w:val="99"/>
    <w:semiHidden/>
    <w:unhideWhenUsed/>
    <w:rsid w:val="00416A5F"/>
    <w:rPr>
      <w:rFonts w:ascii="Times New Roman" w:hAnsi="Times New Roman"/>
      <w:sz w:val="24"/>
      <w:szCs w:val="24"/>
    </w:rPr>
  </w:style>
  <w:style w:type="character" w:customStyle="1" w:styleId="Heading9Char">
    <w:name w:val="Heading 9 Char"/>
    <w:basedOn w:val="DefaultParagraphFont"/>
    <w:link w:val="Heading9"/>
    <w:uiPriority w:val="9"/>
    <w:semiHidden/>
    <w:rsid w:val="0009376D"/>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09376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character" w:customStyle="1" w:styleId="h1">
    <w:name w:val="h1"/>
    <w:basedOn w:val="DefaultParagraphFont"/>
    <w:rsid w:val="0009376D"/>
  </w:style>
  <w:style w:type="character" w:customStyle="1" w:styleId="h2">
    <w:name w:val="h2"/>
    <w:basedOn w:val="DefaultParagraphFont"/>
    <w:rsid w:val="0009376D"/>
  </w:style>
  <w:style w:type="character" w:customStyle="1" w:styleId="nowrap">
    <w:name w:val="nowrap"/>
    <w:basedOn w:val="DefaultParagraphFont"/>
    <w:rsid w:val="0009376D"/>
  </w:style>
  <w:style w:type="character" w:customStyle="1" w:styleId="h3">
    <w:name w:val="h3"/>
    <w:basedOn w:val="DefaultParagraphFont"/>
    <w:rsid w:val="0009376D"/>
  </w:style>
  <w:style w:type="character" w:customStyle="1" w:styleId="Heading8Char">
    <w:name w:val="Heading 8 Char"/>
    <w:basedOn w:val="DefaultParagraphFont"/>
    <w:link w:val="Heading8"/>
    <w:rsid w:val="00AD2505"/>
    <w:rPr>
      <w:rFonts w:ascii="Calibri" w:eastAsia="Times New Roman" w:hAnsi="Calibri" w:cs="Times New Roman"/>
      <w:b/>
      <w:iCs/>
      <w:kern w:val="16"/>
      <w:sz w:val="20"/>
      <w:szCs w:val="24"/>
      <w:lang w:eastAsia="ja-JP"/>
    </w:rPr>
  </w:style>
  <w:style w:type="paragraph" w:customStyle="1" w:styleId="Bulletpoint">
    <w:name w:val="Bullet point"/>
    <w:basedOn w:val="Normal"/>
    <w:rsid w:val="00AD2505"/>
    <w:pPr>
      <w:tabs>
        <w:tab w:val="num" w:pos="369"/>
        <w:tab w:val="left" w:pos="397"/>
      </w:tabs>
      <w:spacing w:before="0" w:after="180" w:line="252" w:lineRule="auto"/>
      <w:ind w:left="369" w:hanging="227"/>
    </w:pPr>
    <w:rPr>
      <w:rFonts w:eastAsia="Times New Roman"/>
      <w:snapToGrid w:val="0"/>
      <w:kern w:val="16"/>
      <w:szCs w:val="24"/>
    </w:rPr>
  </w:style>
  <w:style w:type="paragraph" w:customStyle="1" w:styleId="Bullet1">
    <w:name w:val="Bullet 1"/>
    <w:basedOn w:val="Normal"/>
    <w:rsid w:val="00FE29A5"/>
    <w:pPr>
      <w:numPr>
        <w:numId w:val="5"/>
      </w:numPr>
      <w:spacing w:after="0" w:line="240" w:lineRule="auto"/>
    </w:pPr>
    <w:rPr>
      <w:rFonts w:eastAsia="Times New Roman"/>
      <w:kern w:val="24"/>
      <w:szCs w:val="24"/>
      <w:lang w:eastAsia="en-AU"/>
    </w:rPr>
  </w:style>
  <w:style w:type="paragraph" w:customStyle="1" w:styleId="Bullet2">
    <w:name w:val="Bullet 2"/>
    <w:basedOn w:val="Bullet1"/>
    <w:rsid w:val="00FE29A5"/>
    <w:pPr>
      <w:numPr>
        <w:numId w:val="6"/>
      </w:numPr>
    </w:pPr>
  </w:style>
  <w:style w:type="numbering" w:customStyle="1" w:styleId="ListBullets2">
    <w:name w:val="ListBullets2"/>
    <w:uiPriority w:val="99"/>
    <w:locked/>
    <w:rsid w:val="00490B93"/>
    <w:pPr>
      <w:numPr>
        <w:numId w:val="8"/>
      </w:numPr>
    </w:pPr>
  </w:style>
  <w:style w:type="character" w:styleId="CommentReference">
    <w:name w:val="annotation reference"/>
    <w:basedOn w:val="DefaultParagraphFont"/>
    <w:uiPriority w:val="99"/>
    <w:semiHidden/>
    <w:unhideWhenUsed/>
    <w:rsid w:val="00A5090B"/>
    <w:rPr>
      <w:sz w:val="16"/>
      <w:szCs w:val="16"/>
    </w:rPr>
  </w:style>
  <w:style w:type="paragraph" w:styleId="CommentText">
    <w:name w:val="annotation text"/>
    <w:basedOn w:val="Normal"/>
    <w:link w:val="CommentTextChar"/>
    <w:uiPriority w:val="99"/>
    <w:semiHidden/>
    <w:unhideWhenUsed/>
    <w:rsid w:val="00A5090B"/>
    <w:pPr>
      <w:spacing w:line="240" w:lineRule="auto"/>
    </w:pPr>
    <w:rPr>
      <w:sz w:val="20"/>
      <w:szCs w:val="20"/>
    </w:rPr>
  </w:style>
  <w:style w:type="character" w:customStyle="1" w:styleId="CommentTextChar">
    <w:name w:val="Comment Text Char"/>
    <w:basedOn w:val="DefaultParagraphFont"/>
    <w:link w:val="CommentText"/>
    <w:uiPriority w:val="99"/>
    <w:semiHidden/>
    <w:rsid w:val="00A5090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A5090B"/>
    <w:rPr>
      <w:b/>
      <w:bCs/>
    </w:rPr>
  </w:style>
  <w:style w:type="character" w:customStyle="1" w:styleId="CommentSubjectChar">
    <w:name w:val="Comment Subject Char"/>
    <w:basedOn w:val="CommentTextChar"/>
    <w:link w:val="CommentSubject"/>
    <w:uiPriority w:val="99"/>
    <w:semiHidden/>
    <w:rsid w:val="00A5090B"/>
    <w:rPr>
      <w:rFonts w:ascii="Cambria" w:eastAsia="Cambria" w:hAnsi="Cambria"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430850">
      <w:bodyDiv w:val="1"/>
      <w:marLeft w:val="0"/>
      <w:marRight w:val="0"/>
      <w:marTop w:val="0"/>
      <w:marBottom w:val="0"/>
      <w:divBdr>
        <w:top w:val="none" w:sz="0" w:space="0" w:color="auto"/>
        <w:left w:val="none" w:sz="0" w:space="0" w:color="auto"/>
        <w:bottom w:val="none" w:sz="0" w:space="0" w:color="auto"/>
        <w:right w:val="none" w:sz="0" w:space="0" w:color="auto"/>
      </w:divBdr>
    </w:div>
    <w:div w:id="305554901">
      <w:bodyDiv w:val="1"/>
      <w:marLeft w:val="0"/>
      <w:marRight w:val="0"/>
      <w:marTop w:val="0"/>
      <w:marBottom w:val="0"/>
      <w:divBdr>
        <w:top w:val="none" w:sz="0" w:space="0" w:color="auto"/>
        <w:left w:val="none" w:sz="0" w:space="0" w:color="auto"/>
        <w:bottom w:val="none" w:sz="0" w:space="0" w:color="auto"/>
        <w:right w:val="none" w:sz="0" w:space="0" w:color="auto"/>
      </w:divBdr>
    </w:div>
    <w:div w:id="538518261">
      <w:bodyDiv w:val="1"/>
      <w:marLeft w:val="0"/>
      <w:marRight w:val="0"/>
      <w:marTop w:val="0"/>
      <w:marBottom w:val="0"/>
      <w:divBdr>
        <w:top w:val="none" w:sz="0" w:space="0" w:color="auto"/>
        <w:left w:val="none" w:sz="0" w:space="0" w:color="auto"/>
        <w:bottom w:val="none" w:sz="0" w:space="0" w:color="auto"/>
        <w:right w:val="none" w:sz="0" w:space="0" w:color="auto"/>
      </w:divBdr>
    </w:div>
    <w:div w:id="665590252">
      <w:bodyDiv w:val="1"/>
      <w:marLeft w:val="0"/>
      <w:marRight w:val="0"/>
      <w:marTop w:val="0"/>
      <w:marBottom w:val="0"/>
      <w:divBdr>
        <w:top w:val="none" w:sz="0" w:space="0" w:color="auto"/>
        <w:left w:val="none" w:sz="0" w:space="0" w:color="auto"/>
        <w:bottom w:val="none" w:sz="0" w:space="0" w:color="auto"/>
        <w:right w:val="none" w:sz="0" w:space="0" w:color="auto"/>
      </w:divBdr>
    </w:div>
    <w:div w:id="698630432">
      <w:bodyDiv w:val="1"/>
      <w:marLeft w:val="0"/>
      <w:marRight w:val="0"/>
      <w:marTop w:val="0"/>
      <w:marBottom w:val="0"/>
      <w:divBdr>
        <w:top w:val="none" w:sz="0" w:space="0" w:color="auto"/>
        <w:left w:val="none" w:sz="0" w:space="0" w:color="auto"/>
        <w:bottom w:val="none" w:sz="0" w:space="0" w:color="auto"/>
        <w:right w:val="none" w:sz="0" w:space="0" w:color="auto"/>
      </w:divBdr>
    </w:div>
    <w:div w:id="766001915">
      <w:bodyDiv w:val="1"/>
      <w:marLeft w:val="0"/>
      <w:marRight w:val="0"/>
      <w:marTop w:val="0"/>
      <w:marBottom w:val="0"/>
      <w:divBdr>
        <w:top w:val="none" w:sz="0" w:space="0" w:color="auto"/>
        <w:left w:val="none" w:sz="0" w:space="0" w:color="auto"/>
        <w:bottom w:val="none" w:sz="0" w:space="0" w:color="auto"/>
        <w:right w:val="none" w:sz="0" w:space="0" w:color="auto"/>
      </w:divBdr>
      <w:divsChild>
        <w:div w:id="204104498">
          <w:marLeft w:val="0"/>
          <w:marRight w:val="0"/>
          <w:marTop w:val="0"/>
          <w:marBottom w:val="0"/>
          <w:divBdr>
            <w:top w:val="none" w:sz="0" w:space="0" w:color="auto"/>
            <w:left w:val="none" w:sz="0" w:space="0" w:color="auto"/>
            <w:bottom w:val="none" w:sz="0" w:space="0" w:color="auto"/>
            <w:right w:val="none" w:sz="0" w:space="0" w:color="auto"/>
          </w:divBdr>
          <w:divsChild>
            <w:div w:id="1233083268">
              <w:marLeft w:val="0"/>
              <w:marRight w:val="0"/>
              <w:marTop w:val="0"/>
              <w:marBottom w:val="0"/>
              <w:divBdr>
                <w:top w:val="none" w:sz="0" w:space="0" w:color="auto"/>
                <w:left w:val="none" w:sz="0" w:space="0" w:color="auto"/>
                <w:bottom w:val="none" w:sz="0" w:space="0" w:color="auto"/>
                <w:right w:val="none" w:sz="0" w:space="0" w:color="auto"/>
              </w:divBdr>
              <w:divsChild>
                <w:div w:id="911238974">
                  <w:marLeft w:val="0"/>
                  <w:marRight w:val="0"/>
                  <w:marTop w:val="0"/>
                  <w:marBottom w:val="0"/>
                  <w:divBdr>
                    <w:top w:val="none" w:sz="0" w:space="0" w:color="auto"/>
                    <w:left w:val="none" w:sz="0" w:space="0" w:color="auto"/>
                    <w:bottom w:val="none" w:sz="0" w:space="0" w:color="auto"/>
                    <w:right w:val="none" w:sz="0" w:space="0" w:color="auto"/>
                  </w:divBdr>
                  <w:divsChild>
                    <w:div w:id="1789661637">
                      <w:marLeft w:val="0"/>
                      <w:marRight w:val="0"/>
                      <w:marTop w:val="0"/>
                      <w:marBottom w:val="0"/>
                      <w:divBdr>
                        <w:top w:val="none" w:sz="0" w:space="0" w:color="auto"/>
                        <w:left w:val="none" w:sz="0" w:space="0" w:color="auto"/>
                        <w:bottom w:val="none" w:sz="0" w:space="0" w:color="auto"/>
                        <w:right w:val="none" w:sz="0" w:space="0" w:color="auto"/>
                      </w:divBdr>
                      <w:divsChild>
                        <w:div w:id="255289321">
                          <w:marLeft w:val="0"/>
                          <w:marRight w:val="0"/>
                          <w:marTop w:val="0"/>
                          <w:marBottom w:val="0"/>
                          <w:divBdr>
                            <w:top w:val="none" w:sz="0" w:space="0" w:color="auto"/>
                            <w:left w:val="none" w:sz="0" w:space="0" w:color="auto"/>
                            <w:bottom w:val="none" w:sz="0" w:space="0" w:color="auto"/>
                            <w:right w:val="none" w:sz="0" w:space="0" w:color="auto"/>
                          </w:divBdr>
                          <w:divsChild>
                            <w:div w:id="40542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3395420">
      <w:bodyDiv w:val="1"/>
      <w:marLeft w:val="0"/>
      <w:marRight w:val="0"/>
      <w:marTop w:val="0"/>
      <w:marBottom w:val="0"/>
      <w:divBdr>
        <w:top w:val="none" w:sz="0" w:space="0" w:color="auto"/>
        <w:left w:val="none" w:sz="0" w:space="0" w:color="auto"/>
        <w:bottom w:val="none" w:sz="0" w:space="0" w:color="auto"/>
        <w:right w:val="none" w:sz="0" w:space="0" w:color="auto"/>
      </w:divBdr>
    </w:div>
    <w:div w:id="925959181">
      <w:bodyDiv w:val="1"/>
      <w:marLeft w:val="0"/>
      <w:marRight w:val="0"/>
      <w:marTop w:val="0"/>
      <w:marBottom w:val="0"/>
      <w:divBdr>
        <w:top w:val="none" w:sz="0" w:space="0" w:color="auto"/>
        <w:left w:val="none" w:sz="0" w:space="0" w:color="auto"/>
        <w:bottom w:val="none" w:sz="0" w:space="0" w:color="auto"/>
        <w:right w:val="none" w:sz="0" w:space="0" w:color="auto"/>
      </w:divBdr>
    </w:div>
    <w:div w:id="952782847">
      <w:bodyDiv w:val="1"/>
      <w:marLeft w:val="0"/>
      <w:marRight w:val="0"/>
      <w:marTop w:val="0"/>
      <w:marBottom w:val="0"/>
      <w:divBdr>
        <w:top w:val="none" w:sz="0" w:space="0" w:color="auto"/>
        <w:left w:val="none" w:sz="0" w:space="0" w:color="auto"/>
        <w:bottom w:val="none" w:sz="0" w:space="0" w:color="auto"/>
        <w:right w:val="none" w:sz="0" w:space="0" w:color="auto"/>
      </w:divBdr>
    </w:div>
    <w:div w:id="1272475737">
      <w:bodyDiv w:val="1"/>
      <w:marLeft w:val="0"/>
      <w:marRight w:val="0"/>
      <w:marTop w:val="0"/>
      <w:marBottom w:val="0"/>
      <w:divBdr>
        <w:top w:val="none" w:sz="0" w:space="0" w:color="auto"/>
        <w:left w:val="none" w:sz="0" w:space="0" w:color="auto"/>
        <w:bottom w:val="none" w:sz="0" w:space="0" w:color="auto"/>
        <w:right w:val="none" w:sz="0" w:space="0" w:color="auto"/>
      </w:divBdr>
    </w:div>
    <w:div w:id="1400443818">
      <w:bodyDiv w:val="1"/>
      <w:marLeft w:val="0"/>
      <w:marRight w:val="0"/>
      <w:marTop w:val="0"/>
      <w:marBottom w:val="0"/>
      <w:divBdr>
        <w:top w:val="none" w:sz="0" w:space="0" w:color="auto"/>
        <w:left w:val="none" w:sz="0" w:space="0" w:color="auto"/>
        <w:bottom w:val="none" w:sz="0" w:space="0" w:color="auto"/>
        <w:right w:val="none" w:sz="0" w:space="0" w:color="auto"/>
      </w:divBdr>
    </w:div>
    <w:div w:id="1415542651">
      <w:bodyDiv w:val="1"/>
      <w:marLeft w:val="0"/>
      <w:marRight w:val="0"/>
      <w:marTop w:val="0"/>
      <w:marBottom w:val="0"/>
      <w:divBdr>
        <w:top w:val="none" w:sz="0" w:space="0" w:color="auto"/>
        <w:left w:val="none" w:sz="0" w:space="0" w:color="auto"/>
        <w:bottom w:val="none" w:sz="0" w:space="0" w:color="auto"/>
        <w:right w:val="none" w:sz="0" w:space="0" w:color="auto"/>
      </w:divBdr>
    </w:div>
    <w:div w:id="1495876818">
      <w:bodyDiv w:val="1"/>
      <w:marLeft w:val="0"/>
      <w:marRight w:val="0"/>
      <w:marTop w:val="0"/>
      <w:marBottom w:val="0"/>
      <w:divBdr>
        <w:top w:val="none" w:sz="0" w:space="0" w:color="auto"/>
        <w:left w:val="none" w:sz="0" w:space="0" w:color="auto"/>
        <w:bottom w:val="none" w:sz="0" w:space="0" w:color="auto"/>
        <w:right w:val="none" w:sz="0" w:space="0" w:color="auto"/>
      </w:divBdr>
      <w:divsChild>
        <w:div w:id="1111899659">
          <w:marLeft w:val="0"/>
          <w:marRight w:val="0"/>
          <w:marTop w:val="0"/>
          <w:marBottom w:val="0"/>
          <w:divBdr>
            <w:top w:val="none" w:sz="0" w:space="0" w:color="auto"/>
            <w:left w:val="none" w:sz="0" w:space="0" w:color="auto"/>
            <w:bottom w:val="none" w:sz="0" w:space="0" w:color="auto"/>
            <w:right w:val="none" w:sz="0" w:space="0" w:color="auto"/>
          </w:divBdr>
          <w:divsChild>
            <w:div w:id="1692025152">
              <w:marLeft w:val="0"/>
              <w:marRight w:val="0"/>
              <w:marTop w:val="0"/>
              <w:marBottom w:val="0"/>
              <w:divBdr>
                <w:top w:val="none" w:sz="0" w:space="0" w:color="auto"/>
                <w:left w:val="none" w:sz="0" w:space="0" w:color="auto"/>
                <w:bottom w:val="none" w:sz="0" w:space="0" w:color="auto"/>
                <w:right w:val="none" w:sz="0" w:space="0" w:color="auto"/>
              </w:divBdr>
              <w:divsChild>
                <w:div w:id="1299069862">
                  <w:marLeft w:val="0"/>
                  <w:marRight w:val="0"/>
                  <w:marTop w:val="0"/>
                  <w:marBottom w:val="0"/>
                  <w:divBdr>
                    <w:top w:val="none" w:sz="0" w:space="0" w:color="auto"/>
                    <w:left w:val="none" w:sz="0" w:space="0" w:color="auto"/>
                    <w:bottom w:val="none" w:sz="0" w:space="0" w:color="auto"/>
                    <w:right w:val="none" w:sz="0" w:space="0" w:color="auto"/>
                  </w:divBdr>
                  <w:divsChild>
                    <w:div w:id="350960943">
                      <w:marLeft w:val="0"/>
                      <w:marRight w:val="0"/>
                      <w:marTop w:val="0"/>
                      <w:marBottom w:val="0"/>
                      <w:divBdr>
                        <w:top w:val="none" w:sz="0" w:space="0" w:color="auto"/>
                        <w:left w:val="none" w:sz="0" w:space="0" w:color="auto"/>
                        <w:bottom w:val="none" w:sz="0" w:space="0" w:color="auto"/>
                        <w:right w:val="none" w:sz="0" w:space="0" w:color="auto"/>
                      </w:divBdr>
                      <w:divsChild>
                        <w:div w:id="307982778">
                          <w:marLeft w:val="0"/>
                          <w:marRight w:val="0"/>
                          <w:marTop w:val="0"/>
                          <w:marBottom w:val="0"/>
                          <w:divBdr>
                            <w:top w:val="none" w:sz="0" w:space="0" w:color="auto"/>
                            <w:left w:val="none" w:sz="0" w:space="0" w:color="auto"/>
                            <w:bottom w:val="none" w:sz="0" w:space="0" w:color="auto"/>
                            <w:right w:val="none" w:sz="0" w:space="0" w:color="auto"/>
                          </w:divBdr>
                          <w:divsChild>
                            <w:div w:id="37042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4736898">
      <w:bodyDiv w:val="1"/>
      <w:marLeft w:val="0"/>
      <w:marRight w:val="0"/>
      <w:marTop w:val="0"/>
      <w:marBottom w:val="0"/>
      <w:divBdr>
        <w:top w:val="none" w:sz="0" w:space="0" w:color="auto"/>
        <w:left w:val="none" w:sz="0" w:space="0" w:color="auto"/>
        <w:bottom w:val="none" w:sz="0" w:space="0" w:color="auto"/>
        <w:right w:val="none" w:sz="0" w:space="0" w:color="auto"/>
      </w:divBdr>
    </w:div>
    <w:div w:id="1662268280">
      <w:bodyDiv w:val="1"/>
      <w:marLeft w:val="0"/>
      <w:marRight w:val="0"/>
      <w:marTop w:val="0"/>
      <w:marBottom w:val="0"/>
      <w:divBdr>
        <w:top w:val="none" w:sz="0" w:space="0" w:color="auto"/>
        <w:left w:val="none" w:sz="0" w:space="0" w:color="auto"/>
        <w:bottom w:val="none" w:sz="0" w:space="0" w:color="auto"/>
        <w:right w:val="none" w:sz="0" w:space="0" w:color="auto"/>
      </w:divBdr>
    </w:div>
    <w:div w:id="1880821030">
      <w:bodyDiv w:val="1"/>
      <w:marLeft w:val="0"/>
      <w:marRight w:val="0"/>
      <w:marTop w:val="0"/>
      <w:marBottom w:val="0"/>
      <w:divBdr>
        <w:top w:val="none" w:sz="0" w:space="0" w:color="auto"/>
        <w:left w:val="none" w:sz="0" w:space="0" w:color="auto"/>
        <w:bottom w:val="none" w:sz="0" w:space="0" w:color="auto"/>
        <w:right w:val="none" w:sz="0" w:space="0" w:color="auto"/>
      </w:divBdr>
    </w:div>
    <w:div w:id="2007173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eader" Target="header5.xml"/><Relationship Id="rId42"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www.tga.gov.au/product-information-pi" TargetMode="External"/><Relationship Id="rId25" Type="http://schemas.openxmlformats.org/officeDocument/2006/relationships/image" Target="media/image13.png"/><Relationship Id="rId33" Type="http://schemas.openxmlformats.org/officeDocument/2006/relationships/header" Target="header4.xml"/><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header" Target="header3.xml"/><Relationship Id="rId37" Type="http://schemas.openxmlformats.org/officeDocument/2006/relationships/hyperlink" Target="https://www.tga.gov.au" TargetMode="Externa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mailto:info@tga.gov.au" TargetMode="External"/><Relationship Id="rId10" Type="http://schemas.openxmlformats.org/officeDocument/2006/relationships/hyperlink" Target="mailto:tga.copyright@tga.gov.au" TargetMode="External"/><Relationship Id="rId19" Type="http://schemas.openxmlformats.org/officeDocument/2006/relationships/image" Target="media/image7.png"/><Relationship Id="rId31" Type="http://schemas.openxmlformats.org/officeDocument/2006/relationships/hyperlink" Target="https://www.tga.gov.au/product-information-pi"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oter" Target="footer2.xm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ojrd.com/content/7/1/32"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ilel\AppData\Local\Hewlett-Packard\HP%20TRIM\TEMP\HPTRIM.4380\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BF48AB-49BE-4015-9DFB-EC79C9848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template.DOTX</Template>
  <TotalTime>85</TotalTime>
  <Pages>52</Pages>
  <Words>19454</Words>
  <Characters>110891</Characters>
  <Application>Microsoft Office Word</Application>
  <DocSecurity>0</DocSecurity>
  <Lines>924</Lines>
  <Paragraphs>260</Paragraphs>
  <ScaleCrop>false</ScaleCrop>
  <HeadingPairs>
    <vt:vector size="2" baseType="variant">
      <vt:variant>
        <vt:lpstr>Title</vt:lpstr>
      </vt:variant>
      <vt:variant>
        <vt:i4>1</vt:i4>
      </vt:variant>
    </vt:vector>
  </HeadingPairs>
  <TitlesOfParts>
    <vt:vector size="1" baseType="lpstr">
      <vt:lpstr>Australian public assessment report for Carglumic acid</vt:lpstr>
    </vt:vector>
  </TitlesOfParts>
  <Company/>
  <LinksUpToDate>false</LinksUpToDate>
  <CharactersWithSpaces>130085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Carglumic acid</dc:title>
  <dc:subject>Prescription medicines</dc:subject>
  <dc:creator>Therapeutic Goods Administration</dc:creator>
  <cp:keywords>AusPARs</cp:keywords>
  <cp:lastModifiedBy>Searson, Lisa</cp:lastModifiedBy>
  <cp:revision>11</cp:revision>
  <cp:lastPrinted>2015-08-02T23:34:00Z</cp:lastPrinted>
  <dcterms:created xsi:type="dcterms:W3CDTF">2015-10-20T04:46:00Z</dcterms:created>
  <dcterms:modified xsi:type="dcterms:W3CDTF">2015-10-21T01:09:00Z</dcterms:modified>
  <cp:category/>
</cp:coreProperties>
</file>