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6D790D" w14:paraId="3F811B64" w14:textId="77777777" w:rsidTr="00BF1190">
        <w:trPr>
          <w:trHeight w:val="1863"/>
        </w:trPr>
        <w:tc>
          <w:tcPr>
            <w:tcW w:w="3652" w:type="dxa"/>
            <w:tcBorders>
              <w:top w:val="nil"/>
              <w:left w:val="nil"/>
              <w:bottom w:val="nil"/>
              <w:right w:val="nil"/>
            </w:tcBorders>
          </w:tcPr>
          <w:p w14:paraId="57645797" w14:textId="5098A6D8" w:rsidR="008E7846" w:rsidRPr="006D790D" w:rsidRDefault="009805CF" w:rsidP="00096AA7">
            <w:pPr>
              <w:rPr>
                <w:rFonts w:ascii="Arial" w:hAnsi="Arial" w:cs="Arial"/>
                <w:b/>
                <w:color w:val="002C47"/>
                <w:sz w:val="36"/>
                <w:szCs w:val="36"/>
              </w:rPr>
            </w:pPr>
            <w:r w:rsidRPr="006D790D">
              <w:rPr>
                <w:rFonts w:ascii="Arial" w:hAnsi="Arial" w:cs="Arial"/>
                <w:b/>
                <w:color w:val="002C47"/>
                <w:sz w:val="36"/>
                <w:szCs w:val="36"/>
              </w:rPr>
              <w:t>October 2021</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6D790D" w14:paraId="65E86F52" w14:textId="77777777" w:rsidTr="0032583B">
        <w:trPr>
          <w:trHeight w:val="868"/>
        </w:trPr>
        <w:tc>
          <w:tcPr>
            <w:tcW w:w="9079" w:type="dxa"/>
          </w:tcPr>
          <w:p w14:paraId="57049582" w14:textId="4C21B007" w:rsidR="0032583B" w:rsidRPr="006D790D" w:rsidRDefault="0032583B" w:rsidP="00460036">
            <w:pPr>
              <w:pStyle w:val="Title"/>
              <w:rPr>
                <w:color w:val="FFFFFF" w:themeColor="background1"/>
              </w:rPr>
            </w:pPr>
            <w:r w:rsidRPr="006D790D">
              <w:rPr>
                <w:color w:val="FFFFFF" w:themeColor="background1"/>
              </w:rPr>
              <w:t xml:space="preserve">Australian Public Assessment Report for </w:t>
            </w:r>
            <w:proofErr w:type="spellStart"/>
            <w:r w:rsidR="00873F42" w:rsidRPr="006D790D">
              <w:rPr>
                <w:color w:val="FFFFFF" w:themeColor="background1"/>
              </w:rPr>
              <w:t>Casirivimab</w:t>
            </w:r>
            <w:proofErr w:type="spellEnd"/>
            <w:r w:rsidR="00873F42" w:rsidRPr="006D790D">
              <w:rPr>
                <w:color w:val="FFFFFF" w:themeColor="background1"/>
              </w:rPr>
              <w:t>/</w:t>
            </w:r>
            <w:proofErr w:type="spellStart"/>
            <w:r w:rsidR="00873F42" w:rsidRPr="006D790D">
              <w:rPr>
                <w:color w:val="FFFFFF" w:themeColor="background1"/>
              </w:rPr>
              <w:t>imdevimab</w:t>
            </w:r>
            <w:proofErr w:type="spellEnd"/>
          </w:p>
        </w:tc>
      </w:tr>
      <w:tr w:rsidR="0032583B" w:rsidRPr="006D790D" w14:paraId="1F719310" w14:textId="77777777" w:rsidTr="0032583B">
        <w:tc>
          <w:tcPr>
            <w:tcW w:w="9079" w:type="dxa"/>
          </w:tcPr>
          <w:p w14:paraId="2103877D" w14:textId="7733014B" w:rsidR="0032583B" w:rsidRPr="006D790D" w:rsidRDefault="0032583B" w:rsidP="00460036">
            <w:pPr>
              <w:pStyle w:val="Subtitle"/>
              <w:rPr>
                <w:color w:val="FFFFFF" w:themeColor="background1"/>
              </w:rPr>
            </w:pPr>
            <w:r w:rsidRPr="006D790D">
              <w:rPr>
                <w:color w:val="FFFFFF" w:themeColor="background1"/>
              </w:rPr>
              <w:t xml:space="preserve">Proprietary Product Name: </w:t>
            </w:r>
            <w:proofErr w:type="spellStart"/>
            <w:r w:rsidR="00873F42" w:rsidRPr="006D790D">
              <w:rPr>
                <w:color w:val="FFFFFF" w:themeColor="background1"/>
              </w:rPr>
              <w:t>Ronapreve</w:t>
            </w:r>
            <w:proofErr w:type="spellEnd"/>
          </w:p>
        </w:tc>
      </w:tr>
      <w:tr w:rsidR="0032583B" w:rsidRPr="006D790D" w14:paraId="68B1D25D" w14:textId="77777777" w:rsidTr="0032583B">
        <w:trPr>
          <w:trHeight w:val="486"/>
        </w:trPr>
        <w:tc>
          <w:tcPr>
            <w:tcW w:w="9079" w:type="dxa"/>
          </w:tcPr>
          <w:p w14:paraId="63239FAE" w14:textId="64E2B390" w:rsidR="0032583B" w:rsidRPr="006D790D" w:rsidRDefault="00460036" w:rsidP="0032583B">
            <w:pPr>
              <w:pStyle w:val="Subtitle"/>
              <w:rPr>
                <w:color w:val="FFFFFF" w:themeColor="background1"/>
              </w:rPr>
            </w:pPr>
            <w:r w:rsidRPr="006D790D">
              <w:rPr>
                <w:color w:val="FFFFFF" w:themeColor="background1"/>
              </w:rPr>
              <w:t xml:space="preserve">Sponsor: </w:t>
            </w:r>
            <w:r w:rsidR="009805CF" w:rsidRPr="006D790D">
              <w:rPr>
                <w:color w:val="FFFFFF" w:themeColor="background1"/>
              </w:rPr>
              <w:t>Roche Products Pty Limited</w:t>
            </w:r>
          </w:p>
        </w:tc>
      </w:tr>
    </w:tbl>
    <w:p w14:paraId="08E0392B" w14:textId="77777777" w:rsidR="008E7846" w:rsidRPr="006D790D" w:rsidRDefault="008E7846" w:rsidP="0085156D">
      <w:r w:rsidRPr="006D790D">
        <w:br w:type="page"/>
      </w:r>
    </w:p>
    <w:p w14:paraId="1CFDD202" w14:textId="77777777" w:rsidR="008E7846" w:rsidRPr="006D790D" w:rsidRDefault="008E7846" w:rsidP="008E7846">
      <w:pPr>
        <w:pStyle w:val="NonTOCHeading2"/>
      </w:pPr>
      <w:r w:rsidRPr="006D790D">
        <w:lastRenderedPageBreak/>
        <w:t>About the Therapeutic Goods Administration (TGA)</w:t>
      </w:r>
    </w:p>
    <w:p w14:paraId="506E50B8" w14:textId="77777777" w:rsidR="008E7846" w:rsidRPr="006D790D" w:rsidRDefault="008E7846" w:rsidP="00146C2C">
      <w:pPr>
        <w:pStyle w:val="ListBullet"/>
        <w:numPr>
          <w:ilvl w:val="0"/>
          <w:numId w:val="1"/>
        </w:numPr>
        <w:ind w:left="357" w:hanging="357"/>
      </w:pPr>
      <w:r w:rsidRPr="006D790D">
        <w:t xml:space="preserve">The Therapeutic Goods Administration (TGA) is </w:t>
      </w:r>
      <w:r w:rsidR="00E624A5" w:rsidRPr="006D790D">
        <w:t xml:space="preserve">part </w:t>
      </w:r>
      <w:r w:rsidRPr="006D790D">
        <w:t>of the Australian Government Department of Health and is responsible for regulating medicines and medical devices.</w:t>
      </w:r>
    </w:p>
    <w:p w14:paraId="331B9350" w14:textId="77777777" w:rsidR="008E7846" w:rsidRPr="006D790D" w:rsidRDefault="00C80137" w:rsidP="00146C2C">
      <w:pPr>
        <w:pStyle w:val="ListBullet"/>
        <w:numPr>
          <w:ilvl w:val="0"/>
          <w:numId w:val="1"/>
        </w:numPr>
        <w:ind w:left="357" w:hanging="357"/>
      </w:pPr>
      <w:r w:rsidRPr="006D790D">
        <w:t xml:space="preserve">The </w:t>
      </w:r>
      <w:r w:rsidR="008E7846" w:rsidRPr="006D790D">
        <w:t xml:space="preserve">TGA administers the </w:t>
      </w:r>
      <w:r w:rsidR="008E7846" w:rsidRPr="006D790D">
        <w:rPr>
          <w:i/>
        </w:rPr>
        <w:t>Therapeutic Goods Act 1989</w:t>
      </w:r>
      <w:r w:rsidR="00785717" w:rsidRPr="006D790D">
        <w:rPr>
          <w:i/>
        </w:rPr>
        <w:t xml:space="preserve"> </w:t>
      </w:r>
      <w:r w:rsidR="00785717" w:rsidRPr="006D790D">
        <w:t>(the Act)</w:t>
      </w:r>
      <w:r w:rsidR="008E7846" w:rsidRPr="006D790D">
        <w:t xml:space="preserve">, applying a risk management approach designed to ensure therapeutic goods supplied in Australia meet acceptable standards of quality, </w:t>
      </w:r>
      <w:proofErr w:type="gramStart"/>
      <w:r w:rsidR="008E7846" w:rsidRPr="006D790D">
        <w:t>safety</w:t>
      </w:r>
      <w:proofErr w:type="gramEnd"/>
      <w:r w:rsidR="008E7846" w:rsidRPr="006D790D">
        <w:t xml:space="preserve"> and efficacy (performance) when necessary.</w:t>
      </w:r>
    </w:p>
    <w:p w14:paraId="43EF3031" w14:textId="77777777" w:rsidR="008E7846" w:rsidRPr="006D790D" w:rsidRDefault="008E7846" w:rsidP="00146C2C">
      <w:pPr>
        <w:pStyle w:val="ListBullet"/>
        <w:numPr>
          <w:ilvl w:val="0"/>
          <w:numId w:val="1"/>
        </w:numPr>
        <w:ind w:left="357" w:hanging="357"/>
      </w:pPr>
      <w:r w:rsidRPr="006D790D">
        <w:t>The work of the TGA is based on applying scientific and clinical expertise to decision-making, to ensure that the benefits to consumers outweigh any risks associated with the use of medicines and medical devices.</w:t>
      </w:r>
    </w:p>
    <w:p w14:paraId="4A189042" w14:textId="77777777" w:rsidR="008E7846" w:rsidRPr="006D790D" w:rsidRDefault="008E7846" w:rsidP="00146C2C">
      <w:pPr>
        <w:pStyle w:val="ListBullet"/>
        <w:numPr>
          <w:ilvl w:val="0"/>
          <w:numId w:val="1"/>
        </w:numPr>
        <w:ind w:left="357" w:hanging="357"/>
      </w:pPr>
      <w:r w:rsidRPr="006D790D">
        <w:t>The TGA relies on the public, healthcare professionals and industry to report problems with medicines or medical devices. TGA investigates reports received by it to determine any necessary regulatory action.</w:t>
      </w:r>
    </w:p>
    <w:p w14:paraId="2B630041" w14:textId="55E471FE" w:rsidR="00441C3F" w:rsidRPr="006D790D" w:rsidRDefault="008E7846" w:rsidP="00146C2C">
      <w:pPr>
        <w:pStyle w:val="ListBullet"/>
        <w:numPr>
          <w:ilvl w:val="0"/>
          <w:numId w:val="1"/>
        </w:numPr>
        <w:ind w:left="357" w:hanging="357"/>
      </w:pPr>
      <w:r w:rsidRPr="006D790D">
        <w:t xml:space="preserve">To report a problem with a medicine or medical device, please see the information on </w:t>
      </w:r>
      <w:r w:rsidR="00441C3F" w:rsidRPr="006D790D">
        <w:t>the TGA website &lt;</w:t>
      </w:r>
      <w:hyperlink r:id="rId8" w:history="1">
        <w:r w:rsidR="00441C3F" w:rsidRPr="006D790D">
          <w:rPr>
            <w:rStyle w:val="Hyperlink"/>
          </w:rPr>
          <w:t>https://www.tga.gov.au</w:t>
        </w:r>
      </w:hyperlink>
      <w:r w:rsidR="00441C3F" w:rsidRPr="006D790D">
        <w:t>&gt;.</w:t>
      </w:r>
    </w:p>
    <w:p w14:paraId="100D9402" w14:textId="77777777" w:rsidR="008E7846" w:rsidRPr="006D790D" w:rsidRDefault="008E7846" w:rsidP="00875A6B">
      <w:pPr>
        <w:pStyle w:val="NonTOCHeading2"/>
      </w:pPr>
      <w:r w:rsidRPr="006D790D">
        <w:t xml:space="preserve">About </w:t>
      </w:r>
      <w:proofErr w:type="spellStart"/>
      <w:r w:rsidRPr="006D790D">
        <w:t>AusPARs</w:t>
      </w:r>
      <w:proofErr w:type="spellEnd"/>
    </w:p>
    <w:p w14:paraId="73F3D4C2" w14:textId="77777777" w:rsidR="008E7846" w:rsidRPr="006D790D" w:rsidRDefault="008E7846" w:rsidP="00146C2C">
      <w:pPr>
        <w:pStyle w:val="ListBullet"/>
        <w:numPr>
          <w:ilvl w:val="0"/>
          <w:numId w:val="1"/>
        </w:numPr>
        <w:ind w:left="357" w:hanging="357"/>
      </w:pPr>
      <w:r w:rsidRPr="006D790D">
        <w:t>An Australian Public Assessment Re</w:t>
      </w:r>
      <w:r w:rsidR="00133A1B" w:rsidRPr="006D790D">
        <w:t>port</w:t>
      </w:r>
      <w:r w:rsidRPr="006D790D">
        <w:t xml:space="preserve"> (</w:t>
      </w:r>
      <w:proofErr w:type="spellStart"/>
      <w:r w:rsidRPr="006D790D">
        <w:t>AusPAR</w:t>
      </w:r>
      <w:proofErr w:type="spellEnd"/>
      <w:r w:rsidRPr="006D790D">
        <w:t>) provides information about the evaluation of a prescription medicine and the considerations that led the TGA to approve or not approve a pr</w:t>
      </w:r>
      <w:r w:rsidR="00441C3F" w:rsidRPr="006D790D">
        <w:t>escription medicine submission.</w:t>
      </w:r>
    </w:p>
    <w:p w14:paraId="6C3613FB" w14:textId="77777777" w:rsidR="008E7846" w:rsidRPr="006D790D" w:rsidRDefault="008E7846" w:rsidP="00146C2C">
      <w:pPr>
        <w:pStyle w:val="ListBullet"/>
        <w:numPr>
          <w:ilvl w:val="0"/>
          <w:numId w:val="1"/>
        </w:numPr>
        <w:ind w:left="357" w:hanging="357"/>
      </w:pPr>
      <w:proofErr w:type="spellStart"/>
      <w:r w:rsidRPr="006D790D">
        <w:t>AusPARs</w:t>
      </w:r>
      <w:proofErr w:type="spellEnd"/>
      <w:r w:rsidRPr="006D790D">
        <w:t xml:space="preserve"> are prepared and published by the TGA.</w:t>
      </w:r>
    </w:p>
    <w:p w14:paraId="71A9679C" w14:textId="77777777" w:rsidR="008E7846" w:rsidRPr="006D790D" w:rsidRDefault="008E7846" w:rsidP="00146C2C">
      <w:pPr>
        <w:pStyle w:val="ListBullet"/>
        <w:numPr>
          <w:ilvl w:val="0"/>
          <w:numId w:val="1"/>
        </w:numPr>
        <w:ind w:left="357" w:hanging="357"/>
      </w:pPr>
      <w:r w:rsidRPr="006D790D">
        <w:t xml:space="preserve">An </w:t>
      </w:r>
      <w:proofErr w:type="spellStart"/>
      <w:r w:rsidRPr="006D790D">
        <w:t>AusPAR</w:t>
      </w:r>
      <w:proofErr w:type="spellEnd"/>
      <w:r w:rsidRPr="006D790D">
        <w:t xml:space="preserve"> is prepared for submissions that relate to new chemical entities, generic medicines, major </w:t>
      </w:r>
      <w:proofErr w:type="gramStart"/>
      <w:r w:rsidRPr="006D790D">
        <w:t>variations</w:t>
      </w:r>
      <w:proofErr w:type="gramEnd"/>
      <w:r w:rsidRPr="006D790D">
        <w:t xml:space="preserve"> and extensions of indications.</w:t>
      </w:r>
    </w:p>
    <w:p w14:paraId="0AF8CD60" w14:textId="77777777" w:rsidR="008E7846" w:rsidRPr="006D790D" w:rsidRDefault="008E7846" w:rsidP="00146C2C">
      <w:pPr>
        <w:pStyle w:val="ListBullet"/>
        <w:numPr>
          <w:ilvl w:val="0"/>
          <w:numId w:val="1"/>
        </w:numPr>
        <w:ind w:left="357" w:hanging="357"/>
      </w:pPr>
      <w:r w:rsidRPr="006D790D">
        <w:t xml:space="preserve">An </w:t>
      </w:r>
      <w:proofErr w:type="spellStart"/>
      <w:r w:rsidRPr="006D790D">
        <w:t>AusPAR</w:t>
      </w:r>
      <w:proofErr w:type="spellEnd"/>
      <w:r w:rsidRPr="006D790D">
        <w:t xml:space="preserve"> is a static document</w:t>
      </w:r>
      <w:r w:rsidR="00133A1B" w:rsidRPr="006D790D">
        <w:t>;</w:t>
      </w:r>
      <w:r w:rsidRPr="006D790D">
        <w:t xml:space="preserve"> it provide</w:t>
      </w:r>
      <w:r w:rsidR="00133A1B" w:rsidRPr="006D790D">
        <w:t>s</w:t>
      </w:r>
      <w:r w:rsidRPr="006D790D">
        <w:t xml:space="preserve"> information that relates to a submission at a particular point in time.</w:t>
      </w:r>
    </w:p>
    <w:p w14:paraId="05EB9F8A" w14:textId="77777777" w:rsidR="00B452CE" w:rsidRPr="006D790D" w:rsidRDefault="008E7846" w:rsidP="00146C2C">
      <w:pPr>
        <w:pStyle w:val="ListBullet"/>
        <w:numPr>
          <w:ilvl w:val="0"/>
          <w:numId w:val="1"/>
        </w:numPr>
        <w:ind w:left="357" w:hanging="357"/>
      </w:pPr>
      <w:r w:rsidRPr="006D790D">
        <w:t xml:space="preserve">A new </w:t>
      </w:r>
      <w:proofErr w:type="spellStart"/>
      <w:r w:rsidRPr="006D790D">
        <w:t>AusPAR</w:t>
      </w:r>
      <w:proofErr w:type="spellEnd"/>
      <w:r w:rsidRPr="006D790D">
        <w:t xml:space="preserve"> will be developed to reflect changes to indications and/or major variations to a prescription medicine subject to evaluation by the TGA.</w:t>
      </w:r>
    </w:p>
    <w:p w14:paraId="3B54256F" w14:textId="77777777" w:rsidR="00924482" w:rsidRPr="006D790D" w:rsidRDefault="00924482" w:rsidP="00F54B65">
      <w:pPr>
        <w:pStyle w:val="LegalSubheading"/>
        <w:spacing w:before="3120"/>
      </w:pPr>
      <w:r w:rsidRPr="006D790D">
        <w:t>Copyright</w:t>
      </w:r>
    </w:p>
    <w:p w14:paraId="262CE4EC" w14:textId="37F61070" w:rsidR="00924482" w:rsidRPr="006D790D" w:rsidRDefault="00924482" w:rsidP="00924482">
      <w:pPr>
        <w:pStyle w:val="LegalCopy"/>
      </w:pPr>
      <w:r w:rsidRPr="006D790D">
        <w:rPr>
          <w:rFonts w:cs="Arial"/>
          <w:lang w:val="en-GB"/>
        </w:rPr>
        <w:t>© Commonwealth of Australia 20</w:t>
      </w:r>
      <w:r w:rsidR="00460036" w:rsidRPr="006D790D">
        <w:rPr>
          <w:rFonts w:cs="Arial"/>
          <w:lang w:val="en-GB"/>
        </w:rPr>
        <w:t>2</w:t>
      </w:r>
      <w:r w:rsidR="00324E45" w:rsidRPr="006D790D">
        <w:rPr>
          <w:rFonts w:cs="Arial"/>
          <w:lang w:val="en-GB"/>
        </w:rPr>
        <w:t>1</w:t>
      </w:r>
      <w:r w:rsidRPr="006D790D">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6D790D">
        <w:rPr>
          <w:rFonts w:cs="Arial"/>
          <w:i/>
          <w:lang w:val="en-GB"/>
        </w:rPr>
        <w:t>Copyright Act 1968</w:t>
      </w:r>
      <w:r w:rsidRPr="006D790D">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6D790D">
        <w:rPr>
          <w:rFonts w:cs="Arial"/>
          <w:lang w:val="en-GB"/>
        </w:rPr>
        <w:t>Woden</w:t>
      </w:r>
      <w:proofErr w:type="spellEnd"/>
      <w:r w:rsidRPr="006D790D">
        <w:rPr>
          <w:rFonts w:cs="Arial"/>
          <w:lang w:val="en-GB"/>
        </w:rPr>
        <w:t xml:space="preserve"> ACT 2606 or emailed to &lt;</w:t>
      </w:r>
      <w:hyperlink r:id="rId9" w:history="1">
        <w:r w:rsidRPr="006D790D">
          <w:rPr>
            <w:rStyle w:val="Hyperlink"/>
            <w:rFonts w:cs="Arial"/>
            <w:lang w:val="en-GB"/>
          </w:rPr>
          <w:t>tga.copyright@tga.gov.au</w:t>
        </w:r>
      </w:hyperlink>
      <w:r w:rsidRPr="006D790D">
        <w:rPr>
          <w:rFonts w:cs="Arial"/>
        </w:rPr>
        <w:t>&gt;.</w:t>
      </w:r>
    </w:p>
    <w:p w14:paraId="23570428" w14:textId="77777777" w:rsidR="00924482" w:rsidRPr="006D790D" w:rsidRDefault="00924482" w:rsidP="00924482">
      <w:pPr>
        <w:pStyle w:val="LegalCopy"/>
        <w:sectPr w:rsidR="00924482" w:rsidRPr="006D790D" w:rsidSect="003D1E62">
          <w:headerReference w:type="even" r:id="rId10"/>
          <w:headerReference w:type="default" r:id="rId11"/>
          <w:footerReference w:type="even" r:id="rId12"/>
          <w:footerReference w:type="default" r:id="rId13"/>
          <w:headerReference w:type="first" r:id="rId14"/>
          <w:footerReference w:type="first" r:id="rId15"/>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5C4744E0" w14:textId="77777777" w:rsidR="0089635C" w:rsidRPr="006D790D" w:rsidRDefault="0089635C" w:rsidP="0010788A">
          <w:pPr>
            <w:pStyle w:val="Contents"/>
          </w:pPr>
          <w:r w:rsidRPr="006D790D">
            <w:t>Contents</w:t>
          </w:r>
        </w:p>
        <w:p w14:paraId="6D6801AB" w14:textId="1016C1CC" w:rsidR="00890DD9" w:rsidRDefault="00C525A2">
          <w:pPr>
            <w:pStyle w:val="TOC1"/>
            <w:rPr>
              <w:rFonts w:asciiTheme="minorHAnsi" w:eastAsiaTheme="minorEastAsia" w:hAnsiTheme="minorHAnsi" w:cstheme="minorBidi"/>
              <w:b w:val="0"/>
              <w:noProof/>
              <w:sz w:val="22"/>
              <w:lang w:eastAsia="en-AU"/>
            </w:rPr>
          </w:pPr>
          <w:r w:rsidRPr="006D790D">
            <w:fldChar w:fldCharType="begin"/>
          </w:r>
          <w:r w:rsidRPr="006D790D">
            <w:instrText xml:space="preserve"> TOC \h \z \t "Heading 2,1,Heading 3,2" </w:instrText>
          </w:r>
          <w:r w:rsidRPr="006D790D">
            <w:fldChar w:fldCharType="separate"/>
          </w:r>
          <w:hyperlink w:anchor="_Toc86748260" w:history="1">
            <w:r w:rsidR="00890DD9" w:rsidRPr="0084205D">
              <w:rPr>
                <w:rStyle w:val="Hyperlink"/>
                <w:noProof/>
              </w:rPr>
              <w:t>List of abbreviations</w:t>
            </w:r>
            <w:r w:rsidR="00890DD9">
              <w:rPr>
                <w:noProof/>
                <w:webHidden/>
              </w:rPr>
              <w:tab/>
            </w:r>
            <w:r w:rsidR="00890DD9">
              <w:rPr>
                <w:noProof/>
                <w:webHidden/>
              </w:rPr>
              <w:fldChar w:fldCharType="begin"/>
            </w:r>
            <w:r w:rsidR="00890DD9">
              <w:rPr>
                <w:noProof/>
                <w:webHidden/>
              </w:rPr>
              <w:instrText xml:space="preserve"> PAGEREF _Toc86748260 \h </w:instrText>
            </w:r>
            <w:r w:rsidR="00890DD9">
              <w:rPr>
                <w:noProof/>
                <w:webHidden/>
              </w:rPr>
            </w:r>
            <w:r w:rsidR="00890DD9">
              <w:rPr>
                <w:noProof/>
                <w:webHidden/>
              </w:rPr>
              <w:fldChar w:fldCharType="separate"/>
            </w:r>
            <w:r w:rsidR="00890DD9">
              <w:rPr>
                <w:noProof/>
                <w:webHidden/>
              </w:rPr>
              <w:t>4</w:t>
            </w:r>
            <w:r w:rsidR="00890DD9">
              <w:rPr>
                <w:noProof/>
                <w:webHidden/>
              </w:rPr>
              <w:fldChar w:fldCharType="end"/>
            </w:r>
          </w:hyperlink>
        </w:p>
        <w:p w14:paraId="4A14F4A2" w14:textId="0AD1BEF8" w:rsidR="00890DD9" w:rsidRDefault="00890DD9">
          <w:pPr>
            <w:pStyle w:val="TOC1"/>
            <w:rPr>
              <w:rFonts w:asciiTheme="minorHAnsi" w:eastAsiaTheme="minorEastAsia" w:hAnsiTheme="minorHAnsi" w:cstheme="minorBidi"/>
              <w:b w:val="0"/>
              <w:noProof/>
              <w:sz w:val="22"/>
              <w:lang w:eastAsia="en-AU"/>
            </w:rPr>
          </w:pPr>
          <w:hyperlink w:anchor="_Toc86748261" w:history="1">
            <w:r w:rsidRPr="0084205D">
              <w:rPr>
                <w:rStyle w:val="Hyperlink"/>
                <w:noProof/>
              </w:rPr>
              <w:t>I. Introduction to product submission</w:t>
            </w:r>
            <w:r>
              <w:rPr>
                <w:noProof/>
                <w:webHidden/>
              </w:rPr>
              <w:tab/>
            </w:r>
            <w:r>
              <w:rPr>
                <w:noProof/>
                <w:webHidden/>
              </w:rPr>
              <w:fldChar w:fldCharType="begin"/>
            </w:r>
            <w:r>
              <w:rPr>
                <w:noProof/>
                <w:webHidden/>
              </w:rPr>
              <w:instrText xml:space="preserve"> PAGEREF _Toc86748261 \h </w:instrText>
            </w:r>
            <w:r>
              <w:rPr>
                <w:noProof/>
                <w:webHidden/>
              </w:rPr>
            </w:r>
            <w:r>
              <w:rPr>
                <w:noProof/>
                <w:webHidden/>
              </w:rPr>
              <w:fldChar w:fldCharType="separate"/>
            </w:r>
            <w:r>
              <w:rPr>
                <w:noProof/>
                <w:webHidden/>
              </w:rPr>
              <w:t>8</w:t>
            </w:r>
            <w:r>
              <w:rPr>
                <w:noProof/>
                <w:webHidden/>
              </w:rPr>
              <w:fldChar w:fldCharType="end"/>
            </w:r>
          </w:hyperlink>
        </w:p>
        <w:p w14:paraId="20F9B9E7" w14:textId="4BF89A1A" w:rsidR="00890DD9" w:rsidRDefault="00890DD9">
          <w:pPr>
            <w:pStyle w:val="TOC2"/>
            <w:rPr>
              <w:rFonts w:asciiTheme="minorHAnsi" w:eastAsiaTheme="minorEastAsia" w:hAnsiTheme="minorHAnsi" w:cstheme="minorBidi"/>
              <w:b w:val="0"/>
              <w:noProof/>
              <w:sz w:val="22"/>
              <w:lang w:eastAsia="en-AU"/>
            </w:rPr>
          </w:pPr>
          <w:hyperlink w:anchor="_Toc86748262" w:history="1">
            <w:r w:rsidRPr="0084205D">
              <w:rPr>
                <w:rStyle w:val="Hyperlink"/>
                <w:noProof/>
                <w:lang w:eastAsia="en-AU"/>
              </w:rPr>
              <w:t>Submission details</w:t>
            </w:r>
            <w:r>
              <w:rPr>
                <w:noProof/>
                <w:webHidden/>
              </w:rPr>
              <w:tab/>
            </w:r>
            <w:r>
              <w:rPr>
                <w:noProof/>
                <w:webHidden/>
              </w:rPr>
              <w:fldChar w:fldCharType="begin"/>
            </w:r>
            <w:r>
              <w:rPr>
                <w:noProof/>
                <w:webHidden/>
              </w:rPr>
              <w:instrText xml:space="preserve"> PAGEREF _Toc86748262 \h </w:instrText>
            </w:r>
            <w:r>
              <w:rPr>
                <w:noProof/>
                <w:webHidden/>
              </w:rPr>
            </w:r>
            <w:r>
              <w:rPr>
                <w:noProof/>
                <w:webHidden/>
              </w:rPr>
              <w:fldChar w:fldCharType="separate"/>
            </w:r>
            <w:r>
              <w:rPr>
                <w:noProof/>
                <w:webHidden/>
              </w:rPr>
              <w:t>8</w:t>
            </w:r>
            <w:r>
              <w:rPr>
                <w:noProof/>
                <w:webHidden/>
              </w:rPr>
              <w:fldChar w:fldCharType="end"/>
            </w:r>
          </w:hyperlink>
        </w:p>
        <w:p w14:paraId="275D9E99" w14:textId="402D36DD" w:rsidR="00890DD9" w:rsidRDefault="00890DD9">
          <w:pPr>
            <w:pStyle w:val="TOC2"/>
            <w:rPr>
              <w:rFonts w:asciiTheme="minorHAnsi" w:eastAsiaTheme="minorEastAsia" w:hAnsiTheme="minorHAnsi" w:cstheme="minorBidi"/>
              <w:b w:val="0"/>
              <w:noProof/>
              <w:sz w:val="22"/>
              <w:lang w:eastAsia="en-AU"/>
            </w:rPr>
          </w:pPr>
          <w:hyperlink w:anchor="_Toc86748263" w:history="1">
            <w:r w:rsidRPr="0084205D">
              <w:rPr>
                <w:rStyle w:val="Hyperlink"/>
                <w:noProof/>
              </w:rPr>
              <w:t>Product background</w:t>
            </w:r>
            <w:r>
              <w:rPr>
                <w:noProof/>
                <w:webHidden/>
              </w:rPr>
              <w:tab/>
            </w:r>
            <w:r>
              <w:rPr>
                <w:noProof/>
                <w:webHidden/>
              </w:rPr>
              <w:fldChar w:fldCharType="begin"/>
            </w:r>
            <w:r>
              <w:rPr>
                <w:noProof/>
                <w:webHidden/>
              </w:rPr>
              <w:instrText xml:space="preserve"> PAGEREF _Toc86748263 \h </w:instrText>
            </w:r>
            <w:r>
              <w:rPr>
                <w:noProof/>
                <w:webHidden/>
              </w:rPr>
            </w:r>
            <w:r>
              <w:rPr>
                <w:noProof/>
                <w:webHidden/>
              </w:rPr>
              <w:fldChar w:fldCharType="separate"/>
            </w:r>
            <w:r>
              <w:rPr>
                <w:noProof/>
                <w:webHidden/>
              </w:rPr>
              <w:t>10</w:t>
            </w:r>
            <w:r>
              <w:rPr>
                <w:noProof/>
                <w:webHidden/>
              </w:rPr>
              <w:fldChar w:fldCharType="end"/>
            </w:r>
          </w:hyperlink>
        </w:p>
        <w:p w14:paraId="4D9A1897" w14:textId="12705165" w:rsidR="00890DD9" w:rsidRDefault="00890DD9">
          <w:pPr>
            <w:pStyle w:val="TOC2"/>
            <w:rPr>
              <w:rFonts w:asciiTheme="minorHAnsi" w:eastAsiaTheme="minorEastAsia" w:hAnsiTheme="minorHAnsi" w:cstheme="minorBidi"/>
              <w:b w:val="0"/>
              <w:noProof/>
              <w:sz w:val="22"/>
              <w:lang w:eastAsia="en-AU"/>
            </w:rPr>
          </w:pPr>
          <w:hyperlink w:anchor="_Toc86748264" w:history="1">
            <w:r w:rsidRPr="0084205D">
              <w:rPr>
                <w:rStyle w:val="Hyperlink"/>
                <w:noProof/>
              </w:rPr>
              <w:t>Regulatory status</w:t>
            </w:r>
            <w:r>
              <w:rPr>
                <w:noProof/>
                <w:webHidden/>
              </w:rPr>
              <w:tab/>
            </w:r>
            <w:r>
              <w:rPr>
                <w:noProof/>
                <w:webHidden/>
              </w:rPr>
              <w:fldChar w:fldCharType="begin"/>
            </w:r>
            <w:r>
              <w:rPr>
                <w:noProof/>
                <w:webHidden/>
              </w:rPr>
              <w:instrText xml:space="preserve"> PAGEREF _Toc86748264 \h </w:instrText>
            </w:r>
            <w:r>
              <w:rPr>
                <w:noProof/>
                <w:webHidden/>
              </w:rPr>
            </w:r>
            <w:r>
              <w:rPr>
                <w:noProof/>
                <w:webHidden/>
              </w:rPr>
              <w:fldChar w:fldCharType="separate"/>
            </w:r>
            <w:r>
              <w:rPr>
                <w:noProof/>
                <w:webHidden/>
              </w:rPr>
              <w:t>12</w:t>
            </w:r>
            <w:r>
              <w:rPr>
                <w:noProof/>
                <w:webHidden/>
              </w:rPr>
              <w:fldChar w:fldCharType="end"/>
            </w:r>
          </w:hyperlink>
        </w:p>
        <w:p w14:paraId="2BAE3DDC" w14:textId="71288E6B" w:rsidR="00890DD9" w:rsidRDefault="00890DD9">
          <w:pPr>
            <w:pStyle w:val="TOC2"/>
            <w:rPr>
              <w:rFonts w:asciiTheme="minorHAnsi" w:eastAsiaTheme="minorEastAsia" w:hAnsiTheme="minorHAnsi" w:cstheme="minorBidi"/>
              <w:b w:val="0"/>
              <w:noProof/>
              <w:sz w:val="22"/>
              <w:lang w:eastAsia="en-AU"/>
            </w:rPr>
          </w:pPr>
          <w:hyperlink w:anchor="_Toc86748265" w:history="1">
            <w:r w:rsidRPr="0084205D">
              <w:rPr>
                <w:rStyle w:val="Hyperlink"/>
                <w:noProof/>
              </w:rPr>
              <w:t>Product Information</w:t>
            </w:r>
            <w:r>
              <w:rPr>
                <w:noProof/>
                <w:webHidden/>
              </w:rPr>
              <w:tab/>
            </w:r>
            <w:r>
              <w:rPr>
                <w:noProof/>
                <w:webHidden/>
              </w:rPr>
              <w:fldChar w:fldCharType="begin"/>
            </w:r>
            <w:r>
              <w:rPr>
                <w:noProof/>
                <w:webHidden/>
              </w:rPr>
              <w:instrText xml:space="preserve"> PAGEREF _Toc86748265 \h </w:instrText>
            </w:r>
            <w:r>
              <w:rPr>
                <w:noProof/>
                <w:webHidden/>
              </w:rPr>
            </w:r>
            <w:r>
              <w:rPr>
                <w:noProof/>
                <w:webHidden/>
              </w:rPr>
              <w:fldChar w:fldCharType="separate"/>
            </w:r>
            <w:r>
              <w:rPr>
                <w:noProof/>
                <w:webHidden/>
              </w:rPr>
              <w:t>13</w:t>
            </w:r>
            <w:r>
              <w:rPr>
                <w:noProof/>
                <w:webHidden/>
              </w:rPr>
              <w:fldChar w:fldCharType="end"/>
            </w:r>
          </w:hyperlink>
        </w:p>
        <w:p w14:paraId="5687F511" w14:textId="0E0221BD" w:rsidR="00890DD9" w:rsidRDefault="00890DD9">
          <w:pPr>
            <w:pStyle w:val="TOC1"/>
            <w:rPr>
              <w:rFonts w:asciiTheme="minorHAnsi" w:eastAsiaTheme="minorEastAsia" w:hAnsiTheme="minorHAnsi" w:cstheme="minorBidi"/>
              <w:b w:val="0"/>
              <w:noProof/>
              <w:sz w:val="22"/>
              <w:lang w:eastAsia="en-AU"/>
            </w:rPr>
          </w:pPr>
          <w:hyperlink w:anchor="_Toc86748266" w:history="1">
            <w:r w:rsidRPr="0084205D">
              <w:rPr>
                <w:rStyle w:val="Hyperlink"/>
                <w:noProof/>
              </w:rPr>
              <w:t>II. Registration timeline</w:t>
            </w:r>
            <w:r>
              <w:rPr>
                <w:noProof/>
                <w:webHidden/>
              </w:rPr>
              <w:tab/>
            </w:r>
            <w:r>
              <w:rPr>
                <w:noProof/>
                <w:webHidden/>
              </w:rPr>
              <w:fldChar w:fldCharType="begin"/>
            </w:r>
            <w:r>
              <w:rPr>
                <w:noProof/>
                <w:webHidden/>
              </w:rPr>
              <w:instrText xml:space="preserve"> PAGEREF _Toc86748266 \h </w:instrText>
            </w:r>
            <w:r>
              <w:rPr>
                <w:noProof/>
                <w:webHidden/>
              </w:rPr>
            </w:r>
            <w:r>
              <w:rPr>
                <w:noProof/>
                <w:webHidden/>
              </w:rPr>
              <w:fldChar w:fldCharType="separate"/>
            </w:r>
            <w:r>
              <w:rPr>
                <w:noProof/>
                <w:webHidden/>
              </w:rPr>
              <w:t>13</w:t>
            </w:r>
            <w:r>
              <w:rPr>
                <w:noProof/>
                <w:webHidden/>
              </w:rPr>
              <w:fldChar w:fldCharType="end"/>
            </w:r>
          </w:hyperlink>
        </w:p>
        <w:p w14:paraId="38D16657" w14:textId="6CE30E56" w:rsidR="00890DD9" w:rsidRDefault="00890DD9">
          <w:pPr>
            <w:pStyle w:val="TOC1"/>
            <w:rPr>
              <w:rFonts w:asciiTheme="minorHAnsi" w:eastAsiaTheme="minorEastAsia" w:hAnsiTheme="minorHAnsi" w:cstheme="minorBidi"/>
              <w:b w:val="0"/>
              <w:noProof/>
              <w:sz w:val="22"/>
              <w:lang w:eastAsia="en-AU"/>
            </w:rPr>
          </w:pPr>
          <w:hyperlink w:anchor="_Toc86748267" w:history="1">
            <w:r w:rsidRPr="0084205D">
              <w:rPr>
                <w:rStyle w:val="Hyperlink"/>
                <w:noProof/>
              </w:rPr>
              <w:t>III. Submission overview and risk/benefit assessment</w:t>
            </w:r>
            <w:r>
              <w:rPr>
                <w:noProof/>
                <w:webHidden/>
              </w:rPr>
              <w:tab/>
            </w:r>
            <w:r>
              <w:rPr>
                <w:noProof/>
                <w:webHidden/>
              </w:rPr>
              <w:fldChar w:fldCharType="begin"/>
            </w:r>
            <w:r>
              <w:rPr>
                <w:noProof/>
                <w:webHidden/>
              </w:rPr>
              <w:instrText xml:space="preserve"> PAGEREF _Toc86748267 \h </w:instrText>
            </w:r>
            <w:r>
              <w:rPr>
                <w:noProof/>
                <w:webHidden/>
              </w:rPr>
            </w:r>
            <w:r>
              <w:rPr>
                <w:noProof/>
                <w:webHidden/>
              </w:rPr>
              <w:fldChar w:fldCharType="separate"/>
            </w:r>
            <w:r>
              <w:rPr>
                <w:noProof/>
                <w:webHidden/>
              </w:rPr>
              <w:t>14</w:t>
            </w:r>
            <w:r>
              <w:rPr>
                <w:noProof/>
                <w:webHidden/>
              </w:rPr>
              <w:fldChar w:fldCharType="end"/>
            </w:r>
          </w:hyperlink>
        </w:p>
        <w:p w14:paraId="544FF74A" w14:textId="2F49343C" w:rsidR="00890DD9" w:rsidRDefault="00890DD9">
          <w:pPr>
            <w:pStyle w:val="TOC2"/>
            <w:rPr>
              <w:rFonts w:asciiTheme="minorHAnsi" w:eastAsiaTheme="minorEastAsia" w:hAnsiTheme="minorHAnsi" w:cstheme="minorBidi"/>
              <w:b w:val="0"/>
              <w:noProof/>
              <w:sz w:val="22"/>
              <w:lang w:eastAsia="en-AU"/>
            </w:rPr>
          </w:pPr>
          <w:hyperlink w:anchor="_Toc86748268" w:history="1">
            <w:r w:rsidRPr="0084205D">
              <w:rPr>
                <w:rStyle w:val="Hyperlink"/>
                <w:noProof/>
              </w:rPr>
              <w:t>Quality</w:t>
            </w:r>
            <w:r>
              <w:rPr>
                <w:noProof/>
                <w:webHidden/>
              </w:rPr>
              <w:tab/>
            </w:r>
            <w:r>
              <w:rPr>
                <w:noProof/>
                <w:webHidden/>
              </w:rPr>
              <w:fldChar w:fldCharType="begin"/>
            </w:r>
            <w:r>
              <w:rPr>
                <w:noProof/>
                <w:webHidden/>
              </w:rPr>
              <w:instrText xml:space="preserve"> PAGEREF _Toc86748268 \h </w:instrText>
            </w:r>
            <w:r>
              <w:rPr>
                <w:noProof/>
                <w:webHidden/>
              </w:rPr>
            </w:r>
            <w:r>
              <w:rPr>
                <w:noProof/>
                <w:webHidden/>
              </w:rPr>
              <w:fldChar w:fldCharType="separate"/>
            </w:r>
            <w:r>
              <w:rPr>
                <w:noProof/>
                <w:webHidden/>
              </w:rPr>
              <w:t>14</w:t>
            </w:r>
            <w:r>
              <w:rPr>
                <w:noProof/>
                <w:webHidden/>
              </w:rPr>
              <w:fldChar w:fldCharType="end"/>
            </w:r>
          </w:hyperlink>
        </w:p>
        <w:p w14:paraId="1ACEAA00" w14:textId="6BBDD635" w:rsidR="00890DD9" w:rsidRDefault="00890DD9">
          <w:pPr>
            <w:pStyle w:val="TOC2"/>
            <w:rPr>
              <w:rFonts w:asciiTheme="minorHAnsi" w:eastAsiaTheme="minorEastAsia" w:hAnsiTheme="minorHAnsi" w:cstheme="minorBidi"/>
              <w:b w:val="0"/>
              <w:noProof/>
              <w:sz w:val="22"/>
              <w:lang w:eastAsia="en-AU"/>
            </w:rPr>
          </w:pPr>
          <w:hyperlink w:anchor="_Toc86748269" w:history="1">
            <w:r w:rsidRPr="0084205D">
              <w:rPr>
                <w:rStyle w:val="Hyperlink"/>
                <w:noProof/>
              </w:rPr>
              <w:t>Nonclinical</w:t>
            </w:r>
            <w:r>
              <w:rPr>
                <w:noProof/>
                <w:webHidden/>
              </w:rPr>
              <w:tab/>
            </w:r>
            <w:r>
              <w:rPr>
                <w:noProof/>
                <w:webHidden/>
              </w:rPr>
              <w:fldChar w:fldCharType="begin"/>
            </w:r>
            <w:r>
              <w:rPr>
                <w:noProof/>
                <w:webHidden/>
              </w:rPr>
              <w:instrText xml:space="preserve"> PAGEREF _Toc86748269 \h </w:instrText>
            </w:r>
            <w:r>
              <w:rPr>
                <w:noProof/>
                <w:webHidden/>
              </w:rPr>
            </w:r>
            <w:r>
              <w:rPr>
                <w:noProof/>
                <w:webHidden/>
              </w:rPr>
              <w:fldChar w:fldCharType="separate"/>
            </w:r>
            <w:r>
              <w:rPr>
                <w:noProof/>
                <w:webHidden/>
              </w:rPr>
              <w:t>16</w:t>
            </w:r>
            <w:r>
              <w:rPr>
                <w:noProof/>
                <w:webHidden/>
              </w:rPr>
              <w:fldChar w:fldCharType="end"/>
            </w:r>
          </w:hyperlink>
        </w:p>
        <w:p w14:paraId="055C8CDB" w14:textId="05660B46" w:rsidR="00890DD9" w:rsidRDefault="00890DD9">
          <w:pPr>
            <w:pStyle w:val="TOC2"/>
            <w:rPr>
              <w:rFonts w:asciiTheme="minorHAnsi" w:eastAsiaTheme="minorEastAsia" w:hAnsiTheme="minorHAnsi" w:cstheme="minorBidi"/>
              <w:b w:val="0"/>
              <w:noProof/>
              <w:sz w:val="22"/>
              <w:lang w:eastAsia="en-AU"/>
            </w:rPr>
          </w:pPr>
          <w:hyperlink w:anchor="_Toc86748270" w:history="1">
            <w:r w:rsidRPr="0084205D">
              <w:rPr>
                <w:rStyle w:val="Hyperlink"/>
                <w:noProof/>
              </w:rPr>
              <w:t>Clinical</w:t>
            </w:r>
            <w:r>
              <w:rPr>
                <w:noProof/>
                <w:webHidden/>
              </w:rPr>
              <w:tab/>
            </w:r>
            <w:r>
              <w:rPr>
                <w:noProof/>
                <w:webHidden/>
              </w:rPr>
              <w:fldChar w:fldCharType="begin"/>
            </w:r>
            <w:r>
              <w:rPr>
                <w:noProof/>
                <w:webHidden/>
              </w:rPr>
              <w:instrText xml:space="preserve"> PAGEREF _Toc86748270 \h </w:instrText>
            </w:r>
            <w:r>
              <w:rPr>
                <w:noProof/>
                <w:webHidden/>
              </w:rPr>
            </w:r>
            <w:r>
              <w:rPr>
                <w:noProof/>
                <w:webHidden/>
              </w:rPr>
              <w:fldChar w:fldCharType="separate"/>
            </w:r>
            <w:r>
              <w:rPr>
                <w:noProof/>
                <w:webHidden/>
              </w:rPr>
              <w:t>17</w:t>
            </w:r>
            <w:r>
              <w:rPr>
                <w:noProof/>
                <w:webHidden/>
              </w:rPr>
              <w:fldChar w:fldCharType="end"/>
            </w:r>
          </w:hyperlink>
        </w:p>
        <w:p w14:paraId="4A9472A4" w14:textId="3AC8AA2F" w:rsidR="00890DD9" w:rsidRDefault="00890DD9">
          <w:pPr>
            <w:pStyle w:val="TOC2"/>
            <w:rPr>
              <w:rFonts w:asciiTheme="minorHAnsi" w:eastAsiaTheme="minorEastAsia" w:hAnsiTheme="minorHAnsi" w:cstheme="minorBidi"/>
              <w:b w:val="0"/>
              <w:noProof/>
              <w:sz w:val="22"/>
              <w:lang w:eastAsia="en-AU"/>
            </w:rPr>
          </w:pPr>
          <w:hyperlink w:anchor="_Toc86748271" w:history="1">
            <w:r w:rsidRPr="0084205D">
              <w:rPr>
                <w:rStyle w:val="Hyperlink"/>
                <w:noProof/>
                <w:lang w:eastAsia="en-AU"/>
              </w:rPr>
              <w:t>Risk management plan</w:t>
            </w:r>
            <w:r>
              <w:rPr>
                <w:noProof/>
                <w:webHidden/>
              </w:rPr>
              <w:tab/>
            </w:r>
            <w:r>
              <w:rPr>
                <w:noProof/>
                <w:webHidden/>
              </w:rPr>
              <w:fldChar w:fldCharType="begin"/>
            </w:r>
            <w:r>
              <w:rPr>
                <w:noProof/>
                <w:webHidden/>
              </w:rPr>
              <w:instrText xml:space="preserve"> PAGEREF _Toc86748271 \h </w:instrText>
            </w:r>
            <w:r>
              <w:rPr>
                <w:noProof/>
                <w:webHidden/>
              </w:rPr>
            </w:r>
            <w:r>
              <w:rPr>
                <w:noProof/>
                <w:webHidden/>
              </w:rPr>
              <w:fldChar w:fldCharType="separate"/>
            </w:r>
            <w:r>
              <w:rPr>
                <w:noProof/>
                <w:webHidden/>
              </w:rPr>
              <w:t>63</w:t>
            </w:r>
            <w:r>
              <w:rPr>
                <w:noProof/>
                <w:webHidden/>
              </w:rPr>
              <w:fldChar w:fldCharType="end"/>
            </w:r>
          </w:hyperlink>
        </w:p>
        <w:p w14:paraId="3BFEE98D" w14:textId="64423F59" w:rsidR="00890DD9" w:rsidRDefault="00890DD9">
          <w:pPr>
            <w:pStyle w:val="TOC2"/>
            <w:rPr>
              <w:rFonts w:asciiTheme="minorHAnsi" w:eastAsiaTheme="minorEastAsia" w:hAnsiTheme="minorHAnsi" w:cstheme="minorBidi"/>
              <w:b w:val="0"/>
              <w:noProof/>
              <w:sz w:val="22"/>
              <w:lang w:eastAsia="en-AU"/>
            </w:rPr>
          </w:pPr>
          <w:hyperlink w:anchor="_Toc86748272" w:history="1">
            <w:r w:rsidRPr="0084205D">
              <w:rPr>
                <w:rStyle w:val="Hyperlink"/>
                <w:noProof/>
              </w:rPr>
              <w:t>Risk-benefit analysis</w:t>
            </w:r>
            <w:r>
              <w:rPr>
                <w:noProof/>
                <w:webHidden/>
              </w:rPr>
              <w:tab/>
            </w:r>
            <w:r>
              <w:rPr>
                <w:noProof/>
                <w:webHidden/>
              </w:rPr>
              <w:fldChar w:fldCharType="begin"/>
            </w:r>
            <w:r>
              <w:rPr>
                <w:noProof/>
                <w:webHidden/>
              </w:rPr>
              <w:instrText xml:space="preserve"> PAGEREF _Toc86748272 \h </w:instrText>
            </w:r>
            <w:r>
              <w:rPr>
                <w:noProof/>
                <w:webHidden/>
              </w:rPr>
            </w:r>
            <w:r>
              <w:rPr>
                <w:noProof/>
                <w:webHidden/>
              </w:rPr>
              <w:fldChar w:fldCharType="separate"/>
            </w:r>
            <w:r>
              <w:rPr>
                <w:noProof/>
                <w:webHidden/>
              </w:rPr>
              <w:t>64</w:t>
            </w:r>
            <w:r>
              <w:rPr>
                <w:noProof/>
                <w:webHidden/>
              </w:rPr>
              <w:fldChar w:fldCharType="end"/>
            </w:r>
          </w:hyperlink>
        </w:p>
        <w:p w14:paraId="3D52963F" w14:textId="21616668" w:rsidR="00890DD9" w:rsidRDefault="00890DD9">
          <w:pPr>
            <w:pStyle w:val="TOC2"/>
            <w:rPr>
              <w:rFonts w:asciiTheme="minorHAnsi" w:eastAsiaTheme="minorEastAsia" w:hAnsiTheme="minorHAnsi" w:cstheme="minorBidi"/>
              <w:b w:val="0"/>
              <w:noProof/>
              <w:sz w:val="22"/>
              <w:lang w:eastAsia="en-AU"/>
            </w:rPr>
          </w:pPr>
          <w:hyperlink w:anchor="_Toc86748273" w:history="1">
            <w:r w:rsidRPr="0084205D">
              <w:rPr>
                <w:rStyle w:val="Hyperlink"/>
                <w:noProof/>
              </w:rPr>
              <w:t>Outcome</w:t>
            </w:r>
            <w:r>
              <w:rPr>
                <w:noProof/>
                <w:webHidden/>
              </w:rPr>
              <w:tab/>
            </w:r>
            <w:r>
              <w:rPr>
                <w:noProof/>
                <w:webHidden/>
              </w:rPr>
              <w:fldChar w:fldCharType="begin"/>
            </w:r>
            <w:r>
              <w:rPr>
                <w:noProof/>
                <w:webHidden/>
              </w:rPr>
              <w:instrText xml:space="preserve"> PAGEREF _Toc86748273 \h </w:instrText>
            </w:r>
            <w:r>
              <w:rPr>
                <w:noProof/>
                <w:webHidden/>
              </w:rPr>
            </w:r>
            <w:r>
              <w:rPr>
                <w:noProof/>
                <w:webHidden/>
              </w:rPr>
              <w:fldChar w:fldCharType="separate"/>
            </w:r>
            <w:r>
              <w:rPr>
                <w:noProof/>
                <w:webHidden/>
              </w:rPr>
              <w:t>74</w:t>
            </w:r>
            <w:r>
              <w:rPr>
                <w:noProof/>
                <w:webHidden/>
              </w:rPr>
              <w:fldChar w:fldCharType="end"/>
            </w:r>
          </w:hyperlink>
        </w:p>
        <w:p w14:paraId="245AC86E" w14:textId="0EF15F5F" w:rsidR="00890DD9" w:rsidRDefault="00890DD9">
          <w:pPr>
            <w:pStyle w:val="TOC1"/>
            <w:rPr>
              <w:rFonts w:asciiTheme="minorHAnsi" w:eastAsiaTheme="minorEastAsia" w:hAnsiTheme="minorHAnsi" w:cstheme="minorBidi"/>
              <w:b w:val="0"/>
              <w:noProof/>
              <w:sz w:val="22"/>
              <w:lang w:eastAsia="en-AU"/>
            </w:rPr>
          </w:pPr>
          <w:hyperlink w:anchor="_Toc86748274" w:history="1">
            <w:r w:rsidRPr="0084205D">
              <w:rPr>
                <w:rStyle w:val="Hyperlink"/>
                <w:noProof/>
              </w:rPr>
              <w:t>Attachment 1. Product Information</w:t>
            </w:r>
            <w:r>
              <w:rPr>
                <w:noProof/>
                <w:webHidden/>
              </w:rPr>
              <w:tab/>
            </w:r>
            <w:r>
              <w:rPr>
                <w:noProof/>
                <w:webHidden/>
              </w:rPr>
              <w:fldChar w:fldCharType="begin"/>
            </w:r>
            <w:r>
              <w:rPr>
                <w:noProof/>
                <w:webHidden/>
              </w:rPr>
              <w:instrText xml:space="preserve"> PAGEREF _Toc86748274 \h </w:instrText>
            </w:r>
            <w:r>
              <w:rPr>
                <w:noProof/>
                <w:webHidden/>
              </w:rPr>
            </w:r>
            <w:r>
              <w:rPr>
                <w:noProof/>
                <w:webHidden/>
              </w:rPr>
              <w:fldChar w:fldCharType="separate"/>
            </w:r>
            <w:r>
              <w:rPr>
                <w:noProof/>
                <w:webHidden/>
              </w:rPr>
              <w:t>77</w:t>
            </w:r>
            <w:r>
              <w:rPr>
                <w:noProof/>
                <w:webHidden/>
              </w:rPr>
              <w:fldChar w:fldCharType="end"/>
            </w:r>
          </w:hyperlink>
        </w:p>
        <w:p w14:paraId="5E26872F" w14:textId="49C7D9C2" w:rsidR="003A7F6C" w:rsidRPr="006D790D" w:rsidRDefault="00C525A2" w:rsidP="00B811C6">
          <w:pPr>
            <w:pStyle w:val="TOC2"/>
          </w:pPr>
          <w:r w:rsidRPr="006D790D">
            <w:fldChar w:fldCharType="end"/>
          </w:r>
        </w:p>
      </w:sdtContent>
    </w:sdt>
    <w:bookmarkStart w:id="2" w:name="_Toc314842482" w:displacedByCustomXml="prev"/>
    <w:p w14:paraId="071CF5FC" w14:textId="77777777" w:rsidR="00FD119B" w:rsidRPr="006D790D" w:rsidRDefault="00FD119B">
      <w:pPr>
        <w:spacing w:before="0" w:after="200" w:line="0" w:lineRule="auto"/>
      </w:pPr>
      <w:r w:rsidRPr="006D790D">
        <w:br w:type="page"/>
      </w:r>
    </w:p>
    <w:p w14:paraId="7D158B33" w14:textId="77777777" w:rsidR="00FD119B" w:rsidRPr="006D790D" w:rsidRDefault="00324E45" w:rsidP="004F0C4A">
      <w:pPr>
        <w:pStyle w:val="Heading2"/>
      </w:pPr>
      <w:bookmarkStart w:id="3" w:name="_Toc351716269"/>
      <w:bookmarkStart w:id="4" w:name="_Toc351718881"/>
      <w:bookmarkStart w:id="5" w:name="_Toc355338616"/>
      <w:bookmarkStart w:id="6" w:name="_Toc356306144"/>
      <w:bookmarkStart w:id="7" w:name="_Toc86748260"/>
      <w:r w:rsidRPr="006D790D">
        <w:lastRenderedPageBreak/>
        <w:t>List of</w:t>
      </w:r>
      <w:r w:rsidR="00FD119B" w:rsidRPr="006D790D">
        <w:t xml:space="preserve"> abbreviations</w:t>
      </w:r>
      <w:bookmarkEnd w:id="3"/>
      <w:bookmarkEnd w:id="4"/>
      <w:bookmarkEnd w:id="5"/>
      <w:bookmarkEnd w:id="6"/>
      <w:bookmarkEnd w:id="7"/>
    </w:p>
    <w:tbl>
      <w:tblPr>
        <w:tblStyle w:val="TableTGAblue"/>
        <w:tblW w:w="0" w:type="auto"/>
        <w:tblLook w:val="04A0" w:firstRow="1" w:lastRow="0" w:firstColumn="1" w:lastColumn="0" w:noHBand="0" w:noVBand="1"/>
      </w:tblPr>
      <w:tblGrid>
        <w:gridCol w:w="1799"/>
        <w:gridCol w:w="6695"/>
      </w:tblGrid>
      <w:tr w:rsidR="00FD119B" w:rsidRPr="006D790D" w14:paraId="7349E7D6" w14:textId="77777777" w:rsidTr="00E35737">
        <w:trPr>
          <w:cnfStyle w:val="100000000000" w:firstRow="1" w:lastRow="0" w:firstColumn="0" w:lastColumn="0" w:oddVBand="0" w:evenVBand="0" w:oddHBand="0" w:evenHBand="0" w:firstRowFirstColumn="0" w:firstRowLastColumn="0" w:lastRowFirstColumn="0" w:lastRowLastColumn="0"/>
        </w:trPr>
        <w:tc>
          <w:tcPr>
            <w:tcW w:w="1799" w:type="dxa"/>
            <w:tcBorders>
              <w:top w:val="single" w:sz="4" w:space="0" w:color="auto"/>
              <w:left w:val="single" w:sz="4" w:space="0" w:color="auto"/>
              <w:bottom w:val="single" w:sz="4" w:space="0" w:color="auto"/>
              <w:right w:val="single" w:sz="4" w:space="0" w:color="auto"/>
            </w:tcBorders>
          </w:tcPr>
          <w:p w14:paraId="56301BBE" w14:textId="77777777" w:rsidR="00FD119B" w:rsidRPr="006D790D" w:rsidRDefault="00FD119B" w:rsidP="00CF5DAD">
            <w:pPr>
              <w:keepNext w:val="0"/>
              <w:ind w:left="0" w:right="0"/>
              <w:rPr>
                <w:szCs w:val="22"/>
                <w:lang w:eastAsia="en-US"/>
              </w:rPr>
            </w:pPr>
            <w:r w:rsidRPr="006D790D">
              <w:rPr>
                <w:szCs w:val="22"/>
                <w:lang w:eastAsia="en-US"/>
              </w:rPr>
              <w:t>Abbreviation</w:t>
            </w:r>
          </w:p>
        </w:tc>
        <w:tc>
          <w:tcPr>
            <w:tcW w:w="6695" w:type="dxa"/>
            <w:tcBorders>
              <w:top w:val="single" w:sz="4" w:space="0" w:color="auto"/>
              <w:left w:val="single" w:sz="4" w:space="0" w:color="auto"/>
              <w:bottom w:val="single" w:sz="4" w:space="0" w:color="auto"/>
              <w:right w:val="single" w:sz="4" w:space="0" w:color="auto"/>
            </w:tcBorders>
          </w:tcPr>
          <w:p w14:paraId="0EA5375F" w14:textId="77777777" w:rsidR="00FD119B" w:rsidRPr="006D790D" w:rsidRDefault="00FD119B" w:rsidP="00CF5DAD">
            <w:pPr>
              <w:keepNext w:val="0"/>
              <w:ind w:left="0" w:right="0"/>
              <w:rPr>
                <w:szCs w:val="22"/>
                <w:lang w:eastAsia="en-US"/>
              </w:rPr>
            </w:pPr>
            <w:r w:rsidRPr="006D790D">
              <w:rPr>
                <w:szCs w:val="22"/>
                <w:lang w:eastAsia="en-US"/>
              </w:rPr>
              <w:t>Meaning</w:t>
            </w:r>
          </w:p>
        </w:tc>
      </w:tr>
      <w:tr w:rsidR="0014094C" w:rsidRPr="006D790D" w14:paraId="49D14251" w14:textId="77777777" w:rsidTr="00E35737">
        <w:tc>
          <w:tcPr>
            <w:tcW w:w="1799" w:type="dxa"/>
            <w:tcBorders>
              <w:top w:val="single" w:sz="4" w:space="0" w:color="auto"/>
            </w:tcBorders>
          </w:tcPr>
          <w:p w14:paraId="34D9D057" w14:textId="73B26C7D" w:rsidR="0014094C" w:rsidRPr="006D790D" w:rsidRDefault="0014094C" w:rsidP="0014094C">
            <w:pPr>
              <w:ind w:left="0"/>
            </w:pPr>
            <w:r w:rsidRPr="006D790D">
              <w:t>ACE2</w:t>
            </w:r>
          </w:p>
        </w:tc>
        <w:tc>
          <w:tcPr>
            <w:tcW w:w="6695" w:type="dxa"/>
            <w:tcBorders>
              <w:top w:val="single" w:sz="4" w:space="0" w:color="auto"/>
            </w:tcBorders>
          </w:tcPr>
          <w:p w14:paraId="231A7A44" w14:textId="0987F7FD" w:rsidR="0014094C" w:rsidRPr="006D790D" w:rsidRDefault="0014094C" w:rsidP="0014094C">
            <w:pPr>
              <w:ind w:left="0"/>
            </w:pPr>
            <w:r w:rsidRPr="006D790D">
              <w:t>Angiotensin converting enzyme 2</w:t>
            </w:r>
          </w:p>
        </w:tc>
      </w:tr>
      <w:tr w:rsidR="0014094C" w:rsidRPr="006D790D" w14:paraId="701D7951" w14:textId="77777777" w:rsidTr="00E35737">
        <w:tc>
          <w:tcPr>
            <w:tcW w:w="1799" w:type="dxa"/>
            <w:tcBorders>
              <w:top w:val="single" w:sz="4" w:space="0" w:color="auto"/>
            </w:tcBorders>
          </w:tcPr>
          <w:p w14:paraId="6D85C13C" w14:textId="56E050CE" w:rsidR="0014094C" w:rsidRPr="006D790D" w:rsidRDefault="0014094C" w:rsidP="0014094C">
            <w:pPr>
              <w:ind w:left="0"/>
            </w:pPr>
            <w:r w:rsidRPr="006D790D">
              <w:t>ACM</w:t>
            </w:r>
          </w:p>
        </w:tc>
        <w:tc>
          <w:tcPr>
            <w:tcW w:w="6695" w:type="dxa"/>
            <w:tcBorders>
              <w:top w:val="single" w:sz="4" w:space="0" w:color="auto"/>
            </w:tcBorders>
          </w:tcPr>
          <w:p w14:paraId="3F530CC3" w14:textId="7688CD2B" w:rsidR="0014094C" w:rsidRPr="006D790D" w:rsidRDefault="0014094C" w:rsidP="0014094C">
            <w:pPr>
              <w:ind w:left="0"/>
            </w:pPr>
            <w:r w:rsidRPr="006D790D">
              <w:t>Advisory Committee on Medicines</w:t>
            </w:r>
          </w:p>
        </w:tc>
      </w:tr>
      <w:tr w:rsidR="00F847E4" w:rsidRPr="006D790D" w14:paraId="5B4F58FB" w14:textId="77777777" w:rsidTr="00E35737">
        <w:tc>
          <w:tcPr>
            <w:tcW w:w="1799" w:type="dxa"/>
            <w:tcBorders>
              <w:top w:val="single" w:sz="4" w:space="0" w:color="auto"/>
            </w:tcBorders>
          </w:tcPr>
          <w:p w14:paraId="567DF803" w14:textId="5230EB53" w:rsidR="00F847E4" w:rsidRPr="006D790D" w:rsidRDefault="00F847E4" w:rsidP="00F847E4">
            <w:pPr>
              <w:ind w:left="0"/>
            </w:pPr>
            <w:r w:rsidRPr="006D790D">
              <w:t>ADA</w:t>
            </w:r>
          </w:p>
        </w:tc>
        <w:tc>
          <w:tcPr>
            <w:tcW w:w="6695" w:type="dxa"/>
            <w:tcBorders>
              <w:top w:val="single" w:sz="4" w:space="0" w:color="auto"/>
            </w:tcBorders>
          </w:tcPr>
          <w:p w14:paraId="39A07257" w14:textId="1FAFEA84" w:rsidR="00F847E4" w:rsidRPr="006D790D" w:rsidRDefault="00F847E4" w:rsidP="00F847E4">
            <w:pPr>
              <w:ind w:left="0"/>
            </w:pPr>
            <w:r w:rsidRPr="006D790D">
              <w:t>Anti-drug antibodies</w:t>
            </w:r>
          </w:p>
        </w:tc>
      </w:tr>
      <w:tr w:rsidR="00142B79" w:rsidRPr="006D790D" w14:paraId="23021F3B" w14:textId="77777777" w:rsidTr="00E35737">
        <w:tc>
          <w:tcPr>
            <w:tcW w:w="1799" w:type="dxa"/>
            <w:tcBorders>
              <w:top w:val="single" w:sz="4" w:space="0" w:color="auto"/>
            </w:tcBorders>
          </w:tcPr>
          <w:p w14:paraId="4825F689" w14:textId="532626CC" w:rsidR="00142B79" w:rsidRPr="006D790D" w:rsidRDefault="00142B79" w:rsidP="00142B79">
            <w:pPr>
              <w:ind w:left="0"/>
            </w:pPr>
            <w:r w:rsidRPr="006D790D">
              <w:t>ADE</w:t>
            </w:r>
          </w:p>
        </w:tc>
        <w:tc>
          <w:tcPr>
            <w:tcW w:w="6695" w:type="dxa"/>
            <w:tcBorders>
              <w:top w:val="single" w:sz="4" w:space="0" w:color="auto"/>
            </w:tcBorders>
          </w:tcPr>
          <w:p w14:paraId="736FCC6B" w14:textId="383FB7EF" w:rsidR="00142B79" w:rsidRPr="006D790D" w:rsidRDefault="00142B79" w:rsidP="00142B79">
            <w:pPr>
              <w:ind w:left="0"/>
            </w:pPr>
            <w:r w:rsidRPr="006D790D">
              <w:t>Antibody dependent enhancement</w:t>
            </w:r>
          </w:p>
        </w:tc>
      </w:tr>
      <w:tr w:rsidR="00652CDE" w:rsidRPr="006D790D" w14:paraId="0D7BCFE2" w14:textId="77777777" w:rsidTr="00E35737">
        <w:tc>
          <w:tcPr>
            <w:tcW w:w="1799" w:type="dxa"/>
            <w:tcBorders>
              <w:top w:val="single" w:sz="4" w:space="0" w:color="auto"/>
            </w:tcBorders>
          </w:tcPr>
          <w:p w14:paraId="3877C4D2" w14:textId="39C466B2" w:rsidR="00652CDE" w:rsidRPr="006D790D" w:rsidRDefault="00652CDE" w:rsidP="00652CDE">
            <w:pPr>
              <w:ind w:left="0"/>
            </w:pPr>
            <w:r w:rsidRPr="006D790D">
              <w:t>ADR</w:t>
            </w:r>
          </w:p>
        </w:tc>
        <w:tc>
          <w:tcPr>
            <w:tcW w:w="6695" w:type="dxa"/>
            <w:tcBorders>
              <w:top w:val="single" w:sz="4" w:space="0" w:color="auto"/>
            </w:tcBorders>
          </w:tcPr>
          <w:p w14:paraId="65C68F7E" w14:textId="5DDF4639" w:rsidR="00652CDE" w:rsidRPr="006D790D" w:rsidRDefault="00652CDE" w:rsidP="00652CDE">
            <w:pPr>
              <w:ind w:left="0"/>
            </w:pPr>
            <w:r w:rsidRPr="006D790D">
              <w:t>Adverse drug reaction(s)</w:t>
            </w:r>
          </w:p>
        </w:tc>
      </w:tr>
      <w:tr w:rsidR="0099246E" w:rsidRPr="006D790D" w14:paraId="72ED636E" w14:textId="77777777" w:rsidTr="00E35737">
        <w:tc>
          <w:tcPr>
            <w:tcW w:w="1799" w:type="dxa"/>
            <w:tcBorders>
              <w:top w:val="single" w:sz="4" w:space="0" w:color="auto"/>
            </w:tcBorders>
          </w:tcPr>
          <w:p w14:paraId="21724FE0" w14:textId="30C1E2F9" w:rsidR="0099246E" w:rsidRPr="006D790D" w:rsidRDefault="0099246E" w:rsidP="0099246E">
            <w:pPr>
              <w:ind w:left="0"/>
            </w:pPr>
            <w:r w:rsidRPr="006D790D">
              <w:t>AE</w:t>
            </w:r>
          </w:p>
        </w:tc>
        <w:tc>
          <w:tcPr>
            <w:tcW w:w="6695" w:type="dxa"/>
            <w:tcBorders>
              <w:top w:val="single" w:sz="4" w:space="0" w:color="auto"/>
            </w:tcBorders>
          </w:tcPr>
          <w:p w14:paraId="396F03B1" w14:textId="2C8A7585" w:rsidR="0099246E" w:rsidRPr="006D790D" w:rsidRDefault="0099246E" w:rsidP="0099246E">
            <w:pPr>
              <w:ind w:left="0"/>
            </w:pPr>
            <w:r w:rsidRPr="006D790D">
              <w:t>Adverse event(s)</w:t>
            </w:r>
          </w:p>
        </w:tc>
      </w:tr>
      <w:tr w:rsidR="002623E1" w:rsidRPr="006D790D" w14:paraId="452836E4" w14:textId="77777777" w:rsidTr="00E35737">
        <w:tc>
          <w:tcPr>
            <w:tcW w:w="1799" w:type="dxa"/>
            <w:tcBorders>
              <w:top w:val="single" w:sz="4" w:space="0" w:color="auto"/>
            </w:tcBorders>
          </w:tcPr>
          <w:p w14:paraId="13E7C7E9" w14:textId="47A98B09" w:rsidR="002623E1" w:rsidRPr="006D790D" w:rsidRDefault="002623E1" w:rsidP="002623E1">
            <w:pPr>
              <w:ind w:left="0"/>
            </w:pPr>
            <w:r w:rsidRPr="006D790D">
              <w:t>AESI</w:t>
            </w:r>
          </w:p>
        </w:tc>
        <w:tc>
          <w:tcPr>
            <w:tcW w:w="6695" w:type="dxa"/>
            <w:tcBorders>
              <w:top w:val="single" w:sz="4" w:space="0" w:color="auto"/>
            </w:tcBorders>
          </w:tcPr>
          <w:p w14:paraId="3DECEC0B" w14:textId="3A34CD2E" w:rsidR="002623E1" w:rsidRPr="006D790D" w:rsidRDefault="002623E1" w:rsidP="002623E1">
            <w:pPr>
              <w:ind w:left="0"/>
            </w:pPr>
            <w:r w:rsidRPr="006D790D">
              <w:t>Adverse event</w:t>
            </w:r>
            <w:r w:rsidR="00B423AA">
              <w:t>(</w:t>
            </w:r>
            <w:r w:rsidRPr="006D790D">
              <w:t>s</w:t>
            </w:r>
            <w:r w:rsidR="00B423AA">
              <w:t>)</w:t>
            </w:r>
            <w:r w:rsidRPr="006D790D">
              <w:t xml:space="preserve"> of special interest</w:t>
            </w:r>
          </w:p>
        </w:tc>
      </w:tr>
      <w:tr w:rsidR="00DC60BC" w:rsidRPr="006D790D" w14:paraId="0225FD4C" w14:textId="77777777" w:rsidTr="00E35737">
        <w:tc>
          <w:tcPr>
            <w:tcW w:w="1799" w:type="dxa"/>
            <w:tcBorders>
              <w:top w:val="single" w:sz="4" w:space="0" w:color="auto"/>
            </w:tcBorders>
          </w:tcPr>
          <w:p w14:paraId="7CD41606" w14:textId="2E387405" w:rsidR="00DC60BC" w:rsidRPr="006D790D" w:rsidRDefault="00DC60BC" w:rsidP="00DC60BC">
            <w:pPr>
              <w:ind w:left="0"/>
            </w:pPr>
            <w:r w:rsidRPr="006D790D">
              <w:t>ARGPM</w:t>
            </w:r>
          </w:p>
        </w:tc>
        <w:tc>
          <w:tcPr>
            <w:tcW w:w="6695" w:type="dxa"/>
            <w:tcBorders>
              <w:top w:val="single" w:sz="4" w:space="0" w:color="auto"/>
            </w:tcBorders>
          </w:tcPr>
          <w:p w14:paraId="6F5DF251" w14:textId="755B310C" w:rsidR="00DC60BC" w:rsidRPr="006D790D" w:rsidRDefault="00DC60BC" w:rsidP="00DC60BC">
            <w:pPr>
              <w:ind w:left="0"/>
            </w:pPr>
            <w:r w:rsidRPr="006D790D">
              <w:t>Australian Regulatory Guidelines for Prescription Medicines</w:t>
            </w:r>
          </w:p>
        </w:tc>
      </w:tr>
      <w:tr w:rsidR="0014094C" w:rsidRPr="006D790D" w14:paraId="004E54BF" w14:textId="77777777" w:rsidTr="00E35737">
        <w:tc>
          <w:tcPr>
            <w:tcW w:w="1799" w:type="dxa"/>
          </w:tcPr>
          <w:p w14:paraId="7CF87C9E" w14:textId="77777777" w:rsidR="0014094C" w:rsidRPr="006D790D" w:rsidRDefault="0014094C" w:rsidP="0014094C">
            <w:pPr>
              <w:ind w:left="0" w:right="0"/>
            </w:pPr>
            <w:r w:rsidRPr="006D790D">
              <w:t>ARTG</w:t>
            </w:r>
          </w:p>
        </w:tc>
        <w:tc>
          <w:tcPr>
            <w:tcW w:w="6695" w:type="dxa"/>
          </w:tcPr>
          <w:p w14:paraId="63D1BD0C" w14:textId="77777777" w:rsidR="0014094C" w:rsidRPr="006D790D" w:rsidRDefault="0014094C" w:rsidP="0014094C">
            <w:pPr>
              <w:ind w:left="0" w:right="0"/>
            </w:pPr>
            <w:r w:rsidRPr="006D790D">
              <w:t>Australian Register of Therapeutic Goods</w:t>
            </w:r>
          </w:p>
        </w:tc>
      </w:tr>
      <w:tr w:rsidR="006F5C93" w:rsidRPr="006D790D" w14:paraId="75AB2FCA" w14:textId="77777777" w:rsidTr="00E35737">
        <w:tc>
          <w:tcPr>
            <w:tcW w:w="1799" w:type="dxa"/>
          </w:tcPr>
          <w:p w14:paraId="25564AC4" w14:textId="79122835" w:rsidR="006F5C93" w:rsidRPr="006D790D" w:rsidRDefault="006F5C93" w:rsidP="006F5C93">
            <w:pPr>
              <w:ind w:left="0"/>
            </w:pPr>
            <w:r w:rsidRPr="006D790D">
              <w:t>ASA</w:t>
            </w:r>
          </w:p>
        </w:tc>
        <w:tc>
          <w:tcPr>
            <w:tcW w:w="6695" w:type="dxa"/>
          </w:tcPr>
          <w:p w14:paraId="7A7F0336" w14:textId="371A3DF5" w:rsidR="006F5C93" w:rsidRPr="006D790D" w:rsidRDefault="006F5C93" w:rsidP="006F5C93">
            <w:pPr>
              <w:ind w:left="0"/>
            </w:pPr>
            <w:r w:rsidRPr="006D790D">
              <w:t>Australian specific annex</w:t>
            </w:r>
          </w:p>
        </w:tc>
      </w:tr>
      <w:tr w:rsidR="00FE3467" w:rsidRPr="006D790D" w14:paraId="5793D543" w14:textId="77777777" w:rsidTr="00E35737">
        <w:tc>
          <w:tcPr>
            <w:tcW w:w="1799" w:type="dxa"/>
          </w:tcPr>
          <w:p w14:paraId="2615341D" w14:textId="0956748B" w:rsidR="00FE3467" w:rsidRPr="006D790D" w:rsidRDefault="00FE3467" w:rsidP="00FE3467">
            <w:pPr>
              <w:ind w:left="0"/>
            </w:pPr>
            <w:r w:rsidRPr="006D790D">
              <w:t>AUC</w:t>
            </w:r>
            <w:r w:rsidRPr="006D790D">
              <w:rPr>
                <w:vertAlign w:val="subscript"/>
              </w:rPr>
              <w:t>0-28</w:t>
            </w:r>
            <w:r w:rsidR="00B423AA">
              <w:rPr>
                <w:vertAlign w:val="subscript"/>
              </w:rPr>
              <w:t>d</w:t>
            </w:r>
          </w:p>
        </w:tc>
        <w:tc>
          <w:tcPr>
            <w:tcW w:w="6695" w:type="dxa"/>
          </w:tcPr>
          <w:p w14:paraId="167D14CE" w14:textId="5648A7A5" w:rsidR="00FE3467" w:rsidRPr="006D790D" w:rsidRDefault="00FE3467" w:rsidP="00FE3467">
            <w:pPr>
              <w:ind w:left="0"/>
            </w:pPr>
            <w:r w:rsidRPr="006D790D">
              <w:t xml:space="preserve">Area under the plasma concentration </w:t>
            </w:r>
            <w:r w:rsidR="00ED336E">
              <w:t xml:space="preserve">versus </w:t>
            </w:r>
            <w:r w:rsidRPr="006D790D">
              <w:t xml:space="preserve">time curve from Day 0 to </w:t>
            </w:r>
            <w:r w:rsidR="00B423AA">
              <w:t>Day </w:t>
            </w:r>
            <w:r w:rsidRPr="006D790D">
              <w:t>28</w:t>
            </w:r>
          </w:p>
        </w:tc>
      </w:tr>
      <w:tr w:rsidR="00FB39BC" w:rsidRPr="006D790D" w14:paraId="762838B4" w14:textId="77777777" w:rsidTr="00E35737">
        <w:tc>
          <w:tcPr>
            <w:tcW w:w="1799" w:type="dxa"/>
          </w:tcPr>
          <w:p w14:paraId="4DEB3285" w14:textId="4E9CAC85" w:rsidR="00FB39BC" w:rsidRPr="006D790D" w:rsidRDefault="00FB39BC" w:rsidP="00FB39BC">
            <w:pPr>
              <w:ind w:left="0"/>
            </w:pPr>
            <w:proofErr w:type="spellStart"/>
            <w:r w:rsidRPr="006D790D">
              <w:t>AUC</w:t>
            </w:r>
            <w:r w:rsidRPr="006D790D">
              <w:rPr>
                <w:vertAlign w:val="subscript"/>
              </w:rPr>
              <w:t>last</w:t>
            </w:r>
            <w:proofErr w:type="spellEnd"/>
          </w:p>
        </w:tc>
        <w:tc>
          <w:tcPr>
            <w:tcW w:w="6695" w:type="dxa"/>
          </w:tcPr>
          <w:p w14:paraId="52FE0590" w14:textId="4F10C9D2" w:rsidR="00FB39BC" w:rsidRPr="006D790D" w:rsidRDefault="00FB39BC" w:rsidP="00FB39BC">
            <w:pPr>
              <w:ind w:left="0"/>
            </w:pPr>
            <w:r w:rsidRPr="006D790D">
              <w:t xml:space="preserve">Area under the plasma concentration </w:t>
            </w:r>
            <w:r w:rsidR="00ED336E">
              <w:t xml:space="preserve">versus </w:t>
            </w:r>
            <w:r w:rsidRPr="006D790D">
              <w:t>time curve from time zero to time of last measurable concentration</w:t>
            </w:r>
          </w:p>
        </w:tc>
      </w:tr>
      <w:tr w:rsidR="00FE3467" w:rsidRPr="006D790D" w14:paraId="4E4C969B" w14:textId="77777777" w:rsidTr="00E35737">
        <w:tc>
          <w:tcPr>
            <w:tcW w:w="1799" w:type="dxa"/>
          </w:tcPr>
          <w:p w14:paraId="717B2768" w14:textId="60AE7E3B" w:rsidR="00FE3467" w:rsidRPr="006D790D" w:rsidRDefault="00FE3467" w:rsidP="00FE3467">
            <w:pPr>
              <w:ind w:left="0"/>
            </w:pPr>
            <w:proofErr w:type="spellStart"/>
            <w:proofErr w:type="gramStart"/>
            <w:r w:rsidRPr="006D790D">
              <w:t>AUC</w:t>
            </w:r>
            <w:r w:rsidRPr="006D790D">
              <w:rPr>
                <w:vertAlign w:val="subscript"/>
              </w:rPr>
              <w:t>tau,ss</w:t>
            </w:r>
            <w:proofErr w:type="spellEnd"/>
            <w:proofErr w:type="gramEnd"/>
          </w:p>
        </w:tc>
        <w:tc>
          <w:tcPr>
            <w:tcW w:w="6695" w:type="dxa"/>
          </w:tcPr>
          <w:p w14:paraId="1CA3ADBB" w14:textId="1692006F" w:rsidR="00FE3467" w:rsidRPr="006D790D" w:rsidRDefault="00FE3467" w:rsidP="00FE3467">
            <w:pPr>
              <w:ind w:left="0"/>
            </w:pPr>
            <w:r w:rsidRPr="006D790D">
              <w:t xml:space="preserve">Area under the plasma concentration </w:t>
            </w:r>
            <w:r w:rsidR="00ED336E">
              <w:t xml:space="preserve">versus </w:t>
            </w:r>
            <w:r w:rsidRPr="006D790D">
              <w:t>time curve over a dosing interval at steady state</w:t>
            </w:r>
          </w:p>
        </w:tc>
      </w:tr>
      <w:tr w:rsidR="00BC7E06" w:rsidRPr="006D790D" w14:paraId="14248B8A" w14:textId="77777777" w:rsidTr="00E35737">
        <w:tc>
          <w:tcPr>
            <w:tcW w:w="1799" w:type="dxa"/>
          </w:tcPr>
          <w:p w14:paraId="102DD49E" w14:textId="41F6BF98" w:rsidR="00BC7E06" w:rsidRPr="006D790D" w:rsidRDefault="00BC7E06" w:rsidP="00BC7E06">
            <w:pPr>
              <w:ind w:left="0"/>
            </w:pPr>
            <w:r w:rsidRPr="006D790D">
              <w:t>BMI</w:t>
            </w:r>
          </w:p>
        </w:tc>
        <w:tc>
          <w:tcPr>
            <w:tcW w:w="6695" w:type="dxa"/>
          </w:tcPr>
          <w:p w14:paraId="49426B8B" w14:textId="35124618" w:rsidR="00BC7E06" w:rsidRPr="006D790D" w:rsidRDefault="00BC7E06" w:rsidP="00BC7E06">
            <w:pPr>
              <w:ind w:left="0"/>
            </w:pPr>
            <w:r w:rsidRPr="006D790D">
              <w:t>Body mass index</w:t>
            </w:r>
          </w:p>
        </w:tc>
      </w:tr>
      <w:tr w:rsidR="00ED31F7" w:rsidRPr="006D790D" w14:paraId="11AD5B10" w14:textId="77777777" w:rsidTr="00E35737">
        <w:tc>
          <w:tcPr>
            <w:tcW w:w="1799" w:type="dxa"/>
          </w:tcPr>
          <w:p w14:paraId="7A7050B1" w14:textId="1BF82A96" w:rsidR="00ED31F7" w:rsidRPr="006D790D" w:rsidRDefault="00ED31F7" w:rsidP="00DF48EF">
            <w:pPr>
              <w:ind w:left="0"/>
            </w:pPr>
            <w:r>
              <w:t>C</w:t>
            </w:r>
            <w:r w:rsidRPr="00DF48EF">
              <w:rPr>
                <w:vertAlign w:val="subscript"/>
              </w:rPr>
              <w:t>7d</w:t>
            </w:r>
          </w:p>
        </w:tc>
        <w:tc>
          <w:tcPr>
            <w:tcW w:w="6695" w:type="dxa"/>
          </w:tcPr>
          <w:p w14:paraId="41D4898A" w14:textId="1B0D6156" w:rsidR="00ED31F7" w:rsidRPr="006D790D" w:rsidRDefault="00ED31F7" w:rsidP="00DF48EF">
            <w:pPr>
              <w:ind w:left="0"/>
            </w:pPr>
            <w:r w:rsidRPr="006D790D">
              <w:t xml:space="preserve">Drug concentration at Day </w:t>
            </w:r>
            <w:r>
              <w:t>7</w:t>
            </w:r>
          </w:p>
        </w:tc>
      </w:tr>
      <w:tr w:rsidR="00416215" w:rsidRPr="006D790D" w14:paraId="03876ED7" w14:textId="77777777" w:rsidTr="00E35737">
        <w:tc>
          <w:tcPr>
            <w:tcW w:w="1799" w:type="dxa"/>
          </w:tcPr>
          <w:p w14:paraId="41821B71" w14:textId="05DBB1E4" w:rsidR="00416215" w:rsidRPr="006D790D" w:rsidRDefault="00416215" w:rsidP="00416215">
            <w:pPr>
              <w:ind w:left="0"/>
            </w:pPr>
            <w:r w:rsidRPr="006D790D">
              <w:t>C</w:t>
            </w:r>
            <w:r w:rsidRPr="006D790D">
              <w:rPr>
                <w:vertAlign w:val="subscript"/>
              </w:rPr>
              <w:t>28</w:t>
            </w:r>
            <w:r w:rsidR="00ED336E">
              <w:rPr>
                <w:vertAlign w:val="subscript"/>
              </w:rPr>
              <w:t>d</w:t>
            </w:r>
          </w:p>
        </w:tc>
        <w:tc>
          <w:tcPr>
            <w:tcW w:w="6695" w:type="dxa"/>
          </w:tcPr>
          <w:p w14:paraId="37639CE9" w14:textId="398BC0B9" w:rsidR="00416215" w:rsidRPr="006D790D" w:rsidRDefault="00416215" w:rsidP="00416215">
            <w:pPr>
              <w:ind w:left="0"/>
            </w:pPr>
            <w:r w:rsidRPr="006D790D">
              <w:t>Drug concentration at Day 28</w:t>
            </w:r>
          </w:p>
        </w:tc>
      </w:tr>
      <w:tr w:rsidR="003521AE" w:rsidRPr="006D790D" w14:paraId="3D050099" w14:textId="77777777" w:rsidTr="00E35737">
        <w:tc>
          <w:tcPr>
            <w:tcW w:w="1799" w:type="dxa"/>
          </w:tcPr>
          <w:p w14:paraId="0717E5EE" w14:textId="50EC6CFB" w:rsidR="003521AE" w:rsidRPr="006D790D" w:rsidRDefault="003521AE" w:rsidP="003521AE">
            <w:pPr>
              <w:ind w:left="0"/>
            </w:pPr>
            <w:r w:rsidRPr="006D790D">
              <w:t>CDC</w:t>
            </w:r>
          </w:p>
        </w:tc>
        <w:tc>
          <w:tcPr>
            <w:tcW w:w="6695" w:type="dxa"/>
          </w:tcPr>
          <w:p w14:paraId="3ADCA078" w14:textId="61E40FA6" w:rsidR="003521AE" w:rsidRPr="006D790D" w:rsidRDefault="003521AE" w:rsidP="003521AE">
            <w:pPr>
              <w:ind w:left="0"/>
            </w:pPr>
            <w:bookmarkStart w:id="8" w:name="_Hlk85798976"/>
            <w:proofErr w:type="spellStart"/>
            <w:r w:rsidRPr="006D790D">
              <w:t>Centers</w:t>
            </w:r>
            <w:proofErr w:type="spellEnd"/>
            <w:r w:rsidRPr="006D790D">
              <w:t xml:space="preserve"> for Disease Control and Prevention (United States</w:t>
            </w:r>
            <w:r w:rsidR="00ED336E">
              <w:t xml:space="preserve"> of America</w:t>
            </w:r>
            <w:r w:rsidRPr="006D790D">
              <w:t>)</w:t>
            </w:r>
            <w:bookmarkEnd w:id="8"/>
          </w:p>
        </w:tc>
      </w:tr>
      <w:tr w:rsidR="009978A2" w:rsidRPr="006D790D" w14:paraId="32EEE9D6" w14:textId="77777777" w:rsidTr="00E35737">
        <w:tc>
          <w:tcPr>
            <w:tcW w:w="1799" w:type="dxa"/>
          </w:tcPr>
          <w:p w14:paraId="32F95047" w14:textId="560AEF6B" w:rsidR="009978A2" w:rsidRPr="006D790D" w:rsidRDefault="009978A2" w:rsidP="009978A2">
            <w:pPr>
              <w:ind w:left="0"/>
            </w:pPr>
            <w:r w:rsidRPr="006D790D">
              <w:t>CHMP</w:t>
            </w:r>
          </w:p>
        </w:tc>
        <w:tc>
          <w:tcPr>
            <w:tcW w:w="6695" w:type="dxa"/>
          </w:tcPr>
          <w:p w14:paraId="21897F8C" w14:textId="3A8D0926" w:rsidR="009978A2" w:rsidRPr="006D790D" w:rsidRDefault="009978A2" w:rsidP="009978A2">
            <w:pPr>
              <w:ind w:left="0"/>
            </w:pPr>
            <w:r w:rsidRPr="006D790D">
              <w:t>Committee for Medicinal Products for Human Use</w:t>
            </w:r>
            <w:r w:rsidR="00ED336E">
              <w:t xml:space="preserve"> (European Union)</w:t>
            </w:r>
          </w:p>
        </w:tc>
      </w:tr>
      <w:tr w:rsidR="003526A2" w:rsidRPr="006D790D" w14:paraId="34DC4FD9" w14:textId="77777777" w:rsidTr="00E35737">
        <w:tc>
          <w:tcPr>
            <w:tcW w:w="1799" w:type="dxa"/>
          </w:tcPr>
          <w:p w14:paraId="3E40CE2A" w14:textId="6310D77F" w:rsidR="003526A2" w:rsidRPr="006D790D" w:rsidRDefault="003526A2" w:rsidP="003526A2">
            <w:pPr>
              <w:ind w:left="0"/>
            </w:pPr>
            <w:r w:rsidRPr="006D790D">
              <w:t>CL</w:t>
            </w:r>
          </w:p>
        </w:tc>
        <w:tc>
          <w:tcPr>
            <w:tcW w:w="6695" w:type="dxa"/>
          </w:tcPr>
          <w:p w14:paraId="57320450" w14:textId="49ED4CA4" w:rsidR="003526A2" w:rsidRPr="006D790D" w:rsidRDefault="003526A2" w:rsidP="003526A2">
            <w:pPr>
              <w:ind w:left="0"/>
            </w:pPr>
            <w:r w:rsidRPr="006D790D">
              <w:t>Clearance</w:t>
            </w:r>
          </w:p>
        </w:tc>
      </w:tr>
      <w:tr w:rsidR="00F66D16" w:rsidRPr="006D790D" w14:paraId="2EC62227" w14:textId="77777777" w:rsidTr="00E35737">
        <w:tc>
          <w:tcPr>
            <w:tcW w:w="1799" w:type="dxa"/>
          </w:tcPr>
          <w:p w14:paraId="4466AB65" w14:textId="2FC9C225" w:rsidR="00F66D16" w:rsidRPr="006D790D" w:rsidRDefault="00F66D16" w:rsidP="00F66D16">
            <w:pPr>
              <w:ind w:left="0"/>
            </w:pPr>
            <w:proofErr w:type="spellStart"/>
            <w:r w:rsidRPr="006D790D">
              <w:t>C</w:t>
            </w:r>
            <w:r w:rsidRPr="006D790D">
              <w:rPr>
                <w:vertAlign w:val="subscript"/>
              </w:rPr>
              <w:t>max</w:t>
            </w:r>
            <w:proofErr w:type="spellEnd"/>
          </w:p>
        </w:tc>
        <w:tc>
          <w:tcPr>
            <w:tcW w:w="6695" w:type="dxa"/>
          </w:tcPr>
          <w:p w14:paraId="31CA08F3" w14:textId="42307F4A" w:rsidR="00F66D16" w:rsidRPr="006D790D" w:rsidRDefault="00F66D16" w:rsidP="00F66D16">
            <w:pPr>
              <w:ind w:left="0"/>
            </w:pPr>
            <w:r w:rsidRPr="006D790D">
              <w:t>Maximum drug concentration</w:t>
            </w:r>
          </w:p>
        </w:tc>
      </w:tr>
      <w:tr w:rsidR="006F5C93" w:rsidRPr="006D790D" w14:paraId="3132CF84" w14:textId="77777777" w:rsidTr="00E35737">
        <w:tc>
          <w:tcPr>
            <w:tcW w:w="1799" w:type="dxa"/>
          </w:tcPr>
          <w:p w14:paraId="3CC151F5" w14:textId="1C6F6CFB" w:rsidR="006F5C93" w:rsidRPr="006D790D" w:rsidRDefault="006F5C93" w:rsidP="006F5C93">
            <w:pPr>
              <w:ind w:left="0"/>
            </w:pPr>
            <w:r w:rsidRPr="006D790D">
              <w:t>CMI</w:t>
            </w:r>
          </w:p>
        </w:tc>
        <w:tc>
          <w:tcPr>
            <w:tcW w:w="6695" w:type="dxa"/>
          </w:tcPr>
          <w:p w14:paraId="5F71F0E1" w14:textId="402DC989" w:rsidR="006F5C93" w:rsidRPr="006D790D" w:rsidRDefault="006F5C93" w:rsidP="006F5C93">
            <w:pPr>
              <w:ind w:left="0"/>
            </w:pPr>
            <w:r w:rsidRPr="006D790D">
              <w:t>Consumer Medicines Information</w:t>
            </w:r>
          </w:p>
        </w:tc>
      </w:tr>
      <w:tr w:rsidR="00BC7E06" w:rsidRPr="006D790D" w14:paraId="36016128" w14:textId="77777777" w:rsidTr="00E35737">
        <w:tc>
          <w:tcPr>
            <w:tcW w:w="1799" w:type="dxa"/>
          </w:tcPr>
          <w:p w14:paraId="49CF43F1" w14:textId="60BB51BF" w:rsidR="00BC7E06" w:rsidRPr="006D790D" w:rsidRDefault="00BC7E06" w:rsidP="00BC7E06">
            <w:pPr>
              <w:ind w:left="0"/>
            </w:pPr>
            <w:r w:rsidRPr="006D790D">
              <w:t>COPD</w:t>
            </w:r>
          </w:p>
        </w:tc>
        <w:tc>
          <w:tcPr>
            <w:tcW w:w="6695" w:type="dxa"/>
          </w:tcPr>
          <w:p w14:paraId="2F6E500A" w14:textId="53F3E176" w:rsidR="00BC7E06" w:rsidRPr="006D790D" w:rsidRDefault="00BC7E06" w:rsidP="00BC7E06">
            <w:pPr>
              <w:ind w:left="0"/>
            </w:pPr>
            <w:r w:rsidRPr="006D790D">
              <w:t>Chronic obstructive pulmonary disease</w:t>
            </w:r>
          </w:p>
        </w:tc>
      </w:tr>
      <w:tr w:rsidR="0014094C" w:rsidRPr="006D790D" w14:paraId="784C4925" w14:textId="77777777" w:rsidTr="00E35737">
        <w:tc>
          <w:tcPr>
            <w:tcW w:w="1799" w:type="dxa"/>
          </w:tcPr>
          <w:p w14:paraId="548B54BB" w14:textId="383D8CCC" w:rsidR="0014094C" w:rsidRPr="006D790D" w:rsidRDefault="0014094C" w:rsidP="0014094C">
            <w:pPr>
              <w:ind w:left="0"/>
            </w:pPr>
            <w:r w:rsidRPr="006D790D">
              <w:lastRenderedPageBreak/>
              <w:t>COVID-19</w:t>
            </w:r>
          </w:p>
        </w:tc>
        <w:tc>
          <w:tcPr>
            <w:tcW w:w="6695" w:type="dxa"/>
          </w:tcPr>
          <w:p w14:paraId="003E7CF4" w14:textId="59503C32" w:rsidR="0014094C" w:rsidRPr="006D790D" w:rsidRDefault="0014094C" w:rsidP="0014094C">
            <w:pPr>
              <w:ind w:left="0"/>
            </w:pPr>
            <w:r w:rsidRPr="006D790D">
              <w:t>Coronavirus disease 2019</w:t>
            </w:r>
          </w:p>
        </w:tc>
      </w:tr>
      <w:tr w:rsidR="00811CEE" w:rsidRPr="006D790D" w14:paraId="22199CA0" w14:textId="77777777" w:rsidTr="00E35737">
        <w:tc>
          <w:tcPr>
            <w:tcW w:w="1799" w:type="dxa"/>
          </w:tcPr>
          <w:p w14:paraId="2FC5A6B3" w14:textId="2A8BF03C" w:rsidR="00811CEE" w:rsidRPr="006D790D" w:rsidRDefault="00811CEE" w:rsidP="00811CEE">
            <w:pPr>
              <w:ind w:left="0"/>
            </w:pPr>
            <w:r w:rsidRPr="006D790D">
              <w:t>CU</w:t>
            </w:r>
          </w:p>
        </w:tc>
        <w:tc>
          <w:tcPr>
            <w:tcW w:w="6695" w:type="dxa"/>
          </w:tcPr>
          <w:p w14:paraId="4C98EF1A" w14:textId="407754F1" w:rsidR="00811CEE" w:rsidRPr="006D790D" w:rsidRDefault="00811CEE" w:rsidP="00811CEE">
            <w:pPr>
              <w:ind w:left="0"/>
            </w:pPr>
            <w:r w:rsidRPr="006D790D">
              <w:t>Compassionate use</w:t>
            </w:r>
          </w:p>
        </w:tc>
      </w:tr>
      <w:tr w:rsidR="00DC60BC" w:rsidRPr="006D790D" w14:paraId="73E9B08B" w14:textId="77777777" w:rsidTr="00E35737">
        <w:tc>
          <w:tcPr>
            <w:tcW w:w="1799" w:type="dxa"/>
          </w:tcPr>
          <w:p w14:paraId="0A2D11FD" w14:textId="6FF473FA" w:rsidR="00DC60BC" w:rsidRPr="006D790D" w:rsidRDefault="00DC60BC" w:rsidP="00DC60BC">
            <w:pPr>
              <w:ind w:left="0"/>
            </w:pPr>
            <w:r w:rsidRPr="006D790D">
              <w:t>CPD</w:t>
            </w:r>
          </w:p>
        </w:tc>
        <w:tc>
          <w:tcPr>
            <w:tcW w:w="6695" w:type="dxa"/>
          </w:tcPr>
          <w:p w14:paraId="7E17D8EB" w14:textId="50C3581A" w:rsidR="00DC60BC" w:rsidRPr="006D790D" w:rsidRDefault="00DC60BC" w:rsidP="00DC60BC">
            <w:pPr>
              <w:ind w:left="0"/>
            </w:pPr>
            <w:r w:rsidRPr="006D790D">
              <w:t>Certified Product Details</w:t>
            </w:r>
          </w:p>
        </w:tc>
      </w:tr>
      <w:tr w:rsidR="006F5C93" w:rsidRPr="006D790D" w14:paraId="07ADC8A6" w14:textId="77777777" w:rsidTr="00E35737">
        <w:tc>
          <w:tcPr>
            <w:tcW w:w="1799" w:type="dxa"/>
          </w:tcPr>
          <w:p w14:paraId="0A47EC9A" w14:textId="444C43E4" w:rsidR="006F5C93" w:rsidRPr="006D790D" w:rsidRDefault="006F5C93" w:rsidP="006F5C93">
            <w:pPr>
              <w:ind w:left="0"/>
            </w:pPr>
            <w:r w:rsidRPr="006D790D">
              <w:t>DLP</w:t>
            </w:r>
          </w:p>
        </w:tc>
        <w:tc>
          <w:tcPr>
            <w:tcW w:w="6695" w:type="dxa"/>
          </w:tcPr>
          <w:p w14:paraId="044C8C44" w14:textId="33C5406D" w:rsidR="006F5C93" w:rsidRPr="006D790D" w:rsidRDefault="006F5C93" w:rsidP="006F5C93">
            <w:pPr>
              <w:ind w:left="0"/>
            </w:pPr>
            <w:r w:rsidRPr="006D790D">
              <w:t>Data lock point</w:t>
            </w:r>
          </w:p>
        </w:tc>
      </w:tr>
      <w:tr w:rsidR="00FC7942" w:rsidRPr="006D790D" w14:paraId="503C274E" w14:textId="77777777" w:rsidTr="00E35737">
        <w:tc>
          <w:tcPr>
            <w:tcW w:w="1799" w:type="dxa"/>
          </w:tcPr>
          <w:p w14:paraId="1B72E4DF" w14:textId="0ED334C5" w:rsidR="00FC7942" w:rsidRPr="006D790D" w:rsidRDefault="00FC7942" w:rsidP="00FC7942">
            <w:pPr>
              <w:ind w:left="0"/>
            </w:pPr>
            <w:r w:rsidRPr="006D790D">
              <w:t>EAP</w:t>
            </w:r>
          </w:p>
        </w:tc>
        <w:tc>
          <w:tcPr>
            <w:tcW w:w="6695" w:type="dxa"/>
          </w:tcPr>
          <w:p w14:paraId="21C2FBA2" w14:textId="1D409226" w:rsidR="00FC7942" w:rsidRPr="006D790D" w:rsidRDefault="00FC7942" w:rsidP="00FC7942">
            <w:pPr>
              <w:ind w:left="0"/>
            </w:pPr>
            <w:bookmarkStart w:id="9" w:name="_Hlk85194215"/>
            <w:r w:rsidRPr="006D790D">
              <w:t>Efficacy assessment period</w:t>
            </w:r>
            <w:bookmarkEnd w:id="9"/>
          </w:p>
        </w:tc>
      </w:tr>
      <w:tr w:rsidR="00811CEE" w:rsidRPr="006D790D" w14:paraId="14DA9A0D" w14:textId="77777777" w:rsidTr="00E35737">
        <w:tc>
          <w:tcPr>
            <w:tcW w:w="1799" w:type="dxa"/>
          </w:tcPr>
          <w:p w14:paraId="6469CD7E" w14:textId="6B96E51F" w:rsidR="00811CEE" w:rsidRPr="006D790D" w:rsidRDefault="00811CEE" w:rsidP="00811CEE">
            <w:pPr>
              <w:ind w:left="0"/>
            </w:pPr>
            <w:r w:rsidRPr="006D790D">
              <w:t>EMA</w:t>
            </w:r>
          </w:p>
        </w:tc>
        <w:tc>
          <w:tcPr>
            <w:tcW w:w="6695" w:type="dxa"/>
          </w:tcPr>
          <w:p w14:paraId="49FD48B1" w14:textId="4672C1EF" w:rsidR="00811CEE" w:rsidRPr="006D790D" w:rsidRDefault="00811CEE" w:rsidP="00811CEE">
            <w:pPr>
              <w:ind w:left="0"/>
            </w:pPr>
            <w:r w:rsidRPr="006D790D">
              <w:t>European Medicines Agency</w:t>
            </w:r>
            <w:r w:rsidR="00D45114">
              <w:t xml:space="preserve"> (European Union)</w:t>
            </w:r>
          </w:p>
        </w:tc>
      </w:tr>
      <w:tr w:rsidR="00811CEE" w:rsidRPr="006D790D" w14:paraId="271E5553" w14:textId="77777777" w:rsidTr="00E35737">
        <w:tc>
          <w:tcPr>
            <w:tcW w:w="1799" w:type="dxa"/>
          </w:tcPr>
          <w:p w14:paraId="57020417" w14:textId="2524CC2A" w:rsidR="00811CEE" w:rsidRPr="006D790D" w:rsidRDefault="00811CEE" w:rsidP="00811CEE">
            <w:pPr>
              <w:ind w:left="0"/>
            </w:pPr>
            <w:r w:rsidRPr="006D790D">
              <w:t>EU</w:t>
            </w:r>
          </w:p>
        </w:tc>
        <w:tc>
          <w:tcPr>
            <w:tcW w:w="6695" w:type="dxa"/>
          </w:tcPr>
          <w:p w14:paraId="0363CF8F" w14:textId="50999A8C" w:rsidR="00811CEE" w:rsidRPr="006D790D" w:rsidRDefault="00811CEE" w:rsidP="00811CEE">
            <w:pPr>
              <w:ind w:left="0"/>
            </w:pPr>
            <w:r w:rsidRPr="006D790D">
              <w:t>European Union</w:t>
            </w:r>
          </w:p>
        </w:tc>
      </w:tr>
      <w:tr w:rsidR="00811CEE" w:rsidRPr="006D790D" w14:paraId="49725D02" w14:textId="77777777" w:rsidTr="00E35737">
        <w:tc>
          <w:tcPr>
            <w:tcW w:w="1799" w:type="dxa"/>
          </w:tcPr>
          <w:p w14:paraId="22BF4263" w14:textId="443F4824" w:rsidR="00811CEE" w:rsidRPr="006D790D" w:rsidRDefault="00811CEE" w:rsidP="00811CEE">
            <w:pPr>
              <w:ind w:left="0"/>
            </w:pPr>
            <w:r w:rsidRPr="006D790D">
              <w:t>EUA</w:t>
            </w:r>
          </w:p>
        </w:tc>
        <w:tc>
          <w:tcPr>
            <w:tcW w:w="6695" w:type="dxa"/>
          </w:tcPr>
          <w:p w14:paraId="1E62A576" w14:textId="5DB94BAB" w:rsidR="00811CEE" w:rsidRPr="006D790D" w:rsidRDefault="00811CEE" w:rsidP="00811CEE">
            <w:pPr>
              <w:ind w:left="0"/>
            </w:pPr>
            <w:r w:rsidRPr="006D790D">
              <w:t>Emergency Use Authori</w:t>
            </w:r>
            <w:r w:rsidR="00D45114">
              <w:t>z</w:t>
            </w:r>
            <w:r w:rsidRPr="006D790D">
              <w:t>ation</w:t>
            </w:r>
            <w:r w:rsidR="00D45114">
              <w:t xml:space="preserve"> (Food and Drug Administration, United States of America)</w:t>
            </w:r>
          </w:p>
        </w:tc>
      </w:tr>
      <w:tr w:rsidR="00811CEE" w:rsidRPr="006D790D" w14:paraId="51907513" w14:textId="77777777" w:rsidTr="00E35737">
        <w:tc>
          <w:tcPr>
            <w:tcW w:w="1799" w:type="dxa"/>
          </w:tcPr>
          <w:p w14:paraId="4CB7F828" w14:textId="0FDDFA10" w:rsidR="00811CEE" w:rsidRPr="006D790D" w:rsidRDefault="00811CEE" w:rsidP="00811CEE">
            <w:pPr>
              <w:ind w:left="0"/>
            </w:pPr>
            <w:r w:rsidRPr="006D790D">
              <w:t>FAS</w:t>
            </w:r>
          </w:p>
        </w:tc>
        <w:tc>
          <w:tcPr>
            <w:tcW w:w="6695" w:type="dxa"/>
          </w:tcPr>
          <w:p w14:paraId="48B7E31C" w14:textId="276D80DD" w:rsidR="00811CEE" w:rsidRPr="006D790D" w:rsidRDefault="00811CEE" w:rsidP="00811CEE">
            <w:pPr>
              <w:ind w:left="0"/>
            </w:pPr>
            <w:r w:rsidRPr="006D790D">
              <w:t>Full analysis set</w:t>
            </w:r>
          </w:p>
        </w:tc>
      </w:tr>
      <w:tr w:rsidR="00811CEE" w:rsidRPr="006D790D" w14:paraId="56AED316" w14:textId="77777777" w:rsidTr="00E35737">
        <w:tc>
          <w:tcPr>
            <w:tcW w:w="1799" w:type="dxa"/>
          </w:tcPr>
          <w:p w14:paraId="75367009" w14:textId="3235F5D7" w:rsidR="00811CEE" w:rsidRPr="006D790D" w:rsidRDefault="00811CEE" w:rsidP="00811CEE">
            <w:pPr>
              <w:ind w:left="0"/>
            </w:pPr>
            <w:r w:rsidRPr="006D790D">
              <w:t>Fc</w:t>
            </w:r>
          </w:p>
        </w:tc>
        <w:tc>
          <w:tcPr>
            <w:tcW w:w="6695" w:type="dxa"/>
          </w:tcPr>
          <w:p w14:paraId="4474FA30" w14:textId="2216A86B" w:rsidR="00811CEE" w:rsidRPr="006D790D" w:rsidRDefault="00811CEE" w:rsidP="00811CEE">
            <w:pPr>
              <w:ind w:left="0"/>
            </w:pPr>
            <w:r w:rsidRPr="006D790D">
              <w:t>Fragment crystallisable</w:t>
            </w:r>
          </w:p>
        </w:tc>
      </w:tr>
      <w:tr w:rsidR="00811CEE" w:rsidRPr="006D790D" w14:paraId="691CD7AA" w14:textId="77777777" w:rsidTr="00E35737">
        <w:tc>
          <w:tcPr>
            <w:tcW w:w="1799" w:type="dxa"/>
          </w:tcPr>
          <w:p w14:paraId="3867C3BB" w14:textId="6E5A3CAC" w:rsidR="00811CEE" w:rsidRPr="006D790D" w:rsidRDefault="00811CEE" w:rsidP="00811CEE">
            <w:pPr>
              <w:ind w:left="0"/>
            </w:pPr>
            <w:r w:rsidRPr="006D790D">
              <w:t>FDA</w:t>
            </w:r>
          </w:p>
        </w:tc>
        <w:tc>
          <w:tcPr>
            <w:tcW w:w="6695" w:type="dxa"/>
          </w:tcPr>
          <w:p w14:paraId="7FCCA682" w14:textId="547246A5" w:rsidR="00811CEE" w:rsidRPr="006D790D" w:rsidRDefault="00811CEE" w:rsidP="00811CEE">
            <w:pPr>
              <w:ind w:left="0"/>
            </w:pPr>
            <w:r w:rsidRPr="006D790D">
              <w:t>Food and Drug Administration (United States</w:t>
            </w:r>
            <w:r w:rsidR="00D45114">
              <w:t xml:space="preserve"> of America</w:t>
            </w:r>
            <w:r w:rsidRPr="006D790D">
              <w:t>)</w:t>
            </w:r>
          </w:p>
        </w:tc>
      </w:tr>
      <w:tr w:rsidR="00811CEE" w:rsidRPr="006D790D" w14:paraId="6987396C" w14:textId="77777777" w:rsidTr="00E35737">
        <w:tc>
          <w:tcPr>
            <w:tcW w:w="1799" w:type="dxa"/>
          </w:tcPr>
          <w:p w14:paraId="7D1FECB9" w14:textId="25D44520" w:rsidR="00811CEE" w:rsidRPr="006D790D" w:rsidRDefault="00811CEE" w:rsidP="00811CEE">
            <w:pPr>
              <w:ind w:left="0"/>
            </w:pPr>
            <w:r w:rsidRPr="006D790D">
              <w:t>IC</w:t>
            </w:r>
            <w:r w:rsidRPr="006D790D">
              <w:rPr>
                <w:vertAlign w:val="subscript"/>
              </w:rPr>
              <w:t>50</w:t>
            </w:r>
          </w:p>
        </w:tc>
        <w:tc>
          <w:tcPr>
            <w:tcW w:w="6695" w:type="dxa"/>
          </w:tcPr>
          <w:p w14:paraId="4CC981D9" w14:textId="763B8CE5" w:rsidR="00811CEE" w:rsidRPr="006D790D" w:rsidRDefault="00811CEE" w:rsidP="00811CEE">
            <w:pPr>
              <w:ind w:left="0"/>
            </w:pPr>
            <w:r w:rsidRPr="006D790D">
              <w:t>Half maximal</w:t>
            </w:r>
            <w:r w:rsidR="00D45114">
              <w:t xml:space="preserve"> (50%)</w:t>
            </w:r>
            <w:r w:rsidRPr="006D790D">
              <w:t xml:space="preserve"> inhibitory concentration</w:t>
            </w:r>
          </w:p>
        </w:tc>
      </w:tr>
      <w:tr w:rsidR="00811CEE" w:rsidRPr="006D790D" w14:paraId="7663B287" w14:textId="77777777" w:rsidTr="00E35737">
        <w:tc>
          <w:tcPr>
            <w:tcW w:w="1799" w:type="dxa"/>
          </w:tcPr>
          <w:p w14:paraId="1F459A93" w14:textId="69C4CA92" w:rsidR="00811CEE" w:rsidRPr="006D790D" w:rsidRDefault="00811CEE" w:rsidP="00811CEE">
            <w:pPr>
              <w:ind w:left="0"/>
            </w:pPr>
            <w:r w:rsidRPr="006D790D">
              <w:t>IgA</w:t>
            </w:r>
          </w:p>
        </w:tc>
        <w:tc>
          <w:tcPr>
            <w:tcW w:w="6695" w:type="dxa"/>
          </w:tcPr>
          <w:p w14:paraId="4C47B7D1" w14:textId="093C4102" w:rsidR="00811CEE" w:rsidRPr="006D790D" w:rsidRDefault="00811CEE" w:rsidP="00811CEE">
            <w:pPr>
              <w:ind w:left="0"/>
            </w:pPr>
            <w:r w:rsidRPr="006D790D">
              <w:t>Immunoglobulin A</w:t>
            </w:r>
          </w:p>
        </w:tc>
      </w:tr>
      <w:tr w:rsidR="00811CEE" w:rsidRPr="006D790D" w14:paraId="087B4F29" w14:textId="77777777" w:rsidTr="00E35737">
        <w:tc>
          <w:tcPr>
            <w:tcW w:w="1799" w:type="dxa"/>
          </w:tcPr>
          <w:p w14:paraId="65750B6B" w14:textId="7D9880F4" w:rsidR="00811CEE" w:rsidRPr="006D790D" w:rsidRDefault="00811CEE" w:rsidP="00811CEE">
            <w:pPr>
              <w:ind w:left="0"/>
            </w:pPr>
            <w:r w:rsidRPr="006D790D">
              <w:t>IgG</w:t>
            </w:r>
          </w:p>
        </w:tc>
        <w:tc>
          <w:tcPr>
            <w:tcW w:w="6695" w:type="dxa"/>
          </w:tcPr>
          <w:p w14:paraId="5643F783" w14:textId="7FEA8023" w:rsidR="00811CEE" w:rsidRPr="006D790D" w:rsidRDefault="00811CEE" w:rsidP="00811CEE">
            <w:pPr>
              <w:ind w:left="0"/>
            </w:pPr>
            <w:r w:rsidRPr="006D790D">
              <w:t>Immunoglobulin G</w:t>
            </w:r>
          </w:p>
        </w:tc>
      </w:tr>
      <w:tr w:rsidR="00811CEE" w:rsidRPr="006D790D" w14:paraId="73DDEEB0" w14:textId="77777777" w:rsidTr="00E35737">
        <w:tc>
          <w:tcPr>
            <w:tcW w:w="1799" w:type="dxa"/>
          </w:tcPr>
          <w:p w14:paraId="4CC706DB" w14:textId="55A974A5" w:rsidR="00811CEE" w:rsidRPr="006D790D" w:rsidRDefault="00811CEE" w:rsidP="00811CEE">
            <w:pPr>
              <w:ind w:left="0"/>
            </w:pPr>
            <w:r w:rsidRPr="006D790D">
              <w:t>IgG1λ</w:t>
            </w:r>
          </w:p>
        </w:tc>
        <w:tc>
          <w:tcPr>
            <w:tcW w:w="6695" w:type="dxa"/>
          </w:tcPr>
          <w:p w14:paraId="0A5EDA00" w14:textId="60ECBBAD" w:rsidR="00811CEE" w:rsidRPr="006D790D" w:rsidRDefault="00811CEE" w:rsidP="00811CEE">
            <w:pPr>
              <w:ind w:left="0"/>
            </w:pPr>
            <w:r w:rsidRPr="006D790D">
              <w:t>Immunoglobulin G, subclass 1, lambda light chain</w:t>
            </w:r>
          </w:p>
        </w:tc>
      </w:tr>
      <w:tr w:rsidR="00811CEE" w:rsidRPr="006D790D" w14:paraId="750D1D75" w14:textId="77777777" w:rsidTr="00E35737">
        <w:tc>
          <w:tcPr>
            <w:tcW w:w="1799" w:type="dxa"/>
          </w:tcPr>
          <w:p w14:paraId="43425A77" w14:textId="1259C565" w:rsidR="00811CEE" w:rsidRPr="006D790D" w:rsidRDefault="00811CEE" w:rsidP="00811CEE">
            <w:pPr>
              <w:ind w:left="0"/>
            </w:pPr>
            <w:r w:rsidRPr="006D790D">
              <w:t>IgG1κ</w:t>
            </w:r>
          </w:p>
        </w:tc>
        <w:tc>
          <w:tcPr>
            <w:tcW w:w="6695" w:type="dxa"/>
          </w:tcPr>
          <w:p w14:paraId="6395633E" w14:textId="2A61A545" w:rsidR="00811CEE" w:rsidRPr="006D790D" w:rsidRDefault="00811CEE" w:rsidP="00811CEE">
            <w:pPr>
              <w:ind w:left="0"/>
            </w:pPr>
            <w:r w:rsidRPr="006D790D">
              <w:t>Immunoglobulin G, subclass 1, kappa light chain</w:t>
            </w:r>
          </w:p>
        </w:tc>
      </w:tr>
      <w:tr w:rsidR="00811CEE" w:rsidRPr="006D790D" w14:paraId="02504E16" w14:textId="77777777" w:rsidTr="00E35737">
        <w:tc>
          <w:tcPr>
            <w:tcW w:w="1799" w:type="dxa"/>
          </w:tcPr>
          <w:p w14:paraId="20EE83DF" w14:textId="7F7A51F8" w:rsidR="00811CEE" w:rsidRPr="006D790D" w:rsidRDefault="00811CEE" w:rsidP="00811CEE">
            <w:pPr>
              <w:ind w:left="0"/>
            </w:pPr>
            <w:r w:rsidRPr="006D790D">
              <w:t>IRR</w:t>
            </w:r>
          </w:p>
        </w:tc>
        <w:tc>
          <w:tcPr>
            <w:tcW w:w="6695" w:type="dxa"/>
          </w:tcPr>
          <w:p w14:paraId="7945B57C" w14:textId="3C84676C" w:rsidR="00811CEE" w:rsidRPr="006D790D" w:rsidRDefault="00811CEE" w:rsidP="00811CEE">
            <w:pPr>
              <w:ind w:left="0"/>
            </w:pPr>
            <w:r w:rsidRPr="006D790D">
              <w:t>Infusion related reaction</w:t>
            </w:r>
          </w:p>
        </w:tc>
      </w:tr>
      <w:tr w:rsidR="00811CEE" w:rsidRPr="006D790D" w14:paraId="5AFA94A1" w14:textId="77777777" w:rsidTr="00E35737">
        <w:tc>
          <w:tcPr>
            <w:tcW w:w="1799" w:type="dxa"/>
          </w:tcPr>
          <w:p w14:paraId="5CAAB54B" w14:textId="0361B534" w:rsidR="00811CEE" w:rsidRPr="006D790D" w:rsidRDefault="00811CEE" w:rsidP="00811CEE">
            <w:pPr>
              <w:ind w:left="0"/>
            </w:pPr>
            <w:r w:rsidRPr="006D790D">
              <w:t>ISR</w:t>
            </w:r>
          </w:p>
        </w:tc>
        <w:tc>
          <w:tcPr>
            <w:tcW w:w="6695" w:type="dxa"/>
          </w:tcPr>
          <w:p w14:paraId="1BF9D8B0" w14:textId="355D5915" w:rsidR="00811CEE" w:rsidRPr="006D790D" w:rsidRDefault="00811CEE" w:rsidP="00811CEE">
            <w:pPr>
              <w:ind w:left="0"/>
            </w:pPr>
            <w:r w:rsidRPr="006D790D">
              <w:t>Injection site reaction</w:t>
            </w:r>
          </w:p>
        </w:tc>
      </w:tr>
      <w:tr w:rsidR="00811CEE" w:rsidRPr="006D790D" w14:paraId="4B7381C4" w14:textId="77777777" w:rsidTr="00E35737">
        <w:tc>
          <w:tcPr>
            <w:tcW w:w="1799" w:type="dxa"/>
          </w:tcPr>
          <w:p w14:paraId="3D61252A" w14:textId="5487A13B" w:rsidR="00811CEE" w:rsidRPr="006D790D" w:rsidRDefault="00811CEE" w:rsidP="00811CEE">
            <w:pPr>
              <w:ind w:left="0"/>
            </w:pPr>
            <w:r w:rsidRPr="006D790D">
              <w:t>IV</w:t>
            </w:r>
          </w:p>
        </w:tc>
        <w:tc>
          <w:tcPr>
            <w:tcW w:w="6695" w:type="dxa"/>
          </w:tcPr>
          <w:p w14:paraId="52DB8B15" w14:textId="4BC6AC03" w:rsidR="00811CEE" w:rsidRPr="006D790D" w:rsidRDefault="00811CEE" w:rsidP="00811CEE">
            <w:pPr>
              <w:ind w:left="0"/>
            </w:pPr>
            <w:r w:rsidRPr="006D790D">
              <w:t>Intravenous</w:t>
            </w:r>
          </w:p>
        </w:tc>
      </w:tr>
      <w:tr w:rsidR="00811CEE" w:rsidRPr="006D790D" w14:paraId="05B8B462" w14:textId="77777777" w:rsidTr="00E35737">
        <w:tc>
          <w:tcPr>
            <w:tcW w:w="1799" w:type="dxa"/>
          </w:tcPr>
          <w:p w14:paraId="294D3FE9" w14:textId="1000DEB5" w:rsidR="00811CEE" w:rsidRPr="006D790D" w:rsidRDefault="00811CEE" w:rsidP="00811CEE">
            <w:pPr>
              <w:ind w:left="0"/>
            </w:pPr>
            <w:r w:rsidRPr="006D790D">
              <w:t>K</w:t>
            </w:r>
            <w:r w:rsidRPr="006D790D">
              <w:rPr>
                <w:vertAlign w:val="subscript"/>
              </w:rPr>
              <w:t>A</w:t>
            </w:r>
          </w:p>
        </w:tc>
        <w:tc>
          <w:tcPr>
            <w:tcW w:w="6695" w:type="dxa"/>
          </w:tcPr>
          <w:p w14:paraId="13999368" w14:textId="273D3E6E" w:rsidR="00811CEE" w:rsidRPr="006D790D" w:rsidRDefault="00811CEE" w:rsidP="00811CEE">
            <w:pPr>
              <w:ind w:left="0"/>
            </w:pPr>
            <w:r w:rsidRPr="006D790D">
              <w:t>Absorption rate constant</w:t>
            </w:r>
          </w:p>
        </w:tc>
      </w:tr>
      <w:tr w:rsidR="00811CEE" w:rsidRPr="006D790D" w14:paraId="3D2FACAE" w14:textId="77777777" w:rsidTr="00E35737">
        <w:tc>
          <w:tcPr>
            <w:tcW w:w="1799" w:type="dxa"/>
          </w:tcPr>
          <w:p w14:paraId="2D884C94" w14:textId="7C81A6CB" w:rsidR="00811CEE" w:rsidRPr="006D790D" w:rsidRDefault="00811CEE" w:rsidP="00811CEE">
            <w:pPr>
              <w:ind w:left="0"/>
            </w:pPr>
            <w:r w:rsidRPr="006D790D">
              <w:t>K</w:t>
            </w:r>
            <w:r w:rsidRPr="006D790D">
              <w:rPr>
                <w:vertAlign w:val="subscript"/>
              </w:rPr>
              <w:t>D</w:t>
            </w:r>
          </w:p>
        </w:tc>
        <w:tc>
          <w:tcPr>
            <w:tcW w:w="6695" w:type="dxa"/>
          </w:tcPr>
          <w:p w14:paraId="60EE9DFC" w14:textId="7390C937" w:rsidR="00811CEE" w:rsidRPr="006D790D" w:rsidRDefault="00811CEE" w:rsidP="00811CEE">
            <w:pPr>
              <w:ind w:left="0"/>
            </w:pPr>
            <w:r w:rsidRPr="006D790D">
              <w:t>Dissociation constant</w:t>
            </w:r>
          </w:p>
        </w:tc>
      </w:tr>
      <w:tr w:rsidR="00811CEE" w:rsidRPr="006D790D" w14:paraId="78DA66E2" w14:textId="77777777" w:rsidTr="00E35737">
        <w:tc>
          <w:tcPr>
            <w:tcW w:w="1799" w:type="dxa"/>
          </w:tcPr>
          <w:p w14:paraId="655427EE" w14:textId="77E85D60" w:rsidR="00811CEE" w:rsidRPr="006D790D" w:rsidRDefault="00811CEE" w:rsidP="00811CEE">
            <w:pPr>
              <w:ind w:left="0"/>
            </w:pPr>
            <w:proofErr w:type="spellStart"/>
            <w:r w:rsidRPr="006D790D">
              <w:t>mAb</w:t>
            </w:r>
            <w:proofErr w:type="spellEnd"/>
          </w:p>
        </w:tc>
        <w:tc>
          <w:tcPr>
            <w:tcW w:w="6695" w:type="dxa"/>
          </w:tcPr>
          <w:p w14:paraId="688CB3CB" w14:textId="1D924F3B" w:rsidR="00811CEE" w:rsidRPr="006D790D" w:rsidRDefault="00811CEE" w:rsidP="00811CEE">
            <w:pPr>
              <w:ind w:left="0"/>
            </w:pPr>
            <w:r w:rsidRPr="006D790D">
              <w:t>Monoclonal antibody</w:t>
            </w:r>
          </w:p>
        </w:tc>
      </w:tr>
      <w:tr w:rsidR="00811CEE" w:rsidRPr="006D790D" w14:paraId="10D74839" w14:textId="77777777" w:rsidTr="00E35737">
        <w:tc>
          <w:tcPr>
            <w:tcW w:w="1799" w:type="dxa"/>
          </w:tcPr>
          <w:p w14:paraId="48993C68" w14:textId="150D5197" w:rsidR="00811CEE" w:rsidRPr="006D790D" w:rsidRDefault="00811CEE" w:rsidP="00811CEE">
            <w:pPr>
              <w:ind w:left="0"/>
            </w:pPr>
            <w:proofErr w:type="spellStart"/>
            <w:r w:rsidRPr="006D790D">
              <w:t>mFAS</w:t>
            </w:r>
            <w:proofErr w:type="spellEnd"/>
          </w:p>
        </w:tc>
        <w:tc>
          <w:tcPr>
            <w:tcW w:w="6695" w:type="dxa"/>
          </w:tcPr>
          <w:p w14:paraId="39AF3028" w14:textId="1F0E5136" w:rsidR="00811CEE" w:rsidRPr="006D790D" w:rsidRDefault="00811CEE" w:rsidP="00811CEE">
            <w:pPr>
              <w:ind w:left="0"/>
            </w:pPr>
            <w:r w:rsidRPr="006D790D">
              <w:t>Modified full analysis set</w:t>
            </w:r>
          </w:p>
        </w:tc>
      </w:tr>
      <w:tr w:rsidR="00811CEE" w:rsidRPr="006D790D" w14:paraId="6638129B" w14:textId="77777777" w:rsidTr="00E35737">
        <w:tc>
          <w:tcPr>
            <w:tcW w:w="1799" w:type="dxa"/>
          </w:tcPr>
          <w:p w14:paraId="7B5E375D" w14:textId="15DB34D7" w:rsidR="00811CEE" w:rsidRPr="006D790D" w:rsidRDefault="00811CEE" w:rsidP="00811CEE">
            <w:pPr>
              <w:ind w:left="0"/>
            </w:pPr>
            <w:r w:rsidRPr="006D790D">
              <w:t>OR</w:t>
            </w:r>
          </w:p>
        </w:tc>
        <w:tc>
          <w:tcPr>
            <w:tcW w:w="6695" w:type="dxa"/>
          </w:tcPr>
          <w:p w14:paraId="687EDED9" w14:textId="2B7E0466" w:rsidR="00811CEE" w:rsidRPr="006D790D" w:rsidRDefault="00811CEE" w:rsidP="00811CEE">
            <w:pPr>
              <w:ind w:left="0"/>
            </w:pPr>
            <w:r w:rsidRPr="006D790D">
              <w:t>Odds ratio</w:t>
            </w:r>
          </w:p>
        </w:tc>
      </w:tr>
      <w:tr w:rsidR="00811CEE" w:rsidRPr="006D790D" w14:paraId="0B8DFEA8" w14:textId="77777777" w:rsidTr="00E35737">
        <w:tc>
          <w:tcPr>
            <w:tcW w:w="1799" w:type="dxa"/>
          </w:tcPr>
          <w:p w14:paraId="0F22D22A" w14:textId="12BA01A3" w:rsidR="00811CEE" w:rsidRPr="006D790D" w:rsidRDefault="00811CEE" w:rsidP="00811CEE">
            <w:pPr>
              <w:ind w:left="0"/>
            </w:pPr>
            <w:r w:rsidRPr="006D790D">
              <w:t>PD</w:t>
            </w:r>
          </w:p>
        </w:tc>
        <w:tc>
          <w:tcPr>
            <w:tcW w:w="6695" w:type="dxa"/>
          </w:tcPr>
          <w:p w14:paraId="45E55F83" w14:textId="247759BB" w:rsidR="00811CEE" w:rsidRPr="006D790D" w:rsidRDefault="00811CEE" w:rsidP="00811CEE">
            <w:pPr>
              <w:ind w:left="0"/>
            </w:pPr>
            <w:r w:rsidRPr="006D790D">
              <w:t>Pharmacodynamic(s)</w:t>
            </w:r>
          </w:p>
        </w:tc>
      </w:tr>
      <w:tr w:rsidR="00811CEE" w:rsidRPr="006D790D" w14:paraId="7050AC95" w14:textId="77777777" w:rsidTr="00E35737">
        <w:tc>
          <w:tcPr>
            <w:tcW w:w="1799" w:type="dxa"/>
          </w:tcPr>
          <w:p w14:paraId="598E11A5" w14:textId="43984E38" w:rsidR="00811CEE" w:rsidRPr="006D790D" w:rsidRDefault="00811CEE" w:rsidP="00811CEE">
            <w:pPr>
              <w:ind w:left="0"/>
            </w:pPr>
            <w:r w:rsidRPr="006D790D">
              <w:lastRenderedPageBreak/>
              <w:t>PK</w:t>
            </w:r>
          </w:p>
        </w:tc>
        <w:tc>
          <w:tcPr>
            <w:tcW w:w="6695" w:type="dxa"/>
          </w:tcPr>
          <w:p w14:paraId="3A47D204" w14:textId="77D362E2" w:rsidR="00811CEE" w:rsidRPr="006D790D" w:rsidRDefault="00811CEE" w:rsidP="00811CEE">
            <w:pPr>
              <w:ind w:left="0"/>
            </w:pPr>
            <w:r w:rsidRPr="006D790D">
              <w:t>Pharmacokinetic(s)</w:t>
            </w:r>
          </w:p>
        </w:tc>
      </w:tr>
      <w:tr w:rsidR="00811CEE" w:rsidRPr="006D790D" w14:paraId="3E1190E4" w14:textId="77777777" w:rsidTr="00E35737">
        <w:tc>
          <w:tcPr>
            <w:tcW w:w="1799" w:type="dxa"/>
          </w:tcPr>
          <w:p w14:paraId="47006517" w14:textId="127FC055" w:rsidR="00811CEE" w:rsidRPr="006D790D" w:rsidRDefault="00811CEE" w:rsidP="00811CEE">
            <w:pPr>
              <w:ind w:left="0"/>
            </w:pPr>
            <w:r w:rsidRPr="006D790D">
              <w:t>PKAS</w:t>
            </w:r>
          </w:p>
        </w:tc>
        <w:tc>
          <w:tcPr>
            <w:tcW w:w="6695" w:type="dxa"/>
          </w:tcPr>
          <w:p w14:paraId="7532EF41" w14:textId="43C8973D" w:rsidR="00811CEE" w:rsidRPr="006D790D" w:rsidRDefault="00811CEE" w:rsidP="00811CEE">
            <w:pPr>
              <w:ind w:left="0"/>
            </w:pPr>
            <w:r w:rsidRPr="006D790D">
              <w:t>Pharmacokinetic analysis set</w:t>
            </w:r>
          </w:p>
        </w:tc>
      </w:tr>
      <w:tr w:rsidR="00811CEE" w:rsidRPr="006D790D" w14:paraId="6B4D1923" w14:textId="77777777" w:rsidTr="00E35737">
        <w:tc>
          <w:tcPr>
            <w:tcW w:w="1799" w:type="dxa"/>
          </w:tcPr>
          <w:p w14:paraId="6F78F0BB" w14:textId="075746B6" w:rsidR="00811CEE" w:rsidRPr="006D790D" w:rsidRDefault="00811CEE" w:rsidP="00811CEE">
            <w:pPr>
              <w:ind w:left="0"/>
            </w:pPr>
            <w:r w:rsidRPr="006D790D">
              <w:t>PI</w:t>
            </w:r>
          </w:p>
        </w:tc>
        <w:tc>
          <w:tcPr>
            <w:tcW w:w="6695" w:type="dxa"/>
          </w:tcPr>
          <w:p w14:paraId="0DB81D6A" w14:textId="663F8B6A" w:rsidR="00811CEE" w:rsidRPr="006D790D" w:rsidRDefault="00811CEE" w:rsidP="00811CEE">
            <w:pPr>
              <w:ind w:left="0"/>
            </w:pPr>
            <w:r w:rsidRPr="006D790D">
              <w:t>Product Information</w:t>
            </w:r>
          </w:p>
        </w:tc>
      </w:tr>
      <w:tr w:rsidR="00811CEE" w:rsidRPr="006D790D" w14:paraId="59EF5F14" w14:textId="77777777" w:rsidTr="00E35737">
        <w:tc>
          <w:tcPr>
            <w:tcW w:w="1799" w:type="dxa"/>
          </w:tcPr>
          <w:p w14:paraId="23D87B7C" w14:textId="5FAFC0BC" w:rsidR="00811CEE" w:rsidRPr="006D790D" w:rsidRDefault="00811CEE" w:rsidP="00811CEE">
            <w:pPr>
              <w:ind w:left="0"/>
            </w:pPr>
            <w:proofErr w:type="spellStart"/>
            <w:r w:rsidRPr="006D790D">
              <w:t>pM</w:t>
            </w:r>
            <w:proofErr w:type="spellEnd"/>
          </w:p>
        </w:tc>
        <w:tc>
          <w:tcPr>
            <w:tcW w:w="6695" w:type="dxa"/>
          </w:tcPr>
          <w:p w14:paraId="43060B61" w14:textId="3B51DEEB" w:rsidR="00811CEE" w:rsidRPr="006D790D" w:rsidRDefault="00811CEE" w:rsidP="00811CEE">
            <w:pPr>
              <w:ind w:left="0"/>
            </w:pPr>
            <w:r w:rsidRPr="006D790D">
              <w:t>Picomolar</w:t>
            </w:r>
          </w:p>
        </w:tc>
      </w:tr>
      <w:tr w:rsidR="00811CEE" w:rsidRPr="006D790D" w14:paraId="22FEB285" w14:textId="77777777" w:rsidTr="00E35737">
        <w:tc>
          <w:tcPr>
            <w:tcW w:w="1799" w:type="dxa"/>
          </w:tcPr>
          <w:p w14:paraId="0BB812BF" w14:textId="0604DA43" w:rsidR="00811CEE" w:rsidRPr="006D790D" w:rsidRDefault="00811CEE" w:rsidP="00811CEE">
            <w:pPr>
              <w:ind w:left="0"/>
            </w:pPr>
            <w:proofErr w:type="spellStart"/>
            <w:r w:rsidRPr="006D790D">
              <w:t>popPK</w:t>
            </w:r>
            <w:proofErr w:type="spellEnd"/>
          </w:p>
        </w:tc>
        <w:tc>
          <w:tcPr>
            <w:tcW w:w="6695" w:type="dxa"/>
          </w:tcPr>
          <w:p w14:paraId="2FB3E255" w14:textId="46B78462" w:rsidR="00811CEE" w:rsidRPr="006D790D" w:rsidRDefault="00811CEE" w:rsidP="00811CEE">
            <w:pPr>
              <w:ind w:left="0"/>
            </w:pPr>
            <w:r w:rsidRPr="006D790D">
              <w:t>Population pharmacokinetic</w:t>
            </w:r>
          </w:p>
        </w:tc>
      </w:tr>
      <w:tr w:rsidR="00811CEE" w:rsidRPr="006D790D" w14:paraId="07FE9237" w14:textId="77777777" w:rsidTr="00E35737">
        <w:tc>
          <w:tcPr>
            <w:tcW w:w="1799" w:type="dxa"/>
          </w:tcPr>
          <w:p w14:paraId="5F66B007" w14:textId="2B6B644E" w:rsidR="00811CEE" w:rsidRPr="006D790D" w:rsidRDefault="00811CEE" w:rsidP="00811CEE">
            <w:pPr>
              <w:ind w:left="0"/>
            </w:pPr>
            <w:r w:rsidRPr="006D790D">
              <w:t>RBD</w:t>
            </w:r>
          </w:p>
        </w:tc>
        <w:tc>
          <w:tcPr>
            <w:tcW w:w="6695" w:type="dxa"/>
          </w:tcPr>
          <w:p w14:paraId="017BDDF4" w14:textId="6D9BCC24" w:rsidR="00811CEE" w:rsidRPr="006D790D" w:rsidRDefault="00811CEE" w:rsidP="00811CEE">
            <w:pPr>
              <w:ind w:left="0"/>
            </w:pPr>
            <w:r w:rsidRPr="006D790D">
              <w:t>Receptor binding domain</w:t>
            </w:r>
          </w:p>
        </w:tc>
      </w:tr>
      <w:tr w:rsidR="00811CEE" w:rsidRPr="006D790D" w14:paraId="442111C3" w14:textId="77777777" w:rsidTr="00E35737">
        <w:tc>
          <w:tcPr>
            <w:tcW w:w="1799" w:type="dxa"/>
          </w:tcPr>
          <w:p w14:paraId="15C7D4CF" w14:textId="7F686651" w:rsidR="00811CEE" w:rsidRPr="006D790D" w:rsidRDefault="00811CEE" w:rsidP="00811CEE">
            <w:pPr>
              <w:ind w:left="0"/>
            </w:pPr>
            <w:r w:rsidRPr="006D790D">
              <w:t>RMP</w:t>
            </w:r>
          </w:p>
        </w:tc>
        <w:tc>
          <w:tcPr>
            <w:tcW w:w="6695" w:type="dxa"/>
          </w:tcPr>
          <w:p w14:paraId="2E3BB87B" w14:textId="1E8FBBD2" w:rsidR="00811CEE" w:rsidRPr="006D790D" w:rsidRDefault="00811CEE" w:rsidP="00811CEE">
            <w:pPr>
              <w:ind w:left="0"/>
            </w:pPr>
            <w:r w:rsidRPr="006D790D">
              <w:t>Risk management plan</w:t>
            </w:r>
          </w:p>
        </w:tc>
      </w:tr>
      <w:tr w:rsidR="00811CEE" w:rsidRPr="006D790D" w14:paraId="03ADCD9D" w14:textId="77777777" w:rsidTr="00E35737">
        <w:tc>
          <w:tcPr>
            <w:tcW w:w="1799" w:type="dxa"/>
          </w:tcPr>
          <w:p w14:paraId="20D77FF7" w14:textId="7D94A1E0" w:rsidR="00811CEE" w:rsidRPr="006D790D" w:rsidRDefault="00811CEE" w:rsidP="00811CEE">
            <w:pPr>
              <w:ind w:left="0"/>
            </w:pPr>
            <w:r w:rsidRPr="006D790D">
              <w:rPr>
                <w:color w:val="auto"/>
                <w:szCs w:val="22"/>
                <w:lang w:eastAsia="en-US"/>
              </w:rPr>
              <w:t>RNA</w:t>
            </w:r>
          </w:p>
        </w:tc>
        <w:tc>
          <w:tcPr>
            <w:tcW w:w="6695" w:type="dxa"/>
          </w:tcPr>
          <w:p w14:paraId="0654F0FD" w14:textId="4A130390" w:rsidR="00811CEE" w:rsidRPr="006D790D" w:rsidRDefault="00811CEE" w:rsidP="00811CEE">
            <w:pPr>
              <w:ind w:left="0"/>
            </w:pPr>
            <w:r w:rsidRPr="006D790D">
              <w:rPr>
                <w:color w:val="auto"/>
                <w:szCs w:val="22"/>
                <w:lang w:eastAsia="en-US"/>
              </w:rPr>
              <w:t>Ribonucleic acid</w:t>
            </w:r>
          </w:p>
        </w:tc>
      </w:tr>
      <w:tr w:rsidR="00811CEE" w:rsidRPr="006D790D" w14:paraId="67E1D1AB" w14:textId="77777777" w:rsidTr="00E35737">
        <w:tc>
          <w:tcPr>
            <w:tcW w:w="1799" w:type="dxa"/>
          </w:tcPr>
          <w:p w14:paraId="66E97FE4" w14:textId="367D5D65" w:rsidR="00811CEE" w:rsidRPr="006D790D" w:rsidRDefault="00811CEE" w:rsidP="00811CEE">
            <w:pPr>
              <w:ind w:left="0"/>
            </w:pPr>
            <w:bookmarkStart w:id="10" w:name="_Hlk85797334"/>
            <w:r w:rsidRPr="006D790D">
              <w:t>RT-</w:t>
            </w:r>
            <w:r w:rsidR="00405C8B">
              <w:t>(</w:t>
            </w:r>
            <w:r w:rsidRPr="006D790D">
              <w:t>q</w:t>
            </w:r>
            <w:r w:rsidR="00405C8B">
              <w:t>)</w:t>
            </w:r>
            <w:r w:rsidRPr="006D790D">
              <w:t>PCR</w:t>
            </w:r>
          </w:p>
        </w:tc>
        <w:tc>
          <w:tcPr>
            <w:tcW w:w="6695" w:type="dxa"/>
          </w:tcPr>
          <w:p w14:paraId="26DC2E1D" w14:textId="002F7243" w:rsidR="00811CEE" w:rsidRPr="006D790D" w:rsidRDefault="00811CEE" w:rsidP="00811CEE">
            <w:pPr>
              <w:ind w:left="0"/>
            </w:pPr>
            <w:r w:rsidRPr="006D790D">
              <w:t xml:space="preserve">Reverse transcription </w:t>
            </w:r>
            <w:r w:rsidR="00405C8B">
              <w:t>(</w:t>
            </w:r>
            <w:r w:rsidRPr="006D790D">
              <w:t>quantitative real time</w:t>
            </w:r>
            <w:r w:rsidR="00405C8B">
              <w:t>)</w:t>
            </w:r>
            <w:r w:rsidRPr="006D790D">
              <w:t xml:space="preserve"> polymerase chain reaction</w:t>
            </w:r>
          </w:p>
        </w:tc>
      </w:tr>
      <w:bookmarkEnd w:id="10"/>
      <w:tr w:rsidR="00811CEE" w:rsidRPr="006D790D" w14:paraId="3FCD6519" w14:textId="77777777" w:rsidTr="00E35737">
        <w:tc>
          <w:tcPr>
            <w:tcW w:w="1799" w:type="dxa"/>
          </w:tcPr>
          <w:p w14:paraId="67BC95E1" w14:textId="04E08327" w:rsidR="00811CEE" w:rsidRPr="006D790D" w:rsidRDefault="00811CEE" w:rsidP="00811CEE">
            <w:pPr>
              <w:ind w:left="0"/>
            </w:pPr>
            <w:r w:rsidRPr="006D790D">
              <w:t>SAE</w:t>
            </w:r>
          </w:p>
        </w:tc>
        <w:tc>
          <w:tcPr>
            <w:tcW w:w="6695" w:type="dxa"/>
          </w:tcPr>
          <w:p w14:paraId="48CEC7A2" w14:textId="5EEF994F" w:rsidR="00811CEE" w:rsidRPr="006D790D" w:rsidRDefault="00811CEE" w:rsidP="00811CEE">
            <w:pPr>
              <w:ind w:left="0"/>
            </w:pPr>
            <w:r w:rsidRPr="006D790D">
              <w:t>Serious adverse event(s)</w:t>
            </w:r>
          </w:p>
        </w:tc>
      </w:tr>
      <w:tr w:rsidR="00811CEE" w:rsidRPr="006D790D" w14:paraId="377B4886" w14:textId="77777777" w:rsidTr="00E35737">
        <w:tc>
          <w:tcPr>
            <w:tcW w:w="1799" w:type="dxa"/>
          </w:tcPr>
          <w:p w14:paraId="0DE0AC3A" w14:textId="4ACF7353" w:rsidR="00811CEE" w:rsidRPr="006D790D" w:rsidRDefault="00811CEE" w:rsidP="00811CEE">
            <w:pPr>
              <w:ind w:left="0"/>
            </w:pPr>
            <w:r w:rsidRPr="006D790D">
              <w:t>SAF</w:t>
            </w:r>
          </w:p>
        </w:tc>
        <w:tc>
          <w:tcPr>
            <w:tcW w:w="6695" w:type="dxa"/>
          </w:tcPr>
          <w:p w14:paraId="7F3BE2DE" w14:textId="727552F6" w:rsidR="00811CEE" w:rsidRPr="006D790D" w:rsidRDefault="00811CEE" w:rsidP="00811CEE">
            <w:pPr>
              <w:ind w:left="0"/>
            </w:pPr>
            <w:r w:rsidRPr="006D790D">
              <w:t>Safety analysis population</w:t>
            </w:r>
          </w:p>
        </w:tc>
      </w:tr>
      <w:tr w:rsidR="00811CEE" w:rsidRPr="006D790D" w14:paraId="5B0B1760" w14:textId="77777777" w:rsidTr="00E35737">
        <w:tc>
          <w:tcPr>
            <w:tcW w:w="1799" w:type="dxa"/>
          </w:tcPr>
          <w:p w14:paraId="3AE5CF1E" w14:textId="5BB408CE" w:rsidR="00811CEE" w:rsidRPr="006D790D" w:rsidRDefault="00811CEE" w:rsidP="00811CEE">
            <w:pPr>
              <w:ind w:left="0"/>
            </w:pPr>
            <w:r w:rsidRPr="006D790D">
              <w:t>SAP</w:t>
            </w:r>
          </w:p>
        </w:tc>
        <w:tc>
          <w:tcPr>
            <w:tcW w:w="6695" w:type="dxa"/>
          </w:tcPr>
          <w:p w14:paraId="1D478020" w14:textId="4222D4C0" w:rsidR="00811CEE" w:rsidRPr="006D790D" w:rsidRDefault="00811CEE" w:rsidP="00811CEE">
            <w:pPr>
              <w:ind w:left="0"/>
            </w:pPr>
            <w:r w:rsidRPr="006D790D">
              <w:t>Statistical analysis plan</w:t>
            </w:r>
          </w:p>
        </w:tc>
      </w:tr>
      <w:tr w:rsidR="00811CEE" w:rsidRPr="006D790D" w14:paraId="24ACDCFD" w14:textId="77777777" w:rsidTr="00E35737">
        <w:tc>
          <w:tcPr>
            <w:tcW w:w="1799" w:type="dxa"/>
          </w:tcPr>
          <w:p w14:paraId="5815DFA1" w14:textId="3D827D71" w:rsidR="00811CEE" w:rsidRPr="006D790D" w:rsidRDefault="00811CEE" w:rsidP="00811CEE">
            <w:pPr>
              <w:ind w:left="0" w:right="0"/>
              <w:rPr>
                <w:color w:val="auto"/>
                <w:szCs w:val="22"/>
                <w:lang w:eastAsia="en-US"/>
              </w:rPr>
            </w:pPr>
            <w:r w:rsidRPr="006D790D">
              <w:rPr>
                <w:color w:val="auto"/>
                <w:szCs w:val="22"/>
                <w:lang w:eastAsia="en-US"/>
              </w:rPr>
              <w:t>SARS-CoV-2</w:t>
            </w:r>
          </w:p>
        </w:tc>
        <w:tc>
          <w:tcPr>
            <w:tcW w:w="6695" w:type="dxa"/>
          </w:tcPr>
          <w:p w14:paraId="5A30FED3" w14:textId="013509AF" w:rsidR="00811CEE" w:rsidRPr="006D790D" w:rsidRDefault="00811CEE" w:rsidP="00811CEE">
            <w:pPr>
              <w:ind w:left="0" w:right="0"/>
              <w:rPr>
                <w:color w:val="auto"/>
                <w:szCs w:val="22"/>
                <w:lang w:eastAsia="en-US"/>
              </w:rPr>
            </w:pPr>
            <w:r w:rsidRPr="006D790D">
              <w:rPr>
                <w:color w:val="auto"/>
                <w:szCs w:val="22"/>
                <w:lang w:eastAsia="en-US"/>
              </w:rPr>
              <w:t>Severe acute respiratory syndrome coronavirus 2</w:t>
            </w:r>
          </w:p>
        </w:tc>
      </w:tr>
      <w:tr w:rsidR="00811CEE" w:rsidRPr="006D790D" w14:paraId="0C49294D" w14:textId="77777777" w:rsidTr="00E35737">
        <w:tc>
          <w:tcPr>
            <w:tcW w:w="1799" w:type="dxa"/>
          </w:tcPr>
          <w:p w14:paraId="3F5792AD" w14:textId="403F20FB" w:rsidR="00811CEE" w:rsidRPr="006D790D" w:rsidRDefault="00811CEE" w:rsidP="00811CEE">
            <w:pPr>
              <w:ind w:left="0"/>
            </w:pPr>
            <w:r w:rsidRPr="006D790D">
              <w:t>SC</w:t>
            </w:r>
          </w:p>
        </w:tc>
        <w:tc>
          <w:tcPr>
            <w:tcW w:w="6695" w:type="dxa"/>
          </w:tcPr>
          <w:p w14:paraId="1DA2DEC7" w14:textId="08E74BC4" w:rsidR="00811CEE" w:rsidRPr="006D790D" w:rsidRDefault="00811CEE" w:rsidP="00811CEE">
            <w:pPr>
              <w:ind w:left="0"/>
            </w:pPr>
            <w:r w:rsidRPr="006D790D">
              <w:t>Subcutaneous</w:t>
            </w:r>
          </w:p>
        </w:tc>
      </w:tr>
      <w:tr w:rsidR="00811CEE" w:rsidRPr="006D790D" w14:paraId="1DC6CE75" w14:textId="77777777" w:rsidTr="00E35737">
        <w:tc>
          <w:tcPr>
            <w:tcW w:w="1799" w:type="dxa"/>
          </w:tcPr>
          <w:p w14:paraId="20A6D5B5" w14:textId="7066DF0F" w:rsidR="00811CEE" w:rsidRPr="006D790D" w:rsidRDefault="00811CEE" w:rsidP="00811CEE">
            <w:pPr>
              <w:ind w:left="0"/>
            </w:pPr>
            <w:r w:rsidRPr="006D790D">
              <w:t>SD</w:t>
            </w:r>
          </w:p>
        </w:tc>
        <w:tc>
          <w:tcPr>
            <w:tcW w:w="6695" w:type="dxa"/>
          </w:tcPr>
          <w:p w14:paraId="3B6145FD" w14:textId="3E29F802" w:rsidR="00811CEE" w:rsidRPr="006D790D" w:rsidRDefault="00811CEE" w:rsidP="00811CEE">
            <w:pPr>
              <w:ind w:left="0"/>
            </w:pPr>
            <w:r w:rsidRPr="006D790D">
              <w:t>Standard deviation</w:t>
            </w:r>
          </w:p>
        </w:tc>
      </w:tr>
      <w:tr w:rsidR="00811CEE" w:rsidRPr="006D790D" w14:paraId="3CE427AE" w14:textId="77777777" w:rsidTr="00E35737">
        <w:tc>
          <w:tcPr>
            <w:tcW w:w="1799" w:type="dxa"/>
          </w:tcPr>
          <w:p w14:paraId="5081ACB8" w14:textId="27FFA255" w:rsidR="00811CEE" w:rsidRPr="006D790D" w:rsidRDefault="00811CEE" w:rsidP="00811CEE">
            <w:pPr>
              <w:ind w:left="0"/>
            </w:pPr>
            <w:r w:rsidRPr="006D790D">
              <w:t>TEAE</w:t>
            </w:r>
          </w:p>
        </w:tc>
        <w:tc>
          <w:tcPr>
            <w:tcW w:w="6695" w:type="dxa"/>
          </w:tcPr>
          <w:p w14:paraId="19CBDCD9" w14:textId="36355497" w:rsidR="00811CEE" w:rsidRPr="006D790D" w:rsidRDefault="00811CEE" w:rsidP="00811CEE">
            <w:pPr>
              <w:ind w:left="0"/>
            </w:pPr>
            <w:r w:rsidRPr="006D790D">
              <w:t>Treatment emergent adverse event(s)</w:t>
            </w:r>
          </w:p>
        </w:tc>
      </w:tr>
      <w:tr w:rsidR="00652CDE" w:rsidRPr="006D790D" w14:paraId="393092DF" w14:textId="77777777" w:rsidTr="00E35737">
        <w:tc>
          <w:tcPr>
            <w:tcW w:w="1799" w:type="dxa"/>
          </w:tcPr>
          <w:p w14:paraId="4DCEA2D9" w14:textId="4AC160D1" w:rsidR="00652CDE" w:rsidRPr="006D790D" w:rsidRDefault="00652CDE" w:rsidP="00652CDE">
            <w:pPr>
              <w:ind w:left="0"/>
            </w:pPr>
            <w:r w:rsidRPr="006D790D">
              <w:t>t</w:t>
            </w:r>
            <w:r w:rsidRPr="006D790D">
              <w:rPr>
                <w:vertAlign w:val="subscript"/>
              </w:rPr>
              <w:t>1/2</w:t>
            </w:r>
          </w:p>
        </w:tc>
        <w:tc>
          <w:tcPr>
            <w:tcW w:w="6695" w:type="dxa"/>
          </w:tcPr>
          <w:p w14:paraId="0B4A371A" w14:textId="01910EE0" w:rsidR="00652CDE" w:rsidRPr="006D790D" w:rsidRDefault="00652CDE" w:rsidP="00652CDE">
            <w:pPr>
              <w:ind w:left="0"/>
            </w:pPr>
            <w:r w:rsidRPr="006D790D">
              <w:t>Half-life</w:t>
            </w:r>
          </w:p>
        </w:tc>
      </w:tr>
      <w:tr w:rsidR="00811CEE" w:rsidRPr="006D790D" w14:paraId="6C51FD41" w14:textId="77777777" w:rsidTr="00E35737">
        <w:tc>
          <w:tcPr>
            <w:tcW w:w="1799" w:type="dxa"/>
          </w:tcPr>
          <w:p w14:paraId="564A6988" w14:textId="6E24AEB5" w:rsidR="00811CEE" w:rsidRPr="006D790D" w:rsidRDefault="00811CEE" w:rsidP="00811CEE">
            <w:pPr>
              <w:ind w:left="0"/>
            </w:pPr>
            <w:proofErr w:type="spellStart"/>
            <w:r w:rsidRPr="006D790D">
              <w:t>T</w:t>
            </w:r>
            <w:r w:rsidRPr="006D790D">
              <w:rPr>
                <w:vertAlign w:val="subscript"/>
              </w:rPr>
              <w:t>max</w:t>
            </w:r>
            <w:proofErr w:type="spellEnd"/>
          </w:p>
        </w:tc>
        <w:tc>
          <w:tcPr>
            <w:tcW w:w="6695" w:type="dxa"/>
          </w:tcPr>
          <w:p w14:paraId="7FBF6350" w14:textId="0C76FE69" w:rsidR="00811CEE" w:rsidRPr="006D790D" w:rsidRDefault="00811CEE" w:rsidP="00811CEE">
            <w:pPr>
              <w:ind w:left="0"/>
            </w:pPr>
            <w:r w:rsidRPr="006D790D">
              <w:t>Time taken to reach the maximum concentration</w:t>
            </w:r>
          </w:p>
        </w:tc>
      </w:tr>
      <w:tr w:rsidR="00811CEE" w:rsidRPr="006D790D" w14:paraId="385AA0EA" w14:textId="77777777" w:rsidTr="00E35737">
        <w:tc>
          <w:tcPr>
            <w:tcW w:w="1799" w:type="dxa"/>
          </w:tcPr>
          <w:p w14:paraId="75A37987" w14:textId="323F09C3" w:rsidR="00811CEE" w:rsidRPr="006D790D" w:rsidRDefault="00811CEE" w:rsidP="00811CEE">
            <w:pPr>
              <w:ind w:left="0"/>
            </w:pPr>
            <w:r w:rsidRPr="006D790D">
              <w:t>UK</w:t>
            </w:r>
          </w:p>
        </w:tc>
        <w:tc>
          <w:tcPr>
            <w:tcW w:w="6695" w:type="dxa"/>
          </w:tcPr>
          <w:p w14:paraId="1B7A27EE" w14:textId="50393986" w:rsidR="00811CEE" w:rsidRPr="006D790D" w:rsidRDefault="00811CEE" w:rsidP="00811CEE">
            <w:pPr>
              <w:ind w:left="0"/>
            </w:pPr>
            <w:r w:rsidRPr="006D790D">
              <w:t>United Kingdom</w:t>
            </w:r>
          </w:p>
        </w:tc>
      </w:tr>
      <w:tr w:rsidR="00811CEE" w:rsidRPr="006D790D" w14:paraId="608CC2F2" w14:textId="77777777" w:rsidTr="00E35737">
        <w:tc>
          <w:tcPr>
            <w:tcW w:w="1799" w:type="dxa"/>
          </w:tcPr>
          <w:p w14:paraId="31F58C5D" w14:textId="4E789F92" w:rsidR="00811CEE" w:rsidRPr="006D790D" w:rsidRDefault="00811CEE" w:rsidP="00811CEE">
            <w:pPr>
              <w:ind w:left="0"/>
            </w:pPr>
            <w:r w:rsidRPr="006D790D">
              <w:t>US</w:t>
            </w:r>
            <w:r w:rsidR="00D45114">
              <w:t>(A)</w:t>
            </w:r>
          </w:p>
        </w:tc>
        <w:tc>
          <w:tcPr>
            <w:tcW w:w="6695" w:type="dxa"/>
          </w:tcPr>
          <w:p w14:paraId="34168F85" w14:textId="06E5F1ED" w:rsidR="00811CEE" w:rsidRPr="006D790D" w:rsidRDefault="00811CEE" w:rsidP="00811CEE">
            <w:pPr>
              <w:ind w:left="0"/>
            </w:pPr>
            <w:r w:rsidRPr="006D790D">
              <w:t>United States</w:t>
            </w:r>
            <w:r w:rsidR="00D45114">
              <w:t xml:space="preserve"> (of America)</w:t>
            </w:r>
          </w:p>
        </w:tc>
      </w:tr>
      <w:tr w:rsidR="00811CEE" w:rsidRPr="006D790D" w14:paraId="4A2002B3" w14:textId="77777777" w:rsidTr="00E35737">
        <w:tc>
          <w:tcPr>
            <w:tcW w:w="1799" w:type="dxa"/>
          </w:tcPr>
          <w:p w14:paraId="748CFF5C" w14:textId="1DAED936" w:rsidR="00811CEE" w:rsidRPr="006D790D" w:rsidRDefault="00811CEE" w:rsidP="00811CEE">
            <w:pPr>
              <w:ind w:left="0"/>
            </w:pPr>
            <w:proofErr w:type="spellStart"/>
            <w:r w:rsidRPr="006D790D">
              <w:t>V</w:t>
            </w:r>
            <w:r w:rsidRPr="006D790D">
              <w:rPr>
                <w:vertAlign w:val="subscript"/>
              </w:rPr>
              <w:t>c</w:t>
            </w:r>
            <w:proofErr w:type="spellEnd"/>
          </w:p>
        </w:tc>
        <w:tc>
          <w:tcPr>
            <w:tcW w:w="6695" w:type="dxa"/>
          </w:tcPr>
          <w:p w14:paraId="602D6F9F" w14:textId="14A57568" w:rsidR="00811CEE" w:rsidRPr="006D790D" w:rsidRDefault="00811CEE" w:rsidP="00811CEE">
            <w:pPr>
              <w:ind w:left="0"/>
            </w:pPr>
            <w:r w:rsidRPr="006D790D">
              <w:t>Distribution volume of central compartment</w:t>
            </w:r>
          </w:p>
        </w:tc>
      </w:tr>
      <w:tr w:rsidR="00811CEE" w:rsidRPr="006D790D" w14:paraId="7C8AAF03" w14:textId="77777777" w:rsidTr="00E35737">
        <w:tc>
          <w:tcPr>
            <w:tcW w:w="1799" w:type="dxa"/>
          </w:tcPr>
          <w:p w14:paraId="7F7E95AE" w14:textId="44DA789E" w:rsidR="00811CEE" w:rsidRPr="006D790D" w:rsidRDefault="00811CEE" w:rsidP="00811CEE">
            <w:pPr>
              <w:ind w:left="0"/>
            </w:pPr>
            <w:r w:rsidRPr="006D790D">
              <w:t>VOC</w:t>
            </w:r>
          </w:p>
        </w:tc>
        <w:tc>
          <w:tcPr>
            <w:tcW w:w="6695" w:type="dxa"/>
          </w:tcPr>
          <w:p w14:paraId="3641273A" w14:textId="129D57D2" w:rsidR="00811CEE" w:rsidRPr="006D790D" w:rsidRDefault="00811CEE" w:rsidP="00811CEE">
            <w:pPr>
              <w:ind w:left="0"/>
            </w:pPr>
            <w:r w:rsidRPr="006D790D">
              <w:t>Variant of concern</w:t>
            </w:r>
          </w:p>
        </w:tc>
      </w:tr>
      <w:tr w:rsidR="00811CEE" w:rsidRPr="006D790D" w14:paraId="7CF512FD" w14:textId="77777777" w:rsidTr="00E35737">
        <w:tc>
          <w:tcPr>
            <w:tcW w:w="1799" w:type="dxa"/>
          </w:tcPr>
          <w:p w14:paraId="64AB9A17" w14:textId="0C559583" w:rsidR="00811CEE" w:rsidRPr="006D790D" w:rsidRDefault="00811CEE" w:rsidP="00811CEE">
            <w:pPr>
              <w:ind w:left="0"/>
            </w:pPr>
            <w:r w:rsidRPr="006D790D">
              <w:t>VOI</w:t>
            </w:r>
          </w:p>
        </w:tc>
        <w:tc>
          <w:tcPr>
            <w:tcW w:w="6695" w:type="dxa"/>
          </w:tcPr>
          <w:p w14:paraId="26433FD8" w14:textId="0189FE22" w:rsidR="00811CEE" w:rsidRPr="006D790D" w:rsidRDefault="00811CEE" w:rsidP="00811CEE">
            <w:pPr>
              <w:ind w:left="0"/>
            </w:pPr>
            <w:r w:rsidRPr="006D790D">
              <w:t>Variant of interest</w:t>
            </w:r>
          </w:p>
        </w:tc>
      </w:tr>
      <w:tr w:rsidR="00811CEE" w:rsidRPr="006D790D" w14:paraId="1C6FDA34" w14:textId="77777777" w:rsidTr="00E35737">
        <w:tc>
          <w:tcPr>
            <w:tcW w:w="1799" w:type="dxa"/>
          </w:tcPr>
          <w:p w14:paraId="19553F57" w14:textId="4DD3E24C" w:rsidR="00811CEE" w:rsidRPr="006D790D" w:rsidRDefault="00811CEE" w:rsidP="00811CEE">
            <w:pPr>
              <w:ind w:left="0"/>
            </w:pPr>
            <w:proofErr w:type="spellStart"/>
            <w:r w:rsidRPr="006D790D">
              <w:t>V</w:t>
            </w:r>
            <w:r w:rsidRPr="006D790D">
              <w:rPr>
                <w:vertAlign w:val="subscript"/>
              </w:rPr>
              <w:t>p</w:t>
            </w:r>
            <w:proofErr w:type="spellEnd"/>
          </w:p>
        </w:tc>
        <w:tc>
          <w:tcPr>
            <w:tcW w:w="6695" w:type="dxa"/>
          </w:tcPr>
          <w:p w14:paraId="766BB0F0" w14:textId="3D622423" w:rsidR="00811CEE" w:rsidRPr="006D790D" w:rsidRDefault="00811CEE" w:rsidP="00811CEE">
            <w:pPr>
              <w:ind w:left="0"/>
            </w:pPr>
            <w:r w:rsidRPr="006D790D">
              <w:t>Distribution volume of peripheral compartment</w:t>
            </w:r>
          </w:p>
        </w:tc>
      </w:tr>
      <w:tr w:rsidR="00811CEE" w:rsidRPr="006D790D" w14:paraId="3D3F497F" w14:textId="77777777" w:rsidTr="00E35737">
        <w:tc>
          <w:tcPr>
            <w:tcW w:w="1799" w:type="dxa"/>
          </w:tcPr>
          <w:p w14:paraId="7D224752" w14:textId="679EC11F" w:rsidR="00811CEE" w:rsidRPr="006D790D" w:rsidRDefault="00811CEE" w:rsidP="00811CEE">
            <w:pPr>
              <w:ind w:left="0"/>
            </w:pPr>
            <w:r w:rsidRPr="006D790D">
              <w:t>VUS</w:t>
            </w:r>
          </w:p>
        </w:tc>
        <w:tc>
          <w:tcPr>
            <w:tcW w:w="6695" w:type="dxa"/>
          </w:tcPr>
          <w:p w14:paraId="2717204F" w14:textId="18736465" w:rsidR="00811CEE" w:rsidRPr="006D790D" w:rsidRDefault="00811CEE" w:rsidP="00811CEE">
            <w:pPr>
              <w:ind w:left="0"/>
            </w:pPr>
            <w:r w:rsidRPr="006D790D">
              <w:t>Variants under surveillance</w:t>
            </w:r>
          </w:p>
        </w:tc>
      </w:tr>
      <w:tr w:rsidR="00811CEE" w:rsidRPr="006D790D" w14:paraId="2A8CE697" w14:textId="77777777" w:rsidTr="00E35737">
        <w:tc>
          <w:tcPr>
            <w:tcW w:w="1799" w:type="dxa"/>
          </w:tcPr>
          <w:p w14:paraId="16A6A4D0" w14:textId="46A659A4" w:rsidR="00811CEE" w:rsidRPr="006D790D" w:rsidRDefault="00811CEE" w:rsidP="00811CEE">
            <w:pPr>
              <w:ind w:left="0" w:right="0"/>
              <w:rPr>
                <w:color w:val="auto"/>
                <w:szCs w:val="22"/>
                <w:lang w:eastAsia="en-US"/>
              </w:rPr>
            </w:pPr>
            <w:r w:rsidRPr="006D790D">
              <w:rPr>
                <w:color w:val="auto"/>
                <w:szCs w:val="22"/>
                <w:lang w:eastAsia="en-US"/>
              </w:rPr>
              <w:lastRenderedPageBreak/>
              <w:t>WHO</w:t>
            </w:r>
          </w:p>
        </w:tc>
        <w:tc>
          <w:tcPr>
            <w:tcW w:w="6695" w:type="dxa"/>
          </w:tcPr>
          <w:p w14:paraId="120D7D4E" w14:textId="1F7F435D" w:rsidR="00811CEE" w:rsidRPr="006D790D" w:rsidRDefault="00811CEE" w:rsidP="00811CEE">
            <w:pPr>
              <w:ind w:left="0" w:right="0"/>
              <w:rPr>
                <w:color w:val="auto"/>
                <w:szCs w:val="22"/>
                <w:lang w:eastAsia="en-US"/>
              </w:rPr>
            </w:pPr>
            <w:r w:rsidRPr="006D790D">
              <w:rPr>
                <w:color w:val="auto"/>
                <w:szCs w:val="22"/>
                <w:lang w:eastAsia="en-US"/>
              </w:rPr>
              <w:t>World Health Organization</w:t>
            </w:r>
          </w:p>
        </w:tc>
      </w:tr>
    </w:tbl>
    <w:p w14:paraId="7A76ECBE" w14:textId="77777777" w:rsidR="00FD119B" w:rsidRPr="006D790D" w:rsidRDefault="00FD119B" w:rsidP="00FD119B"/>
    <w:p w14:paraId="3F653693" w14:textId="77777777" w:rsidR="00FD119B" w:rsidRPr="006D790D" w:rsidRDefault="00FD119B" w:rsidP="00FD119B">
      <w:pPr>
        <w:spacing w:before="0" w:after="200" w:line="0" w:lineRule="auto"/>
        <w:rPr>
          <w:b/>
          <w:i/>
          <w:sz w:val="24"/>
          <w:szCs w:val="24"/>
        </w:rPr>
      </w:pPr>
      <w:r w:rsidRPr="006D790D">
        <w:rPr>
          <w:b/>
          <w:i/>
          <w:sz w:val="24"/>
          <w:szCs w:val="24"/>
        </w:rPr>
        <w:br w:type="page"/>
      </w:r>
    </w:p>
    <w:p w14:paraId="6DD37B50" w14:textId="77777777" w:rsidR="008E7846" w:rsidRPr="006D790D" w:rsidRDefault="00F53C07" w:rsidP="008E7846">
      <w:pPr>
        <w:pStyle w:val="Heading2"/>
      </w:pPr>
      <w:bookmarkStart w:id="11" w:name="_Toc86748261"/>
      <w:r w:rsidRPr="006D790D">
        <w:lastRenderedPageBreak/>
        <w:t>I.</w:t>
      </w:r>
      <w:r w:rsidR="008E7846" w:rsidRPr="006D790D">
        <w:t xml:space="preserve"> Introduction to product submission</w:t>
      </w:r>
      <w:bookmarkEnd w:id="0"/>
      <w:bookmarkEnd w:id="2"/>
      <w:bookmarkEnd w:id="11"/>
    </w:p>
    <w:p w14:paraId="652EA345" w14:textId="77777777" w:rsidR="008E7846" w:rsidRPr="006D790D" w:rsidRDefault="008E7846" w:rsidP="008E7846">
      <w:pPr>
        <w:pStyle w:val="Heading3"/>
        <w:rPr>
          <w:lang w:eastAsia="en-AU"/>
        </w:rPr>
      </w:pPr>
      <w:bookmarkStart w:id="12" w:name="_Toc247691502"/>
      <w:bookmarkStart w:id="13" w:name="_Toc314842483"/>
      <w:bookmarkStart w:id="14" w:name="_Toc86748262"/>
      <w:r w:rsidRPr="00570B64">
        <w:rPr>
          <w:lang w:eastAsia="en-AU"/>
        </w:rPr>
        <w:t>Submission details</w:t>
      </w:r>
      <w:bookmarkEnd w:id="12"/>
      <w:bookmarkEnd w:id="13"/>
      <w:bookmarkEnd w:id="14"/>
    </w:p>
    <w:tbl>
      <w:tblPr>
        <w:tblW w:w="9214" w:type="dxa"/>
        <w:tblInd w:w="108" w:type="dxa"/>
        <w:tblLook w:val="01E0" w:firstRow="1" w:lastRow="1" w:firstColumn="1" w:lastColumn="1" w:noHBand="0" w:noVBand="0"/>
      </w:tblPr>
      <w:tblGrid>
        <w:gridCol w:w="2907"/>
        <w:gridCol w:w="6307"/>
      </w:tblGrid>
      <w:tr w:rsidR="008E7846" w:rsidRPr="006D790D" w14:paraId="55388A7C" w14:textId="77777777" w:rsidTr="003735BC">
        <w:tc>
          <w:tcPr>
            <w:tcW w:w="2907" w:type="dxa"/>
          </w:tcPr>
          <w:p w14:paraId="493A8DF8" w14:textId="77777777" w:rsidR="008E7846" w:rsidRPr="006D790D" w:rsidRDefault="001B5C90" w:rsidP="001B5C90">
            <w:pPr>
              <w:rPr>
                <w:i/>
              </w:rPr>
            </w:pPr>
            <w:r w:rsidRPr="006D790D">
              <w:rPr>
                <w:i/>
              </w:rPr>
              <w:t>Type of s</w:t>
            </w:r>
            <w:r w:rsidR="008E7846" w:rsidRPr="006D790D">
              <w:rPr>
                <w:i/>
              </w:rPr>
              <w:t>ubmission</w:t>
            </w:r>
            <w:r w:rsidRPr="006D790D">
              <w:rPr>
                <w:i/>
              </w:rPr>
              <w:t>:</w:t>
            </w:r>
          </w:p>
        </w:tc>
        <w:tc>
          <w:tcPr>
            <w:tcW w:w="6307" w:type="dxa"/>
          </w:tcPr>
          <w:p w14:paraId="66653F41" w14:textId="20ED1188" w:rsidR="008E7846" w:rsidRPr="006D790D" w:rsidRDefault="00873F42" w:rsidP="001B5C90">
            <w:bookmarkStart w:id="15" w:name="_Hlk86746421"/>
            <w:r w:rsidRPr="006D790D">
              <w:t>New biological entity</w:t>
            </w:r>
            <w:bookmarkEnd w:id="15"/>
          </w:p>
        </w:tc>
      </w:tr>
      <w:tr w:rsidR="00460036" w:rsidRPr="006D790D" w14:paraId="3F594B55" w14:textId="77777777" w:rsidTr="003735BC">
        <w:tc>
          <w:tcPr>
            <w:tcW w:w="2907" w:type="dxa"/>
          </w:tcPr>
          <w:p w14:paraId="7525AA22" w14:textId="5651809F" w:rsidR="00460036" w:rsidRPr="006D790D" w:rsidRDefault="00460036" w:rsidP="003D1E62">
            <w:pPr>
              <w:rPr>
                <w:i/>
              </w:rPr>
            </w:pPr>
            <w:r w:rsidRPr="006D790D">
              <w:rPr>
                <w:i/>
              </w:rPr>
              <w:t>Product name:</w:t>
            </w:r>
          </w:p>
        </w:tc>
        <w:tc>
          <w:tcPr>
            <w:tcW w:w="6307" w:type="dxa"/>
          </w:tcPr>
          <w:p w14:paraId="40FCDA8E" w14:textId="5FE0F977" w:rsidR="00460036" w:rsidRPr="006D790D" w:rsidRDefault="00873F42" w:rsidP="001B5C90">
            <w:proofErr w:type="spellStart"/>
            <w:r w:rsidRPr="006D790D">
              <w:t>Ronapreve</w:t>
            </w:r>
            <w:proofErr w:type="spellEnd"/>
          </w:p>
        </w:tc>
      </w:tr>
      <w:tr w:rsidR="00460036" w:rsidRPr="006D790D" w14:paraId="56BE2ED4" w14:textId="77777777" w:rsidTr="003735BC">
        <w:tc>
          <w:tcPr>
            <w:tcW w:w="2907" w:type="dxa"/>
          </w:tcPr>
          <w:p w14:paraId="5FABDC3C" w14:textId="5C2EECC5" w:rsidR="00460036" w:rsidRPr="006D790D" w:rsidRDefault="00460036" w:rsidP="003D1E62">
            <w:pPr>
              <w:rPr>
                <w:i/>
              </w:rPr>
            </w:pPr>
            <w:r w:rsidRPr="006D790D">
              <w:rPr>
                <w:i/>
              </w:rPr>
              <w:t>Active ingredients:</w:t>
            </w:r>
          </w:p>
        </w:tc>
        <w:tc>
          <w:tcPr>
            <w:tcW w:w="6307" w:type="dxa"/>
          </w:tcPr>
          <w:p w14:paraId="5F2CDA43" w14:textId="0AAB311D" w:rsidR="00460036" w:rsidRPr="006D790D" w:rsidRDefault="00873F42" w:rsidP="001B5C90">
            <w:proofErr w:type="spellStart"/>
            <w:r w:rsidRPr="006D790D">
              <w:t>Casirivimab</w:t>
            </w:r>
            <w:proofErr w:type="spellEnd"/>
            <w:r w:rsidR="00B70E5F">
              <w:t>/</w:t>
            </w:r>
            <w:proofErr w:type="spellStart"/>
            <w:r w:rsidRPr="006D790D">
              <w:t>imdevimab</w:t>
            </w:r>
            <w:proofErr w:type="spellEnd"/>
          </w:p>
        </w:tc>
      </w:tr>
      <w:tr w:rsidR="008E7846" w:rsidRPr="006D790D" w14:paraId="3634AD36" w14:textId="77777777" w:rsidTr="003735BC">
        <w:tc>
          <w:tcPr>
            <w:tcW w:w="2907" w:type="dxa"/>
          </w:tcPr>
          <w:p w14:paraId="591769D5" w14:textId="77777777" w:rsidR="008E7846" w:rsidRPr="006D790D" w:rsidRDefault="008E7846" w:rsidP="003D1E62">
            <w:r w:rsidRPr="006D790D">
              <w:rPr>
                <w:i/>
              </w:rPr>
              <w:t>Decision</w:t>
            </w:r>
            <w:r w:rsidRPr="006D790D">
              <w:t>:</w:t>
            </w:r>
          </w:p>
        </w:tc>
        <w:tc>
          <w:tcPr>
            <w:tcW w:w="6307" w:type="dxa"/>
          </w:tcPr>
          <w:p w14:paraId="72440304" w14:textId="6E3C0860" w:rsidR="008E7846" w:rsidRPr="007E4FE1" w:rsidRDefault="00460036" w:rsidP="001B5C90">
            <w:pPr>
              <w:rPr>
                <w:color w:val="000000"/>
              </w:rPr>
            </w:pPr>
            <w:bookmarkStart w:id="16" w:name="_Hlk86746437"/>
            <w:r w:rsidRPr="007E4FE1">
              <w:rPr>
                <w:color w:val="000000"/>
              </w:rPr>
              <w:t>Approved for provisional registration</w:t>
            </w:r>
            <w:bookmarkEnd w:id="16"/>
          </w:p>
        </w:tc>
      </w:tr>
      <w:tr w:rsidR="008E7846" w:rsidRPr="006D790D" w14:paraId="603FEF71" w14:textId="77777777" w:rsidTr="003735BC">
        <w:tc>
          <w:tcPr>
            <w:tcW w:w="2907" w:type="dxa"/>
          </w:tcPr>
          <w:p w14:paraId="1DE5B4BB" w14:textId="77777777" w:rsidR="008E7846" w:rsidRPr="006D790D" w:rsidRDefault="008E7846" w:rsidP="001B5C90">
            <w:pPr>
              <w:rPr>
                <w:i/>
              </w:rPr>
            </w:pPr>
            <w:r w:rsidRPr="006D790D">
              <w:rPr>
                <w:i/>
              </w:rPr>
              <w:t xml:space="preserve">Date of </w:t>
            </w:r>
            <w:r w:rsidR="001B5C90" w:rsidRPr="006D790D">
              <w:rPr>
                <w:i/>
              </w:rPr>
              <w:t>d</w:t>
            </w:r>
            <w:r w:rsidRPr="006D790D">
              <w:rPr>
                <w:i/>
              </w:rPr>
              <w:t>ecision:</w:t>
            </w:r>
          </w:p>
        </w:tc>
        <w:tc>
          <w:tcPr>
            <w:tcW w:w="6307" w:type="dxa"/>
          </w:tcPr>
          <w:p w14:paraId="105321AF" w14:textId="6487E06D" w:rsidR="008E7846" w:rsidRPr="007E4FE1" w:rsidRDefault="00624B64" w:rsidP="001B5C90">
            <w:pPr>
              <w:rPr>
                <w:color w:val="000000"/>
              </w:rPr>
            </w:pPr>
            <w:r w:rsidRPr="007E4FE1">
              <w:rPr>
                <w:rFonts w:eastAsia="MS Mincho"/>
                <w:color w:val="000000"/>
                <w:lang w:eastAsia="ja-JP"/>
              </w:rPr>
              <w:t>15 October 20201</w:t>
            </w:r>
          </w:p>
        </w:tc>
      </w:tr>
      <w:tr w:rsidR="00ED2922" w:rsidRPr="006D790D" w14:paraId="18748475" w14:textId="77777777" w:rsidTr="003735BC">
        <w:tc>
          <w:tcPr>
            <w:tcW w:w="2907" w:type="dxa"/>
          </w:tcPr>
          <w:p w14:paraId="0FD1BD16" w14:textId="77777777" w:rsidR="00ED2922" w:rsidRPr="006D790D" w:rsidRDefault="00ED2922" w:rsidP="001B5C90">
            <w:pPr>
              <w:rPr>
                <w:i/>
              </w:rPr>
            </w:pPr>
            <w:r w:rsidRPr="006D790D">
              <w:rPr>
                <w:i/>
              </w:rPr>
              <w:t>Date of entry onto ARTG</w:t>
            </w:r>
            <w:r w:rsidR="00500337" w:rsidRPr="006D790D">
              <w:rPr>
                <w:i/>
              </w:rPr>
              <w:t>:</w:t>
            </w:r>
          </w:p>
        </w:tc>
        <w:tc>
          <w:tcPr>
            <w:tcW w:w="6307" w:type="dxa"/>
          </w:tcPr>
          <w:p w14:paraId="7C4FB235" w14:textId="2D2D1A68" w:rsidR="00ED2922" w:rsidRPr="007E4FE1" w:rsidRDefault="00624B64" w:rsidP="00D153D8">
            <w:pPr>
              <w:rPr>
                <w:i/>
                <w:color w:val="000000"/>
              </w:rPr>
            </w:pPr>
            <w:r w:rsidRPr="007E4FE1">
              <w:rPr>
                <w:rFonts w:eastAsia="MS Mincho"/>
                <w:color w:val="000000"/>
                <w:lang w:eastAsia="ja-JP"/>
              </w:rPr>
              <w:t>18 October 2021</w:t>
            </w:r>
          </w:p>
        </w:tc>
      </w:tr>
      <w:tr w:rsidR="00500337" w:rsidRPr="006D790D" w14:paraId="12D27EA4" w14:textId="77777777" w:rsidTr="003735BC">
        <w:tc>
          <w:tcPr>
            <w:tcW w:w="2907" w:type="dxa"/>
          </w:tcPr>
          <w:p w14:paraId="490A30E1" w14:textId="132F4FA4" w:rsidR="00500337" w:rsidRPr="006D790D" w:rsidRDefault="00500337" w:rsidP="001B5C90">
            <w:pPr>
              <w:rPr>
                <w:i/>
              </w:rPr>
            </w:pPr>
            <w:r w:rsidRPr="006D790D">
              <w:rPr>
                <w:i/>
              </w:rPr>
              <w:t>ARTG numbers:</w:t>
            </w:r>
          </w:p>
        </w:tc>
        <w:tc>
          <w:tcPr>
            <w:tcW w:w="6307" w:type="dxa"/>
          </w:tcPr>
          <w:p w14:paraId="2702004E" w14:textId="365AD4BC" w:rsidR="00500337" w:rsidRPr="007E4FE1" w:rsidRDefault="00570B64" w:rsidP="00EC463D">
            <w:pPr>
              <w:rPr>
                <w:color w:val="000000"/>
              </w:rPr>
            </w:pPr>
            <w:r w:rsidRPr="007E4FE1">
              <w:rPr>
                <w:rFonts w:eastAsia="MS Mincho"/>
                <w:color w:val="000000"/>
                <w:lang w:eastAsia="ja-JP"/>
              </w:rPr>
              <w:t>373839 and 374310</w:t>
            </w:r>
          </w:p>
        </w:tc>
      </w:tr>
      <w:tr w:rsidR="003735BC" w:rsidRPr="006D790D" w14:paraId="2D8C7EDB" w14:textId="77777777" w:rsidTr="003735BC">
        <w:tc>
          <w:tcPr>
            <w:tcW w:w="2907" w:type="dxa"/>
          </w:tcPr>
          <w:p w14:paraId="305105F0" w14:textId="77777777" w:rsidR="003735BC" w:rsidRPr="006D790D" w:rsidRDefault="00FA5069" w:rsidP="001B5C90">
            <w:pPr>
              <w:rPr>
                <w:i/>
              </w:rPr>
            </w:pPr>
            <w:r w:rsidRPr="006D790D">
              <w:rPr>
                <w:rFonts w:ascii="Wingdings 3" w:hAnsi="Wingdings 3"/>
                <w:sz w:val="34"/>
                <w:szCs w:val="34"/>
                <w:lang w:eastAsia="en-AU"/>
              </w:rPr>
              <w:t></w:t>
            </w:r>
            <w:r w:rsidR="003735BC" w:rsidRPr="006D790D">
              <w:rPr>
                <w:i/>
              </w:rPr>
              <w:t>Black Triangle Scheme</w:t>
            </w:r>
            <w:r w:rsidR="004C4FBE" w:rsidRPr="006D790D">
              <w:rPr>
                <w:i/>
              </w:rPr>
              <w:t>:</w:t>
            </w:r>
            <w:r w:rsidR="00460036" w:rsidRPr="006D790D">
              <w:rPr>
                <w:rStyle w:val="FootnoteReference"/>
                <w:i/>
              </w:rPr>
              <w:footnoteReference w:id="1"/>
            </w:r>
          </w:p>
        </w:tc>
        <w:tc>
          <w:tcPr>
            <w:tcW w:w="6307" w:type="dxa"/>
          </w:tcPr>
          <w:p w14:paraId="333B27A3" w14:textId="77777777" w:rsidR="00873F42" w:rsidRPr="006D790D" w:rsidRDefault="003735BC" w:rsidP="00873F42">
            <w:r w:rsidRPr="006D790D">
              <w:t>Yes</w:t>
            </w:r>
            <w:r w:rsidR="00873F42" w:rsidRPr="006D790D">
              <w:t>.</w:t>
            </w:r>
          </w:p>
          <w:p w14:paraId="31D0AD13" w14:textId="7F6C6670" w:rsidR="003735BC" w:rsidRPr="006D790D" w:rsidRDefault="003735BC" w:rsidP="00873F42">
            <w:r w:rsidRPr="006D790D">
              <w:t>As a provisionally registered product, this medicine will remain in the Black Triangle Scheme for the duration of its provisional registration</w:t>
            </w:r>
            <w:r w:rsidR="00873F42" w:rsidRPr="006D790D">
              <w:t>.</w:t>
            </w:r>
          </w:p>
        </w:tc>
      </w:tr>
      <w:tr w:rsidR="008E7846" w:rsidRPr="006D790D" w14:paraId="0EFB3A5B" w14:textId="77777777" w:rsidTr="00BF1190">
        <w:tc>
          <w:tcPr>
            <w:tcW w:w="2907" w:type="dxa"/>
          </w:tcPr>
          <w:p w14:paraId="3DCC65DC" w14:textId="77777777" w:rsidR="008E7846" w:rsidRPr="006D790D" w:rsidRDefault="008E7846" w:rsidP="001B5C90">
            <w:pPr>
              <w:rPr>
                <w:i/>
              </w:rPr>
            </w:pPr>
            <w:r w:rsidRPr="006D790D">
              <w:rPr>
                <w:i/>
              </w:rPr>
              <w:t xml:space="preserve">Sponsor’s </w:t>
            </w:r>
            <w:r w:rsidR="001B5C90" w:rsidRPr="006D790D">
              <w:rPr>
                <w:i/>
              </w:rPr>
              <w:t>n</w:t>
            </w:r>
            <w:r w:rsidRPr="006D790D">
              <w:rPr>
                <w:i/>
              </w:rPr>
              <w:t xml:space="preserve">ame and </w:t>
            </w:r>
            <w:r w:rsidR="001B5C90" w:rsidRPr="006D790D">
              <w:rPr>
                <w:i/>
              </w:rPr>
              <w:t>a</w:t>
            </w:r>
            <w:r w:rsidRPr="006D790D">
              <w:rPr>
                <w:i/>
              </w:rPr>
              <w:t>ddress:</w:t>
            </w:r>
          </w:p>
        </w:tc>
        <w:tc>
          <w:tcPr>
            <w:tcW w:w="6307" w:type="dxa"/>
          </w:tcPr>
          <w:p w14:paraId="1F1A2601" w14:textId="77777777" w:rsidR="008E7846" w:rsidRPr="006D790D" w:rsidRDefault="00873F42" w:rsidP="00E45619">
            <w:r w:rsidRPr="006D790D">
              <w:t>Roche Products Pty Limited</w:t>
            </w:r>
          </w:p>
          <w:p w14:paraId="6C849C52" w14:textId="77777777" w:rsidR="00873F42" w:rsidRPr="006D790D" w:rsidRDefault="00873F42" w:rsidP="00873F42">
            <w:r w:rsidRPr="006D790D">
              <w:t>Level 8, 30-34 Hickson Road</w:t>
            </w:r>
          </w:p>
          <w:p w14:paraId="656C8370" w14:textId="431515F2" w:rsidR="00873F42" w:rsidRPr="006D790D" w:rsidRDefault="00873F42" w:rsidP="00873F42">
            <w:r w:rsidRPr="006D790D">
              <w:t>Sydney NSW 2000</w:t>
            </w:r>
          </w:p>
        </w:tc>
      </w:tr>
      <w:tr w:rsidR="008E7846" w:rsidRPr="006D790D" w14:paraId="48934578" w14:textId="77777777" w:rsidTr="00BF1190">
        <w:tc>
          <w:tcPr>
            <w:tcW w:w="2907" w:type="dxa"/>
          </w:tcPr>
          <w:p w14:paraId="56FA604B" w14:textId="7A86C7FE" w:rsidR="008E7846" w:rsidRPr="006D790D" w:rsidRDefault="001B5C90" w:rsidP="00E45619">
            <w:pPr>
              <w:rPr>
                <w:i/>
              </w:rPr>
            </w:pPr>
            <w:r w:rsidRPr="006D790D">
              <w:rPr>
                <w:i/>
              </w:rPr>
              <w:t>Dose forms:</w:t>
            </w:r>
          </w:p>
        </w:tc>
        <w:tc>
          <w:tcPr>
            <w:tcW w:w="6307" w:type="dxa"/>
          </w:tcPr>
          <w:p w14:paraId="5E4CEFAA" w14:textId="1444E7C0" w:rsidR="008E7846" w:rsidRPr="006D790D" w:rsidRDefault="00873F42" w:rsidP="00E45619">
            <w:r w:rsidRPr="006D790D">
              <w:t xml:space="preserve">Solution for infusion </w:t>
            </w:r>
            <w:r w:rsidR="00EA7099" w:rsidRPr="006D790D">
              <w:t>and</w:t>
            </w:r>
            <w:r w:rsidRPr="006D790D">
              <w:t xml:space="preserve"> injection</w:t>
            </w:r>
          </w:p>
        </w:tc>
      </w:tr>
      <w:tr w:rsidR="008E7846" w:rsidRPr="006D790D" w14:paraId="02209822" w14:textId="77777777" w:rsidTr="00BF1190">
        <w:tc>
          <w:tcPr>
            <w:tcW w:w="2907" w:type="dxa"/>
          </w:tcPr>
          <w:p w14:paraId="54DCD7F8" w14:textId="708CEC37" w:rsidR="008E7846" w:rsidRPr="006D790D" w:rsidRDefault="00324E45" w:rsidP="00E45619">
            <w:pPr>
              <w:rPr>
                <w:i/>
              </w:rPr>
            </w:pPr>
            <w:r w:rsidRPr="006D790D">
              <w:rPr>
                <w:i/>
              </w:rPr>
              <w:t>Strengths:</w:t>
            </w:r>
          </w:p>
        </w:tc>
        <w:tc>
          <w:tcPr>
            <w:tcW w:w="6307" w:type="dxa"/>
          </w:tcPr>
          <w:p w14:paraId="37563AF5" w14:textId="3F7928E3" w:rsidR="008E7846" w:rsidRPr="006D790D" w:rsidRDefault="00873F42" w:rsidP="00E45619">
            <w:r w:rsidRPr="006D790D">
              <w:t xml:space="preserve">120 mg/mL </w:t>
            </w:r>
            <w:proofErr w:type="spellStart"/>
            <w:r w:rsidRPr="006D790D">
              <w:t>casirivimab</w:t>
            </w:r>
            <w:proofErr w:type="spellEnd"/>
            <w:r w:rsidRPr="006D790D">
              <w:t xml:space="preserve"> and 120 mg/mL </w:t>
            </w:r>
            <w:proofErr w:type="spellStart"/>
            <w:r w:rsidRPr="006D790D">
              <w:t>imdevimab</w:t>
            </w:r>
            <w:proofErr w:type="spellEnd"/>
          </w:p>
        </w:tc>
      </w:tr>
      <w:tr w:rsidR="008E7846" w:rsidRPr="006D790D" w14:paraId="607073D3" w14:textId="77777777" w:rsidTr="00BF1190">
        <w:tc>
          <w:tcPr>
            <w:tcW w:w="2907" w:type="dxa"/>
          </w:tcPr>
          <w:p w14:paraId="3778FCA3" w14:textId="30353709" w:rsidR="008E7846" w:rsidRPr="006D790D" w:rsidRDefault="008E7846" w:rsidP="00E45619">
            <w:pPr>
              <w:rPr>
                <w:i/>
              </w:rPr>
            </w:pPr>
            <w:r w:rsidRPr="006D790D">
              <w:rPr>
                <w:i/>
              </w:rPr>
              <w:t>Containers:</w:t>
            </w:r>
          </w:p>
        </w:tc>
        <w:tc>
          <w:tcPr>
            <w:tcW w:w="6307" w:type="dxa"/>
          </w:tcPr>
          <w:p w14:paraId="3780BA1B" w14:textId="69A32660" w:rsidR="008E7846" w:rsidRPr="006D790D" w:rsidRDefault="00873F42" w:rsidP="00E45619">
            <w:r w:rsidRPr="006D790D">
              <w:t>Single</w:t>
            </w:r>
            <w:r w:rsidR="00DC60BC" w:rsidRPr="006D790D">
              <w:t xml:space="preserve"> </w:t>
            </w:r>
            <w:r w:rsidRPr="006D790D">
              <w:t>use and multidose vials</w:t>
            </w:r>
          </w:p>
        </w:tc>
      </w:tr>
      <w:tr w:rsidR="008E7846" w:rsidRPr="006D790D" w14:paraId="53774780" w14:textId="77777777" w:rsidTr="00BF1190">
        <w:tc>
          <w:tcPr>
            <w:tcW w:w="2907" w:type="dxa"/>
          </w:tcPr>
          <w:p w14:paraId="55185392" w14:textId="5BC059C1" w:rsidR="008E7846" w:rsidRPr="006D790D" w:rsidRDefault="008E7846" w:rsidP="00E45619">
            <w:pPr>
              <w:rPr>
                <w:i/>
              </w:rPr>
            </w:pPr>
            <w:r w:rsidRPr="006D790D">
              <w:rPr>
                <w:i/>
              </w:rPr>
              <w:t>Pack sizes:</w:t>
            </w:r>
          </w:p>
        </w:tc>
        <w:tc>
          <w:tcPr>
            <w:tcW w:w="6307" w:type="dxa"/>
          </w:tcPr>
          <w:p w14:paraId="242040DB" w14:textId="31967DF4" w:rsidR="00E321A8" w:rsidRDefault="00873F42" w:rsidP="00E45619">
            <w:r w:rsidRPr="006D790D">
              <w:t>2 (6 mL single use vials</w:t>
            </w:r>
            <w:r w:rsidR="00E321A8">
              <w:t>,</w:t>
            </w:r>
            <w:r w:rsidR="00920E85">
              <w:t xml:space="preserve"> </w:t>
            </w:r>
            <w:r w:rsidR="00E321A8">
              <w:t xml:space="preserve">one </w:t>
            </w:r>
            <w:r w:rsidR="00E321A8" w:rsidRPr="00E321A8">
              <w:t xml:space="preserve">vial contains </w:t>
            </w:r>
            <w:proofErr w:type="spellStart"/>
            <w:r w:rsidR="00E321A8">
              <w:t>c</w:t>
            </w:r>
            <w:r w:rsidR="00E321A8" w:rsidRPr="00E321A8">
              <w:t>asirivimab</w:t>
            </w:r>
            <w:proofErr w:type="spellEnd"/>
            <w:r w:rsidR="00E321A8" w:rsidRPr="00E321A8">
              <w:t xml:space="preserve"> and one vial contains </w:t>
            </w:r>
            <w:proofErr w:type="spellStart"/>
            <w:r w:rsidR="00E321A8" w:rsidRPr="00E321A8">
              <w:t>imdevimab</w:t>
            </w:r>
            <w:proofErr w:type="spellEnd"/>
            <w:r w:rsidRPr="006D790D">
              <w:t>)</w:t>
            </w:r>
          </w:p>
          <w:p w14:paraId="214AF3CA" w14:textId="2FE09D02" w:rsidR="008E7846" w:rsidRPr="006D790D" w:rsidRDefault="00873F42" w:rsidP="00E45619">
            <w:r w:rsidRPr="006D790D">
              <w:t>2 (20 mL multidose vials</w:t>
            </w:r>
            <w:r w:rsidR="00E321A8">
              <w:t xml:space="preserve">, one </w:t>
            </w:r>
            <w:r w:rsidR="00E321A8" w:rsidRPr="00E321A8">
              <w:t xml:space="preserve">vial contains </w:t>
            </w:r>
            <w:proofErr w:type="spellStart"/>
            <w:r w:rsidR="00E321A8">
              <w:t>c</w:t>
            </w:r>
            <w:r w:rsidR="00E321A8" w:rsidRPr="00E321A8">
              <w:t>asirivimab</w:t>
            </w:r>
            <w:proofErr w:type="spellEnd"/>
            <w:r w:rsidR="00E321A8" w:rsidRPr="00E321A8">
              <w:t xml:space="preserve"> and one vial contains </w:t>
            </w:r>
            <w:proofErr w:type="spellStart"/>
            <w:r w:rsidR="00E321A8" w:rsidRPr="00E321A8">
              <w:t>imdevimab</w:t>
            </w:r>
            <w:proofErr w:type="spellEnd"/>
            <w:r w:rsidRPr="006D790D">
              <w:t>)</w:t>
            </w:r>
          </w:p>
        </w:tc>
      </w:tr>
      <w:tr w:rsidR="008E7846" w:rsidRPr="006D790D" w14:paraId="64214F94" w14:textId="77777777" w:rsidTr="00BF1190">
        <w:tc>
          <w:tcPr>
            <w:tcW w:w="2907" w:type="dxa"/>
          </w:tcPr>
          <w:p w14:paraId="21FEDF68" w14:textId="77777777" w:rsidR="008E7846" w:rsidRPr="006D790D" w:rsidRDefault="008E7846" w:rsidP="001B5C90">
            <w:pPr>
              <w:rPr>
                <w:i/>
              </w:rPr>
            </w:pPr>
            <w:r w:rsidRPr="006D790D">
              <w:rPr>
                <w:i/>
              </w:rPr>
              <w:t xml:space="preserve">Approved </w:t>
            </w:r>
            <w:r w:rsidR="001B5C90" w:rsidRPr="006D790D">
              <w:rPr>
                <w:i/>
              </w:rPr>
              <w:t>t</w:t>
            </w:r>
            <w:r w:rsidRPr="006D790D">
              <w:rPr>
                <w:i/>
              </w:rPr>
              <w:t>herapeutic use:</w:t>
            </w:r>
          </w:p>
        </w:tc>
        <w:tc>
          <w:tcPr>
            <w:tcW w:w="6307" w:type="dxa"/>
          </w:tcPr>
          <w:p w14:paraId="751AD56A" w14:textId="74DC83FA" w:rsidR="00AE405D" w:rsidRPr="006D790D" w:rsidRDefault="00AE405D" w:rsidP="00AE405D">
            <w:pPr>
              <w:rPr>
                <w:i/>
                <w:iCs/>
              </w:rPr>
            </w:pPr>
            <w:proofErr w:type="spellStart"/>
            <w:r w:rsidRPr="006D790D">
              <w:rPr>
                <w:i/>
                <w:iCs/>
              </w:rPr>
              <w:t>Ronapreve</w:t>
            </w:r>
            <w:proofErr w:type="spellEnd"/>
            <w:r w:rsidRPr="006D790D">
              <w:rPr>
                <w:i/>
                <w:iCs/>
              </w:rPr>
              <w:t xml:space="preserve"> has </w:t>
            </w:r>
            <w:r w:rsidRPr="00E321A8">
              <w:rPr>
                <w:bCs/>
                <w:i/>
                <w:iCs/>
              </w:rPr>
              <w:t>provisional approval</w:t>
            </w:r>
            <w:r w:rsidRPr="006D790D">
              <w:rPr>
                <w:i/>
                <w:iCs/>
              </w:rPr>
              <w:t xml:space="preserve"> for the indications below:</w:t>
            </w:r>
          </w:p>
          <w:p w14:paraId="217A38C6" w14:textId="590AE6F7" w:rsidR="00AE405D" w:rsidRPr="006D790D" w:rsidRDefault="00AE405D" w:rsidP="00AE405D">
            <w:pPr>
              <w:rPr>
                <w:i/>
                <w:iCs/>
              </w:rPr>
            </w:pPr>
            <w:r w:rsidRPr="006D790D">
              <w:rPr>
                <w:b/>
                <w:bCs/>
                <w:i/>
                <w:iCs/>
              </w:rPr>
              <w:t>Treatment</w:t>
            </w:r>
            <w:r w:rsidRPr="006D790D">
              <w:rPr>
                <w:i/>
                <w:iCs/>
              </w:rPr>
              <w:t>:</w:t>
            </w:r>
          </w:p>
          <w:p w14:paraId="68E0C1BE" w14:textId="2FA8669B" w:rsidR="00AE405D" w:rsidRPr="006D790D" w:rsidRDefault="00AE405D" w:rsidP="00AE405D">
            <w:pPr>
              <w:rPr>
                <w:i/>
                <w:iCs/>
              </w:rPr>
            </w:pPr>
            <w:proofErr w:type="spellStart"/>
            <w:r w:rsidRPr="006D790D">
              <w:rPr>
                <w:i/>
                <w:iCs/>
              </w:rPr>
              <w:t>Ronapreve</w:t>
            </w:r>
            <w:proofErr w:type="spellEnd"/>
            <w:r w:rsidRPr="006D790D">
              <w:rPr>
                <w:i/>
                <w:iCs/>
              </w:rPr>
              <w:t xml:space="preserve"> is indicated for the treatment of COVID-19 in adults and adolescents </w:t>
            </w:r>
            <w:r w:rsidR="00570B64">
              <w:rPr>
                <w:i/>
                <w:iCs/>
              </w:rPr>
              <w:t>(</w:t>
            </w:r>
            <w:r w:rsidRPr="006D790D">
              <w:rPr>
                <w:i/>
                <w:iCs/>
              </w:rPr>
              <w:t>aged 12 years and older and weighing at least 40 kg</w:t>
            </w:r>
            <w:r w:rsidR="00570B64">
              <w:rPr>
                <w:i/>
                <w:iCs/>
              </w:rPr>
              <w:t>)</w:t>
            </w:r>
            <w:r w:rsidRPr="006D790D">
              <w:rPr>
                <w:i/>
                <w:iCs/>
              </w:rPr>
              <w:t xml:space="preserve"> who do not require supplemental oxygen for COVID-19 and who are at increased risk of progressing to severe COVID-19.</w:t>
            </w:r>
          </w:p>
          <w:p w14:paraId="1175909C" w14:textId="271126FE" w:rsidR="00AE405D" w:rsidRPr="006D790D" w:rsidRDefault="00E321A8" w:rsidP="00AE405D">
            <w:pPr>
              <w:rPr>
                <w:b/>
                <w:bCs/>
                <w:i/>
                <w:iCs/>
              </w:rPr>
            </w:pPr>
            <w:r w:rsidRPr="00E321A8">
              <w:rPr>
                <w:b/>
                <w:bCs/>
                <w:i/>
                <w:iCs/>
              </w:rPr>
              <w:t>Post-exposure prophylaxis</w:t>
            </w:r>
            <w:r w:rsidR="00AE405D" w:rsidRPr="006D790D">
              <w:rPr>
                <w:b/>
                <w:bCs/>
                <w:i/>
                <w:iCs/>
              </w:rPr>
              <w:t>:</w:t>
            </w:r>
          </w:p>
          <w:p w14:paraId="66396A71" w14:textId="5811A3CE" w:rsidR="00AE405D" w:rsidRPr="006D790D" w:rsidRDefault="00AE405D" w:rsidP="00AE405D">
            <w:pPr>
              <w:rPr>
                <w:i/>
                <w:iCs/>
              </w:rPr>
            </w:pPr>
            <w:proofErr w:type="spellStart"/>
            <w:r w:rsidRPr="006D790D">
              <w:rPr>
                <w:i/>
                <w:iCs/>
              </w:rPr>
              <w:lastRenderedPageBreak/>
              <w:t>Ronapreve</w:t>
            </w:r>
            <w:proofErr w:type="spellEnd"/>
            <w:r w:rsidRPr="006D790D">
              <w:rPr>
                <w:i/>
                <w:iCs/>
              </w:rPr>
              <w:t xml:space="preserve"> is indicated for the prevention of COVID-19 in adults and adolescents </w:t>
            </w:r>
            <w:r w:rsidR="00570B64">
              <w:rPr>
                <w:i/>
                <w:iCs/>
              </w:rPr>
              <w:t>(</w:t>
            </w:r>
            <w:r w:rsidRPr="006D790D">
              <w:rPr>
                <w:i/>
                <w:iCs/>
              </w:rPr>
              <w:t>aged 12 years and older and weighing at least 40 kg</w:t>
            </w:r>
            <w:r w:rsidR="00570B64">
              <w:rPr>
                <w:i/>
                <w:iCs/>
              </w:rPr>
              <w:t>)</w:t>
            </w:r>
            <w:r w:rsidRPr="006D790D">
              <w:rPr>
                <w:i/>
                <w:iCs/>
              </w:rPr>
              <w:t xml:space="preserve"> who have been exposed to SARS-CoV-2 </w:t>
            </w:r>
            <w:r w:rsidR="002824D1">
              <w:rPr>
                <w:i/>
                <w:iCs/>
              </w:rPr>
              <w:t>and</w:t>
            </w:r>
            <w:r w:rsidRPr="006D790D">
              <w:rPr>
                <w:i/>
                <w:iCs/>
              </w:rPr>
              <w:t xml:space="preserve"> who either:</w:t>
            </w:r>
          </w:p>
          <w:p w14:paraId="43B54C9D" w14:textId="37C60541" w:rsidR="00AE405D" w:rsidRPr="006D790D" w:rsidRDefault="00AE405D" w:rsidP="00AE405D">
            <w:pPr>
              <w:pStyle w:val="ListBullet"/>
              <w:rPr>
                <w:i/>
                <w:iCs/>
              </w:rPr>
            </w:pPr>
            <w:r w:rsidRPr="006D790D">
              <w:rPr>
                <w:i/>
                <w:iCs/>
              </w:rPr>
              <w:t xml:space="preserve">have a medical condition making them unlikely to respond to or be protected by vaccination, </w:t>
            </w:r>
            <w:r w:rsidR="002824D1">
              <w:rPr>
                <w:i/>
                <w:iCs/>
              </w:rPr>
              <w:t>or</w:t>
            </w:r>
          </w:p>
          <w:p w14:paraId="55B1B06B" w14:textId="6DBB4C60" w:rsidR="00570B64" w:rsidRPr="002824D1" w:rsidRDefault="00AE405D" w:rsidP="00F0076F">
            <w:pPr>
              <w:pStyle w:val="ListBullet"/>
              <w:rPr>
                <w:i/>
                <w:iCs/>
              </w:rPr>
            </w:pPr>
            <w:r w:rsidRPr="002824D1">
              <w:rPr>
                <w:i/>
                <w:iCs/>
              </w:rPr>
              <w:t>are not vaccinated against COVID-19.</w:t>
            </w:r>
            <w:r w:rsidR="002824D1" w:rsidRPr="002824D1">
              <w:rPr>
                <w:i/>
                <w:iCs/>
              </w:rPr>
              <w:t xml:space="preserve"> </w:t>
            </w:r>
            <w:r w:rsidR="00570B64" w:rsidRPr="002824D1">
              <w:rPr>
                <w:i/>
                <w:iCs/>
              </w:rPr>
              <w:t xml:space="preserve">(refer to section 4.2 Dose and method of administration and 5.1, Clinical </w:t>
            </w:r>
            <w:r w:rsidR="002824D1">
              <w:rPr>
                <w:i/>
                <w:iCs/>
              </w:rPr>
              <w:t>t</w:t>
            </w:r>
            <w:r w:rsidR="00570B64" w:rsidRPr="002824D1">
              <w:rPr>
                <w:i/>
                <w:iCs/>
              </w:rPr>
              <w:t>rials)</w:t>
            </w:r>
          </w:p>
          <w:p w14:paraId="13E63161" w14:textId="3354C260" w:rsidR="00AE405D" w:rsidRPr="006D790D" w:rsidRDefault="00AE405D" w:rsidP="00AE405D">
            <w:pPr>
              <w:rPr>
                <w:i/>
                <w:iCs/>
              </w:rPr>
            </w:pPr>
            <w:proofErr w:type="spellStart"/>
            <w:r w:rsidRPr="006D790D">
              <w:rPr>
                <w:i/>
                <w:iCs/>
              </w:rPr>
              <w:t>Ronapreve</w:t>
            </w:r>
            <w:proofErr w:type="spellEnd"/>
            <w:r w:rsidRPr="006D790D">
              <w:rPr>
                <w:i/>
                <w:iCs/>
              </w:rPr>
              <w:t xml:space="preserve"> is not intended to be used as a substitute for vaccination against COVID-19.</w:t>
            </w:r>
          </w:p>
          <w:p w14:paraId="49CD4D75" w14:textId="240C6538" w:rsidR="00875506" w:rsidRPr="006D790D" w:rsidRDefault="00AE405D" w:rsidP="00AE405D">
            <w:pPr>
              <w:rPr>
                <w:i/>
                <w:iCs/>
              </w:rPr>
            </w:pPr>
            <w:r w:rsidRPr="006D790D">
              <w:rPr>
                <w:i/>
                <w:iCs/>
              </w:rPr>
              <w:t xml:space="preserve">The decision has been made on the basis of </w:t>
            </w:r>
            <w:proofErr w:type="gramStart"/>
            <w:r w:rsidRPr="006D790D">
              <w:rPr>
                <w:i/>
                <w:iCs/>
              </w:rPr>
              <w:t>short term</w:t>
            </w:r>
            <w:proofErr w:type="gramEnd"/>
            <w:r w:rsidRPr="006D790D">
              <w:rPr>
                <w:i/>
                <w:iCs/>
              </w:rPr>
              <w:t xml:space="preserve"> efficacy and safety data.</w:t>
            </w:r>
            <w:r w:rsidR="00570B64">
              <w:rPr>
                <w:i/>
                <w:iCs/>
              </w:rPr>
              <w:t xml:space="preserve"> </w:t>
            </w:r>
            <w:r w:rsidRPr="006D790D">
              <w:rPr>
                <w:i/>
                <w:iCs/>
              </w:rPr>
              <w:t xml:space="preserve">Continued approval of this indication depends on the evidence of </w:t>
            </w:r>
            <w:proofErr w:type="gramStart"/>
            <w:r w:rsidRPr="006D790D">
              <w:rPr>
                <w:i/>
                <w:iCs/>
              </w:rPr>
              <w:t>longer term</w:t>
            </w:r>
            <w:proofErr w:type="gramEnd"/>
            <w:r w:rsidRPr="006D790D">
              <w:rPr>
                <w:i/>
                <w:iCs/>
              </w:rPr>
              <w:t xml:space="preserve"> efficacy and safety from ongoing clinical trials and post-market assessment.</w:t>
            </w:r>
          </w:p>
        </w:tc>
      </w:tr>
      <w:tr w:rsidR="008E7846" w:rsidRPr="006D790D" w14:paraId="3DEB947C" w14:textId="77777777" w:rsidTr="00BF1190">
        <w:tc>
          <w:tcPr>
            <w:tcW w:w="2907" w:type="dxa"/>
          </w:tcPr>
          <w:p w14:paraId="6CF6C4F1" w14:textId="7E76D5B1" w:rsidR="008E7846" w:rsidRPr="006D790D" w:rsidRDefault="008E7846" w:rsidP="00E45619">
            <w:pPr>
              <w:rPr>
                <w:i/>
              </w:rPr>
            </w:pPr>
            <w:r w:rsidRPr="006D790D">
              <w:rPr>
                <w:i/>
              </w:rPr>
              <w:lastRenderedPageBreak/>
              <w:t>Routes of administration:</w:t>
            </w:r>
          </w:p>
        </w:tc>
        <w:tc>
          <w:tcPr>
            <w:tcW w:w="6307" w:type="dxa"/>
          </w:tcPr>
          <w:p w14:paraId="51EE4C22" w14:textId="2470EE48" w:rsidR="008E7846" w:rsidRPr="006D790D" w:rsidRDefault="00873F42" w:rsidP="00E45619">
            <w:r w:rsidRPr="006D790D">
              <w:t>Intravenous infusion and subcutaneous injection</w:t>
            </w:r>
          </w:p>
        </w:tc>
      </w:tr>
      <w:tr w:rsidR="008E7846" w:rsidRPr="006D790D" w14:paraId="173FC6B3" w14:textId="77777777" w:rsidTr="00BF1190">
        <w:tc>
          <w:tcPr>
            <w:tcW w:w="2907" w:type="dxa"/>
          </w:tcPr>
          <w:p w14:paraId="11AC349D" w14:textId="77777777" w:rsidR="008E7846" w:rsidRPr="006D790D" w:rsidRDefault="008E7846" w:rsidP="00E45619">
            <w:pPr>
              <w:rPr>
                <w:i/>
              </w:rPr>
            </w:pPr>
            <w:r w:rsidRPr="006D790D">
              <w:rPr>
                <w:i/>
              </w:rPr>
              <w:t>Dosage:</w:t>
            </w:r>
          </w:p>
        </w:tc>
        <w:tc>
          <w:tcPr>
            <w:tcW w:w="6307" w:type="dxa"/>
          </w:tcPr>
          <w:p w14:paraId="2B9228DA" w14:textId="41D38292" w:rsidR="00873F42" w:rsidRPr="00BB0FD9" w:rsidRDefault="00873F42" w:rsidP="00873F42">
            <w:pPr>
              <w:rPr>
                <w:i/>
                <w:iCs/>
                <w:color w:val="000000" w:themeColor="text1"/>
              </w:rPr>
            </w:pPr>
            <w:r w:rsidRPr="00BB0FD9">
              <w:rPr>
                <w:i/>
                <w:iCs/>
                <w:color w:val="000000" w:themeColor="text1"/>
              </w:rPr>
              <w:t>Adult</w:t>
            </w:r>
            <w:r w:rsidR="00ED31F7">
              <w:rPr>
                <w:i/>
                <w:iCs/>
                <w:color w:val="000000" w:themeColor="text1"/>
              </w:rPr>
              <w:t>s</w:t>
            </w:r>
          </w:p>
          <w:p w14:paraId="2135EF11" w14:textId="4F82CCD8" w:rsidR="00873F42" w:rsidRPr="00BB0FD9" w:rsidRDefault="00873F42" w:rsidP="00570B64">
            <w:pPr>
              <w:rPr>
                <w:color w:val="000000" w:themeColor="text1"/>
              </w:rPr>
            </w:pPr>
            <w:r w:rsidRPr="00BB0FD9">
              <w:rPr>
                <w:color w:val="000000" w:themeColor="text1"/>
              </w:rPr>
              <w:t>The</w:t>
            </w:r>
            <w:r w:rsidRPr="00BB0FD9">
              <w:rPr>
                <w:color w:val="000000" w:themeColor="text1"/>
                <w:spacing w:val="-2"/>
              </w:rPr>
              <w:t xml:space="preserve"> </w:t>
            </w:r>
            <w:r w:rsidRPr="00BB0FD9">
              <w:rPr>
                <w:color w:val="000000" w:themeColor="text1"/>
              </w:rPr>
              <w:t>dosage in</w:t>
            </w:r>
            <w:r w:rsidRPr="00BB0FD9">
              <w:rPr>
                <w:color w:val="000000" w:themeColor="text1"/>
                <w:spacing w:val="2"/>
              </w:rPr>
              <w:t xml:space="preserve"> </w:t>
            </w:r>
            <w:r w:rsidRPr="00BB0FD9">
              <w:rPr>
                <w:color w:val="000000" w:themeColor="text1"/>
              </w:rPr>
              <w:t>adult</w:t>
            </w:r>
            <w:r w:rsidRPr="00BB0FD9">
              <w:rPr>
                <w:color w:val="000000" w:themeColor="text1"/>
                <w:spacing w:val="2"/>
              </w:rPr>
              <w:t xml:space="preserve"> </w:t>
            </w:r>
            <w:r w:rsidRPr="00BB0FD9">
              <w:rPr>
                <w:color w:val="000000" w:themeColor="text1"/>
              </w:rPr>
              <w:t>patients</w:t>
            </w:r>
            <w:r w:rsidRPr="00BB0FD9">
              <w:rPr>
                <w:color w:val="000000" w:themeColor="text1"/>
                <w:spacing w:val="2"/>
              </w:rPr>
              <w:t xml:space="preserve"> </w:t>
            </w:r>
            <w:r w:rsidRPr="00BB0FD9">
              <w:rPr>
                <w:color w:val="000000" w:themeColor="text1"/>
              </w:rPr>
              <w:t>and adolescent</w:t>
            </w:r>
            <w:r w:rsidRPr="00BB0FD9">
              <w:rPr>
                <w:color w:val="000000" w:themeColor="text1"/>
                <w:spacing w:val="1"/>
              </w:rPr>
              <w:t xml:space="preserve"> </w:t>
            </w:r>
            <w:r w:rsidRPr="00BB0FD9">
              <w:rPr>
                <w:color w:val="000000" w:themeColor="text1"/>
              </w:rPr>
              <w:t>patients</w:t>
            </w:r>
            <w:r w:rsidRPr="00BB0FD9">
              <w:rPr>
                <w:color w:val="000000" w:themeColor="text1"/>
                <w:spacing w:val="2"/>
              </w:rPr>
              <w:t xml:space="preserve"> </w:t>
            </w:r>
            <w:r w:rsidRPr="00BB0FD9">
              <w:rPr>
                <w:color w:val="000000" w:themeColor="text1"/>
              </w:rPr>
              <w:t>12</w:t>
            </w:r>
            <w:r w:rsidRPr="00BB0FD9">
              <w:rPr>
                <w:color w:val="000000" w:themeColor="text1"/>
                <w:spacing w:val="3"/>
              </w:rPr>
              <w:t xml:space="preserve"> </w:t>
            </w:r>
            <w:r w:rsidRPr="00BB0FD9">
              <w:rPr>
                <w:color w:val="000000" w:themeColor="text1"/>
              </w:rPr>
              <w:t>years</w:t>
            </w:r>
            <w:r w:rsidRPr="00BB0FD9">
              <w:rPr>
                <w:color w:val="000000" w:themeColor="text1"/>
                <w:spacing w:val="1"/>
              </w:rPr>
              <w:t xml:space="preserve"> </w:t>
            </w:r>
            <w:r w:rsidRPr="00BB0FD9">
              <w:rPr>
                <w:color w:val="000000" w:themeColor="text1"/>
              </w:rPr>
              <w:t>of</w:t>
            </w:r>
            <w:r w:rsidRPr="00BB0FD9">
              <w:rPr>
                <w:color w:val="000000" w:themeColor="text1"/>
                <w:spacing w:val="-1"/>
              </w:rPr>
              <w:t xml:space="preserve"> </w:t>
            </w:r>
            <w:r w:rsidRPr="00BB0FD9">
              <w:rPr>
                <w:color w:val="000000" w:themeColor="text1"/>
              </w:rPr>
              <w:t>age</w:t>
            </w:r>
            <w:r w:rsidRPr="00BB0FD9">
              <w:rPr>
                <w:color w:val="000000" w:themeColor="text1"/>
                <w:spacing w:val="-1"/>
              </w:rPr>
              <w:t xml:space="preserve"> </w:t>
            </w:r>
            <w:r w:rsidRPr="00BB0FD9">
              <w:rPr>
                <w:color w:val="000000" w:themeColor="text1"/>
              </w:rPr>
              <w:t>and</w:t>
            </w:r>
            <w:r w:rsidRPr="00BB0FD9">
              <w:rPr>
                <w:color w:val="000000" w:themeColor="text1"/>
                <w:spacing w:val="1"/>
              </w:rPr>
              <w:t xml:space="preserve"> </w:t>
            </w:r>
            <w:r w:rsidRPr="00BB0FD9">
              <w:rPr>
                <w:color w:val="000000" w:themeColor="text1"/>
              </w:rPr>
              <w:t>older</w:t>
            </w:r>
            <w:r w:rsidRPr="00BB0FD9">
              <w:rPr>
                <w:color w:val="000000" w:themeColor="text1"/>
                <w:spacing w:val="1"/>
              </w:rPr>
              <w:t xml:space="preserve"> </w:t>
            </w:r>
            <w:r w:rsidRPr="00BB0FD9">
              <w:rPr>
                <w:color w:val="000000" w:themeColor="text1"/>
              </w:rPr>
              <w:t>weighing</w:t>
            </w:r>
            <w:r w:rsidRPr="00BB0FD9">
              <w:rPr>
                <w:color w:val="000000" w:themeColor="text1"/>
                <w:spacing w:val="-2"/>
              </w:rPr>
              <w:t xml:space="preserve"> </w:t>
            </w:r>
            <w:r w:rsidRPr="00BB0FD9">
              <w:rPr>
                <w:color w:val="000000" w:themeColor="text1"/>
              </w:rPr>
              <w:t>at</w:t>
            </w:r>
            <w:r w:rsidRPr="00BB0FD9">
              <w:rPr>
                <w:color w:val="000000" w:themeColor="text1"/>
                <w:spacing w:val="1"/>
              </w:rPr>
              <w:t xml:space="preserve"> </w:t>
            </w:r>
            <w:r w:rsidRPr="00BB0FD9">
              <w:rPr>
                <w:color w:val="000000" w:themeColor="text1"/>
              </w:rPr>
              <w:t>least</w:t>
            </w:r>
            <w:r w:rsidRPr="00BB0FD9">
              <w:rPr>
                <w:color w:val="000000" w:themeColor="text1"/>
                <w:spacing w:val="1"/>
              </w:rPr>
              <w:t xml:space="preserve"> </w:t>
            </w:r>
            <w:r w:rsidRPr="00BB0FD9">
              <w:rPr>
                <w:color w:val="000000" w:themeColor="text1"/>
              </w:rPr>
              <w:t xml:space="preserve">40 kg is 600 mg of </w:t>
            </w:r>
            <w:proofErr w:type="spellStart"/>
            <w:r w:rsidRPr="00BB0FD9">
              <w:rPr>
                <w:color w:val="000000" w:themeColor="text1"/>
              </w:rPr>
              <w:t>casirivimab</w:t>
            </w:r>
            <w:proofErr w:type="spellEnd"/>
            <w:r w:rsidRPr="00BB0FD9">
              <w:rPr>
                <w:color w:val="000000" w:themeColor="text1"/>
              </w:rPr>
              <w:t xml:space="preserve"> and 600 mg of </w:t>
            </w:r>
            <w:proofErr w:type="spellStart"/>
            <w:r w:rsidRPr="00BB0FD9">
              <w:rPr>
                <w:color w:val="000000" w:themeColor="text1"/>
              </w:rPr>
              <w:t>imdevimab</w:t>
            </w:r>
            <w:proofErr w:type="spellEnd"/>
            <w:r w:rsidRPr="00BB0FD9">
              <w:rPr>
                <w:color w:val="000000" w:themeColor="text1"/>
              </w:rPr>
              <w:t xml:space="preserve"> administered either together as a single intravenous infusion via</w:t>
            </w:r>
            <w:r w:rsidRPr="00BB0FD9">
              <w:rPr>
                <w:color w:val="000000" w:themeColor="text1"/>
                <w:spacing w:val="-1"/>
              </w:rPr>
              <w:t xml:space="preserve"> </w:t>
            </w:r>
            <w:r w:rsidRPr="00BB0FD9">
              <w:rPr>
                <w:color w:val="000000" w:themeColor="text1"/>
              </w:rPr>
              <w:t>pump</w:t>
            </w:r>
            <w:r w:rsidRPr="00BB0FD9">
              <w:rPr>
                <w:color w:val="000000" w:themeColor="text1"/>
                <w:spacing w:val="-1"/>
              </w:rPr>
              <w:t xml:space="preserve"> </w:t>
            </w:r>
            <w:r w:rsidRPr="00BB0FD9">
              <w:rPr>
                <w:color w:val="000000" w:themeColor="text1"/>
              </w:rPr>
              <w:t>or</w:t>
            </w:r>
            <w:r w:rsidRPr="00BB0FD9">
              <w:rPr>
                <w:color w:val="000000" w:themeColor="text1"/>
                <w:spacing w:val="1"/>
              </w:rPr>
              <w:t xml:space="preserve"> </w:t>
            </w:r>
            <w:r w:rsidRPr="00BB0FD9">
              <w:rPr>
                <w:color w:val="000000" w:themeColor="text1"/>
              </w:rPr>
              <w:t>gravity,</w:t>
            </w:r>
            <w:r w:rsidRPr="00BB0FD9">
              <w:rPr>
                <w:color w:val="000000" w:themeColor="text1"/>
                <w:spacing w:val="-3"/>
              </w:rPr>
              <w:t xml:space="preserve"> </w:t>
            </w:r>
            <w:r w:rsidRPr="00BB0FD9">
              <w:rPr>
                <w:color w:val="000000" w:themeColor="text1"/>
              </w:rPr>
              <w:t>or by</w:t>
            </w:r>
            <w:r w:rsidRPr="00BB0FD9">
              <w:rPr>
                <w:color w:val="000000" w:themeColor="text1"/>
                <w:spacing w:val="-4"/>
              </w:rPr>
              <w:t xml:space="preserve"> </w:t>
            </w:r>
            <w:r w:rsidRPr="00BB0FD9">
              <w:rPr>
                <w:color w:val="000000" w:themeColor="text1"/>
              </w:rPr>
              <w:t>subcutaneous injection.</w:t>
            </w:r>
            <w:r w:rsidR="00570B64">
              <w:rPr>
                <w:color w:val="000000" w:themeColor="text1"/>
              </w:rPr>
              <w:t xml:space="preserve"> </w:t>
            </w:r>
            <w:r w:rsidR="00570B64" w:rsidRPr="00570B64">
              <w:rPr>
                <w:color w:val="000000" w:themeColor="text1"/>
              </w:rPr>
              <w:t>Intr</w:t>
            </w:r>
            <w:r w:rsidR="00570B64">
              <w:rPr>
                <w:color w:val="000000" w:themeColor="text1"/>
              </w:rPr>
              <w:t xml:space="preserve">avenous infusion is strongly </w:t>
            </w:r>
            <w:r w:rsidR="00570B64" w:rsidRPr="00570B64">
              <w:rPr>
                <w:color w:val="000000" w:themeColor="text1"/>
              </w:rPr>
              <w:t>recommended. Subcutaneous injec</w:t>
            </w:r>
            <w:r w:rsidR="00570B64">
              <w:rPr>
                <w:color w:val="000000" w:themeColor="text1"/>
              </w:rPr>
              <w:t xml:space="preserve">tion is an alternative route of </w:t>
            </w:r>
            <w:r w:rsidR="00570B64" w:rsidRPr="00570B64">
              <w:rPr>
                <w:color w:val="000000" w:themeColor="text1"/>
              </w:rPr>
              <w:t>administration when intravenous infusion is not feasible and would lead to delay in treatment.</w:t>
            </w:r>
          </w:p>
          <w:p w14:paraId="2D2117AC" w14:textId="77777777" w:rsidR="00873F42" w:rsidRPr="00BB0FD9" w:rsidRDefault="00873F42" w:rsidP="00873F42">
            <w:pPr>
              <w:rPr>
                <w:color w:val="000000" w:themeColor="text1"/>
              </w:rPr>
            </w:pPr>
            <w:proofErr w:type="spellStart"/>
            <w:r w:rsidRPr="00BB0FD9">
              <w:rPr>
                <w:color w:val="000000" w:themeColor="text1"/>
              </w:rPr>
              <w:t>Casirivimab</w:t>
            </w:r>
            <w:proofErr w:type="spellEnd"/>
            <w:r w:rsidRPr="00BB0FD9">
              <w:rPr>
                <w:color w:val="000000" w:themeColor="text1"/>
              </w:rPr>
              <w:t xml:space="preserve"> with </w:t>
            </w:r>
            <w:proofErr w:type="spellStart"/>
            <w:r w:rsidRPr="00BB0FD9">
              <w:rPr>
                <w:color w:val="000000" w:themeColor="text1"/>
              </w:rPr>
              <w:t>imdevimab</w:t>
            </w:r>
            <w:proofErr w:type="spellEnd"/>
            <w:r w:rsidRPr="00BB0FD9">
              <w:rPr>
                <w:color w:val="000000" w:themeColor="text1"/>
              </w:rPr>
              <w:t xml:space="preserve"> should be given together as soon as possible after a positive viral test for SARS-CoV-2 and not later than 7 days after the onset of first symptoms.</w:t>
            </w:r>
          </w:p>
          <w:p w14:paraId="6995F9AC" w14:textId="27CF9728" w:rsidR="00873F42" w:rsidRPr="00BB0FD9" w:rsidRDefault="00873F42" w:rsidP="00873F42">
            <w:pPr>
              <w:rPr>
                <w:color w:val="000000" w:themeColor="text1"/>
              </w:rPr>
            </w:pPr>
            <w:bookmarkStart w:id="17" w:name="Prevention"/>
            <w:bookmarkStart w:id="18" w:name="Post-exposure_prophylaxis_(Single_dose)"/>
            <w:bookmarkStart w:id="19" w:name="Pre-exposure_prophylaxis_(Repeat_dose)"/>
            <w:bookmarkEnd w:id="17"/>
            <w:bookmarkEnd w:id="18"/>
            <w:bookmarkEnd w:id="19"/>
            <w:r w:rsidRPr="00BB0FD9">
              <w:rPr>
                <w:i/>
                <w:iCs/>
                <w:color w:val="000000" w:themeColor="text1"/>
              </w:rPr>
              <w:t>Paediatric population</w:t>
            </w:r>
          </w:p>
          <w:p w14:paraId="399833AC" w14:textId="1D50248A" w:rsidR="00873F42" w:rsidRPr="00BB0FD9" w:rsidRDefault="00873F42" w:rsidP="00873F42">
            <w:pPr>
              <w:rPr>
                <w:color w:val="000000" w:themeColor="text1"/>
              </w:rPr>
            </w:pPr>
            <w:r w:rsidRPr="00BB0FD9">
              <w:rPr>
                <w:color w:val="000000" w:themeColor="text1"/>
              </w:rPr>
              <w:t xml:space="preserve">The safety and efficacy of </w:t>
            </w:r>
            <w:proofErr w:type="spellStart"/>
            <w:r w:rsidRPr="00BB0FD9">
              <w:rPr>
                <w:color w:val="000000" w:themeColor="text1"/>
              </w:rPr>
              <w:t>casirivimab</w:t>
            </w:r>
            <w:proofErr w:type="spellEnd"/>
            <w:r w:rsidRPr="00BB0FD9">
              <w:rPr>
                <w:color w:val="000000" w:themeColor="text1"/>
              </w:rPr>
              <w:t xml:space="preserve"> and </w:t>
            </w:r>
            <w:proofErr w:type="spellStart"/>
            <w:r w:rsidRPr="00BB0FD9">
              <w:rPr>
                <w:color w:val="000000" w:themeColor="text1"/>
              </w:rPr>
              <w:t>imdevimab</w:t>
            </w:r>
            <w:proofErr w:type="spellEnd"/>
            <w:r w:rsidRPr="00BB0FD9">
              <w:rPr>
                <w:color w:val="000000" w:themeColor="text1"/>
              </w:rPr>
              <w:t xml:space="preserve"> in children </w:t>
            </w:r>
            <w:r w:rsidR="0079672A">
              <w:rPr>
                <w:color w:val="000000" w:themeColor="text1"/>
              </w:rPr>
              <w:t>less than</w:t>
            </w:r>
            <w:r w:rsidR="0079672A" w:rsidRPr="00BB0FD9">
              <w:rPr>
                <w:color w:val="000000" w:themeColor="text1"/>
              </w:rPr>
              <w:t> </w:t>
            </w:r>
            <w:r w:rsidRPr="00BB0FD9">
              <w:rPr>
                <w:color w:val="000000" w:themeColor="text1"/>
              </w:rPr>
              <w:t>12 years of age has not yet been established. No data are available</w:t>
            </w:r>
            <w:r w:rsidR="0079672A">
              <w:rPr>
                <w:color w:val="000000" w:themeColor="text1"/>
              </w:rPr>
              <w:t xml:space="preserve"> for this age group</w:t>
            </w:r>
            <w:r w:rsidRPr="00BB0FD9">
              <w:rPr>
                <w:color w:val="000000" w:themeColor="text1"/>
              </w:rPr>
              <w:t xml:space="preserve">. No dosage adjustment is recommended in paediatric individuals </w:t>
            </w:r>
            <w:r w:rsidR="0079672A">
              <w:rPr>
                <w:color w:val="000000" w:themeColor="text1"/>
              </w:rPr>
              <w:t>of</w:t>
            </w:r>
            <w:r w:rsidRPr="00BB0FD9">
              <w:rPr>
                <w:color w:val="000000" w:themeColor="text1"/>
              </w:rPr>
              <w:t> 12 years of age and older and weighing 40 kg</w:t>
            </w:r>
            <w:r w:rsidR="0079672A">
              <w:rPr>
                <w:color w:val="000000" w:themeColor="text1"/>
              </w:rPr>
              <w:t xml:space="preserve"> or more.</w:t>
            </w:r>
          </w:p>
          <w:p w14:paraId="264A9B97" w14:textId="7A027FF3" w:rsidR="00873F42" w:rsidRPr="006D790D" w:rsidRDefault="00460036" w:rsidP="00EA7099">
            <w:r w:rsidRPr="006D790D">
              <w:t>For further information regarding dosage, refer to the Product Information.</w:t>
            </w:r>
          </w:p>
        </w:tc>
      </w:tr>
      <w:tr w:rsidR="00460036" w:rsidRPr="006D790D" w14:paraId="11FC61D4" w14:textId="77777777" w:rsidTr="00BF1190">
        <w:tc>
          <w:tcPr>
            <w:tcW w:w="2907" w:type="dxa"/>
          </w:tcPr>
          <w:p w14:paraId="04B68883" w14:textId="77777777" w:rsidR="00460036" w:rsidRPr="006D790D" w:rsidRDefault="00460036" w:rsidP="00E45619">
            <w:pPr>
              <w:rPr>
                <w:i/>
              </w:rPr>
            </w:pPr>
            <w:r w:rsidRPr="006D790D">
              <w:rPr>
                <w:i/>
              </w:rPr>
              <w:t>Pregnancy category:</w:t>
            </w:r>
          </w:p>
        </w:tc>
        <w:tc>
          <w:tcPr>
            <w:tcW w:w="6307" w:type="dxa"/>
          </w:tcPr>
          <w:p w14:paraId="3C0ADD9A" w14:textId="77777777" w:rsidR="00873F42" w:rsidRPr="006D790D" w:rsidRDefault="00873F42" w:rsidP="00873F42">
            <w:r w:rsidRPr="006D790D">
              <w:t>B2</w:t>
            </w:r>
          </w:p>
          <w:p w14:paraId="07E420E9" w14:textId="77777777" w:rsidR="00873F42" w:rsidRPr="006D790D" w:rsidRDefault="00873F42" w:rsidP="00873F42">
            <w:r w:rsidRPr="006D790D">
              <w:t xml:space="preserve">Drugs which have been taken by only a limited number of pregnant women and women of childbearing age, without an increase in the frequency of malformation or other direct or indirect harmful effects on the human </w:t>
            </w:r>
            <w:proofErr w:type="spellStart"/>
            <w:r w:rsidRPr="006D790D">
              <w:t>fetus</w:t>
            </w:r>
            <w:proofErr w:type="spellEnd"/>
            <w:r w:rsidRPr="006D790D">
              <w:t xml:space="preserve"> having been observed.</w:t>
            </w:r>
          </w:p>
          <w:p w14:paraId="55CF3474" w14:textId="77777777" w:rsidR="00873F42" w:rsidRPr="006D790D" w:rsidRDefault="00873F42" w:rsidP="00873F42">
            <w:r w:rsidRPr="006D790D">
              <w:t xml:space="preserve">Studies in animals are inadequate or may be lacking, but available data show no evidence of an increased occurrence of </w:t>
            </w:r>
            <w:proofErr w:type="spellStart"/>
            <w:r w:rsidRPr="006D790D">
              <w:t>fetal</w:t>
            </w:r>
            <w:proofErr w:type="spellEnd"/>
            <w:r w:rsidRPr="006D790D">
              <w:t xml:space="preserve"> damage.</w:t>
            </w:r>
          </w:p>
          <w:p w14:paraId="2B2A549A" w14:textId="74D7F867" w:rsidR="00460036" w:rsidRPr="006D790D" w:rsidRDefault="00460036" w:rsidP="00460036">
            <w:r w:rsidRPr="006D790D">
              <w:t xml:space="preserve">The use of any medicine during pregnancy requires careful consideration of both risks and benefits by the treating health professional. This must not be used as the sole basis of decision </w:t>
            </w:r>
            <w:r w:rsidRPr="006D790D">
              <w:lastRenderedPageBreak/>
              <w:t>making in the use of medicines during pregnancy. The TGA does not provide advice on the use of medicines in pregnancy for specific cases. More information is available from obstetric drug information services in your State or Territory.</w:t>
            </w:r>
          </w:p>
        </w:tc>
      </w:tr>
    </w:tbl>
    <w:p w14:paraId="1A41B93E" w14:textId="77777777" w:rsidR="008E7846" w:rsidRPr="006D790D" w:rsidRDefault="008E7846" w:rsidP="008E7846">
      <w:pPr>
        <w:pStyle w:val="Heading3"/>
      </w:pPr>
      <w:bookmarkStart w:id="20" w:name="_Toc247691503"/>
      <w:bookmarkStart w:id="21" w:name="_Toc314842484"/>
      <w:bookmarkStart w:id="22" w:name="_Toc86748263"/>
      <w:r w:rsidRPr="00570B64">
        <w:lastRenderedPageBreak/>
        <w:t>Product background</w:t>
      </w:r>
      <w:bookmarkEnd w:id="20"/>
      <w:bookmarkEnd w:id="21"/>
      <w:bookmarkEnd w:id="22"/>
    </w:p>
    <w:p w14:paraId="666C2DFA" w14:textId="76726499" w:rsidR="008E7846" w:rsidRPr="006D790D" w:rsidRDefault="00250271" w:rsidP="00940A89">
      <w:r w:rsidRPr="006D790D">
        <w:t xml:space="preserve">This </w:t>
      </w:r>
      <w:proofErr w:type="spellStart"/>
      <w:r w:rsidRPr="006D790D">
        <w:t>AusPAR</w:t>
      </w:r>
      <w:proofErr w:type="spellEnd"/>
      <w:r w:rsidRPr="006D790D">
        <w:t xml:space="preserve"> describes the application by </w:t>
      </w:r>
      <w:r w:rsidR="0034615E" w:rsidRPr="006D790D">
        <w:t xml:space="preserve">Roche Products Pty Limited </w:t>
      </w:r>
      <w:r w:rsidRPr="006D790D">
        <w:t xml:space="preserve">(the sponsor) to register </w:t>
      </w:r>
      <w:proofErr w:type="spellStart"/>
      <w:r w:rsidR="00035B9A" w:rsidRPr="006D790D">
        <w:t>Ronapreve</w:t>
      </w:r>
      <w:proofErr w:type="spellEnd"/>
      <w:r w:rsidR="00873F42" w:rsidRPr="006D790D">
        <w:t xml:space="preserve"> </w:t>
      </w:r>
      <w:r w:rsidRPr="006D790D">
        <w:t>(</w:t>
      </w:r>
      <w:proofErr w:type="spellStart"/>
      <w:r w:rsidR="00873F42" w:rsidRPr="006D790D">
        <w:t>casirivimab</w:t>
      </w:r>
      <w:proofErr w:type="spellEnd"/>
      <w:r w:rsidR="00B70E5F">
        <w:t>/</w:t>
      </w:r>
      <w:proofErr w:type="spellStart"/>
      <w:r w:rsidR="00873F42" w:rsidRPr="006D790D">
        <w:t>imdevimab</w:t>
      </w:r>
      <w:proofErr w:type="spellEnd"/>
      <w:r w:rsidRPr="006D790D">
        <w:t xml:space="preserve">) </w:t>
      </w:r>
      <w:r w:rsidR="00873F42" w:rsidRPr="006D790D">
        <w:t xml:space="preserve">120 mg/mL </w:t>
      </w:r>
      <w:proofErr w:type="spellStart"/>
      <w:r w:rsidR="00873F42" w:rsidRPr="006D790D">
        <w:t>casirivimab</w:t>
      </w:r>
      <w:proofErr w:type="spellEnd"/>
      <w:r w:rsidR="00873F42" w:rsidRPr="006D790D">
        <w:t xml:space="preserve"> and 120 mg/mL </w:t>
      </w:r>
      <w:proofErr w:type="spellStart"/>
      <w:r w:rsidR="00873F42" w:rsidRPr="006D790D">
        <w:t>imdevimab</w:t>
      </w:r>
      <w:proofErr w:type="spellEnd"/>
      <w:r w:rsidRPr="006D790D">
        <w:t xml:space="preserve">, </w:t>
      </w:r>
      <w:r w:rsidR="00873F42" w:rsidRPr="006D790D">
        <w:t>solution for infusion and injection</w:t>
      </w:r>
      <w:r w:rsidRPr="006D790D">
        <w:t xml:space="preserve"> for the following proposed indication</w:t>
      </w:r>
      <w:r w:rsidR="00CF5DAD" w:rsidRPr="006D790D">
        <w:t>:</w:t>
      </w:r>
    </w:p>
    <w:p w14:paraId="60D50998" w14:textId="77777777" w:rsidR="0086486E" w:rsidRPr="006D790D" w:rsidRDefault="0086486E" w:rsidP="0086486E">
      <w:pPr>
        <w:ind w:left="720"/>
        <w:rPr>
          <w:b/>
          <w:bCs/>
          <w:i/>
          <w:iCs/>
        </w:rPr>
      </w:pPr>
      <w:r w:rsidRPr="006D790D">
        <w:rPr>
          <w:b/>
          <w:bCs/>
          <w:i/>
          <w:iCs/>
        </w:rPr>
        <w:t>Treatment</w:t>
      </w:r>
    </w:p>
    <w:p w14:paraId="50C9A6CE" w14:textId="4ED17751" w:rsidR="0086486E" w:rsidRPr="006D790D" w:rsidRDefault="0086486E" w:rsidP="0086486E">
      <w:pPr>
        <w:ind w:left="720"/>
        <w:rPr>
          <w:i/>
          <w:iCs/>
        </w:rPr>
      </w:pPr>
      <w:proofErr w:type="spellStart"/>
      <w:r w:rsidRPr="006D790D">
        <w:rPr>
          <w:i/>
          <w:iCs/>
        </w:rPr>
        <w:t>Ronapreve</w:t>
      </w:r>
      <w:proofErr w:type="spellEnd"/>
      <w:r w:rsidRPr="006D790D">
        <w:rPr>
          <w:i/>
          <w:iCs/>
        </w:rPr>
        <w:t xml:space="preserve"> is indicated for the treatment of confirmed COVID</w:t>
      </w:r>
      <w:r w:rsidR="00EA7099" w:rsidRPr="006D790D">
        <w:rPr>
          <w:i/>
          <w:iCs/>
        </w:rPr>
        <w:noBreakHyphen/>
      </w:r>
      <w:r w:rsidRPr="006D790D">
        <w:rPr>
          <w:i/>
          <w:iCs/>
        </w:rPr>
        <w:t>19 in patients aged 12</w:t>
      </w:r>
      <w:r w:rsidR="00EA7099" w:rsidRPr="006D790D">
        <w:rPr>
          <w:i/>
          <w:iCs/>
        </w:rPr>
        <w:t> </w:t>
      </w:r>
      <w:r w:rsidRPr="006D790D">
        <w:rPr>
          <w:i/>
          <w:iCs/>
        </w:rPr>
        <w:t>years and older and</w:t>
      </w:r>
      <w:r w:rsidR="00EA7099" w:rsidRPr="006D790D">
        <w:rPr>
          <w:i/>
          <w:iCs/>
        </w:rPr>
        <w:t xml:space="preserve"> </w:t>
      </w:r>
      <w:r w:rsidRPr="006D790D">
        <w:rPr>
          <w:i/>
          <w:iCs/>
        </w:rPr>
        <w:t>weighing at least 40</w:t>
      </w:r>
      <w:r w:rsidR="00EA7099" w:rsidRPr="006D790D">
        <w:rPr>
          <w:i/>
          <w:iCs/>
        </w:rPr>
        <w:t> </w:t>
      </w:r>
      <w:r w:rsidRPr="006D790D">
        <w:rPr>
          <w:i/>
          <w:iCs/>
        </w:rPr>
        <w:t>kg that do not require supplemental oxygen for COVID</w:t>
      </w:r>
      <w:r w:rsidR="00EA7099" w:rsidRPr="006D790D">
        <w:rPr>
          <w:i/>
          <w:iCs/>
        </w:rPr>
        <w:noBreakHyphen/>
      </w:r>
      <w:r w:rsidRPr="006D790D">
        <w:rPr>
          <w:i/>
          <w:iCs/>
        </w:rPr>
        <w:t>19 and who are at high risk of</w:t>
      </w:r>
      <w:r w:rsidR="00EA7099" w:rsidRPr="006D790D">
        <w:rPr>
          <w:i/>
          <w:iCs/>
        </w:rPr>
        <w:t xml:space="preserve"> </w:t>
      </w:r>
      <w:r w:rsidRPr="006D790D">
        <w:rPr>
          <w:i/>
          <w:iCs/>
        </w:rPr>
        <w:t>progressing to severe COVID</w:t>
      </w:r>
      <w:r w:rsidR="00EA7099" w:rsidRPr="006D790D">
        <w:rPr>
          <w:i/>
          <w:iCs/>
        </w:rPr>
        <w:noBreakHyphen/>
      </w:r>
      <w:r w:rsidRPr="006D790D">
        <w:rPr>
          <w:i/>
          <w:iCs/>
        </w:rPr>
        <w:t>19.</w:t>
      </w:r>
    </w:p>
    <w:p w14:paraId="63110639" w14:textId="77777777" w:rsidR="0086486E" w:rsidRPr="006D790D" w:rsidRDefault="0086486E" w:rsidP="0086486E">
      <w:pPr>
        <w:ind w:left="720"/>
        <w:rPr>
          <w:b/>
          <w:bCs/>
          <w:i/>
          <w:iCs/>
        </w:rPr>
      </w:pPr>
      <w:r w:rsidRPr="006D790D">
        <w:rPr>
          <w:b/>
          <w:bCs/>
          <w:i/>
          <w:iCs/>
        </w:rPr>
        <w:t>Prevention</w:t>
      </w:r>
    </w:p>
    <w:p w14:paraId="768D085C" w14:textId="54177025" w:rsidR="0086486E" w:rsidRPr="006D790D" w:rsidRDefault="0086486E" w:rsidP="0086486E">
      <w:pPr>
        <w:ind w:left="720"/>
        <w:rPr>
          <w:i/>
          <w:iCs/>
        </w:rPr>
      </w:pPr>
      <w:proofErr w:type="spellStart"/>
      <w:r w:rsidRPr="006D790D">
        <w:rPr>
          <w:i/>
          <w:iCs/>
        </w:rPr>
        <w:t>Ronapreve</w:t>
      </w:r>
      <w:proofErr w:type="spellEnd"/>
      <w:r w:rsidRPr="006D790D">
        <w:rPr>
          <w:i/>
          <w:iCs/>
        </w:rPr>
        <w:t xml:space="preserve"> is indicated for the prevention of COVID</w:t>
      </w:r>
      <w:r w:rsidR="00EA7099" w:rsidRPr="006D790D">
        <w:rPr>
          <w:i/>
          <w:iCs/>
        </w:rPr>
        <w:noBreakHyphen/>
      </w:r>
      <w:r w:rsidRPr="006D790D">
        <w:rPr>
          <w:i/>
          <w:iCs/>
        </w:rPr>
        <w:t>19 in individuals aged 12</w:t>
      </w:r>
      <w:r w:rsidR="00EA7099" w:rsidRPr="006D790D">
        <w:rPr>
          <w:i/>
          <w:iCs/>
        </w:rPr>
        <w:t> </w:t>
      </w:r>
      <w:r w:rsidRPr="006D790D">
        <w:rPr>
          <w:i/>
          <w:iCs/>
        </w:rPr>
        <w:t>years and older and weighing</w:t>
      </w:r>
      <w:r w:rsidR="00EA7099" w:rsidRPr="006D790D">
        <w:rPr>
          <w:i/>
          <w:iCs/>
        </w:rPr>
        <w:t xml:space="preserve"> </w:t>
      </w:r>
      <w:r w:rsidRPr="006D790D">
        <w:rPr>
          <w:i/>
          <w:iCs/>
        </w:rPr>
        <w:t>at least 40</w:t>
      </w:r>
      <w:r w:rsidR="00EA7099" w:rsidRPr="006D790D">
        <w:rPr>
          <w:i/>
          <w:iCs/>
        </w:rPr>
        <w:t> </w:t>
      </w:r>
      <w:r w:rsidRPr="006D790D">
        <w:rPr>
          <w:i/>
          <w:iCs/>
        </w:rPr>
        <w:t>kg who meet one or more of the following criteria:</w:t>
      </w:r>
    </w:p>
    <w:p w14:paraId="1B86A3C4" w14:textId="333A0A1C" w:rsidR="0086486E" w:rsidRPr="006D790D" w:rsidRDefault="0086486E" w:rsidP="0086486E">
      <w:pPr>
        <w:pStyle w:val="ListBullet"/>
        <w:ind w:left="1080"/>
        <w:rPr>
          <w:i/>
          <w:iCs/>
        </w:rPr>
      </w:pPr>
      <w:r w:rsidRPr="006D790D">
        <w:rPr>
          <w:i/>
          <w:iCs/>
        </w:rPr>
        <w:t>have been exposed or are at high risk of exposure to SARS-CoV-2</w:t>
      </w:r>
    </w:p>
    <w:p w14:paraId="174550E0" w14:textId="7F3CC34B" w:rsidR="0086486E" w:rsidRPr="006D790D" w:rsidRDefault="0086486E" w:rsidP="0086486E">
      <w:pPr>
        <w:pStyle w:val="ListBullet"/>
        <w:ind w:left="1080"/>
        <w:rPr>
          <w:i/>
          <w:iCs/>
        </w:rPr>
      </w:pPr>
      <w:r w:rsidRPr="006D790D">
        <w:rPr>
          <w:i/>
          <w:iCs/>
        </w:rPr>
        <w:t>have a medical condition making them unlikely to respond to or be protected by vaccination</w:t>
      </w:r>
    </w:p>
    <w:p w14:paraId="6CEE6F2A" w14:textId="0EFDE6CA" w:rsidR="0086486E" w:rsidRPr="006D790D" w:rsidRDefault="0086486E" w:rsidP="0086486E">
      <w:pPr>
        <w:ind w:left="720"/>
        <w:rPr>
          <w:i/>
          <w:iCs/>
        </w:rPr>
      </w:pPr>
      <w:proofErr w:type="spellStart"/>
      <w:r w:rsidRPr="006D790D">
        <w:rPr>
          <w:i/>
          <w:iCs/>
        </w:rPr>
        <w:t>Ronapreve</w:t>
      </w:r>
      <w:proofErr w:type="spellEnd"/>
      <w:r w:rsidRPr="006D790D">
        <w:rPr>
          <w:i/>
          <w:iCs/>
        </w:rPr>
        <w:t xml:space="preserve"> is not intended to be used as a substitute for vaccination against COVID</w:t>
      </w:r>
      <w:r w:rsidR="00EA7099" w:rsidRPr="006D790D">
        <w:rPr>
          <w:i/>
          <w:iCs/>
        </w:rPr>
        <w:noBreakHyphen/>
      </w:r>
      <w:r w:rsidRPr="006D790D">
        <w:rPr>
          <w:i/>
          <w:iCs/>
        </w:rPr>
        <w:t>19.</w:t>
      </w:r>
    </w:p>
    <w:p w14:paraId="1CB8FD68" w14:textId="64C66A58" w:rsidR="0086486E" w:rsidRPr="006D790D" w:rsidRDefault="0086486E" w:rsidP="005F61F0">
      <w:pPr>
        <w:spacing w:before="0" w:after="0" w:line="240" w:lineRule="auto"/>
      </w:pPr>
      <w:r w:rsidRPr="006D790D">
        <w:t xml:space="preserve">The </w:t>
      </w:r>
      <w:r w:rsidR="00EA7099" w:rsidRPr="006D790D">
        <w:t>severe acute respiratory syndrome coronavirus 2 (</w:t>
      </w:r>
      <w:r w:rsidRPr="006D790D">
        <w:t>SARS-CoV-2</w:t>
      </w:r>
      <w:r w:rsidR="00EA7099" w:rsidRPr="006D790D">
        <w:t>)</w:t>
      </w:r>
      <w:r w:rsidRPr="006D790D">
        <w:t xml:space="preserve"> virus is an enveloped, positive</w:t>
      </w:r>
      <w:r w:rsidR="00EA7099" w:rsidRPr="006D790D">
        <w:t xml:space="preserve"> </w:t>
      </w:r>
      <w:r w:rsidRPr="006D790D">
        <w:t>sense, single</w:t>
      </w:r>
      <w:r w:rsidR="00EA7099" w:rsidRPr="006D790D">
        <w:t xml:space="preserve"> </w:t>
      </w:r>
      <w:r w:rsidRPr="006D790D">
        <w:t xml:space="preserve">stranded </w:t>
      </w:r>
      <w:r w:rsidR="00EA7099" w:rsidRPr="006D790D">
        <w:t>ribonucleic acid (</w:t>
      </w:r>
      <w:r w:rsidRPr="006D790D">
        <w:t>RNA</w:t>
      </w:r>
      <w:r w:rsidR="00EA7099" w:rsidRPr="006D790D">
        <w:t>)</w:t>
      </w:r>
      <w:r w:rsidRPr="006D790D">
        <w:t xml:space="preserve"> beta</w:t>
      </w:r>
      <w:r w:rsidR="00EA7099" w:rsidRPr="006D790D">
        <w:t xml:space="preserve"> </w:t>
      </w:r>
      <w:r w:rsidRPr="006D790D">
        <w:t xml:space="preserve">coronavirus. SARS-CoV-2 has spread globally since its emergence, causing </w:t>
      </w:r>
      <w:r w:rsidR="00EA7099" w:rsidRPr="006D790D">
        <w:t>coronavirus disease 2019 (</w:t>
      </w:r>
      <w:r w:rsidRPr="006D790D">
        <w:t>COVID-19</w:t>
      </w:r>
      <w:r w:rsidR="00EA7099" w:rsidRPr="006D790D">
        <w:t>)</w:t>
      </w:r>
      <w:r w:rsidRPr="006D790D">
        <w:t>. The World Health Organization (WHO) declared that the outbreak constituted a public health emergency of international concern on 30 January 2020 and declared the outbreak to be a pandemic on 11 March 2020.</w:t>
      </w:r>
      <w:r w:rsidR="005F61F0" w:rsidRPr="006D790D">
        <w:rPr>
          <w:rStyle w:val="FootnoteReference"/>
        </w:rPr>
        <w:footnoteReference w:id="2"/>
      </w:r>
      <w:r w:rsidR="005F61F0" w:rsidRPr="006D790D">
        <w:rPr>
          <w:vertAlign w:val="superscript"/>
        </w:rPr>
        <w:t>,</w:t>
      </w:r>
      <w:r w:rsidR="005F61F0" w:rsidRPr="006D790D">
        <w:rPr>
          <w:rStyle w:val="FootnoteReference"/>
        </w:rPr>
        <w:footnoteReference w:id="3"/>
      </w:r>
      <w:r w:rsidR="005F61F0" w:rsidRPr="006D790D">
        <w:rPr>
          <w:rFonts w:ascii="Times New Roman" w:eastAsiaTheme="minorHAnsi" w:hAnsi="Times New Roman"/>
          <w:sz w:val="24"/>
          <w:szCs w:val="24"/>
          <w:lang w:eastAsia="en-AU"/>
        </w:rPr>
        <w:t xml:space="preserve"> </w:t>
      </w:r>
      <w:r w:rsidRPr="006D790D">
        <w:t>COVID-19 is predominantly a respiratory illness that can affect other organs. People with COVID-19 have reported a wide range of symptoms, ranging from mild symptoms to severe illness. Symptoms may appear 2</w:t>
      </w:r>
      <w:r w:rsidR="00EA7099" w:rsidRPr="006D790D">
        <w:t xml:space="preserve"> to </w:t>
      </w:r>
      <w:r w:rsidRPr="006D790D">
        <w:t>14</w:t>
      </w:r>
      <w:r w:rsidR="00EA7099" w:rsidRPr="006D790D">
        <w:t> </w:t>
      </w:r>
      <w:r w:rsidRPr="006D790D">
        <w:t xml:space="preserve">days after exposure to the virus. Symptoms may include fever or chills; cough; shortness of breath; fatigue; muscle or body aches; headache; new loss of taste or smell; sore throat; congestion or runny nose; nausea or vomiting; </w:t>
      </w:r>
      <w:r w:rsidR="0079672A">
        <w:t xml:space="preserve">and </w:t>
      </w:r>
      <w:r w:rsidRPr="006D790D">
        <w:t>diarrhoea.</w:t>
      </w:r>
    </w:p>
    <w:p w14:paraId="7FDE4A4E" w14:textId="483B0AF8" w:rsidR="0086486E" w:rsidRPr="006D790D" w:rsidRDefault="0086486E" w:rsidP="0034615E">
      <w:r w:rsidRPr="006D790D">
        <w:t>Severe illness requiring hospitali</w:t>
      </w:r>
      <w:r w:rsidR="00AF6815" w:rsidRPr="006D790D">
        <w:t>s</w:t>
      </w:r>
      <w:r w:rsidRPr="006D790D">
        <w:t xml:space="preserve">ation, admission to the intensive care unit, intubation, mechanical </w:t>
      </w:r>
      <w:proofErr w:type="gramStart"/>
      <w:r w:rsidRPr="006D790D">
        <w:t>ventilation</w:t>
      </w:r>
      <w:proofErr w:type="gramEnd"/>
      <w:r w:rsidRPr="006D790D">
        <w:t xml:space="preserve"> or death, can occur in adults of any age with COVID-19. Adults of any age with certain underlying comorbidities such as cancer, chronic kidney disease, chronic obstructive pulmonary disease, obesity, </w:t>
      </w:r>
      <w:r w:rsidR="00EA7099" w:rsidRPr="006D790D">
        <w:t>T</w:t>
      </w:r>
      <w:r w:rsidRPr="006D790D">
        <w:t xml:space="preserve">ype 2 diabetes, </w:t>
      </w:r>
      <w:proofErr w:type="gramStart"/>
      <w:r w:rsidRPr="006D790D">
        <w:t>pregnancy</w:t>
      </w:r>
      <w:proofErr w:type="gramEnd"/>
      <w:r w:rsidRPr="006D790D">
        <w:t xml:space="preserve"> and immunocompromised states are at increased risk for developing severe illness from the virus that causes COVID-19. Other medical conditions or factors also make certain individuals at high risk for progression to severe disease.</w:t>
      </w:r>
    </w:p>
    <w:p w14:paraId="0DD59623" w14:textId="1C20B479" w:rsidR="0086486E" w:rsidRPr="006D790D" w:rsidRDefault="0086486E" w:rsidP="0034615E">
      <w:r w:rsidRPr="006D790D">
        <w:lastRenderedPageBreak/>
        <w:t>Following suppression of the initial outbreak in early 2020, the situation in Australia has been characterised by periods of zero community transmission, interspersed with sporadic outbreaks caused by escape of the virus from the hotel quarantine system that has been used for returning overseas travellers. At the time of this report, the relevant public health units are struggling to contain outbreaks in Sydney and other areas caused by the delta variant of concern.</w:t>
      </w:r>
    </w:p>
    <w:p w14:paraId="13E137DA" w14:textId="21371BE4" w:rsidR="0086486E" w:rsidRPr="006D790D" w:rsidRDefault="0086486E" w:rsidP="005F61F0">
      <w:pPr>
        <w:spacing w:before="0" w:after="0" w:line="240" w:lineRule="auto"/>
        <w:rPr>
          <w:rFonts w:ascii="Times New Roman" w:eastAsiaTheme="minorHAnsi" w:hAnsi="Times New Roman"/>
          <w:sz w:val="24"/>
          <w:szCs w:val="24"/>
          <w:lang w:eastAsia="en-AU"/>
        </w:rPr>
      </w:pPr>
      <w:r w:rsidRPr="006D790D">
        <w:t xml:space="preserve">There are currently two products on the </w:t>
      </w:r>
      <w:r w:rsidR="00EA7099" w:rsidRPr="006D790D">
        <w:t>Australian Register of Therapeutic Goods (</w:t>
      </w:r>
      <w:r w:rsidRPr="006D790D">
        <w:t>ARTG</w:t>
      </w:r>
      <w:r w:rsidR="00EA7099" w:rsidRPr="006D790D">
        <w:t>)</w:t>
      </w:r>
      <w:r w:rsidRPr="006D790D">
        <w:t xml:space="preserve"> with a COVID-19 treatment indication, and both are approved under the provisional</w:t>
      </w:r>
      <w:r w:rsidR="005F61F0" w:rsidRPr="006D790D">
        <w:t>;</w:t>
      </w:r>
      <w:bookmarkStart w:id="23" w:name="_Ref85175400"/>
      <w:r w:rsidR="005F61F0" w:rsidRPr="006D790D">
        <w:rPr>
          <w:rStyle w:val="FootnoteReference"/>
        </w:rPr>
        <w:footnoteReference w:id="4"/>
      </w:r>
      <w:bookmarkEnd w:id="23"/>
      <w:r w:rsidR="005F61F0" w:rsidRPr="006D790D">
        <w:rPr>
          <w:rFonts w:ascii="Times New Roman" w:eastAsiaTheme="minorHAnsi" w:hAnsi="Times New Roman"/>
          <w:sz w:val="24"/>
          <w:szCs w:val="24"/>
          <w:lang w:eastAsia="en-AU"/>
        </w:rPr>
        <w:t xml:space="preserve"> </w:t>
      </w:r>
      <w:r w:rsidRPr="006D790D">
        <w:t>pathway:</w:t>
      </w:r>
    </w:p>
    <w:p w14:paraId="42285BEB" w14:textId="407054C6" w:rsidR="0086486E" w:rsidRPr="006D790D" w:rsidRDefault="00EA7099" w:rsidP="0086486E">
      <w:pPr>
        <w:pStyle w:val="ListBullet"/>
      </w:pPr>
      <w:proofErr w:type="spellStart"/>
      <w:r w:rsidRPr="006D790D">
        <w:t>Veklury</w:t>
      </w:r>
      <w:proofErr w:type="spellEnd"/>
      <w:r w:rsidRPr="006D790D">
        <w:t xml:space="preserve"> </w:t>
      </w:r>
      <w:r w:rsidR="0086486E" w:rsidRPr="006D790D">
        <w:t>(</w:t>
      </w:r>
      <w:proofErr w:type="spellStart"/>
      <w:r w:rsidR="0086486E" w:rsidRPr="006D790D">
        <w:t>remdesivir</w:t>
      </w:r>
      <w:proofErr w:type="spellEnd"/>
      <w:r w:rsidR="0086486E" w:rsidRPr="006D790D">
        <w:t xml:space="preserve">), </w:t>
      </w:r>
      <w:r w:rsidR="002A5CF8">
        <w:t xml:space="preserve">was </w:t>
      </w:r>
      <w:r w:rsidR="0086486E" w:rsidRPr="006D790D">
        <w:t>provisionally registered on 10 July 2020 for the treatment of COVID-19 in adults and adolescents (aged 12 years and older, weighing at least 40</w:t>
      </w:r>
      <w:r w:rsidRPr="006D790D">
        <w:t> </w:t>
      </w:r>
      <w:r w:rsidR="0086486E" w:rsidRPr="006D790D">
        <w:t>kg) with pneumonia, requiring supplemental oxygen.</w:t>
      </w:r>
      <w:r w:rsidR="00E0067A" w:rsidRPr="006D790D">
        <w:rPr>
          <w:rStyle w:val="FootnoteReference"/>
        </w:rPr>
        <w:footnoteReference w:id="5"/>
      </w:r>
      <w:r w:rsidR="00E0067A" w:rsidRPr="006D790D">
        <w:rPr>
          <w:vertAlign w:val="superscript"/>
        </w:rPr>
        <w:t>,</w:t>
      </w:r>
      <w:r w:rsidR="005F61F0" w:rsidRPr="006D790D">
        <w:rPr>
          <w:rStyle w:val="FootnoteReference"/>
        </w:rPr>
        <w:footnoteReference w:id="6"/>
      </w:r>
    </w:p>
    <w:p w14:paraId="215B2947" w14:textId="5541DAA0" w:rsidR="0086486E" w:rsidRPr="006D790D" w:rsidRDefault="00EA7099" w:rsidP="0086486E">
      <w:pPr>
        <w:pStyle w:val="ListBullet"/>
      </w:pPr>
      <w:bookmarkStart w:id="24" w:name="_Hlk80196247"/>
      <w:proofErr w:type="spellStart"/>
      <w:r w:rsidRPr="006D790D">
        <w:t>Xevudy</w:t>
      </w:r>
      <w:proofErr w:type="spellEnd"/>
      <w:r w:rsidRPr="006D790D">
        <w:t xml:space="preserve"> </w:t>
      </w:r>
      <w:r w:rsidR="0086486E" w:rsidRPr="006D790D">
        <w:t>(</w:t>
      </w:r>
      <w:proofErr w:type="spellStart"/>
      <w:r w:rsidR="0086486E" w:rsidRPr="006D790D">
        <w:t>sotrovimab</w:t>
      </w:r>
      <w:bookmarkEnd w:id="24"/>
      <w:proofErr w:type="spellEnd"/>
      <w:r w:rsidR="0086486E" w:rsidRPr="006D790D">
        <w:t xml:space="preserve">), </w:t>
      </w:r>
      <w:r w:rsidR="002A5CF8">
        <w:t xml:space="preserve">was </w:t>
      </w:r>
      <w:r w:rsidR="0086486E" w:rsidRPr="006D790D">
        <w:t>provisionally registered on 20 August 2021 for the treatment of adults and adolescents (aged 12 years and over and weighing at least 40</w:t>
      </w:r>
      <w:r w:rsidRPr="006D790D">
        <w:t> </w:t>
      </w:r>
      <w:r w:rsidR="0086486E" w:rsidRPr="006D790D">
        <w:t>kg) with COVID-19 who do not require initiation of oxygen due to COVID-19 and who are at increased risk of progression to hospitalisation or death.</w:t>
      </w:r>
      <w:r w:rsidR="00E0067A" w:rsidRPr="006D790D">
        <w:rPr>
          <w:rStyle w:val="FootnoteReference"/>
        </w:rPr>
        <w:footnoteReference w:id="7"/>
      </w:r>
      <w:r w:rsidR="00E0067A" w:rsidRPr="006D790D">
        <w:t>,</w:t>
      </w:r>
      <w:r w:rsidR="00E0067A" w:rsidRPr="006D790D">
        <w:rPr>
          <w:rStyle w:val="FootnoteReference"/>
        </w:rPr>
        <w:footnoteReference w:id="8"/>
      </w:r>
    </w:p>
    <w:p w14:paraId="414B59A4" w14:textId="7D67F144" w:rsidR="0086486E" w:rsidRPr="006D790D" w:rsidRDefault="0086486E" w:rsidP="0086486E">
      <w:r w:rsidRPr="006D790D">
        <w:t>There are currently four vaccines on the ARTG, and all are approved under the provisional pathway:</w:t>
      </w:r>
    </w:p>
    <w:p w14:paraId="02BAC20C" w14:textId="3F9EDEFE" w:rsidR="0086486E" w:rsidRPr="006D790D" w:rsidRDefault="00EA7099" w:rsidP="0086486E">
      <w:pPr>
        <w:pStyle w:val="ListBullet"/>
      </w:pPr>
      <w:proofErr w:type="spellStart"/>
      <w:r w:rsidRPr="006D790D">
        <w:t>Comirnaty</w:t>
      </w:r>
      <w:proofErr w:type="spellEnd"/>
      <w:r w:rsidRPr="006D790D">
        <w:t xml:space="preserve"> </w:t>
      </w:r>
      <w:r w:rsidR="0086486E" w:rsidRPr="006D790D">
        <w:t xml:space="preserve">(BNT162b2 </w:t>
      </w:r>
      <w:r w:rsidRPr="006D790D">
        <w:t>(</w:t>
      </w:r>
      <w:r w:rsidR="0086486E" w:rsidRPr="006D790D">
        <w:t>mRNA</w:t>
      </w:r>
      <w:r w:rsidRPr="006D790D">
        <w:t>)</w:t>
      </w:r>
      <w:r w:rsidR="002A5CF8">
        <w:t>; also known as</w:t>
      </w:r>
      <w:r w:rsidR="0086486E" w:rsidRPr="006D790D">
        <w:t xml:space="preserve"> the Pfizer/</w:t>
      </w:r>
      <w:proofErr w:type="spellStart"/>
      <w:r w:rsidR="0086486E" w:rsidRPr="006D790D">
        <w:t>BioNTech</w:t>
      </w:r>
      <w:proofErr w:type="spellEnd"/>
      <w:r w:rsidR="0086486E" w:rsidRPr="006D790D">
        <w:t xml:space="preserve"> vaccine</w:t>
      </w:r>
      <w:r w:rsidR="002A5CF8">
        <w:t>)</w:t>
      </w:r>
      <w:r w:rsidR="0086486E" w:rsidRPr="006D790D">
        <w:t>, provisionally approved for active immunisation to prevent COVID-19 caused by SARS</w:t>
      </w:r>
      <w:r w:rsidR="002A5CF8">
        <w:noBreakHyphen/>
      </w:r>
      <w:r w:rsidR="0086486E" w:rsidRPr="006D790D">
        <w:t>CoV-2, in individuals 12</w:t>
      </w:r>
      <w:r w:rsidR="000E3EE1" w:rsidRPr="006D790D">
        <w:t> </w:t>
      </w:r>
      <w:r w:rsidR="0086486E" w:rsidRPr="006D790D">
        <w:t>years of age and older.</w:t>
      </w:r>
      <w:r w:rsidR="00FB3F47" w:rsidRPr="006D790D">
        <w:rPr>
          <w:rStyle w:val="FootnoteReference"/>
        </w:rPr>
        <w:footnoteReference w:id="9"/>
      </w:r>
      <w:r w:rsidR="00FB3F47" w:rsidRPr="006D790D">
        <w:rPr>
          <w:vertAlign w:val="superscript"/>
        </w:rPr>
        <w:t>,</w:t>
      </w:r>
      <w:r w:rsidR="005F61F0" w:rsidRPr="006D790D">
        <w:rPr>
          <w:rStyle w:val="FootnoteReference"/>
        </w:rPr>
        <w:footnoteReference w:id="10"/>
      </w:r>
      <w:r w:rsidR="005F61F0" w:rsidRPr="006D790D">
        <w:rPr>
          <w:vertAlign w:val="superscript"/>
        </w:rPr>
        <w:t>,</w:t>
      </w:r>
      <w:r w:rsidR="005F61F0" w:rsidRPr="006D790D">
        <w:rPr>
          <w:rStyle w:val="FootnoteReference"/>
        </w:rPr>
        <w:footnoteReference w:id="11"/>
      </w:r>
    </w:p>
    <w:p w14:paraId="51B2F530" w14:textId="7236CF5B" w:rsidR="0086486E" w:rsidRPr="006D790D" w:rsidRDefault="0086486E" w:rsidP="0086486E">
      <w:pPr>
        <w:pStyle w:val="ListBullet"/>
      </w:pPr>
      <w:r w:rsidRPr="006D790D">
        <w:t>COVID-19 Vaccine AstraZeneca (ChAdOx1-S), an adenoviral vectored vaccine, provisionally approved for active immunisation of individuals 18</w:t>
      </w:r>
      <w:r w:rsidR="000E3EE1" w:rsidRPr="006D790D">
        <w:t> </w:t>
      </w:r>
      <w:r w:rsidRPr="006D790D">
        <w:t xml:space="preserve">years </w:t>
      </w:r>
      <w:r w:rsidR="000E3EE1" w:rsidRPr="006D790D">
        <w:t xml:space="preserve">of age and </w:t>
      </w:r>
      <w:r w:rsidRPr="006D790D">
        <w:t>old</w:t>
      </w:r>
      <w:r w:rsidR="000E3EE1" w:rsidRPr="006D790D">
        <w:t>er</w:t>
      </w:r>
      <w:r w:rsidRPr="006D790D">
        <w:t xml:space="preserve"> for the prevention of COVID-19 caused by SARS-CoV-2.</w:t>
      </w:r>
      <w:r w:rsidR="00FB3F47" w:rsidRPr="006D790D">
        <w:rPr>
          <w:rStyle w:val="FootnoteReference"/>
        </w:rPr>
        <w:footnoteReference w:id="12"/>
      </w:r>
      <w:r w:rsidR="00FB3F47" w:rsidRPr="006D790D">
        <w:rPr>
          <w:vertAlign w:val="superscript"/>
        </w:rPr>
        <w:t>,</w:t>
      </w:r>
      <w:r w:rsidR="00FB3F47" w:rsidRPr="006D790D">
        <w:rPr>
          <w:rStyle w:val="FootnoteReference"/>
        </w:rPr>
        <w:footnoteReference w:id="13"/>
      </w:r>
    </w:p>
    <w:p w14:paraId="5975206F" w14:textId="79DFB240" w:rsidR="0086486E" w:rsidRPr="006D790D" w:rsidRDefault="0086486E" w:rsidP="0086486E">
      <w:pPr>
        <w:pStyle w:val="ListBullet"/>
      </w:pPr>
      <w:r w:rsidRPr="006D790D">
        <w:lastRenderedPageBreak/>
        <w:t xml:space="preserve">COVID-19 </w:t>
      </w:r>
      <w:r w:rsidR="000E3EE1" w:rsidRPr="006D790D">
        <w:t xml:space="preserve">Vaccine Janssen </w:t>
      </w:r>
      <w:r w:rsidRPr="006D790D">
        <w:t>(Ad26.COV</w:t>
      </w:r>
      <w:proofErr w:type="gramStart"/>
      <w:r w:rsidRPr="006D790D">
        <w:t>2.S</w:t>
      </w:r>
      <w:proofErr w:type="gramEnd"/>
      <w:r w:rsidRPr="006D790D">
        <w:t>), an adenoviral vectored vaccine, provisionally approved for active immunisation to prevent COVID-19 caused by SARS</w:t>
      </w:r>
      <w:r w:rsidR="000E3EE1" w:rsidRPr="006D790D">
        <w:noBreakHyphen/>
      </w:r>
      <w:r w:rsidRPr="006D790D">
        <w:t>CoV</w:t>
      </w:r>
      <w:r w:rsidR="000E3EE1" w:rsidRPr="006D790D">
        <w:noBreakHyphen/>
      </w:r>
      <w:r w:rsidRPr="006D790D">
        <w:t>2 in individuals 18</w:t>
      </w:r>
      <w:r w:rsidR="000E3EE1" w:rsidRPr="006D790D">
        <w:t> </w:t>
      </w:r>
      <w:r w:rsidRPr="006D790D">
        <w:t>years of age and older.</w:t>
      </w:r>
      <w:r w:rsidR="00FB3F47" w:rsidRPr="006D790D">
        <w:rPr>
          <w:rStyle w:val="FootnoteReference"/>
        </w:rPr>
        <w:footnoteReference w:id="14"/>
      </w:r>
      <w:r w:rsidR="00FB3F47" w:rsidRPr="006D790D">
        <w:rPr>
          <w:vertAlign w:val="superscript"/>
        </w:rPr>
        <w:t>,</w:t>
      </w:r>
      <w:r w:rsidR="00FB3F47" w:rsidRPr="006D790D">
        <w:rPr>
          <w:rStyle w:val="FootnoteReference"/>
        </w:rPr>
        <w:footnoteReference w:id="15"/>
      </w:r>
    </w:p>
    <w:p w14:paraId="7D6A25AD" w14:textId="4CDD9BA7" w:rsidR="0086486E" w:rsidRPr="006D790D" w:rsidRDefault="000E3EE1" w:rsidP="0086486E">
      <w:pPr>
        <w:pStyle w:val="ListBullet"/>
      </w:pPr>
      <w:proofErr w:type="spellStart"/>
      <w:r w:rsidRPr="006D790D">
        <w:t>Spikevax</w:t>
      </w:r>
      <w:proofErr w:type="spellEnd"/>
      <w:r w:rsidRPr="006D790D">
        <w:t xml:space="preserve"> </w:t>
      </w:r>
      <w:r w:rsidR="0086486E" w:rsidRPr="006D790D">
        <w:t>(</w:t>
      </w:r>
      <w:proofErr w:type="spellStart"/>
      <w:r w:rsidR="0086486E" w:rsidRPr="006D790D">
        <w:t>elasomeran</w:t>
      </w:r>
      <w:proofErr w:type="spellEnd"/>
      <w:r w:rsidR="002A5CF8">
        <w:t>;</w:t>
      </w:r>
      <w:r w:rsidR="0086486E" w:rsidRPr="006D790D">
        <w:t xml:space="preserve"> </w:t>
      </w:r>
      <w:r w:rsidR="002A5CF8">
        <w:t xml:space="preserve">also known as </w:t>
      </w:r>
      <w:r w:rsidRPr="006D790D">
        <w:t xml:space="preserve">the </w:t>
      </w:r>
      <w:proofErr w:type="spellStart"/>
      <w:r w:rsidR="0086486E" w:rsidRPr="006D790D">
        <w:t>Moderna</w:t>
      </w:r>
      <w:proofErr w:type="spellEnd"/>
      <w:r w:rsidR="0086486E" w:rsidRPr="006D790D">
        <w:t xml:space="preserve"> vaccine</w:t>
      </w:r>
      <w:r w:rsidR="002A5CF8">
        <w:t>)</w:t>
      </w:r>
      <w:r w:rsidRPr="006D790D">
        <w:t>,</w:t>
      </w:r>
      <w:r w:rsidR="0086486E" w:rsidRPr="006D790D">
        <w:t xml:space="preserve"> provisionally approved for active immunisation to prevent COVID-19 caused by SARS-CoV-2 in individuals 12</w:t>
      </w:r>
      <w:r w:rsidRPr="006D790D">
        <w:t> </w:t>
      </w:r>
      <w:r w:rsidR="0086486E" w:rsidRPr="006D790D">
        <w:t>years of age and older.</w:t>
      </w:r>
      <w:r w:rsidR="00FB3F47" w:rsidRPr="006D790D">
        <w:rPr>
          <w:rStyle w:val="FootnoteReference"/>
        </w:rPr>
        <w:footnoteReference w:id="16"/>
      </w:r>
      <w:r w:rsidR="00FB3F47" w:rsidRPr="006D790D">
        <w:t>,</w:t>
      </w:r>
      <w:r w:rsidR="00FB3F47" w:rsidRPr="006D790D">
        <w:rPr>
          <w:rStyle w:val="FootnoteReference"/>
        </w:rPr>
        <w:footnoteReference w:id="17"/>
      </w:r>
      <w:r w:rsidR="00FB3F47" w:rsidRPr="006D790D">
        <w:t>,</w:t>
      </w:r>
      <w:r w:rsidR="00FB3F47" w:rsidRPr="006D790D">
        <w:rPr>
          <w:rStyle w:val="FootnoteReference"/>
        </w:rPr>
        <w:footnoteReference w:id="18"/>
      </w:r>
    </w:p>
    <w:p w14:paraId="2F34340A" w14:textId="6CA9264A" w:rsidR="0086486E" w:rsidRPr="006D790D" w:rsidRDefault="002A5CF8" w:rsidP="0086486E">
      <w:pPr>
        <w:rPr>
          <w:lang w:eastAsia="ja-JP"/>
        </w:rPr>
      </w:pPr>
      <w:r>
        <w:rPr>
          <w:lang w:eastAsia="ja-JP"/>
        </w:rPr>
        <w:t>Despite the provisional approval of these agents, t</w:t>
      </w:r>
      <w:r w:rsidR="0086486E" w:rsidRPr="006D790D">
        <w:rPr>
          <w:lang w:eastAsia="ja-JP"/>
        </w:rPr>
        <w:t>here remains an urgent need for effective therapeutics for COVID</w:t>
      </w:r>
      <w:r w:rsidR="000E3EE1" w:rsidRPr="006D790D">
        <w:rPr>
          <w:lang w:eastAsia="ja-JP"/>
        </w:rPr>
        <w:noBreakHyphen/>
      </w:r>
      <w:r w:rsidR="0086486E" w:rsidRPr="006D790D">
        <w:rPr>
          <w:lang w:eastAsia="ja-JP"/>
        </w:rPr>
        <w:t>19.</w:t>
      </w:r>
    </w:p>
    <w:p w14:paraId="0446051D" w14:textId="3B669311" w:rsidR="000E3EE1" w:rsidRPr="006D790D" w:rsidRDefault="000E3EE1" w:rsidP="000E3EE1">
      <w:proofErr w:type="spellStart"/>
      <w:r w:rsidRPr="006D790D">
        <w:t>Casirivimab</w:t>
      </w:r>
      <w:proofErr w:type="spellEnd"/>
      <w:r w:rsidRPr="006D790D">
        <w:t xml:space="preserve"> immunoglobulin G, subclass 1, kappa light chain (IgG1κ) and </w:t>
      </w:r>
      <w:proofErr w:type="spellStart"/>
      <w:r w:rsidRPr="006D790D">
        <w:t>imdevimab</w:t>
      </w:r>
      <w:proofErr w:type="spellEnd"/>
      <w:r w:rsidRPr="006D790D">
        <w:t xml:space="preserve"> immunoglobulin G, subclass 1, lambda light chain (IgG1λ) are two recombinant human monoclonal antibodies</w:t>
      </w:r>
      <w:r w:rsidR="006C71D8" w:rsidRPr="006D790D">
        <w:t xml:space="preserve"> (</w:t>
      </w:r>
      <w:proofErr w:type="spellStart"/>
      <w:r w:rsidR="006C71D8" w:rsidRPr="006D790D">
        <w:t>mAb</w:t>
      </w:r>
      <w:proofErr w:type="spellEnd"/>
      <w:r w:rsidR="006C71D8" w:rsidRPr="006D790D">
        <w:t>)</w:t>
      </w:r>
      <w:r w:rsidRPr="006D790D">
        <w:t xml:space="preserve"> which are unmodified in the fragment crystallisable (Fc) regions. </w:t>
      </w:r>
      <w:proofErr w:type="spellStart"/>
      <w:r w:rsidRPr="006D790D">
        <w:t>Casirivimab</w:t>
      </w:r>
      <w:proofErr w:type="spellEnd"/>
      <w:r w:rsidRPr="006D790D">
        <w:t xml:space="preserve"> and </w:t>
      </w:r>
      <w:proofErr w:type="spellStart"/>
      <w:r w:rsidRPr="006D790D">
        <w:t>imdevimab</w:t>
      </w:r>
      <w:proofErr w:type="spellEnd"/>
      <w:r w:rsidRPr="006D790D">
        <w:t xml:space="preserve"> bind to non-overlapping epitopes of the spike protein receptor binding domain (RBD) of SARS-CoV-2 with dissociation constant </w:t>
      </w:r>
      <w:r w:rsidR="0014094C" w:rsidRPr="006D790D">
        <w:t>(</w:t>
      </w:r>
      <w:r w:rsidRPr="006D790D">
        <w:t>K</w:t>
      </w:r>
      <w:r w:rsidRPr="006D790D">
        <w:rPr>
          <w:vertAlign w:val="subscript"/>
        </w:rPr>
        <w:t>D</w:t>
      </w:r>
      <w:r w:rsidR="0014094C" w:rsidRPr="006D790D">
        <w:t>)</w:t>
      </w:r>
      <w:r w:rsidRPr="006D790D">
        <w:t xml:space="preserve"> = 45.8</w:t>
      </w:r>
      <w:r w:rsidR="0014094C" w:rsidRPr="006D790D">
        <w:t> </w:t>
      </w:r>
      <w:r w:rsidRPr="006D790D">
        <w:t>picomolar</w:t>
      </w:r>
      <w:r w:rsidRPr="006D790D" w:rsidDel="00376310">
        <w:t xml:space="preserve"> </w:t>
      </w:r>
      <w:r w:rsidRPr="006D790D">
        <w:t>(</w:t>
      </w:r>
      <w:proofErr w:type="spellStart"/>
      <w:r w:rsidRPr="006D790D">
        <w:t>pM</w:t>
      </w:r>
      <w:proofErr w:type="spellEnd"/>
      <w:r w:rsidRPr="006D790D">
        <w:t>) and 46.7</w:t>
      </w:r>
      <w:r w:rsidR="0014094C" w:rsidRPr="006D790D">
        <w:t> </w:t>
      </w:r>
      <w:proofErr w:type="spellStart"/>
      <w:r w:rsidRPr="006D790D">
        <w:t>pM</w:t>
      </w:r>
      <w:proofErr w:type="spellEnd"/>
      <w:r w:rsidRPr="006D790D">
        <w:t xml:space="preserve">, respectively. </w:t>
      </w:r>
      <w:r w:rsidR="002A5CF8">
        <w:t xml:space="preserve">Single agent </w:t>
      </w:r>
      <w:proofErr w:type="spellStart"/>
      <w:r w:rsidR="002A5CF8">
        <w:t>c</w:t>
      </w:r>
      <w:r w:rsidRPr="006D790D">
        <w:t>asirivimab</w:t>
      </w:r>
      <w:proofErr w:type="spellEnd"/>
      <w:r w:rsidR="002A5CF8">
        <w:t xml:space="preserve"> or</w:t>
      </w:r>
      <w:r w:rsidRPr="006D790D">
        <w:t xml:space="preserve"> </w:t>
      </w:r>
      <w:proofErr w:type="spellStart"/>
      <w:r w:rsidRPr="006D790D">
        <w:t>imdevimab</w:t>
      </w:r>
      <w:proofErr w:type="spellEnd"/>
      <w:r w:rsidR="002A5CF8">
        <w:t>; and the combination of both</w:t>
      </w:r>
      <w:r w:rsidR="007E4FE1">
        <w:t xml:space="preserve"> </w:t>
      </w:r>
      <w:proofErr w:type="spellStart"/>
      <w:r w:rsidRPr="006D790D">
        <w:t>casirivimab</w:t>
      </w:r>
      <w:proofErr w:type="spellEnd"/>
      <w:r w:rsidRPr="006D790D">
        <w:t xml:space="preserve"> and </w:t>
      </w:r>
      <w:proofErr w:type="spellStart"/>
      <w:r w:rsidRPr="006D790D">
        <w:t>imdevimab</w:t>
      </w:r>
      <w:proofErr w:type="spellEnd"/>
      <w:r w:rsidRPr="006D790D">
        <w:t xml:space="preserve"> together</w:t>
      </w:r>
      <w:r w:rsidR="002A5CF8">
        <w:t>,</w:t>
      </w:r>
      <w:r w:rsidRPr="006D790D">
        <w:t xml:space="preserve"> blocked RBD binding to the human angiotensin converting enzyme 2 (ACE2) receptor with half maximal inhibitory concentration (IC</w:t>
      </w:r>
      <w:r w:rsidRPr="006D790D">
        <w:rPr>
          <w:vertAlign w:val="subscript"/>
        </w:rPr>
        <w:t>50</w:t>
      </w:r>
      <w:r w:rsidRPr="006D790D">
        <w:t>) values of 56.4</w:t>
      </w:r>
      <w:r w:rsidR="0014094C" w:rsidRPr="006D790D">
        <w:t> </w:t>
      </w:r>
      <w:proofErr w:type="spellStart"/>
      <w:r w:rsidRPr="006D790D">
        <w:t>pM</w:t>
      </w:r>
      <w:proofErr w:type="spellEnd"/>
      <w:r w:rsidRPr="006D790D">
        <w:t>, 165</w:t>
      </w:r>
      <w:r w:rsidR="0014094C" w:rsidRPr="006D790D">
        <w:t> </w:t>
      </w:r>
      <w:proofErr w:type="spellStart"/>
      <w:r w:rsidRPr="006D790D">
        <w:t>pM</w:t>
      </w:r>
      <w:proofErr w:type="spellEnd"/>
      <w:r w:rsidRPr="006D790D">
        <w:t xml:space="preserve"> and 81.8</w:t>
      </w:r>
      <w:r w:rsidR="0014094C" w:rsidRPr="006D790D">
        <w:t> </w:t>
      </w:r>
      <w:proofErr w:type="spellStart"/>
      <w:r w:rsidRPr="006D790D">
        <w:t>pM</w:t>
      </w:r>
      <w:proofErr w:type="spellEnd"/>
      <w:r w:rsidRPr="006D790D">
        <w:t>, respectively.</w:t>
      </w:r>
    </w:p>
    <w:p w14:paraId="22261FE0" w14:textId="54F6E53A" w:rsidR="00AB3EF0" w:rsidRPr="006D790D" w:rsidRDefault="00AB3EF0" w:rsidP="00666C97">
      <w:r w:rsidRPr="006D790D">
        <w:t>The TGA continues to collaborate with international regulators for COVID-19 applications where possible, including information sharing through the ACCESS consortium.</w:t>
      </w:r>
      <w:r w:rsidR="00666C97" w:rsidRPr="006D790D">
        <w:rPr>
          <w:rStyle w:val="FootnoteReference"/>
        </w:rPr>
        <w:footnoteReference w:id="19"/>
      </w:r>
    </w:p>
    <w:p w14:paraId="09BFBE65" w14:textId="77777777" w:rsidR="008E7846" w:rsidRPr="006D790D" w:rsidRDefault="00386150" w:rsidP="008E7846">
      <w:pPr>
        <w:pStyle w:val="Heading3"/>
      </w:pPr>
      <w:bookmarkStart w:id="25" w:name="_Toc314842485"/>
      <w:bookmarkStart w:id="26" w:name="_Toc247691504"/>
      <w:bookmarkStart w:id="27" w:name="_Toc86748264"/>
      <w:r w:rsidRPr="00E04628">
        <w:t>Regulatory s</w:t>
      </w:r>
      <w:r w:rsidR="008E7846" w:rsidRPr="00E04628">
        <w:t>tatus</w:t>
      </w:r>
      <w:bookmarkEnd w:id="25"/>
      <w:bookmarkEnd w:id="26"/>
      <w:bookmarkEnd w:id="27"/>
    </w:p>
    <w:p w14:paraId="1BF7D247" w14:textId="7DA84B9C" w:rsidR="00940A89" w:rsidRPr="006D790D" w:rsidRDefault="00006FAB" w:rsidP="00940A89">
      <w:bookmarkStart w:id="28" w:name="_Toc247691505"/>
      <w:bookmarkStart w:id="29" w:name="_Toc314842486"/>
      <w:r w:rsidRPr="006D790D">
        <w:t>This product is considered a new biological entity for Australian regulatory purposes.</w:t>
      </w:r>
    </w:p>
    <w:p w14:paraId="67354E18" w14:textId="430C3AD0" w:rsidR="00006FAB" w:rsidRPr="006D790D" w:rsidRDefault="00006FAB" w:rsidP="00006FAB">
      <w:r w:rsidRPr="006D790D">
        <w:t>At the time the TGA considered this application, similar application</w:t>
      </w:r>
      <w:r w:rsidR="00E04628">
        <w:t>s</w:t>
      </w:r>
      <w:r w:rsidRPr="006D790D">
        <w:t xml:space="preserve"> had been approved in </w:t>
      </w:r>
      <w:r w:rsidR="0086486E" w:rsidRPr="006D790D">
        <w:t>the United Kingdom</w:t>
      </w:r>
      <w:r w:rsidR="0014094C" w:rsidRPr="006D790D">
        <w:t xml:space="preserve"> (UK)</w:t>
      </w:r>
      <w:r w:rsidR="0086486E" w:rsidRPr="006D790D">
        <w:t xml:space="preserve"> on 19 August 2021</w:t>
      </w:r>
      <w:r w:rsidR="00370E16">
        <w:t>;</w:t>
      </w:r>
      <w:r w:rsidR="0086486E" w:rsidRPr="006D790D">
        <w:t xml:space="preserve"> and Japan </w:t>
      </w:r>
      <w:r w:rsidR="0086486E" w:rsidRPr="007E4FE1">
        <w:rPr>
          <w:color w:val="000000" w:themeColor="text1"/>
        </w:rPr>
        <w:t xml:space="preserve">on </w:t>
      </w:r>
      <w:r w:rsidR="00E04628" w:rsidRPr="007E4FE1">
        <w:rPr>
          <w:color w:val="000000" w:themeColor="text1"/>
        </w:rPr>
        <w:t>19 July</w:t>
      </w:r>
      <w:r w:rsidR="0034615E" w:rsidRPr="007E4FE1">
        <w:rPr>
          <w:color w:val="000000" w:themeColor="text1"/>
        </w:rPr>
        <w:t xml:space="preserve"> </w:t>
      </w:r>
      <w:r w:rsidR="0034615E" w:rsidRPr="006D790D">
        <w:t xml:space="preserve">2021. Similar applications were </w:t>
      </w:r>
      <w:r w:rsidR="00370E16">
        <w:t xml:space="preserve">also </w:t>
      </w:r>
      <w:r w:rsidRPr="006D790D">
        <w:t xml:space="preserve">under consideration in </w:t>
      </w:r>
      <w:r w:rsidR="0034615E" w:rsidRPr="006D790D">
        <w:t>the United States</w:t>
      </w:r>
      <w:r w:rsidR="0014094C" w:rsidRPr="006D790D">
        <w:t xml:space="preserve"> </w:t>
      </w:r>
      <w:r w:rsidR="00A64D46">
        <w:t xml:space="preserve">of America </w:t>
      </w:r>
      <w:r w:rsidR="0014094C" w:rsidRPr="006D790D">
        <w:t>(US</w:t>
      </w:r>
      <w:r w:rsidR="00A64D46">
        <w:t>A</w:t>
      </w:r>
      <w:r w:rsidR="0014094C" w:rsidRPr="006D790D">
        <w:t>)</w:t>
      </w:r>
      <w:r w:rsidR="00370E16">
        <w:t>,</w:t>
      </w:r>
      <w:r w:rsidR="0034615E" w:rsidRPr="006D790D">
        <w:t xml:space="preserve"> submitted on 27 May 2021</w:t>
      </w:r>
      <w:r w:rsidR="00370E16">
        <w:t>;</w:t>
      </w:r>
      <w:r w:rsidR="0034615E" w:rsidRPr="006D790D">
        <w:t xml:space="preserve"> the European Union</w:t>
      </w:r>
      <w:r w:rsidR="0014094C" w:rsidRPr="006D790D">
        <w:t xml:space="preserve"> (EU)</w:t>
      </w:r>
      <w:r w:rsidR="00370E16">
        <w:t xml:space="preserve">, </w:t>
      </w:r>
      <w:r w:rsidR="0034615E" w:rsidRPr="006D790D">
        <w:t>submitted on 29 January 2021</w:t>
      </w:r>
      <w:r w:rsidR="00370E16">
        <w:t>;</w:t>
      </w:r>
      <w:r w:rsidR="0034615E" w:rsidRPr="006D790D">
        <w:t xml:space="preserve"> and Switzerland</w:t>
      </w:r>
      <w:r w:rsidR="00370E16">
        <w:t xml:space="preserve">, </w:t>
      </w:r>
      <w:r w:rsidR="0034615E" w:rsidRPr="006D790D">
        <w:t xml:space="preserve">submitted </w:t>
      </w:r>
      <w:r w:rsidR="00B8548B" w:rsidRPr="006D790D">
        <w:t xml:space="preserve">on </w:t>
      </w:r>
      <w:r w:rsidR="0034615E" w:rsidRPr="006D790D">
        <w:t>4 March 2021</w:t>
      </w:r>
      <w:r w:rsidRPr="006D790D">
        <w:t>.</w:t>
      </w:r>
    </w:p>
    <w:p w14:paraId="798E640E" w14:textId="49AB1219" w:rsidR="00324E45" w:rsidRPr="006D790D" w:rsidRDefault="00324E45" w:rsidP="00A64D46">
      <w:pPr>
        <w:pStyle w:val="TableTitle"/>
      </w:pPr>
      <w:r w:rsidRPr="006D790D">
        <w:t xml:space="preserve">Table </w:t>
      </w:r>
      <w:fldSimple w:instr=" SEQ Table \* ARABIC ">
        <w:r w:rsidR="007F1879">
          <w:rPr>
            <w:noProof/>
          </w:rPr>
          <w:t>1</w:t>
        </w:r>
      </w:fldSimple>
      <w:r w:rsidRPr="006D790D">
        <w:t>: International regulatory status</w:t>
      </w:r>
    </w:p>
    <w:tbl>
      <w:tblPr>
        <w:tblStyle w:val="TableTGAblue"/>
        <w:tblW w:w="0" w:type="auto"/>
        <w:tblLook w:val="04A0" w:firstRow="1" w:lastRow="0" w:firstColumn="1" w:lastColumn="0" w:noHBand="0" w:noVBand="1"/>
      </w:tblPr>
      <w:tblGrid>
        <w:gridCol w:w="2100"/>
        <w:gridCol w:w="2131"/>
        <w:gridCol w:w="2143"/>
        <w:gridCol w:w="2120"/>
      </w:tblGrid>
      <w:tr w:rsidR="00006FAB" w:rsidRPr="006D790D" w14:paraId="3F59B723" w14:textId="77777777" w:rsidTr="00CF5DAD">
        <w:trPr>
          <w:cnfStyle w:val="100000000000" w:firstRow="1" w:lastRow="0" w:firstColumn="0" w:lastColumn="0" w:oddVBand="0" w:evenVBand="0" w:oddHBand="0" w:evenHBand="0" w:firstRowFirstColumn="0" w:firstRowLastColumn="0" w:lastRowFirstColumn="0" w:lastRowLastColumn="0"/>
        </w:trPr>
        <w:tc>
          <w:tcPr>
            <w:tcW w:w="2180" w:type="dxa"/>
            <w:tcBorders>
              <w:top w:val="single" w:sz="4" w:space="0" w:color="auto"/>
              <w:left w:val="single" w:sz="4" w:space="0" w:color="auto"/>
              <w:bottom w:val="single" w:sz="4" w:space="0" w:color="auto"/>
              <w:right w:val="single" w:sz="4" w:space="0" w:color="auto"/>
            </w:tcBorders>
          </w:tcPr>
          <w:p w14:paraId="66A15815" w14:textId="77777777" w:rsidR="00006FAB" w:rsidRPr="006D790D" w:rsidRDefault="00006FAB" w:rsidP="009C02F2">
            <w:pPr>
              <w:ind w:left="0" w:right="0"/>
            </w:pPr>
            <w:r w:rsidRPr="006D790D">
              <w:t>Region</w:t>
            </w:r>
          </w:p>
        </w:tc>
        <w:tc>
          <w:tcPr>
            <w:tcW w:w="2180" w:type="dxa"/>
            <w:tcBorders>
              <w:top w:val="single" w:sz="4" w:space="0" w:color="auto"/>
              <w:left w:val="single" w:sz="4" w:space="0" w:color="auto"/>
              <w:bottom w:val="single" w:sz="4" w:space="0" w:color="auto"/>
              <w:right w:val="single" w:sz="4" w:space="0" w:color="auto"/>
            </w:tcBorders>
          </w:tcPr>
          <w:p w14:paraId="56BD1D3B" w14:textId="77777777" w:rsidR="00006FAB" w:rsidRPr="006D790D" w:rsidRDefault="00006FAB" w:rsidP="00D65251">
            <w:pPr>
              <w:ind w:left="0" w:right="0"/>
            </w:pPr>
            <w:r w:rsidRPr="006D790D">
              <w:t>Submission date</w:t>
            </w:r>
          </w:p>
        </w:tc>
        <w:tc>
          <w:tcPr>
            <w:tcW w:w="2180" w:type="dxa"/>
            <w:tcBorders>
              <w:top w:val="single" w:sz="4" w:space="0" w:color="auto"/>
              <w:left w:val="single" w:sz="4" w:space="0" w:color="auto"/>
              <w:bottom w:val="single" w:sz="4" w:space="0" w:color="auto"/>
              <w:right w:val="single" w:sz="4" w:space="0" w:color="auto"/>
            </w:tcBorders>
          </w:tcPr>
          <w:p w14:paraId="30174716" w14:textId="77777777" w:rsidR="00006FAB" w:rsidRPr="006D790D" w:rsidRDefault="00006FAB" w:rsidP="00825B6E">
            <w:pPr>
              <w:ind w:left="0" w:right="0"/>
            </w:pPr>
            <w:r w:rsidRPr="006D790D">
              <w:t>Status</w:t>
            </w:r>
          </w:p>
        </w:tc>
        <w:tc>
          <w:tcPr>
            <w:tcW w:w="2180" w:type="dxa"/>
            <w:tcBorders>
              <w:top w:val="single" w:sz="4" w:space="0" w:color="auto"/>
              <w:left w:val="single" w:sz="4" w:space="0" w:color="auto"/>
              <w:bottom w:val="single" w:sz="4" w:space="0" w:color="auto"/>
              <w:right w:val="single" w:sz="4" w:space="0" w:color="auto"/>
            </w:tcBorders>
          </w:tcPr>
          <w:p w14:paraId="080EEAFE" w14:textId="77777777" w:rsidR="00006FAB" w:rsidRPr="006D790D" w:rsidRDefault="00006FAB" w:rsidP="00B761D8">
            <w:pPr>
              <w:ind w:left="0" w:right="0"/>
            </w:pPr>
            <w:r w:rsidRPr="006D790D">
              <w:t>Approved indications</w:t>
            </w:r>
          </w:p>
        </w:tc>
      </w:tr>
      <w:tr w:rsidR="00006FAB" w:rsidRPr="006D790D" w14:paraId="4FD8E4C8" w14:textId="77777777" w:rsidTr="00CF5DAD">
        <w:tc>
          <w:tcPr>
            <w:tcW w:w="2180" w:type="dxa"/>
            <w:tcBorders>
              <w:top w:val="single" w:sz="4" w:space="0" w:color="auto"/>
            </w:tcBorders>
          </w:tcPr>
          <w:p w14:paraId="6FD3A1A3" w14:textId="689DECA1" w:rsidR="00006FAB" w:rsidRPr="006D790D" w:rsidRDefault="0086486E" w:rsidP="00A7527B">
            <w:pPr>
              <w:keepNext/>
              <w:ind w:left="0" w:right="0"/>
            </w:pPr>
            <w:r w:rsidRPr="006D790D">
              <w:t>United States</w:t>
            </w:r>
            <w:r w:rsidR="00370E16">
              <w:t xml:space="preserve"> of America</w:t>
            </w:r>
          </w:p>
        </w:tc>
        <w:tc>
          <w:tcPr>
            <w:tcW w:w="2180" w:type="dxa"/>
            <w:tcBorders>
              <w:top w:val="single" w:sz="4" w:space="0" w:color="auto"/>
            </w:tcBorders>
          </w:tcPr>
          <w:p w14:paraId="24ECE7F2" w14:textId="26097FD9" w:rsidR="00006FAB" w:rsidRPr="006D790D" w:rsidRDefault="0086486E" w:rsidP="00A7527B">
            <w:pPr>
              <w:keepNext/>
              <w:ind w:left="0" w:right="0"/>
            </w:pPr>
            <w:r w:rsidRPr="006D790D">
              <w:t>27</w:t>
            </w:r>
            <w:r w:rsidR="0034615E" w:rsidRPr="006D790D">
              <w:t> </w:t>
            </w:r>
            <w:r w:rsidRPr="006D790D">
              <w:t>May</w:t>
            </w:r>
            <w:r w:rsidR="0034615E" w:rsidRPr="006D790D">
              <w:t> </w:t>
            </w:r>
            <w:r w:rsidRPr="006D790D">
              <w:t>2021</w:t>
            </w:r>
          </w:p>
        </w:tc>
        <w:tc>
          <w:tcPr>
            <w:tcW w:w="2180" w:type="dxa"/>
            <w:tcBorders>
              <w:top w:val="single" w:sz="4" w:space="0" w:color="auto"/>
            </w:tcBorders>
          </w:tcPr>
          <w:p w14:paraId="2F8B00F6" w14:textId="30082FE4" w:rsidR="00006FAB" w:rsidRPr="006D790D" w:rsidRDefault="0086486E" w:rsidP="00A7527B">
            <w:pPr>
              <w:keepNext/>
              <w:ind w:left="0" w:right="0"/>
            </w:pPr>
            <w:r w:rsidRPr="006D790D">
              <w:t>Under consideration</w:t>
            </w:r>
          </w:p>
        </w:tc>
        <w:tc>
          <w:tcPr>
            <w:tcW w:w="2180" w:type="dxa"/>
            <w:tcBorders>
              <w:top w:val="single" w:sz="4" w:space="0" w:color="auto"/>
            </w:tcBorders>
          </w:tcPr>
          <w:p w14:paraId="02B0B33D" w14:textId="1B546948" w:rsidR="00006FAB" w:rsidRPr="006D790D" w:rsidRDefault="0086486E" w:rsidP="00A7527B">
            <w:pPr>
              <w:keepNext/>
              <w:ind w:left="0" w:right="0"/>
            </w:pPr>
            <w:r w:rsidRPr="006D790D">
              <w:t>Under consideration</w:t>
            </w:r>
          </w:p>
        </w:tc>
      </w:tr>
      <w:tr w:rsidR="00006FAB" w:rsidRPr="006D790D" w14:paraId="67B1627B" w14:textId="77777777" w:rsidTr="00006FAB">
        <w:tc>
          <w:tcPr>
            <w:tcW w:w="2180" w:type="dxa"/>
          </w:tcPr>
          <w:p w14:paraId="4ECD9A49" w14:textId="70A6E767" w:rsidR="00006FAB" w:rsidRPr="006D790D" w:rsidRDefault="0086486E" w:rsidP="0086486E">
            <w:pPr>
              <w:ind w:left="0"/>
            </w:pPr>
            <w:r w:rsidRPr="006D790D">
              <w:t>European Union</w:t>
            </w:r>
          </w:p>
        </w:tc>
        <w:tc>
          <w:tcPr>
            <w:tcW w:w="2180" w:type="dxa"/>
          </w:tcPr>
          <w:p w14:paraId="40A4B3E4" w14:textId="747601DB" w:rsidR="00006FAB" w:rsidRPr="006D790D" w:rsidRDefault="0086486E" w:rsidP="00006FAB">
            <w:pPr>
              <w:ind w:left="0" w:right="0"/>
            </w:pPr>
            <w:r w:rsidRPr="006D790D">
              <w:t>29</w:t>
            </w:r>
            <w:r w:rsidR="0034615E" w:rsidRPr="006D790D">
              <w:t> </w:t>
            </w:r>
            <w:r w:rsidRPr="006D790D">
              <w:t>January</w:t>
            </w:r>
            <w:r w:rsidR="0034615E" w:rsidRPr="006D790D">
              <w:t> </w:t>
            </w:r>
            <w:r w:rsidRPr="006D790D">
              <w:t>2021</w:t>
            </w:r>
          </w:p>
        </w:tc>
        <w:tc>
          <w:tcPr>
            <w:tcW w:w="2180" w:type="dxa"/>
          </w:tcPr>
          <w:p w14:paraId="099615B6" w14:textId="77777777" w:rsidR="00006FAB" w:rsidRPr="006D790D" w:rsidRDefault="00006FAB" w:rsidP="00006FAB">
            <w:pPr>
              <w:ind w:left="0" w:right="0"/>
            </w:pPr>
            <w:r w:rsidRPr="006D790D">
              <w:t>Under consideration</w:t>
            </w:r>
          </w:p>
        </w:tc>
        <w:tc>
          <w:tcPr>
            <w:tcW w:w="2180" w:type="dxa"/>
          </w:tcPr>
          <w:p w14:paraId="5DCB9F76" w14:textId="77777777" w:rsidR="00006FAB" w:rsidRPr="006D790D" w:rsidRDefault="00006FAB" w:rsidP="00006FAB">
            <w:pPr>
              <w:ind w:left="0" w:right="0"/>
            </w:pPr>
            <w:r w:rsidRPr="006D790D">
              <w:t>Under consideration</w:t>
            </w:r>
          </w:p>
        </w:tc>
      </w:tr>
      <w:tr w:rsidR="0086486E" w:rsidRPr="006D790D" w14:paraId="7B1C06DD" w14:textId="77777777" w:rsidTr="00006FAB">
        <w:tc>
          <w:tcPr>
            <w:tcW w:w="2180" w:type="dxa"/>
          </w:tcPr>
          <w:p w14:paraId="132C8D7E" w14:textId="12812214" w:rsidR="0086486E" w:rsidRPr="006D790D" w:rsidRDefault="0086486E" w:rsidP="0086486E">
            <w:pPr>
              <w:ind w:left="0"/>
            </w:pPr>
            <w:r w:rsidRPr="006D790D">
              <w:lastRenderedPageBreak/>
              <w:t>United Kingdom</w:t>
            </w:r>
          </w:p>
        </w:tc>
        <w:tc>
          <w:tcPr>
            <w:tcW w:w="2180" w:type="dxa"/>
          </w:tcPr>
          <w:p w14:paraId="2F3CC3E9" w14:textId="093D4D05" w:rsidR="00E04628" w:rsidRPr="006D790D" w:rsidRDefault="0086486E" w:rsidP="004E3C0E">
            <w:pPr>
              <w:ind w:left="0"/>
            </w:pPr>
            <w:r w:rsidRPr="006D790D">
              <w:t>5 February 2021</w:t>
            </w:r>
          </w:p>
        </w:tc>
        <w:tc>
          <w:tcPr>
            <w:tcW w:w="2180" w:type="dxa"/>
          </w:tcPr>
          <w:p w14:paraId="493490C5" w14:textId="46E94DD3" w:rsidR="0086486E" w:rsidRPr="006D790D" w:rsidRDefault="00666C97" w:rsidP="00666C97">
            <w:pPr>
              <w:ind w:left="0"/>
            </w:pPr>
            <w:r w:rsidRPr="006D790D">
              <w:t>Conditional approval granted</w:t>
            </w:r>
            <w:r w:rsidR="0086486E" w:rsidRPr="006D790D">
              <w:t xml:space="preserve"> on 19</w:t>
            </w:r>
            <w:r w:rsidRPr="006D790D">
              <w:t> </w:t>
            </w:r>
            <w:r w:rsidR="0086486E" w:rsidRPr="006D790D">
              <w:t>August</w:t>
            </w:r>
            <w:r w:rsidRPr="006D790D">
              <w:t> </w:t>
            </w:r>
            <w:r w:rsidR="0086486E" w:rsidRPr="006D790D">
              <w:t>2021</w:t>
            </w:r>
          </w:p>
        </w:tc>
        <w:tc>
          <w:tcPr>
            <w:tcW w:w="2180" w:type="dxa"/>
          </w:tcPr>
          <w:p w14:paraId="00A2A837" w14:textId="7F61DBC7" w:rsidR="0034615E" w:rsidRPr="00A7527B" w:rsidRDefault="0086486E" w:rsidP="0086486E">
            <w:pPr>
              <w:ind w:left="0"/>
              <w:rPr>
                <w:i/>
              </w:rPr>
            </w:pPr>
            <w:proofErr w:type="spellStart"/>
            <w:r w:rsidRPr="00A7527B">
              <w:rPr>
                <w:i/>
              </w:rPr>
              <w:t>Ronapreve</w:t>
            </w:r>
            <w:proofErr w:type="spellEnd"/>
            <w:r w:rsidRPr="00A7527B">
              <w:rPr>
                <w:i/>
              </w:rPr>
              <w:t xml:space="preserve"> is indicated for the prophylaxis and treatment of acute Covid-19 infection.</w:t>
            </w:r>
          </w:p>
        </w:tc>
      </w:tr>
      <w:tr w:rsidR="0086486E" w:rsidRPr="006D790D" w14:paraId="1E51631E" w14:textId="77777777" w:rsidTr="00006FAB">
        <w:tc>
          <w:tcPr>
            <w:tcW w:w="2180" w:type="dxa"/>
          </w:tcPr>
          <w:p w14:paraId="26708EB2" w14:textId="0CB5FB19" w:rsidR="0086486E" w:rsidRPr="006D790D" w:rsidRDefault="0086486E" w:rsidP="0086486E">
            <w:pPr>
              <w:ind w:left="0"/>
            </w:pPr>
            <w:r w:rsidRPr="006D790D">
              <w:t>Switzerland</w:t>
            </w:r>
          </w:p>
        </w:tc>
        <w:tc>
          <w:tcPr>
            <w:tcW w:w="2180" w:type="dxa"/>
          </w:tcPr>
          <w:p w14:paraId="471F16F5" w14:textId="1C178111" w:rsidR="0086486E" w:rsidRPr="006D790D" w:rsidRDefault="0086486E" w:rsidP="0086486E">
            <w:pPr>
              <w:ind w:left="0"/>
            </w:pPr>
            <w:r w:rsidRPr="006D790D">
              <w:t>4 March 2021</w:t>
            </w:r>
          </w:p>
        </w:tc>
        <w:tc>
          <w:tcPr>
            <w:tcW w:w="2180" w:type="dxa"/>
          </w:tcPr>
          <w:p w14:paraId="0EC09C1C" w14:textId="44AEA9FC" w:rsidR="0086486E" w:rsidRPr="006D790D" w:rsidRDefault="0086486E" w:rsidP="0086486E">
            <w:pPr>
              <w:ind w:left="0"/>
            </w:pPr>
            <w:r w:rsidRPr="006D790D">
              <w:t>Under consideration</w:t>
            </w:r>
          </w:p>
        </w:tc>
        <w:tc>
          <w:tcPr>
            <w:tcW w:w="2180" w:type="dxa"/>
          </w:tcPr>
          <w:p w14:paraId="0E318F41" w14:textId="1C47EF6F" w:rsidR="0086486E" w:rsidRPr="006D790D" w:rsidRDefault="0086486E" w:rsidP="0086486E">
            <w:pPr>
              <w:ind w:left="0"/>
            </w:pPr>
            <w:r w:rsidRPr="006D790D">
              <w:t>Under consideration</w:t>
            </w:r>
          </w:p>
        </w:tc>
      </w:tr>
      <w:tr w:rsidR="0086486E" w:rsidRPr="006D790D" w14:paraId="5DF3F681" w14:textId="77777777" w:rsidTr="00006FAB">
        <w:tc>
          <w:tcPr>
            <w:tcW w:w="2180" w:type="dxa"/>
          </w:tcPr>
          <w:p w14:paraId="7E055614" w14:textId="56DB01AF" w:rsidR="0086486E" w:rsidRPr="006D790D" w:rsidRDefault="0086486E" w:rsidP="0086486E">
            <w:pPr>
              <w:ind w:left="0"/>
            </w:pPr>
            <w:r w:rsidRPr="006D790D">
              <w:t>Japan</w:t>
            </w:r>
          </w:p>
        </w:tc>
        <w:tc>
          <w:tcPr>
            <w:tcW w:w="2180" w:type="dxa"/>
          </w:tcPr>
          <w:p w14:paraId="2DC42737" w14:textId="09366AD7" w:rsidR="0086486E" w:rsidRPr="00A7527B" w:rsidRDefault="00721037" w:rsidP="0086486E">
            <w:pPr>
              <w:ind w:left="0"/>
              <w:rPr>
                <w:color w:val="000000"/>
              </w:rPr>
            </w:pPr>
            <w:r w:rsidRPr="00A7527B">
              <w:rPr>
                <w:color w:val="000000"/>
              </w:rPr>
              <w:t>29 June</w:t>
            </w:r>
            <w:r w:rsidR="0086486E" w:rsidRPr="00A7527B">
              <w:rPr>
                <w:color w:val="000000"/>
              </w:rPr>
              <w:t xml:space="preserve"> 2021</w:t>
            </w:r>
          </w:p>
        </w:tc>
        <w:tc>
          <w:tcPr>
            <w:tcW w:w="2180" w:type="dxa"/>
          </w:tcPr>
          <w:p w14:paraId="59213CD3" w14:textId="223EE28C" w:rsidR="0086486E" w:rsidRPr="006D790D" w:rsidRDefault="0086486E" w:rsidP="0086486E">
            <w:pPr>
              <w:ind w:left="0"/>
            </w:pPr>
            <w:r w:rsidRPr="006D790D">
              <w:t>Approved on 19</w:t>
            </w:r>
            <w:r w:rsidR="00666C97" w:rsidRPr="006D790D">
              <w:t> </w:t>
            </w:r>
            <w:r w:rsidRPr="006D790D">
              <w:t>July</w:t>
            </w:r>
            <w:r w:rsidR="00666C97" w:rsidRPr="006D790D">
              <w:t> </w:t>
            </w:r>
            <w:r w:rsidRPr="006D790D">
              <w:t>2021</w:t>
            </w:r>
          </w:p>
        </w:tc>
        <w:tc>
          <w:tcPr>
            <w:tcW w:w="2180" w:type="dxa"/>
          </w:tcPr>
          <w:p w14:paraId="6B274E4E" w14:textId="7E32A1E0" w:rsidR="0034615E" w:rsidRPr="00A7527B" w:rsidRDefault="0086486E" w:rsidP="0086486E">
            <w:pPr>
              <w:ind w:left="0"/>
              <w:rPr>
                <w:i/>
              </w:rPr>
            </w:pPr>
            <w:r w:rsidRPr="00A7527B">
              <w:rPr>
                <w:i/>
              </w:rPr>
              <w:t>SARS-CoV-2 infection</w:t>
            </w:r>
          </w:p>
        </w:tc>
      </w:tr>
    </w:tbl>
    <w:p w14:paraId="1B1C091D" w14:textId="77777777" w:rsidR="008E7846" w:rsidRPr="006D790D" w:rsidRDefault="008E7846" w:rsidP="00940A89">
      <w:pPr>
        <w:pStyle w:val="Heading3"/>
      </w:pPr>
      <w:bookmarkStart w:id="30" w:name="_Toc86748265"/>
      <w:r w:rsidRPr="00E04628">
        <w:t>Product Information</w:t>
      </w:r>
      <w:bookmarkEnd w:id="28"/>
      <w:bookmarkEnd w:id="29"/>
      <w:bookmarkEnd w:id="30"/>
    </w:p>
    <w:p w14:paraId="1D965DC0" w14:textId="42E215F5" w:rsidR="00940A89" w:rsidRPr="006D790D" w:rsidRDefault="006136D7" w:rsidP="00940A89">
      <w:bookmarkStart w:id="31" w:name="_Toc247691506"/>
      <w:bookmarkStart w:id="32" w:name="_Toc314842487"/>
      <w:r w:rsidRPr="006D790D">
        <w:t xml:space="preserve">The Product Information (PI) approved with the submission which is described in this </w:t>
      </w:r>
      <w:proofErr w:type="spellStart"/>
      <w:r w:rsidRPr="006D790D">
        <w:t>AusPAR</w:t>
      </w:r>
      <w:proofErr w:type="spellEnd"/>
      <w:r w:rsidRPr="006D790D">
        <w:t xml:space="preserve"> can be found as Attachment 1. For the most recent PI, please refer to the TGA website at </w:t>
      </w:r>
      <w:r w:rsidR="00441C3F" w:rsidRPr="006D790D">
        <w:t>&lt;</w:t>
      </w:r>
      <w:hyperlink r:id="rId16" w:history="1">
        <w:r w:rsidR="00441C3F" w:rsidRPr="006D790D">
          <w:rPr>
            <w:rStyle w:val="Hyperlink"/>
          </w:rPr>
          <w:t>https://www.tga.gov.au/product-information-pi</w:t>
        </w:r>
      </w:hyperlink>
      <w:r w:rsidR="00441C3F" w:rsidRPr="006D790D">
        <w:t>&gt;</w:t>
      </w:r>
      <w:r w:rsidR="00940A89" w:rsidRPr="006D790D">
        <w:t>.</w:t>
      </w:r>
    </w:p>
    <w:p w14:paraId="45A8B0A4" w14:textId="77777777" w:rsidR="00500337" w:rsidRPr="006D790D" w:rsidRDefault="00500337" w:rsidP="00500337">
      <w:pPr>
        <w:pStyle w:val="Heading2"/>
      </w:pPr>
      <w:bookmarkStart w:id="33" w:name="_Toc504480011"/>
      <w:bookmarkStart w:id="34" w:name="_Toc86748266"/>
      <w:r w:rsidRPr="00E04628">
        <w:t>II. Registration timeline</w:t>
      </w:r>
      <w:bookmarkEnd w:id="33"/>
      <w:bookmarkEnd w:id="34"/>
    </w:p>
    <w:p w14:paraId="738D6B20" w14:textId="0FCB872C" w:rsidR="00500337" w:rsidRPr="006D790D" w:rsidRDefault="00500337" w:rsidP="00500337">
      <w:r w:rsidRPr="006D790D">
        <w:t xml:space="preserve">The following table captures the key steps and dates for this </w:t>
      </w:r>
      <w:proofErr w:type="gramStart"/>
      <w:r w:rsidRPr="006D790D">
        <w:t>application</w:t>
      </w:r>
      <w:proofErr w:type="gramEnd"/>
      <w:r w:rsidRPr="006D790D">
        <w:t xml:space="preserve"> and which are detailed and discussed in this </w:t>
      </w:r>
      <w:proofErr w:type="spellStart"/>
      <w:r w:rsidRPr="006D790D">
        <w:t>AusPAR</w:t>
      </w:r>
      <w:proofErr w:type="spellEnd"/>
      <w:r w:rsidRPr="006D790D">
        <w:t>.</w:t>
      </w:r>
    </w:p>
    <w:p w14:paraId="305BE2CF" w14:textId="26FFC053" w:rsidR="00347A2F" w:rsidRPr="006D790D" w:rsidRDefault="00347A2F" w:rsidP="00347A2F">
      <w:r w:rsidRPr="006D790D">
        <w:t xml:space="preserve">Data was provided as a rolling submission. Under normal circumstances, </w:t>
      </w:r>
      <w:r w:rsidR="00A64D46">
        <w:t xml:space="preserve">the </w:t>
      </w:r>
      <w:r w:rsidRPr="006D790D">
        <w:t>TGA's assessment (for both provisional and general registration) begins once all information to support registration is available. As part of the Department of Health's response to the pandemic, the TGA has agreed to accept rolling data for COVID-19 vaccines, to enable early evaluation of data as it comes to hand.</w:t>
      </w:r>
    </w:p>
    <w:p w14:paraId="0BF596F5" w14:textId="2FCE3A9C" w:rsidR="006A58A8" w:rsidRPr="006D790D" w:rsidRDefault="00B8548B" w:rsidP="00B8548B">
      <w:pPr>
        <w:pStyle w:val="TableTitle"/>
      </w:pPr>
      <w:r w:rsidRPr="006D790D">
        <w:t xml:space="preserve">Table </w:t>
      </w:r>
      <w:fldSimple w:instr=" SEQ Table \* ARABIC ">
        <w:r w:rsidR="007F1879">
          <w:rPr>
            <w:noProof/>
          </w:rPr>
          <w:t>2</w:t>
        </w:r>
      </w:fldSimple>
      <w:r w:rsidR="00006FAB" w:rsidRPr="006D790D">
        <w:t>:</w:t>
      </w:r>
      <w:r w:rsidR="006A58A8" w:rsidRPr="006D790D">
        <w:t xml:space="preserve"> Timeline for Submission </w:t>
      </w:r>
      <w:r w:rsidR="00873F42" w:rsidRPr="006D790D">
        <w:t>PM-2021-03952-1-2</w:t>
      </w:r>
    </w:p>
    <w:tbl>
      <w:tblPr>
        <w:tblStyle w:val="TableTGAblue"/>
        <w:tblW w:w="0" w:type="auto"/>
        <w:tblLook w:val="04A0" w:firstRow="1" w:lastRow="0" w:firstColumn="1" w:lastColumn="0" w:noHBand="0" w:noVBand="1"/>
      </w:tblPr>
      <w:tblGrid>
        <w:gridCol w:w="6232"/>
        <w:gridCol w:w="2262"/>
      </w:tblGrid>
      <w:tr w:rsidR="00500337" w:rsidRPr="006D790D" w14:paraId="0A00E36D" w14:textId="77777777" w:rsidTr="004E3C0E">
        <w:trPr>
          <w:cnfStyle w:val="100000000000" w:firstRow="1" w:lastRow="0" w:firstColumn="0" w:lastColumn="0" w:oddVBand="0" w:evenVBand="0" w:oddHBand="0" w:evenHBand="0" w:firstRowFirstColumn="0" w:firstRowLastColumn="0" w:lastRowFirstColumn="0" w:lastRowLastColumn="0"/>
          <w:cantSplit/>
        </w:trPr>
        <w:tc>
          <w:tcPr>
            <w:tcW w:w="6232" w:type="dxa"/>
            <w:tcBorders>
              <w:top w:val="single" w:sz="4" w:space="0" w:color="auto"/>
              <w:left w:val="single" w:sz="4" w:space="0" w:color="auto"/>
              <w:bottom w:val="single" w:sz="4" w:space="0" w:color="auto"/>
              <w:right w:val="single" w:sz="4" w:space="0" w:color="auto"/>
            </w:tcBorders>
          </w:tcPr>
          <w:p w14:paraId="4EF4AFB2" w14:textId="77777777" w:rsidR="00500337" w:rsidRPr="006D790D" w:rsidRDefault="00500337" w:rsidP="00500337">
            <w:pPr>
              <w:ind w:left="0" w:right="0"/>
            </w:pPr>
            <w:r w:rsidRPr="006D790D">
              <w:t>Description</w:t>
            </w:r>
          </w:p>
        </w:tc>
        <w:tc>
          <w:tcPr>
            <w:tcW w:w="2262" w:type="dxa"/>
            <w:tcBorders>
              <w:top w:val="single" w:sz="4" w:space="0" w:color="auto"/>
              <w:left w:val="single" w:sz="4" w:space="0" w:color="auto"/>
              <w:bottom w:val="single" w:sz="4" w:space="0" w:color="auto"/>
              <w:right w:val="single" w:sz="4" w:space="0" w:color="auto"/>
            </w:tcBorders>
          </w:tcPr>
          <w:p w14:paraId="1C0514EF" w14:textId="77777777" w:rsidR="00500337" w:rsidRPr="006D790D" w:rsidRDefault="00500337" w:rsidP="00500337">
            <w:pPr>
              <w:ind w:left="0" w:right="0"/>
            </w:pPr>
            <w:r w:rsidRPr="006D790D">
              <w:t>Date</w:t>
            </w:r>
          </w:p>
        </w:tc>
      </w:tr>
      <w:tr w:rsidR="00500337" w:rsidRPr="006D790D" w14:paraId="020DB682" w14:textId="77777777" w:rsidTr="004E3C0E">
        <w:tc>
          <w:tcPr>
            <w:tcW w:w="6232" w:type="dxa"/>
            <w:tcBorders>
              <w:top w:val="single" w:sz="4" w:space="0" w:color="auto"/>
            </w:tcBorders>
          </w:tcPr>
          <w:p w14:paraId="5F2194D4" w14:textId="6627A055" w:rsidR="00500337" w:rsidRPr="006D790D" w:rsidRDefault="00500337" w:rsidP="00500337">
            <w:pPr>
              <w:ind w:left="0" w:right="0"/>
            </w:pPr>
            <w:r w:rsidRPr="006D790D">
              <w:t>Positive Designation (Provisional</w:t>
            </w:r>
            <w:r w:rsidR="00873F42" w:rsidRPr="006D790D">
              <w:t>)</w:t>
            </w:r>
            <w:r w:rsidR="005F61F0" w:rsidRPr="006D790D">
              <w:t>;</w:t>
            </w:r>
            <w:r w:rsidR="005F61F0" w:rsidRPr="006D790D">
              <w:rPr>
                <w:vertAlign w:val="superscript"/>
              </w:rPr>
              <w:fldChar w:fldCharType="begin"/>
            </w:r>
            <w:r w:rsidR="005F61F0" w:rsidRPr="006D790D">
              <w:rPr>
                <w:vertAlign w:val="superscript"/>
              </w:rPr>
              <w:instrText xml:space="preserve"> NOTEREF _Ref85175400 \h  \* MERGEFORMAT </w:instrText>
            </w:r>
            <w:r w:rsidR="005F61F0" w:rsidRPr="006D790D">
              <w:rPr>
                <w:vertAlign w:val="superscript"/>
              </w:rPr>
            </w:r>
            <w:r w:rsidR="005F61F0" w:rsidRPr="006D790D">
              <w:rPr>
                <w:vertAlign w:val="superscript"/>
              </w:rPr>
              <w:fldChar w:fldCharType="separate"/>
            </w:r>
            <w:r w:rsidR="007F1879">
              <w:rPr>
                <w:vertAlign w:val="superscript"/>
              </w:rPr>
              <w:t>4</w:t>
            </w:r>
            <w:r w:rsidR="005F61F0" w:rsidRPr="006D790D">
              <w:rPr>
                <w:vertAlign w:val="superscript"/>
              </w:rPr>
              <w:fldChar w:fldCharType="end"/>
            </w:r>
          </w:p>
        </w:tc>
        <w:tc>
          <w:tcPr>
            <w:tcW w:w="2262" w:type="dxa"/>
            <w:tcBorders>
              <w:top w:val="single" w:sz="4" w:space="0" w:color="auto"/>
            </w:tcBorders>
          </w:tcPr>
          <w:p w14:paraId="265766C1" w14:textId="2414FB65" w:rsidR="00500337" w:rsidRPr="006D790D" w:rsidRDefault="00873F42" w:rsidP="00500337">
            <w:pPr>
              <w:ind w:left="0" w:right="0"/>
            </w:pPr>
            <w:r w:rsidRPr="006D790D">
              <w:t>20 August 2021</w:t>
            </w:r>
          </w:p>
        </w:tc>
      </w:tr>
      <w:tr w:rsidR="00500337" w:rsidRPr="006D790D" w14:paraId="3FFDF6AF" w14:textId="77777777" w:rsidTr="004E3C0E">
        <w:tc>
          <w:tcPr>
            <w:tcW w:w="6232" w:type="dxa"/>
          </w:tcPr>
          <w:p w14:paraId="631F5C23" w14:textId="77777777" w:rsidR="00500337" w:rsidRPr="006D790D" w:rsidRDefault="00500337" w:rsidP="00500337">
            <w:pPr>
              <w:ind w:left="0" w:right="0"/>
            </w:pPr>
            <w:r w:rsidRPr="006D790D">
              <w:t>Submission dossier accepted and first round evaluation commenced</w:t>
            </w:r>
          </w:p>
        </w:tc>
        <w:tc>
          <w:tcPr>
            <w:tcW w:w="2262" w:type="dxa"/>
          </w:tcPr>
          <w:p w14:paraId="451E8C6C" w14:textId="440DCCD0" w:rsidR="00500337" w:rsidRPr="006D790D" w:rsidRDefault="00873F42" w:rsidP="00500337">
            <w:pPr>
              <w:ind w:left="0" w:right="0"/>
            </w:pPr>
            <w:r w:rsidRPr="006D790D">
              <w:t>31 August 2021</w:t>
            </w:r>
          </w:p>
        </w:tc>
      </w:tr>
      <w:tr w:rsidR="00500337" w:rsidRPr="006D790D" w14:paraId="2AD02C9F" w14:textId="77777777" w:rsidTr="004E3C0E">
        <w:tc>
          <w:tcPr>
            <w:tcW w:w="6232" w:type="dxa"/>
          </w:tcPr>
          <w:p w14:paraId="0CED5D30" w14:textId="77777777" w:rsidR="00500337" w:rsidRPr="006D790D" w:rsidRDefault="00500337" w:rsidP="00500337">
            <w:pPr>
              <w:ind w:left="0" w:right="0"/>
            </w:pPr>
            <w:r w:rsidRPr="006D790D">
              <w:t>Evaluation completed</w:t>
            </w:r>
          </w:p>
        </w:tc>
        <w:tc>
          <w:tcPr>
            <w:tcW w:w="2262" w:type="dxa"/>
          </w:tcPr>
          <w:p w14:paraId="091CA41A" w14:textId="185E6720" w:rsidR="00500337" w:rsidRPr="006D790D" w:rsidRDefault="00B8548B" w:rsidP="00500337">
            <w:pPr>
              <w:ind w:left="0" w:right="0"/>
              <w:rPr>
                <w:color w:val="000000"/>
              </w:rPr>
            </w:pPr>
            <w:r w:rsidRPr="006D790D">
              <w:rPr>
                <w:color w:val="000000"/>
              </w:rPr>
              <w:t>13 October 2021</w:t>
            </w:r>
          </w:p>
        </w:tc>
      </w:tr>
      <w:tr w:rsidR="00500337" w:rsidRPr="006D790D" w14:paraId="58A93B66" w14:textId="77777777" w:rsidTr="004E3C0E">
        <w:tc>
          <w:tcPr>
            <w:tcW w:w="6232" w:type="dxa"/>
          </w:tcPr>
          <w:p w14:paraId="0F4CABED" w14:textId="1CCAD2EC" w:rsidR="00500337" w:rsidRPr="006D790D" w:rsidRDefault="00324E45" w:rsidP="00500337">
            <w:pPr>
              <w:ind w:left="0" w:right="0"/>
            </w:pPr>
            <w:r w:rsidRPr="006D790D">
              <w:t>Delegate’s Overall benefit-risk assessment and request for Advisory Committee advice</w:t>
            </w:r>
          </w:p>
        </w:tc>
        <w:tc>
          <w:tcPr>
            <w:tcW w:w="2262" w:type="dxa"/>
          </w:tcPr>
          <w:p w14:paraId="0B6C669D" w14:textId="1CB47A05" w:rsidR="00500337" w:rsidRPr="006D790D" w:rsidRDefault="00873F42" w:rsidP="00500337">
            <w:pPr>
              <w:ind w:left="0" w:right="0"/>
            </w:pPr>
            <w:r w:rsidRPr="006D790D">
              <w:t>2 October 2021</w:t>
            </w:r>
          </w:p>
        </w:tc>
      </w:tr>
      <w:tr w:rsidR="00500337" w:rsidRPr="006D790D" w14:paraId="78F02AD2" w14:textId="77777777" w:rsidTr="004E3C0E">
        <w:tc>
          <w:tcPr>
            <w:tcW w:w="6232" w:type="dxa"/>
          </w:tcPr>
          <w:p w14:paraId="6F5891E4" w14:textId="77777777" w:rsidR="00500337" w:rsidRPr="006D790D" w:rsidRDefault="00500337" w:rsidP="00500337">
            <w:pPr>
              <w:ind w:left="0" w:right="0"/>
            </w:pPr>
            <w:r w:rsidRPr="006D790D">
              <w:t>Sponsor’s pre-Advisory Committee response</w:t>
            </w:r>
          </w:p>
        </w:tc>
        <w:tc>
          <w:tcPr>
            <w:tcW w:w="2262" w:type="dxa"/>
          </w:tcPr>
          <w:p w14:paraId="33E1CFDD" w14:textId="7D1B1941" w:rsidR="00500337" w:rsidRPr="006D790D" w:rsidRDefault="00873F42" w:rsidP="00500337">
            <w:pPr>
              <w:ind w:left="0" w:right="0"/>
            </w:pPr>
            <w:r w:rsidRPr="006D790D">
              <w:t>6 October 2021</w:t>
            </w:r>
          </w:p>
        </w:tc>
      </w:tr>
      <w:tr w:rsidR="00500337" w:rsidRPr="006D790D" w14:paraId="52C39228" w14:textId="77777777" w:rsidTr="004E3C0E">
        <w:tc>
          <w:tcPr>
            <w:tcW w:w="6232" w:type="dxa"/>
          </w:tcPr>
          <w:p w14:paraId="30A7BCD1" w14:textId="77777777" w:rsidR="00500337" w:rsidRPr="006D790D" w:rsidRDefault="00500337" w:rsidP="00500337">
            <w:pPr>
              <w:ind w:left="0" w:right="0"/>
            </w:pPr>
            <w:r w:rsidRPr="006D790D">
              <w:t>Advisory Committee meeting</w:t>
            </w:r>
          </w:p>
        </w:tc>
        <w:tc>
          <w:tcPr>
            <w:tcW w:w="2262" w:type="dxa"/>
          </w:tcPr>
          <w:p w14:paraId="2E036196" w14:textId="6A7554A5" w:rsidR="00500337" w:rsidRPr="006D790D" w:rsidRDefault="00873F42" w:rsidP="00500337">
            <w:pPr>
              <w:ind w:left="0" w:right="0"/>
            </w:pPr>
            <w:r w:rsidRPr="006D790D">
              <w:t>8 October 2021</w:t>
            </w:r>
          </w:p>
        </w:tc>
      </w:tr>
      <w:tr w:rsidR="00500337" w:rsidRPr="006D790D" w14:paraId="26DFEC7E" w14:textId="77777777" w:rsidTr="004E3C0E">
        <w:tc>
          <w:tcPr>
            <w:tcW w:w="6232" w:type="dxa"/>
          </w:tcPr>
          <w:p w14:paraId="33CADA21" w14:textId="77777777" w:rsidR="00500337" w:rsidRPr="006D790D" w:rsidRDefault="00500337" w:rsidP="00500337">
            <w:pPr>
              <w:ind w:left="0" w:right="0"/>
            </w:pPr>
            <w:r w:rsidRPr="006D790D">
              <w:t>Registration decision (Outcome)</w:t>
            </w:r>
          </w:p>
        </w:tc>
        <w:tc>
          <w:tcPr>
            <w:tcW w:w="2262" w:type="dxa"/>
          </w:tcPr>
          <w:p w14:paraId="081EF66A" w14:textId="627A649E" w:rsidR="00500337" w:rsidRPr="00A7527B" w:rsidRDefault="00A43729" w:rsidP="00500337">
            <w:pPr>
              <w:ind w:left="0" w:right="0"/>
              <w:rPr>
                <w:color w:val="000000"/>
              </w:rPr>
            </w:pPr>
            <w:r w:rsidRPr="00A7527B">
              <w:rPr>
                <w:color w:val="000000"/>
              </w:rPr>
              <w:t>15 October 2021</w:t>
            </w:r>
          </w:p>
        </w:tc>
      </w:tr>
      <w:tr w:rsidR="00500337" w:rsidRPr="006D790D" w14:paraId="2E0E8B52" w14:textId="77777777" w:rsidTr="004E3C0E">
        <w:tc>
          <w:tcPr>
            <w:tcW w:w="6232" w:type="dxa"/>
          </w:tcPr>
          <w:p w14:paraId="77806926" w14:textId="77777777" w:rsidR="00500337" w:rsidRPr="006D790D" w:rsidRDefault="00500337" w:rsidP="00500337">
            <w:pPr>
              <w:ind w:left="0" w:right="0"/>
            </w:pPr>
            <w:r w:rsidRPr="006D790D">
              <w:lastRenderedPageBreak/>
              <w:t xml:space="preserve">Completion of administrative activities and registration on </w:t>
            </w:r>
            <w:r w:rsidR="00006FAB" w:rsidRPr="006D790D">
              <w:t xml:space="preserve">the </w:t>
            </w:r>
            <w:r w:rsidRPr="006D790D">
              <w:t>ARTG</w:t>
            </w:r>
          </w:p>
        </w:tc>
        <w:tc>
          <w:tcPr>
            <w:tcW w:w="2262" w:type="dxa"/>
          </w:tcPr>
          <w:p w14:paraId="144ECCAB" w14:textId="0C72EB33" w:rsidR="00500337" w:rsidRPr="00A7527B" w:rsidRDefault="00A43729" w:rsidP="00500337">
            <w:pPr>
              <w:ind w:left="0" w:right="0"/>
              <w:rPr>
                <w:color w:val="000000"/>
              </w:rPr>
            </w:pPr>
            <w:r w:rsidRPr="00A7527B">
              <w:rPr>
                <w:color w:val="000000"/>
              </w:rPr>
              <w:t>18 October 2021</w:t>
            </w:r>
          </w:p>
        </w:tc>
      </w:tr>
      <w:tr w:rsidR="00500337" w:rsidRPr="006D790D" w14:paraId="6F0BDCAF" w14:textId="77777777" w:rsidTr="004E3C0E">
        <w:tc>
          <w:tcPr>
            <w:tcW w:w="6232" w:type="dxa"/>
          </w:tcPr>
          <w:p w14:paraId="7F03A266" w14:textId="77777777" w:rsidR="00500337" w:rsidRPr="006D790D" w:rsidRDefault="00500337" w:rsidP="00500337">
            <w:pPr>
              <w:ind w:left="0" w:right="0"/>
            </w:pPr>
            <w:r w:rsidRPr="006D790D">
              <w:t>Number of working days from submission dossier acceptance to registration decision*</w:t>
            </w:r>
          </w:p>
        </w:tc>
        <w:tc>
          <w:tcPr>
            <w:tcW w:w="2262" w:type="dxa"/>
          </w:tcPr>
          <w:p w14:paraId="497A2C8C" w14:textId="2FB5C949" w:rsidR="00500337" w:rsidRPr="00A7527B" w:rsidRDefault="00A43729" w:rsidP="00500337">
            <w:pPr>
              <w:ind w:left="0" w:right="0"/>
              <w:rPr>
                <w:color w:val="000000"/>
              </w:rPr>
            </w:pPr>
            <w:r w:rsidRPr="00A7527B">
              <w:rPr>
                <w:color w:val="000000"/>
              </w:rPr>
              <w:t>33</w:t>
            </w:r>
          </w:p>
        </w:tc>
      </w:tr>
    </w:tbl>
    <w:p w14:paraId="351E2002" w14:textId="16B2408C" w:rsidR="00500337" w:rsidRPr="006D790D" w:rsidRDefault="00873F42" w:rsidP="00500337">
      <w:pPr>
        <w:pStyle w:val="TableDescription"/>
      </w:pPr>
      <w:r w:rsidRPr="006D790D">
        <w:t>*Statutory timeframe for standard applications is 255 working days</w:t>
      </w:r>
    </w:p>
    <w:p w14:paraId="5FBEBF12" w14:textId="77777777" w:rsidR="008E7846" w:rsidRPr="006D790D" w:rsidRDefault="00456765" w:rsidP="008E7846">
      <w:pPr>
        <w:pStyle w:val="Heading2"/>
      </w:pPr>
      <w:bookmarkStart w:id="35" w:name="_Toc196046504"/>
      <w:bookmarkStart w:id="36" w:name="_Toc247691527"/>
      <w:bookmarkStart w:id="37" w:name="_Toc314842510"/>
      <w:bookmarkStart w:id="38" w:name="_Toc163441390"/>
      <w:bookmarkStart w:id="39" w:name="_Toc86748267"/>
      <w:bookmarkEnd w:id="1"/>
      <w:bookmarkEnd w:id="31"/>
      <w:bookmarkEnd w:id="32"/>
      <w:r w:rsidRPr="006D790D">
        <w:t>I</w:t>
      </w:r>
      <w:r w:rsidR="00DA64CB" w:rsidRPr="006D790D">
        <w:t>I</w:t>
      </w:r>
      <w:r w:rsidR="008E7846" w:rsidRPr="006D790D">
        <w:t xml:space="preserve">I. </w:t>
      </w:r>
      <w:r w:rsidR="00006FAB" w:rsidRPr="006D790D">
        <w:t xml:space="preserve">Submission overview </w:t>
      </w:r>
      <w:r w:rsidR="008E7846" w:rsidRPr="006D790D">
        <w:t>and risk/benefit assessment</w:t>
      </w:r>
      <w:bookmarkEnd w:id="35"/>
      <w:bookmarkEnd w:id="36"/>
      <w:bookmarkEnd w:id="37"/>
      <w:bookmarkEnd w:id="39"/>
    </w:p>
    <w:p w14:paraId="33B50748" w14:textId="344D1C76" w:rsidR="00006FAB" w:rsidRPr="006D790D" w:rsidRDefault="00006FAB" w:rsidP="00006FAB">
      <w:bookmarkStart w:id="40" w:name="_Toc247691528"/>
      <w:r w:rsidRPr="006D790D">
        <w:t>The submission was summarised in the following Delegate’s overview and recommendations.</w:t>
      </w:r>
    </w:p>
    <w:p w14:paraId="0D49B71B" w14:textId="750DD8CD" w:rsidR="0034615E" w:rsidRPr="006D790D" w:rsidRDefault="0034615E" w:rsidP="00006FAB">
      <w:r w:rsidRPr="006D790D">
        <w:t>Relevant guidelines or guidance documents referred to by the Delegate are listed below:</w:t>
      </w:r>
    </w:p>
    <w:p w14:paraId="72E8A92A" w14:textId="1E3B913B" w:rsidR="00C46B27" w:rsidRPr="006D790D" w:rsidRDefault="00C46B27" w:rsidP="005F61F0">
      <w:pPr>
        <w:pStyle w:val="ListBullet"/>
        <w:rPr>
          <w:rFonts w:ascii="Times New Roman" w:eastAsiaTheme="minorHAnsi" w:hAnsi="Times New Roman"/>
          <w:sz w:val="24"/>
          <w:szCs w:val="24"/>
          <w:lang w:eastAsia="en-AU"/>
        </w:rPr>
      </w:pPr>
      <w:r w:rsidRPr="006D790D">
        <w:t xml:space="preserve">European Medicines Agency (EMA), Committee for Medicinal Products for Human Use (CHMP), Guideline on Immunogenicity Assessment of Monoclonal Antibodies Intended for </w:t>
      </w:r>
      <w:r w:rsidRPr="006D790D">
        <w:rPr>
          <w:i/>
          <w:iCs/>
        </w:rPr>
        <w:t xml:space="preserve">in </w:t>
      </w:r>
      <w:r w:rsidR="00F847E4" w:rsidRPr="006D790D">
        <w:rPr>
          <w:i/>
          <w:iCs/>
        </w:rPr>
        <w:t>v</w:t>
      </w:r>
      <w:r w:rsidRPr="006D790D">
        <w:rPr>
          <w:i/>
          <w:iCs/>
        </w:rPr>
        <w:t>ivo</w:t>
      </w:r>
      <w:r w:rsidRPr="006D790D">
        <w:t xml:space="preserve"> Clinical Use, EMA/CHMP/BMWP/86289/2, 24 May 2012.</w:t>
      </w:r>
      <w:r w:rsidRPr="006D790D">
        <w:rPr>
          <w:rStyle w:val="FootnoteReference"/>
        </w:rPr>
        <w:footnoteReference w:id="20"/>
      </w:r>
    </w:p>
    <w:p w14:paraId="13E6C3FA" w14:textId="5817B1A7" w:rsidR="005F61F0" w:rsidRPr="006D790D" w:rsidRDefault="005F61F0" w:rsidP="009978A2">
      <w:pPr>
        <w:pStyle w:val="ListBullet"/>
        <w:rPr>
          <w:rFonts w:ascii="Times New Roman" w:eastAsiaTheme="minorHAnsi" w:hAnsi="Times New Roman"/>
          <w:sz w:val="24"/>
          <w:szCs w:val="24"/>
          <w:lang w:eastAsia="en-AU"/>
        </w:rPr>
      </w:pPr>
      <w:r w:rsidRPr="006D790D">
        <w:t>Food and Drug Administration</w:t>
      </w:r>
      <w:r w:rsidR="009978A2" w:rsidRPr="006D790D">
        <w:t xml:space="preserve"> (FDA)</w:t>
      </w:r>
      <w:r w:rsidRPr="006D790D">
        <w:t xml:space="preserve"> (</w:t>
      </w:r>
      <w:r w:rsidR="009978A2" w:rsidRPr="006D790D">
        <w:t>United States</w:t>
      </w:r>
      <w:r w:rsidRPr="006D790D">
        <w:t xml:space="preserve">), </w:t>
      </w:r>
      <w:r w:rsidR="00C46B27" w:rsidRPr="006D790D">
        <w:t>COVID-19: Developing Drugs and Biological Products for Treatment or Prevention</w:t>
      </w:r>
      <w:r w:rsidRPr="006D790D">
        <w:t xml:space="preserve"> </w:t>
      </w:r>
      <w:r w:rsidR="00C46B27" w:rsidRPr="006D790D">
        <w:t>Guidance for Industry</w:t>
      </w:r>
      <w:r w:rsidRPr="006D790D">
        <w:t xml:space="preserve">, </w:t>
      </w:r>
      <w:r w:rsidR="0034615E" w:rsidRPr="006D790D">
        <w:t>February 2021</w:t>
      </w:r>
      <w:r w:rsidRPr="006D790D">
        <w:t>.</w:t>
      </w:r>
      <w:r w:rsidRPr="006D790D">
        <w:rPr>
          <w:rStyle w:val="FootnoteReference"/>
        </w:rPr>
        <w:footnoteReference w:id="21"/>
      </w:r>
    </w:p>
    <w:p w14:paraId="32FB8A09" w14:textId="77777777" w:rsidR="008E7846" w:rsidRPr="006D790D" w:rsidRDefault="008E7846" w:rsidP="008E7846">
      <w:pPr>
        <w:pStyle w:val="Heading3"/>
      </w:pPr>
      <w:bookmarkStart w:id="41" w:name="_Toc314842511"/>
      <w:bookmarkStart w:id="42" w:name="_Toc86748268"/>
      <w:r w:rsidRPr="006D790D">
        <w:t>Quality</w:t>
      </w:r>
      <w:bookmarkEnd w:id="40"/>
      <w:bookmarkEnd w:id="41"/>
      <w:bookmarkEnd w:id="42"/>
    </w:p>
    <w:p w14:paraId="095A880C" w14:textId="40EADC5E" w:rsidR="002A6E1B" w:rsidRPr="006D790D" w:rsidRDefault="002A6E1B" w:rsidP="002A6E1B">
      <w:r w:rsidRPr="006D790D">
        <w:t xml:space="preserve">Both </w:t>
      </w:r>
      <w:proofErr w:type="spellStart"/>
      <w:r w:rsidRPr="006D790D">
        <w:t>casirivimab</w:t>
      </w:r>
      <w:proofErr w:type="spellEnd"/>
      <w:r w:rsidRPr="006D790D">
        <w:t xml:space="preserve"> and </w:t>
      </w:r>
      <w:proofErr w:type="spellStart"/>
      <w:r w:rsidRPr="006D790D">
        <w:t>imdevimab</w:t>
      </w:r>
      <w:proofErr w:type="spellEnd"/>
      <w:r w:rsidRPr="006D790D">
        <w:t xml:space="preserve"> (</w:t>
      </w:r>
      <w:r w:rsidR="00A64D46">
        <w:t xml:space="preserve">shown in </w:t>
      </w:r>
      <w:r w:rsidR="00A64D46" w:rsidRPr="006D790D">
        <w:fldChar w:fldCharType="begin"/>
      </w:r>
      <w:r w:rsidR="00A64D46" w:rsidRPr="006D790D">
        <w:instrText xml:space="preserve"> REF _Ref85111013 \h </w:instrText>
      </w:r>
      <w:r w:rsidR="00A64D46">
        <w:instrText xml:space="preserve"> \* MERGEFORMAT </w:instrText>
      </w:r>
      <w:r w:rsidR="00A64D46" w:rsidRPr="006D790D">
        <w:fldChar w:fldCharType="separate"/>
      </w:r>
      <w:r w:rsidR="007F1879" w:rsidRPr="006D790D">
        <w:t xml:space="preserve">Figure </w:t>
      </w:r>
      <w:r w:rsidR="007F1879">
        <w:rPr>
          <w:noProof/>
        </w:rPr>
        <w:t>1</w:t>
      </w:r>
      <w:r w:rsidR="00A64D46" w:rsidRPr="006D790D">
        <w:fldChar w:fldCharType="end"/>
      </w:r>
      <w:r w:rsidR="00A64D46">
        <w:t xml:space="preserve"> </w:t>
      </w:r>
      <w:r w:rsidR="00D5326E" w:rsidRPr="006D790D">
        <w:fldChar w:fldCharType="begin"/>
      </w:r>
      <w:r w:rsidR="00D5326E" w:rsidRPr="006D790D">
        <w:instrText xml:space="preserve"> REF _Ref85139074 \h </w:instrText>
      </w:r>
      <w:r w:rsidR="006D790D">
        <w:instrText xml:space="preserve"> \* MERGEFORMAT </w:instrText>
      </w:r>
      <w:r w:rsidR="00D5326E" w:rsidRPr="006D790D">
        <w:fldChar w:fldCharType="separate"/>
      </w:r>
      <w:r w:rsidR="007F1879" w:rsidRPr="006D790D">
        <w:t xml:space="preserve">Figure </w:t>
      </w:r>
      <w:r w:rsidR="007F1879">
        <w:rPr>
          <w:noProof/>
        </w:rPr>
        <w:t>2</w:t>
      </w:r>
      <w:r w:rsidR="00D5326E" w:rsidRPr="006D790D">
        <w:fldChar w:fldCharType="end"/>
      </w:r>
      <w:r w:rsidR="00A64D46">
        <w:t>, respectively</w:t>
      </w:r>
      <w:r w:rsidRPr="006D790D">
        <w:t xml:space="preserve">) are </w:t>
      </w:r>
      <w:r w:rsidR="009978A2" w:rsidRPr="006D790D">
        <w:t>IgG1</w:t>
      </w:r>
      <w:r w:rsidRPr="006D790D">
        <w:t xml:space="preserve"> recombinant </w:t>
      </w:r>
      <w:proofErr w:type="spellStart"/>
      <w:r w:rsidR="006C71D8" w:rsidRPr="006D790D">
        <w:t>mAbs</w:t>
      </w:r>
      <w:proofErr w:type="spellEnd"/>
      <w:r w:rsidRPr="006D790D">
        <w:t xml:space="preserve"> each containing a single N-linked glycosylation site on each heavy chain.</w:t>
      </w:r>
    </w:p>
    <w:p w14:paraId="4E467431" w14:textId="28717EA2" w:rsidR="009570CE" w:rsidRPr="006D790D" w:rsidRDefault="009570CE" w:rsidP="009978A2">
      <w:pPr>
        <w:pStyle w:val="FigureTitle"/>
      </w:pPr>
      <w:bookmarkStart w:id="43" w:name="_Ref85111013"/>
      <w:r w:rsidRPr="006D790D">
        <w:lastRenderedPageBreak/>
        <w:t xml:space="preserve">Figure </w:t>
      </w:r>
      <w:fldSimple w:instr=" SEQ Figure \* ARABIC ">
        <w:r w:rsidR="007F1879">
          <w:rPr>
            <w:noProof/>
          </w:rPr>
          <w:t>1</w:t>
        </w:r>
      </w:fldSimple>
      <w:bookmarkEnd w:id="43"/>
      <w:r w:rsidRPr="006D790D">
        <w:t xml:space="preserve">: </w:t>
      </w:r>
      <w:r w:rsidR="009978A2" w:rsidRPr="006D790D">
        <w:t>Structure</w:t>
      </w:r>
      <w:r w:rsidRPr="006D790D">
        <w:t xml:space="preserve"> of </w:t>
      </w:r>
      <w:proofErr w:type="spellStart"/>
      <w:r w:rsidRPr="006D790D">
        <w:t>casirivimab</w:t>
      </w:r>
      <w:proofErr w:type="spellEnd"/>
    </w:p>
    <w:p w14:paraId="4C07CD6B" w14:textId="32811DA0" w:rsidR="009570CE" w:rsidRPr="006D790D" w:rsidRDefault="009570CE" w:rsidP="002A6E1B">
      <w:r w:rsidRPr="006D790D">
        <w:rPr>
          <w:noProof/>
          <w:lang w:val="en-GB" w:eastAsia="en-GB"/>
        </w:rPr>
        <w:drawing>
          <wp:inline distT="0" distB="0" distL="0" distR="0" wp14:anchorId="62CDF6FA" wp14:editId="14AC1A84">
            <wp:extent cx="2241922" cy="2651342"/>
            <wp:effectExtent l="0" t="0" r="6350" b="0"/>
            <wp:docPr id="14" name="Picture 14" descr="Structure of casirivi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ructure of casirivimab"/>
                    <pic:cNvPicPr/>
                  </pic:nvPicPr>
                  <pic:blipFill>
                    <a:blip r:embed="rId17"/>
                    <a:stretch>
                      <a:fillRect/>
                    </a:stretch>
                  </pic:blipFill>
                  <pic:spPr>
                    <a:xfrm>
                      <a:off x="0" y="0"/>
                      <a:ext cx="2254311" cy="2665994"/>
                    </a:xfrm>
                    <a:prstGeom prst="rect">
                      <a:avLst/>
                    </a:prstGeom>
                  </pic:spPr>
                </pic:pic>
              </a:graphicData>
            </a:graphic>
          </wp:inline>
        </w:drawing>
      </w:r>
    </w:p>
    <w:p w14:paraId="3A6BB4E1" w14:textId="46093B62" w:rsidR="00CB450F" w:rsidRDefault="00CB450F" w:rsidP="00084EC5">
      <w:pPr>
        <w:pStyle w:val="FigureDescription"/>
      </w:pPr>
      <w:r>
        <w:t xml:space="preserve">Schematic structure of </w:t>
      </w:r>
      <w:proofErr w:type="spellStart"/>
      <w:r>
        <w:t>casirivimab</w:t>
      </w:r>
      <w:proofErr w:type="spellEnd"/>
      <w:r>
        <w:t xml:space="preserve">, comprised of two identical heavy chains (pink) and two identical light chains (green) connected by </w:t>
      </w:r>
      <w:proofErr w:type="spellStart"/>
      <w:r>
        <w:t>disulfide</w:t>
      </w:r>
      <w:proofErr w:type="spellEnd"/>
      <w:r>
        <w:t xml:space="preserve"> </w:t>
      </w:r>
      <w:r w:rsidR="000C781C">
        <w:t>bonds, represented as orange lines.</w:t>
      </w:r>
    </w:p>
    <w:p w14:paraId="275110A8" w14:textId="65F67176" w:rsidR="009570CE" w:rsidRPr="006D790D" w:rsidRDefault="009570CE" w:rsidP="00084EC5">
      <w:pPr>
        <w:pStyle w:val="FigureDescription"/>
      </w:pPr>
      <w:r w:rsidRPr="006D790D">
        <w:t>VH</w:t>
      </w:r>
      <w:r w:rsidR="0027189C" w:rsidRPr="006D790D">
        <w:t xml:space="preserve"> =</w:t>
      </w:r>
      <w:r w:rsidRPr="006D790D">
        <w:t xml:space="preserve"> variable region of the heavy chain; VL</w:t>
      </w:r>
      <w:r w:rsidR="0027189C" w:rsidRPr="006D790D">
        <w:t xml:space="preserve"> =</w:t>
      </w:r>
      <w:r w:rsidRPr="006D790D">
        <w:t xml:space="preserve"> variable region of the light chain; CH</w:t>
      </w:r>
      <w:r w:rsidR="0027189C" w:rsidRPr="006D790D">
        <w:t xml:space="preserve"> =</w:t>
      </w:r>
      <w:r w:rsidRPr="006D790D">
        <w:t xml:space="preserve"> constant region of the heavy chain; CL</w:t>
      </w:r>
      <w:r w:rsidR="0027189C" w:rsidRPr="006D790D">
        <w:t xml:space="preserve"> = </w:t>
      </w:r>
      <w:r w:rsidRPr="006D790D">
        <w:t>constant region of the light chain</w:t>
      </w:r>
      <w:r w:rsidR="0027189C" w:rsidRPr="006D790D">
        <w:t>.</w:t>
      </w:r>
    </w:p>
    <w:p w14:paraId="38A84F7E" w14:textId="3F6507A0" w:rsidR="0027189C" w:rsidRPr="006D790D" w:rsidRDefault="0027189C" w:rsidP="009978A2">
      <w:pPr>
        <w:pStyle w:val="FigureTitle"/>
      </w:pPr>
      <w:bookmarkStart w:id="44" w:name="_Ref85139074"/>
      <w:r w:rsidRPr="006D790D">
        <w:t xml:space="preserve">Figure </w:t>
      </w:r>
      <w:fldSimple w:instr=" SEQ Figure \* ARABIC ">
        <w:r w:rsidR="007F1879">
          <w:rPr>
            <w:noProof/>
          </w:rPr>
          <w:t>2</w:t>
        </w:r>
      </w:fldSimple>
      <w:bookmarkEnd w:id="44"/>
      <w:r w:rsidRPr="006D790D">
        <w:t xml:space="preserve">: </w:t>
      </w:r>
      <w:r w:rsidR="009978A2" w:rsidRPr="006D790D">
        <w:t xml:space="preserve">Structure </w:t>
      </w:r>
      <w:r w:rsidRPr="006D790D">
        <w:t xml:space="preserve">of </w:t>
      </w:r>
      <w:proofErr w:type="spellStart"/>
      <w:r w:rsidRPr="006D790D">
        <w:t>imdevimab</w:t>
      </w:r>
      <w:proofErr w:type="spellEnd"/>
    </w:p>
    <w:p w14:paraId="2A8BAA7C" w14:textId="52CE01A7" w:rsidR="0027189C" w:rsidRPr="006D790D" w:rsidRDefault="0027189C" w:rsidP="00084EC5">
      <w:r w:rsidRPr="006D790D">
        <w:rPr>
          <w:noProof/>
          <w:lang w:val="en-GB" w:eastAsia="en-GB"/>
        </w:rPr>
        <w:drawing>
          <wp:inline distT="0" distB="0" distL="0" distR="0" wp14:anchorId="2CCE38A7" wp14:editId="42906A52">
            <wp:extent cx="2200405" cy="2655028"/>
            <wp:effectExtent l="0" t="0" r="9525" b="0"/>
            <wp:docPr id="20" name="Picture 20" descr="Structure of imdevi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tructure of imdevimab"/>
                    <pic:cNvPicPr/>
                  </pic:nvPicPr>
                  <pic:blipFill>
                    <a:blip r:embed="rId18"/>
                    <a:stretch>
                      <a:fillRect/>
                    </a:stretch>
                  </pic:blipFill>
                  <pic:spPr>
                    <a:xfrm>
                      <a:off x="0" y="0"/>
                      <a:ext cx="2220015" cy="2678690"/>
                    </a:xfrm>
                    <a:prstGeom prst="rect">
                      <a:avLst/>
                    </a:prstGeom>
                  </pic:spPr>
                </pic:pic>
              </a:graphicData>
            </a:graphic>
          </wp:inline>
        </w:drawing>
      </w:r>
    </w:p>
    <w:p w14:paraId="22C99E48" w14:textId="47AD3802" w:rsidR="000C781C" w:rsidRDefault="000C781C" w:rsidP="00084EC5">
      <w:pPr>
        <w:pStyle w:val="FigureDescription"/>
      </w:pPr>
      <w:r>
        <w:t xml:space="preserve">Schematic structure of </w:t>
      </w:r>
      <w:proofErr w:type="spellStart"/>
      <w:r>
        <w:t>imdevimab</w:t>
      </w:r>
      <w:proofErr w:type="spellEnd"/>
      <w:r>
        <w:t xml:space="preserve">, comprised of two identical heavy chains (pink) and two identical light chains (green) connected by </w:t>
      </w:r>
      <w:proofErr w:type="spellStart"/>
      <w:r>
        <w:t>disulfide</w:t>
      </w:r>
      <w:proofErr w:type="spellEnd"/>
      <w:r>
        <w:t xml:space="preserve"> bonds, represented as orange lines.</w:t>
      </w:r>
    </w:p>
    <w:p w14:paraId="704F7E15" w14:textId="19E93602" w:rsidR="0027189C" w:rsidRPr="006D790D" w:rsidRDefault="0027189C" w:rsidP="00084EC5">
      <w:pPr>
        <w:pStyle w:val="FigureDescription"/>
      </w:pPr>
      <w:r w:rsidRPr="006D790D">
        <w:t>VH = variable region of the heavy chain; VL = variable region of the light chain; CH = constant region of the heavy chain; CL = constant region of the light chain.</w:t>
      </w:r>
    </w:p>
    <w:p w14:paraId="41ACE86E" w14:textId="33242DAB" w:rsidR="00E04628" w:rsidRDefault="0027189C" w:rsidP="0067093F">
      <w:proofErr w:type="spellStart"/>
      <w:r w:rsidRPr="006D790D">
        <w:t>Casirivimab</w:t>
      </w:r>
      <w:proofErr w:type="spellEnd"/>
      <w:r w:rsidRPr="006D790D">
        <w:t xml:space="preserve"> </w:t>
      </w:r>
      <w:r w:rsidR="000C781C">
        <w:t xml:space="preserve">solution for </w:t>
      </w:r>
      <w:r w:rsidRPr="006D790D">
        <w:t xml:space="preserve">injection is a sterile, preservative free, clear to slightly </w:t>
      </w:r>
      <w:proofErr w:type="spellStart"/>
      <w:r w:rsidRPr="006D790D">
        <w:t>opalent</w:t>
      </w:r>
      <w:proofErr w:type="spellEnd"/>
      <w:r w:rsidRPr="006D790D">
        <w:t xml:space="preserve">, </w:t>
      </w:r>
      <w:proofErr w:type="spellStart"/>
      <w:r w:rsidRPr="006D790D">
        <w:t>colorless</w:t>
      </w:r>
      <w:proofErr w:type="spellEnd"/>
      <w:r w:rsidRPr="006D790D">
        <w:t xml:space="preserve"> to pale yellow solution supplied in a 6</w:t>
      </w:r>
      <w:r w:rsidR="009978A2" w:rsidRPr="006D790D">
        <w:t> </w:t>
      </w:r>
      <w:r w:rsidRPr="006D790D">
        <w:t>mL single</w:t>
      </w:r>
      <w:r w:rsidR="009978A2" w:rsidRPr="006D790D">
        <w:t xml:space="preserve"> </w:t>
      </w:r>
      <w:r w:rsidRPr="006D790D">
        <w:t xml:space="preserve">use vial </w:t>
      </w:r>
      <w:r w:rsidR="00E04628">
        <w:t>or</w:t>
      </w:r>
      <w:r w:rsidRPr="006D790D">
        <w:t xml:space="preserve"> a 20</w:t>
      </w:r>
      <w:r w:rsidR="009978A2" w:rsidRPr="006D790D">
        <w:t> </w:t>
      </w:r>
      <w:r w:rsidRPr="006D790D">
        <w:t xml:space="preserve">mL multidose vial. </w:t>
      </w:r>
      <w:proofErr w:type="spellStart"/>
      <w:r w:rsidRPr="006D790D">
        <w:t>Imdevimab</w:t>
      </w:r>
      <w:proofErr w:type="spellEnd"/>
      <w:r w:rsidR="000C781C">
        <w:t xml:space="preserve"> solution for</w:t>
      </w:r>
      <w:r w:rsidRPr="006D790D">
        <w:t xml:space="preserve"> injection is a sterile, preservative free, clear to slightly opalescent, </w:t>
      </w:r>
      <w:proofErr w:type="spellStart"/>
      <w:r w:rsidRPr="006D790D">
        <w:t>colorless</w:t>
      </w:r>
      <w:proofErr w:type="spellEnd"/>
      <w:r w:rsidRPr="006D790D">
        <w:t xml:space="preserve"> to pale yellow solution supplied in a 6</w:t>
      </w:r>
      <w:r w:rsidR="009978A2" w:rsidRPr="006D790D">
        <w:t> </w:t>
      </w:r>
      <w:r w:rsidRPr="006D790D">
        <w:t>mL single</w:t>
      </w:r>
      <w:r w:rsidR="009978A2" w:rsidRPr="006D790D">
        <w:t xml:space="preserve"> </w:t>
      </w:r>
      <w:r w:rsidRPr="006D790D">
        <w:t xml:space="preserve">use vial </w:t>
      </w:r>
      <w:r w:rsidR="00E04628">
        <w:t>or</w:t>
      </w:r>
      <w:r w:rsidR="00E04628" w:rsidRPr="006D790D">
        <w:t xml:space="preserve"> </w:t>
      </w:r>
      <w:r w:rsidRPr="006D790D">
        <w:t>a 20</w:t>
      </w:r>
      <w:r w:rsidR="009978A2" w:rsidRPr="006D790D">
        <w:t> </w:t>
      </w:r>
      <w:r w:rsidRPr="006D790D">
        <w:t>mL multidose vial.</w:t>
      </w:r>
    </w:p>
    <w:p w14:paraId="1A005A03" w14:textId="0D2D7162" w:rsidR="0027189C" w:rsidRPr="006D790D" w:rsidRDefault="0027189C" w:rsidP="0067093F">
      <w:proofErr w:type="spellStart"/>
      <w:r w:rsidRPr="006D790D">
        <w:t>Ronapreve</w:t>
      </w:r>
      <w:proofErr w:type="spellEnd"/>
      <w:r w:rsidRPr="006D790D">
        <w:t xml:space="preserve"> (</w:t>
      </w:r>
      <w:proofErr w:type="spellStart"/>
      <w:r w:rsidRPr="006D790D">
        <w:t>casirivimab</w:t>
      </w:r>
      <w:proofErr w:type="spellEnd"/>
      <w:r w:rsidR="009978A2" w:rsidRPr="006D790D">
        <w:t xml:space="preserve"> and </w:t>
      </w:r>
      <w:proofErr w:type="spellStart"/>
      <w:r w:rsidRPr="006D790D">
        <w:t>imdevimab</w:t>
      </w:r>
      <w:proofErr w:type="spellEnd"/>
      <w:r w:rsidRPr="006D790D">
        <w:t>) is available as individual antibody solutions in separate vials, available in a dose pack containing either one 6</w:t>
      </w:r>
      <w:r w:rsidR="009978A2" w:rsidRPr="006D790D">
        <w:t> </w:t>
      </w:r>
      <w:r w:rsidRPr="006D790D">
        <w:t>mL vial of each antibody or one 20</w:t>
      </w:r>
      <w:r w:rsidR="009978A2" w:rsidRPr="006D790D">
        <w:t> </w:t>
      </w:r>
      <w:r w:rsidRPr="006D790D">
        <w:t xml:space="preserve">mL </w:t>
      </w:r>
      <w:r w:rsidR="00E04628">
        <w:t xml:space="preserve">vial </w:t>
      </w:r>
      <w:r w:rsidRPr="006D790D">
        <w:t>of each antibody (</w:t>
      </w:r>
      <w:proofErr w:type="spellStart"/>
      <w:r w:rsidRPr="006D790D">
        <w:t>casirivimab</w:t>
      </w:r>
      <w:proofErr w:type="spellEnd"/>
      <w:r w:rsidRPr="006D790D">
        <w:t xml:space="preserve"> and </w:t>
      </w:r>
      <w:proofErr w:type="spellStart"/>
      <w:r w:rsidRPr="006D790D">
        <w:t>imdevimab</w:t>
      </w:r>
      <w:proofErr w:type="spellEnd"/>
      <w:r w:rsidRPr="006D790D">
        <w:t>)</w:t>
      </w:r>
      <w:r w:rsidR="009978A2" w:rsidRPr="006D790D">
        <w:t>.</w:t>
      </w:r>
    </w:p>
    <w:p w14:paraId="5BA55D83" w14:textId="3A57DAD5" w:rsidR="00E04628" w:rsidRDefault="00E04628" w:rsidP="0067093F">
      <w:proofErr w:type="spellStart"/>
      <w:r w:rsidRPr="006D790D">
        <w:lastRenderedPageBreak/>
        <w:t>Ronapreve</w:t>
      </w:r>
      <w:proofErr w:type="spellEnd"/>
      <w:r w:rsidRPr="006D790D">
        <w:t xml:space="preserve"> 120 mg/m</w:t>
      </w:r>
      <w:r>
        <w:t>L</w:t>
      </w:r>
      <w:r w:rsidRPr="006D790D">
        <w:t xml:space="preserve"> solution for infusion or injection, single use vial contains pack of two 6 mL clear Type I glass vials with butyl rubber stopper containing one vial of 2.5 mL solution of 300 mg of </w:t>
      </w:r>
      <w:proofErr w:type="spellStart"/>
      <w:r w:rsidRPr="006D790D">
        <w:t>casirivimab</w:t>
      </w:r>
      <w:proofErr w:type="spellEnd"/>
      <w:r w:rsidRPr="006D790D">
        <w:t xml:space="preserve"> and one vial of 2.5 mL solution of 300 mg of </w:t>
      </w:r>
      <w:proofErr w:type="spellStart"/>
      <w:r w:rsidRPr="006D790D">
        <w:t>imdevimab</w:t>
      </w:r>
      <w:proofErr w:type="spellEnd"/>
      <w:r w:rsidRPr="006D790D">
        <w:t>.</w:t>
      </w:r>
    </w:p>
    <w:p w14:paraId="34CC474B" w14:textId="0EAE9C0D" w:rsidR="0027189C" w:rsidRPr="006D790D" w:rsidRDefault="0027189C" w:rsidP="0067093F">
      <w:proofErr w:type="spellStart"/>
      <w:r w:rsidRPr="006D790D">
        <w:t>Ronapreve</w:t>
      </w:r>
      <w:proofErr w:type="spellEnd"/>
      <w:r w:rsidRPr="006D790D">
        <w:t xml:space="preserve"> 120</w:t>
      </w:r>
      <w:r w:rsidR="009978A2" w:rsidRPr="006D790D">
        <w:t> </w:t>
      </w:r>
      <w:r w:rsidRPr="006D790D">
        <w:t>mg/mL solution for infusion or injection, multidose vials</w:t>
      </w:r>
      <w:r w:rsidR="0067093F" w:rsidRPr="006D790D">
        <w:t xml:space="preserve"> contain p</w:t>
      </w:r>
      <w:r w:rsidRPr="006D790D">
        <w:t>ack of two 20</w:t>
      </w:r>
      <w:r w:rsidR="009978A2" w:rsidRPr="006D790D">
        <w:t> </w:t>
      </w:r>
      <w:r w:rsidRPr="006D790D">
        <w:t>mL clear Type I glass vials with butyl rubber stopper containing one vial of 11.1</w:t>
      </w:r>
      <w:r w:rsidR="009978A2" w:rsidRPr="006D790D">
        <w:t> </w:t>
      </w:r>
      <w:r w:rsidRPr="006D790D">
        <w:t>mL solution of 1332</w:t>
      </w:r>
      <w:r w:rsidR="009978A2" w:rsidRPr="006D790D">
        <w:t> </w:t>
      </w:r>
      <w:r w:rsidRPr="006D790D">
        <w:t xml:space="preserve">mg of </w:t>
      </w:r>
      <w:proofErr w:type="spellStart"/>
      <w:r w:rsidRPr="006D790D">
        <w:t>casirivimab</w:t>
      </w:r>
      <w:proofErr w:type="spellEnd"/>
      <w:r w:rsidRPr="006D790D">
        <w:t xml:space="preserve"> and one vial of 11.1</w:t>
      </w:r>
      <w:r w:rsidR="009978A2" w:rsidRPr="006D790D">
        <w:t> </w:t>
      </w:r>
      <w:r w:rsidRPr="006D790D">
        <w:t>mL solution of 1332</w:t>
      </w:r>
      <w:r w:rsidR="009978A2" w:rsidRPr="006D790D">
        <w:t> </w:t>
      </w:r>
      <w:r w:rsidRPr="006D790D">
        <w:t xml:space="preserve">mg of </w:t>
      </w:r>
      <w:proofErr w:type="spellStart"/>
      <w:r w:rsidRPr="006D790D">
        <w:t>imdevimab</w:t>
      </w:r>
      <w:proofErr w:type="spellEnd"/>
      <w:r w:rsidRPr="006D790D">
        <w:t>.</w:t>
      </w:r>
    </w:p>
    <w:p w14:paraId="0CB0D7F5" w14:textId="0CE63D2B" w:rsidR="0067093F" w:rsidRDefault="0067093F" w:rsidP="0067093F">
      <w:r w:rsidRPr="006D790D">
        <w:t xml:space="preserve">The recommended shelf life for the drug product is 12 months </w:t>
      </w:r>
      <w:r w:rsidR="004F24C5">
        <w:t xml:space="preserve">refrigerated </w:t>
      </w:r>
      <w:r w:rsidRPr="006D790D">
        <w:t>at 2</w:t>
      </w:r>
      <w:r w:rsidR="00DC60BC" w:rsidRPr="006D790D">
        <w:t xml:space="preserve"> to </w:t>
      </w:r>
      <w:r w:rsidRPr="006D790D">
        <w:t>8°C.</w:t>
      </w:r>
      <w:r w:rsidR="003A411F">
        <w:t xml:space="preserve"> </w:t>
      </w:r>
      <w:r w:rsidR="004F24C5">
        <w:t xml:space="preserve">Vials should not be frozen or shaken. </w:t>
      </w:r>
      <w:r w:rsidR="003A411F">
        <w:t>Store vials in the outer carton to protect from light.</w:t>
      </w:r>
    </w:p>
    <w:p w14:paraId="77C53F8F" w14:textId="732B2F43" w:rsidR="004F24C5" w:rsidRDefault="004F24C5" w:rsidP="004F24C5">
      <w:r>
        <w:t>For the co-packaged 6 mL single-use vials, after initial puncture, the medicinal product should be used immediately. Any remaining product should be discarded.</w:t>
      </w:r>
    </w:p>
    <w:p w14:paraId="5AC122DC" w14:textId="039E272D" w:rsidR="004F24C5" w:rsidRPr="006D790D" w:rsidRDefault="004F24C5" w:rsidP="004F24C5">
      <w:r>
        <w:t>For the co-packaged 20 mL multidose vials, after initial puncture, if not used immediately, the product in the vial can be stored for 16 hours at room temperature up to 25°C or for no more than 48 hours refrigerated between 2°C to 8°C.</w:t>
      </w:r>
    </w:p>
    <w:p w14:paraId="63A67969" w14:textId="41CE7D42" w:rsidR="0067093F" w:rsidRPr="006D790D" w:rsidRDefault="0067093F" w:rsidP="0067093F">
      <w:r w:rsidRPr="006D790D">
        <w:t xml:space="preserve">The quality evaluator advises that there are no objections on quality grounds to the provisional approval of </w:t>
      </w:r>
      <w:proofErr w:type="spellStart"/>
      <w:r w:rsidRPr="006D790D">
        <w:t>Ronapreve</w:t>
      </w:r>
      <w:proofErr w:type="spellEnd"/>
      <w:r w:rsidRPr="006D790D">
        <w:t>.</w:t>
      </w:r>
    </w:p>
    <w:p w14:paraId="29A82EE9" w14:textId="1B9EBC22" w:rsidR="00DC60BC" w:rsidRPr="006D790D" w:rsidRDefault="00DC60BC" w:rsidP="00DC60BC">
      <w:pPr>
        <w:pStyle w:val="Heading4"/>
      </w:pPr>
      <w:r w:rsidRPr="006D790D">
        <w:t>Proposed quality conditions of registration</w:t>
      </w:r>
    </w:p>
    <w:p w14:paraId="3F397BD6" w14:textId="49C2C38A" w:rsidR="0067093F" w:rsidRPr="006D790D" w:rsidRDefault="0067093F" w:rsidP="0067093F">
      <w:r w:rsidRPr="006D790D">
        <w:t>The proposed quality conditions of registration are as follows:</w:t>
      </w:r>
    </w:p>
    <w:p w14:paraId="4E0D3E5E" w14:textId="76128624" w:rsidR="0067093F" w:rsidRPr="006D790D" w:rsidRDefault="0067093F" w:rsidP="00EF3566">
      <w:pPr>
        <w:pStyle w:val="ListBullet"/>
        <w:rPr>
          <w:b/>
          <w:bCs/>
        </w:rPr>
      </w:pPr>
      <w:r w:rsidRPr="006D790D">
        <w:rPr>
          <w:b/>
          <w:bCs/>
        </w:rPr>
        <w:t xml:space="preserve">Laboratory testing </w:t>
      </w:r>
      <w:r w:rsidR="00EF3566" w:rsidRPr="006D790D">
        <w:rPr>
          <w:b/>
          <w:bCs/>
        </w:rPr>
        <w:t>and</w:t>
      </w:r>
      <w:r w:rsidRPr="006D790D">
        <w:rPr>
          <w:b/>
          <w:bCs/>
        </w:rPr>
        <w:t xml:space="preserve"> compliance with Certified Product Details</w:t>
      </w:r>
    </w:p>
    <w:p w14:paraId="6D1E7755" w14:textId="7ACA23D6" w:rsidR="0067093F" w:rsidRPr="006D790D" w:rsidRDefault="0067093F" w:rsidP="00EF3566">
      <w:pPr>
        <w:pStyle w:val="ListBullet2"/>
      </w:pPr>
      <w:r w:rsidRPr="006D790D">
        <w:t xml:space="preserve">All batches of </w:t>
      </w:r>
      <w:proofErr w:type="spellStart"/>
      <w:r w:rsidR="00035B9A" w:rsidRPr="006D790D">
        <w:t>Ronapreve</w:t>
      </w:r>
      <w:proofErr w:type="spellEnd"/>
      <w:r w:rsidRPr="006D790D">
        <w:t xml:space="preserve"> supplied in Australia must comply with the product details and specifications approved during evaluation and detailed in the Certified Product Details (CPD).</w:t>
      </w:r>
    </w:p>
    <w:p w14:paraId="44D4FA41" w14:textId="0D14C61D" w:rsidR="0067093F" w:rsidRPr="006D790D" w:rsidRDefault="0067093F" w:rsidP="00EF3566">
      <w:pPr>
        <w:pStyle w:val="ListBullet2"/>
      </w:pPr>
      <w:r w:rsidRPr="006D790D">
        <w:t xml:space="preserve">When requested by the TGA, the </w:t>
      </w:r>
      <w:r w:rsidR="00AE4F58" w:rsidRPr="006D790D">
        <w:t xml:space="preserve">sponsor </w:t>
      </w:r>
      <w:r w:rsidRPr="006D790D">
        <w:t xml:space="preserve">should be prepared to provide product samples, specified reference materials and documentary evidence to enable the TGA to conduct laboratory testing on the </w:t>
      </w:r>
      <w:r w:rsidR="00DC60BC" w:rsidRPr="006D790D">
        <w:t>p</w:t>
      </w:r>
      <w:r w:rsidRPr="006D790D">
        <w:t xml:space="preserve">roduct. Outcomes of laboratory testing are published biannually in the TGA Database of Laboratory Testing Results </w:t>
      </w:r>
      <w:hyperlink r:id="rId19" w:history="1">
        <w:r w:rsidR="00DC60BC" w:rsidRPr="006D790D">
          <w:rPr>
            <w:rStyle w:val="Hyperlink"/>
          </w:rPr>
          <w:t>http://www.tga.gov.au/ws-labs-index</w:t>
        </w:r>
      </w:hyperlink>
      <w:r w:rsidR="00DC60BC" w:rsidRPr="006D790D">
        <w:t xml:space="preserve"> </w:t>
      </w:r>
      <w:r w:rsidRPr="006D790D">
        <w:t>and periodically in testing reports on the TGA website.</w:t>
      </w:r>
    </w:p>
    <w:p w14:paraId="39916B8D" w14:textId="77777777" w:rsidR="0067093F" w:rsidRPr="00084EC5" w:rsidRDefault="0067093F" w:rsidP="00084EC5">
      <w:pPr>
        <w:pStyle w:val="ListBullet"/>
        <w:rPr>
          <w:b/>
          <w:bCs/>
        </w:rPr>
      </w:pPr>
      <w:bookmarkStart w:id="45" w:name="_Toc83996765"/>
      <w:r w:rsidRPr="00084EC5">
        <w:rPr>
          <w:b/>
          <w:bCs/>
        </w:rPr>
        <w:t>Certified Product Details</w:t>
      </w:r>
      <w:bookmarkEnd w:id="45"/>
    </w:p>
    <w:p w14:paraId="1AD7D532" w14:textId="7100F058" w:rsidR="0067093F" w:rsidRPr="006D790D" w:rsidRDefault="0067093F" w:rsidP="00084EC5">
      <w:pPr>
        <w:pStyle w:val="ListBullet2"/>
      </w:pPr>
      <w:r w:rsidRPr="006D790D">
        <w:t xml:space="preserve">The Certified Product Details (CPD), as described in Guidance 7: Certified Product Details of the Australian Regulatory Guidelines for Prescription Medicines (ARGPM) </w:t>
      </w:r>
      <w:hyperlink r:id="rId20" w:history="1">
        <w:r w:rsidR="00EF3566" w:rsidRPr="006D790D">
          <w:rPr>
            <w:rStyle w:val="Hyperlink"/>
          </w:rPr>
          <w:t>http://www.tga.gov.au/industry/pm-argpm-guidance-7.htm</w:t>
        </w:r>
      </w:hyperlink>
      <w:r w:rsidRPr="006D790D">
        <w:t>, in PDF format, for the above products should be provided upon registration of these therapeutic goods. In addition, an updated CPD should be provided when changes to finished product specifications and test methods are approved in a Category 3 application or notified through a self-assessable change.</w:t>
      </w:r>
    </w:p>
    <w:p w14:paraId="320F103F" w14:textId="77777777" w:rsidR="008E7846" w:rsidRPr="006D790D" w:rsidRDefault="008E7846" w:rsidP="008E7846">
      <w:pPr>
        <w:pStyle w:val="Heading3"/>
      </w:pPr>
      <w:bookmarkStart w:id="46" w:name="_Toc314842512"/>
      <w:bookmarkStart w:id="47" w:name="_Toc86748269"/>
      <w:r w:rsidRPr="006D790D">
        <w:t>Nonclinical</w:t>
      </w:r>
      <w:bookmarkEnd w:id="46"/>
      <w:bookmarkEnd w:id="47"/>
    </w:p>
    <w:p w14:paraId="279AACB5" w14:textId="56C3D682" w:rsidR="00EF3566" w:rsidRPr="006D790D" w:rsidRDefault="00EF3566" w:rsidP="00EF3566">
      <w:r w:rsidRPr="006D790D">
        <w:t xml:space="preserve">There are no nonclinical objections to the provisional registration of </w:t>
      </w:r>
      <w:proofErr w:type="spellStart"/>
      <w:r w:rsidRPr="006D790D">
        <w:t>Ronapreve</w:t>
      </w:r>
      <w:proofErr w:type="spellEnd"/>
      <w:r w:rsidRPr="006D790D">
        <w:t>. The summary and conclusions are presented below:</w:t>
      </w:r>
    </w:p>
    <w:p w14:paraId="6D96C7C0" w14:textId="335E4491" w:rsidR="00C73561" w:rsidRPr="006D790D" w:rsidRDefault="00E62D57" w:rsidP="00EF3566">
      <w:pPr>
        <w:pStyle w:val="ListBullet"/>
      </w:pPr>
      <w:r w:rsidRPr="006D790D">
        <w:rPr>
          <w:i/>
          <w:iCs/>
        </w:rPr>
        <w:t>In vitro</w:t>
      </w:r>
      <w:r w:rsidRPr="006D790D">
        <w:t xml:space="preserve"> pharmacology results suggest efficacy against currently circulating variants.</w:t>
      </w:r>
    </w:p>
    <w:p w14:paraId="12BEAFC7" w14:textId="6F412A62" w:rsidR="00E62D57" w:rsidRPr="006D790D" w:rsidRDefault="00E62D57" w:rsidP="00EF3566">
      <w:pPr>
        <w:pStyle w:val="ListBullet"/>
      </w:pPr>
      <w:r w:rsidRPr="006D790D">
        <w:t>Efficacy studies in animal models support the prevention indication but showed limited efficacy for the treatment indication.</w:t>
      </w:r>
    </w:p>
    <w:p w14:paraId="386A305F" w14:textId="3203DB54" w:rsidR="00E62D57" w:rsidRPr="006D790D" w:rsidRDefault="00E62D57" w:rsidP="00EF3566">
      <w:pPr>
        <w:pStyle w:val="ListBullet"/>
      </w:pPr>
      <w:r w:rsidRPr="006D790D">
        <w:t xml:space="preserve">The potential risk of treatment failure due to the development of viral variants that are resistant to </w:t>
      </w:r>
      <w:proofErr w:type="spellStart"/>
      <w:r w:rsidRPr="006D790D">
        <w:t>Ronapreve</w:t>
      </w:r>
      <w:proofErr w:type="spellEnd"/>
      <w:r w:rsidRPr="006D790D">
        <w:t xml:space="preserve"> would need to be monitored clinically.</w:t>
      </w:r>
    </w:p>
    <w:p w14:paraId="5CCE8680" w14:textId="5901E461" w:rsidR="00E62D57" w:rsidRPr="006D790D" w:rsidRDefault="00E62D57" w:rsidP="00EF3566">
      <w:pPr>
        <w:pStyle w:val="ListBullet"/>
      </w:pPr>
      <w:r w:rsidRPr="006D790D">
        <w:lastRenderedPageBreak/>
        <w:t>No toxicity was observed in a study in monkeys at high doses.</w:t>
      </w:r>
    </w:p>
    <w:p w14:paraId="1F2B8A01" w14:textId="6BC6D264" w:rsidR="00C73561" w:rsidRPr="006D790D" w:rsidRDefault="00146C2C" w:rsidP="00EF3566">
      <w:pPr>
        <w:pStyle w:val="ListBullet"/>
      </w:pPr>
      <w:r w:rsidRPr="006D790D">
        <w:t>The</w:t>
      </w:r>
      <w:r w:rsidR="00C73561" w:rsidRPr="006D790D">
        <w:t xml:space="preserve"> nonclinical</w:t>
      </w:r>
      <w:r w:rsidRPr="006D790D">
        <w:t xml:space="preserve"> evaluator has made recommendations with regards to </w:t>
      </w:r>
      <w:r w:rsidR="00C73561" w:rsidRPr="006D790D">
        <w:t>non</w:t>
      </w:r>
      <w:r w:rsidRPr="006D790D">
        <w:t>clinical information included in the PI.</w:t>
      </w:r>
      <w:r w:rsidR="00C73561" w:rsidRPr="006D790D">
        <w:t xml:space="preserve"> The sponsor was required to amend the P</w:t>
      </w:r>
      <w:r w:rsidR="00EF3566" w:rsidRPr="006D790D">
        <w:t>I</w:t>
      </w:r>
      <w:r w:rsidR="00C73561" w:rsidRPr="006D790D">
        <w:t xml:space="preserve"> </w:t>
      </w:r>
      <w:r w:rsidR="00C73561" w:rsidRPr="006D790D">
        <w:rPr>
          <w:color w:val="000000" w:themeColor="text1"/>
        </w:rPr>
        <w:t xml:space="preserve">as </w:t>
      </w:r>
      <w:r w:rsidR="00EF3566" w:rsidRPr="006D790D">
        <w:rPr>
          <w:color w:val="000000" w:themeColor="text1"/>
        </w:rPr>
        <w:t>recommended</w:t>
      </w:r>
      <w:r w:rsidR="00C73561" w:rsidRPr="006D790D">
        <w:rPr>
          <w:color w:val="000000" w:themeColor="text1"/>
        </w:rPr>
        <w:t xml:space="preserve"> by the TGA.</w:t>
      </w:r>
    </w:p>
    <w:p w14:paraId="1597B088" w14:textId="4ECAC141" w:rsidR="00EF3566" w:rsidRPr="006D790D" w:rsidRDefault="00EF3566" w:rsidP="00EF3566">
      <w:pPr>
        <w:pStyle w:val="ListBullet"/>
      </w:pPr>
      <w:r w:rsidRPr="006D790D">
        <w:t xml:space="preserve">There are no objections on nonclinical grounds to the provisional registration of </w:t>
      </w:r>
      <w:proofErr w:type="spellStart"/>
      <w:r w:rsidRPr="006D790D">
        <w:t>Ronapreve</w:t>
      </w:r>
      <w:proofErr w:type="spellEnd"/>
      <w:r w:rsidRPr="006D790D">
        <w:t xml:space="preserve"> for the proposed indication provided efficacy was demonstrated by clinical studies.</w:t>
      </w:r>
    </w:p>
    <w:p w14:paraId="40BC2636" w14:textId="19D891DD" w:rsidR="008E7846" w:rsidRDefault="008E7846" w:rsidP="008E7846">
      <w:pPr>
        <w:pStyle w:val="Heading3"/>
      </w:pPr>
      <w:bookmarkStart w:id="48" w:name="_Toc247691530"/>
      <w:bookmarkStart w:id="49" w:name="_Toc314842513"/>
      <w:bookmarkStart w:id="50" w:name="_Toc86748270"/>
      <w:r w:rsidRPr="006D790D">
        <w:t>Clinical</w:t>
      </w:r>
      <w:bookmarkEnd w:id="48"/>
      <w:bookmarkEnd w:id="49"/>
      <w:bookmarkEnd w:id="50"/>
    </w:p>
    <w:bookmarkStart w:id="51" w:name="_Toc314842514"/>
    <w:p w14:paraId="3BB95EB6" w14:textId="14EC0B47" w:rsidR="00146C2C" w:rsidRPr="006D790D" w:rsidRDefault="00B8548B" w:rsidP="001F3DD1">
      <w:r w:rsidRPr="006D790D">
        <w:fldChar w:fldCharType="begin"/>
      </w:r>
      <w:r w:rsidRPr="006D790D">
        <w:instrText xml:space="preserve"> REF _Ref85138190 \h </w:instrText>
      </w:r>
      <w:r w:rsidR="006D790D">
        <w:instrText xml:space="preserve"> \* MERGEFORMAT </w:instrText>
      </w:r>
      <w:r w:rsidRPr="006D790D">
        <w:fldChar w:fldCharType="separate"/>
      </w:r>
      <w:r w:rsidR="007F1879" w:rsidRPr="006D790D">
        <w:t xml:space="preserve">Table </w:t>
      </w:r>
      <w:r w:rsidR="007F1879">
        <w:rPr>
          <w:noProof/>
        </w:rPr>
        <w:t>3</w:t>
      </w:r>
      <w:r w:rsidRPr="006D790D">
        <w:fldChar w:fldCharType="end"/>
      </w:r>
      <w:r w:rsidR="00146C2C" w:rsidRPr="006D790D">
        <w:t xml:space="preserve"> </w:t>
      </w:r>
      <w:r w:rsidR="00EF3566" w:rsidRPr="006D790D">
        <w:t xml:space="preserve">below </w:t>
      </w:r>
      <w:r w:rsidR="00146C2C" w:rsidRPr="006D790D">
        <w:t xml:space="preserve">summarised the studies contributing to this submission. Please note that </w:t>
      </w:r>
      <w:r w:rsidR="00EF3566" w:rsidRPr="006D790D">
        <w:t>Study </w:t>
      </w:r>
      <w:r w:rsidR="00146C2C" w:rsidRPr="006D790D">
        <w:t xml:space="preserve">COV-2066 will not be discussed in this </w:t>
      </w:r>
      <w:r w:rsidR="00EF3566" w:rsidRPr="006D790D">
        <w:t>o</w:t>
      </w:r>
      <w:r w:rsidR="00146C2C" w:rsidRPr="006D790D">
        <w:t xml:space="preserve">verview as this study is for hospitalised COVID-19 patients which is not related to the proposed indication for this submission. In </w:t>
      </w:r>
      <w:r w:rsidR="00EF3566" w:rsidRPr="006D790D">
        <w:t>Study </w:t>
      </w:r>
      <w:r w:rsidR="00146C2C" w:rsidRPr="006D790D">
        <w:t>COV-2066, seronegative hospitalised (≤ 72 hours) patients within 10</w:t>
      </w:r>
      <w:r w:rsidR="00EF3566" w:rsidRPr="006D790D">
        <w:t> </w:t>
      </w:r>
      <w:r w:rsidR="00146C2C" w:rsidRPr="006D790D">
        <w:t>days of COVID</w:t>
      </w:r>
      <w:r w:rsidR="00EF3566" w:rsidRPr="006D790D">
        <w:noBreakHyphen/>
      </w:r>
      <w:r w:rsidR="00146C2C" w:rsidRPr="006D790D">
        <w:t>19 symptom onset who were on low flow oxygen (Cohort 1, median 63</w:t>
      </w:r>
      <w:r w:rsidR="00EF3566" w:rsidRPr="006D790D">
        <w:t> </w:t>
      </w:r>
      <w:r w:rsidR="00146C2C" w:rsidRPr="006D790D">
        <w:t xml:space="preserve">years old) received a single </w:t>
      </w:r>
      <w:r w:rsidR="00EF3566" w:rsidRPr="006D790D">
        <w:t>intravenous</w:t>
      </w:r>
      <w:r w:rsidR="00146C2C" w:rsidRPr="006D790D">
        <w:t xml:space="preserve"> dose of </w:t>
      </w:r>
      <w:proofErr w:type="spellStart"/>
      <w:r w:rsidR="00146C2C" w:rsidRPr="006D790D">
        <w:t>casirivimab</w:t>
      </w:r>
      <w:proofErr w:type="spellEnd"/>
      <w:r w:rsidR="00146C2C" w:rsidRPr="006D790D">
        <w:t xml:space="preserve"> </w:t>
      </w:r>
      <w:r w:rsidR="00EF3566" w:rsidRPr="006D790D">
        <w:t xml:space="preserve">and </w:t>
      </w:r>
      <w:proofErr w:type="spellStart"/>
      <w:r w:rsidR="00146C2C" w:rsidRPr="006D790D">
        <w:t>imdevimab</w:t>
      </w:r>
      <w:proofErr w:type="spellEnd"/>
      <w:r w:rsidR="00146C2C" w:rsidRPr="006D790D">
        <w:t xml:space="preserve"> 2400</w:t>
      </w:r>
      <w:r w:rsidR="00EF3566" w:rsidRPr="006D790D">
        <w:t> </w:t>
      </w:r>
      <w:r w:rsidR="00146C2C" w:rsidRPr="006D790D">
        <w:t>mg or 8000</w:t>
      </w:r>
      <w:r w:rsidR="00EF3566" w:rsidRPr="006D790D">
        <w:t> </w:t>
      </w:r>
      <w:r w:rsidR="00146C2C" w:rsidRPr="006D790D">
        <w:t>mg. In an interim analysis with a minimum 8 days of follow</w:t>
      </w:r>
      <w:r w:rsidR="00303D77" w:rsidRPr="006D790D">
        <w:t>-</w:t>
      </w:r>
      <w:r w:rsidR="00146C2C" w:rsidRPr="006D790D">
        <w:t xml:space="preserve">up, futility </w:t>
      </w:r>
      <w:r w:rsidR="00EF3566" w:rsidRPr="006D790D">
        <w:t>versus</w:t>
      </w:r>
      <w:r w:rsidR="00146C2C" w:rsidRPr="006D790D">
        <w:t xml:space="preserve"> placebo was excluded, with a 22% reduction in the risk of death or mechanical ventilation (p = 0.23, below the pre-specified α = 0.3); however, sample sizes were too small (</w:t>
      </w:r>
      <w:r w:rsidR="00EF3566" w:rsidRPr="006D790D">
        <w:t>modified full analysis set (</w:t>
      </w:r>
      <w:proofErr w:type="spellStart"/>
      <w:r w:rsidR="00146C2C" w:rsidRPr="006D790D">
        <w:t>mFAS</w:t>
      </w:r>
      <w:proofErr w:type="spellEnd"/>
      <w:r w:rsidR="00EF3566" w:rsidRPr="006D790D">
        <w:t>)</w:t>
      </w:r>
      <w:r w:rsidR="00146C2C" w:rsidRPr="006D790D">
        <w:t>: n = 533) to definitively demonstrate clinical efficacy.</w:t>
      </w:r>
    </w:p>
    <w:p w14:paraId="7BFD4043" w14:textId="67D1836F" w:rsidR="009C02F2" w:rsidRDefault="00B8548B" w:rsidP="009C02F2">
      <w:pPr>
        <w:pStyle w:val="TableTitle"/>
      </w:pPr>
      <w:bookmarkStart w:id="52" w:name="_Ref85138190"/>
      <w:r w:rsidRPr="006D790D">
        <w:lastRenderedPageBreak/>
        <w:t xml:space="preserve">Table </w:t>
      </w:r>
      <w:fldSimple w:instr=" SEQ Table \* ARABIC ">
        <w:r w:rsidR="007F1879">
          <w:rPr>
            <w:noProof/>
          </w:rPr>
          <w:t>3</w:t>
        </w:r>
      </w:fldSimple>
      <w:bookmarkEnd w:id="52"/>
      <w:r w:rsidR="00146C2C" w:rsidRPr="006D790D">
        <w:t xml:space="preserve">: Overview of </w:t>
      </w:r>
      <w:r w:rsidR="00CB04FD">
        <w:t>c</w:t>
      </w:r>
      <w:r w:rsidR="00146C2C" w:rsidRPr="006D790D">
        <w:t>linical studies</w:t>
      </w:r>
    </w:p>
    <w:p w14:paraId="03B1A898" w14:textId="78DD335E" w:rsidR="000E0D00" w:rsidRDefault="000E0D00" w:rsidP="00084EC5">
      <w:r>
        <w:rPr>
          <w:noProof/>
        </w:rPr>
        <w:drawing>
          <wp:inline distT="0" distB="0" distL="0" distR="0" wp14:anchorId="1A17E13A" wp14:editId="504B5EB5">
            <wp:extent cx="5399405" cy="6471285"/>
            <wp:effectExtent l="0" t="0" r="0" b="5715"/>
            <wp:docPr id="29" name="Picture 29" descr="Overview of clinic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Overview of clinical studi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9405" cy="6471285"/>
                    </a:xfrm>
                    <a:prstGeom prst="rect">
                      <a:avLst/>
                    </a:prstGeom>
                    <a:noFill/>
                    <a:ln>
                      <a:noFill/>
                    </a:ln>
                  </pic:spPr>
                </pic:pic>
              </a:graphicData>
            </a:graphic>
          </wp:inline>
        </w:drawing>
      </w:r>
    </w:p>
    <w:p w14:paraId="7D02C4CA" w14:textId="2D7030F2" w:rsidR="00055FD4" w:rsidRDefault="00055FD4" w:rsidP="00BB0979">
      <w:pPr>
        <w:pStyle w:val="TableDescription"/>
      </w:pPr>
      <w:r>
        <w:t xml:space="preserve">COV-2067 = Study COV-2067; </w:t>
      </w:r>
      <w:r w:rsidRPr="00055FD4">
        <w:t>SARS-CoV-2</w:t>
      </w:r>
      <w:r>
        <w:t xml:space="preserve"> = </w:t>
      </w:r>
      <w:r w:rsidR="00294E7B">
        <w:t>s</w:t>
      </w:r>
      <w:r w:rsidRPr="00055FD4">
        <w:t>evere acute respiratory syndrome coronavirus 2</w:t>
      </w:r>
      <w:r>
        <w:t xml:space="preserve">; </w:t>
      </w:r>
      <w:proofErr w:type="spellStart"/>
      <w:r w:rsidR="00294E7B">
        <w:t>mAb</w:t>
      </w:r>
      <w:proofErr w:type="spellEnd"/>
      <w:r w:rsidR="00294E7B">
        <w:t> = m</w:t>
      </w:r>
      <w:r w:rsidR="00294E7B" w:rsidRPr="00294E7B">
        <w:t>onoclonal antibody</w:t>
      </w:r>
      <w:r w:rsidR="00294E7B">
        <w:t>; IV = intravenous; COV-20145 = Study COV</w:t>
      </w:r>
      <w:r w:rsidR="00294E7B">
        <w:noBreakHyphen/>
        <w:t>20145; SC = subcutaneous; COV</w:t>
      </w:r>
      <w:r w:rsidR="00294E7B">
        <w:noBreakHyphen/>
        <w:t>2066 = Study COV-2066; RT-qPCR = r</w:t>
      </w:r>
      <w:r w:rsidR="00294E7B" w:rsidRPr="00294E7B">
        <w:t>everse transcription quantitative real time polymerase chain reaction</w:t>
      </w:r>
      <w:r w:rsidR="00294E7B">
        <w:t>; COV-2069 = Study COV-2069; HV-2093 = Study HV-2093; Q4W= every 4 weeks.</w:t>
      </w:r>
    </w:p>
    <w:p w14:paraId="7D26CA44" w14:textId="5CCB4429" w:rsidR="00055FD4" w:rsidRDefault="00055FD4" w:rsidP="00BB0979">
      <w:pPr>
        <w:pStyle w:val="TableDescription"/>
      </w:pPr>
      <w:r>
        <w:t xml:space="preserve">a Per Independent Data Monitoring Committee (IDMC) recommendation, as of 25 </w:t>
      </w:r>
      <w:proofErr w:type="spellStart"/>
      <w:r>
        <w:t>Febuary</w:t>
      </w:r>
      <w:proofErr w:type="spellEnd"/>
      <w:r>
        <w:t xml:space="preserve"> 2021, patients will no longer be randomised to placebo.</w:t>
      </w:r>
    </w:p>
    <w:p w14:paraId="5EED751D" w14:textId="49D3F740" w:rsidR="00146C2C" w:rsidRPr="006D790D" w:rsidRDefault="00146C2C" w:rsidP="00E242C3">
      <w:pPr>
        <w:pStyle w:val="Heading4"/>
        <w:rPr>
          <w:rFonts w:ascii="Times New Roman" w:eastAsiaTheme="minorHAnsi" w:hAnsi="Times New Roman"/>
          <w:b w:val="0"/>
          <w:bCs w:val="0"/>
          <w:sz w:val="24"/>
          <w:szCs w:val="24"/>
        </w:rPr>
      </w:pPr>
      <w:bookmarkStart w:id="53" w:name="_Toc84071955"/>
      <w:bookmarkStart w:id="54" w:name="_Hlk81313527"/>
      <w:r w:rsidRPr="006D790D">
        <w:t>Pharmacokinetics</w:t>
      </w:r>
      <w:bookmarkEnd w:id="53"/>
    </w:p>
    <w:p w14:paraId="56B2C19C" w14:textId="490A287F" w:rsidR="00146C2C" w:rsidRPr="006D790D" w:rsidRDefault="00146C2C" w:rsidP="001F3DD1">
      <w:bookmarkStart w:id="55" w:name="_Hlk81220853"/>
      <w:r w:rsidRPr="006D790D">
        <w:t xml:space="preserve">The </w:t>
      </w:r>
      <w:r w:rsidR="00216A81" w:rsidRPr="006D790D">
        <w:t>pharmacokinetics (</w:t>
      </w:r>
      <w:r w:rsidRPr="006D790D">
        <w:t>PK</w:t>
      </w:r>
      <w:r w:rsidR="00216A81" w:rsidRPr="006D790D">
        <w:t>)</w:t>
      </w:r>
      <w:r w:rsidRPr="006D790D">
        <w:t xml:space="preserve"> of </w:t>
      </w:r>
      <w:proofErr w:type="spellStart"/>
      <w:r w:rsidRPr="006D790D">
        <w:t>casirivimab</w:t>
      </w:r>
      <w:proofErr w:type="spellEnd"/>
      <w:r w:rsidRPr="006D790D">
        <w:t xml:space="preserve"> and </w:t>
      </w:r>
      <w:proofErr w:type="spellStart"/>
      <w:r w:rsidRPr="006D790D">
        <w:t>imdevimab</w:t>
      </w:r>
      <w:proofErr w:type="spellEnd"/>
      <w:r w:rsidRPr="006D790D">
        <w:t xml:space="preserve"> were assessed in 3 single</w:t>
      </w:r>
      <w:r w:rsidR="00216A81" w:rsidRPr="006D790D">
        <w:t xml:space="preserve"> </w:t>
      </w:r>
      <w:r w:rsidRPr="006D790D">
        <w:t>dose studies (</w:t>
      </w:r>
      <w:r w:rsidR="00216A81" w:rsidRPr="006D790D">
        <w:t xml:space="preserve">Studies </w:t>
      </w:r>
      <w:r w:rsidRPr="006D790D">
        <w:t>COV-20145, COV-2067, and COV-2069) and one repeat dose study (</w:t>
      </w:r>
      <w:r w:rsidR="00216A81" w:rsidRPr="006D790D">
        <w:t>Study </w:t>
      </w:r>
      <w:r w:rsidRPr="006D790D">
        <w:t>HV-2093).</w:t>
      </w:r>
      <w:bookmarkEnd w:id="54"/>
    </w:p>
    <w:p w14:paraId="22BA62FA" w14:textId="5556C773" w:rsidR="00146C2C" w:rsidRPr="006D790D" w:rsidRDefault="00216A81" w:rsidP="00E242C3">
      <w:pPr>
        <w:pStyle w:val="Heading5"/>
        <w:rPr>
          <w:rFonts w:eastAsia="Minion-Regular"/>
        </w:rPr>
      </w:pPr>
      <w:bookmarkStart w:id="56" w:name="_Toc84071956"/>
      <w:bookmarkEnd w:id="55"/>
      <w:r w:rsidRPr="006D790D">
        <w:rPr>
          <w:rFonts w:eastAsiaTheme="minorHAnsi"/>
        </w:rPr>
        <w:lastRenderedPageBreak/>
        <w:t>Study </w:t>
      </w:r>
      <w:r w:rsidR="00146C2C" w:rsidRPr="006D790D">
        <w:rPr>
          <w:rFonts w:eastAsiaTheme="minorHAnsi"/>
        </w:rPr>
        <w:t>COV-20145</w:t>
      </w:r>
      <w:bookmarkEnd w:id="56"/>
      <w:r w:rsidR="009C02F2">
        <w:rPr>
          <w:rFonts w:eastAsiaTheme="minorHAnsi"/>
        </w:rPr>
        <w:t xml:space="preserve"> p</w:t>
      </w:r>
      <w:r w:rsidR="00825B6E">
        <w:rPr>
          <w:rFonts w:eastAsiaTheme="minorHAnsi"/>
        </w:rPr>
        <w:t>harmacokinetics</w:t>
      </w:r>
      <w:r w:rsidR="009C02F2" w:rsidRPr="006D790D">
        <w:rPr>
          <w:rFonts w:eastAsiaTheme="minorHAnsi"/>
        </w:rPr>
        <w:t xml:space="preserve"> analysis</w:t>
      </w:r>
    </w:p>
    <w:p w14:paraId="6373DA79" w14:textId="09785109" w:rsidR="00146C2C" w:rsidRPr="006D790D" w:rsidRDefault="00146C2C" w:rsidP="001F3DD1">
      <w:r w:rsidRPr="006D790D">
        <w:t>Prior to initiating</w:t>
      </w:r>
      <w:r w:rsidR="00216A81" w:rsidRPr="006D790D">
        <w:t xml:space="preserve"> Study </w:t>
      </w:r>
      <w:r w:rsidRPr="006D790D">
        <w:t xml:space="preserve">COV-20145, available data from </w:t>
      </w:r>
      <w:r w:rsidR="00216A81" w:rsidRPr="006D790D">
        <w:t>Study </w:t>
      </w:r>
      <w:r w:rsidRPr="006D790D">
        <w:t xml:space="preserve">COV-2067 showed that </w:t>
      </w:r>
      <w:proofErr w:type="spellStart"/>
      <w:r w:rsidRPr="006D790D">
        <w:t>casirivimab</w:t>
      </w:r>
      <w:proofErr w:type="spellEnd"/>
      <w:r w:rsidR="00EA28EF" w:rsidRPr="006D790D">
        <w:t>/</w:t>
      </w:r>
      <w:proofErr w:type="spellStart"/>
      <w:r w:rsidRPr="006D790D">
        <w:t>imdevimab</w:t>
      </w:r>
      <w:proofErr w:type="spellEnd"/>
      <w:r w:rsidRPr="006D790D">
        <w:t xml:space="preserve"> provided similar efficacy when given as 2400</w:t>
      </w:r>
      <w:r w:rsidR="00F43ACD" w:rsidRPr="006D790D">
        <w:t> </w:t>
      </w:r>
      <w:r w:rsidRPr="006D790D">
        <w:t>mg or 8000</w:t>
      </w:r>
      <w:r w:rsidR="00F43ACD" w:rsidRPr="006D790D">
        <w:t> </w:t>
      </w:r>
      <w:r w:rsidRPr="006D790D">
        <w:t xml:space="preserve">mg </w:t>
      </w:r>
      <w:r w:rsidR="00F43ACD" w:rsidRPr="006D790D">
        <w:t>intravenous</w:t>
      </w:r>
      <w:r w:rsidRPr="006D790D">
        <w:t xml:space="preserve"> single</w:t>
      </w:r>
      <w:r w:rsidR="00F43ACD" w:rsidRPr="006D790D">
        <w:t xml:space="preserve"> </w:t>
      </w:r>
      <w:r w:rsidRPr="006D790D">
        <w:t xml:space="preserve">dose regimens. In </w:t>
      </w:r>
      <w:r w:rsidR="00F43ACD" w:rsidRPr="006D790D">
        <w:t xml:space="preserve">Study </w:t>
      </w:r>
      <w:r w:rsidRPr="006D790D">
        <w:t xml:space="preserve">COV-20145, the </w:t>
      </w:r>
      <w:r w:rsidR="008D531C" w:rsidRPr="006D790D">
        <w:t>P</w:t>
      </w:r>
      <w:r w:rsidRPr="006D790D">
        <w:t xml:space="preserve">hase </w:t>
      </w:r>
      <w:r w:rsidR="008D531C" w:rsidRPr="006D790D">
        <w:t>II</w:t>
      </w:r>
      <w:r w:rsidRPr="006D790D">
        <w:t xml:space="preserve"> randomi</w:t>
      </w:r>
      <w:r w:rsidR="00AF6815" w:rsidRPr="006D790D">
        <w:t>s</w:t>
      </w:r>
      <w:r w:rsidRPr="006D790D">
        <w:t>ed, double</w:t>
      </w:r>
      <w:r w:rsidR="00F43ACD" w:rsidRPr="006D790D">
        <w:t xml:space="preserve"> </w:t>
      </w:r>
      <w:r w:rsidRPr="006D790D">
        <w:t xml:space="preserve">blind, placebo controlled study, additional lower </w:t>
      </w:r>
      <w:r w:rsidR="00F43ACD" w:rsidRPr="006D790D">
        <w:t xml:space="preserve">intravenous </w:t>
      </w:r>
      <w:r w:rsidRPr="006D790D">
        <w:t xml:space="preserve">single-dose regimens, as well as </w:t>
      </w:r>
      <w:r w:rsidR="00F43ACD" w:rsidRPr="006D790D">
        <w:t xml:space="preserve">subcutaneous </w:t>
      </w:r>
      <w:r w:rsidRPr="006D790D">
        <w:t>single-dose regimens, were evaluated in adult, non-hospitali</w:t>
      </w:r>
      <w:r w:rsidR="00AF6815" w:rsidRPr="006D790D">
        <w:t>s</w:t>
      </w:r>
      <w:r w:rsidRPr="006D790D">
        <w:t xml:space="preserve">ed participants with SARS-CoV-2 infection to assess the virologic efficacy, safety, and tolerability at lower doses. An aim of this study was to identify a lower dose regimen capable of demonstrating similar virologic efficacy as seen with the 2400 mg </w:t>
      </w:r>
      <w:r w:rsidR="00F43ACD" w:rsidRPr="006D790D">
        <w:t>intravenous</w:t>
      </w:r>
      <w:r w:rsidRPr="006D790D">
        <w:t xml:space="preserve"> dose in </w:t>
      </w:r>
      <w:r w:rsidR="00316746" w:rsidRPr="006D790D">
        <w:t>Study </w:t>
      </w:r>
      <w:r w:rsidRPr="006D790D">
        <w:t>COV-2067. Eligible participants were randomi</w:t>
      </w:r>
      <w:r w:rsidR="00AF6815" w:rsidRPr="006D790D">
        <w:t>s</w:t>
      </w:r>
      <w:r w:rsidRPr="006D790D">
        <w:t xml:space="preserve">ed to receive a single dose of </w:t>
      </w:r>
      <w:proofErr w:type="spellStart"/>
      <w:r w:rsidRPr="006D790D">
        <w:t>casirivimab</w:t>
      </w:r>
      <w:proofErr w:type="spellEnd"/>
      <w:r w:rsidR="00EA28EF" w:rsidRPr="006D790D">
        <w:t>/</w:t>
      </w:r>
      <w:proofErr w:type="spellStart"/>
      <w:r w:rsidRPr="006D790D">
        <w:t>imdevimab</w:t>
      </w:r>
      <w:proofErr w:type="spellEnd"/>
      <w:r w:rsidRPr="006D790D">
        <w:t xml:space="preserve"> or placebo by </w:t>
      </w:r>
      <w:r w:rsidR="00F43ACD" w:rsidRPr="006D790D">
        <w:t>intravenous</w:t>
      </w:r>
      <w:r w:rsidRPr="006D790D">
        <w:t xml:space="preserve"> or </w:t>
      </w:r>
      <w:r w:rsidR="00F43ACD" w:rsidRPr="006D790D">
        <w:t>subcutaneous</w:t>
      </w:r>
      <w:r w:rsidRPr="006D790D">
        <w:t xml:space="preserve"> route</w:t>
      </w:r>
      <w:r w:rsidR="009C02F2">
        <w:t>. Study intervention and route of administration randomisation ratio is shown in</w:t>
      </w:r>
      <w:r w:rsidRPr="006D790D">
        <w:t xml:space="preserve"> </w:t>
      </w:r>
      <w:r w:rsidR="00D5326E" w:rsidRPr="006D790D">
        <w:fldChar w:fldCharType="begin"/>
      </w:r>
      <w:r w:rsidR="00D5326E" w:rsidRPr="006D790D">
        <w:instrText xml:space="preserve"> REF _Ref85138259 \h </w:instrText>
      </w:r>
      <w:r w:rsidR="006D790D">
        <w:instrText xml:space="preserve"> \* MERGEFORMAT </w:instrText>
      </w:r>
      <w:r w:rsidR="00D5326E" w:rsidRPr="006D790D">
        <w:fldChar w:fldCharType="separate"/>
      </w:r>
      <w:r w:rsidR="007F1879" w:rsidRPr="006D790D">
        <w:t xml:space="preserve">Table </w:t>
      </w:r>
      <w:r w:rsidR="007F1879">
        <w:rPr>
          <w:noProof/>
        </w:rPr>
        <w:t>4</w:t>
      </w:r>
      <w:r w:rsidR="00D5326E" w:rsidRPr="006D790D">
        <w:fldChar w:fldCharType="end"/>
      </w:r>
      <w:r w:rsidR="009C02F2">
        <w:t>, below</w:t>
      </w:r>
      <w:r w:rsidRPr="006D790D">
        <w:t>.</w:t>
      </w:r>
    </w:p>
    <w:p w14:paraId="6E914300" w14:textId="1A96E144" w:rsidR="00146C2C" w:rsidRDefault="00D5326E" w:rsidP="006857B4">
      <w:pPr>
        <w:pStyle w:val="TableTitle"/>
      </w:pPr>
      <w:bookmarkStart w:id="57" w:name="_Ref85138259"/>
      <w:r w:rsidRPr="006D790D">
        <w:t xml:space="preserve">Table </w:t>
      </w:r>
      <w:fldSimple w:instr=" SEQ Table \* ARABIC ">
        <w:r w:rsidR="007F1879">
          <w:rPr>
            <w:noProof/>
          </w:rPr>
          <w:t>4</w:t>
        </w:r>
      </w:fldSimple>
      <w:bookmarkEnd w:id="57"/>
      <w:r w:rsidR="00146C2C" w:rsidRPr="006D790D">
        <w:t xml:space="preserve">: </w:t>
      </w:r>
      <w:r w:rsidR="006857B4" w:rsidRPr="006D790D">
        <w:t>Study </w:t>
      </w:r>
      <w:r w:rsidR="006857B4" w:rsidRPr="006D790D">
        <w:rPr>
          <w:rFonts w:cs="Minion-Bold"/>
        </w:rPr>
        <w:t xml:space="preserve">COV-20145 </w:t>
      </w:r>
      <w:r w:rsidR="00146C2C" w:rsidRPr="006D790D">
        <w:t>Study arm assignment</w:t>
      </w:r>
    </w:p>
    <w:p w14:paraId="3066FEB6" w14:textId="0FEEF480" w:rsidR="000E0D00" w:rsidRPr="006D790D" w:rsidRDefault="00BE7722" w:rsidP="00084EC5">
      <w:r>
        <w:rPr>
          <w:noProof/>
        </w:rPr>
        <w:drawing>
          <wp:inline distT="0" distB="0" distL="0" distR="0" wp14:anchorId="757AEB02" wp14:editId="35B4B302">
            <wp:extent cx="5399405" cy="1638300"/>
            <wp:effectExtent l="0" t="0" r="0" b="0"/>
            <wp:docPr id="37" name="Picture 37" descr="Study COV-20145 Study arm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tudy COV-20145 Study arm assignmen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9405" cy="1638300"/>
                    </a:xfrm>
                    <a:prstGeom prst="rect">
                      <a:avLst/>
                    </a:prstGeom>
                    <a:noFill/>
                    <a:ln>
                      <a:noFill/>
                    </a:ln>
                  </pic:spPr>
                </pic:pic>
              </a:graphicData>
            </a:graphic>
          </wp:inline>
        </w:drawing>
      </w:r>
    </w:p>
    <w:p w14:paraId="372B8EE7" w14:textId="15871910" w:rsidR="00C45B54" w:rsidRPr="009C45A3" w:rsidRDefault="00C45B54" w:rsidP="009C45A3">
      <w:pPr>
        <w:pStyle w:val="TableDescription"/>
      </w:pPr>
      <w:r w:rsidRPr="009C45A3">
        <w:t>IV = intravenous; SC = subcutaneous.</w:t>
      </w:r>
    </w:p>
    <w:p w14:paraId="4FDC458F" w14:textId="7D2E72AC" w:rsidR="00146C2C" w:rsidRPr="006D790D" w:rsidRDefault="00146C2C" w:rsidP="001F3DD1">
      <w:r w:rsidRPr="006D790D">
        <w:t>A total of 815 subjects were randomi</w:t>
      </w:r>
      <w:r w:rsidR="00AF6815" w:rsidRPr="006D790D">
        <w:t>s</w:t>
      </w:r>
      <w:r w:rsidRPr="006D790D">
        <w:t>ed to 1 of 8 study arms. As of the cut-off date (8</w:t>
      </w:r>
      <w:r w:rsidR="009C02F2">
        <w:t> </w:t>
      </w:r>
      <w:r w:rsidR="00F66D16" w:rsidRPr="006D790D">
        <w:t>February</w:t>
      </w:r>
      <w:r w:rsidRPr="006D790D">
        <w:t xml:space="preserve"> 2021), a total of 803 participants completed the Day 7 visit and more than one third of the 803 participants completed the Day 29 visit.</w:t>
      </w:r>
    </w:p>
    <w:p w14:paraId="5EC3843F" w14:textId="728D8219" w:rsidR="00146C2C" w:rsidRPr="006D790D" w:rsidRDefault="00146C2C" w:rsidP="001F3DD1">
      <w:r w:rsidRPr="006D790D">
        <w:t xml:space="preserve">The results showed that the mean concentrations of </w:t>
      </w:r>
      <w:proofErr w:type="spellStart"/>
      <w:r w:rsidRPr="006D790D">
        <w:t>casirivimab</w:t>
      </w:r>
      <w:proofErr w:type="spellEnd"/>
      <w:r w:rsidRPr="006D790D">
        <w:t xml:space="preserve">, </w:t>
      </w:r>
      <w:proofErr w:type="spellStart"/>
      <w:r w:rsidRPr="006D790D">
        <w:t>imdevimab</w:t>
      </w:r>
      <w:proofErr w:type="spellEnd"/>
      <w:r w:rsidRPr="006D790D">
        <w:t xml:space="preserve">, and </w:t>
      </w:r>
      <w:proofErr w:type="spellStart"/>
      <w:r w:rsidRPr="006D790D">
        <w:t>casirivimab</w:t>
      </w:r>
      <w:proofErr w:type="spellEnd"/>
      <w:r w:rsidR="00EA28EF" w:rsidRPr="006D790D">
        <w:t>/</w:t>
      </w:r>
      <w:proofErr w:type="spellStart"/>
      <w:r w:rsidRPr="006D790D">
        <w:t>imdevimab</w:t>
      </w:r>
      <w:proofErr w:type="spellEnd"/>
      <w:r w:rsidRPr="006D790D">
        <w:t xml:space="preserve"> increased dose</w:t>
      </w:r>
      <w:r w:rsidR="00F66D16" w:rsidRPr="006D790D">
        <w:t xml:space="preserve"> </w:t>
      </w:r>
      <w:r w:rsidRPr="006D790D">
        <w:t xml:space="preserve">proportionally for all </w:t>
      </w:r>
      <w:r w:rsidR="00F43ACD" w:rsidRPr="006D790D">
        <w:t>intravenous</w:t>
      </w:r>
      <w:r w:rsidRPr="006D790D">
        <w:t xml:space="preserve"> and </w:t>
      </w:r>
      <w:r w:rsidR="00F43ACD" w:rsidRPr="006D790D">
        <w:t>subcutaneous</w:t>
      </w:r>
      <w:r w:rsidRPr="006D790D">
        <w:t xml:space="preserve"> doses tested, indicating linear </w:t>
      </w:r>
      <w:r w:rsidR="00216A81" w:rsidRPr="006D790D">
        <w:t>PK</w:t>
      </w:r>
      <w:r w:rsidRPr="006D790D">
        <w:t xml:space="preserve">. The concentrations of </w:t>
      </w:r>
      <w:proofErr w:type="spellStart"/>
      <w:r w:rsidRPr="006D790D">
        <w:t>casirivimab</w:t>
      </w:r>
      <w:proofErr w:type="spellEnd"/>
      <w:r w:rsidRPr="006D790D">
        <w:t xml:space="preserve">, </w:t>
      </w:r>
      <w:proofErr w:type="spellStart"/>
      <w:r w:rsidRPr="006D790D">
        <w:t>imdevimab</w:t>
      </w:r>
      <w:proofErr w:type="spellEnd"/>
      <w:r w:rsidRPr="006D790D">
        <w:t xml:space="preserve">, and combined </w:t>
      </w:r>
      <w:proofErr w:type="spellStart"/>
      <w:r w:rsidRPr="006D790D">
        <w:t>casirivimab</w:t>
      </w:r>
      <w:proofErr w:type="spellEnd"/>
      <w:r w:rsidR="00EA28EF" w:rsidRPr="006D790D">
        <w:t>/</w:t>
      </w:r>
      <w:proofErr w:type="spellStart"/>
      <w:r w:rsidRPr="006D790D">
        <w:t>imdevimab</w:t>
      </w:r>
      <w:proofErr w:type="spellEnd"/>
      <w:r w:rsidRPr="006D790D">
        <w:t xml:space="preserve"> declined over time in parallel, following </w:t>
      </w:r>
      <w:r w:rsidR="00F43ACD" w:rsidRPr="006D790D">
        <w:t>intravenous</w:t>
      </w:r>
      <w:r w:rsidRPr="006D790D">
        <w:t xml:space="preserve"> or </w:t>
      </w:r>
      <w:r w:rsidR="00F43ACD" w:rsidRPr="006D790D">
        <w:t>subcutaneous</w:t>
      </w:r>
      <w:r w:rsidRPr="006D790D">
        <w:t xml:space="preserve"> administration</w:t>
      </w:r>
      <w:r w:rsidR="009C02F2">
        <w:t xml:space="preserve">, as shown in </w:t>
      </w:r>
      <w:r w:rsidR="00D5326E" w:rsidRPr="006D790D">
        <w:fldChar w:fldCharType="begin"/>
      </w:r>
      <w:r w:rsidR="00D5326E" w:rsidRPr="006D790D">
        <w:instrText xml:space="preserve"> REF _Ref85139097 \h </w:instrText>
      </w:r>
      <w:r w:rsidR="006D790D">
        <w:instrText xml:space="preserve"> \* MERGEFORMAT </w:instrText>
      </w:r>
      <w:r w:rsidR="00D5326E" w:rsidRPr="006D790D">
        <w:fldChar w:fldCharType="separate"/>
      </w:r>
      <w:r w:rsidR="007F1879" w:rsidRPr="006D790D">
        <w:t xml:space="preserve">Figure </w:t>
      </w:r>
      <w:r w:rsidR="007F1879">
        <w:rPr>
          <w:noProof/>
        </w:rPr>
        <w:t>3</w:t>
      </w:r>
      <w:r w:rsidR="00D5326E" w:rsidRPr="006D790D">
        <w:fldChar w:fldCharType="end"/>
      </w:r>
      <w:r w:rsidR="009C02F2">
        <w:t>, below</w:t>
      </w:r>
      <w:r w:rsidRPr="006D790D">
        <w:t>.</w:t>
      </w:r>
    </w:p>
    <w:p w14:paraId="0DB54F4A" w14:textId="5C56D054" w:rsidR="00146C2C" w:rsidRDefault="00D5326E" w:rsidP="003C331A">
      <w:pPr>
        <w:pStyle w:val="FigureTitle"/>
      </w:pPr>
      <w:bookmarkStart w:id="58" w:name="_Ref85139097"/>
      <w:r w:rsidRPr="006D790D">
        <w:lastRenderedPageBreak/>
        <w:t xml:space="preserve">Figure </w:t>
      </w:r>
      <w:fldSimple w:instr=" SEQ Figure \* ARABIC ">
        <w:r w:rsidR="007F1879">
          <w:rPr>
            <w:noProof/>
          </w:rPr>
          <w:t>3</w:t>
        </w:r>
      </w:fldSimple>
      <w:bookmarkEnd w:id="58"/>
      <w:r w:rsidR="00146C2C" w:rsidRPr="006D790D">
        <w:t xml:space="preserve">: </w:t>
      </w:r>
      <w:r w:rsidR="003C331A" w:rsidRPr="006D790D">
        <w:t>Study </w:t>
      </w:r>
      <w:r w:rsidR="003C331A" w:rsidRPr="006D790D">
        <w:rPr>
          <w:rFonts w:cs="Minion-Bold"/>
        </w:rPr>
        <w:t xml:space="preserve">COV-20145 </w:t>
      </w:r>
      <w:r w:rsidR="00146C2C" w:rsidRPr="006D790D">
        <w:t>Mean (+</w:t>
      </w:r>
      <w:r w:rsidR="006857B4" w:rsidRPr="006D790D">
        <w:t>standard deviation)</w:t>
      </w:r>
      <w:r w:rsidR="00146C2C" w:rsidRPr="006D790D">
        <w:t xml:space="preserve"> </w:t>
      </w:r>
      <w:r w:rsidR="003C331A" w:rsidRPr="006D790D">
        <w:t>c</w:t>
      </w:r>
      <w:r w:rsidR="00146C2C" w:rsidRPr="006D790D">
        <w:t xml:space="preserve">oncentrations </w:t>
      </w:r>
      <w:r w:rsidR="003C331A" w:rsidRPr="006D790D">
        <w:t xml:space="preserve">of </w:t>
      </w:r>
      <w:proofErr w:type="spellStart"/>
      <w:r w:rsidR="003C331A" w:rsidRPr="006D790D">
        <w:t>casirivimab</w:t>
      </w:r>
      <w:proofErr w:type="spellEnd"/>
      <w:r w:rsidR="003C331A" w:rsidRPr="006D790D">
        <w:t xml:space="preserve">, </w:t>
      </w:r>
      <w:proofErr w:type="spellStart"/>
      <w:r w:rsidR="003C331A" w:rsidRPr="006D790D">
        <w:t>imdevimab</w:t>
      </w:r>
      <w:proofErr w:type="spellEnd"/>
      <w:r w:rsidR="003C331A" w:rsidRPr="006D790D">
        <w:t xml:space="preserve">, and combined </w:t>
      </w:r>
      <w:proofErr w:type="spellStart"/>
      <w:r w:rsidR="003C331A" w:rsidRPr="006D790D">
        <w:t>casirivimab</w:t>
      </w:r>
      <w:proofErr w:type="spellEnd"/>
      <w:r w:rsidR="003C331A" w:rsidRPr="006D790D">
        <w:t>/</w:t>
      </w:r>
      <w:proofErr w:type="spellStart"/>
      <w:r w:rsidR="003C331A" w:rsidRPr="006D790D">
        <w:t>imdevimab</w:t>
      </w:r>
      <w:proofErr w:type="spellEnd"/>
      <w:r w:rsidR="003C331A" w:rsidRPr="006D790D">
        <w:t xml:space="preserve"> </w:t>
      </w:r>
      <w:r w:rsidR="00146C2C" w:rsidRPr="006D790D">
        <w:t xml:space="preserve">in serum by </w:t>
      </w:r>
      <w:r w:rsidR="003C331A" w:rsidRPr="006D790D">
        <w:t xml:space="preserve">time and treatment group </w:t>
      </w:r>
      <w:r w:rsidR="00146C2C" w:rsidRPr="006D790D">
        <w:t xml:space="preserve">(log scale; </w:t>
      </w:r>
      <w:r w:rsidR="003C331A" w:rsidRPr="006D790D">
        <w:t>pharmacokinetic analysis set</w:t>
      </w:r>
      <w:r w:rsidR="00146C2C" w:rsidRPr="006D790D">
        <w:t>)</w:t>
      </w:r>
    </w:p>
    <w:p w14:paraId="00B02BC7" w14:textId="5EEDD76B" w:rsidR="009775C4" w:rsidRPr="006D790D" w:rsidRDefault="009775C4" w:rsidP="00084EC5">
      <w:r>
        <w:rPr>
          <w:noProof/>
        </w:rPr>
        <w:drawing>
          <wp:inline distT="0" distB="0" distL="0" distR="0" wp14:anchorId="656E1DED" wp14:editId="36E76905">
            <wp:extent cx="5399081" cy="2966358"/>
            <wp:effectExtent l="0" t="0" r="0" b="5715"/>
            <wp:docPr id="5" name="Picture 5" descr="Study COV-20145 Mean (+standard deviation) concentrations of casirivimab, imdevimab, and combined casirivimab/imdevimab in serum by time and treatment group (log scale; pharmacokinetic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tudy COV-20145 Mean (+standard deviation) concentrations of casirivimab, imdevimab, and combined casirivimab/imdevimab in serum by time and treatment group (log scale; pharmacokinetic analysis set)"/>
                    <pic:cNvPicPr/>
                  </pic:nvPicPr>
                  <pic:blipFill>
                    <a:blip r:embed="rId23"/>
                    <a:stretch>
                      <a:fillRect/>
                    </a:stretch>
                  </pic:blipFill>
                  <pic:spPr>
                    <a:xfrm>
                      <a:off x="0" y="0"/>
                      <a:ext cx="5418718" cy="2977147"/>
                    </a:xfrm>
                    <a:prstGeom prst="rect">
                      <a:avLst/>
                    </a:prstGeom>
                  </pic:spPr>
                </pic:pic>
              </a:graphicData>
            </a:graphic>
          </wp:inline>
        </w:drawing>
      </w:r>
    </w:p>
    <w:p w14:paraId="612EA238" w14:textId="6DCA1A84" w:rsidR="00A07FAF" w:rsidRPr="009C45A3" w:rsidRDefault="00A07FAF" w:rsidP="00084EC5">
      <w:pPr>
        <w:pStyle w:val="FigureDescription"/>
      </w:pPr>
      <w:r w:rsidRPr="009C45A3">
        <w:t xml:space="preserve">EOI = end of infusion; N = number of participants; IV = intravenous; LLOQ = lower limited of quantification; R10933 = </w:t>
      </w:r>
      <w:r w:rsidR="00405C8B" w:rsidRPr="009C45A3">
        <w:t xml:space="preserve">drug development code for </w:t>
      </w:r>
      <w:proofErr w:type="spellStart"/>
      <w:r w:rsidRPr="009C45A3">
        <w:t>casirivimab</w:t>
      </w:r>
      <w:proofErr w:type="spellEnd"/>
      <w:r w:rsidRPr="009C45A3">
        <w:t xml:space="preserve">; R10987 = </w:t>
      </w:r>
      <w:r w:rsidR="00405C8B" w:rsidRPr="009C45A3">
        <w:t xml:space="preserve">drug development code for </w:t>
      </w:r>
      <w:proofErr w:type="spellStart"/>
      <w:r w:rsidRPr="009C45A3">
        <w:t>imdevimab</w:t>
      </w:r>
      <w:proofErr w:type="spellEnd"/>
      <w:r w:rsidRPr="009C45A3">
        <w:t xml:space="preserve">; R10933 + R10987 = </w:t>
      </w:r>
      <w:proofErr w:type="spellStart"/>
      <w:r w:rsidRPr="009C45A3">
        <w:t>casirivimab</w:t>
      </w:r>
      <w:proofErr w:type="spellEnd"/>
      <w:r w:rsidRPr="009C45A3">
        <w:t xml:space="preserve"> + </w:t>
      </w:r>
      <w:proofErr w:type="spellStart"/>
      <w:r w:rsidRPr="009C45A3">
        <w:t>imdevimab</w:t>
      </w:r>
      <w:proofErr w:type="spellEnd"/>
      <w:r w:rsidRPr="009C45A3">
        <w:t>; SC = subcutaneous; SD = standard deviation.</w:t>
      </w:r>
    </w:p>
    <w:p w14:paraId="1E8ABA38" w14:textId="7AC38BD1" w:rsidR="009775C4" w:rsidRPr="009C45A3" w:rsidRDefault="00A07FAF" w:rsidP="00084EC5">
      <w:pPr>
        <w:pStyle w:val="FigureDescription"/>
      </w:pPr>
      <w:r w:rsidRPr="009C45A3">
        <w:t>Concentration below the LLOQ were set to LLOQ were set to LLOQ/2. Combined concentrations (REGN10933</w:t>
      </w:r>
      <w:r w:rsidR="009775C4" w:rsidRPr="009C45A3">
        <w:t xml:space="preserve"> </w:t>
      </w:r>
      <w:r w:rsidR="00405C8B" w:rsidRPr="009C45A3">
        <w:t>and</w:t>
      </w:r>
      <w:r w:rsidR="009775C4" w:rsidRPr="009C45A3">
        <w:t xml:space="preserve"> </w:t>
      </w:r>
      <w:r w:rsidRPr="009C45A3">
        <w:t>REGN10987) were calculated only when both the analytes were not missing. Predose concentrations were not presented, concentration shown at Day 0 is an EOI or post dose concertation. Day(s) shown represent the number of day(s) following study drug administration.</w:t>
      </w:r>
    </w:p>
    <w:p w14:paraId="77E80231" w14:textId="43EAB767" w:rsidR="00146C2C" w:rsidRPr="006D790D" w:rsidRDefault="00146C2C" w:rsidP="001F3DD1">
      <w:r w:rsidRPr="006D790D">
        <w:t>Following administration of a single 1200</w:t>
      </w:r>
      <w:r w:rsidR="00F66D16" w:rsidRPr="006D790D">
        <w:t> </w:t>
      </w:r>
      <w:r w:rsidRPr="006D790D">
        <w:t xml:space="preserve">mg </w:t>
      </w:r>
      <w:r w:rsidR="00F43ACD" w:rsidRPr="006D790D">
        <w:t>subcutaneous</w:t>
      </w:r>
      <w:r w:rsidRPr="006D790D">
        <w:t xml:space="preserve"> dose, the mean serum concentrations of both </w:t>
      </w:r>
      <w:proofErr w:type="spellStart"/>
      <w:r w:rsidRPr="006D790D">
        <w:t>casirivimab</w:t>
      </w:r>
      <w:proofErr w:type="spellEnd"/>
      <w:r w:rsidRPr="006D790D">
        <w:t xml:space="preserve"> and </w:t>
      </w:r>
      <w:proofErr w:type="spellStart"/>
      <w:r w:rsidRPr="006D790D">
        <w:t>imdevimab</w:t>
      </w:r>
      <w:proofErr w:type="spellEnd"/>
      <w:r w:rsidRPr="006D790D">
        <w:t xml:space="preserve"> on Day 3 were approximately 42</w:t>
      </w:r>
      <w:r w:rsidR="00F66D16" w:rsidRPr="006D790D">
        <w:t> </w:t>
      </w:r>
      <w:r w:rsidRPr="006D790D">
        <w:t xml:space="preserve">mg/L. </w:t>
      </w:r>
      <w:proofErr w:type="spellStart"/>
      <w:r w:rsidRPr="006D790D">
        <w:t>Casirivimab</w:t>
      </w:r>
      <w:proofErr w:type="spellEnd"/>
      <w:r w:rsidRPr="006D790D">
        <w:t xml:space="preserve"> and </w:t>
      </w:r>
      <w:proofErr w:type="spellStart"/>
      <w:r w:rsidRPr="006D790D">
        <w:t>imdevimab</w:t>
      </w:r>
      <w:proofErr w:type="spellEnd"/>
      <w:r w:rsidRPr="006D790D">
        <w:t xml:space="preserve"> reached mean </w:t>
      </w:r>
      <w:r w:rsidR="00F66D16" w:rsidRPr="006D790D">
        <w:t>maximum drug concentration (</w:t>
      </w:r>
      <w:proofErr w:type="spellStart"/>
      <w:r w:rsidRPr="006D790D">
        <w:t>C</w:t>
      </w:r>
      <w:r w:rsidRPr="006D790D">
        <w:rPr>
          <w:vertAlign w:val="subscript"/>
        </w:rPr>
        <w:t>max</w:t>
      </w:r>
      <w:proofErr w:type="spellEnd"/>
      <w:r w:rsidR="00F66D16" w:rsidRPr="006D790D">
        <w:t xml:space="preserve">) </w:t>
      </w:r>
      <w:r w:rsidRPr="006D790D">
        <w:t>of 55.0</w:t>
      </w:r>
      <w:r w:rsidR="00F66D16" w:rsidRPr="006D790D">
        <w:t> </w:t>
      </w:r>
      <w:r w:rsidRPr="006D790D">
        <w:t>mg/L and 53.1</w:t>
      </w:r>
      <w:r w:rsidR="00F66D16" w:rsidRPr="006D790D">
        <w:t> </w:t>
      </w:r>
      <w:r w:rsidRPr="006D790D">
        <w:t>mg/L, respectively, on Day</w:t>
      </w:r>
      <w:r w:rsidR="00F66D16" w:rsidRPr="006D790D">
        <w:t> </w:t>
      </w:r>
      <w:r w:rsidRPr="006D790D">
        <w:t>7.</w:t>
      </w:r>
    </w:p>
    <w:p w14:paraId="1AA906D7" w14:textId="719E6114" w:rsidR="00146C2C" w:rsidRPr="006D790D" w:rsidRDefault="00146C2C" w:rsidP="001F3DD1">
      <w:r w:rsidRPr="006D790D">
        <w:t xml:space="preserve">Non-compartmental analysis of </w:t>
      </w:r>
      <w:proofErr w:type="spellStart"/>
      <w:r w:rsidRPr="006D790D">
        <w:t>casirivimab</w:t>
      </w:r>
      <w:proofErr w:type="spellEnd"/>
      <w:r w:rsidRPr="006D790D">
        <w:t xml:space="preserve"> and </w:t>
      </w:r>
      <w:proofErr w:type="spellStart"/>
      <w:r w:rsidRPr="006D790D">
        <w:t>imdevimab</w:t>
      </w:r>
      <w:proofErr w:type="spellEnd"/>
      <w:r w:rsidRPr="006D790D">
        <w:t xml:space="preserve"> indicated a dose</w:t>
      </w:r>
      <w:r w:rsidR="00F66D16" w:rsidRPr="006D790D">
        <w:t xml:space="preserve"> </w:t>
      </w:r>
      <w:r w:rsidRPr="006D790D">
        <w:t xml:space="preserve">proportional increase in </w:t>
      </w:r>
      <w:r w:rsidR="00FB39BC" w:rsidRPr="006D790D">
        <w:t>area under the plasma concentration time curve from time zero to time of last measurable concentration (</w:t>
      </w:r>
      <w:proofErr w:type="spellStart"/>
      <w:r w:rsidRPr="006D790D">
        <w:t>AUC</w:t>
      </w:r>
      <w:r w:rsidRPr="006D790D">
        <w:rPr>
          <w:vertAlign w:val="subscript"/>
        </w:rPr>
        <w:t>last</w:t>
      </w:r>
      <w:proofErr w:type="spellEnd"/>
      <w:r w:rsidR="00FB39BC" w:rsidRPr="006D790D">
        <w:t>)</w:t>
      </w:r>
      <w:r w:rsidRPr="006D790D">
        <w:t xml:space="preserve">. This is shown in mean </w:t>
      </w:r>
      <w:proofErr w:type="spellStart"/>
      <w:r w:rsidRPr="006D790D">
        <w:t>AUC</w:t>
      </w:r>
      <w:r w:rsidRPr="006D790D">
        <w:rPr>
          <w:vertAlign w:val="subscript"/>
        </w:rPr>
        <w:t>last</w:t>
      </w:r>
      <w:proofErr w:type="spellEnd"/>
      <w:r w:rsidRPr="006D790D">
        <w:t xml:space="preserve"> values normali</w:t>
      </w:r>
      <w:r w:rsidR="00AF6815" w:rsidRPr="006D790D">
        <w:t>s</w:t>
      </w:r>
      <w:r w:rsidRPr="006D790D">
        <w:t xml:space="preserve">ed by dose, which were similar, between </w:t>
      </w:r>
      <w:proofErr w:type="gramStart"/>
      <w:r w:rsidRPr="006D790D">
        <w:t>1.06 and 1.25 day</w:t>
      </w:r>
      <w:proofErr w:type="gramEnd"/>
      <w:r w:rsidR="006C71D8" w:rsidRPr="006D790D">
        <w:t xml:space="preserve"> </w:t>
      </w:r>
      <w:r w:rsidRPr="006D790D">
        <w:t xml:space="preserve">mg/L/mg for all </w:t>
      </w:r>
      <w:r w:rsidR="00F43ACD" w:rsidRPr="006D790D">
        <w:t>intravenous</w:t>
      </w:r>
      <w:r w:rsidRPr="006D790D">
        <w:t xml:space="preserve"> dose groups. The mean </w:t>
      </w:r>
      <w:proofErr w:type="spellStart"/>
      <w:r w:rsidRPr="006D790D">
        <w:t>C</w:t>
      </w:r>
      <w:r w:rsidRPr="006D790D">
        <w:rPr>
          <w:vertAlign w:val="subscript"/>
        </w:rPr>
        <w:t>max</w:t>
      </w:r>
      <w:proofErr w:type="spellEnd"/>
      <w:r w:rsidRPr="006D790D">
        <w:t xml:space="preserve"> and</w:t>
      </w:r>
      <w:r w:rsidR="00DF48EF">
        <w:t xml:space="preserve"> d</w:t>
      </w:r>
      <w:r w:rsidR="00DF48EF" w:rsidRPr="00DF48EF">
        <w:t xml:space="preserve">rug concentration at Day </w:t>
      </w:r>
      <w:r w:rsidR="00DF48EF">
        <w:t>7 (C</w:t>
      </w:r>
      <w:r w:rsidR="00DF48EF" w:rsidRPr="00DF48EF">
        <w:rPr>
          <w:vertAlign w:val="subscript"/>
        </w:rPr>
        <w:t>7d</w:t>
      </w:r>
      <w:r w:rsidR="00DF48EF">
        <w:t>)</w:t>
      </w:r>
      <w:r w:rsidRPr="006D790D">
        <w:t xml:space="preserve"> also increased dose proportionally amongst all </w:t>
      </w:r>
      <w:r w:rsidR="00F43ACD" w:rsidRPr="006D790D">
        <w:t>intravenous</w:t>
      </w:r>
      <w:r w:rsidRPr="006D790D">
        <w:t xml:space="preserve"> dosing groups. Following </w:t>
      </w:r>
      <w:r w:rsidR="00F43ACD" w:rsidRPr="006D790D">
        <w:t>subcutaneous</w:t>
      </w:r>
      <w:r w:rsidRPr="006D790D">
        <w:t xml:space="preserve"> dosing, mean dose normali</w:t>
      </w:r>
      <w:r w:rsidR="00AF6815" w:rsidRPr="006D790D">
        <w:t>s</w:t>
      </w:r>
      <w:r w:rsidRPr="006D790D">
        <w:t xml:space="preserve">ed </w:t>
      </w:r>
      <w:proofErr w:type="spellStart"/>
      <w:r w:rsidRPr="006D790D">
        <w:t>C</w:t>
      </w:r>
      <w:r w:rsidRPr="006D790D">
        <w:rPr>
          <w:vertAlign w:val="subscript"/>
        </w:rPr>
        <w:t>max</w:t>
      </w:r>
      <w:proofErr w:type="spellEnd"/>
      <w:r w:rsidRPr="006D790D">
        <w:t xml:space="preserve">, </w:t>
      </w:r>
      <w:proofErr w:type="spellStart"/>
      <w:r w:rsidRPr="006D790D">
        <w:t>AUC</w:t>
      </w:r>
      <w:r w:rsidRPr="006D790D">
        <w:rPr>
          <w:vertAlign w:val="subscript"/>
        </w:rPr>
        <w:t>last</w:t>
      </w:r>
      <w:proofErr w:type="spellEnd"/>
      <w:r w:rsidRPr="006D790D">
        <w:t xml:space="preserve"> and </w:t>
      </w:r>
      <w:r w:rsidR="00DF48EF">
        <w:t>C</w:t>
      </w:r>
      <w:r w:rsidR="00DF48EF" w:rsidRPr="00DF48EF">
        <w:rPr>
          <w:vertAlign w:val="subscript"/>
        </w:rPr>
        <w:t>7d</w:t>
      </w:r>
      <w:r w:rsidRPr="006D790D">
        <w:t xml:space="preserve"> were similar for the two </w:t>
      </w:r>
      <w:r w:rsidR="00F43ACD" w:rsidRPr="006D790D">
        <w:t>subcutaneous</w:t>
      </w:r>
      <w:r w:rsidRPr="006D790D">
        <w:t xml:space="preserve"> dose groups, also indicating linear and dose proportional </w:t>
      </w:r>
      <w:r w:rsidR="00216A81" w:rsidRPr="006D790D">
        <w:t>PK</w:t>
      </w:r>
      <w:r w:rsidRPr="006D790D">
        <w:t xml:space="preserve"> for both </w:t>
      </w:r>
      <w:proofErr w:type="spellStart"/>
      <w:r w:rsidRPr="006D790D">
        <w:t>casirivimab</w:t>
      </w:r>
      <w:proofErr w:type="spellEnd"/>
      <w:r w:rsidRPr="006D790D">
        <w:t xml:space="preserve"> and </w:t>
      </w:r>
      <w:proofErr w:type="spellStart"/>
      <w:r w:rsidRPr="006D790D">
        <w:t>imdevimab</w:t>
      </w:r>
      <w:proofErr w:type="spellEnd"/>
      <w:r w:rsidRPr="006D790D">
        <w:t xml:space="preserve">. Median </w:t>
      </w:r>
      <w:r w:rsidR="00FB39BC" w:rsidRPr="006D790D">
        <w:t>time taken to reach the maximum concentration (</w:t>
      </w:r>
      <w:proofErr w:type="spellStart"/>
      <w:r w:rsidRPr="006D790D">
        <w:t>T</w:t>
      </w:r>
      <w:r w:rsidRPr="006D790D">
        <w:rPr>
          <w:vertAlign w:val="subscript"/>
        </w:rPr>
        <w:t>max</w:t>
      </w:r>
      <w:proofErr w:type="spellEnd"/>
      <w:r w:rsidR="00FB39BC" w:rsidRPr="006D790D">
        <w:t>)</w:t>
      </w:r>
      <w:r w:rsidRPr="006D790D">
        <w:t xml:space="preserve"> for the </w:t>
      </w:r>
      <w:r w:rsidR="00F43ACD" w:rsidRPr="006D790D">
        <w:t>subcutaneous</w:t>
      </w:r>
      <w:r w:rsidRPr="006D790D">
        <w:t xml:space="preserve"> dose groups was 5.8</w:t>
      </w:r>
      <w:r w:rsidR="00FB39BC" w:rsidRPr="006D790D">
        <w:t> </w:t>
      </w:r>
      <w:r w:rsidRPr="006D790D">
        <w:t>days for both antibodies.</w:t>
      </w:r>
    </w:p>
    <w:p w14:paraId="6E35AEF0" w14:textId="617F9657" w:rsidR="00146C2C" w:rsidRPr="006D790D" w:rsidRDefault="00146C2C" w:rsidP="00576396">
      <w:r w:rsidRPr="006D790D">
        <w:t>It is noted that some additional data (</w:t>
      </w:r>
      <w:r w:rsidR="00D5326E" w:rsidRPr="006D790D">
        <w:fldChar w:fldCharType="begin"/>
      </w:r>
      <w:r w:rsidR="00D5326E" w:rsidRPr="006D790D">
        <w:instrText xml:space="preserve"> REF _Ref85139118 \h </w:instrText>
      </w:r>
      <w:r w:rsidR="006D790D">
        <w:instrText xml:space="preserve"> \* MERGEFORMAT </w:instrText>
      </w:r>
      <w:r w:rsidR="00D5326E" w:rsidRPr="006D790D">
        <w:fldChar w:fldCharType="separate"/>
      </w:r>
      <w:r w:rsidR="007F1879" w:rsidRPr="006D790D">
        <w:t xml:space="preserve">Figure </w:t>
      </w:r>
      <w:r w:rsidR="007F1879">
        <w:rPr>
          <w:noProof/>
        </w:rPr>
        <w:t>4</w:t>
      </w:r>
      <w:r w:rsidR="00D5326E" w:rsidRPr="006D790D">
        <w:fldChar w:fldCharType="end"/>
      </w:r>
      <w:r w:rsidRPr="006D790D">
        <w:t xml:space="preserve"> below) were provided.</w:t>
      </w:r>
    </w:p>
    <w:p w14:paraId="39344938" w14:textId="2363E66B" w:rsidR="00146C2C" w:rsidRPr="006D790D" w:rsidRDefault="00D5326E" w:rsidP="00084EC5">
      <w:pPr>
        <w:pStyle w:val="FigureTitle"/>
        <w:keepLines/>
      </w:pPr>
      <w:bookmarkStart w:id="59" w:name="_Ref85139118"/>
      <w:r w:rsidRPr="006D790D">
        <w:lastRenderedPageBreak/>
        <w:t xml:space="preserve">Figure </w:t>
      </w:r>
      <w:fldSimple w:instr=" SEQ Figure \* ARABIC ">
        <w:r w:rsidR="007F1879">
          <w:rPr>
            <w:noProof/>
          </w:rPr>
          <w:t>4</w:t>
        </w:r>
      </w:fldSimple>
      <w:bookmarkEnd w:id="59"/>
      <w:r w:rsidR="00146C2C" w:rsidRPr="006D790D">
        <w:t xml:space="preserve">: </w:t>
      </w:r>
      <w:r w:rsidR="003C331A" w:rsidRPr="006D790D">
        <w:t xml:space="preserve">Study COV-20145 </w:t>
      </w:r>
      <w:r w:rsidR="00146C2C" w:rsidRPr="006D790D">
        <w:t>Mean (+</w:t>
      </w:r>
      <w:r w:rsidR="006857B4" w:rsidRPr="006D790D">
        <w:t>standard deviation</w:t>
      </w:r>
      <w:r w:rsidR="00146C2C" w:rsidRPr="006D790D">
        <w:t xml:space="preserve">) concentrations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combined in serum by </w:t>
      </w:r>
      <w:r w:rsidR="003C331A" w:rsidRPr="006D790D">
        <w:t xml:space="preserve">nominal time </w:t>
      </w:r>
      <w:r w:rsidR="00146C2C" w:rsidRPr="006D790D">
        <w:t xml:space="preserve">after single </w:t>
      </w:r>
      <w:r w:rsidR="00F43ACD" w:rsidRPr="006D790D">
        <w:t>intravenous</w:t>
      </w:r>
      <w:r w:rsidR="00146C2C" w:rsidRPr="006D790D">
        <w:t xml:space="preserve"> and </w:t>
      </w:r>
      <w:r w:rsidR="00F43ACD" w:rsidRPr="006D790D">
        <w:t>subcutaneous</w:t>
      </w:r>
      <w:r w:rsidR="00146C2C" w:rsidRPr="006D790D">
        <w:t xml:space="preserve"> doses in ambulatory patients with COVID-19 (</w:t>
      </w:r>
      <w:r w:rsidR="00216A81" w:rsidRPr="006D790D">
        <w:t>modified full analysis set</w:t>
      </w:r>
      <w:r w:rsidR="00146C2C" w:rsidRPr="006D790D">
        <w:t>)</w:t>
      </w:r>
    </w:p>
    <w:p w14:paraId="25E9B121" w14:textId="4A804938" w:rsidR="00146C2C" w:rsidRDefault="00146C2C" w:rsidP="00146C2C">
      <w:pPr>
        <w:autoSpaceDE w:val="0"/>
        <w:autoSpaceDN w:val="0"/>
        <w:adjustRightInd w:val="0"/>
        <w:spacing w:before="0" w:after="0" w:line="240" w:lineRule="auto"/>
        <w:rPr>
          <w:rFonts w:asciiTheme="minorHAnsi" w:eastAsiaTheme="minorHAnsi" w:hAnsiTheme="minorHAnsi"/>
        </w:rPr>
      </w:pPr>
      <w:r w:rsidRPr="006D790D">
        <w:rPr>
          <w:noProof/>
          <w:lang w:val="en-GB" w:eastAsia="en-GB"/>
        </w:rPr>
        <w:drawing>
          <wp:inline distT="0" distB="0" distL="0" distR="0" wp14:anchorId="163553A8" wp14:editId="114DA2E8">
            <wp:extent cx="5156548" cy="2434540"/>
            <wp:effectExtent l="0" t="0" r="6350" b="4445"/>
            <wp:docPr id="1559396271" name="Picture 1559396271" descr="Study COV-20145 Mean (+standard deviation) concentrations of casirivimab/imdevimab combined in serum by nominal time after single intravenous and subcutaneous doses in ambulatory patients with COVID-19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96271" name="Picture 1559396271" descr="Study COV-20145 Mean (+standard deviation) concentrations of casirivimab/imdevimab combined in serum by nominal time after single intravenous and subcutaneous doses in ambulatory patients with COVID-19 (modified full analysis set)"/>
                    <pic:cNvPicPr>
                      <a:picLocks noChangeAspect="1" noChangeArrowheads="1"/>
                    </pic:cNvPicPr>
                  </pic:nvPicPr>
                  <pic:blipFill rotWithShape="1">
                    <a:blip r:embed="rId24">
                      <a:extLst>
                        <a:ext uri="{28A0092B-C50C-407E-A947-70E740481C1C}">
                          <a14:useLocalDpi xmlns:a14="http://schemas.microsoft.com/office/drawing/2010/main" val="0"/>
                        </a:ext>
                      </a:extLst>
                    </a:blip>
                    <a:srcRect t="15866" b="13431"/>
                    <a:stretch/>
                  </pic:blipFill>
                  <pic:spPr bwMode="auto">
                    <a:xfrm>
                      <a:off x="0" y="0"/>
                      <a:ext cx="5224207" cy="2466484"/>
                    </a:xfrm>
                    <a:prstGeom prst="rect">
                      <a:avLst/>
                    </a:prstGeom>
                    <a:noFill/>
                    <a:ln>
                      <a:noFill/>
                    </a:ln>
                    <a:extLst>
                      <a:ext uri="{53640926-AAD7-44D8-BBD7-CCE9431645EC}">
                        <a14:shadowObscured xmlns:a14="http://schemas.microsoft.com/office/drawing/2010/main"/>
                      </a:ext>
                    </a:extLst>
                  </pic:spPr>
                </pic:pic>
              </a:graphicData>
            </a:graphic>
          </wp:inline>
        </w:drawing>
      </w:r>
    </w:p>
    <w:p w14:paraId="1E3F79B8" w14:textId="25A8DA08" w:rsidR="009775C4" w:rsidRDefault="00777FBC" w:rsidP="00F0076F">
      <w:pPr>
        <w:pStyle w:val="FigureDescription"/>
      </w:pPr>
      <w:bookmarkStart w:id="60" w:name="_Hlk85794429"/>
      <w:r w:rsidRPr="00777FBC">
        <w:t xml:space="preserve">COVID-19 </w:t>
      </w:r>
      <w:r>
        <w:t>= coronavirus disease 2019</w:t>
      </w:r>
      <w:bookmarkEnd w:id="60"/>
      <w:r>
        <w:t xml:space="preserve">; </w:t>
      </w:r>
      <w:r w:rsidR="009775C4" w:rsidRPr="009775C4">
        <w:t>IV = intravenous; REGEN-COV</w:t>
      </w:r>
      <w:r w:rsidR="009775C4">
        <w:t xml:space="preserve"> = </w:t>
      </w:r>
      <w:proofErr w:type="spellStart"/>
      <w:r w:rsidR="009775C4" w:rsidRPr="009775C4">
        <w:t>casirivimab</w:t>
      </w:r>
      <w:proofErr w:type="spellEnd"/>
      <w:r w:rsidR="009775C4" w:rsidRPr="009775C4">
        <w:t xml:space="preserve"> and </w:t>
      </w:r>
      <w:proofErr w:type="spellStart"/>
      <w:r w:rsidR="009775C4" w:rsidRPr="009775C4">
        <w:t>imdevimab</w:t>
      </w:r>
      <w:proofErr w:type="spellEnd"/>
      <w:r w:rsidR="009775C4">
        <w:t xml:space="preserve">; </w:t>
      </w:r>
      <w:r w:rsidR="009775C4" w:rsidRPr="009775C4">
        <w:t>SC = subcutaneous.</w:t>
      </w:r>
    </w:p>
    <w:p w14:paraId="3685B7DF" w14:textId="21641119" w:rsidR="00C45B54" w:rsidRPr="006D790D" w:rsidRDefault="00C45B54" w:rsidP="00F0076F">
      <w:pPr>
        <w:pStyle w:val="FigureDescription"/>
      </w:pPr>
      <w:r>
        <w:t xml:space="preserve">1: Nominal sampling time = </w:t>
      </w:r>
      <w:r w:rsidR="009236C2">
        <w:t xml:space="preserve">clinical study time </w:t>
      </w:r>
      <w:r>
        <w:t>(</w:t>
      </w:r>
      <w:r w:rsidR="009236C2">
        <w:t>v</w:t>
      </w:r>
      <w:r>
        <w:t xml:space="preserve">isit </w:t>
      </w:r>
      <w:r w:rsidR="009236C2">
        <w:t>d</w:t>
      </w:r>
      <w:r>
        <w:t>ay -</w:t>
      </w:r>
      <w:r w:rsidR="00405C8B">
        <w:t xml:space="preserve"> </w:t>
      </w:r>
      <w:r>
        <w:t>1), for example nominal sampling Day</w:t>
      </w:r>
      <w:r w:rsidR="00405C8B">
        <w:t> </w:t>
      </w:r>
      <w:r>
        <w:t>6 corresponds to clinical study Day</w:t>
      </w:r>
      <w:r w:rsidR="00405C8B">
        <w:t> </w:t>
      </w:r>
      <w:r>
        <w:t>7</w:t>
      </w:r>
      <w:r w:rsidR="00405C8B">
        <w:t>.</w:t>
      </w:r>
    </w:p>
    <w:p w14:paraId="113CF2EB" w14:textId="48FFC07E" w:rsidR="00146C2C" w:rsidRPr="006D790D" w:rsidRDefault="00146C2C" w:rsidP="001F3DD1">
      <w:r w:rsidRPr="006D790D">
        <w:t>The target concentration of 20</w:t>
      </w:r>
      <w:r w:rsidR="00FB39BC" w:rsidRPr="006D790D">
        <w:t> </w:t>
      </w:r>
      <w:r w:rsidRPr="006D790D">
        <w:t xml:space="preserve">mg/L was determined </w:t>
      </w:r>
      <w:proofErr w:type="gramStart"/>
      <w:r w:rsidRPr="006D790D">
        <w:t>on the basis of</w:t>
      </w:r>
      <w:proofErr w:type="gramEnd"/>
      <w:r w:rsidRPr="006D790D">
        <w:t xml:space="preserve"> preclinical data and modelling at the beginning of the development program.</w:t>
      </w:r>
    </w:p>
    <w:p w14:paraId="2D2042A7" w14:textId="5A84CB61" w:rsidR="00146C2C" w:rsidRPr="006D790D" w:rsidRDefault="003C331A" w:rsidP="00E242C3">
      <w:pPr>
        <w:pStyle w:val="Heading5"/>
        <w:rPr>
          <w:rFonts w:eastAsiaTheme="minorHAnsi"/>
        </w:rPr>
      </w:pPr>
      <w:bookmarkStart w:id="61" w:name="_Toc84071957"/>
      <w:r w:rsidRPr="006D790D">
        <w:rPr>
          <w:rFonts w:eastAsiaTheme="minorHAnsi"/>
        </w:rPr>
        <w:t>Study </w:t>
      </w:r>
      <w:r w:rsidR="00146C2C" w:rsidRPr="006D790D">
        <w:rPr>
          <w:rFonts w:eastAsiaTheme="minorHAnsi"/>
        </w:rPr>
        <w:t>HV-2093</w:t>
      </w:r>
      <w:bookmarkEnd w:id="61"/>
      <w:r w:rsidR="00D65251">
        <w:rPr>
          <w:rFonts w:eastAsiaTheme="minorHAnsi"/>
        </w:rPr>
        <w:t xml:space="preserve"> pharmacokinetic</w:t>
      </w:r>
      <w:r w:rsidR="00825B6E">
        <w:rPr>
          <w:rFonts w:eastAsiaTheme="minorHAnsi"/>
        </w:rPr>
        <w:t>s</w:t>
      </w:r>
      <w:r w:rsidR="00D65251" w:rsidRPr="006D790D">
        <w:rPr>
          <w:rFonts w:eastAsiaTheme="minorHAnsi"/>
        </w:rPr>
        <w:t xml:space="preserve"> analysis</w:t>
      </w:r>
    </w:p>
    <w:p w14:paraId="49A9D124" w14:textId="35DACC4E" w:rsidR="00146C2C" w:rsidRPr="006D790D" w:rsidRDefault="00146C2C" w:rsidP="001F3DD1">
      <w:r w:rsidRPr="006D790D">
        <w:t>Study</w:t>
      </w:r>
      <w:r w:rsidR="003C331A" w:rsidRPr="006D790D">
        <w:t> </w:t>
      </w:r>
      <w:r w:rsidRPr="006D790D">
        <w:t xml:space="preserve">HV-2093 is a </w:t>
      </w:r>
      <w:r w:rsidR="008D531C" w:rsidRPr="006D790D">
        <w:t>Phase</w:t>
      </w:r>
      <w:r w:rsidRPr="006D790D">
        <w:t xml:space="preserve"> </w:t>
      </w:r>
      <w:r w:rsidR="008D531C" w:rsidRPr="006D790D">
        <w:t>I</w:t>
      </w:r>
      <w:r w:rsidRPr="006D790D">
        <w:t>, randomi</w:t>
      </w:r>
      <w:r w:rsidR="00AF6815" w:rsidRPr="006D790D">
        <w:t>s</w:t>
      </w:r>
      <w:r w:rsidRPr="006D790D">
        <w:t>ed, double</w:t>
      </w:r>
      <w:r w:rsidR="00303D77" w:rsidRPr="006D790D">
        <w:t xml:space="preserve"> </w:t>
      </w:r>
      <w:r w:rsidRPr="006D790D">
        <w:t xml:space="preserve">blind, </w:t>
      </w:r>
      <w:proofErr w:type="gramStart"/>
      <w:r w:rsidRPr="006D790D">
        <w:t>placebo</w:t>
      </w:r>
      <w:r w:rsidR="00303D77" w:rsidRPr="006D790D">
        <w:t xml:space="preserve"> </w:t>
      </w:r>
      <w:r w:rsidRPr="006D790D">
        <w:t>controlled</w:t>
      </w:r>
      <w:proofErr w:type="gramEnd"/>
      <w:r w:rsidRPr="006D790D">
        <w:t xml:space="preserve"> study. The study assessed the safety, tolerability, and PK of </w:t>
      </w:r>
      <w:r w:rsidR="00F43ACD" w:rsidRPr="006D790D">
        <w:t>subcutaneous</w:t>
      </w:r>
      <w:r w:rsidRPr="006D790D">
        <w:t xml:space="preserve"> administered repeated doses of </w:t>
      </w:r>
      <w:proofErr w:type="spellStart"/>
      <w:r w:rsidRPr="006D790D">
        <w:t>casirivimab</w:t>
      </w:r>
      <w:proofErr w:type="spellEnd"/>
      <w:r w:rsidR="00EA28EF" w:rsidRPr="006D790D">
        <w:t>/</w:t>
      </w:r>
      <w:proofErr w:type="spellStart"/>
      <w:r w:rsidRPr="006D790D">
        <w:t>imdevimab</w:t>
      </w:r>
      <w:proofErr w:type="spellEnd"/>
      <w:r w:rsidRPr="006D790D">
        <w:t xml:space="preserve"> in adult volunteers who are SARS</w:t>
      </w:r>
      <w:r w:rsidR="00316746" w:rsidRPr="006D790D">
        <w:noBreakHyphen/>
      </w:r>
      <w:r w:rsidRPr="006D790D">
        <w:t>CoV</w:t>
      </w:r>
      <w:r w:rsidR="00316746" w:rsidRPr="006D790D">
        <w:noBreakHyphen/>
      </w:r>
      <w:r w:rsidRPr="006D790D">
        <w:t xml:space="preserve">2 negative at </w:t>
      </w:r>
      <w:r w:rsidR="00FB39BC" w:rsidRPr="006D790D">
        <w:t>Baseline</w:t>
      </w:r>
      <w:r w:rsidRPr="006D790D">
        <w:t>. Efficacy was assessed as an exploratory endpoint.</w:t>
      </w:r>
    </w:p>
    <w:p w14:paraId="4B1F629C" w14:textId="05146E46" w:rsidR="00146C2C" w:rsidRPr="006D790D" w:rsidRDefault="00146C2C" w:rsidP="001F3DD1">
      <w:r w:rsidRPr="006D790D">
        <w:t xml:space="preserve">The study is comprised of 3 periods: a screening/baseline period (up to 7 days), a treatment period (24 weeks), and a follow-up period (28 weeks). </w:t>
      </w:r>
      <w:r w:rsidR="00D65251">
        <w:fldChar w:fldCharType="begin"/>
      </w:r>
      <w:r w:rsidR="00D65251">
        <w:instrText xml:space="preserve"> REF _Ref85587571 \h </w:instrText>
      </w:r>
      <w:r w:rsidR="00D65251">
        <w:fldChar w:fldCharType="separate"/>
      </w:r>
      <w:r w:rsidR="007F1879" w:rsidRPr="006D790D">
        <w:t xml:space="preserve">Figure </w:t>
      </w:r>
      <w:r w:rsidR="007F1879">
        <w:rPr>
          <w:noProof/>
        </w:rPr>
        <w:t>5</w:t>
      </w:r>
      <w:r w:rsidR="007F1879" w:rsidRPr="006D790D">
        <w:t xml:space="preserve">: </w:t>
      </w:r>
      <w:r w:rsidR="007F1879" w:rsidRPr="006D790D">
        <w:rPr>
          <w:rFonts w:eastAsiaTheme="minorHAnsi"/>
        </w:rPr>
        <w:t>Study </w:t>
      </w:r>
      <w:r w:rsidR="007F1879" w:rsidRPr="006D790D">
        <w:t>HV-2093 Study flow diagram</w:t>
      </w:r>
      <w:r w:rsidR="00D65251">
        <w:fldChar w:fldCharType="end"/>
      </w:r>
      <w:r w:rsidR="00D65251">
        <w:t>.</w:t>
      </w:r>
    </w:p>
    <w:p w14:paraId="1FA0D7B5" w14:textId="169181D6" w:rsidR="00146C2C" w:rsidRPr="006D790D" w:rsidRDefault="00D5326E" w:rsidP="003C331A">
      <w:pPr>
        <w:pStyle w:val="FigureTitle"/>
      </w:pPr>
      <w:bookmarkStart w:id="62" w:name="_Ref85587571"/>
      <w:r w:rsidRPr="006D790D">
        <w:t xml:space="preserve">Figure </w:t>
      </w:r>
      <w:fldSimple w:instr=" SEQ Figure \* ARABIC ">
        <w:r w:rsidR="007F1879">
          <w:rPr>
            <w:noProof/>
          </w:rPr>
          <w:t>5</w:t>
        </w:r>
      </w:fldSimple>
      <w:r w:rsidR="00146C2C" w:rsidRPr="006D790D">
        <w:t xml:space="preserve">: </w:t>
      </w:r>
      <w:r w:rsidR="003C331A" w:rsidRPr="006D790D">
        <w:rPr>
          <w:rFonts w:eastAsiaTheme="minorHAnsi"/>
        </w:rPr>
        <w:t>Study </w:t>
      </w:r>
      <w:r w:rsidR="003C331A" w:rsidRPr="006D790D">
        <w:t xml:space="preserve">HV-2093 </w:t>
      </w:r>
      <w:r w:rsidR="00146C2C" w:rsidRPr="006D790D">
        <w:t xml:space="preserve">Study </w:t>
      </w:r>
      <w:r w:rsidR="003C331A" w:rsidRPr="006D790D">
        <w:t>flow diagram</w:t>
      </w:r>
      <w:bookmarkEnd w:id="62"/>
    </w:p>
    <w:p w14:paraId="78800C0C" w14:textId="6E087B4C" w:rsidR="00146C2C" w:rsidRDefault="00146C2C" w:rsidP="00146C2C">
      <w:pPr>
        <w:autoSpaceDE w:val="0"/>
        <w:autoSpaceDN w:val="0"/>
        <w:adjustRightInd w:val="0"/>
        <w:spacing w:before="0" w:after="0" w:line="240" w:lineRule="auto"/>
        <w:rPr>
          <w:rFonts w:asciiTheme="minorHAnsi" w:eastAsiaTheme="minorHAnsi" w:hAnsiTheme="minorHAnsi"/>
        </w:rPr>
      </w:pPr>
      <w:r w:rsidRPr="006D790D">
        <w:rPr>
          <w:rFonts w:asciiTheme="minorHAnsi" w:eastAsiaTheme="minorHAnsi" w:hAnsiTheme="minorHAnsi"/>
          <w:noProof/>
          <w:lang w:val="en-GB" w:eastAsia="en-GB"/>
        </w:rPr>
        <w:drawing>
          <wp:inline distT="0" distB="0" distL="0" distR="0" wp14:anchorId="55E84E20" wp14:editId="0213AA10">
            <wp:extent cx="5302685" cy="2465474"/>
            <wp:effectExtent l="0" t="0" r="0" b="0"/>
            <wp:docPr id="47" name="Picture 47" descr="Study HV-2093 Study flow diagram.&#10;&#10;The study is comprised of 3 periods: a screening/baseline period (up to 7 days), a treatment period (24 weeks), and a follow-up period (28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tudy HV-2093 Study flow diagram.&#10;&#10;The study is comprised of 3 periods: a screening/baseline period (up to 7 days), a treatment period (24 weeks), and a follow-up period (28 week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75920" cy="2499525"/>
                    </a:xfrm>
                    <a:prstGeom prst="rect">
                      <a:avLst/>
                    </a:prstGeom>
                    <a:noFill/>
                    <a:ln>
                      <a:noFill/>
                    </a:ln>
                  </pic:spPr>
                </pic:pic>
              </a:graphicData>
            </a:graphic>
          </wp:inline>
        </w:drawing>
      </w:r>
    </w:p>
    <w:p w14:paraId="59765593" w14:textId="3314592F" w:rsidR="00405C8B" w:rsidRDefault="00405C8B" w:rsidP="00C5297C">
      <w:pPr>
        <w:pStyle w:val="FigureDescription"/>
      </w:pPr>
      <w:r>
        <w:lastRenderedPageBreak/>
        <w:t>SARS-CoV-2 = s</w:t>
      </w:r>
      <w:r w:rsidRPr="00405C8B">
        <w:t>evere acute respiratory syndrome coronavirus 2</w:t>
      </w:r>
      <w:r>
        <w:t>; RT-PCR = r</w:t>
      </w:r>
      <w:r w:rsidRPr="00405C8B">
        <w:t>everse transcription polymerase chain reaction</w:t>
      </w:r>
      <w:r>
        <w:t xml:space="preserve">; </w:t>
      </w:r>
      <w:r w:rsidRPr="00405C8B">
        <w:t xml:space="preserve">R10933 = drug development code for </w:t>
      </w:r>
      <w:proofErr w:type="spellStart"/>
      <w:r w:rsidRPr="00405C8B">
        <w:t>casirivimab</w:t>
      </w:r>
      <w:proofErr w:type="spellEnd"/>
      <w:r w:rsidRPr="00405C8B">
        <w:t xml:space="preserve">; R10987 = drug development code for </w:t>
      </w:r>
      <w:proofErr w:type="spellStart"/>
      <w:r w:rsidRPr="00405C8B">
        <w:t>imdevimab</w:t>
      </w:r>
      <w:proofErr w:type="spellEnd"/>
      <w:r w:rsidRPr="00405C8B">
        <w:t xml:space="preserve">; R10933 + R10987 = </w:t>
      </w:r>
      <w:proofErr w:type="spellStart"/>
      <w:r w:rsidRPr="00405C8B">
        <w:t>casirivimab</w:t>
      </w:r>
      <w:proofErr w:type="spellEnd"/>
      <w:r w:rsidRPr="00405C8B">
        <w:t xml:space="preserve"> + </w:t>
      </w:r>
      <w:proofErr w:type="spellStart"/>
      <w:r w:rsidRPr="00405C8B">
        <w:t>imdevimab</w:t>
      </w:r>
      <w:proofErr w:type="spellEnd"/>
      <w:r>
        <w:t xml:space="preserve">; SC= </w:t>
      </w:r>
      <w:r w:rsidRPr="00405C8B">
        <w:t>subcutaneous</w:t>
      </w:r>
      <w:r>
        <w:t>; EOTP = end of treatment period; EOS = end of study</w:t>
      </w:r>
      <w:r w:rsidR="00EE7A1E">
        <w:t>.</w:t>
      </w:r>
    </w:p>
    <w:p w14:paraId="2049C5EE" w14:textId="1289E087" w:rsidR="00D65251" w:rsidRPr="00D65251" w:rsidRDefault="00D65251" w:rsidP="00C5297C">
      <w:r>
        <w:fldChar w:fldCharType="begin"/>
      </w:r>
      <w:r>
        <w:instrText xml:space="preserve"> REF _Ref85587955 \h </w:instrText>
      </w:r>
      <w:r>
        <w:fldChar w:fldCharType="separate"/>
      </w:r>
      <w:r w:rsidR="007F1879" w:rsidRPr="006D790D">
        <w:t xml:space="preserve">Table </w:t>
      </w:r>
      <w:r w:rsidR="007F1879">
        <w:rPr>
          <w:noProof/>
        </w:rPr>
        <w:t>5</w:t>
      </w:r>
      <w:r w:rsidR="007F1879" w:rsidRPr="006D790D">
        <w:t xml:space="preserve">: </w:t>
      </w:r>
      <w:r w:rsidR="007F1879" w:rsidRPr="006D790D">
        <w:rPr>
          <w:rFonts w:eastAsiaTheme="minorHAnsi"/>
        </w:rPr>
        <w:t>Study </w:t>
      </w:r>
      <w:r w:rsidR="007F1879" w:rsidRPr="006D790D">
        <w:t>HV-2093 Study objectives and endpoints</w:t>
      </w:r>
      <w:r>
        <w:fldChar w:fldCharType="end"/>
      </w:r>
      <w:r w:rsidR="00187407">
        <w:t>, shown below,</w:t>
      </w:r>
      <w:r w:rsidR="00605698">
        <w:t xml:space="preserve"> describes</w:t>
      </w:r>
      <w:r>
        <w:t xml:space="preserve"> the objectives and endpoints for Study HV-2093.</w:t>
      </w:r>
    </w:p>
    <w:p w14:paraId="635B2BA2" w14:textId="332B5C66" w:rsidR="00146C2C" w:rsidRPr="006D790D" w:rsidRDefault="00D5326E" w:rsidP="003C331A">
      <w:pPr>
        <w:pStyle w:val="TableTitle"/>
      </w:pPr>
      <w:bookmarkStart w:id="63" w:name="_Ref85587955"/>
      <w:r w:rsidRPr="006D790D">
        <w:t xml:space="preserve">Table </w:t>
      </w:r>
      <w:fldSimple w:instr=" SEQ Table \* ARABIC ">
        <w:r w:rsidR="007F1879">
          <w:rPr>
            <w:noProof/>
          </w:rPr>
          <w:t>5</w:t>
        </w:r>
      </w:fldSimple>
      <w:r w:rsidR="00146C2C" w:rsidRPr="006D790D">
        <w:t>:</w:t>
      </w:r>
      <w:r w:rsidR="003C331A" w:rsidRPr="006D790D">
        <w:t xml:space="preserve"> </w:t>
      </w:r>
      <w:r w:rsidR="003C331A" w:rsidRPr="006D790D">
        <w:rPr>
          <w:rFonts w:eastAsiaTheme="minorHAnsi"/>
        </w:rPr>
        <w:t>Study </w:t>
      </w:r>
      <w:r w:rsidR="003C331A" w:rsidRPr="006D790D">
        <w:t>HV-2093</w:t>
      </w:r>
      <w:r w:rsidR="00146C2C" w:rsidRPr="006D790D">
        <w:t xml:space="preserve"> Study objectives and endpoints</w:t>
      </w:r>
      <w:bookmarkEnd w:id="63"/>
    </w:p>
    <w:p w14:paraId="3BA5C8AF" w14:textId="3752D7F0" w:rsidR="00146C2C" w:rsidRDefault="00146C2C" w:rsidP="00146C2C">
      <w:pPr>
        <w:autoSpaceDE w:val="0"/>
        <w:autoSpaceDN w:val="0"/>
        <w:adjustRightInd w:val="0"/>
        <w:spacing w:before="0" w:after="0" w:line="240" w:lineRule="auto"/>
        <w:rPr>
          <w:rFonts w:asciiTheme="minorHAnsi" w:eastAsiaTheme="minorHAnsi" w:hAnsiTheme="minorHAnsi"/>
        </w:rPr>
      </w:pPr>
      <w:r w:rsidRPr="006D790D">
        <w:rPr>
          <w:rFonts w:asciiTheme="minorHAnsi" w:eastAsiaTheme="minorHAnsi" w:hAnsiTheme="minorHAnsi"/>
          <w:noProof/>
          <w:lang w:val="en-GB" w:eastAsia="en-GB"/>
        </w:rPr>
        <w:drawing>
          <wp:inline distT="0" distB="0" distL="0" distR="0" wp14:anchorId="37AD22A2" wp14:editId="58562664">
            <wp:extent cx="5124145" cy="5225143"/>
            <wp:effectExtent l="0" t="0" r="635" b="0"/>
            <wp:docPr id="33" name="Picture 33" descr="Study HV-2093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tudy HV-2093 Study objectives and endpoint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42904" cy="5244271"/>
                    </a:xfrm>
                    <a:prstGeom prst="rect">
                      <a:avLst/>
                    </a:prstGeom>
                    <a:noFill/>
                    <a:ln>
                      <a:noFill/>
                    </a:ln>
                  </pic:spPr>
                </pic:pic>
              </a:graphicData>
            </a:graphic>
          </wp:inline>
        </w:drawing>
      </w:r>
    </w:p>
    <w:p w14:paraId="507818C3" w14:textId="7C267925" w:rsidR="009236C2" w:rsidRPr="006D790D" w:rsidRDefault="009236C2" w:rsidP="00BB0979">
      <w:pPr>
        <w:pStyle w:val="TableDescription"/>
      </w:pPr>
      <w:r>
        <w:t>AESI = a</w:t>
      </w:r>
      <w:r w:rsidRPr="009236C2">
        <w:t>dverse events of special interest</w:t>
      </w:r>
      <w:r>
        <w:t>; NCI =</w:t>
      </w:r>
      <w:r w:rsidRPr="009236C2">
        <w:t xml:space="preserve"> National Cancer Institute</w:t>
      </w:r>
      <w:r>
        <w:t>; CTCAE =</w:t>
      </w:r>
      <w:r w:rsidRPr="009236C2">
        <w:t xml:space="preserve"> common terminology criteria for adverse events</w:t>
      </w:r>
      <w:r>
        <w:t>; SC = subcutaneous; TEAE = t</w:t>
      </w:r>
      <w:r w:rsidRPr="009236C2">
        <w:t>reatment emergent adverse events</w:t>
      </w:r>
      <w:r>
        <w:t>; CSR = clinical study report; ADA = anti-drug antibodies</w:t>
      </w:r>
    </w:p>
    <w:p w14:paraId="348E5EBA" w14:textId="7DC0EDC4" w:rsidR="00146C2C" w:rsidRPr="006D790D" w:rsidRDefault="00146C2C" w:rsidP="001F3DD1">
      <w:r w:rsidRPr="006D790D">
        <w:t>As of the data cut-off (13 Mar</w:t>
      </w:r>
      <w:r w:rsidR="00303D77" w:rsidRPr="006D790D">
        <w:t>ch</w:t>
      </w:r>
      <w:r w:rsidRPr="006D790D">
        <w:t xml:space="preserve"> 2021), a total of 974 subjects were randomi</w:t>
      </w:r>
      <w:r w:rsidR="00AF6815" w:rsidRPr="006D790D">
        <w:t>s</w:t>
      </w:r>
      <w:r w:rsidRPr="006D790D">
        <w:t xml:space="preserve">ed in a 3:1 ratio to receive up to 6 </w:t>
      </w:r>
      <w:r w:rsidR="00F43ACD" w:rsidRPr="006D790D">
        <w:t>subcutaneous</w:t>
      </w:r>
      <w:r w:rsidRPr="006D790D">
        <w:t xml:space="preserve"> doses of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303D77" w:rsidRPr="006D790D">
        <w:t> </w:t>
      </w:r>
      <w:r w:rsidRPr="006D790D">
        <w:t>mg (600</w:t>
      </w:r>
      <w:r w:rsidR="00303D77" w:rsidRPr="006D790D">
        <w:t> </w:t>
      </w:r>
      <w:r w:rsidRPr="006D790D">
        <w:t>mg each, given every 4 weeks) or placebo. In total, 969 randomi</w:t>
      </w:r>
      <w:r w:rsidR="00AF6815" w:rsidRPr="006D790D">
        <w:t>s</w:t>
      </w:r>
      <w:r w:rsidRPr="006D790D">
        <w:t>ed participants were treated and included in the safety analysis population (SAF), with 240 in the placebo group and 729 in the active treatment group.</w:t>
      </w:r>
    </w:p>
    <w:p w14:paraId="54D4DA63" w14:textId="250C0C70" w:rsidR="00146C2C" w:rsidRPr="006D790D" w:rsidRDefault="00146C2C" w:rsidP="001F3DD1">
      <w:r w:rsidRPr="006D790D">
        <w:t xml:space="preserve">A summary of </w:t>
      </w:r>
      <w:proofErr w:type="spellStart"/>
      <w:r w:rsidRPr="006D790D">
        <w:t>casirivimab</w:t>
      </w:r>
      <w:proofErr w:type="spellEnd"/>
      <w:r w:rsidRPr="006D790D">
        <w:t xml:space="preserve">, </w:t>
      </w:r>
      <w:proofErr w:type="spellStart"/>
      <w:r w:rsidRPr="006D790D">
        <w:t>imdevimab</w:t>
      </w:r>
      <w:proofErr w:type="spellEnd"/>
      <w:r w:rsidRPr="006D790D">
        <w:t xml:space="preserve">, and </w:t>
      </w:r>
      <w:proofErr w:type="spellStart"/>
      <w:r w:rsidRPr="006D790D">
        <w:t>casirivimab</w:t>
      </w:r>
      <w:proofErr w:type="spellEnd"/>
      <w:r w:rsidR="00EA28EF" w:rsidRPr="006D790D">
        <w:t>/</w:t>
      </w:r>
      <w:proofErr w:type="spellStart"/>
      <w:r w:rsidRPr="006D790D">
        <w:t>imdevimab</w:t>
      </w:r>
      <w:proofErr w:type="spellEnd"/>
      <w:r w:rsidRPr="006D790D">
        <w:t xml:space="preserve"> concentrations in serum is presented by analyte and nominal time in presented in </w:t>
      </w:r>
      <w:r w:rsidR="00D5326E" w:rsidRPr="006D790D">
        <w:fldChar w:fldCharType="begin"/>
      </w:r>
      <w:r w:rsidR="00D5326E" w:rsidRPr="006D790D">
        <w:instrText xml:space="preserve"> REF _Ref85138296 \h </w:instrText>
      </w:r>
      <w:r w:rsidR="006D790D">
        <w:instrText xml:space="preserve"> \* MERGEFORMAT </w:instrText>
      </w:r>
      <w:r w:rsidR="00D5326E" w:rsidRPr="006D790D">
        <w:fldChar w:fldCharType="separate"/>
      </w:r>
      <w:r w:rsidR="007F1879" w:rsidRPr="006D790D">
        <w:t xml:space="preserve">Table </w:t>
      </w:r>
      <w:r w:rsidR="007F1879">
        <w:rPr>
          <w:noProof/>
        </w:rPr>
        <w:t>6</w:t>
      </w:r>
      <w:r w:rsidR="00D5326E" w:rsidRPr="006D790D">
        <w:fldChar w:fldCharType="end"/>
      </w:r>
      <w:r w:rsidRPr="006D790D">
        <w:t xml:space="preserve">. Mean </w:t>
      </w:r>
      <w:proofErr w:type="spellStart"/>
      <w:r w:rsidRPr="006D790D">
        <w:t>casirivimab</w:t>
      </w:r>
      <w:proofErr w:type="spellEnd"/>
      <w:r w:rsidRPr="006D790D">
        <w:t xml:space="preserve">, </w:t>
      </w:r>
      <w:proofErr w:type="spellStart"/>
      <w:r w:rsidRPr="006D790D">
        <w:t>imdevimab</w:t>
      </w:r>
      <w:proofErr w:type="spellEnd"/>
      <w:r w:rsidRPr="006D790D">
        <w:t xml:space="preserve">, and </w:t>
      </w:r>
      <w:proofErr w:type="spellStart"/>
      <w:r w:rsidRPr="006D790D">
        <w:t>casirivimab</w:t>
      </w:r>
      <w:proofErr w:type="spellEnd"/>
      <w:r w:rsidR="00EA28EF" w:rsidRPr="006D790D">
        <w:t>/</w:t>
      </w:r>
      <w:proofErr w:type="spellStart"/>
      <w:r w:rsidRPr="006D790D">
        <w:t>imdevimab</w:t>
      </w:r>
      <w:proofErr w:type="spellEnd"/>
      <w:r w:rsidRPr="006D790D">
        <w:t xml:space="preserve"> concentrations are presented by nominal time in </w:t>
      </w:r>
      <w:r w:rsidR="00D5326E" w:rsidRPr="006D790D">
        <w:fldChar w:fldCharType="begin"/>
      </w:r>
      <w:r w:rsidR="00D5326E" w:rsidRPr="006D790D">
        <w:instrText xml:space="preserve"> REF _Ref85139194 \h </w:instrText>
      </w:r>
      <w:r w:rsidR="006D790D">
        <w:instrText xml:space="preserve"> \* MERGEFORMAT </w:instrText>
      </w:r>
      <w:r w:rsidR="00D5326E" w:rsidRPr="006D790D">
        <w:fldChar w:fldCharType="separate"/>
      </w:r>
      <w:r w:rsidR="007F1879" w:rsidRPr="006D790D">
        <w:t xml:space="preserve">Figure </w:t>
      </w:r>
      <w:r w:rsidR="007F1879">
        <w:rPr>
          <w:noProof/>
        </w:rPr>
        <w:t>6</w:t>
      </w:r>
      <w:r w:rsidR="00D5326E" w:rsidRPr="006D790D">
        <w:fldChar w:fldCharType="end"/>
      </w:r>
      <w:r w:rsidRPr="006D790D">
        <w:t xml:space="preserve"> below.</w:t>
      </w:r>
    </w:p>
    <w:p w14:paraId="04CAF97C" w14:textId="17CB048D" w:rsidR="00146C2C" w:rsidRPr="006D790D" w:rsidRDefault="00D5326E" w:rsidP="003C331A">
      <w:pPr>
        <w:pStyle w:val="TableTitle"/>
      </w:pPr>
      <w:bookmarkStart w:id="64" w:name="_Ref85138296"/>
      <w:r w:rsidRPr="006D790D">
        <w:lastRenderedPageBreak/>
        <w:t xml:space="preserve">Table </w:t>
      </w:r>
      <w:fldSimple w:instr=" SEQ Table \* ARABIC ">
        <w:r w:rsidR="007F1879">
          <w:rPr>
            <w:noProof/>
          </w:rPr>
          <w:t>6</w:t>
        </w:r>
      </w:fldSimple>
      <w:bookmarkEnd w:id="64"/>
      <w:r w:rsidR="00146C2C" w:rsidRPr="006D790D">
        <w:t xml:space="preserve">: </w:t>
      </w:r>
      <w:r w:rsidR="003C331A" w:rsidRPr="006D790D">
        <w:rPr>
          <w:rFonts w:eastAsiaTheme="minorHAnsi"/>
        </w:rPr>
        <w:t>Study </w:t>
      </w:r>
      <w:r w:rsidR="003C331A" w:rsidRPr="006D790D">
        <w:t xml:space="preserve">HV-2093 </w:t>
      </w:r>
      <w:r w:rsidR="00146C2C" w:rsidRPr="006D790D">
        <w:t xml:space="preserve">Summary of serum concentration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w:t>
      </w:r>
      <w:r w:rsidR="003C331A" w:rsidRPr="006D790D">
        <w:t>pharmacokinetic analysis set</w:t>
      </w:r>
      <w:r w:rsidR="00146C2C" w:rsidRPr="006D790D">
        <w:t>)</w:t>
      </w:r>
    </w:p>
    <w:p w14:paraId="79D1C4A3" w14:textId="273C02D3" w:rsidR="00146C2C" w:rsidRDefault="00146C2C" w:rsidP="00146C2C">
      <w:pPr>
        <w:autoSpaceDE w:val="0"/>
        <w:autoSpaceDN w:val="0"/>
        <w:adjustRightInd w:val="0"/>
        <w:spacing w:before="0" w:after="0" w:line="240" w:lineRule="auto"/>
        <w:rPr>
          <w:rFonts w:asciiTheme="minorHAnsi" w:eastAsiaTheme="minorHAnsi" w:hAnsiTheme="minorHAnsi"/>
        </w:rPr>
      </w:pPr>
      <w:r w:rsidRPr="006D790D">
        <w:rPr>
          <w:rFonts w:asciiTheme="minorHAnsi" w:eastAsiaTheme="minorHAnsi" w:hAnsiTheme="minorHAnsi"/>
          <w:noProof/>
          <w:lang w:val="en-GB" w:eastAsia="en-GB"/>
        </w:rPr>
        <w:drawing>
          <wp:inline distT="0" distB="0" distL="0" distR="0" wp14:anchorId="6153CB23" wp14:editId="2462B218">
            <wp:extent cx="5588065" cy="2135875"/>
            <wp:effectExtent l="0" t="0" r="0" b="0"/>
            <wp:docPr id="34" name="Picture 34" descr="Study HV-2093 Summary of serum concentration of casirivimab and imdevimab (pharmacokinetic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tudy HV-2093 Summary of serum concentration of casirivimab and imdevimab (pharmacokinetic analysis se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5679"/>
                    <a:stretch/>
                  </pic:blipFill>
                  <pic:spPr bwMode="auto">
                    <a:xfrm>
                      <a:off x="0" y="0"/>
                      <a:ext cx="5624942" cy="2149970"/>
                    </a:xfrm>
                    <a:prstGeom prst="rect">
                      <a:avLst/>
                    </a:prstGeom>
                    <a:noFill/>
                    <a:ln>
                      <a:noFill/>
                    </a:ln>
                    <a:extLst>
                      <a:ext uri="{53640926-AAD7-44D8-BBD7-CCE9431645EC}">
                        <a14:shadowObscured xmlns:a14="http://schemas.microsoft.com/office/drawing/2010/main"/>
                      </a:ext>
                    </a:extLst>
                  </pic:spPr>
                </pic:pic>
              </a:graphicData>
            </a:graphic>
          </wp:inline>
        </w:drawing>
      </w:r>
    </w:p>
    <w:p w14:paraId="1B94B49C" w14:textId="47C24137" w:rsidR="00E917B0" w:rsidRPr="009C45A3" w:rsidRDefault="00611290" w:rsidP="009C45A3">
      <w:pPr>
        <w:pStyle w:val="TableDescription"/>
      </w:pPr>
      <w:r w:rsidRPr="009C45A3">
        <w:t xml:space="preserve">R10933 = drug development code for </w:t>
      </w:r>
      <w:proofErr w:type="spellStart"/>
      <w:r w:rsidRPr="009C45A3">
        <w:t>casirivimab</w:t>
      </w:r>
      <w:proofErr w:type="spellEnd"/>
      <w:r w:rsidRPr="009C45A3">
        <w:t xml:space="preserve">; </w:t>
      </w:r>
      <w:r w:rsidR="00E917B0" w:rsidRPr="009C45A3">
        <w:t xml:space="preserve">SC= subcutaneous; </w:t>
      </w:r>
      <w:bookmarkStart w:id="65" w:name="_Hlk85795155"/>
      <w:r w:rsidR="00E917B0" w:rsidRPr="009C45A3">
        <w:t>N = number of subjects</w:t>
      </w:r>
      <w:bookmarkEnd w:id="65"/>
      <w:r w:rsidR="00E917B0" w:rsidRPr="009C45A3">
        <w:t xml:space="preserve">; </w:t>
      </w:r>
      <w:r w:rsidRPr="009C45A3">
        <w:t>R10987</w:t>
      </w:r>
      <w:r w:rsidR="00E917B0" w:rsidRPr="009C45A3">
        <w:t> </w:t>
      </w:r>
      <w:r w:rsidRPr="009C45A3">
        <w:t>=</w:t>
      </w:r>
      <w:r w:rsidR="00E917B0" w:rsidRPr="009C45A3">
        <w:t> </w:t>
      </w:r>
      <w:r w:rsidRPr="009C45A3">
        <w:t xml:space="preserve">drug development code for </w:t>
      </w:r>
      <w:proofErr w:type="spellStart"/>
      <w:r w:rsidRPr="009C45A3">
        <w:t>imdevimab</w:t>
      </w:r>
      <w:proofErr w:type="spellEnd"/>
      <w:r w:rsidRPr="009C45A3">
        <w:t>; R</w:t>
      </w:r>
      <w:r w:rsidR="00E917B0" w:rsidRPr="009C45A3">
        <w:t>ERN</w:t>
      </w:r>
      <w:r w:rsidRPr="009C45A3">
        <w:t xml:space="preserve">10933 + </w:t>
      </w:r>
      <w:r w:rsidR="00E917B0" w:rsidRPr="009C45A3">
        <w:t>REGN</w:t>
      </w:r>
      <w:r w:rsidRPr="009C45A3">
        <w:t xml:space="preserve">R10987 = </w:t>
      </w:r>
      <w:proofErr w:type="spellStart"/>
      <w:r w:rsidRPr="009C45A3">
        <w:t>casirivimab</w:t>
      </w:r>
      <w:proofErr w:type="spellEnd"/>
      <w:r w:rsidRPr="009C45A3">
        <w:t xml:space="preserve"> +</w:t>
      </w:r>
      <w:r w:rsidR="00E917B0" w:rsidRPr="009C45A3">
        <w:t> </w:t>
      </w:r>
      <w:proofErr w:type="spellStart"/>
      <w:r w:rsidRPr="009C45A3">
        <w:t>imdevimab</w:t>
      </w:r>
      <w:proofErr w:type="spellEnd"/>
      <w:r w:rsidRPr="009C45A3">
        <w:t>;</w:t>
      </w:r>
      <w:r w:rsidR="00E917B0" w:rsidRPr="009C45A3">
        <w:t xml:space="preserve"> n = number of subjects contributing to each timepoint; SD = standard deviation.</w:t>
      </w:r>
    </w:p>
    <w:p w14:paraId="630D26AF" w14:textId="2F26D64E" w:rsidR="007174BD" w:rsidRPr="009C45A3" w:rsidRDefault="009C45A3" w:rsidP="009C45A3">
      <w:pPr>
        <w:pStyle w:val="TableDescription"/>
      </w:pPr>
      <w:r>
        <w:t>V</w:t>
      </w:r>
      <w:r w:rsidR="007174BD" w:rsidRPr="009C45A3">
        <w:t>alues for below the level of quantification</w:t>
      </w:r>
      <w:r w:rsidR="00E917B0" w:rsidRPr="009C45A3">
        <w:t xml:space="preserve"> (BLQs)</w:t>
      </w:r>
      <w:r w:rsidR="007174BD" w:rsidRPr="009C45A3">
        <w:t xml:space="preserve"> were set to zero. Timepoint Day 91 was removed as of protocol </w:t>
      </w:r>
      <w:r w:rsidR="00E917B0" w:rsidRPr="009C45A3">
        <w:t>A</w:t>
      </w:r>
      <w:r w:rsidR="007174BD" w:rsidRPr="009C45A3">
        <w:t>mendment 3. Combined concentrations (total REGN10933 + total REGN10987) were calculated only when both the analytes were not missing.</w:t>
      </w:r>
    </w:p>
    <w:p w14:paraId="458994C6" w14:textId="35594575" w:rsidR="00146C2C" w:rsidRDefault="00D5326E" w:rsidP="003C331A">
      <w:pPr>
        <w:pStyle w:val="FigureTitle"/>
      </w:pPr>
      <w:bookmarkStart w:id="66" w:name="_Ref85139194"/>
      <w:r w:rsidRPr="006D790D">
        <w:t xml:space="preserve">Figure </w:t>
      </w:r>
      <w:fldSimple w:instr=" SEQ Figure \* ARABIC ">
        <w:r w:rsidR="007F1879">
          <w:rPr>
            <w:noProof/>
          </w:rPr>
          <w:t>6</w:t>
        </w:r>
      </w:fldSimple>
      <w:bookmarkEnd w:id="66"/>
      <w:r w:rsidR="00146C2C" w:rsidRPr="006D790D">
        <w:t xml:space="preserve">: </w:t>
      </w:r>
      <w:r w:rsidR="003C331A" w:rsidRPr="006D790D">
        <w:rPr>
          <w:rFonts w:eastAsiaTheme="minorHAnsi"/>
        </w:rPr>
        <w:t>Study </w:t>
      </w:r>
      <w:r w:rsidR="003C331A" w:rsidRPr="006D790D">
        <w:t xml:space="preserve">HV-2093 </w:t>
      </w:r>
      <w:r w:rsidR="00146C2C" w:rsidRPr="006D790D">
        <w:t>Mean (</w:t>
      </w:r>
      <w:r w:rsidR="006857B4" w:rsidRPr="006D790D">
        <w:t xml:space="preserve">standard </w:t>
      </w:r>
      <w:r w:rsidR="003C331A" w:rsidRPr="006D790D">
        <w:t xml:space="preserve">deviation) concentrations of </w:t>
      </w:r>
      <w:proofErr w:type="spellStart"/>
      <w:r w:rsidR="003C331A" w:rsidRPr="006D790D">
        <w:t>casirivimab</w:t>
      </w:r>
      <w:proofErr w:type="spellEnd"/>
      <w:r w:rsidR="003C331A" w:rsidRPr="006D790D">
        <w:t xml:space="preserve">, </w:t>
      </w:r>
      <w:proofErr w:type="spellStart"/>
      <w:r w:rsidR="003C331A" w:rsidRPr="006D790D">
        <w:t>imdevimab</w:t>
      </w:r>
      <w:proofErr w:type="spellEnd"/>
      <w:r w:rsidR="003C331A" w:rsidRPr="006D790D">
        <w:t xml:space="preserve"> and </w:t>
      </w:r>
      <w:proofErr w:type="spellStart"/>
      <w:r w:rsidR="003C331A" w:rsidRPr="006D790D">
        <w:t>casirivimab</w:t>
      </w:r>
      <w:proofErr w:type="spellEnd"/>
      <w:r w:rsidR="003C331A" w:rsidRPr="006D790D">
        <w:t>/</w:t>
      </w:r>
      <w:proofErr w:type="spellStart"/>
      <w:r w:rsidR="003C331A" w:rsidRPr="006D790D">
        <w:t>imdevimab</w:t>
      </w:r>
      <w:proofErr w:type="spellEnd"/>
      <w:r w:rsidR="003C331A" w:rsidRPr="006D790D">
        <w:t xml:space="preserve"> combined in serum by time in adult volunteers (log</w:t>
      </w:r>
      <w:r w:rsidR="00303D77" w:rsidRPr="006D790D">
        <w:t xml:space="preserve"> </w:t>
      </w:r>
      <w:r w:rsidR="003C331A" w:rsidRPr="006D790D">
        <w:t>scaled)</w:t>
      </w:r>
    </w:p>
    <w:p w14:paraId="032D051E" w14:textId="1DA953E1" w:rsidR="00E423B4" w:rsidRPr="006D790D" w:rsidRDefault="00E423B4" w:rsidP="00084EC5">
      <w:r>
        <w:rPr>
          <w:noProof/>
        </w:rPr>
        <w:drawing>
          <wp:inline distT="0" distB="0" distL="0" distR="0" wp14:anchorId="572397BD" wp14:editId="44CB9FFF">
            <wp:extent cx="5393690" cy="3374390"/>
            <wp:effectExtent l="0" t="0" r="0" b="0"/>
            <wp:docPr id="38" name="Picture 38" descr="Study HV-2093 Mean (standard deviation) concentrations of casirivimab, imdevimab and casirivimab/imdevimab combined in serum by time in adult volunteers (log sc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tudy HV-2093 Mean (standard deviation) concentrations of casirivimab, imdevimab and casirivimab/imdevimab combined in serum by time in adult volunteers (log scal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3690" cy="3374390"/>
                    </a:xfrm>
                    <a:prstGeom prst="rect">
                      <a:avLst/>
                    </a:prstGeom>
                    <a:noFill/>
                    <a:ln>
                      <a:noFill/>
                    </a:ln>
                  </pic:spPr>
                </pic:pic>
              </a:graphicData>
            </a:graphic>
          </wp:inline>
        </w:drawing>
      </w:r>
    </w:p>
    <w:p w14:paraId="69C814DC" w14:textId="2781912F" w:rsidR="007174BD" w:rsidRPr="009C45A3" w:rsidRDefault="00E423B4" w:rsidP="00084EC5">
      <w:pPr>
        <w:pStyle w:val="FigureDescription"/>
      </w:pPr>
      <w:r w:rsidRPr="009C45A3">
        <w:t xml:space="preserve">R10933 = drug development code for </w:t>
      </w:r>
      <w:proofErr w:type="spellStart"/>
      <w:r w:rsidRPr="009C45A3">
        <w:t>casirivimab</w:t>
      </w:r>
      <w:proofErr w:type="spellEnd"/>
      <w:r w:rsidRPr="009C45A3">
        <w:t xml:space="preserve">; SC= subcutaneous; R10987 = drug development code for </w:t>
      </w:r>
      <w:proofErr w:type="spellStart"/>
      <w:r w:rsidRPr="009C45A3">
        <w:t>imdevimab</w:t>
      </w:r>
      <w:proofErr w:type="spellEnd"/>
      <w:r w:rsidRPr="009C45A3">
        <w:t xml:space="preserve">; R10933 + R10987 = </w:t>
      </w:r>
      <w:proofErr w:type="spellStart"/>
      <w:r w:rsidRPr="009C45A3">
        <w:t>casirivimab</w:t>
      </w:r>
      <w:proofErr w:type="spellEnd"/>
      <w:r w:rsidRPr="009C45A3">
        <w:t xml:space="preserve"> + </w:t>
      </w:r>
      <w:proofErr w:type="spellStart"/>
      <w:r w:rsidRPr="009C45A3">
        <w:t>imdevimab</w:t>
      </w:r>
      <w:proofErr w:type="spellEnd"/>
      <w:r w:rsidRPr="009C45A3">
        <w:t xml:space="preserve">; </w:t>
      </w:r>
      <w:r w:rsidR="007174BD" w:rsidRPr="009C45A3">
        <w:t xml:space="preserve">N = number of subjects; LLOQ = lower limit of quantification; TO933987 = combined concentration of total </w:t>
      </w:r>
      <w:proofErr w:type="spellStart"/>
      <w:r w:rsidR="007174BD" w:rsidRPr="009C45A3">
        <w:t>casirivimab</w:t>
      </w:r>
      <w:proofErr w:type="spellEnd"/>
      <w:r w:rsidR="007174BD" w:rsidRPr="009C45A3">
        <w:t xml:space="preserve"> + total </w:t>
      </w:r>
      <w:proofErr w:type="spellStart"/>
      <w:r w:rsidR="007174BD" w:rsidRPr="009C45A3">
        <w:t>imdevimab</w:t>
      </w:r>
      <w:proofErr w:type="spellEnd"/>
      <w:r w:rsidR="007174BD" w:rsidRPr="009C45A3">
        <w:t>.</w:t>
      </w:r>
    </w:p>
    <w:p w14:paraId="2F79553E" w14:textId="1B12F0C1" w:rsidR="00E423B4" w:rsidRPr="009C45A3" w:rsidRDefault="009C45A3" w:rsidP="00084EC5">
      <w:pPr>
        <w:pStyle w:val="FigureDescription"/>
      </w:pPr>
      <w:r>
        <w:t>C</w:t>
      </w:r>
      <w:r w:rsidR="00E423B4" w:rsidRPr="009C45A3">
        <w:t>oncentrations below the LLOQ (horizontal dashed line) were set to LLOQ/2. Include protocol defined schedule visit only.</w:t>
      </w:r>
    </w:p>
    <w:p w14:paraId="20D2CB89" w14:textId="483F3A1C" w:rsidR="007174BD" w:rsidRPr="009C45A3" w:rsidRDefault="007174BD" w:rsidP="00084EC5">
      <w:pPr>
        <w:pStyle w:val="FigureDescription"/>
      </w:pPr>
      <w:r w:rsidRPr="009C45A3">
        <w:t>Combined concentrations were calculated only when both the analytes were not missing.</w:t>
      </w:r>
    </w:p>
    <w:p w14:paraId="52506044" w14:textId="66F82BC5" w:rsidR="00146C2C" w:rsidRPr="006D790D" w:rsidRDefault="00146C2C" w:rsidP="001F3DD1">
      <w:r w:rsidRPr="006D790D">
        <w:lastRenderedPageBreak/>
        <w:t xml:space="preserve">The serum </w:t>
      </w:r>
      <w:proofErr w:type="spellStart"/>
      <w:r w:rsidRPr="006D790D">
        <w:t>casirivimab</w:t>
      </w:r>
      <w:proofErr w:type="spellEnd"/>
      <w:r w:rsidRPr="006D790D">
        <w:t xml:space="preserve"> and </w:t>
      </w:r>
      <w:proofErr w:type="spellStart"/>
      <w:r w:rsidRPr="006D790D">
        <w:t>imdevimab</w:t>
      </w:r>
      <w:proofErr w:type="spellEnd"/>
      <w:r w:rsidRPr="006D790D">
        <w:t xml:space="preserve"> concentrations reached steady</w:t>
      </w:r>
      <w:r w:rsidR="00303D77" w:rsidRPr="006D790D">
        <w:t xml:space="preserve"> </w:t>
      </w:r>
      <w:r w:rsidRPr="006D790D">
        <w:t xml:space="preserve">state following the third </w:t>
      </w:r>
      <w:proofErr w:type="spellStart"/>
      <w:r w:rsidRPr="006D790D">
        <w:t>casirivimab</w:t>
      </w:r>
      <w:proofErr w:type="spellEnd"/>
      <w:r w:rsidR="00EA28EF" w:rsidRPr="006D790D">
        <w:t>/</w:t>
      </w:r>
      <w:proofErr w:type="spellStart"/>
      <w:r w:rsidRPr="006D790D">
        <w:t>imdevimab</w:t>
      </w:r>
      <w:proofErr w:type="spellEnd"/>
      <w:r w:rsidRPr="006D790D">
        <w:t xml:space="preserve"> dose at Week 12 and were maintained throughout the treatment period (</w:t>
      </w:r>
      <w:r w:rsidR="00303D77" w:rsidRPr="006D790D">
        <w:t>W</w:t>
      </w:r>
      <w:r w:rsidRPr="006D790D">
        <w:t xml:space="preserve">eek 24). Accumulation of </w:t>
      </w:r>
      <w:proofErr w:type="spellStart"/>
      <w:r w:rsidRPr="006D790D">
        <w:t>casirivimab</w:t>
      </w:r>
      <w:proofErr w:type="spellEnd"/>
      <w:r w:rsidRPr="006D790D">
        <w:t xml:space="preserve"> and </w:t>
      </w:r>
      <w:proofErr w:type="spellStart"/>
      <w:r w:rsidRPr="006D790D">
        <w:t>imdevimab</w:t>
      </w:r>
      <w:proofErr w:type="spellEnd"/>
      <w:r w:rsidRPr="006D790D">
        <w:t xml:space="preserve"> based on trough concentration was approximately 2.2</w:t>
      </w:r>
      <w:r w:rsidR="00303D77" w:rsidRPr="006D790D">
        <w:t xml:space="preserve"> </w:t>
      </w:r>
      <w:r w:rsidRPr="006D790D">
        <w:t xml:space="preserve">and </w:t>
      </w:r>
      <w:proofErr w:type="gramStart"/>
      <w:r w:rsidRPr="006D790D">
        <w:t>2</w:t>
      </w:r>
      <w:r w:rsidR="00303D77" w:rsidRPr="006D790D">
        <w:t xml:space="preserve"> </w:t>
      </w:r>
      <w:r w:rsidRPr="006D790D">
        <w:t>fold</w:t>
      </w:r>
      <w:proofErr w:type="gramEnd"/>
      <w:r w:rsidRPr="006D790D">
        <w:t xml:space="preserve">. Mean trough </w:t>
      </w:r>
      <w:proofErr w:type="spellStart"/>
      <w:r w:rsidRPr="006D790D">
        <w:t>casirivimab</w:t>
      </w:r>
      <w:proofErr w:type="spellEnd"/>
      <w:r w:rsidRPr="006D790D">
        <w:t xml:space="preserve"> concentrations and mean trough </w:t>
      </w:r>
      <w:proofErr w:type="spellStart"/>
      <w:r w:rsidRPr="006D790D">
        <w:t>imdevimab</w:t>
      </w:r>
      <w:proofErr w:type="spellEnd"/>
      <w:r w:rsidRPr="006D790D">
        <w:t xml:space="preserve"> concentrations following the first dose were 32.6</w:t>
      </w:r>
      <w:r w:rsidR="00303D77" w:rsidRPr="006D790D">
        <w:t> </w:t>
      </w:r>
      <w:r w:rsidRPr="006D790D">
        <w:t>mg/L and 24.7</w:t>
      </w:r>
      <w:r w:rsidR="00303D77" w:rsidRPr="006D790D">
        <w:t> </w:t>
      </w:r>
      <w:r w:rsidRPr="006D790D">
        <w:t xml:space="preserve">mg/L, respectively. Concentrations of </w:t>
      </w:r>
      <w:proofErr w:type="spellStart"/>
      <w:r w:rsidRPr="006D790D">
        <w:t>casirivimab</w:t>
      </w:r>
      <w:proofErr w:type="spellEnd"/>
      <w:r w:rsidRPr="006D790D">
        <w:t xml:space="preserve"> and </w:t>
      </w:r>
      <w:proofErr w:type="spellStart"/>
      <w:r w:rsidRPr="006D790D">
        <w:t>imdevimab</w:t>
      </w:r>
      <w:proofErr w:type="spellEnd"/>
      <w:r w:rsidRPr="006D790D">
        <w:t xml:space="preserve"> observed over the study period following repeated doses of </w:t>
      </w:r>
      <w:proofErr w:type="spellStart"/>
      <w:r w:rsidRPr="006D790D">
        <w:t>casirivimab</w:t>
      </w:r>
      <w:proofErr w:type="spellEnd"/>
      <w:r w:rsidR="00EA28EF" w:rsidRPr="006D790D">
        <w:t>/</w:t>
      </w:r>
      <w:proofErr w:type="spellStart"/>
      <w:r w:rsidRPr="006D790D">
        <w:t>imdevimab</w:t>
      </w:r>
      <w:proofErr w:type="spellEnd"/>
      <w:r w:rsidRPr="006D790D">
        <w:t xml:space="preserve"> were very similar, and the same trends were observed for the combined concentrations of </w:t>
      </w:r>
      <w:proofErr w:type="spellStart"/>
      <w:r w:rsidRPr="006D790D">
        <w:t>casirivimab</w:t>
      </w:r>
      <w:proofErr w:type="spellEnd"/>
      <w:r w:rsidR="00EA28EF" w:rsidRPr="006D790D">
        <w:t>/</w:t>
      </w:r>
      <w:proofErr w:type="spellStart"/>
      <w:r w:rsidRPr="006D790D">
        <w:t>imdevimab</w:t>
      </w:r>
      <w:proofErr w:type="spellEnd"/>
      <w:r w:rsidRPr="006D790D">
        <w:t>.</w:t>
      </w:r>
    </w:p>
    <w:p w14:paraId="7479595E" w14:textId="693D5AD5" w:rsidR="00146C2C" w:rsidRPr="006D790D" w:rsidRDefault="00316746" w:rsidP="00E242C3">
      <w:pPr>
        <w:pStyle w:val="Heading5"/>
      </w:pPr>
      <w:bookmarkStart w:id="67" w:name="_Toc84071958"/>
      <w:r w:rsidRPr="006D790D">
        <w:t>Study </w:t>
      </w:r>
      <w:r w:rsidR="00146C2C" w:rsidRPr="006D790D">
        <w:t>COV-2067</w:t>
      </w:r>
      <w:bookmarkEnd w:id="67"/>
      <w:r w:rsidR="00825B6E">
        <w:t xml:space="preserve"> p</w:t>
      </w:r>
      <w:r w:rsidR="00825B6E" w:rsidRPr="006D790D">
        <w:t>harmacokinetics analysis</w:t>
      </w:r>
    </w:p>
    <w:p w14:paraId="6E664FA0" w14:textId="7149E22E" w:rsidR="00146C2C" w:rsidRPr="006D790D" w:rsidRDefault="00146C2C" w:rsidP="001F3DD1">
      <w:proofErr w:type="spellStart"/>
      <w:r w:rsidRPr="006D790D">
        <w:t>Casirivimab</w:t>
      </w:r>
      <w:proofErr w:type="spellEnd"/>
      <w:r w:rsidRPr="006D790D">
        <w:t xml:space="preserve"> and </w:t>
      </w:r>
      <w:proofErr w:type="spellStart"/>
      <w:r w:rsidRPr="006D790D">
        <w:t>imdevimab</w:t>
      </w:r>
      <w:proofErr w:type="spellEnd"/>
      <w:r w:rsidRPr="006D790D">
        <w:t xml:space="preserve"> concentration</w:t>
      </w:r>
      <w:r w:rsidR="00303D77" w:rsidRPr="006D790D">
        <w:t xml:space="preserve"> </w:t>
      </w:r>
      <w:r w:rsidRPr="006D790D">
        <w:t xml:space="preserve">time profiles in serum following 1200 </w:t>
      </w:r>
      <w:r w:rsidR="00825B6E">
        <w:t xml:space="preserve">mg </w:t>
      </w:r>
      <w:r w:rsidRPr="006D790D">
        <w:t>and 4000</w:t>
      </w:r>
      <w:r w:rsidR="00303D77" w:rsidRPr="006D790D">
        <w:t> </w:t>
      </w:r>
      <w:r w:rsidRPr="006D790D">
        <w:t xml:space="preserve">mg </w:t>
      </w:r>
      <w:r w:rsidR="00F43ACD" w:rsidRPr="006D790D">
        <w:t>intravenous</w:t>
      </w:r>
      <w:r w:rsidRPr="006D790D">
        <w:t xml:space="preserve"> doses of each antibody showed a profile consistent with linear </w:t>
      </w:r>
      <w:r w:rsidR="00216A81" w:rsidRPr="006D790D">
        <w:t>PK</w:t>
      </w:r>
      <w:r w:rsidRPr="006D790D">
        <w:t xml:space="preserve">, defined by an initial distribution phase followed by a terminal mono-exponential elimination phase. At each dose level, mean concentrations of </w:t>
      </w:r>
      <w:proofErr w:type="spellStart"/>
      <w:r w:rsidRPr="006D790D">
        <w:t>casirivimab</w:t>
      </w:r>
      <w:proofErr w:type="spellEnd"/>
      <w:r w:rsidRPr="006D790D">
        <w:t xml:space="preserve"> and </w:t>
      </w:r>
      <w:proofErr w:type="spellStart"/>
      <w:r w:rsidRPr="006D790D">
        <w:t>imdevimab</w:t>
      </w:r>
      <w:proofErr w:type="spellEnd"/>
      <w:r w:rsidRPr="006D790D">
        <w:t xml:space="preserve"> were similar over the month following dosing. Concentrations of </w:t>
      </w:r>
      <w:proofErr w:type="spellStart"/>
      <w:r w:rsidRPr="006D790D">
        <w:t>casirivimab</w:t>
      </w:r>
      <w:proofErr w:type="spellEnd"/>
      <w:r w:rsidRPr="006D790D">
        <w:t xml:space="preserve"> and </w:t>
      </w:r>
      <w:proofErr w:type="spellStart"/>
      <w:r w:rsidRPr="006D790D">
        <w:t>imdevimab</w:t>
      </w:r>
      <w:proofErr w:type="spellEnd"/>
      <w:r w:rsidRPr="006D790D">
        <w:t xml:space="preserve"> in serum were not affected by baseline serostatus or baseline viral load. Similarly, patients with or without a COVID-19</w:t>
      </w:r>
      <w:r w:rsidR="00303D77" w:rsidRPr="006D790D">
        <w:t xml:space="preserve"> </w:t>
      </w:r>
      <w:r w:rsidRPr="006D790D">
        <w:t>related medically</w:t>
      </w:r>
      <w:r w:rsidR="00303D77" w:rsidRPr="006D790D">
        <w:t xml:space="preserve"> </w:t>
      </w:r>
      <w:r w:rsidRPr="006D790D">
        <w:t>attended visit did not show any difference in combined antibody drug concentrations.</w:t>
      </w:r>
    </w:p>
    <w:p w14:paraId="19E41CF1" w14:textId="20D9ACBE" w:rsidR="00146C2C" w:rsidRPr="006D790D" w:rsidRDefault="00825B6E" w:rsidP="001F3DD1">
      <w:r>
        <w:t xml:space="preserve">The </w:t>
      </w:r>
      <w:r w:rsidR="00316746" w:rsidRPr="006D790D">
        <w:t>subcutaneous</w:t>
      </w:r>
      <w:r w:rsidR="00146C2C" w:rsidRPr="006D790D">
        <w:t xml:space="preserve"> route </w:t>
      </w:r>
      <w:r>
        <w:t xml:space="preserve">of administration </w:t>
      </w:r>
      <w:r w:rsidR="00146C2C" w:rsidRPr="006D790D">
        <w:t xml:space="preserve">was not used in this study, there was therefore no </w:t>
      </w:r>
      <w:r>
        <w:t xml:space="preserve">PK </w:t>
      </w:r>
      <w:r w:rsidR="00146C2C" w:rsidRPr="006D790D">
        <w:t xml:space="preserve">data on </w:t>
      </w:r>
      <w:r w:rsidR="00316746" w:rsidRPr="006D790D">
        <w:t>subcutaneous</w:t>
      </w:r>
      <w:r w:rsidR="00146C2C" w:rsidRPr="006D790D">
        <w:t xml:space="preserve"> administration in this pivotal treatment study.</w:t>
      </w:r>
    </w:p>
    <w:p w14:paraId="5C7E9CBD" w14:textId="6D9AA1A7" w:rsidR="00146C2C" w:rsidRPr="006D790D" w:rsidRDefault="00316746" w:rsidP="00E242C3">
      <w:pPr>
        <w:pStyle w:val="Heading5"/>
        <w:rPr>
          <w:rFonts w:eastAsiaTheme="minorHAnsi"/>
        </w:rPr>
      </w:pPr>
      <w:bookmarkStart w:id="68" w:name="_Toc84071959"/>
      <w:r w:rsidRPr="006D790D">
        <w:t>Study </w:t>
      </w:r>
      <w:r w:rsidR="00146C2C" w:rsidRPr="006D790D">
        <w:rPr>
          <w:rFonts w:eastAsiaTheme="minorHAnsi"/>
        </w:rPr>
        <w:t>COV-2069</w:t>
      </w:r>
      <w:bookmarkEnd w:id="68"/>
      <w:r w:rsidR="00825B6E">
        <w:rPr>
          <w:rFonts w:eastAsiaTheme="minorHAnsi"/>
        </w:rPr>
        <w:t xml:space="preserve"> p</w:t>
      </w:r>
      <w:r w:rsidR="00825B6E" w:rsidRPr="006D790D">
        <w:rPr>
          <w:rFonts w:eastAsiaTheme="minorHAnsi"/>
        </w:rPr>
        <w:t>harmacokinetics analysis</w:t>
      </w:r>
    </w:p>
    <w:p w14:paraId="004FE385" w14:textId="60B8A148" w:rsidR="00146C2C" w:rsidRPr="006D790D" w:rsidRDefault="00146C2C" w:rsidP="001F3DD1">
      <w:r w:rsidRPr="006D790D">
        <w:t>Blood samples were collected at various times throughout the study in a subset of participants from Cohort A and B. As of the cut-off dates for this PK analysis, a total of 169</w:t>
      </w:r>
      <w:r w:rsidR="00303D77" w:rsidRPr="006D790D">
        <w:t> </w:t>
      </w:r>
      <w:r w:rsidRPr="006D790D">
        <w:t xml:space="preserve">participants were included in the </w:t>
      </w:r>
      <w:r w:rsidR="003C331A" w:rsidRPr="006D790D">
        <w:t xml:space="preserve">pharmacokinetic analysis set </w:t>
      </w:r>
      <w:r w:rsidRPr="006D790D">
        <w:t>(PKAS).</w:t>
      </w:r>
    </w:p>
    <w:p w14:paraId="614AD74D" w14:textId="6ECD97A5" w:rsidR="00146C2C" w:rsidRPr="006D790D" w:rsidRDefault="00146C2C" w:rsidP="001F3DD1">
      <w:r w:rsidRPr="006D790D">
        <w:t xml:space="preserve">The concentration over time profiles for total </w:t>
      </w:r>
      <w:proofErr w:type="spellStart"/>
      <w:r w:rsidRPr="006D790D">
        <w:t>casirivimab</w:t>
      </w:r>
      <w:proofErr w:type="spellEnd"/>
      <w:r w:rsidRPr="006D790D">
        <w:t xml:space="preserve"> and total </w:t>
      </w:r>
      <w:proofErr w:type="spellStart"/>
      <w:r w:rsidRPr="006D790D">
        <w:t>imdevimab</w:t>
      </w:r>
      <w:proofErr w:type="spellEnd"/>
      <w:r w:rsidRPr="006D790D">
        <w:t xml:space="preserve"> following </w:t>
      </w:r>
      <w:r w:rsidR="00316746" w:rsidRPr="006D790D">
        <w:t>subcutaneous</w:t>
      </w:r>
      <w:r w:rsidRPr="006D790D">
        <w:t xml:space="preserve"> administration were </w:t>
      </w:r>
      <w:proofErr w:type="gramStart"/>
      <w:r w:rsidRPr="006D790D">
        <w:t>similar to</w:t>
      </w:r>
      <w:proofErr w:type="gramEnd"/>
      <w:r w:rsidRPr="006D790D">
        <w:t xml:space="preserve"> each other and were characteri</w:t>
      </w:r>
      <w:r w:rsidR="00AF6815" w:rsidRPr="006D790D">
        <w:t>s</w:t>
      </w:r>
      <w:r w:rsidRPr="006D790D">
        <w:t xml:space="preserve">ed by an initial absorption phase followed by a mono-exponential elimination phase. Concentration versus time profiles and PK parameters for </w:t>
      </w:r>
      <w:proofErr w:type="spellStart"/>
      <w:r w:rsidRPr="006D790D">
        <w:t>casirivimab</w:t>
      </w:r>
      <w:proofErr w:type="spellEnd"/>
      <w:r w:rsidRPr="006D790D">
        <w:t xml:space="preserve"> and </w:t>
      </w:r>
      <w:proofErr w:type="spellStart"/>
      <w:r w:rsidRPr="006D790D">
        <w:t>imdevimab</w:t>
      </w:r>
      <w:proofErr w:type="spellEnd"/>
      <w:r w:rsidRPr="006D790D">
        <w:t xml:space="preserve"> in serum were consistent between participants in Cohort A and Cohort B, </w:t>
      </w:r>
      <w:proofErr w:type="gramStart"/>
      <w:r w:rsidRPr="006D790D">
        <w:t>and also</w:t>
      </w:r>
      <w:proofErr w:type="gramEnd"/>
      <w:r w:rsidRPr="006D790D">
        <w:t xml:space="preserve"> between baseline</w:t>
      </w:r>
      <w:r w:rsidR="00FB39BC" w:rsidRPr="006D790D">
        <w:t xml:space="preserve"> </w:t>
      </w:r>
      <w:r w:rsidRPr="006D790D">
        <w:t>seronegative and those who were baseline</w:t>
      </w:r>
      <w:r w:rsidR="00FB39BC" w:rsidRPr="006D790D">
        <w:t xml:space="preserve"> </w:t>
      </w:r>
      <w:r w:rsidRPr="006D790D">
        <w:t xml:space="preserve">seropositive or had undetermined baseline serostatus. The </w:t>
      </w:r>
      <w:proofErr w:type="spellStart"/>
      <w:r w:rsidRPr="006D790D">
        <w:t>casirivimab</w:t>
      </w:r>
      <w:proofErr w:type="spellEnd"/>
      <w:r w:rsidRPr="006D790D">
        <w:t xml:space="preserve"> and </w:t>
      </w:r>
      <w:proofErr w:type="spellStart"/>
      <w:r w:rsidRPr="006D790D">
        <w:t>imdevimab</w:t>
      </w:r>
      <w:proofErr w:type="spellEnd"/>
      <w:r w:rsidRPr="006D790D">
        <w:t xml:space="preserve"> concentration</w:t>
      </w:r>
      <w:r w:rsidR="00303D77" w:rsidRPr="006D790D">
        <w:t xml:space="preserve"> </w:t>
      </w:r>
      <w:r w:rsidRPr="006D790D">
        <w:t xml:space="preserve">time profiles were also similar in uninfected participants and those who were infected with SARS-CoV-2 </w:t>
      </w:r>
      <w:proofErr w:type="gramStart"/>
      <w:r w:rsidRPr="006D790D">
        <w:t>and also</w:t>
      </w:r>
      <w:proofErr w:type="gramEnd"/>
      <w:r w:rsidRPr="006D790D">
        <w:t xml:space="preserve"> not affected by baseline serostatus. A comparison of results for the sentinel group in </w:t>
      </w:r>
      <w:r w:rsidR="00FC63CA" w:rsidRPr="006D790D">
        <w:t>C</w:t>
      </w:r>
      <w:r w:rsidRPr="006D790D">
        <w:t>ohorts</w:t>
      </w:r>
      <w:r w:rsidR="00303D77" w:rsidRPr="006D790D">
        <w:t> </w:t>
      </w:r>
      <w:r w:rsidRPr="006D790D">
        <w:t xml:space="preserve">A and B indicated the PK parameters were consistent between the two cohorts for both </w:t>
      </w:r>
      <w:proofErr w:type="spellStart"/>
      <w:r w:rsidRPr="006D790D">
        <w:t>casirivimab</w:t>
      </w:r>
      <w:proofErr w:type="spellEnd"/>
      <w:r w:rsidRPr="006D790D">
        <w:t xml:space="preserve"> and </w:t>
      </w:r>
      <w:proofErr w:type="spellStart"/>
      <w:r w:rsidRPr="006D790D">
        <w:t>imdevimab</w:t>
      </w:r>
      <w:proofErr w:type="spellEnd"/>
      <w:r w:rsidRPr="006D790D">
        <w:t xml:space="preserve">. </w:t>
      </w:r>
      <w:r w:rsidR="00416215" w:rsidRPr="006D790D">
        <w:t>Drug concentration at Day 28 (</w:t>
      </w:r>
      <w:r w:rsidRPr="006D790D">
        <w:t>C</w:t>
      </w:r>
      <w:r w:rsidRPr="006D790D">
        <w:rPr>
          <w:vertAlign w:val="subscript"/>
        </w:rPr>
        <w:t>28</w:t>
      </w:r>
      <w:r w:rsidR="00825B6E">
        <w:rPr>
          <w:vertAlign w:val="subscript"/>
        </w:rPr>
        <w:t>d</w:t>
      </w:r>
      <w:r w:rsidR="00416215" w:rsidRPr="006D790D">
        <w:t>)</w:t>
      </w:r>
      <w:r w:rsidRPr="006D790D">
        <w:t xml:space="preserve"> is 30.7</w:t>
      </w:r>
      <w:r w:rsidR="00303D77" w:rsidRPr="006D790D">
        <w:t> </w:t>
      </w:r>
      <w:r w:rsidRPr="006D790D">
        <w:t xml:space="preserve">mg/L for </w:t>
      </w:r>
      <w:proofErr w:type="spellStart"/>
      <w:r w:rsidRPr="006D790D">
        <w:t>casirivimab</w:t>
      </w:r>
      <w:proofErr w:type="spellEnd"/>
      <w:r w:rsidRPr="006D790D">
        <w:t xml:space="preserve"> and 24.8</w:t>
      </w:r>
      <w:r w:rsidR="00303D77" w:rsidRPr="006D790D">
        <w:t> </w:t>
      </w:r>
      <w:r w:rsidRPr="006D790D">
        <w:t xml:space="preserve">mg/L for </w:t>
      </w:r>
      <w:proofErr w:type="spellStart"/>
      <w:r w:rsidRPr="006D790D">
        <w:t>imdevimab</w:t>
      </w:r>
      <w:proofErr w:type="spellEnd"/>
      <w:r w:rsidRPr="006D790D">
        <w:t>.</w:t>
      </w:r>
    </w:p>
    <w:p w14:paraId="0F329247" w14:textId="0F9FC063" w:rsidR="00146C2C" w:rsidRPr="006D790D" w:rsidRDefault="00D5326E" w:rsidP="00C5297C">
      <w:pPr>
        <w:pStyle w:val="TableTitle"/>
        <w:keepLines/>
      </w:pPr>
      <w:r w:rsidRPr="006D790D">
        <w:t xml:space="preserve">Table </w:t>
      </w:r>
      <w:fldSimple w:instr=" SEQ Table \* ARABIC ">
        <w:r w:rsidR="007F1879">
          <w:rPr>
            <w:noProof/>
          </w:rPr>
          <w:t>7</w:t>
        </w:r>
      </w:fldSimple>
      <w:r w:rsidR="00146C2C" w:rsidRPr="006D790D">
        <w:t xml:space="preserve">: </w:t>
      </w:r>
      <w:r w:rsidR="003C331A" w:rsidRPr="006D790D">
        <w:t>Study </w:t>
      </w:r>
      <w:r w:rsidR="003C331A" w:rsidRPr="006D790D">
        <w:rPr>
          <w:rFonts w:eastAsiaTheme="minorHAnsi"/>
        </w:rPr>
        <w:t xml:space="preserve">COV-2069 </w:t>
      </w:r>
      <w:r w:rsidR="00216A81" w:rsidRPr="006D790D">
        <w:t xml:space="preserve">Pharmacokinetics </w:t>
      </w:r>
      <w:r w:rsidR="00146C2C" w:rsidRPr="006D790D">
        <w:t xml:space="preserve">parameters for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after a single 1200</w:t>
      </w:r>
      <w:r w:rsidR="003C331A" w:rsidRPr="006D790D">
        <w:t> </w:t>
      </w:r>
      <w:r w:rsidR="00146C2C" w:rsidRPr="006D790D">
        <w:t xml:space="preserve">mg </w:t>
      </w:r>
      <w:r w:rsidR="00316746" w:rsidRPr="006D790D">
        <w:t>subcutaneous</w:t>
      </w:r>
      <w:r w:rsidR="00146C2C" w:rsidRPr="006D790D">
        <w:t xml:space="preserve"> dose for Cohort A and B (</w:t>
      </w:r>
      <w:r w:rsidR="003C331A" w:rsidRPr="006D790D">
        <w:t>pharmacokinetic analysis set</w:t>
      </w:r>
      <w:r w:rsidR="00146C2C" w:rsidRPr="006D790D">
        <w:t>, based on the sentinel subset unless otherwise specified)</w:t>
      </w:r>
    </w:p>
    <w:p w14:paraId="222269AA" w14:textId="22FC5BD2" w:rsidR="00146C2C" w:rsidRDefault="00146C2C" w:rsidP="00146C2C">
      <w:pPr>
        <w:autoSpaceDE w:val="0"/>
        <w:autoSpaceDN w:val="0"/>
        <w:adjustRightInd w:val="0"/>
        <w:spacing w:before="0" w:after="0" w:line="240" w:lineRule="auto"/>
        <w:rPr>
          <w:rFonts w:asciiTheme="minorHAnsi" w:eastAsiaTheme="minorHAnsi" w:hAnsiTheme="minorHAnsi"/>
        </w:rPr>
      </w:pPr>
      <w:r w:rsidRPr="006D790D">
        <w:rPr>
          <w:rFonts w:asciiTheme="minorHAnsi" w:eastAsiaTheme="minorHAnsi" w:hAnsiTheme="minorHAnsi"/>
          <w:noProof/>
          <w:lang w:val="en-GB" w:eastAsia="en-GB"/>
        </w:rPr>
        <w:drawing>
          <wp:inline distT="0" distB="0" distL="0" distR="0" wp14:anchorId="25FB2CB6" wp14:editId="058F3D2C">
            <wp:extent cx="5498155" cy="1398815"/>
            <wp:effectExtent l="0" t="0" r="7620" b="0"/>
            <wp:docPr id="58" name="Picture 58" descr="Study COV-2069 Pharmacokinetics parameters for casirivimab and imdevimab after a single 1200 mg subcutaneous dose for Cohort A and B (pharmacokinetic analysis set, based on the sentinel subset unless otherwise spec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tudy COV-2069 Pharmacokinetics parameters for casirivimab and imdevimab after a single 1200 mg subcutaneous dose for Cohort A and B (pharmacokinetic analysis set, based on the sentinel subset unless otherwise specified)"/>
                    <pic:cNvPicPr>
                      <a:picLocks noChangeAspect="1" noChangeArrowheads="1"/>
                    </pic:cNvPicPr>
                  </pic:nvPicPr>
                  <pic:blipFill rotWithShape="1">
                    <a:blip r:embed="rId29">
                      <a:extLst>
                        <a:ext uri="{28A0092B-C50C-407E-A947-70E740481C1C}">
                          <a14:useLocalDpi xmlns:a14="http://schemas.microsoft.com/office/drawing/2010/main" val="0"/>
                        </a:ext>
                      </a:extLst>
                    </a:blip>
                    <a:srcRect r="2403" b="34240"/>
                    <a:stretch/>
                  </pic:blipFill>
                  <pic:spPr bwMode="auto">
                    <a:xfrm>
                      <a:off x="0" y="0"/>
                      <a:ext cx="5544231" cy="1410538"/>
                    </a:xfrm>
                    <a:prstGeom prst="rect">
                      <a:avLst/>
                    </a:prstGeom>
                    <a:noFill/>
                    <a:ln>
                      <a:noFill/>
                    </a:ln>
                    <a:extLst>
                      <a:ext uri="{53640926-AAD7-44D8-BBD7-CCE9431645EC}">
                        <a14:shadowObscured xmlns:a14="http://schemas.microsoft.com/office/drawing/2010/main"/>
                      </a:ext>
                    </a:extLst>
                  </pic:spPr>
                </pic:pic>
              </a:graphicData>
            </a:graphic>
          </wp:inline>
        </w:drawing>
      </w:r>
    </w:p>
    <w:p w14:paraId="49F2B61B" w14:textId="1DD0D34A" w:rsidR="00E423B4" w:rsidRDefault="00E423B4" w:rsidP="00BB0979">
      <w:pPr>
        <w:pStyle w:val="TableDescription"/>
      </w:pPr>
      <w:r>
        <w:t xml:space="preserve">PK = pharmacokinetics; </w:t>
      </w:r>
      <w:proofErr w:type="spellStart"/>
      <w:r>
        <w:t>C</w:t>
      </w:r>
      <w:r w:rsidRPr="00BB0979">
        <w:rPr>
          <w:vertAlign w:val="subscript"/>
        </w:rPr>
        <w:t>max</w:t>
      </w:r>
      <w:proofErr w:type="spellEnd"/>
      <w:r>
        <w:t xml:space="preserve"> = maximum concentration; </w:t>
      </w:r>
      <w:proofErr w:type="spellStart"/>
      <w:r>
        <w:t>t</w:t>
      </w:r>
      <w:r w:rsidRPr="00BB0979">
        <w:rPr>
          <w:vertAlign w:val="subscript"/>
        </w:rPr>
        <w:t>max</w:t>
      </w:r>
      <w:proofErr w:type="spellEnd"/>
      <w:r>
        <w:t xml:space="preserve"> = time of maximum concentration; C</w:t>
      </w:r>
      <w:r w:rsidRPr="00BB0979">
        <w:rPr>
          <w:vertAlign w:val="subscript"/>
        </w:rPr>
        <w:t>1</w:t>
      </w:r>
      <w:r>
        <w:t xml:space="preserve"> = concentration on Day 1; AUC</w:t>
      </w:r>
      <w:r w:rsidRPr="00BB0979">
        <w:rPr>
          <w:vertAlign w:val="subscript"/>
        </w:rPr>
        <w:t>0-28</w:t>
      </w:r>
      <w:r>
        <w:t xml:space="preserve"> = area under the concentration versus time curve from Day 0 to Day 28; </w:t>
      </w:r>
      <w:r>
        <w:lastRenderedPageBreak/>
        <w:t>AUC</w:t>
      </w:r>
      <w:r w:rsidRPr="00BB0979">
        <w:rPr>
          <w:vertAlign w:val="subscript"/>
        </w:rPr>
        <w:t>inf</w:t>
      </w:r>
      <w:r>
        <w:t xml:space="preserve"> = area under the concentration versus time curve from Day 0 extrapolated to infinity; C</w:t>
      </w:r>
      <w:r w:rsidRPr="00BB0979">
        <w:rPr>
          <w:vertAlign w:val="subscript"/>
        </w:rPr>
        <w:t>28</w:t>
      </w:r>
      <w:r>
        <w:t xml:space="preserve"> = concentration on Day 28</w:t>
      </w:r>
      <w:r w:rsidR="00F757FF">
        <w:t>.</w:t>
      </w:r>
    </w:p>
    <w:p w14:paraId="13E0D113" w14:textId="531B32BB" w:rsidR="00E423B4" w:rsidRDefault="00E423B4" w:rsidP="00BB0979">
      <w:pPr>
        <w:pStyle w:val="TableDescription"/>
      </w:pPr>
      <w:r>
        <w:t xml:space="preserve">1 </w:t>
      </w:r>
      <w:r w:rsidR="00825B6E">
        <w:t>Mean (standard deviation)</w:t>
      </w:r>
    </w:p>
    <w:p w14:paraId="4BDE5702" w14:textId="76005FA4" w:rsidR="00E423B4" w:rsidRDefault="00E423B4" w:rsidP="00BB0979">
      <w:pPr>
        <w:pStyle w:val="TableDescription"/>
      </w:pPr>
      <w:r>
        <w:t xml:space="preserve">2 </w:t>
      </w:r>
      <w:r w:rsidR="00825B6E">
        <w:t>Median (range)</w:t>
      </w:r>
    </w:p>
    <w:p w14:paraId="06EDE87B" w14:textId="07EE9973" w:rsidR="00E423B4" w:rsidRDefault="00825B6E" w:rsidP="00BB0979">
      <w:pPr>
        <w:pStyle w:val="TableDescription"/>
      </w:pPr>
      <w:r>
        <w:t xml:space="preserve">3 Observed concentration </w:t>
      </w:r>
      <w:r w:rsidR="00F757FF">
        <w:t>one</w:t>
      </w:r>
      <w:r>
        <w:t xml:space="preserve"> day after dosing, that is, on study Day 2</w:t>
      </w:r>
    </w:p>
    <w:p w14:paraId="6705045E" w14:textId="09E475FF" w:rsidR="00825B6E" w:rsidRDefault="00825B6E" w:rsidP="00BB0979">
      <w:pPr>
        <w:pStyle w:val="TableDescription"/>
      </w:pPr>
      <w:r>
        <w:t>4 The C</w:t>
      </w:r>
      <w:r w:rsidRPr="00BB0979">
        <w:rPr>
          <w:vertAlign w:val="subscript"/>
        </w:rPr>
        <w:t>28</w:t>
      </w:r>
      <w:r>
        <w:t xml:space="preserve"> parameter includes the sentinel and safety subsets. Observed concentration 29 days after dosing, that is, on study Day 29</w:t>
      </w:r>
    </w:p>
    <w:p w14:paraId="288AA35F" w14:textId="3AE5A6BD" w:rsidR="00825B6E" w:rsidRPr="006D790D" w:rsidRDefault="00825B6E" w:rsidP="00BB0979">
      <w:pPr>
        <w:pStyle w:val="TableDescription"/>
      </w:pPr>
      <w:r>
        <w:t>Analysis is based on a PK data cut-off date of 10 March 2021.</w:t>
      </w:r>
    </w:p>
    <w:p w14:paraId="0541F369" w14:textId="6AFF992F" w:rsidR="00146C2C" w:rsidRDefault="00D5326E" w:rsidP="00B83541">
      <w:pPr>
        <w:pStyle w:val="FigureTitle"/>
      </w:pPr>
      <w:r w:rsidRPr="006D790D">
        <w:t xml:space="preserve">Figure </w:t>
      </w:r>
      <w:fldSimple w:instr=" SEQ Figure \* ARABIC ">
        <w:r w:rsidR="007F1879">
          <w:rPr>
            <w:noProof/>
          </w:rPr>
          <w:t>7</w:t>
        </w:r>
      </w:fldSimple>
      <w:r w:rsidR="00146C2C" w:rsidRPr="006D790D">
        <w:t xml:space="preserve">: </w:t>
      </w:r>
      <w:r w:rsidR="00B83541" w:rsidRPr="006D790D">
        <w:t xml:space="preserve">Study COV-2069 </w:t>
      </w:r>
      <w:r w:rsidR="00146C2C" w:rsidRPr="006D790D">
        <w:t>Mean (</w:t>
      </w:r>
      <w:r w:rsidR="006857B4" w:rsidRPr="006D790D">
        <w:t>standard deviation</w:t>
      </w:r>
      <w:r w:rsidR="00146C2C" w:rsidRPr="006D790D">
        <w:t xml:space="preserve">) </w:t>
      </w:r>
      <w:r w:rsidR="00B83541" w:rsidRPr="006D790D">
        <w:t xml:space="preserve">concentrations of </w:t>
      </w:r>
      <w:proofErr w:type="spellStart"/>
      <w:r w:rsidR="00B83541" w:rsidRPr="006D790D">
        <w:t>casirivimab</w:t>
      </w:r>
      <w:proofErr w:type="spellEnd"/>
      <w:r w:rsidR="00B83541" w:rsidRPr="006D790D">
        <w:t xml:space="preserve"> and </w:t>
      </w:r>
      <w:proofErr w:type="spellStart"/>
      <w:r w:rsidR="00B83541" w:rsidRPr="006D790D">
        <w:t>imdevimab</w:t>
      </w:r>
      <w:proofErr w:type="spellEnd"/>
      <w:r w:rsidR="00B83541" w:rsidRPr="006D790D">
        <w:t xml:space="preserve"> in serum over time for sentinel and safety cohorts after single 1200 mg subcutaneous dose (linear scale)</w:t>
      </w:r>
    </w:p>
    <w:p w14:paraId="76A440F0" w14:textId="64CEA45A" w:rsidR="00F757FF" w:rsidRDefault="00F757FF" w:rsidP="00084EC5">
      <w:r>
        <w:rPr>
          <w:noProof/>
        </w:rPr>
        <w:drawing>
          <wp:inline distT="0" distB="0" distL="0" distR="0" wp14:anchorId="5BB78B11" wp14:editId="1F3F1CE5">
            <wp:extent cx="4701435" cy="4372152"/>
            <wp:effectExtent l="0" t="0" r="4445" b="0"/>
            <wp:docPr id="43" name="Picture 43" descr="Study COV-2069 Mean (standard deviation) concentrations of casirivimab and imdevimab in serum over time for sentinel and safety cohorts after single 1200 mg subcutaneous dose (linear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tudy COV-2069 Mean (standard deviation) concentrations of casirivimab and imdevimab in serum over time for sentinel and safety cohorts after single 1200 mg subcutaneous dose (linear sca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9733" cy="4379869"/>
                    </a:xfrm>
                    <a:prstGeom prst="rect">
                      <a:avLst/>
                    </a:prstGeom>
                    <a:noFill/>
                    <a:ln>
                      <a:noFill/>
                    </a:ln>
                  </pic:spPr>
                </pic:pic>
              </a:graphicData>
            </a:graphic>
          </wp:inline>
        </w:drawing>
      </w:r>
    </w:p>
    <w:p w14:paraId="3C50F8A5" w14:textId="39C7B659" w:rsidR="00F757FF" w:rsidRPr="009C45A3" w:rsidRDefault="00F757FF" w:rsidP="00084EC5">
      <w:pPr>
        <w:pStyle w:val="FigureDescription"/>
      </w:pPr>
      <w:r w:rsidRPr="009C45A3">
        <w:t xml:space="preserve">R10933 = drug development code for </w:t>
      </w:r>
      <w:proofErr w:type="spellStart"/>
      <w:r w:rsidRPr="009C45A3">
        <w:t>casirivimab</w:t>
      </w:r>
      <w:proofErr w:type="spellEnd"/>
      <w:r w:rsidRPr="009C45A3">
        <w:t xml:space="preserve">; SC= subcutaneous; </w:t>
      </w:r>
      <w:r w:rsidRPr="001A156C">
        <w:t xml:space="preserve">N = number of </w:t>
      </w:r>
      <w:proofErr w:type="gramStart"/>
      <w:r w:rsidRPr="001A156C">
        <w:t>subjects</w:t>
      </w:r>
      <w:r w:rsidRPr="009C45A3">
        <w:t xml:space="preserve"> </w:t>
      </w:r>
      <w:r>
        <w:t>;</w:t>
      </w:r>
      <w:proofErr w:type="gramEnd"/>
      <w:r>
        <w:t xml:space="preserve"> </w:t>
      </w:r>
      <w:r w:rsidRPr="009C45A3">
        <w:t xml:space="preserve">R10987 = drug development code for </w:t>
      </w:r>
      <w:proofErr w:type="spellStart"/>
      <w:r w:rsidRPr="009C45A3">
        <w:t>imdevimab</w:t>
      </w:r>
      <w:proofErr w:type="spellEnd"/>
      <w:r>
        <w:t>.</w:t>
      </w:r>
    </w:p>
    <w:p w14:paraId="18EA85F6" w14:textId="43C15A5F" w:rsidR="00146C2C" w:rsidRPr="006D790D" w:rsidRDefault="00146C2C" w:rsidP="00E242C3">
      <w:pPr>
        <w:pStyle w:val="Heading4"/>
      </w:pPr>
      <w:bookmarkStart w:id="69" w:name="_Toc84071960"/>
      <w:r w:rsidRPr="006D790D">
        <w:t>Pharmacodynamics</w:t>
      </w:r>
      <w:bookmarkEnd w:id="69"/>
    </w:p>
    <w:p w14:paraId="46C24E90" w14:textId="6F347F98" w:rsidR="00146C2C" w:rsidRPr="006D790D" w:rsidRDefault="00146C2C" w:rsidP="001F3DD1">
      <w:r w:rsidRPr="006D790D">
        <w:t xml:space="preserve">The </w:t>
      </w:r>
      <w:r w:rsidR="00303D77" w:rsidRPr="006D790D">
        <w:t>pharmacodynamic (</w:t>
      </w:r>
      <w:r w:rsidRPr="006D790D">
        <w:t>PD</w:t>
      </w:r>
      <w:r w:rsidR="00303D77" w:rsidRPr="006D790D">
        <w:t>)</w:t>
      </w:r>
      <w:r w:rsidRPr="006D790D">
        <w:t xml:space="preserve"> effect of </w:t>
      </w:r>
      <w:proofErr w:type="spellStart"/>
      <w:r w:rsidRPr="006D790D">
        <w:t>casirivimab</w:t>
      </w:r>
      <w:proofErr w:type="spellEnd"/>
      <w:r w:rsidR="00EA28EF" w:rsidRPr="006D790D">
        <w:t>/</w:t>
      </w:r>
      <w:proofErr w:type="spellStart"/>
      <w:r w:rsidRPr="006D790D">
        <w:t>imdevimab</w:t>
      </w:r>
      <w:proofErr w:type="spellEnd"/>
      <w:r w:rsidRPr="006D790D">
        <w:t xml:space="preserve"> was assessed by measuring SARS-CoV-2 viral load reduction in clinical studies, which is a direct effect driven by the mechanism of action of </w:t>
      </w:r>
      <w:proofErr w:type="spellStart"/>
      <w:r w:rsidRPr="006D790D">
        <w:t>casirivimab</w:t>
      </w:r>
      <w:proofErr w:type="spellEnd"/>
      <w:r w:rsidR="00EA28EF" w:rsidRPr="006D790D">
        <w:t>/</w:t>
      </w:r>
      <w:proofErr w:type="spellStart"/>
      <w:r w:rsidRPr="006D790D">
        <w:t>imdevimab</w:t>
      </w:r>
      <w:proofErr w:type="spellEnd"/>
      <w:r w:rsidRPr="006D790D">
        <w:t xml:space="preserve"> in blocking the </w:t>
      </w:r>
      <w:r w:rsidR="00F847E4" w:rsidRPr="006D790D">
        <w:t xml:space="preserve">spike </w:t>
      </w:r>
      <w:r w:rsidRPr="006D790D">
        <w:t xml:space="preserve">protein RBD interaction with ACE2. Secondary PD effects included an assessment of anti-drug antibodies (ADA) to </w:t>
      </w:r>
      <w:proofErr w:type="spellStart"/>
      <w:r w:rsidRPr="006D790D">
        <w:t>casirivimab</w:t>
      </w:r>
      <w:proofErr w:type="spellEnd"/>
      <w:r w:rsidRPr="006D790D">
        <w:t xml:space="preserve"> and </w:t>
      </w:r>
      <w:proofErr w:type="spellStart"/>
      <w:r w:rsidRPr="006D790D">
        <w:t>imdevimab</w:t>
      </w:r>
      <w:proofErr w:type="spellEnd"/>
      <w:r w:rsidRPr="006D790D">
        <w:t>, although treatment</w:t>
      </w:r>
      <w:r w:rsidR="003F0049">
        <w:t xml:space="preserve"> </w:t>
      </w:r>
      <w:r w:rsidRPr="006D790D">
        <w:t xml:space="preserve">emergent ADA were only assessed in </w:t>
      </w:r>
      <w:r w:rsidR="003C331A" w:rsidRPr="006D790D">
        <w:rPr>
          <w:rFonts w:eastAsiaTheme="minorHAnsi"/>
        </w:rPr>
        <w:t>Study </w:t>
      </w:r>
      <w:r w:rsidRPr="006D790D">
        <w:t>HV-2093.</w:t>
      </w:r>
    </w:p>
    <w:p w14:paraId="480AD275" w14:textId="57CA6745" w:rsidR="00146C2C" w:rsidRPr="006D790D" w:rsidRDefault="00F40137" w:rsidP="00E242C3">
      <w:pPr>
        <w:pStyle w:val="Heading5"/>
        <w:rPr>
          <w:rFonts w:eastAsiaTheme="minorHAnsi"/>
        </w:rPr>
      </w:pPr>
      <w:bookmarkStart w:id="70" w:name="_Toc84071961"/>
      <w:r w:rsidRPr="006D790D">
        <w:lastRenderedPageBreak/>
        <w:t>Study </w:t>
      </w:r>
      <w:r w:rsidR="00146C2C" w:rsidRPr="006D790D">
        <w:t>COV-20145</w:t>
      </w:r>
      <w:bookmarkEnd w:id="70"/>
      <w:r w:rsidR="00A35073">
        <w:t xml:space="preserve"> pharmacodynamic analysis</w:t>
      </w:r>
    </w:p>
    <w:p w14:paraId="6238C0DF" w14:textId="0AE8B54F" w:rsidR="00146C2C" w:rsidRPr="006D790D" w:rsidRDefault="00146C2C" w:rsidP="001F3DD1">
      <w:r w:rsidRPr="006D790D">
        <w:t xml:space="preserve">This Phase </w:t>
      </w:r>
      <w:r w:rsidR="008D531C" w:rsidRPr="006D790D">
        <w:t>II</w:t>
      </w:r>
      <w:r w:rsidRPr="006D790D">
        <w:t xml:space="preserve"> randomised, double</w:t>
      </w:r>
      <w:r w:rsidR="00F847E4" w:rsidRPr="006D790D">
        <w:t xml:space="preserve"> </w:t>
      </w:r>
      <w:r w:rsidRPr="006D790D">
        <w:t>blind, placebo</w:t>
      </w:r>
      <w:r w:rsidR="00A35073">
        <w:noBreakHyphen/>
      </w:r>
      <w:r w:rsidRPr="006D790D">
        <w:t xml:space="preserve">controlled study assessed the dose response of single </w:t>
      </w:r>
      <w:r w:rsidR="00F43ACD" w:rsidRPr="006D790D">
        <w:t>intravenous</w:t>
      </w:r>
      <w:r w:rsidRPr="006D790D">
        <w:t xml:space="preserve"> or </w:t>
      </w:r>
      <w:r w:rsidR="00316746" w:rsidRPr="006D790D">
        <w:t>subcutaneous</w:t>
      </w:r>
      <w:r w:rsidRPr="006D790D">
        <w:t xml:space="preserve"> dose of </w:t>
      </w:r>
      <w:proofErr w:type="spellStart"/>
      <w:r w:rsidRPr="006D790D">
        <w:t>casirivimab</w:t>
      </w:r>
      <w:proofErr w:type="spellEnd"/>
      <w:r w:rsidRPr="006D790D">
        <w:t xml:space="preserve"> and </w:t>
      </w:r>
      <w:proofErr w:type="spellStart"/>
      <w:r w:rsidRPr="006D790D">
        <w:t>imdevimab</w:t>
      </w:r>
      <w:proofErr w:type="spellEnd"/>
      <w:r w:rsidRPr="006D790D">
        <w:t xml:space="preserve"> in outpatients with SARS-CoV-2 infection. Treatment was initiated within 3 days of a positive SARS-CoV-2 test in 803 adult patients who were not at high risk of severe disease. Subjects were randomised into treatment arms and placebo arms. </w:t>
      </w:r>
      <w:r w:rsidR="00F847E4" w:rsidRPr="006D790D">
        <w:t xml:space="preserve">Nasopharyngeal </w:t>
      </w:r>
      <w:r w:rsidRPr="006D790D">
        <w:t>samples were collected at Day</w:t>
      </w:r>
      <w:r w:rsidR="00A35073">
        <w:t>s</w:t>
      </w:r>
      <w:r w:rsidRPr="006D790D">
        <w:t xml:space="preserve"> 3, 5, 7, 15, </w:t>
      </w:r>
      <w:r w:rsidR="00A35073">
        <w:t xml:space="preserve">and </w:t>
      </w:r>
      <w:r w:rsidRPr="006D790D">
        <w:t>22 for viral load determinations.</w:t>
      </w:r>
    </w:p>
    <w:p w14:paraId="364C1A35" w14:textId="0E623F13" w:rsidR="00146C2C" w:rsidRPr="006D790D" w:rsidRDefault="001D545B" w:rsidP="00B83541">
      <w:pPr>
        <w:pStyle w:val="FigureTitle"/>
      </w:pPr>
      <w:r w:rsidRPr="006D790D">
        <w:t xml:space="preserve">Figure </w:t>
      </w:r>
      <w:fldSimple w:instr=" SEQ Figure \* ARABIC ">
        <w:r w:rsidR="007F1879">
          <w:rPr>
            <w:noProof/>
          </w:rPr>
          <w:t>8</w:t>
        </w:r>
      </w:fldSimple>
      <w:r w:rsidR="00146C2C" w:rsidRPr="006D790D">
        <w:t xml:space="preserve">: </w:t>
      </w:r>
      <w:r w:rsidR="00B83541" w:rsidRPr="006D790D">
        <w:t xml:space="preserve">Study COV-20145 </w:t>
      </w:r>
      <w:r w:rsidR="00146C2C" w:rsidRPr="006D790D">
        <w:t>Study flow diagram</w:t>
      </w:r>
    </w:p>
    <w:p w14:paraId="20962C03" w14:textId="07EF35F7" w:rsidR="00146C2C" w:rsidRDefault="00146C2C" w:rsidP="00084EC5">
      <w:r w:rsidRPr="006D790D">
        <w:rPr>
          <w:noProof/>
          <w:lang w:val="en-GB" w:eastAsia="en-GB"/>
        </w:rPr>
        <w:drawing>
          <wp:inline distT="0" distB="0" distL="0" distR="0" wp14:anchorId="6A9224D2" wp14:editId="13E92835">
            <wp:extent cx="5477709" cy="2845558"/>
            <wp:effectExtent l="0" t="0" r="8890" b="0"/>
            <wp:docPr id="50" name="Picture 50" descr="Study COV-20145 Study flow diagram&#10;&#10;This Phase II randomised, double blind, placebo controlled study assessed the dose response of single intravenous or subcutaneous dose of casirivimab and imdevimab in outpatients with SARS-CoV-2 infection. Treatment was initiated within 3 days of a positive SARS-CoV-2 test in 803 adult patients who were not at high risk of severe disease. Subjects were randomised into treatment arms and placebo arms. Nasopharyngeal samples were collected at Days 3, 5, 7, 15, and 22 for viral load determ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tudy COV-20145 Study flow diagram&#10;&#10;This Phase II randomised, double blind, placebo controlled study assessed the dose response of single intravenous or subcutaneous dose of casirivimab and imdevimab in outpatients with SARS-CoV-2 infection. Treatment was initiated within 3 days of a positive SARS-CoV-2 test in 803 adult patients who were not at high risk of severe disease. Subjects were randomised into treatment arms and placebo arms. Nasopharyngeal samples were collected at Days 3, 5, 7, 15, and 22 for viral load determinations."/>
                    <pic:cNvPicPr>
                      <a:picLocks noChangeAspect="1" noChangeArrowheads="1"/>
                    </pic:cNvPicPr>
                  </pic:nvPicPr>
                  <pic:blipFill rotWithShape="1">
                    <a:blip r:embed="rId31">
                      <a:extLst>
                        <a:ext uri="{28A0092B-C50C-407E-A947-70E740481C1C}">
                          <a14:useLocalDpi xmlns:a14="http://schemas.microsoft.com/office/drawing/2010/main" val="0"/>
                        </a:ext>
                      </a:extLst>
                    </a:blip>
                    <a:srcRect b="14573"/>
                    <a:stretch/>
                  </pic:blipFill>
                  <pic:spPr bwMode="auto">
                    <a:xfrm>
                      <a:off x="0" y="0"/>
                      <a:ext cx="5545054" cy="2880543"/>
                    </a:xfrm>
                    <a:prstGeom prst="rect">
                      <a:avLst/>
                    </a:prstGeom>
                    <a:noFill/>
                    <a:ln>
                      <a:noFill/>
                    </a:ln>
                    <a:extLst>
                      <a:ext uri="{53640926-AAD7-44D8-BBD7-CCE9431645EC}">
                        <a14:shadowObscured xmlns:a14="http://schemas.microsoft.com/office/drawing/2010/main"/>
                      </a:ext>
                    </a:extLst>
                  </pic:spPr>
                </pic:pic>
              </a:graphicData>
            </a:graphic>
          </wp:inline>
        </w:drawing>
      </w:r>
    </w:p>
    <w:p w14:paraId="7EF5F74E" w14:textId="7A429020" w:rsidR="00B761D8" w:rsidRPr="006D790D" w:rsidRDefault="00476578" w:rsidP="00C5297C">
      <w:pPr>
        <w:pStyle w:val="FigureDescription"/>
        <w:rPr>
          <w:rFonts w:asciiTheme="minorHAnsi" w:hAnsiTheme="minorHAnsi" w:cs="Arial"/>
          <w:color w:val="0B0C0C"/>
          <w:sz w:val="22"/>
        </w:rPr>
      </w:pPr>
      <w:r>
        <w:rPr>
          <w:lang w:val="en-GB"/>
        </w:rPr>
        <w:t>SARS-CoV-2 = severe acute respiratory syndrome coronavirus;</w:t>
      </w:r>
      <w:r w:rsidRPr="00476578">
        <w:rPr>
          <w:lang w:val="en-GB"/>
        </w:rPr>
        <w:t xml:space="preserve"> </w:t>
      </w:r>
      <w:r>
        <w:rPr>
          <w:lang w:val="en-GB"/>
        </w:rPr>
        <w:t>R = randomisation; IV = intravenous; SC</w:t>
      </w:r>
      <w:r w:rsidR="00563101">
        <w:rPr>
          <w:lang w:val="en-GB"/>
        </w:rPr>
        <w:t> </w:t>
      </w:r>
      <w:r>
        <w:rPr>
          <w:lang w:val="en-GB"/>
        </w:rPr>
        <w:t>=</w:t>
      </w:r>
      <w:r w:rsidR="00563101">
        <w:rPr>
          <w:lang w:val="en-GB"/>
        </w:rPr>
        <w:t> </w:t>
      </w:r>
      <w:r>
        <w:rPr>
          <w:lang w:val="en-GB"/>
        </w:rPr>
        <w:t xml:space="preserve">subcutaneous; </w:t>
      </w:r>
      <w:r w:rsidR="00B761D8">
        <w:rPr>
          <w:lang w:val="en-GB"/>
        </w:rPr>
        <w:t xml:space="preserve">COVID-19 = coronavirus disease 2019; </w:t>
      </w:r>
      <w:r w:rsidR="00563101">
        <w:rPr>
          <w:lang w:val="en-GB"/>
        </w:rPr>
        <w:t xml:space="preserve">MAV = </w:t>
      </w:r>
      <w:r w:rsidR="004C235A" w:rsidRPr="004C235A">
        <w:rPr>
          <w:lang w:val="en-GB"/>
        </w:rPr>
        <w:t>medically attended visit</w:t>
      </w:r>
      <w:r w:rsidR="00563101">
        <w:rPr>
          <w:lang w:val="en-GB"/>
        </w:rPr>
        <w:t xml:space="preserve">; </w:t>
      </w:r>
      <w:r>
        <w:rPr>
          <w:lang w:val="en-GB"/>
        </w:rPr>
        <w:t>NP</w:t>
      </w:r>
      <w:r w:rsidR="00563101">
        <w:rPr>
          <w:lang w:val="en-GB"/>
        </w:rPr>
        <w:t> </w:t>
      </w:r>
      <w:r>
        <w:rPr>
          <w:lang w:val="en-GB"/>
        </w:rPr>
        <w:t>=</w:t>
      </w:r>
      <w:r w:rsidR="00563101">
        <w:rPr>
          <w:lang w:val="en-GB"/>
        </w:rPr>
        <w:t> </w:t>
      </w:r>
      <w:r>
        <w:rPr>
          <w:lang w:val="en-GB"/>
        </w:rPr>
        <w:t>nasopharyngeal;</w:t>
      </w:r>
      <w:r w:rsidRPr="00476578">
        <w:rPr>
          <w:lang w:val="en-GB"/>
        </w:rPr>
        <w:t xml:space="preserve"> </w:t>
      </w:r>
      <w:r>
        <w:rPr>
          <w:lang w:val="en-GB"/>
        </w:rPr>
        <w:t xml:space="preserve">TEAE. = treatment emergent adverse event; </w:t>
      </w:r>
      <w:r w:rsidR="00B761D8">
        <w:rPr>
          <w:lang w:val="en-GB"/>
        </w:rPr>
        <w:t>ER = emergency room; EOS = end of study.</w:t>
      </w:r>
    </w:p>
    <w:p w14:paraId="3C2330E1" w14:textId="25368319" w:rsidR="00146C2C" w:rsidRPr="006D790D" w:rsidRDefault="00146C2C" w:rsidP="001F3DD1">
      <w:r w:rsidRPr="006D790D">
        <w:t xml:space="preserve">The primary endpoint was the time weighted average daily change from </w:t>
      </w:r>
      <w:r w:rsidR="00FB39BC" w:rsidRPr="006D790D">
        <w:t>Baseline</w:t>
      </w:r>
      <w:r w:rsidRPr="006D790D">
        <w:t xml:space="preserve"> in viral load (log</w:t>
      </w:r>
      <w:r w:rsidRPr="006D790D">
        <w:rPr>
          <w:vertAlign w:val="subscript"/>
        </w:rPr>
        <w:t>10</w:t>
      </w:r>
      <w:r w:rsidRPr="006D790D">
        <w:t xml:space="preserve"> copies/mL) from Day 1 to Day 7, as measured by </w:t>
      </w:r>
      <w:r w:rsidR="00F847E4" w:rsidRPr="006D790D">
        <w:t>reverse transcription quantitative real time polymerase chain reaction (</w:t>
      </w:r>
      <w:r w:rsidRPr="006D790D">
        <w:t>RT-qPCR</w:t>
      </w:r>
      <w:r w:rsidR="00F847E4" w:rsidRPr="006D790D">
        <w:t>)</w:t>
      </w:r>
      <w:r w:rsidRPr="006D790D">
        <w:t xml:space="preserve"> in nasopharyngeal swab samples. The primary analysis was conducted in the seronegative </w:t>
      </w:r>
      <w:proofErr w:type="spellStart"/>
      <w:r w:rsidRPr="006D790D">
        <w:t>mFAS</w:t>
      </w:r>
      <w:proofErr w:type="spellEnd"/>
      <w:r w:rsidRPr="006D790D">
        <w:t xml:space="preserve"> population (subjects with a positive RT-qPCR and seronegative at </w:t>
      </w:r>
      <w:r w:rsidR="00FB39BC" w:rsidRPr="006D790D">
        <w:t>Baseline</w:t>
      </w:r>
      <w:r w:rsidRPr="006D790D">
        <w:t>). A statistical testing hierarchy was used for comparing treatment groups to the pooled placebo group to control the type I error rate. The primary efficacy variable was tested hierarchically at an α</w:t>
      </w:r>
      <w:r w:rsidR="00F847E4" w:rsidRPr="006D790D">
        <w:t> </w:t>
      </w:r>
      <w:r w:rsidRPr="006D790D">
        <w:t>=</w:t>
      </w:r>
      <w:r w:rsidR="00F847E4" w:rsidRPr="006D790D">
        <w:t> </w:t>
      </w:r>
      <w:r w:rsidRPr="006D790D">
        <w:t>0.05, two</w:t>
      </w:r>
      <w:r w:rsidR="00F847E4" w:rsidRPr="006D790D">
        <w:t xml:space="preserve"> </w:t>
      </w:r>
      <w:r w:rsidRPr="006D790D">
        <w:t>sided. If a test was insignificant, then the formal testing procedure stopped at that step.</w:t>
      </w:r>
    </w:p>
    <w:p w14:paraId="4FA08C97" w14:textId="14F3EB9D" w:rsidR="00563101" w:rsidRDefault="00D5326E" w:rsidP="00B83541">
      <w:pPr>
        <w:pStyle w:val="TableTitle"/>
      </w:pPr>
      <w:r w:rsidRPr="006D790D">
        <w:t xml:space="preserve">Table </w:t>
      </w:r>
      <w:fldSimple w:instr=" SEQ Table \* ARABIC ">
        <w:r w:rsidR="007F1879">
          <w:rPr>
            <w:noProof/>
          </w:rPr>
          <w:t>8</w:t>
        </w:r>
      </w:fldSimple>
      <w:r w:rsidR="00146C2C" w:rsidRPr="006D790D">
        <w:t xml:space="preserve">: </w:t>
      </w:r>
      <w:r w:rsidR="00B83541" w:rsidRPr="006D790D">
        <w:t xml:space="preserve">Study COV-20145 </w:t>
      </w:r>
      <w:r w:rsidR="00146C2C" w:rsidRPr="006D790D">
        <w:t>Time</w:t>
      </w:r>
      <w:r w:rsidR="00B83541" w:rsidRPr="006D790D">
        <w:t xml:space="preserve"> </w:t>
      </w:r>
      <w:r w:rsidR="00146C2C" w:rsidRPr="006D790D">
        <w:t xml:space="preserve">weighted average daily change from </w:t>
      </w:r>
      <w:r w:rsidR="00FB39BC" w:rsidRPr="006D790D">
        <w:t>Baseline</w:t>
      </w:r>
      <w:r w:rsidR="00146C2C" w:rsidRPr="006D790D">
        <w:t xml:space="preserve"> in viral load from Day 1 to Day 7 (seronegative </w:t>
      </w:r>
      <w:r w:rsidR="00216A81" w:rsidRPr="006D790D">
        <w:t>modified full analysis set</w:t>
      </w:r>
      <w:r w:rsidR="00146C2C" w:rsidRPr="006D790D">
        <w:t>)</w:t>
      </w:r>
    </w:p>
    <w:p w14:paraId="3CDE2D56" w14:textId="59C700BC" w:rsidR="00563101" w:rsidRDefault="00563101" w:rsidP="00084EC5">
      <w:r>
        <w:rPr>
          <w:noProof/>
        </w:rPr>
        <w:drawing>
          <wp:inline distT="0" distB="0" distL="0" distR="0" wp14:anchorId="4274248F" wp14:editId="0594832F">
            <wp:extent cx="5400040" cy="1724416"/>
            <wp:effectExtent l="0" t="0" r="0" b="9525"/>
            <wp:docPr id="45" name="Picture 45" descr="Study COV-20145 Time weighted average daily change from Baseline in viral load from Day 1 to Day 7 (seronegative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tudy COV-20145 Time weighted average daily change from Baseline in viral load from Day 1 to Day 7 (seronegative modified full analysis set)"/>
                    <pic:cNvPicPr/>
                  </pic:nvPicPr>
                  <pic:blipFill>
                    <a:blip r:embed="rId32"/>
                    <a:stretch>
                      <a:fillRect/>
                    </a:stretch>
                  </pic:blipFill>
                  <pic:spPr>
                    <a:xfrm>
                      <a:off x="0" y="0"/>
                      <a:ext cx="5414868" cy="1729151"/>
                    </a:xfrm>
                    <a:prstGeom prst="rect">
                      <a:avLst/>
                    </a:prstGeom>
                  </pic:spPr>
                </pic:pic>
              </a:graphicData>
            </a:graphic>
          </wp:inline>
        </w:drawing>
      </w:r>
    </w:p>
    <w:p w14:paraId="281F101C" w14:textId="5030CC8B" w:rsidR="00B761D8" w:rsidRPr="009C45A3" w:rsidRDefault="00B761D8" w:rsidP="009C45A3">
      <w:pPr>
        <w:pStyle w:val="TableDescription"/>
      </w:pPr>
      <w:r w:rsidRPr="009C45A3">
        <w:lastRenderedPageBreak/>
        <w:t xml:space="preserve">CI = confidence interval; IV = intravenous; n = number of subjects; </w:t>
      </w:r>
      <w:r w:rsidR="00563101" w:rsidRPr="009C45A3">
        <w:t xml:space="preserve">vs = versus; </w:t>
      </w:r>
      <w:r w:rsidRPr="009C45A3">
        <w:t xml:space="preserve">SC = </w:t>
      </w:r>
      <w:proofErr w:type="gramStart"/>
      <w:r w:rsidRPr="009C45A3">
        <w:t>subcutaneous;.</w:t>
      </w:r>
      <w:proofErr w:type="gramEnd"/>
    </w:p>
    <w:p w14:paraId="12296CD8" w14:textId="1ED0495B" w:rsidR="00B761D8" w:rsidRPr="009C45A3" w:rsidRDefault="00B761D8" w:rsidP="009C45A3">
      <w:pPr>
        <w:pStyle w:val="TableDescription"/>
      </w:pPr>
      <w:r w:rsidRPr="009C45A3">
        <w:t xml:space="preserve">1. </w:t>
      </w:r>
      <w:r w:rsidR="00563101" w:rsidRPr="009C45A3">
        <w:t>L</w:t>
      </w:r>
      <w:r w:rsidRPr="009C45A3">
        <w:t>east square</w:t>
      </w:r>
      <w:r w:rsidR="00563101" w:rsidRPr="009C45A3">
        <w:t>s (LS</w:t>
      </w:r>
      <w:r w:rsidRPr="009C45A3">
        <w:t>) means difference, 95% CI and p-value for change from Baseline is based on the analysis of covariance</w:t>
      </w:r>
      <w:r w:rsidR="00563101" w:rsidRPr="009C45A3">
        <w:t xml:space="preserve"> (ANCOVA</w:t>
      </w:r>
      <w:r w:rsidRPr="009C45A3">
        <w:t>) model with terms for treatment, Baseline, and Baseline-by-treatment interaction.</w:t>
      </w:r>
    </w:p>
    <w:p w14:paraId="63A7BED6" w14:textId="59EA0FD4" w:rsidR="00146C2C" w:rsidRPr="006D790D" w:rsidRDefault="00146C2C" w:rsidP="001F3DD1">
      <w:r w:rsidRPr="006D790D">
        <w:t xml:space="preserve">The analysis showed that in seronegative participants (who were infected but had not yet mounted a measurable immune response), single doses of </w:t>
      </w:r>
      <w:proofErr w:type="spellStart"/>
      <w:r w:rsidRPr="006D790D">
        <w:t>casirivimab</w:t>
      </w:r>
      <w:proofErr w:type="spellEnd"/>
      <w:r w:rsidR="00EA28EF" w:rsidRPr="006D790D">
        <w:t>/</w:t>
      </w:r>
      <w:proofErr w:type="spellStart"/>
      <w:r w:rsidRPr="006D790D">
        <w:t>imdevimab</w:t>
      </w:r>
      <w:proofErr w:type="spellEnd"/>
      <w:r w:rsidRPr="006D790D">
        <w:t xml:space="preserve"> showed comparable virologic reduction at all doses assessed (</w:t>
      </w:r>
      <w:r w:rsidR="00F43ACD" w:rsidRPr="006D790D">
        <w:t>intravenous</w:t>
      </w:r>
      <w:r w:rsidRPr="006D790D">
        <w:t>: 2400</w:t>
      </w:r>
      <w:r w:rsidR="00F847E4" w:rsidRPr="006D790D">
        <w:t> </w:t>
      </w:r>
      <w:r w:rsidRPr="006D790D">
        <w:t>mg, 1200</w:t>
      </w:r>
      <w:r w:rsidR="00F847E4" w:rsidRPr="006D790D">
        <w:t> </w:t>
      </w:r>
      <w:r w:rsidRPr="006D790D">
        <w:t>mg, 600</w:t>
      </w:r>
      <w:r w:rsidR="00F847E4" w:rsidRPr="006D790D">
        <w:t> </w:t>
      </w:r>
      <w:r w:rsidRPr="006D790D">
        <w:t>mg and 300</w:t>
      </w:r>
      <w:r w:rsidR="00F847E4" w:rsidRPr="006D790D">
        <w:t> </w:t>
      </w:r>
      <w:r w:rsidRPr="006D790D">
        <w:t xml:space="preserve">mg; </w:t>
      </w:r>
      <w:r w:rsidR="00316746" w:rsidRPr="006D790D">
        <w:t>subcutaneous</w:t>
      </w:r>
      <w:r w:rsidRPr="006D790D">
        <w:t>: 1200</w:t>
      </w:r>
      <w:r w:rsidR="00F847E4" w:rsidRPr="006D790D">
        <w:t> </w:t>
      </w:r>
      <w:r w:rsidRPr="006D790D">
        <w:t>mg and 600</w:t>
      </w:r>
      <w:r w:rsidR="00F847E4" w:rsidRPr="006D790D">
        <w:t> </w:t>
      </w:r>
      <w:r w:rsidRPr="006D790D">
        <w:t>mg). The various presentations appear to result in comparable outcome in terms of reduction of viral load, though the 2400</w:t>
      </w:r>
      <w:r w:rsidR="00F847E4" w:rsidRPr="006D790D">
        <w:t> </w:t>
      </w:r>
      <w:r w:rsidRPr="006D790D">
        <w:t xml:space="preserve">mg </w:t>
      </w:r>
      <w:r w:rsidR="00F43ACD" w:rsidRPr="006D790D">
        <w:t>intravenous</w:t>
      </w:r>
      <w:r w:rsidRPr="006D790D">
        <w:t xml:space="preserve"> dosage appears to lower viral load more than the other dosages or routes of administration.</w:t>
      </w:r>
    </w:p>
    <w:p w14:paraId="008C8D8F" w14:textId="28A54CF9" w:rsidR="00146C2C" w:rsidRPr="006D790D" w:rsidRDefault="00146C2C" w:rsidP="001F3DD1">
      <w:r w:rsidRPr="006D790D">
        <w:t xml:space="preserve">Similar virologic efficacy was observed at the same dose level whether administered through </w:t>
      </w:r>
      <w:r w:rsidR="00F43ACD" w:rsidRPr="006D790D">
        <w:t>intravenous</w:t>
      </w:r>
      <w:r w:rsidRPr="006D790D">
        <w:t xml:space="preserve"> or </w:t>
      </w:r>
      <w:r w:rsidR="00316746" w:rsidRPr="006D790D">
        <w:t>subcutaneous</w:t>
      </w:r>
      <w:r w:rsidRPr="006D790D">
        <w:t xml:space="preserve"> routes. Virologic efficacy following single doses of </w:t>
      </w:r>
      <w:proofErr w:type="spellStart"/>
      <w:r w:rsidRPr="006D790D">
        <w:t>casirivimab</w:t>
      </w:r>
      <w:proofErr w:type="spellEnd"/>
      <w:r w:rsidR="00EA28EF" w:rsidRPr="006D790D">
        <w:t>/</w:t>
      </w:r>
      <w:proofErr w:type="spellStart"/>
      <w:r w:rsidRPr="006D790D">
        <w:t>imdevimab</w:t>
      </w:r>
      <w:proofErr w:type="spellEnd"/>
      <w:r w:rsidRPr="006D790D">
        <w:t xml:space="preserve"> </w:t>
      </w:r>
      <w:r w:rsidR="00F43ACD" w:rsidRPr="006D790D">
        <w:t>intravenous</w:t>
      </w:r>
      <w:r w:rsidRPr="006D790D">
        <w:t xml:space="preserve"> and </w:t>
      </w:r>
      <w:r w:rsidR="00316746" w:rsidRPr="006D790D">
        <w:t>subcutaneous</w:t>
      </w:r>
      <w:r w:rsidRPr="006D790D">
        <w:t xml:space="preserve"> was observed as early as </w:t>
      </w:r>
      <w:proofErr w:type="spellStart"/>
      <w:r w:rsidRPr="006D790D">
        <w:t>Day</w:t>
      </w:r>
      <w:proofErr w:type="spellEnd"/>
      <w:r w:rsidR="00F847E4" w:rsidRPr="006D790D">
        <w:t> </w:t>
      </w:r>
      <w:r w:rsidRPr="006D790D">
        <w:t xml:space="preserve">3 (first </w:t>
      </w:r>
      <w:r w:rsidR="00F847E4" w:rsidRPr="006D790D">
        <w:t xml:space="preserve">nasopharyngeal </w:t>
      </w:r>
      <w:r w:rsidRPr="006D790D">
        <w:t>sample after treatment was on Day</w:t>
      </w:r>
      <w:r w:rsidR="00F847E4" w:rsidRPr="006D790D">
        <w:t> </w:t>
      </w:r>
      <w:r w:rsidRPr="006D790D">
        <w:t>3/no data before Day</w:t>
      </w:r>
      <w:r w:rsidR="00F847E4" w:rsidRPr="006D790D">
        <w:t> </w:t>
      </w:r>
      <w:r w:rsidRPr="006D790D">
        <w:t xml:space="preserve">3) and was similar for each </w:t>
      </w:r>
      <w:r w:rsidR="00F43ACD" w:rsidRPr="006D790D">
        <w:t>intravenous</w:t>
      </w:r>
      <w:r w:rsidRPr="006D790D">
        <w:t xml:space="preserve"> and </w:t>
      </w:r>
      <w:r w:rsidR="00316746" w:rsidRPr="006D790D">
        <w:t>subcutaneous</w:t>
      </w:r>
      <w:r w:rsidRPr="006D790D">
        <w:t xml:space="preserve"> dose tested. Reductions in viral load were most pronounced in the subpopulation of participants with high baseline viral load.</w:t>
      </w:r>
    </w:p>
    <w:p w14:paraId="2B1F5C60" w14:textId="3CAE8C28" w:rsidR="00146C2C" w:rsidRDefault="001D545B" w:rsidP="00B83541">
      <w:pPr>
        <w:pStyle w:val="FigureTitle"/>
        <w:rPr>
          <w:noProof/>
        </w:rPr>
      </w:pPr>
      <w:r w:rsidRPr="006D790D">
        <w:t xml:space="preserve">Figure </w:t>
      </w:r>
      <w:fldSimple w:instr=" SEQ Figure \* ARABIC ">
        <w:r w:rsidR="007F1879">
          <w:rPr>
            <w:noProof/>
          </w:rPr>
          <w:t>9</w:t>
        </w:r>
      </w:fldSimple>
      <w:r w:rsidR="00146C2C" w:rsidRPr="006D790D">
        <w:rPr>
          <w:noProof/>
        </w:rPr>
        <w:t xml:space="preserve">: </w:t>
      </w:r>
      <w:r w:rsidR="00B83541" w:rsidRPr="006D790D">
        <w:t xml:space="preserve">Study COV-20145 </w:t>
      </w:r>
      <w:r w:rsidR="00B83541" w:rsidRPr="006D790D">
        <w:rPr>
          <w:noProof/>
        </w:rPr>
        <w:t>Least squares mean (±</w:t>
      </w:r>
      <w:r w:rsidR="008A248A">
        <w:rPr>
          <w:noProof/>
        </w:rPr>
        <w:t xml:space="preserve"> </w:t>
      </w:r>
      <w:r w:rsidR="00B83541" w:rsidRPr="006D790D">
        <w:rPr>
          <w:noProof/>
        </w:rPr>
        <w:t xml:space="preserve">standard error) change from </w:t>
      </w:r>
      <w:r w:rsidR="00FB39BC" w:rsidRPr="006D790D">
        <w:rPr>
          <w:noProof/>
        </w:rPr>
        <w:t>Baseline</w:t>
      </w:r>
      <w:r w:rsidR="00B83541" w:rsidRPr="006D790D">
        <w:rPr>
          <w:noProof/>
        </w:rPr>
        <w:t xml:space="preserve"> in viral load (log</w:t>
      </w:r>
      <w:r w:rsidR="00B83541" w:rsidRPr="006D790D">
        <w:rPr>
          <w:noProof/>
          <w:vertAlign w:val="subscript"/>
        </w:rPr>
        <w:t>10</w:t>
      </w:r>
      <w:r w:rsidR="00B83541" w:rsidRPr="006D790D">
        <w:rPr>
          <w:noProof/>
        </w:rPr>
        <w:t xml:space="preserve"> copies/m</w:t>
      </w:r>
      <w:r w:rsidR="008A248A">
        <w:rPr>
          <w:noProof/>
        </w:rPr>
        <w:t>L</w:t>
      </w:r>
      <w:r w:rsidR="00B83541" w:rsidRPr="006D790D">
        <w:rPr>
          <w:noProof/>
        </w:rPr>
        <w:t>) at each visit for all casirivimab</w:t>
      </w:r>
      <w:r w:rsidR="00B83541" w:rsidRPr="006D790D">
        <w:t>/</w:t>
      </w:r>
      <w:proofErr w:type="spellStart"/>
      <w:r w:rsidR="00B83541" w:rsidRPr="006D790D">
        <w:rPr>
          <w:noProof/>
        </w:rPr>
        <w:t>imdevimab</w:t>
      </w:r>
      <w:proofErr w:type="spellEnd"/>
      <w:r w:rsidR="00B83541" w:rsidRPr="006D790D">
        <w:rPr>
          <w:noProof/>
        </w:rPr>
        <w:t xml:space="preserve"> </w:t>
      </w:r>
      <w:r w:rsidR="00146C2C" w:rsidRPr="006D790D">
        <w:rPr>
          <w:noProof/>
        </w:rPr>
        <w:t>treatments (</w:t>
      </w:r>
      <w:r w:rsidR="00F43ACD" w:rsidRPr="006D790D">
        <w:t>intravenous</w:t>
      </w:r>
      <w:r w:rsidR="00146C2C" w:rsidRPr="006D790D">
        <w:rPr>
          <w:noProof/>
        </w:rPr>
        <w:t xml:space="preserve"> and </w:t>
      </w:r>
      <w:r w:rsidR="00316746" w:rsidRPr="006D790D">
        <w:t>subcutaneous</w:t>
      </w:r>
      <w:r w:rsidR="00B83541" w:rsidRPr="006D790D">
        <w:t xml:space="preserve">, </w:t>
      </w:r>
      <w:r w:rsidR="00146C2C" w:rsidRPr="006D790D">
        <w:rPr>
          <w:noProof/>
        </w:rPr>
        <w:t>seronegative</w:t>
      </w:r>
      <w:r w:rsidR="00216A81" w:rsidRPr="006D790D">
        <w:t xml:space="preserve"> </w:t>
      </w:r>
      <w:r w:rsidR="00216A81" w:rsidRPr="006D790D">
        <w:rPr>
          <w:noProof/>
        </w:rPr>
        <w:t>modified full analysis set</w:t>
      </w:r>
      <w:r w:rsidR="00146C2C" w:rsidRPr="006D790D">
        <w:rPr>
          <w:noProof/>
        </w:rPr>
        <w:t>)</w:t>
      </w:r>
    </w:p>
    <w:p w14:paraId="12F8E235" w14:textId="3BBF21B4" w:rsidR="00563101" w:rsidRPr="006D790D" w:rsidRDefault="00563101" w:rsidP="00084EC5">
      <w:pPr>
        <w:rPr>
          <w:rFonts w:ascii="Times New Roman" w:eastAsiaTheme="minorHAnsi" w:hAnsi="Times New Roman"/>
          <w:sz w:val="24"/>
          <w:szCs w:val="24"/>
        </w:rPr>
      </w:pPr>
      <w:r>
        <w:rPr>
          <w:noProof/>
        </w:rPr>
        <w:drawing>
          <wp:inline distT="0" distB="0" distL="0" distR="0" wp14:anchorId="2E7CCF2F" wp14:editId="6E6D88F4">
            <wp:extent cx="5400040" cy="2162810"/>
            <wp:effectExtent l="0" t="0" r="0" b="8890"/>
            <wp:docPr id="46" name="Picture 46" descr="Study COV-20145 Least squares mean (± standard error) change from Baseline in viral load (log10 copies/mL) at each visit for all casirivimab/imdevimab treatments (intravenous and subcutaneous, seronegative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tudy COV-20145 Least squares mean (± standard error) change from Baseline in viral load (log10 copies/mL) at each visit for all casirivimab/imdevimab treatments (intravenous and subcutaneous, seronegative modified full analysis set)"/>
                    <pic:cNvPicPr/>
                  </pic:nvPicPr>
                  <pic:blipFill>
                    <a:blip r:embed="rId33"/>
                    <a:stretch>
                      <a:fillRect/>
                    </a:stretch>
                  </pic:blipFill>
                  <pic:spPr>
                    <a:xfrm>
                      <a:off x="0" y="0"/>
                      <a:ext cx="5400040" cy="2162810"/>
                    </a:xfrm>
                    <a:prstGeom prst="rect">
                      <a:avLst/>
                    </a:prstGeom>
                  </pic:spPr>
                </pic:pic>
              </a:graphicData>
            </a:graphic>
          </wp:inline>
        </w:drawing>
      </w:r>
    </w:p>
    <w:p w14:paraId="60982659" w14:textId="0DDB3108" w:rsidR="005460AF" w:rsidRPr="009C45A3" w:rsidRDefault="005460AF" w:rsidP="00084EC5">
      <w:pPr>
        <w:pStyle w:val="FigureDescription"/>
      </w:pPr>
      <w:r w:rsidRPr="009C45A3">
        <w:t xml:space="preserve">LS = least squares; SE = standard error; REGN10933 + REGN10987 = </w:t>
      </w:r>
      <w:proofErr w:type="spellStart"/>
      <w:r w:rsidRPr="009C45A3">
        <w:t>casirivimab</w:t>
      </w:r>
      <w:proofErr w:type="spellEnd"/>
      <w:r w:rsidRPr="009C45A3">
        <w:t xml:space="preserve"> + </w:t>
      </w:r>
      <w:proofErr w:type="spellStart"/>
      <w:r w:rsidRPr="009C45A3">
        <w:t>imdevimab</w:t>
      </w:r>
      <w:proofErr w:type="spellEnd"/>
      <w:r w:rsidRPr="009C45A3">
        <w:t>; IV = intravenous; SC = subcutaneous.</w:t>
      </w:r>
    </w:p>
    <w:p w14:paraId="71084BE3" w14:textId="7E0CCB7E" w:rsidR="005460AF" w:rsidRPr="009C45A3" w:rsidRDefault="008A248A" w:rsidP="00084EC5">
      <w:pPr>
        <w:pStyle w:val="FigureDescription"/>
      </w:pPr>
      <w:r w:rsidRPr="009C45A3">
        <w:t>Patients randomised on or before the 1 February 2021 with the data cut-off date of 8 February 2021. Baseline is defined as the last non-missing value measured prior to dosing.</w:t>
      </w:r>
    </w:p>
    <w:p w14:paraId="51ED23B6" w14:textId="08DF1834" w:rsidR="008A248A" w:rsidRPr="009C45A3" w:rsidRDefault="005460AF" w:rsidP="00084EC5">
      <w:pPr>
        <w:pStyle w:val="FigureDescription"/>
      </w:pPr>
      <w:r w:rsidRPr="005460AF">
        <w:t>Leas</w:t>
      </w:r>
      <w:r>
        <w:t>t</w:t>
      </w:r>
      <w:r w:rsidRPr="005460AF">
        <w:t xml:space="preserve"> squares </w:t>
      </w:r>
      <w:proofErr w:type="gramStart"/>
      <w:r w:rsidRPr="005460AF">
        <w:t>means</w:t>
      </w:r>
      <w:proofErr w:type="gramEnd"/>
      <w:r w:rsidRPr="005460AF">
        <w:t xml:space="preserve"> </w:t>
      </w:r>
      <w:r w:rsidR="008A248A" w:rsidRPr="009C45A3">
        <w:t xml:space="preserve">are based on </w:t>
      </w:r>
      <w:r>
        <w:t xml:space="preserve">the </w:t>
      </w:r>
      <w:r w:rsidRPr="005460AF">
        <w:t>mixed model for repeated measures</w:t>
      </w:r>
      <w:r>
        <w:t xml:space="preserve"> (MMRM)</w:t>
      </w:r>
      <w:r w:rsidRPr="009C45A3">
        <w:t xml:space="preserve"> </w:t>
      </w:r>
      <w:r w:rsidR="008A248A" w:rsidRPr="009C45A3">
        <w:t xml:space="preserve">with terms </w:t>
      </w:r>
      <w:r w:rsidRPr="009C45A3">
        <w:t>for</w:t>
      </w:r>
      <w:r w:rsidR="008A248A" w:rsidRPr="009C45A3">
        <w:t xml:space="preserve"> Baseline, treatment, visit, and all two-way interactions as fixed effects and subject as random effect.</w:t>
      </w:r>
    </w:p>
    <w:p w14:paraId="2CEF3972" w14:textId="112254F2" w:rsidR="00146C2C" w:rsidRPr="006D790D" w:rsidRDefault="00146C2C" w:rsidP="001F3DD1">
      <w:r w:rsidRPr="006D790D">
        <w:t>The comparable results among the range of doses suggests that the minimal dose with full</w:t>
      </w:r>
      <w:r w:rsidR="001F3DD1" w:rsidRPr="006D790D">
        <w:t xml:space="preserve"> </w:t>
      </w:r>
      <w:r w:rsidRPr="006D790D">
        <w:t>virologic effect has yet to be identified and that there may potentially be clinical efficacy</w:t>
      </w:r>
      <w:r w:rsidR="001F3DD1" w:rsidRPr="006D790D">
        <w:t xml:space="preserve"> </w:t>
      </w:r>
      <w:r w:rsidRPr="006D790D">
        <w:t>at doses lower than 1200</w:t>
      </w:r>
      <w:r w:rsidR="00F847E4" w:rsidRPr="006D790D">
        <w:t> </w:t>
      </w:r>
      <w:r w:rsidRPr="006D790D">
        <w:t xml:space="preserve">mg with </w:t>
      </w:r>
      <w:r w:rsidR="00F43ACD" w:rsidRPr="006D790D">
        <w:t>intravenous</w:t>
      </w:r>
      <w:r w:rsidRPr="006D790D">
        <w:t xml:space="preserve"> or </w:t>
      </w:r>
      <w:r w:rsidR="00316746" w:rsidRPr="006D790D">
        <w:t>subcutaneous</w:t>
      </w:r>
      <w:r w:rsidRPr="006D790D">
        <w:t xml:space="preserve"> forms of administration.</w:t>
      </w:r>
    </w:p>
    <w:p w14:paraId="707B8C6C" w14:textId="02E776F8" w:rsidR="00146C2C" w:rsidRPr="006D790D" w:rsidRDefault="003C331A" w:rsidP="00E242C3">
      <w:pPr>
        <w:pStyle w:val="Heading5"/>
        <w:rPr>
          <w:rFonts w:eastAsiaTheme="minorHAnsi"/>
        </w:rPr>
      </w:pPr>
      <w:bookmarkStart w:id="71" w:name="_Toc84071962"/>
      <w:r w:rsidRPr="006D790D">
        <w:rPr>
          <w:rFonts w:eastAsiaTheme="minorHAnsi"/>
        </w:rPr>
        <w:t>Study </w:t>
      </w:r>
      <w:r w:rsidR="00146C2C" w:rsidRPr="006D790D">
        <w:rPr>
          <w:rFonts w:eastAsiaTheme="minorHAnsi"/>
        </w:rPr>
        <w:t>HV-2093</w:t>
      </w:r>
      <w:bookmarkEnd w:id="71"/>
      <w:r w:rsidR="008A248A">
        <w:rPr>
          <w:rFonts w:eastAsiaTheme="minorHAnsi"/>
        </w:rPr>
        <w:t xml:space="preserve"> pharmacodynamic analysis</w:t>
      </w:r>
    </w:p>
    <w:p w14:paraId="4EC70C69" w14:textId="46428389" w:rsidR="00146C2C" w:rsidRPr="006D790D" w:rsidRDefault="00146C2C" w:rsidP="001F3DD1">
      <w:r w:rsidRPr="006D790D">
        <w:t>No viral load assessment was made in this study, as it was conducted in healthy adult subjects.</w:t>
      </w:r>
    </w:p>
    <w:p w14:paraId="4533F7AE" w14:textId="3086649E" w:rsidR="00146C2C" w:rsidRPr="006D790D" w:rsidRDefault="00146C2C" w:rsidP="001F3DD1">
      <w:r w:rsidRPr="006D790D">
        <w:t xml:space="preserve">Immunogenicity, as measured by ADA to </w:t>
      </w:r>
      <w:proofErr w:type="spellStart"/>
      <w:r w:rsidRPr="006D790D">
        <w:t>casirivimab</w:t>
      </w:r>
      <w:proofErr w:type="spellEnd"/>
      <w:r w:rsidRPr="006D790D">
        <w:t xml:space="preserve"> and </w:t>
      </w:r>
      <w:proofErr w:type="spellStart"/>
      <w:r w:rsidRPr="006D790D">
        <w:t>imdevimab</w:t>
      </w:r>
      <w:proofErr w:type="spellEnd"/>
      <w:r w:rsidRPr="006D790D">
        <w:t>, was low overall and was similar for placebo</w:t>
      </w:r>
      <w:r w:rsidR="003526A2" w:rsidRPr="006D790D">
        <w:t xml:space="preserve"> </w:t>
      </w:r>
      <w:r w:rsidRPr="006D790D">
        <w:t xml:space="preserve">treated participants and </w:t>
      </w:r>
      <w:proofErr w:type="spellStart"/>
      <w:r w:rsidRPr="006D790D">
        <w:t>casirivimab</w:t>
      </w:r>
      <w:proofErr w:type="spellEnd"/>
      <w:r w:rsidR="00EA28EF" w:rsidRPr="006D790D">
        <w:t>/</w:t>
      </w:r>
      <w:proofErr w:type="spellStart"/>
      <w:r w:rsidRPr="006D790D">
        <w:t>imdevimab</w:t>
      </w:r>
      <w:proofErr w:type="spellEnd"/>
      <w:r w:rsidRPr="006D790D">
        <w:t xml:space="preserve"> treated participants. ≤ 4% of participants had pre-existing ADA to </w:t>
      </w:r>
      <w:proofErr w:type="spellStart"/>
      <w:r w:rsidRPr="006D790D">
        <w:t>casirivimab</w:t>
      </w:r>
      <w:proofErr w:type="spellEnd"/>
      <w:r w:rsidRPr="006D790D">
        <w:t xml:space="preserve"> and/or </w:t>
      </w:r>
      <w:proofErr w:type="spellStart"/>
      <w:r w:rsidRPr="006D790D">
        <w:t>imdevimab</w:t>
      </w:r>
      <w:proofErr w:type="spellEnd"/>
      <w:r w:rsidRPr="006D790D">
        <w:t xml:space="preserve"> measured at </w:t>
      </w:r>
      <w:r w:rsidR="00FB39BC" w:rsidRPr="006D790D">
        <w:t>Baseline</w:t>
      </w:r>
      <w:r w:rsidRPr="006D790D">
        <w:t xml:space="preserve">. One (0.1%) participant who received </w:t>
      </w:r>
      <w:proofErr w:type="spellStart"/>
      <w:r w:rsidRPr="006D790D">
        <w:t>casirivimab</w:t>
      </w:r>
      <w:proofErr w:type="spellEnd"/>
      <w:r w:rsidR="00EA28EF" w:rsidRPr="006D790D">
        <w:t>/</w:t>
      </w:r>
      <w:proofErr w:type="spellStart"/>
      <w:r w:rsidRPr="006D790D">
        <w:t>imdevimab</w:t>
      </w:r>
      <w:proofErr w:type="spellEnd"/>
      <w:r w:rsidRPr="006D790D">
        <w:t xml:space="preserve"> had </w:t>
      </w:r>
      <w:r w:rsidRPr="006D790D">
        <w:lastRenderedPageBreak/>
        <w:t>treatment</w:t>
      </w:r>
      <w:r w:rsidR="00F847E4" w:rsidRPr="006D790D">
        <w:t xml:space="preserve"> </w:t>
      </w:r>
      <w:r w:rsidRPr="006D790D">
        <w:t xml:space="preserve">emergent ADA to </w:t>
      </w:r>
      <w:proofErr w:type="spellStart"/>
      <w:r w:rsidRPr="006D790D">
        <w:t>casirivimab</w:t>
      </w:r>
      <w:proofErr w:type="spellEnd"/>
      <w:r w:rsidRPr="006D790D">
        <w:t xml:space="preserve">. Fourteen participants (2.0%) who received </w:t>
      </w:r>
      <w:proofErr w:type="spellStart"/>
      <w:r w:rsidRPr="006D790D">
        <w:t>casirivimab</w:t>
      </w:r>
      <w:proofErr w:type="spellEnd"/>
      <w:r w:rsidRPr="006D790D">
        <w:t xml:space="preserve"> </w:t>
      </w:r>
      <w:r w:rsidR="00EA28EF" w:rsidRPr="006D790D">
        <w:t>/</w:t>
      </w:r>
      <w:proofErr w:type="spellStart"/>
      <w:r w:rsidRPr="006D790D">
        <w:t>imdevimab</w:t>
      </w:r>
      <w:proofErr w:type="spellEnd"/>
      <w:r w:rsidRPr="006D790D">
        <w:t xml:space="preserve"> had treatment</w:t>
      </w:r>
      <w:r w:rsidR="00BF2614" w:rsidRPr="006D790D">
        <w:t xml:space="preserve"> </w:t>
      </w:r>
      <w:r w:rsidRPr="006D790D">
        <w:t xml:space="preserve">emergent ADA to </w:t>
      </w:r>
      <w:proofErr w:type="spellStart"/>
      <w:r w:rsidRPr="006D790D">
        <w:t>imdevimab</w:t>
      </w:r>
      <w:proofErr w:type="spellEnd"/>
      <w:r w:rsidRPr="006D790D">
        <w:t xml:space="preserve">. All positive ADA results were low </w:t>
      </w:r>
      <w:r w:rsidR="00F847E4" w:rsidRPr="006D790D">
        <w:t>titre</w:t>
      </w:r>
      <w:r w:rsidRPr="006D790D">
        <w:t xml:space="preserve"> (&lt;</w:t>
      </w:r>
      <w:r w:rsidR="00F847E4" w:rsidRPr="006D790D">
        <w:t> </w:t>
      </w:r>
      <w:r w:rsidRPr="006D790D">
        <w:t xml:space="preserve">1000). The serum concentrations of </w:t>
      </w:r>
      <w:proofErr w:type="spellStart"/>
      <w:r w:rsidRPr="006D790D">
        <w:t>casirivimab</w:t>
      </w:r>
      <w:proofErr w:type="spellEnd"/>
      <w:r w:rsidR="00EA28EF" w:rsidRPr="006D790D">
        <w:t>/</w:t>
      </w:r>
      <w:proofErr w:type="spellStart"/>
      <w:r w:rsidRPr="006D790D">
        <w:t>imdevimab</w:t>
      </w:r>
      <w:proofErr w:type="spellEnd"/>
      <w:r w:rsidRPr="006D790D">
        <w:t xml:space="preserve"> appeared similar in those with and without ADA.</w:t>
      </w:r>
    </w:p>
    <w:p w14:paraId="75B19863" w14:textId="274DDA9A" w:rsidR="00146C2C" w:rsidRPr="006D790D" w:rsidRDefault="00D5326E" w:rsidP="00B83541">
      <w:pPr>
        <w:pStyle w:val="TableTitle"/>
      </w:pPr>
      <w:r w:rsidRPr="006D790D">
        <w:t xml:space="preserve">Table </w:t>
      </w:r>
      <w:fldSimple w:instr=" SEQ Table \* ARABIC ">
        <w:r w:rsidR="007F1879">
          <w:rPr>
            <w:noProof/>
          </w:rPr>
          <w:t>9</w:t>
        </w:r>
      </w:fldSimple>
      <w:r w:rsidR="00146C2C" w:rsidRPr="006D790D">
        <w:t xml:space="preserve">: </w:t>
      </w:r>
      <w:r w:rsidR="00B83541" w:rsidRPr="006D790D">
        <w:rPr>
          <w:rFonts w:eastAsiaTheme="minorHAnsi"/>
        </w:rPr>
        <w:t>Study </w:t>
      </w:r>
      <w:r w:rsidR="00B83541" w:rsidRPr="006D790D">
        <w:t xml:space="preserve">HV-2093 Anti-drug antibodies </w:t>
      </w:r>
      <w:r w:rsidR="00146C2C" w:rsidRPr="006D790D">
        <w:t xml:space="preserve">to </w:t>
      </w:r>
      <w:proofErr w:type="spellStart"/>
      <w:r w:rsidR="00146C2C" w:rsidRPr="006D790D">
        <w:t>casirivimab</w:t>
      </w:r>
      <w:proofErr w:type="spellEnd"/>
    </w:p>
    <w:p w14:paraId="3930076D" w14:textId="6B1D8866" w:rsidR="00146C2C" w:rsidRDefault="00146C2C" w:rsidP="00146C2C">
      <w:pPr>
        <w:autoSpaceDE w:val="0"/>
        <w:autoSpaceDN w:val="0"/>
        <w:adjustRightInd w:val="0"/>
        <w:spacing w:before="0" w:after="0" w:line="240" w:lineRule="auto"/>
        <w:rPr>
          <w:b/>
          <w:color w:val="FF0000"/>
        </w:rPr>
      </w:pPr>
      <w:r w:rsidRPr="006D790D">
        <w:rPr>
          <w:b/>
          <w:noProof/>
          <w:color w:val="FF0000"/>
          <w:lang w:val="en-GB" w:eastAsia="en-GB"/>
        </w:rPr>
        <w:drawing>
          <wp:inline distT="0" distB="0" distL="0" distR="0" wp14:anchorId="341B99ED" wp14:editId="3B9629A8">
            <wp:extent cx="5206621" cy="1118870"/>
            <wp:effectExtent l="0" t="0" r="0" b="5080"/>
            <wp:docPr id="35" name="Picture 35" descr="Study HV-2093 Anti-drug antibodies to casirivi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tudy HV-2093 Anti-drug antibodies to casirivimab"/>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3147" cy="1120272"/>
                    </a:xfrm>
                    <a:prstGeom prst="rect">
                      <a:avLst/>
                    </a:prstGeom>
                    <a:noFill/>
                    <a:ln>
                      <a:noFill/>
                    </a:ln>
                  </pic:spPr>
                </pic:pic>
              </a:graphicData>
            </a:graphic>
          </wp:inline>
        </w:drawing>
      </w:r>
    </w:p>
    <w:p w14:paraId="670698AE" w14:textId="21B01C5F" w:rsidR="005460AF" w:rsidRPr="006D790D" w:rsidRDefault="005460AF" w:rsidP="00BB0979">
      <w:pPr>
        <w:pStyle w:val="TableDescription"/>
      </w:pPr>
      <w:r>
        <w:t xml:space="preserve">ADA = anti-drug antibodies; n = sample size; </w:t>
      </w:r>
      <w:r w:rsidRPr="005460AF">
        <w:t>R10933</w:t>
      </w:r>
      <w:r>
        <w:t xml:space="preserve"> + </w:t>
      </w:r>
      <w:r w:rsidRPr="005460AF">
        <w:t>R10987</w:t>
      </w:r>
      <w:r>
        <w:t xml:space="preserve"> = </w:t>
      </w:r>
      <w:proofErr w:type="spellStart"/>
      <w:r w:rsidRPr="005460AF">
        <w:t>casirivimab</w:t>
      </w:r>
      <w:proofErr w:type="spellEnd"/>
      <w:r>
        <w:t xml:space="preserve"> + </w:t>
      </w:r>
      <w:proofErr w:type="spellStart"/>
      <w:r w:rsidRPr="005460AF">
        <w:t>imdevimab</w:t>
      </w:r>
      <w:proofErr w:type="spellEnd"/>
      <w:r w:rsidRPr="005460AF">
        <w:t>; SC</w:t>
      </w:r>
      <w:r>
        <w:t> </w:t>
      </w:r>
      <w:r w:rsidRPr="005460AF">
        <w:t>=</w:t>
      </w:r>
      <w:r>
        <w:t> </w:t>
      </w:r>
      <w:r w:rsidRPr="005460AF">
        <w:t>subcutaneous</w:t>
      </w:r>
      <w:r>
        <w:t>.</w:t>
      </w:r>
    </w:p>
    <w:p w14:paraId="0299A503" w14:textId="00ABE40A" w:rsidR="00146C2C" w:rsidRPr="006D790D" w:rsidRDefault="00D5326E" w:rsidP="00B83541">
      <w:pPr>
        <w:pStyle w:val="TableTitle"/>
      </w:pPr>
      <w:r w:rsidRPr="006D790D">
        <w:t xml:space="preserve">Table </w:t>
      </w:r>
      <w:fldSimple w:instr=" SEQ Table \* ARABIC ">
        <w:r w:rsidR="007F1879">
          <w:rPr>
            <w:noProof/>
          </w:rPr>
          <w:t>10</w:t>
        </w:r>
      </w:fldSimple>
      <w:r w:rsidR="00146C2C" w:rsidRPr="006D790D">
        <w:t xml:space="preserve">: </w:t>
      </w:r>
      <w:r w:rsidR="00B83541" w:rsidRPr="006D790D">
        <w:rPr>
          <w:rFonts w:eastAsiaTheme="minorHAnsi"/>
        </w:rPr>
        <w:t>Study </w:t>
      </w:r>
      <w:r w:rsidR="00B83541" w:rsidRPr="006D790D">
        <w:t xml:space="preserve">HV-2093 Anti-drug antibodies </w:t>
      </w:r>
      <w:r w:rsidR="00146C2C" w:rsidRPr="006D790D">
        <w:t xml:space="preserve">to </w:t>
      </w:r>
      <w:proofErr w:type="spellStart"/>
      <w:r w:rsidR="00146C2C" w:rsidRPr="006D790D">
        <w:t>imdevimab</w:t>
      </w:r>
      <w:proofErr w:type="spellEnd"/>
    </w:p>
    <w:p w14:paraId="5B5C1158" w14:textId="08B46461" w:rsidR="00146C2C" w:rsidRDefault="00146C2C" w:rsidP="00146C2C">
      <w:pPr>
        <w:autoSpaceDE w:val="0"/>
        <w:autoSpaceDN w:val="0"/>
        <w:adjustRightInd w:val="0"/>
        <w:spacing w:before="0" w:after="0" w:line="240" w:lineRule="auto"/>
        <w:rPr>
          <w:b/>
          <w:color w:val="FF0000"/>
        </w:rPr>
      </w:pPr>
      <w:r w:rsidRPr="006D790D">
        <w:rPr>
          <w:b/>
          <w:noProof/>
          <w:color w:val="FF0000"/>
          <w:lang w:val="en-GB" w:eastAsia="en-GB"/>
        </w:rPr>
        <w:drawing>
          <wp:inline distT="0" distB="0" distL="0" distR="0" wp14:anchorId="1850A876" wp14:editId="34978D43">
            <wp:extent cx="5261212" cy="1105535"/>
            <wp:effectExtent l="0" t="0" r="0" b="0"/>
            <wp:docPr id="41" name="Picture 41" descr="Study HV-2093 Anti-drug antibodies to imdevi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tudy HV-2093 Anti-drug antibodies to imdevimab"/>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2083" cy="1107819"/>
                    </a:xfrm>
                    <a:prstGeom prst="rect">
                      <a:avLst/>
                    </a:prstGeom>
                    <a:noFill/>
                    <a:ln>
                      <a:noFill/>
                    </a:ln>
                  </pic:spPr>
                </pic:pic>
              </a:graphicData>
            </a:graphic>
          </wp:inline>
        </w:drawing>
      </w:r>
    </w:p>
    <w:p w14:paraId="1F88215A" w14:textId="77777777" w:rsidR="005460AF" w:rsidRPr="006D790D" w:rsidRDefault="005460AF" w:rsidP="005460AF">
      <w:pPr>
        <w:pStyle w:val="TableDescription"/>
      </w:pPr>
      <w:r>
        <w:t xml:space="preserve">ADA = anti-drug antibodies; n = sample size; </w:t>
      </w:r>
      <w:r w:rsidRPr="005460AF">
        <w:t>R10933</w:t>
      </w:r>
      <w:r>
        <w:t xml:space="preserve"> + </w:t>
      </w:r>
      <w:r w:rsidRPr="005460AF">
        <w:t>R10987</w:t>
      </w:r>
      <w:r>
        <w:t xml:space="preserve"> = </w:t>
      </w:r>
      <w:proofErr w:type="spellStart"/>
      <w:r w:rsidRPr="005460AF">
        <w:t>casirivimab</w:t>
      </w:r>
      <w:proofErr w:type="spellEnd"/>
      <w:r>
        <w:t xml:space="preserve"> + </w:t>
      </w:r>
      <w:proofErr w:type="spellStart"/>
      <w:r w:rsidRPr="005460AF">
        <w:t>imdevimab</w:t>
      </w:r>
      <w:proofErr w:type="spellEnd"/>
      <w:r w:rsidRPr="005460AF">
        <w:t>; SC</w:t>
      </w:r>
      <w:r>
        <w:t> </w:t>
      </w:r>
      <w:r w:rsidRPr="005460AF">
        <w:t>=</w:t>
      </w:r>
      <w:r>
        <w:t> </w:t>
      </w:r>
      <w:r w:rsidRPr="005460AF">
        <w:t>subcutaneous</w:t>
      </w:r>
      <w:r>
        <w:t>.</w:t>
      </w:r>
    </w:p>
    <w:p w14:paraId="37E3DCCD" w14:textId="16F32133" w:rsidR="00146C2C" w:rsidRPr="006D790D" w:rsidRDefault="00F40137" w:rsidP="00E242C3">
      <w:pPr>
        <w:pStyle w:val="Heading5"/>
      </w:pPr>
      <w:bookmarkStart w:id="72" w:name="_Toc84071963"/>
      <w:r w:rsidRPr="006D790D">
        <w:t>Study </w:t>
      </w:r>
      <w:r w:rsidR="00146C2C" w:rsidRPr="006D790D">
        <w:t>COV-2067</w:t>
      </w:r>
      <w:bookmarkEnd w:id="72"/>
      <w:r w:rsidR="008A248A">
        <w:t xml:space="preserve"> pharmacodynamic</w:t>
      </w:r>
      <w:r w:rsidR="008A248A" w:rsidRPr="006D790D">
        <w:t xml:space="preserve"> analysis</w:t>
      </w:r>
    </w:p>
    <w:p w14:paraId="3B9A70FA" w14:textId="7798B81A" w:rsidR="00146C2C" w:rsidRPr="006D790D" w:rsidRDefault="00F40137" w:rsidP="001F3DD1">
      <w:r w:rsidRPr="006D790D">
        <w:t>Study </w:t>
      </w:r>
      <w:r w:rsidR="00146C2C" w:rsidRPr="006D790D">
        <w:t xml:space="preserve">COV-2067 assessed a range of different </w:t>
      </w:r>
      <w:r w:rsidR="00F43ACD" w:rsidRPr="006D790D">
        <w:t>intravenous</w:t>
      </w:r>
      <w:r w:rsidR="00146C2C" w:rsidRPr="006D790D">
        <w:t xml:space="preserve"> doses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(single </w:t>
      </w:r>
      <w:r w:rsidR="00F43ACD" w:rsidRPr="006D790D">
        <w:t>intravenous</w:t>
      </w:r>
      <w:r w:rsidR="00146C2C" w:rsidRPr="006D790D">
        <w:t xml:space="preserve"> doses of 1200 mg, 2400 mg, or 8000 mg) in outpatients with COVID-19. The study evaluated the relationship between the change from </w:t>
      </w:r>
      <w:r w:rsidR="00FB39BC" w:rsidRPr="006D790D">
        <w:t>Baseline</w:t>
      </w:r>
      <w:r w:rsidR="00146C2C" w:rsidRPr="006D790D">
        <w:t xml:space="preserve"> in viral load and the concentrations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in the primary analysis population (RT-PCR positive and seronegative).</w:t>
      </w:r>
    </w:p>
    <w:p w14:paraId="2EECEBC1" w14:textId="2A9550E9" w:rsidR="00146C2C" w:rsidRPr="006D790D" w:rsidRDefault="00146C2C" w:rsidP="001F3DD1">
      <w:r w:rsidRPr="006D790D">
        <w:t xml:space="preserve">The primary analysis demonstrated statistical significance for all virologic endpoints tested in the hierarchy. No clear exposure-related differences were observed for virologic efficacy over the dose range investigated, indicating a flat exposure-response relationship. Phase </w:t>
      </w:r>
      <w:r w:rsidR="008D531C" w:rsidRPr="006D790D">
        <w:t>III</w:t>
      </w:r>
      <w:r w:rsidRPr="006D790D">
        <w:t xml:space="preserve"> analysis also showed that the mean reduction from </w:t>
      </w:r>
      <w:r w:rsidR="00FB39BC" w:rsidRPr="006D790D">
        <w:t>Baseline</w:t>
      </w:r>
      <w:r w:rsidRPr="006D790D">
        <w:t xml:space="preserve"> in viral load at Day</w:t>
      </w:r>
      <w:r w:rsidR="003526A2" w:rsidRPr="006D790D">
        <w:t> </w:t>
      </w:r>
      <w:r w:rsidRPr="006D790D">
        <w:t xml:space="preserve">7 was larger than placebo for both the </w:t>
      </w:r>
      <w:proofErr w:type="spellStart"/>
      <w:r w:rsidRPr="006D790D">
        <w:t>casirivimab</w:t>
      </w:r>
      <w:proofErr w:type="spellEnd"/>
      <w:r w:rsidR="00EA28EF" w:rsidRPr="006D790D">
        <w:t>/</w:t>
      </w:r>
      <w:proofErr w:type="spellStart"/>
      <w:r w:rsidRPr="006D790D">
        <w:t>imdevimab</w:t>
      </w:r>
      <w:proofErr w:type="spellEnd"/>
      <w:r w:rsidRPr="006D790D">
        <w:t xml:space="preserve"> 2400 mg group (difference from placebo: -0.86 log</w:t>
      </w:r>
      <w:r w:rsidRPr="006D790D">
        <w:rPr>
          <w:vertAlign w:val="subscript"/>
        </w:rPr>
        <w:t>10</w:t>
      </w:r>
      <w:r w:rsidRPr="006D790D">
        <w:t xml:space="preserve"> copies/mL/day, nominal p</w:t>
      </w:r>
      <w:r w:rsidR="003526A2" w:rsidRPr="006D790D">
        <w:t> </w:t>
      </w:r>
      <w:r w:rsidRPr="006D790D">
        <w:t>&lt;</w:t>
      </w:r>
      <w:r w:rsidR="003526A2" w:rsidRPr="006D790D">
        <w:t> </w:t>
      </w:r>
      <w:r w:rsidRPr="006D790D">
        <w:t>0.001) and the 1200</w:t>
      </w:r>
      <w:r w:rsidR="003526A2" w:rsidRPr="006D790D">
        <w:t> </w:t>
      </w:r>
      <w:r w:rsidRPr="006D790D">
        <w:t>mg group (difference from placebo: -0.71 log</w:t>
      </w:r>
      <w:r w:rsidRPr="006D790D">
        <w:rPr>
          <w:vertAlign w:val="subscript"/>
        </w:rPr>
        <w:t>10</w:t>
      </w:r>
      <w:r w:rsidRPr="006D790D">
        <w:t xml:space="preserve"> copies/mL/day, nominal p</w:t>
      </w:r>
      <w:r w:rsidR="003526A2" w:rsidRPr="006D790D">
        <w:t> </w:t>
      </w:r>
      <w:r w:rsidRPr="006D790D">
        <w:t>&lt;</w:t>
      </w:r>
      <w:r w:rsidR="003526A2" w:rsidRPr="006D790D">
        <w:t> </w:t>
      </w:r>
      <w:r w:rsidRPr="006D790D">
        <w:t>0.001). This trend was also observed for both dose groups at Day</w:t>
      </w:r>
      <w:r w:rsidR="003526A2" w:rsidRPr="006D790D">
        <w:t> </w:t>
      </w:r>
      <w:r w:rsidRPr="006D790D">
        <w:t>15 and for the 1200</w:t>
      </w:r>
      <w:r w:rsidR="003526A2" w:rsidRPr="006D790D">
        <w:t> </w:t>
      </w:r>
      <w:r w:rsidRPr="006D790D">
        <w:t>mg group at Day</w:t>
      </w:r>
      <w:r w:rsidR="003526A2" w:rsidRPr="006D790D">
        <w:t> </w:t>
      </w:r>
      <w:r w:rsidRPr="006D790D">
        <w:t>29.</w:t>
      </w:r>
    </w:p>
    <w:p w14:paraId="43C06F12" w14:textId="17088792" w:rsidR="00146C2C" w:rsidRPr="006D790D" w:rsidRDefault="00146C2C" w:rsidP="001F3DD1">
      <w:r w:rsidRPr="006D790D">
        <w:t xml:space="preserve">Nearly all patients </w:t>
      </w:r>
      <w:proofErr w:type="gramStart"/>
      <w:r w:rsidRPr="006D790D">
        <w:t>were negative for ADA at all times</w:t>
      </w:r>
      <w:proofErr w:type="gramEnd"/>
      <w:r w:rsidRPr="006D790D">
        <w:t xml:space="preserve">, indicating minimal immunogenicity following administration of single </w:t>
      </w:r>
      <w:r w:rsidR="00F43ACD" w:rsidRPr="006D790D">
        <w:t>intravenous</w:t>
      </w:r>
      <w:r w:rsidRPr="006D790D">
        <w:t xml:space="preserve"> doses of 1200 mg, 2400 mg, or 8000</w:t>
      </w:r>
      <w:r w:rsidR="003526A2" w:rsidRPr="006D790D">
        <w:t> </w:t>
      </w:r>
      <w:r w:rsidRPr="006D790D">
        <w:t>mg of</w:t>
      </w:r>
      <w:r w:rsidR="001F3DD1" w:rsidRPr="006D790D">
        <w:t xml:space="preserve"> </w:t>
      </w:r>
      <w:proofErr w:type="spellStart"/>
      <w:r w:rsidRPr="006D790D">
        <w:t>casirivimab</w:t>
      </w:r>
      <w:proofErr w:type="spellEnd"/>
      <w:r w:rsidR="00EA28EF" w:rsidRPr="006D790D">
        <w:t>/</w:t>
      </w:r>
      <w:proofErr w:type="spellStart"/>
      <w:r w:rsidRPr="006D790D">
        <w:t>imdevimab</w:t>
      </w:r>
      <w:proofErr w:type="spellEnd"/>
      <w:r w:rsidRPr="006D790D">
        <w:t xml:space="preserve">. Concentrations in serum for </w:t>
      </w:r>
      <w:proofErr w:type="spellStart"/>
      <w:r w:rsidRPr="006D790D">
        <w:t>casirivimab</w:t>
      </w:r>
      <w:proofErr w:type="spellEnd"/>
      <w:r w:rsidRPr="006D790D">
        <w:t xml:space="preserve"> and </w:t>
      </w:r>
      <w:proofErr w:type="spellStart"/>
      <w:r w:rsidRPr="006D790D">
        <w:t>imdevimab</w:t>
      </w:r>
      <w:proofErr w:type="spellEnd"/>
      <w:r w:rsidRPr="006D790D">
        <w:t xml:space="preserve"> at Day</w:t>
      </w:r>
      <w:r w:rsidR="003526A2" w:rsidRPr="006D790D">
        <w:t> </w:t>
      </w:r>
      <w:r w:rsidRPr="006D790D">
        <w:t>28 were similar between ADA</w:t>
      </w:r>
      <w:r w:rsidR="003526A2" w:rsidRPr="006D790D">
        <w:t xml:space="preserve"> </w:t>
      </w:r>
      <w:r w:rsidRPr="006D790D">
        <w:t>negative and ADA</w:t>
      </w:r>
      <w:r w:rsidR="003526A2" w:rsidRPr="006D790D">
        <w:t xml:space="preserve"> </w:t>
      </w:r>
      <w:r w:rsidRPr="006D790D">
        <w:t>positive patients.</w:t>
      </w:r>
    </w:p>
    <w:p w14:paraId="536B1FB8" w14:textId="1AAB5296" w:rsidR="00146C2C" w:rsidRPr="006D790D" w:rsidRDefault="00F40137" w:rsidP="00E242C3">
      <w:pPr>
        <w:pStyle w:val="Heading5"/>
        <w:rPr>
          <w:rFonts w:eastAsiaTheme="minorHAnsi"/>
        </w:rPr>
      </w:pPr>
      <w:bookmarkStart w:id="73" w:name="_Toc84071964"/>
      <w:r w:rsidRPr="006D790D">
        <w:t>Study </w:t>
      </w:r>
      <w:r w:rsidR="00146C2C" w:rsidRPr="006D790D">
        <w:rPr>
          <w:rFonts w:eastAsiaTheme="minorHAnsi"/>
        </w:rPr>
        <w:t>COV-2069</w:t>
      </w:r>
      <w:bookmarkEnd w:id="73"/>
      <w:r w:rsidR="008A248A">
        <w:rPr>
          <w:rFonts w:eastAsiaTheme="minorHAnsi"/>
        </w:rPr>
        <w:t xml:space="preserve"> pharmacodynamic analysis</w:t>
      </w:r>
    </w:p>
    <w:p w14:paraId="4FACC290" w14:textId="18A2C46C" w:rsidR="00146C2C" w:rsidRPr="006D790D" w:rsidRDefault="00146C2C" w:rsidP="001F3DD1">
      <w:r w:rsidRPr="006D790D">
        <w:t xml:space="preserve">Viral load was assessed as one of the secondary endpoints in </w:t>
      </w:r>
      <w:r w:rsidR="00FC63CA" w:rsidRPr="006D790D">
        <w:t>C</w:t>
      </w:r>
      <w:r w:rsidRPr="006D790D">
        <w:t>ohorts A and B in this study.</w:t>
      </w:r>
    </w:p>
    <w:p w14:paraId="31B0FDA8" w14:textId="07536668" w:rsidR="00146C2C" w:rsidRPr="006D790D" w:rsidRDefault="00146C2C" w:rsidP="001F3DD1">
      <w:r w:rsidRPr="006D790D">
        <w:t xml:space="preserve">For Cohort A, treatment with </w:t>
      </w:r>
      <w:proofErr w:type="spellStart"/>
      <w:r w:rsidRPr="006D790D">
        <w:t>casirivimab</w:t>
      </w:r>
      <w:proofErr w:type="spellEnd"/>
      <w:r w:rsidR="00EA28EF" w:rsidRPr="006D790D">
        <w:t>/</w:t>
      </w:r>
      <w:proofErr w:type="spellStart"/>
      <w:r w:rsidRPr="006D790D">
        <w:t>imdevimab</w:t>
      </w:r>
      <w:proofErr w:type="spellEnd"/>
      <w:r w:rsidRPr="006D790D">
        <w:t xml:space="preserve"> reduced the viral load compared to placebo in participants who developed a SARS-CoV-2 infection.</w:t>
      </w:r>
    </w:p>
    <w:p w14:paraId="6DFFECB9" w14:textId="398C178D" w:rsidR="00146C2C" w:rsidRPr="006D790D" w:rsidRDefault="00146C2C" w:rsidP="001F3DD1">
      <w:r w:rsidRPr="006D790D">
        <w:t xml:space="preserve">For Cohort B, treatment with </w:t>
      </w:r>
      <w:proofErr w:type="spellStart"/>
      <w:r w:rsidRPr="006D790D">
        <w:t>casirivimab</w:t>
      </w:r>
      <w:proofErr w:type="spellEnd"/>
      <w:r w:rsidR="00EA28EF" w:rsidRPr="006D790D">
        <w:t>/</w:t>
      </w:r>
      <w:proofErr w:type="spellStart"/>
      <w:r w:rsidRPr="006D790D">
        <w:t>imdevimab</w:t>
      </w:r>
      <w:proofErr w:type="spellEnd"/>
      <w:r w:rsidRPr="006D790D">
        <w:t xml:space="preserve"> reduced the proportion of participants with high viral load infection (&gt;</w:t>
      </w:r>
      <w:r w:rsidR="003526A2" w:rsidRPr="006D790D">
        <w:t xml:space="preserve"> </w:t>
      </w:r>
      <w:r w:rsidRPr="006D790D">
        <w:t>4 log</w:t>
      </w:r>
      <w:r w:rsidRPr="006D790D">
        <w:rPr>
          <w:vertAlign w:val="subscript"/>
        </w:rPr>
        <w:t>10</w:t>
      </w:r>
      <w:r w:rsidRPr="006D790D">
        <w:t xml:space="preserve"> copies/mL) by 34.6% compared to placebo during the efficacy assessment period (40/98 </w:t>
      </w:r>
      <w:r w:rsidR="00316746" w:rsidRPr="006D790D">
        <w:t>(</w:t>
      </w:r>
      <w:r w:rsidRPr="006D790D">
        <w:t>40.8%</w:t>
      </w:r>
      <w:r w:rsidR="00316746" w:rsidRPr="006D790D">
        <w:t>)</w:t>
      </w:r>
      <w:r w:rsidRPr="006D790D">
        <w:t xml:space="preserve"> in the </w:t>
      </w:r>
      <w:proofErr w:type="spellStart"/>
      <w:r w:rsidRPr="006D790D">
        <w:lastRenderedPageBreak/>
        <w:t>casirivimab</w:t>
      </w:r>
      <w:proofErr w:type="spellEnd"/>
      <w:r w:rsidR="00EA28EF" w:rsidRPr="006D790D">
        <w:t>/</w:t>
      </w:r>
      <w:proofErr w:type="spellStart"/>
      <w:r w:rsidRPr="006D790D">
        <w:t>imdevimab</w:t>
      </w:r>
      <w:proofErr w:type="spellEnd"/>
      <w:r w:rsidRPr="006D790D">
        <w:t xml:space="preserve"> group </w:t>
      </w:r>
      <w:r w:rsidR="00316746" w:rsidRPr="006D790D">
        <w:t>versus</w:t>
      </w:r>
      <w:r w:rsidRPr="006D790D">
        <w:t xml:space="preserve"> 63/101 </w:t>
      </w:r>
      <w:r w:rsidR="00316746" w:rsidRPr="006D790D">
        <w:t>(</w:t>
      </w:r>
      <w:r w:rsidRPr="006D790D">
        <w:t>62.4%</w:t>
      </w:r>
      <w:r w:rsidR="00316746" w:rsidRPr="006D790D">
        <w:t>)</w:t>
      </w:r>
      <w:r w:rsidRPr="006D790D">
        <w:t xml:space="preserve"> in the placebo group; nominal p</w:t>
      </w:r>
      <w:r w:rsidR="003526A2" w:rsidRPr="006D790D">
        <w:t> </w:t>
      </w:r>
      <w:r w:rsidRPr="006D790D">
        <w:t>=</w:t>
      </w:r>
      <w:r w:rsidR="003526A2" w:rsidRPr="006D790D">
        <w:t> </w:t>
      </w:r>
      <w:r w:rsidRPr="006D790D">
        <w:t>0.0024). A consistent reduction in the magnitude of viral load was also demonstrated compared to placebo. The post</w:t>
      </w:r>
      <w:r w:rsidR="008A248A">
        <w:t>-</w:t>
      </w:r>
      <w:r w:rsidRPr="006D790D">
        <w:t xml:space="preserve">baseline </w:t>
      </w:r>
      <w:proofErr w:type="gramStart"/>
      <w:r w:rsidRPr="006D790D">
        <w:t>mean</w:t>
      </w:r>
      <w:proofErr w:type="gramEnd"/>
      <w:r w:rsidRPr="006D790D">
        <w:t xml:space="preserve"> viral load declined more rapidly in the </w:t>
      </w:r>
      <w:proofErr w:type="spellStart"/>
      <w:r w:rsidRPr="006D790D">
        <w:t>casirivimab</w:t>
      </w:r>
      <w:proofErr w:type="spellEnd"/>
      <w:r w:rsidR="00EA28EF" w:rsidRPr="006D790D">
        <w:t>/</w:t>
      </w:r>
      <w:proofErr w:type="spellStart"/>
      <w:r w:rsidRPr="006D790D">
        <w:t>imdevimab</w:t>
      </w:r>
      <w:proofErr w:type="spellEnd"/>
      <w:r w:rsidRPr="006D790D">
        <w:t xml:space="preserve"> group, with a lower mean viral load maintained in the </w:t>
      </w:r>
      <w:proofErr w:type="spellStart"/>
      <w:r w:rsidRPr="006D790D">
        <w:t>casirivimab</w:t>
      </w:r>
      <w:proofErr w:type="spellEnd"/>
      <w:r w:rsidR="00EA28EF" w:rsidRPr="006D790D">
        <w:t>/</w:t>
      </w:r>
      <w:proofErr w:type="spellStart"/>
      <w:r w:rsidRPr="006D790D">
        <w:t>imdevimab</w:t>
      </w:r>
      <w:proofErr w:type="spellEnd"/>
      <w:r w:rsidRPr="006D790D">
        <w:t xml:space="preserve"> group compared to placebo through Day</w:t>
      </w:r>
      <w:r w:rsidR="003526A2" w:rsidRPr="006D790D">
        <w:t> </w:t>
      </w:r>
      <w:r w:rsidRPr="006D790D">
        <w:t>29.</w:t>
      </w:r>
    </w:p>
    <w:p w14:paraId="0E29551E" w14:textId="7EC7AEA4" w:rsidR="00146C2C" w:rsidRPr="006D790D" w:rsidRDefault="00146C2C" w:rsidP="001F3DD1">
      <w:r w:rsidRPr="006D790D">
        <w:t xml:space="preserve">More than 95% of subjects </w:t>
      </w:r>
      <w:proofErr w:type="gramStart"/>
      <w:r w:rsidRPr="006D790D">
        <w:t>were negative for ADA at all times</w:t>
      </w:r>
      <w:proofErr w:type="gramEnd"/>
      <w:r w:rsidRPr="006D790D">
        <w:t xml:space="preserve"> during the study, and the proportion testing positive for ADA was similar between placebo and active treatment groups. The presence of ADA did not affect the concentration</w:t>
      </w:r>
      <w:r w:rsidR="003526A2" w:rsidRPr="006D790D">
        <w:t xml:space="preserve"> </w:t>
      </w:r>
      <w:r w:rsidRPr="006D790D">
        <w:t xml:space="preserve">time profiles of </w:t>
      </w:r>
      <w:proofErr w:type="spellStart"/>
      <w:r w:rsidRPr="006D790D">
        <w:t>casirivimab</w:t>
      </w:r>
      <w:proofErr w:type="spellEnd"/>
      <w:r w:rsidRPr="006D790D">
        <w:t xml:space="preserve"> or </w:t>
      </w:r>
      <w:proofErr w:type="spellStart"/>
      <w:r w:rsidRPr="006D790D">
        <w:t>imdevimab</w:t>
      </w:r>
      <w:proofErr w:type="spellEnd"/>
      <w:r w:rsidRPr="006D790D">
        <w:t>.</w:t>
      </w:r>
    </w:p>
    <w:p w14:paraId="62B3268E" w14:textId="2093D394" w:rsidR="00146C2C" w:rsidRPr="006D790D" w:rsidRDefault="00146C2C" w:rsidP="00E242C3">
      <w:pPr>
        <w:pStyle w:val="Heading4"/>
      </w:pPr>
      <w:bookmarkStart w:id="74" w:name="_Toc84071965"/>
      <w:r w:rsidRPr="006D790D">
        <w:t xml:space="preserve">Population </w:t>
      </w:r>
      <w:r w:rsidR="003526A2" w:rsidRPr="006D790D">
        <w:t>pharmacokinetic analysis</w:t>
      </w:r>
      <w:bookmarkEnd w:id="74"/>
    </w:p>
    <w:p w14:paraId="0DDAFA71" w14:textId="4D2B71D6" w:rsidR="00146C2C" w:rsidRPr="006D790D" w:rsidRDefault="00146C2C" w:rsidP="001F3DD1">
      <w:r w:rsidRPr="006D790D">
        <w:t xml:space="preserve">A population </w:t>
      </w:r>
      <w:r w:rsidR="003526A2" w:rsidRPr="006D790D">
        <w:t>pharmacokinetic (</w:t>
      </w:r>
      <w:proofErr w:type="spellStart"/>
      <w:r w:rsidR="003526A2" w:rsidRPr="006D790D">
        <w:t>pop</w:t>
      </w:r>
      <w:r w:rsidRPr="006D790D">
        <w:t>PK</w:t>
      </w:r>
      <w:proofErr w:type="spellEnd"/>
      <w:r w:rsidR="003526A2" w:rsidRPr="006D790D">
        <w:t>)</w:t>
      </w:r>
      <w:r w:rsidRPr="006D790D">
        <w:t xml:space="preserve"> analysis was conducted to obtain integrated information on PK from studies with sparse PK sample collection, as well as from a combination of sparse and dense data collected from across the development program. Although adolescent subjects (≥</w:t>
      </w:r>
      <w:r w:rsidR="003526A2" w:rsidRPr="006D790D">
        <w:t xml:space="preserve"> </w:t>
      </w:r>
      <w:r w:rsidRPr="006D790D">
        <w:t>12 years of age and ≥</w:t>
      </w:r>
      <w:r w:rsidR="003526A2" w:rsidRPr="006D790D">
        <w:t xml:space="preserve"> </w:t>
      </w:r>
      <w:r w:rsidRPr="006D790D">
        <w:t>40</w:t>
      </w:r>
      <w:r w:rsidR="003526A2" w:rsidRPr="006D790D">
        <w:t> </w:t>
      </w:r>
      <w:r w:rsidRPr="006D790D">
        <w:t>kg weight) were enrolled in studies (</w:t>
      </w:r>
      <w:r w:rsidR="00F40137" w:rsidRPr="006D790D">
        <w:t>Study </w:t>
      </w:r>
      <w:r w:rsidRPr="006D790D">
        <w:t xml:space="preserve">COV-2067 and </w:t>
      </w:r>
      <w:r w:rsidR="00F40137" w:rsidRPr="006D790D">
        <w:t>Study </w:t>
      </w:r>
      <w:r w:rsidRPr="006D790D">
        <w:t>COV-2069), no PK data were available at the time of this submission.</w:t>
      </w:r>
    </w:p>
    <w:p w14:paraId="24C68743" w14:textId="38DBC012" w:rsidR="00146C2C" w:rsidRPr="006D790D" w:rsidRDefault="00146C2C" w:rsidP="001F3DD1">
      <w:proofErr w:type="spellStart"/>
      <w:r w:rsidRPr="006D790D">
        <w:t>Casirivimab</w:t>
      </w:r>
      <w:proofErr w:type="spellEnd"/>
      <w:r w:rsidRPr="006D790D">
        <w:t xml:space="preserve"> and </w:t>
      </w:r>
      <w:proofErr w:type="spellStart"/>
      <w:r w:rsidRPr="006D790D">
        <w:t>imdevimab</w:t>
      </w:r>
      <w:proofErr w:type="spellEnd"/>
      <w:r w:rsidRPr="006D790D">
        <w:t xml:space="preserve"> PK following </w:t>
      </w:r>
      <w:r w:rsidR="00F43ACD" w:rsidRPr="006D790D">
        <w:t>intravenous</w:t>
      </w:r>
      <w:r w:rsidRPr="006D790D">
        <w:t xml:space="preserve"> or </w:t>
      </w:r>
      <w:r w:rsidR="00316746" w:rsidRPr="006D790D">
        <w:t>subcutaneous</w:t>
      </w:r>
      <w:r w:rsidRPr="006D790D">
        <w:t xml:space="preserve"> administration were adequately described by a </w:t>
      </w:r>
      <w:proofErr w:type="gramStart"/>
      <w:r w:rsidR="003526A2" w:rsidRPr="006D790D">
        <w:t xml:space="preserve">two </w:t>
      </w:r>
      <w:r w:rsidRPr="006D790D">
        <w:t>compartment</w:t>
      </w:r>
      <w:proofErr w:type="gramEnd"/>
      <w:r w:rsidRPr="006D790D">
        <w:t xml:space="preserve"> disposition model with linear absorption following </w:t>
      </w:r>
      <w:r w:rsidR="00316746" w:rsidRPr="006D790D">
        <w:t>subcutaneous</w:t>
      </w:r>
      <w:r w:rsidRPr="006D790D">
        <w:t xml:space="preserve"> administration, direct </w:t>
      </w:r>
      <w:r w:rsidR="00F43ACD" w:rsidRPr="006D790D">
        <w:t>intravenous</w:t>
      </w:r>
      <w:r w:rsidRPr="006D790D">
        <w:t xml:space="preserve"> administration into the central compartment, and linear elimination. Based on the observed data, concentrations of </w:t>
      </w:r>
      <w:proofErr w:type="spellStart"/>
      <w:r w:rsidRPr="006D790D">
        <w:t>casirivimab</w:t>
      </w:r>
      <w:proofErr w:type="spellEnd"/>
      <w:r w:rsidRPr="006D790D">
        <w:t xml:space="preserve"> and </w:t>
      </w:r>
      <w:proofErr w:type="spellStart"/>
      <w:r w:rsidRPr="006D790D">
        <w:t>imdevimab</w:t>
      </w:r>
      <w:proofErr w:type="spellEnd"/>
      <w:r w:rsidRPr="006D790D">
        <w:t xml:space="preserve"> increased in a dose</w:t>
      </w:r>
      <w:r w:rsidR="003526A2" w:rsidRPr="006D790D">
        <w:t xml:space="preserve"> </w:t>
      </w:r>
      <w:r w:rsidRPr="006D790D">
        <w:t>proportional manner and displayed no evidence of non-linearity in the elimination phase.</w:t>
      </w:r>
    </w:p>
    <w:p w14:paraId="6F3FD061" w14:textId="56F739F7" w:rsidR="00146C2C" w:rsidRPr="006D790D" w:rsidRDefault="00146C2C" w:rsidP="001F3DD1">
      <w:r w:rsidRPr="006D790D">
        <w:t xml:space="preserve">Typical PK parameters from the final model for </w:t>
      </w:r>
      <w:proofErr w:type="spellStart"/>
      <w:r w:rsidRPr="006D790D">
        <w:t>casirivimab</w:t>
      </w:r>
      <w:proofErr w:type="spellEnd"/>
      <w:r w:rsidRPr="006D790D">
        <w:t xml:space="preserve"> were as follows:</w:t>
      </w:r>
    </w:p>
    <w:p w14:paraId="7E2A1E88" w14:textId="60A35C2D" w:rsidR="00146C2C" w:rsidRPr="006D790D" w:rsidRDefault="00146C2C" w:rsidP="00C5297C">
      <w:pPr>
        <w:pStyle w:val="ListBullet"/>
      </w:pPr>
      <w:r w:rsidRPr="006D790D">
        <w:t>Clearance</w:t>
      </w:r>
      <w:r w:rsidR="003526A2" w:rsidRPr="006D790D">
        <w:t xml:space="preserve"> (CL)</w:t>
      </w:r>
      <w:r w:rsidRPr="006D790D">
        <w:t xml:space="preserve"> of 0.182</w:t>
      </w:r>
      <w:r w:rsidR="003526A2" w:rsidRPr="006D790D">
        <w:t> </w:t>
      </w:r>
      <w:r w:rsidRPr="006D790D">
        <w:t>L/day, distribution volume of central compartment (</w:t>
      </w:r>
      <w:proofErr w:type="spellStart"/>
      <w:r w:rsidRPr="006D790D">
        <w:t>V</w:t>
      </w:r>
      <w:r w:rsidRPr="006D790D">
        <w:rPr>
          <w:vertAlign w:val="subscript"/>
        </w:rPr>
        <w:t>c</w:t>
      </w:r>
      <w:proofErr w:type="spellEnd"/>
      <w:r w:rsidRPr="006D790D">
        <w:t>) of 3.88</w:t>
      </w:r>
      <w:r w:rsidR="003526A2" w:rsidRPr="006D790D">
        <w:t> </w:t>
      </w:r>
      <w:r w:rsidRPr="006D790D">
        <w:t>L, first</w:t>
      </w:r>
      <w:r w:rsidR="003526A2" w:rsidRPr="006D790D">
        <w:t xml:space="preserve"> </w:t>
      </w:r>
      <w:r w:rsidRPr="006D790D">
        <w:t>order absorption rate constant (K</w:t>
      </w:r>
      <w:r w:rsidRPr="006D790D">
        <w:rPr>
          <w:vertAlign w:val="subscript"/>
        </w:rPr>
        <w:t>A</w:t>
      </w:r>
      <w:r w:rsidRPr="006D790D">
        <w:t>) of 0.22 day</w:t>
      </w:r>
      <w:r w:rsidR="00285F19" w:rsidRPr="006D790D">
        <w:t xml:space="preserve"> </w:t>
      </w:r>
      <w:r w:rsidRPr="006D790D">
        <w:t>-</w:t>
      </w:r>
      <w:r w:rsidR="00285F19" w:rsidRPr="006D790D">
        <w:t xml:space="preserve"> </w:t>
      </w:r>
      <w:r w:rsidRPr="006D790D">
        <w:t xml:space="preserve">1, intercompartmental </w:t>
      </w:r>
      <w:r w:rsidR="003526A2" w:rsidRPr="006D790D">
        <w:t>CL</w:t>
      </w:r>
      <w:r w:rsidRPr="006D790D">
        <w:t xml:space="preserve"> between the central and peripheral compartments (Q) of 0.583</w:t>
      </w:r>
      <w:r w:rsidR="00285F19" w:rsidRPr="006D790D">
        <w:t> </w:t>
      </w:r>
      <w:r w:rsidRPr="006D790D">
        <w:t>L/day, and distribution volume of peripheral compartment (</w:t>
      </w:r>
      <w:proofErr w:type="spellStart"/>
      <w:r w:rsidRPr="006D790D">
        <w:t>V</w:t>
      </w:r>
      <w:r w:rsidRPr="006D790D">
        <w:rPr>
          <w:vertAlign w:val="subscript"/>
        </w:rPr>
        <w:t>p</w:t>
      </w:r>
      <w:proofErr w:type="spellEnd"/>
      <w:r w:rsidRPr="006D790D">
        <w:t>) of 3.29 L.</w:t>
      </w:r>
    </w:p>
    <w:p w14:paraId="30E24D01" w14:textId="0CCC9FC5" w:rsidR="00146C2C" w:rsidRPr="006D790D" w:rsidRDefault="00146C2C" w:rsidP="001F3DD1">
      <w:r w:rsidRPr="006D790D">
        <w:t xml:space="preserve">Typical PK parameters from the final model for </w:t>
      </w:r>
      <w:proofErr w:type="spellStart"/>
      <w:r w:rsidRPr="006D790D">
        <w:t>imdevimab</w:t>
      </w:r>
      <w:proofErr w:type="spellEnd"/>
      <w:r w:rsidRPr="006D790D">
        <w:t xml:space="preserve"> were as follows:</w:t>
      </w:r>
    </w:p>
    <w:p w14:paraId="74B0F41B" w14:textId="1F4EE97C" w:rsidR="00146C2C" w:rsidRPr="006D790D" w:rsidRDefault="00285F19" w:rsidP="00C5297C">
      <w:pPr>
        <w:pStyle w:val="ListBullet"/>
      </w:pPr>
      <w:r w:rsidRPr="006D790D">
        <w:t xml:space="preserve">Clearance </w:t>
      </w:r>
      <w:r w:rsidR="00146C2C" w:rsidRPr="006D790D">
        <w:t>of 0.221</w:t>
      </w:r>
      <w:r w:rsidRPr="006D790D">
        <w:t> </w:t>
      </w:r>
      <w:r w:rsidR="00146C2C" w:rsidRPr="006D790D">
        <w:t xml:space="preserve">L/day, </w:t>
      </w:r>
      <w:proofErr w:type="spellStart"/>
      <w:r w:rsidR="00146C2C" w:rsidRPr="006D790D">
        <w:t>V</w:t>
      </w:r>
      <w:r w:rsidR="00146C2C" w:rsidRPr="006D790D">
        <w:rPr>
          <w:vertAlign w:val="subscript"/>
        </w:rPr>
        <w:t>c</w:t>
      </w:r>
      <w:proofErr w:type="spellEnd"/>
      <w:r w:rsidR="00146C2C" w:rsidRPr="006D790D">
        <w:t xml:space="preserve"> of 3.86</w:t>
      </w:r>
      <w:r w:rsidRPr="006D790D">
        <w:t> </w:t>
      </w:r>
      <w:r w:rsidR="00146C2C" w:rsidRPr="006D790D">
        <w:t>L, K</w:t>
      </w:r>
      <w:r w:rsidR="00146C2C" w:rsidRPr="006D790D">
        <w:rPr>
          <w:vertAlign w:val="subscript"/>
        </w:rPr>
        <w:t>A</w:t>
      </w:r>
      <w:r w:rsidR="00146C2C" w:rsidRPr="006D790D">
        <w:t xml:space="preserve"> of 0.197</w:t>
      </w:r>
      <w:r w:rsidRPr="006D790D">
        <w:t> </w:t>
      </w:r>
      <w:r w:rsidR="00146C2C" w:rsidRPr="006D790D">
        <w:t>day</w:t>
      </w:r>
      <w:r w:rsidRPr="006D790D">
        <w:t xml:space="preserve"> </w:t>
      </w:r>
      <w:r w:rsidR="00146C2C" w:rsidRPr="006D790D">
        <w:t>-</w:t>
      </w:r>
      <w:r w:rsidRPr="006D790D">
        <w:t xml:space="preserve"> </w:t>
      </w:r>
      <w:r w:rsidR="00146C2C" w:rsidRPr="006D790D">
        <w:t>1, Q of 0.502</w:t>
      </w:r>
      <w:r w:rsidRPr="006D790D">
        <w:t> </w:t>
      </w:r>
      <w:r w:rsidR="00146C2C" w:rsidRPr="006D790D">
        <w:t xml:space="preserve">L/day, and </w:t>
      </w:r>
      <w:proofErr w:type="spellStart"/>
      <w:r w:rsidR="00146C2C" w:rsidRPr="006D790D">
        <w:t>V</w:t>
      </w:r>
      <w:r w:rsidR="00146C2C" w:rsidRPr="006D790D">
        <w:rPr>
          <w:vertAlign w:val="subscript"/>
        </w:rPr>
        <w:t>p</w:t>
      </w:r>
      <w:proofErr w:type="spellEnd"/>
      <w:r w:rsidR="00146C2C" w:rsidRPr="006D790D">
        <w:t xml:space="preserve"> of 3.56</w:t>
      </w:r>
      <w:r w:rsidRPr="006D790D">
        <w:t> </w:t>
      </w:r>
      <w:r w:rsidR="00146C2C" w:rsidRPr="006D790D">
        <w:t>L.</w:t>
      </w:r>
    </w:p>
    <w:p w14:paraId="43919A5B" w14:textId="7749F8A2" w:rsidR="00146C2C" w:rsidRPr="006D790D" w:rsidRDefault="00146C2C" w:rsidP="001F3DD1">
      <w:r w:rsidRPr="006D790D">
        <w:t xml:space="preserve">Based on </w:t>
      </w:r>
      <w:proofErr w:type="spellStart"/>
      <w:r w:rsidRPr="006D790D">
        <w:t>popPK</w:t>
      </w:r>
      <w:proofErr w:type="spellEnd"/>
      <w:r w:rsidRPr="006D790D">
        <w:t xml:space="preserve"> analysis, the total volume of distribution of </w:t>
      </w:r>
      <w:proofErr w:type="spellStart"/>
      <w:r w:rsidRPr="006D790D">
        <w:t>casirivimab</w:t>
      </w:r>
      <w:proofErr w:type="spellEnd"/>
      <w:r w:rsidRPr="006D790D">
        <w:t xml:space="preserve"> is 7.2</w:t>
      </w:r>
      <w:r w:rsidR="00285F19" w:rsidRPr="006D790D">
        <w:t> </w:t>
      </w:r>
      <w:r w:rsidRPr="006D790D">
        <w:t xml:space="preserve">L for </w:t>
      </w:r>
      <w:proofErr w:type="spellStart"/>
      <w:r w:rsidRPr="006D790D">
        <w:t>casirivimab</w:t>
      </w:r>
      <w:proofErr w:type="spellEnd"/>
      <w:r w:rsidRPr="006D790D">
        <w:t xml:space="preserve"> and 7.4</w:t>
      </w:r>
      <w:r w:rsidR="00285F19" w:rsidRPr="006D790D">
        <w:t> </w:t>
      </w:r>
      <w:r w:rsidRPr="006D790D">
        <w:t xml:space="preserve">L for </w:t>
      </w:r>
      <w:proofErr w:type="spellStart"/>
      <w:r w:rsidRPr="006D790D">
        <w:t>imdevimab</w:t>
      </w:r>
      <w:proofErr w:type="spellEnd"/>
      <w:r w:rsidRPr="006D790D">
        <w:t xml:space="preserve">, indicating that both </w:t>
      </w:r>
      <w:proofErr w:type="spellStart"/>
      <w:r w:rsidRPr="006D790D">
        <w:t>mAbs</w:t>
      </w:r>
      <w:proofErr w:type="spellEnd"/>
      <w:r w:rsidRPr="006D790D">
        <w:t xml:space="preserve"> are primarily restricted to the vascular compartment. Following a single </w:t>
      </w:r>
      <w:r w:rsidR="00316746" w:rsidRPr="006D790D">
        <w:t>subcutaneous</w:t>
      </w:r>
      <w:r w:rsidRPr="006D790D">
        <w:t xml:space="preserve"> 1200</w:t>
      </w:r>
      <w:r w:rsidR="00285F19" w:rsidRPr="006D790D">
        <w:t> </w:t>
      </w:r>
      <w:r w:rsidRPr="006D790D">
        <w:t xml:space="preserve">mg dose of </w:t>
      </w:r>
      <w:proofErr w:type="spellStart"/>
      <w:r w:rsidRPr="006D790D">
        <w:t>casirivimab</w:t>
      </w:r>
      <w:proofErr w:type="spellEnd"/>
      <w:r w:rsidR="00EA28EF" w:rsidRPr="006D790D">
        <w:t>/</w:t>
      </w:r>
      <w:proofErr w:type="spellStart"/>
      <w:r w:rsidRPr="006D790D">
        <w:t>imdevimab</w:t>
      </w:r>
      <w:proofErr w:type="spellEnd"/>
      <w:r w:rsidRPr="006D790D">
        <w:t xml:space="preserve"> (600</w:t>
      </w:r>
      <w:r w:rsidR="00285F19" w:rsidRPr="006D790D">
        <w:t> </w:t>
      </w:r>
      <w:r w:rsidRPr="006D790D">
        <w:t xml:space="preserve">mg each </w:t>
      </w:r>
      <w:proofErr w:type="spellStart"/>
      <w:r w:rsidRPr="006D790D">
        <w:t>mAb</w:t>
      </w:r>
      <w:proofErr w:type="spellEnd"/>
      <w:r w:rsidRPr="006D790D">
        <w:t xml:space="preserve">), </w:t>
      </w:r>
      <w:proofErr w:type="spellStart"/>
      <w:r w:rsidRPr="006D790D">
        <w:t>casirivimab</w:t>
      </w:r>
      <w:proofErr w:type="spellEnd"/>
      <w:r w:rsidRPr="006D790D">
        <w:t xml:space="preserve"> and </w:t>
      </w:r>
      <w:proofErr w:type="spellStart"/>
      <w:r w:rsidRPr="006D790D">
        <w:t>imdevimab</w:t>
      </w:r>
      <w:proofErr w:type="spellEnd"/>
      <w:r w:rsidRPr="006D790D">
        <w:t xml:space="preserve"> were absorbed with an estimated bioavailability of 71.8% and 71.7%, respectively, and an estimated </w:t>
      </w:r>
      <w:proofErr w:type="spellStart"/>
      <w:r w:rsidRPr="006D790D">
        <w:t>T</w:t>
      </w:r>
      <w:r w:rsidRPr="006D790D">
        <w:rPr>
          <w:vertAlign w:val="subscript"/>
        </w:rPr>
        <w:t>max</w:t>
      </w:r>
      <w:proofErr w:type="spellEnd"/>
      <w:r w:rsidRPr="006D790D">
        <w:t xml:space="preserve"> of 6.7</w:t>
      </w:r>
      <w:r w:rsidR="00285F19" w:rsidRPr="006D790D">
        <w:t> </w:t>
      </w:r>
      <w:r w:rsidRPr="006D790D">
        <w:t>days and 6.6</w:t>
      </w:r>
      <w:r w:rsidR="00285F19" w:rsidRPr="006D790D">
        <w:t> </w:t>
      </w:r>
      <w:r w:rsidRPr="006D790D">
        <w:t>days, respectively.</w:t>
      </w:r>
    </w:p>
    <w:p w14:paraId="43DB7A49" w14:textId="6353A68F" w:rsidR="00146C2C" w:rsidRPr="006D790D" w:rsidRDefault="00146C2C" w:rsidP="001F3DD1">
      <w:r w:rsidRPr="006D790D">
        <w:t xml:space="preserve">Both CL and </w:t>
      </w:r>
      <w:proofErr w:type="spellStart"/>
      <w:r w:rsidRPr="006D790D">
        <w:t>V</w:t>
      </w:r>
      <w:r w:rsidRPr="006D790D">
        <w:rPr>
          <w:vertAlign w:val="subscript"/>
        </w:rPr>
        <w:t>c</w:t>
      </w:r>
      <w:proofErr w:type="spellEnd"/>
      <w:r w:rsidRPr="006D790D">
        <w:t xml:space="preserve"> increased with increasing body weight for </w:t>
      </w:r>
      <w:proofErr w:type="spellStart"/>
      <w:r w:rsidRPr="006D790D">
        <w:t>casirivimab</w:t>
      </w:r>
      <w:proofErr w:type="spellEnd"/>
      <w:r w:rsidRPr="006D790D">
        <w:t xml:space="preserve"> and </w:t>
      </w:r>
      <w:proofErr w:type="spellStart"/>
      <w:r w:rsidRPr="006D790D">
        <w:t>imdevimab</w:t>
      </w:r>
      <w:proofErr w:type="spellEnd"/>
      <w:r w:rsidRPr="006D790D">
        <w:t>. Compared to a reference 81 kg subject, exposures (</w:t>
      </w:r>
      <w:r w:rsidR="00FE3467" w:rsidRPr="006D790D">
        <w:t xml:space="preserve">area under the plasma concentration time curve </w:t>
      </w:r>
      <w:r w:rsidR="00B54BD3">
        <w:t xml:space="preserve">from dosing (Day 0) to </w:t>
      </w:r>
      <w:r w:rsidR="00FE3467" w:rsidRPr="006D790D">
        <w:t>Day 28 (</w:t>
      </w:r>
      <w:r w:rsidRPr="006D790D">
        <w:t>AUC</w:t>
      </w:r>
      <w:r w:rsidR="00B54BD3">
        <w:rPr>
          <w:vertAlign w:val="subscript"/>
        </w:rPr>
        <w:t>0-</w:t>
      </w:r>
      <w:r w:rsidRPr="006D790D">
        <w:rPr>
          <w:vertAlign w:val="subscript"/>
        </w:rPr>
        <w:t>28</w:t>
      </w:r>
      <w:r w:rsidR="00B54BD3">
        <w:rPr>
          <w:vertAlign w:val="subscript"/>
        </w:rPr>
        <w:t>d</w:t>
      </w:r>
      <w:r w:rsidR="00FE3467" w:rsidRPr="006D790D">
        <w:t>)</w:t>
      </w:r>
      <w:r w:rsidRPr="006D790D">
        <w:t xml:space="preserve">, </w:t>
      </w:r>
      <w:proofErr w:type="spellStart"/>
      <w:r w:rsidRPr="006D790D">
        <w:t>C</w:t>
      </w:r>
      <w:r w:rsidRPr="006D790D">
        <w:rPr>
          <w:vertAlign w:val="subscript"/>
        </w:rPr>
        <w:t>max</w:t>
      </w:r>
      <w:proofErr w:type="spellEnd"/>
      <w:r w:rsidRPr="006D790D">
        <w:t xml:space="preserve"> and C</w:t>
      </w:r>
      <w:r w:rsidRPr="006D790D">
        <w:rPr>
          <w:vertAlign w:val="subscript"/>
        </w:rPr>
        <w:t>28</w:t>
      </w:r>
      <w:r w:rsidR="00B54BD3">
        <w:rPr>
          <w:vertAlign w:val="subscript"/>
        </w:rPr>
        <w:t>d</w:t>
      </w:r>
      <w:r w:rsidRPr="006D790D">
        <w:t>) are predicted to be 20</w:t>
      </w:r>
      <w:r w:rsidR="00285F19" w:rsidRPr="006D790D">
        <w:t xml:space="preserve"> to </w:t>
      </w:r>
      <w:r w:rsidRPr="006D790D">
        <w:t xml:space="preserve">30% higher in subjects at the </w:t>
      </w:r>
      <w:r w:rsidR="00285F19" w:rsidRPr="006D790D">
        <w:t>fifth</w:t>
      </w:r>
      <w:r w:rsidRPr="006D790D">
        <w:t xml:space="preserve"> percentile of body weight (55.4</w:t>
      </w:r>
      <w:r w:rsidR="00285F19" w:rsidRPr="006D790D">
        <w:t> </w:t>
      </w:r>
      <w:r w:rsidRPr="006D790D">
        <w:t xml:space="preserve">kg) and 20% lower in subjects at the </w:t>
      </w:r>
      <w:r w:rsidR="00285F19" w:rsidRPr="006D790D">
        <w:t>ninety fifth</w:t>
      </w:r>
      <w:r w:rsidRPr="006D790D">
        <w:t xml:space="preserve"> percentile of body weight (123</w:t>
      </w:r>
      <w:r w:rsidR="00285F19" w:rsidRPr="006D790D">
        <w:t> </w:t>
      </w:r>
      <w:r w:rsidRPr="006D790D">
        <w:t xml:space="preserve">kg) for both </w:t>
      </w:r>
      <w:proofErr w:type="spellStart"/>
      <w:r w:rsidRPr="006D790D">
        <w:t>casirivimab</w:t>
      </w:r>
      <w:proofErr w:type="spellEnd"/>
      <w:r w:rsidRPr="006D790D">
        <w:t xml:space="preserve"> and </w:t>
      </w:r>
      <w:proofErr w:type="spellStart"/>
      <w:r w:rsidRPr="006D790D">
        <w:t>imdevimab</w:t>
      </w:r>
      <w:proofErr w:type="spellEnd"/>
      <w:r w:rsidRPr="006D790D">
        <w:t xml:space="preserve">. </w:t>
      </w:r>
      <w:proofErr w:type="spellStart"/>
      <w:r w:rsidRPr="006D790D">
        <w:t>Casirivimab</w:t>
      </w:r>
      <w:proofErr w:type="spellEnd"/>
      <w:r w:rsidRPr="006D790D">
        <w:t xml:space="preserve"> and </w:t>
      </w:r>
      <w:proofErr w:type="spellStart"/>
      <w:r w:rsidRPr="006D790D">
        <w:t>imdevimab</w:t>
      </w:r>
      <w:proofErr w:type="spellEnd"/>
      <w:r w:rsidRPr="006D790D">
        <w:t xml:space="preserve"> CL increased with decreasing baseline albumin; however, the estimated effect on exposures was predicted to be &lt;</w:t>
      </w:r>
      <w:r w:rsidR="00285F19" w:rsidRPr="006D790D">
        <w:t> </w:t>
      </w:r>
      <w:r w:rsidRPr="006D790D">
        <w:t xml:space="preserve">10% at the </w:t>
      </w:r>
      <w:r w:rsidR="00285F19" w:rsidRPr="006D790D">
        <w:t>fifth</w:t>
      </w:r>
      <w:r w:rsidRPr="006D790D">
        <w:t xml:space="preserve"> (38</w:t>
      </w:r>
      <w:r w:rsidR="00285F19" w:rsidRPr="006D790D">
        <w:t> </w:t>
      </w:r>
      <w:r w:rsidRPr="006D790D">
        <w:t xml:space="preserve">g/L) and </w:t>
      </w:r>
      <w:r w:rsidR="00285F19" w:rsidRPr="006D790D">
        <w:t xml:space="preserve">ninety fifth </w:t>
      </w:r>
      <w:r w:rsidRPr="006D790D">
        <w:t>(49</w:t>
      </w:r>
      <w:r w:rsidR="00285F19" w:rsidRPr="006D790D">
        <w:t> </w:t>
      </w:r>
      <w:r w:rsidRPr="006D790D">
        <w:t>g/L) percentiles of albumin in the analysis population.</w:t>
      </w:r>
    </w:p>
    <w:p w14:paraId="55EF2B91" w14:textId="69E716CC" w:rsidR="00146C2C" w:rsidRPr="006D790D" w:rsidRDefault="00146C2C" w:rsidP="001F3DD1">
      <w:r w:rsidRPr="006D790D">
        <w:t xml:space="preserve">Female subjects are predicted to have decreased CL and </w:t>
      </w:r>
      <w:proofErr w:type="spellStart"/>
      <w:r w:rsidRPr="006D790D">
        <w:t>V</w:t>
      </w:r>
      <w:r w:rsidRPr="006D790D">
        <w:rPr>
          <w:vertAlign w:val="subscript"/>
        </w:rPr>
        <w:t>c</w:t>
      </w:r>
      <w:proofErr w:type="spellEnd"/>
      <w:r w:rsidRPr="006D790D">
        <w:t xml:space="preserve"> for both </w:t>
      </w:r>
      <w:proofErr w:type="spellStart"/>
      <w:r w:rsidRPr="006D790D">
        <w:t>casirivimab</w:t>
      </w:r>
      <w:proofErr w:type="spellEnd"/>
      <w:r w:rsidRPr="006D790D">
        <w:t xml:space="preserve"> and </w:t>
      </w:r>
      <w:proofErr w:type="spellStart"/>
      <w:r w:rsidRPr="006D790D">
        <w:t>imdevimab</w:t>
      </w:r>
      <w:proofErr w:type="spellEnd"/>
      <w:r w:rsidRPr="006D790D">
        <w:t>, resulting in 8</w:t>
      </w:r>
      <w:r w:rsidR="00285F19" w:rsidRPr="006D790D">
        <w:t xml:space="preserve"> to </w:t>
      </w:r>
      <w:r w:rsidRPr="006D790D">
        <w:t xml:space="preserve">13% higher exposures than male subjects. Race, baseline viral load and hepatic function were statistically significant covariates of </w:t>
      </w:r>
      <w:proofErr w:type="spellStart"/>
      <w:r w:rsidRPr="006D790D">
        <w:t>casirivimab</w:t>
      </w:r>
      <w:proofErr w:type="spellEnd"/>
      <w:r w:rsidRPr="006D790D">
        <w:t xml:space="preserve"> and </w:t>
      </w:r>
      <w:proofErr w:type="spellStart"/>
      <w:r w:rsidRPr="006D790D">
        <w:lastRenderedPageBreak/>
        <w:t>imdevimab</w:t>
      </w:r>
      <w:proofErr w:type="spellEnd"/>
      <w:r w:rsidRPr="006D790D">
        <w:t xml:space="preserve"> CL, respectively, but are predicted to have less than a 5% effect on exposures compared to reference conditions.</w:t>
      </w:r>
    </w:p>
    <w:p w14:paraId="53674CD7" w14:textId="77777777" w:rsidR="00146C2C" w:rsidRPr="006D790D" w:rsidRDefault="00146C2C" w:rsidP="001F3DD1">
      <w:r w:rsidRPr="006D790D">
        <w:t xml:space="preserve">In general, the PK of </w:t>
      </w:r>
      <w:proofErr w:type="spellStart"/>
      <w:r w:rsidRPr="006D790D">
        <w:t>casirivimab</w:t>
      </w:r>
      <w:proofErr w:type="spellEnd"/>
      <w:r w:rsidRPr="006D790D">
        <w:t xml:space="preserve"> and </w:t>
      </w:r>
      <w:proofErr w:type="spellStart"/>
      <w:r w:rsidRPr="006D790D">
        <w:t>imdevimab</w:t>
      </w:r>
      <w:proofErr w:type="spellEnd"/>
      <w:r w:rsidRPr="006D790D">
        <w:t xml:space="preserve"> are similar with the same covariates explaining the sources of variability. Covariates with statistically significant effects on the final model parameters were baseline albumin, female sex, black race, mild hepatic impairment and baseline viral load on CL, and baseline albumin, female sex on </w:t>
      </w:r>
      <w:proofErr w:type="spellStart"/>
      <w:r w:rsidRPr="006D790D">
        <w:t>V</w:t>
      </w:r>
      <w:r w:rsidRPr="006D790D">
        <w:rPr>
          <w:vertAlign w:val="subscript"/>
        </w:rPr>
        <w:t>c</w:t>
      </w:r>
      <w:proofErr w:type="spellEnd"/>
      <w:r w:rsidRPr="006D790D">
        <w:t>. All statistically significant covariates resulted in small differences in the post-hoc exposure metrics with body weight having the largest effect numerically.</w:t>
      </w:r>
    </w:p>
    <w:p w14:paraId="3CFBB4EA" w14:textId="1B0B1879" w:rsidR="00146C2C" w:rsidRPr="006D790D" w:rsidRDefault="00146C2C" w:rsidP="001F3DD1">
      <w:r w:rsidRPr="006D790D">
        <w:t xml:space="preserve">A </w:t>
      </w:r>
      <w:proofErr w:type="spellStart"/>
      <w:r w:rsidRPr="006D790D">
        <w:t>popPK</w:t>
      </w:r>
      <w:proofErr w:type="spellEnd"/>
      <w:r w:rsidRPr="006D790D">
        <w:t xml:space="preserve">/PD model was developed to describe the relationship between viral load and drug concentration in patients from the 3 studies, </w:t>
      </w:r>
      <w:r w:rsidR="00F40137" w:rsidRPr="006D790D">
        <w:t>Study </w:t>
      </w:r>
      <w:r w:rsidRPr="006D790D">
        <w:t xml:space="preserve">COV-2067, </w:t>
      </w:r>
      <w:r w:rsidR="00F40137" w:rsidRPr="006D790D">
        <w:t>Study </w:t>
      </w:r>
      <w:r w:rsidRPr="006D790D">
        <w:t xml:space="preserve">COV-20145, </w:t>
      </w:r>
      <w:r w:rsidR="00F40137" w:rsidRPr="006D790D">
        <w:t>Study </w:t>
      </w:r>
      <w:r w:rsidRPr="006D790D">
        <w:t>COV-2069B. Based upon the assumption that a reduction in viral load is likely related to improved clinical outcomes, the overall goal of these population exposure</w:t>
      </w:r>
      <w:r w:rsidR="00285F19" w:rsidRPr="006D790D">
        <w:t xml:space="preserve"> </w:t>
      </w:r>
      <w:r w:rsidRPr="006D790D">
        <w:t xml:space="preserve">response analyses was to identify the </w:t>
      </w:r>
      <w:proofErr w:type="spellStart"/>
      <w:r w:rsidRPr="006D790D">
        <w:t>casirivimab</w:t>
      </w:r>
      <w:proofErr w:type="spellEnd"/>
      <w:r w:rsidR="00EA28EF" w:rsidRPr="006D790D">
        <w:t>/</w:t>
      </w:r>
      <w:proofErr w:type="spellStart"/>
      <w:r w:rsidRPr="006D790D">
        <w:t>imdevimab</w:t>
      </w:r>
      <w:proofErr w:type="spellEnd"/>
      <w:r w:rsidRPr="006D790D">
        <w:t xml:space="preserve"> doses that are expected to provide near-maximal antiviral activity.</w:t>
      </w:r>
    </w:p>
    <w:p w14:paraId="1F584290" w14:textId="5022C152" w:rsidR="00146C2C" w:rsidRPr="006D790D" w:rsidRDefault="00146C2C" w:rsidP="001F3DD1">
      <w:r w:rsidRPr="006D790D">
        <w:t>Exploratory PK/PD analyses across these three studies and doses indicate no dose and exposure response relationship with respect to dose or exposure</w:t>
      </w:r>
      <w:r w:rsidR="00285F19" w:rsidRPr="006D790D">
        <w:t xml:space="preserve"> </w:t>
      </w:r>
      <w:r w:rsidRPr="006D790D">
        <w:t xml:space="preserve">related effects on viral load data (change from </w:t>
      </w:r>
      <w:r w:rsidR="00FB39BC" w:rsidRPr="006D790D">
        <w:t>Baseline</w:t>
      </w:r>
      <w:r w:rsidRPr="006D790D">
        <w:t xml:space="preserve"> at Day</w:t>
      </w:r>
      <w:r w:rsidR="00285F19" w:rsidRPr="006D790D">
        <w:t> </w:t>
      </w:r>
      <w:r w:rsidRPr="006D790D">
        <w:t xml:space="preserve">7). This is in line with results from </w:t>
      </w:r>
      <w:proofErr w:type="spellStart"/>
      <w:r w:rsidRPr="006D790D">
        <w:t>pop</w:t>
      </w:r>
      <w:r w:rsidR="003526A2" w:rsidRPr="006D790D">
        <w:t>P</w:t>
      </w:r>
      <w:r w:rsidRPr="006D790D">
        <w:t>K</w:t>
      </w:r>
      <w:proofErr w:type="spellEnd"/>
      <w:r w:rsidRPr="006D790D">
        <w:t>/PD analysis of viral dynamics also suggesting that all studied doses result in maximum effect on the PD marker. All doses increased the viral load reduction to the same extent compared to placebo, regardless of route of administration and dose strength.</w:t>
      </w:r>
    </w:p>
    <w:p w14:paraId="17FE41B7" w14:textId="54ECF31A" w:rsidR="00146C2C" w:rsidRPr="006D790D" w:rsidRDefault="00146C2C" w:rsidP="001F3DD1">
      <w:r w:rsidRPr="006D790D">
        <w:t>The simulations for the dosing scenarios of loading with 1200</w:t>
      </w:r>
      <w:r w:rsidR="00285F19" w:rsidRPr="006D790D">
        <w:t> </w:t>
      </w:r>
      <w:r w:rsidRPr="006D790D">
        <w:t xml:space="preserve">mg </w:t>
      </w:r>
      <w:r w:rsidR="00F43ACD" w:rsidRPr="006D790D">
        <w:t>intravenous</w:t>
      </w:r>
      <w:r w:rsidRPr="006D790D">
        <w:t xml:space="preserve"> or </w:t>
      </w:r>
      <w:r w:rsidR="00316746" w:rsidRPr="006D790D">
        <w:t>subcutaneous</w:t>
      </w:r>
      <w:r w:rsidRPr="006D790D">
        <w:t xml:space="preserve"> followed by 600</w:t>
      </w:r>
      <w:r w:rsidR="00285F19" w:rsidRPr="006D790D">
        <w:t> </w:t>
      </w:r>
      <w:r w:rsidRPr="006D790D">
        <w:t>mg (300</w:t>
      </w:r>
      <w:r w:rsidR="00285F19" w:rsidRPr="006D790D">
        <w:t> </w:t>
      </w:r>
      <w:r w:rsidRPr="006D790D">
        <w:t xml:space="preserve">mg of each antibody) </w:t>
      </w:r>
      <w:r w:rsidR="00285F19" w:rsidRPr="006D790D">
        <w:t>every 4 weeks</w:t>
      </w:r>
      <w:r w:rsidRPr="006D790D">
        <w:t xml:space="preserve"> were provided. The exposure at steady</w:t>
      </w:r>
      <w:r w:rsidR="00285F19" w:rsidRPr="006D790D">
        <w:t xml:space="preserve"> </w:t>
      </w:r>
      <w:r w:rsidRPr="006D790D">
        <w:t>state appeared to be comparable with the single dose for AUC</w:t>
      </w:r>
      <w:r w:rsidRPr="006D790D">
        <w:rPr>
          <w:vertAlign w:val="subscript"/>
        </w:rPr>
        <w:t>0-28</w:t>
      </w:r>
      <w:r w:rsidR="00B54BD3">
        <w:rPr>
          <w:vertAlign w:val="subscript"/>
        </w:rPr>
        <w:t>d</w:t>
      </w:r>
      <w:r w:rsidRPr="006D790D">
        <w:rPr>
          <w:vertAlign w:val="subscript"/>
        </w:rPr>
        <w:t xml:space="preserve"> </w:t>
      </w:r>
      <w:r w:rsidRPr="006D790D">
        <w:t xml:space="preserve">as compared to </w:t>
      </w:r>
      <w:r w:rsidR="00FE3467" w:rsidRPr="006D790D">
        <w:t>area under the plasma concentration time curve over a dosing interval at steady state (</w:t>
      </w:r>
      <w:proofErr w:type="spellStart"/>
      <w:proofErr w:type="gramStart"/>
      <w:r w:rsidRPr="006D790D">
        <w:t>AUC</w:t>
      </w:r>
      <w:r w:rsidRPr="006D790D">
        <w:rPr>
          <w:vertAlign w:val="subscript"/>
        </w:rPr>
        <w:t>tau,ss</w:t>
      </w:r>
      <w:proofErr w:type="spellEnd"/>
      <w:proofErr w:type="gramEnd"/>
      <w:r w:rsidR="00FE3467" w:rsidRPr="006D790D">
        <w:t xml:space="preserve">) </w:t>
      </w:r>
      <w:r w:rsidRPr="006D790D">
        <w:t>and C</w:t>
      </w:r>
      <w:r w:rsidRPr="006D790D">
        <w:rPr>
          <w:vertAlign w:val="subscript"/>
        </w:rPr>
        <w:t>28</w:t>
      </w:r>
      <w:r w:rsidR="00B54BD3">
        <w:rPr>
          <w:vertAlign w:val="subscript"/>
        </w:rPr>
        <w:t>d</w:t>
      </w:r>
      <w:r w:rsidRPr="006D790D">
        <w:t xml:space="preserve">. The </w:t>
      </w:r>
      <w:proofErr w:type="spellStart"/>
      <w:r w:rsidRPr="006D790D">
        <w:t>pop</w:t>
      </w:r>
      <w:r w:rsidR="00216A81" w:rsidRPr="006D790D">
        <w:t>PK</w:t>
      </w:r>
      <w:proofErr w:type="spellEnd"/>
      <w:r w:rsidRPr="006D790D">
        <w:t xml:space="preserve"> simulations predicted that trough concentrations in serum at steady</w:t>
      </w:r>
      <w:r w:rsidR="00285F19" w:rsidRPr="006D790D">
        <w:t xml:space="preserve"> </w:t>
      </w:r>
      <w:r w:rsidRPr="006D790D">
        <w:t>state after an initial 600</w:t>
      </w:r>
      <w:r w:rsidR="00285F19" w:rsidRPr="006D790D">
        <w:t> </w:t>
      </w:r>
      <w:r w:rsidRPr="006D790D">
        <w:t xml:space="preserve">mg </w:t>
      </w:r>
      <w:proofErr w:type="spellStart"/>
      <w:r w:rsidRPr="006D790D">
        <w:t>casirivimab</w:t>
      </w:r>
      <w:proofErr w:type="spellEnd"/>
      <w:r w:rsidRPr="006D790D">
        <w:t xml:space="preserve"> and 600</w:t>
      </w:r>
      <w:r w:rsidR="00285F19" w:rsidRPr="006D790D">
        <w:t> </w:t>
      </w:r>
      <w:r w:rsidRPr="006D790D">
        <w:t xml:space="preserve">mg </w:t>
      </w:r>
      <w:proofErr w:type="spellStart"/>
      <w:r w:rsidRPr="006D790D">
        <w:t>imdevimab</w:t>
      </w:r>
      <w:proofErr w:type="spellEnd"/>
      <w:r w:rsidRPr="006D790D">
        <w:t xml:space="preserve"> </w:t>
      </w:r>
      <w:r w:rsidR="00F43ACD" w:rsidRPr="006D790D">
        <w:t>intravenous</w:t>
      </w:r>
      <w:r w:rsidRPr="006D790D">
        <w:t xml:space="preserve"> or </w:t>
      </w:r>
      <w:r w:rsidR="00316746" w:rsidRPr="006D790D">
        <w:t>subcutaneous</w:t>
      </w:r>
      <w:r w:rsidRPr="006D790D">
        <w:t xml:space="preserve"> dose followed by monthly (every 4 weeks) 300</w:t>
      </w:r>
      <w:r w:rsidR="00FC45E3" w:rsidRPr="006D790D">
        <w:t> </w:t>
      </w:r>
      <w:r w:rsidRPr="006D790D">
        <w:t xml:space="preserve">mg </w:t>
      </w:r>
      <w:proofErr w:type="spellStart"/>
      <w:r w:rsidRPr="006D790D">
        <w:t>casirivimab</w:t>
      </w:r>
      <w:proofErr w:type="spellEnd"/>
      <w:r w:rsidRPr="006D790D">
        <w:t xml:space="preserve"> and 300</w:t>
      </w:r>
      <w:r w:rsidR="00FC45E3" w:rsidRPr="006D790D">
        <w:t> </w:t>
      </w:r>
      <w:r w:rsidRPr="006D790D">
        <w:t xml:space="preserve">mg </w:t>
      </w:r>
      <w:proofErr w:type="spellStart"/>
      <w:r w:rsidRPr="006D790D">
        <w:t>imdevimab</w:t>
      </w:r>
      <w:proofErr w:type="spellEnd"/>
      <w:r w:rsidRPr="006D790D">
        <w:t xml:space="preserve"> </w:t>
      </w:r>
      <w:r w:rsidR="00F43ACD" w:rsidRPr="006D790D">
        <w:t>intravenous</w:t>
      </w:r>
      <w:r w:rsidRPr="006D790D">
        <w:t xml:space="preserve"> or </w:t>
      </w:r>
      <w:r w:rsidR="00316746" w:rsidRPr="006D790D">
        <w:t>subcutaneous</w:t>
      </w:r>
      <w:r w:rsidRPr="006D790D">
        <w:t xml:space="preserve"> doses are similar to the observed mean Day 29 serum concentrations for a single 600</w:t>
      </w:r>
      <w:r w:rsidR="00FC45E3" w:rsidRPr="006D790D">
        <w:t> </w:t>
      </w:r>
      <w:r w:rsidRPr="006D790D">
        <w:t xml:space="preserve">mg </w:t>
      </w:r>
      <w:proofErr w:type="spellStart"/>
      <w:r w:rsidRPr="006D790D">
        <w:t>casirivimab</w:t>
      </w:r>
      <w:proofErr w:type="spellEnd"/>
      <w:r w:rsidRPr="006D790D">
        <w:t xml:space="preserve"> and 600</w:t>
      </w:r>
      <w:r w:rsidR="00FC45E3" w:rsidRPr="006D790D">
        <w:t> </w:t>
      </w:r>
      <w:r w:rsidRPr="006D790D">
        <w:t xml:space="preserve">mg </w:t>
      </w:r>
      <w:proofErr w:type="spellStart"/>
      <w:r w:rsidRPr="006D790D">
        <w:t>imdevimab</w:t>
      </w:r>
      <w:proofErr w:type="spellEnd"/>
      <w:r w:rsidRPr="006D790D">
        <w:t xml:space="preserve"> </w:t>
      </w:r>
      <w:r w:rsidR="00316746" w:rsidRPr="006D790D">
        <w:t>subcutaneous</w:t>
      </w:r>
      <w:r w:rsidRPr="006D790D">
        <w:t xml:space="preserve"> dose seen in </w:t>
      </w:r>
      <w:r w:rsidR="00F40137" w:rsidRPr="006D790D">
        <w:t>Study </w:t>
      </w:r>
      <w:r w:rsidRPr="006D790D">
        <w:t>COV-2069 (where the clinical efficacy data are available).</w:t>
      </w:r>
    </w:p>
    <w:p w14:paraId="102BD430" w14:textId="2136FCB2" w:rsidR="00146C2C" w:rsidRPr="006D790D" w:rsidRDefault="00146C2C" w:rsidP="00E242C3">
      <w:pPr>
        <w:pStyle w:val="Heading4"/>
      </w:pPr>
      <w:bookmarkStart w:id="75" w:name="_Toc84071966"/>
      <w:r w:rsidRPr="006D790D">
        <w:t>Efficacy</w:t>
      </w:r>
      <w:bookmarkEnd w:id="75"/>
    </w:p>
    <w:p w14:paraId="1FBC0458" w14:textId="558900BE" w:rsidR="00146C2C" w:rsidRPr="006D790D" w:rsidRDefault="00F40137" w:rsidP="00E242C3">
      <w:pPr>
        <w:pStyle w:val="Heading5"/>
        <w:rPr>
          <w:rFonts w:eastAsia="Minion-Regular"/>
        </w:rPr>
      </w:pPr>
      <w:bookmarkStart w:id="76" w:name="_Toc84071967"/>
      <w:r w:rsidRPr="006D790D">
        <w:t>Study </w:t>
      </w:r>
      <w:r w:rsidR="00146C2C" w:rsidRPr="006D790D">
        <w:rPr>
          <w:rFonts w:eastAsia="Minion-Regular"/>
        </w:rPr>
        <w:t>COV-2067</w:t>
      </w:r>
      <w:bookmarkEnd w:id="76"/>
    </w:p>
    <w:p w14:paraId="0AFF7352" w14:textId="03EE6F30" w:rsidR="00146C2C" w:rsidRPr="006D790D" w:rsidRDefault="00146C2C" w:rsidP="00E242C3">
      <w:pPr>
        <w:pStyle w:val="Heading6"/>
        <w:rPr>
          <w:rFonts w:eastAsia="Minion-Regular"/>
        </w:rPr>
      </w:pPr>
      <w:r w:rsidRPr="006D790D">
        <w:rPr>
          <w:rFonts w:eastAsia="Minion-Regular"/>
        </w:rPr>
        <w:t xml:space="preserve">Study </w:t>
      </w:r>
      <w:r w:rsidR="008C3382">
        <w:rPr>
          <w:rFonts w:eastAsia="Minion-Regular"/>
        </w:rPr>
        <w:t>d</w:t>
      </w:r>
      <w:r w:rsidRPr="006D790D">
        <w:rPr>
          <w:rFonts w:eastAsia="Minion-Regular"/>
        </w:rPr>
        <w:t>esign</w:t>
      </w:r>
    </w:p>
    <w:p w14:paraId="323F3EB6" w14:textId="7498C552" w:rsidR="00146C2C" w:rsidRPr="006D790D" w:rsidRDefault="00146C2C" w:rsidP="001F3DD1">
      <w:r w:rsidRPr="006D790D">
        <w:t>Study</w:t>
      </w:r>
      <w:r w:rsidR="00F40137" w:rsidRPr="006D790D">
        <w:t> </w:t>
      </w:r>
      <w:r w:rsidRPr="006D790D">
        <w:t xml:space="preserve">COV-2067 is an adaptive, </w:t>
      </w:r>
      <w:r w:rsidR="008D531C" w:rsidRPr="006D790D">
        <w:t>Phase</w:t>
      </w:r>
      <w:r w:rsidRPr="006D790D">
        <w:t xml:space="preserve"> </w:t>
      </w:r>
      <w:r w:rsidR="008D531C" w:rsidRPr="006D790D">
        <w:t>I</w:t>
      </w:r>
      <w:r w:rsidRPr="006D790D">
        <w:t>/</w:t>
      </w:r>
      <w:r w:rsidR="008D531C" w:rsidRPr="006D790D">
        <w:t>II</w:t>
      </w:r>
      <w:r w:rsidRPr="006D790D">
        <w:t>/</w:t>
      </w:r>
      <w:r w:rsidR="008D531C" w:rsidRPr="006D790D">
        <w:t>III</w:t>
      </w:r>
      <w:r w:rsidRPr="006D790D">
        <w:t>, randomi</w:t>
      </w:r>
      <w:r w:rsidR="00AF6815" w:rsidRPr="006D790D">
        <w:t>s</w:t>
      </w:r>
      <w:r w:rsidRPr="006D790D">
        <w:t>ed, double</w:t>
      </w:r>
      <w:r w:rsidR="00FC45E3" w:rsidRPr="006D790D">
        <w:t xml:space="preserve"> </w:t>
      </w:r>
      <w:r w:rsidRPr="006D790D">
        <w:t xml:space="preserve">blinded, </w:t>
      </w:r>
      <w:proofErr w:type="gramStart"/>
      <w:r w:rsidRPr="006D790D">
        <w:t>placebo</w:t>
      </w:r>
      <w:r w:rsidR="00FC45E3" w:rsidRPr="006D790D">
        <w:t xml:space="preserve"> </w:t>
      </w:r>
      <w:r w:rsidRPr="006D790D">
        <w:t>controlled</w:t>
      </w:r>
      <w:proofErr w:type="gramEnd"/>
      <w:r w:rsidRPr="006D790D">
        <w:t xml:space="preserve"> study to evaluate the efficacy and safety of </w:t>
      </w:r>
      <w:proofErr w:type="spellStart"/>
      <w:r w:rsidRPr="006D790D">
        <w:t>casirivimab</w:t>
      </w:r>
      <w:proofErr w:type="spellEnd"/>
      <w:r w:rsidR="00EA28EF" w:rsidRPr="006D790D">
        <w:t>/</w:t>
      </w:r>
      <w:proofErr w:type="spellStart"/>
      <w:r w:rsidRPr="006D790D">
        <w:t>imdevimab</w:t>
      </w:r>
      <w:proofErr w:type="spellEnd"/>
      <w:r w:rsidRPr="006D790D">
        <w:t xml:space="preserve"> combination in outpatients with COVID-19. Phase </w:t>
      </w:r>
      <w:r w:rsidR="008D531C" w:rsidRPr="006D790D">
        <w:t>I</w:t>
      </w:r>
      <w:r w:rsidRPr="006D790D">
        <w:t xml:space="preserve"> and Phase </w:t>
      </w:r>
      <w:r w:rsidR="008D531C" w:rsidRPr="006D790D">
        <w:t>II</w:t>
      </w:r>
      <w:r w:rsidRPr="006D790D">
        <w:t xml:space="preserve"> have been completed, while Phase </w:t>
      </w:r>
      <w:r w:rsidR="008D531C" w:rsidRPr="006D790D">
        <w:t>III</w:t>
      </w:r>
      <w:r w:rsidRPr="006D790D">
        <w:t xml:space="preserve"> is ongoing. Data are presently available for the primary analysis of symptomatic patients from the Phase </w:t>
      </w:r>
      <w:r w:rsidR="008D531C" w:rsidRPr="006D790D">
        <w:t>I</w:t>
      </w:r>
      <w:r w:rsidRPr="006D790D">
        <w:t>/</w:t>
      </w:r>
      <w:r w:rsidR="008D531C" w:rsidRPr="006D790D">
        <w:t>II</w:t>
      </w:r>
      <w:r w:rsidRPr="006D790D">
        <w:t xml:space="preserve"> part, the primary analysis from Phase </w:t>
      </w:r>
      <w:r w:rsidR="008D531C" w:rsidRPr="006D790D">
        <w:t>III</w:t>
      </w:r>
      <w:r w:rsidRPr="006D790D">
        <w:t xml:space="preserve"> Cohort</w:t>
      </w:r>
      <w:r w:rsidR="00FC45E3" w:rsidRPr="006D790D">
        <w:t> </w:t>
      </w:r>
      <w:r w:rsidRPr="006D790D">
        <w:t xml:space="preserve">1 (patients ≥ 18 years) and a Phase </w:t>
      </w:r>
      <w:r w:rsidR="008D531C" w:rsidRPr="006D790D">
        <w:t>I</w:t>
      </w:r>
      <w:r w:rsidRPr="006D790D">
        <w:t>/</w:t>
      </w:r>
      <w:r w:rsidR="008D531C" w:rsidRPr="006D790D">
        <w:t>II</w:t>
      </w:r>
      <w:r w:rsidRPr="006D790D">
        <w:t>/</w:t>
      </w:r>
      <w:r w:rsidR="008D531C" w:rsidRPr="006D790D">
        <w:t>III</w:t>
      </w:r>
      <w:r w:rsidRPr="006D790D">
        <w:t xml:space="preserve"> integrated, interim safety summary (all with data cut-off at 18 February 2021). For Phase </w:t>
      </w:r>
      <w:r w:rsidR="008D531C" w:rsidRPr="006D790D">
        <w:t>III</w:t>
      </w:r>
      <w:r w:rsidRPr="006D790D">
        <w:t xml:space="preserve"> </w:t>
      </w:r>
      <w:r w:rsidR="00FC63CA" w:rsidRPr="006D790D">
        <w:t>C</w:t>
      </w:r>
      <w:r w:rsidRPr="006D790D">
        <w:t xml:space="preserve">ohorts 2 and 3, </w:t>
      </w:r>
      <w:r w:rsidR="00341D98">
        <w:t xml:space="preserve">the </w:t>
      </w:r>
      <w:r w:rsidRPr="006D790D">
        <w:t xml:space="preserve">primary endpoints will be safety/tolerability and PKs. The study design is depicted in </w:t>
      </w:r>
      <w:r w:rsidR="001D545B" w:rsidRPr="006D790D">
        <w:fldChar w:fldCharType="begin"/>
      </w:r>
      <w:r w:rsidR="001D545B" w:rsidRPr="006D790D">
        <w:instrText xml:space="preserve"> REF _Ref85139309 \h </w:instrText>
      </w:r>
      <w:r w:rsidR="006D790D">
        <w:instrText xml:space="preserve"> \* MERGEFORMAT </w:instrText>
      </w:r>
      <w:r w:rsidR="001D545B" w:rsidRPr="006D790D">
        <w:fldChar w:fldCharType="separate"/>
      </w:r>
      <w:r w:rsidR="007F1879" w:rsidRPr="006D790D">
        <w:t xml:space="preserve">Figure </w:t>
      </w:r>
      <w:r w:rsidR="007F1879">
        <w:rPr>
          <w:noProof/>
        </w:rPr>
        <w:t>10</w:t>
      </w:r>
      <w:r w:rsidR="001D545B" w:rsidRPr="006D790D">
        <w:fldChar w:fldCharType="end"/>
      </w:r>
      <w:r w:rsidRPr="006D790D">
        <w:t xml:space="preserve"> below.</w:t>
      </w:r>
    </w:p>
    <w:p w14:paraId="3F558C42" w14:textId="50D8D5F1" w:rsidR="00146C2C" w:rsidRPr="006D790D" w:rsidRDefault="001D545B" w:rsidP="00B83541">
      <w:pPr>
        <w:pStyle w:val="FigureTitle"/>
      </w:pPr>
      <w:bookmarkStart w:id="77" w:name="_Ref85139309"/>
      <w:r w:rsidRPr="006D790D">
        <w:lastRenderedPageBreak/>
        <w:t xml:space="preserve">Figure </w:t>
      </w:r>
      <w:fldSimple w:instr=" SEQ Figure \* ARABIC ">
        <w:r w:rsidR="007F1879">
          <w:rPr>
            <w:noProof/>
          </w:rPr>
          <w:t>10</w:t>
        </w:r>
      </w:fldSimple>
      <w:bookmarkEnd w:id="77"/>
      <w:r w:rsidR="00146C2C" w:rsidRPr="006D790D">
        <w:t xml:space="preserve">: </w:t>
      </w:r>
      <w:r w:rsidR="00B83541" w:rsidRPr="006D790D">
        <w:t xml:space="preserve">Study COV-2067 </w:t>
      </w:r>
      <w:r w:rsidR="00146C2C" w:rsidRPr="006D790D">
        <w:t>Study schematic</w:t>
      </w:r>
    </w:p>
    <w:p w14:paraId="56306BD6" w14:textId="4DC257D1" w:rsidR="00146C2C" w:rsidRDefault="00146C2C" w:rsidP="00146C2C">
      <w:pPr>
        <w:autoSpaceDE w:val="0"/>
        <w:autoSpaceDN w:val="0"/>
        <w:adjustRightInd w:val="0"/>
        <w:spacing w:before="0" w:after="0" w:line="240" w:lineRule="auto"/>
        <w:rPr>
          <w:rFonts w:asciiTheme="minorHAnsi" w:eastAsia="Minion-Regular" w:hAnsiTheme="minorHAnsi" w:cs="Minion-Regular"/>
          <w:color w:val="000000"/>
        </w:rPr>
      </w:pPr>
      <w:r w:rsidRPr="006D790D">
        <w:rPr>
          <w:rFonts w:asciiTheme="minorHAnsi" w:eastAsia="Minion-Regular" w:hAnsiTheme="minorHAnsi" w:cs="Minion-Regular"/>
          <w:noProof/>
          <w:color w:val="000000"/>
          <w:lang w:val="en-GB" w:eastAsia="en-GB"/>
        </w:rPr>
        <w:drawing>
          <wp:inline distT="0" distB="0" distL="0" distR="0" wp14:anchorId="1C8B77D2" wp14:editId="7DD8DFEA">
            <wp:extent cx="5232955" cy="3803737"/>
            <wp:effectExtent l="0" t="0" r="6350" b="6350"/>
            <wp:docPr id="3" name="Picture 3" descr="Study COV-2067 Study schematic&#10;&#10;Study COV-2067 is an adaptive, Phase I/II/III, randomised, double blinded, placebo controlled study to evaluate the efficacy and safety of casirivimab/imdevimab combination in outpatients with COVID-19. Phase I and Phase II have been completed, while Phase III is ongoing. Data are presently available for the primary analysis of symptomatic patients from the Phase I/II part, the primary analysis from Phase III Cohort 1 (patients ≥ 18 years) and a Phase I/II/III integrated, interim safety summary (all with data cut-off at 18 February 2021). For Phase III Cohorts 2 and 3, the primary endpoints will be safety/tolerability and PKs.&#10;&#10;In Phase I and II, patients were randomised 1:1:1 to receive a single intravenous dose of 2400 mg or 8000 mg or placebo. As no dose effect was observed in the combined Phase I and II analysis, the 8000 mg dose arm was discontinued. A lower 1200 mg dose arm was introduced in Phase III as part of Protocol Amendment 6.&#10;&#10;In Phase III, the details of COVID-19 related medical visits are collected up to Day 29. Participants are followed to Day 169 for safety assessment. Patients were enrolled into one of three cohorts: Cohort 1 (&gt; 18 years of age, not pregnant), Cohort 2 (less than 18 years of age, not pregnant), and Cohort 3 (pregnant at randomisation). In Cohort 1, eligible patients were randomised 1:1:1 to receive intravenous casirivimab/imdevimab 1200 mg, 2400 mg, and intravenous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tudy COV-2067 Study schematic&#10;&#10;Study COV-2067 is an adaptive, Phase I/II/III, randomised, double blinded, placebo controlled study to evaluate the efficacy and safety of casirivimab/imdevimab combination in outpatients with COVID-19. Phase I and Phase II have been completed, while Phase III is ongoing. Data are presently available for the primary analysis of symptomatic patients from the Phase I/II part, the primary analysis from Phase III Cohort 1 (patients ≥ 18 years) and a Phase I/II/III integrated, interim safety summary (all with data cut-off at 18 February 2021). For Phase III Cohorts 2 and 3, the primary endpoints will be safety/tolerability and PKs.&#10;&#10;In Phase I and II, patients were randomised 1:1:1 to receive a single intravenous dose of 2400 mg or 8000 mg or placebo. As no dose effect was observed in the combined Phase I and II analysis, the 8000 mg dose arm was discontinued. A lower 1200 mg dose arm was introduced in Phase III as part of Protocol Amendment 6.&#10;&#10;In Phase III, the details of COVID-19 related medical visits are collected up to Day 29. Participants are followed to Day 169 for safety assessment. Patients were enrolled into one of three cohorts: Cohort 1 (&gt; 18 years of age, not pregnant), Cohort 2 (less than 18 years of age, not pregnant), and Cohort 3 (pregnant at randomisation). In Cohort 1, eligible patients were randomised 1:1:1 to receive intravenous casirivimab/imdevimab 1200 mg, 2400 mg, and intravenous placeb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0758" cy="3831215"/>
                    </a:xfrm>
                    <a:prstGeom prst="rect">
                      <a:avLst/>
                    </a:prstGeom>
                    <a:noFill/>
                    <a:ln>
                      <a:noFill/>
                    </a:ln>
                  </pic:spPr>
                </pic:pic>
              </a:graphicData>
            </a:graphic>
          </wp:inline>
        </w:drawing>
      </w:r>
    </w:p>
    <w:p w14:paraId="33AFCCFC" w14:textId="4788AB54" w:rsidR="00777FBC" w:rsidRPr="009C45A3" w:rsidRDefault="00777FBC" w:rsidP="00084EC5">
      <w:pPr>
        <w:pStyle w:val="FigureDescription"/>
      </w:pPr>
      <w:r w:rsidRPr="009C45A3">
        <w:t xml:space="preserve">SARS-CoV-2 = severe acute respiratory syndrome coronavirus; COVID-19 = coronavirus disease 2019; R = randomisation; IV = intravenous; NP = nasopharyngeal; MAV = </w:t>
      </w:r>
      <w:r w:rsidR="004C235A" w:rsidRPr="004C235A">
        <w:t>medically attended visit</w:t>
      </w:r>
      <w:r w:rsidRPr="009C45A3">
        <w:t>; EOS = end of study.</w:t>
      </w:r>
    </w:p>
    <w:p w14:paraId="5545D3F4" w14:textId="0817991C" w:rsidR="00341D98" w:rsidRPr="009C45A3" w:rsidRDefault="00341D98" w:rsidP="00084EC5">
      <w:pPr>
        <w:pStyle w:val="FigureDescription"/>
      </w:pPr>
      <w:r w:rsidRPr="009C45A3">
        <w:t>Schematic A represents study design of Phase I; schematic B represents study design of Phase II (and Phase III prior to the amended portion)</w:t>
      </w:r>
      <w:r w:rsidR="00777FBC" w:rsidRPr="009C45A3">
        <w:t>;</w:t>
      </w:r>
      <w:r w:rsidRPr="009C45A3">
        <w:t xml:space="preserve"> and schematic C represents Phase III (amended portion).</w:t>
      </w:r>
    </w:p>
    <w:p w14:paraId="6608DFE9" w14:textId="18EC822E" w:rsidR="00146C2C" w:rsidRPr="006D790D" w:rsidRDefault="00146C2C" w:rsidP="001F3DD1">
      <w:r w:rsidRPr="006D790D">
        <w:t xml:space="preserve">In Phase </w:t>
      </w:r>
      <w:r w:rsidR="008D531C" w:rsidRPr="006D790D">
        <w:t>I</w:t>
      </w:r>
      <w:r w:rsidRPr="006D790D">
        <w:t xml:space="preserve"> and </w:t>
      </w:r>
      <w:r w:rsidR="008D531C" w:rsidRPr="006D790D">
        <w:t>II</w:t>
      </w:r>
      <w:r w:rsidRPr="006D790D">
        <w:t>, patients were randomi</w:t>
      </w:r>
      <w:r w:rsidR="00AF6815" w:rsidRPr="006D790D">
        <w:t>s</w:t>
      </w:r>
      <w:r w:rsidRPr="006D790D">
        <w:t xml:space="preserve">ed 1:1:1 to receive a single </w:t>
      </w:r>
      <w:r w:rsidR="00F43ACD" w:rsidRPr="006D790D">
        <w:t>intravenous</w:t>
      </w:r>
      <w:r w:rsidRPr="006D790D">
        <w:t xml:space="preserve"> dose of 2400 mg or 8000 mg or placebo. As no dose</w:t>
      </w:r>
      <w:r w:rsidR="00FC45E3" w:rsidRPr="006D790D">
        <w:t xml:space="preserve"> </w:t>
      </w:r>
      <w:r w:rsidRPr="006D790D">
        <w:t>effect was observed in the combined Phase</w:t>
      </w:r>
      <w:r w:rsidR="00FC45E3" w:rsidRPr="006D790D">
        <w:t> </w:t>
      </w:r>
      <w:r w:rsidR="008D531C" w:rsidRPr="006D790D">
        <w:t>I</w:t>
      </w:r>
      <w:r w:rsidRPr="006D790D">
        <w:t xml:space="preserve"> and </w:t>
      </w:r>
      <w:r w:rsidR="008D531C" w:rsidRPr="006D790D">
        <w:t>II</w:t>
      </w:r>
      <w:r w:rsidRPr="006D790D">
        <w:t xml:space="preserve"> analysis, the 8000</w:t>
      </w:r>
      <w:r w:rsidR="00FC45E3" w:rsidRPr="006D790D">
        <w:t> </w:t>
      </w:r>
      <w:r w:rsidRPr="006D790D">
        <w:t>mg dose arm was discontinued. A lower 1200</w:t>
      </w:r>
      <w:r w:rsidR="00FC45E3" w:rsidRPr="006D790D">
        <w:t> </w:t>
      </w:r>
      <w:r w:rsidRPr="006D790D">
        <w:t xml:space="preserve">mg dose arm was introduced in Phase </w:t>
      </w:r>
      <w:r w:rsidR="008D531C" w:rsidRPr="006D790D">
        <w:t>III</w:t>
      </w:r>
      <w:r w:rsidRPr="006D790D">
        <w:t xml:space="preserve"> as part of Protocol Amendment 6.</w:t>
      </w:r>
    </w:p>
    <w:p w14:paraId="7D82D830" w14:textId="69609E58" w:rsidR="00146C2C" w:rsidRPr="006D790D" w:rsidRDefault="00146C2C" w:rsidP="001F3DD1">
      <w:r w:rsidRPr="006D790D">
        <w:t xml:space="preserve">In Phase </w:t>
      </w:r>
      <w:r w:rsidR="008D531C" w:rsidRPr="006D790D">
        <w:t>III</w:t>
      </w:r>
      <w:r w:rsidRPr="006D790D">
        <w:t>, the details of COVID-19</w:t>
      </w:r>
      <w:r w:rsidR="00FC45E3" w:rsidRPr="006D790D">
        <w:t xml:space="preserve"> </w:t>
      </w:r>
      <w:r w:rsidRPr="006D790D">
        <w:t>related medical visits are collected up to Day</w:t>
      </w:r>
      <w:r w:rsidR="00FC45E3" w:rsidRPr="006D790D">
        <w:t> </w:t>
      </w:r>
      <w:r w:rsidRPr="006D790D">
        <w:t xml:space="preserve">29. Participants are followed to Day 169 for safety assessment. Patients were enrolled into </w:t>
      </w:r>
      <w:r w:rsidR="00FC45E3" w:rsidRPr="006D790D">
        <w:t>one</w:t>
      </w:r>
      <w:r w:rsidRPr="006D790D">
        <w:t xml:space="preserve"> of </w:t>
      </w:r>
      <w:r w:rsidR="00FC45E3" w:rsidRPr="006D790D">
        <w:t>three</w:t>
      </w:r>
      <w:r w:rsidRPr="006D790D">
        <w:t xml:space="preserve"> cohorts: Cohort 1 (&gt; 18 years of age, not pregnant), Cohort 2 (less than 18</w:t>
      </w:r>
      <w:r w:rsidR="00FC45E3" w:rsidRPr="006D790D">
        <w:t> </w:t>
      </w:r>
      <w:r w:rsidRPr="006D790D">
        <w:t>years of age, not pregnant), and Cohort 3 (pregnant at randomi</w:t>
      </w:r>
      <w:r w:rsidR="00AF6815" w:rsidRPr="006D790D">
        <w:t>s</w:t>
      </w:r>
      <w:r w:rsidRPr="006D790D">
        <w:t>ation). In Cohort</w:t>
      </w:r>
      <w:r w:rsidR="00FC45E3" w:rsidRPr="006D790D">
        <w:t> </w:t>
      </w:r>
      <w:r w:rsidRPr="006D790D">
        <w:t>1, eligible patients were randomi</w:t>
      </w:r>
      <w:r w:rsidR="00AF6815" w:rsidRPr="006D790D">
        <w:t>s</w:t>
      </w:r>
      <w:r w:rsidRPr="006D790D">
        <w:t xml:space="preserve">ed 1:1:1 to receive </w:t>
      </w:r>
      <w:r w:rsidR="00F43ACD" w:rsidRPr="006D790D">
        <w:t>intravenous</w:t>
      </w:r>
      <w:r w:rsidRPr="006D790D">
        <w:t xml:space="preserve">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FC45E3" w:rsidRPr="006D790D">
        <w:t> </w:t>
      </w:r>
      <w:r w:rsidRPr="006D790D">
        <w:t>mg, 2400</w:t>
      </w:r>
      <w:r w:rsidR="00FC45E3" w:rsidRPr="006D790D">
        <w:t> </w:t>
      </w:r>
      <w:r w:rsidRPr="006D790D">
        <w:t xml:space="preserve">mg, and </w:t>
      </w:r>
      <w:r w:rsidR="00F43ACD" w:rsidRPr="006D790D">
        <w:t>intravenous</w:t>
      </w:r>
      <w:r w:rsidRPr="006D790D">
        <w:t xml:space="preserve"> placebo.</w:t>
      </w:r>
    </w:p>
    <w:p w14:paraId="1FACB4E2" w14:textId="6E75FB7E" w:rsidR="00146C2C" w:rsidRPr="006D790D" w:rsidRDefault="00146C2C" w:rsidP="00E242C3">
      <w:pPr>
        <w:pStyle w:val="Heading6"/>
      </w:pPr>
      <w:r w:rsidRPr="006D790D">
        <w:t xml:space="preserve">Key </w:t>
      </w:r>
      <w:r w:rsidR="00FC45E3" w:rsidRPr="006D790D">
        <w:t>inclusion/exclusion criteria</w:t>
      </w:r>
    </w:p>
    <w:p w14:paraId="3FA3F6ED" w14:textId="297621DC" w:rsidR="00146C2C" w:rsidRPr="006D790D" w:rsidRDefault="00146C2C" w:rsidP="001F3DD1">
      <w:r w:rsidRPr="006D790D">
        <w:t xml:space="preserve">Key eligibility criteria applicable to Phase </w:t>
      </w:r>
      <w:r w:rsidR="008D531C" w:rsidRPr="006D790D">
        <w:t>I</w:t>
      </w:r>
      <w:r w:rsidRPr="006D790D">
        <w:t xml:space="preserve">, Phase </w:t>
      </w:r>
      <w:r w:rsidR="008D531C" w:rsidRPr="006D790D">
        <w:t>II</w:t>
      </w:r>
      <w:r w:rsidRPr="006D790D">
        <w:t xml:space="preserve"> (symptomatic cohort), and Phase</w:t>
      </w:r>
      <w:r w:rsidR="00FC45E3" w:rsidRPr="006D790D">
        <w:t> </w:t>
      </w:r>
      <w:r w:rsidR="008D531C" w:rsidRPr="006D790D">
        <w:t>III</w:t>
      </w:r>
      <w:r w:rsidRPr="006D790D">
        <w:t xml:space="preserve"> Cohort</w:t>
      </w:r>
      <w:r w:rsidR="00FC45E3" w:rsidRPr="006D790D">
        <w:t> </w:t>
      </w:r>
      <w:r w:rsidRPr="006D790D">
        <w:t>1 are as follows:</w:t>
      </w:r>
    </w:p>
    <w:p w14:paraId="1044BE1D" w14:textId="1208F828" w:rsidR="00146C2C" w:rsidRPr="006D790D" w:rsidRDefault="00146C2C" w:rsidP="001F3DD1">
      <w:pPr>
        <w:pStyle w:val="ListBullet"/>
      </w:pPr>
      <w:r w:rsidRPr="006D790D">
        <w:t>Outpatients (non-hospitali</w:t>
      </w:r>
      <w:r w:rsidR="00AF6815" w:rsidRPr="006D790D">
        <w:t>s</w:t>
      </w:r>
      <w:r w:rsidRPr="006D790D">
        <w:t xml:space="preserve">ed with </w:t>
      </w:r>
      <w:r w:rsidR="00FC45E3" w:rsidRPr="006D790D">
        <w:t xml:space="preserve">oxygen </w:t>
      </w:r>
      <w:r w:rsidRPr="006D790D">
        <w:t>saturation ≥</w:t>
      </w:r>
      <w:r w:rsidR="00FC45E3" w:rsidRPr="006D790D">
        <w:t> </w:t>
      </w:r>
      <w:r w:rsidRPr="006D790D">
        <w:t>93% on room air)</w:t>
      </w:r>
    </w:p>
    <w:p w14:paraId="383E141C" w14:textId="36CA5815" w:rsidR="00146C2C" w:rsidRPr="006D790D" w:rsidRDefault="00146C2C" w:rsidP="001F3DD1">
      <w:pPr>
        <w:pStyle w:val="ListBullet"/>
      </w:pPr>
      <w:r w:rsidRPr="006D790D">
        <w:t>Positive diagnostic test for SARS-CoV-2 infection ≤ 72 hours of randomi</w:t>
      </w:r>
      <w:r w:rsidR="00AF6815" w:rsidRPr="006D790D">
        <w:t>s</w:t>
      </w:r>
      <w:r w:rsidRPr="006D790D">
        <w:t>ation</w:t>
      </w:r>
    </w:p>
    <w:p w14:paraId="40964B24" w14:textId="77777777" w:rsidR="00146C2C" w:rsidRPr="006D790D" w:rsidRDefault="00146C2C" w:rsidP="001F3DD1">
      <w:pPr>
        <w:pStyle w:val="ListBullet"/>
      </w:pPr>
      <w:r w:rsidRPr="006D790D">
        <w:t>Adults (≥ 18 years or country’s legal age of adulthood)</w:t>
      </w:r>
    </w:p>
    <w:p w14:paraId="60CD7D2B" w14:textId="5C46EECE" w:rsidR="00146C2C" w:rsidRPr="006D790D" w:rsidRDefault="00146C2C" w:rsidP="001F3DD1">
      <w:pPr>
        <w:pStyle w:val="ListBullet"/>
      </w:pPr>
      <w:r w:rsidRPr="006D790D">
        <w:t>Onset of COVID-19 symptoms ≤ 7 days of randomi</w:t>
      </w:r>
      <w:r w:rsidR="00AF6815" w:rsidRPr="006D790D">
        <w:t>s</w:t>
      </w:r>
      <w:r w:rsidRPr="006D790D">
        <w:t>ation; symptoms were determined by the investigator</w:t>
      </w:r>
    </w:p>
    <w:p w14:paraId="4647B356" w14:textId="5ABF7485" w:rsidR="00146C2C" w:rsidRPr="006D790D" w:rsidRDefault="00146C2C" w:rsidP="001F3DD1">
      <w:pPr>
        <w:pStyle w:val="ListBullet"/>
      </w:pPr>
      <w:r w:rsidRPr="006D790D">
        <w:t>No pregnancy at randomi</w:t>
      </w:r>
      <w:r w:rsidR="00AF6815" w:rsidRPr="006D790D">
        <w:t>s</w:t>
      </w:r>
      <w:r w:rsidRPr="006D790D">
        <w:t>ation; must use highly effective contraception during study</w:t>
      </w:r>
    </w:p>
    <w:p w14:paraId="47B7C67B" w14:textId="77777777" w:rsidR="00146C2C" w:rsidRPr="006D790D" w:rsidRDefault="00146C2C" w:rsidP="001F3DD1">
      <w:pPr>
        <w:pStyle w:val="ListBullet"/>
      </w:pPr>
      <w:r w:rsidRPr="006D790D">
        <w:lastRenderedPageBreak/>
        <w:t xml:space="preserve">No prior, current, or planned future use of COVID-19 convalescent plasma, </w:t>
      </w:r>
      <w:proofErr w:type="spellStart"/>
      <w:r w:rsidRPr="006D790D">
        <w:t>mAbs</w:t>
      </w:r>
      <w:proofErr w:type="spellEnd"/>
      <w:r w:rsidRPr="006D790D">
        <w:t xml:space="preserve"> against SARS-CoV-2, intravenous immunoglobulin, systemic corticosteroids, or treatments for COVID-19</w:t>
      </w:r>
    </w:p>
    <w:p w14:paraId="70462729" w14:textId="686E7CFB" w:rsidR="00146C2C" w:rsidRPr="006D790D" w:rsidRDefault="00146C2C" w:rsidP="001F3DD1">
      <w:pPr>
        <w:pStyle w:val="ListBullet"/>
      </w:pPr>
      <w:r w:rsidRPr="006D790D">
        <w:t xml:space="preserve">(Following Protocol Amendment 6 for Phase </w:t>
      </w:r>
      <w:r w:rsidR="008D531C" w:rsidRPr="006D790D">
        <w:t>III</w:t>
      </w:r>
      <w:r w:rsidRPr="006D790D">
        <w:t>) ≥ 1 risk factor for developing severe COVID-19</w:t>
      </w:r>
    </w:p>
    <w:p w14:paraId="4E593EDD" w14:textId="596C8F6D" w:rsidR="00146C2C" w:rsidRPr="006D790D" w:rsidRDefault="00146C2C" w:rsidP="001F3DD1">
      <w:pPr>
        <w:pStyle w:val="ListBullet"/>
      </w:pPr>
      <w:r w:rsidRPr="006D790D">
        <w:t>No prior use (prior to randomi</w:t>
      </w:r>
      <w:r w:rsidR="00AF6815" w:rsidRPr="006D790D">
        <w:t>s</w:t>
      </w:r>
      <w:r w:rsidRPr="006D790D">
        <w:t>ation), current use (at randomi</w:t>
      </w:r>
      <w:r w:rsidR="00AF6815" w:rsidRPr="006D790D">
        <w:t>s</w:t>
      </w:r>
      <w:r w:rsidRPr="006D790D">
        <w:t xml:space="preserve">ation), or planned use (within 90 days of study drug administration or per current </w:t>
      </w:r>
      <w:proofErr w:type="spellStart"/>
      <w:r w:rsidR="003521AE" w:rsidRPr="006D790D">
        <w:t>Centers</w:t>
      </w:r>
      <w:proofErr w:type="spellEnd"/>
      <w:r w:rsidR="003521AE" w:rsidRPr="006D790D">
        <w:t xml:space="preserve"> for Disease Control and Prevention (CDC) (United States) </w:t>
      </w:r>
      <w:r w:rsidRPr="006D790D">
        <w:t>recommendations, as applicable) of any authori</w:t>
      </w:r>
      <w:r w:rsidR="00AF6815" w:rsidRPr="006D790D">
        <w:t>s</w:t>
      </w:r>
      <w:r w:rsidRPr="006D790D">
        <w:t>ed or approved vaccine for COVID-19, or participation in a study of an investigational COVID-19 vaccine</w:t>
      </w:r>
    </w:p>
    <w:p w14:paraId="50CD7E93" w14:textId="15281878" w:rsidR="00146C2C" w:rsidRPr="006D790D" w:rsidRDefault="00146C2C" w:rsidP="001F3DD1">
      <w:r w:rsidRPr="006D790D">
        <w:t xml:space="preserve">Risk factors for severe COVID-19 were defined </w:t>
      </w:r>
      <w:r w:rsidR="00FC45E3" w:rsidRPr="006D790D">
        <w:t xml:space="preserve">in </w:t>
      </w:r>
      <w:r w:rsidR="00FC45E3" w:rsidRPr="006D790D">
        <w:fldChar w:fldCharType="begin"/>
      </w:r>
      <w:r w:rsidR="00FC45E3" w:rsidRPr="006D790D">
        <w:instrText xml:space="preserve"> REF _Ref85192009 \h </w:instrText>
      </w:r>
      <w:r w:rsidR="006D790D">
        <w:instrText xml:space="preserve"> \* MERGEFORMAT </w:instrText>
      </w:r>
      <w:r w:rsidR="00FC45E3" w:rsidRPr="006D790D">
        <w:fldChar w:fldCharType="separate"/>
      </w:r>
      <w:r w:rsidR="007F1879" w:rsidRPr="006D790D">
        <w:t xml:space="preserve">Table </w:t>
      </w:r>
      <w:r w:rsidR="007F1879">
        <w:rPr>
          <w:noProof/>
        </w:rPr>
        <w:t>11</w:t>
      </w:r>
      <w:r w:rsidR="00FC45E3" w:rsidRPr="006D790D">
        <w:fldChar w:fldCharType="end"/>
      </w:r>
      <w:r w:rsidR="00FC45E3" w:rsidRPr="006D790D">
        <w:t xml:space="preserve"> below.</w:t>
      </w:r>
    </w:p>
    <w:p w14:paraId="767DA285" w14:textId="3F435461" w:rsidR="00146C2C" w:rsidRPr="006D790D" w:rsidRDefault="00D5326E" w:rsidP="00B83541">
      <w:pPr>
        <w:pStyle w:val="TableTitle"/>
      </w:pPr>
      <w:bookmarkStart w:id="78" w:name="_Ref85192009"/>
      <w:r w:rsidRPr="006D790D">
        <w:t xml:space="preserve">Table </w:t>
      </w:r>
      <w:fldSimple w:instr=" SEQ Table \* ARABIC ">
        <w:r w:rsidR="007F1879">
          <w:rPr>
            <w:noProof/>
          </w:rPr>
          <w:t>11</w:t>
        </w:r>
      </w:fldSimple>
      <w:bookmarkEnd w:id="78"/>
      <w:r w:rsidR="00146C2C" w:rsidRPr="006D790D">
        <w:t xml:space="preserve">: </w:t>
      </w:r>
      <w:r w:rsidR="00B83541" w:rsidRPr="006D790D">
        <w:t xml:space="preserve">Study COV-2067 </w:t>
      </w:r>
      <w:r w:rsidR="00146C2C" w:rsidRPr="006D790D">
        <w:t>Risk factors for developing severe COVID-19</w:t>
      </w:r>
    </w:p>
    <w:p w14:paraId="4CD0AF58" w14:textId="7C18EB2F" w:rsidR="00146C2C" w:rsidRDefault="00146C2C" w:rsidP="00146C2C">
      <w:r w:rsidRPr="006D790D">
        <w:rPr>
          <w:noProof/>
          <w:lang w:val="en-GB" w:eastAsia="en-GB"/>
        </w:rPr>
        <w:drawing>
          <wp:inline distT="0" distB="0" distL="0" distR="0" wp14:anchorId="321E5CF0" wp14:editId="3812349C">
            <wp:extent cx="5131496" cy="1398270"/>
            <wp:effectExtent l="0" t="0" r="0" b="0"/>
            <wp:docPr id="2" name="Picture 2" descr="Study COV-2067 Risk factors for developing severe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udy COV-2067 Risk factors for developing severe COVID-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2566" cy="1466684"/>
                    </a:xfrm>
                    <a:prstGeom prst="rect">
                      <a:avLst/>
                    </a:prstGeom>
                    <a:noFill/>
                    <a:ln>
                      <a:noFill/>
                    </a:ln>
                  </pic:spPr>
                </pic:pic>
              </a:graphicData>
            </a:graphic>
          </wp:inline>
        </w:drawing>
      </w:r>
    </w:p>
    <w:p w14:paraId="63037271" w14:textId="4B828393" w:rsidR="00777FBC" w:rsidRPr="006D790D" w:rsidRDefault="00777FBC" w:rsidP="00084EC5">
      <w:pPr>
        <w:pStyle w:val="FigureDescription"/>
      </w:pPr>
      <w:r w:rsidRPr="00777FBC">
        <w:t>COVID-19 = coronavirus disease 2019</w:t>
      </w:r>
      <w:r>
        <w:t>; BMI = b</w:t>
      </w:r>
      <w:r w:rsidRPr="00777FBC">
        <w:t>ody mass index</w:t>
      </w:r>
      <w:r>
        <w:t>.</w:t>
      </w:r>
    </w:p>
    <w:p w14:paraId="7CE39383" w14:textId="1B58ABD3" w:rsidR="00146C2C" w:rsidRPr="006D790D" w:rsidRDefault="00146C2C" w:rsidP="001F3DD1">
      <w:r w:rsidRPr="006D790D">
        <w:t xml:space="preserve">A major protocol change in Phase </w:t>
      </w:r>
      <w:r w:rsidR="008D531C" w:rsidRPr="006D790D">
        <w:t>III</w:t>
      </w:r>
      <w:r w:rsidRPr="006D790D">
        <w:t xml:space="preserve"> included revision of the eligibility criteria (</w:t>
      </w:r>
      <w:r w:rsidR="00FC45E3" w:rsidRPr="006D790D">
        <w:t>P</w:t>
      </w:r>
      <w:r w:rsidRPr="006D790D">
        <w:t xml:space="preserve">rotocol Amendment 6). This amendment restricted enrolment to patients with at least one risk factor for severe COVID-19. Prior to this amendment, Phase </w:t>
      </w:r>
      <w:r w:rsidR="008D531C" w:rsidRPr="006D790D">
        <w:t>III</w:t>
      </w:r>
      <w:r w:rsidRPr="006D790D">
        <w:t xml:space="preserve"> enrolled patients with or without risk factors for severe COVID-19.</w:t>
      </w:r>
    </w:p>
    <w:p w14:paraId="0EA5341D" w14:textId="706B1CAC" w:rsidR="00146C2C" w:rsidRPr="006D790D" w:rsidRDefault="00146C2C" w:rsidP="00E242C3">
      <w:pPr>
        <w:pStyle w:val="Heading6"/>
        <w:rPr>
          <w:rFonts w:eastAsia="Minion-Regular"/>
        </w:rPr>
      </w:pPr>
      <w:r w:rsidRPr="006D790D">
        <w:rPr>
          <w:rFonts w:eastAsia="Minion-Regular"/>
        </w:rPr>
        <w:t xml:space="preserve">Objectives and </w:t>
      </w:r>
      <w:r w:rsidR="00FC45E3" w:rsidRPr="006D790D">
        <w:rPr>
          <w:rFonts w:eastAsia="Minion-Regular"/>
        </w:rPr>
        <w:t>efficacy endpoints</w:t>
      </w:r>
    </w:p>
    <w:p w14:paraId="3A431EB8" w14:textId="54F15343" w:rsidR="00146C2C" w:rsidRPr="006D790D" w:rsidRDefault="00146C2C" w:rsidP="001F3DD1">
      <w:r w:rsidRPr="006D790D">
        <w:t>The study objectives, primary and key secondary efficacy endpoints, and associated statistical methods, are summari</w:t>
      </w:r>
      <w:r w:rsidR="00AF6815" w:rsidRPr="006D790D">
        <w:t>s</w:t>
      </w:r>
      <w:r w:rsidRPr="006D790D">
        <w:t xml:space="preserve">ed </w:t>
      </w:r>
      <w:r w:rsidR="00FC45E3" w:rsidRPr="006D790D">
        <w:t xml:space="preserve">in </w:t>
      </w:r>
      <w:r w:rsidR="00FC45E3" w:rsidRPr="006D790D">
        <w:fldChar w:fldCharType="begin"/>
      </w:r>
      <w:r w:rsidR="00FC45E3" w:rsidRPr="006D790D">
        <w:instrText xml:space="preserve"> REF _Ref85192073 \h </w:instrText>
      </w:r>
      <w:r w:rsidR="006D790D">
        <w:instrText xml:space="preserve"> \* MERGEFORMAT </w:instrText>
      </w:r>
      <w:r w:rsidR="00FC45E3" w:rsidRPr="006D790D">
        <w:fldChar w:fldCharType="separate"/>
      </w:r>
      <w:r w:rsidR="007F1879" w:rsidRPr="006D790D">
        <w:t xml:space="preserve">Table </w:t>
      </w:r>
      <w:r w:rsidR="007F1879">
        <w:rPr>
          <w:noProof/>
        </w:rPr>
        <w:t>12</w:t>
      </w:r>
      <w:r w:rsidR="00FC45E3" w:rsidRPr="006D790D">
        <w:fldChar w:fldCharType="end"/>
      </w:r>
      <w:r w:rsidR="00FC45E3" w:rsidRPr="006D790D">
        <w:t xml:space="preserve"> </w:t>
      </w:r>
      <w:r w:rsidRPr="006D790D">
        <w:t>below.</w:t>
      </w:r>
    </w:p>
    <w:p w14:paraId="3BFE5CB9" w14:textId="1FA4D23C" w:rsidR="00146C2C" w:rsidRDefault="00D5326E" w:rsidP="00B83541">
      <w:pPr>
        <w:pStyle w:val="TableTitle"/>
      </w:pPr>
      <w:bookmarkStart w:id="79" w:name="_Ref85192073"/>
      <w:r w:rsidRPr="006D790D">
        <w:lastRenderedPageBreak/>
        <w:t xml:space="preserve">Table </w:t>
      </w:r>
      <w:fldSimple w:instr=" SEQ Table \* ARABIC ">
        <w:r w:rsidR="007F1879">
          <w:rPr>
            <w:noProof/>
          </w:rPr>
          <w:t>12</w:t>
        </w:r>
      </w:fldSimple>
      <w:bookmarkEnd w:id="79"/>
      <w:r w:rsidR="00146C2C" w:rsidRPr="006D790D">
        <w:t xml:space="preserve">: </w:t>
      </w:r>
      <w:r w:rsidR="00B83541" w:rsidRPr="006D790D">
        <w:t xml:space="preserve">Study COV-2067 </w:t>
      </w:r>
      <w:r w:rsidR="00146C2C" w:rsidRPr="006D790D">
        <w:t>Study objectives, primary and key secondary efficacy endpoints</w:t>
      </w:r>
    </w:p>
    <w:p w14:paraId="6A4915BE" w14:textId="48D21AEA" w:rsidR="00777FBC" w:rsidRPr="006D790D" w:rsidRDefault="00777FBC" w:rsidP="00084EC5">
      <w:r>
        <w:rPr>
          <w:noProof/>
        </w:rPr>
        <w:drawing>
          <wp:inline distT="0" distB="0" distL="0" distR="0" wp14:anchorId="3A2077FD" wp14:editId="1E2AB45A">
            <wp:extent cx="5327650" cy="3647715"/>
            <wp:effectExtent l="0" t="0" r="6350" b="0"/>
            <wp:docPr id="49" name="Picture 49" descr="Study COV-2067 Study objectives, primary and key second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tudy COV-2067 Study objectives, primary and key secondary efficacy endpoint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70171" cy="3676828"/>
                    </a:xfrm>
                    <a:prstGeom prst="rect">
                      <a:avLst/>
                    </a:prstGeom>
                    <a:noFill/>
                    <a:ln>
                      <a:noFill/>
                    </a:ln>
                  </pic:spPr>
                </pic:pic>
              </a:graphicData>
            </a:graphic>
          </wp:inline>
        </w:drawing>
      </w:r>
    </w:p>
    <w:p w14:paraId="25E65D0E" w14:textId="2445BDA7" w:rsidR="00777FBC" w:rsidRPr="009C45A3" w:rsidRDefault="00777FBC" w:rsidP="00BB0979">
      <w:pPr>
        <w:pStyle w:val="TableDescription"/>
      </w:pPr>
      <w:r w:rsidRPr="00BB0979">
        <w:t>SARS-CoV-2 = severe acute respiratory syndrome coronavirus 2</w:t>
      </w:r>
      <w:r w:rsidR="008A521A" w:rsidRPr="00BB0979">
        <w:t xml:space="preserve">; TWA = time weighted average; ANCOVA = analysis of covariance; </w:t>
      </w:r>
      <w:r w:rsidRPr="009C45A3">
        <w:t xml:space="preserve">COVID-19 = coronavirus disease 2019; </w:t>
      </w:r>
      <w:r w:rsidR="008A521A" w:rsidRPr="009C45A3">
        <w:t>CMH = Cochran Mantel Haenszel.</w:t>
      </w:r>
    </w:p>
    <w:p w14:paraId="46EC8C30" w14:textId="59D8E6C6" w:rsidR="00146C2C" w:rsidRPr="006D790D" w:rsidRDefault="00146C2C" w:rsidP="00E242C3">
      <w:pPr>
        <w:pStyle w:val="Heading6"/>
      </w:pPr>
      <w:r w:rsidRPr="006D790D">
        <w:t xml:space="preserve">Statistical </w:t>
      </w:r>
      <w:r w:rsidR="00FC45E3" w:rsidRPr="006D790D">
        <w:t>analysis plan</w:t>
      </w:r>
    </w:p>
    <w:p w14:paraId="7BCAF403" w14:textId="3225A2BB" w:rsidR="00146C2C" w:rsidRPr="006D790D" w:rsidRDefault="00146C2C" w:rsidP="001F3DD1">
      <w:r w:rsidRPr="006D790D">
        <w:t xml:space="preserve">The primary efficacy analyses were conducted as a combined Phase </w:t>
      </w:r>
      <w:r w:rsidR="008D531C" w:rsidRPr="006D790D">
        <w:t>I</w:t>
      </w:r>
      <w:r w:rsidRPr="006D790D">
        <w:t>/</w:t>
      </w:r>
      <w:r w:rsidR="008D531C" w:rsidRPr="006D790D">
        <w:t>II</w:t>
      </w:r>
      <w:r w:rsidRPr="006D790D">
        <w:t xml:space="preserve"> and a Phase</w:t>
      </w:r>
      <w:r w:rsidR="00FC45E3" w:rsidRPr="006D790D">
        <w:t> </w:t>
      </w:r>
      <w:r w:rsidR="008D531C" w:rsidRPr="006D790D">
        <w:t>III</w:t>
      </w:r>
      <w:r w:rsidRPr="006D790D">
        <w:t xml:space="preserve"> analysis. In both analyses, to control for </w:t>
      </w:r>
      <w:r w:rsidR="00FC45E3" w:rsidRPr="006D790D">
        <w:t>T</w:t>
      </w:r>
      <w:r w:rsidRPr="006D790D">
        <w:t>ype I error the primary and key secondary efficacy variables were evaluated hierarchically (at a significance level of α</w:t>
      </w:r>
      <w:r w:rsidR="00FC45E3" w:rsidRPr="006D790D">
        <w:t> </w:t>
      </w:r>
      <w:r w:rsidRPr="006D790D">
        <w:t>=</w:t>
      </w:r>
      <w:r w:rsidR="00FC45E3" w:rsidRPr="006D790D">
        <w:t> </w:t>
      </w:r>
      <w:r w:rsidRPr="006D790D">
        <w:t xml:space="preserve">0.05). In both phases, populations tested in the hierarchy included the </w:t>
      </w:r>
      <w:proofErr w:type="spellStart"/>
      <w:r w:rsidRPr="006D790D">
        <w:t>mFAS</w:t>
      </w:r>
      <w:proofErr w:type="spellEnd"/>
      <w:r w:rsidRPr="006D790D">
        <w:t xml:space="preserve">, Seronegative </w:t>
      </w:r>
      <w:proofErr w:type="spellStart"/>
      <w:r w:rsidRPr="006D790D">
        <w:t>mFAS</w:t>
      </w:r>
      <w:proofErr w:type="spellEnd"/>
      <w:r w:rsidRPr="006D790D">
        <w:t xml:space="preserve">, and sub-populations of the </w:t>
      </w:r>
      <w:proofErr w:type="spellStart"/>
      <w:r w:rsidRPr="006D790D">
        <w:t>mFAS</w:t>
      </w:r>
      <w:proofErr w:type="spellEnd"/>
      <w:r w:rsidRPr="006D790D">
        <w:t xml:space="preserve"> with different viral load at </w:t>
      </w:r>
      <w:r w:rsidR="00FB39BC" w:rsidRPr="006D790D">
        <w:t>Baseline</w:t>
      </w:r>
      <w:r w:rsidRPr="006D790D">
        <w:t xml:space="preserve">. In Phase </w:t>
      </w:r>
      <w:r w:rsidR="008D531C" w:rsidRPr="006D790D">
        <w:t>I</w:t>
      </w:r>
      <w:r w:rsidRPr="006D790D">
        <w:t>/</w:t>
      </w:r>
      <w:r w:rsidR="008D531C" w:rsidRPr="006D790D">
        <w:t>II</w:t>
      </w:r>
      <w:r w:rsidRPr="006D790D">
        <w:t xml:space="preserve">, the </w:t>
      </w:r>
      <w:proofErr w:type="spellStart"/>
      <w:r w:rsidRPr="006D790D">
        <w:t>mFAS</w:t>
      </w:r>
      <w:proofErr w:type="spellEnd"/>
      <w:r w:rsidRPr="006D790D">
        <w:t xml:space="preserve"> included randomi</w:t>
      </w:r>
      <w:r w:rsidR="00AF6815" w:rsidRPr="006D790D">
        <w:t>s</w:t>
      </w:r>
      <w:r w:rsidRPr="006D790D">
        <w:t xml:space="preserve">ed participants with positive RT-qPCR from </w:t>
      </w:r>
      <w:r w:rsidR="00F847E4" w:rsidRPr="006D790D">
        <w:t xml:space="preserve">nasopharyngeal </w:t>
      </w:r>
      <w:r w:rsidRPr="006D790D">
        <w:t>swab samples at randomi</w:t>
      </w:r>
      <w:r w:rsidR="00AF6815" w:rsidRPr="006D790D">
        <w:t>s</w:t>
      </w:r>
      <w:r w:rsidRPr="006D790D">
        <w:t xml:space="preserve">ation. In Phase </w:t>
      </w:r>
      <w:r w:rsidR="008D531C" w:rsidRPr="006D790D">
        <w:t>III</w:t>
      </w:r>
      <w:r w:rsidRPr="006D790D">
        <w:t xml:space="preserve">, the </w:t>
      </w:r>
      <w:proofErr w:type="spellStart"/>
      <w:r w:rsidRPr="006D790D">
        <w:t>mFAS</w:t>
      </w:r>
      <w:proofErr w:type="spellEnd"/>
      <w:r w:rsidRPr="006D790D">
        <w:t xml:space="preserve"> was the pre-specified primary efficacy analysis set which included patients in the </w:t>
      </w:r>
      <w:r w:rsidR="00EA28EF" w:rsidRPr="006D790D">
        <w:t>full analysis set (</w:t>
      </w:r>
      <w:r w:rsidRPr="006D790D">
        <w:t>FAS</w:t>
      </w:r>
      <w:r w:rsidR="00EA28EF" w:rsidRPr="006D790D">
        <w:t>)</w:t>
      </w:r>
      <w:r w:rsidRPr="006D790D">
        <w:t xml:space="preserve"> who had a positive RT</w:t>
      </w:r>
      <w:r w:rsidR="00FC45E3" w:rsidRPr="006D790D">
        <w:noBreakHyphen/>
      </w:r>
      <w:r w:rsidRPr="006D790D">
        <w:t xml:space="preserve">qPCR from </w:t>
      </w:r>
      <w:r w:rsidR="00F847E4" w:rsidRPr="006D790D">
        <w:t>nasopharyngeal s</w:t>
      </w:r>
      <w:r w:rsidRPr="006D790D">
        <w:t>wabs at randomi</w:t>
      </w:r>
      <w:r w:rsidR="00AF6815" w:rsidRPr="006D790D">
        <w:t>s</w:t>
      </w:r>
      <w:r w:rsidRPr="006D790D">
        <w:t xml:space="preserve">ation and at least one protocol-defined risk factor for severe COVID-19 at </w:t>
      </w:r>
      <w:r w:rsidR="00FB39BC" w:rsidRPr="006D790D">
        <w:t>Baseline</w:t>
      </w:r>
      <w:r w:rsidRPr="006D790D">
        <w:t xml:space="preserve">. In addition, comparisons between </w:t>
      </w:r>
      <w:proofErr w:type="spellStart"/>
      <w:r w:rsidRPr="006D790D">
        <w:t>Ronapreve</w:t>
      </w:r>
      <w:proofErr w:type="spellEnd"/>
      <w:r w:rsidRPr="006D790D">
        <w:t xml:space="preserve"> 2400</w:t>
      </w:r>
      <w:r w:rsidR="00FC45E3" w:rsidRPr="006D790D">
        <w:t> </w:t>
      </w:r>
      <w:r w:rsidRPr="006D790D">
        <w:t xml:space="preserve">mg and placebo, and between </w:t>
      </w:r>
      <w:proofErr w:type="spellStart"/>
      <w:r w:rsidRPr="006D790D">
        <w:t>Ronapreve</w:t>
      </w:r>
      <w:proofErr w:type="spellEnd"/>
      <w:r w:rsidRPr="006D790D">
        <w:t xml:space="preserve"> 1200</w:t>
      </w:r>
      <w:r w:rsidR="00FC45E3" w:rsidRPr="006D790D">
        <w:t> </w:t>
      </w:r>
      <w:r w:rsidRPr="006D790D">
        <w:t>mg and placebo, were based on concurrent enrolment. The FAS comprised all randomised participants regardless of COVID-19 risk factors.</w:t>
      </w:r>
    </w:p>
    <w:p w14:paraId="34000A7B" w14:textId="6ADAB1F5" w:rsidR="00146C2C" w:rsidRPr="006D790D" w:rsidRDefault="00146C2C" w:rsidP="001F3DD1">
      <w:r w:rsidRPr="006D790D">
        <w:t xml:space="preserve">For Phase </w:t>
      </w:r>
      <w:r w:rsidR="008D531C" w:rsidRPr="006D790D">
        <w:t>III</w:t>
      </w:r>
      <w:r w:rsidRPr="006D790D">
        <w:t>, the null and alternative hypotheses were as follows</w:t>
      </w:r>
      <w:r w:rsidR="00D833DC">
        <w:t xml:space="preserve"> (note, REGN10933/REGN10987 refers to </w:t>
      </w:r>
      <w:proofErr w:type="spellStart"/>
      <w:r w:rsidR="00D833DC">
        <w:t>casivirimab</w:t>
      </w:r>
      <w:proofErr w:type="spellEnd"/>
      <w:r w:rsidR="00D833DC">
        <w:t>/</w:t>
      </w:r>
      <w:proofErr w:type="spellStart"/>
      <w:r w:rsidR="00D833DC">
        <w:t>imdevimab</w:t>
      </w:r>
      <w:proofErr w:type="spellEnd"/>
      <w:r w:rsidR="00D833DC">
        <w:t>)</w:t>
      </w:r>
      <w:r w:rsidRPr="006D790D">
        <w:t>:</w:t>
      </w:r>
    </w:p>
    <w:p w14:paraId="009EE009" w14:textId="2F6FB730" w:rsidR="00146C2C" w:rsidRPr="006D790D" w:rsidRDefault="00A65462" w:rsidP="00B1559C">
      <w:pPr>
        <w:pStyle w:val="ListBullet"/>
      </w:pPr>
      <w:r>
        <w:t>Null hypothesis</w:t>
      </w:r>
      <w:r w:rsidR="00146C2C" w:rsidRPr="006D790D">
        <w:t>: The risk of having COVID-19</w:t>
      </w:r>
      <w:r w:rsidR="00FC45E3" w:rsidRPr="006D790D">
        <w:t xml:space="preserve"> </w:t>
      </w:r>
      <w:r w:rsidR="00146C2C" w:rsidRPr="006D790D">
        <w:t>related hospitali</w:t>
      </w:r>
      <w:r w:rsidR="00AF6815" w:rsidRPr="006D790D">
        <w:t>s</w:t>
      </w:r>
      <w:r w:rsidR="00146C2C" w:rsidRPr="006D790D">
        <w:t>ation or all</w:t>
      </w:r>
      <w:r w:rsidR="00FC45E3" w:rsidRPr="006D790D">
        <w:t xml:space="preserve"> </w:t>
      </w:r>
      <w:r w:rsidR="00146C2C" w:rsidRPr="006D790D">
        <w:t>cause death through Day</w:t>
      </w:r>
      <w:r w:rsidR="00FC45E3" w:rsidRPr="006D790D">
        <w:t> </w:t>
      </w:r>
      <w:r w:rsidR="00146C2C" w:rsidRPr="006D790D">
        <w:t>29 for REGN10933</w:t>
      </w:r>
      <w:r w:rsidR="00EA28EF" w:rsidRPr="006D790D">
        <w:t>/</w:t>
      </w:r>
      <w:r w:rsidR="00146C2C" w:rsidRPr="006D790D">
        <w:t>REGN10987 2400</w:t>
      </w:r>
      <w:r w:rsidR="00FC45E3" w:rsidRPr="006D790D">
        <w:t> </w:t>
      </w:r>
      <w:r w:rsidR="00146C2C" w:rsidRPr="006D790D">
        <w:t>mg group is the same as that for placebo</w:t>
      </w:r>
      <w:r w:rsidR="00D833DC">
        <w:t>.</w:t>
      </w:r>
    </w:p>
    <w:p w14:paraId="6A057A74" w14:textId="2D6B939D" w:rsidR="00146C2C" w:rsidRPr="006D790D" w:rsidRDefault="00A65462" w:rsidP="00B1559C">
      <w:pPr>
        <w:pStyle w:val="ListBullet"/>
      </w:pPr>
      <w:r>
        <w:t>Alternative hypothesis</w:t>
      </w:r>
      <w:r w:rsidR="00146C2C" w:rsidRPr="006D790D">
        <w:t>: The risk of having COVID-19</w:t>
      </w:r>
      <w:r w:rsidR="00FC45E3" w:rsidRPr="006D790D">
        <w:t xml:space="preserve"> </w:t>
      </w:r>
      <w:r w:rsidR="00146C2C" w:rsidRPr="006D790D">
        <w:t>related hospitali</w:t>
      </w:r>
      <w:r w:rsidR="00AF6815" w:rsidRPr="006D790D">
        <w:t>s</w:t>
      </w:r>
      <w:r w:rsidR="00146C2C" w:rsidRPr="006D790D">
        <w:t>ation or all</w:t>
      </w:r>
      <w:r w:rsidR="00FC45E3" w:rsidRPr="006D790D">
        <w:t xml:space="preserve"> </w:t>
      </w:r>
      <w:r w:rsidR="00146C2C" w:rsidRPr="006D790D">
        <w:t>cause death through Day</w:t>
      </w:r>
      <w:r w:rsidR="00FC45E3" w:rsidRPr="006D790D">
        <w:t> </w:t>
      </w:r>
      <w:r w:rsidR="00146C2C" w:rsidRPr="006D790D">
        <w:t>29 for REGN10933</w:t>
      </w:r>
      <w:r w:rsidR="00EA28EF" w:rsidRPr="006D790D">
        <w:t>/</w:t>
      </w:r>
      <w:r w:rsidR="00146C2C" w:rsidRPr="006D790D">
        <w:t>REGN10987 2400</w:t>
      </w:r>
      <w:r w:rsidR="00FC45E3" w:rsidRPr="006D790D">
        <w:t> </w:t>
      </w:r>
      <w:r w:rsidR="00146C2C" w:rsidRPr="006D790D">
        <w:t>mg group is not the same as that for placebo</w:t>
      </w:r>
    </w:p>
    <w:p w14:paraId="6F37B564" w14:textId="2775EA67" w:rsidR="00146C2C" w:rsidRPr="006D790D" w:rsidRDefault="00146C2C" w:rsidP="00B1559C">
      <w:r w:rsidRPr="006D790D">
        <w:lastRenderedPageBreak/>
        <w:t>The proportion of patients with COVID-19-related hospitali</w:t>
      </w:r>
      <w:r w:rsidR="00AF6815" w:rsidRPr="006D790D">
        <w:t>s</w:t>
      </w:r>
      <w:r w:rsidRPr="006D790D">
        <w:t>ation or all</w:t>
      </w:r>
      <w:r w:rsidR="00FC45E3" w:rsidRPr="006D790D">
        <w:t xml:space="preserve"> </w:t>
      </w:r>
      <w:r w:rsidRPr="006D790D">
        <w:t>cause death through Day</w:t>
      </w:r>
      <w:r w:rsidR="00FC45E3" w:rsidRPr="006D790D">
        <w:t> </w:t>
      </w:r>
      <w:r w:rsidRPr="006D790D">
        <w:t>29 was to be compared between each dose group and placebo using the stratified Cochran</w:t>
      </w:r>
      <w:r w:rsidR="00FC45E3" w:rsidRPr="006D790D">
        <w:t xml:space="preserve"> </w:t>
      </w:r>
      <w:r w:rsidRPr="006D790D">
        <w:t>Mantel</w:t>
      </w:r>
      <w:r w:rsidR="00FC45E3" w:rsidRPr="006D790D">
        <w:t xml:space="preserve"> </w:t>
      </w:r>
      <w:r w:rsidRPr="006D790D">
        <w:t>Haenszel test with country as a stratification factor.</w:t>
      </w:r>
    </w:p>
    <w:p w14:paraId="4736AF4B" w14:textId="43DDD36E" w:rsidR="00146C2C" w:rsidRPr="006D790D" w:rsidRDefault="00146C2C" w:rsidP="00E242C3">
      <w:pPr>
        <w:pStyle w:val="Heading6"/>
        <w:rPr>
          <w:rFonts w:eastAsiaTheme="minorHAnsi"/>
        </w:rPr>
      </w:pPr>
      <w:r w:rsidRPr="006D790D">
        <w:rPr>
          <w:rFonts w:eastAsiaTheme="minorHAnsi"/>
        </w:rPr>
        <w:t xml:space="preserve">Study </w:t>
      </w:r>
      <w:r w:rsidR="00FC45E3" w:rsidRPr="006D790D">
        <w:rPr>
          <w:rFonts w:eastAsiaTheme="minorHAnsi"/>
        </w:rPr>
        <w:t>participant</w:t>
      </w:r>
      <w:r w:rsidRPr="006D790D">
        <w:rPr>
          <w:rFonts w:eastAsiaTheme="minorHAnsi"/>
        </w:rPr>
        <w:t>s</w:t>
      </w:r>
    </w:p>
    <w:p w14:paraId="17EFB4BA" w14:textId="47D3B3A1" w:rsidR="00146C2C" w:rsidRPr="006D790D" w:rsidRDefault="00146C2C" w:rsidP="00B1559C">
      <w:r w:rsidRPr="006D790D">
        <w:t>A total of 6716 participants were screened, of which 6406 were randomi</w:t>
      </w:r>
      <w:r w:rsidR="00AF6815" w:rsidRPr="006D790D">
        <w:t>s</w:t>
      </w:r>
      <w:r w:rsidRPr="006D790D">
        <w:t>ed. Randomi</w:t>
      </w:r>
      <w:r w:rsidR="00AF6815" w:rsidRPr="006D790D">
        <w:t>s</w:t>
      </w:r>
      <w:r w:rsidRPr="006D790D">
        <w:t>ation by study phase was as follows:</w:t>
      </w:r>
    </w:p>
    <w:p w14:paraId="61F50D4C" w14:textId="68778459" w:rsidR="00146C2C" w:rsidRPr="006D790D" w:rsidRDefault="00146C2C" w:rsidP="00B1559C">
      <w:pPr>
        <w:pStyle w:val="ListBullet"/>
      </w:pPr>
      <w:r w:rsidRPr="006D790D">
        <w:t xml:space="preserve">Phase </w:t>
      </w:r>
      <w:r w:rsidR="008D531C" w:rsidRPr="006D790D">
        <w:t>I</w:t>
      </w:r>
      <w:r w:rsidRPr="006D790D">
        <w:t>: 72 participants</w:t>
      </w:r>
    </w:p>
    <w:p w14:paraId="110C12A0" w14:textId="5B3BE85D" w:rsidR="00146C2C" w:rsidRPr="006D790D" w:rsidRDefault="00146C2C" w:rsidP="00B1559C">
      <w:pPr>
        <w:pStyle w:val="ListBullet"/>
      </w:pPr>
      <w:r w:rsidRPr="006D790D">
        <w:t xml:space="preserve">Phase </w:t>
      </w:r>
      <w:r w:rsidR="008D531C" w:rsidRPr="006D790D">
        <w:t>II</w:t>
      </w:r>
      <w:r w:rsidRPr="006D790D">
        <w:t>: 727 participants</w:t>
      </w:r>
    </w:p>
    <w:p w14:paraId="17333AD3" w14:textId="1F9F13C3" w:rsidR="00146C2C" w:rsidRPr="006D790D" w:rsidRDefault="00146C2C" w:rsidP="00B1559C">
      <w:pPr>
        <w:pStyle w:val="ListBullet"/>
      </w:pPr>
      <w:r w:rsidRPr="006D790D">
        <w:t xml:space="preserve">Phase </w:t>
      </w:r>
      <w:r w:rsidR="008D531C" w:rsidRPr="006D790D">
        <w:t>III</w:t>
      </w:r>
      <w:r w:rsidRPr="006D790D">
        <w:t>: 5607 participants.</w:t>
      </w:r>
    </w:p>
    <w:p w14:paraId="60D1B016" w14:textId="6AA3717B" w:rsidR="00146C2C" w:rsidRPr="006D790D" w:rsidRDefault="00146C2C" w:rsidP="00B1559C">
      <w:r w:rsidRPr="006D790D">
        <w:t>The first 799 symptomatic patients who were randomi</w:t>
      </w:r>
      <w:r w:rsidR="00AF6815" w:rsidRPr="006D790D">
        <w:t>s</w:t>
      </w:r>
      <w:r w:rsidRPr="006D790D">
        <w:t>ed were part of a combined Phase</w:t>
      </w:r>
      <w:r w:rsidR="00FC45E3" w:rsidRPr="006D790D">
        <w:t> </w:t>
      </w:r>
      <w:r w:rsidR="008D531C" w:rsidRPr="006D790D">
        <w:t>I</w:t>
      </w:r>
      <w:r w:rsidRPr="006D790D">
        <w:t xml:space="preserve"> and </w:t>
      </w:r>
      <w:r w:rsidR="008D531C" w:rsidRPr="006D790D">
        <w:t>II</w:t>
      </w:r>
      <w:r w:rsidRPr="006D790D">
        <w:t xml:space="preserve"> analysis. All symptomatic patients, beginning with the </w:t>
      </w:r>
      <w:r w:rsidR="00FC45E3" w:rsidRPr="006D790D">
        <w:t>eight hundredth</w:t>
      </w:r>
      <w:r w:rsidRPr="006D790D">
        <w:t xml:space="preserve"> randomi</w:t>
      </w:r>
      <w:r w:rsidR="00AF6815" w:rsidRPr="006D790D">
        <w:t>s</w:t>
      </w:r>
      <w:r w:rsidRPr="006D790D">
        <w:t xml:space="preserve">ed patient, were included in the Phase </w:t>
      </w:r>
      <w:r w:rsidR="008D531C" w:rsidRPr="006D790D">
        <w:t>III</w:t>
      </w:r>
      <w:r w:rsidRPr="006D790D">
        <w:t xml:space="preserve"> portion of the trial.</w:t>
      </w:r>
    </w:p>
    <w:p w14:paraId="675D1A53" w14:textId="1B5C1A39" w:rsidR="00146C2C" w:rsidRPr="006D790D" w:rsidRDefault="00146C2C" w:rsidP="00B1559C">
      <w:r w:rsidRPr="006D790D">
        <w:t xml:space="preserve">For Phase </w:t>
      </w:r>
      <w:r w:rsidR="00AF6815" w:rsidRPr="006D790D">
        <w:t>I</w:t>
      </w:r>
      <w:r w:rsidRPr="006D790D">
        <w:t xml:space="preserve"> and </w:t>
      </w:r>
      <w:r w:rsidR="00AF6815" w:rsidRPr="006D790D">
        <w:t>II</w:t>
      </w:r>
      <w:r w:rsidRPr="006D790D">
        <w:t>, since the first 275 participants had been assessed for virologic efficacy, the prospective virologic analysis included only the subsequent 524 patients randomi</w:t>
      </w:r>
      <w:r w:rsidR="00AF6815" w:rsidRPr="006D790D">
        <w:t>s</w:t>
      </w:r>
      <w:r w:rsidRPr="006D790D">
        <w:t xml:space="preserve">ed in Phase </w:t>
      </w:r>
      <w:r w:rsidR="00AF6815" w:rsidRPr="006D790D">
        <w:t>II</w:t>
      </w:r>
      <w:r w:rsidRPr="006D790D">
        <w:t xml:space="preserve"> (also referred to as the ‘next Phase </w:t>
      </w:r>
      <w:r w:rsidR="00AF6815" w:rsidRPr="006D790D">
        <w:t>II</w:t>
      </w:r>
      <w:r w:rsidRPr="006D790D">
        <w:t xml:space="preserve">’ population). Of these, 442 met the criteria for </w:t>
      </w:r>
      <w:proofErr w:type="spellStart"/>
      <w:r w:rsidRPr="006D790D">
        <w:t>mFAS</w:t>
      </w:r>
      <w:proofErr w:type="spellEnd"/>
      <w:r w:rsidRPr="006D790D">
        <w:t>.</w:t>
      </w:r>
    </w:p>
    <w:p w14:paraId="79C7D64A" w14:textId="33E98658" w:rsidR="00146C2C" w:rsidRPr="006D790D" w:rsidRDefault="00146C2C" w:rsidP="00B1559C">
      <w:r w:rsidRPr="006D790D">
        <w:t xml:space="preserve">In Phase </w:t>
      </w:r>
      <w:r w:rsidR="00AF6815" w:rsidRPr="006D790D">
        <w:t>III</w:t>
      </w:r>
      <w:r w:rsidRPr="006D790D">
        <w:t>, a total of 4567 randomi</w:t>
      </w:r>
      <w:r w:rsidR="00AF6815" w:rsidRPr="006D790D">
        <w:t>s</w:t>
      </w:r>
      <w:r w:rsidRPr="006D790D">
        <w:t>ed participants had ≥</w:t>
      </w:r>
      <w:r w:rsidR="00FC45E3" w:rsidRPr="006D790D">
        <w:t> </w:t>
      </w:r>
      <w:r w:rsidRPr="006D790D">
        <w:t>1 risk factor for severe COVID</w:t>
      </w:r>
      <w:r w:rsidR="00FC45E3" w:rsidRPr="006D790D">
        <w:noBreakHyphen/>
      </w:r>
      <w:r w:rsidRPr="006D790D">
        <w:t xml:space="preserve">19 (see </w:t>
      </w:r>
      <w:r w:rsidR="00B8548B" w:rsidRPr="006D790D">
        <w:fldChar w:fldCharType="begin"/>
      </w:r>
      <w:r w:rsidR="00B8548B" w:rsidRPr="006D790D">
        <w:instrText xml:space="preserve"> REF _Ref85138138 \h </w:instrText>
      </w:r>
      <w:r w:rsidR="006D790D">
        <w:instrText xml:space="preserve"> \* MERGEFORMAT </w:instrText>
      </w:r>
      <w:r w:rsidR="00B8548B" w:rsidRPr="006D790D">
        <w:fldChar w:fldCharType="separate"/>
      </w:r>
      <w:r w:rsidR="007F1879" w:rsidRPr="006D790D">
        <w:t xml:space="preserve">Table </w:t>
      </w:r>
      <w:r w:rsidR="007F1879">
        <w:rPr>
          <w:noProof/>
        </w:rPr>
        <w:t>13</w:t>
      </w:r>
      <w:r w:rsidR="00B8548B" w:rsidRPr="006D790D">
        <w:fldChar w:fldCharType="end"/>
      </w:r>
      <w:r w:rsidR="00B8548B" w:rsidRPr="006D790D">
        <w:t xml:space="preserve"> </w:t>
      </w:r>
      <w:r w:rsidRPr="006D790D">
        <w:t xml:space="preserve">below), and 4057 (88.8%) met the criteria for the </w:t>
      </w:r>
      <w:proofErr w:type="spellStart"/>
      <w:r w:rsidRPr="006D790D">
        <w:t>mFAS</w:t>
      </w:r>
      <w:proofErr w:type="spellEnd"/>
      <w:r w:rsidRPr="006D790D">
        <w:t>. The total FAS population also included 1040 randomi</w:t>
      </w:r>
      <w:r w:rsidR="00AF6815" w:rsidRPr="006D790D">
        <w:t>s</w:t>
      </w:r>
      <w:r w:rsidRPr="006D790D">
        <w:t xml:space="preserve">ed participants who had no risk factors (not shown in </w:t>
      </w:r>
      <w:r w:rsidR="00D5326E" w:rsidRPr="006D790D">
        <w:fldChar w:fldCharType="begin"/>
      </w:r>
      <w:r w:rsidR="00D5326E" w:rsidRPr="006D790D">
        <w:instrText xml:space="preserve"> REF _Ref85138138 \h </w:instrText>
      </w:r>
      <w:r w:rsidR="006D790D">
        <w:instrText xml:space="preserve"> \* MERGEFORMAT </w:instrText>
      </w:r>
      <w:r w:rsidR="00D5326E" w:rsidRPr="006D790D">
        <w:fldChar w:fldCharType="separate"/>
      </w:r>
      <w:r w:rsidR="007F1879" w:rsidRPr="006D790D">
        <w:t xml:space="preserve">Table </w:t>
      </w:r>
      <w:r w:rsidR="007F1879">
        <w:rPr>
          <w:noProof/>
        </w:rPr>
        <w:t>13</w:t>
      </w:r>
      <w:r w:rsidR="00D5326E" w:rsidRPr="006D790D">
        <w:fldChar w:fldCharType="end"/>
      </w:r>
      <w:r w:rsidRPr="006D790D">
        <w:t>).</w:t>
      </w:r>
    </w:p>
    <w:p w14:paraId="0274C38E" w14:textId="6E3E65E9" w:rsidR="00146C2C" w:rsidRPr="006D790D" w:rsidRDefault="00B8548B" w:rsidP="00B83541">
      <w:pPr>
        <w:pStyle w:val="TableTitle"/>
      </w:pPr>
      <w:bookmarkStart w:id="80" w:name="_Ref85138138"/>
      <w:r w:rsidRPr="006D790D">
        <w:t xml:space="preserve">Table </w:t>
      </w:r>
      <w:fldSimple w:instr=" SEQ Table \* ARABIC ">
        <w:r w:rsidR="007F1879">
          <w:rPr>
            <w:noProof/>
          </w:rPr>
          <w:t>13</w:t>
        </w:r>
      </w:fldSimple>
      <w:bookmarkEnd w:id="80"/>
      <w:r w:rsidR="00146C2C" w:rsidRPr="006D790D">
        <w:t xml:space="preserve">: </w:t>
      </w:r>
      <w:r w:rsidR="00B83541" w:rsidRPr="006D790D">
        <w:t xml:space="preserve">Study COV-2067 </w:t>
      </w:r>
      <w:r w:rsidR="00146C2C" w:rsidRPr="006D790D">
        <w:t xml:space="preserve">Summary of populations in each analysis set (Phase </w:t>
      </w:r>
      <w:r w:rsidR="00AF6815" w:rsidRPr="006D790D">
        <w:t>III</w:t>
      </w:r>
      <w:r w:rsidR="00146C2C" w:rsidRPr="006D790D">
        <w:t xml:space="preserve"> Cohort 1, </w:t>
      </w:r>
      <w:r w:rsidR="00146C2C" w:rsidRPr="006D790D">
        <w:rPr>
          <w:lang w:eastAsia="ja-JP"/>
        </w:rPr>
        <w:t xml:space="preserve">≥ </w:t>
      </w:r>
      <w:r w:rsidR="00146C2C" w:rsidRPr="006D790D">
        <w:t>1 risk factor for severe COVID-19)</w:t>
      </w:r>
    </w:p>
    <w:p w14:paraId="547EDD00" w14:textId="272B5192" w:rsidR="00146C2C" w:rsidRDefault="00146C2C" w:rsidP="00146C2C">
      <w:pPr>
        <w:autoSpaceDE w:val="0"/>
        <w:autoSpaceDN w:val="0"/>
        <w:adjustRightInd w:val="0"/>
        <w:spacing w:before="0" w:after="0" w:line="240" w:lineRule="auto"/>
        <w:rPr>
          <w:rFonts w:asciiTheme="minorHAnsi" w:eastAsia="Minion-Regular" w:hAnsiTheme="minorHAnsi" w:cs="Minion-Regular"/>
          <w:color w:val="000000"/>
        </w:rPr>
      </w:pPr>
      <w:r w:rsidRPr="006D790D">
        <w:rPr>
          <w:rFonts w:asciiTheme="minorHAnsi" w:eastAsia="Minion-Regular" w:hAnsiTheme="minorHAnsi" w:cs="Minion-Regular"/>
          <w:noProof/>
          <w:color w:val="000000"/>
          <w:lang w:val="en-GB" w:eastAsia="en-GB"/>
        </w:rPr>
        <w:drawing>
          <wp:inline distT="0" distB="0" distL="0" distR="0" wp14:anchorId="611D1933" wp14:editId="5CA41E86">
            <wp:extent cx="5261212" cy="1200785"/>
            <wp:effectExtent l="0" t="0" r="0" b="0"/>
            <wp:docPr id="12" name="Picture 12" descr="Study COV-2067 Summary of populations in each analysis set (Phase III Cohort 1, ≥ 1 risk factor for severe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tudy COV-2067 Summary of populations in each analysis set (Phase III Cohort 1, ≥ 1 risk factor for severe COVID-1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9375"/>
                    <a:stretch/>
                  </pic:blipFill>
                  <pic:spPr bwMode="auto">
                    <a:xfrm>
                      <a:off x="0" y="0"/>
                      <a:ext cx="5302932" cy="1210307"/>
                    </a:xfrm>
                    <a:prstGeom prst="rect">
                      <a:avLst/>
                    </a:prstGeom>
                    <a:noFill/>
                    <a:ln>
                      <a:noFill/>
                    </a:ln>
                    <a:extLst>
                      <a:ext uri="{53640926-AAD7-44D8-BBD7-CCE9431645EC}">
                        <a14:shadowObscured xmlns:a14="http://schemas.microsoft.com/office/drawing/2010/main"/>
                      </a:ext>
                    </a:extLst>
                  </pic:spPr>
                </pic:pic>
              </a:graphicData>
            </a:graphic>
          </wp:inline>
        </w:drawing>
      </w:r>
    </w:p>
    <w:p w14:paraId="3934DE4D" w14:textId="0AD62021" w:rsidR="00F35E5A" w:rsidRPr="009C45A3" w:rsidRDefault="00F35E5A" w:rsidP="009C45A3">
      <w:pPr>
        <w:pStyle w:val="TableDescription"/>
      </w:pPr>
      <w:r w:rsidRPr="009C45A3">
        <w:t xml:space="preserve">REGN10933 + REGN10987 = </w:t>
      </w:r>
      <w:proofErr w:type="spellStart"/>
      <w:r w:rsidRPr="009C45A3">
        <w:t>casirivimab</w:t>
      </w:r>
      <w:proofErr w:type="spellEnd"/>
      <w:r w:rsidRPr="009C45A3">
        <w:t xml:space="preserve"> + </w:t>
      </w:r>
      <w:proofErr w:type="spellStart"/>
      <w:r w:rsidRPr="009C45A3">
        <w:t>imdevimab</w:t>
      </w:r>
      <w:proofErr w:type="spellEnd"/>
      <w:r w:rsidRPr="009C45A3">
        <w:t xml:space="preserve">; IV = intravenous; N = number of subjects; </w:t>
      </w:r>
      <w:bookmarkStart w:id="81" w:name="_Hlk85795217"/>
      <w:r w:rsidRPr="009C45A3">
        <w:t>FAS = full analysis set</w:t>
      </w:r>
      <w:bookmarkEnd w:id="81"/>
      <w:r w:rsidRPr="009C45A3">
        <w:t xml:space="preserve">; </w:t>
      </w:r>
      <w:bookmarkStart w:id="82" w:name="_Hlk85795240"/>
      <w:proofErr w:type="spellStart"/>
      <w:r w:rsidRPr="009C45A3">
        <w:t>mFAS</w:t>
      </w:r>
      <w:proofErr w:type="spellEnd"/>
      <w:r w:rsidRPr="009C45A3">
        <w:t xml:space="preserve"> = modified full analysis set.</w:t>
      </w:r>
      <w:bookmarkEnd w:id="82"/>
    </w:p>
    <w:p w14:paraId="43E51EF6" w14:textId="581F05F8" w:rsidR="00814C00" w:rsidRPr="009C45A3" w:rsidRDefault="00814C00" w:rsidP="009C45A3">
      <w:pPr>
        <w:pStyle w:val="TableDescription"/>
      </w:pPr>
      <w:r w:rsidRPr="009C45A3">
        <w:t>Randomised patients through 17 January 2021. Data cut</w:t>
      </w:r>
      <w:r w:rsidR="001E325B" w:rsidRPr="009C45A3">
        <w:t>-</w:t>
      </w:r>
      <w:r w:rsidRPr="009C45A3">
        <w:t>off date is 18 February 2021.</w:t>
      </w:r>
    </w:p>
    <w:p w14:paraId="3C95C67A" w14:textId="57145942" w:rsidR="00146C2C" w:rsidRPr="006D790D" w:rsidRDefault="00146C2C" w:rsidP="00B1559C">
      <w:r w:rsidRPr="006D790D">
        <w:t xml:space="preserve">The frequency of baseline risk factors for severe COVID-19 is provided in </w:t>
      </w:r>
      <w:r w:rsidR="00D5326E" w:rsidRPr="006D790D">
        <w:fldChar w:fldCharType="begin"/>
      </w:r>
      <w:r w:rsidR="00D5326E" w:rsidRPr="006D790D">
        <w:instrText xml:space="preserve"> REF _Ref85138435 \h </w:instrText>
      </w:r>
      <w:r w:rsidR="006D790D">
        <w:instrText xml:space="preserve"> \* MERGEFORMAT </w:instrText>
      </w:r>
      <w:r w:rsidR="00D5326E" w:rsidRPr="006D790D">
        <w:fldChar w:fldCharType="separate"/>
      </w:r>
      <w:r w:rsidR="007F1879" w:rsidRPr="006D790D">
        <w:t xml:space="preserve">Table </w:t>
      </w:r>
      <w:r w:rsidR="007F1879">
        <w:rPr>
          <w:noProof/>
        </w:rPr>
        <w:t>14</w:t>
      </w:r>
      <w:r w:rsidR="00D5326E" w:rsidRPr="006D790D">
        <w:fldChar w:fldCharType="end"/>
      </w:r>
      <w:r w:rsidRPr="006D790D">
        <w:t xml:space="preserve"> below for the </w:t>
      </w:r>
      <w:proofErr w:type="spellStart"/>
      <w:r w:rsidRPr="006D790D">
        <w:t>mFAS</w:t>
      </w:r>
      <w:proofErr w:type="spellEnd"/>
      <w:r w:rsidRPr="006D790D">
        <w:t xml:space="preserve"> population. The most common risk factors were obesity (58.0%), older age (51.8% ≥ 50 years/13.5% ≥ 65 years), cardiovascular disease (36.3%), and chronic lung disease. Type 1 or </w:t>
      </w:r>
      <w:r w:rsidR="00FC45E3" w:rsidRPr="006D790D">
        <w:t>T</w:t>
      </w:r>
      <w:r w:rsidRPr="006D790D">
        <w:t>ype 2 diabetes mellitus were less common (16.4% and 14.9% respectively). Chronic kidney/liver disease, and immunocompromised state were uncommon (≤ 3% frequency).</w:t>
      </w:r>
    </w:p>
    <w:p w14:paraId="58EC0BD0" w14:textId="77777777" w:rsidR="00146C2C" w:rsidRPr="006D790D" w:rsidRDefault="00146C2C" w:rsidP="00B1559C">
      <w:r w:rsidRPr="006D790D">
        <w:t>It is noted that patients with higher age (&gt; 65 years of age) are underrepresented, this is more pronounced in the &gt; 75 and &gt; 85 years of age group.</w:t>
      </w:r>
    </w:p>
    <w:p w14:paraId="4EBE8468" w14:textId="77777777" w:rsidR="00146C2C" w:rsidRPr="006D790D" w:rsidRDefault="00146C2C" w:rsidP="00B1559C">
      <w:r w:rsidRPr="006D790D">
        <w:t>The frequency of risk factors was balanced across the treatment groups.</w:t>
      </w:r>
    </w:p>
    <w:p w14:paraId="24C013A4" w14:textId="699140DA" w:rsidR="00146C2C" w:rsidRPr="006D790D" w:rsidRDefault="00D5326E" w:rsidP="00B83541">
      <w:pPr>
        <w:pStyle w:val="TableTitle"/>
      </w:pPr>
      <w:bookmarkStart w:id="83" w:name="_Ref85138435"/>
      <w:r w:rsidRPr="006D790D">
        <w:lastRenderedPageBreak/>
        <w:t xml:space="preserve">Table </w:t>
      </w:r>
      <w:fldSimple w:instr=" SEQ Table \* ARABIC ">
        <w:r w:rsidR="007F1879">
          <w:rPr>
            <w:noProof/>
          </w:rPr>
          <w:t>14</w:t>
        </w:r>
      </w:fldSimple>
      <w:bookmarkEnd w:id="83"/>
      <w:r w:rsidR="00146C2C" w:rsidRPr="006D790D">
        <w:t xml:space="preserve">: </w:t>
      </w:r>
      <w:r w:rsidR="00B83541" w:rsidRPr="006D790D">
        <w:t xml:space="preserve">Study COV-2067 </w:t>
      </w:r>
      <w:r w:rsidR="00146C2C" w:rsidRPr="006D790D">
        <w:t xml:space="preserve">Frequency of baseline risk factors for severe COVID-19 (Phase </w:t>
      </w:r>
      <w:r w:rsidR="00AF6815" w:rsidRPr="006D790D">
        <w:t>III</w:t>
      </w:r>
      <w:r w:rsidR="00146C2C" w:rsidRPr="006D790D">
        <w:t xml:space="preserve">, </w:t>
      </w:r>
      <w:r w:rsidR="00216A81" w:rsidRPr="006D790D">
        <w:t>modified full analysis set</w:t>
      </w:r>
      <w:r w:rsidR="00146C2C" w:rsidRPr="006D790D">
        <w:t>)</w:t>
      </w:r>
    </w:p>
    <w:p w14:paraId="77BE486D" w14:textId="6A8C72C5" w:rsidR="00146C2C" w:rsidRDefault="00146C2C" w:rsidP="00146C2C">
      <w:pPr>
        <w:autoSpaceDE w:val="0"/>
        <w:autoSpaceDN w:val="0"/>
        <w:adjustRightInd w:val="0"/>
        <w:spacing w:before="0" w:after="0" w:line="240" w:lineRule="auto"/>
        <w:rPr>
          <w:rFonts w:asciiTheme="minorHAnsi" w:eastAsia="TimesNewRomanPSMT" w:hAnsiTheme="minorHAnsi" w:cs="TimesNewRomanPSMT"/>
          <w:color w:val="000000"/>
        </w:rPr>
      </w:pPr>
      <w:r w:rsidRPr="006D790D">
        <w:rPr>
          <w:rFonts w:asciiTheme="minorHAnsi" w:eastAsia="TimesNewRomanPSMT" w:hAnsiTheme="minorHAnsi" w:cs="TimesNewRomanPSMT"/>
          <w:noProof/>
          <w:color w:val="000000"/>
          <w:lang w:val="en-GB" w:eastAsia="en-GB"/>
        </w:rPr>
        <w:drawing>
          <wp:inline distT="0" distB="0" distL="0" distR="0" wp14:anchorId="616E2DB6" wp14:editId="4141F869">
            <wp:extent cx="5373665" cy="1642771"/>
            <wp:effectExtent l="0" t="0" r="0" b="0"/>
            <wp:docPr id="40" name="Picture 40" descr="Study COV-2067 Frequency of baseline risk factors for severe COVID-19 (Phase III,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tudy COV-2067 Frequency of baseline risk factors for severe COVID-19 (Phase III, modified full analysis se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0623"/>
                    <a:stretch/>
                  </pic:blipFill>
                  <pic:spPr bwMode="auto">
                    <a:xfrm>
                      <a:off x="0" y="0"/>
                      <a:ext cx="5445959" cy="1664872"/>
                    </a:xfrm>
                    <a:prstGeom prst="rect">
                      <a:avLst/>
                    </a:prstGeom>
                    <a:noFill/>
                    <a:ln>
                      <a:noFill/>
                    </a:ln>
                    <a:extLst>
                      <a:ext uri="{53640926-AAD7-44D8-BBD7-CCE9431645EC}">
                        <a14:shadowObscured xmlns:a14="http://schemas.microsoft.com/office/drawing/2010/main"/>
                      </a:ext>
                    </a:extLst>
                  </pic:spPr>
                </pic:pic>
              </a:graphicData>
            </a:graphic>
          </wp:inline>
        </w:drawing>
      </w:r>
    </w:p>
    <w:p w14:paraId="5964AD4F" w14:textId="35E9F2D4" w:rsidR="00F35E5A" w:rsidRDefault="00F35E5A" w:rsidP="00BB0979">
      <w:pPr>
        <w:pStyle w:val="TableDescription"/>
      </w:pPr>
      <w:r w:rsidRPr="00F35E5A">
        <w:t xml:space="preserve">REGN10933 + REGN10987 = </w:t>
      </w:r>
      <w:proofErr w:type="spellStart"/>
      <w:r w:rsidRPr="00F35E5A">
        <w:t>casirivimab</w:t>
      </w:r>
      <w:proofErr w:type="spellEnd"/>
      <w:r w:rsidRPr="00F35E5A">
        <w:t xml:space="preserve"> + </w:t>
      </w:r>
      <w:proofErr w:type="spellStart"/>
      <w:r w:rsidRPr="00F35E5A">
        <w:t>imdevimab</w:t>
      </w:r>
      <w:proofErr w:type="spellEnd"/>
      <w:r w:rsidRPr="00F35E5A">
        <w:t>; IV = intravenous; N = number of subjects; COVID</w:t>
      </w:r>
      <w:r>
        <w:noBreakHyphen/>
      </w:r>
      <w:r w:rsidRPr="00F35E5A">
        <w:t>19 = coronavirus disease 2019</w:t>
      </w:r>
      <w:r>
        <w:t xml:space="preserve">; </w:t>
      </w:r>
      <w:bookmarkStart w:id="84" w:name="_Hlk85795413"/>
      <w:r>
        <w:t>BMI = b</w:t>
      </w:r>
      <w:r w:rsidRPr="00F35E5A">
        <w:t>ody mass index</w:t>
      </w:r>
      <w:bookmarkEnd w:id="84"/>
      <w:r>
        <w:t>.</w:t>
      </w:r>
    </w:p>
    <w:p w14:paraId="75D2EA44" w14:textId="51DAA9ED" w:rsidR="00814C00" w:rsidRDefault="00814C00" w:rsidP="009C45A3">
      <w:pPr>
        <w:pStyle w:val="TableDescription"/>
      </w:pPr>
      <w:r>
        <w:t>1: Placebo is presented in two columns based on those that were concurrently randomised to the 1200</w:t>
      </w:r>
      <w:r w:rsidR="00A9012F">
        <w:t> </w:t>
      </w:r>
      <w:r>
        <w:t>mg and 2400 mg active treatment groups. The placebo group marked as ‘pooled for 1200 mg IV analysis’ is a subset of the placebo group marked as ‘pooled for 2400 mg IV analysis</w:t>
      </w:r>
      <w:r w:rsidR="00A9012F">
        <w:t>’</w:t>
      </w:r>
      <w:r>
        <w:t>.</w:t>
      </w:r>
    </w:p>
    <w:p w14:paraId="056AA588" w14:textId="7C441BF9" w:rsidR="00146C2C" w:rsidRPr="006D790D" w:rsidRDefault="00146C2C" w:rsidP="00B1559C">
      <w:r w:rsidRPr="006D790D">
        <w:t xml:space="preserve">The demographics and baseline characteristics for Phase </w:t>
      </w:r>
      <w:r w:rsidR="00AF6815" w:rsidRPr="006D790D">
        <w:t>III</w:t>
      </w:r>
      <w:r w:rsidRPr="006D790D">
        <w:t xml:space="preserve"> (Cohort 1) efficacy population were balanced across treatment groups. The median time from symptom onset to randomisation was 3 days (range: 0, 7). Subjects had a median of 6 COVID-19 symptoms at </w:t>
      </w:r>
      <w:r w:rsidR="00FB39BC" w:rsidRPr="006D790D">
        <w:t>Baseline</w:t>
      </w:r>
      <w:r w:rsidRPr="006D790D">
        <w:t>.</w:t>
      </w:r>
    </w:p>
    <w:p w14:paraId="675D18FD" w14:textId="474A964A" w:rsidR="00146C2C" w:rsidRPr="006D790D" w:rsidRDefault="00146C2C" w:rsidP="00B1559C">
      <w:r w:rsidRPr="006D790D">
        <w:t xml:space="preserve">Baseline serostatus was balanced across treatment groups among those in the </w:t>
      </w:r>
      <w:proofErr w:type="spellStart"/>
      <w:r w:rsidRPr="006D790D">
        <w:t>mFAS</w:t>
      </w:r>
      <w:proofErr w:type="spellEnd"/>
      <w:r w:rsidRPr="006D790D">
        <w:t xml:space="preserve">. 68.6% of patients in the </w:t>
      </w:r>
      <w:proofErr w:type="spellStart"/>
      <w:r w:rsidRPr="006D790D">
        <w:t>mFAS</w:t>
      </w:r>
      <w:proofErr w:type="spellEnd"/>
      <w:r w:rsidRPr="006D790D">
        <w:t xml:space="preserve"> were seronegative at </w:t>
      </w:r>
      <w:r w:rsidR="00FB39BC" w:rsidRPr="006D790D">
        <w:t>Baseline</w:t>
      </w:r>
      <w:r w:rsidRPr="006D790D">
        <w:t xml:space="preserve">, 23.6% were seropositive (as determined by either positive </w:t>
      </w:r>
      <w:proofErr w:type="spellStart"/>
      <w:r w:rsidRPr="006D790D">
        <w:t>Euroimmune</w:t>
      </w:r>
      <w:proofErr w:type="spellEnd"/>
      <w:r w:rsidRPr="006D790D">
        <w:t xml:space="preserve"> </w:t>
      </w:r>
      <w:r w:rsidR="00811CEE" w:rsidRPr="006D790D">
        <w:t>immunoglobulin A (</w:t>
      </w:r>
      <w:r w:rsidRPr="006D790D">
        <w:t>IgA</w:t>
      </w:r>
      <w:r w:rsidR="00811CEE" w:rsidRPr="006D790D">
        <w:t>)</w:t>
      </w:r>
      <w:r w:rsidRPr="006D790D">
        <w:t xml:space="preserve">, </w:t>
      </w:r>
      <w:proofErr w:type="spellStart"/>
      <w:r w:rsidRPr="006D790D">
        <w:t>Euroimmune</w:t>
      </w:r>
      <w:proofErr w:type="spellEnd"/>
      <w:r w:rsidRPr="006D790D">
        <w:t xml:space="preserve"> </w:t>
      </w:r>
      <w:r w:rsidR="00811CEE" w:rsidRPr="006D790D">
        <w:t>immunoglobulin G (</w:t>
      </w:r>
      <w:r w:rsidRPr="006D790D">
        <w:t>IgG</w:t>
      </w:r>
      <w:r w:rsidR="00811CEE" w:rsidRPr="006D790D">
        <w:t>)</w:t>
      </w:r>
      <w:r w:rsidRPr="006D790D">
        <w:t>, or Abbot Architect IgG assay) and 7.8% had a status of ‘other’.</w:t>
      </w:r>
    </w:p>
    <w:p w14:paraId="79947FCB" w14:textId="64B429E8" w:rsidR="00146C2C" w:rsidRPr="006D790D" w:rsidRDefault="00146C2C" w:rsidP="00E242C3">
      <w:pPr>
        <w:pStyle w:val="Heading6"/>
      </w:pPr>
      <w:r w:rsidRPr="006D790D">
        <w:t xml:space="preserve">Efficacy </w:t>
      </w:r>
      <w:r w:rsidR="00FC45E3" w:rsidRPr="006D790D">
        <w:t>analysis</w:t>
      </w:r>
    </w:p>
    <w:p w14:paraId="50F77F70" w14:textId="3806A860" w:rsidR="00146C2C" w:rsidRPr="006D790D" w:rsidRDefault="00146C2C" w:rsidP="00E242C3">
      <w:pPr>
        <w:pStyle w:val="Heading7"/>
        <w:rPr>
          <w:rFonts w:eastAsia="Minion-Regular"/>
          <w:sz w:val="22"/>
          <w:szCs w:val="28"/>
        </w:rPr>
      </w:pPr>
      <w:r w:rsidRPr="006D790D">
        <w:rPr>
          <w:rFonts w:eastAsia="Minion-Regular"/>
          <w:sz w:val="22"/>
          <w:szCs w:val="28"/>
        </w:rPr>
        <w:t xml:space="preserve">Phase </w:t>
      </w:r>
      <w:r w:rsidR="00AF6815" w:rsidRPr="006D790D">
        <w:rPr>
          <w:rFonts w:eastAsia="Minion-Regular"/>
          <w:sz w:val="22"/>
          <w:szCs w:val="28"/>
        </w:rPr>
        <w:t>I</w:t>
      </w:r>
      <w:r w:rsidRPr="006D790D">
        <w:rPr>
          <w:rFonts w:eastAsia="Minion-Regular"/>
          <w:sz w:val="22"/>
          <w:szCs w:val="28"/>
        </w:rPr>
        <w:t>/</w:t>
      </w:r>
      <w:r w:rsidR="00AF6815" w:rsidRPr="006D790D">
        <w:rPr>
          <w:rFonts w:eastAsia="Minion-Regular"/>
          <w:sz w:val="22"/>
          <w:szCs w:val="28"/>
        </w:rPr>
        <w:t>II</w:t>
      </w:r>
      <w:r w:rsidRPr="006D790D">
        <w:rPr>
          <w:rFonts w:eastAsia="Minion-Regular"/>
          <w:sz w:val="22"/>
          <w:szCs w:val="28"/>
        </w:rPr>
        <w:t xml:space="preserve">, </w:t>
      </w:r>
      <w:r w:rsidR="00FC45E3" w:rsidRPr="006D790D">
        <w:rPr>
          <w:rFonts w:eastAsia="Minion-Regular"/>
          <w:sz w:val="22"/>
          <w:szCs w:val="28"/>
        </w:rPr>
        <w:t>primary efficacy analysis</w:t>
      </w:r>
    </w:p>
    <w:p w14:paraId="41E0CCB8" w14:textId="2B91CBB4" w:rsidR="00146C2C" w:rsidRPr="006D790D" w:rsidRDefault="00146C2C" w:rsidP="00B1559C">
      <w:r w:rsidRPr="006D790D">
        <w:t>In the primary analysis, statistical significance was achieved for all virologic endpoints tested in the hierarchy, but the last secondary endpoint in the hierarchy ‘</w:t>
      </w:r>
      <w:r w:rsidRPr="006D790D">
        <w:rPr>
          <w:i/>
          <w:iCs/>
        </w:rPr>
        <w:t xml:space="preserve">proportion of participants with ≥ 1 COVID-19-related hospitalisation, </w:t>
      </w:r>
      <w:r w:rsidR="00FC45E3" w:rsidRPr="006D790D">
        <w:t xml:space="preserve">[emergency room] </w:t>
      </w:r>
      <w:r w:rsidR="00FC45E3" w:rsidRPr="006D790D">
        <w:rPr>
          <w:i/>
          <w:iCs/>
        </w:rPr>
        <w:t xml:space="preserve">ER </w:t>
      </w:r>
      <w:r w:rsidRPr="006D790D">
        <w:rPr>
          <w:i/>
          <w:iCs/>
        </w:rPr>
        <w:t xml:space="preserve">visit </w:t>
      </w:r>
      <w:r w:rsidR="00FC45E3" w:rsidRPr="006D790D">
        <w:rPr>
          <w:i/>
          <w:iCs/>
        </w:rPr>
        <w:t xml:space="preserve">or urgent care visit through </w:t>
      </w:r>
      <w:r w:rsidRPr="006D790D">
        <w:rPr>
          <w:i/>
          <w:iCs/>
        </w:rPr>
        <w:t>Day 29</w:t>
      </w:r>
      <w:r w:rsidRPr="006D790D">
        <w:t>’ did not reach significance. For the primary endpoint ‘</w:t>
      </w:r>
      <w:r w:rsidRPr="006D790D">
        <w:rPr>
          <w:i/>
          <w:iCs/>
        </w:rPr>
        <w:t xml:space="preserve">time weighted average daily change from </w:t>
      </w:r>
      <w:r w:rsidR="00FB39BC" w:rsidRPr="006D790D">
        <w:rPr>
          <w:i/>
          <w:iCs/>
        </w:rPr>
        <w:t>Baseline</w:t>
      </w:r>
      <w:r w:rsidRPr="006D790D">
        <w:rPr>
          <w:i/>
          <w:iCs/>
        </w:rPr>
        <w:t xml:space="preserve"> in viral load</w:t>
      </w:r>
      <w:r w:rsidRPr="006D790D">
        <w:t>’ there was a reduction compared with placebo of 0.35 log</w:t>
      </w:r>
      <w:r w:rsidRPr="006D790D">
        <w:rPr>
          <w:vertAlign w:val="subscript"/>
        </w:rPr>
        <w:t>10</w:t>
      </w:r>
      <w:r w:rsidRPr="006D790D">
        <w:t xml:space="preserve"> copies/mL for the </w:t>
      </w:r>
      <w:proofErr w:type="spellStart"/>
      <w:r w:rsidRPr="006D790D">
        <w:t>mFAS</w:t>
      </w:r>
      <w:proofErr w:type="spellEnd"/>
      <w:r w:rsidRPr="006D790D">
        <w:t>, which was greater in those who were seronegative (0.68 log</w:t>
      </w:r>
      <w:r w:rsidRPr="006D790D">
        <w:rPr>
          <w:vertAlign w:val="subscript"/>
        </w:rPr>
        <w:t>10</w:t>
      </w:r>
      <w:r w:rsidRPr="006D790D">
        <w:t xml:space="preserve"> copies/mL) and who had </w:t>
      </w:r>
      <w:r w:rsidR="00FB39BC" w:rsidRPr="006D790D">
        <w:t>Baseline</w:t>
      </w:r>
      <w:r w:rsidRPr="006D790D">
        <w:t xml:space="preserve"> viral load &gt; 106</w:t>
      </w:r>
      <w:r w:rsidR="00FC45E3" w:rsidRPr="006D790D">
        <w:t> </w:t>
      </w:r>
      <w:r w:rsidRPr="006D790D">
        <w:t>copies/mL (0.60 log</w:t>
      </w:r>
      <w:r w:rsidRPr="006D790D">
        <w:rPr>
          <w:vertAlign w:val="subscript"/>
        </w:rPr>
        <w:t>10</w:t>
      </w:r>
      <w:r w:rsidRPr="006D790D">
        <w:t xml:space="preserve"> copies/mL). There did not appear to be a dose response, as results were similar for the 2400</w:t>
      </w:r>
      <w:r w:rsidR="00FC45E3" w:rsidRPr="006D790D">
        <w:t> </w:t>
      </w:r>
      <w:r w:rsidRPr="006D790D">
        <w:t>mg and 8000</w:t>
      </w:r>
      <w:r w:rsidR="00FC45E3" w:rsidRPr="006D790D">
        <w:t> </w:t>
      </w:r>
      <w:r w:rsidRPr="006D790D">
        <w:t>mg dose.</w:t>
      </w:r>
    </w:p>
    <w:p w14:paraId="681A914C" w14:textId="7B1D066E" w:rsidR="00146C2C" w:rsidRPr="006D790D" w:rsidRDefault="00146C2C" w:rsidP="00B1559C">
      <w:r w:rsidRPr="006D790D">
        <w:t xml:space="preserve">A post-hoc analysis of the secondary clinical endpoint showed that the treatment effect was more pronounced in subjects with at least one risk factor for severe COVID-19, with a COVID-19 related </w:t>
      </w:r>
      <w:r w:rsidR="00811CEE" w:rsidRPr="006D790D">
        <w:t>Municipal Association of Victoria</w:t>
      </w:r>
      <w:r w:rsidRPr="006D790D">
        <w:t xml:space="preserve"> reported through Day 29 in 8 subjects (2.9%) across the combined treatment groups and in 15 subjects (10.3%) in the placebo group, treatment difference </w:t>
      </w:r>
      <w:r w:rsidR="00FC45E3" w:rsidRPr="006D790D">
        <w:noBreakHyphen/>
      </w:r>
      <w:r w:rsidRPr="006D790D">
        <w:t>7.4% (95% CI: -13.8%, -2.0%) p = 0.0027.</w:t>
      </w:r>
    </w:p>
    <w:p w14:paraId="5E45045F" w14:textId="5F9A9B0F" w:rsidR="00146C2C" w:rsidRPr="006D790D" w:rsidRDefault="00146C2C" w:rsidP="00E242C3">
      <w:pPr>
        <w:pStyle w:val="Heading7"/>
        <w:rPr>
          <w:rFonts w:eastAsia="Minion-Regular"/>
          <w:sz w:val="22"/>
          <w:szCs w:val="28"/>
        </w:rPr>
      </w:pPr>
      <w:r w:rsidRPr="006D790D">
        <w:rPr>
          <w:rFonts w:eastAsia="Minion-Regular"/>
          <w:sz w:val="22"/>
          <w:szCs w:val="28"/>
        </w:rPr>
        <w:t xml:space="preserve">Phase </w:t>
      </w:r>
      <w:r w:rsidR="00AF6815" w:rsidRPr="006D790D">
        <w:rPr>
          <w:rFonts w:eastAsia="Minion-Regular"/>
          <w:sz w:val="22"/>
          <w:szCs w:val="28"/>
        </w:rPr>
        <w:t>III</w:t>
      </w:r>
      <w:r w:rsidRPr="006D790D">
        <w:rPr>
          <w:rFonts w:eastAsia="Minion-Regular"/>
          <w:sz w:val="22"/>
          <w:szCs w:val="28"/>
        </w:rPr>
        <w:t xml:space="preserve"> </w:t>
      </w:r>
      <w:r w:rsidR="00FC45E3" w:rsidRPr="006D790D">
        <w:rPr>
          <w:rFonts w:eastAsia="Minion-Regular"/>
          <w:sz w:val="22"/>
          <w:szCs w:val="28"/>
        </w:rPr>
        <w:t>efficacy analysis (primary and key secondary endpoints)</w:t>
      </w:r>
    </w:p>
    <w:p w14:paraId="18C5A2B5" w14:textId="1283BF80" w:rsidR="00146C2C" w:rsidRPr="006D790D" w:rsidRDefault="00146C2C" w:rsidP="00B1559C">
      <w:r w:rsidRPr="006D790D">
        <w:t xml:space="preserve">The primary analysis of all endpoints in the hierarchy reached statistical significance. The proportion of participants who had at least </w:t>
      </w:r>
      <w:r w:rsidR="00FC45E3" w:rsidRPr="006D790D">
        <w:t>one</w:t>
      </w:r>
      <w:r w:rsidRPr="006D790D">
        <w:t xml:space="preserve"> COVID-19</w:t>
      </w:r>
      <w:r w:rsidR="00FC7942" w:rsidRPr="006D790D">
        <w:t xml:space="preserve"> </w:t>
      </w:r>
      <w:r w:rsidRPr="006D790D">
        <w:t>related hospitali</w:t>
      </w:r>
      <w:r w:rsidR="00AF6815" w:rsidRPr="006D790D">
        <w:t>s</w:t>
      </w:r>
      <w:r w:rsidRPr="006D790D">
        <w:t>ation or all</w:t>
      </w:r>
      <w:r w:rsidR="00FC7942" w:rsidRPr="006D790D">
        <w:t xml:space="preserve"> </w:t>
      </w:r>
      <w:r w:rsidRPr="006D790D">
        <w:t xml:space="preserve">cause death through Day 29 was significantly reduced with </w:t>
      </w:r>
      <w:proofErr w:type="spellStart"/>
      <w:r w:rsidRPr="006D790D">
        <w:t>casirivimab</w:t>
      </w:r>
      <w:proofErr w:type="spellEnd"/>
      <w:r w:rsidR="00EA28EF" w:rsidRPr="006D790D">
        <w:t>/</w:t>
      </w:r>
      <w:proofErr w:type="spellStart"/>
      <w:r w:rsidRPr="006D790D">
        <w:t>imdevimab</w:t>
      </w:r>
      <w:proofErr w:type="spellEnd"/>
      <w:r w:rsidRPr="006D790D">
        <w:t xml:space="preserve"> 2400</w:t>
      </w:r>
      <w:r w:rsidR="00FC7942" w:rsidRPr="006D790D">
        <w:t> </w:t>
      </w:r>
      <w:r w:rsidRPr="006D790D">
        <w:t xml:space="preserve">mg compared to placebo (1.3% </w:t>
      </w:r>
      <w:r w:rsidR="00316746" w:rsidRPr="006D790D">
        <w:t xml:space="preserve">versus </w:t>
      </w:r>
      <w:r w:rsidRPr="006D790D">
        <w:t>4.6%), corresponding to a relative risk reduction of 71.3% (95% CI: 51.7%, 82.9%; p</w:t>
      </w:r>
      <w:r w:rsidR="00FC7942" w:rsidRPr="006D790D">
        <w:t xml:space="preserve"> </w:t>
      </w:r>
      <w:r w:rsidRPr="006D790D">
        <w:t>&lt;</w:t>
      </w:r>
      <w:r w:rsidR="00FC7942" w:rsidRPr="006D790D">
        <w:t xml:space="preserve"> </w:t>
      </w:r>
      <w:r w:rsidRPr="006D790D">
        <w:t xml:space="preserve">0.0001). The proportion of participants who had at least </w:t>
      </w:r>
      <w:r w:rsidR="00FC7942" w:rsidRPr="006D790D">
        <w:t>one</w:t>
      </w:r>
      <w:r w:rsidRPr="006D790D">
        <w:t xml:space="preserve"> COVID-19</w:t>
      </w:r>
      <w:r w:rsidR="00FC7942" w:rsidRPr="006D790D">
        <w:t xml:space="preserve"> </w:t>
      </w:r>
      <w:r w:rsidRPr="006D790D">
        <w:t>related hospitali</w:t>
      </w:r>
      <w:r w:rsidR="00AF6815" w:rsidRPr="006D790D">
        <w:t>s</w:t>
      </w:r>
      <w:r w:rsidRPr="006D790D">
        <w:t>ation or all</w:t>
      </w:r>
      <w:r w:rsidR="00FC7942" w:rsidRPr="006D790D">
        <w:t xml:space="preserve"> </w:t>
      </w:r>
      <w:r w:rsidRPr="006D790D">
        <w:t>cause death through Day</w:t>
      </w:r>
      <w:r w:rsidR="00FC7942" w:rsidRPr="006D790D">
        <w:t> </w:t>
      </w:r>
      <w:r w:rsidRPr="006D790D">
        <w:t xml:space="preserve">29 was also significantly reduced with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FC7942" w:rsidRPr="006D790D">
        <w:t> </w:t>
      </w:r>
      <w:r w:rsidRPr="006D790D">
        <w:t xml:space="preserve">mg compared to placebo </w:t>
      </w:r>
      <w:r w:rsidRPr="006D790D">
        <w:lastRenderedPageBreak/>
        <w:t xml:space="preserve">(1.0% </w:t>
      </w:r>
      <w:r w:rsidR="00316746" w:rsidRPr="006D790D">
        <w:t xml:space="preserve">versus </w:t>
      </w:r>
      <w:r w:rsidRPr="006D790D">
        <w:t>3.2%), corresponding to a relative risk reduction of 70.4% (95% CI: 31.6%, 87.1%; p</w:t>
      </w:r>
      <w:r w:rsidR="00FC7942" w:rsidRPr="006D790D">
        <w:t xml:space="preserve"> </w:t>
      </w:r>
      <w:r w:rsidRPr="006D790D">
        <w:t>&lt;</w:t>
      </w:r>
      <w:r w:rsidR="00FC7942" w:rsidRPr="006D790D">
        <w:t xml:space="preserve"> </w:t>
      </w:r>
      <w:r w:rsidRPr="006D790D">
        <w:t>0.0024).</w:t>
      </w:r>
    </w:p>
    <w:p w14:paraId="70FFA655" w14:textId="283DF790" w:rsidR="00146C2C" w:rsidRDefault="00D5326E" w:rsidP="00B83541">
      <w:pPr>
        <w:pStyle w:val="TableTitle"/>
      </w:pPr>
      <w:r w:rsidRPr="006D790D">
        <w:t xml:space="preserve">Table </w:t>
      </w:r>
      <w:fldSimple w:instr=" SEQ Table \* ARABIC ">
        <w:r w:rsidR="007F1879">
          <w:rPr>
            <w:noProof/>
          </w:rPr>
          <w:t>15</w:t>
        </w:r>
      </w:fldSimple>
      <w:r w:rsidRPr="006D790D">
        <w:t>:</w:t>
      </w:r>
      <w:r w:rsidR="00146C2C" w:rsidRPr="006D790D">
        <w:t xml:space="preserve"> </w:t>
      </w:r>
      <w:r w:rsidR="00B83541" w:rsidRPr="006D790D">
        <w:t xml:space="preserve">Study COV-2067 </w:t>
      </w:r>
      <w:r w:rsidR="00146C2C" w:rsidRPr="006D790D">
        <w:t xml:space="preserve">Primary and key secondary efficacy results in the statistical hierarchy (Phase </w:t>
      </w:r>
      <w:r w:rsidR="00AF6815" w:rsidRPr="006D790D">
        <w:t>III</w:t>
      </w:r>
      <w:r w:rsidR="00B83541" w:rsidRPr="006D790D">
        <w:t>)</w:t>
      </w:r>
    </w:p>
    <w:p w14:paraId="7948B18F" w14:textId="30E2CE57" w:rsidR="0030635D" w:rsidRDefault="0030635D" w:rsidP="00084EC5">
      <w:r>
        <w:rPr>
          <w:noProof/>
        </w:rPr>
        <w:drawing>
          <wp:inline distT="0" distB="0" distL="0" distR="0" wp14:anchorId="7632FE26" wp14:editId="2AB19D10">
            <wp:extent cx="5400040" cy="3750945"/>
            <wp:effectExtent l="0" t="0" r="0" b="1905"/>
            <wp:docPr id="52" name="Picture 52" descr="Table 15: Study COV-2067 Primary and key secondary efficacy results in the statistical hierarchy (Phase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 15: Study COV-2067 Primary and key secondary efficacy results in the statistical hierarchy (Phase III)"/>
                    <pic:cNvPicPr/>
                  </pic:nvPicPr>
                  <pic:blipFill>
                    <a:blip r:embed="rId41"/>
                    <a:stretch>
                      <a:fillRect/>
                    </a:stretch>
                  </pic:blipFill>
                  <pic:spPr>
                    <a:xfrm>
                      <a:off x="0" y="0"/>
                      <a:ext cx="5400040" cy="3750945"/>
                    </a:xfrm>
                    <a:prstGeom prst="rect">
                      <a:avLst/>
                    </a:prstGeom>
                  </pic:spPr>
                </pic:pic>
              </a:graphicData>
            </a:graphic>
          </wp:inline>
        </w:drawing>
      </w:r>
    </w:p>
    <w:p w14:paraId="08129A6E" w14:textId="25A12C7B" w:rsidR="0030635D" w:rsidRPr="006D790D" w:rsidRDefault="0030635D" w:rsidP="00BB0979">
      <w:pPr>
        <w:pStyle w:val="TableDescription"/>
      </w:pPr>
      <w:r w:rsidRPr="0030635D">
        <w:t>COVID-19 = coronavirus disease 2019</w:t>
      </w:r>
      <w:r>
        <w:t>;</w:t>
      </w:r>
      <w:r w:rsidRPr="0030635D">
        <w:t xml:space="preserve"> </w:t>
      </w:r>
      <w:proofErr w:type="spellStart"/>
      <w:r w:rsidRPr="0030635D">
        <w:t>mFAS</w:t>
      </w:r>
      <w:proofErr w:type="spellEnd"/>
      <w:r w:rsidRPr="0030635D">
        <w:t xml:space="preserve"> = modified full analysis set</w:t>
      </w:r>
      <w:r>
        <w:t xml:space="preserve">; </w:t>
      </w:r>
      <w:r w:rsidRPr="0030635D">
        <w:t>IV = intravenous</w:t>
      </w:r>
      <w:r>
        <w:t xml:space="preserve">; </w:t>
      </w:r>
      <w:r w:rsidRPr="0030635D">
        <w:t>vs = versus</w:t>
      </w:r>
      <w:r>
        <w:t xml:space="preserve">; </w:t>
      </w:r>
      <w:bookmarkStart w:id="85" w:name="_Hlk85795752"/>
      <w:r>
        <w:t>CI = confidence interval.</w:t>
      </w:r>
      <w:bookmarkEnd w:id="85"/>
    </w:p>
    <w:p w14:paraId="1A9D0E02" w14:textId="41CA3E85" w:rsidR="00146C2C" w:rsidRPr="006D790D" w:rsidRDefault="0030635D" w:rsidP="00BB0979">
      <w:pPr>
        <w:pStyle w:val="TableDescription"/>
        <w:rPr>
          <w:rFonts w:asciiTheme="minorHAnsi" w:eastAsia="Minion-Regular" w:hAnsiTheme="minorHAnsi" w:cs="Minion-Regular"/>
          <w:color w:val="000000"/>
        </w:rPr>
      </w:pPr>
      <w:r>
        <w:rPr>
          <w:rFonts w:asciiTheme="minorHAnsi" w:eastAsia="Minion-Regular" w:hAnsiTheme="minorHAnsi" w:cs="Minion-Regular"/>
          <w:color w:val="000000"/>
        </w:rPr>
        <w:t>* key secondary endpoint</w:t>
      </w:r>
    </w:p>
    <w:p w14:paraId="162F1169" w14:textId="598EAE31" w:rsidR="00146C2C" w:rsidRPr="006D790D" w:rsidRDefault="00D5326E" w:rsidP="00B83541">
      <w:pPr>
        <w:pStyle w:val="TableTitle"/>
      </w:pPr>
      <w:bookmarkStart w:id="86" w:name="_Ref85138491"/>
      <w:r w:rsidRPr="006D790D">
        <w:t xml:space="preserve">Table </w:t>
      </w:r>
      <w:fldSimple w:instr=" SEQ Table \* ARABIC ">
        <w:r w:rsidR="007F1879">
          <w:rPr>
            <w:noProof/>
          </w:rPr>
          <w:t>16</w:t>
        </w:r>
      </w:fldSimple>
      <w:bookmarkEnd w:id="86"/>
      <w:r w:rsidR="00146C2C" w:rsidRPr="006D790D">
        <w:t xml:space="preserve">: </w:t>
      </w:r>
      <w:r w:rsidR="00B83541" w:rsidRPr="006D790D">
        <w:t xml:space="preserve">Study COV-2067 </w:t>
      </w:r>
      <w:r w:rsidR="00146C2C" w:rsidRPr="006D790D">
        <w:t>Summary of composite primary outcome in patients with and without risk factors</w:t>
      </w:r>
    </w:p>
    <w:p w14:paraId="26BBA2D7" w14:textId="0CF60C9D" w:rsidR="00146C2C" w:rsidRDefault="00146C2C" w:rsidP="00146C2C">
      <w:r w:rsidRPr="006D790D">
        <w:rPr>
          <w:noProof/>
          <w:lang w:val="en-GB" w:eastAsia="en-GB"/>
        </w:rPr>
        <w:drawing>
          <wp:inline distT="0" distB="0" distL="0" distR="0" wp14:anchorId="41705314" wp14:editId="698F4274">
            <wp:extent cx="5404514" cy="3329940"/>
            <wp:effectExtent l="0" t="0" r="5715" b="3810"/>
            <wp:docPr id="10" name="Picture 10" descr="Study COV-2067 Summary of composite primary outcome in patients with and without risk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udy COV-2067 Summary of composite primary outcome in patients with and without risk factor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4773"/>
                    <a:stretch/>
                  </pic:blipFill>
                  <pic:spPr bwMode="auto">
                    <a:xfrm>
                      <a:off x="0" y="0"/>
                      <a:ext cx="5407371" cy="3331700"/>
                    </a:xfrm>
                    <a:prstGeom prst="rect">
                      <a:avLst/>
                    </a:prstGeom>
                    <a:noFill/>
                    <a:ln>
                      <a:noFill/>
                    </a:ln>
                    <a:extLst>
                      <a:ext uri="{53640926-AAD7-44D8-BBD7-CCE9431645EC}">
                        <a14:shadowObscured xmlns:a14="http://schemas.microsoft.com/office/drawing/2010/main"/>
                      </a:ext>
                    </a:extLst>
                  </pic:spPr>
                </pic:pic>
              </a:graphicData>
            </a:graphic>
          </wp:inline>
        </w:drawing>
      </w:r>
    </w:p>
    <w:p w14:paraId="564EA93E" w14:textId="06EBBE5A" w:rsidR="0030635D" w:rsidRPr="009C45A3" w:rsidRDefault="0030635D" w:rsidP="00BB0979">
      <w:pPr>
        <w:pStyle w:val="TableDescription"/>
      </w:pPr>
      <w:r w:rsidRPr="009C45A3">
        <w:lastRenderedPageBreak/>
        <w:t xml:space="preserve">COV-2067 = Study COV-2067; COVID-19 = coronavirus disease 2019; </w:t>
      </w:r>
      <w:proofErr w:type="spellStart"/>
      <w:r w:rsidRPr="009C45A3">
        <w:t>mFAS</w:t>
      </w:r>
      <w:proofErr w:type="spellEnd"/>
      <w:r w:rsidRPr="009C45A3">
        <w:t xml:space="preserve"> = modified full analysis set; n = sample size; IV = intravenous; FAS = full analysis set.</w:t>
      </w:r>
    </w:p>
    <w:p w14:paraId="0762E6B4" w14:textId="13504684" w:rsidR="00146C2C" w:rsidRPr="006D790D" w:rsidRDefault="00146C2C" w:rsidP="00B1559C">
      <w:r w:rsidRPr="006D790D">
        <w:t>The efficacy outcomes among patients who had no protocol</w:t>
      </w:r>
      <w:r w:rsidR="00FC7942" w:rsidRPr="006D790D">
        <w:t xml:space="preserve"> </w:t>
      </w:r>
      <w:r w:rsidRPr="006D790D">
        <w:t>defined risk factors suggest that the rate of events in these patients is too low to reali</w:t>
      </w:r>
      <w:r w:rsidR="00AF6815" w:rsidRPr="006D790D">
        <w:t>s</w:t>
      </w:r>
      <w:r w:rsidRPr="006D790D">
        <w:t xml:space="preserve">e a benefit: 2/369 in placebo group and 0/771 in the two active treatment groups (see </w:t>
      </w:r>
      <w:r w:rsidR="00D5326E" w:rsidRPr="006D790D">
        <w:fldChar w:fldCharType="begin"/>
      </w:r>
      <w:r w:rsidR="00D5326E" w:rsidRPr="006D790D">
        <w:instrText xml:space="preserve"> REF _Ref85138491 \h </w:instrText>
      </w:r>
      <w:r w:rsidR="006D790D">
        <w:instrText xml:space="preserve"> \* MERGEFORMAT </w:instrText>
      </w:r>
      <w:r w:rsidR="00D5326E" w:rsidRPr="006D790D">
        <w:fldChar w:fldCharType="separate"/>
      </w:r>
      <w:r w:rsidR="007F1879" w:rsidRPr="006D790D">
        <w:t xml:space="preserve">Table </w:t>
      </w:r>
      <w:r w:rsidR="007F1879">
        <w:rPr>
          <w:noProof/>
        </w:rPr>
        <w:t>16</w:t>
      </w:r>
      <w:r w:rsidR="00D5326E" w:rsidRPr="006D790D">
        <w:fldChar w:fldCharType="end"/>
      </w:r>
      <w:r w:rsidR="00D5326E" w:rsidRPr="006D790D">
        <w:t xml:space="preserve"> </w:t>
      </w:r>
      <w:r w:rsidRPr="006D790D">
        <w:t>above).</w:t>
      </w:r>
    </w:p>
    <w:p w14:paraId="78393DA3" w14:textId="409BF0CA" w:rsidR="00146C2C" w:rsidRPr="006D790D" w:rsidRDefault="00146C2C" w:rsidP="00B1559C">
      <w:bookmarkStart w:id="87" w:name="_Hlk83192101"/>
      <w:r w:rsidRPr="006D790D">
        <w:t xml:space="preserve">Efficacy results were consistent across various baseline viral load and serostatus subgroups (see </w:t>
      </w:r>
      <w:r w:rsidR="001D545B" w:rsidRPr="006D790D">
        <w:fldChar w:fldCharType="begin"/>
      </w:r>
      <w:r w:rsidR="001D545B" w:rsidRPr="006D790D">
        <w:instrText xml:space="preserve"> REF _Ref85139332 \h </w:instrText>
      </w:r>
      <w:r w:rsidR="006D790D">
        <w:instrText xml:space="preserve"> \* MERGEFORMAT </w:instrText>
      </w:r>
      <w:r w:rsidR="001D545B" w:rsidRPr="006D790D">
        <w:fldChar w:fldCharType="separate"/>
      </w:r>
      <w:r w:rsidR="007F1879" w:rsidRPr="006D790D">
        <w:t xml:space="preserve">Figure </w:t>
      </w:r>
      <w:r w:rsidR="007F1879">
        <w:rPr>
          <w:noProof/>
        </w:rPr>
        <w:t>11</w:t>
      </w:r>
      <w:r w:rsidR="001D545B" w:rsidRPr="006D790D">
        <w:fldChar w:fldCharType="end"/>
      </w:r>
      <w:r w:rsidRPr="006D790D">
        <w:t xml:space="preserve"> below). </w:t>
      </w:r>
      <w:proofErr w:type="spellStart"/>
      <w:r w:rsidRPr="006D790D">
        <w:t>Casirivimab</w:t>
      </w:r>
      <w:proofErr w:type="spellEnd"/>
      <w:r w:rsidR="00EA28EF" w:rsidRPr="006D790D">
        <w:t>/</w:t>
      </w:r>
      <w:proofErr w:type="spellStart"/>
      <w:r w:rsidRPr="006D790D">
        <w:t>imdevimab</w:t>
      </w:r>
      <w:proofErr w:type="spellEnd"/>
      <w:r w:rsidRPr="006D790D">
        <w:t xml:space="preserve"> also resulted in a lower proportion of hospitali</w:t>
      </w:r>
      <w:r w:rsidR="00AF6815" w:rsidRPr="006D790D">
        <w:t>s</w:t>
      </w:r>
      <w:r w:rsidRPr="006D790D">
        <w:t>ations or all</w:t>
      </w:r>
      <w:r w:rsidR="00FC7942" w:rsidRPr="006D790D">
        <w:t xml:space="preserve"> </w:t>
      </w:r>
      <w:r w:rsidRPr="006D790D">
        <w:t xml:space="preserve">cause death compared to placebo in the smaller group of participants who were seropositive at </w:t>
      </w:r>
      <w:r w:rsidR="00FB39BC" w:rsidRPr="006D790D">
        <w:t>Baseline</w:t>
      </w:r>
      <w:r w:rsidRPr="006D790D">
        <w:t xml:space="preserve"> (not pre-specified as an efficacy endpoint). For this subset of participants treated with 2400</w:t>
      </w:r>
      <w:r w:rsidR="00FC7942" w:rsidRPr="006D790D">
        <w:t> </w:t>
      </w:r>
      <w:r w:rsidRPr="006D790D">
        <w:t xml:space="preserve">mg, the relative risk reduction </w:t>
      </w:r>
      <w:r w:rsidR="00316746" w:rsidRPr="006D790D">
        <w:t>versus</w:t>
      </w:r>
      <w:r w:rsidRPr="006D790D">
        <w:t xml:space="preserve"> placebo was 69.3% (nominal p</w:t>
      </w:r>
      <w:r w:rsidR="00FC7942" w:rsidRPr="006D790D">
        <w:t xml:space="preserve"> </w:t>
      </w:r>
      <w:r w:rsidRPr="006D790D">
        <w:t>=</w:t>
      </w:r>
      <w:r w:rsidR="00FC7942" w:rsidRPr="006D790D">
        <w:t xml:space="preserve"> </w:t>
      </w:r>
      <w:r w:rsidRPr="006D790D">
        <w:t>0.0400). For the smaller number of participants treated with 1200</w:t>
      </w:r>
      <w:r w:rsidR="00FC7942" w:rsidRPr="006D790D">
        <w:t> </w:t>
      </w:r>
      <w:r w:rsidRPr="006D790D">
        <w:t>mg, the relative risk reduction was 84.6% (nominal p</w:t>
      </w:r>
      <w:r w:rsidR="00FC7942" w:rsidRPr="006D790D">
        <w:t> </w:t>
      </w:r>
      <w:r w:rsidRPr="006D790D">
        <w:t>=</w:t>
      </w:r>
      <w:r w:rsidR="00FC7942" w:rsidRPr="006D790D">
        <w:t> </w:t>
      </w:r>
      <w:r w:rsidRPr="006D790D">
        <w:t>0.0588).</w:t>
      </w:r>
      <w:bookmarkEnd w:id="87"/>
    </w:p>
    <w:p w14:paraId="2D08F936" w14:textId="3F41600F" w:rsidR="00146C2C" w:rsidRPr="006D790D" w:rsidRDefault="001D545B" w:rsidP="00030A65">
      <w:pPr>
        <w:pStyle w:val="TableTitle"/>
      </w:pPr>
      <w:bookmarkStart w:id="88" w:name="_Ref85139332"/>
      <w:r w:rsidRPr="006D790D">
        <w:t xml:space="preserve">Figure </w:t>
      </w:r>
      <w:fldSimple w:instr=" SEQ Figure \* ARABIC ">
        <w:r w:rsidR="007F1879">
          <w:rPr>
            <w:noProof/>
          </w:rPr>
          <w:t>11</w:t>
        </w:r>
      </w:fldSimple>
      <w:bookmarkEnd w:id="88"/>
      <w:r w:rsidR="00146C2C" w:rsidRPr="006D790D">
        <w:t>:</w:t>
      </w:r>
      <w:r w:rsidR="00B83541" w:rsidRPr="006D790D">
        <w:t xml:space="preserve"> Study COV-2067 </w:t>
      </w:r>
      <w:r w:rsidR="00146C2C" w:rsidRPr="006D790D">
        <w:t>Subgroup results for COVID-19 related hospitalisations or all</w:t>
      </w:r>
      <w:r w:rsidR="00B83541" w:rsidRPr="006D790D">
        <w:t xml:space="preserve"> </w:t>
      </w:r>
      <w:r w:rsidR="00146C2C" w:rsidRPr="006D790D">
        <w:t xml:space="preserve">cause </w:t>
      </w:r>
      <w:r w:rsidR="00B83541" w:rsidRPr="006D790D">
        <w:t>d</w:t>
      </w:r>
      <w:r w:rsidR="00146C2C" w:rsidRPr="006D790D">
        <w:t xml:space="preserve">eaths through Day 29 in participants with more than </w:t>
      </w:r>
      <w:r w:rsidR="00B83541" w:rsidRPr="006D790D">
        <w:t>one</w:t>
      </w:r>
      <w:r w:rsidR="00146C2C" w:rsidRPr="006D790D">
        <w:t xml:space="preserve"> risk factor for severe COVID-19 (</w:t>
      </w:r>
      <w:r w:rsidR="00216A81" w:rsidRPr="006D790D">
        <w:t>modified full analysis set</w:t>
      </w:r>
      <w:r w:rsidR="00146C2C" w:rsidRPr="006D790D">
        <w:t>)</w:t>
      </w:r>
    </w:p>
    <w:p w14:paraId="4C4D494F" w14:textId="71C18C76" w:rsidR="00146C2C" w:rsidRDefault="00146C2C" w:rsidP="00146C2C">
      <w:pPr>
        <w:autoSpaceDE w:val="0"/>
        <w:autoSpaceDN w:val="0"/>
        <w:adjustRightInd w:val="0"/>
        <w:spacing w:before="0" w:after="0" w:line="240" w:lineRule="auto"/>
        <w:rPr>
          <w:rFonts w:asciiTheme="minorHAnsi" w:eastAsia="Minion-Regular" w:hAnsiTheme="minorHAnsi" w:cs="Minion-Regular"/>
          <w:color w:val="000000"/>
        </w:rPr>
      </w:pPr>
      <w:r w:rsidRPr="006D790D">
        <w:rPr>
          <w:rFonts w:asciiTheme="minorHAnsi" w:eastAsia="Minion-Regular" w:hAnsiTheme="minorHAnsi" w:cs="Minion-Regular"/>
          <w:noProof/>
          <w:color w:val="000000"/>
          <w:lang w:val="en-GB" w:eastAsia="en-GB"/>
        </w:rPr>
        <w:drawing>
          <wp:inline distT="0" distB="0" distL="0" distR="0" wp14:anchorId="03AF326F" wp14:editId="18AE8544">
            <wp:extent cx="5499730" cy="3549041"/>
            <wp:effectExtent l="0" t="0" r="6350" b="0"/>
            <wp:docPr id="1" name="Picture 1" descr="Study COV-2067 Subgroup results for COVID-19 related hospitalisations or all cause deaths through Day 29 in participants with more than one risk factor for severe COVID-19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udy COV-2067 Subgroup results for COVID-19 related hospitalisations or all cause deaths through Day 29 in participants with more than one risk factor for severe COVID-19 (modified full analysis se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21350" cy="3562993"/>
                    </a:xfrm>
                    <a:prstGeom prst="rect">
                      <a:avLst/>
                    </a:prstGeom>
                    <a:noFill/>
                    <a:ln>
                      <a:noFill/>
                    </a:ln>
                  </pic:spPr>
                </pic:pic>
              </a:graphicData>
            </a:graphic>
          </wp:inline>
        </w:drawing>
      </w:r>
    </w:p>
    <w:p w14:paraId="293691BD" w14:textId="56C680EC" w:rsidR="00814C00" w:rsidRPr="006D790D" w:rsidRDefault="0030635D" w:rsidP="00084EC5">
      <w:pPr>
        <w:pStyle w:val="FigureDescription"/>
        <w:rPr>
          <w:rFonts w:asciiTheme="minorHAnsi" w:eastAsia="Minion-Regular" w:hAnsiTheme="minorHAnsi" w:cs="Minion-Regular"/>
          <w:color w:val="000000"/>
        </w:rPr>
      </w:pPr>
      <w:r w:rsidRPr="0030635D">
        <w:t>COVID-19 = coronavirus disease 2019</w:t>
      </w:r>
      <w:r>
        <w:t xml:space="preserve">; </w:t>
      </w:r>
      <w:r w:rsidR="00814C00" w:rsidRPr="00814C00">
        <w:t>R10933</w:t>
      </w:r>
      <w:r w:rsidR="00814C00">
        <w:t xml:space="preserve"> </w:t>
      </w:r>
      <w:r w:rsidR="00814C00" w:rsidRPr="00814C00">
        <w:t>+</w:t>
      </w:r>
      <w:r w:rsidR="00814C00">
        <w:t xml:space="preserve"> </w:t>
      </w:r>
      <w:r w:rsidR="00814C00" w:rsidRPr="00814C00">
        <w:t>R10987</w:t>
      </w:r>
      <w:r w:rsidR="00814C00">
        <w:t xml:space="preserve"> = </w:t>
      </w:r>
      <w:proofErr w:type="spellStart"/>
      <w:r w:rsidR="00814C00">
        <w:t>casirivimab</w:t>
      </w:r>
      <w:proofErr w:type="spellEnd"/>
      <w:r w:rsidR="00814C00">
        <w:t xml:space="preserve"> + </w:t>
      </w:r>
      <w:proofErr w:type="spellStart"/>
      <w:r w:rsidR="00814C00">
        <w:t>imdevimab</w:t>
      </w:r>
      <w:proofErr w:type="spellEnd"/>
      <w:r>
        <w:t xml:space="preserve">; </w:t>
      </w:r>
      <w:r w:rsidRPr="0030635D">
        <w:t>N = number of subjects</w:t>
      </w:r>
      <w:r>
        <w:t xml:space="preserve">; </w:t>
      </w:r>
      <w:r w:rsidRPr="0030635D">
        <w:t>CI = confidence interval</w:t>
      </w:r>
      <w:r>
        <w:t>; P = p</w:t>
      </w:r>
      <w:r>
        <w:noBreakHyphen/>
        <w:t xml:space="preserve">value; </w:t>
      </w:r>
      <w:proofErr w:type="spellStart"/>
      <w:r w:rsidRPr="0030635D">
        <w:t>mFAS</w:t>
      </w:r>
      <w:proofErr w:type="spellEnd"/>
      <w:r w:rsidRPr="0030635D">
        <w:t xml:space="preserve"> = modified full analysis set</w:t>
      </w:r>
      <w:r>
        <w:t xml:space="preserve">; </w:t>
      </w:r>
      <w:r w:rsidRPr="0030635D">
        <w:t>vs = versus.</w:t>
      </w:r>
    </w:p>
    <w:p w14:paraId="0C8A7846" w14:textId="4A4CEE63" w:rsidR="00146C2C" w:rsidRPr="006D790D" w:rsidRDefault="00146C2C" w:rsidP="00B1559C">
      <w:r w:rsidRPr="006D790D">
        <w:t xml:space="preserve">Treatment benefit with </w:t>
      </w:r>
      <w:proofErr w:type="spellStart"/>
      <w:r w:rsidRPr="006D790D">
        <w:t>casirivimab</w:t>
      </w:r>
      <w:proofErr w:type="spellEnd"/>
      <w:r w:rsidR="00EA28EF" w:rsidRPr="006D790D">
        <w:t>/</w:t>
      </w:r>
      <w:proofErr w:type="spellStart"/>
      <w:r w:rsidRPr="006D790D">
        <w:t>imdevimab</w:t>
      </w:r>
      <w:proofErr w:type="spellEnd"/>
      <w:r w:rsidRPr="006D790D">
        <w:t xml:space="preserve"> was observed as early as 2 days after treatment and the difference in the proportion of patients with events between placebo and each of the </w:t>
      </w:r>
      <w:proofErr w:type="spellStart"/>
      <w:r w:rsidRPr="006D790D">
        <w:t>casirivimab</w:t>
      </w:r>
      <w:proofErr w:type="spellEnd"/>
      <w:r w:rsidR="00EA28EF" w:rsidRPr="006D790D">
        <w:t>/</w:t>
      </w:r>
      <w:proofErr w:type="spellStart"/>
      <w:r w:rsidRPr="006D790D">
        <w:t>imdevimab</w:t>
      </w:r>
      <w:proofErr w:type="spellEnd"/>
      <w:r w:rsidRPr="006D790D">
        <w:t xml:space="preserve"> treatment groups maintained through Day 29.</w:t>
      </w:r>
    </w:p>
    <w:p w14:paraId="3734C503" w14:textId="7F5F595E" w:rsidR="00146C2C" w:rsidRDefault="001D545B" w:rsidP="00030A65">
      <w:pPr>
        <w:pStyle w:val="TableTitle"/>
      </w:pPr>
      <w:r w:rsidRPr="006D790D">
        <w:lastRenderedPageBreak/>
        <w:t xml:space="preserve">Figure </w:t>
      </w:r>
      <w:fldSimple w:instr=" SEQ Figure \* ARABIC ">
        <w:r w:rsidR="007F1879">
          <w:rPr>
            <w:noProof/>
          </w:rPr>
          <w:t>12</w:t>
        </w:r>
      </w:fldSimple>
      <w:r w:rsidR="00146C2C" w:rsidRPr="006D790D">
        <w:t xml:space="preserve">: </w:t>
      </w:r>
      <w:r w:rsidR="00030A65" w:rsidRPr="006D790D">
        <w:t xml:space="preserve">Study COV-2067 </w:t>
      </w:r>
      <w:r w:rsidR="00146C2C" w:rsidRPr="006D790D">
        <w:t>Time to COVID-19-related hospitalisation or all</w:t>
      </w:r>
      <w:r w:rsidR="00030A65" w:rsidRPr="006D790D">
        <w:t xml:space="preserve"> </w:t>
      </w:r>
      <w:r w:rsidR="00146C2C" w:rsidRPr="006D790D">
        <w:t xml:space="preserve">cause death through Day 29 for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2400 mg </w:t>
      </w:r>
      <w:r w:rsidR="00F43ACD" w:rsidRPr="006D790D">
        <w:t>intravenous</w:t>
      </w:r>
      <w:r w:rsidR="00146C2C" w:rsidRPr="006D790D">
        <w:t xml:space="preserve"> with ≥ 1 risk factor for severe COVID-19 (</w:t>
      </w:r>
      <w:r w:rsidR="00216A81" w:rsidRPr="006D790D">
        <w:t>modified full analysis set</w:t>
      </w:r>
      <w:r w:rsidR="00146C2C" w:rsidRPr="006D790D">
        <w:t>)</w:t>
      </w:r>
    </w:p>
    <w:p w14:paraId="5CB614C0" w14:textId="0F42D61A" w:rsidR="0045221A" w:rsidRPr="006D790D" w:rsidRDefault="0045221A" w:rsidP="00084EC5">
      <w:pPr>
        <w:rPr>
          <w:rFonts w:ascii="Times New Roman" w:eastAsiaTheme="minorHAnsi" w:hAnsi="Times New Roman"/>
          <w:sz w:val="24"/>
          <w:szCs w:val="24"/>
        </w:rPr>
      </w:pPr>
      <w:r>
        <w:rPr>
          <w:noProof/>
        </w:rPr>
        <w:drawing>
          <wp:inline distT="0" distB="0" distL="0" distR="0" wp14:anchorId="121C5E58" wp14:editId="0F5C25E8">
            <wp:extent cx="5257509" cy="2609589"/>
            <wp:effectExtent l="0" t="0" r="635" b="635"/>
            <wp:docPr id="61" name="Picture 61" descr="Study COV-2067 Time to COVID-19-related hospitalisation or all cause death through Day 29 for casirivimab/imdevimab 2400 mg intravenous with ≥ 1 risk factor for severe COVID-19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tudy COV-2067 Time to COVID-19-related hospitalisation or all cause death through Day 29 for casirivimab/imdevimab 2400 mg intravenous with ≥ 1 risk factor for severe COVID-19 (modified full analysis set)"/>
                    <pic:cNvPicPr/>
                  </pic:nvPicPr>
                  <pic:blipFill>
                    <a:blip r:embed="rId44"/>
                    <a:stretch>
                      <a:fillRect/>
                    </a:stretch>
                  </pic:blipFill>
                  <pic:spPr>
                    <a:xfrm>
                      <a:off x="0" y="0"/>
                      <a:ext cx="5266820" cy="2614211"/>
                    </a:xfrm>
                    <a:prstGeom prst="rect">
                      <a:avLst/>
                    </a:prstGeom>
                  </pic:spPr>
                </pic:pic>
              </a:graphicData>
            </a:graphic>
          </wp:inline>
        </w:drawing>
      </w:r>
    </w:p>
    <w:p w14:paraId="4860F52E" w14:textId="34749859" w:rsidR="0030635D" w:rsidRPr="009C45A3" w:rsidRDefault="0030635D" w:rsidP="00084EC5">
      <w:pPr>
        <w:pStyle w:val="FigureDescription"/>
      </w:pPr>
      <w:r w:rsidRPr="009C45A3">
        <w:t xml:space="preserve">COVID-19 = coronavirus disease 2019; R10933 + R10987 = </w:t>
      </w:r>
      <w:proofErr w:type="spellStart"/>
      <w:r w:rsidRPr="009C45A3">
        <w:t>casirivimab</w:t>
      </w:r>
      <w:proofErr w:type="spellEnd"/>
      <w:r w:rsidRPr="009C45A3">
        <w:t xml:space="preserve"> + </w:t>
      </w:r>
      <w:proofErr w:type="spellStart"/>
      <w:r w:rsidRPr="009C45A3">
        <w:t>imdevimab</w:t>
      </w:r>
      <w:proofErr w:type="spellEnd"/>
      <w:r w:rsidRPr="009C45A3">
        <w:t>; IV = intravenous.</w:t>
      </w:r>
    </w:p>
    <w:p w14:paraId="54A714DD" w14:textId="0D78EC07" w:rsidR="0030635D" w:rsidRPr="009C45A3" w:rsidRDefault="0045221A" w:rsidP="00084EC5">
      <w:pPr>
        <w:pStyle w:val="FigureDescription"/>
      </w:pPr>
      <w:r w:rsidRPr="009C45A3">
        <w:t>Randomised patients through 17 January 2021. Data cut-off date is 18 February 2021.</w:t>
      </w:r>
    </w:p>
    <w:p w14:paraId="2D6410B8" w14:textId="1F0BA695" w:rsidR="00146C2C" w:rsidRDefault="001D545B" w:rsidP="00030A65">
      <w:pPr>
        <w:pStyle w:val="TableTitle"/>
      </w:pPr>
      <w:r w:rsidRPr="006D790D">
        <w:t xml:space="preserve">Figure </w:t>
      </w:r>
      <w:fldSimple w:instr=" SEQ Figure \* ARABIC ">
        <w:r w:rsidR="007F1879">
          <w:rPr>
            <w:noProof/>
          </w:rPr>
          <w:t>13</w:t>
        </w:r>
      </w:fldSimple>
      <w:r w:rsidR="00146C2C" w:rsidRPr="006D790D">
        <w:t xml:space="preserve">: </w:t>
      </w:r>
      <w:r w:rsidR="00030A65" w:rsidRPr="006D790D">
        <w:t xml:space="preserve">Study COV-2067 </w:t>
      </w:r>
      <w:r w:rsidR="00146C2C" w:rsidRPr="006D790D">
        <w:t>Time to COVID-19-related hospitalisation or all</w:t>
      </w:r>
      <w:r w:rsidR="00030A65" w:rsidRPr="006D790D">
        <w:t xml:space="preserve"> </w:t>
      </w:r>
      <w:r w:rsidR="00146C2C" w:rsidRPr="006D790D">
        <w:t xml:space="preserve">cause death through Day 29 for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1200 mg </w:t>
      </w:r>
      <w:r w:rsidR="00F43ACD" w:rsidRPr="006D790D">
        <w:t>intravenous</w:t>
      </w:r>
      <w:r w:rsidR="00146C2C" w:rsidRPr="006D790D">
        <w:t xml:space="preserve"> with ≥ 1 risk factor for severe COVID-19 (</w:t>
      </w:r>
      <w:r w:rsidR="00216A81" w:rsidRPr="006D790D">
        <w:t>modified full analysis set</w:t>
      </w:r>
      <w:r w:rsidR="00146C2C" w:rsidRPr="006D790D">
        <w:t>)</w:t>
      </w:r>
    </w:p>
    <w:p w14:paraId="56DD364D" w14:textId="217FC19C" w:rsidR="0045221A" w:rsidRPr="006D790D" w:rsidRDefault="0045221A" w:rsidP="00084EC5">
      <w:pPr>
        <w:rPr>
          <w:rFonts w:ascii="Times New Roman" w:eastAsiaTheme="minorHAnsi" w:hAnsi="Times New Roman"/>
          <w:sz w:val="24"/>
          <w:szCs w:val="24"/>
        </w:rPr>
      </w:pPr>
      <w:r>
        <w:rPr>
          <w:noProof/>
        </w:rPr>
        <w:drawing>
          <wp:inline distT="0" distB="0" distL="0" distR="0" wp14:anchorId="3D333379" wp14:editId="114BFFF2">
            <wp:extent cx="5198301" cy="2465892"/>
            <wp:effectExtent l="0" t="0" r="2540" b="0"/>
            <wp:docPr id="62" name="Picture 62" descr="Study COV-2067 Time to COVID-19-related hospitalisation or all cause death through Day 29 for casirivimab/imdevimab 1200 mg intravenous with ≥ 1 risk factor for severe COVID-19 (modified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tudy COV-2067 Time to COVID-19-related hospitalisation or all cause death through Day 29 for casirivimab/imdevimab 1200 mg intravenous with ≥ 1 risk factor for severe COVID-19 (modified full analysis set)"/>
                    <pic:cNvPicPr/>
                  </pic:nvPicPr>
                  <pic:blipFill>
                    <a:blip r:embed="rId45"/>
                    <a:stretch>
                      <a:fillRect/>
                    </a:stretch>
                  </pic:blipFill>
                  <pic:spPr>
                    <a:xfrm>
                      <a:off x="0" y="0"/>
                      <a:ext cx="5202779" cy="2468016"/>
                    </a:xfrm>
                    <a:prstGeom prst="rect">
                      <a:avLst/>
                    </a:prstGeom>
                  </pic:spPr>
                </pic:pic>
              </a:graphicData>
            </a:graphic>
          </wp:inline>
        </w:drawing>
      </w:r>
    </w:p>
    <w:p w14:paraId="40DADD62" w14:textId="374EC3DD" w:rsidR="0045221A" w:rsidRPr="009C45A3" w:rsidRDefault="0045221A" w:rsidP="00084EC5">
      <w:pPr>
        <w:pStyle w:val="FigureDescription"/>
      </w:pPr>
      <w:r w:rsidRPr="009C45A3">
        <w:t xml:space="preserve">COVID-19 = coronavirus disease 2019; R10933 + R10987 = </w:t>
      </w:r>
      <w:proofErr w:type="spellStart"/>
      <w:r w:rsidRPr="009C45A3">
        <w:t>casirivimab</w:t>
      </w:r>
      <w:proofErr w:type="spellEnd"/>
      <w:r w:rsidRPr="009C45A3">
        <w:t xml:space="preserve"> + </w:t>
      </w:r>
      <w:proofErr w:type="spellStart"/>
      <w:r w:rsidRPr="009C45A3">
        <w:t>imdevimab</w:t>
      </w:r>
      <w:proofErr w:type="spellEnd"/>
      <w:r w:rsidRPr="009C45A3">
        <w:t>; IV = intravenous.</w:t>
      </w:r>
    </w:p>
    <w:p w14:paraId="1B5639E3" w14:textId="00960A7B" w:rsidR="0045221A" w:rsidRPr="00BB0979" w:rsidRDefault="0045221A" w:rsidP="00084EC5">
      <w:pPr>
        <w:pStyle w:val="FigureDescription"/>
      </w:pPr>
      <w:r w:rsidRPr="009C45A3">
        <w:t>Randomised patients through 17 January 2021. Data cut-off date is 18 February 2021.</w:t>
      </w:r>
    </w:p>
    <w:p w14:paraId="6798CCC9" w14:textId="1F06A4C1" w:rsidR="00146C2C" w:rsidRPr="006D790D" w:rsidRDefault="00146C2C" w:rsidP="00E242C3">
      <w:pPr>
        <w:pStyle w:val="Heading7"/>
        <w:rPr>
          <w:rFonts w:eastAsia="TimesNewRomanPS-BoldItalicMT"/>
          <w:sz w:val="22"/>
          <w:szCs w:val="28"/>
        </w:rPr>
      </w:pPr>
      <w:r w:rsidRPr="006D790D">
        <w:rPr>
          <w:rFonts w:eastAsiaTheme="minorHAnsi"/>
          <w:color w:val="000000"/>
          <w:sz w:val="22"/>
          <w:szCs w:val="28"/>
        </w:rPr>
        <w:t xml:space="preserve">Key secondary endpoint: </w:t>
      </w:r>
      <w:r w:rsidR="00FC7942" w:rsidRPr="006D790D">
        <w:rPr>
          <w:rFonts w:eastAsia="TimesNewRomanPS-BoldItalicMT" w:cs="TimesNewRomanPS-BoldItalicMT"/>
          <w:sz w:val="22"/>
          <w:szCs w:val="26"/>
        </w:rPr>
        <w:t xml:space="preserve">proportion of participants with </w:t>
      </w:r>
      <w:r w:rsidRPr="006D790D">
        <w:rPr>
          <w:rFonts w:eastAsia="TimesNewRomanPS-BoldItalicMT" w:cs="TimesNewRomanPS-BoldItalicMT"/>
          <w:sz w:val="22"/>
          <w:szCs w:val="26"/>
        </w:rPr>
        <w:t>≥</w:t>
      </w:r>
      <w:r w:rsidR="00FC7942" w:rsidRPr="006D790D">
        <w:rPr>
          <w:rFonts w:eastAsia="TimesNewRomanPS-BoldItalicMT" w:cs="TimesNewRomanPS-BoldItalicMT"/>
          <w:sz w:val="22"/>
          <w:szCs w:val="26"/>
        </w:rPr>
        <w:t xml:space="preserve"> one</w:t>
      </w:r>
      <w:r w:rsidRPr="006D790D">
        <w:rPr>
          <w:rFonts w:eastAsia="TimesNewRomanPS-BoldItalicMT" w:cs="TimesNewRomanPS-BoldItalicMT"/>
          <w:sz w:val="22"/>
          <w:szCs w:val="26"/>
        </w:rPr>
        <w:t xml:space="preserve"> COVID</w:t>
      </w:r>
      <w:r w:rsidRPr="006D790D">
        <w:rPr>
          <w:rFonts w:eastAsia="TimesNewRomanPS-BoldItalicMT"/>
          <w:sz w:val="22"/>
          <w:szCs w:val="28"/>
        </w:rPr>
        <w:t>-19</w:t>
      </w:r>
      <w:r w:rsidR="00FC7942" w:rsidRPr="006D790D">
        <w:rPr>
          <w:rFonts w:eastAsia="TimesNewRomanPS-BoldItalicMT"/>
          <w:sz w:val="22"/>
          <w:szCs w:val="28"/>
        </w:rPr>
        <w:t xml:space="preserve"> </w:t>
      </w:r>
      <w:r w:rsidRPr="006D790D">
        <w:rPr>
          <w:rFonts w:eastAsia="TimesNewRomanPS-BoldItalicMT"/>
          <w:sz w:val="22"/>
          <w:szCs w:val="28"/>
        </w:rPr>
        <w:t>related hospitali</w:t>
      </w:r>
      <w:r w:rsidR="00AF6815" w:rsidRPr="006D790D">
        <w:rPr>
          <w:rFonts w:eastAsia="TimesNewRomanPS-BoldItalicMT"/>
          <w:sz w:val="22"/>
          <w:szCs w:val="28"/>
        </w:rPr>
        <w:t>s</w:t>
      </w:r>
      <w:r w:rsidRPr="006D790D">
        <w:rPr>
          <w:rFonts w:eastAsia="TimesNewRomanPS-BoldItalicMT"/>
          <w:sz w:val="22"/>
          <w:szCs w:val="28"/>
        </w:rPr>
        <w:t>ation or all</w:t>
      </w:r>
      <w:r w:rsidR="00FC7942" w:rsidRPr="006D790D">
        <w:rPr>
          <w:rFonts w:eastAsia="TimesNewRomanPS-BoldItalicMT"/>
          <w:sz w:val="22"/>
          <w:szCs w:val="28"/>
        </w:rPr>
        <w:t xml:space="preserve"> </w:t>
      </w:r>
      <w:r w:rsidRPr="006D790D">
        <w:rPr>
          <w:rFonts w:eastAsia="TimesNewRomanPS-BoldItalicMT"/>
          <w:sz w:val="22"/>
          <w:szCs w:val="28"/>
        </w:rPr>
        <w:t>cause death from day 4 through Day 29</w:t>
      </w:r>
    </w:p>
    <w:p w14:paraId="6BF5268A" w14:textId="3794642A" w:rsidR="00146C2C" w:rsidRPr="006D790D" w:rsidRDefault="00146C2C" w:rsidP="00B1559C">
      <w:r w:rsidRPr="006D790D">
        <w:t>Kaplan</w:t>
      </w:r>
      <w:r w:rsidR="00FC7942" w:rsidRPr="006D790D">
        <w:t xml:space="preserve"> </w:t>
      </w:r>
      <w:r w:rsidRPr="006D790D">
        <w:t>Meier curves for time to COVID-19</w:t>
      </w:r>
      <w:r w:rsidR="00FC7942" w:rsidRPr="006D790D">
        <w:t xml:space="preserve"> </w:t>
      </w:r>
      <w:r w:rsidRPr="006D790D">
        <w:t>related hospitali</w:t>
      </w:r>
      <w:r w:rsidR="00AF6815" w:rsidRPr="006D790D">
        <w:t>s</w:t>
      </w:r>
      <w:r w:rsidRPr="006D790D">
        <w:t>ation or all</w:t>
      </w:r>
      <w:r w:rsidR="00FC7942" w:rsidRPr="006D790D">
        <w:t xml:space="preserve"> </w:t>
      </w:r>
      <w:r w:rsidRPr="006D790D">
        <w:t xml:space="preserve">cause death show treatment benefit with </w:t>
      </w:r>
      <w:proofErr w:type="spellStart"/>
      <w:r w:rsidRPr="006D790D">
        <w:t>casirivimab</w:t>
      </w:r>
      <w:proofErr w:type="spellEnd"/>
      <w:r w:rsidR="00EA28EF" w:rsidRPr="006D790D">
        <w:t>/</w:t>
      </w:r>
      <w:proofErr w:type="spellStart"/>
      <w:r w:rsidRPr="006D790D">
        <w:t>imdevimab</w:t>
      </w:r>
      <w:proofErr w:type="spellEnd"/>
      <w:r w:rsidRPr="006D790D">
        <w:t xml:space="preserve"> became apparent at about 2 days after treatment initiation, suggesting there might be a short lag to observe clinical benefit because viral suppression is achieved over several days.</w:t>
      </w:r>
    </w:p>
    <w:p w14:paraId="36D46F13" w14:textId="4819755F" w:rsidR="00146C2C" w:rsidRPr="006D790D" w:rsidRDefault="00146C2C" w:rsidP="00B1559C">
      <w:r w:rsidRPr="006D790D">
        <w:t>Relative risk reduction in the Day 4 through 29 analysis for the 2400 mg dose group compared to placebo was 89.2% (95% CI: 73.0%, 95.7%; p</w:t>
      </w:r>
      <w:r w:rsidR="00FC7942" w:rsidRPr="006D790D">
        <w:t xml:space="preserve"> </w:t>
      </w:r>
      <w:r w:rsidRPr="006D790D">
        <w:t>&lt;</w:t>
      </w:r>
      <w:r w:rsidR="00FC7942" w:rsidRPr="006D790D">
        <w:t xml:space="preserve"> </w:t>
      </w:r>
      <w:r w:rsidRPr="006D790D">
        <w:t xml:space="preserve">0.0001); the proportion of </w:t>
      </w:r>
      <w:r w:rsidRPr="006D790D">
        <w:lastRenderedPageBreak/>
        <w:t>participants with ≥</w:t>
      </w:r>
      <w:r w:rsidR="00FC7942" w:rsidRPr="006D790D">
        <w:t xml:space="preserve"> one</w:t>
      </w:r>
      <w:r w:rsidRPr="006D790D">
        <w:t xml:space="preserve"> COVID-19</w:t>
      </w:r>
      <w:r w:rsidR="00FC7942" w:rsidRPr="006D790D">
        <w:t xml:space="preserve"> </w:t>
      </w:r>
      <w:r w:rsidRPr="006D790D">
        <w:t>related hospitali</w:t>
      </w:r>
      <w:r w:rsidR="00AF6815" w:rsidRPr="006D790D">
        <w:t>s</w:t>
      </w:r>
      <w:r w:rsidRPr="006D790D">
        <w:t>ation or all</w:t>
      </w:r>
      <w:r w:rsidR="00FC7942" w:rsidRPr="006D790D">
        <w:t xml:space="preserve"> </w:t>
      </w:r>
      <w:r w:rsidRPr="006D790D">
        <w:t>cause death in the 2400</w:t>
      </w:r>
      <w:r w:rsidR="00FC7942" w:rsidRPr="006D790D">
        <w:t> </w:t>
      </w:r>
      <w:r w:rsidRPr="006D790D">
        <w:t>mg group compared to placebo was 0.4% versus 3.4%.</w:t>
      </w:r>
    </w:p>
    <w:p w14:paraId="0EB5F7F5" w14:textId="2DAF910E" w:rsidR="00146C2C" w:rsidRPr="006D790D" w:rsidRDefault="00146C2C" w:rsidP="00E242C3">
      <w:pPr>
        <w:pStyle w:val="Heading7"/>
        <w:rPr>
          <w:rFonts w:eastAsiaTheme="minorHAnsi"/>
          <w:sz w:val="22"/>
          <w:szCs w:val="28"/>
        </w:rPr>
      </w:pPr>
      <w:r w:rsidRPr="006D790D">
        <w:rPr>
          <w:rFonts w:eastAsiaTheme="minorHAnsi"/>
          <w:sz w:val="22"/>
          <w:szCs w:val="28"/>
        </w:rPr>
        <w:t xml:space="preserve">Key secondary </w:t>
      </w:r>
      <w:r w:rsidR="00FC7942" w:rsidRPr="006D790D">
        <w:rPr>
          <w:rFonts w:eastAsiaTheme="minorHAnsi"/>
          <w:sz w:val="22"/>
          <w:szCs w:val="28"/>
        </w:rPr>
        <w:t>endpoint: time to resolution of symptoms</w:t>
      </w:r>
    </w:p>
    <w:p w14:paraId="75F6337D" w14:textId="12AB4DBD" w:rsidR="00146C2C" w:rsidRPr="006D790D" w:rsidRDefault="00146C2C" w:rsidP="00B1559C">
      <w:r w:rsidRPr="006D790D">
        <w:t xml:space="preserve">Treatment with </w:t>
      </w:r>
      <w:proofErr w:type="spellStart"/>
      <w:r w:rsidRPr="006D790D">
        <w:t>casirivimab</w:t>
      </w:r>
      <w:proofErr w:type="spellEnd"/>
      <w:r w:rsidR="00EA28EF" w:rsidRPr="006D790D">
        <w:t>/</w:t>
      </w:r>
      <w:proofErr w:type="spellStart"/>
      <w:r w:rsidRPr="006D790D">
        <w:t>imdevimab</w:t>
      </w:r>
      <w:proofErr w:type="spellEnd"/>
      <w:r w:rsidRPr="006D790D">
        <w:t xml:space="preserve"> 2400</w:t>
      </w:r>
      <w:r w:rsidR="00FC7942" w:rsidRPr="006D790D">
        <w:t> </w:t>
      </w:r>
      <w:r w:rsidRPr="006D790D">
        <w:t>mg or 1200</w:t>
      </w:r>
      <w:r w:rsidR="00FC7942" w:rsidRPr="006D790D">
        <w:t> </w:t>
      </w:r>
      <w:r w:rsidRPr="006D790D">
        <w:t xml:space="preserve">mg was associated with a statistically significant reduction in time to resolution of symptoms, where the median time to resolution of symptoms was 10 days for both doses and 14 days for the placebo group. Note that symptoms could be reported as resolved despite ongoing mild/moderate cough, </w:t>
      </w:r>
      <w:proofErr w:type="gramStart"/>
      <w:r w:rsidRPr="006D790D">
        <w:t>fatigue</w:t>
      </w:r>
      <w:proofErr w:type="gramEnd"/>
      <w:r w:rsidRPr="006D790D">
        <w:t xml:space="preserve"> or headache.</w:t>
      </w:r>
    </w:p>
    <w:p w14:paraId="18F82314" w14:textId="28292A0F" w:rsidR="00146C2C" w:rsidRPr="006D790D" w:rsidRDefault="00F40137" w:rsidP="00E242C3">
      <w:pPr>
        <w:pStyle w:val="Heading5"/>
        <w:rPr>
          <w:rFonts w:eastAsia="Minion-Regular"/>
        </w:rPr>
      </w:pPr>
      <w:bookmarkStart w:id="89" w:name="_Toc84071968"/>
      <w:r w:rsidRPr="006D790D">
        <w:t>Study </w:t>
      </w:r>
      <w:r w:rsidR="00146C2C" w:rsidRPr="006D790D">
        <w:rPr>
          <w:rFonts w:eastAsia="Minion-Regular"/>
        </w:rPr>
        <w:t xml:space="preserve">COV-2069 </w:t>
      </w:r>
      <w:r w:rsidR="00FC7942" w:rsidRPr="006D790D">
        <w:rPr>
          <w:rFonts w:eastAsia="Minion-Regular"/>
        </w:rPr>
        <w:t>(post-exposure prophylaxis)</w:t>
      </w:r>
      <w:bookmarkEnd w:id="89"/>
    </w:p>
    <w:p w14:paraId="32012C83" w14:textId="07C91841" w:rsidR="00146C2C" w:rsidRPr="006D790D" w:rsidRDefault="00146C2C" w:rsidP="00E242C3">
      <w:pPr>
        <w:pStyle w:val="Heading6"/>
        <w:rPr>
          <w:rFonts w:eastAsia="Minion-Regular"/>
        </w:rPr>
      </w:pPr>
      <w:r w:rsidRPr="006D790D">
        <w:rPr>
          <w:rFonts w:eastAsia="Minion-Regular"/>
        </w:rPr>
        <w:t xml:space="preserve">Study </w:t>
      </w:r>
      <w:r w:rsidR="00A63200">
        <w:rPr>
          <w:rFonts w:eastAsia="Minion-Regular"/>
        </w:rPr>
        <w:t>d</w:t>
      </w:r>
      <w:r w:rsidRPr="006D790D">
        <w:rPr>
          <w:rFonts w:eastAsia="Minion-Regular"/>
        </w:rPr>
        <w:t>esign</w:t>
      </w:r>
    </w:p>
    <w:p w14:paraId="3A396ABB" w14:textId="3803F9F5" w:rsidR="00146C2C" w:rsidRPr="006D790D" w:rsidRDefault="00146C2C" w:rsidP="00B1559C">
      <w:r w:rsidRPr="006D790D">
        <w:t>This is a randomised, placebo</w:t>
      </w:r>
      <w:r w:rsidR="00FC7942" w:rsidRPr="006D790D">
        <w:t xml:space="preserve"> </w:t>
      </w:r>
      <w:r w:rsidRPr="006D790D">
        <w:t xml:space="preserve">controlled, Phase </w:t>
      </w:r>
      <w:r w:rsidR="00AF6815" w:rsidRPr="006D790D">
        <w:t>III</w:t>
      </w:r>
      <w:r w:rsidRPr="006D790D">
        <w:t xml:space="preserve"> study. The study aims to assess the efficacy and safety of </w:t>
      </w:r>
      <w:r w:rsidR="00316746" w:rsidRPr="006D790D">
        <w:t>subcutaneous</w:t>
      </w:r>
      <w:r w:rsidRPr="006D790D">
        <w:t xml:space="preserve"> </w:t>
      </w:r>
      <w:proofErr w:type="spellStart"/>
      <w:r w:rsidRPr="006D790D">
        <w:t>casirivimab</w:t>
      </w:r>
      <w:proofErr w:type="spellEnd"/>
      <w:r w:rsidR="00EA28EF" w:rsidRPr="006D790D">
        <w:t>/</w:t>
      </w:r>
      <w:proofErr w:type="spellStart"/>
      <w:r w:rsidRPr="006D790D">
        <w:t>imdevimab</w:t>
      </w:r>
      <w:proofErr w:type="spellEnd"/>
      <w:r w:rsidRPr="006D790D">
        <w:t xml:space="preserve"> in preventing SARS-CoV-2 infection in household contacts of individuals infected with SARS-CoV-2. The study enrolled adults and adolescents (≥ 12 years) and paediatric participants (&lt; 12 years) who were </w:t>
      </w:r>
      <w:r w:rsidR="00FC7942" w:rsidRPr="006D790D">
        <w:t xml:space="preserve">household contacts </w:t>
      </w:r>
      <w:r w:rsidRPr="006D790D">
        <w:t>of the first household member known to be infected with SARS</w:t>
      </w:r>
      <w:r w:rsidR="00FC7942" w:rsidRPr="006D790D">
        <w:noBreakHyphen/>
      </w:r>
      <w:r w:rsidRPr="006D790D">
        <w:t>CoV</w:t>
      </w:r>
      <w:r w:rsidR="00FC7942" w:rsidRPr="006D790D">
        <w:noBreakHyphen/>
      </w:r>
      <w:r w:rsidRPr="006D790D">
        <w:t>2 (index case), but who were themselves either not infected, or infected but asymptomatic, at the time of screening.</w:t>
      </w:r>
    </w:p>
    <w:p w14:paraId="47C0587B" w14:textId="564604A2" w:rsidR="00146C2C" w:rsidRPr="006D790D" w:rsidRDefault="00146C2C" w:rsidP="00B1559C">
      <w:r w:rsidRPr="006D790D">
        <w:t>Eligible participants were to be randomi</w:t>
      </w:r>
      <w:r w:rsidR="00AF6815" w:rsidRPr="006D790D">
        <w:t>s</w:t>
      </w:r>
      <w:r w:rsidRPr="006D790D">
        <w:t xml:space="preserve">ed 1:1 to receive a single dose of placebo (0.9% sodium chloride) or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FC7942" w:rsidRPr="006D790D">
        <w:t> </w:t>
      </w:r>
      <w:r w:rsidRPr="006D790D">
        <w:t xml:space="preserve">mg (600 mg each </w:t>
      </w:r>
      <w:proofErr w:type="spellStart"/>
      <w:r w:rsidRPr="006D790D">
        <w:t>mAb</w:t>
      </w:r>
      <w:proofErr w:type="spellEnd"/>
      <w:r w:rsidRPr="006D790D">
        <w:t>) on Day</w:t>
      </w:r>
      <w:r w:rsidR="00FC7942" w:rsidRPr="006D790D">
        <w:t> </w:t>
      </w:r>
      <w:r w:rsidRPr="006D790D">
        <w:t>1. Randomi</w:t>
      </w:r>
      <w:r w:rsidR="00AF6815" w:rsidRPr="006D790D">
        <w:t>s</w:t>
      </w:r>
      <w:r w:rsidRPr="006D790D">
        <w:t xml:space="preserve">ation was performed on an individual participant basis. The cohort allocation was based on the assessment of SARS-CoV-2 RT-qPCR status at </w:t>
      </w:r>
      <w:r w:rsidR="00FB39BC" w:rsidRPr="006D790D">
        <w:t>Baseline</w:t>
      </w:r>
      <w:r w:rsidRPr="006D790D">
        <w:t>:</w:t>
      </w:r>
    </w:p>
    <w:p w14:paraId="390F4AA4" w14:textId="1B1C645A" w:rsidR="00146C2C" w:rsidRPr="006D790D" w:rsidRDefault="00146C2C" w:rsidP="00B1559C">
      <w:pPr>
        <w:pStyle w:val="ListBullet"/>
      </w:pPr>
      <w:r w:rsidRPr="006D790D">
        <w:t xml:space="preserve">Cohort A (Prevention); a negative PCR at </w:t>
      </w:r>
      <w:r w:rsidR="00FB39BC" w:rsidRPr="006D790D">
        <w:t>Baseline</w:t>
      </w:r>
      <w:r w:rsidRPr="006D790D">
        <w:t xml:space="preserve"> (</w:t>
      </w:r>
      <w:r w:rsidRPr="006D790D">
        <w:rPr>
          <w:rFonts w:eastAsiaTheme="minorHAnsi"/>
        </w:rPr>
        <w:t>asymptomatic and uninfected)</w:t>
      </w:r>
    </w:p>
    <w:p w14:paraId="1AAF34E5" w14:textId="32903540" w:rsidR="00146C2C" w:rsidRPr="006D790D" w:rsidRDefault="00146C2C" w:rsidP="00B1559C">
      <w:pPr>
        <w:pStyle w:val="ListBullet"/>
      </w:pPr>
      <w:r w:rsidRPr="006D790D">
        <w:t xml:space="preserve">Cohort B (Pre-emptive therapy); a positive PCR at </w:t>
      </w:r>
      <w:r w:rsidR="00FB39BC" w:rsidRPr="006D790D">
        <w:t>Baseline</w:t>
      </w:r>
      <w:r w:rsidRPr="006D790D">
        <w:rPr>
          <w:rFonts w:eastAsiaTheme="minorHAnsi"/>
        </w:rPr>
        <w:t xml:space="preserve"> (asymptomatic but infected)</w:t>
      </w:r>
    </w:p>
    <w:p w14:paraId="4E8CFB53" w14:textId="7CCD2045" w:rsidR="00146C2C" w:rsidRPr="006D790D" w:rsidRDefault="00146C2C" w:rsidP="00B1559C">
      <w:r w:rsidRPr="006D790D">
        <w:t>Each cohort was further divided based on baseline serology results. To rule</w:t>
      </w:r>
      <w:r w:rsidR="00FC7942" w:rsidRPr="006D790D">
        <w:t xml:space="preserve"> </w:t>
      </w:r>
      <w:r w:rsidRPr="006D790D">
        <w:t>out prior SARS-CoV-2 infection, participants were assessed for the presence of serum anti</w:t>
      </w:r>
      <w:r w:rsidR="00FC7942" w:rsidRPr="006D790D">
        <w:noBreakHyphen/>
      </w:r>
      <w:r w:rsidRPr="006D790D">
        <w:t>SARS</w:t>
      </w:r>
      <w:r w:rsidR="00FC7942" w:rsidRPr="006D790D">
        <w:noBreakHyphen/>
      </w:r>
      <w:r w:rsidRPr="006D790D">
        <w:t>CoV</w:t>
      </w:r>
      <w:r w:rsidR="00FC7942" w:rsidRPr="006D790D">
        <w:noBreakHyphen/>
      </w:r>
      <w:r w:rsidRPr="006D790D">
        <w:t xml:space="preserve">2 antibodies indicative of prior infection. For each participant, the study comprised 3 periods: </w:t>
      </w:r>
      <w:r w:rsidR="00FC7942" w:rsidRPr="006D790D">
        <w:t xml:space="preserve">one </w:t>
      </w:r>
      <w:r w:rsidRPr="006D790D">
        <w:t xml:space="preserve">day screening/baseline period, a </w:t>
      </w:r>
      <w:proofErr w:type="gramStart"/>
      <w:r w:rsidR="00FC7942" w:rsidRPr="006D790D">
        <w:t xml:space="preserve">one </w:t>
      </w:r>
      <w:r w:rsidRPr="006D790D">
        <w:t>month</w:t>
      </w:r>
      <w:proofErr w:type="gramEnd"/>
      <w:r w:rsidRPr="006D790D">
        <w:t xml:space="preserve"> </w:t>
      </w:r>
      <w:r w:rsidR="00FC7942" w:rsidRPr="006D790D">
        <w:t>efficacy assessment period</w:t>
      </w:r>
      <w:r w:rsidRPr="006D790D">
        <w:t xml:space="preserve"> (EAP), and a </w:t>
      </w:r>
      <w:r w:rsidR="00FC7942" w:rsidRPr="006D790D">
        <w:t xml:space="preserve">seven </w:t>
      </w:r>
      <w:r w:rsidRPr="006D790D">
        <w:t>month follow-up period.</w:t>
      </w:r>
    </w:p>
    <w:p w14:paraId="11927998" w14:textId="2F8B90B8" w:rsidR="00146C2C" w:rsidRDefault="001D545B" w:rsidP="00C05180">
      <w:pPr>
        <w:pStyle w:val="FigureTitle"/>
      </w:pPr>
      <w:r w:rsidRPr="006D790D">
        <w:t xml:space="preserve">Figure </w:t>
      </w:r>
      <w:fldSimple w:instr=" SEQ Figure \* ARABIC ">
        <w:r w:rsidR="007F1879">
          <w:rPr>
            <w:noProof/>
          </w:rPr>
          <w:t>14</w:t>
        </w:r>
      </w:fldSimple>
      <w:r w:rsidR="00146C2C" w:rsidRPr="006D790D">
        <w:t xml:space="preserve">: </w:t>
      </w:r>
      <w:r w:rsidR="00030A65" w:rsidRPr="006D790D">
        <w:t>Study </w:t>
      </w:r>
      <w:r w:rsidR="00030A65" w:rsidRPr="006D790D">
        <w:rPr>
          <w:rFonts w:eastAsia="Minion-Regular"/>
        </w:rPr>
        <w:t xml:space="preserve">COV-2069 </w:t>
      </w:r>
      <w:r w:rsidR="00146C2C" w:rsidRPr="006D790D">
        <w:t xml:space="preserve">Study </w:t>
      </w:r>
      <w:r w:rsidR="00030A65" w:rsidRPr="006D790D">
        <w:t>flow diagram</w:t>
      </w:r>
    </w:p>
    <w:p w14:paraId="5F13C4B3" w14:textId="21C35A1F" w:rsidR="0045221A" w:rsidRPr="006D790D" w:rsidRDefault="0045221A" w:rsidP="00084EC5">
      <w:r>
        <w:rPr>
          <w:noProof/>
        </w:rPr>
        <w:drawing>
          <wp:inline distT="0" distB="0" distL="0" distR="0" wp14:anchorId="5E65276F" wp14:editId="1B308110">
            <wp:extent cx="5400040" cy="2146126"/>
            <wp:effectExtent l="0" t="0" r="0" b="6985"/>
            <wp:docPr id="66" name="Picture 66" descr="Study COV-2069 Study flow diagram&#10;&#10;This is a randomised, placebo controlled, Phase III study. The study aims to assess the efficacy and safety of subcutaneous casirivimab/imdevimab in preventing SARS-CoV-2 infection in household contacts of individuals infected with SARS-CoV-2. The study enrolled adults and adolescents (≥ 12 years) and paediatric participants (&lt; 12 years) who were household contacts of the first household member known to be infected with SARS CoV 2 (index case), but who were themselves either not infected, or infected but asymptomatic, at the time of screening.&#10;Eligible participants were to be randomised 1:1 to receive a single dose of placebo (0.9% sodium chloride) or casirivimab/imdevimab 1200 mg (600 mg each mAb) on Day 1. Randomisation was performed on an individual participant basis. The cohort allocation was based on the assessment of SARS-CoV-2 RT-qPCR status at Baseline:&#10;• Cohort A (Prevention); a negative PCR at Baseline (asymptomatic and uninfected)&#10;• Cohort B (Pre-emptive therapy); a positive PCR at Baseline (asymptomatic but infected)&#10;Each cohort was further divided based on baseline serology results. To rule out prior SARS-CoV-2 infection, participants were assessed for the presence of serum anti SARS CoV 2 antibodies indicative of prior infection. For each participant, the study comprised 3 periods: one day screening/baseline period, a one month efficacy assessment period (EAP), and a seven month follow-up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tudy COV-2069 Study flow diagram&#10;&#10;This is a randomised, placebo controlled, Phase III study. The study aims to assess the efficacy and safety of subcutaneous casirivimab/imdevimab in preventing SARS-CoV-2 infection in household contacts of individuals infected with SARS-CoV-2. The study enrolled adults and adolescents (≥ 12 years) and paediatric participants (&lt; 12 years) who were household contacts of the first household member known to be infected with SARS CoV 2 (index case), but who were themselves either not infected, or infected but asymptomatic, at the time of screening.&#10;Eligible participants were to be randomised 1:1 to receive a single dose of placebo (0.9% sodium chloride) or casirivimab/imdevimab 1200 mg (600 mg each mAb) on Day 1. Randomisation was performed on an individual participant basis. The cohort allocation was based on the assessment of SARS-CoV-2 RT-qPCR status at Baseline:&#10;• Cohort A (Prevention); a negative PCR at Baseline (asymptomatic and uninfected)&#10;• Cohort B (Pre-emptive therapy); a positive PCR at Baseline (asymptomatic but infected)&#10;Each cohort was further divided based on baseline serology results. To rule out prior SARS-CoV-2 infection, participants were assessed for the presence of serum anti SARS CoV 2 antibodies indicative of prior infection. For each participant, the study comprised 3 periods: one day screening/baseline period, a one month efficacy assessment period (EAP), and a seven month follow-up period.&#10;"/>
                    <pic:cNvPicPr/>
                  </pic:nvPicPr>
                  <pic:blipFill>
                    <a:blip r:embed="rId46"/>
                    <a:stretch>
                      <a:fillRect/>
                    </a:stretch>
                  </pic:blipFill>
                  <pic:spPr>
                    <a:xfrm>
                      <a:off x="0" y="0"/>
                      <a:ext cx="5410940" cy="2150458"/>
                    </a:xfrm>
                    <a:prstGeom prst="rect">
                      <a:avLst/>
                    </a:prstGeom>
                  </pic:spPr>
                </pic:pic>
              </a:graphicData>
            </a:graphic>
          </wp:inline>
        </w:drawing>
      </w:r>
    </w:p>
    <w:p w14:paraId="3B4F78E9" w14:textId="361F9E78" w:rsidR="00146C2C" w:rsidRDefault="0045221A" w:rsidP="00084EC5">
      <w:pPr>
        <w:pStyle w:val="FigureDescription"/>
      </w:pPr>
      <w:r w:rsidRPr="0045221A">
        <w:t>SARS-CoV-2 = severe acute respiratory syndrome coronavirus</w:t>
      </w:r>
      <w:r>
        <w:t xml:space="preserve">; </w:t>
      </w:r>
      <w:r w:rsidRPr="0045221A">
        <w:t xml:space="preserve">R10933 + R10987 = </w:t>
      </w:r>
      <w:proofErr w:type="spellStart"/>
      <w:r w:rsidRPr="0045221A">
        <w:t>casirivimab</w:t>
      </w:r>
      <w:proofErr w:type="spellEnd"/>
      <w:r w:rsidRPr="0045221A">
        <w:t xml:space="preserve"> + </w:t>
      </w:r>
      <w:proofErr w:type="spellStart"/>
      <w:r w:rsidRPr="0045221A">
        <w:t>imdevimab</w:t>
      </w:r>
      <w:proofErr w:type="spellEnd"/>
      <w:r w:rsidRPr="0045221A">
        <w:t>;</w:t>
      </w:r>
      <w:r>
        <w:t xml:space="preserve"> </w:t>
      </w:r>
      <w:proofErr w:type="spellStart"/>
      <w:r w:rsidRPr="0045221A">
        <w:t>mAb</w:t>
      </w:r>
      <w:proofErr w:type="spellEnd"/>
      <w:r w:rsidRPr="0045221A">
        <w:t xml:space="preserve"> = monoclonal antibody</w:t>
      </w:r>
      <w:r>
        <w:t xml:space="preserve">; </w:t>
      </w:r>
      <w:r w:rsidRPr="0045221A">
        <w:t>SC = subcutaneous</w:t>
      </w:r>
      <w:r>
        <w:t xml:space="preserve">; </w:t>
      </w:r>
      <w:r w:rsidRPr="0045221A">
        <w:t>IM = intramuscular</w:t>
      </w:r>
      <w:r>
        <w:t>; D = day</w:t>
      </w:r>
      <w:r>
        <w:rPr>
          <w:noProof/>
          <w:lang w:val="en-GB" w:eastAsia="en-GB"/>
        </w:rPr>
        <w:t>.</w:t>
      </w:r>
    </w:p>
    <w:p w14:paraId="584C8A2F" w14:textId="394FA15B" w:rsidR="00146C2C" w:rsidRPr="006D790D" w:rsidRDefault="00146C2C" w:rsidP="00B1559C">
      <w:r w:rsidRPr="006D790D">
        <w:t xml:space="preserve">Assessments included weekly SARS-CoV-2 RT-qPCR testing by </w:t>
      </w:r>
      <w:r w:rsidR="00F847E4" w:rsidRPr="006D790D">
        <w:t xml:space="preserve">nasopharyngeal </w:t>
      </w:r>
      <w:r w:rsidRPr="006D790D">
        <w:t xml:space="preserve">swabs, weekly interviews for COVID-19 symptoms and </w:t>
      </w:r>
      <w:r w:rsidR="0099246E" w:rsidRPr="006D790D">
        <w:t>adverse events (AE)</w:t>
      </w:r>
      <w:r w:rsidRPr="006D790D">
        <w:t xml:space="preserve"> through Study Day</w:t>
      </w:r>
      <w:r w:rsidR="00FC7942" w:rsidRPr="006D790D">
        <w:t> </w:t>
      </w:r>
      <w:r w:rsidRPr="006D790D">
        <w:t>29 (EAP); and follow-up until Day</w:t>
      </w:r>
      <w:r w:rsidR="00FC7942" w:rsidRPr="006D790D">
        <w:t> </w:t>
      </w:r>
      <w:r w:rsidRPr="006D790D">
        <w:t>229.</w:t>
      </w:r>
    </w:p>
    <w:p w14:paraId="0B5E0305" w14:textId="07EBF5FD" w:rsidR="00146C2C" w:rsidRPr="006D790D" w:rsidRDefault="00146C2C" w:rsidP="00B1559C">
      <w:r w:rsidRPr="006D790D">
        <w:lastRenderedPageBreak/>
        <w:t>Three definitions for symptomatic COVID-19 disease were used to account for differences in criteria adopted in various regions (</w:t>
      </w:r>
      <w:r w:rsidR="00EA28EF" w:rsidRPr="006D790D">
        <w:t>that is</w:t>
      </w:r>
      <w:r w:rsidRPr="006D790D">
        <w:t>, by broad</w:t>
      </w:r>
      <w:r w:rsidR="00FC7942" w:rsidRPr="006D790D">
        <w:t xml:space="preserve"> </w:t>
      </w:r>
      <w:r w:rsidRPr="006D790D">
        <w:t>term, CDC definition, and strict</w:t>
      </w:r>
      <w:r w:rsidR="00FC7942" w:rsidRPr="006D790D">
        <w:t xml:space="preserve"> </w:t>
      </w:r>
      <w:r w:rsidRPr="006D790D">
        <w:t xml:space="preserve">term definition, as defined in the protocol </w:t>
      </w:r>
      <w:r w:rsidR="00316746" w:rsidRPr="006D790D">
        <w:t>(</w:t>
      </w:r>
      <w:r w:rsidRPr="006D790D">
        <w:t xml:space="preserve">see </w:t>
      </w:r>
      <w:r w:rsidR="00D5326E" w:rsidRPr="006D790D">
        <w:fldChar w:fldCharType="begin"/>
      </w:r>
      <w:r w:rsidR="00D5326E" w:rsidRPr="006D790D">
        <w:instrText xml:space="preserve"> REF _Ref85138545 \h </w:instrText>
      </w:r>
      <w:r w:rsidR="006D790D">
        <w:instrText xml:space="preserve"> \* MERGEFORMAT </w:instrText>
      </w:r>
      <w:r w:rsidR="00D5326E" w:rsidRPr="006D790D">
        <w:fldChar w:fldCharType="separate"/>
      </w:r>
      <w:r w:rsidR="007F1879" w:rsidRPr="006D790D">
        <w:t xml:space="preserve">Table </w:t>
      </w:r>
      <w:r w:rsidR="007F1879">
        <w:rPr>
          <w:noProof/>
        </w:rPr>
        <w:t>17</w:t>
      </w:r>
      <w:r w:rsidR="00D5326E" w:rsidRPr="006D790D">
        <w:fldChar w:fldCharType="end"/>
      </w:r>
      <w:r w:rsidRPr="006D790D">
        <w:t xml:space="preserve"> below</w:t>
      </w:r>
      <w:r w:rsidR="00316746" w:rsidRPr="006D790D">
        <w:t>)</w:t>
      </w:r>
      <w:r w:rsidRPr="006D790D">
        <w:t>). The association of signs and symptoms with COVID-19 was based on a temporal relationship (±14 days window) with a positive RT-qPCR test. The broad-term definition was used for the primary and key secondary endpoint analyses.</w:t>
      </w:r>
    </w:p>
    <w:p w14:paraId="30A69768" w14:textId="2E84F72B" w:rsidR="00146C2C" w:rsidRPr="006D790D" w:rsidRDefault="00D5326E" w:rsidP="00C05180">
      <w:pPr>
        <w:pStyle w:val="TableTitle"/>
      </w:pPr>
      <w:bookmarkStart w:id="90" w:name="_Ref85138545"/>
      <w:r w:rsidRPr="006D790D">
        <w:t xml:space="preserve">Table </w:t>
      </w:r>
      <w:fldSimple w:instr=" SEQ Table \* ARABIC ">
        <w:r w:rsidR="007F1879">
          <w:rPr>
            <w:noProof/>
          </w:rPr>
          <w:t>17</w:t>
        </w:r>
      </w:fldSimple>
      <w:bookmarkEnd w:id="90"/>
      <w:r w:rsidR="00146C2C" w:rsidRPr="006D790D">
        <w:t xml:space="preserve">: </w:t>
      </w:r>
      <w:r w:rsidR="00A63200" w:rsidRPr="006D790D">
        <w:t>Study </w:t>
      </w:r>
      <w:r w:rsidR="00A63200" w:rsidRPr="006D790D">
        <w:rPr>
          <w:rFonts w:eastAsia="Minion-Regular"/>
        </w:rPr>
        <w:t xml:space="preserve">COV-2069 </w:t>
      </w:r>
      <w:r w:rsidR="00146C2C" w:rsidRPr="006D790D">
        <w:t>COVID-19 signs and symptoms definitions</w:t>
      </w:r>
    </w:p>
    <w:p w14:paraId="020B3A4A" w14:textId="487F1707" w:rsidR="00146C2C" w:rsidRDefault="00146C2C" w:rsidP="00146C2C">
      <w:pPr>
        <w:autoSpaceDE w:val="0"/>
        <w:autoSpaceDN w:val="0"/>
        <w:adjustRightInd w:val="0"/>
        <w:spacing w:before="0" w:after="0" w:line="240" w:lineRule="auto"/>
        <w:rPr>
          <w:rFonts w:asciiTheme="minorHAnsi" w:eastAsiaTheme="minorHAnsi" w:hAnsiTheme="minorHAnsi"/>
          <w:b/>
        </w:rPr>
      </w:pPr>
      <w:r w:rsidRPr="006D790D">
        <w:rPr>
          <w:rFonts w:asciiTheme="minorHAnsi" w:eastAsiaTheme="minorHAnsi" w:hAnsiTheme="minorHAnsi"/>
          <w:b/>
          <w:noProof/>
          <w:lang w:val="en-GB" w:eastAsia="en-GB"/>
        </w:rPr>
        <w:drawing>
          <wp:inline distT="0" distB="0" distL="0" distR="0" wp14:anchorId="0503000D" wp14:editId="061B2B02">
            <wp:extent cx="5402912" cy="5440471"/>
            <wp:effectExtent l="0" t="0" r="7620" b="8255"/>
            <wp:docPr id="70" name="Picture 70" descr="Study COV-2069 COVID-19 signs and symptoms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tudy COV-2069 COVID-19 signs and symptoms definitions"/>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5426487" cy="5464210"/>
                    </a:xfrm>
                    <a:prstGeom prst="rect">
                      <a:avLst/>
                    </a:prstGeom>
                    <a:noFill/>
                    <a:ln>
                      <a:noFill/>
                    </a:ln>
                  </pic:spPr>
                </pic:pic>
              </a:graphicData>
            </a:graphic>
          </wp:inline>
        </w:drawing>
      </w:r>
    </w:p>
    <w:p w14:paraId="4EA330F9" w14:textId="724058C8" w:rsidR="00B92C43" w:rsidRPr="009C45A3" w:rsidRDefault="009C45A3" w:rsidP="009C45A3">
      <w:pPr>
        <w:pStyle w:val="TableDescription"/>
      </w:pPr>
      <w:r w:rsidRPr="009C45A3">
        <w:t xml:space="preserve">CDC = </w:t>
      </w:r>
      <w:proofErr w:type="spellStart"/>
      <w:r w:rsidRPr="009C45A3">
        <w:t>Centers</w:t>
      </w:r>
      <w:proofErr w:type="spellEnd"/>
      <w:r w:rsidRPr="009C45A3">
        <w:t xml:space="preserve"> for Disease Control and Prevention (United States of America)</w:t>
      </w:r>
      <w:r>
        <w:t xml:space="preserve">; </w:t>
      </w:r>
      <w:r w:rsidR="0045221A" w:rsidRPr="009C45A3">
        <w:t xml:space="preserve">COVID-19 = coronavirus disease 2019; </w:t>
      </w:r>
      <w:r w:rsidR="00B92C43" w:rsidRPr="009C45A3">
        <w:t>ARDS = acute respiratory distress syndrome</w:t>
      </w:r>
      <w:r w:rsidR="0045221A" w:rsidRPr="009C45A3">
        <w:t>.</w:t>
      </w:r>
    </w:p>
    <w:p w14:paraId="26745A8E" w14:textId="6F765051" w:rsidR="00146C2C" w:rsidRPr="006D790D" w:rsidRDefault="00146C2C" w:rsidP="00E242C3">
      <w:pPr>
        <w:pStyle w:val="Heading6"/>
        <w:rPr>
          <w:rFonts w:eastAsiaTheme="minorHAnsi"/>
        </w:rPr>
      </w:pPr>
      <w:r w:rsidRPr="006D790D">
        <w:rPr>
          <w:rFonts w:eastAsiaTheme="minorHAnsi"/>
        </w:rPr>
        <w:t xml:space="preserve">Main </w:t>
      </w:r>
      <w:r w:rsidR="00FC7942" w:rsidRPr="006D790D">
        <w:rPr>
          <w:rFonts w:eastAsiaTheme="minorHAnsi"/>
        </w:rPr>
        <w:t>inclusion and exclusion</w:t>
      </w:r>
      <w:r w:rsidR="00B92C43">
        <w:rPr>
          <w:rFonts w:eastAsiaTheme="minorHAnsi"/>
        </w:rPr>
        <w:t xml:space="preserve"> criteria</w:t>
      </w:r>
    </w:p>
    <w:p w14:paraId="406CE963" w14:textId="5F453D51" w:rsidR="00146C2C" w:rsidRPr="006D790D" w:rsidRDefault="00146C2C" w:rsidP="00B1559C">
      <w:r w:rsidRPr="006D790D">
        <w:t xml:space="preserve">Participants enrolled were asymptomatic, healthy adults, adolescents, and children (including those with a chronic, stable medical condition) who were household contacts of the first known household member with a diagnosis of SARS-CoV-2 infection (index case). Participants themselves could have been positive (Cohort B) or negative (Cohort A) for SARS-CoV-2 at screening. Pregnant and breastfeeding participants </w:t>
      </w:r>
      <w:proofErr w:type="gramStart"/>
      <w:r w:rsidRPr="006D790D">
        <w:t>were allowed to</w:t>
      </w:r>
      <w:proofErr w:type="gramEnd"/>
      <w:r w:rsidRPr="006D790D">
        <w:t xml:space="preserve"> participate starting from Protocol Amendment 4. To be included in the study, participants must have been randomi</w:t>
      </w:r>
      <w:r w:rsidR="00AF6815" w:rsidRPr="006D790D">
        <w:t>s</w:t>
      </w:r>
      <w:r w:rsidRPr="006D790D">
        <w:t xml:space="preserve">ed within 96 hours of collection of the index case’s positive SARS-CoV-2 test sample and should have been living in the same household with the index case until Day 29. Participants who had received prior treatment or prophylaxis for </w:t>
      </w:r>
      <w:r w:rsidRPr="006D790D">
        <w:lastRenderedPageBreak/>
        <w:t>SARS</w:t>
      </w:r>
      <w:r w:rsidR="00FC7942" w:rsidRPr="006D790D">
        <w:noBreakHyphen/>
      </w:r>
      <w:r w:rsidRPr="006D790D">
        <w:t>CoV-2 were excluded. Nursing home residents and hospitalised subjects were also excluded.</w:t>
      </w:r>
    </w:p>
    <w:p w14:paraId="6662C17F" w14:textId="0403BBCC" w:rsidR="00146C2C" w:rsidRPr="006D790D" w:rsidRDefault="00146C2C" w:rsidP="00E242C3">
      <w:pPr>
        <w:pStyle w:val="Heading6"/>
        <w:rPr>
          <w:rFonts w:eastAsia="Minion-Regular"/>
        </w:rPr>
      </w:pPr>
      <w:r w:rsidRPr="006D790D">
        <w:rPr>
          <w:rFonts w:eastAsia="Minion-Regular"/>
        </w:rPr>
        <w:t xml:space="preserve">Primary </w:t>
      </w:r>
      <w:r w:rsidR="00FC7942" w:rsidRPr="006D790D">
        <w:rPr>
          <w:rFonts w:eastAsia="Minion-Regular"/>
        </w:rPr>
        <w:t xml:space="preserve">endpoints and statistical analysis for </w:t>
      </w:r>
      <w:r w:rsidRPr="006D790D">
        <w:rPr>
          <w:rFonts w:eastAsia="Minion-Regular"/>
        </w:rPr>
        <w:t>Cohort A and B</w:t>
      </w:r>
    </w:p>
    <w:p w14:paraId="7D55E16D" w14:textId="1AAA9EED" w:rsidR="00146C2C" w:rsidRDefault="00D5326E" w:rsidP="00C05180">
      <w:pPr>
        <w:pStyle w:val="TableTitle"/>
      </w:pPr>
      <w:r w:rsidRPr="006D790D">
        <w:t xml:space="preserve">Table </w:t>
      </w:r>
      <w:fldSimple w:instr=" SEQ Table \* ARABIC ">
        <w:r w:rsidR="007F1879">
          <w:rPr>
            <w:noProof/>
          </w:rPr>
          <w:t>18</w:t>
        </w:r>
      </w:fldSimple>
      <w:r w:rsidR="00146C2C" w:rsidRPr="006D790D">
        <w:t xml:space="preserve">: </w:t>
      </w:r>
      <w:r w:rsidR="00030A65" w:rsidRPr="006D790D">
        <w:t xml:space="preserve">Study COV-2069 </w:t>
      </w:r>
      <w:r w:rsidR="00146C2C" w:rsidRPr="006D790D">
        <w:t>Study objectives and endpoints</w:t>
      </w:r>
    </w:p>
    <w:p w14:paraId="20AA3C95" w14:textId="3CF3F44D" w:rsidR="0045221A" w:rsidRPr="006D790D" w:rsidRDefault="0045221A" w:rsidP="00084EC5">
      <w:r>
        <w:rPr>
          <w:noProof/>
        </w:rPr>
        <w:drawing>
          <wp:inline distT="0" distB="0" distL="0" distR="0" wp14:anchorId="324FD1FB" wp14:editId="25A402FC">
            <wp:extent cx="5398770" cy="2835275"/>
            <wp:effectExtent l="0" t="0" r="0" b="3175"/>
            <wp:docPr id="67" name="Picture 67" descr="Study COV-2069 Study objectives and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tudy COV-2069 Study objectives and endpoint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98770" cy="2835275"/>
                    </a:xfrm>
                    <a:prstGeom prst="rect">
                      <a:avLst/>
                    </a:prstGeom>
                    <a:noFill/>
                    <a:ln>
                      <a:noFill/>
                    </a:ln>
                  </pic:spPr>
                </pic:pic>
              </a:graphicData>
            </a:graphic>
          </wp:inline>
        </w:drawing>
      </w:r>
    </w:p>
    <w:p w14:paraId="62B61831" w14:textId="684D8104" w:rsidR="00146C2C" w:rsidRPr="006D790D" w:rsidRDefault="006221BC" w:rsidP="00BB0979">
      <w:pPr>
        <w:pStyle w:val="TableDescription"/>
      </w:pPr>
      <w:r w:rsidRPr="006221BC">
        <w:t>SARS-CoV-2 = severe acute respiratory syndrome coronavirus 2</w:t>
      </w:r>
      <w:r>
        <w:t xml:space="preserve">; </w:t>
      </w:r>
      <w:r w:rsidRPr="006221BC">
        <w:t>RT-qPCR = reverse transcription quantitative real time polymerase chain reaction</w:t>
      </w:r>
      <w:r>
        <w:t xml:space="preserve">; </w:t>
      </w:r>
      <w:bookmarkStart w:id="91" w:name="_Hlk85797426"/>
      <w:r>
        <w:t>EAP = e</w:t>
      </w:r>
      <w:r w:rsidRPr="006221BC">
        <w:t>fficacy assessment period</w:t>
      </w:r>
      <w:r>
        <w:t xml:space="preserve">; </w:t>
      </w:r>
      <w:r w:rsidRPr="006221BC">
        <w:t>CI = confidence interval</w:t>
      </w:r>
      <w:r>
        <w:t xml:space="preserve">; </w:t>
      </w:r>
      <w:r w:rsidRPr="006221BC">
        <w:t xml:space="preserve">SC = subcutaneous; </w:t>
      </w:r>
      <w:r>
        <w:t>TEAE = t</w:t>
      </w:r>
      <w:r w:rsidRPr="006221BC">
        <w:t>reatment emergent adverse event</w:t>
      </w:r>
      <w:r>
        <w:t>.</w:t>
      </w:r>
    </w:p>
    <w:bookmarkEnd w:id="91"/>
    <w:p w14:paraId="791FBA3E" w14:textId="391E8A69" w:rsidR="00146C2C" w:rsidRPr="006D790D" w:rsidRDefault="00146C2C" w:rsidP="009C45A3">
      <w:pPr>
        <w:pStyle w:val="Heading6"/>
        <w:rPr>
          <w:rFonts w:eastAsiaTheme="minorHAnsi"/>
        </w:rPr>
      </w:pPr>
      <w:r w:rsidRPr="006D790D">
        <w:rPr>
          <w:rFonts w:eastAsiaTheme="minorHAnsi"/>
        </w:rPr>
        <w:t xml:space="preserve">Statistical </w:t>
      </w:r>
      <w:r w:rsidR="00FC7942" w:rsidRPr="006D790D">
        <w:rPr>
          <w:rFonts w:eastAsiaTheme="minorHAnsi"/>
        </w:rPr>
        <w:t>analysis plan</w:t>
      </w:r>
    </w:p>
    <w:p w14:paraId="0A00655B" w14:textId="545937AA" w:rsidR="00146C2C" w:rsidRPr="006D790D" w:rsidRDefault="00146C2C" w:rsidP="00B1559C">
      <w:r w:rsidRPr="006D790D">
        <w:t xml:space="preserve">The planned analyses and determination of sample size are described in the </w:t>
      </w:r>
      <w:r w:rsidR="00FC7942" w:rsidRPr="006D790D">
        <w:t>statistical analysis plan (</w:t>
      </w:r>
      <w:r w:rsidRPr="006D790D">
        <w:t>SAP</w:t>
      </w:r>
      <w:r w:rsidR="00FC7942" w:rsidRPr="006D790D">
        <w:t>)</w:t>
      </w:r>
      <w:r w:rsidRPr="006D790D">
        <w:t xml:space="preserve"> </w:t>
      </w:r>
      <w:r w:rsidR="00FC7942" w:rsidRPr="006D790D">
        <w:t>v</w:t>
      </w:r>
      <w:r w:rsidRPr="006D790D">
        <w:t>ersion 1.0, which was finali</w:t>
      </w:r>
      <w:r w:rsidR="00AF6815" w:rsidRPr="006D790D">
        <w:t>s</w:t>
      </w:r>
      <w:r w:rsidRPr="006D790D">
        <w:t xml:space="preserve">ed prior to the database lock. As this Phase </w:t>
      </w:r>
      <w:r w:rsidR="00AF6815" w:rsidRPr="006D790D">
        <w:t>III</w:t>
      </w:r>
      <w:r w:rsidRPr="006D790D">
        <w:t xml:space="preserve"> trial was conducted without any prior Phase </w:t>
      </w:r>
      <w:r w:rsidR="00AF6815" w:rsidRPr="006D790D">
        <w:t>II</w:t>
      </w:r>
      <w:r w:rsidRPr="006D790D">
        <w:t xml:space="preserve"> prevention data, an administrative assessment (without formal testing) of the first 554 participants in Cohort</w:t>
      </w:r>
      <w:r w:rsidR="00FC7942" w:rsidRPr="006D790D">
        <w:t> </w:t>
      </w:r>
      <w:r w:rsidRPr="006D790D">
        <w:t xml:space="preserve">A was conducted to verify the assumptions made during study planning, estimate the sample size, and inform the Phase </w:t>
      </w:r>
      <w:r w:rsidR="00AF6815" w:rsidRPr="006D790D">
        <w:t>III</w:t>
      </w:r>
      <w:r w:rsidRPr="006D790D">
        <w:t xml:space="preserve"> analysis plans. In 409 out of 554 participants without prior infection (</w:t>
      </w:r>
      <w:r w:rsidR="00EA28EF" w:rsidRPr="006D790D">
        <w:t>that is</w:t>
      </w:r>
      <w:r w:rsidRPr="006D790D">
        <w:t xml:space="preserve">, baseline seronegative), the proportion of participants with symptomatic events in the </w:t>
      </w:r>
      <w:proofErr w:type="spellStart"/>
      <w:r w:rsidRPr="006D790D">
        <w:t>casirivimab</w:t>
      </w:r>
      <w:proofErr w:type="spellEnd"/>
      <w:r w:rsidR="00EA28EF" w:rsidRPr="006D790D">
        <w:t>/</w:t>
      </w:r>
      <w:proofErr w:type="spellStart"/>
      <w:r w:rsidRPr="006D790D">
        <w:t>imdevimab</w:t>
      </w:r>
      <w:proofErr w:type="spellEnd"/>
      <w:r w:rsidRPr="006D790D">
        <w:t xml:space="preserve"> group was 0% (0/186) compared to 3.6% (8/223) in the placebo group. Per </w:t>
      </w:r>
      <w:r w:rsidR="00B92C43">
        <w:t xml:space="preserve">the </w:t>
      </w:r>
      <w:r w:rsidRPr="006D790D">
        <w:t>SAP, these 554 Cohort A participants were excluded from the primary efficacy analysis population in the study report, but were included in the safety analysis for Cohort A. The administrative assessment did not include the analysis populations for Cohort B.</w:t>
      </w:r>
    </w:p>
    <w:p w14:paraId="4C3D1C70" w14:textId="77777777" w:rsidR="00146C2C" w:rsidRPr="006D790D" w:rsidRDefault="00146C2C" w:rsidP="00B1559C">
      <w:r w:rsidRPr="006D790D">
        <w:t>The following null and alternative hypotheses were tested in the primary analysis:</w:t>
      </w:r>
    </w:p>
    <w:p w14:paraId="5F78E05C" w14:textId="3B287C57" w:rsidR="00146C2C" w:rsidRPr="006D790D" w:rsidRDefault="00B92C43" w:rsidP="00B1559C">
      <w:pPr>
        <w:pStyle w:val="ListBullet"/>
      </w:pPr>
      <w:r>
        <w:t>Null hypothesis</w:t>
      </w:r>
      <w:r w:rsidR="00146C2C" w:rsidRPr="006D790D">
        <w:t xml:space="preserve">: There is no treatment difference between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and placebo</w:t>
      </w:r>
    </w:p>
    <w:p w14:paraId="3B4403F0" w14:textId="2419EAC5" w:rsidR="00146C2C" w:rsidRPr="006D790D" w:rsidRDefault="00B92C43" w:rsidP="00B1559C">
      <w:pPr>
        <w:pStyle w:val="ListBullet"/>
      </w:pPr>
      <w:r>
        <w:t>Alternate hypothesis</w:t>
      </w:r>
      <w:r w:rsidR="00146C2C" w:rsidRPr="006D790D">
        <w:t xml:space="preserve">: There is a treatment difference between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and placebo</w:t>
      </w:r>
    </w:p>
    <w:p w14:paraId="3B57D1D9" w14:textId="631B52FB" w:rsidR="00146C2C" w:rsidRPr="006D790D" w:rsidRDefault="00146C2C" w:rsidP="00B1559C">
      <w:r w:rsidRPr="006D790D">
        <w:t>The statistical analyses were conducted separately for each cohort.</w:t>
      </w:r>
    </w:p>
    <w:p w14:paraId="331A4C7F" w14:textId="407BD3D6" w:rsidR="00146C2C" w:rsidRPr="006D790D" w:rsidRDefault="00146C2C" w:rsidP="00B1559C">
      <w:r w:rsidRPr="006D790D">
        <w:t xml:space="preserve">The percentage of households in Cohort A with only a single study subject was ≥ 70%, so (as pre-specified) it was not deemed necessary to account for correlation among subjects within a household. A logistic regression model was used with treatment, region, and age group as fixed effects. The overall </w:t>
      </w:r>
      <w:r w:rsidR="00FC7942" w:rsidRPr="006D790D">
        <w:t>T</w:t>
      </w:r>
      <w:r w:rsidRPr="006D790D">
        <w:t xml:space="preserve">ype I error was controlled for the primary hypothesis based on a </w:t>
      </w:r>
      <w:proofErr w:type="gramStart"/>
      <w:r w:rsidR="00FC7942" w:rsidRPr="006D790D">
        <w:t xml:space="preserve">two </w:t>
      </w:r>
      <w:r w:rsidRPr="006D790D">
        <w:t>sided</w:t>
      </w:r>
      <w:proofErr w:type="gramEnd"/>
      <w:r w:rsidRPr="006D790D">
        <w:t xml:space="preserve"> test at an alpha level of 0.05. If the primary efficacy endpoint was statistically significant, the alpha level of 0.05 was released for the key secondary </w:t>
      </w:r>
      <w:r w:rsidRPr="006D790D">
        <w:lastRenderedPageBreak/>
        <w:t>endpoints. In Cohort B, the same statistical methods as described for Cohort A were used to obtain the estimate of odds ratio and p-value for comparison between the treatment groups.</w:t>
      </w:r>
    </w:p>
    <w:p w14:paraId="6DB27FB7" w14:textId="3D4CECA6" w:rsidR="00146C2C" w:rsidRPr="006D790D" w:rsidRDefault="00146C2C" w:rsidP="00E242C3">
      <w:pPr>
        <w:pStyle w:val="Heading6"/>
        <w:rPr>
          <w:rFonts w:eastAsiaTheme="minorHAnsi"/>
        </w:rPr>
      </w:pPr>
      <w:r w:rsidRPr="006D790D">
        <w:rPr>
          <w:rFonts w:eastAsiaTheme="minorHAnsi"/>
        </w:rPr>
        <w:t>Analysis population</w:t>
      </w:r>
    </w:p>
    <w:p w14:paraId="21A78B41" w14:textId="10798032" w:rsidR="00146C2C" w:rsidRPr="006D790D" w:rsidRDefault="00146C2C" w:rsidP="00B1559C">
      <w:r w:rsidRPr="006D790D">
        <w:t>The study planned to enrol approximately 3500 adult and adolescent participants and approximately 250 paediatric participants &lt; 12 years old. This was increased from n</w:t>
      </w:r>
      <w:r w:rsidR="00FC7942" w:rsidRPr="006D790D">
        <w:t> </w:t>
      </w:r>
      <w:r w:rsidRPr="006D790D">
        <w:t>=</w:t>
      </w:r>
      <w:r w:rsidR="00FC7942" w:rsidRPr="006D790D">
        <w:t> </w:t>
      </w:r>
      <w:r w:rsidRPr="006D790D">
        <w:t>2000, based on the results of the administrative assessment.</w:t>
      </w:r>
    </w:p>
    <w:p w14:paraId="33961328" w14:textId="37FEF4B4" w:rsidR="00146C2C" w:rsidRPr="006D790D" w:rsidRDefault="00146C2C" w:rsidP="00B1559C">
      <w:r w:rsidRPr="006D790D">
        <w:t>A total of 3029 participants were randomi</w:t>
      </w:r>
      <w:r w:rsidR="00AF6815" w:rsidRPr="006D790D">
        <w:t>s</w:t>
      </w:r>
      <w:r w:rsidRPr="006D790D">
        <w:t xml:space="preserve">ed as of the cut-off date. The safety and efficacy analysis populations are shown in </w:t>
      </w:r>
      <w:r w:rsidR="00D5326E" w:rsidRPr="006D790D">
        <w:fldChar w:fldCharType="begin"/>
      </w:r>
      <w:r w:rsidR="00D5326E" w:rsidRPr="006D790D">
        <w:instrText xml:space="preserve"> REF _Ref85138588 \h </w:instrText>
      </w:r>
      <w:r w:rsidR="006D790D">
        <w:instrText xml:space="preserve"> \* MERGEFORMAT </w:instrText>
      </w:r>
      <w:r w:rsidR="00D5326E" w:rsidRPr="006D790D">
        <w:fldChar w:fldCharType="separate"/>
      </w:r>
      <w:r w:rsidR="007F1879" w:rsidRPr="006D790D">
        <w:t xml:space="preserve">Table </w:t>
      </w:r>
      <w:r w:rsidR="007F1879">
        <w:rPr>
          <w:noProof/>
        </w:rPr>
        <w:t>19</w:t>
      </w:r>
      <w:r w:rsidR="00D5326E" w:rsidRPr="006D790D">
        <w:fldChar w:fldCharType="end"/>
      </w:r>
      <w:r w:rsidR="00D5326E" w:rsidRPr="006D790D">
        <w:t xml:space="preserve"> </w:t>
      </w:r>
      <w:r w:rsidRPr="006D790D">
        <w:t>below.</w:t>
      </w:r>
    </w:p>
    <w:p w14:paraId="1F69B781" w14:textId="7EBA900A" w:rsidR="00146C2C" w:rsidRDefault="00D5326E" w:rsidP="00C05180">
      <w:pPr>
        <w:pStyle w:val="TableTitle"/>
      </w:pPr>
      <w:bookmarkStart w:id="92" w:name="_Ref85138588"/>
      <w:r w:rsidRPr="006D790D">
        <w:t xml:space="preserve">Table </w:t>
      </w:r>
      <w:fldSimple w:instr=" SEQ Table \* ARABIC ">
        <w:r w:rsidR="007F1879">
          <w:rPr>
            <w:noProof/>
          </w:rPr>
          <w:t>19</w:t>
        </w:r>
      </w:fldSimple>
      <w:bookmarkEnd w:id="92"/>
      <w:r w:rsidR="00146C2C" w:rsidRPr="006D790D">
        <w:t xml:space="preserve">: </w:t>
      </w:r>
      <w:r w:rsidR="00030A65" w:rsidRPr="006D790D">
        <w:t xml:space="preserve">Study COV-2069 </w:t>
      </w:r>
      <w:r w:rsidR="00146C2C" w:rsidRPr="006D790D">
        <w:t>Safety and efficacy analyses populations</w:t>
      </w:r>
    </w:p>
    <w:p w14:paraId="187C1F7D" w14:textId="3A719E3F" w:rsidR="006221BC" w:rsidRPr="006D790D" w:rsidRDefault="006221BC" w:rsidP="00084EC5">
      <w:r>
        <w:rPr>
          <w:noProof/>
        </w:rPr>
        <w:drawing>
          <wp:inline distT="0" distB="0" distL="0" distR="0" wp14:anchorId="33D0A1BE" wp14:editId="2C79B847">
            <wp:extent cx="5400040" cy="1530985"/>
            <wp:effectExtent l="0" t="0" r="0" b="0"/>
            <wp:docPr id="69" name="Picture 69" descr="Study COV-2069 Safety and efficacy analyses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tudy COV-2069 Safety and efficacy analyses populations"/>
                    <pic:cNvPicPr/>
                  </pic:nvPicPr>
                  <pic:blipFill>
                    <a:blip r:embed="rId49"/>
                    <a:stretch>
                      <a:fillRect/>
                    </a:stretch>
                  </pic:blipFill>
                  <pic:spPr>
                    <a:xfrm>
                      <a:off x="0" y="0"/>
                      <a:ext cx="5400040" cy="1530985"/>
                    </a:xfrm>
                    <a:prstGeom prst="rect">
                      <a:avLst/>
                    </a:prstGeom>
                  </pic:spPr>
                </pic:pic>
              </a:graphicData>
            </a:graphic>
          </wp:inline>
        </w:drawing>
      </w:r>
    </w:p>
    <w:p w14:paraId="3A28EFB6" w14:textId="21DCD414" w:rsidR="00B92C43" w:rsidRPr="009C45A3" w:rsidRDefault="006221BC" w:rsidP="009C45A3">
      <w:pPr>
        <w:pStyle w:val="TableDescription"/>
      </w:pPr>
      <w:r w:rsidRPr="009C45A3">
        <w:t xml:space="preserve">REGN10933 + REGN10987 = </w:t>
      </w:r>
      <w:proofErr w:type="spellStart"/>
      <w:r w:rsidRPr="009C45A3">
        <w:t>casirivimab</w:t>
      </w:r>
      <w:proofErr w:type="spellEnd"/>
      <w:r w:rsidRPr="009C45A3">
        <w:t xml:space="preserve"> + </w:t>
      </w:r>
      <w:proofErr w:type="spellStart"/>
      <w:r w:rsidRPr="009C45A3">
        <w:t>imdevimab</w:t>
      </w:r>
      <w:proofErr w:type="spellEnd"/>
      <w:r w:rsidRPr="009C45A3">
        <w:t xml:space="preserve">; N = number of subjects; </w:t>
      </w:r>
      <w:proofErr w:type="spellStart"/>
      <w:r w:rsidR="00B92C43" w:rsidRPr="009C45A3">
        <w:t>mFAS</w:t>
      </w:r>
      <w:proofErr w:type="spellEnd"/>
      <w:r w:rsidR="00B92C43" w:rsidRPr="009C45A3">
        <w:t xml:space="preserve"> = modified full analysis set.</w:t>
      </w:r>
    </w:p>
    <w:p w14:paraId="3140C7D4" w14:textId="6C3C0FF0" w:rsidR="00B92C43" w:rsidRPr="009C45A3" w:rsidRDefault="00B92C43" w:rsidP="009C45A3">
      <w:pPr>
        <w:pStyle w:val="TableDescription"/>
      </w:pPr>
      <w:r w:rsidRPr="009C45A3">
        <w:t>For the primary analysis, all participants randomised by 28 January 2021 are included. The cut</w:t>
      </w:r>
      <w:r w:rsidR="001E325B" w:rsidRPr="009C45A3">
        <w:t>-</w:t>
      </w:r>
      <w:r w:rsidRPr="009C45A3">
        <w:t xml:space="preserve">off date is 11 March 2021. For efficacy analysis, 554 participants in </w:t>
      </w:r>
      <w:r w:rsidR="006221BC" w:rsidRPr="009C45A3">
        <w:t xml:space="preserve">Cohort </w:t>
      </w:r>
      <w:r w:rsidRPr="009C45A3">
        <w:t>A who were in the administrative assessment are excluded.</w:t>
      </w:r>
    </w:p>
    <w:p w14:paraId="7A2482F1" w14:textId="77777777" w:rsidR="00146C2C" w:rsidRPr="006D790D" w:rsidRDefault="00146C2C" w:rsidP="00E242C3">
      <w:pPr>
        <w:pStyle w:val="Heading6"/>
      </w:pPr>
      <w:r w:rsidRPr="006D790D">
        <w:t>Efficacy analysis</w:t>
      </w:r>
    </w:p>
    <w:p w14:paraId="65C04B2A" w14:textId="77777777" w:rsidR="00146C2C" w:rsidRPr="006D790D" w:rsidRDefault="00146C2C" w:rsidP="00B1559C">
      <w:r w:rsidRPr="006D790D">
        <w:t>Efficacy analysis is discussed on the two cohorts below:</w:t>
      </w:r>
    </w:p>
    <w:p w14:paraId="1D106E97" w14:textId="7C608DA3" w:rsidR="00146C2C" w:rsidRPr="006D790D" w:rsidRDefault="00146C2C" w:rsidP="00B1559C">
      <w:pPr>
        <w:pStyle w:val="ListBullet"/>
      </w:pPr>
      <w:r w:rsidRPr="006D790D">
        <w:t xml:space="preserve">Cohort A: prevention of infection in participants who were uninfected at </w:t>
      </w:r>
      <w:r w:rsidR="00FB39BC" w:rsidRPr="006D790D">
        <w:t>Baseline</w:t>
      </w:r>
    </w:p>
    <w:p w14:paraId="1A6F52A7" w14:textId="26DF9EA9" w:rsidR="00146C2C" w:rsidRPr="006D790D" w:rsidRDefault="00146C2C" w:rsidP="00B1559C">
      <w:pPr>
        <w:pStyle w:val="ListBullet"/>
      </w:pPr>
      <w:r w:rsidRPr="006D790D">
        <w:t>Cohort B: prevention of symptomatic progression in participants who were infected</w:t>
      </w:r>
      <w:r w:rsidR="006857B4" w:rsidRPr="006D790D">
        <w:t xml:space="preserve"> </w:t>
      </w:r>
      <w:r w:rsidRPr="006D790D">
        <w:t xml:space="preserve">but asymptomatic at </w:t>
      </w:r>
      <w:r w:rsidR="00FB39BC" w:rsidRPr="006D790D">
        <w:t>Baseline</w:t>
      </w:r>
      <w:r w:rsidRPr="006D790D">
        <w:t>.</w:t>
      </w:r>
    </w:p>
    <w:p w14:paraId="3009947A" w14:textId="771254D5" w:rsidR="00146C2C" w:rsidRPr="006D790D" w:rsidRDefault="00146C2C" w:rsidP="00E242C3">
      <w:pPr>
        <w:pStyle w:val="Heading7"/>
        <w:rPr>
          <w:rFonts w:eastAsiaTheme="minorHAnsi"/>
          <w:sz w:val="22"/>
          <w:szCs w:val="28"/>
        </w:rPr>
      </w:pPr>
      <w:r w:rsidRPr="006D790D">
        <w:rPr>
          <w:rFonts w:eastAsiaTheme="minorHAnsi"/>
          <w:sz w:val="22"/>
          <w:szCs w:val="28"/>
        </w:rPr>
        <w:t xml:space="preserve">Cohort A: Prevention of SARS-CoV-2 </w:t>
      </w:r>
      <w:r w:rsidR="00BC7E06" w:rsidRPr="006D790D">
        <w:rPr>
          <w:rFonts w:eastAsiaTheme="minorHAnsi"/>
          <w:sz w:val="22"/>
          <w:szCs w:val="28"/>
        </w:rPr>
        <w:t>i</w:t>
      </w:r>
      <w:r w:rsidRPr="006D790D">
        <w:rPr>
          <w:rFonts w:eastAsiaTheme="minorHAnsi"/>
          <w:sz w:val="22"/>
          <w:szCs w:val="28"/>
        </w:rPr>
        <w:t>nfection</w:t>
      </w:r>
    </w:p>
    <w:p w14:paraId="48F5930D" w14:textId="71987E2D" w:rsidR="00146C2C" w:rsidRPr="006D790D" w:rsidRDefault="00146C2C" w:rsidP="00B1559C">
      <w:r w:rsidRPr="006D790D">
        <w:t>The key demographic and baseline characteristics were generally similar between the seronegative FAS and all randomi</w:t>
      </w:r>
      <w:r w:rsidR="00AF6815" w:rsidRPr="006D790D">
        <w:t>s</w:t>
      </w:r>
      <w:r w:rsidRPr="006D790D">
        <w:t>ed and treated population in Cohort A. In the seronegative FAS-A, approximately 38% of the subjects were 50 years or older, 54% were women, 9% were Black, and 41% were of Hispanic or Latino ethnicity. Adolescents comprised a total of 68/1505 (4.5%) participants in the efficacy analysis, and elderly participants (age &gt;</w:t>
      </w:r>
      <w:r w:rsidR="00BC7E06" w:rsidRPr="006D790D">
        <w:t xml:space="preserve"> </w:t>
      </w:r>
      <w:r w:rsidRPr="006D790D">
        <w:t>80 years) comprised a total of 7/1505 (0.5%). Approximately 30% of baseline</w:t>
      </w:r>
      <w:r w:rsidR="00FB39BC" w:rsidRPr="006D790D">
        <w:t xml:space="preserve"> </w:t>
      </w:r>
      <w:r w:rsidRPr="006D790D">
        <w:t xml:space="preserve">seronegative participants in Cohort A had risk factors for progressing to severe COVID-19. The risk factors were generally balanced between treatment groups (see </w:t>
      </w:r>
      <w:r w:rsidR="00D5326E" w:rsidRPr="006D790D">
        <w:fldChar w:fldCharType="begin"/>
      </w:r>
      <w:r w:rsidR="00D5326E" w:rsidRPr="006D790D">
        <w:instrText xml:space="preserve"> REF _Ref85138610 \h </w:instrText>
      </w:r>
      <w:r w:rsidR="006D790D">
        <w:instrText xml:space="preserve"> \* MERGEFORMAT </w:instrText>
      </w:r>
      <w:r w:rsidR="00D5326E" w:rsidRPr="006D790D">
        <w:fldChar w:fldCharType="separate"/>
      </w:r>
      <w:r w:rsidR="007F1879" w:rsidRPr="006D790D">
        <w:t xml:space="preserve">Table </w:t>
      </w:r>
      <w:r w:rsidR="007F1879">
        <w:rPr>
          <w:noProof/>
        </w:rPr>
        <w:t>20</w:t>
      </w:r>
      <w:r w:rsidR="00D5326E" w:rsidRPr="006D790D">
        <w:fldChar w:fldCharType="end"/>
      </w:r>
      <w:r w:rsidRPr="006D790D">
        <w:t xml:space="preserve"> below). Risk factors present in more than 10% of participants were </w:t>
      </w:r>
      <w:r w:rsidR="00BC7E06" w:rsidRPr="006D790D">
        <w:t>body mass index (</w:t>
      </w:r>
      <w:r w:rsidRPr="006D790D">
        <w:t>BMI</w:t>
      </w:r>
      <w:r w:rsidR="00BC7E06" w:rsidRPr="006D790D">
        <w:t>)</w:t>
      </w:r>
      <w:r w:rsidRPr="006D790D">
        <w:t xml:space="preserve"> ≥ 35 kg/m</w:t>
      </w:r>
      <w:r w:rsidRPr="006D790D">
        <w:rPr>
          <w:vertAlign w:val="superscript"/>
        </w:rPr>
        <w:t>2</w:t>
      </w:r>
      <w:r w:rsidRPr="006D790D">
        <w:t xml:space="preserve"> and age ≥ 65 years with cardiovascular disease, hypertension, or chronic obstructive pulmonary disease (COPD). Fewer than 2% of participants were immunosuppressed (due to disease or immunosuppressive treatment).</w:t>
      </w:r>
    </w:p>
    <w:p w14:paraId="10173477" w14:textId="1992B7E7" w:rsidR="00146C2C" w:rsidRDefault="00D5326E" w:rsidP="00C05180">
      <w:pPr>
        <w:pStyle w:val="TableTitle"/>
      </w:pPr>
      <w:bookmarkStart w:id="93" w:name="_Ref85138610"/>
      <w:r w:rsidRPr="006D790D">
        <w:lastRenderedPageBreak/>
        <w:t xml:space="preserve">Table </w:t>
      </w:r>
      <w:fldSimple w:instr=" SEQ Table \* ARABIC ">
        <w:r w:rsidR="007F1879">
          <w:rPr>
            <w:noProof/>
          </w:rPr>
          <w:t>20</w:t>
        </w:r>
      </w:fldSimple>
      <w:bookmarkEnd w:id="93"/>
      <w:r w:rsidR="00146C2C" w:rsidRPr="006D790D">
        <w:t xml:space="preserve">: </w:t>
      </w:r>
      <w:r w:rsidR="00030A65" w:rsidRPr="006D790D">
        <w:t xml:space="preserve">Study COV-2069 </w:t>
      </w:r>
      <w:r w:rsidR="00146C2C" w:rsidRPr="006D790D">
        <w:t xml:space="preserve">Participants with risk factors at </w:t>
      </w:r>
      <w:r w:rsidR="00FB39BC" w:rsidRPr="006D790D">
        <w:t>Baseline</w:t>
      </w:r>
      <w:r w:rsidR="00146C2C" w:rsidRPr="006D790D">
        <w:t xml:space="preserve"> (seronegative </w:t>
      </w:r>
      <w:r w:rsidR="00216A81" w:rsidRPr="006D790D">
        <w:t>modified full analysis set</w:t>
      </w:r>
      <w:r w:rsidR="00FB39BC" w:rsidRPr="006D790D">
        <w:t xml:space="preserve"> </w:t>
      </w:r>
      <w:r w:rsidR="00146C2C" w:rsidRPr="006D790D">
        <w:t>A)</w:t>
      </w:r>
    </w:p>
    <w:p w14:paraId="530FEB39" w14:textId="35F38C81" w:rsidR="006221BC" w:rsidRPr="006D790D" w:rsidRDefault="006221BC" w:rsidP="00084EC5">
      <w:r>
        <w:rPr>
          <w:noProof/>
        </w:rPr>
        <w:drawing>
          <wp:inline distT="0" distB="0" distL="0" distR="0" wp14:anchorId="5B62017C" wp14:editId="376B21E7">
            <wp:extent cx="5311140" cy="1859928"/>
            <wp:effectExtent l="0" t="0" r="3810" b="6985"/>
            <wp:docPr id="73" name="Picture 73" descr="Study COV-2069 Participants with risk factors at Baseline (seronegative modified full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tudy COV-2069 Participants with risk factors at Baseline (seronegative modified full analysis set A)"/>
                    <pic:cNvPicPr/>
                  </pic:nvPicPr>
                  <pic:blipFill>
                    <a:blip r:embed="rId50"/>
                    <a:stretch>
                      <a:fillRect/>
                    </a:stretch>
                  </pic:blipFill>
                  <pic:spPr>
                    <a:xfrm>
                      <a:off x="0" y="0"/>
                      <a:ext cx="5328802" cy="1866113"/>
                    </a:xfrm>
                    <a:prstGeom prst="rect">
                      <a:avLst/>
                    </a:prstGeom>
                  </pic:spPr>
                </pic:pic>
              </a:graphicData>
            </a:graphic>
          </wp:inline>
        </w:drawing>
      </w:r>
    </w:p>
    <w:p w14:paraId="4E89C54A" w14:textId="5AC572CB" w:rsidR="006221BC" w:rsidRPr="009C45A3" w:rsidRDefault="006221BC" w:rsidP="009C45A3">
      <w:pPr>
        <w:pStyle w:val="TableDescription"/>
      </w:pPr>
      <w:r w:rsidRPr="009C45A3">
        <w:t xml:space="preserve">REGN10933 + REGN10987 = </w:t>
      </w:r>
      <w:proofErr w:type="spellStart"/>
      <w:r w:rsidRPr="009C45A3">
        <w:t>casirivimab</w:t>
      </w:r>
      <w:proofErr w:type="spellEnd"/>
      <w:r w:rsidRPr="009C45A3">
        <w:t xml:space="preserve"> + </w:t>
      </w:r>
      <w:proofErr w:type="spellStart"/>
      <w:r w:rsidRPr="009C45A3">
        <w:t>imdevimab</w:t>
      </w:r>
      <w:proofErr w:type="spellEnd"/>
      <w:r w:rsidRPr="009C45A3">
        <w:t>; N = number of subjects; BMI = body mass index.</w:t>
      </w:r>
    </w:p>
    <w:p w14:paraId="119591BA" w14:textId="1746A647" w:rsidR="006221BC" w:rsidRPr="009C45A3" w:rsidRDefault="00B92C43" w:rsidP="00BB0979">
      <w:pPr>
        <w:pStyle w:val="TableDescription"/>
      </w:pPr>
      <w:r w:rsidRPr="009C45A3">
        <w:t>For the first step analysis, the data cut</w:t>
      </w:r>
      <w:r w:rsidR="006221BC">
        <w:t>-</w:t>
      </w:r>
      <w:r w:rsidRPr="009C45A3">
        <w:t>off date is 11 March 2021.</w:t>
      </w:r>
    </w:p>
    <w:p w14:paraId="5E9C5122" w14:textId="7E2A139D" w:rsidR="00B92C43" w:rsidRPr="009C45A3" w:rsidRDefault="00B92C43" w:rsidP="009C45A3">
      <w:pPr>
        <w:pStyle w:val="TableDescription"/>
      </w:pPr>
      <w:r w:rsidRPr="009C45A3">
        <w:t xml:space="preserve">Data collected from demographics, medical </w:t>
      </w:r>
      <w:proofErr w:type="gramStart"/>
      <w:r w:rsidRPr="009C45A3">
        <w:t>history</w:t>
      </w:r>
      <w:proofErr w:type="gramEnd"/>
      <w:r w:rsidRPr="009C45A3">
        <w:t xml:space="preserve"> and concomitant medication </w:t>
      </w:r>
      <w:bookmarkStart w:id="94" w:name="_Hlk85799166"/>
      <w:r w:rsidR="006221BC" w:rsidRPr="009C45A3">
        <w:t>electronic case report from (</w:t>
      </w:r>
      <w:r w:rsidRPr="009C45A3">
        <w:t>eCRF</w:t>
      </w:r>
      <w:r w:rsidR="006221BC" w:rsidRPr="009C45A3">
        <w:t>)</w:t>
      </w:r>
      <w:bookmarkEnd w:id="94"/>
      <w:r w:rsidRPr="009C45A3">
        <w:t>.</w:t>
      </w:r>
    </w:p>
    <w:p w14:paraId="2E2D7FD9" w14:textId="549A9BD4" w:rsidR="00146C2C" w:rsidRPr="006D790D" w:rsidRDefault="00146C2C" w:rsidP="00B1559C">
      <w:r w:rsidRPr="006D790D">
        <w:t>The primary endpoint is the proportion of participants who have a symptomatic (broad</w:t>
      </w:r>
      <w:r w:rsidR="00BC7E06" w:rsidRPr="006D790D">
        <w:t xml:space="preserve"> </w:t>
      </w:r>
      <w:r w:rsidRPr="006D790D">
        <w:t xml:space="preserve">term) RT-qPCR confirmed SARS-CoV-2 infection. The primary efficacy analysis was conducted in the seronegative modified full analysis set (seronegative </w:t>
      </w:r>
      <w:proofErr w:type="spellStart"/>
      <w:r w:rsidRPr="006D790D">
        <w:t>mFAS</w:t>
      </w:r>
      <w:proofErr w:type="spellEnd"/>
      <w:r w:rsidRPr="006D790D">
        <w:t>-A) which include 1505 participants. There were 68 (4.5%) adolescents (age ≥ 12 to &lt; 18 years) and 7 (0.5%) participants who were &gt;80 years of age.</w:t>
      </w:r>
    </w:p>
    <w:p w14:paraId="228E6FB1" w14:textId="03D18D90" w:rsidR="00146C2C" w:rsidRPr="006D790D" w:rsidRDefault="00146C2C" w:rsidP="00B1559C">
      <w:r w:rsidRPr="006D790D">
        <w:t xml:space="preserve">The analysis of the primary efficacy endpoint showed that </w:t>
      </w:r>
      <w:r w:rsidR="00316746" w:rsidRPr="006D790D">
        <w:t>subcutaneous</w:t>
      </w:r>
      <w:r w:rsidRPr="006D790D">
        <w:t xml:space="preserve"> </w:t>
      </w:r>
      <w:proofErr w:type="spellStart"/>
      <w:r w:rsidRPr="006D790D">
        <w:t>casirivimab</w:t>
      </w:r>
      <w:proofErr w:type="spellEnd"/>
      <w:r w:rsidR="00EA28EF" w:rsidRPr="006D790D">
        <w:t>/</w:t>
      </w:r>
      <w:proofErr w:type="spellStart"/>
      <w:r w:rsidRPr="006D790D">
        <w:t>imdevimab</w:t>
      </w:r>
      <w:proofErr w:type="spellEnd"/>
      <w:r w:rsidRPr="006D790D">
        <w:t xml:space="preserve"> reduced the risk of symptomatic infection by 81.4% in participants who were seronegative at </w:t>
      </w:r>
      <w:r w:rsidR="00FB39BC" w:rsidRPr="006D790D">
        <w:t>Baseline</w:t>
      </w:r>
      <w:r w:rsidRPr="006D790D">
        <w:t xml:space="preserve"> (</w:t>
      </w:r>
      <w:r w:rsidR="00D5326E" w:rsidRPr="006D790D">
        <w:fldChar w:fldCharType="begin"/>
      </w:r>
      <w:r w:rsidR="00D5326E" w:rsidRPr="006D790D">
        <w:instrText xml:space="preserve"> REF _Ref85138639 \h </w:instrText>
      </w:r>
      <w:r w:rsidR="006D790D">
        <w:instrText xml:space="preserve"> \* MERGEFORMAT </w:instrText>
      </w:r>
      <w:r w:rsidR="00D5326E" w:rsidRPr="006D790D">
        <w:fldChar w:fldCharType="separate"/>
      </w:r>
      <w:r w:rsidR="007F1879" w:rsidRPr="006D790D">
        <w:t xml:space="preserve">Table </w:t>
      </w:r>
      <w:r w:rsidR="007F1879">
        <w:rPr>
          <w:noProof/>
        </w:rPr>
        <w:t>21</w:t>
      </w:r>
      <w:r w:rsidR="00D5326E" w:rsidRPr="006D790D">
        <w:fldChar w:fldCharType="end"/>
      </w:r>
      <w:r w:rsidRPr="006D790D">
        <w:t>). Symptomatic infection for this endpoint was defined as having a confirmed positive RT-qPCR during the EAP with a symptom from the broad</w:t>
      </w:r>
      <w:r w:rsidR="008A5DCA" w:rsidRPr="006D790D">
        <w:t xml:space="preserve"> </w:t>
      </w:r>
      <w:r w:rsidRPr="006D790D">
        <w:t>term definition occurring within 14</w:t>
      </w:r>
      <w:r w:rsidR="00BC7E06" w:rsidRPr="006D790D">
        <w:t> </w:t>
      </w:r>
      <w:r w:rsidRPr="006D790D">
        <w:t>days of the positive RT</w:t>
      </w:r>
      <w:r w:rsidR="000329BE" w:rsidRPr="006D790D">
        <w:noBreakHyphen/>
      </w:r>
      <w:r w:rsidRPr="006D790D">
        <w:t>qPCR test.</w:t>
      </w:r>
    </w:p>
    <w:p w14:paraId="4D5F9432" w14:textId="34AF1382" w:rsidR="00146C2C" w:rsidRDefault="00D5326E" w:rsidP="00C05180">
      <w:pPr>
        <w:pStyle w:val="TableTitle"/>
      </w:pPr>
      <w:bookmarkStart w:id="95" w:name="_Ref85138639"/>
      <w:r w:rsidRPr="006D790D">
        <w:t xml:space="preserve">Table </w:t>
      </w:r>
      <w:fldSimple w:instr=" SEQ Table \* ARABIC ">
        <w:r w:rsidR="007F1879">
          <w:rPr>
            <w:noProof/>
          </w:rPr>
          <w:t>21</w:t>
        </w:r>
      </w:fldSimple>
      <w:bookmarkEnd w:id="95"/>
      <w:r w:rsidR="00146C2C" w:rsidRPr="006D790D">
        <w:t xml:space="preserve">: </w:t>
      </w:r>
      <w:r w:rsidR="00030A65" w:rsidRPr="006D790D">
        <w:t xml:space="preserve">Study COV-2069 </w:t>
      </w:r>
      <w:r w:rsidR="00146C2C" w:rsidRPr="006D790D">
        <w:t>Proportion of participants with symptomatic infection (broad</w:t>
      </w:r>
      <w:r w:rsidR="00030A65" w:rsidRPr="006D790D">
        <w:t xml:space="preserve"> </w:t>
      </w:r>
      <w:r w:rsidR="00146C2C" w:rsidRPr="006D790D">
        <w:t xml:space="preserve">term) during the evaluation phase (seronegative </w:t>
      </w:r>
      <w:r w:rsidR="00216A81" w:rsidRPr="006D790D">
        <w:t>modified full analysis set</w:t>
      </w:r>
      <w:r w:rsidR="00FC63CA" w:rsidRPr="006D790D">
        <w:t xml:space="preserve"> </w:t>
      </w:r>
      <w:r w:rsidR="00146C2C" w:rsidRPr="006D790D">
        <w:t>A)</w:t>
      </w:r>
    </w:p>
    <w:p w14:paraId="2090CC10" w14:textId="5196EDD1" w:rsidR="002F4516" w:rsidRPr="006D790D" w:rsidRDefault="002F4516" w:rsidP="00084EC5">
      <w:r>
        <w:rPr>
          <w:noProof/>
        </w:rPr>
        <w:drawing>
          <wp:inline distT="0" distB="0" distL="0" distR="0" wp14:anchorId="262E4D62" wp14:editId="41C65B85">
            <wp:extent cx="5400040" cy="1894205"/>
            <wp:effectExtent l="0" t="0" r="0" b="0"/>
            <wp:docPr id="74" name="Picture 74" descr="Study COV-2069 Proportion of participants with symptomatic infection (broad term) during the evaluation phase (seronegative modified full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tudy COV-2069 Proportion of participants with symptomatic infection (broad term) during the evaluation phase (seronegative modified full analysis set A)"/>
                    <pic:cNvPicPr/>
                  </pic:nvPicPr>
                  <pic:blipFill>
                    <a:blip r:embed="rId51"/>
                    <a:stretch>
                      <a:fillRect/>
                    </a:stretch>
                  </pic:blipFill>
                  <pic:spPr>
                    <a:xfrm>
                      <a:off x="0" y="0"/>
                      <a:ext cx="5400040" cy="1894205"/>
                    </a:xfrm>
                    <a:prstGeom prst="rect">
                      <a:avLst/>
                    </a:prstGeom>
                  </pic:spPr>
                </pic:pic>
              </a:graphicData>
            </a:graphic>
          </wp:inline>
        </w:drawing>
      </w:r>
    </w:p>
    <w:p w14:paraId="2EC26684" w14:textId="6EDD567F" w:rsidR="002F4516" w:rsidRPr="009C45A3" w:rsidRDefault="002F4516" w:rsidP="009C45A3">
      <w:pPr>
        <w:pStyle w:val="TableDescription"/>
      </w:pPr>
      <w:r w:rsidRPr="009C45A3">
        <w:t xml:space="preserve">REGN10933 + REGN10987 = </w:t>
      </w:r>
      <w:proofErr w:type="spellStart"/>
      <w:r w:rsidRPr="009C45A3">
        <w:t>casirivimab</w:t>
      </w:r>
      <w:proofErr w:type="spellEnd"/>
      <w:r w:rsidRPr="009C45A3">
        <w:t xml:space="preserve"> + </w:t>
      </w:r>
      <w:proofErr w:type="spellStart"/>
      <w:r w:rsidRPr="009C45A3">
        <w:t>imdevimab</w:t>
      </w:r>
      <w:proofErr w:type="spellEnd"/>
      <w:r w:rsidRPr="009C45A3">
        <w:t>; N = number of subjects; RT-qPCR = reverse transcription quantitative real time polymerase chain reaction; CI = confidence interval; vs = versus.</w:t>
      </w:r>
    </w:p>
    <w:p w14:paraId="71F11B8E" w14:textId="6B8A6C73" w:rsidR="00E25695" w:rsidRPr="00BB0979" w:rsidRDefault="00E25695" w:rsidP="009C45A3">
      <w:pPr>
        <w:pStyle w:val="TableDescription"/>
      </w:pPr>
      <w:r w:rsidRPr="00BB0979">
        <w:t>For the first step analysis, the data cut</w:t>
      </w:r>
      <w:r w:rsidR="001E325B" w:rsidRPr="00BB0979">
        <w:t>-</w:t>
      </w:r>
      <w:r w:rsidRPr="00BB0979">
        <w:t>off date is 11 March 2021.</w:t>
      </w:r>
    </w:p>
    <w:p w14:paraId="39AEEC09" w14:textId="461A828E" w:rsidR="00E25695" w:rsidRPr="00BB0979" w:rsidRDefault="00E25695" w:rsidP="009C45A3">
      <w:pPr>
        <w:pStyle w:val="TableDescription"/>
      </w:pPr>
      <w:r w:rsidRPr="00BB0979">
        <w:t>1: The CI with p-value Is based on the odds ratio (</w:t>
      </w:r>
      <w:proofErr w:type="spellStart"/>
      <w:r w:rsidRPr="00BB0979">
        <w:t>casirivimab</w:t>
      </w:r>
      <w:proofErr w:type="spellEnd"/>
      <w:r w:rsidRPr="00BB0979">
        <w:t xml:space="preserve"> + </w:t>
      </w:r>
      <w:proofErr w:type="spellStart"/>
      <w:r w:rsidRPr="00BB0979">
        <w:t>imdesivir</w:t>
      </w:r>
      <w:proofErr w:type="spellEnd"/>
      <w:r w:rsidRPr="00BB0979">
        <w:t xml:space="preserve"> group versus placebo group) using a logistic regression model with the fixed categorical effects of treatment group, age group (age in years</w:t>
      </w:r>
      <w:r w:rsidR="002F4516" w:rsidRPr="009C45A3">
        <w:t>:</w:t>
      </w:r>
      <w:r w:rsidRPr="00BB0979">
        <w:t xml:space="preserve"> 12 and over to under 50; and 50 and over)</w:t>
      </w:r>
      <w:r w:rsidR="002F4516" w:rsidRPr="009C45A3">
        <w:t>,</w:t>
      </w:r>
      <w:r w:rsidRPr="00BB0979">
        <w:t xml:space="preserve"> and region (</w:t>
      </w:r>
      <w:r w:rsidR="002F4516" w:rsidRPr="009C45A3">
        <w:t>Untied States of America (</w:t>
      </w:r>
      <w:r w:rsidRPr="00BB0979">
        <w:t>USA</w:t>
      </w:r>
      <w:r w:rsidR="002F4516" w:rsidRPr="009C45A3">
        <w:t>)</w:t>
      </w:r>
      <w:r w:rsidRPr="00BB0979">
        <w:t xml:space="preserve"> versus non-USA).</w:t>
      </w:r>
    </w:p>
    <w:p w14:paraId="718D97B1" w14:textId="3A1119A6" w:rsidR="00146C2C" w:rsidRPr="006D790D" w:rsidRDefault="00146C2C" w:rsidP="00B1559C">
      <w:r w:rsidRPr="006D790D">
        <w:lastRenderedPageBreak/>
        <w:t>The efficacy analysis for Cohort A met the primary endpoint and all key secondary endpoints</w:t>
      </w:r>
      <w:r w:rsidR="006857B4" w:rsidRPr="006D790D">
        <w:t xml:space="preserve"> </w:t>
      </w:r>
      <w:r w:rsidRPr="006D790D">
        <w:t xml:space="preserve">except the last in the pre-specified statistical testing hierarchy, as shown in </w:t>
      </w:r>
      <w:r w:rsidR="00D5326E" w:rsidRPr="006D790D">
        <w:fldChar w:fldCharType="begin"/>
      </w:r>
      <w:r w:rsidR="00D5326E" w:rsidRPr="006D790D">
        <w:instrText xml:space="preserve"> REF _Ref85138663 \h </w:instrText>
      </w:r>
      <w:r w:rsidR="006D790D">
        <w:instrText xml:space="preserve"> \* MERGEFORMAT </w:instrText>
      </w:r>
      <w:r w:rsidR="00D5326E" w:rsidRPr="006D790D">
        <w:fldChar w:fldCharType="separate"/>
      </w:r>
      <w:r w:rsidR="007F1879" w:rsidRPr="006D790D">
        <w:t xml:space="preserve">Table </w:t>
      </w:r>
      <w:r w:rsidR="007F1879">
        <w:rPr>
          <w:noProof/>
        </w:rPr>
        <w:t>22</w:t>
      </w:r>
      <w:r w:rsidR="00D5326E" w:rsidRPr="006D790D">
        <w:fldChar w:fldCharType="end"/>
      </w:r>
      <w:r w:rsidRPr="006D790D">
        <w:t xml:space="preserve"> below.</w:t>
      </w:r>
    </w:p>
    <w:p w14:paraId="01A8865B" w14:textId="4B4ABEA0" w:rsidR="002F4516" w:rsidRDefault="00D5326E" w:rsidP="00BB0979">
      <w:pPr>
        <w:pStyle w:val="TableTitle"/>
      </w:pPr>
      <w:bookmarkStart w:id="96" w:name="_Ref85138663"/>
      <w:r w:rsidRPr="006D790D">
        <w:t xml:space="preserve">Table </w:t>
      </w:r>
      <w:fldSimple w:instr=" SEQ Table \* ARABIC ">
        <w:r w:rsidR="007F1879">
          <w:rPr>
            <w:noProof/>
          </w:rPr>
          <w:t>22</w:t>
        </w:r>
      </w:fldSimple>
      <w:bookmarkEnd w:id="96"/>
      <w:r w:rsidR="00146C2C" w:rsidRPr="006D790D">
        <w:t xml:space="preserve"> </w:t>
      </w:r>
      <w:r w:rsidR="00030A65" w:rsidRPr="006D790D">
        <w:t xml:space="preserve">Study COV-2069 </w:t>
      </w:r>
      <w:r w:rsidR="00146C2C" w:rsidRPr="006D790D">
        <w:t>Results of primary and key secondary endpoints (Cohort</w:t>
      </w:r>
      <w:r w:rsidR="00BC7E06" w:rsidRPr="006D790D">
        <w:t> </w:t>
      </w:r>
      <w:r w:rsidR="00146C2C" w:rsidRPr="006D790D">
        <w:t>A)</w:t>
      </w:r>
    </w:p>
    <w:p w14:paraId="2CF2C70C" w14:textId="6745F3D8" w:rsidR="00146C2C" w:rsidRDefault="00146C2C" w:rsidP="00146C2C">
      <w:pPr>
        <w:rPr>
          <w:rFonts w:asciiTheme="minorHAnsi" w:eastAsiaTheme="minorHAnsi" w:hAnsiTheme="minorHAnsi"/>
          <w:color w:val="000000"/>
        </w:rPr>
      </w:pPr>
      <w:r w:rsidRPr="006D790D">
        <w:rPr>
          <w:noProof/>
          <w:lang w:val="en-GB" w:eastAsia="en-GB"/>
        </w:rPr>
        <w:drawing>
          <wp:inline distT="0" distB="0" distL="0" distR="0" wp14:anchorId="33D4DA91" wp14:editId="494DE10A">
            <wp:extent cx="5416213" cy="3607016"/>
            <wp:effectExtent l="0" t="0" r="0" b="0"/>
            <wp:docPr id="8" name="Picture 8" descr="Study COV-2069 Results of primary and key secondary endpoints (Cohor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udy COV-2069 Results of primary and key secondary endpoints (Cohort A)"/>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225"/>
                    <a:stretch/>
                  </pic:blipFill>
                  <pic:spPr bwMode="auto">
                    <a:xfrm>
                      <a:off x="0" y="0"/>
                      <a:ext cx="5427462" cy="3614507"/>
                    </a:xfrm>
                    <a:prstGeom prst="rect">
                      <a:avLst/>
                    </a:prstGeom>
                    <a:noFill/>
                    <a:ln>
                      <a:noFill/>
                    </a:ln>
                    <a:extLst>
                      <a:ext uri="{53640926-AAD7-44D8-BBD7-CCE9431645EC}">
                        <a14:shadowObscured xmlns:a14="http://schemas.microsoft.com/office/drawing/2010/main"/>
                      </a:ext>
                    </a:extLst>
                  </pic:spPr>
                </pic:pic>
              </a:graphicData>
            </a:graphic>
          </wp:inline>
        </w:drawing>
      </w:r>
    </w:p>
    <w:p w14:paraId="1A18B41A" w14:textId="0C4F1B90" w:rsidR="002F4516" w:rsidRPr="009C45A3" w:rsidRDefault="002F4516" w:rsidP="009C45A3">
      <w:pPr>
        <w:pStyle w:val="TableDescription"/>
      </w:pPr>
      <w:r w:rsidRPr="009C45A3">
        <w:t>OR = odds ratio; CI = confidence interval; RT-qPCR = reverse transcription quantitative real time polymerase chain reaction; SARS-CoV-2 = severe acute respiratory syndrome coronavirus 2; EAP</w:t>
      </w:r>
      <w:r>
        <w:t> </w:t>
      </w:r>
      <w:r w:rsidRPr="009C45A3">
        <w:t>=</w:t>
      </w:r>
      <w:r>
        <w:t> </w:t>
      </w:r>
      <w:r w:rsidRPr="009C45A3">
        <w:t xml:space="preserve">efficacy assessment period; vs = versus; R10933 = drug development code for </w:t>
      </w:r>
      <w:proofErr w:type="spellStart"/>
      <w:r w:rsidRPr="009C45A3">
        <w:t>casirivimab</w:t>
      </w:r>
      <w:proofErr w:type="spellEnd"/>
      <w:r w:rsidRPr="009C45A3">
        <w:t xml:space="preserve">; R10987 = drug development code for </w:t>
      </w:r>
      <w:proofErr w:type="spellStart"/>
      <w:r w:rsidRPr="009C45A3">
        <w:t>imdevimab</w:t>
      </w:r>
      <w:proofErr w:type="spellEnd"/>
      <w:r w:rsidRPr="009C45A3">
        <w:t>.</w:t>
      </w:r>
    </w:p>
    <w:p w14:paraId="78CAE1FC" w14:textId="341049E1" w:rsidR="00146C2C" w:rsidRPr="006D790D" w:rsidRDefault="00146C2C" w:rsidP="00B1559C">
      <w:r w:rsidRPr="006D790D">
        <w:t>In supportive analyses of the primary endpoint, a consistent treatment effect was shown regardless of baseline serostatus, with an 82.3% risk reduction in symptomatic infection compared to placebo (</w:t>
      </w:r>
      <w:r w:rsidR="000329BE" w:rsidRPr="006D790D">
        <w:t>odds ratio (</w:t>
      </w:r>
      <w:r w:rsidRPr="006D790D">
        <w:t>OR</w:t>
      </w:r>
      <w:r w:rsidR="000329BE" w:rsidRPr="006D790D">
        <w:t>)</w:t>
      </w:r>
      <w:r w:rsidRPr="006D790D">
        <w:t xml:space="preserve"> 0.17 </w:t>
      </w:r>
      <w:r w:rsidR="00316746" w:rsidRPr="006D790D">
        <w:t>(</w:t>
      </w:r>
      <w:r w:rsidRPr="006D790D">
        <w:t>0.090, 0.312</w:t>
      </w:r>
      <w:r w:rsidR="00316746" w:rsidRPr="006D790D">
        <w:t>)</w:t>
      </w:r>
      <w:r w:rsidRPr="006D790D">
        <w:t>, nominal p</w:t>
      </w:r>
      <w:r w:rsidR="00BC7E06" w:rsidRPr="006D790D">
        <w:t xml:space="preserve"> </w:t>
      </w:r>
      <w:r w:rsidRPr="006D790D">
        <w:t>&lt;</w:t>
      </w:r>
      <w:r w:rsidR="00BC7E06" w:rsidRPr="006D790D">
        <w:t xml:space="preserve"> </w:t>
      </w:r>
      <w:r w:rsidRPr="006D790D">
        <w:t>0.0001). A comparable level of reduction was observed when the analysis included only baseline</w:t>
      </w:r>
      <w:r w:rsidR="00FC63CA" w:rsidRPr="006D790D">
        <w:t xml:space="preserve"> </w:t>
      </w:r>
      <w:r w:rsidRPr="006D790D">
        <w:t xml:space="preserve">seropositive participants (81.1% risk reduction </w:t>
      </w:r>
      <w:r w:rsidR="00316746" w:rsidRPr="006D790D">
        <w:t>versus</w:t>
      </w:r>
      <w:r w:rsidRPr="006D790D">
        <w:t xml:space="preserve"> placebo, OR 0.19 </w:t>
      </w:r>
      <w:r w:rsidR="00316746" w:rsidRPr="006D790D">
        <w:t>(</w:t>
      </w:r>
      <w:r w:rsidRPr="006D790D">
        <w:t>0.023, 1.682</w:t>
      </w:r>
      <w:r w:rsidR="00316746" w:rsidRPr="006D790D">
        <w:t>)</w:t>
      </w:r>
      <w:r w:rsidRPr="006D790D">
        <w:t>, nominal p</w:t>
      </w:r>
      <w:r w:rsidR="00BC7E06" w:rsidRPr="006D790D">
        <w:t> </w:t>
      </w:r>
      <w:r w:rsidRPr="006D790D">
        <w:t>=</w:t>
      </w:r>
      <w:r w:rsidR="00BC7E06" w:rsidRPr="006D790D">
        <w:t> </w:t>
      </w:r>
      <w:r w:rsidRPr="006D790D">
        <w:t>0.1369).</w:t>
      </w:r>
    </w:p>
    <w:p w14:paraId="1A4C7D74" w14:textId="2C069954" w:rsidR="00146C2C" w:rsidRPr="006D790D" w:rsidRDefault="00146C2C" w:rsidP="00B1559C">
      <w:r w:rsidRPr="006D790D">
        <w:t xml:space="preserve">Treatment benefit was observed as early as </w:t>
      </w:r>
      <w:r w:rsidR="00BC7E06" w:rsidRPr="006D790D">
        <w:t>one</w:t>
      </w:r>
      <w:r w:rsidRPr="006D790D">
        <w:t xml:space="preserve"> day after treatment and was maintained through Day 29 (see </w:t>
      </w:r>
      <w:r w:rsidR="001D545B" w:rsidRPr="006D790D">
        <w:fldChar w:fldCharType="begin"/>
      </w:r>
      <w:r w:rsidR="001D545B" w:rsidRPr="006D790D">
        <w:instrText xml:space="preserve"> REF _Ref85139400 \h </w:instrText>
      </w:r>
      <w:r w:rsidR="006D790D">
        <w:instrText xml:space="preserve"> \* MERGEFORMAT </w:instrText>
      </w:r>
      <w:r w:rsidR="001D545B" w:rsidRPr="006D790D">
        <w:fldChar w:fldCharType="separate"/>
      </w:r>
      <w:r w:rsidR="007F1879" w:rsidRPr="006D790D">
        <w:t xml:space="preserve">Figure </w:t>
      </w:r>
      <w:r w:rsidR="007F1879">
        <w:rPr>
          <w:noProof/>
        </w:rPr>
        <w:t>15</w:t>
      </w:r>
      <w:r w:rsidR="001D545B" w:rsidRPr="006D790D">
        <w:fldChar w:fldCharType="end"/>
      </w:r>
      <w:r w:rsidRPr="006D790D">
        <w:t xml:space="preserve"> below). Most events occurred in the first week, with a 71.9% risk reduction in the </w:t>
      </w:r>
      <w:proofErr w:type="spellStart"/>
      <w:r w:rsidRPr="006D790D">
        <w:t>casirivimab</w:t>
      </w:r>
      <w:proofErr w:type="spellEnd"/>
      <w:r w:rsidR="00EA28EF" w:rsidRPr="006D790D">
        <w:t>/</w:t>
      </w:r>
      <w:proofErr w:type="spellStart"/>
      <w:r w:rsidRPr="006D790D">
        <w:t>imdevimab</w:t>
      </w:r>
      <w:proofErr w:type="spellEnd"/>
      <w:r w:rsidRPr="006D790D">
        <w:t xml:space="preserve"> group compared to placebo during the first week (OR 0.27 </w:t>
      </w:r>
      <w:r w:rsidR="00316746" w:rsidRPr="006D790D">
        <w:t>(</w:t>
      </w:r>
      <w:r w:rsidRPr="006D790D">
        <w:t>0.126, 0.564</w:t>
      </w:r>
      <w:r w:rsidR="00316746" w:rsidRPr="006D790D">
        <w:t>)</w:t>
      </w:r>
      <w:r w:rsidRPr="006D790D">
        <w:t>, nominal p</w:t>
      </w:r>
      <w:r w:rsidR="00BC7E06" w:rsidRPr="006D790D">
        <w:t> </w:t>
      </w:r>
      <w:r w:rsidRPr="006D790D">
        <w:t>=</w:t>
      </w:r>
      <w:r w:rsidR="00BC7E06" w:rsidRPr="006D790D">
        <w:t> </w:t>
      </w:r>
      <w:r w:rsidRPr="006D790D">
        <w:t xml:space="preserve">0.0005 </w:t>
      </w:r>
      <w:r w:rsidR="00316746" w:rsidRPr="006D790D">
        <w:t>(</w:t>
      </w:r>
      <w:r w:rsidRPr="006D790D">
        <w:t>post-hoc analysis</w:t>
      </w:r>
      <w:r w:rsidR="00316746" w:rsidRPr="006D790D">
        <w:t>)</w:t>
      </w:r>
      <w:r w:rsidRPr="006D790D">
        <w:t xml:space="preserve">). There was a 92.6% risk reduction with treatment compared to placebo in weeks 2 to 4 (OR 0.07 </w:t>
      </w:r>
      <w:r w:rsidR="00316746" w:rsidRPr="006D790D">
        <w:t>(</w:t>
      </w:r>
      <w:r w:rsidRPr="006D790D">
        <w:t>0.017 to 0.304</w:t>
      </w:r>
      <w:r w:rsidR="00316746" w:rsidRPr="006D790D">
        <w:t>)</w:t>
      </w:r>
      <w:r w:rsidRPr="006D790D">
        <w:t>, nominal p</w:t>
      </w:r>
      <w:r w:rsidR="00BC7E06" w:rsidRPr="006D790D">
        <w:t> </w:t>
      </w:r>
      <w:r w:rsidRPr="006D790D">
        <w:t>=</w:t>
      </w:r>
      <w:r w:rsidR="00BC7E06" w:rsidRPr="006D790D">
        <w:t> </w:t>
      </w:r>
      <w:r w:rsidRPr="006D790D">
        <w:t>0.0003).</w:t>
      </w:r>
    </w:p>
    <w:p w14:paraId="03759D31" w14:textId="022779DF" w:rsidR="00146C2C" w:rsidRDefault="001D545B" w:rsidP="00C05180">
      <w:pPr>
        <w:pStyle w:val="FigureTitle"/>
        <w:rPr>
          <w:noProof/>
          <w:lang w:eastAsia="en-AU"/>
        </w:rPr>
      </w:pPr>
      <w:bookmarkStart w:id="97" w:name="_Ref85139400"/>
      <w:r w:rsidRPr="006D790D">
        <w:lastRenderedPageBreak/>
        <w:t xml:space="preserve">Figure </w:t>
      </w:r>
      <w:fldSimple w:instr=" SEQ Figure \* ARABIC ">
        <w:r w:rsidR="007F1879">
          <w:rPr>
            <w:noProof/>
          </w:rPr>
          <w:t>15</w:t>
        </w:r>
      </w:fldSimple>
      <w:bookmarkEnd w:id="97"/>
      <w:r w:rsidR="00146C2C" w:rsidRPr="006D790D">
        <w:rPr>
          <w:noProof/>
          <w:lang w:eastAsia="en-AU"/>
        </w:rPr>
        <w:t xml:space="preserve">: </w:t>
      </w:r>
      <w:r w:rsidR="00030A65" w:rsidRPr="006D790D">
        <w:t xml:space="preserve">Study COV-2069 </w:t>
      </w:r>
      <w:r w:rsidR="00146C2C" w:rsidRPr="006D790D">
        <w:rPr>
          <w:noProof/>
          <w:lang w:eastAsia="en-AU"/>
        </w:rPr>
        <w:t>Cumulative incidence of first symptomatic infection (broad</w:t>
      </w:r>
      <w:r w:rsidR="00030A65" w:rsidRPr="006D790D">
        <w:rPr>
          <w:noProof/>
          <w:lang w:eastAsia="en-AU"/>
        </w:rPr>
        <w:t xml:space="preserve"> </w:t>
      </w:r>
      <w:r w:rsidR="00146C2C" w:rsidRPr="006D790D">
        <w:rPr>
          <w:noProof/>
          <w:lang w:eastAsia="en-AU"/>
        </w:rPr>
        <w:t xml:space="preserve">term) over time (seronegative </w:t>
      </w:r>
      <w:r w:rsidR="00216A81" w:rsidRPr="006D790D">
        <w:rPr>
          <w:noProof/>
          <w:lang w:eastAsia="en-AU"/>
        </w:rPr>
        <w:t>modified full analysis set</w:t>
      </w:r>
      <w:r w:rsidR="00FC63CA" w:rsidRPr="006D790D">
        <w:rPr>
          <w:noProof/>
          <w:lang w:eastAsia="en-AU"/>
        </w:rPr>
        <w:t xml:space="preserve"> </w:t>
      </w:r>
      <w:r w:rsidR="00146C2C" w:rsidRPr="006D790D">
        <w:rPr>
          <w:noProof/>
          <w:lang w:eastAsia="en-AU"/>
        </w:rPr>
        <w:t>A)</w:t>
      </w:r>
    </w:p>
    <w:p w14:paraId="31788A74" w14:textId="2146069A" w:rsidR="002F4516" w:rsidRPr="006D790D" w:rsidRDefault="002F4516" w:rsidP="00084EC5">
      <w:pPr>
        <w:rPr>
          <w:noProof/>
          <w:lang w:eastAsia="en-AU"/>
        </w:rPr>
      </w:pPr>
      <w:r>
        <w:rPr>
          <w:noProof/>
        </w:rPr>
        <w:drawing>
          <wp:inline distT="0" distB="0" distL="0" distR="0" wp14:anchorId="167812F2" wp14:editId="2332C921">
            <wp:extent cx="5234087" cy="2163431"/>
            <wp:effectExtent l="0" t="0" r="5080" b="8890"/>
            <wp:docPr id="75" name="Picture 75" descr="Study COV-2069 Cumulative incidence of first symptomatic infection (broad term) over time (seronegative modified full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tudy COV-2069 Cumulative incidence of first symptomatic infection (broad term) over time (seronegative modified full analysis set A)"/>
                    <pic:cNvPicPr/>
                  </pic:nvPicPr>
                  <pic:blipFill>
                    <a:blip r:embed="rId53"/>
                    <a:stretch>
                      <a:fillRect/>
                    </a:stretch>
                  </pic:blipFill>
                  <pic:spPr>
                    <a:xfrm>
                      <a:off x="0" y="0"/>
                      <a:ext cx="5256501" cy="2172695"/>
                    </a:xfrm>
                    <a:prstGeom prst="rect">
                      <a:avLst/>
                    </a:prstGeom>
                  </pic:spPr>
                </pic:pic>
              </a:graphicData>
            </a:graphic>
          </wp:inline>
        </w:drawing>
      </w:r>
    </w:p>
    <w:p w14:paraId="521C104E" w14:textId="4B98C7C7" w:rsidR="00146C2C" w:rsidRDefault="002F4516" w:rsidP="00084EC5">
      <w:pPr>
        <w:pStyle w:val="FigureDescription"/>
        <w:rPr>
          <w:noProof/>
          <w:lang w:eastAsia="en-AU"/>
        </w:rPr>
      </w:pPr>
      <w:r w:rsidRPr="002F4516">
        <w:rPr>
          <w:noProof/>
          <w:lang w:eastAsia="en-AU"/>
        </w:rPr>
        <w:t>R10933 + R10987 = casirivimab + imdevimab</w:t>
      </w:r>
      <w:r>
        <w:rPr>
          <w:noProof/>
          <w:lang w:eastAsia="en-AU"/>
        </w:rPr>
        <w:t>.</w:t>
      </w:r>
    </w:p>
    <w:p w14:paraId="0042BA52" w14:textId="37296845" w:rsidR="00E25695" w:rsidRPr="001E325B" w:rsidRDefault="009C45A3" w:rsidP="00084EC5">
      <w:pPr>
        <w:pStyle w:val="FigureDescription"/>
      </w:pPr>
      <w:r>
        <w:t>F</w:t>
      </w:r>
      <w:r w:rsidR="00E25695">
        <w:t>or the first step analysis, the data cut</w:t>
      </w:r>
      <w:r>
        <w:t>-</w:t>
      </w:r>
      <w:r w:rsidR="00E25695">
        <w:t>off date is 11 March 2021.</w:t>
      </w:r>
    </w:p>
    <w:p w14:paraId="383DF76A" w14:textId="12065542" w:rsidR="00146C2C" w:rsidRPr="006D790D" w:rsidRDefault="00146C2C" w:rsidP="00B1559C">
      <w:r w:rsidRPr="006D790D">
        <w:t>Three definitions for symptomatic infection were used to account for differences in criteria adopted in various regions of the world, ranging from broader to more strict definitions of those symptoms that constitute COVID-19 as well as that utili</w:t>
      </w:r>
      <w:r w:rsidR="00AF6815" w:rsidRPr="006D790D">
        <w:t>s</w:t>
      </w:r>
      <w:r w:rsidRPr="006D790D">
        <w:t xml:space="preserve">ed by the CDC. Additional analyses conducted using these different definitions showed a consistent treatment effect, regardless of the definition used, in the reduction in incidence and duration of symptomatic infection in participants who were uninfected at </w:t>
      </w:r>
      <w:r w:rsidR="00FB39BC" w:rsidRPr="006D790D">
        <w:t>Baseline</w:t>
      </w:r>
      <w:r w:rsidRPr="006D790D">
        <w:t>. The magnitude of the effect in these supportive analyses was comparable to that observed for the main analysis based on the broad</w:t>
      </w:r>
      <w:r w:rsidR="00BC7E06" w:rsidRPr="006D790D">
        <w:t xml:space="preserve"> </w:t>
      </w:r>
      <w:r w:rsidRPr="006D790D">
        <w:t>term definition.</w:t>
      </w:r>
    </w:p>
    <w:p w14:paraId="3C497E3E" w14:textId="0071B9AE" w:rsidR="00146C2C" w:rsidRPr="006D790D" w:rsidRDefault="00D5326E" w:rsidP="00C05180">
      <w:pPr>
        <w:pStyle w:val="TableTitle"/>
      </w:pPr>
      <w:r w:rsidRPr="006D790D">
        <w:t xml:space="preserve">Table </w:t>
      </w:r>
      <w:fldSimple w:instr=" SEQ Table \* ARABIC ">
        <w:r w:rsidR="007F1879">
          <w:rPr>
            <w:noProof/>
          </w:rPr>
          <w:t>23</w:t>
        </w:r>
      </w:fldSimple>
      <w:r w:rsidR="00146C2C" w:rsidRPr="006D790D">
        <w:t xml:space="preserve">: </w:t>
      </w:r>
      <w:r w:rsidR="00030A65" w:rsidRPr="006D790D">
        <w:t xml:space="preserve">Study COV-2069 </w:t>
      </w:r>
      <w:r w:rsidR="00146C2C" w:rsidRPr="006D790D">
        <w:t>Proportion of participants with a symptomatic infection using broad</w:t>
      </w:r>
      <w:r w:rsidR="00030A65" w:rsidRPr="006D790D">
        <w:t xml:space="preserve"> </w:t>
      </w:r>
      <w:r w:rsidR="00146C2C" w:rsidRPr="006D790D">
        <w:t xml:space="preserve">term, </w:t>
      </w:r>
      <w:proofErr w:type="spellStart"/>
      <w:r w:rsidR="00030A65" w:rsidRPr="006D790D">
        <w:t>Centers</w:t>
      </w:r>
      <w:proofErr w:type="spellEnd"/>
      <w:r w:rsidR="00030A65" w:rsidRPr="006D790D">
        <w:t xml:space="preserve"> for Disease Control and Prevention</w:t>
      </w:r>
      <w:r w:rsidR="00146C2C" w:rsidRPr="006D790D">
        <w:t>, and strict</w:t>
      </w:r>
      <w:r w:rsidR="00030A65" w:rsidRPr="006D790D">
        <w:t xml:space="preserve"> </w:t>
      </w:r>
      <w:r w:rsidR="00146C2C" w:rsidRPr="006D790D">
        <w:t xml:space="preserve">term definitions (seronegative </w:t>
      </w:r>
      <w:r w:rsidR="00216A81" w:rsidRPr="006D790D">
        <w:t>modified full analysis set</w:t>
      </w:r>
      <w:r w:rsidR="00030A65" w:rsidRPr="006D790D">
        <w:t xml:space="preserve"> </w:t>
      </w:r>
      <w:r w:rsidR="00146C2C" w:rsidRPr="006D790D">
        <w:t>A)</w:t>
      </w:r>
    </w:p>
    <w:p w14:paraId="6A7CD71B" w14:textId="77777777" w:rsidR="00146C2C" w:rsidRPr="006D790D" w:rsidRDefault="00146C2C" w:rsidP="00146C2C">
      <w:pPr>
        <w:autoSpaceDE w:val="0"/>
        <w:autoSpaceDN w:val="0"/>
        <w:adjustRightInd w:val="0"/>
        <w:spacing w:before="0" w:after="0" w:line="240" w:lineRule="auto"/>
        <w:rPr>
          <w:rFonts w:ascii="Times New Roman" w:eastAsiaTheme="minorHAnsi" w:hAnsi="Times New Roman"/>
          <w:sz w:val="24"/>
          <w:szCs w:val="24"/>
        </w:rPr>
      </w:pPr>
      <w:r w:rsidRPr="006D790D">
        <w:rPr>
          <w:rFonts w:ascii="Times New Roman" w:eastAsiaTheme="minorHAnsi" w:hAnsi="Times New Roman"/>
          <w:noProof/>
          <w:sz w:val="24"/>
          <w:szCs w:val="24"/>
          <w:lang w:val="en-GB" w:eastAsia="en-GB"/>
        </w:rPr>
        <w:drawing>
          <wp:inline distT="0" distB="0" distL="0" distR="0" wp14:anchorId="3A6C1683" wp14:editId="2B0E5393">
            <wp:extent cx="5263228" cy="1151755"/>
            <wp:effectExtent l="0" t="0" r="0" b="0"/>
            <wp:docPr id="51" name="Picture 51" descr="Study COV-2069 Proportion of participants with a symptomatic infection using broad term, Centers for Disease Control and Prevention, and strict term definitions (seronegative modified full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tudy COV-2069 Proportion of participants with a symptomatic infection using broad term, Centers for Disease Control and Prevention, and strict term definitions (seronegative modified full analysis set 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2149" cy="1182155"/>
                    </a:xfrm>
                    <a:prstGeom prst="rect">
                      <a:avLst/>
                    </a:prstGeom>
                    <a:noFill/>
                    <a:ln>
                      <a:noFill/>
                    </a:ln>
                  </pic:spPr>
                </pic:pic>
              </a:graphicData>
            </a:graphic>
          </wp:inline>
        </w:drawing>
      </w:r>
    </w:p>
    <w:p w14:paraId="7AAAF508" w14:textId="728FFF66" w:rsidR="009C45A3" w:rsidRPr="009C45A3" w:rsidRDefault="009C45A3" w:rsidP="00BB0979">
      <w:pPr>
        <w:pStyle w:val="TableDescription"/>
      </w:pPr>
      <w:r w:rsidRPr="009C45A3">
        <w:t xml:space="preserve">REGN10933 + REGN10987 = </w:t>
      </w:r>
      <w:proofErr w:type="spellStart"/>
      <w:r w:rsidRPr="009C45A3">
        <w:t>casirivimab</w:t>
      </w:r>
      <w:proofErr w:type="spellEnd"/>
      <w:r w:rsidRPr="009C45A3">
        <w:t xml:space="preserve"> + </w:t>
      </w:r>
      <w:proofErr w:type="spellStart"/>
      <w:r w:rsidRPr="009C45A3">
        <w:t>imdevimab</w:t>
      </w:r>
      <w:proofErr w:type="spellEnd"/>
      <w:r w:rsidRPr="009C45A3">
        <w:t>; N = number of subjects</w:t>
      </w:r>
      <w:r>
        <w:t xml:space="preserve">; </w:t>
      </w:r>
      <w:r w:rsidRPr="009C45A3">
        <w:t>CI = confidence interval</w:t>
      </w:r>
      <w:r>
        <w:t xml:space="preserve">; CDC = </w:t>
      </w:r>
      <w:proofErr w:type="spellStart"/>
      <w:r>
        <w:t>C</w:t>
      </w:r>
      <w:r w:rsidRPr="009C45A3">
        <w:t>enters</w:t>
      </w:r>
      <w:proofErr w:type="spellEnd"/>
      <w:r w:rsidRPr="009C45A3">
        <w:t xml:space="preserve"> for Disease Control and Prevention (United States of America)</w:t>
      </w:r>
      <w:r>
        <w:t>.</w:t>
      </w:r>
    </w:p>
    <w:p w14:paraId="744AD57F" w14:textId="3B9DD43F" w:rsidR="00950E80" w:rsidRDefault="009C45A3" w:rsidP="009C45A3">
      <w:pPr>
        <w:pStyle w:val="TableDescription"/>
      </w:pPr>
      <w:r>
        <w:t>F</w:t>
      </w:r>
      <w:r w:rsidR="00950E80">
        <w:t>or the first step analysis, the data cut</w:t>
      </w:r>
      <w:r>
        <w:t>-</w:t>
      </w:r>
      <w:r w:rsidR="00950E80">
        <w:t>off date is 11 March 2021.</w:t>
      </w:r>
    </w:p>
    <w:p w14:paraId="1A34B620" w14:textId="20730360" w:rsidR="00950E80" w:rsidRDefault="00950E80" w:rsidP="009C45A3">
      <w:pPr>
        <w:pStyle w:val="TableDescription"/>
        <w:rPr>
          <w:rFonts w:asciiTheme="minorHAnsi" w:eastAsiaTheme="minorHAnsi" w:hAnsiTheme="minorHAnsi"/>
          <w:color w:val="000000"/>
        </w:rPr>
      </w:pPr>
      <w:r>
        <w:rPr>
          <w:rFonts w:asciiTheme="minorHAnsi" w:eastAsiaTheme="minorHAnsi" w:hAnsiTheme="minorHAnsi"/>
          <w:color w:val="000000"/>
        </w:rPr>
        <w:t xml:space="preserve">1 The CI with p-value </w:t>
      </w:r>
      <w:r w:rsidR="009C45A3">
        <w:rPr>
          <w:rFonts w:asciiTheme="minorHAnsi" w:eastAsiaTheme="minorHAnsi" w:hAnsiTheme="minorHAnsi"/>
          <w:color w:val="000000"/>
        </w:rPr>
        <w:t>i</w:t>
      </w:r>
      <w:r w:rsidRPr="00E25695">
        <w:rPr>
          <w:rFonts w:asciiTheme="minorHAnsi" w:eastAsiaTheme="minorHAnsi" w:hAnsiTheme="minorHAnsi"/>
          <w:color w:val="000000"/>
        </w:rPr>
        <w:t>s based on the odds ratio</w:t>
      </w:r>
      <w:r>
        <w:rPr>
          <w:rFonts w:asciiTheme="minorHAnsi" w:eastAsiaTheme="minorHAnsi" w:hAnsiTheme="minorHAnsi"/>
          <w:color w:val="000000"/>
        </w:rPr>
        <w:t xml:space="preserve"> (</w:t>
      </w:r>
      <w:proofErr w:type="spellStart"/>
      <w:r>
        <w:rPr>
          <w:rFonts w:asciiTheme="minorHAnsi" w:eastAsiaTheme="minorHAnsi" w:hAnsiTheme="minorHAnsi"/>
          <w:color w:val="000000"/>
        </w:rPr>
        <w:t>casirivimab</w:t>
      </w:r>
      <w:proofErr w:type="spellEnd"/>
      <w:r>
        <w:rPr>
          <w:rFonts w:asciiTheme="minorHAnsi" w:eastAsiaTheme="minorHAnsi" w:hAnsiTheme="minorHAnsi"/>
          <w:color w:val="000000"/>
        </w:rPr>
        <w:t xml:space="preserve"> + </w:t>
      </w:r>
      <w:proofErr w:type="spellStart"/>
      <w:r>
        <w:rPr>
          <w:rFonts w:asciiTheme="minorHAnsi" w:eastAsiaTheme="minorHAnsi" w:hAnsiTheme="minorHAnsi"/>
          <w:color w:val="000000"/>
        </w:rPr>
        <w:t>imdesivir</w:t>
      </w:r>
      <w:proofErr w:type="spellEnd"/>
      <w:r>
        <w:rPr>
          <w:rFonts w:asciiTheme="minorHAnsi" w:eastAsiaTheme="minorHAnsi" w:hAnsiTheme="minorHAnsi"/>
          <w:color w:val="000000"/>
        </w:rPr>
        <w:t xml:space="preserve"> group versus placebo group)</w:t>
      </w:r>
      <w:r w:rsidRPr="00E25695">
        <w:rPr>
          <w:rFonts w:asciiTheme="minorHAnsi" w:eastAsiaTheme="minorHAnsi" w:hAnsiTheme="minorHAnsi"/>
          <w:color w:val="000000"/>
        </w:rPr>
        <w:t xml:space="preserve"> using a logistic regression model with the fixed categorical effects of treatment group</w:t>
      </w:r>
      <w:r>
        <w:rPr>
          <w:rFonts w:asciiTheme="minorHAnsi" w:eastAsiaTheme="minorHAnsi" w:hAnsiTheme="minorHAnsi"/>
          <w:color w:val="000000"/>
        </w:rPr>
        <w:t xml:space="preserve">, age </w:t>
      </w:r>
      <w:r w:rsidRPr="00E25695">
        <w:rPr>
          <w:rFonts w:asciiTheme="minorHAnsi" w:eastAsiaTheme="minorHAnsi" w:hAnsiTheme="minorHAnsi"/>
          <w:color w:val="000000"/>
        </w:rPr>
        <w:t xml:space="preserve">group </w:t>
      </w:r>
      <w:r>
        <w:rPr>
          <w:rFonts w:asciiTheme="minorHAnsi" w:eastAsiaTheme="minorHAnsi" w:hAnsiTheme="minorHAnsi"/>
          <w:color w:val="000000"/>
        </w:rPr>
        <w:t>(</w:t>
      </w:r>
      <w:r w:rsidRPr="00E25695">
        <w:rPr>
          <w:rFonts w:asciiTheme="minorHAnsi" w:eastAsiaTheme="minorHAnsi" w:hAnsiTheme="minorHAnsi"/>
          <w:color w:val="000000"/>
        </w:rPr>
        <w:t>age in years</w:t>
      </w:r>
      <w:r w:rsidR="009C45A3">
        <w:rPr>
          <w:rFonts w:asciiTheme="minorHAnsi" w:eastAsiaTheme="minorHAnsi" w:hAnsiTheme="minorHAnsi"/>
          <w:color w:val="000000"/>
        </w:rPr>
        <w:t>:</w:t>
      </w:r>
      <w:r w:rsidRPr="00E25695">
        <w:rPr>
          <w:rFonts w:asciiTheme="minorHAnsi" w:eastAsiaTheme="minorHAnsi" w:hAnsiTheme="minorHAnsi"/>
          <w:color w:val="000000"/>
        </w:rPr>
        <w:t xml:space="preserve"> </w:t>
      </w:r>
      <w:r>
        <w:rPr>
          <w:rFonts w:asciiTheme="minorHAnsi" w:eastAsiaTheme="minorHAnsi" w:hAnsiTheme="minorHAnsi"/>
          <w:color w:val="000000"/>
        </w:rPr>
        <w:t>12 and over to under 50; and 50 and over)</w:t>
      </w:r>
      <w:r w:rsidR="009C45A3">
        <w:rPr>
          <w:rFonts w:asciiTheme="minorHAnsi" w:eastAsiaTheme="minorHAnsi" w:hAnsiTheme="minorHAnsi"/>
          <w:color w:val="000000"/>
        </w:rPr>
        <w:t>,</w:t>
      </w:r>
      <w:r>
        <w:rPr>
          <w:rFonts w:asciiTheme="minorHAnsi" w:eastAsiaTheme="minorHAnsi" w:hAnsiTheme="minorHAnsi"/>
          <w:color w:val="000000"/>
        </w:rPr>
        <w:t xml:space="preserve"> </w:t>
      </w:r>
      <w:r w:rsidRPr="00E25695">
        <w:rPr>
          <w:rFonts w:asciiTheme="minorHAnsi" w:eastAsiaTheme="minorHAnsi" w:hAnsiTheme="minorHAnsi"/>
          <w:color w:val="000000"/>
        </w:rPr>
        <w:t>and region</w:t>
      </w:r>
      <w:r>
        <w:rPr>
          <w:rFonts w:asciiTheme="minorHAnsi" w:eastAsiaTheme="minorHAnsi" w:hAnsiTheme="minorHAnsi"/>
          <w:color w:val="000000"/>
        </w:rPr>
        <w:t xml:space="preserve"> (</w:t>
      </w:r>
      <w:bookmarkStart w:id="98" w:name="_Hlk85798867"/>
      <w:r w:rsidR="009C45A3">
        <w:rPr>
          <w:rFonts w:asciiTheme="minorHAnsi" w:eastAsiaTheme="minorHAnsi" w:hAnsiTheme="minorHAnsi"/>
          <w:color w:val="000000"/>
        </w:rPr>
        <w:t>United States of America (</w:t>
      </w:r>
      <w:r>
        <w:rPr>
          <w:rFonts w:asciiTheme="minorHAnsi" w:eastAsiaTheme="minorHAnsi" w:hAnsiTheme="minorHAnsi"/>
          <w:color w:val="000000"/>
        </w:rPr>
        <w:t>USA</w:t>
      </w:r>
      <w:r w:rsidR="009C45A3">
        <w:rPr>
          <w:rFonts w:asciiTheme="minorHAnsi" w:eastAsiaTheme="minorHAnsi" w:hAnsiTheme="minorHAnsi"/>
          <w:color w:val="000000"/>
        </w:rPr>
        <w:t>)</w:t>
      </w:r>
      <w:r>
        <w:rPr>
          <w:rFonts w:asciiTheme="minorHAnsi" w:eastAsiaTheme="minorHAnsi" w:hAnsiTheme="minorHAnsi"/>
          <w:color w:val="000000"/>
        </w:rPr>
        <w:t xml:space="preserve"> </w:t>
      </w:r>
      <w:bookmarkEnd w:id="98"/>
      <w:r>
        <w:rPr>
          <w:rFonts w:asciiTheme="minorHAnsi" w:eastAsiaTheme="minorHAnsi" w:hAnsiTheme="minorHAnsi"/>
          <w:color w:val="000000"/>
        </w:rPr>
        <w:t>versus non-USA).</w:t>
      </w:r>
    </w:p>
    <w:p w14:paraId="13772FF4" w14:textId="255FA1E2" w:rsidR="00950E80" w:rsidRDefault="00950E80" w:rsidP="009C45A3">
      <w:pPr>
        <w:pStyle w:val="TableDescription"/>
        <w:rPr>
          <w:rFonts w:asciiTheme="minorHAnsi" w:eastAsiaTheme="minorHAnsi" w:hAnsiTheme="minorHAnsi"/>
          <w:color w:val="000000"/>
        </w:rPr>
      </w:pPr>
      <w:r>
        <w:rPr>
          <w:rFonts w:asciiTheme="minorHAnsi" w:eastAsiaTheme="minorHAnsi" w:hAnsiTheme="minorHAnsi"/>
          <w:color w:val="000000"/>
        </w:rPr>
        <w:t>2 The primary endpoint for Cohort A is provided for reference.</w:t>
      </w:r>
    </w:p>
    <w:p w14:paraId="77D11CCA" w14:textId="1B9B03C0" w:rsidR="00950E80" w:rsidRPr="006D790D" w:rsidRDefault="00950E80" w:rsidP="009C45A3">
      <w:pPr>
        <w:pStyle w:val="TableDescription"/>
      </w:pPr>
      <w:r>
        <w:rPr>
          <w:rFonts w:asciiTheme="minorHAnsi" w:eastAsiaTheme="minorHAnsi" w:hAnsiTheme="minorHAnsi"/>
          <w:color w:val="000000"/>
        </w:rPr>
        <w:t xml:space="preserve">3 Nominal </w:t>
      </w:r>
      <w:r w:rsidR="009C45A3">
        <w:rPr>
          <w:rFonts w:asciiTheme="minorHAnsi" w:eastAsiaTheme="minorHAnsi" w:hAnsiTheme="minorHAnsi"/>
          <w:color w:val="000000"/>
        </w:rPr>
        <w:t>p</w:t>
      </w:r>
      <w:r>
        <w:rPr>
          <w:rFonts w:asciiTheme="minorHAnsi" w:eastAsiaTheme="minorHAnsi" w:hAnsiTheme="minorHAnsi"/>
          <w:color w:val="000000"/>
        </w:rPr>
        <w:t>-value.</w:t>
      </w:r>
    </w:p>
    <w:p w14:paraId="38C0F34E" w14:textId="4CE8EFF3" w:rsidR="00146C2C" w:rsidRPr="006D790D" w:rsidRDefault="00146C2C" w:rsidP="00E242C3">
      <w:pPr>
        <w:pStyle w:val="Heading7"/>
        <w:rPr>
          <w:rFonts w:eastAsiaTheme="minorHAnsi"/>
          <w:b/>
          <w:sz w:val="22"/>
          <w:szCs w:val="28"/>
        </w:rPr>
      </w:pPr>
      <w:r w:rsidRPr="006D790D">
        <w:rPr>
          <w:rFonts w:eastAsiaTheme="minorHAnsi"/>
          <w:sz w:val="22"/>
          <w:szCs w:val="28"/>
        </w:rPr>
        <w:t xml:space="preserve">Cohort B: </w:t>
      </w:r>
      <w:r w:rsidR="00BC7E06" w:rsidRPr="006D790D">
        <w:rPr>
          <w:rFonts w:eastAsiaTheme="minorHAnsi"/>
          <w:sz w:val="22"/>
          <w:szCs w:val="28"/>
        </w:rPr>
        <w:t>prevention of progression to symptomatic disease</w:t>
      </w:r>
    </w:p>
    <w:p w14:paraId="5D42D9CA" w14:textId="2B6DFD88" w:rsidR="00146C2C" w:rsidRPr="006D790D" w:rsidRDefault="00146C2C" w:rsidP="00B1559C">
      <w:proofErr w:type="gramStart"/>
      <w:r w:rsidRPr="006D790D">
        <w:t>The majority of</w:t>
      </w:r>
      <w:proofErr w:type="gramEnd"/>
      <w:r w:rsidRPr="006D790D">
        <w:t xml:space="preserve"> participants in Cohort B were White and between 18 to 65 years of age, with a mean age of 40.9 years and a mean BMI of 28.1</w:t>
      </w:r>
      <w:r w:rsidR="00BC7E06" w:rsidRPr="006D790D">
        <w:t> </w:t>
      </w:r>
      <w:r w:rsidRPr="006D790D">
        <w:t>kg/m</w:t>
      </w:r>
      <w:r w:rsidRPr="006D790D">
        <w:rPr>
          <w:vertAlign w:val="superscript"/>
        </w:rPr>
        <w:t>2</w:t>
      </w:r>
      <w:r w:rsidRPr="006D790D">
        <w:t>. The female</w:t>
      </w:r>
      <w:r w:rsidR="00BC7E06" w:rsidRPr="006D790D">
        <w:t xml:space="preserve"> </w:t>
      </w:r>
      <w:r w:rsidRPr="006D790D">
        <w:t>to</w:t>
      </w:r>
      <w:r w:rsidR="00BC7E06" w:rsidRPr="006D790D">
        <w:t xml:space="preserve"> </w:t>
      </w:r>
      <w:r w:rsidRPr="006D790D">
        <w:t>male ratio was greater in the placebo group, while the proportion of participants with BMI ≥ 30 kg/m</w:t>
      </w:r>
      <w:r w:rsidRPr="006D790D">
        <w:rPr>
          <w:vertAlign w:val="superscript"/>
        </w:rPr>
        <w:t>2</w:t>
      </w:r>
      <w:r w:rsidRPr="006D790D">
        <w:t xml:space="preserve"> was greater in the </w:t>
      </w:r>
      <w:proofErr w:type="spellStart"/>
      <w:r w:rsidRPr="006D790D">
        <w:t>casirivimab</w:t>
      </w:r>
      <w:proofErr w:type="spellEnd"/>
      <w:r w:rsidR="00EA28EF" w:rsidRPr="006D790D">
        <w:t>/</w:t>
      </w:r>
      <w:proofErr w:type="spellStart"/>
      <w:r w:rsidRPr="006D790D">
        <w:t>imdevimab</w:t>
      </w:r>
      <w:proofErr w:type="spellEnd"/>
      <w:r w:rsidRPr="006D790D">
        <w:t xml:space="preserve"> group compared to placebo. Demographics for </w:t>
      </w:r>
      <w:r w:rsidRPr="006D790D">
        <w:lastRenderedPageBreak/>
        <w:t xml:space="preserve">the primary efficacy population (seronegative </w:t>
      </w:r>
      <w:proofErr w:type="spellStart"/>
      <w:r w:rsidRPr="006D790D">
        <w:t>mFAS</w:t>
      </w:r>
      <w:proofErr w:type="spellEnd"/>
      <w:r w:rsidRPr="006D790D">
        <w:t xml:space="preserve">-B) were comparable to the overall </w:t>
      </w:r>
      <w:r w:rsidR="00FC63CA" w:rsidRPr="006D790D">
        <w:t>C</w:t>
      </w:r>
      <w:r w:rsidRPr="006D790D">
        <w:t>ohort B population. Adolescents comprised a total of 26/207 (12.6%) participants in the efficacy analysis, and elderly (age &gt;80 years) comprised a total of 3/207 (1.4%) participants. Other demographic parameters were generally balanced between treatment groups.</w:t>
      </w:r>
    </w:p>
    <w:p w14:paraId="68AA0E25" w14:textId="255FBE0C" w:rsidR="00146C2C" w:rsidRPr="006D790D" w:rsidRDefault="00146C2C" w:rsidP="00B1559C">
      <w:r w:rsidRPr="006D790D">
        <w:t>More than 30% of baseline</w:t>
      </w:r>
      <w:r w:rsidR="00FB39BC" w:rsidRPr="006D790D">
        <w:t xml:space="preserve"> </w:t>
      </w:r>
      <w:r w:rsidRPr="006D790D">
        <w:t>seronegative participants in Cohort B had risk factors for progressing to severe COVID-19 (</w:t>
      </w:r>
      <w:r w:rsidR="00D5326E" w:rsidRPr="006D790D">
        <w:fldChar w:fldCharType="begin"/>
      </w:r>
      <w:r w:rsidR="00D5326E" w:rsidRPr="006D790D">
        <w:instrText xml:space="preserve"> REF _Ref85138705 \h </w:instrText>
      </w:r>
      <w:r w:rsidR="006D790D">
        <w:instrText xml:space="preserve"> \* MERGEFORMAT </w:instrText>
      </w:r>
      <w:r w:rsidR="00D5326E" w:rsidRPr="006D790D">
        <w:fldChar w:fldCharType="separate"/>
      </w:r>
      <w:r w:rsidR="007F1879" w:rsidRPr="006D790D">
        <w:t xml:space="preserve">Table </w:t>
      </w:r>
      <w:r w:rsidR="007F1879">
        <w:rPr>
          <w:noProof/>
        </w:rPr>
        <w:t>24</w:t>
      </w:r>
      <w:r w:rsidR="00D5326E" w:rsidRPr="006D790D">
        <w:fldChar w:fldCharType="end"/>
      </w:r>
      <w:r w:rsidRPr="006D790D">
        <w:t>). Risk factors present in more than 10% of participants were age ≥ 65 years, BMI ≥ 35 kg/m</w:t>
      </w:r>
      <w:r w:rsidRPr="006D790D">
        <w:rPr>
          <w:vertAlign w:val="superscript"/>
        </w:rPr>
        <w:t>2</w:t>
      </w:r>
      <w:r w:rsidRPr="006D790D">
        <w:t xml:space="preserve"> and age ≥ 55 years with </w:t>
      </w:r>
      <w:r w:rsidR="00BC7E06" w:rsidRPr="006D790D">
        <w:t>cardiovascular disease</w:t>
      </w:r>
      <w:r w:rsidRPr="006D790D">
        <w:t>, hypertension, or COPD. In each treatment group, ≤ 3% of participants were immunosuppressed.</w:t>
      </w:r>
    </w:p>
    <w:p w14:paraId="5EED93A1" w14:textId="0F14ABF1" w:rsidR="00146C2C" w:rsidRPr="006D790D" w:rsidRDefault="00D5326E" w:rsidP="00C05180">
      <w:pPr>
        <w:pStyle w:val="TableTitle"/>
      </w:pPr>
      <w:bookmarkStart w:id="99" w:name="_Ref85138705"/>
      <w:r w:rsidRPr="006D790D">
        <w:t xml:space="preserve">Table </w:t>
      </w:r>
      <w:fldSimple w:instr=" SEQ Table \* ARABIC ">
        <w:r w:rsidR="007F1879">
          <w:rPr>
            <w:noProof/>
          </w:rPr>
          <w:t>24</w:t>
        </w:r>
      </w:fldSimple>
      <w:bookmarkEnd w:id="99"/>
      <w:r w:rsidR="00146C2C" w:rsidRPr="006D790D">
        <w:t xml:space="preserve">: </w:t>
      </w:r>
      <w:r w:rsidR="00030A65" w:rsidRPr="006D790D">
        <w:t xml:space="preserve">Study COV-2069 </w:t>
      </w:r>
      <w:r w:rsidR="00146C2C" w:rsidRPr="006D790D">
        <w:t xml:space="preserve">Participants with risk factors at </w:t>
      </w:r>
      <w:r w:rsidR="00FB39BC" w:rsidRPr="006D790D">
        <w:t>Baseline</w:t>
      </w:r>
      <w:r w:rsidR="00146C2C" w:rsidRPr="006D790D">
        <w:t xml:space="preserve"> (seronegative </w:t>
      </w:r>
      <w:r w:rsidR="00216A81" w:rsidRPr="006D790D">
        <w:t>modified full analysis set</w:t>
      </w:r>
      <w:r w:rsidR="00030A65" w:rsidRPr="006D790D">
        <w:t xml:space="preserve"> </w:t>
      </w:r>
      <w:r w:rsidR="00146C2C" w:rsidRPr="006D790D">
        <w:t>B)</w:t>
      </w:r>
    </w:p>
    <w:p w14:paraId="5B4580CC" w14:textId="1DEB9117" w:rsidR="00146C2C" w:rsidRDefault="00146C2C" w:rsidP="00146C2C">
      <w:pPr>
        <w:autoSpaceDE w:val="0"/>
        <w:autoSpaceDN w:val="0"/>
        <w:adjustRightInd w:val="0"/>
        <w:spacing w:before="0" w:after="0" w:line="240" w:lineRule="auto"/>
        <w:rPr>
          <w:rFonts w:ascii="Times New Roman" w:eastAsiaTheme="minorHAnsi" w:hAnsi="Times New Roman"/>
          <w:b/>
          <w:bCs/>
          <w:sz w:val="24"/>
          <w:szCs w:val="24"/>
        </w:rPr>
      </w:pPr>
      <w:r w:rsidRPr="006D790D">
        <w:rPr>
          <w:rFonts w:ascii="Times New Roman" w:eastAsiaTheme="minorHAnsi" w:hAnsi="Times New Roman"/>
          <w:b/>
          <w:bCs/>
          <w:noProof/>
          <w:sz w:val="24"/>
          <w:szCs w:val="24"/>
          <w:lang w:val="en-GB" w:eastAsia="en-GB"/>
        </w:rPr>
        <w:drawing>
          <wp:inline distT="0" distB="0" distL="0" distR="0" wp14:anchorId="24546CB9" wp14:editId="26DD5005">
            <wp:extent cx="5179060" cy="2019868"/>
            <wp:effectExtent l="0" t="0" r="2540" b="0"/>
            <wp:docPr id="39" name="Picture 39" descr="Study COV-2069 Participants with risk factors at Baseline (seronegative modified full analysis se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tudy COV-2069 Participants with risk factors at Baseline (seronegative modified full analysis set B)"/>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2052"/>
                    <a:stretch/>
                  </pic:blipFill>
                  <pic:spPr bwMode="auto">
                    <a:xfrm>
                      <a:off x="0" y="0"/>
                      <a:ext cx="5184102" cy="2021834"/>
                    </a:xfrm>
                    <a:prstGeom prst="rect">
                      <a:avLst/>
                    </a:prstGeom>
                    <a:noFill/>
                    <a:ln>
                      <a:noFill/>
                    </a:ln>
                    <a:extLst>
                      <a:ext uri="{53640926-AAD7-44D8-BBD7-CCE9431645EC}">
                        <a14:shadowObscured xmlns:a14="http://schemas.microsoft.com/office/drawing/2010/main"/>
                      </a:ext>
                    </a:extLst>
                  </pic:spPr>
                </pic:pic>
              </a:graphicData>
            </a:graphic>
          </wp:inline>
        </w:drawing>
      </w:r>
    </w:p>
    <w:p w14:paraId="46B436F2" w14:textId="33851816" w:rsidR="009C45A3" w:rsidRPr="009C45A3" w:rsidRDefault="009C45A3" w:rsidP="009C45A3">
      <w:pPr>
        <w:pStyle w:val="TableDescription"/>
      </w:pPr>
      <w:r w:rsidRPr="009C45A3">
        <w:t xml:space="preserve">REGN10933 + REGN10987 = </w:t>
      </w:r>
      <w:proofErr w:type="spellStart"/>
      <w:r w:rsidRPr="009C45A3">
        <w:t>casirivimab</w:t>
      </w:r>
      <w:proofErr w:type="spellEnd"/>
      <w:r w:rsidRPr="009C45A3">
        <w:t xml:space="preserve"> + </w:t>
      </w:r>
      <w:proofErr w:type="spellStart"/>
      <w:r w:rsidRPr="009C45A3">
        <w:t>imdevimab</w:t>
      </w:r>
      <w:proofErr w:type="spellEnd"/>
      <w:r w:rsidRPr="009C45A3">
        <w:t>; N = number of subjects; BMI = body mass index.</w:t>
      </w:r>
    </w:p>
    <w:p w14:paraId="7129EA65" w14:textId="39784F24" w:rsidR="00B451E4" w:rsidRPr="009C45A3" w:rsidRDefault="00B451E4" w:rsidP="009C45A3">
      <w:pPr>
        <w:pStyle w:val="TableDescription"/>
      </w:pPr>
      <w:r w:rsidRPr="009C45A3">
        <w:t>For the first step analysis the data cut</w:t>
      </w:r>
      <w:r w:rsidR="001E325B" w:rsidRPr="009C45A3">
        <w:t>-</w:t>
      </w:r>
      <w:r w:rsidRPr="009C45A3">
        <w:t>off date is 11 March 2021.</w:t>
      </w:r>
    </w:p>
    <w:p w14:paraId="02E43A41" w14:textId="77F58367" w:rsidR="00B451E4" w:rsidRPr="009C45A3" w:rsidRDefault="00B451E4" w:rsidP="009C45A3">
      <w:pPr>
        <w:pStyle w:val="TableDescription"/>
      </w:pPr>
      <w:r w:rsidRPr="009C45A3">
        <w:t xml:space="preserve">Data collected from demographics, medical </w:t>
      </w:r>
      <w:proofErr w:type="gramStart"/>
      <w:r w:rsidRPr="009C45A3">
        <w:t>history</w:t>
      </w:r>
      <w:proofErr w:type="gramEnd"/>
      <w:r w:rsidRPr="009C45A3">
        <w:t xml:space="preserve"> and concomitant medication </w:t>
      </w:r>
      <w:r w:rsidR="009C45A3" w:rsidRPr="009C45A3">
        <w:t>electronic case report from (eCRF)</w:t>
      </w:r>
      <w:r w:rsidRPr="009C45A3">
        <w:t>.</w:t>
      </w:r>
    </w:p>
    <w:p w14:paraId="146AEEE0" w14:textId="33E68E33" w:rsidR="00146C2C" w:rsidRPr="006D790D" w:rsidRDefault="00146C2C" w:rsidP="00B1559C">
      <w:r w:rsidRPr="006D790D">
        <w:t xml:space="preserve">The primary efficacy analysis was based on 204 participants who were seronegative at </w:t>
      </w:r>
      <w:r w:rsidR="00FB39BC" w:rsidRPr="006D790D">
        <w:t>Baseline</w:t>
      </w:r>
      <w:r w:rsidRPr="006D790D">
        <w:t xml:space="preserve"> (seronegative </w:t>
      </w:r>
      <w:r w:rsidR="00216A81" w:rsidRPr="006D790D">
        <w:t>modified full analysis set</w:t>
      </w:r>
      <w:r w:rsidR="00FC63CA" w:rsidRPr="006D790D">
        <w:t xml:space="preserve"> </w:t>
      </w:r>
      <w:r w:rsidRPr="006D790D">
        <w:t>B). Adolescents (age ≥ 12 to &lt; 18 years) comprised a total of 26 (12.6%) participants, and elderly (age &gt; 80 years) a total of 3 (1.4%) participants.</w:t>
      </w:r>
    </w:p>
    <w:p w14:paraId="655AB5E7" w14:textId="16129B8C" w:rsidR="00146C2C" w:rsidRPr="006D790D" w:rsidRDefault="00146C2C" w:rsidP="00B1559C">
      <w:r w:rsidRPr="006D790D">
        <w:t xml:space="preserve">Treatment with </w:t>
      </w:r>
      <w:proofErr w:type="spellStart"/>
      <w:r w:rsidRPr="006D790D">
        <w:t>casirivimab</w:t>
      </w:r>
      <w:proofErr w:type="spellEnd"/>
      <w:r w:rsidR="00EA28EF" w:rsidRPr="006D790D">
        <w:t>/</w:t>
      </w:r>
      <w:proofErr w:type="spellStart"/>
      <w:r w:rsidRPr="006D790D">
        <w:t>imdevimab</w:t>
      </w:r>
      <w:proofErr w:type="spellEnd"/>
      <w:r w:rsidRPr="006D790D">
        <w:t xml:space="preserve"> reduced the risk of progression to symptomatic disease by 31.5% compared to placebo (p</w:t>
      </w:r>
      <w:r w:rsidR="000329BE" w:rsidRPr="006D790D">
        <w:t> </w:t>
      </w:r>
      <w:r w:rsidRPr="006D790D">
        <w:t>=</w:t>
      </w:r>
      <w:r w:rsidR="000329BE" w:rsidRPr="006D790D">
        <w:t> </w:t>
      </w:r>
      <w:r w:rsidRPr="006D790D">
        <w:t>0.0380), with 44 subjects in the placebo group and 29 subjects in the active treatment group developing broad-term symptoms of COVID</w:t>
      </w:r>
      <w:r w:rsidR="000329BE" w:rsidRPr="006D790D">
        <w:noBreakHyphen/>
      </w:r>
      <w:r w:rsidRPr="006D790D">
        <w:t>19 that met the primary endpoint definition. Symptomatic infection for this endpoint was defined as having a confirmed positive RT-qPCR result during the EAP with a symptom from the broad-term definition occurring within 14 days.</w:t>
      </w:r>
    </w:p>
    <w:p w14:paraId="64015767" w14:textId="3F41E53E" w:rsidR="00146C2C" w:rsidRDefault="00D5326E" w:rsidP="00553082">
      <w:pPr>
        <w:pStyle w:val="TableTitle"/>
        <w:keepLines/>
      </w:pPr>
      <w:r w:rsidRPr="006D790D">
        <w:lastRenderedPageBreak/>
        <w:t xml:space="preserve">Table </w:t>
      </w:r>
      <w:fldSimple w:instr=" SEQ Table \* ARABIC ">
        <w:r w:rsidR="007F1879">
          <w:rPr>
            <w:noProof/>
          </w:rPr>
          <w:t>25</w:t>
        </w:r>
      </w:fldSimple>
      <w:r w:rsidR="00146C2C" w:rsidRPr="006D790D">
        <w:t xml:space="preserve">: </w:t>
      </w:r>
      <w:r w:rsidR="00030A65" w:rsidRPr="006D790D">
        <w:t xml:space="preserve">Study COV-2069 </w:t>
      </w:r>
      <w:r w:rsidR="00146C2C" w:rsidRPr="006D790D">
        <w:t xml:space="preserve">Proportion </w:t>
      </w:r>
      <w:r w:rsidR="00030A65" w:rsidRPr="006D790D">
        <w:t>of participants who subsequently develop signs and symptoms (broad-term) with onset within 14 days of a positi</w:t>
      </w:r>
      <w:r w:rsidR="00146C2C" w:rsidRPr="006D790D">
        <w:t xml:space="preserve">ve </w:t>
      </w:r>
      <w:r w:rsidR="00683A5C" w:rsidRPr="00683A5C">
        <w:t xml:space="preserve">reverse transcription quantitative real time polymerase chain reaction </w:t>
      </w:r>
      <w:r w:rsidR="00146C2C" w:rsidRPr="006D790D">
        <w:t xml:space="preserve">at Baseline or </w:t>
      </w:r>
      <w:r w:rsidR="00030A65" w:rsidRPr="006D790D">
        <w:t>during</w:t>
      </w:r>
      <w:r w:rsidR="00146C2C" w:rsidRPr="006D790D">
        <w:t xml:space="preserve"> the </w:t>
      </w:r>
      <w:r w:rsidR="000329BE" w:rsidRPr="006D790D">
        <w:t xml:space="preserve">efficacy assessment period </w:t>
      </w:r>
      <w:r w:rsidR="00146C2C" w:rsidRPr="006D790D">
        <w:t>(</w:t>
      </w:r>
      <w:r w:rsidR="00AB3EF0" w:rsidRPr="006D790D">
        <w:t>s</w:t>
      </w:r>
      <w:r w:rsidR="00146C2C" w:rsidRPr="006D790D">
        <w:t xml:space="preserve">eronegative </w:t>
      </w:r>
      <w:r w:rsidR="00216A81" w:rsidRPr="006D790D">
        <w:t>modified full analysis set</w:t>
      </w:r>
      <w:r w:rsidR="00030A65" w:rsidRPr="006D790D">
        <w:t xml:space="preserve"> </w:t>
      </w:r>
      <w:r w:rsidR="00146C2C" w:rsidRPr="006D790D">
        <w:t>B)</w:t>
      </w:r>
    </w:p>
    <w:p w14:paraId="63EBD285" w14:textId="3F4CE3EE" w:rsidR="00985B44" w:rsidRPr="006D790D" w:rsidRDefault="00985B44" w:rsidP="00553082">
      <w:r>
        <w:rPr>
          <w:noProof/>
        </w:rPr>
        <w:drawing>
          <wp:inline distT="0" distB="0" distL="0" distR="0" wp14:anchorId="03D0FFE0" wp14:editId="66819DB4">
            <wp:extent cx="5400040" cy="1525905"/>
            <wp:effectExtent l="0" t="0" r="0" b="0"/>
            <wp:docPr id="76" name="Picture 76" descr="Study COV-2069 Proportion of participants who subsequently develop signs and symptoms (broad-term) with onset within 14 days of a positive RT-qPCR at Baseline or during the efficacy assessment period (seronegative modified full analysis se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tudy COV-2069 Proportion of participants who subsequently develop signs and symptoms (broad-term) with onset within 14 days of a positive RT-qPCR at Baseline or during the efficacy assessment period (seronegative modified full analysis set B)"/>
                    <pic:cNvPicPr/>
                  </pic:nvPicPr>
                  <pic:blipFill>
                    <a:blip r:embed="rId56"/>
                    <a:stretch>
                      <a:fillRect/>
                    </a:stretch>
                  </pic:blipFill>
                  <pic:spPr>
                    <a:xfrm>
                      <a:off x="0" y="0"/>
                      <a:ext cx="5400040" cy="1525905"/>
                    </a:xfrm>
                    <a:prstGeom prst="rect">
                      <a:avLst/>
                    </a:prstGeom>
                  </pic:spPr>
                </pic:pic>
              </a:graphicData>
            </a:graphic>
          </wp:inline>
        </w:drawing>
      </w:r>
    </w:p>
    <w:p w14:paraId="7671ED6E" w14:textId="7CBDC382" w:rsidR="00985B44" w:rsidRPr="00985B44" w:rsidRDefault="00985B44" w:rsidP="00985B44">
      <w:pPr>
        <w:pStyle w:val="TableDescription"/>
      </w:pPr>
      <w:r w:rsidRPr="00985B44">
        <w:t xml:space="preserve">REGN10933 + REGN10987 = </w:t>
      </w:r>
      <w:proofErr w:type="spellStart"/>
      <w:r w:rsidRPr="00985B44">
        <w:t>casirivimab</w:t>
      </w:r>
      <w:proofErr w:type="spellEnd"/>
      <w:r w:rsidRPr="00985B44">
        <w:t xml:space="preserve"> + </w:t>
      </w:r>
      <w:proofErr w:type="spellStart"/>
      <w:r w:rsidRPr="00985B44">
        <w:t>imdevimab</w:t>
      </w:r>
      <w:proofErr w:type="spellEnd"/>
      <w:r w:rsidRPr="00985B44">
        <w:t>; N = number of subjects; RT-qPCR = reverse transcription quantitative real time polymerase chain reaction; CI = confidence interval.</w:t>
      </w:r>
    </w:p>
    <w:p w14:paraId="710C5205" w14:textId="4E6EA366" w:rsidR="00851C6F" w:rsidRPr="00BB0979" w:rsidRDefault="009C45A3" w:rsidP="00985B44">
      <w:pPr>
        <w:pStyle w:val="TableDescription"/>
      </w:pPr>
      <w:r w:rsidRPr="00BB0979">
        <w:t>F</w:t>
      </w:r>
      <w:r w:rsidR="00851C6F" w:rsidRPr="00BB0979">
        <w:t>or the first step analysis, the data cut</w:t>
      </w:r>
      <w:r w:rsidR="001E325B" w:rsidRPr="00BB0979">
        <w:t>-</w:t>
      </w:r>
      <w:r w:rsidR="00851C6F" w:rsidRPr="00BB0979">
        <w:t>off is 11 March 2021.</w:t>
      </w:r>
    </w:p>
    <w:p w14:paraId="62B3AC33" w14:textId="56A85C8B" w:rsidR="00851C6F" w:rsidRPr="00BB0979" w:rsidRDefault="00851C6F" w:rsidP="00985B44">
      <w:pPr>
        <w:pStyle w:val="TableDescription"/>
      </w:pPr>
      <w:r w:rsidRPr="00BB0979">
        <w:t>If a visit with a missing central lab RT-qPCR result had a local confirmatory positive RT-qPCR for a subject with a COVID-19 symptom occurring within 14 days, that visit was considered to have a positive result.</w:t>
      </w:r>
    </w:p>
    <w:p w14:paraId="13F331B7" w14:textId="3E7C3FDC" w:rsidR="00851C6F" w:rsidRPr="00BB0979" w:rsidRDefault="00851C6F" w:rsidP="00985B44">
      <w:pPr>
        <w:pStyle w:val="TableDescription"/>
      </w:pPr>
      <w:r w:rsidRPr="00BB0979">
        <w:t xml:space="preserve">1 The CI with p-value </w:t>
      </w:r>
      <w:r w:rsidR="00985B44" w:rsidRPr="00BB0979">
        <w:t>i</w:t>
      </w:r>
      <w:r w:rsidRPr="00BB0979">
        <w:t>s based on the odds ratio (</w:t>
      </w:r>
      <w:proofErr w:type="spellStart"/>
      <w:r w:rsidRPr="00BB0979">
        <w:t>casirivimab</w:t>
      </w:r>
      <w:proofErr w:type="spellEnd"/>
      <w:r w:rsidRPr="00BB0979">
        <w:t xml:space="preserve"> + </w:t>
      </w:r>
      <w:proofErr w:type="spellStart"/>
      <w:r w:rsidRPr="00BB0979">
        <w:t>imdesivir</w:t>
      </w:r>
      <w:proofErr w:type="spellEnd"/>
      <w:r w:rsidRPr="00BB0979">
        <w:t xml:space="preserve"> group versus placebo group) using a logistic regression model with the fixed categorical effects of treatment group, age group (age in years</w:t>
      </w:r>
      <w:r w:rsidR="00985B44" w:rsidRPr="00BB0979">
        <w:t>:</w:t>
      </w:r>
      <w:r w:rsidRPr="00BB0979">
        <w:t>12 and over to under 50; and 50 and over) and region (</w:t>
      </w:r>
      <w:r w:rsidR="00985B44" w:rsidRPr="00BB0979">
        <w:t>United States of America (USA)</w:t>
      </w:r>
      <w:r w:rsidRPr="00BB0979">
        <w:t xml:space="preserve"> versus non-USA).</w:t>
      </w:r>
    </w:p>
    <w:p w14:paraId="12EE847A" w14:textId="4F119403" w:rsidR="00146C2C" w:rsidRPr="006D790D" w:rsidRDefault="00146C2C" w:rsidP="00B1559C">
      <w:r w:rsidRPr="006D790D">
        <w:t xml:space="preserve">The efficacy analysis for Cohort B met the primary endpoint and key secondary endpoints in the pre-specified statistical testing hierarchy, as shown in </w:t>
      </w:r>
      <w:r w:rsidR="00D5326E" w:rsidRPr="006D790D">
        <w:fldChar w:fldCharType="begin"/>
      </w:r>
      <w:r w:rsidR="00D5326E" w:rsidRPr="006D790D">
        <w:instrText xml:space="preserve"> REF _Ref85138737 \h </w:instrText>
      </w:r>
      <w:r w:rsidR="006D790D">
        <w:instrText xml:space="preserve"> \* MERGEFORMAT </w:instrText>
      </w:r>
      <w:r w:rsidR="00D5326E" w:rsidRPr="006D790D">
        <w:fldChar w:fldCharType="separate"/>
      </w:r>
      <w:r w:rsidR="007F1879" w:rsidRPr="006D790D">
        <w:t xml:space="preserve">Table </w:t>
      </w:r>
      <w:r w:rsidR="007F1879">
        <w:rPr>
          <w:noProof/>
        </w:rPr>
        <w:t>26</w:t>
      </w:r>
      <w:r w:rsidR="00D5326E" w:rsidRPr="006D790D">
        <w:fldChar w:fldCharType="end"/>
      </w:r>
      <w:r w:rsidRPr="006D790D">
        <w:t xml:space="preserve"> below:</w:t>
      </w:r>
    </w:p>
    <w:p w14:paraId="635D0A52" w14:textId="480636E5" w:rsidR="00146C2C" w:rsidRPr="006D790D" w:rsidRDefault="00D5326E" w:rsidP="00C05180">
      <w:pPr>
        <w:pStyle w:val="FigureTitle"/>
      </w:pPr>
      <w:bookmarkStart w:id="100" w:name="_Ref85138737"/>
      <w:r w:rsidRPr="006D790D">
        <w:t xml:space="preserve">Table </w:t>
      </w:r>
      <w:fldSimple w:instr=" SEQ Table \* ARABIC ">
        <w:r w:rsidR="007F1879">
          <w:rPr>
            <w:noProof/>
          </w:rPr>
          <w:t>26</w:t>
        </w:r>
      </w:fldSimple>
      <w:bookmarkEnd w:id="100"/>
      <w:r w:rsidR="00146C2C" w:rsidRPr="006D790D">
        <w:t xml:space="preserve">: </w:t>
      </w:r>
      <w:r w:rsidR="00030A65" w:rsidRPr="006D790D">
        <w:t xml:space="preserve">Study COV-2069 </w:t>
      </w:r>
      <w:r w:rsidR="00146C2C" w:rsidRPr="006D790D">
        <w:t>Efficacy analysis for Cohort B</w:t>
      </w:r>
    </w:p>
    <w:p w14:paraId="0361C901" w14:textId="76DED5DE" w:rsidR="00146C2C" w:rsidRDefault="00146C2C" w:rsidP="00146C2C">
      <w:pPr>
        <w:autoSpaceDE w:val="0"/>
        <w:autoSpaceDN w:val="0"/>
        <w:adjustRightInd w:val="0"/>
        <w:spacing w:before="0" w:after="0" w:line="240" w:lineRule="auto"/>
        <w:rPr>
          <w:rFonts w:asciiTheme="minorHAnsi" w:eastAsiaTheme="minorHAnsi" w:hAnsiTheme="minorHAnsi"/>
        </w:rPr>
      </w:pPr>
      <w:r w:rsidRPr="006D790D">
        <w:rPr>
          <w:rFonts w:asciiTheme="minorHAnsi" w:eastAsiaTheme="minorHAnsi" w:hAnsiTheme="minorHAnsi"/>
          <w:noProof/>
          <w:lang w:val="en-GB" w:eastAsia="en-GB"/>
        </w:rPr>
        <w:drawing>
          <wp:inline distT="0" distB="0" distL="0" distR="0" wp14:anchorId="7654BFE2" wp14:editId="60D9DB0A">
            <wp:extent cx="5189296" cy="1488875"/>
            <wp:effectExtent l="0" t="0" r="0" b="0"/>
            <wp:docPr id="18" name="Picture 18" descr="Study COV-2069 Efficacy analysis for Cohor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tudy COV-2069 Efficacy analysis for Cohort B"/>
                    <pic:cNvPicPr>
                      <a:picLocks noChangeAspect="1" noChangeArrowheads="1"/>
                    </pic:cNvPicPr>
                  </pic:nvPicPr>
                  <pic:blipFill rotWithShape="1">
                    <a:blip r:embed="rId57">
                      <a:extLst>
                        <a:ext uri="{28A0092B-C50C-407E-A947-70E740481C1C}">
                          <a14:useLocalDpi xmlns:a14="http://schemas.microsoft.com/office/drawing/2010/main" val="0"/>
                        </a:ext>
                      </a:extLst>
                    </a:blip>
                    <a:srcRect b="20069"/>
                    <a:stretch/>
                  </pic:blipFill>
                  <pic:spPr bwMode="auto">
                    <a:xfrm>
                      <a:off x="0" y="0"/>
                      <a:ext cx="5303734" cy="1521709"/>
                    </a:xfrm>
                    <a:prstGeom prst="rect">
                      <a:avLst/>
                    </a:prstGeom>
                    <a:noFill/>
                    <a:ln>
                      <a:noFill/>
                    </a:ln>
                    <a:extLst>
                      <a:ext uri="{53640926-AAD7-44D8-BBD7-CCE9431645EC}">
                        <a14:shadowObscured xmlns:a14="http://schemas.microsoft.com/office/drawing/2010/main"/>
                      </a:ext>
                    </a:extLst>
                  </pic:spPr>
                </pic:pic>
              </a:graphicData>
            </a:graphic>
          </wp:inline>
        </w:drawing>
      </w:r>
    </w:p>
    <w:p w14:paraId="11ECA17E" w14:textId="772710A7" w:rsidR="00985B44" w:rsidRDefault="00985B44" w:rsidP="00985B44">
      <w:pPr>
        <w:pStyle w:val="TableDescription"/>
      </w:pPr>
      <w:r w:rsidRPr="00985B44">
        <w:t>OR = odds ratio; CI = confidence interval; RT-qPCR = reverse transcription quantitative real time polymerase chain reaction; SARS-CoV-2 = severe acute respiratory syndrome coronavirus 2; EAP = efficacy assessment period; vs = versus</w:t>
      </w:r>
      <w:r>
        <w:t>.</w:t>
      </w:r>
    </w:p>
    <w:p w14:paraId="5968DD57" w14:textId="7D33D734" w:rsidR="00146C2C" w:rsidRPr="006D790D" w:rsidRDefault="00146C2C" w:rsidP="00B1559C">
      <w:r w:rsidRPr="006D790D">
        <w:t xml:space="preserve">A consistent treatment benefit was observed in a post-hoc analysis of the primary endpoint performed in participants regardless of baseline serology, with a 35.4% risk reduction compared to placebo (OR 0.54 </w:t>
      </w:r>
      <w:r w:rsidR="00316746" w:rsidRPr="006D790D">
        <w:t>(</w:t>
      </w:r>
      <w:r w:rsidRPr="006D790D">
        <w:t>0.325, 0.894</w:t>
      </w:r>
      <w:r w:rsidR="00316746" w:rsidRPr="006D790D">
        <w:t>)</w:t>
      </w:r>
      <w:r w:rsidRPr="006D790D">
        <w:t>, nominal p</w:t>
      </w:r>
      <w:r w:rsidR="008A5DCA" w:rsidRPr="006D790D">
        <w:t> </w:t>
      </w:r>
      <w:r w:rsidRPr="006D790D">
        <w:t>=</w:t>
      </w:r>
      <w:r w:rsidR="008A5DCA" w:rsidRPr="006D790D">
        <w:t> </w:t>
      </w:r>
      <w:r w:rsidRPr="006D790D">
        <w:t>0.0166). A comparable level of reduction was also shown when the analysis included only baseline</w:t>
      </w:r>
      <w:r w:rsidR="00FC63CA" w:rsidRPr="006D790D">
        <w:t xml:space="preserve"> </w:t>
      </w:r>
      <w:r w:rsidRPr="006D790D">
        <w:t xml:space="preserve">positive participants (33.9% risk reduction </w:t>
      </w:r>
      <w:r w:rsidR="00316746" w:rsidRPr="006D790D">
        <w:t>versus</w:t>
      </w:r>
      <w:r w:rsidRPr="006D790D">
        <w:t xml:space="preserve"> placebo, OR 0.62 </w:t>
      </w:r>
      <w:r w:rsidR="00316746" w:rsidRPr="006D790D">
        <w:t>(</w:t>
      </w:r>
      <w:r w:rsidRPr="006D790D">
        <w:t>0.147, 2.587</w:t>
      </w:r>
      <w:r w:rsidR="00316746" w:rsidRPr="006D790D">
        <w:t>)</w:t>
      </w:r>
      <w:r w:rsidRPr="006D790D">
        <w:t>, nominal p</w:t>
      </w:r>
      <w:r w:rsidR="008A5DCA" w:rsidRPr="006D790D">
        <w:t> </w:t>
      </w:r>
      <w:r w:rsidRPr="006D790D">
        <w:t>=</w:t>
      </w:r>
      <w:r w:rsidR="008A5DCA" w:rsidRPr="006D790D">
        <w:t> </w:t>
      </w:r>
      <w:r w:rsidRPr="006D790D">
        <w:t>0.5079).</w:t>
      </w:r>
    </w:p>
    <w:p w14:paraId="2700325E" w14:textId="0010BA53" w:rsidR="00146C2C" w:rsidRPr="006D790D" w:rsidRDefault="00146C2C" w:rsidP="00B1559C">
      <w:r w:rsidRPr="006D790D">
        <w:t xml:space="preserve">Treatment benefit was observed as early as </w:t>
      </w:r>
      <w:proofErr w:type="spellStart"/>
      <w:r w:rsidRPr="006D790D">
        <w:t>Day</w:t>
      </w:r>
      <w:proofErr w:type="spellEnd"/>
      <w:r w:rsidR="008A5DCA" w:rsidRPr="006D790D">
        <w:t> </w:t>
      </w:r>
      <w:r w:rsidRPr="006D790D">
        <w:t>4 and was maintained through Day</w:t>
      </w:r>
      <w:r w:rsidR="008A5DCA" w:rsidRPr="006D790D">
        <w:t> </w:t>
      </w:r>
      <w:r w:rsidRPr="006D790D">
        <w:t xml:space="preserve">29 (see </w:t>
      </w:r>
      <w:r w:rsidR="001D545B" w:rsidRPr="006D790D">
        <w:fldChar w:fldCharType="begin"/>
      </w:r>
      <w:r w:rsidR="001D545B" w:rsidRPr="006D790D">
        <w:instrText xml:space="preserve"> REF _Ref85139417 \h </w:instrText>
      </w:r>
      <w:r w:rsidR="006D790D">
        <w:instrText xml:space="preserve"> \* MERGEFORMAT </w:instrText>
      </w:r>
      <w:r w:rsidR="001D545B" w:rsidRPr="006D790D">
        <w:fldChar w:fldCharType="separate"/>
      </w:r>
      <w:r w:rsidR="007F1879" w:rsidRPr="006D790D">
        <w:t xml:space="preserve">Figure </w:t>
      </w:r>
      <w:r w:rsidR="007F1879">
        <w:rPr>
          <w:noProof/>
        </w:rPr>
        <w:t>16</w:t>
      </w:r>
      <w:r w:rsidR="001D545B" w:rsidRPr="006D790D">
        <w:fldChar w:fldCharType="end"/>
      </w:r>
      <w:r w:rsidRPr="006D790D">
        <w:t xml:space="preserve"> below). After Day</w:t>
      </w:r>
      <w:r w:rsidR="008A5DCA" w:rsidRPr="006D790D">
        <w:t> </w:t>
      </w:r>
      <w:r w:rsidRPr="006D790D">
        <w:t>3, there was a risk reduction of 76.4% in baseline</w:t>
      </w:r>
      <w:r w:rsidR="00FC63CA" w:rsidRPr="006D790D">
        <w:t xml:space="preserve"> </w:t>
      </w:r>
      <w:r w:rsidRPr="006D790D">
        <w:t>seronegative participants and 71.8% in the overall population regardless of baseline serostatus. Starting from Day</w:t>
      </w:r>
      <w:r w:rsidR="008A5DCA" w:rsidRPr="006D790D">
        <w:t> </w:t>
      </w:r>
      <w:r w:rsidRPr="006D790D">
        <w:t>4, the cumulative incidence of symptomatic onset diverged between the two groups, with a lower incidence maintained in the treatment group through Day</w:t>
      </w:r>
      <w:r w:rsidR="008A5DCA" w:rsidRPr="006D790D">
        <w:t> </w:t>
      </w:r>
      <w:r w:rsidRPr="006D790D">
        <w:t xml:space="preserve">29 for </w:t>
      </w:r>
      <w:proofErr w:type="spellStart"/>
      <w:r w:rsidRPr="006D790D">
        <w:t>casirivimab</w:t>
      </w:r>
      <w:proofErr w:type="spellEnd"/>
      <w:r w:rsidR="00EA28EF" w:rsidRPr="006D790D">
        <w:t>/</w:t>
      </w:r>
      <w:proofErr w:type="spellStart"/>
      <w:r w:rsidRPr="006D790D">
        <w:t>imdevimab</w:t>
      </w:r>
      <w:proofErr w:type="spellEnd"/>
      <w:r w:rsidRPr="006D790D">
        <w:t>.</w:t>
      </w:r>
    </w:p>
    <w:p w14:paraId="4D98F8DE" w14:textId="0F1FF949" w:rsidR="00146C2C" w:rsidRPr="006D790D" w:rsidRDefault="001D545B" w:rsidP="00C05180">
      <w:pPr>
        <w:pStyle w:val="FigureTitle"/>
        <w:rPr>
          <w:rFonts w:ascii="Times New Roman" w:eastAsiaTheme="minorHAnsi" w:hAnsi="Times New Roman"/>
          <w:sz w:val="24"/>
          <w:szCs w:val="24"/>
        </w:rPr>
      </w:pPr>
      <w:bookmarkStart w:id="101" w:name="_Ref85139417"/>
      <w:r w:rsidRPr="006D790D">
        <w:lastRenderedPageBreak/>
        <w:t xml:space="preserve">Figure </w:t>
      </w:r>
      <w:fldSimple w:instr=" SEQ Figure \* ARABIC ">
        <w:r w:rsidR="007F1879">
          <w:rPr>
            <w:noProof/>
          </w:rPr>
          <w:t>16</w:t>
        </w:r>
      </w:fldSimple>
      <w:bookmarkEnd w:id="101"/>
      <w:r w:rsidR="00146C2C" w:rsidRPr="006D790D">
        <w:t xml:space="preserve">: </w:t>
      </w:r>
      <w:r w:rsidR="00030A65" w:rsidRPr="006D790D">
        <w:t xml:space="preserve">Study COV-2069 </w:t>
      </w:r>
      <w:r w:rsidR="00146C2C" w:rsidRPr="006D790D">
        <w:t>Kaplan</w:t>
      </w:r>
      <w:r w:rsidR="00FC7942" w:rsidRPr="006D790D">
        <w:t xml:space="preserve"> </w:t>
      </w:r>
      <w:r w:rsidR="00146C2C" w:rsidRPr="006D790D">
        <w:t xml:space="preserve">Meier </w:t>
      </w:r>
      <w:r w:rsidR="00030A65" w:rsidRPr="006D790D">
        <w:t xml:space="preserve">cumulative </w:t>
      </w:r>
      <w:r w:rsidR="00146C2C" w:rsidRPr="006D790D">
        <w:t xml:space="preserve">incidence of time to first symptom within 14 days of a positive </w:t>
      </w:r>
      <w:r w:rsidR="00985B44" w:rsidRPr="00985B44">
        <w:t xml:space="preserve">reverse transcription quantitative real time polymerase chain reaction </w:t>
      </w:r>
      <w:r w:rsidR="00146C2C" w:rsidRPr="006D790D">
        <w:t xml:space="preserve">(seronegative </w:t>
      </w:r>
      <w:r w:rsidR="00216A81" w:rsidRPr="006D790D">
        <w:t>modified full analysis set</w:t>
      </w:r>
      <w:r w:rsidR="00FC63CA" w:rsidRPr="006D790D">
        <w:t xml:space="preserve"> </w:t>
      </w:r>
      <w:r w:rsidR="00146C2C" w:rsidRPr="006D790D">
        <w:t>B)</w:t>
      </w:r>
    </w:p>
    <w:p w14:paraId="009049C0" w14:textId="7F1F681D" w:rsidR="00146C2C" w:rsidRDefault="00146C2C" w:rsidP="00146C2C">
      <w:pPr>
        <w:autoSpaceDE w:val="0"/>
        <w:autoSpaceDN w:val="0"/>
        <w:adjustRightInd w:val="0"/>
        <w:spacing w:before="0" w:after="0" w:line="240" w:lineRule="auto"/>
        <w:rPr>
          <w:rFonts w:ascii="Times New Roman" w:eastAsiaTheme="minorHAnsi" w:hAnsi="Times New Roman"/>
          <w:sz w:val="24"/>
          <w:szCs w:val="24"/>
        </w:rPr>
      </w:pPr>
      <w:r w:rsidRPr="006D790D">
        <w:rPr>
          <w:rFonts w:ascii="Times New Roman" w:eastAsiaTheme="minorHAnsi" w:hAnsi="Times New Roman"/>
          <w:noProof/>
          <w:sz w:val="24"/>
          <w:szCs w:val="24"/>
          <w:lang w:val="en-GB" w:eastAsia="en-GB"/>
        </w:rPr>
        <w:drawing>
          <wp:inline distT="0" distB="0" distL="0" distR="0" wp14:anchorId="67CEAB01" wp14:editId="688C79CC">
            <wp:extent cx="5356031" cy="2627194"/>
            <wp:effectExtent l="0" t="0" r="0" b="1905"/>
            <wp:docPr id="32" name="Picture 32" descr="Study COV-2069 Kaplan Meier cumulative incidence of time to first symptom within 14 days of a positive reverse transcription quantitative real time polymerase chain reaction (seronegative modified full analysis se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tudy COV-2069 Kaplan Meier cumulative incidence of time to first symptom within 14 days of a positive reverse transcription quantitative real time polymerase chain reaction (seronegative modified full analysis set B)"/>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6964"/>
                    <a:stretch/>
                  </pic:blipFill>
                  <pic:spPr bwMode="auto">
                    <a:xfrm>
                      <a:off x="0" y="0"/>
                      <a:ext cx="5430267" cy="2663607"/>
                    </a:xfrm>
                    <a:prstGeom prst="rect">
                      <a:avLst/>
                    </a:prstGeom>
                    <a:noFill/>
                    <a:ln>
                      <a:noFill/>
                    </a:ln>
                    <a:extLst>
                      <a:ext uri="{53640926-AAD7-44D8-BBD7-CCE9431645EC}">
                        <a14:shadowObscured xmlns:a14="http://schemas.microsoft.com/office/drawing/2010/main"/>
                      </a:ext>
                    </a:extLst>
                  </pic:spPr>
                </pic:pic>
              </a:graphicData>
            </a:graphic>
          </wp:inline>
        </w:drawing>
      </w:r>
    </w:p>
    <w:p w14:paraId="72EA2B4D" w14:textId="5D20A1B4" w:rsidR="00985B44" w:rsidRPr="00985B44" w:rsidRDefault="00985B44" w:rsidP="00553082">
      <w:pPr>
        <w:pStyle w:val="FigureDescription"/>
      </w:pPr>
      <w:r w:rsidRPr="00985B44">
        <w:t xml:space="preserve">REGN10933 + REGN10987 = </w:t>
      </w:r>
      <w:proofErr w:type="spellStart"/>
      <w:r w:rsidRPr="00985B44">
        <w:t>casirivimab</w:t>
      </w:r>
      <w:proofErr w:type="spellEnd"/>
      <w:r w:rsidRPr="00985B44">
        <w:t xml:space="preserve"> + </w:t>
      </w:r>
      <w:proofErr w:type="spellStart"/>
      <w:r w:rsidRPr="00985B44">
        <w:t>imdevimab</w:t>
      </w:r>
      <w:proofErr w:type="spellEnd"/>
      <w:r w:rsidRPr="00985B44">
        <w:t>.</w:t>
      </w:r>
    </w:p>
    <w:p w14:paraId="47E867D5" w14:textId="3C6C1BE1" w:rsidR="00985B44" w:rsidRPr="00985B44" w:rsidRDefault="00985B44" w:rsidP="00553082">
      <w:pPr>
        <w:pStyle w:val="FigureDescription"/>
      </w:pPr>
      <w:r w:rsidRPr="00985B44">
        <w:t>For the first step analysis, the data cut-off date is 11 March 2021.</w:t>
      </w:r>
    </w:p>
    <w:p w14:paraId="0C3CEBEC" w14:textId="029E10D3" w:rsidR="00146C2C" w:rsidRPr="006D790D" w:rsidRDefault="003C331A" w:rsidP="00E242C3">
      <w:pPr>
        <w:pStyle w:val="Heading5"/>
        <w:rPr>
          <w:rFonts w:eastAsiaTheme="minorHAnsi"/>
        </w:rPr>
      </w:pPr>
      <w:bookmarkStart w:id="102" w:name="_Toc84071969"/>
      <w:r w:rsidRPr="006D790D">
        <w:rPr>
          <w:rFonts w:eastAsiaTheme="minorHAnsi"/>
        </w:rPr>
        <w:t>Study </w:t>
      </w:r>
      <w:r w:rsidR="00146C2C" w:rsidRPr="006D790D">
        <w:rPr>
          <w:rFonts w:eastAsiaTheme="minorHAnsi"/>
        </w:rPr>
        <w:t>HV-2093 (</w:t>
      </w:r>
      <w:r w:rsidR="008A5DCA" w:rsidRPr="006D790D">
        <w:rPr>
          <w:rFonts w:eastAsiaTheme="minorHAnsi"/>
        </w:rPr>
        <w:t>r</w:t>
      </w:r>
      <w:r w:rsidR="00146C2C" w:rsidRPr="006D790D">
        <w:rPr>
          <w:rFonts w:eastAsiaTheme="minorHAnsi"/>
        </w:rPr>
        <w:t>epeat doses for chronic prophylaxis)</w:t>
      </w:r>
      <w:bookmarkEnd w:id="102"/>
    </w:p>
    <w:p w14:paraId="1833839F" w14:textId="731BF237" w:rsidR="00146C2C" w:rsidRPr="006D790D" w:rsidRDefault="003C331A" w:rsidP="00B1559C">
      <w:r w:rsidRPr="006D790D">
        <w:rPr>
          <w:rFonts w:eastAsiaTheme="minorHAnsi"/>
        </w:rPr>
        <w:t>Study </w:t>
      </w:r>
      <w:r w:rsidR="00146C2C" w:rsidRPr="006D790D">
        <w:t xml:space="preserve">HV-2093 is an ongoing </w:t>
      </w:r>
      <w:r w:rsidR="00AF6815" w:rsidRPr="006D790D">
        <w:t>Phase</w:t>
      </w:r>
      <w:r w:rsidR="00146C2C" w:rsidRPr="006D790D">
        <w:t xml:space="preserve"> </w:t>
      </w:r>
      <w:r w:rsidR="00AF6815" w:rsidRPr="006D790D">
        <w:t>I</w:t>
      </w:r>
      <w:r w:rsidR="00146C2C" w:rsidRPr="006D790D">
        <w:t>, randomi</w:t>
      </w:r>
      <w:r w:rsidR="00AF6815" w:rsidRPr="006D790D">
        <w:t>s</w:t>
      </w:r>
      <w:r w:rsidR="00146C2C" w:rsidRPr="006D790D">
        <w:t>ed, double</w:t>
      </w:r>
      <w:r w:rsidR="008A5DCA" w:rsidRPr="006D790D">
        <w:t xml:space="preserve"> </w:t>
      </w:r>
      <w:r w:rsidR="00146C2C" w:rsidRPr="006D790D">
        <w:t xml:space="preserve">blind, </w:t>
      </w:r>
      <w:proofErr w:type="gramStart"/>
      <w:r w:rsidR="00146C2C" w:rsidRPr="006D790D">
        <w:t>placebo</w:t>
      </w:r>
      <w:r w:rsidR="008A5DCA" w:rsidRPr="006D790D">
        <w:t xml:space="preserve"> </w:t>
      </w:r>
      <w:r w:rsidR="00146C2C" w:rsidRPr="006D790D">
        <w:t>controlled</w:t>
      </w:r>
      <w:proofErr w:type="gramEnd"/>
      <w:r w:rsidR="00146C2C" w:rsidRPr="006D790D">
        <w:t xml:space="preserve"> study. The study assessed the safety and tolerability of multiple </w:t>
      </w:r>
      <w:r w:rsidR="00316746" w:rsidRPr="006D790D">
        <w:t>subcutaneous</w:t>
      </w:r>
      <w:r w:rsidR="00146C2C" w:rsidRPr="006D790D">
        <w:t xml:space="preserve"> doses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in healthy adult volunteers who are SARS-CoV-2 negative at </w:t>
      </w:r>
      <w:r w:rsidR="00FB39BC" w:rsidRPr="006D790D">
        <w:t>Baseline</w:t>
      </w:r>
      <w:r w:rsidR="00146C2C" w:rsidRPr="006D790D">
        <w:t>. Participants are randomi</w:t>
      </w:r>
      <w:r w:rsidR="00AF6815" w:rsidRPr="006D790D">
        <w:t>s</w:t>
      </w:r>
      <w:r w:rsidR="00146C2C" w:rsidRPr="006D790D">
        <w:t xml:space="preserve">ed in a 3:1 ratio to receive up to 6 </w:t>
      </w:r>
      <w:r w:rsidR="00316746" w:rsidRPr="006D790D">
        <w:t>subcutaneous</w:t>
      </w:r>
      <w:r w:rsidR="00146C2C" w:rsidRPr="006D790D">
        <w:t xml:space="preserve"> doses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or placebo. This study includes healthy participants as well as participants who have chronic but stable medical conditions. Participants are also enrolled across a wide age range. These selection criteria were chosen to allow the assessment of safety and PK in participants that are representative of the broad, diverse population who are at risk for SARS-CoV-2 infection.</w:t>
      </w:r>
    </w:p>
    <w:p w14:paraId="2796A6F5" w14:textId="77777777" w:rsidR="00146C2C" w:rsidRPr="006D790D" w:rsidRDefault="00146C2C" w:rsidP="00B1559C">
      <w:r w:rsidRPr="006D790D">
        <w:t>All primary and secondary endpoints for this study pertain to safety, PK, and immunogenicity.</w:t>
      </w:r>
    </w:p>
    <w:p w14:paraId="598FC12C" w14:textId="77777777" w:rsidR="00146C2C" w:rsidRPr="006D790D" w:rsidRDefault="00146C2C" w:rsidP="00B1559C">
      <w:r w:rsidRPr="006D790D">
        <w:t>Results for exploratory endpoints pertaining to efficacy are presented below.</w:t>
      </w:r>
    </w:p>
    <w:p w14:paraId="458C2FC4" w14:textId="1E30044F" w:rsidR="00146C2C" w:rsidRPr="006D790D" w:rsidRDefault="00146C2C" w:rsidP="00B1559C">
      <w:pPr>
        <w:pStyle w:val="ListBullet"/>
      </w:pPr>
      <w:r w:rsidRPr="006D790D">
        <w:t xml:space="preserve">Exploratory efficacy analysis: incidence of </w:t>
      </w:r>
      <w:r w:rsidR="008A5DCA" w:rsidRPr="006D790D">
        <w:t>s</w:t>
      </w:r>
      <w:r w:rsidRPr="006D790D">
        <w:t xml:space="preserve">ymptomatic SARS-CoV-2 </w:t>
      </w:r>
      <w:r w:rsidR="008A5DCA" w:rsidRPr="006D790D">
        <w:t>i</w:t>
      </w:r>
      <w:r w:rsidRPr="006D790D">
        <w:t>nfection</w:t>
      </w:r>
    </w:p>
    <w:p w14:paraId="67A7DECA" w14:textId="1AE5B42C" w:rsidR="00146C2C" w:rsidRPr="006D790D" w:rsidRDefault="00146C2C" w:rsidP="00B1559C">
      <w:r w:rsidRPr="006D790D">
        <w:t xml:space="preserve">The repeated use of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8A5DCA" w:rsidRPr="006D790D">
        <w:t> </w:t>
      </w:r>
      <w:r w:rsidRPr="006D790D">
        <w:t xml:space="preserve">mg </w:t>
      </w:r>
      <w:r w:rsidR="00316746" w:rsidRPr="006D790D">
        <w:t>subcutaneous</w:t>
      </w:r>
      <w:r w:rsidRPr="006D790D">
        <w:t xml:space="preserve"> (6</w:t>
      </w:r>
      <w:r w:rsidR="008A5DCA" w:rsidRPr="006D790D">
        <w:t> </w:t>
      </w:r>
      <w:r w:rsidRPr="006D790D">
        <w:t xml:space="preserve">doses </w:t>
      </w:r>
      <w:r w:rsidR="00285F19" w:rsidRPr="006D790D">
        <w:t>every 4</w:t>
      </w:r>
      <w:r w:rsidR="008A5DCA" w:rsidRPr="006D790D">
        <w:t> </w:t>
      </w:r>
      <w:r w:rsidR="00285F19" w:rsidRPr="006D790D">
        <w:t>weeks</w:t>
      </w:r>
      <w:r w:rsidRPr="006D790D">
        <w:t>) prevented the occurrence of symptomatic COVID-19: 12 of 240 participants (5.0%) receiving placebo developed symptomatic COVID-19 during the 24</w:t>
      </w:r>
      <w:r w:rsidR="008A5DCA" w:rsidRPr="006D790D">
        <w:t xml:space="preserve"> </w:t>
      </w:r>
      <w:r w:rsidRPr="006D790D">
        <w:t xml:space="preserve">week treatment period compared to 3 of 729 (0.4%) receiving </w:t>
      </w:r>
      <w:proofErr w:type="spellStart"/>
      <w:r w:rsidRPr="006D790D">
        <w:t>casirivimab</w:t>
      </w:r>
      <w:proofErr w:type="spellEnd"/>
      <w:r w:rsidR="00EA28EF" w:rsidRPr="006D790D">
        <w:t>/</w:t>
      </w:r>
      <w:proofErr w:type="spellStart"/>
      <w:r w:rsidRPr="006D790D">
        <w:t>imdevimab</w:t>
      </w:r>
      <w:proofErr w:type="spellEnd"/>
      <w:r w:rsidRPr="006D790D">
        <w:t xml:space="preserve">, corresponding to an absolute risk reduction of 4.6% (5.0 </w:t>
      </w:r>
      <w:r w:rsidR="003C4987">
        <w:t>versus</w:t>
      </w:r>
      <w:r w:rsidRPr="006D790D">
        <w:t xml:space="preserve"> 0.4) and a relative risk reduction of 91.77% (nominal p</w:t>
      </w:r>
      <w:r w:rsidR="008A5DCA" w:rsidRPr="006D790D">
        <w:t xml:space="preserve"> </w:t>
      </w:r>
      <w:r w:rsidRPr="006D790D">
        <w:t>&lt;</w:t>
      </w:r>
      <w:r w:rsidR="008A5DCA" w:rsidRPr="006D790D">
        <w:t xml:space="preserve"> </w:t>
      </w:r>
      <w:r w:rsidRPr="006D790D">
        <w:t xml:space="preserve">0.0001). Note that the diagnosis of COVID-19 for this endpoint was made clinically and that positive RT-qPCR was not a requirement. There were 5 (2.1%) subjects in the placebo group who returned a positive RT-qPCR result for SARS-CoV-2 during the study, compared with zero in the </w:t>
      </w:r>
      <w:proofErr w:type="spellStart"/>
      <w:r w:rsidRPr="006D790D">
        <w:t>casirivimab</w:t>
      </w:r>
      <w:proofErr w:type="spellEnd"/>
      <w:r w:rsidR="00EA28EF" w:rsidRPr="006D790D">
        <w:t>/</w:t>
      </w:r>
      <w:proofErr w:type="spellStart"/>
      <w:r w:rsidRPr="006D790D">
        <w:t>imdevimab</w:t>
      </w:r>
      <w:proofErr w:type="spellEnd"/>
      <w:r w:rsidRPr="006D790D">
        <w:t xml:space="preserve"> group.</w:t>
      </w:r>
    </w:p>
    <w:p w14:paraId="2E1ACDEA" w14:textId="5A44FF6E" w:rsidR="00146C2C" w:rsidRDefault="00D5326E" w:rsidP="00C05180">
      <w:pPr>
        <w:pStyle w:val="TableTitle"/>
      </w:pPr>
      <w:r w:rsidRPr="006D790D">
        <w:lastRenderedPageBreak/>
        <w:t xml:space="preserve">Table </w:t>
      </w:r>
      <w:fldSimple w:instr=" SEQ Table \* ARABIC ">
        <w:r w:rsidR="007F1879">
          <w:rPr>
            <w:noProof/>
          </w:rPr>
          <w:t>27</w:t>
        </w:r>
      </w:fldSimple>
      <w:r w:rsidR="00146C2C" w:rsidRPr="006D790D">
        <w:t xml:space="preserve">: </w:t>
      </w:r>
      <w:r w:rsidR="00030A65" w:rsidRPr="006D790D">
        <w:rPr>
          <w:rFonts w:eastAsiaTheme="minorHAnsi"/>
        </w:rPr>
        <w:t xml:space="preserve">Study HV-2093 </w:t>
      </w:r>
      <w:r w:rsidR="00146C2C" w:rsidRPr="006D790D">
        <w:t>Proportion of subjects with symptomatic COVID-19 during the treatment period (</w:t>
      </w:r>
      <w:r w:rsidR="00030A65" w:rsidRPr="006D790D">
        <w:t>safety analysis population</w:t>
      </w:r>
      <w:r w:rsidR="00146C2C" w:rsidRPr="006D790D">
        <w:t>)</w:t>
      </w:r>
    </w:p>
    <w:p w14:paraId="6E1CD36A" w14:textId="06B6BF03" w:rsidR="00B27AE3" w:rsidRPr="006D790D" w:rsidRDefault="00B27AE3" w:rsidP="00890DD9">
      <w:r>
        <w:rPr>
          <w:noProof/>
        </w:rPr>
        <w:drawing>
          <wp:inline distT="0" distB="0" distL="0" distR="0" wp14:anchorId="2BCA9867" wp14:editId="298997B9">
            <wp:extent cx="5400040" cy="1370330"/>
            <wp:effectExtent l="0" t="0" r="0" b="1270"/>
            <wp:docPr id="77" name="Picture 77" descr="Study HV-2093 Proportion of subjects with symptomatic COVID-19 during the treatment period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tudy HV-2093 Proportion of subjects with symptomatic COVID-19 during the treatment period (safety analysis population)"/>
                    <pic:cNvPicPr/>
                  </pic:nvPicPr>
                  <pic:blipFill>
                    <a:blip r:embed="rId59"/>
                    <a:stretch>
                      <a:fillRect/>
                    </a:stretch>
                  </pic:blipFill>
                  <pic:spPr>
                    <a:xfrm>
                      <a:off x="0" y="0"/>
                      <a:ext cx="5400040" cy="1370330"/>
                    </a:xfrm>
                    <a:prstGeom prst="rect">
                      <a:avLst/>
                    </a:prstGeom>
                  </pic:spPr>
                </pic:pic>
              </a:graphicData>
            </a:graphic>
          </wp:inline>
        </w:drawing>
      </w:r>
    </w:p>
    <w:p w14:paraId="704BC9C3" w14:textId="48266F99" w:rsidR="00B27AE3" w:rsidRDefault="00B27AE3" w:rsidP="00BB0979">
      <w:pPr>
        <w:pStyle w:val="TableDescription"/>
      </w:pPr>
      <w:r w:rsidRPr="00B27AE3">
        <w:t>COVID-19 = coronavirus disease 2019</w:t>
      </w:r>
      <w:r>
        <w:t xml:space="preserve">; </w:t>
      </w:r>
      <w:r w:rsidRPr="00B27AE3">
        <w:t>N = number of subjects</w:t>
      </w:r>
      <w:r>
        <w:t xml:space="preserve">; </w:t>
      </w:r>
      <w:r w:rsidRPr="00B27AE3">
        <w:t xml:space="preserve">R10933 + R10987 = </w:t>
      </w:r>
      <w:proofErr w:type="spellStart"/>
      <w:r w:rsidRPr="00B27AE3">
        <w:t>casirivimab</w:t>
      </w:r>
      <w:proofErr w:type="spellEnd"/>
      <w:r w:rsidRPr="00B27AE3">
        <w:t xml:space="preserve"> + </w:t>
      </w:r>
      <w:proofErr w:type="spellStart"/>
      <w:r w:rsidRPr="00B27AE3">
        <w:t>imdevimab</w:t>
      </w:r>
      <w:proofErr w:type="spellEnd"/>
      <w:r w:rsidRPr="00B27AE3">
        <w:t xml:space="preserve">; </w:t>
      </w:r>
      <w:r w:rsidRPr="00925DFC">
        <w:rPr>
          <w:rFonts w:cstheme="minorHAnsi"/>
          <w:sz w:val="20"/>
          <w:szCs w:val="20"/>
        </w:rPr>
        <w:t>SC = subcutaneous</w:t>
      </w:r>
      <w:r w:rsidRPr="00B27AE3">
        <w:t>; SARS-CoV-2 = severe acute respiratory syndrome coronavirus 2</w:t>
      </w:r>
      <w:r>
        <w:t>;</w:t>
      </w:r>
      <w:r w:rsidRPr="00B27AE3">
        <w:t xml:space="preserve"> CI</w:t>
      </w:r>
      <w:r>
        <w:t> </w:t>
      </w:r>
      <w:r w:rsidRPr="00B27AE3">
        <w:t>=</w:t>
      </w:r>
      <w:r>
        <w:t> </w:t>
      </w:r>
      <w:r w:rsidRPr="00B27AE3">
        <w:t>confidence interval</w:t>
      </w:r>
      <w:r>
        <w:t>; vs = versus</w:t>
      </w:r>
      <w:r w:rsidRPr="00B27AE3">
        <w:t>.</w:t>
      </w:r>
    </w:p>
    <w:p w14:paraId="53CC2464" w14:textId="64118CA1" w:rsidR="00B27AE3" w:rsidRDefault="00B27AE3" w:rsidP="00BB0979">
      <w:pPr>
        <w:pStyle w:val="TableDescription"/>
      </w:pPr>
      <w:r>
        <w:t xml:space="preserve">1 Symptomatic </w:t>
      </w:r>
      <w:r w:rsidRPr="00B27AE3">
        <w:t>SARS-CoV-2</w:t>
      </w:r>
      <w:r>
        <w:t xml:space="preserve"> infection was defined clinically by the investigator and reported as an adverse event; </w:t>
      </w:r>
      <w:r w:rsidRPr="00B27AE3">
        <w:t>reverse transcription polymerase chain reaction</w:t>
      </w:r>
      <w:r>
        <w:t xml:space="preserve"> (</w:t>
      </w:r>
      <w:r w:rsidRPr="00B27AE3">
        <w:t>RT-PCR</w:t>
      </w:r>
      <w:r>
        <w:t>) testing was not required</w:t>
      </w:r>
    </w:p>
    <w:p w14:paraId="49178387" w14:textId="15808FE6" w:rsidR="00B27AE3" w:rsidRDefault="00B27AE3" w:rsidP="00BB0979">
      <w:pPr>
        <w:pStyle w:val="TableDescription"/>
      </w:pPr>
      <w:r>
        <w:t>2 The 95% exact CI is provided</w:t>
      </w:r>
    </w:p>
    <w:p w14:paraId="22C99811" w14:textId="12F9CF36" w:rsidR="00B27AE3" w:rsidRDefault="00B27AE3" w:rsidP="00BB0979">
      <w:pPr>
        <w:pStyle w:val="TableDescription"/>
      </w:pPr>
      <w:r>
        <w:t>3 Nominal p-value from Fisher’s exact test is provided</w:t>
      </w:r>
    </w:p>
    <w:p w14:paraId="2E153EB0" w14:textId="665A7B04" w:rsidR="00B27AE3" w:rsidRPr="006D790D" w:rsidRDefault="00B27AE3" w:rsidP="00BB0979">
      <w:pPr>
        <w:pStyle w:val="TableDescription"/>
      </w:pPr>
      <w:r>
        <w:t xml:space="preserve">Included are events that were reported before the </w:t>
      </w:r>
      <w:r w:rsidRPr="00B27AE3">
        <w:t>COVID-19</w:t>
      </w:r>
      <w:r>
        <w:t xml:space="preserve"> vaccination date, if any.</w:t>
      </w:r>
    </w:p>
    <w:p w14:paraId="5F56F53C" w14:textId="42CF5AD6" w:rsidR="00146C2C" w:rsidRPr="006D790D" w:rsidRDefault="00146C2C" w:rsidP="00B1559C">
      <w:r w:rsidRPr="006D790D">
        <w:t>Similar results were observed for the entire study period: one additional participant in the placebo group had symptomatic SARS-CoV-2 infection in the follow-up period and no additional cases were reported in the active treatment group during the follow</w:t>
      </w:r>
      <w:r w:rsidR="00303D77" w:rsidRPr="006D790D">
        <w:t>-</w:t>
      </w:r>
      <w:r w:rsidRPr="006D790D">
        <w:t>up period, with a risk reduction of 92.4% (p</w:t>
      </w:r>
      <w:r w:rsidR="008A5DCA" w:rsidRPr="006D790D">
        <w:t xml:space="preserve"> </w:t>
      </w:r>
      <w:r w:rsidRPr="006D790D">
        <w:t xml:space="preserve">&lt; 0.0001). The risk reduction for participants with any SARS-CoV-2 infection (including 1 participant with asymptomatic infection in the </w:t>
      </w:r>
      <w:proofErr w:type="spellStart"/>
      <w:r w:rsidRPr="006D790D">
        <w:t>casirivimab</w:t>
      </w:r>
      <w:proofErr w:type="spellEnd"/>
      <w:r w:rsidRPr="006D790D">
        <w:t xml:space="preserve"> </w:t>
      </w:r>
      <w:r w:rsidR="00EA28EF" w:rsidRPr="006D790D">
        <w:t>/</w:t>
      </w:r>
      <w:proofErr w:type="spellStart"/>
      <w:r w:rsidRPr="006D790D">
        <w:t>imdevimab</w:t>
      </w:r>
      <w:proofErr w:type="spellEnd"/>
      <w:r w:rsidRPr="006D790D">
        <w:t xml:space="preserve"> group) was also nominally significant: 89.0% relative to placebo (nominal p</w:t>
      </w:r>
      <w:r w:rsidR="008A5DCA" w:rsidRPr="006D790D">
        <w:t xml:space="preserve"> </w:t>
      </w:r>
      <w:r w:rsidRPr="006D790D">
        <w:t>&lt;</w:t>
      </w:r>
      <w:r w:rsidR="008A5DCA" w:rsidRPr="006D790D">
        <w:t xml:space="preserve"> </w:t>
      </w:r>
      <w:r w:rsidRPr="006D790D">
        <w:t>0.0001) during the treatment period and 89.87% during the entire study (nominal p</w:t>
      </w:r>
      <w:r w:rsidR="008A5DCA" w:rsidRPr="006D790D">
        <w:t xml:space="preserve"> </w:t>
      </w:r>
      <w:r w:rsidRPr="006D790D">
        <w:t>&lt;</w:t>
      </w:r>
      <w:r w:rsidR="008A5DCA" w:rsidRPr="006D790D">
        <w:t xml:space="preserve"> </w:t>
      </w:r>
      <w:r w:rsidRPr="006D790D">
        <w:t>0.0001).</w:t>
      </w:r>
    </w:p>
    <w:p w14:paraId="260AD80A" w14:textId="6E0D1643" w:rsidR="00146C2C" w:rsidRPr="006D790D" w:rsidRDefault="00146C2C" w:rsidP="00B1559C">
      <w:r w:rsidRPr="006D790D">
        <w:t xml:space="preserve">The formation of anti-SARS-CoV-2 antibodies in baseline seronegative participants was observed in 4.9% of participants treated with placebo but none of the participants treated with </w:t>
      </w:r>
      <w:proofErr w:type="spellStart"/>
      <w:r w:rsidRPr="006D790D">
        <w:t>casirivimab</w:t>
      </w:r>
      <w:proofErr w:type="spellEnd"/>
      <w:r w:rsidR="00EA28EF" w:rsidRPr="006D790D">
        <w:t>/</w:t>
      </w:r>
      <w:proofErr w:type="spellStart"/>
      <w:r w:rsidRPr="006D790D">
        <w:t>imdevimab</w:t>
      </w:r>
      <w:proofErr w:type="spellEnd"/>
      <w:r w:rsidRPr="006D790D">
        <w:t xml:space="preserve">, indicating that </w:t>
      </w:r>
      <w:proofErr w:type="spellStart"/>
      <w:r w:rsidRPr="006D790D">
        <w:t>casirivimab</w:t>
      </w:r>
      <w:proofErr w:type="spellEnd"/>
      <w:r w:rsidR="00EA28EF" w:rsidRPr="006D790D">
        <w:t>/</w:t>
      </w:r>
      <w:proofErr w:type="spellStart"/>
      <w:r w:rsidRPr="006D790D">
        <w:t>imdevimab</w:t>
      </w:r>
      <w:proofErr w:type="spellEnd"/>
      <w:r w:rsidRPr="006D790D">
        <w:t xml:space="preserve"> prevented (symptomatic and asymptomatic) SARS-CoV-2 infections.</w:t>
      </w:r>
    </w:p>
    <w:p w14:paraId="090EB7ED" w14:textId="77777777" w:rsidR="00146C2C" w:rsidRPr="006D790D" w:rsidRDefault="00146C2C" w:rsidP="00E242C3">
      <w:pPr>
        <w:pStyle w:val="Heading5"/>
        <w:rPr>
          <w:rFonts w:eastAsia="TimesNewRomanPSMT"/>
        </w:rPr>
      </w:pPr>
      <w:bookmarkStart w:id="103" w:name="_Toc84071970"/>
      <w:r w:rsidRPr="006D790D">
        <w:rPr>
          <w:rFonts w:eastAsia="TimesNewRomanPSMT"/>
        </w:rPr>
        <w:t>Analysis across studies for treatment selected variants</w:t>
      </w:r>
      <w:bookmarkEnd w:id="103"/>
    </w:p>
    <w:p w14:paraId="14B2ACBB" w14:textId="793DCDCE" w:rsidR="00146C2C" w:rsidRPr="006D790D" w:rsidRDefault="00146C2C" w:rsidP="00B1559C">
      <w:r w:rsidRPr="006D790D">
        <w:t xml:space="preserve">To evaluate </w:t>
      </w:r>
      <w:proofErr w:type="gramStart"/>
      <w:r w:rsidRPr="006D790D">
        <w:t>whether or not</w:t>
      </w:r>
      <w:proofErr w:type="gramEnd"/>
      <w:r w:rsidRPr="006D790D">
        <w:t xml:space="preserve"> there is evidence of treatment</w:t>
      </w:r>
      <w:r w:rsidR="0098419C">
        <w:noBreakHyphen/>
      </w:r>
      <w:r w:rsidRPr="006D790D">
        <w:t xml:space="preserve">selected variants that may affect </w:t>
      </w:r>
      <w:proofErr w:type="spellStart"/>
      <w:r w:rsidRPr="006D790D">
        <w:t>casirivimab</w:t>
      </w:r>
      <w:proofErr w:type="spellEnd"/>
      <w:r w:rsidR="00EA28EF" w:rsidRPr="006D790D">
        <w:t>/</w:t>
      </w:r>
      <w:proofErr w:type="spellStart"/>
      <w:r w:rsidRPr="006D790D">
        <w:t>imdevimab</w:t>
      </w:r>
      <w:proofErr w:type="spellEnd"/>
      <w:r w:rsidRPr="006D790D">
        <w:t xml:space="preserve"> potency, the SARS-CoV-2 genome is being sequenced from all available RT-PCR positive </w:t>
      </w:r>
      <w:r w:rsidR="00F847E4" w:rsidRPr="006D790D">
        <w:t xml:space="preserve">nasopharyngeal </w:t>
      </w:r>
      <w:r w:rsidRPr="006D790D">
        <w:t xml:space="preserve">swab samples from the clinical trials. Results from the interim clinical viral variant analysis report for </w:t>
      </w:r>
      <w:r w:rsidR="00F40137" w:rsidRPr="006D790D">
        <w:t>S</w:t>
      </w:r>
      <w:r w:rsidRPr="006D790D">
        <w:t xml:space="preserve">tudies COV-2066 and COV-2067 are discussed by the </w:t>
      </w:r>
      <w:r w:rsidR="00AE4F58" w:rsidRPr="006D790D">
        <w:t>sponsor</w:t>
      </w:r>
      <w:r w:rsidRPr="006D790D">
        <w:t xml:space="preserve"> below.</w:t>
      </w:r>
    </w:p>
    <w:p w14:paraId="25994D2A" w14:textId="1A0E3E12" w:rsidR="00146C2C" w:rsidRPr="006D790D" w:rsidRDefault="00146C2C" w:rsidP="00B1559C">
      <w:r w:rsidRPr="006D790D">
        <w:t xml:space="preserve">The primary objectives of the analyses were to evaluate whether there is evidence of treatment-related variant selection and whether circulating </w:t>
      </w:r>
      <w:r w:rsidR="00537F4D" w:rsidRPr="006D790D">
        <w:t>variant of concern (</w:t>
      </w:r>
      <w:r w:rsidRPr="006D790D">
        <w:t>VOC</w:t>
      </w:r>
      <w:r w:rsidR="00537F4D" w:rsidRPr="006D790D">
        <w:t>)</w:t>
      </w:r>
      <w:r w:rsidRPr="006D790D">
        <w:t xml:space="preserve">, </w:t>
      </w:r>
      <w:r w:rsidR="00537F4D" w:rsidRPr="006D790D">
        <w:t>variant of interest (</w:t>
      </w:r>
      <w:r w:rsidRPr="006D790D">
        <w:t>VOI</w:t>
      </w:r>
      <w:r w:rsidR="00537F4D" w:rsidRPr="006D790D">
        <w:t>)</w:t>
      </w:r>
      <w:r w:rsidRPr="006D790D">
        <w:t xml:space="preserve">, or other baseline variants affect the clinical and virologic efficacy of </w:t>
      </w:r>
      <w:proofErr w:type="spellStart"/>
      <w:r w:rsidRPr="006D790D">
        <w:t>casirivimab</w:t>
      </w:r>
      <w:proofErr w:type="spellEnd"/>
      <w:r w:rsidR="00EA28EF" w:rsidRPr="006D790D">
        <w:t>/</w:t>
      </w:r>
      <w:proofErr w:type="spellStart"/>
      <w:r w:rsidRPr="006D790D">
        <w:t>imdevimab</w:t>
      </w:r>
      <w:proofErr w:type="spellEnd"/>
      <w:r w:rsidRPr="006D790D">
        <w:t>. Mutation analyses described are focused on the SARS-CoV-2 spike gene, including the RBD. Overall, no evidence of treatment</w:t>
      </w:r>
      <w:r w:rsidR="008A5DCA" w:rsidRPr="006D790D">
        <w:t xml:space="preserve"> </w:t>
      </w:r>
      <w:r w:rsidRPr="006D790D">
        <w:t xml:space="preserve">emergent variants following </w:t>
      </w:r>
      <w:proofErr w:type="spellStart"/>
      <w:r w:rsidRPr="006D790D">
        <w:t>casirivimab</w:t>
      </w:r>
      <w:proofErr w:type="spellEnd"/>
      <w:r w:rsidR="00EA28EF" w:rsidRPr="006D790D">
        <w:t>/</w:t>
      </w:r>
      <w:proofErr w:type="spellStart"/>
      <w:r w:rsidRPr="006D790D">
        <w:t>imdevimab</w:t>
      </w:r>
      <w:proofErr w:type="spellEnd"/>
      <w:r w:rsidRPr="006D790D">
        <w:t xml:space="preserve"> treatment was observed in this interim analysis. Samples collected from June to December 2020 across</w:t>
      </w:r>
      <w:r w:rsidR="00F40137" w:rsidRPr="006D790D">
        <w:t xml:space="preserve"> Study </w:t>
      </w:r>
      <w:r w:rsidRPr="006D790D">
        <w:t xml:space="preserve">COV-2066 and </w:t>
      </w:r>
      <w:r w:rsidR="00F40137" w:rsidRPr="006D790D">
        <w:t>Study </w:t>
      </w:r>
      <w:r w:rsidRPr="006D790D">
        <w:t xml:space="preserve">COV-2067 were sequenced; however, insufficient numbers of subjects with </w:t>
      </w:r>
      <w:r w:rsidR="0098419C">
        <w:t>v</w:t>
      </w:r>
      <w:r w:rsidRPr="006D790D">
        <w:t xml:space="preserve">ariants </w:t>
      </w:r>
      <w:r w:rsidR="00537F4D" w:rsidRPr="006D790D">
        <w:t xml:space="preserve">under surveillance </w:t>
      </w:r>
      <w:r w:rsidRPr="006D790D">
        <w:t xml:space="preserve">(VUS) or other baseline variants were observed to verify the </w:t>
      </w:r>
      <w:r w:rsidRPr="006D790D">
        <w:rPr>
          <w:i/>
          <w:iCs/>
        </w:rPr>
        <w:t>in vitro</w:t>
      </w:r>
      <w:r w:rsidRPr="006D790D">
        <w:t xml:space="preserve"> results clinically. Only 13 baseline variants were observed in the </w:t>
      </w:r>
      <w:r w:rsidR="00F847E4" w:rsidRPr="006D790D">
        <w:t>spike</w:t>
      </w:r>
      <w:r w:rsidRPr="006D790D">
        <w:t xml:space="preserve"> protein RBD at ≥</w:t>
      </w:r>
      <w:r w:rsidR="00537F4D" w:rsidRPr="006D790D">
        <w:t xml:space="preserve"> </w:t>
      </w:r>
      <w:r w:rsidRPr="006D790D">
        <w:t xml:space="preserve">50% allele frequency (7 in </w:t>
      </w:r>
      <w:r w:rsidR="00F40137" w:rsidRPr="006D790D">
        <w:t>Study </w:t>
      </w:r>
      <w:r w:rsidRPr="006D790D">
        <w:t xml:space="preserve">COV-2066 and 6 in </w:t>
      </w:r>
      <w:r w:rsidR="00F40137" w:rsidRPr="006D790D">
        <w:t>Study </w:t>
      </w:r>
      <w:r w:rsidRPr="006D790D">
        <w:t>COV-2067). Of the post</w:t>
      </w:r>
      <w:r w:rsidR="00537F4D" w:rsidRPr="006D790D">
        <w:t xml:space="preserve"> </w:t>
      </w:r>
      <w:r w:rsidRPr="006D790D">
        <w:t>baseline variants identified, 6 algorithmically defined potentially treatment</w:t>
      </w:r>
      <w:r w:rsidR="00537F4D" w:rsidRPr="006D790D">
        <w:t xml:space="preserve"> </w:t>
      </w:r>
      <w:r w:rsidRPr="006D790D">
        <w:t xml:space="preserve">emergent variants were observed among </w:t>
      </w:r>
      <w:r w:rsidR="00537F4D" w:rsidRPr="006D790D">
        <w:t>five</w:t>
      </w:r>
      <w:r w:rsidRPr="006D790D">
        <w:t xml:space="preserve"> patients, including </w:t>
      </w:r>
      <w:r w:rsidR="00537F4D" w:rsidRPr="006D790D">
        <w:t>one</w:t>
      </w:r>
      <w:r w:rsidRPr="006D790D">
        <w:t xml:space="preserve"> hospitali</w:t>
      </w:r>
      <w:r w:rsidR="00AF6815" w:rsidRPr="006D790D">
        <w:t>s</w:t>
      </w:r>
      <w:r w:rsidRPr="006D790D">
        <w:t xml:space="preserve">ed patient and </w:t>
      </w:r>
      <w:r w:rsidR="00537F4D" w:rsidRPr="006D790D">
        <w:t>four</w:t>
      </w:r>
      <w:r w:rsidRPr="006D790D">
        <w:t xml:space="preserve"> outpatients. None of the potentially treatment</w:t>
      </w:r>
      <w:r w:rsidR="003F0049">
        <w:t xml:space="preserve"> </w:t>
      </w:r>
      <w:r w:rsidRPr="006D790D">
        <w:t xml:space="preserve">emergent variants were identified in the </w:t>
      </w:r>
      <w:r w:rsidR="0098419C">
        <w:lastRenderedPageBreak/>
        <w:t>receptor binding domain (</w:t>
      </w:r>
      <w:r w:rsidRPr="006D790D">
        <w:t>RBD</w:t>
      </w:r>
      <w:r w:rsidR="0098419C">
        <w:t>)</w:t>
      </w:r>
      <w:r w:rsidRPr="006D790D">
        <w:t xml:space="preserve">, and none were observed in more than </w:t>
      </w:r>
      <w:r w:rsidR="00537F4D" w:rsidRPr="006D790D">
        <w:t>one</w:t>
      </w:r>
      <w:r w:rsidRPr="006D790D">
        <w:t xml:space="preserve"> patient. In addition, there was no detectable pattern or systematic selection of mutations at a particular amino acid position. Thus, no evidence of treatment</w:t>
      </w:r>
      <w:r w:rsidR="00537F4D" w:rsidRPr="006D790D">
        <w:t xml:space="preserve"> </w:t>
      </w:r>
      <w:r w:rsidRPr="006D790D">
        <w:t xml:space="preserve">emergent variants following </w:t>
      </w:r>
      <w:proofErr w:type="spellStart"/>
      <w:r w:rsidRPr="006D790D">
        <w:t>casirivimab</w:t>
      </w:r>
      <w:proofErr w:type="spellEnd"/>
      <w:r w:rsidR="00EA28EF" w:rsidRPr="006D790D">
        <w:t>/</w:t>
      </w:r>
      <w:proofErr w:type="spellStart"/>
      <w:r w:rsidRPr="006D790D">
        <w:t>imdevimab</w:t>
      </w:r>
      <w:proofErr w:type="spellEnd"/>
      <w:r w:rsidRPr="006D790D">
        <w:t xml:space="preserve"> treatment was observed. No VOC or VOI were identified in any baseline or post</w:t>
      </w:r>
      <w:r w:rsidR="00537F4D" w:rsidRPr="006D790D">
        <w:t xml:space="preserve"> </w:t>
      </w:r>
      <w:r w:rsidRPr="006D790D">
        <w:t>baseline sample, this is expected given the lack of prevalence when the samples were collected.</w:t>
      </w:r>
    </w:p>
    <w:p w14:paraId="053205D3" w14:textId="67A8AAB5" w:rsidR="00146C2C" w:rsidRPr="006D790D" w:rsidRDefault="00146C2C" w:rsidP="00B1559C">
      <w:r w:rsidRPr="006D790D">
        <w:t>Overall, these interim analyses found no evidence of emergence of treatment</w:t>
      </w:r>
      <w:r w:rsidR="00537F4D" w:rsidRPr="006D790D">
        <w:t xml:space="preserve"> </w:t>
      </w:r>
      <w:r w:rsidRPr="006D790D">
        <w:t>resistant variants.</w:t>
      </w:r>
    </w:p>
    <w:p w14:paraId="6B1620A7" w14:textId="6E08CA85" w:rsidR="00146C2C" w:rsidRPr="006D790D" w:rsidRDefault="00146C2C" w:rsidP="00B1559C">
      <w:r w:rsidRPr="006D790D">
        <w:t xml:space="preserve">Since very few patients were infected with VUS or other baseline variants observed in these studies, it is not possible to adequately assess if the mutations affect </w:t>
      </w:r>
      <w:proofErr w:type="spellStart"/>
      <w:r w:rsidR="00035B9A" w:rsidRPr="006D790D">
        <w:t>Ronapreve</w:t>
      </w:r>
      <w:proofErr w:type="spellEnd"/>
      <w:r w:rsidRPr="006D790D">
        <w:t xml:space="preserve"> efficacy based on the currently available clinical trial data.</w:t>
      </w:r>
    </w:p>
    <w:p w14:paraId="4AEF9EED" w14:textId="11CC57C0" w:rsidR="00146C2C" w:rsidRPr="006D790D" w:rsidRDefault="00146C2C" w:rsidP="00E242C3">
      <w:pPr>
        <w:pStyle w:val="Heading5"/>
        <w:rPr>
          <w:rFonts w:eastAsiaTheme="minorHAnsi"/>
        </w:rPr>
      </w:pPr>
      <w:bookmarkStart w:id="104" w:name="_Toc84071971"/>
      <w:r w:rsidRPr="006D790D">
        <w:rPr>
          <w:rFonts w:eastAsiaTheme="minorHAnsi"/>
        </w:rPr>
        <w:t>Activity against novel viral variants</w:t>
      </w:r>
      <w:bookmarkEnd w:id="104"/>
    </w:p>
    <w:p w14:paraId="65B0D877" w14:textId="2EB909C8" w:rsidR="00146C2C" w:rsidRPr="006D790D" w:rsidRDefault="00146C2C" w:rsidP="00B1559C">
      <w:r w:rsidRPr="006D790D">
        <w:t xml:space="preserve">The neutralisation potency of </w:t>
      </w:r>
      <w:proofErr w:type="spellStart"/>
      <w:r w:rsidRPr="006D790D">
        <w:t>casirivimab</w:t>
      </w:r>
      <w:proofErr w:type="spellEnd"/>
      <w:r w:rsidRPr="006D790D">
        <w:t xml:space="preserve"> alone</w:t>
      </w:r>
      <w:r w:rsidR="0098419C">
        <w:t>;</w:t>
      </w:r>
      <w:r w:rsidRPr="006D790D">
        <w:t xml:space="preserve"> </w:t>
      </w:r>
      <w:proofErr w:type="spellStart"/>
      <w:r w:rsidRPr="006D790D">
        <w:t>imdevimab</w:t>
      </w:r>
      <w:proofErr w:type="spellEnd"/>
      <w:r w:rsidRPr="006D790D">
        <w:t xml:space="preserve"> alone</w:t>
      </w:r>
      <w:r w:rsidR="0098419C">
        <w:t>;</w:t>
      </w:r>
      <w:r w:rsidRPr="006D790D">
        <w:t xml:space="preserve"> and </w:t>
      </w:r>
      <w:proofErr w:type="spellStart"/>
      <w:r w:rsidRPr="006D790D">
        <w:t>casirivimab</w:t>
      </w:r>
      <w:proofErr w:type="spellEnd"/>
      <w:r w:rsidR="00EA28EF" w:rsidRPr="006D790D">
        <w:t>/</w:t>
      </w:r>
      <w:proofErr w:type="spellStart"/>
      <w:r w:rsidRPr="006D790D">
        <w:t>imdevimab</w:t>
      </w:r>
      <w:proofErr w:type="spellEnd"/>
      <w:r w:rsidRPr="006D790D">
        <w:t xml:space="preserve"> together was assessed against spike protein variants, including known V</w:t>
      </w:r>
      <w:r w:rsidR="00537F4D" w:rsidRPr="006D790D">
        <w:t>OC</w:t>
      </w:r>
      <w:r w:rsidRPr="006D790D">
        <w:t xml:space="preserve"> and V</w:t>
      </w:r>
      <w:r w:rsidR="00537F4D" w:rsidRPr="006D790D">
        <w:t>OI</w:t>
      </w:r>
      <w:r w:rsidRPr="006D790D">
        <w:t>, variants identified in in-vitro escape studies, and variants from publicly available SARS</w:t>
      </w:r>
      <w:r w:rsidR="00537F4D" w:rsidRPr="006D790D">
        <w:noBreakHyphen/>
      </w:r>
      <w:r w:rsidRPr="006D790D">
        <w:t xml:space="preserve">CoV-2 genome data obtained from the Global Initiative on Sharing All Influenza Data. A comprehensive list of </w:t>
      </w:r>
      <w:proofErr w:type="spellStart"/>
      <w:r w:rsidRPr="006D790D">
        <w:t>pseudotyped</w:t>
      </w:r>
      <w:proofErr w:type="spellEnd"/>
      <w:r w:rsidRPr="006D790D">
        <w:t xml:space="preserve"> virus-like particles encoding full sequences or key spike protein substitutions of V</w:t>
      </w:r>
      <w:r w:rsidR="00537F4D" w:rsidRPr="006D790D">
        <w:t>OC</w:t>
      </w:r>
      <w:r w:rsidRPr="006D790D">
        <w:t>/</w:t>
      </w:r>
      <w:r w:rsidR="00537F4D" w:rsidRPr="006D790D">
        <w:t>VOI</w:t>
      </w:r>
      <w:r w:rsidRPr="006D790D">
        <w:t xml:space="preserve"> assessed for susceptibility to </w:t>
      </w:r>
      <w:proofErr w:type="spellStart"/>
      <w:r w:rsidRPr="006D790D">
        <w:t>casirivimab</w:t>
      </w:r>
      <w:proofErr w:type="spellEnd"/>
      <w:r w:rsidRPr="006D790D">
        <w:t xml:space="preserve"> and </w:t>
      </w:r>
      <w:proofErr w:type="spellStart"/>
      <w:r w:rsidRPr="006D790D">
        <w:t>imdevimab</w:t>
      </w:r>
      <w:proofErr w:type="spellEnd"/>
      <w:r w:rsidRPr="006D790D">
        <w:t xml:space="preserve"> alone and together is provided in </w:t>
      </w:r>
      <w:r w:rsidR="00D5326E" w:rsidRPr="006D790D">
        <w:fldChar w:fldCharType="begin"/>
      </w:r>
      <w:r w:rsidR="00D5326E" w:rsidRPr="006D790D">
        <w:instrText xml:space="preserve"> REF _Ref85138790 \h </w:instrText>
      </w:r>
      <w:r w:rsidR="006D790D">
        <w:instrText xml:space="preserve"> \* MERGEFORMAT </w:instrText>
      </w:r>
      <w:r w:rsidR="00D5326E" w:rsidRPr="006D790D">
        <w:fldChar w:fldCharType="separate"/>
      </w:r>
      <w:r w:rsidR="007F1879" w:rsidRPr="006D790D">
        <w:t xml:space="preserve">Table </w:t>
      </w:r>
      <w:r w:rsidR="007F1879">
        <w:rPr>
          <w:noProof/>
        </w:rPr>
        <w:t>28</w:t>
      </w:r>
      <w:r w:rsidR="00D5326E" w:rsidRPr="006D790D">
        <w:fldChar w:fldCharType="end"/>
      </w:r>
      <w:r w:rsidRPr="006D790D">
        <w:t xml:space="preserve"> below.</w:t>
      </w:r>
    </w:p>
    <w:p w14:paraId="4C6D3C6C" w14:textId="4E6E9E4F" w:rsidR="00146C2C" w:rsidRPr="006D790D" w:rsidRDefault="00146C2C" w:rsidP="00B1559C">
      <w:r w:rsidRPr="006D790D">
        <w:t xml:space="preserve">The combination of </w:t>
      </w:r>
      <w:proofErr w:type="spellStart"/>
      <w:r w:rsidRPr="006D790D">
        <w:t>casirivimab</w:t>
      </w:r>
      <w:proofErr w:type="spellEnd"/>
      <w:r w:rsidR="00EA28EF" w:rsidRPr="006D790D">
        <w:t>/</w:t>
      </w:r>
      <w:proofErr w:type="spellStart"/>
      <w:r w:rsidRPr="006D790D">
        <w:t>imdevimab</w:t>
      </w:r>
      <w:proofErr w:type="spellEnd"/>
      <w:r w:rsidRPr="006D790D">
        <w:t xml:space="preserve"> has been found to retain neutralisation potency against all the V</w:t>
      </w:r>
      <w:r w:rsidR="00537F4D" w:rsidRPr="006D790D">
        <w:t>OC</w:t>
      </w:r>
      <w:r w:rsidRPr="006D790D">
        <w:t>/</w:t>
      </w:r>
      <w:r w:rsidR="00537F4D" w:rsidRPr="006D790D">
        <w:t>VOI</w:t>
      </w:r>
      <w:r w:rsidRPr="006D790D">
        <w:t>, even if one of the antibodies is impacted.</w:t>
      </w:r>
    </w:p>
    <w:p w14:paraId="15B3EA5B" w14:textId="1F82311E" w:rsidR="00146C2C" w:rsidRDefault="00D5326E" w:rsidP="00C05180">
      <w:pPr>
        <w:pStyle w:val="TableTitle"/>
      </w:pPr>
      <w:bookmarkStart w:id="105" w:name="_Ref85138790"/>
      <w:r w:rsidRPr="006D790D">
        <w:t xml:space="preserve">Table </w:t>
      </w:r>
      <w:fldSimple w:instr=" SEQ Table \* ARABIC ">
        <w:r w:rsidR="007F1879">
          <w:rPr>
            <w:noProof/>
          </w:rPr>
          <w:t>28</w:t>
        </w:r>
      </w:fldSimple>
      <w:bookmarkEnd w:id="105"/>
      <w:r w:rsidR="00146C2C" w:rsidRPr="006D790D">
        <w:t xml:space="preserve">: </w:t>
      </w:r>
      <w:proofErr w:type="spellStart"/>
      <w:r w:rsidR="00146C2C" w:rsidRPr="006D790D">
        <w:t>Pseudotyped</w:t>
      </w:r>
      <w:proofErr w:type="spellEnd"/>
      <w:r w:rsidR="00146C2C" w:rsidRPr="006D790D">
        <w:t xml:space="preserve"> virus</w:t>
      </w:r>
      <w:r w:rsidR="00030A65" w:rsidRPr="006D790D">
        <w:t xml:space="preserve"> </w:t>
      </w:r>
      <w:r w:rsidR="00146C2C" w:rsidRPr="006D790D">
        <w:t>like particle neutralisation data for full sequence or key SAR</w:t>
      </w:r>
      <w:r w:rsidR="0098419C">
        <w:t>S</w:t>
      </w:r>
      <w:r w:rsidR="00146C2C" w:rsidRPr="006D790D">
        <w:t>-C</w:t>
      </w:r>
      <w:r w:rsidR="0098419C">
        <w:t>o</w:t>
      </w:r>
      <w:r w:rsidR="00146C2C" w:rsidRPr="006D790D">
        <w:t xml:space="preserve">V-2 </w:t>
      </w:r>
      <w:r w:rsidR="00F847E4" w:rsidRPr="006D790D">
        <w:t>spike</w:t>
      </w:r>
      <w:r w:rsidR="00146C2C" w:rsidRPr="006D790D">
        <w:t xml:space="preserve"> protein variant substitutions from variants </w:t>
      </w:r>
      <w:r w:rsidR="00030A65" w:rsidRPr="006D790D">
        <w:t xml:space="preserve">of interest/concern with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alone or together</w:t>
      </w:r>
    </w:p>
    <w:p w14:paraId="7BA589F0" w14:textId="13A78BD2" w:rsidR="00224533" w:rsidRPr="006D790D" w:rsidRDefault="00224533" w:rsidP="00890DD9">
      <w:r>
        <w:rPr>
          <w:noProof/>
        </w:rPr>
        <w:drawing>
          <wp:inline distT="0" distB="0" distL="0" distR="0" wp14:anchorId="1DABA752" wp14:editId="7E562B16">
            <wp:extent cx="5400040" cy="3107690"/>
            <wp:effectExtent l="0" t="0" r="0" b="0"/>
            <wp:docPr id="78" name="Picture 78" descr="Pseudotyped virus like particle neutralisation data for full sequence or key SARS-CoV-2 spike protein variant substitutions from variants of interest/concern with casirivimab/imdevimab alone o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seudotyped virus like particle neutralisation data for full sequence or key SARS-CoV-2 spike protein variant substitutions from variants of interest/concern with casirivimab/imdevimab alone or together"/>
                    <pic:cNvPicPr/>
                  </pic:nvPicPr>
                  <pic:blipFill>
                    <a:blip r:embed="rId60"/>
                    <a:stretch>
                      <a:fillRect/>
                    </a:stretch>
                  </pic:blipFill>
                  <pic:spPr>
                    <a:xfrm>
                      <a:off x="0" y="0"/>
                      <a:ext cx="5400040" cy="3107690"/>
                    </a:xfrm>
                    <a:prstGeom prst="rect">
                      <a:avLst/>
                    </a:prstGeom>
                  </pic:spPr>
                </pic:pic>
              </a:graphicData>
            </a:graphic>
          </wp:inline>
        </w:drawing>
      </w:r>
    </w:p>
    <w:p w14:paraId="6F7FA4D3" w14:textId="33C09AB6" w:rsidR="00224533" w:rsidRDefault="00224533" w:rsidP="00224533">
      <w:pPr>
        <w:pStyle w:val="TableDescription"/>
      </w:pPr>
      <w:r>
        <w:t>S Protein = spike protein.</w:t>
      </w:r>
    </w:p>
    <w:p w14:paraId="6E21058F" w14:textId="1C89DA12" w:rsidR="00B27AE3" w:rsidRPr="00224533" w:rsidRDefault="00B27AE3" w:rsidP="00BB0979">
      <w:pPr>
        <w:pStyle w:val="TableDescription"/>
      </w:pPr>
      <w:r w:rsidRPr="00224533">
        <w:t xml:space="preserve">a </w:t>
      </w:r>
      <w:proofErr w:type="spellStart"/>
      <w:r w:rsidRPr="00224533">
        <w:t>Pseudotyped</w:t>
      </w:r>
      <w:proofErr w:type="spellEnd"/>
      <w:r w:rsidRPr="00224533">
        <w:t xml:space="preserve"> VLP expressing the entire variant spike protein was tested. The following changes from wildtype spike protein are found in the variant: del69-70, del145, N501Y, A57</w:t>
      </w:r>
      <w:r w:rsidR="00224533" w:rsidRPr="00224533">
        <w:t>0</w:t>
      </w:r>
      <w:r w:rsidRPr="00224533">
        <w:t>D, D614G, P681H, T716I, S982A, D1118H.</w:t>
      </w:r>
    </w:p>
    <w:p w14:paraId="53DECA58" w14:textId="5AC4E042" w:rsidR="00B27AE3" w:rsidRPr="00224533" w:rsidRDefault="00B27AE3" w:rsidP="00BB0979">
      <w:pPr>
        <w:pStyle w:val="TableDescription"/>
      </w:pPr>
      <w:r w:rsidRPr="00224533">
        <w:t xml:space="preserve">b </w:t>
      </w:r>
      <w:proofErr w:type="spellStart"/>
      <w:r w:rsidRPr="00224533">
        <w:t>Pseudotyped</w:t>
      </w:r>
      <w:proofErr w:type="spellEnd"/>
      <w:r w:rsidRPr="00224533">
        <w:t xml:space="preserve"> VLP expressing the entire variant spike protein was tested. The following changes from wildtype spike protein are found in the variant: D80Y, D215Y, del241-243,</w:t>
      </w:r>
      <w:r w:rsidR="00224533" w:rsidRPr="00224533">
        <w:t xml:space="preserve"> </w:t>
      </w:r>
      <w:r w:rsidRPr="00224533">
        <w:t>K417N, E48</w:t>
      </w:r>
      <w:r w:rsidR="00224533" w:rsidRPr="00224533">
        <w:t>4</w:t>
      </w:r>
      <w:r w:rsidRPr="00224533">
        <w:t>K, N501Y, D614G, A701V.</w:t>
      </w:r>
    </w:p>
    <w:p w14:paraId="57AFC2FA" w14:textId="11AF55D1" w:rsidR="00B27AE3" w:rsidRPr="00224533" w:rsidRDefault="00B27AE3" w:rsidP="00BB0979">
      <w:pPr>
        <w:pStyle w:val="TableDescription"/>
      </w:pPr>
      <w:r w:rsidRPr="00224533">
        <w:lastRenderedPageBreak/>
        <w:t xml:space="preserve">c </w:t>
      </w:r>
      <w:proofErr w:type="spellStart"/>
      <w:r w:rsidRPr="00224533">
        <w:t>Pseudotyped</w:t>
      </w:r>
      <w:proofErr w:type="spellEnd"/>
      <w:r w:rsidRPr="00224533">
        <w:t xml:space="preserve"> VLP expressing the entire variant spike protein was tested. The following changes from wildtype spike protein are found in the variant: L18F, T20N, P26S, D138Y, R190S, K417T, E484K, N501Y, D614G, H855Y, T1027I, V117</w:t>
      </w:r>
      <w:r w:rsidR="00224533" w:rsidRPr="00224533">
        <w:t>6</w:t>
      </w:r>
      <w:r w:rsidRPr="00224533">
        <w:t>F</w:t>
      </w:r>
    </w:p>
    <w:p w14:paraId="358F3B67" w14:textId="3FF0BB18" w:rsidR="00B27AE3" w:rsidRPr="00224533" w:rsidRDefault="00B27AE3" w:rsidP="00BB0979">
      <w:pPr>
        <w:pStyle w:val="TableDescription"/>
      </w:pPr>
      <w:r w:rsidRPr="00224533">
        <w:t xml:space="preserve">d No change: &lt; </w:t>
      </w:r>
      <w:proofErr w:type="gramStart"/>
      <w:r w:rsidRPr="00224533">
        <w:t>5 fold</w:t>
      </w:r>
      <w:proofErr w:type="gramEnd"/>
      <w:r w:rsidRPr="00224533">
        <w:t xml:space="preserve"> reduction in susceptibility</w:t>
      </w:r>
    </w:p>
    <w:p w14:paraId="11466396" w14:textId="30A01112" w:rsidR="00B27AE3" w:rsidRPr="00224533" w:rsidRDefault="00B27AE3" w:rsidP="00BB0979">
      <w:pPr>
        <w:pStyle w:val="TableDescription"/>
      </w:pPr>
      <w:r w:rsidRPr="00224533">
        <w:t>e Not all isolates of th</w:t>
      </w:r>
      <w:r w:rsidR="00224533" w:rsidRPr="00224533">
        <w:t>is lineage harbour the E484K substitution (as of February 2021)</w:t>
      </w:r>
    </w:p>
    <w:p w14:paraId="5C407E67" w14:textId="03421AFD" w:rsidR="00B27AE3" w:rsidRPr="00224533" w:rsidRDefault="00224533" w:rsidP="00BB0979">
      <w:pPr>
        <w:pStyle w:val="TableDescription"/>
      </w:pPr>
      <w:r w:rsidRPr="00224533">
        <w:t xml:space="preserve">* Variants of interest/concern as defined by the </w:t>
      </w:r>
      <w:proofErr w:type="spellStart"/>
      <w:r w:rsidRPr="00224533">
        <w:t>Center</w:t>
      </w:r>
      <w:proofErr w:type="spellEnd"/>
      <w:r w:rsidRPr="00224533">
        <w:t xml:space="preserve"> for Disease Control and Prevention (United States of America).</w:t>
      </w:r>
    </w:p>
    <w:p w14:paraId="52A058BD" w14:textId="77777777" w:rsidR="00146C2C" w:rsidRPr="006D790D" w:rsidRDefault="00146C2C" w:rsidP="00E242C3">
      <w:pPr>
        <w:pStyle w:val="Heading5"/>
        <w:rPr>
          <w:rFonts w:eastAsiaTheme="minorHAnsi"/>
        </w:rPr>
      </w:pPr>
      <w:bookmarkStart w:id="106" w:name="_Toc84071972"/>
      <w:r w:rsidRPr="006D790D">
        <w:rPr>
          <w:rFonts w:eastAsia="TimesNewRomanPSMT"/>
        </w:rPr>
        <w:t>Compassionate use program</w:t>
      </w:r>
      <w:bookmarkEnd w:id="106"/>
    </w:p>
    <w:p w14:paraId="6C79368E" w14:textId="249561AF" w:rsidR="00146C2C" w:rsidRPr="006D790D" w:rsidRDefault="00146C2C" w:rsidP="00B1559C">
      <w:r w:rsidRPr="006D790D">
        <w:t>The report from the U</w:t>
      </w:r>
      <w:r w:rsidR="00811CEE" w:rsidRPr="006D790D">
        <w:t>S</w:t>
      </w:r>
      <w:r w:rsidRPr="006D790D">
        <w:t xml:space="preserve"> compassionate use program includes a retrospective analysis of COVID-19 outcome and safety data. Patients included in the </w:t>
      </w:r>
      <w:r w:rsidR="005F7058" w:rsidRPr="006D790D">
        <w:t xml:space="preserve">compassionate use </w:t>
      </w:r>
      <w:r w:rsidRPr="006D790D">
        <w:t xml:space="preserve">program were those who were otherwise ineligible for treatment under the US </w:t>
      </w:r>
      <w:r w:rsidR="00811CEE" w:rsidRPr="006D790D">
        <w:t>Emergency Use Authori</w:t>
      </w:r>
      <w:r w:rsidR="005F7058">
        <w:t>z</w:t>
      </w:r>
      <w:r w:rsidR="00811CEE" w:rsidRPr="006D790D">
        <w:t>ation (</w:t>
      </w:r>
      <w:r w:rsidRPr="006D790D">
        <w:t>EUA</w:t>
      </w:r>
      <w:r w:rsidR="00811CEE" w:rsidRPr="006D790D">
        <w:t>)</w:t>
      </w:r>
      <w:r w:rsidRPr="006D790D">
        <w:t xml:space="preserve"> that was current at the time (</w:t>
      </w:r>
      <w:r w:rsidR="00EA28EF" w:rsidRPr="006D790D">
        <w:t>for example,</w:t>
      </w:r>
      <w:r w:rsidRPr="006D790D">
        <w:t xml:space="preserve"> patients who were hospitali</w:t>
      </w:r>
      <w:r w:rsidR="00AF6815" w:rsidRPr="006D790D">
        <w:t>s</w:t>
      </w:r>
      <w:r w:rsidRPr="006D790D">
        <w:t>ed due to COVID-19, required supplemental oxygen therapy due to COVID-19, required an increase in baseline oxygen flow rate due to COVID-19, or physicians requested treatment after the 10</w:t>
      </w:r>
      <w:r w:rsidR="00537F4D" w:rsidRPr="006D790D">
        <w:t xml:space="preserve"> </w:t>
      </w:r>
      <w:r w:rsidRPr="006D790D">
        <w:t xml:space="preserve">day window of symptom onset allowed under </w:t>
      </w:r>
      <w:r w:rsidR="005F7058">
        <w:t xml:space="preserve">the </w:t>
      </w:r>
      <w:r w:rsidRPr="006D790D">
        <w:t>EUA). Of the 236 treated patients, 55.1% were male. The age of the patients ranged from 1 to 98 years with a mean (standard deviation</w:t>
      </w:r>
      <w:r w:rsidR="00537F4D" w:rsidRPr="006D790D">
        <w:t xml:space="preserve"> (SD)</w:t>
      </w:r>
      <w:r w:rsidRPr="006D790D">
        <w:t>) of 48.3 (20.2) years; 15 (6.3%) of these patients were paediatric (&lt;</w:t>
      </w:r>
      <w:r w:rsidR="00537F4D" w:rsidRPr="006D790D">
        <w:t> </w:t>
      </w:r>
      <w:r w:rsidRPr="006D790D">
        <w:t>18 years of age) and 22.9% were ≥</w:t>
      </w:r>
      <w:r w:rsidR="00537F4D" w:rsidRPr="006D790D">
        <w:t> </w:t>
      </w:r>
      <w:r w:rsidRPr="006D790D">
        <w:t>65 years. 94.5% received a single 2400</w:t>
      </w:r>
      <w:r w:rsidR="00537F4D" w:rsidRPr="006D790D">
        <w:t> </w:t>
      </w:r>
      <w:r w:rsidRPr="006D790D">
        <w:t>mg (</w:t>
      </w:r>
      <w:r w:rsidR="00EA28EF" w:rsidRPr="006D790D">
        <w:t>that is,</w:t>
      </w:r>
      <w:r w:rsidRPr="006D790D">
        <w:t xml:space="preserve"> 1200</w:t>
      </w:r>
      <w:r w:rsidR="00537F4D" w:rsidRPr="006D790D">
        <w:t> </w:t>
      </w:r>
      <w:r w:rsidRPr="006D790D">
        <w:t xml:space="preserve">mg of each </w:t>
      </w:r>
      <w:proofErr w:type="spellStart"/>
      <w:r w:rsidRPr="006D790D">
        <w:t>mAb</w:t>
      </w:r>
      <w:proofErr w:type="spellEnd"/>
      <w:r w:rsidRPr="006D790D">
        <w:t xml:space="preserve">) </w:t>
      </w:r>
      <w:r w:rsidR="00F43ACD" w:rsidRPr="006D790D">
        <w:t>intravenous</w:t>
      </w:r>
      <w:r w:rsidRPr="006D790D">
        <w:t xml:space="preserve"> dose of </w:t>
      </w:r>
      <w:proofErr w:type="spellStart"/>
      <w:r w:rsidRPr="006D790D">
        <w:t>casirivimab</w:t>
      </w:r>
      <w:proofErr w:type="spellEnd"/>
      <w:r w:rsidR="00EA28EF" w:rsidRPr="006D790D">
        <w:t>/</w:t>
      </w:r>
      <w:proofErr w:type="spellStart"/>
      <w:r w:rsidRPr="006D790D">
        <w:t>imdevimab</w:t>
      </w:r>
      <w:proofErr w:type="spellEnd"/>
      <w:r w:rsidRPr="006D790D">
        <w:t>, 3% received 8000</w:t>
      </w:r>
      <w:r w:rsidR="00537F4D" w:rsidRPr="006D790D">
        <w:t> </w:t>
      </w:r>
      <w:r w:rsidRPr="006D790D">
        <w:t xml:space="preserve">mg </w:t>
      </w:r>
      <w:r w:rsidR="00F43ACD" w:rsidRPr="006D790D">
        <w:t>intravenous</w:t>
      </w:r>
      <w:r w:rsidRPr="006D790D">
        <w:t xml:space="preserve"> and the remainder received lower paediatric </w:t>
      </w:r>
      <w:r w:rsidR="00F43ACD" w:rsidRPr="006D790D">
        <w:t>intravenous</w:t>
      </w:r>
      <w:r w:rsidRPr="006D790D">
        <w:t xml:space="preserve"> doses according to weight.</w:t>
      </w:r>
    </w:p>
    <w:p w14:paraId="012ED502" w14:textId="11D12C4D" w:rsidR="00146C2C" w:rsidRPr="006D790D" w:rsidRDefault="00146C2C" w:rsidP="00B1559C">
      <w:r w:rsidRPr="006D790D">
        <w:t xml:space="preserve">Of the 236 patients who received </w:t>
      </w:r>
      <w:proofErr w:type="spellStart"/>
      <w:r w:rsidRPr="006D790D">
        <w:t>casirivimab</w:t>
      </w:r>
      <w:proofErr w:type="spellEnd"/>
      <w:r w:rsidR="00EA28EF" w:rsidRPr="006D790D">
        <w:t>/</w:t>
      </w:r>
      <w:proofErr w:type="spellStart"/>
      <w:r w:rsidRPr="006D790D">
        <w:t>imdevimab</w:t>
      </w:r>
      <w:proofErr w:type="spellEnd"/>
      <w:r w:rsidRPr="006D790D">
        <w:t xml:space="preserve"> for the treatment of COVID-19 under the </w:t>
      </w:r>
      <w:r w:rsidR="005F7058" w:rsidRPr="006D790D">
        <w:t xml:space="preserve">compassionate use </w:t>
      </w:r>
      <w:r w:rsidRPr="006D790D">
        <w:t>program from 13 Aug</w:t>
      </w:r>
      <w:r w:rsidR="00537F4D" w:rsidRPr="006D790D">
        <w:t>ust</w:t>
      </w:r>
      <w:r w:rsidRPr="006D790D">
        <w:t xml:space="preserve"> 2020 to 16 Apr</w:t>
      </w:r>
      <w:r w:rsidR="00537F4D" w:rsidRPr="006D790D">
        <w:t>il</w:t>
      </w:r>
      <w:r w:rsidRPr="006D790D">
        <w:t xml:space="preserve"> 2021, 74.6% recovered, 2% had a known fatal outcome, 3.8% recovered with sequelae, 5.5% were ‘not recovered’ and 14% had outcome status ‘unknown’.</w:t>
      </w:r>
    </w:p>
    <w:p w14:paraId="7CAE6518" w14:textId="2F1C41B3" w:rsidR="00146C2C" w:rsidRPr="006D790D" w:rsidRDefault="00146C2C" w:rsidP="00B1559C">
      <w:r w:rsidRPr="006D790D">
        <w:t xml:space="preserve">About half of the 236 patients (119) were immunocompromised with primary and secondary immunodeficiency associated antibody disorders: the majority had secondary causes of B-cell deficiency with transplant and treatment with anti-CD20 (rituximab) being the most common diagnoses. A similar proportion (75.6%, 90/119) of these immunocompromised patients also recovered from COVID-19 after treatment with </w:t>
      </w:r>
      <w:proofErr w:type="spellStart"/>
      <w:r w:rsidRPr="006D790D">
        <w:t>casirivimab</w:t>
      </w:r>
      <w:proofErr w:type="spellEnd"/>
      <w:r w:rsidR="00EA28EF" w:rsidRPr="006D790D">
        <w:t>/</w:t>
      </w:r>
      <w:proofErr w:type="spellStart"/>
      <w:r w:rsidRPr="006D790D">
        <w:t>imdevimab</w:t>
      </w:r>
      <w:proofErr w:type="spellEnd"/>
      <w:r w:rsidRPr="006D790D">
        <w:t xml:space="preserve">. </w:t>
      </w:r>
      <w:proofErr w:type="gramStart"/>
      <w:r w:rsidRPr="006D790D">
        <w:t>The majority of</w:t>
      </w:r>
      <w:proofErr w:type="gramEnd"/>
      <w:r w:rsidRPr="006D790D">
        <w:t xml:space="preserve"> these patients (54.2%) had persistent infection prior to treatment, with a time from positive PCR diagnosis prior to treatment of at least 11 days, and 44.6% of patients had a time of at least 21 days. Most (90.6%, 58/64) of the immunocompromised patients with available data showed an improvement in disease outcomes, including 89.7% (52/58) of patients with improvement per qualitative physician follow-up, 84.6% (33/39) patients with improved oxygenation status, and 100% (14/14) of patients with improved cycle threshold. Of the 28 patients who had post-baseline PCR data, 11 (39.3%) patients were PCR positive for at least 21 days before treatment and subsequently tested negative after treatment. This case series review provides an appreciation of the clinical outcomes as well as the ability to clear virus following treatment in patients with a variety of B-cell deficiencies and evidence of persistent infection prior to treatment. The results are consistent with the data from the clinical studies in seronegative individuals who had not yet mounted an antibody response.</w:t>
      </w:r>
    </w:p>
    <w:p w14:paraId="496952D7" w14:textId="71D4008F" w:rsidR="00146C2C" w:rsidRPr="006D790D" w:rsidRDefault="00146C2C" w:rsidP="00E242C3">
      <w:pPr>
        <w:pStyle w:val="Heading4"/>
      </w:pPr>
      <w:bookmarkStart w:id="107" w:name="_Toc84071973"/>
      <w:r w:rsidRPr="006D790D">
        <w:t xml:space="preserve">Clinical </w:t>
      </w:r>
      <w:r w:rsidR="0099246E" w:rsidRPr="006D790D">
        <w:t>s</w:t>
      </w:r>
      <w:r w:rsidRPr="006D790D">
        <w:t>afety</w:t>
      </w:r>
      <w:bookmarkEnd w:id="107"/>
    </w:p>
    <w:p w14:paraId="689BD08E" w14:textId="6BD03996" w:rsidR="00146C2C" w:rsidRPr="006D790D" w:rsidRDefault="00146C2C" w:rsidP="00B1559C">
      <w:r w:rsidRPr="006D790D">
        <w:t xml:space="preserve">The safety evaluation is based on 7671 participants who received </w:t>
      </w:r>
      <w:proofErr w:type="spellStart"/>
      <w:r w:rsidRPr="006D790D">
        <w:t>casirivimab</w:t>
      </w:r>
      <w:proofErr w:type="spellEnd"/>
      <w:r w:rsidR="00EA28EF" w:rsidRPr="006D790D">
        <w:t>/</w:t>
      </w:r>
      <w:proofErr w:type="spellStart"/>
      <w:r w:rsidRPr="006D790D">
        <w:t>imdevimab</w:t>
      </w:r>
      <w:proofErr w:type="spellEnd"/>
      <w:r w:rsidRPr="006D790D">
        <w:t xml:space="preserve"> either </w:t>
      </w:r>
      <w:r w:rsidR="00F43ACD" w:rsidRPr="006D790D">
        <w:t>intravenous</w:t>
      </w:r>
      <w:r w:rsidRPr="006D790D">
        <w:t xml:space="preserve"> or </w:t>
      </w:r>
      <w:r w:rsidR="00316746" w:rsidRPr="006D790D">
        <w:t>subcutaneous</w:t>
      </w:r>
      <w:r w:rsidRPr="006D790D">
        <w:t xml:space="preserve"> in the randomi</w:t>
      </w:r>
      <w:r w:rsidR="00AF6815" w:rsidRPr="006D790D">
        <w:t>s</w:t>
      </w:r>
      <w:r w:rsidRPr="006D790D">
        <w:t>ed clinical studies contributing safety data to this application.</w:t>
      </w:r>
    </w:p>
    <w:p w14:paraId="3C9CB83E" w14:textId="64A78082" w:rsidR="00146C2C" w:rsidRPr="006D790D" w:rsidRDefault="00D5326E" w:rsidP="00C05180">
      <w:pPr>
        <w:pStyle w:val="TableTitle"/>
        <w:rPr>
          <w:color w:val="000000"/>
        </w:rPr>
      </w:pPr>
      <w:r w:rsidRPr="006D790D">
        <w:lastRenderedPageBreak/>
        <w:t xml:space="preserve">Table </w:t>
      </w:r>
      <w:fldSimple w:instr=" SEQ Table \* ARABIC ">
        <w:r w:rsidR="007F1879">
          <w:rPr>
            <w:noProof/>
          </w:rPr>
          <w:t>29</w:t>
        </w:r>
      </w:fldSimple>
      <w:r w:rsidR="00146C2C" w:rsidRPr="006D790D">
        <w:t>: Duration of observation in clinical studies</w:t>
      </w:r>
    </w:p>
    <w:p w14:paraId="63550880" w14:textId="7E044CE3" w:rsidR="00146C2C" w:rsidRDefault="00146C2C" w:rsidP="00146C2C">
      <w:pPr>
        <w:rPr>
          <w:rFonts w:asciiTheme="minorHAnsi" w:eastAsia="TimesNewRomanPSMT" w:hAnsiTheme="minorHAnsi" w:cs="TimesNewRomanPSMT"/>
          <w:color w:val="000000"/>
        </w:rPr>
      </w:pPr>
      <w:r w:rsidRPr="006D790D">
        <w:rPr>
          <w:rFonts w:asciiTheme="minorHAnsi" w:eastAsia="TimesNewRomanPSMT" w:hAnsiTheme="minorHAnsi" w:cs="TimesNewRomanPSMT"/>
          <w:noProof/>
          <w:color w:val="000000"/>
          <w:lang w:val="en-GB" w:eastAsia="en-GB"/>
        </w:rPr>
        <w:drawing>
          <wp:inline distT="0" distB="0" distL="0" distR="0" wp14:anchorId="793FF72B" wp14:editId="0552F10C">
            <wp:extent cx="5342255" cy="4166991"/>
            <wp:effectExtent l="0" t="0" r="0" b="5080"/>
            <wp:docPr id="63" name="Picture 63" descr="Duration of observation in clinic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uration of observation in clinical studies"/>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8697"/>
                    <a:stretch/>
                  </pic:blipFill>
                  <pic:spPr bwMode="auto">
                    <a:xfrm>
                      <a:off x="0" y="0"/>
                      <a:ext cx="5393823" cy="4207214"/>
                    </a:xfrm>
                    <a:prstGeom prst="rect">
                      <a:avLst/>
                    </a:prstGeom>
                    <a:noFill/>
                    <a:ln>
                      <a:noFill/>
                    </a:ln>
                    <a:extLst>
                      <a:ext uri="{53640926-AAD7-44D8-BBD7-CCE9431645EC}">
                        <a14:shadowObscured xmlns:a14="http://schemas.microsoft.com/office/drawing/2010/main"/>
                      </a:ext>
                    </a:extLst>
                  </pic:spPr>
                </pic:pic>
              </a:graphicData>
            </a:graphic>
          </wp:inline>
        </w:drawing>
      </w:r>
    </w:p>
    <w:p w14:paraId="5DF511AD" w14:textId="73A87FCD" w:rsidR="004C235A" w:rsidRDefault="004C235A" w:rsidP="00F0076F">
      <w:pPr>
        <w:pStyle w:val="TableDescription"/>
      </w:pPr>
      <w:r w:rsidRPr="004C235A">
        <w:t>COV-2067 = Study COV-2067</w:t>
      </w:r>
      <w:r>
        <w:t>;</w:t>
      </w:r>
      <w:r w:rsidRPr="004C235A">
        <w:t xml:space="preserve"> IV = intravenous; SC = subcutaneous</w:t>
      </w:r>
      <w:r>
        <w:t xml:space="preserve">; </w:t>
      </w:r>
      <w:r w:rsidRPr="004C235A">
        <w:t xml:space="preserve">COV-20145 = Study COV 20145; COV-2069 = Study COV-2069; HV-2093 = Study HV-2093; </w:t>
      </w:r>
      <w:r>
        <w:t>Q4W = every 4 weeks, COV-2066 = Study COV-2066.</w:t>
      </w:r>
    </w:p>
    <w:p w14:paraId="075182CC" w14:textId="0E365F70" w:rsidR="005F7058" w:rsidRPr="006D790D" w:rsidRDefault="005F7058" w:rsidP="00F0076F">
      <w:pPr>
        <w:pStyle w:val="TableDescription"/>
      </w:pPr>
      <w:r>
        <w:t xml:space="preserve">a: Duration of observation numbers presented in this table show actual duration of observation for various IV and SC doses of </w:t>
      </w:r>
      <w:proofErr w:type="spellStart"/>
      <w:r>
        <w:t>casirivimab</w:t>
      </w:r>
      <w:proofErr w:type="spellEnd"/>
      <w:r w:rsidR="004C235A">
        <w:t xml:space="preserve"> + </w:t>
      </w:r>
      <w:proofErr w:type="spellStart"/>
      <w:r>
        <w:t>imdevimab</w:t>
      </w:r>
      <w:proofErr w:type="spellEnd"/>
      <w:r>
        <w:t xml:space="preserve"> for unblended studies and estimated duration of observation for blinded studies. The numbers exclude subjects randomised to placebo.</w:t>
      </w:r>
    </w:p>
    <w:p w14:paraId="5033F881" w14:textId="6A114D50" w:rsidR="00146C2C" w:rsidRPr="006D790D" w:rsidRDefault="00146C2C" w:rsidP="00B1559C">
      <w:r w:rsidRPr="006D790D">
        <w:t>Of these participants:</w:t>
      </w:r>
    </w:p>
    <w:p w14:paraId="74D15D2E" w14:textId="34CFD55F" w:rsidR="00146C2C" w:rsidRPr="006D790D" w:rsidRDefault="00146C2C" w:rsidP="00B1559C">
      <w:pPr>
        <w:pStyle w:val="ListBullet"/>
      </w:pPr>
      <w:r w:rsidRPr="006D790D">
        <w:t xml:space="preserve">5248 received a single dose </w:t>
      </w:r>
      <w:proofErr w:type="spellStart"/>
      <w:r w:rsidRPr="006D790D">
        <w:t>casirivimab</w:t>
      </w:r>
      <w:proofErr w:type="spellEnd"/>
      <w:r w:rsidR="00EA28EF" w:rsidRPr="006D790D">
        <w:t>/</w:t>
      </w:r>
      <w:proofErr w:type="spellStart"/>
      <w:r w:rsidRPr="006D790D">
        <w:t>imdevimab</w:t>
      </w:r>
      <w:proofErr w:type="spellEnd"/>
      <w:r w:rsidRPr="006D790D">
        <w:t xml:space="preserve"> </w:t>
      </w:r>
      <w:r w:rsidR="00F43ACD" w:rsidRPr="006D790D">
        <w:t>intravenous</w:t>
      </w:r>
    </w:p>
    <w:p w14:paraId="1EF09244" w14:textId="24397927" w:rsidR="00146C2C" w:rsidRPr="006D790D" w:rsidRDefault="00146C2C" w:rsidP="00B1559C">
      <w:pPr>
        <w:pStyle w:val="ListBullet"/>
      </w:pPr>
      <w:r w:rsidRPr="006D790D">
        <w:t xml:space="preserve">1694 received a single dose </w:t>
      </w:r>
      <w:proofErr w:type="spellStart"/>
      <w:r w:rsidRPr="006D790D">
        <w:t>casirivimab</w:t>
      </w:r>
      <w:proofErr w:type="spellEnd"/>
      <w:r w:rsidR="00EA28EF" w:rsidRPr="006D790D">
        <w:t>/</w:t>
      </w:r>
      <w:proofErr w:type="spellStart"/>
      <w:r w:rsidRPr="006D790D">
        <w:t>imdevimab</w:t>
      </w:r>
      <w:proofErr w:type="spellEnd"/>
      <w:r w:rsidRPr="006D790D">
        <w:t xml:space="preserve"> </w:t>
      </w:r>
      <w:r w:rsidR="00316746" w:rsidRPr="006D790D">
        <w:t>subcutaneous</w:t>
      </w:r>
    </w:p>
    <w:p w14:paraId="0E280B8E" w14:textId="26F557CA" w:rsidR="00146C2C" w:rsidRPr="006D790D" w:rsidRDefault="00146C2C" w:rsidP="00B1559C">
      <w:pPr>
        <w:pStyle w:val="ListBullet"/>
      </w:pPr>
      <w:r w:rsidRPr="006D790D">
        <w:t xml:space="preserve">729 received repeated administration of </w:t>
      </w:r>
      <w:proofErr w:type="spellStart"/>
      <w:r w:rsidRPr="006D790D">
        <w:t>casirivimab</w:t>
      </w:r>
      <w:proofErr w:type="spellEnd"/>
      <w:r w:rsidR="00EA28EF" w:rsidRPr="006D790D">
        <w:t>/</w:t>
      </w:r>
      <w:proofErr w:type="spellStart"/>
      <w:r w:rsidRPr="006D790D">
        <w:t>imdevimab</w:t>
      </w:r>
      <w:proofErr w:type="spellEnd"/>
      <w:r w:rsidRPr="006D790D">
        <w:t xml:space="preserve"> </w:t>
      </w:r>
      <w:r w:rsidR="00316746" w:rsidRPr="006D790D">
        <w:t>subcutaneous</w:t>
      </w:r>
      <w:r w:rsidRPr="006D790D">
        <w:t xml:space="preserve"> </w:t>
      </w:r>
      <w:r w:rsidR="00285F19" w:rsidRPr="006D790D">
        <w:t>every 4 weeks</w:t>
      </w:r>
      <w:r w:rsidRPr="006D790D">
        <w:t xml:space="preserve"> x 6 doses.</w:t>
      </w:r>
    </w:p>
    <w:p w14:paraId="314FF9B0" w14:textId="7ECFC487" w:rsidR="00146C2C" w:rsidRPr="006D790D" w:rsidRDefault="00146C2C" w:rsidP="00B1559C">
      <w:r w:rsidRPr="006D790D">
        <w:t xml:space="preserve">Participants have been followed-up for safety for various durations depending on the data cut-off dates of the respective studies, but all had the opportunity to complete 28 days of follow-up. There are approximately 4470 and 2270 subjects with at least 4 weeks of exposure after single-dose </w:t>
      </w:r>
      <w:r w:rsidR="00F43ACD" w:rsidRPr="006D790D">
        <w:t>intravenous</w:t>
      </w:r>
      <w:r w:rsidRPr="006D790D">
        <w:t xml:space="preserve"> and </w:t>
      </w:r>
      <w:r w:rsidR="00316746" w:rsidRPr="006D790D">
        <w:t>subcutaneous</w:t>
      </w:r>
      <w:r w:rsidRPr="006D790D">
        <w:t xml:space="preserve"> administration, respectively, at doses ≥ the to-be-marketed dose of 1200 mg. To support multiple dosing for prevention of COVID-19, 454 subjects from </w:t>
      </w:r>
      <w:r w:rsidR="003C331A" w:rsidRPr="006D790D">
        <w:rPr>
          <w:rFonts w:eastAsiaTheme="minorHAnsi"/>
        </w:rPr>
        <w:t>Study </w:t>
      </w:r>
      <w:r w:rsidRPr="006D790D">
        <w:t xml:space="preserve">HV-2093 were exposed to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99246E" w:rsidRPr="006D790D">
        <w:t> </w:t>
      </w:r>
      <w:r w:rsidRPr="006D790D">
        <w:t xml:space="preserve">mg </w:t>
      </w:r>
      <w:r w:rsidR="00316746" w:rsidRPr="006D790D">
        <w:t>subcutaneous</w:t>
      </w:r>
      <w:r w:rsidRPr="006D790D">
        <w:t xml:space="preserve"> </w:t>
      </w:r>
      <w:r w:rsidR="00285F19" w:rsidRPr="006D790D">
        <w:t>every 4 weeks</w:t>
      </w:r>
      <w:r w:rsidRPr="006D790D">
        <w:t xml:space="preserve"> for 24 weeks</w:t>
      </w:r>
    </w:p>
    <w:p w14:paraId="642AAA21" w14:textId="77777777" w:rsidR="00146C2C" w:rsidRPr="006D790D" w:rsidRDefault="00146C2C" w:rsidP="00E242C3">
      <w:pPr>
        <w:pStyle w:val="Heading5"/>
      </w:pPr>
      <w:bookmarkStart w:id="108" w:name="_Toc84071974"/>
      <w:r w:rsidRPr="006D790D">
        <w:t>Overview of adverse events</w:t>
      </w:r>
      <w:bookmarkEnd w:id="108"/>
    </w:p>
    <w:p w14:paraId="53CDA1FB" w14:textId="36AAF571" w:rsidR="00146C2C" w:rsidRPr="006D790D" w:rsidRDefault="00146C2C" w:rsidP="0099246E">
      <w:pPr>
        <w:pStyle w:val="Heading6"/>
        <w:rPr>
          <w:rFonts w:eastAsiaTheme="minorHAnsi"/>
        </w:rPr>
      </w:pPr>
      <w:r w:rsidRPr="006D790D">
        <w:rPr>
          <w:rFonts w:eastAsiaTheme="minorHAnsi"/>
        </w:rPr>
        <w:t xml:space="preserve">Overview of </w:t>
      </w:r>
      <w:r w:rsidR="0099246E" w:rsidRPr="006D790D">
        <w:rPr>
          <w:rFonts w:eastAsiaTheme="minorHAnsi"/>
        </w:rPr>
        <w:t xml:space="preserve">adverse events in treatment studies </w:t>
      </w:r>
      <w:r w:rsidRPr="006D790D">
        <w:rPr>
          <w:rFonts w:eastAsiaTheme="minorHAnsi"/>
        </w:rPr>
        <w:t>(</w:t>
      </w:r>
      <w:r w:rsidR="00F40137" w:rsidRPr="006D790D">
        <w:t>Study </w:t>
      </w:r>
      <w:r w:rsidRPr="006D790D">
        <w:rPr>
          <w:rFonts w:eastAsiaTheme="minorHAnsi"/>
        </w:rPr>
        <w:t xml:space="preserve">COV-2067 and </w:t>
      </w:r>
      <w:r w:rsidR="00F40137" w:rsidRPr="006D790D">
        <w:t>Study </w:t>
      </w:r>
      <w:r w:rsidRPr="006D790D">
        <w:rPr>
          <w:rFonts w:eastAsiaTheme="minorHAnsi"/>
        </w:rPr>
        <w:t>COV-20145)</w:t>
      </w:r>
    </w:p>
    <w:p w14:paraId="12CC0CE7" w14:textId="6A8DB3DF" w:rsidR="00146C2C" w:rsidRPr="006D790D" w:rsidRDefault="00146C2C" w:rsidP="00B1559C">
      <w:r w:rsidRPr="006D790D">
        <w:t xml:space="preserve">The pooled Phase </w:t>
      </w:r>
      <w:r w:rsidR="00AF6815" w:rsidRPr="006D790D">
        <w:t>I/II/III</w:t>
      </w:r>
      <w:r w:rsidRPr="006D790D">
        <w:t xml:space="preserve"> safety data from </w:t>
      </w:r>
      <w:r w:rsidR="00F40137" w:rsidRPr="006D790D">
        <w:t>Study </w:t>
      </w:r>
      <w:r w:rsidRPr="006D790D">
        <w:t xml:space="preserve">COV-2067 and </w:t>
      </w:r>
      <w:r w:rsidR="00F40137" w:rsidRPr="006D790D">
        <w:t>Study </w:t>
      </w:r>
      <w:r w:rsidRPr="006D790D">
        <w:t xml:space="preserve">COV-20145 showed that the combination of </w:t>
      </w:r>
      <w:proofErr w:type="spellStart"/>
      <w:r w:rsidR="0099246E" w:rsidRPr="006D790D">
        <w:t>casirivimab</w:t>
      </w:r>
      <w:proofErr w:type="spellEnd"/>
      <w:r w:rsidR="0099246E" w:rsidRPr="006D790D">
        <w:t>/</w:t>
      </w:r>
      <w:proofErr w:type="spellStart"/>
      <w:r w:rsidR="0099246E" w:rsidRPr="006D790D">
        <w:t>imdevimab</w:t>
      </w:r>
      <w:proofErr w:type="spellEnd"/>
      <w:r w:rsidR="0099246E" w:rsidRPr="006D790D">
        <w:t xml:space="preserve"> </w:t>
      </w:r>
      <w:r w:rsidRPr="006D790D">
        <w:t>was well tolerated in adult outpatients with COVID-19. No dose</w:t>
      </w:r>
      <w:r w:rsidR="0099246E" w:rsidRPr="006D790D">
        <w:t xml:space="preserve"> </w:t>
      </w:r>
      <w:r w:rsidRPr="006D790D">
        <w:t xml:space="preserve">dependent pattern of </w:t>
      </w:r>
      <w:r w:rsidR="00091336">
        <w:t>adverse events (</w:t>
      </w:r>
      <w:r w:rsidRPr="006D790D">
        <w:t>AE</w:t>
      </w:r>
      <w:r w:rsidR="00091336">
        <w:t>)</w:t>
      </w:r>
      <w:r w:rsidRPr="006D790D">
        <w:t xml:space="preserve"> was observed. Note </w:t>
      </w:r>
      <w:r w:rsidRPr="006D790D">
        <w:lastRenderedPageBreak/>
        <w:t>that there was only a targeted collection of AE</w:t>
      </w:r>
      <w:r w:rsidR="00091336">
        <w:t>s</w:t>
      </w:r>
      <w:r w:rsidRPr="006D790D">
        <w:t xml:space="preserve"> in </w:t>
      </w:r>
      <w:r w:rsidR="00F40137" w:rsidRPr="006D790D">
        <w:t>Study </w:t>
      </w:r>
      <w:r w:rsidRPr="006D790D">
        <w:t>COV-2067 (</w:t>
      </w:r>
      <w:r w:rsidR="0099246E" w:rsidRPr="006D790D">
        <w:t>serious adverse events (</w:t>
      </w:r>
      <w:r w:rsidRPr="006D790D">
        <w:t>SAE</w:t>
      </w:r>
      <w:r w:rsidR="0099246E" w:rsidRPr="006D790D">
        <w:t>)</w:t>
      </w:r>
      <w:r w:rsidRPr="006D790D">
        <w:t xml:space="preserve">, </w:t>
      </w:r>
      <w:r w:rsidR="0099246E" w:rsidRPr="006D790D">
        <w:t>adverse events of special interest (</w:t>
      </w:r>
      <w:r w:rsidRPr="006D790D">
        <w:t>AESI</w:t>
      </w:r>
      <w:r w:rsidR="002623E1" w:rsidRPr="006D790D">
        <w:t>)</w:t>
      </w:r>
      <w:r w:rsidRPr="006D790D">
        <w:t>, and Phase</w:t>
      </w:r>
      <w:r w:rsidR="0099246E" w:rsidRPr="006D790D">
        <w:t> </w:t>
      </w:r>
      <w:r w:rsidR="00AF6815" w:rsidRPr="006D790D">
        <w:t>I</w:t>
      </w:r>
      <w:r w:rsidRPr="006D790D">
        <w:t xml:space="preserve"> Grade 3/4 AE</w:t>
      </w:r>
      <w:r w:rsidR="00091336">
        <w:t>s</w:t>
      </w:r>
      <w:r w:rsidRPr="006D790D">
        <w:t>). The incidence of SAE</w:t>
      </w:r>
      <w:r w:rsidR="00091336">
        <w:t>s</w:t>
      </w:r>
      <w:r w:rsidRPr="006D790D">
        <w:t xml:space="preserve"> in both studies was low. The incidence of AESI was low in both studies; 1.5% of patients across the active treatment groups in </w:t>
      </w:r>
      <w:r w:rsidR="00F40137" w:rsidRPr="006D790D">
        <w:t>Study </w:t>
      </w:r>
      <w:r w:rsidRPr="006D790D">
        <w:t>COV-2067 (</w:t>
      </w:r>
      <w:r w:rsidR="00316746" w:rsidRPr="006D790D">
        <w:t>versus</w:t>
      </w:r>
      <w:r w:rsidRPr="006D790D">
        <w:t xml:space="preserve"> 2.5% with placebo), and ≤</w:t>
      </w:r>
      <w:r w:rsidR="002623E1" w:rsidRPr="006D790D">
        <w:t> </w:t>
      </w:r>
      <w:r w:rsidRPr="006D790D">
        <w:t xml:space="preserve">1.8% of patients in any treatment group in </w:t>
      </w:r>
      <w:r w:rsidR="00F40137" w:rsidRPr="006D790D">
        <w:t>Study </w:t>
      </w:r>
      <w:r w:rsidRPr="006D790D">
        <w:t>COV-20145 had AESI.</w:t>
      </w:r>
    </w:p>
    <w:p w14:paraId="3917B0EB" w14:textId="2FCB16A9" w:rsidR="00146C2C" w:rsidRPr="006D790D" w:rsidRDefault="00146C2C" w:rsidP="00B1559C">
      <w:r w:rsidRPr="006D790D">
        <w:t xml:space="preserve">Hypersensitivity reactions were considered an identified but manageable risk with </w:t>
      </w:r>
      <w:proofErr w:type="spellStart"/>
      <w:r w:rsidRPr="006D790D">
        <w:t>Ronapreve</w:t>
      </w:r>
      <w:proofErr w:type="spellEnd"/>
      <w:r w:rsidRPr="006D790D">
        <w:t xml:space="preserve"> treatment. In </w:t>
      </w:r>
      <w:r w:rsidR="00F40137" w:rsidRPr="006D790D">
        <w:t>Study </w:t>
      </w:r>
      <w:r w:rsidRPr="006D790D">
        <w:t>COV-2067, no new or different safety concerns were identified in subgroups of patients based on age, baseline obesity status or baseline disease status. No analyses of AE</w:t>
      </w:r>
      <w:r w:rsidR="00091336">
        <w:t>s</w:t>
      </w:r>
      <w:r w:rsidRPr="006D790D">
        <w:t xml:space="preserve"> in these subgroups of patients were performed in </w:t>
      </w:r>
      <w:r w:rsidR="00F40137" w:rsidRPr="006D790D">
        <w:t>Study </w:t>
      </w:r>
      <w:r w:rsidRPr="006D790D">
        <w:t>COV-20145.</w:t>
      </w:r>
    </w:p>
    <w:p w14:paraId="5CEAE749" w14:textId="36C9D66E" w:rsidR="00146C2C" w:rsidRDefault="00D5326E" w:rsidP="00C05180">
      <w:pPr>
        <w:pStyle w:val="TableTitle"/>
      </w:pPr>
      <w:r w:rsidRPr="006D790D">
        <w:t xml:space="preserve">Table </w:t>
      </w:r>
      <w:fldSimple w:instr=" SEQ Table \* ARABIC ">
        <w:r w:rsidR="007F1879">
          <w:rPr>
            <w:noProof/>
          </w:rPr>
          <w:t>30</w:t>
        </w:r>
      </w:fldSimple>
      <w:r w:rsidR="00146C2C" w:rsidRPr="006D790D">
        <w:t xml:space="preserve">: </w:t>
      </w:r>
      <w:r w:rsidR="00030A65" w:rsidRPr="006D790D">
        <w:t xml:space="preserve">Study COV-2067 </w:t>
      </w:r>
      <w:r w:rsidR="00146C2C" w:rsidRPr="006D790D">
        <w:t xml:space="preserve">Overview </w:t>
      </w:r>
      <w:r w:rsidR="00030A65" w:rsidRPr="006D790D">
        <w:t>of adverse events</w:t>
      </w:r>
    </w:p>
    <w:p w14:paraId="655405D9" w14:textId="3F52743D" w:rsidR="004C235A" w:rsidRPr="006D790D" w:rsidRDefault="004C235A" w:rsidP="00890DD9">
      <w:r>
        <w:rPr>
          <w:noProof/>
        </w:rPr>
        <w:drawing>
          <wp:inline distT="0" distB="0" distL="0" distR="0" wp14:anchorId="5942151C" wp14:editId="6B185B93">
            <wp:extent cx="5400040" cy="2041742"/>
            <wp:effectExtent l="0" t="0" r="0" b="0"/>
            <wp:docPr id="79" name="Picture 79" descr="Study COV-2067 Overview of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Study COV-2067 Overview of adverse events"/>
                    <pic:cNvPicPr/>
                  </pic:nvPicPr>
                  <pic:blipFill>
                    <a:blip r:embed="rId62"/>
                    <a:stretch>
                      <a:fillRect/>
                    </a:stretch>
                  </pic:blipFill>
                  <pic:spPr>
                    <a:xfrm>
                      <a:off x="0" y="0"/>
                      <a:ext cx="5420727" cy="2049564"/>
                    </a:xfrm>
                    <a:prstGeom prst="rect">
                      <a:avLst/>
                    </a:prstGeom>
                  </pic:spPr>
                </pic:pic>
              </a:graphicData>
            </a:graphic>
          </wp:inline>
        </w:drawing>
      </w:r>
    </w:p>
    <w:p w14:paraId="311E7F4F" w14:textId="743F814D" w:rsidR="004C235A" w:rsidRPr="005302C3" w:rsidRDefault="005302C3" w:rsidP="005302C3">
      <w:pPr>
        <w:pStyle w:val="TableDescription"/>
      </w:pPr>
      <w:r w:rsidRPr="005302C3">
        <w:t xml:space="preserve">REGN10933 + REGN10987 = </w:t>
      </w:r>
      <w:proofErr w:type="spellStart"/>
      <w:r w:rsidRPr="005302C3">
        <w:t>casirivimab</w:t>
      </w:r>
      <w:proofErr w:type="spellEnd"/>
      <w:r w:rsidRPr="005302C3">
        <w:t xml:space="preserve"> + </w:t>
      </w:r>
      <w:proofErr w:type="spellStart"/>
      <w:r w:rsidRPr="005302C3">
        <w:t>imdevimab</w:t>
      </w:r>
      <w:proofErr w:type="spellEnd"/>
      <w:r w:rsidRPr="005302C3">
        <w:t xml:space="preserve">; IV = intravenous; N = number of subjects; </w:t>
      </w:r>
      <w:r w:rsidR="004C235A" w:rsidRPr="005302C3">
        <w:t>TEAE</w:t>
      </w:r>
      <w:r w:rsidRPr="005302C3">
        <w:t> </w:t>
      </w:r>
      <w:r w:rsidR="004C235A" w:rsidRPr="005302C3">
        <w:t>= treatment</w:t>
      </w:r>
      <w:r w:rsidR="003F0049">
        <w:t xml:space="preserve"> </w:t>
      </w:r>
      <w:r w:rsidR="004C235A" w:rsidRPr="005302C3">
        <w:t>emergent adverse events; TE = treatment emergent; SAE = serious adverse event; AESI = adverse event of special interest.</w:t>
      </w:r>
    </w:p>
    <w:p w14:paraId="523EC92A" w14:textId="42412738" w:rsidR="00091336" w:rsidRDefault="00091336" w:rsidP="005302C3">
      <w:pPr>
        <w:pStyle w:val="TableDescription"/>
      </w:pPr>
      <w:r w:rsidRPr="005302C3">
        <w:t>Randomised patients through 17 January 2021; data cut-off date is 18 February 2021.</w:t>
      </w:r>
    </w:p>
    <w:p w14:paraId="588A70D3" w14:textId="621869F4" w:rsidR="00AD6ABC" w:rsidRPr="005302C3" w:rsidRDefault="00AD6ABC" w:rsidP="005302C3">
      <w:pPr>
        <w:pStyle w:val="TableDescription"/>
      </w:pPr>
      <w:r>
        <w:t>MedDRA (Version 23.1) coding dictionary applied.</w:t>
      </w:r>
    </w:p>
    <w:p w14:paraId="1A3BFF1E" w14:textId="6F33DFC9" w:rsidR="00091336" w:rsidRPr="005302C3" w:rsidRDefault="00091336" w:rsidP="005302C3">
      <w:pPr>
        <w:pStyle w:val="TableDescription"/>
      </w:pPr>
      <w:r w:rsidRPr="005302C3">
        <w:t xml:space="preserve">Treatment emergent adverse events are defined as those that are not present at </w:t>
      </w:r>
      <w:r w:rsidR="004C235A" w:rsidRPr="005302C3">
        <w:t>B</w:t>
      </w:r>
      <w:r w:rsidRPr="005302C3">
        <w:t xml:space="preserve">aseline or represent the exacerbation of a pre-existing condition during the observation period which is </w:t>
      </w:r>
      <w:r w:rsidR="004C235A" w:rsidRPr="005302C3">
        <w:t xml:space="preserve">from </w:t>
      </w:r>
      <w:r w:rsidRPr="005302C3">
        <w:t>the time of study drug administration to the last study visit.</w:t>
      </w:r>
    </w:p>
    <w:p w14:paraId="6A8BA0F4" w14:textId="1ADBC1D5" w:rsidR="00596211" w:rsidRPr="005302C3" w:rsidRDefault="00596211" w:rsidP="005302C3">
      <w:pPr>
        <w:pStyle w:val="TableDescription"/>
      </w:pPr>
      <w:r w:rsidRPr="005302C3">
        <w:t>1 Treatment emergent adverse events collected include treatment</w:t>
      </w:r>
      <w:r w:rsidR="005302C3" w:rsidRPr="005302C3">
        <w:t xml:space="preserve"> </w:t>
      </w:r>
      <w:r w:rsidRPr="005302C3">
        <w:t>emergent serious adverse events; adverse events of special interest; and Grades 3 and 4 treatment</w:t>
      </w:r>
      <w:r w:rsidR="005302C3" w:rsidRPr="005302C3">
        <w:t xml:space="preserve"> </w:t>
      </w:r>
      <w:r w:rsidRPr="005302C3">
        <w:t>emergent adverse events as well as ad hoc/voluntarily reported treatment</w:t>
      </w:r>
      <w:r w:rsidR="005302C3" w:rsidRPr="005302C3">
        <w:t xml:space="preserve"> </w:t>
      </w:r>
      <w:r w:rsidRPr="005302C3">
        <w:t>emergent adverse events by some sites.</w:t>
      </w:r>
    </w:p>
    <w:p w14:paraId="6022C9FB" w14:textId="41E745A9" w:rsidR="00091336" w:rsidRPr="005302C3" w:rsidRDefault="00596211" w:rsidP="005302C3">
      <w:pPr>
        <w:pStyle w:val="TableDescription"/>
      </w:pPr>
      <w:r w:rsidRPr="005302C3">
        <w:t xml:space="preserve">2: Treatment emergent adverse events </w:t>
      </w:r>
      <w:r w:rsidR="005302C3" w:rsidRPr="005302C3">
        <w:t>deemed</w:t>
      </w:r>
      <w:r w:rsidRPr="005302C3">
        <w:t xml:space="preserve"> treatment related as per investigator assessment</w:t>
      </w:r>
    </w:p>
    <w:p w14:paraId="2091CEAA" w14:textId="07F7A0C3" w:rsidR="00091336" w:rsidRPr="005302C3" w:rsidRDefault="00091336" w:rsidP="005302C3">
      <w:pPr>
        <w:pStyle w:val="TableDescription"/>
      </w:pPr>
      <w:r w:rsidRPr="005302C3">
        <w:t>3: Infusion interruption: the administration of the infusion was interrupted before being completed</w:t>
      </w:r>
      <w:r w:rsidR="005302C3" w:rsidRPr="005302C3">
        <w:t>,</w:t>
      </w:r>
      <w:r w:rsidRPr="005302C3">
        <w:t xml:space="preserve"> but subsequently was restarted and the full planned dose was administered.</w:t>
      </w:r>
    </w:p>
    <w:p w14:paraId="511598B0" w14:textId="2A4382B2" w:rsidR="00091336" w:rsidRPr="005302C3" w:rsidRDefault="00091336" w:rsidP="005302C3">
      <w:pPr>
        <w:pStyle w:val="TableDescription"/>
      </w:pPr>
      <w:r w:rsidRPr="005302C3">
        <w:t>4: Infusion discontinuation: the administration of the infusion was stopped before being completed</w:t>
      </w:r>
      <w:r w:rsidR="005302C3" w:rsidRPr="005302C3">
        <w:t>,</w:t>
      </w:r>
      <w:r w:rsidRPr="005302C3">
        <w:t xml:space="preserve"> and the full planned dose was not administered</w:t>
      </w:r>
    </w:p>
    <w:p w14:paraId="6540B033" w14:textId="77777777" w:rsidR="002623E1" w:rsidRPr="006D790D" w:rsidRDefault="00146C2C" w:rsidP="002623E1">
      <w:pPr>
        <w:pStyle w:val="Heading7"/>
        <w:rPr>
          <w:sz w:val="22"/>
          <w:szCs w:val="28"/>
        </w:rPr>
      </w:pPr>
      <w:r w:rsidRPr="006D790D">
        <w:rPr>
          <w:sz w:val="22"/>
          <w:szCs w:val="28"/>
        </w:rPr>
        <w:t>Study</w:t>
      </w:r>
      <w:r w:rsidR="00F40137" w:rsidRPr="006D790D">
        <w:rPr>
          <w:sz w:val="22"/>
          <w:szCs w:val="28"/>
        </w:rPr>
        <w:t> </w:t>
      </w:r>
      <w:r w:rsidRPr="006D790D">
        <w:rPr>
          <w:sz w:val="22"/>
          <w:szCs w:val="28"/>
        </w:rPr>
        <w:t>COV-20145</w:t>
      </w:r>
    </w:p>
    <w:p w14:paraId="345C401B" w14:textId="0791EDC7" w:rsidR="00146C2C" w:rsidRPr="006D790D" w:rsidRDefault="002623E1" w:rsidP="00B1559C">
      <w:r w:rsidRPr="006D790D">
        <w:t>A</w:t>
      </w:r>
      <w:r w:rsidR="00146C2C" w:rsidRPr="006D790D">
        <w:t xml:space="preserve">cross the </w:t>
      </w:r>
      <w:r w:rsidR="00F43ACD" w:rsidRPr="006D790D">
        <w:t>intravenous</w:t>
      </w:r>
      <w:r w:rsidR="00146C2C" w:rsidRPr="006D790D">
        <w:t xml:space="preserve"> dose groups from Day 1 through Day 169, the highest percentage of participants experiencing a </w:t>
      </w:r>
      <w:r w:rsidR="00BF2614" w:rsidRPr="006D790D">
        <w:t>treatment</w:t>
      </w:r>
      <w:r w:rsidR="003F0049">
        <w:t xml:space="preserve"> </w:t>
      </w:r>
      <w:r w:rsidR="00BF2614" w:rsidRPr="006D790D">
        <w:t>emergent adverse event (</w:t>
      </w:r>
      <w:r w:rsidR="00146C2C" w:rsidRPr="006D790D">
        <w:t>TEAE</w:t>
      </w:r>
      <w:r w:rsidR="00BF2614" w:rsidRPr="006D790D">
        <w:t>)</w:t>
      </w:r>
      <w:r w:rsidR="00146C2C" w:rsidRPr="006D790D">
        <w:t xml:space="preserve"> in any dose group was 19.0%, experienced by participants in the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1200 mg </w:t>
      </w:r>
      <w:r w:rsidR="00F43ACD" w:rsidRPr="006D790D">
        <w:t>intravenous</w:t>
      </w:r>
      <w:r w:rsidR="00146C2C" w:rsidRPr="006D790D">
        <w:t xml:space="preserve"> group, while the lowest was 7.8%, experienced by participants in the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2400</w:t>
      </w:r>
      <w:r w:rsidR="00BF2614" w:rsidRPr="006D790D">
        <w:t> </w:t>
      </w:r>
      <w:r w:rsidR="00146C2C" w:rsidRPr="006D790D">
        <w:t xml:space="preserve">mg </w:t>
      </w:r>
      <w:r w:rsidR="00F43ACD" w:rsidRPr="006D790D">
        <w:t>intravenous</w:t>
      </w:r>
      <w:r w:rsidR="00146C2C" w:rsidRPr="006D790D">
        <w:t xml:space="preserve"> group (</w:t>
      </w:r>
      <w:r w:rsidR="00D5326E" w:rsidRPr="006D790D">
        <w:fldChar w:fldCharType="begin"/>
      </w:r>
      <w:r w:rsidR="00D5326E" w:rsidRPr="006D790D">
        <w:instrText xml:space="preserve"> REF _Ref85138829 \h </w:instrText>
      </w:r>
      <w:r w:rsidR="006D790D">
        <w:instrText xml:space="preserve"> \* MERGEFORMAT </w:instrText>
      </w:r>
      <w:r w:rsidR="00D5326E" w:rsidRPr="006D790D">
        <w:fldChar w:fldCharType="separate"/>
      </w:r>
      <w:r w:rsidR="007F1879" w:rsidRPr="006D790D">
        <w:t xml:space="preserve">Table </w:t>
      </w:r>
      <w:r w:rsidR="007F1879">
        <w:rPr>
          <w:noProof/>
        </w:rPr>
        <w:t>31</w:t>
      </w:r>
      <w:r w:rsidR="00D5326E" w:rsidRPr="006D790D">
        <w:fldChar w:fldCharType="end"/>
      </w:r>
      <w:r w:rsidR="00146C2C" w:rsidRPr="006D790D">
        <w:t>). TEAE</w:t>
      </w:r>
      <w:r w:rsidR="00596211">
        <w:t>s</w:t>
      </w:r>
      <w:r w:rsidR="00146C2C" w:rsidRPr="006D790D">
        <w:t xml:space="preserve"> were reported by 17.5% of subjects with placebo.</w:t>
      </w:r>
    </w:p>
    <w:p w14:paraId="52140B7F" w14:textId="27EA14F2" w:rsidR="00146C2C" w:rsidRPr="006D790D" w:rsidRDefault="00D5326E" w:rsidP="00C05180">
      <w:pPr>
        <w:pStyle w:val="TableTitle"/>
      </w:pPr>
      <w:bookmarkStart w:id="109" w:name="_Ref85138829"/>
      <w:r w:rsidRPr="006D790D">
        <w:lastRenderedPageBreak/>
        <w:t xml:space="preserve">Table </w:t>
      </w:r>
      <w:fldSimple w:instr=" SEQ Table \* ARABIC ">
        <w:r w:rsidR="007F1879">
          <w:rPr>
            <w:noProof/>
          </w:rPr>
          <w:t>31</w:t>
        </w:r>
      </w:fldSimple>
      <w:bookmarkEnd w:id="109"/>
      <w:r w:rsidR="00146C2C" w:rsidRPr="006D790D">
        <w:rPr>
          <w:iCs/>
        </w:rPr>
        <w:t xml:space="preserve">: </w:t>
      </w:r>
      <w:r w:rsidR="00030A65" w:rsidRPr="006D790D">
        <w:t xml:space="preserve">Study COV-20145 </w:t>
      </w:r>
      <w:r w:rsidR="00146C2C" w:rsidRPr="006D790D">
        <w:t xml:space="preserve">Overview of </w:t>
      </w:r>
      <w:r w:rsidR="00030A65" w:rsidRPr="006D790D">
        <w:t>adverse events</w:t>
      </w:r>
      <w:r w:rsidR="00146C2C" w:rsidRPr="006D790D">
        <w:t xml:space="preserve"> through Day 169 </w:t>
      </w:r>
      <w:r w:rsidR="00030A65" w:rsidRPr="006D790D">
        <w:t>(</w:t>
      </w:r>
      <w:r w:rsidR="00F43ACD" w:rsidRPr="006D790D">
        <w:t>intravenous</w:t>
      </w:r>
      <w:r w:rsidR="00030A65" w:rsidRPr="006D790D">
        <w:t>, safety analysis population</w:t>
      </w:r>
      <w:r w:rsidR="00146C2C" w:rsidRPr="006D790D">
        <w:t>)</w:t>
      </w:r>
    </w:p>
    <w:p w14:paraId="6609F01C" w14:textId="7702C268" w:rsidR="00146C2C" w:rsidRDefault="00146C2C" w:rsidP="00146C2C">
      <w:pPr>
        <w:autoSpaceDE w:val="0"/>
        <w:autoSpaceDN w:val="0"/>
        <w:spacing w:before="0" w:after="0" w:line="240" w:lineRule="auto"/>
        <w:rPr>
          <w:rFonts w:asciiTheme="minorHAnsi" w:eastAsiaTheme="minorHAnsi" w:hAnsiTheme="minorHAnsi" w:cs="TimesNewRomanPS-BoldMT"/>
          <w:color w:val="000000"/>
          <w:u w:val="single"/>
        </w:rPr>
      </w:pPr>
      <w:r w:rsidRPr="006D790D">
        <w:rPr>
          <w:rFonts w:asciiTheme="minorHAnsi" w:eastAsiaTheme="minorHAnsi" w:hAnsiTheme="minorHAnsi" w:cs="TimesNewRomanPS-BoldMT"/>
          <w:noProof/>
          <w:color w:val="000000"/>
          <w:u w:val="single"/>
          <w:lang w:val="en-GB" w:eastAsia="en-GB"/>
        </w:rPr>
        <w:drawing>
          <wp:inline distT="0" distB="0" distL="0" distR="0" wp14:anchorId="33B4C23B" wp14:editId="00985223">
            <wp:extent cx="5351935" cy="2169994"/>
            <wp:effectExtent l="0" t="0" r="1270" b="1905"/>
            <wp:docPr id="1559396263" name="Picture 1559396263" descr="Study COV-20145 Overview of adverse events through Day 169 (intravenous,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96263" name="Picture 1559396263" descr="Study COV-20145 Overview of adverse events through Day 169 (intravenous, safety analysis population)"/>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0877"/>
                    <a:stretch/>
                  </pic:blipFill>
                  <pic:spPr bwMode="auto">
                    <a:xfrm>
                      <a:off x="0" y="0"/>
                      <a:ext cx="5382379" cy="2182338"/>
                    </a:xfrm>
                    <a:prstGeom prst="rect">
                      <a:avLst/>
                    </a:prstGeom>
                    <a:noFill/>
                    <a:ln>
                      <a:noFill/>
                    </a:ln>
                    <a:extLst>
                      <a:ext uri="{53640926-AAD7-44D8-BBD7-CCE9431645EC}">
                        <a14:shadowObscured xmlns:a14="http://schemas.microsoft.com/office/drawing/2010/main"/>
                      </a:ext>
                    </a:extLst>
                  </pic:spPr>
                </pic:pic>
              </a:graphicData>
            </a:graphic>
          </wp:inline>
        </w:drawing>
      </w:r>
    </w:p>
    <w:p w14:paraId="701CE49C" w14:textId="7E8AFB6D" w:rsidR="005302C3" w:rsidRPr="005302C3" w:rsidRDefault="005302C3" w:rsidP="005302C3">
      <w:pPr>
        <w:pStyle w:val="TableDescription"/>
      </w:pPr>
      <w:r w:rsidRPr="005302C3">
        <w:t xml:space="preserve">IV = intravenous; N = number of subjects; REGN10933 + REGN10987 = </w:t>
      </w:r>
      <w:proofErr w:type="spellStart"/>
      <w:r w:rsidRPr="005302C3">
        <w:t>casirivimab</w:t>
      </w:r>
      <w:proofErr w:type="spellEnd"/>
      <w:r w:rsidRPr="005302C3">
        <w:t xml:space="preserve"> + </w:t>
      </w:r>
      <w:proofErr w:type="spellStart"/>
      <w:r w:rsidRPr="005302C3">
        <w:t>imdevimab</w:t>
      </w:r>
      <w:proofErr w:type="spellEnd"/>
      <w:r w:rsidRPr="005302C3">
        <w:t>; TEAE = treatment</w:t>
      </w:r>
      <w:r w:rsidR="003F0049">
        <w:t xml:space="preserve"> </w:t>
      </w:r>
      <w:r w:rsidRPr="005302C3">
        <w:t>emergent adverse events; SAE = serious adverse event; AESI = adverse event of special interest.</w:t>
      </w:r>
    </w:p>
    <w:p w14:paraId="7DE321A3" w14:textId="3E45E9C2" w:rsidR="00596211" w:rsidRPr="005302C3" w:rsidRDefault="00596211" w:rsidP="005302C3">
      <w:pPr>
        <w:pStyle w:val="TableDescription"/>
      </w:pPr>
      <w:r w:rsidRPr="005302C3">
        <w:t>Patients randomised on or before 1 February 2021 with the data cut-off date of 8 February 2021.</w:t>
      </w:r>
    </w:p>
    <w:p w14:paraId="3FE902F2" w14:textId="27870DDD" w:rsidR="00596211" w:rsidRPr="005302C3" w:rsidRDefault="00596211" w:rsidP="005302C3">
      <w:pPr>
        <w:pStyle w:val="TableDescription"/>
      </w:pPr>
      <w:r w:rsidRPr="005302C3">
        <w:t xml:space="preserve">Treatment emergent adverse events are defined as those that are not present at </w:t>
      </w:r>
      <w:r w:rsidR="005302C3" w:rsidRPr="005302C3">
        <w:t>B</w:t>
      </w:r>
      <w:r w:rsidRPr="005302C3">
        <w:t>aseline or represent the exacerbation of a pre-existing condition during the observation period which is from the time of study drug administration to the last study visit.</w:t>
      </w:r>
    </w:p>
    <w:p w14:paraId="7EC45113" w14:textId="719C09F1" w:rsidR="00146C2C" w:rsidRPr="006D790D" w:rsidRDefault="00146C2C" w:rsidP="00B1559C">
      <w:r w:rsidRPr="006D790D">
        <w:t xml:space="preserve">Across the </w:t>
      </w:r>
      <w:r w:rsidR="00316746" w:rsidRPr="006D790D">
        <w:t>subcutaneous</w:t>
      </w:r>
      <w:r w:rsidRPr="006D790D">
        <w:t xml:space="preserve"> dose groups from Day 1 through Day 169, the highest percentage of participants experiencing a TEAE in any dose group was 10.5%, experienced by participants in the 1200 mg </w:t>
      </w:r>
      <w:r w:rsidR="00316746" w:rsidRPr="006D790D">
        <w:t>subcutaneous</w:t>
      </w:r>
      <w:r w:rsidRPr="006D790D">
        <w:t xml:space="preserve"> group, while the lowest was 4.4%, experienced by participants in the 600 mg </w:t>
      </w:r>
      <w:r w:rsidR="00316746" w:rsidRPr="006D790D">
        <w:t>subcutaneous</w:t>
      </w:r>
      <w:r w:rsidRPr="006D790D">
        <w:t xml:space="preserve"> group (</w:t>
      </w:r>
      <w:r w:rsidR="00D5326E" w:rsidRPr="006D790D">
        <w:fldChar w:fldCharType="begin"/>
      </w:r>
      <w:r w:rsidR="00D5326E" w:rsidRPr="006D790D">
        <w:instrText xml:space="preserve"> REF _Ref85138853 \h </w:instrText>
      </w:r>
      <w:r w:rsidR="006D790D">
        <w:instrText xml:space="preserve"> \* MERGEFORMAT </w:instrText>
      </w:r>
      <w:r w:rsidR="00D5326E" w:rsidRPr="006D790D">
        <w:fldChar w:fldCharType="separate"/>
      </w:r>
      <w:r w:rsidR="007F1879" w:rsidRPr="006D790D">
        <w:t xml:space="preserve">Table </w:t>
      </w:r>
      <w:r w:rsidR="007F1879">
        <w:rPr>
          <w:noProof/>
        </w:rPr>
        <w:t>32</w:t>
      </w:r>
      <w:r w:rsidR="00D5326E" w:rsidRPr="006D790D">
        <w:fldChar w:fldCharType="end"/>
      </w:r>
      <w:r w:rsidRPr="006D790D">
        <w:t xml:space="preserve">). In comparison, 10.3% of participants in the placebo </w:t>
      </w:r>
      <w:r w:rsidR="00316746" w:rsidRPr="006D790D">
        <w:t>subcutaneous</w:t>
      </w:r>
      <w:r w:rsidRPr="006D790D">
        <w:t xml:space="preserve"> group experienced at least 1 TEAE. For both the </w:t>
      </w:r>
      <w:r w:rsidR="00F43ACD" w:rsidRPr="006D790D">
        <w:t>intravenous</w:t>
      </w:r>
      <w:r w:rsidRPr="006D790D">
        <w:t xml:space="preserve"> and </w:t>
      </w:r>
      <w:r w:rsidR="00316746" w:rsidRPr="006D790D">
        <w:t>subcutaneous</w:t>
      </w:r>
      <w:r w:rsidRPr="006D790D">
        <w:t xml:space="preserve"> administrations of </w:t>
      </w:r>
      <w:proofErr w:type="spellStart"/>
      <w:r w:rsidRPr="006D790D">
        <w:t>casirivimab</w:t>
      </w:r>
      <w:proofErr w:type="spellEnd"/>
      <w:r w:rsidR="00EA28EF" w:rsidRPr="006D790D">
        <w:t>/</w:t>
      </w:r>
      <w:proofErr w:type="spellStart"/>
      <w:r w:rsidRPr="006D790D">
        <w:t>imdevimab</w:t>
      </w:r>
      <w:proofErr w:type="spellEnd"/>
      <w:r w:rsidRPr="006D790D">
        <w:t xml:space="preserve"> compared to placebo, there were no dose</w:t>
      </w:r>
      <w:r w:rsidR="00BF2614" w:rsidRPr="006D790D">
        <w:t xml:space="preserve"> </w:t>
      </w:r>
      <w:r w:rsidRPr="006D790D">
        <w:t>dependent trends in AE</w:t>
      </w:r>
      <w:r w:rsidR="005F1707">
        <w:t>s</w:t>
      </w:r>
      <w:r w:rsidRPr="006D790D">
        <w:t>, as evaluated by total TEAE</w:t>
      </w:r>
      <w:r w:rsidR="005F1707">
        <w:t>s</w:t>
      </w:r>
      <w:r w:rsidRPr="006D790D">
        <w:t xml:space="preserve">, </w:t>
      </w:r>
      <w:r w:rsidR="00BF2614" w:rsidRPr="006D790D">
        <w:t>G</w:t>
      </w:r>
      <w:r w:rsidRPr="006D790D">
        <w:t>rade</w:t>
      </w:r>
      <w:r w:rsidR="00BF2614" w:rsidRPr="006D790D">
        <w:t> </w:t>
      </w:r>
      <w:r w:rsidRPr="006D790D">
        <w:t>3 or 4 TEAE</w:t>
      </w:r>
      <w:r w:rsidR="005F1707">
        <w:t>s</w:t>
      </w:r>
      <w:r w:rsidRPr="006D790D">
        <w:t>, SAE</w:t>
      </w:r>
      <w:r w:rsidR="005F1707">
        <w:t>s</w:t>
      </w:r>
      <w:r w:rsidRPr="006D790D">
        <w:t xml:space="preserve">, and AESI results. Overall, there were fewer participants who reported TEAE in the </w:t>
      </w:r>
      <w:proofErr w:type="spellStart"/>
      <w:r w:rsidRPr="006D790D">
        <w:t>casirivimab</w:t>
      </w:r>
      <w:proofErr w:type="spellEnd"/>
      <w:r w:rsidR="00EA28EF" w:rsidRPr="006D790D">
        <w:t>/</w:t>
      </w:r>
      <w:proofErr w:type="spellStart"/>
      <w:r w:rsidRPr="006D790D">
        <w:t>imdevimab</w:t>
      </w:r>
      <w:proofErr w:type="spellEnd"/>
      <w:r w:rsidRPr="006D790D">
        <w:t xml:space="preserve"> </w:t>
      </w:r>
      <w:r w:rsidR="00316746" w:rsidRPr="006D790D">
        <w:t>subcutaneous</w:t>
      </w:r>
      <w:r w:rsidRPr="006D790D">
        <w:t xml:space="preserve"> groups compared to the similar </w:t>
      </w:r>
      <w:r w:rsidR="00F43ACD" w:rsidRPr="006D790D">
        <w:t>intravenous</w:t>
      </w:r>
      <w:r w:rsidRPr="006D790D">
        <w:t xml:space="preserve"> dose groups.</w:t>
      </w:r>
    </w:p>
    <w:p w14:paraId="4C673971" w14:textId="7BF1DB6F" w:rsidR="00146C2C" w:rsidRDefault="00D5326E" w:rsidP="00C05180">
      <w:pPr>
        <w:pStyle w:val="TableTitle"/>
      </w:pPr>
      <w:bookmarkStart w:id="110" w:name="_Ref85138853"/>
      <w:r w:rsidRPr="006D790D">
        <w:t xml:space="preserve">Table </w:t>
      </w:r>
      <w:fldSimple w:instr=" SEQ Table \* ARABIC ">
        <w:r w:rsidR="007F1879">
          <w:rPr>
            <w:noProof/>
          </w:rPr>
          <w:t>32</w:t>
        </w:r>
      </w:fldSimple>
      <w:bookmarkEnd w:id="110"/>
      <w:r w:rsidR="00146C2C" w:rsidRPr="006D790D">
        <w:t>:</w:t>
      </w:r>
      <w:r w:rsidR="00030A65" w:rsidRPr="006D790D">
        <w:t xml:space="preserve"> Study COV-20145</w:t>
      </w:r>
      <w:r w:rsidR="00146C2C" w:rsidRPr="006D790D">
        <w:t xml:space="preserve"> Overview of </w:t>
      </w:r>
      <w:r w:rsidR="00030A65" w:rsidRPr="006D790D">
        <w:t>adverse events</w:t>
      </w:r>
      <w:r w:rsidR="00146C2C" w:rsidRPr="006D790D">
        <w:t xml:space="preserve"> through Day 169</w:t>
      </w:r>
      <w:r w:rsidR="00030A65" w:rsidRPr="006D790D">
        <w:t xml:space="preserve"> (</w:t>
      </w:r>
      <w:r w:rsidR="00316746" w:rsidRPr="006D790D">
        <w:t>subcutaneous</w:t>
      </w:r>
      <w:r w:rsidR="00030A65" w:rsidRPr="006D790D">
        <w:t>, safety analysis population</w:t>
      </w:r>
      <w:r w:rsidR="00146C2C" w:rsidRPr="006D790D">
        <w:t>)</w:t>
      </w:r>
    </w:p>
    <w:p w14:paraId="57B783B2" w14:textId="598146FC" w:rsidR="005E6F10" w:rsidRDefault="005E6F10" w:rsidP="00890DD9">
      <w:pPr>
        <w:rPr>
          <w:rFonts w:asciiTheme="minorHAnsi" w:eastAsiaTheme="minorHAnsi" w:hAnsiTheme="minorHAnsi" w:cs="TimesNewRomanPS-BoldMT"/>
          <w:color w:val="000000"/>
          <w:u w:val="single"/>
        </w:rPr>
      </w:pPr>
      <w:r>
        <w:rPr>
          <w:noProof/>
        </w:rPr>
        <w:drawing>
          <wp:inline distT="0" distB="0" distL="0" distR="0" wp14:anchorId="5B6D3733" wp14:editId="7E0197FE">
            <wp:extent cx="5400040" cy="1778696"/>
            <wp:effectExtent l="0" t="0" r="0" b="0"/>
            <wp:docPr id="81" name="Picture 81" descr="Study COV-20145 Overview of adverse events through Day 169 (subcutaneous,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tudy COV-20145 Overview of adverse events through Day 169 (subcutaneous, safety analysis population)"/>
                    <pic:cNvPicPr/>
                  </pic:nvPicPr>
                  <pic:blipFill>
                    <a:blip r:embed="rId64"/>
                    <a:stretch>
                      <a:fillRect/>
                    </a:stretch>
                  </pic:blipFill>
                  <pic:spPr>
                    <a:xfrm>
                      <a:off x="0" y="0"/>
                      <a:ext cx="5408186" cy="1781379"/>
                    </a:xfrm>
                    <a:prstGeom prst="rect">
                      <a:avLst/>
                    </a:prstGeom>
                  </pic:spPr>
                </pic:pic>
              </a:graphicData>
            </a:graphic>
          </wp:inline>
        </w:drawing>
      </w:r>
    </w:p>
    <w:p w14:paraId="4F8D0B9C" w14:textId="09868DBE" w:rsidR="005E6F10" w:rsidRDefault="005E6F10" w:rsidP="00AD6ABC">
      <w:pPr>
        <w:pStyle w:val="TableDescription"/>
      </w:pPr>
      <w:bookmarkStart w:id="111" w:name="_Hlk85803867"/>
      <w:r w:rsidRPr="00AD6ABC">
        <w:t xml:space="preserve">SC = subcutaneous; N = number of subjects; REGN10933 + REGN10987 = </w:t>
      </w:r>
      <w:proofErr w:type="spellStart"/>
      <w:r w:rsidRPr="00AD6ABC">
        <w:t>casirivimab</w:t>
      </w:r>
      <w:proofErr w:type="spellEnd"/>
      <w:r w:rsidRPr="00AD6ABC">
        <w:t xml:space="preserve"> + </w:t>
      </w:r>
      <w:proofErr w:type="spellStart"/>
      <w:r w:rsidRPr="00AD6ABC">
        <w:t>imdevimab</w:t>
      </w:r>
      <w:proofErr w:type="spellEnd"/>
      <w:r w:rsidRPr="00AD6ABC">
        <w:t>; TEAE = treatment</w:t>
      </w:r>
      <w:r w:rsidR="003F0049">
        <w:t xml:space="preserve"> </w:t>
      </w:r>
      <w:r w:rsidRPr="00AD6ABC">
        <w:t>emergent adverse events; SAE = serious adverse event; AESI = adverse event of special interest.</w:t>
      </w:r>
    </w:p>
    <w:bookmarkEnd w:id="111"/>
    <w:p w14:paraId="36CDF228" w14:textId="36EA4F9F" w:rsidR="00AD6ABC" w:rsidRPr="00AD6ABC" w:rsidRDefault="00AD6ABC" w:rsidP="00BB0979">
      <w:pPr>
        <w:pStyle w:val="TableDescription"/>
      </w:pPr>
      <w:r w:rsidRPr="005302C3">
        <w:t>Patients randomised on or before 1 February 2021 with the data cut-off date of 8 February 2021</w:t>
      </w:r>
      <w:r>
        <w:t>.</w:t>
      </w:r>
    </w:p>
    <w:p w14:paraId="4B51FD22" w14:textId="63DBA261" w:rsidR="005F1707" w:rsidRPr="00AD6ABC" w:rsidRDefault="005F1707" w:rsidP="00AD6ABC">
      <w:pPr>
        <w:pStyle w:val="TableDescription"/>
      </w:pPr>
      <w:r w:rsidRPr="00AD6ABC">
        <w:lastRenderedPageBreak/>
        <w:t xml:space="preserve">Treatment emergent adverse events are defined as those that are not present at </w:t>
      </w:r>
      <w:r w:rsidR="00AD6ABC" w:rsidRPr="00AD6ABC">
        <w:t>B</w:t>
      </w:r>
      <w:r w:rsidRPr="00AD6ABC">
        <w:t>aseline or represent the exacerbation of a pre-existing condition during the observation period which is from the time of study drug administration to the last study visit.</w:t>
      </w:r>
    </w:p>
    <w:p w14:paraId="0D23DACA" w14:textId="3EA8118C" w:rsidR="00146C2C" w:rsidRPr="006D790D" w:rsidRDefault="00146C2C" w:rsidP="00E242C3">
      <w:pPr>
        <w:pStyle w:val="Heading5"/>
        <w:rPr>
          <w:rFonts w:eastAsiaTheme="minorHAnsi"/>
        </w:rPr>
      </w:pPr>
      <w:r w:rsidRPr="006D790D">
        <w:rPr>
          <w:rFonts w:eastAsiaTheme="minorHAnsi"/>
        </w:rPr>
        <w:t xml:space="preserve">Overview of </w:t>
      </w:r>
      <w:r w:rsidR="005F1707">
        <w:rPr>
          <w:rFonts w:eastAsiaTheme="minorHAnsi"/>
        </w:rPr>
        <w:t>a</w:t>
      </w:r>
      <w:r w:rsidRPr="006D790D">
        <w:rPr>
          <w:rFonts w:eastAsiaTheme="minorHAnsi"/>
        </w:rPr>
        <w:t xml:space="preserve">dverse </w:t>
      </w:r>
      <w:r w:rsidR="005F1707">
        <w:rPr>
          <w:rFonts w:eastAsiaTheme="minorHAnsi"/>
        </w:rPr>
        <w:t>e</w:t>
      </w:r>
      <w:r w:rsidRPr="006D790D">
        <w:rPr>
          <w:rFonts w:eastAsiaTheme="minorHAnsi"/>
        </w:rPr>
        <w:t xml:space="preserve">vents in </w:t>
      </w:r>
      <w:r w:rsidR="005F1707">
        <w:rPr>
          <w:rFonts w:eastAsiaTheme="minorHAnsi"/>
        </w:rPr>
        <w:t>p</w:t>
      </w:r>
      <w:r w:rsidRPr="006D790D">
        <w:rPr>
          <w:rFonts w:eastAsiaTheme="minorHAnsi"/>
        </w:rPr>
        <w:t xml:space="preserve">revention </w:t>
      </w:r>
      <w:r w:rsidR="005F1707">
        <w:rPr>
          <w:rFonts w:eastAsiaTheme="minorHAnsi"/>
        </w:rPr>
        <w:t>s</w:t>
      </w:r>
      <w:r w:rsidRPr="006D790D">
        <w:rPr>
          <w:rFonts w:eastAsiaTheme="minorHAnsi"/>
        </w:rPr>
        <w:t>tudies (</w:t>
      </w:r>
      <w:r w:rsidR="00F40137" w:rsidRPr="006D790D">
        <w:t>Study </w:t>
      </w:r>
      <w:r w:rsidRPr="006D790D">
        <w:rPr>
          <w:rFonts w:eastAsiaTheme="minorHAnsi"/>
        </w:rPr>
        <w:t xml:space="preserve">COV-2069 and </w:t>
      </w:r>
      <w:r w:rsidR="00F40137" w:rsidRPr="006D790D">
        <w:t>Study </w:t>
      </w:r>
      <w:r w:rsidRPr="006D790D">
        <w:rPr>
          <w:rFonts w:eastAsiaTheme="minorHAnsi"/>
        </w:rPr>
        <w:t>HV</w:t>
      </w:r>
      <w:r w:rsidR="00BF2614" w:rsidRPr="006D790D">
        <w:rPr>
          <w:rFonts w:eastAsiaTheme="minorHAnsi"/>
        </w:rPr>
        <w:noBreakHyphen/>
      </w:r>
      <w:r w:rsidRPr="006D790D">
        <w:rPr>
          <w:rFonts w:eastAsiaTheme="minorHAnsi"/>
        </w:rPr>
        <w:t>2093)</w:t>
      </w:r>
    </w:p>
    <w:p w14:paraId="338D338D" w14:textId="0C2DF305" w:rsidR="00146C2C" w:rsidRPr="006D790D" w:rsidRDefault="00F40137" w:rsidP="00E242C3">
      <w:pPr>
        <w:pStyle w:val="Heading6"/>
        <w:rPr>
          <w:rFonts w:eastAsiaTheme="minorHAnsi"/>
        </w:rPr>
      </w:pPr>
      <w:r w:rsidRPr="006D790D">
        <w:t>Study </w:t>
      </w:r>
      <w:r w:rsidR="00146C2C" w:rsidRPr="006D790D">
        <w:rPr>
          <w:rFonts w:eastAsiaTheme="minorHAnsi"/>
        </w:rPr>
        <w:t>COV-2069</w:t>
      </w:r>
    </w:p>
    <w:p w14:paraId="4AFF7C97" w14:textId="01E1DD1C" w:rsidR="00146C2C" w:rsidRPr="006D790D" w:rsidRDefault="00146C2C" w:rsidP="00B1559C">
      <w:r w:rsidRPr="006D790D">
        <w:t xml:space="preserve">In </w:t>
      </w:r>
      <w:r w:rsidR="00F40137" w:rsidRPr="006D790D">
        <w:t>Study </w:t>
      </w:r>
      <w:r w:rsidRPr="006D790D">
        <w:t xml:space="preserve">COV-2069 </w:t>
      </w:r>
      <w:r w:rsidR="00FC63CA" w:rsidRPr="006D790D">
        <w:t>C</w:t>
      </w:r>
      <w:r w:rsidRPr="006D790D">
        <w:t xml:space="preserve">ohorts A and B, </w:t>
      </w:r>
      <w:proofErr w:type="spellStart"/>
      <w:r w:rsidRPr="006D790D">
        <w:t>casirivimab</w:t>
      </w:r>
      <w:proofErr w:type="spellEnd"/>
      <w:r w:rsidR="00EA28EF" w:rsidRPr="006D790D">
        <w:t>/</w:t>
      </w:r>
      <w:proofErr w:type="spellStart"/>
      <w:r w:rsidRPr="006D790D">
        <w:t>imdevimab</w:t>
      </w:r>
      <w:proofErr w:type="spellEnd"/>
      <w:r w:rsidRPr="006D790D">
        <w:t xml:space="preserve"> was well tolerated in a generally healthy population of adolescents (age ≥ 12 to &lt; 18 years) and adults (age ≥ 18 years) with no recent history of respiratory illness. There were no significant safety findings in the </w:t>
      </w:r>
      <w:proofErr w:type="spellStart"/>
      <w:r w:rsidRPr="006D790D">
        <w:t>casirivimab</w:t>
      </w:r>
      <w:proofErr w:type="spellEnd"/>
      <w:r w:rsidR="00EA28EF" w:rsidRPr="006D790D">
        <w:t>/</w:t>
      </w:r>
      <w:proofErr w:type="spellStart"/>
      <w:r w:rsidRPr="006D790D">
        <w:t>imdevimab</w:t>
      </w:r>
      <w:proofErr w:type="spellEnd"/>
      <w:r w:rsidRPr="006D790D">
        <w:t xml:space="preserve"> group compared to placebo in either </w:t>
      </w:r>
      <w:r w:rsidR="00FC63CA" w:rsidRPr="006D790D">
        <w:t>C</w:t>
      </w:r>
      <w:r w:rsidRPr="006D790D">
        <w:t xml:space="preserve">ohort. SAE </w:t>
      </w:r>
      <w:proofErr w:type="gramStart"/>
      <w:r w:rsidRPr="006D790D">
        <w:t>were</w:t>
      </w:r>
      <w:proofErr w:type="gramEnd"/>
      <w:r w:rsidRPr="006D790D">
        <w:t xml:space="preserve"> infrequent. An overview of TEAE</w:t>
      </w:r>
      <w:r w:rsidR="005F1707">
        <w:t>s</w:t>
      </w:r>
      <w:r w:rsidRPr="006D790D">
        <w:t xml:space="preserve"> during the study period for Cohort A is shown in </w:t>
      </w:r>
      <w:r w:rsidR="00D5326E" w:rsidRPr="006D790D">
        <w:fldChar w:fldCharType="begin"/>
      </w:r>
      <w:r w:rsidR="00D5326E" w:rsidRPr="006D790D">
        <w:instrText xml:space="preserve"> REF _Ref85138885 \h </w:instrText>
      </w:r>
      <w:r w:rsidR="006D790D">
        <w:instrText xml:space="preserve"> \* MERGEFORMAT </w:instrText>
      </w:r>
      <w:r w:rsidR="00D5326E" w:rsidRPr="006D790D">
        <w:fldChar w:fldCharType="separate"/>
      </w:r>
      <w:r w:rsidR="007F1879" w:rsidRPr="006D790D">
        <w:t xml:space="preserve">Table </w:t>
      </w:r>
      <w:r w:rsidR="007F1879">
        <w:rPr>
          <w:noProof/>
        </w:rPr>
        <w:t>33</w:t>
      </w:r>
      <w:r w:rsidR="00D5326E" w:rsidRPr="006D790D">
        <w:fldChar w:fldCharType="end"/>
      </w:r>
      <w:r w:rsidRPr="006D790D">
        <w:t xml:space="preserve"> below.</w:t>
      </w:r>
    </w:p>
    <w:p w14:paraId="465B9AED" w14:textId="0FCD929C" w:rsidR="00146C2C" w:rsidRPr="006D790D" w:rsidRDefault="00D5326E" w:rsidP="00C05180">
      <w:pPr>
        <w:pStyle w:val="TableTitle"/>
        <w:rPr>
          <w:rFonts w:asciiTheme="minorHAnsi" w:eastAsia="TimesNewRomanPSMT" w:hAnsiTheme="minorHAnsi" w:cs="TimesNewRomanPSMT"/>
          <w:color w:val="0000FF"/>
        </w:rPr>
      </w:pPr>
      <w:bookmarkStart w:id="112" w:name="_Ref85138885"/>
      <w:r w:rsidRPr="006D790D">
        <w:t xml:space="preserve">Table </w:t>
      </w:r>
      <w:fldSimple w:instr=" SEQ Table \* ARABIC ">
        <w:r w:rsidR="007F1879">
          <w:rPr>
            <w:noProof/>
          </w:rPr>
          <w:t>33</w:t>
        </w:r>
      </w:fldSimple>
      <w:bookmarkEnd w:id="112"/>
      <w:r w:rsidR="00146C2C" w:rsidRPr="006D790D">
        <w:t xml:space="preserve">: </w:t>
      </w:r>
      <w:r w:rsidR="00030A65" w:rsidRPr="006D790D">
        <w:t xml:space="preserve">Study COV-2069 </w:t>
      </w:r>
      <w:r w:rsidR="00146C2C" w:rsidRPr="006D790D">
        <w:t xml:space="preserve">Overview of </w:t>
      </w:r>
      <w:r w:rsidR="00030A65" w:rsidRPr="006D790D">
        <w:t>adverse events</w:t>
      </w:r>
      <w:r w:rsidR="00146C2C" w:rsidRPr="006D790D">
        <w:t xml:space="preserve"> during the overall study period (</w:t>
      </w:r>
      <w:r w:rsidR="00030A65" w:rsidRPr="006D790D">
        <w:t xml:space="preserve">safety analysis population </w:t>
      </w:r>
      <w:r w:rsidR="00146C2C" w:rsidRPr="006D790D">
        <w:t>A)</w:t>
      </w:r>
    </w:p>
    <w:p w14:paraId="4353496B" w14:textId="6CD20EDD" w:rsidR="00146C2C" w:rsidRDefault="00146C2C" w:rsidP="00146C2C">
      <w:pPr>
        <w:rPr>
          <w:rFonts w:asciiTheme="minorHAnsi" w:eastAsia="TimesNewRomanPSMT" w:hAnsiTheme="minorHAnsi" w:cs="TimesNewRomanPSMT"/>
          <w:color w:val="000000"/>
        </w:rPr>
      </w:pPr>
      <w:r w:rsidRPr="006D790D">
        <w:rPr>
          <w:rFonts w:asciiTheme="minorHAnsi" w:eastAsia="TimesNewRomanPSMT" w:hAnsiTheme="minorHAnsi" w:cs="TimesNewRomanPSMT"/>
          <w:noProof/>
          <w:color w:val="000000"/>
          <w:lang w:val="en-GB" w:eastAsia="en-GB"/>
        </w:rPr>
        <w:drawing>
          <wp:inline distT="0" distB="0" distL="0" distR="0" wp14:anchorId="686E55ED" wp14:editId="47F6B5BB">
            <wp:extent cx="5219065" cy="1569493"/>
            <wp:effectExtent l="0" t="0" r="635" b="0"/>
            <wp:docPr id="56" name="Picture 56" descr="Study COV-2069 Overview of adverse events during the overall study period (safety analysis populatio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tudy COV-2069 Overview of adverse events during the overall study period (safety analysis population A)"/>
                    <pic:cNvPicPr>
                      <a:picLocks noChangeAspect="1" noChangeArrowheads="1"/>
                    </pic:cNvPicPr>
                  </pic:nvPicPr>
                  <pic:blipFill rotWithShape="1">
                    <a:blip r:embed="rId65">
                      <a:extLst>
                        <a:ext uri="{28A0092B-C50C-407E-A947-70E740481C1C}">
                          <a14:useLocalDpi xmlns:a14="http://schemas.microsoft.com/office/drawing/2010/main" val="0"/>
                        </a:ext>
                      </a:extLst>
                    </a:blip>
                    <a:srcRect b="14945"/>
                    <a:stretch/>
                  </pic:blipFill>
                  <pic:spPr bwMode="auto">
                    <a:xfrm>
                      <a:off x="0" y="0"/>
                      <a:ext cx="5261827" cy="1582353"/>
                    </a:xfrm>
                    <a:prstGeom prst="rect">
                      <a:avLst/>
                    </a:prstGeom>
                    <a:noFill/>
                    <a:ln>
                      <a:noFill/>
                    </a:ln>
                    <a:extLst>
                      <a:ext uri="{53640926-AAD7-44D8-BBD7-CCE9431645EC}">
                        <a14:shadowObscured xmlns:a14="http://schemas.microsoft.com/office/drawing/2010/main"/>
                      </a:ext>
                    </a:extLst>
                  </pic:spPr>
                </pic:pic>
              </a:graphicData>
            </a:graphic>
          </wp:inline>
        </w:drawing>
      </w:r>
    </w:p>
    <w:p w14:paraId="50C2CB79" w14:textId="1FE418B7" w:rsidR="00AD6ABC" w:rsidRPr="00AD6ABC" w:rsidRDefault="00AD6ABC" w:rsidP="00AD6ABC">
      <w:pPr>
        <w:pStyle w:val="TableDescription"/>
      </w:pPr>
      <w:r w:rsidRPr="00AD6ABC">
        <w:t xml:space="preserve">N = number of subjects; R10933 + R10987 = </w:t>
      </w:r>
      <w:proofErr w:type="spellStart"/>
      <w:r w:rsidRPr="00AD6ABC">
        <w:t>casirivimab</w:t>
      </w:r>
      <w:proofErr w:type="spellEnd"/>
      <w:r w:rsidRPr="00AD6ABC">
        <w:t xml:space="preserve"> + </w:t>
      </w:r>
      <w:proofErr w:type="spellStart"/>
      <w:r w:rsidRPr="00AD6ABC">
        <w:t>imdevimab</w:t>
      </w:r>
      <w:proofErr w:type="spellEnd"/>
      <w:r w:rsidRPr="00AD6ABC">
        <w:t>; TEAE = treatment emergent adverse events; COVID-19 = coronavirus disease 2019; AESI = adverse event of special interest.</w:t>
      </w:r>
    </w:p>
    <w:p w14:paraId="6D34671C" w14:textId="2BD2AC31" w:rsidR="00146C2C" w:rsidRPr="00AD6ABC" w:rsidRDefault="00146C2C" w:rsidP="00AD6ABC">
      <w:r w:rsidRPr="00AD6ABC">
        <w:t xml:space="preserve">An overview of TEAE during the study period for Cohort B is shown in </w:t>
      </w:r>
      <w:r w:rsidR="00D5326E" w:rsidRPr="00AD6ABC">
        <w:fldChar w:fldCharType="begin"/>
      </w:r>
      <w:r w:rsidR="00D5326E" w:rsidRPr="00AD6ABC">
        <w:instrText xml:space="preserve"> REF _Ref85138908 \h </w:instrText>
      </w:r>
      <w:r w:rsidR="006D790D" w:rsidRPr="00AD6ABC">
        <w:instrText xml:space="preserve"> \* MERGEFORMAT </w:instrText>
      </w:r>
      <w:r w:rsidR="00D5326E" w:rsidRPr="00AD6ABC">
        <w:fldChar w:fldCharType="separate"/>
      </w:r>
      <w:r w:rsidR="007F1879" w:rsidRPr="006D790D">
        <w:t xml:space="preserve">Table </w:t>
      </w:r>
      <w:r w:rsidR="007F1879">
        <w:t>34</w:t>
      </w:r>
      <w:r w:rsidR="00D5326E" w:rsidRPr="00AD6ABC">
        <w:fldChar w:fldCharType="end"/>
      </w:r>
      <w:r w:rsidRPr="00AD6ABC">
        <w:t xml:space="preserve"> below</w:t>
      </w:r>
      <w:r w:rsidR="00BF2614" w:rsidRPr="00AD6ABC">
        <w:t>.</w:t>
      </w:r>
    </w:p>
    <w:p w14:paraId="0E6483D4" w14:textId="61A51879" w:rsidR="00146C2C" w:rsidRDefault="00D5326E" w:rsidP="00C05180">
      <w:pPr>
        <w:pStyle w:val="TableTitle"/>
      </w:pPr>
      <w:bookmarkStart w:id="113" w:name="_Ref85138908"/>
      <w:r w:rsidRPr="006D790D">
        <w:t xml:space="preserve">Table </w:t>
      </w:r>
      <w:fldSimple w:instr=" SEQ Table \* ARABIC ">
        <w:r w:rsidR="007F1879">
          <w:rPr>
            <w:noProof/>
          </w:rPr>
          <w:t>34</w:t>
        </w:r>
      </w:fldSimple>
      <w:bookmarkEnd w:id="113"/>
      <w:r w:rsidR="00146C2C" w:rsidRPr="006D790D">
        <w:rPr>
          <w:color w:val="000000"/>
        </w:rPr>
        <w:t xml:space="preserve">: </w:t>
      </w:r>
      <w:r w:rsidR="00030A65" w:rsidRPr="006D790D">
        <w:t xml:space="preserve">Study COV-2069 </w:t>
      </w:r>
      <w:r w:rsidR="00146C2C" w:rsidRPr="006D790D">
        <w:t xml:space="preserve">Overview of </w:t>
      </w:r>
      <w:r w:rsidR="00030A65" w:rsidRPr="006D790D">
        <w:t>adverse events</w:t>
      </w:r>
      <w:r w:rsidR="00146C2C" w:rsidRPr="006D790D">
        <w:t xml:space="preserve"> during the overall study period (</w:t>
      </w:r>
      <w:r w:rsidR="00030A65" w:rsidRPr="006D790D">
        <w:t xml:space="preserve">safety analysis population </w:t>
      </w:r>
      <w:r w:rsidR="00146C2C" w:rsidRPr="006D790D">
        <w:t>B)</w:t>
      </w:r>
    </w:p>
    <w:p w14:paraId="6B09E8FB" w14:textId="0E5386CF" w:rsidR="00AD6ABC" w:rsidRDefault="00AD6ABC" w:rsidP="00890DD9">
      <w:pPr>
        <w:rPr>
          <w:rFonts w:asciiTheme="minorHAnsi" w:eastAsia="TimesNewRomanPSMT" w:hAnsiTheme="minorHAnsi" w:cs="TimesNewRomanPSMT"/>
          <w:color w:val="000000"/>
        </w:rPr>
      </w:pPr>
      <w:r>
        <w:rPr>
          <w:noProof/>
        </w:rPr>
        <w:drawing>
          <wp:inline distT="0" distB="0" distL="0" distR="0" wp14:anchorId="12D169F7" wp14:editId="531B221A">
            <wp:extent cx="5400040" cy="1630680"/>
            <wp:effectExtent l="0" t="0" r="0" b="7620"/>
            <wp:docPr id="82" name="Picture 82" descr="Study COV-2069 Overview of adverse events during the overall study period (safety analysis popul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Study COV-2069 Overview of adverse events during the overall study period (safety analysis population B)"/>
                    <pic:cNvPicPr/>
                  </pic:nvPicPr>
                  <pic:blipFill>
                    <a:blip r:embed="rId66"/>
                    <a:stretch>
                      <a:fillRect/>
                    </a:stretch>
                  </pic:blipFill>
                  <pic:spPr>
                    <a:xfrm>
                      <a:off x="0" y="0"/>
                      <a:ext cx="5400040" cy="1630680"/>
                    </a:xfrm>
                    <a:prstGeom prst="rect">
                      <a:avLst/>
                    </a:prstGeom>
                  </pic:spPr>
                </pic:pic>
              </a:graphicData>
            </a:graphic>
          </wp:inline>
        </w:drawing>
      </w:r>
    </w:p>
    <w:p w14:paraId="0C31E165" w14:textId="7D4CA9AC" w:rsidR="00AD6ABC" w:rsidRPr="00AD6ABC" w:rsidRDefault="00AD6ABC" w:rsidP="00AD6ABC">
      <w:pPr>
        <w:pStyle w:val="TableDescription"/>
      </w:pPr>
      <w:r w:rsidRPr="00AD6ABC">
        <w:t xml:space="preserve">N = number of subjects; R10933 + R10987 = </w:t>
      </w:r>
      <w:proofErr w:type="spellStart"/>
      <w:r w:rsidRPr="00AD6ABC">
        <w:t>casirivimab</w:t>
      </w:r>
      <w:proofErr w:type="spellEnd"/>
      <w:r w:rsidRPr="00AD6ABC">
        <w:t xml:space="preserve"> + </w:t>
      </w:r>
      <w:proofErr w:type="spellStart"/>
      <w:r w:rsidRPr="00AD6ABC">
        <w:t>imdevimab</w:t>
      </w:r>
      <w:proofErr w:type="spellEnd"/>
      <w:r w:rsidRPr="00AD6ABC">
        <w:t>; TEAE = treatment emergent adverse events; COVID-19 = coronavirus disease 2019; AESI = adverse event of special interest.</w:t>
      </w:r>
    </w:p>
    <w:p w14:paraId="671D4D1C" w14:textId="704FF669" w:rsidR="00146C2C" w:rsidRPr="006D790D" w:rsidRDefault="00146C2C" w:rsidP="00B1559C">
      <w:r w:rsidRPr="006D790D">
        <w:t xml:space="preserve">The </w:t>
      </w:r>
      <w:r w:rsidR="00303D77" w:rsidRPr="006D790D">
        <w:t>SAF</w:t>
      </w:r>
      <w:r w:rsidRPr="006D790D">
        <w:t xml:space="preserve"> for both cohorts included seronegative and seropositive subjects. No difference in the safety profile of patients receiving </w:t>
      </w:r>
      <w:proofErr w:type="spellStart"/>
      <w:r w:rsidRPr="006D790D">
        <w:t>casirivimab</w:t>
      </w:r>
      <w:proofErr w:type="spellEnd"/>
      <w:r w:rsidR="00EA28EF" w:rsidRPr="006D790D">
        <w:t>/</w:t>
      </w:r>
      <w:proofErr w:type="spellStart"/>
      <w:r w:rsidRPr="006D790D">
        <w:t>imdevimab</w:t>
      </w:r>
      <w:proofErr w:type="spellEnd"/>
      <w:r w:rsidRPr="006D790D">
        <w:t xml:space="preserve"> was observed between seronegative and seropositive subjects in either Cohort A or Cohort B. In both cohorts, the incidence of </w:t>
      </w:r>
      <w:r w:rsidR="00BF2614" w:rsidRPr="006D790D">
        <w:t>injection site reactions (</w:t>
      </w:r>
      <w:r w:rsidRPr="006D790D">
        <w:t>ISR</w:t>
      </w:r>
      <w:r w:rsidR="00BF2614" w:rsidRPr="006D790D">
        <w:t>)</w:t>
      </w:r>
      <w:r w:rsidRPr="006D790D">
        <w:t xml:space="preserve"> was higher in the </w:t>
      </w:r>
      <w:proofErr w:type="spellStart"/>
      <w:r w:rsidRPr="006D790D">
        <w:t>casirivimab</w:t>
      </w:r>
      <w:proofErr w:type="spellEnd"/>
      <w:r w:rsidR="00EA28EF" w:rsidRPr="006D790D">
        <w:t>/</w:t>
      </w:r>
      <w:proofErr w:type="spellStart"/>
      <w:r w:rsidRPr="006D790D">
        <w:t>imdevimab</w:t>
      </w:r>
      <w:proofErr w:type="spellEnd"/>
      <w:r w:rsidRPr="006D790D">
        <w:t xml:space="preserve"> group (4.2%, 3.9%) than the placebo group (1.5%, 0.6%). All ISRs were mild or moderate in severity and most events resolved without treatment. The data, together with the absence of serious acute hypersensitivity reactions with </w:t>
      </w:r>
      <w:r w:rsidR="00316746" w:rsidRPr="006D790D">
        <w:t>subcutaneous</w:t>
      </w:r>
      <w:r w:rsidRPr="006D790D">
        <w:t xml:space="preserve"> administration suggest that individuals may not require observation at a health care facility with </w:t>
      </w:r>
      <w:r w:rsidR="00316746" w:rsidRPr="006D790D">
        <w:t>subcutaneous</w:t>
      </w:r>
      <w:r w:rsidRPr="006D790D">
        <w:t xml:space="preserve"> administration of </w:t>
      </w:r>
      <w:proofErr w:type="spellStart"/>
      <w:r w:rsidRPr="006D790D">
        <w:t>casirivimab</w:t>
      </w:r>
      <w:proofErr w:type="spellEnd"/>
      <w:r w:rsidR="00EA28EF" w:rsidRPr="006D790D">
        <w:t>/</w:t>
      </w:r>
      <w:proofErr w:type="spellStart"/>
      <w:r w:rsidRPr="006D790D">
        <w:t>imdevimab</w:t>
      </w:r>
      <w:proofErr w:type="spellEnd"/>
      <w:r w:rsidRPr="006D790D">
        <w:t>.</w:t>
      </w:r>
    </w:p>
    <w:p w14:paraId="6A2429A6" w14:textId="59D0CA07" w:rsidR="00146C2C" w:rsidRPr="006D790D" w:rsidRDefault="003C331A" w:rsidP="00AE38B2">
      <w:pPr>
        <w:pStyle w:val="Heading6"/>
      </w:pPr>
      <w:r w:rsidRPr="006D790D">
        <w:rPr>
          <w:rFonts w:eastAsiaTheme="minorHAnsi"/>
        </w:rPr>
        <w:lastRenderedPageBreak/>
        <w:t>Study </w:t>
      </w:r>
      <w:r w:rsidR="00146C2C" w:rsidRPr="006D790D">
        <w:rPr>
          <w:rFonts w:eastAsia="TimesNewRomanPSMT"/>
        </w:rPr>
        <w:t>HV-2093</w:t>
      </w:r>
    </w:p>
    <w:p w14:paraId="085EB686" w14:textId="611FE100" w:rsidR="00146C2C" w:rsidRPr="006D790D" w:rsidRDefault="00146C2C" w:rsidP="00B1559C">
      <w:r w:rsidRPr="006D790D">
        <w:t xml:space="preserve">In </w:t>
      </w:r>
      <w:r w:rsidR="003C331A" w:rsidRPr="006D790D">
        <w:rPr>
          <w:rFonts w:eastAsiaTheme="minorHAnsi"/>
        </w:rPr>
        <w:t>Study </w:t>
      </w:r>
      <w:r w:rsidRPr="006D790D">
        <w:t xml:space="preserve">HV-2093, </w:t>
      </w:r>
      <w:proofErr w:type="spellStart"/>
      <w:r w:rsidRPr="006D790D">
        <w:t>casirivimab</w:t>
      </w:r>
      <w:proofErr w:type="spellEnd"/>
      <w:r w:rsidR="00EA28EF" w:rsidRPr="006D790D">
        <w:t>/</w:t>
      </w:r>
      <w:proofErr w:type="spellStart"/>
      <w:r w:rsidRPr="006D790D">
        <w:t>imdevimab</w:t>
      </w:r>
      <w:proofErr w:type="spellEnd"/>
      <w:r w:rsidRPr="006D790D">
        <w:t xml:space="preserve"> 1200 mg </w:t>
      </w:r>
      <w:r w:rsidR="00316746" w:rsidRPr="006D790D">
        <w:t>subcutaneous</w:t>
      </w:r>
      <w:r w:rsidRPr="006D790D">
        <w:t xml:space="preserve"> </w:t>
      </w:r>
      <w:r w:rsidR="00285F19" w:rsidRPr="006D790D">
        <w:t>every 4 weeks</w:t>
      </w:r>
      <w:r w:rsidRPr="006D790D">
        <w:t xml:space="preserve"> was well tolerated with no unexpected safety findings in healthy volunteers. The summary of TEAE</w:t>
      </w:r>
      <w:r w:rsidR="005F1707">
        <w:t>s</w:t>
      </w:r>
      <w:r w:rsidRPr="006D790D">
        <w:t xml:space="preserve"> during the entire study period is presented in </w:t>
      </w:r>
      <w:r w:rsidR="00D5326E" w:rsidRPr="006D790D">
        <w:fldChar w:fldCharType="begin"/>
      </w:r>
      <w:r w:rsidR="00D5326E" w:rsidRPr="006D790D">
        <w:instrText xml:space="preserve"> REF _Ref85138931 \h </w:instrText>
      </w:r>
      <w:r w:rsidR="006D790D">
        <w:instrText xml:space="preserve"> \* MERGEFORMAT </w:instrText>
      </w:r>
      <w:r w:rsidR="00D5326E" w:rsidRPr="006D790D">
        <w:fldChar w:fldCharType="separate"/>
      </w:r>
      <w:r w:rsidR="007F1879" w:rsidRPr="006D790D">
        <w:t xml:space="preserve">Table </w:t>
      </w:r>
      <w:r w:rsidR="007F1879">
        <w:rPr>
          <w:noProof/>
        </w:rPr>
        <w:t>35</w:t>
      </w:r>
      <w:r w:rsidR="00D5326E" w:rsidRPr="006D790D">
        <w:fldChar w:fldCharType="end"/>
      </w:r>
      <w:r w:rsidRPr="006D790D">
        <w:t xml:space="preserve"> below</w:t>
      </w:r>
      <w:r w:rsidR="00961D16" w:rsidRPr="006D790D">
        <w:t>.</w:t>
      </w:r>
    </w:p>
    <w:p w14:paraId="348CF7C4" w14:textId="539459A5" w:rsidR="00146C2C" w:rsidRPr="006D790D" w:rsidRDefault="00D5326E" w:rsidP="00C05180">
      <w:pPr>
        <w:pStyle w:val="TableTitle"/>
        <w:rPr>
          <w:rFonts w:asciiTheme="minorHAnsi" w:eastAsia="TimesNewRomanPSMT" w:hAnsiTheme="minorHAnsi" w:cs="TimesNewRomanPSMT"/>
          <w:color w:val="000000"/>
        </w:rPr>
      </w:pPr>
      <w:bookmarkStart w:id="114" w:name="_Ref85138931"/>
      <w:r w:rsidRPr="006D790D">
        <w:t xml:space="preserve">Table </w:t>
      </w:r>
      <w:fldSimple w:instr=" SEQ Table \* ARABIC ">
        <w:r w:rsidR="007F1879">
          <w:rPr>
            <w:noProof/>
          </w:rPr>
          <w:t>35</w:t>
        </w:r>
      </w:fldSimple>
      <w:bookmarkEnd w:id="114"/>
      <w:r w:rsidR="00146C2C" w:rsidRPr="006D790D">
        <w:t xml:space="preserve">: </w:t>
      </w:r>
      <w:r w:rsidR="00030A65" w:rsidRPr="006D790D">
        <w:rPr>
          <w:rFonts w:eastAsiaTheme="minorHAnsi"/>
        </w:rPr>
        <w:t>Study </w:t>
      </w:r>
      <w:r w:rsidR="00030A65" w:rsidRPr="006D790D">
        <w:t xml:space="preserve">HV-2093 </w:t>
      </w:r>
      <w:r w:rsidR="00146C2C" w:rsidRPr="006D790D">
        <w:t xml:space="preserve">Summary of </w:t>
      </w:r>
      <w:r w:rsidR="00030A65" w:rsidRPr="006D790D">
        <w:t xml:space="preserve">adverse events </w:t>
      </w:r>
      <w:r w:rsidR="00146C2C" w:rsidRPr="006D790D">
        <w:t>during the entire study period (</w:t>
      </w:r>
      <w:r w:rsidR="00030A65" w:rsidRPr="006D790D">
        <w:t>safety analysis population</w:t>
      </w:r>
      <w:r w:rsidR="00146C2C" w:rsidRPr="006D790D">
        <w:t>)</w:t>
      </w:r>
    </w:p>
    <w:p w14:paraId="1F09DFD0" w14:textId="288D9DC0" w:rsidR="00146C2C" w:rsidRDefault="00146C2C" w:rsidP="00146C2C">
      <w:pPr>
        <w:rPr>
          <w:rFonts w:asciiTheme="minorHAnsi" w:eastAsia="TimesNewRomanPSMT" w:hAnsiTheme="minorHAnsi" w:cs="TimesNewRomanPSMT"/>
          <w:color w:val="000000"/>
        </w:rPr>
      </w:pPr>
      <w:r w:rsidRPr="006D790D">
        <w:rPr>
          <w:rFonts w:asciiTheme="minorHAnsi" w:eastAsia="TimesNewRomanPSMT" w:hAnsiTheme="minorHAnsi" w:cs="TimesNewRomanPSMT"/>
          <w:noProof/>
          <w:color w:val="000000"/>
          <w:lang w:val="en-GB" w:eastAsia="en-GB"/>
        </w:rPr>
        <w:drawing>
          <wp:inline distT="0" distB="0" distL="0" distR="0" wp14:anchorId="5D536EA5" wp14:editId="72043FA5">
            <wp:extent cx="5463866" cy="1317009"/>
            <wp:effectExtent l="0" t="0" r="3810" b="0"/>
            <wp:docPr id="1559396261" name="Picture 1559396261" descr="Study HV-2093 Summary of adverse events during the entire study period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96261" name="Picture 1559396261" descr="Study HV-2093 Summary of adverse events during the entire study period (safety analysis population)"/>
                    <pic:cNvPicPr>
                      <a:picLocks noChangeAspect="1" noChangeArrowheads="1"/>
                    </pic:cNvPicPr>
                  </pic:nvPicPr>
                  <pic:blipFill rotWithShape="1">
                    <a:blip r:embed="rId67">
                      <a:extLst>
                        <a:ext uri="{28A0092B-C50C-407E-A947-70E740481C1C}">
                          <a14:useLocalDpi xmlns:a14="http://schemas.microsoft.com/office/drawing/2010/main" val="0"/>
                        </a:ext>
                      </a:extLst>
                    </a:blip>
                    <a:srcRect b="19299"/>
                    <a:stretch/>
                  </pic:blipFill>
                  <pic:spPr bwMode="auto">
                    <a:xfrm>
                      <a:off x="0" y="0"/>
                      <a:ext cx="5492083" cy="1323811"/>
                    </a:xfrm>
                    <a:prstGeom prst="rect">
                      <a:avLst/>
                    </a:prstGeom>
                    <a:noFill/>
                    <a:ln>
                      <a:noFill/>
                    </a:ln>
                    <a:extLst>
                      <a:ext uri="{53640926-AAD7-44D8-BBD7-CCE9431645EC}">
                        <a14:shadowObscured xmlns:a14="http://schemas.microsoft.com/office/drawing/2010/main"/>
                      </a:ext>
                    </a:extLst>
                  </pic:spPr>
                </pic:pic>
              </a:graphicData>
            </a:graphic>
          </wp:inline>
        </w:drawing>
      </w:r>
    </w:p>
    <w:p w14:paraId="5BE9A61D" w14:textId="4F6079FB" w:rsidR="00AD6ABC" w:rsidRPr="00AD6ABC" w:rsidRDefault="00AD6ABC" w:rsidP="00AD6ABC">
      <w:pPr>
        <w:pStyle w:val="TableDescription"/>
      </w:pPr>
      <w:r w:rsidRPr="00AD6ABC">
        <w:t xml:space="preserve">N = number of subjects; R10933 + R10987 = </w:t>
      </w:r>
      <w:proofErr w:type="spellStart"/>
      <w:r w:rsidRPr="00AD6ABC">
        <w:t>casirivimab</w:t>
      </w:r>
      <w:proofErr w:type="spellEnd"/>
      <w:r w:rsidRPr="00AD6ABC">
        <w:t xml:space="preserve"> + </w:t>
      </w:r>
      <w:proofErr w:type="spellStart"/>
      <w:r w:rsidRPr="00AD6ABC">
        <w:t>imdevimab</w:t>
      </w:r>
      <w:proofErr w:type="spellEnd"/>
      <w:r w:rsidRPr="00AD6ABC">
        <w:t>; TEAE = treatment emergent adverse events; COVID-19 = coronavirus disease 2019; AESI = adverse event of special interest.</w:t>
      </w:r>
    </w:p>
    <w:p w14:paraId="50DFCCB5" w14:textId="733AE627" w:rsidR="00AD6ABC" w:rsidRPr="00AD6ABC" w:rsidRDefault="00AD6ABC" w:rsidP="00AD6ABC">
      <w:pPr>
        <w:pStyle w:val="TableDescription"/>
      </w:pPr>
      <w:r w:rsidRPr="00AD6ABC">
        <w:t>MedDRA (Version 23.1) coding dictionary applied.</w:t>
      </w:r>
    </w:p>
    <w:p w14:paraId="359C567D" w14:textId="7ED59A62" w:rsidR="00AD6ABC" w:rsidRPr="00BB0979" w:rsidRDefault="00AD6ABC" w:rsidP="00BB0979">
      <w:pPr>
        <w:pStyle w:val="TableDescription"/>
      </w:pPr>
      <w:r w:rsidRPr="00AD6ABC">
        <w:t>Data cut-off date is 13 March 2021.</w:t>
      </w:r>
    </w:p>
    <w:p w14:paraId="58DBFE96" w14:textId="08E7D96C" w:rsidR="00146C2C" w:rsidRPr="006D790D" w:rsidRDefault="00146C2C" w:rsidP="00B1559C">
      <w:r w:rsidRPr="006D790D">
        <w:t xml:space="preserve">A greater proportion of participants experienced at least </w:t>
      </w:r>
      <w:r w:rsidR="00961D16" w:rsidRPr="006D790D">
        <w:t>one</w:t>
      </w:r>
      <w:r w:rsidRPr="006D790D">
        <w:t xml:space="preserve"> TEAE during the entire study period in the </w:t>
      </w:r>
      <w:proofErr w:type="spellStart"/>
      <w:r w:rsidRPr="006D790D">
        <w:t>casirivimab</w:t>
      </w:r>
      <w:proofErr w:type="spellEnd"/>
      <w:r w:rsidR="00EA28EF" w:rsidRPr="006D790D">
        <w:t>/</w:t>
      </w:r>
      <w:proofErr w:type="spellStart"/>
      <w:r w:rsidRPr="006D790D">
        <w:t>imdevimab</w:t>
      </w:r>
      <w:proofErr w:type="spellEnd"/>
      <w:r w:rsidRPr="006D790D">
        <w:t xml:space="preserve"> 1200 mg group (52.7%) than in the placebo group (46.3%). This imbalance is mainly due to the higher incidence of ISRs experienced by participants treated with </w:t>
      </w:r>
      <w:proofErr w:type="spellStart"/>
      <w:r w:rsidRPr="006D790D">
        <w:t>casirivimab</w:t>
      </w:r>
      <w:proofErr w:type="spellEnd"/>
      <w:r w:rsidR="00EA28EF" w:rsidRPr="006D790D">
        <w:t>/</w:t>
      </w:r>
      <w:proofErr w:type="spellStart"/>
      <w:r w:rsidRPr="006D790D">
        <w:t>imdevimab</w:t>
      </w:r>
      <w:proofErr w:type="spellEnd"/>
      <w:r w:rsidRPr="006D790D">
        <w:t xml:space="preserve"> 1200 mg (34.7%) compared to placebo (15.5%). All ISRs were mild or moderate in severity and most events resolved without treatment. More participants in the placebo group experienced a TEAE leading to study drug withdrawal than in the </w:t>
      </w:r>
      <w:proofErr w:type="spellStart"/>
      <w:r w:rsidRPr="006D790D">
        <w:t>casirivimab</w:t>
      </w:r>
      <w:proofErr w:type="spellEnd"/>
      <w:r w:rsidR="00EA28EF" w:rsidRPr="006D790D">
        <w:t>/</w:t>
      </w:r>
      <w:proofErr w:type="spellStart"/>
      <w:r w:rsidRPr="006D790D">
        <w:t>imdevimab</w:t>
      </w:r>
      <w:proofErr w:type="spellEnd"/>
      <w:r w:rsidRPr="006D790D">
        <w:t xml:space="preserve"> 1200 mg </w:t>
      </w:r>
      <w:r w:rsidR="00316746" w:rsidRPr="006D790D">
        <w:t>subcutaneous</w:t>
      </w:r>
      <w:r w:rsidRPr="006D790D">
        <w:t xml:space="preserve"> group. Additionally, there were few SAE</w:t>
      </w:r>
      <w:r w:rsidR="005F1707">
        <w:t>s</w:t>
      </w:r>
      <w:r w:rsidRPr="006D790D">
        <w:t xml:space="preserve"> (all considered not related to study drug by the investigator) and no AESI during the entire study period.</w:t>
      </w:r>
    </w:p>
    <w:p w14:paraId="0AC29A09" w14:textId="77777777" w:rsidR="00146C2C" w:rsidRPr="006D790D" w:rsidRDefault="00146C2C" w:rsidP="00AE38B2">
      <w:pPr>
        <w:pStyle w:val="Heading5"/>
      </w:pPr>
      <w:bookmarkStart w:id="115" w:name="_Toc84071975"/>
      <w:r w:rsidRPr="006D790D">
        <w:t>Serious adverse events and deaths</w:t>
      </w:r>
      <w:bookmarkEnd w:id="115"/>
    </w:p>
    <w:p w14:paraId="669C0111" w14:textId="180C57FE" w:rsidR="00146C2C" w:rsidRPr="006D790D" w:rsidRDefault="00146C2C" w:rsidP="00B1559C">
      <w:r w:rsidRPr="006D790D">
        <w:t xml:space="preserve">Across the submitted studies, there were 5 deaths reported in subjects in the </w:t>
      </w:r>
      <w:proofErr w:type="spellStart"/>
      <w:r w:rsidRPr="006D790D">
        <w:t>casirivimab</w:t>
      </w:r>
      <w:proofErr w:type="spellEnd"/>
      <w:r w:rsidR="00EA28EF" w:rsidRPr="006D790D">
        <w:t>/</w:t>
      </w:r>
      <w:proofErr w:type="spellStart"/>
      <w:r w:rsidRPr="006D790D">
        <w:t>imdevimab</w:t>
      </w:r>
      <w:proofErr w:type="spellEnd"/>
      <w:r w:rsidRPr="006D790D">
        <w:t xml:space="preserve"> groups, none of which were considered related to treatment.</w:t>
      </w:r>
    </w:p>
    <w:p w14:paraId="09E1D30E" w14:textId="32920007" w:rsidR="00146C2C" w:rsidRPr="006D790D" w:rsidRDefault="00146C2C" w:rsidP="00961D16">
      <w:pPr>
        <w:pStyle w:val="Heading6"/>
      </w:pPr>
      <w:r w:rsidRPr="006D790D">
        <w:t>Deaths in treatment studies</w:t>
      </w:r>
    </w:p>
    <w:p w14:paraId="376A6673" w14:textId="0E4DE68B" w:rsidR="00146C2C" w:rsidRPr="006D790D" w:rsidRDefault="00F40137" w:rsidP="00B1559C">
      <w:pPr>
        <w:pStyle w:val="ListBullet"/>
      </w:pPr>
      <w:r w:rsidRPr="006D790D">
        <w:t>Study </w:t>
      </w:r>
      <w:r w:rsidR="00146C2C" w:rsidRPr="006D790D">
        <w:t xml:space="preserve">COV-2067: 7 deaths were reported, of which 5 were in the placebo group. None were considered related to study treatment. The deaths in the active drug arms occurred in a </w:t>
      </w:r>
      <w:proofErr w:type="gramStart"/>
      <w:r w:rsidR="00146C2C" w:rsidRPr="006D790D">
        <w:t>60 year old</w:t>
      </w:r>
      <w:proofErr w:type="gramEnd"/>
      <w:r w:rsidR="00146C2C" w:rsidRPr="006D790D">
        <w:t xml:space="preserve"> male with </w:t>
      </w:r>
      <w:r w:rsidR="00961D16" w:rsidRPr="006D790D">
        <w:t>T</w:t>
      </w:r>
      <w:r w:rsidR="00146C2C" w:rsidRPr="006D790D">
        <w:t xml:space="preserve">ype 2 diabetes (died Day 19), and a 57 year old male with obesity and </w:t>
      </w:r>
      <w:r w:rsidR="00961D16" w:rsidRPr="006D790D">
        <w:t>T</w:t>
      </w:r>
      <w:r w:rsidR="00146C2C" w:rsidRPr="006D790D">
        <w:t>ype 2 diabetes (died Day 23).</w:t>
      </w:r>
    </w:p>
    <w:p w14:paraId="07E9239F" w14:textId="3C6F22F5" w:rsidR="00146C2C" w:rsidRPr="006D790D" w:rsidRDefault="00F40137" w:rsidP="00B1559C">
      <w:pPr>
        <w:pStyle w:val="ListBullet"/>
      </w:pPr>
      <w:r w:rsidRPr="006D790D">
        <w:t>Study </w:t>
      </w:r>
      <w:r w:rsidR="00146C2C" w:rsidRPr="006D790D">
        <w:t>COV-20145: there were no deaths reported in any of the treatment groups.</w:t>
      </w:r>
    </w:p>
    <w:p w14:paraId="16083613" w14:textId="2617E137" w:rsidR="00146C2C" w:rsidRPr="006D790D" w:rsidRDefault="00146C2C" w:rsidP="00961D16">
      <w:pPr>
        <w:pStyle w:val="Heading6"/>
      </w:pPr>
      <w:r w:rsidRPr="006D790D">
        <w:t>Deaths in prophylaxis studies</w:t>
      </w:r>
    </w:p>
    <w:p w14:paraId="540F29ED" w14:textId="254AD151" w:rsidR="00146C2C" w:rsidRPr="006D790D" w:rsidRDefault="00146C2C" w:rsidP="00B1559C">
      <w:pPr>
        <w:pStyle w:val="ListBullet"/>
        <w:rPr>
          <w:bCs/>
        </w:rPr>
      </w:pPr>
      <w:r w:rsidRPr="006D790D">
        <w:rPr>
          <w:bCs/>
        </w:rPr>
        <w:t xml:space="preserve">In </w:t>
      </w:r>
      <w:r w:rsidR="00F40137" w:rsidRPr="006D790D">
        <w:t>Study </w:t>
      </w:r>
      <w:r w:rsidRPr="006D790D">
        <w:rPr>
          <w:bCs/>
        </w:rPr>
        <w:t xml:space="preserve">COV-2069, there were </w:t>
      </w:r>
      <w:r w:rsidRPr="006D790D">
        <w:t xml:space="preserve">2 (0.2%) participants in each treatment group in Cohort A who died during the study, none were considered treatment related, The deaths in the active treatment arms occurred in a 62 year old woman with acute </w:t>
      </w:r>
      <w:r w:rsidR="00961D16" w:rsidRPr="006D790D">
        <w:t xml:space="preserve">myocardial infarction </w:t>
      </w:r>
      <w:r w:rsidRPr="006D790D">
        <w:t>and congestive cardiac failure (Day 59) and a 58 year old male with sudden death (Day</w:t>
      </w:r>
      <w:r w:rsidR="00961D16" w:rsidRPr="006D790D">
        <w:t> </w:t>
      </w:r>
      <w:r w:rsidRPr="006D790D">
        <w:t>80). Both participants had relevant medical history. There were no deaths in Cohort B.</w:t>
      </w:r>
    </w:p>
    <w:p w14:paraId="64C85DAF" w14:textId="46AD0D62" w:rsidR="00146C2C" w:rsidRPr="006D790D" w:rsidRDefault="00146C2C" w:rsidP="00B1559C">
      <w:pPr>
        <w:pStyle w:val="ListBullet"/>
        <w:rPr>
          <w:bCs/>
        </w:rPr>
      </w:pPr>
      <w:r w:rsidRPr="006D790D">
        <w:rPr>
          <w:bCs/>
        </w:rPr>
        <w:t>In</w:t>
      </w:r>
      <w:r w:rsidR="003C331A" w:rsidRPr="006D790D">
        <w:rPr>
          <w:rFonts w:eastAsiaTheme="minorHAnsi"/>
        </w:rPr>
        <w:t xml:space="preserve"> Study </w:t>
      </w:r>
      <w:r w:rsidRPr="006D790D">
        <w:rPr>
          <w:bCs/>
        </w:rPr>
        <w:t xml:space="preserve">HV-2093 there were no deaths during the treatment period and </w:t>
      </w:r>
      <w:r w:rsidRPr="006D790D">
        <w:rPr>
          <w:rFonts w:asciiTheme="minorHAnsi" w:eastAsia="TimesNewRomanPSMT" w:hAnsiTheme="minorHAnsi" w:cs="TimesNewRomanPSMT"/>
          <w:color w:val="000000"/>
        </w:rPr>
        <w:t xml:space="preserve">there was a single death during the follow-up period. A participant in the </w:t>
      </w:r>
      <w:proofErr w:type="spellStart"/>
      <w:r w:rsidRPr="006D790D">
        <w:rPr>
          <w:rFonts w:asciiTheme="minorHAnsi" w:eastAsia="TimesNewRomanPSMT" w:hAnsiTheme="minorHAnsi" w:cs="TimesNewRomanPSMT"/>
          <w:color w:val="000000"/>
        </w:rPr>
        <w:t>casirivimab</w:t>
      </w:r>
      <w:proofErr w:type="spellEnd"/>
      <w:r w:rsidR="00EA28EF" w:rsidRPr="006D790D">
        <w:t>/</w:t>
      </w:r>
      <w:proofErr w:type="spellStart"/>
      <w:r w:rsidRPr="006D790D">
        <w:rPr>
          <w:rFonts w:asciiTheme="minorHAnsi" w:eastAsia="TimesNewRomanPSMT" w:hAnsiTheme="minorHAnsi" w:cs="TimesNewRomanPSMT"/>
          <w:color w:val="000000"/>
        </w:rPr>
        <w:t>imdevimab</w:t>
      </w:r>
      <w:proofErr w:type="spellEnd"/>
      <w:r w:rsidRPr="006D790D">
        <w:rPr>
          <w:rFonts w:asciiTheme="minorHAnsi" w:eastAsia="TimesNewRomanPSMT" w:hAnsiTheme="minorHAnsi" w:cs="TimesNewRomanPSMT"/>
          <w:color w:val="000000"/>
        </w:rPr>
        <w:t xml:space="preserve"> 1200 mg group experienced a grade 5 fatal TEAE of </w:t>
      </w:r>
      <w:r w:rsidR="00961D16" w:rsidRPr="006D790D">
        <w:rPr>
          <w:rFonts w:asciiTheme="minorHAnsi" w:eastAsia="TimesNewRomanPSMT" w:hAnsiTheme="minorHAnsi" w:cs="TimesNewRomanPSMT"/>
          <w:color w:val="000000"/>
        </w:rPr>
        <w:t xml:space="preserve">diabetic complication </w:t>
      </w:r>
      <w:r w:rsidRPr="006D790D">
        <w:rPr>
          <w:rFonts w:asciiTheme="minorHAnsi" w:eastAsia="TimesNewRomanPSMT" w:hAnsiTheme="minorHAnsi" w:cs="TimesNewRomanPSMT"/>
          <w:color w:val="000000"/>
        </w:rPr>
        <w:t xml:space="preserve">on </w:t>
      </w:r>
      <w:r w:rsidR="00961D16" w:rsidRPr="006D790D">
        <w:rPr>
          <w:rFonts w:asciiTheme="minorHAnsi" w:eastAsia="TimesNewRomanPSMT" w:hAnsiTheme="minorHAnsi" w:cs="TimesNewRomanPSMT"/>
          <w:color w:val="000000"/>
        </w:rPr>
        <w:t>S</w:t>
      </w:r>
      <w:r w:rsidRPr="006D790D">
        <w:rPr>
          <w:rFonts w:asciiTheme="minorHAnsi" w:eastAsia="TimesNewRomanPSMT" w:hAnsiTheme="minorHAnsi" w:cs="TimesNewRomanPSMT"/>
          <w:color w:val="000000"/>
        </w:rPr>
        <w:t>tudy</w:t>
      </w:r>
      <w:r w:rsidR="005F1707">
        <w:rPr>
          <w:rFonts w:asciiTheme="minorHAnsi" w:eastAsia="TimesNewRomanPSMT" w:hAnsiTheme="minorHAnsi" w:cs="TimesNewRomanPSMT"/>
          <w:color w:val="000000"/>
        </w:rPr>
        <w:t> </w:t>
      </w:r>
      <w:r w:rsidR="00961D16" w:rsidRPr="006D790D">
        <w:rPr>
          <w:rFonts w:asciiTheme="minorHAnsi" w:eastAsia="TimesNewRomanPSMT" w:hAnsiTheme="minorHAnsi" w:cs="TimesNewRomanPSMT"/>
          <w:color w:val="000000"/>
        </w:rPr>
        <w:t>D</w:t>
      </w:r>
      <w:r w:rsidRPr="006D790D">
        <w:rPr>
          <w:rFonts w:asciiTheme="minorHAnsi" w:eastAsia="TimesNewRomanPSMT" w:hAnsiTheme="minorHAnsi" w:cs="TimesNewRomanPSMT"/>
          <w:color w:val="000000"/>
        </w:rPr>
        <w:t>ay</w:t>
      </w:r>
      <w:r w:rsidR="00961D16" w:rsidRPr="006D790D">
        <w:rPr>
          <w:rFonts w:asciiTheme="minorHAnsi" w:eastAsia="TimesNewRomanPSMT" w:hAnsiTheme="minorHAnsi" w:cs="TimesNewRomanPSMT"/>
          <w:color w:val="000000"/>
        </w:rPr>
        <w:t> </w:t>
      </w:r>
      <w:r w:rsidRPr="006D790D">
        <w:rPr>
          <w:rFonts w:asciiTheme="minorHAnsi" w:eastAsia="TimesNewRomanPSMT" w:hAnsiTheme="minorHAnsi" w:cs="TimesNewRomanPSMT"/>
          <w:color w:val="000000"/>
        </w:rPr>
        <w:t>171, which was assessed as not related to study drug.</w:t>
      </w:r>
    </w:p>
    <w:p w14:paraId="75BEF4B0" w14:textId="0009226A" w:rsidR="00146C2C" w:rsidRPr="006D790D" w:rsidRDefault="00146C2C" w:rsidP="00B1559C">
      <w:r w:rsidRPr="006D790D">
        <w:lastRenderedPageBreak/>
        <w:t xml:space="preserve">An additional 5 deaths were reported in the </w:t>
      </w:r>
      <w:r w:rsidR="005F1707">
        <w:t>compassionate use</w:t>
      </w:r>
      <w:r w:rsidR="005F1707" w:rsidRPr="006D790D">
        <w:t xml:space="preserve"> </w:t>
      </w:r>
      <w:r w:rsidRPr="006D790D">
        <w:t>program. All events were related to COVID-19 and were not considered treatment related.</w:t>
      </w:r>
    </w:p>
    <w:p w14:paraId="39BDF647" w14:textId="4FBFE5CC" w:rsidR="00146C2C" w:rsidRPr="006D790D" w:rsidRDefault="0099246E" w:rsidP="00B1559C">
      <w:r w:rsidRPr="006D790D">
        <w:t>Serious adverse events</w:t>
      </w:r>
      <w:r w:rsidR="00146C2C" w:rsidRPr="006D790D">
        <w:t xml:space="preserve"> were overall infrequent. The pattern of SAE</w:t>
      </w:r>
      <w:r w:rsidR="005F1707">
        <w:t>s</w:t>
      </w:r>
      <w:r w:rsidR="00146C2C" w:rsidRPr="006D790D">
        <w:t xml:space="preserve"> differed according to the different treatment populations.</w:t>
      </w:r>
    </w:p>
    <w:p w14:paraId="479DE2D3" w14:textId="1322A148" w:rsidR="00146C2C" w:rsidRPr="006D790D" w:rsidRDefault="0099246E" w:rsidP="00AE38B2">
      <w:pPr>
        <w:pStyle w:val="Heading6"/>
      </w:pPr>
      <w:r w:rsidRPr="006D790D">
        <w:t>Serious adverse events</w:t>
      </w:r>
      <w:r w:rsidR="00146C2C" w:rsidRPr="006D790D">
        <w:t xml:space="preserve"> in treatment studies</w:t>
      </w:r>
    </w:p>
    <w:p w14:paraId="0F139B1D" w14:textId="7979E830" w:rsidR="00146C2C" w:rsidRPr="006D790D" w:rsidRDefault="00146C2C" w:rsidP="00B1559C">
      <w:r w:rsidRPr="006D790D">
        <w:t xml:space="preserve">In </w:t>
      </w:r>
      <w:r w:rsidR="00F40137" w:rsidRPr="006D790D">
        <w:t>Study </w:t>
      </w:r>
      <w:r w:rsidRPr="006D790D">
        <w:t>COV-2067, the incidence of SAE</w:t>
      </w:r>
      <w:r w:rsidR="005F1707">
        <w:t>s</w:t>
      </w:r>
      <w:r w:rsidRPr="006D790D">
        <w:t xml:space="preserve"> was higher in the placebo group compared to the </w:t>
      </w:r>
      <w:proofErr w:type="spellStart"/>
      <w:r w:rsidRPr="006D790D">
        <w:t>casirivimab</w:t>
      </w:r>
      <w:proofErr w:type="spellEnd"/>
      <w:r w:rsidR="00EA28EF" w:rsidRPr="006D790D">
        <w:t>/</w:t>
      </w:r>
      <w:proofErr w:type="spellStart"/>
      <w:r w:rsidRPr="006D790D">
        <w:t>imdevimab</w:t>
      </w:r>
      <w:proofErr w:type="spellEnd"/>
      <w:r w:rsidRPr="006D790D">
        <w:t xml:space="preserve"> groups (3.8% placebo </w:t>
      </w:r>
      <w:r w:rsidR="00316746" w:rsidRPr="006D790D">
        <w:t>versus</w:t>
      </w:r>
      <w:r w:rsidRPr="006D790D">
        <w:t xml:space="preserve"> 2.2% combined </w:t>
      </w:r>
      <w:proofErr w:type="spellStart"/>
      <w:r w:rsidRPr="006D790D">
        <w:t>casirivimab</w:t>
      </w:r>
      <w:proofErr w:type="spellEnd"/>
      <w:r w:rsidR="00EA28EF" w:rsidRPr="006D790D">
        <w:t>/</w:t>
      </w:r>
      <w:proofErr w:type="spellStart"/>
      <w:r w:rsidRPr="006D790D">
        <w:t>imdevimab</w:t>
      </w:r>
      <w:proofErr w:type="spellEnd"/>
      <w:r w:rsidRPr="006D790D">
        <w:t xml:space="preserve"> groups). The most frequently reported SAE in all treatment groups were COVID-19 related, so the imbalance between placebo and active groups for SAE</w:t>
      </w:r>
      <w:r w:rsidR="005F1707">
        <w:t>s</w:t>
      </w:r>
      <w:r w:rsidRPr="006D790D">
        <w:t xml:space="preserve"> may be reflective of the clinical efficacy. </w:t>
      </w:r>
      <w:r w:rsidR="005F1707">
        <w:t>Two</w:t>
      </w:r>
      <w:r w:rsidRPr="006D790D">
        <w:t xml:space="preserve"> subjects (one in 2400</w:t>
      </w:r>
      <w:r w:rsidR="00961D16" w:rsidRPr="006D790D">
        <w:t> </w:t>
      </w:r>
      <w:r w:rsidRPr="006D790D">
        <w:t>mg group and one in 8000</w:t>
      </w:r>
      <w:r w:rsidR="00961D16" w:rsidRPr="006D790D">
        <w:t> </w:t>
      </w:r>
      <w:r w:rsidRPr="006D790D">
        <w:t>mg group) reported SAE considered treatment</w:t>
      </w:r>
      <w:r w:rsidR="00961D16" w:rsidRPr="006D790D">
        <w:t xml:space="preserve"> </w:t>
      </w:r>
      <w:r w:rsidRPr="006D790D">
        <w:t>related by the investigator: one with worsening of underlying COVID-19, and one with nausea, vomiting, hyporesponsive to stimuli and hyperhidrosis. Across all treatment groups, participants with baseline risk factors for severe COVID-19 had higher rates of SAE</w:t>
      </w:r>
      <w:r w:rsidR="005F1707">
        <w:t>s</w:t>
      </w:r>
      <w:r w:rsidRPr="006D790D">
        <w:t xml:space="preserve"> compared to those without baseline risk factors, consistent with their baseline risk and the observation that most SAE</w:t>
      </w:r>
      <w:r w:rsidR="005F1707">
        <w:t>s</w:t>
      </w:r>
      <w:r w:rsidRPr="006D790D">
        <w:t xml:space="preserve"> were COVID-19 related.</w:t>
      </w:r>
    </w:p>
    <w:p w14:paraId="7E324E92" w14:textId="435D9C2E" w:rsidR="00146C2C" w:rsidRPr="006D790D" w:rsidRDefault="00D5326E" w:rsidP="00C05180">
      <w:pPr>
        <w:pStyle w:val="TableTitle"/>
        <w:rPr>
          <w:bCs/>
        </w:rPr>
      </w:pPr>
      <w:r w:rsidRPr="006D790D">
        <w:t xml:space="preserve">Table </w:t>
      </w:r>
      <w:fldSimple w:instr=" SEQ Table \* ARABIC ">
        <w:r w:rsidR="007F1879">
          <w:rPr>
            <w:noProof/>
          </w:rPr>
          <w:t>36</w:t>
        </w:r>
      </w:fldSimple>
      <w:r w:rsidR="00146C2C" w:rsidRPr="006D790D">
        <w:t xml:space="preserve">: </w:t>
      </w:r>
      <w:r w:rsidR="00030A65" w:rsidRPr="006D790D">
        <w:t xml:space="preserve">Study COV-2067 </w:t>
      </w:r>
      <w:r w:rsidR="00146C2C" w:rsidRPr="006D790D">
        <w:t xml:space="preserve">Summary of </w:t>
      </w:r>
      <w:r w:rsidR="00030A65" w:rsidRPr="006D790D">
        <w:t xml:space="preserve">serious adverse event </w:t>
      </w:r>
      <w:r w:rsidR="00146C2C" w:rsidRPr="006D790D">
        <w:t>from Day</w:t>
      </w:r>
      <w:r w:rsidR="00961D16" w:rsidRPr="006D790D">
        <w:t> </w:t>
      </w:r>
      <w:r w:rsidR="00146C2C" w:rsidRPr="006D790D">
        <w:t xml:space="preserve">1 to last available data, </w:t>
      </w:r>
      <w:r w:rsidR="00030A65" w:rsidRPr="006D790D">
        <w:t xml:space="preserve">pooled </w:t>
      </w:r>
      <w:r w:rsidR="00146C2C" w:rsidRPr="006D790D">
        <w:t xml:space="preserve">Phase </w:t>
      </w:r>
      <w:r w:rsidR="00AF6815" w:rsidRPr="006D790D">
        <w:t>I/II/III</w:t>
      </w:r>
      <w:r w:rsidR="00146C2C" w:rsidRPr="006D790D">
        <w:t xml:space="preserve"> (symptomatic patients), reported in &gt;</w:t>
      </w:r>
      <w:r w:rsidR="00961D16" w:rsidRPr="006D790D">
        <w:t> </w:t>
      </w:r>
      <w:r w:rsidR="00146C2C" w:rsidRPr="006D790D">
        <w:t>1</w:t>
      </w:r>
      <w:r w:rsidR="00961D16" w:rsidRPr="006D790D">
        <w:t> </w:t>
      </w:r>
      <w:r w:rsidR="00146C2C" w:rsidRPr="006D790D">
        <w:t>participant (</w:t>
      </w:r>
      <w:r w:rsidR="00030A65" w:rsidRPr="006D790D">
        <w:t>safety analysis population</w:t>
      </w:r>
      <w:r w:rsidR="00146C2C" w:rsidRPr="006D790D">
        <w:t>)</w:t>
      </w:r>
    </w:p>
    <w:p w14:paraId="6AFD293A" w14:textId="5D55831A" w:rsidR="00146C2C" w:rsidRDefault="00146C2C" w:rsidP="00146C2C">
      <w:pPr>
        <w:rPr>
          <w:bCs/>
        </w:rPr>
      </w:pPr>
      <w:r w:rsidRPr="006D790D">
        <w:rPr>
          <w:noProof/>
          <w:lang w:val="en-GB" w:eastAsia="en-GB"/>
        </w:rPr>
        <w:drawing>
          <wp:inline distT="0" distB="0" distL="0" distR="0" wp14:anchorId="7D26A624" wp14:editId="065EC319">
            <wp:extent cx="5521960" cy="3757188"/>
            <wp:effectExtent l="0" t="0" r="2540" b="0"/>
            <wp:docPr id="83" name="Picture 83" descr="Study COV-2067 Summary of serious adverse event from Day 1 to last available data, pooled Phase I/II/III (symptomatic patients), reported in &gt; 1 participant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Study COV-2067 Summary of serious adverse event from Day 1 to last available data, pooled Phase I/II/III (symptomatic patients), reported in &gt; 1 participant (safety analysis population)"/>
                    <pic:cNvPicPr/>
                  </pic:nvPicPr>
                  <pic:blipFill rotWithShape="1">
                    <a:blip r:embed="rId68"/>
                    <a:srcRect t="7961" b="15968"/>
                    <a:stretch/>
                  </pic:blipFill>
                  <pic:spPr bwMode="auto">
                    <a:xfrm>
                      <a:off x="0" y="0"/>
                      <a:ext cx="5558583" cy="3782107"/>
                    </a:xfrm>
                    <a:prstGeom prst="rect">
                      <a:avLst/>
                    </a:prstGeom>
                    <a:ln>
                      <a:noFill/>
                    </a:ln>
                    <a:extLst>
                      <a:ext uri="{53640926-AAD7-44D8-BBD7-CCE9431645EC}">
                        <a14:shadowObscured xmlns:a14="http://schemas.microsoft.com/office/drawing/2010/main"/>
                      </a:ext>
                    </a:extLst>
                  </pic:spPr>
                </pic:pic>
              </a:graphicData>
            </a:graphic>
          </wp:inline>
        </w:drawing>
      </w:r>
    </w:p>
    <w:p w14:paraId="05507091" w14:textId="1C223DBA" w:rsidR="00AD6ABC" w:rsidRPr="00F10E2C" w:rsidRDefault="00AD6ABC" w:rsidP="00F10E2C">
      <w:pPr>
        <w:pStyle w:val="TableDescription"/>
      </w:pPr>
      <w:r w:rsidRPr="00F10E2C">
        <w:t xml:space="preserve">R10933 + R10987 = </w:t>
      </w:r>
      <w:proofErr w:type="spellStart"/>
      <w:r w:rsidRPr="00F10E2C">
        <w:t>casirivimab</w:t>
      </w:r>
      <w:proofErr w:type="spellEnd"/>
      <w:r w:rsidRPr="00F10E2C">
        <w:t xml:space="preserve"> + </w:t>
      </w:r>
      <w:proofErr w:type="spellStart"/>
      <w:r w:rsidRPr="00F10E2C">
        <w:t>imdevimab</w:t>
      </w:r>
      <w:proofErr w:type="spellEnd"/>
      <w:r w:rsidRPr="00F10E2C">
        <w:t>; N = number of subjects;</w:t>
      </w:r>
      <w:r w:rsidR="00F10E2C" w:rsidRPr="00F10E2C">
        <w:t xml:space="preserve"> IV = intravenous; </w:t>
      </w:r>
      <w:r w:rsidRPr="00F10E2C">
        <w:t>TEAE = treatment emergent adverse events; COVID-19 = coronavirus disease 2019</w:t>
      </w:r>
      <w:r w:rsidR="00F10E2C" w:rsidRPr="00F10E2C">
        <w:t>.</w:t>
      </w:r>
    </w:p>
    <w:p w14:paraId="68A6D5F8" w14:textId="2191DD0E" w:rsidR="00F10E2C" w:rsidRPr="00F10E2C" w:rsidRDefault="00F10E2C" w:rsidP="00F10E2C">
      <w:pPr>
        <w:pStyle w:val="TableDescription"/>
      </w:pPr>
      <w:r w:rsidRPr="00F10E2C">
        <w:t>Randomised patient through 17 January 2021. Data cut-off date is 18 February 2021.</w:t>
      </w:r>
    </w:p>
    <w:p w14:paraId="349374DB" w14:textId="7E41657B" w:rsidR="00D37FA5" w:rsidRPr="00F10E2C" w:rsidRDefault="00D37FA5" w:rsidP="00F10E2C">
      <w:pPr>
        <w:pStyle w:val="TableDescription"/>
      </w:pPr>
      <w:r w:rsidRPr="00F10E2C">
        <w:t>MedDRA (Version 23.1) coding dictionary applied.</w:t>
      </w:r>
    </w:p>
    <w:p w14:paraId="0B18745A" w14:textId="007AFDC0" w:rsidR="00F10E2C" w:rsidRPr="00F10E2C" w:rsidRDefault="00D37FA5" w:rsidP="00F10E2C">
      <w:pPr>
        <w:pStyle w:val="TableDescription"/>
      </w:pPr>
      <w:r w:rsidRPr="00F10E2C">
        <w:t xml:space="preserve">A patient who reported 2 or more adverse events with different </w:t>
      </w:r>
      <w:r w:rsidR="00F10E2C" w:rsidRPr="00F10E2C">
        <w:t xml:space="preserve">Preferred Terms </w:t>
      </w:r>
      <w:r w:rsidRPr="00F10E2C">
        <w:t xml:space="preserve">within the </w:t>
      </w:r>
      <w:r w:rsidR="00F10E2C" w:rsidRPr="00F10E2C">
        <w:t>same System Organ Class</w:t>
      </w:r>
      <w:r w:rsidRPr="00F10E2C">
        <w:t xml:space="preserve"> is counties only once in that </w:t>
      </w:r>
      <w:r w:rsidR="00F10E2C" w:rsidRPr="00F10E2C">
        <w:t>System Organ Class</w:t>
      </w:r>
      <w:r w:rsidRPr="00F10E2C">
        <w:t xml:space="preserve">. A patient who reported </w:t>
      </w:r>
      <w:r w:rsidR="00F10E2C" w:rsidRPr="00F10E2C">
        <w:t>2 or</w:t>
      </w:r>
      <w:r w:rsidRPr="00F10E2C">
        <w:t xml:space="preserve"> more adverse events with the same </w:t>
      </w:r>
      <w:r w:rsidR="00F10E2C" w:rsidRPr="00F10E2C">
        <w:t xml:space="preserve">Preferred Term </w:t>
      </w:r>
      <w:r w:rsidRPr="00F10E2C">
        <w:t>is counted only once for that term.</w:t>
      </w:r>
    </w:p>
    <w:p w14:paraId="7E604110" w14:textId="7933691E" w:rsidR="00D37FA5" w:rsidRPr="00F10E2C" w:rsidRDefault="00D37FA5" w:rsidP="00F10E2C">
      <w:pPr>
        <w:pStyle w:val="TableDescription"/>
      </w:pPr>
      <w:r w:rsidRPr="00F10E2C">
        <w:t xml:space="preserve">Primary </w:t>
      </w:r>
      <w:r w:rsidR="00F10E2C" w:rsidRPr="00F10E2C">
        <w:t xml:space="preserve">System Organ Classes </w:t>
      </w:r>
      <w:r w:rsidRPr="00F10E2C">
        <w:t>are ordered by decreasing frequency in a combined active treatment column</w:t>
      </w:r>
      <w:r w:rsidR="00F10E2C" w:rsidRPr="00F10E2C">
        <w:t>. W</w:t>
      </w:r>
      <w:r w:rsidRPr="00F10E2C">
        <w:t xml:space="preserve">ithin each </w:t>
      </w:r>
      <w:r w:rsidR="00F10E2C" w:rsidRPr="00F10E2C">
        <w:t xml:space="preserve">System Organ Class, Preferred Terms </w:t>
      </w:r>
      <w:r w:rsidRPr="00F10E2C">
        <w:t>sorted by decreasing frequency.</w:t>
      </w:r>
    </w:p>
    <w:p w14:paraId="0D238F62" w14:textId="414B9346" w:rsidR="00146C2C" w:rsidRPr="006D790D" w:rsidRDefault="00146C2C" w:rsidP="00B1559C">
      <w:r w:rsidRPr="006D790D">
        <w:lastRenderedPageBreak/>
        <w:t xml:space="preserve">In </w:t>
      </w:r>
      <w:r w:rsidR="00F40137" w:rsidRPr="006D790D">
        <w:t>Study </w:t>
      </w:r>
      <w:r w:rsidRPr="006D790D">
        <w:t xml:space="preserve">COV-20145, two participants (one each in the </w:t>
      </w:r>
      <w:proofErr w:type="spellStart"/>
      <w:r w:rsidRPr="006D790D">
        <w:t>casirivimab</w:t>
      </w:r>
      <w:proofErr w:type="spellEnd"/>
      <w:r w:rsidR="00EA28EF" w:rsidRPr="006D790D">
        <w:t>/</w:t>
      </w:r>
      <w:proofErr w:type="spellStart"/>
      <w:r w:rsidRPr="006D790D">
        <w:t>imdevimab</w:t>
      </w:r>
      <w:proofErr w:type="spellEnd"/>
      <w:r w:rsidRPr="006D790D">
        <w:t xml:space="preserve"> 1200</w:t>
      </w:r>
      <w:r w:rsidR="00961D16" w:rsidRPr="006D790D">
        <w:t> </w:t>
      </w:r>
      <w:r w:rsidRPr="006D790D">
        <w:t xml:space="preserve">mg </w:t>
      </w:r>
      <w:r w:rsidR="00F43ACD" w:rsidRPr="006D790D">
        <w:t>intravenous</w:t>
      </w:r>
      <w:r w:rsidRPr="006D790D">
        <w:t xml:space="preserve"> and 2400</w:t>
      </w:r>
      <w:r w:rsidR="00961D16" w:rsidRPr="006D790D">
        <w:t> </w:t>
      </w:r>
      <w:r w:rsidRPr="006D790D">
        <w:t xml:space="preserve">mg </w:t>
      </w:r>
      <w:r w:rsidR="00F43ACD" w:rsidRPr="006D790D">
        <w:t>intravenous</w:t>
      </w:r>
      <w:r w:rsidRPr="006D790D">
        <w:t xml:space="preserve"> groups) experienced an SAE. Both participants had a spontaneous abortion (miscarriage), neither </w:t>
      </w:r>
      <w:proofErr w:type="gramStart"/>
      <w:r w:rsidRPr="006D790D">
        <w:t>was considered to be</w:t>
      </w:r>
      <w:proofErr w:type="gramEnd"/>
      <w:r w:rsidRPr="006D790D">
        <w:t xml:space="preserve"> related to study treatment. There were no SAE</w:t>
      </w:r>
      <w:r w:rsidR="00D37FA5">
        <w:t>s</w:t>
      </w:r>
      <w:r w:rsidRPr="006D790D">
        <w:t xml:space="preserve"> with </w:t>
      </w:r>
      <w:r w:rsidR="00316746" w:rsidRPr="006D790D">
        <w:t>subcutaneous</w:t>
      </w:r>
      <w:r w:rsidRPr="006D790D">
        <w:t xml:space="preserve"> administration of </w:t>
      </w:r>
      <w:proofErr w:type="spellStart"/>
      <w:r w:rsidRPr="006D790D">
        <w:t>casirivimab</w:t>
      </w:r>
      <w:proofErr w:type="spellEnd"/>
      <w:r w:rsidR="00EA28EF" w:rsidRPr="006D790D">
        <w:t>/</w:t>
      </w:r>
      <w:proofErr w:type="spellStart"/>
      <w:r w:rsidRPr="006D790D">
        <w:t>imdevimab</w:t>
      </w:r>
      <w:proofErr w:type="spellEnd"/>
      <w:r w:rsidRPr="006D790D">
        <w:t xml:space="preserve"> in this study.</w:t>
      </w:r>
    </w:p>
    <w:p w14:paraId="28405914" w14:textId="5DB97D71" w:rsidR="00146C2C" w:rsidRPr="006D790D" w:rsidRDefault="0099246E" w:rsidP="00AE38B2">
      <w:pPr>
        <w:pStyle w:val="Heading6"/>
      </w:pPr>
      <w:r w:rsidRPr="006D790D">
        <w:t>Serious adverse events</w:t>
      </w:r>
      <w:r w:rsidR="00146C2C" w:rsidRPr="006D790D">
        <w:t xml:space="preserve"> in prophylaxis studies</w:t>
      </w:r>
    </w:p>
    <w:p w14:paraId="47A609C4" w14:textId="2EEB942C" w:rsidR="00146C2C" w:rsidRPr="006D790D" w:rsidRDefault="00146C2C" w:rsidP="00B1559C">
      <w:r w:rsidRPr="006D790D">
        <w:t xml:space="preserve">In </w:t>
      </w:r>
      <w:r w:rsidR="00F40137" w:rsidRPr="006D790D">
        <w:t>Study </w:t>
      </w:r>
      <w:r w:rsidRPr="006D790D">
        <w:t xml:space="preserve">COV-2069 Cohort A, SAE were infrequent (0.8% with </w:t>
      </w:r>
      <w:proofErr w:type="spellStart"/>
      <w:r w:rsidRPr="006D790D">
        <w:t>casirivimab</w:t>
      </w:r>
      <w:proofErr w:type="spellEnd"/>
      <w:r w:rsidR="00EA28EF" w:rsidRPr="006D790D">
        <w:t>/</w:t>
      </w:r>
      <w:proofErr w:type="spellStart"/>
      <w:r w:rsidRPr="006D790D">
        <w:t>imdevimab</w:t>
      </w:r>
      <w:proofErr w:type="spellEnd"/>
      <w:r w:rsidRPr="006D790D">
        <w:t>, 1.1% with placebo). COVID-19 and COVID-19 pneumonia events appear to be driving the imbalance observed with placebo. No SAE</w:t>
      </w:r>
      <w:r w:rsidR="00D37FA5">
        <w:t>s</w:t>
      </w:r>
      <w:r w:rsidRPr="006D790D">
        <w:t xml:space="preserve"> were reported in the active treatment arm in Cohort B.</w:t>
      </w:r>
    </w:p>
    <w:p w14:paraId="47D17234" w14:textId="7FB1A748" w:rsidR="00146C2C" w:rsidRDefault="00D5326E" w:rsidP="00C05180">
      <w:pPr>
        <w:pStyle w:val="TableTitle"/>
      </w:pPr>
      <w:r w:rsidRPr="006D790D">
        <w:t xml:space="preserve">Table </w:t>
      </w:r>
      <w:fldSimple w:instr=" SEQ Table \* ARABIC ">
        <w:r w:rsidR="007F1879">
          <w:rPr>
            <w:noProof/>
          </w:rPr>
          <w:t>37</w:t>
        </w:r>
      </w:fldSimple>
      <w:r w:rsidR="00146C2C" w:rsidRPr="006D790D">
        <w:t xml:space="preserve">: </w:t>
      </w:r>
      <w:r w:rsidR="00C05180" w:rsidRPr="006D790D">
        <w:t xml:space="preserve">Study COV-2069 </w:t>
      </w:r>
      <w:r w:rsidR="00146C2C" w:rsidRPr="006D790D">
        <w:t xml:space="preserve">Summary of </w:t>
      </w:r>
      <w:r w:rsidR="00C05180" w:rsidRPr="006D790D">
        <w:t>serious adverse events</w:t>
      </w:r>
      <w:r w:rsidR="00146C2C" w:rsidRPr="006D790D">
        <w:t>, overall study period (</w:t>
      </w:r>
      <w:r w:rsidR="00030A65" w:rsidRPr="006D790D">
        <w:t xml:space="preserve">safety analysis population </w:t>
      </w:r>
      <w:r w:rsidR="00146C2C" w:rsidRPr="006D790D">
        <w:t>A)</w:t>
      </w:r>
    </w:p>
    <w:p w14:paraId="318E540F" w14:textId="6D965297" w:rsidR="00F10E2C" w:rsidRPr="006D790D" w:rsidRDefault="00F10E2C" w:rsidP="00890DD9">
      <w:pPr>
        <w:rPr>
          <w:bCs/>
        </w:rPr>
      </w:pPr>
      <w:r>
        <w:rPr>
          <w:noProof/>
        </w:rPr>
        <w:drawing>
          <wp:inline distT="0" distB="0" distL="0" distR="0" wp14:anchorId="3AEB4F69" wp14:editId="2F23EE29">
            <wp:extent cx="5400040" cy="6274435"/>
            <wp:effectExtent l="0" t="0" r="0" b="0"/>
            <wp:docPr id="84" name="Picture 84" descr="Study COV-2069 Summary of serious adverse events, overall study period (safety analysis populatio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tudy COV-2069 Summary of serious adverse events, overall study period (safety analysis population A)"/>
                    <pic:cNvPicPr/>
                  </pic:nvPicPr>
                  <pic:blipFill>
                    <a:blip r:embed="rId69"/>
                    <a:stretch>
                      <a:fillRect/>
                    </a:stretch>
                  </pic:blipFill>
                  <pic:spPr>
                    <a:xfrm>
                      <a:off x="0" y="0"/>
                      <a:ext cx="5400040" cy="6274435"/>
                    </a:xfrm>
                    <a:prstGeom prst="rect">
                      <a:avLst/>
                    </a:prstGeom>
                  </pic:spPr>
                </pic:pic>
              </a:graphicData>
            </a:graphic>
          </wp:inline>
        </w:drawing>
      </w:r>
    </w:p>
    <w:p w14:paraId="4917121A" w14:textId="39C56C2B" w:rsidR="00146C2C" w:rsidRPr="006D790D" w:rsidRDefault="00F10E2C" w:rsidP="00BB0979">
      <w:pPr>
        <w:pStyle w:val="TableDescription"/>
      </w:pPr>
      <w:r w:rsidRPr="00F10E2C">
        <w:t>N = number of subjects</w:t>
      </w:r>
      <w:r>
        <w:t xml:space="preserve">; </w:t>
      </w:r>
      <w:r w:rsidRPr="00F10E2C">
        <w:t xml:space="preserve">R10933 + R10987 = </w:t>
      </w:r>
      <w:proofErr w:type="spellStart"/>
      <w:r w:rsidRPr="00F10E2C">
        <w:t>casirivimab</w:t>
      </w:r>
      <w:proofErr w:type="spellEnd"/>
      <w:r w:rsidRPr="00F10E2C">
        <w:t xml:space="preserve"> + </w:t>
      </w:r>
      <w:proofErr w:type="spellStart"/>
      <w:r w:rsidRPr="00F10E2C">
        <w:t>imdevimab</w:t>
      </w:r>
      <w:proofErr w:type="spellEnd"/>
      <w:r w:rsidRPr="00F10E2C">
        <w:t>; TEAE = treatment emergent adverse events; COVID-19 = coronavirus disease 2019.</w:t>
      </w:r>
    </w:p>
    <w:p w14:paraId="151E47CA" w14:textId="2A236681" w:rsidR="00146C2C" w:rsidRDefault="00F10E2C" w:rsidP="00BB0979">
      <w:pPr>
        <w:pStyle w:val="TableDescription"/>
      </w:pPr>
      <w:r>
        <w:lastRenderedPageBreak/>
        <w:t>For the first step analysis, the data cut-off date is 11 March 2021.</w:t>
      </w:r>
    </w:p>
    <w:p w14:paraId="5965B982" w14:textId="77777777" w:rsidR="00D37FA5" w:rsidRPr="00D37FA5" w:rsidRDefault="00D37FA5" w:rsidP="00F10E2C">
      <w:pPr>
        <w:pStyle w:val="TableDescription"/>
      </w:pPr>
      <w:r w:rsidRPr="00D37FA5">
        <w:t>MedDRA (Version 23.1) coding dictionary applied.</w:t>
      </w:r>
    </w:p>
    <w:p w14:paraId="7289EB4C" w14:textId="4A3D9273" w:rsidR="00F10E2C" w:rsidRDefault="00D37FA5" w:rsidP="00F10E2C">
      <w:pPr>
        <w:pStyle w:val="TableDescription"/>
      </w:pPr>
      <w:r w:rsidRPr="00D37FA5">
        <w:t xml:space="preserve">A </w:t>
      </w:r>
      <w:r w:rsidR="00344743">
        <w:t>subject</w:t>
      </w:r>
      <w:r w:rsidR="00344743" w:rsidRPr="00D37FA5">
        <w:t xml:space="preserve"> </w:t>
      </w:r>
      <w:r w:rsidRPr="00D37FA5">
        <w:t>who reported 2 or more</w:t>
      </w:r>
      <w:r w:rsidRPr="001F3781">
        <w:t xml:space="preserve"> </w:t>
      </w:r>
      <w:r w:rsidR="00F10E2C">
        <w:t xml:space="preserve">TEAEs with the same </w:t>
      </w:r>
      <w:r w:rsidR="00F10E2C" w:rsidRPr="001F3781">
        <w:t xml:space="preserve">Preferred Term </w:t>
      </w:r>
      <w:r w:rsidR="00F10E2C">
        <w:t>is counted only once for that term.</w:t>
      </w:r>
    </w:p>
    <w:p w14:paraId="4612EE37" w14:textId="28DE5DAC" w:rsidR="00D37FA5" w:rsidRPr="006D790D" w:rsidRDefault="00F10E2C" w:rsidP="00F10E2C">
      <w:pPr>
        <w:pStyle w:val="TableDescription"/>
      </w:pPr>
      <w:r w:rsidRPr="00D37FA5">
        <w:t xml:space="preserve">A </w:t>
      </w:r>
      <w:r w:rsidR="00344743">
        <w:t>subject</w:t>
      </w:r>
      <w:r w:rsidRPr="00D37FA5">
        <w:t xml:space="preserve"> who reported 2 or more</w:t>
      </w:r>
      <w:r w:rsidRPr="001F3781">
        <w:t xml:space="preserve"> </w:t>
      </w:r>
      <w:r>
        <w:t xml:space="preserve">TEAEs with different </w:t>
      </w:r>
      <w:r w:rsidRPr="001F3781">
        <w:t xml:space="preserve">Preferred Terms </w:t>
      </w:r>
      <w:r w:rsidR="00D37FA5" w:rsidRPr="001F3781">
        <w:t xml:space="preserve">within the same </w:t>
      </w:r>
      <w:r>
        <w:t xml:space="preserve">System </w:t>
      </w:r>
      <w:r w:rsidRPr="001F3781">
        <w:t>Organ Class</w:t>
      </w:r>
      <w:r w:rsidR="00D37FA5" w:rsidRPr="001F3781">
        <w:t xml:space="preserve"> is counties only once in that </w:t>
      </w:r>
      <w:r w:rsidRPr="001F3781">
        <w:t>System Organ Class</w:t>
      </w:r>
      <w:r w:rsidR="00D37FA5" w:rsidRPr="001F3781">
        <w:t>.</w:t>
      </w:r>
    </w:p>
    <w:p w14:paraId="45B4C9C7" w14:textId="2F0D34CD" w:rsidR="00146C2C" w:rsidRPr="006D790D" w:rsidRDefault="00146C2C" w:rsidP="00B1559C">
      <w:r w:rsidRPr="006D790D">
        <w:t xml:space="preserve">In </w:t>
      </w:r>
      <w:r w:rsidR="003C331A" w:rsidRPr="006D790D">
        <w:rPr>
          <w:rFonts w:eastAsiaTheme="minorHAnsi"/>
        </w:rPr>
        <w:t>Study </w:t>
      </w:r>
      <w:r w:rsidRPr="006D790D">
        <w:t xml:space="preserve">HV-2093, </w:t>
      </w:r>
      <w:r w:rsidR="00961D16" w:rsidRPr="006D790D">
        <w:t>one</w:t>
      </w:r>
      <w:r w:rsidRPr="006D790D">
        <w:t xml:space="preserve"> subject in the placebo group and </w:t>
      </w:r>
      <w:r w:rsidR="00961D16" w:rsidRPr="006D790D">
        <w:t>five</w:t>
      </w:r>
      <w:r w:rsidRPr="006D790D">
        <w:t xml:space="preserve"> subjects in the active treatment group reported SAE</w:t>
      </w:r>
      <w:r w:rsidR="00D37FA5">
        <w:t>s</w:t>
      </w:r>
      <w:r w:rsidRPr="006D790D">
        <w:t xml:space="preserve"> (angina pectoris, post laminectomy syndrome, procedural pain, diabetic complication, spinal osteoarthritis, major </w:t>
      </w:r>
      <w:proofErr w:type="gramStart"/>
      <w:r w:rsidRPr="006D790D">
        <w:t>depression</w:t>
      </w:r>
      <w:proofErr w:type="gramEnd"/>
      <w:r w:rsidRPr="006D790D">
        <w:t xml:space="preserve"> and </w:t>
      </w:r>
      <w:proofErr w:type="spellStart"/>
      <w:r w:rsidRPr="006D790D">
        <w:t>post</w:t>
      </w:r>
      <w:r w:rsidR="00961D16" w:rsidRPr="006D790D">
        <w:t xml:space="preserve"> </w:t>
      </w:r>
      <w:r w:rsidRPr="006D790D">
        <w:t>traumatic</w:t>
      </w:r>
      <w:proofErr w:type="spellEnd"/>
      <w:r w:rsidRPr="006D790D">
        <w:t xml:space="preserve"> stress disorder). All SAE</w:t>
      </w:r>
      <w:r w:rsidR="00D37FA5">
        <w:t>s</w:t>
      </w:r>
      <w:r w:rsidRPr="006D790D">
        <w:t xml:space="preserve"> were considered unrelated to study drug.</w:t>
      </w:r>
    </w:p>
    <w:p w14:paraId="43ADB661" w14:textId="77777777" w:rsidR="00146C2C" w:rsidRPr="006D790D" w:rsidRDefault="00146C2C" w:rsidP="00AE38B2">
      <w:pPr>
        <w:pStyle w:val="Heading5"/>
      </w:pPr>
      <w:bookmarkStart w:id="116" w:name="_Toc84071976"/>
      <w:r w:rsidRPr="006D790D">
        <w:t>Adverse events of special interest</w:t>
      </w:r>
      <w:bookmarkEnd w:id="116"/>
    </w:p>
    <w:p w14:paraId="7A3A6DF8" w14:textId="33CC1D0A" w:rsidR="00146C2C" w:rsidRPr="006D790D" w:rsidRDefault="00146C2C" w:rsidP="00B1559C">
      <w:r w:rsidRPr="006D790D">
        <w:t xml:space="preserve">Across the submitted studies, AESI were generally defined as Grade ≥ 2 infusion related reactions </w:t>
      </w:r>
      <w:r w:rsidR="00961D16" w:rsidRPr="006D790D">
        <w:t>(</w:t>
      </w:r>
      <w:r w:rsidRPr="006D790D">
        <w:t>(IRRs</w:t>
      </w:r>
      <w:r w:rsidR="00961D16" w:rsidRPr="006D790D">
        <w:t>)</w:t>
      </w:r>
      <w:r w:rsidRPr="006D790D">
        <w:t xml:space="preserve"> if </w:t>
      </w:r>
      <w:r w:rsidR="00D37FA5">
        <w:t xml:space="preserve">via </w:t>
      </w:r>
      <w:r w:rsidR="00F43ACD" w:rsidRPr="006D790D">
        <w:t>intravenous</w:t>
      </w:r>
      <w:r w:rsidRPr="006D790D">
        <w:t xml:space="preserve"> administration), Grade ≥ 3 </w:t>
      </w:r>
      <w:r w:rsidR="00BF2614" w:rsidRPr="006D790D">
        <w:t>ISR</w:t>
      </w:r>
      <w:r w:rsidRPr="006D790D">
        <w:t>s</w:t>
      </w:r>
      <w:r w:rsidR="00961D16" w:rsidRPr="006D790D">
        <w:t xml:space="preserve"> (</w:t>
      </w:r>
      <w:r w:rsidRPr="006D790D">
        <w:t xml:space="preserve">if </w:t>
      </w:r>
      <w:r w:rsidR="00D37FA5">
        <w:t xml:space="preserve">via </w:t>
      </w:r>
      <w:r w:rsidR="00316746" w:rsidRPr="006D790D">
        <w:t>subcutaneous</w:t>
      </w:r>
      <w:r w:rsidRPr="006D790D">
        <w:t xml:space="preserve"> administration) and Grade ≥ 2 hypersensitivity reactions occurring during the treatment period. </w:t>
      </w:r>
      <w:bookmarkStart w:id="117" w:name="_Hlk85533730"/>
      <w:r w:rsidRPr="006D790D">
        <w:t xml:space="preserve">In </w:t>
      </w:r>
      <w:r w:rsidR="00F40137" w:rsidRPr="006D790D">
        <w:t>Study </w:t>
      </w:r>
      <w:r w:rsidRPr="006D790D">
        <w:t>COV-20145</w:t>
      </w:r>
      <w:bookmarkEnd w:id="117"/>
      <w:r w:rsidRPr="006D790D">
        <w:t>, AESI also included TEAE</w:t>
      </w:r>
      <w:r w:rsidR="00D37FA5">
        <w:t>s</w:t>
      </w:r>
      <w:r w:rsidRPr="006D790D">
        <w:t xml:space="preserve"> that led to a hospitalisation or </w:t>
      </w:r>
      <w:r w:rsidR="00961D16" w:rsidRPr="006D790D">
        <w:t xml:space="preserve">emergency </w:t>
      </w:r>
      <w:r w:rsidR="00D14434" w:rsidRPr="006D790D">
        <w:t xml:space="preserve">room </w:t>
      </w:r>
      <w:r w:rsidRPr="006D790D">
        <w:t xml:space="preserve">visit. AESI as per these definitions above were overall very infrequent. Mild/moderate ISRs were reported in 4 to 23% of participants with </w:t>
      </w:r>
      <w:r w:rsidR="00316746" w:rsidRPr="006D790D">
        <w:t>subcutaneous</w:t>
      </w:r>
      <w:r w:rsidRPr="006D790D">
        <w:t xml:space="preserve"> administration, mostly erythema and pruritis, which may increase in frequency with repeat dosing (see below).</w:t>
      </w:r>
    </w:p>
    <w:p w14:paraId="2E99AEEB" w14:textId="01775BFF" w:rsidR="00146C2C" w:rsidRPr="006D790D" w:rsidRDefault="00146C2C" w:rsidP="00B1559C">
      <w:r w:rsidRPr="006D790D">
        <w:t xml:space="preserve">In </w:t>
      </w:r>
      <w:r w:rsidR="00F40137" w:rsidRPr="006D790D">
        <w:t>Study </w:t>
      </w:r>
      <w:r w:rsidRPr="006D790D">
        <w:t xml:space="preserve">COV-2067, Grade ≥ 2 IRRs were more commonly reported with active drug than placebo, but overall rates were low: </w:t>
      </w:r>
      <w:r w:rsidR="00D14434" w:rsidRPr="006D790D">
        <w:t>ten</w:t>
      </w:r>
      <w:r w:rsidRPr="006D790D">
        <w:t xml:space="preserve"> (0.2%) </w:t>
      </w:r>
      <w:r w:rsidR="00316746" w:rsidRPr="006D790D">
        <w:t>versus</w:t>
      </w:r>
      <w:r w:rsidRPr="006D790D">
        <w:t xml:space="preserve"> </w:t>
      </w:r>
      <w:r w:rsidR="00D14434" w:rsidRPr="006D790D">
        <w:t>one</w:t>
      </w:r>
      <w:r w:rsidRPr="006D790D">
        <w:t xml:space="preserve"> (&lt;0.1%). </w:t>
      </w:r>
      <w:r w:rsidR="00D14434" w:rsidRPr="006D790D">
        <w:t>Seven</w:t>
      </w:r>
      <w:r w:rsidRPr="006D790D">
        <w:t xml:space="preserve"> of the </w:t>
      </w:r>
      <w:r w:rsidR="00D14434" w:rsidRPr="006D790D">
        <w:t>ten</w:t>
      </w:r>
      <w:r w:rsidRPr="006D790D">
        <w:t xml:space="preserve"> IRRs were reported following the highest dose (8000</w:t>
      </w:r>
      <w:r w:rsidR="00D14434" w:rsidRPr="006D790D">
        <w:t> </w:t>
      </w:r>
      <w:r w:rsidRPr="006D790D">
        <w:t>mg). One participant (2400</w:t>
      </w:r>
      <w:r w:rsidR="00D14434" w:rsidRPr="006D790D">
        <w:t> </w:t>
      </w:r>
      <w:r w:rsidRPr="006D790D">
        <w:t>mg group) reported a grade ≥</w:t>
      </w:r>
      <w:r w:rsidR="00D14434" w:rsidRPr="006D790D">
        <w:t xml:space="preserve"> </w:t>
      </w:r>
      <w:r w:rsidRPr="006D790D">
        <w:t xml:space="preserve">2 hypersensitivity reaction (Grade 3 urticaria), </w:t>
      </w:r>
      <w:r w:rsidR="00316746" w:rsidRPr="006D790D">
        <w:t>versus</w:t>
      </w:r>
      <w:r w:rsidRPr="006D790D">
        <w:t xml:space="preserve"> 2 participants with placebo.</w:t>
      </w:r>
    </w:p>
    <w:p w14:paraId="58D82F88" w14:textId="6B750E81" w:rsidR="00146C2C" w:rsidRPr="006D790D" w:rsidRDefault="00146C2C" w:rsidP="00B1559C">
      <w:r w:rsidRPr="006D790D">
        <w:t xml:space="preserve">No IRRs, ISRs or, hypersensitivity reactions meeting the definition of AESI were reported in </w:t>
      </w:r>
      <w:r w:rsidR="00F40137" w:rsidRPr="006D790D">
        <w:t>Study </w:t>
      </w:r>
      <w:r w:rsidRPr="006D790D">
        <w:t>COV-20145. 5 participants reported AE</w:t>
      </w:r>
      <w:r w:rsidR="002709BB">
        <w:t>s</w:t>
      </w:r>
      <w:r w:rsidRPr="006D790D">
        <w:t xml:space="preserve"> leading to hospitalisation or </w:t>
      </w:r>
      <w:r w:rsidR="00D14434" w:rsidRPr="006D790D">
        <w:t>emergency room</w:t>
      </w:r>
      <w:r w:rsidRPr="006D790D">
        <w:t xml:space="preserve"> visit (one with placebo, one in 600 mg </w:t>
      </w:r>
      <w:r w:rsidR="00F43ACD" w:rsidRPr="006D790D">
        <w:t>intravenous</w:t>
      </w:r>
      <w:r w:rsidRPr="006D790D">
        <w:t xml:space="preserve"> group, 2 in 1200 mg </w:t>
      </w:r>
      <w:r w:rsidR="00F43ACD" w:rsidRPr="006D790D">
        <w:t>intravenous</w:t>
      </w:r>
      <w:r w:rsidRPr="006D790D">
        <w:t xml:space="preserve"> group and one in 1200 mg </w:t>
      </w:r>
      <w:r w:rsidR="00316746" w:rsidRPr="006D790D">
        <w:t>subcutaneous</w:t>
      </w:r>
      <w:r w:rsidRPr="006D790D">
        <w:t xml:space="preserve"> group), of which none were considered treatment related (all were related to underlying COVID-19 or medical history). One participant in the 2400 mg </w:t>
      </w:r>
      <w:r w:rsidR="00F43ACD" w:rsidRPr="006D790D">
        <w:t>intravenous</w:t>
      </w:r>
      <w:r w:rsidRPr="006D790D">
        <w:t xml:space="preserve"> group discontinued study treatment mid-infusion due to an IRR which was considered treatment related.</w:t>
      </w:r>
    </w:p>
    <w:p w14:paraId="78A45D27" w14:textId="3668113E" w:rsidR="00146C2C" w:rsidRPr="006D790D" w:rsidRDefault="00146C2C" w:rsidP="00B1559C">
      <w:r w:rsidRPr="006D790D">
        <w:t xml:space="preserve">While ISRs were more commonly reported in the active treatment arm </w:t>
      </w:r>
      <w:r w:rsidR="00316746" w:rsidRPr="006D790D">
        <w:t>versus</w:t>
      </w:r>
      <w:r w:rsidRPr="006D790D">
        <w:t xml:space="preserve"> placebo in </w:t>
      </w:r>
      <w:r w:rsidR="00F40137" w:rsidRPr="006D790D">
        <w:t>Study </w:t>
      </w:r>
      <w:r w:rsidRPr="006D790D">
        <w:t xml:space="preserve">COV-2069 Cohort A (4.0% </w:t>
      </w:r>
      <w:r w:rsidR="00316746" w:rsidRPr="006D790D">
        <w:t>versus</w:t>
      </w:r>
      <w:r w:rsidRPr="006D790D">
        <w:t xml:space="preserve"> 1.3%) all were mild/moderate and did not meet the definition of an AESI. Most occurred within the first 24 hours and resolved in a median of 2 days. The 2 most frequently reported signs or symptoms of ISR </w:t>
      </w:r>
      <w:r w:rsidR="00D14434" w:rsidRPr="006D790D">
        <w:t>were erythema and pruritus.</w:t>
      </w:r>
      <w:r w:rsidRPr="006D790D">
        <w:t xml:space="preserve"> There were no hypersensitivity reactions of Grade 3 or higher severity reported. There were also no events meeting the AESI definition in Cohort B. Mild/moderate ISRs were numerically greater with active drug (6) than placebo (1).</w:t>
      </w:r>
    </w:p>
    <w:p w14:paraId="54969ED2" w14:textId="25169C45" w:rsidR="00146C2C" w:rsidRPr="006D790D" w:rsidRDefault="00146C2C" w:rsidP="00B1559C">
      <w:r w:rsidRPr="006D790D">
        <w:t xml:space="preserve">No events meeting the definition of AESI were reported in </w:t>
      </w:r>
      <w:bookmarkStart w:id="118" w:name="_Hlk85533916"/>
      <w:r w:rsidR="003C331A" w:rsidRPr="006D790D">
        <w:rPr>
          <w:rFonts w:eastAsiaTheme="minorHAnsi"/>
        </w:rPr>
        <w:t>Study </w:t>
      </w:r>
      <w:r w:rsidRPr="006D790D">
        <w:t>HV-2093</w:t>
      </w:r>
      <w:bookmarkEnd w:id="118"/>
      <w:r w:rsidRPr="006D790D">
        <w:t>; however, mild/moderate ISRs were frequently reported. These were more commonly observed following active drug than placebo, driving the overall imbalance in TEAE</w:t>
      </w:r>
      <w:r w:rsidR="002709BB">
        <w:t>s</w:t>
      </w:r>
      <w:r w:rsidRPr="006D790D">
        <w:t xml:space="preserve"> between active drug and placebo in this study. The 2 most common symptoms of the </w:t>
      </w:r>
      <w:r w:rsidR="00961D16" w:rsidRPr="006D790D">
        <w:t>ISR</w:t>
      </w:r>
      <w:r w:rsidRPr="006D790D">
        <w:t xml:space="preserve">s were </w:t>
      </w:r>
      <w:r w:rsidR="00D14434" w:rsidRPr="006D790D">
        <w:t>erythema and pruritus</w:t>
      </w:r>
      <w:r w:rsidRPr="006D790D">
        <w:t>. Differential rates in ISRs were noted across the study sites, with Sites</w:t>
      </w:r>
      <w:r w:rsidR="00D14434" w:rsidRPr="006D790D">
        <w:t> </w:t>
      </w:r>
      <w:r w:rsidRPr="006D790D">
        <w:t xml:space="preserve">1 and 2 (of 7) reporting &gt; 88% of the total ISRs. The </w:t>
      </w:r>
      <w:r w:rsidR="00AE4F58" w:rsidRPr="006D790D">
        <w:t>sponsor</w:t>
      </w:r>
      <w:r w:rsidRPr="006D790D">
        <w:t xml:space="preserve"> could find no overt explanation for this. An apparent increase in ISRs was observed with doses 5 and 6. The </w:t>
      </w:r>
      <w:r w:rsidR="00AE4F58" w:rsidRPr="006D790D">
        <w:t>sponsor</w:t>
      </w:r>
      <w:r w:rsidRPr="006D790D">
        <w:t xml:space="preserve"> stated this was due to a higher proportion of participants completing monthly dose administrations 5 and 6 at Sites</w:t>
      </w:r>
      <w:r w:rsidR="00D14434" w:rsidRPr="006D790D">
        <w:t> </w:t>
      </w:r>
      <w:r w:rsidRPr="006D790D">
        <w:t>1 and 2 as compared to other study sites.</w:t>
      </w:r>
    </w:p>
    <w:p w14:paraId="3157CFA8" w14:textId="14D0607A" w:rsidR="00146C2C" w:rsidRPr="006D790D" w:rsidRDefault="00D5326E" w:rsidP="00C05180">
      <w:pPr>
        <w:pStyle w:val="TableTitle"/>
      </w:pPr>
      <w:r w:rsidRPr="006D790D">
        <w:lastRenderedPageBreak/>
        <w:t xml:space="preserve">Table </w:t>
      </w:r>
      <w:fldSimple w:instr=" SEQ Table \* ARABIC ">
        <w:r w:rsidR="007F1879">
          <w:rPr>
            <w:noProof/>
          </w:rPr>
          <w:t>38</w:t>
        </w:r>
      </w:fldSimple>
      <w:r w:rsidR="00146C2C" w:rsidRPr="006D790D">
        <w:t xml:space="preserve">: </w:t>
      </w:r>
      <w:r w:rsidR="00C05180" w:rsidRPr="006D790D">
        <w:rPr>
          <w:rFonts w:eastAsiaTheme="minorHAnsi"/>
        </w:rPr>
        <w:t>Study </w:t>
      </w:r>
      <w:r w:rsidR="00C05180" w:rsidRPr="006D790D">
        <w:t xml:space="preserve">HV-2093 </w:t>
      </w:r>
      <w:r w:rsidR="00146C2C" w:rsidRPr="006D790D">
        <w:t xml:space="preserve">Injection </w:t>
      </w:r>
      <w:r w:rsidR="00C05180" w:rsidRPr="006D790D">
        <w:t>site reactions by visit and dose</w:t>
      </w:r>
    </w:p>
    <w:p w14:paraId="10C6330E" w14:textId="4A90BC49" w:rsidR="00146C2C" w:rsidRDefault="00146C2C" w:rsidP="00146C2C">
      <w:pPr>
        <w:rPr>
          <w:b/>
          <w:bCs/>
        </w:rPr>
      </w:pPr>
      <w:r w:rsidRPr="006D790D">
        <w:rPr>
          <w:b/>
          <w:bCs/>
          <w:noProof/>
          <w:lang w:val="en-GB" w:eastAsia="en-GB"/>
        </w:rPr>
        <w:drawing>
          <wp:inline distT="0" distB="0" distL="0" distR="0" wp14:anchorId="3E41285A" wp14:editId="3575FD1E">
            <wp:extent cx="5340541" cy="3186752"/>
            <wp:effectExtent l="0" t="0" r="0" b="0"/>
            <wp:docPr id="59" name="Picture 59" descr="Study HV-2093 Injection site reactions by visit and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tudy HV-2093 Injection site reactions by visit and dos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3027" cy="3200169"/>
                    </a:xfrm>
                    <a:prstGeom prst="rect">
                      <a:avLst/>
                    </a:prstGeom>
                    <a:noFill/>
                    <a:ln>
                      <a:noFill/>
                    </a:ln>
                  </pic:spPr>
                </pic:pic>
              </a:graphicData>
            </a:graphic>
          </wp:inline>
        </w:drawing>
      </w:r>
    </w:p>
    <w:p w14:paraId="098502D8" w14:textId="568D165F" w:rsidR="00344743" w:rsidRPr="00344743" w:rsidRDefault="00344743" w:rsidP="00344743">
      <w:pPr>
        <w:pStyle w:val="TableDescription"/>
      </w:pPr>
      <w:r w:rsidRPr="00344743">
        <w:t xml:space="preserve">N = number of subjects; R10933 + R10987 = </w:t>
      </w:r>
      <w:proofErr w:type="spellStart"/>
      <w:r w:rsidRPr="00344743">
        <w:t>casirivimab</w:t>
      </w:r>
      <w:proofErr w:type="spellEnd"/>
      <w:r w:rsidRPr="00344743">
        <w:t xml:space="preserve"> + </w:t>
      </w:r>
      <w:proofErr w:type="spellStart"/>
      <w:r w:rsidRPr="00344743">
        <w:t>imdevimab</w:t>
      </w:r>
      <w:proofErr w:type="spellEnd"/>
      <w:r w:rsidRPr="00344743">
        <w:t>; SC = subcutaneous; ISR</w:t>
      </w:r>
      <w:r>
        <w:t> </w:t>
      </w:r>
      <w:r w:rsidRPr="00344743">
        <w:t>=</w:t>
      </w:r>
      <w:r>
        <w:t> </w:t>
      </w:r>
      <w:r w:rsidRPr="00344743">
        <w:t>injection site reaction.</w:t>
      </w:r>
    </w:p>
    <w:p w14:paraId="1EA15D74" w14:textId="77777777" w:rsidR="00146C2C" w:rsidRPr="006D790D" w:rsidRDefault="00146C2C" w:rsidP="00AE38B2">
      <w:pPr>
        <w:pStyle w:val="Heading6"/>
      </w:pPr>
      <w:r w:rsidRPr="006D790D">
        <w:t>Anaphylaxis</w:t>
      </w:r>
    </w:p>
    <w:p w14:paraId="2F8AFBEA" w14:textId="51117A46" w:rsidR="00146C2C" w:rsidRPr="006D790D" w:rsidRDefault="00146C2C" w:rsidP="00B1559C">
      <w:r w:rsidRPr="006D790D">
        <w:t xml:space="preserve">In the </w:t>
      </w:r>
      <w:r w:rsidR="002709BB">
        <w:t>compassionate use</w:t>
      </w:r>
      <w:r w:rsidR="002709BB" w:rsidRPr="006D790D">
        <w:t xml:space="preserve"> </w:t>
      </w:r>
      <w:r w:rsidRPr="006D790D">
        <w:t xml:space="preserve">program, an event of anaphylaxis was reported in a </w:t>
      </w:r>
      <w:proofErr w:type="gramStart"/>
      <w:r w:rsidR="00D14434" w:rsidRPr="006D790D">
        <w:t xml:space="preserve">two </w:t>
      </w:r>
      <w:r w:rsidRPr="006D790D">
        <w:t>year old</w:t>
      </w:r>
      <w:proofErr w:type="gramEnd"/>
      <w:r w:rsidRPr="006D790D">
        <w:t xml:space="preserve"> toddler with history of multiple food allergies and allergy to betadine. Event onset was 42</w:t>
      </w:r>
      <w:r w:rsidR="00D14434" w:rsidRPr="006D790D">
        <w:t> </w:t>
      </w:r>
      <w:r w:rsidRPr="006D790D">
        <w:t xml:space="preserve">minutes into a </w:t>
      </w:r>
      <w:proofErr w:type="gramStart"/>
      <w:r w:rsidRPr="006D790D">
        <w:t>120 minute</w:t>
      </w:r>
      <w:proofErr w:type="gramEnd"/>
      <w:r w:rsidRPr="006D790D">
        <w:t xml:space="preserve"> infusion of a 450 mg dose of </w:t>
      </w:r>
      <w:proofErr w:type="spellStart"/>
      <w:r w:rsidRPr="006D790D">
        <w:t>casirivimab</w:t>
      </w:r>
      <w:proofErr w:type="spellEnd"/>
      <w:r w:rsidR="00EA28EF" w:rsidRPr="006D790D">
        <w:t>/</w:t>
      </w:r>
      <w:proofErr w:type="spellStart"/>
      <w:r w:rsidRPr="006D790D">
        <w:t>imdevimab</w:t>
      </w:r>
      <w:proofErr w:type="spellEnd"/>
      <w:r w:rsidRPr="006D790D">
        <w:t xml:space="preserve">, leading to permanent discontinuation of the infusion. He developed facial rash, hives on neck, erythema on face, fussiness, mottling of extremities and perioral cyanosis. The event was considered related to </w:t>
      </w:r>
      <w:proofErr w:type="gramStart"/>
      <w:r w:rsidRPr="006D790D">
        <w:t>treatment, and</w:t>
      </w:r>
      <w:proofErr w:type="gramEnd"/>
      <w:r w:rsidRPr="006D790D">
        <w:t xml:space="preserve"> resolved with adrenaline and antihistamines.</w:t>
      </w:r>
    </w:p>
    <w:p w14:paraId="01EF1282" w14:textId="321A6CEC" w:rsidR="00146C2C" w:rsidRPr="006D790D" w:rsidRDefault="00146C2C" w:rsidP="00B1559C">
      <w:r w:rsidRPr="006D790D">
        <w:t>An event of anaphylaxis was also reported in Study</w:t>
      </w:r>
      <w:r w:rsidR="00F40137" w:rsidRPr="006D790D">
        <w:t> </w:t>
      </w:r>
      <w:r w:rsidRPr="006D790D">
        <w:t>COV-2067, occurring on 12 April 2021 (</w:t>
      </w:r>
      <w:r w:rsidR="00EA28EF" w:rsidRPr="006D790D">
        <w:t>that is,</w:t>
      </w:r>
      <w:r w:rsidRPr="006D790D">
        <w:t xml:space="preserve"> after the data cut-off). This event occurred in a </w:t>
      </w:r>
      <w:proofErr w:type="gramStart"/>
      <w:r w:rsidRPr="006D790D">
        <w:t>24 year old</w:t>
      </w:r>
      <w:proofErr w:type="gramEnd"/>
      <w:r w:rsidRPr="006D790D">
        <w:t xml:space="preserve"> male subject whose medical history included food allergy and seasonal allergy. ‘</w:t>
      </w:r>
      <w:r w:rsidRPr="006D790D">
        <w:rPr>
          <w:i/>
          <w:iCs/>
        </w:rPr>
        <w:t>Gradually after completion of study drug infusion</w:t>
      </w:r>
      <w:r w:rsidRPr="006D790D">
        <w:t>’ (</w:t>
      </w:r>
      <w:proofErr w:type="spellStart"/>
      <w:r w:rsidRPr="006D790D">
        <w:t>casirivimab</w:t>
      </w:r>
      <w:proofErr w:type="spellEnd"/>
      <w:r w:rsidR="00EA28EF" w:rsidRPr="006D790D">
        <w:t>/</w:t>
      </w:r>
      <w:proofErr w:type="spellStart"/>
      <w:r w:rsidRPr="006D790D">
        <w:t>imdevimab</w:t>
      </w:r>
      <w:proofErr w:type="spellEnd"/>
      <w:r w:rsidRPr="006D790D">
        <w:t xml:space="preserve"> doses not stated), the patient experienced anaphylaxis including shortness of breath, swelling of tongue and lips. The subject presented to the </w:t>
      </w:r>
      <w:r w:rsidR="00D14434" w:rsidRPr="006D790D">
        <w:t xml:space="preserve">emergency </w:t>
      </w:r>
      <w:proofErr w:type="gramStart"/>
      <w:r w:rsidR="00D14434" w:rsidRPr="006D790D">
        <w:t>room</w:t>
      </w:r>
      <w:proofErr w:type="gramEnd"/>
      <w:r w:rsidRPr="006D790D">
        <w:t xml:space="preserve"> but no corrective treatment was given and the event resolved the same day. It was considered unrelated to study drug and was deemed related to nebuliser treatment for allergies (treatment not specified).</w:t>
      </w:r>
    </w:p>
    <w:p w14:paraId="4BA5B82D" w14:textId="6BD3BEE3" w:rsidR="00146C2C" w:rsidRPr="006D790D" w:rsidRDefault="00146C2C" w:rsidP="00B1559C">
      <w:r w:rsidRPr="006D790D">
        <w:t xml:space="preserve">A total of 5 cases of anaphylaxis have been reported with </w:t>
      </w:r>
      <w:r w:rsidR="00F43ACD" w:rsidRPr="006D790D">
        <w:t>intravenous</w:t>
      </w:r>
      <w:r w:rsidRPr="006D790D">
        <w:t xml:space="preserve"> use from EUA data in the US</w:t>
      </w:r>
      <w:r w:rsidR="002709BB">
        <w:t>A</w:t>
      </w:r>
      <w:r w:rsidRPr="006D790D">
        <w:t>.</w:t>
      </w:r>
    </w:p>
    <w:p w14:paraId="2F9783F9" w14:textId="77777777" w:rsidR="00146C2C" w:rsidRPr="006D790D" w:rsidRDefault="00146C2C" w:rsidP="00AE38B2">
      <w:pPr>
        <w:pStyle w:val="Heading5"/>
      </w:pPr>
      <w:bookmarkStart w:id="119" w:name="_Toc84071977"/>
      <w:r w:rsidRPr="006D790D">
        <w:t>Clinical chemistry and vital signs</w:t>
      </w:r>
      <w:bookmarkEnd w:id="119"/>
    </w:p>
    <w:p w14:paraId="62AEA7F8" w14:textId="77777777" w:rsidR="00146C2C" w:rsidRPr="006D790D" w:rsidRDefault="00146C2C" w:rsidP="00B1559C">
      <w:r w:rsidRPr="006D790D">
        <w:t>Laboratory data do not reveal any particular concern.</w:t>
      </w:r>
    </w:p>
    <w:p w14:paraId="616EBDFE" w14:textId="77777777" w:rsidR="00146C2C" w:rsidRPr="006D790D" w:rsidRDefault="00146C2C" w:rsidP="00B1559C">
      <w:r w:rsidRPr="006D790D">
        <w:t>There were no clinically meaningful findings or trends observed in vital signs measurements.</w:t>
      </w:r>
    </w:p>
    <w:p w14:paraId="707B9E80" w14:textId="77777777" w:rsidR="00146C2C" w:rsidRPr="006D790D" w:rsidRDefault="00146C2C" w:rsidP="00146C2C">
      <w:pPr>
        <w:pStyle w:val="Heading5"/>
      </w:pPr>
      <w:bookmarkStart w:id="120" w:name="_Toc84071978"/>
      <w:r w:rsidRPr="006D790D">
        <w:t>Safety in special groups</w:t>
      </w:r>
      <w:bookmarkEnd w:id="120"/>
    </w:p>
    <w:p w14:paraId="517C7D8C" w14:textId="10896D4E" w:rsidR="00146C2C" w:rsidRPr="006D790D" w:rsidRDefault="00146C2C" w:rsidP="00AE38B2">
      <w:pPr>
        <w:pStyle w:val="Heading6"/>
      </w:pPr>
      <w:r w:rsidRPr="006D790D">
        <w:t>Safety in adolescents and the elderly</w:t>
      </w:r>
    </w:p>
    <w:p w14:paraId="2FE9572D" w14:textId="70583390" w:rsidR="00146C2C" w:rsidRPr="006D790D" w:rsidRDefault="00146C2C" w:rsidP="00B1559C">
      <w:r w:rsidRPr="006D790D">
        <w:t>The number of adolescents enrolled was relatively small, which precludes a detailed comparison with adults; however, no AE</w:t>
      </w:r>
      <w:r w:rsidR="002709BB">
        <w:t>s</w:t>
      </w:r>
      <w:r w:rsidRPr="006D790D">
        <w:t xml:space="preserve"> reported in the adolescent population suggested a safety concern for </w:t>
      </w:r>
      <w:proofErr w:type="spellStart"/>
      <w:r w:rsidRPr="006D790D">
        <w:t>casirivimab</w:t>
      </w:r>
      <w:proofErr w:type="spellEnd"/>
      <w:r w:rsidR="00EA28EF" w:rsidRPr="006D790D">
        <w:t>/</w:t>
      </w:r>
      <w:proofErr w:type="spellStart"/>
      <w:r w:rsidRPr="006D790D">
        <w:t>imdevimab</w:t>
      </w:r>
      <w:proofErr w:type="spellEnd"/>
      <w:r w:rsidRPr="006D790D">
        <w:t xml:space="preserve">. The </w:t>
      </w:r>
      <w:r w:rsidR="00F40137" w:rsidRPr="006D790D">
        <w:t>Study </w:t>
      </w:r>
      <w:r w:rsidRPr="006D790D">
        <w:t xml:space="preserve">COV-2069 </w:t>
      </w:r>
      <w:r w:rsidR="00303D77" w:rsidRPr="006D790D">
        <w:t>SAF</w:t>
      </w:r>
      <w:r w:rsidRPr="006D790D">
        <w:t xml:space="preserve"> included </w:t>
      </w:r>
      <w:r w:rsidRPr="006D790D">
        <w:lastRenderedPageBreak/>
        <w:t>88</w:t>
      </w:r>
      <w:r w:rsidR="002709BB">
        <w:t> </w:t>
      </w:r>
      <w:r w:rsidRPr="006D790D">
        <w:t>adolescents in Cohort A and 38 adolescents in Cohort B. None reported Grade 3 or 4 TEAE</w:t>
      </w:r>
      <w:r w:rsidR="002709BB">
        <w:t>s</w:t>
      </w:r>
      <w:r w:rsidRPr="006D790D">
        <w:t>. I</w:t>
      </w:r>
      <w:r w:rsidR="00961D16" w:rsidRPr="006D790D">
        <w:t>SRs</w:t>
      </w:r>
      <w:r w:rsidRPr="006D790D">
        <w:t xml:space="preserve"> appeared to be more common in adolescents than adults, as was asymptomatic COVID-19 (Cohort A)</w:t>
      </w:r>
      <w:r w:rsidR="00D14434" w:rsidRPr="006D790D">
        <w:t>.</w:t>
      </w:r>
    </w:p>
    <w:p w14:paraId="25C221BB" w14:textId="3346421B" w:rsidR="00146C2C" w:rsidRDefault="00D5326E" w:rsidP="00C05180">
      <w:pPr>
        <w:pStyle w:val="TableTitle"/>
      </w:pPr>
      <w:r w:rsidRPr="006D790D">
        <w:t xml:space="preserve">Table </w:t>
      </w:r>
      <w:fldSimple w:instr=" SEQ Table \* ARABIC ">
        <w:r w:rsidR="007F1879">
          <w:rPr>
            <w:noProof/>
          </w:rPr>
          <w:t>39</w:t>
        </w:r>
      </w:fldSimple>
      <w:r w:rsidR="00146C2C" w:rsidRPr="006D790D">
        <w:t xml:space="preserve">: </w:t>
      </w:r>
      <w:r w:rsidR="00C05180" w:rsidRPr="006D790D">
        <w:t xml:space="preserve">Study COV-2069 </w:t>
      </w:r>
      <w:r w:rsidR="00146C2C" w:rsidRPr="006D790D">
        <w:t xml:space="preserve">Summary of </w:t>
      </w:r>
      <w:r w:rsidR="00C05180" w:rsidRPr="006D790D">
        <w:t>adverse events</w:t>
      </w:r>
      <w:r w:rsidR="00146C2C" w:rsidRPr="006D790D">
        <w:t xml:space="preserve"> (</w:t>
      </w:r>
      <w:r w:rsidR="00C05180" w:rsidRPr="006D790D">
        <w:t>Preferred Term</w:t>
      </w:r>
      <w:r w:rsidR="00146C2C" w:rsidRPr="006D790D">
        <w:t xml:space="preserve"> in &gt; 1 adolescent) by age group during the overall study period (</w:t>
      </w:r>
      <w:r w:rsidR="00030A65" w:rsidRPr="006D790D">
        <w:t xml:space="preserve">safety analysis population </w:t>
      </w:r>
      <w:r w:rsidR="00146C2C" w:rsidRPr="006D790D">
        <w:t>A)</w:t>
      </w:r>
    </w:p>
    <w:p w14:paraId="6E6C0B29" w14:textId="24F8D4EC" w:rsidR="002709BB" w:rsidRDefault="00344743" w:rsidP="00890DD9">
      <w:r>
        <w:rPr>
          <w:noProof/>
        </w:rPr>
        <w:drawing>
          <wp:inline distT="0" distB="0" distL="0" distR="0" wp14:anchorId="32705083" wp14:editId="30ECADD7">
            <wp:extent cx="5400040" cy="5748951"/>
            <wp:effectExtent l="0" t="0" r="0" b="4445"/>
            <wp:docPr id="85" name="Picture 85" descr="Study COV-2069 Summary of adverse events (Preferred Term in &gt; 1 adolescent) by age group during the overall study period (safety analysis populatio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tudy COV-2069 Summary of adverse events (Preferred Term in &gt; 1 adolescent) by age group during the overall study period (safety analysis population A)"/>
                    <pic:cNvPicPr/>
                  </pic:nvPicPr>
                  <pic:blipFill>
                    <a:blip r:embed="rId71">
                      <a:grayscl/>
                    </a:blip>
                    <a:stretch>
                      <a:fillRect/>
                    </a:stretch>
                  </pic:blipFill>
                  <pic:spPr>
                    <a:xfrm>
                      <a:off x="0" y="0"/>
                      <a:ext cx="5410837" cy="5760446"/>
                    </a:xfrm>
                    <a:prstGeom prst="rect">
                      <a:avLst/>
                    </a:prstGeom>
                  </pic:spPr>
                </pic:pic>
              </a:graphicData>
            </a:graphic>
          </wp:inline>
        </w:drawing>
      </w:r>
    </w:p>
    <w:p w14:paraId="4A8FB9C5" w14:textId="60F556A0" w:rsidR="00344743" w:rsidRPr="00344743" w:rsidRDefault="00344743" w:rsidP="00344743">
      <w:pPr>
        <w:pStyle w:val="TableDescription"/>
      </w:pPr>
      <w:r w:rsidRPr="00344743">
        <w:t xml:space="preserve">N = number of subjects; R10933 + R10987 = </w:t>
      </w:r>
      <w:proofErr w:type="spellStart"/>
      <w:r w:rsidRPr="00344743">
        <w:t>casirivimab</w:t>
      </w:r>
      <w:proofErr w:type="spellEnd"/>
      <w:r w:rsidRPr="00344743">
        <w:t xml:space="preserve"> + </w:t>
      </w:r>
      <w:proofErr w:type="spellStart"/>
      <w:r w:rsidRPr="00344743">
        <w:t>imdevimab</w:t>
      </w:r>
      <w:proofErr w:type="spellEnd"/>
      <w:r w:rsidRPr="00344743">
        <w:t>; TEAE = treatment emergent adverse events; COVID-19 = coronavirus disease 2019.</w:t>
      </w:r>
    </w:p>
    <w:p w14:paraId="15777F7C" w14:textId="39960021" w:rsidR="00344743" w:rsidRPr="00344743" w:rsidRDefault="00344743" w:rsidP="00344743">
      <w:pPr>
        <w:pStyle w:val="TableDescription"/>
      </w:pPr>
      <w:r w:rsidRPr="00344743">
        <w:t>For the first step analysis, the data cut-off date is 11 March 2021.</w:t>
      </w:r>
    </w:p>
    <w:p w14:paraId="24626588" w14:textId="77777777" w:rsidR="00344743" w:rsidRPr="00344743" w:rsidRDefault="00344743" w:rsidP="00344743">
      <w:pPr>
        <w:pStyle w:val="TableDescription"/>
      </w:pPr>
      <w:r w:rsidRPr="00344743">
        <w:t>MedDRA (Version 23.1) coding dictionary applied.</w:t>
      </w:r>
    </w:p>
    <w:p w14:paraId="6DDDCFB2" w14:textId="77777777" w:rsidR="00344743" w:rsidRPr="00344743" w:rsidRDefault="00344743" w:rsidP="00344743">
      <w:pPr>
        <w:pStyle w:val="TableDescription"/>
      </w:pPr>
      <w:r w:rsidRPr="00344743">
        <w:t>A patient who reported 2 or more TEAEs with the same Preferred Term is counted only once for that term.</w:t>
      </w:r>
    </w:p>
    <w:p w14:paraId="2DD4ECCA" w14:textId="7175CFD4" w:rsidR="00344743" w:rsidRPr="00344743" w:rsidRDefault="00344743" w:rsidP="00344743">
      <w:pPr>
        <w:pStyle w:val="TableDescription"/>
      </w:pPr>
      <w:r w:rsidRPr="00344743">
        <w:t>A patient who reported 2 or more TEAEs with different Preferred Terms within the same System Organ Class is counties only once in that System Organ Class.</w:t>
      </w:r>
    </w:p>
    <w:p w14:paraId="3B10BC4B" w14:textId="58724E34" w:rsidR="00146C2C" w:rsidRPr="006D790D" w:rsidRDefault="00146C2C" w:rsidP="00B1559C">
      <w:r w:rsidRPr="006D790D">
        <w:lastRenderedPageBreak/>
        <w:t xml:space="preserve">There were no notable differences in the safety profile of </w:t>
      </w:r>
      <w:proofErr w:type="spellStart"/>
      <w:r w:rsidRPr="006D790D">
        <w:t>casirivimab</w:t>
      </w:r>
      <w:proofErr w:type="spellEnd"/>
      <w:r w:rsidR="00EA28EF" w:rsidRPr="006D790D">
        <w:t>/</w:t>
      </w:r>
      <w:proofErr w:type="spellStart"/>
      <w:r w:rsidRPr="006D790D">
        <w:t>imdevimab</w:t>
      </w:r>
      <w:proofErr w:type="spellEnd"/>
      <w:r w:rsidRPr="006D790D">
        <w:t>, including the occurrence of IRRs, in patients aged ≥ 65 years compared to those aged ≥ 18 to 65 years.</w:t>
      </w:r>
    </w:p>
    <w:p w14:paraId="0C1463EA" w14:textId="3BF9A457" w:rsidR="00146C2C" w:rsidRPr="006D790D" w:rsidRDefault="00146C2C" w:rsidP="00B1559C">
      <w:r w:rsidRPr="006D790D">
        <w:t xml:space="preserve">In </w:t>
      </w:r>
      <w:r w:rsidR="00F40137" w:rsidRPr="006D790D">
        <w:t>Study </w:t>
      </w:r>
      <w:r w:rsidRPr="006D790D">
        <w:t xml:space="preserve">COV-2067, a greater percentage of participants in the ≥ 65 years of age subgroup compared to the 18 to &lt; 65 years of age subgroup (5.4% </w:t>
      </w:r>
      <w:r w:rsidR="00316746" w:rsidRPr="006D790D">
        <w:t>versus</w:t>
      </w:r>
      <w:r w:rsidRPr="006D790D">
        <w:t xml:space="preserve"> 0.8%) reported at least </w:t>
      </w:r>
      <w:r w:rsidR="00D14434" w:rsidRPr="006D790D">
        <w:t>one</w:t>
      </w:r>
      <w:r w:rsidRPr="006D790D">
        <w:t xml:space="preserve"> SAE up to the data cut-off date; however, this remained lower than the proportion of participants aged ≥ 65 years with SAE</w:t>
      </w:r>
      <w:r w:rsidR="002709BB">
        <w:t>s</w:t>
      </w:r>
      <w:r w:rsidRPr="006D790D">
        <w:t xml:space="preserve"> in the placebo group (13.8%). There was also an apparent dose</w:t>
      </w:r>
      <w:r w:rsidR="00D14434" w:rsidRPr="006D790D">
        <w:t xml:space="preserve"> </w:t>
      </w:r>
      <w:r w:rsidRPr="006D790D">
        <w:t>dependent increase in the proportion of over 65’s reporting SAE</w:t>
      </w:r>
      <w:r w:rsidR="002709BB">
        <w:t>s</w:t>
      </w:r>
      <w:r w:rsidRPr="006D790D">
        <w:t>, from 2.9% (1200</w:t>
      </w:r>
      <w:r w:rsidR="00D14434" w:rsidRPr="006D790D">
        <w:t> </w:t>
      </w:r>
      <w:r w:rsidRPr="006D790D">
        <w:t>mg dose) to 8.6% (8000 mg dose). An increase in SAE</w:t>
      </w:r>
      <w:r w:rsidR="002709BB">
        <w:t>s</w:t>
      </w:r>
      <w:r w:rsidRPr="006D790D">
        <w:t xml:space="preserve"> was not observed in participants aged over 65 years in Study</w:t>
      </w:r>
      <w:r w:rsidR="00F40137" w:rsidRPr="006D790D">
        <w:t> </w:t>
      </w:r>
      <w:r w:rsidRPr="006D790D">
        <w:t>COV-2069. Of the 10 subjects in the active treatment groups reporting SAE</w:t>
      </w:r>
      <w:r w:rsidR="002709BB">
        <w:t>s</w:t>
      </w:r>
      <w:r w:rsidRPr="006D790D">
        <w:t>, none were aged over 65 years. This may reflect the difference in study populations (</w:t>
      </w:r>
      <w:r w:rsidR="00EA28EF" w:rsidRPr="006D790D">
        <w:t>that is,</w:t>
      </w:r>
      <w:r w:rsidRPr="006D790D">
        <w:t xml:space="preserve"> </w:t>
      </w:r>
      <w:r w:rsidR="00F40137" w:rsidRPr="006D790D">
        <w:t>Study </w:t>
      </w:r>
      <w:r w:rsidRPr="006D790D">
        <w:t xml:space="preserve">COV-2067 included symptomatic COVID-19 and risk factor/s, while </w:t>
      </w:r>
      <w:r w:rsidR="00F40137" w:rsidRPr="006D790D">
        <w:t>Study </w:t>
      </w:r>
      <w:r w:rsidRPr="006D790D">
        <w:t>COV-2069 was healthier, comprising mostly SARS-CoV-2 negative subjects without comorbidities).</w:t>
      </w:r>
    </w:p>
    <w:p w14:paraId="0549B33F" w14:textId="77777777" w:rsidR="00146C2C" w:rsidRPr="006D790D" w:rsidRDefault="00146C2C" w:rsidP="00AE38B2">
      <w:pPr>
        <w:pStyle w:val="Heading6"/>
      </w:pPr>
      <w:r w:rsidRPr="006D790D">
        <w:t>Use in pregnant women and lactating mothers</w:t>
      </w:r>
    </w:p>
    <w:p w14:paraId="776E23F1" w14:textId="63A5D24A" w:rsidR="00146C2C" w:rsidRPr="006D790D" w:rsidRDefault="00146C2C" w:rsidP="00B1559C">
      <w:r w:rsidRPr="006D790D">
        <w:t>Across the studies (</w:t>
      </w:r>
      <w:r w:rsidR="00F40137" w:rsidRPr="006D790D">
        <w:t>Studies </w:t>
      </w:r>
      <w:r w:rsidRPr="006D790D">
        <w:t xml:space="preserve">COV-2067, COV-2069 and-COV-20145), a total of 10 patients were either pregnant at study entry or became pregnant during the study at the time of cut-off dates. Of these 10 patients, 6 received </w:t>
      </w:r>
      <w:proofErr w:type="spellStart"/>
      <w:r w:rsidRPr="006D790D">
        <w:t>casirivimab</w:t>
      </w:r>
      <w:proofErr w:type="spellEnd"/>
      <w:r w:rsidR="00EA28EF" w:rsidRPr="006D790D">
        <w:t>/</w:t>
      </w:r>
      <w:proofErr w:type="spellStart"/>
      <w:r w:rsidRPr="006D790D">
        <w:t>imdevimab</w:t>
      </w:r>
      <w:proofErr w:type="spellEnd"/>
      <w:r w:rsidRPr="006D790D">
        <w:t xml:space="preserve"> and 4 received placebo. A further 3 patients reported pregnancies under the </w:t>
      </w:r>
      <w:r w:rsidR="002709BB">
        <w:t>EUA</w:t>
      </w:r>
      <w:r w:rsidRPr="006D790D">
        <w:t xml:space="preserve"> or </w:t>
      </w:r>
      <w:r w:rsidR="002709BB">
        <w:t>compassionate use</w:t>
      </w:r>
      <w:r w:rsidRPr="006D790D">
        <w:t xml:space="preserve"> program</w:t>
      </w:r>
      <w:r w:rsidR="002709BB">
        <w:t xml:space="preserve"> in the USA</w:t>
      </w:r>
      <w:r w:rsidRPr="006D790D">
        <w:t>. Of these 13 patients, 5 had early termination of the pregnancy (</w:t>
      </w:r>
      <w:r w:rsidR="00D14434" w:rsidRPr="006D790D">
        <w:t>one</w:t>
      </w:r>
      <w:r w:rsidRPr="006D790D">
        <w:t xml:space="preserve"> voluntary termination, </w:t>
      </w:r>
      <w:r w:rsidR="006F5C93" w:rsidRPr="006D790D">
        <w:t>three</w:t>
      </w:r>
      <w:r w:rsidRPr="006D790D">
        <w:t xml:space="preserve"> SAE</w:t>
      </w:r>
      <w:r w:rsidR="002709BB">
        <w:t>s</w:t>
      </w:r>
      <w:r w:rsidRPr="006D790D">
        <w:t xml:space="preserve"> of spontaneous abortion and </w:t>
      </w:r>
      <w:r w:rsidR="00D14434" w:rsidRPr="006D790D">
        <w:t>one</w:t>
      </w:r>
      <w:r w:rsidRPr="006D790D">
        <w:t xml:space="preserve"> SAE of ruptured ectopic pregnancy). The 4 SAE</w:t>
      </w:r>
      <w:r w:rsidR="002709BB">
        <w:t>s</w:t>
      </w:r>
      <w:r w:rsidRPr="006D790D">
        <w:t xml:space="preserve"> were reported in patients receiving </w:t>
      </w:r>
      <w:proofErr w:type="spellStart"/>
      <w:r w:rsidRPr="006D790D">
        <w:t>casirivimab</w:t>
      </w:r>
      <w:proofErr w:type="spellEnd"/>
      <w:r w:rsidR="00EA28EF" w:rsidRPr="006D790D">
        <w:t>/</w:t>
      </w:r>
      <w:proofErr w:type="spellStart"/>
      <w:r w:rsidRPr="006D790D">
        <w:t>imdevimab</w:t>
      </w:r>
      <w:proofErr w:type="spellEnd"/>
      <w:r w:rsidRPr="006D790D">
        <w:t>; but none were considered related to study drug. Of the remaining patients with available information, 4 had either delivered babies without complication or had ongoing pregnancies with no concerns reported at the time of last contact.</w:t>
      </w:r>
    </w:p>
    <w:p w14:paraId="5765CD42" w14:textId="7E596206" w:rsidR="00146C2C" w:rsidRPr="006D790D" w:rsidRDefault="00146C2C" w:rsidP="00B1559C">
      <w:r w:rsidRPr="006D790D">
        <w:t xml:space="preserve">There are no available data on the presence of </w:t>
      </w:r>
      <w:proofErr w:type="spellStart"/>
      <w:r w:rsidRPr="006D790D">
        <w:t>casirivimab</w:t>
      </w:r>
      <w:proofErr w:type="spellEnd"/>
      <w:r w:rsidRPr="006D790D">
        <w:t xml:space="preserve"> and/or </w:t>
      </w:r>
      <w:proofErr w:type="spellStart"/>
      <w:r w:rsidRPr="006D790D">
        <w:t>imdevimab</w:t>
      </w:r>
      <w:proofErr w:type="spellEnd"/>
      <w:r w:rsidRPr="006D790D">
        <w:t xml:space="preserve"> in human milk or</w:t>
      </w:r>
      <w:r w:rsidR="006F5C93" w:rsidRPr="006D790D">
        <w:t xml:space="preserve"> </w:t>
      </w:r>
      <w:r w:rsidRPr="006D790D">
        <w:t>animal milk, the effects on the breastfed infant, or the effects of the drug on milk production. Maternal IgG is known to be present in human milk. The developmental and health benefits of</w:t>
      </w:r>
      <w:r w:rsidR="006F5C93" w:rsidRPr="006D790D">
        <w:t xml:space="preserve"> </w:t>
      </w:r>
      <w:r w:rsidRPr="006D790D">
        <w:t xml:space="preserve">breastfeeding should be considered along with the mother’s clinical need for </w:t>
      </w:r>
      <w:proofErr w:type="spellStart"/>
      <w:r w:rsidRPr="006D790D">
        <w:t>casirivimab</w:t>
      </w:r>
      <w:proofErr w:type="spellEnd"/>
      <w:r w:rsidRPr="006D790D">
        <w:t xml:space="preserve"> and</w:t>
      </w:r>
      <w:r w:rsidR="006F5C93" w:rsidRPr="006D790D">
        <w:t xml:space="preserve"> </w:t>
      </w:r>
      <w:proofErr w:type="spellStart"/>
      <w:r w:rsidRPr="006D790D">
        <w:t>imdevimab</w:t>
      </w:r>
      <w:proofErr w:type="spellEnd"/>
      <w:r w:rsidRPr="006D790D">
        <w:t xml:space="preserve"> and any potential adverse effects on the breastfed child from </w:t>
      </w:r>
      <w:proofErr w:type="spellStart"/>
      <w:r w:rsidRPr="006D790D">
        <w:t>casirivimab</w:t>
      </w:r>
      <w:proofErr w:type="spellEnd"/>
      <w:r w:rsidRPr="006D790D">
        <w:t xml:space="preserve"> and</w:t>
      </w:r>
      <w:r w:rsidR="006F5C93" w:rsidRPr="006D790D">
        <w:t xml:space="preserve"> </w:t>
      </w:r>
      <w:proofErr w:type="spellStart"/>
      <w:r w:rsidRPr="006D790D">
        <w:t>imdevimab</w:t>
      </w:r>
      <w:proofErr w:type="spellEnd"/>
      <w:r w:rsidRPr="006D790D">
        <w:t xml:space="preserve"> or from the underlying maternal condition.</w:t>
      </w:r>
    </w:p>
    <w:p w14:paraId="77804ECA" w14:textId="77777777" w:rsidR="00146C2C" w:rsidRPr="006D790D" w:rsidRDefault="00146C2C" w:rsidP="00AE38B2">
      <w:pPr>
        <w:pStyle w:val="Heading6"/>
        <w:rPr>
          <w:rFonts w:eastAsiaTheme="minorHAnsi"/>
        </w:rPr>
      </w:pPr>
      <w:r w:rsidRPr="006D790D">
        <w:rPr>
          <w:rFonts w:eastAsiaTheme="minorHAnsi"/>
        </w:rPr>
        <w:t>Use in COVID-19 vaccinated individuals</w:t>
      </w:r>
    </w:p>
    <w:p w14:paraId="105B9837" w14:textId="5B3D3445" w:rsidR="00146C2C" w:rsidRPr="006D790D" w:rsidRDefault="00146C2C" w:rsidP="00B1559C">
      <w:bookmarkStart w:id="121" w:name="_Toc12019956"/>
      <w:r w:rsidRPr="006D790D">
        <w:t xml:space="preserve">There are limited data on the use of </w:t>
      </w:r>
      <w:proofErr w:type="spellStart"/>
      <w:r w:rsidRPr="006D790D">
        <w:t>casirivimab</w:t>
      </w:r>
      <w:proofErr w:type="spellEnd"/>
      <w:r w:rsidR="00EA28EF" w:rsidRPr="006D790D">
        <w:t>/</w:t>
      </w:r>
      <w:proofErr w:type="spellStart"/>
      <w:r w:rsidRPr="006D790D">
        <w:t>imdevimab</w:t>
      </w:r>
      <w:proofErr w:type="spellEnd"/>
      <w:r w:rsidRPr="006D790D">
        <w:t xml:space="preserve"> in COVID-19 vaccinated subjects. Prior or concomitant administration of a COVID-19 vaccine was an exclusion criterion across the submitted studies.</w:t>
      </w:r>
      <w:r w:rsidR="00F40137" w:rsidRPr="006D790D">
        <w:t xml:space="preserve"> Study </w:t>
      </w:r>
      <w:r w:rsidRPr="006D790D">
        <w:t xml:space="preserve">COV-2069 was amended during the study to include patients who received a COVID-19 vaccine after the completion of efficacy assessments, and </w:t>
      </w:r>
      <w:r w:rsidR="003C331A" w:rsidRPr="006D790D">
        <w:rPr>
          <w:rFonts w:eastAsiaTheme="minorHAnsi"/>
        </w:rPr>
        <w:t>Study </w:t>
      </w:r>
      <w:r w:rsidRPr="006D790D">
        <w:t>HV-2093 was amended during the study to allow subjects to receive a COVID-19 vaccine to evaluate safety and, if feasible, vaccine immune</w:t>
      </w:r>
      <w:r w:rsidR="006F5C93" w:rsidRPr="006D790D">
        <w:t xml:space="preserve"> </w:t>
      </w:r>
      <w:r w:rsidRPr="006D790D">
        <w:t>responses</w:t>
      </w:r>
      <w:r w:rsidR="002709BB">
        <w:t>.</w:t>
      </w:r>
      <w:r w:rsidRPr="006D790D">
        <w:t xml:space="preserve"> </w:t>
      </w:r>
      <w:r w:rsidR="002709BB">
        <w:t xml:space="preserve">This </w:t>
      </w:r>
      <w:r w:rsidRPr="006D790D">
        <w:t xml:space="preserve">data </w:t>
      </w:r>
      <w:r w:rsidR="002709BB">
        <w:t xml:space="preserve">is </w:t>
      </w:r>
      <w:r w:rsidRPr="006D790D">
        <w:t>not yet available.</w:t>
      </w:r>
    </w:p>
    <w:p w14:paraId="24EB4123" w14:textId="0DD7285F" w:rsidR="00146C2C" w:rsidRPr="006D790D" w:rsidRDefault="00146C2C" w:rsidP="00B1559C">
      <w:r w:rsidRPr="006D790D">
        <w:t xml:space="preserve">In </w:t>
      </w:r>
      <w:r w:rsidR="00FC63CA" w:rsidRPr="006D790D">
        <w:t>C</w:t>
      </w:r>
      <w:r w:rsidRPr="006D790D">
        <w:t xml:space="preserve">ohorts A and B respectively, 88 and 3 participants in the </w:t>
      </w:r>
      <w:proofErr w:type="spellStart"/>
      <w:r w:rsidRPr="006D790D">
        <w:t>casirivimab</w:t>
      </w:r>
      <w:proofErr w:type="spellEnd"/>
      <w:r w:rsidR="00EA28EF" w:rsidRPr="006D790D">
        <w:t>/</w:t>
      </w:r>
      <w:proofErr w:type="spellStart"/>
      <w:r w:rsidRPr="006D790D">
        <w:t>imdevimab</w:t>
      </w:r>
      <w:proofErr w:type="spellEnd"/>
      <w:r w:rsidRPr="006D790D">
        <w:t xml:space="preserve"> groups in </w:t>
      </w:r>
      <w:r w:rsidR="00F40137" w:rsidRPr="006D790D">
        <w:t>Study </w:t>
      </w:r>
      <w:r w:rsidRPr="006D790D">
        <w:t>COV-2069</w:t>
      </w:r>
      <w:r w:rsidRPr="006D790D" w:rsidDel="00363974">
        <w:t xml:space="preserve"> </w:t>
      </w:r>
      <w:r w:rsidRPr="006D790D">
        <w:t xml:space="preserve">received COVID-19 vaccines. The median time from study drug administration to vaccination for </w:t>
      </w:r>
      <w:r w:rsidR="00FC63CA" w:rsidRPr="006D790D">
        <w:t>C</w:t>
      </w:r>
      <w:r w:rsidRPr="006D790D">
        <w:t>ohorts A and B respectively was 82 and 93 days. There were no TEAE</w:t>
      </w:r>
      <w:r w:rsidR="00177671">
        <w:t>s</w:t>
      </w:r>
      <w:r w:rsidRPr="006D790D">
        <w:t xml:space="preserve"> of concern following vaccination.</w:t>
      </w:r>
    </w:p>
    <w:p w14:paraId="702E964E" w14:textId="7BA0145A" w:rsidR="00146C2C" w:rsidRPr="006D790D" w:rsidRDefault="00146C2C" w:rsidP="00B1559C">
      <w:r w:rsidRPr="006D790D">
        <w:t xml:space="preserve">In </w:t>
      </w:r>
      <w:r w:rsidR="003C331A" w:rsidRPr="006D790D">
        <w:rPr>
          <w:rFonts w:eastAsiaTheme="minorHAnsi"/>
        </w:rPr>
        <w:t>Study </w:t>
      </w:r>
      <w:r w:rsidRPr="006D790D">
        <w:t xml:space="preserve">HV-2093, 67 (9.2%) participants in the active treatment group (1200 mg </w:t>
      </w:r>
      <w:r w:rsidR="00316746" w:rsidRPr="006D790D">
        <w:t>subcutaneous</w:t>
      </w:r>
      <w:r w:rsidRPr="006D790D">
        <w:t>) received COVID-19 vaccines, with a median of 18 days from last dose of study drug to vaccination. Among these participants, there were no grade ≥</w:t>
      </w:r>
      <w:r w:rsidR="006F5C93" w:rsidRPr="006D790D">
        <w:t> </w:t>
      </w:r>
      <w:r w:rsidRPr="006D790D">
        <w:t>3 TEAE</w:t>
      </w:r>
      <w:r w:rsidR="00177671">
        <w:t>s</w:t>
      </w:r>
      <w:r w:rsidRPr="006D790D">
        <w:t>, SAE</w:t>
      </w:r>
      <w:r w:rsidR="00177671">
        <w:t>s</w:t>
      </w:r>
      <w:r w:rsidRPr="006D790D">
        <w:t xml:space="preserve"> or AESI in the </w:t>
      </w:r>
      <w:proofErr w:type="spellStart"/>
      <w:r w:rsidRPr="006D790D">
        <w:t>casirivimab</w:t>
      </w:r>
      <w:proofErr w:type="spellEnd"/>
      <w:r w:rsidR="00EA28EF" w:rsidRPr="006D790D">
        <w:t>/</w:t>
      </w:r>
      <w:proofErr w:type="spellStart"/>
      <w:r w:rsidRPr="006D790D">
        <w:t>imdevimab</w:t>
      </w:r>
      <w:proofErr w:type="spellEnd"/>
      <w:r w:rsidRPr="006D790D">
        <w:t xml:space="preserve"> groups following the vaccinations.</w:t>
      </w:r>
    </w:p>
    <w:p w14:paraId="46493030" w14:textId="6ADCD117" w:rsidR="00146C2C" w:rsidRPr="006D790D" w:rsidRDefault="00146C2C" w:rsidP="00B1559C">
      <w:r w:rsidRPr="006D790D">
        <w:t xml:space="preserve">Based on the limited data set, there was no change in the safety profile of </w:t>
      </w:r>
      <w:proofErr w:type="spellStart"/>
      <w:r w:rsidRPr="006D790D">
        <w:t>casirivimab</w:t>
      </w:r>
      <w:proofErr w:type="spellEnd"/>
      <w:r w:rsidR="00EA28EF" w:rsidRPr="006D790D">
        <w:t>/</w:t>
      </w:r>
      <w:proofErr w:type="spellStart"/>
      <w:r w:rsidRPr="006D790D">
        <w:t>imdevimab</w:t>
      </w:r>
      <w:proofErr w:type="spellEnd"/>
      <w:r w:rsidRPr="006D790D">
        <w:t xml:space="preserve"> in participants who subsequently received a COVID-19 </w:t>
      </w:r>
      <w:r w:rsidRPr="006D790D">
        <w:lastRenderedPageBreak/>
        <w:t>vaccination. No data are available on the immune response to COVID-19 vaccination in these subjects.</w:t>
      </w:r>
    </w:p>
    <w:p w14:paraId="00CA730A" w14:textId="77777777" w:rsidR="00146C2C" w:rsidRPr="006D790D" w:rsidRDefault="00146C2C" w:rsidP="00AE38B2">
      <w:pPr>
        <w:pStyle w:val="Heading6"/>
        <w:rPr>
          <w:rFonts w:eastAsia="TimesNewRomanPSMT"/>
        </w:rPr>
      </w:pPr>
      <w:r w:rsidRPr="006D790D">
        <w:rPr>
          <w:rFonts w:eastAsia="TimesNewRomanPSMT"/>
        </w:rPr>
        <w:t>Safety by baseline serostatus</w:t>
      </w:r>
    </w:p>
    <w:p w14:paraId="71ABF2B0" w14:textId="6F4ECF7B" w:rsidR="00146C2C" w:rsidRPr="006D790D" w:rsidRDefault="00146C2C" w:rsidP="00B1559C">
      <w:r w:rsidRPr="006D790D">
        <w:t xml:space="preserve">There were overall no issues of concern in subjects seropositive for SARS-CoV-2 at </w:t>
      </w:r>
      <w:r w:rsidR="00FC63CA" w:rsidRPr="006D790D">
        <w:t>Baseline</w:t>
      </w:r>
      <w:r w:rsidRPr="006D790D">
        <w:t>.</w:t>
      </w:r>
    </w:p>
    <w:p w14:paraId="6C8A42A5" w14:textId="78477BC0" w:rsidR="00146C2C" w:rsidRPr="006D790D" w:rsidRDefault="00146C2C" w:rsidP="00B1559C">
      <w:r w:rsidRPr="006D790D">
        <w:t xml:space="preserve">In </w:t>
      </w:r>
      <w:r w:rsidR="00F40137" w:rsidRPr="006D790D">
        <w:t>Study </w:t>
      </w:r>
      <w:r w:rsidRPr="006D790D">
        <w:t xml:space="preserve">COV-2067, the proportion of subjects with at least one SAE in the active treatment arms was somewhat higher in subjects who were seropositive at </w:t>
      </w:r>
      <w:r w:rsidR="00FC63CA" w:rsidRPr="006D790D">
        <w:t>Baseline</w:t>
      </w:r>
      <w:r w:rsidRPr="006D790D">
        <w:t xml:space="preserve"> compared with those who were seronegative, but the proportion of subjects with AESI was somewhat higher in those who were seronegative at </w:t>
      </w:r>
      <w:r w:rsidR="00FC63CA" w:rsidRPr="006D790D">
        <w:t>Baseline</w:t>
      </w:r>
      <w:r w:rsidRPr="006D790D">
        <w:t xml:space="preserve"> compared with those who were seropositive. </w:t>
      </w:r>
      <w:proofErr w:type="gramStart"/>
      <w:r w:rsidRPr="006D790D">
        <w:t>Overall</w:t>
      </w:r>
      <w:proofErr w:type="gramEnd"/>
      <w:r w:rsidRPr="006D790D">
        <w:t xml:space="preserve"> these events were infrequent and these observations may not be clinically meaningful.</w:t>
      </w:r>
    </w:p>
    <w:p w14:paraId="0F2BB14D" w14:textId="600BEFE8" w:rsidR="00146C2C" w:rsidRDefault="00D5326E" w:rsidP="00C05180">
      <w:pPr>
        <w:pStyle w:val="TableTitle"/>
      </w:pPr>
      <w:r w:rsidRPr="006D790D">
        <w:t xml:space="preserve">Table </w:t>
      </w:r>
      <w:fldSimple w:instr=" SEQ Table \* ARABIC ">
        <w:r w:rsidR="007F1879">
          <w:rPr>
            <w:noProof/>
          </w:rPr>
          <w:t>40</w:t>
        </w:r>
      </w:fldSimple>
      <w:r w:rsidR="00146C2C" w:rsidRPr="006D790D">
        <w:t xml:space="preserve">: </w:t>
      </w:r>
      <w:r w:rsidR="00C05180" w:rsidRPr="006D790D">
        <w:t>Study COV-2067 Serious adverse events</w:t>
      </w:r>
      <w:r w:rsidR="00146C2C" w:rsidRPr="006D790D">
        <w:t xml:space="preserve"> by baseline serostatus, from Day</w:t>
      </w:r>
      <w:r w:rsidR="00177671">
        <w:t> </w:t>
      </w:r>
      <w:r w:rsidR="00146C2C" w:rsidRPr="006D790D">
        <w:t>1 through 29 (</w:t>
      </w:r>
      <w:r w:rsidR="00C05180" w:rsidRPr="006D790D">
        <w:t xml:space="preserve">pooled </w:t>
      </w:r>
      <w:r w:rsidR="00146C2C" w:rsidRPr="006D790D">
        <w:t xml:space="preserve">Phase </w:t>
      </w:r>
      <w:r w:rsidR="00AF6815" w:rsidRPr="006D790D">
        <w:t>I/II/III</w:t>
      </w:r>
      <w:r w:rsidR="00146C2C" w:rsidRPr="006D790D">
        <w:t xml:space="preserve"> </w:t>
      </w:r>
      <w:r w:rsidR="00030A65" w:rsidRPr="006D790D">
        <w:t>safety analysis populatio</w:t>
      </w:r>
      <w:r w:rsidR="00C05180" w:rsidRPr="006D790D">
        <w:t>n</w:t>
      </w:r>
      <w:r w:rsidR="00146C2C" w:rsidRPr="006D790D">
        <w:t>)</w:t>
      </w:r>
    </w:p>
    <w:p w14:paraId="46EB1663" w14:textId="29118BB2" w:rsidR="00344743" w:rsidRPr="006D790D" w:rsidRDefault="00344743" w:rsidP="00890DD9">
      <w:r>
        <w:rPr>
          <w:noProof/>
        </w:rPr>
        <w:drawing>
          <wp:inline distT="0" distB="0" distL="0" distR="0" wp14:anchorId="212903A2" wp14:editId="630EEF98">
            <wp:extent cx="5400040" cy="1621155"/>
            <wp:effectExtent l="0" t="0" r="0" b="0"/>
            <wp:docPr id="86" name="Picture 86" descr="Study COV-2067 Serious adverse events by baseline serostatus, from Day 1 through 29 (pooled Phase I/II/III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tudy COV-2067 Serious adverse events by baseline serostatus, from Day 1 through 29 (pooled Phase I/II/III safety analysis population)"/>
                    <pic:cNvPicPr/>
                  </pic:nvPicPr>
                  <pic:blipFill>
                    <a:blip r:embed="rId72"/>
                    <a:stretch>
                      <a:fillRect/>
                    </a:stretch>
                  </pic:blipFill>
                  <pic:spPr>
                    <a:xfrm>
                      <a:off x="0" y="0"/>
                      <a:ext cx="5400040" cy="1621155"/>
                    </a:xfrm>
                    <a:prstGeom prst="rect">
                      <a:avLst/>
                    </a:prstGeom>
                  </pic:spPr>
                </pic:pic>
              </a:graphicData>
            </a:graphic>
          </wp:inline>
        </w:drawing>
      </w:r>
    </w:p>
    <w:p w14:paraId="454E76F3" w14:textId="6AE4FDC9" w:rsidR="00146C2C" w:rsidRPr="006D790D" w:rsidRDefault="00344743" w:rsidP="00BB0979">
      <w:pPr>
        <w:pStyle w:val="TableDescription"/>
      </w:pPr>
      <w:r w:rsidRPr="00344743">
        <w:t xml:space="preserve">R10933 + R10987 = </w:t>
      </w:r>
      <w:proofErr w:type="spellStart"/>
      <w:r w:rsidRPr="00344743">
        <w:t>casirivimab</w:t>
      </w:r>
      <w:proofErr w:type="spellEnd"/>
      <w:r w:rsidRPr="00344743">
        <w:t xml:space="preserve"> + </w:t>
      </w:r>
      <w:proofErr w:type="spellStart"/>
      <w:r w:rsidRPr="00344743">
        <w:t>imdevimab</w:t>
      </w:r>
      <w:proofErr w:type="spellEnd"/>
      <w:r w:rsidRPr="00344743">
        <w:t xml:space="preserve">; N = number of subjects; </w:t>
      </w:r>
      <w:r>
        <w:t xml:space="preserve">IV = </w:t>
      </w:r>
      <w:proofErr w:type="spellStart"/>
      <w:r>
        <w:t>introvanous</w:t>
      </w:r>
      <w:proofErr w:type="spellEnd"/>
      <w:r>
        <w:t xml:space="preserve">; </w:t>
      </w:r>
      <w:r w:rsidRPr="00344743">
        <w:t>TEAE = treatment emergent adverse events</w:t>
      </w:r>
      <w:r>
        <w:t>.</w:t>
      </w:r>
    </w:p>
    <w:p w14:paraId="6E362A81" w14:textId="4D10A6CA" w:rsidR="00146C2C" w:rsidRDefault="00D5326E" w:rsidP="00C05180">
      <w:pPr>
        <w:pStyle w:val="TableTitle"/>
      </w:pPr>
      <w:r w:rsidRPr="006D790D">
        <w:t xml:space="preserve">Table </w:t>
      </w:r>
      <w:fldSimple w:instr=" SEQ Table \* ARABIC ">
        <w:r w:rsidR="007F1879">
          <w:rPr>
            <w:noProof/>
          </w:rPr>
          <w:t>41</w:t>
        </w:r>
      </w:fldSimple>
      <w:r w:rsidR="00146C2C" w:rsidRPr="006D790D">
        <w:t xml:space="preserve">: </w:t>
      </w:r>
      <w:r w:rsidR="00C05180" w:rsidRPr="006D790D">
        <w:t xml:space="preserve">Study COV-2067 Adverse event of special interest </w:t>
      </w:r>
      <w:r w:rsidR="00146C2C" w:rsidRPr="006D790D">
        <w:t>by baseline serostatus, from Day 1 through 29 (</w:t>
      </w:r>
      <w:r w:rsidR="00C05180" w:rsidRPr="006D790D">
        <w:t xml:space="preserve">pooled </w:t>
      </w:r>
      <w:r w:rsidR="00146C2C" w:rsidRPr="006D790D">
        <w:t xml:space="preserve">Phase </w:t>
      </w:r>
      <w:r w:rsidR="00AF6815" w:rsidRPr="006D790D">
        <w:t xml:space="preserve">I/II/III </w:t>
      </w:r>
      <w:r w:rsidR="00030A65" w:rsidRPr="006D790D">
        <w:t>safety analysis population</w:t>
      </w:r>
      <w:r w:rsidR="00146C2C" w:rsidRPr="006D790D">
        <w:t>)</w:t>
      </w:r>
    </w:p>
    <w:p w14:paraId="0614B0F2" w14:textId="2376E3A0" w:rsidR="00344743" w:rsidRDefault="00344743" w:rsidP="00890DD9">
      <w:pPr>
        <w:rPr>
          <w:rFonts w:asciiTheme="minorHAnsi" w:eastAsia="TimesNewRomanPSMT" w:hAnsiTheme="minorHAnsi" w:cs="TimesNewRomanPSMT"/>
          <w:color w:val="000000"/>
        </w:rPr>
      </w:pPr>
      <w:r>
        <w:rPr>
          <w:noProof/>
        </w:rPr>
        <w:drawing>
          <wp:inline distT="0" distB="0" distL="0" distR="0" wp14:anchorId="0DCC7A58" wp14:editId="33EEFB3B">
            <wp:extent cx="5400040" cy="1661885"/>
            <wp:effectExtent l="0" t="0" r="0" b="0"/>
            <wp:docPr id="87" name="Picture 87" descr="Study COV-2067 Adverse event of special interest by baseline serostatus, from Day 1 through 29 (pooled Phase I/II/III safety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tudy COV-2067 Adverse event of special interest by baseline serostatus, from Day 1 through 29 (pooled Phase I/II/III safety analysis population)"/>
                    <pic:cNvPicPr/>
                  </pic:nvPicPr>
                  <pic:blipFill>
                    <a:blip r:embed="rId73"/>
                    <a:stretch>
                      <a:fillRect/>
                    </a:stretch>
                  </pic:blipFill>
                  <pic:spPr>
                    <a:xfrm>
                      <a:off x="0" y="0"/>
                      <a:ext cx="5408037" cy="1664346"/>
                    </a:xfrm>
                    <a:prstGeom prst="rect">
                      <a:avLst/>
                    </a:prstGeom>
                  </pic:spPr>
                </pic:pic>
              </a:graphicData>
            </a:graphic>
          </wp:inline>
        </w:drawing>
      </w:r>
    </w:p>
    <w:p w14:paraId="230741AD" w14:textId="1F5ABAE1" w:rsidR="00344743" w:rsidRPr="00BB0979" w:rsidRDefault="00344743" w:rsidP="00BB0979">
      <w:pPr>
        <w:pStyle w:val="TableDescription"/>
      </w:pPr>
      <w:r w:rsidRPr="007B44A5">
        <w:t xml:space="preserve">R10933 + R10987 = </w:t>
      </w:r>
      <w:proofErr w:type="spellStart"/>
      <w:r w:rsidRPr="007B44A5">
        <w:t>casirivimab</w:t>
      </w:r>
      <w:proofErr w:type="spellEnd"/>
      <w:r w:rsidRPr="007B44A5">
        <w:t xml:space="preserve"> + </w:t>
      </w:r>
      <w:proofErr w:type="spellStart"/>
      <w:r w:rsidRPr="007B44A5">
        <w:t>imdevimab</w:t>
      </w:r>
      <w:proofErr w:type="spellEnd"/>
      <w:r w:rsidRPr="007B44A5">
        <w:t xml:space="preserve">; AESI = adverse events of special interest; N = number of subjects; IV = </w:t>
      </w:r>
      <w:proofErr w:type="spellStart"/>
      <w:r w:rsidRPr="007B44A5">
        <w:t>introvanous</w:t>
      </w:r>
      <w:proofErr w:type="spellEnd"/>
      <w:r w:rsidRPr="007B44A5">
        <w:t>; TEAE = treatment emergent adverse events.</w:t>
      </w:r>
    </w:p>
    <w:p w14:paraId="40062CA3" w14:textId="0AA39D8F" w:rsidR="00146C2C" w:rsidRPr="006D790D" w:rsidRDefault="00146C2C" w:rsidP="00B1559C">
      <w:r w:rsidRPr="006D790D">
        <w:t xml:space="preserve">In </w:t>
      </w:r>
      <w:r w:rsidR="00F40137" w:rsidRPr="006D790D">
        <w:t>Study </w:t>
      </w:r>
      <w:r w:rsidRPr="006D790D">
        <w:t>COV-2069, there were no notable differences in the safety profile by baseline serology.</w:t>
      </w:r>
    </w:p>
    <w:p w14:paraId="65BD7785" w14:textId="77777777" w:rsidR="008E7846" w:rsidRPr="006D790D" w:rsidRDefault="00386150" w:rsidP="007B6132">
      <w:pPr>
        <w:pStyle w:val="Heading3"/>
        <w:rPr>
          <w:lang w:eastAsia="en-AU"/>
        </w:rPr>
      </w:pPr>
      <w:bookmarkStart w:id="122" w:name="_Toc86748271"/>
      <w:bookmarkEnd w:id="121"/>
      <w:r w:rsidRPr="006D790D">
        <w:rPr>
          <w:lang w:eastAsia="en-AU"/>
        </w:rPr>
        <w:t>Risk m</w:t>
      </w:r>
      <w:r w:rsidR="008E7846" w:rsidRPr="006D790D">
        <w:rPr>
          <w:lang w:eastAsia="en-AU"/>
        </w:rPr>
        <w:t xml:space="preserve">anagement </w:t>
      </w:r>
      <w:r w:rsidRPr="006D790D">
        <w:rPr>
          <w:lang w:eastAsia="en-AU"/>
        </w:rPr>
        <w:t>p</w:t>
      </w:r>
      <w:r w:rsidR="008E7846" w:rsidRPr="006D790D">
        <w:rPr>
          <w:lang w:eastAsia="en-AU"/>
        </w:rPr>
        <w:t>lan</w:t>
      </w:r>
      <w:bookmarkEnd w:id="51"/>
      <w:bookmarkEnd w:id="122"/>
    </w:p>
    <w:p w14:paraId="4FE19A95" w14:textId="51F9620E" w:rsidR="00FC4DF1" w:rsidRPr="006D790D" w:rsidRDefault="00ED42D4" w:rsidP="00FC4DF1">
      <w:r w:rsidRPr="006D790D">
        <w:t>The sponsor</w:t>
      </w:r>
      <w:r w:rsidR="00FC4DF1" w:rsidRPr="006D790D">
        <w:t xml:space="preserve"> has submitted EU-</w:t>
      </w:r>
      <w:r w:rsidR="006F5C93" w:rsidRPr="006D790D">
        <w:t>risk management plan (</w:t>
      </w:r>
      <w:r w:rsidR="00FC4DF1" w:rsidRPr="006D790D">
        <w:t>RMP</w:t>
      </w:r>
      <w:r w:rsidR="006F5C93" w:rsidRPr="006D790D">
        <w:t>)</w:t>
      </w:r>
      <w:r w:rsidR="00FC4DF1" w:rsidRPr="006D790D">
        <w:t xml:space="preserve"> version 0.1 (date</w:t>
      </w:r>
      <w:r w:rsidR="006F5C93" w:rsidRPr="006D790D">
        <w:t>d</w:t>
      </w:r>
      <w:r w:rsidR="00FC4DF1" w:rsidRPr="006D790D">
        <w:t xml:space="preserve"> 13 July 2021;</w:t>
      </w:r>
      <w:r w:rsidR="006F5C93" w:rsidRPr="006D790D">
        <w:t xml:space="preserve"> data lock point</w:t>
      </w:r>
      <w:r w:rsidR="00FC4DF1" w:rsidRPr="006D790D">
        <w:t xml:space="preserve"> </w:t>
      </w:r>
      <w:r w:rsidR="006F5C93" w:rsidRPr="006D790D">
        <w:t>(</w:t>
      </w:r>
      <w:r w:rsidR="00FC4DF1" w:rsidRPr="006D790D">
        <w:t>DLP</w:t>
      </w:r>
      <w:r w:rsidR="006F5C93" w:rsidRPr="006D790D">
        <w:t>)</w:t>
      </w:r>
      <w:r w:rsidR="00FC4DF1" w:rsidRPr="006D790D">
        <w:t xml:space="preserve"> 30 April 2021) and </w:t>
      </w:r>
      <w:r w:rsidR="006F5C93" w:rsidRPr="006D790D">
        <w:t>Australian specific annex (</w:t>
      </w:r>
      <w:r w:rsidR="00FC4DF1" w:rsidRPr="006D790D">
        <w:t>ASA</w:t>
      </w:r>
      <w:r w:rsidR="006F5C93" w:rsidRPr="006D790D">
        <w:t>)</w:t>
      </w:r>
      <w:r w:rsidR="00FC4DF1" w:rsidRPr="006D790D">
        <w:t xml:space="preserve"> version 1.0 (date</w:t>
      </w:r>
      <w:r w:rsidR="006F5C93" w:rsidRPr="006D790D">
        <w:t>d</w:t>
      </w:r>
      <w:r w:rsidR="00FC4DF1" w:rsidRPr="006D790D">
        <w:t xml:space="preserve"> August 2021) in support of this application. Later in the evaluation phase, the sponsor submitted an updated ASA version 1.1 (date</w:t>
      </w:r>
      <w:r w:rsidR="006F5C93" w:rsidRPr="006D790D">
        <w:t>d</w:t>
      </w:r>
      <w:r w:rsidR="00FC4DF1" w:rsidRPr="006D790D">
        <w:t xml:space="preserve"> September 2021).</w:t>
      </w:r>
    </w:p>
    <w:p w14:paraId="6159CF68" w14:textId="363D9769" w:rsidR="007D53B6" w:rsidRPr="006D790D" w:rsidRDefault="007D53B6" w:rsidP="007D53B6">
      <w:r w:rsidRPr="006D790D">
        <w:lastRenderedPageBreak/>
        <w:t xml:space="preserve">The summary of safety concerns and their associated risk monitoring and mitigation strategies are summarised in </w:t>
      </w:r>
      <w:r w:rsidR="00D5326E" w:rsidRPr="006D790D">
        <w:fldChar w:fldCharType="begin"/>
      </w:r>
      <w:r w:rsidR="00D5326E" w:rsidRPr="006D790D">
        <w:instrText xml:space="preserve"> REF _Ref85139018 \h </w:instrText>
      </w:r>
      <w:r w:rsidR="006D790D">
        <w:instrText xml:space="preserve"> \* MERGEFORMAT </w:instrText>
      </w:r>
      <w:r w:rsidR="00D5326E" w:rsidRPr="006D790D">
        <w:fldChar w:fldCharType="separate"/>
      </w:r>
      <w:r w:rsidR="007F1879" w:rsidRPr="006D790D">
        <w:t xml:space="preserve">Table </w:t>
      </w:r>
      <w:r w:rsidR="007F1879">
        <w:rPr>
          <w:noProof/>
        </w:rPr>
        <w:t>42</w:t>
      </w:r>
      <w:r w:rsidR="00D5326E" w:rsidRPr="006D790D">
        <w:fldChar w:fldCharType="end"/>
      </w:r>
      <w:r w:rsidRPr="006D790D">
        <w:t>.</w:t>
      </w:r>
      <w:r w:rsidRPr="006D790D">
        <w:rPr>
          <w:rStyle w:val="FootnoteReference"/>
        </w:rPr>
        <w:footnoteReference w:id="22"/>
      </w:r>
    </w:p>
    <w:p w14:paraId="1C57E052" w14:textId="05B39801" w:rsidR="00FC4DF1" w:rsidRPr="006D790D" w:rsidRDefault="00FC4DF1" w:rsidP="00FC4DF1">
      <w:pPr>
        <w:pStyle w:val="TableTitle"/>
      </w:pPr>
      <w:bookmarkStart w:id="123" w:name="_Ref85139018"/>
      <w:r w:rsidRPr="006D790D">
        <w:t xml:space="preserve">Table </w:t>
      </w:r>
      <w:fldSimple w:instr=" SEQ Table \* ARABIC ">
        <w:r w:rsidR="007F1879">
          <w:rPr>
            <w:noProof/>
          </w:rPr>
          <w:t>42</w:t>
        </w:r>
      </w:fldSimple>
      <w:bookmarkEnd w:id="123"/>
      <w:r w:rsidRPr="006D790D">
        <w:t>: Summary of safety concerns</w:t>
      </w:r>
    </w:p>
    <w:tbl>
      <w:tblPr>
        <w:tblStyle w:val="TableTGAblue"/>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6"/>
        <w:gridCol w:w="1682"/>
        <w:gridCol w:w="1134"/>
        <w:gridCol w:w="1275"/>
        <w:gridCol w:w="993"/>
        <w:gridCol w:w="1144"/>
      </w:tblGrid>
      <w:tr w:rsidR="00FC4DF1" w:rsidRPr="006D790D" w14:paraId="790AB01A" w14:textId="77777777" w:rsidTr="00F74904">
        <w:trPr>
          <w:cnfStyle w:val="100000000000" w:firstRow="1" w:lastRow="0" w:firstColumn="0" w:lastColumn="0" w:oddVBand="0" w:evenVBand="0" w:oddHBand="0" w:evenHBand="0" w:firstRowFirstColumn="0" w:firstRowLastColumn="0" w:lastRowFirstColumn="0" w:lastRowLastColumn="0"/>
          <w:trHeight w:val="131"/>
        </w:trPr>
        <w:tc>
          <w:tcPr>
            <w:tcW w:w="3818" w:type="dxa"/>
            <w:gridSpan w:val="2"/>
            <w:vMerge w:val="restart"/>
            <w:tcBorders>
              <w:top w:val="single" w:sz="8" w:space="0" w:color="auto"/>
              <w:left w:val="single" w:sz="8" w:space="0" w:color="auto"/>
              <w:bottom w:val="single" w:sz="8" w:space="0" w:color="auto"/>
              <w:right w:val="single" w:sz="8" w:space="0" w:color="auto"/>
              <w:tl2br w:val="none" w:sz="0" w:space="0" w:color="auto"/>
              <w:tr2bl w:val="none" w:sz="0" w:space="0" w:color="auto"/>
            </w:tcBorders>
          </w:tcPr>
          <w:p w14:paraId="72455E29" w14:textId="77777777" w:rsidR="00FC4DF1" w:rsidRPr="006D790D" w:rsidRDefault="00FC4DF1" w:rsidP="00FC4DF1">
            <w:pPr>
              <w:pStyle w:val="Tabletext"/>
              <w:ind w:left="0" w:right="0"/>
            </w:pPr>
            <w:r w:rsidRPr="006D790D">
              <w:t>Summary of safety concerns</w:t>
            </w:r>
          </w:p>
        </w:tc>
        <w:tc>
          <w:tcPr>
            <w:tcW w:w="2409" w:type="dxa"/>
            <w:gridSpan w:val="2"/>
            <w:tcBorders>
              <w:top w:val="single" w:sz="8" w:space="0" w:color="auto"/>
              <w:left w:val="single" w:sz="8" w:space="0" w:color="auto"/>
              <w:bottom w:val="single" w:sz="8" w:space="0" w:color="auto"/>
              <w:right w:val="single" w:sz="8" w:space="0" w:color="auto"/>
              <w:tl2br w:val="none" w:sz="0" w:space="0" w:color="auto"/>
              <w:tr2bl w:val="none" w:sz="0" w:space="0" w:color="auto"/>
            </w:tcBorders>
          </w:tcPr>
          <w:p w14:paraId="6A3A49D2" w14:textId="77777777" w:rsidR="00FC4DF1" w:rsidRPr="006D790D" w:rsidRDefault="00FC4DF1" w:rsidP="00FC4DF1">
            <w:pPr>
              <w:pStyle w:val="Tabletext"/>
              <w:ind w:left="0" w:right="0"/>
            </w:pPr>
            <w:r w:rsidRPr="006D790D">
              <w:t>Pharmacovigilance</w:t>
            </w:r>
          </w:p>
        </w:tc>
        <w:tc>
          <w:tcPr>
            <w:tcW w:w="2137" w:type="dxa"/>
            <w:gridSpan w:val="2"/>
            <w:tcBorders>
              <w:top w:val="single" w:sz="8" w:space="0" w:color="auto"/>
              <w:left w:val="single" w:sz="8" w:space="0" w:color="auto"/>
              <w:bottom w:val="single" w:sz="8" w:space="0" w:color="auto"/>
              <w:right w:val="single" w:sz="8" w:space="0" w:color="auto"/>
              <w:tl2br w:val="none" w:sz="0" w:space="0" w:color="auto"/>
              <w:tr2bl w:val="none" w:sz="0" w:space="0" w:color="auto"/>
            </w:tcBorders>
          </w:tcPr>
          <w:p w14:paraId="592EF21A" w14:textId="334C2EE3" w:rsidR="00FC4DF1" w:rsidRPr="006D790D" w:rsidRDefault="00FC4DF1" w:rsidP="00FC4DF1">
            <w:pPr>
              <w:pStyle w:val="Tabletext"/>
              <w:ind w:left="0" w:right="0"/>
            </w:pPr>
            <w:r w:rsidRPr="006D790D">
              <w:t>Risk minimisation</w:t>
            </w:r>
          </w:p>
        </w:tc>
      </w:tr>
      <w:tr w:rsidR="00FC4DF1" w:rsidRPr="006D790D" w14:paraId="0D5705CD" w14:textId="77777777" w:rsidTr="00F74904">
        <w:trPr>
          <w:trHeight w:val="150"/>
        </w:trPr>
        <w:tc>
          <w:tcPr>
            <w:tcW w:w="3818" w:type="dxa"/>
            <w:gridSpan w:val="2"/>
            <w:vMerge/>
            <w:tcBorders>
              <w:top w:val="single" w:sz="8" w:space="0" w:color="auto"/>
              <w:left w:val="single" w:sz="8" w:space="0" w:color="auto"/>
              <w:bottom w:val="single" w:sz="8" w:space="0" w:color="auto"/>
              <w:right w:val="single" w:sz="8" w:space="0" w:color="auto"/>
            </w:tcBorders>
          </w:tcPr>
          <w:p w14:paraId="2A12BB6D" w14:textId="77777777" w:rsidR="00FC4DF1" w:rsidRPr="006D790D" w:rsidRDefault="00FC4DF1" w:rsidP="00FC4DF1">
            <w:pPr>
              <w:pStyle w:val="Tabletext"/>
              <w:ind w:left="0" w:right="0"/>
            </w:pPr>
          </w:p>
        </w:tc>
        <w:tc>
          <w:tcPr>
            <w:tcW w:w="1134" w:type="dxa"/>
            <w:tcBorders>
              <w:top w:val="single" w:sz="8" w:space="0" w:color="auto"/>
              <w:left w:val="single" w:sz="8" w:space="0" w:color="auto"/>
              <w:bottom w:val="single" w:sz="8" w:space="0" w:color="auto"/>
              <w:right w:val="single" w:sz="8" w:space="0" w:color="auto"/>
            </w:tcBorders>
            <w:shd w:val="clear" w:color="auto" w:fill="006DA7"/>
          </w:tcPr>
          <w:p w14:paraId="2BAD0051" w14:textId="77777777" w:rsidR="00FC4DF1" w:rsidRPr="006D790D" w:rsidRDefault="00FC4DF1" w:rsidP="00FC4DF1">
            <w:pPr>
              <w:pStyle w:val="Tabletext"/>
              <w:ind w:left="0" w:right="0"/>
              <w:rPr>
                <w:b/>
                <w:bCs/>
                <w:color w:val="FFFFFF" w:themeColor="background1"/>
              </w:rPr>
            </w:pPr>
            <w:r w:rsidRPr="006D790D">
              <w:rPr>
                <w:b/>
                <w:bCs/>
                <w:color w:val="FFFFFF" w:themeColor="background1"/>
              </w:rPr>
              <w:t>Routine</w:t>
            </w:r>
          </w:p>
        </w:tc>
        <w:tc>
          <w:tcPr>
            <w:tcW w:w="1275" w:type="dxa"/>
            <w:tcBorders>
              <w:top w:val="single" w:sz="8" w:space="0" w:color="auto"/>
              <w:left w:val="single" w:sz="8" w:space="0" w:color="auto"/>
              <w:bottom w:val="single" w:sz="8" w:space="0" w:color="auto"/>
              <w:right w:val="single" w:sz="8" w:space="0" w:color="auto"/>
            </w:tcBorders>
            <w:shd w:val="clear" w:color="auto" w:fill="006DA7"/>
          </w:tcPr>
          <w:p w14:paraId="26F1F45A" w14:textId="77777777" w:rsidR="00FC4DF1" w:rsidRPr="006D790D" w:rsidRDefault="00FC4DF1" w:rsidP="00FC4DF1">
            <w:pPr>
              <w:pStyle w:val="Tabletext"/>
              <w:ind w:left="0" w:right="0"/>
              <w:rPr>
                <w:b/>
                <w:bCs/>
                <w:color w:val="FFFFFF" w:themeColor="background1"/>
              </w:rPr>
            </w:pPr>
            <w:r w:rsidRPr="006D790D">
              <w:rPr>
                <w:b/>
                <w:bCs/>
                <w:color w:val="FFFFFF" w:themeColor="background1"/>
              </w:rPr>
              <w:t>Additional</w:t>
            </w:r>
          </w:p>
        </w:tc>
        <w:tc>
          <w:tcPr>
            <w:tcW w:w="993" w:type="dxa"/>
            <w:tcBorders>
              <w:top w:val="single" w:sz="8" w:space="0" w:color="auto"/>
              <w:left w:val="single" w:sz="8" w:space="0" w:color="auto"/>
              <w:bottom w:val="single" w:sz="8" w:space="0" w:color="auto"/>
              <w:right w:val="single" w:sz="8" w:space="0" w:color="auto"/>
            </w:tcBorders>
            <w:shd w:val="clear" w:color="auto" w:fill="006DA7"/>
          </w:tcPr>
          <w:p w14:paraId="2B37DAC4" w14:textId="77777777" w:rsidR="00FC4DF1" w:rsidRPr="006D790D" w:rsidRDefault="00FC4DF1" w:rsidP="00FC4DF1">
            <w:pPr>
              <w:pStyle w:val="Tabletext"/>
              <w:ind w:left="0" w:right="0"/>
              <w:rPr>
                <w:b/>
                <w:bCs/>
                <w:color w:val="FFFFFF" w:themeColor="background1"/>
              </w:rPr>
            </w:pPr>
            <w:r w:rsidRPr="006D790D">
              <w:rPr>
                <w:b/>
                <w:bCs/>
                <w:color w:val="FFFFFF" w:themeColor="background1"/>
              </w:rPr>
              <w:t>Routine</w:t>
            </w:r>
          </w:p>
        </w:tc>
        <w:tc>
          <w:tcPr>
            <w:tcW w:w="1144" w:type="dxa"/>
            <w:tcBorders>
              <w:top w:val="single" w:sz="8" w:space="0" w:color="auto"/>
              <w:left w:val="single" w:sz="8" w:space="0" w:color="auto"/>
              <w:bottom w:val="single" w:sz="8" w:space="0" w:color="auto"/>
              <w:right w:val="single" w:sz="8" w:space="0" w:color="auto"/>
            </w:tcBorders>
            <w:shd w:val="clear" w:color="auto" w:fill="006DA7"/>
          </w:tcPr>
          <w:p w14:paraId="18D06247" w14:textId="77777777" w:rsidR="00FC4DF1" w:rsidRPr="006D790D" w:rsidRDefault="00FC4DF1" w:rsidP="00FC4DF1">
            <w:pPr>
              <w:pStyle w:val="Tabletext"/>
              <w:ind w:left="0" w:right="0"/>
              <w:rPr>
                <w:b/>
                <w:bCs/>
                <w:color w:val="FFFFFF" w:themeColor="background1"/>
              </w:rPr>
            </w:pPr>
            <w:r w:rsidRPr="006D790D">
              <w:rPr>
                <w:b/>
                <w:bCs/>
                <w:color w:val="FFFFFF" w:themeColor="background1"/>
              </w:rPr>
              <w:t>Additional</w:t>
            </w:r>
          </w:p>
        </w:tc>
      </w:tr>
      <w:tr w:rsidR="00FC4DF1" w:rsidRPr="006D790D" w14:paraId="4CCD57FF" w14:textId="77777777" w:rsidTr="00F74904">
        <w:trPr>
          <w:trHeight w:val="137"/>
        </w:trPr>
        <w:tc>
          <w:tcPr>
            <w:tcW w:w="2136" w:type="dxa"/>
            <w:tcBorders>
              <w:top w:val="single" w:sz="8" w:space="0" w:color="auto"/>
              <w:left w:val="single" w:sz="8" w:space="0" w:color="auto"/>
              <w:bottom w:val="single" w:sz="8" w:space="0" w:color="auto"/>
              <w:right w:val="single" w:sz="8" w:space="0" w:color="auto"/>
            </w:tcBorders>
          </w:tcPr>
          <w:p w14:paraId="5E86524D" w14:textId="77777777" w:rsidR="00FC4DF1" w:rsidRPr="006D790D" w:rsidRDefault="00FC4DF1" w:rsidP="00FC4DF1">
            <w:pPr>
              <w:pStyle w:val="Tabletext"/>
              <w:ind w:left="0" w:right="0"/>
              <w:rPr>
                <w:b/>
                <w:bCs/>
              </w:rPr>
            </w:pPr>
            <w:r w:rsidRPr="006D790D">
              <w:rPr>
                <w:b/>
                <w:bCs/>
              </w:rPr>
              <w:t>Important identified risks</w:t>
            </w:r>
          </w:p>
        </w:tc>
        <w:tc>
          <w:tcPr>
            <w:tcW w:w="1682" w:type="dxa"/>
            <w:tcBorders>
              <w:top w:val="single" w:sz="8" w:space="0" w:color="auto"/>
              <w:left w:val="single" w:sz="8" w:space="0" w:color="auto"/>
              <w:bottom w:val="single" w:sz="8" w:space="0" w:color="auto"/>
              <w:right w:val="single" w:sz="8" w:space="0" w:color="auto"/>
            </w:tcBorders>
          </w:tcPr>
          <w:p w14:paraId="62104317" w14:textId="77777777" w:rsidR="00FC4DF1" w:rsidRPr="006D790D" w:rsidRDefault="00FC4DF1" w:rsidP="00FC4DF1">
            <w:pPr>
              <w:pStyle w:val="Tabletext"/>
              <w:ind w:left="0" w:right="0"/>
            </w:pPr>
            <w:r w:rsidRPr="006D790D">
              <w:t>None</w:t>
            </w:r>
          </w:p>
        </w:tc>
        <w:tc>
          <w:tcPr>
            <w:tcW w:w="1134" w:type="dxa"/>
            <w:tcBorders>
              <w:top w:val="single" w:sz="8" w:space="0" w:color="auto"/>
              <w:left w:val="single" w:sz="8" w:space="0" w:color="auto"/>
              <w:bottom w:val="single" w:sz="8" w:space="0" w:color="auto"/>
              <w:right w:val="single" w:sz="8" w:space="0" w:color="auto"/>
            </w:tcBorders>
          </w:tcPr>
          <w:p w14:paraId="24EAB182" w14:textId="77777777" w:rsidR="00FC4DF1" w:rsidRPr="006D790D" w:rsidRDefault="00FC4DF1" w:rsidP="00FC4DF1">
            <w:pPr>
              <w:pStyle w:val="Tabletext"/>
              <w:ind w:left="0" w:right="0"/>
            </w:pPr>
            <w:r w:rsidRPr="006D790D">
              <w:t>–</w:t>
            </w:r>
          </w:p>
        </w:tc>
        <w:tc>
          <w:tcPr>
            <w:tcW w:w="1275" w:type="dxa"/>
            <w:tcBorders>
              <w:top w:val="single" w:sz="8" w:space="0" w:color="auto"/>
              <w:left w:val="single" w:sz="8" w:space="0" w:color="auto"/>
              <w:bottom w:val="single" w:sz="8" w:space="0" w:color="auto"/>
              <w:right w:val="single" w:sz="8" w:space="0" w:color="auto"/>
            </w:tcBorders>
          </w:tcPr>
          <w:p w14:paraId="5AA88E22" w14:textId="77777777" w:rsidR="00FC4DF1" w:rsidRPr="006D790D" w:rsidRDefault="00FC4DF1" w:rsidP="00FC4DF1">
            <w:pPr>
              <w:pStyle w:val="Tabletext"/>
              <w:ind w:left="0" w:right="0"/>
            </w:pPr>
            <w:r w:rsidRPr="006D790D">
              <w:t>–</w:t>
            </w:r>
          </w:p>
        </w:tc>
        <w:tc>
          <w:tcPr>
            <w:tcW w:w="993" w:type="dxa"/>
            <w:tcBorders>
              <w:top w:val="single" w:sz="8" w:space="0" w:color="auto"/>
              <w:left w:val="single" w:sz="8" w:space="0" w:color="auto"/>
              <w:bottom w:val="single" w:sz="8" w:space="0" w:color="auto"/>
              <w:right w:val="single" w:sz="8" w:space="0" w:color="auto"/>
            </w:tcBorders>
          </w:tcPr>
          <w:p w14:paraId="0F619A40" w14:textId="77777777" w:rsidR="00FC4DF1" w:rsidRPr="006D790D" w:rsidRDefault="00FC4DF1" w:rsidP="00FC4DF1">
            <w:pPr>
              <w:pStyle w:val="Tabletext"/>
              <w:ind w:left="0" w:right="0"/>
            </w:pPr>
            <w:r w:rsidRPr="006D790D">
              <w:t>–</w:t>
            </w:r>
          </w:p>
        </w:tc>
        <w:tc>
          <w:tcPr>
            <w:tcW w:w="1144" w:type="dxa"/>
            <w:tcBorders>
              <w:top w:val="single" w:sz="8" w:space="0" w:color="auto"/>
              <w:left w:val="single" w:sz="8" w:space="0" w:color="auto"/>
              <w:bottom w:val="single" w:sz="8" w:space="0" w:color="auto"/>
              <w:right w:val="single" w:sz="8" w:space="0" w:color="auto"/>
            </w:tcBorders>
          </w:tcPr>
          <w:p w14:paraId="2E67524E" w14:textId="77777777" w:rsidR="00FC4DF1" w:rsidRPr="006D790D" w:rsidRDefault="00FC4DF1" w:rsidP="00FC4DF1">
            <w:pPr>
              <w:pStyle w:val="Tabletext"/>
              <w:ind w:left="0" w:right="0"/>
            </w:pPr>
            <w:r w:rsidRPr="006D790D">
              <w:t>–</w:t>
            </w:r>
          </w:p>
        </w:tc>
      </w:tr>
      <w:tr w:rsidR="00FC4DF1" w:rsidRPr="006D790D" w14:paraId="43616B2D" w14:textId="77777777" w:rsidTr="00F74904">
        <w:trPr>
          <w:trHeight w:val="159"/>
        </w:trPr>
        <w:tc>
          <w:tcPr>
            <w:tcW w:w="2136" w:type="dxa"/>
            <w:tcBorders>
              <w:top w:val="single" w:sz="8" w:space="0" w:color="auto"/>
              <w:left w:val="single" w:sz="8" w:space="0" w:color="auto"/>
              <w:bottom w:val="single" w:sz="8" w:space="0" w:color="auto"/>
              <w:right w:val="single" w:sz="8" w:space="0" w:color="auto"/>
            </w:tcBorders>
          </w:tcPr>
          <w:p w14:paraId="7CB5AD6C" w14:textId="77777777" w:rsidR="00FC4DF1" w:rsidRPr="006D790D" w:rsidRDefault="00FC4DF1" w:rsidP="00FC4DF1">
            <w:pPr>
              <w:pStyle w:val="Tabletext"/>
              <w:ind w:left="0" w:right="0"/>
              <w:rPr>
                <w:b/>
                <w:bCs/>
              </w:rPr>
            </w:pPr>
            <w:r w:rsidRPr="006D790D">
              <w:rPr>
                <w:b/>
                <w:bCs/>
              </w:rPr>
              <w:t>Important potential risks</w:t>
            </w:r>
          </w:p>
        </w:tc>
        <w:tc>
          <w:tcPr>
            <w:tcW w:w="1682" w:type="dxa"/>
            <w:tcBorders>
              <w:top w:val="single" w:sz="8" w:space="0" w:color="auto"/>
              <w:left w:val="single" w:sz="8" w:space="0" w:color="auto"/>
              <w:bottom w:val="single" w:sz="8" w:space="0" w:color="auto"/>
              <w:right w:val="single" w:sz="8" w:space="0" w:color="auto"/>
            </w:tcBorders>
          </w:tcPr>
          <w:p w14:paraId="60CAF5A1" w14:textId="77777777" w:rsidR="00FC4DF1" w:rsidRPr="006D790D" w:rsidRDefault="00FC4DF1" w:rsidP="00FC4DF1">
            <w:pPr>
              <w:pStyle w:val="Tabletext"/>
              <w:ind w:left="0" w:right="0"/>
            </w:pPr>
            <w:r w:rsidRPr="006D790D">
              <w:t>None</w:t>
            </w:r>
          </w:p>
        </w:tc>
        <w:tc>
          <w:tcPr>
            <w:tcW w:w="1134" w:type="dxa"/>
            <w:tcBorders>
              <w:top w:val="single" w:sz="8" w:space="0" w:color="auto"/>
              <w:left w:val="single" w:sz="8" w:space="0" w:color="auto"/>
              <w:bottom w:val="single" w:sz="8" w:space="0" w:color="auto"/>
              <w:right w:val="single" w:sz="8" w:space="0" w:color="auto"/>
            </w:tcBorders>
          </w:tcPr>
          <w:p w14:paraId="653E02D1" w14:textId="77777777" w:rsidR="00FC4DF1" w:rsidRPr="006D790D" w:rsidRDefault="00FC4DF1" w:rsidP="00FC4DF1">
            <w:pPr>
              <w:pStyle w:val="Tabletext"/>
              <w:ind w:left="0" w:right="0"/>
            </w:pPr>
            <w:r w:rsidRPr="006D790D">
              <w:t>–</w:t>
            </w:r>
          </w:p>
        </w:tc>
        <w:tc>
          <w:tcPr>
            <w:tcW w:w="1275" w:type="dxa"/>
            <w:tcBorders>
              <w:top w:val="single" w:sz="8" w:space="0" w:color="auto"/>
              <w:left w:val="single" w:sz="8" w:space="0" w:color="auto"/>
              <w:bottom w:val="single" w:sz="8" w:space="0" w:color="auto"/>
              <w:right w:val="single" w:sz="8" w:space="0" w:color="auto"/>
            </w:tcBorders>
          </w:tcPr>
          <w:p w14:paraId="16FF0A42" w14:textId="77777777" w:rsidR="00FC4DF1" w:rsidRPr="006D790D" w:rsidRDefault="00FC4DF1" w:rsidP="00FC4DF1">
            <w:pPr>
              <w:pStyle w:val="Tabletext"/>
              <w:ind w:left="0" w:right="0"/>
            </w:pPr>
            <w:r w:rsidRPr="006D790D">
              <w:t>–</w:t>
            </w:r>
          </w:p>
        </w:tc>
        <w:tc>
          <w:tcPr>
            <w:tcW w:w="993" w:type="dxa"/>
            <w:tcBorders>
              <w:top w:val="single" w:sz="8" w:space="0" w:color="auto"/>
              <w:left w:val="single" w:sz="8" w:space="0" w:color="auto"/>
              <w:bottom w:val="single" w:sz="8" w:space="0" w:color="auto"/>
              <w:right w:val="single" w:sz="8" w:space="0" w:color="auto"/>
            </w:tcBorders>
          </w:tcPr>
          <w:p w14:paraId="513942E4" w14:textId="77777777" w:rsidR="00FC4DF1" w:rsidRPr="006D790D" w:rsidRDefault="00FC4DF1" w:rsidP="00FC4DF1">
            <w:pPr>
              <w:pStyle w:val="Tabletext"/>
              <w:ind w:left="0" w:right="0"/>
            </w:pPr>
            <w:r w:rsidRPr="006D790D">
              <w:t>–</w:t>
            </w:r>
          </w:p>
        </w:tc>
        <w:tc>
          <w:tcPr>
            <w:tcW w:w="1144" w:type="dxa"/>
            <w:tcBorders>
              <w:top w:val="single" w:sz="8" w:space="0" w:color="auto"/>
              <w:left w:val="single" w:sz="8" w:space="0" w:color="auto"/>
              <w:bottom w:val="single" w:sz="8" w:space="0" w:color="auto"/>
              <w:right w:val="single" w:sz="8" w:space="0" w:color="auto"/>
            </w:tcBorders>
          </w:tcPr>
          <w:p w14:paraId="1CC81885" w14:textId="77777777" w:rsidR="00FC4DF1" w:rsidRPr="006D790D" w:rsidRDefault="00FC4DF1" w:rsidP="00FC4DF1">
            <w:pPr>
              <w:pStyle w:val="Tabletext"/>
              <w:ind w:left="0" w:right="0"/>
            </w:pPr>
            <w:r w:rsidRPr="006D790D">
              <w:t>–</w:t>
            </w:r>
          </w:p>
        </w:tc>
      </w:tr>
      <w:tr w:rsidR="00FC4DF1" w:rsidRPr="006D790D" w14:paraId="18CAC29A" w14:textId="77777777" w:rsidTr="00F74904">
        <w:trPr>
          <w:trHeight w:val="178"/>
        </w:trPr>
        <w:tc>
          <w:tcPr>
            <w:tcW w:w="2136" w:type="dxa"/>
            <w:tcBorders>
              <w:top w:val="single" w:sz="8" w:space="0" w:color="auto"/>
              <w:left w:val="single" w:sz="8" w:space="0" w:color="auto"/>
              <w:bottom w:val="single" w:sz="8" w:space="0" w:color="auto"/>
              <w:right w:val="single" w:sz="8" w:space="0" w:color="auto"/>
            </w:tcBorders>
          </w:tcPr>
          <w:p w14:paraId="0B59746B" w14:textId="77777777" w:rsidR="00FC4DF1" w:rsidRPr="006D790D" w:rsidRDefault="00FC4DF1" w:rsidP="00FC4DF1">
            <w:pPr>
              <w:pStyle w:val="Tabletext"/>
              <w:ind w:left="0" w:right="0"/>
              <w:rPr>
                <w:b/>
                <w:bCs/>
              </w:rPr>
            </w:pPr>
            <w:r w:rsidRPr="006D790D">
              <w:rPr>
                <w:b/>
                <w:bCs/>
              </w:rPr>
              <w:t>Missing information</w:t>
            </w:r>
          </w:p>
        </w:tc>
        <w:tc>
          <w:tcPr>
            <w:tcW w:w="1682" w:type="dxa"/>
            <w:tcBorders>
              <w:top w:val="single" w:sz="8" w:space="0" w:color="auto"/>
              <w:left w:val="single" w:sz="8" w:space="0" w:color="auto"/>
              <w:bottom w:val="single" w:sz="8" w:space="0" w:color="auto"/>
              <w:right w:val="single" w:sz="8" w:space="0" w:color="auto"/>
            </w:tcBorders>
          </w:tcPr>
          <w:p w14:paraId="01D3E2E6" w14:textId="77777777" w:rsidR="00FC4DF1" w:rsidRPr="006D790D" w:rsidRDefault="00FC4DF1" w:rsidP="00FC4DF1">
            <w:pPr>
              <w:pStyle w:val="Tabletext"/>
              <w:ind w:left="0" w:right="0"/>
            </w:pPr>
            <w:r w:rsidRPr="006D790D">
              <w:t>Use in pregnancy</w:t>
            </w:r>
          </w:p>
        </w:tc>
        <w:tc>
          <w:tcPr>
            <w:tcW w:w="1134" w:type="dxa"/>
            <w:tcBorders>
              <w:top w:val="single" w:sz="8" w:space="0" w:color="auto"/>
              <w:left w:val="single" w:sz="8" w:space="0" w:color="auto"/>
              <w:bottom w:val="single" w:sz="8" w:space="0" w:color="auto"/>
              <w:right w:val="single" w:sz="8" w:space="0" w:color="auto"/>
            </w:tcBorders>
          </w:tcPr>
          <w:p w14:paraId="38B4439C" w14:textId="77777777" w:rsidR="00FC4DF1" w:rsidRPr="006D790D" w:rsidRDefault="00FC4DF1" w:rsidP="00FC4DF1">
            <w:pPr>
              <w:pStyle w:val="Tabletext"/>
              <w:ind w:left="0" w:right="0"/>
            </w:pPr>
            <w:r w:rsidRPr="006D790D">
              <w:sym w:font="Wingdings" w:char="F0FC"/>
            </w:r>
            <w:r w:rsidRPr="006D790D">
              <w:t>*</w:t>
            </w:r>
          </w:p>
        </w:tc>
        <w:tc>
          <w:tcPr>
            <w:tcW w:w="1275" w:type="dxa"/>
            <w:tcBorders>
              <w:top w:val="single" w:sz="8" w:space="0" w:color="auto"/>
              <w:left w:val="single" w:sz="8" w:space="0" w:color="auto"/>
              <w:bottom w:val="single" w:sz="8" w:space="0" w:color="auto"/>
              <w:right w:val="single" w:sz="8" w:space="0" w:color="auto"/>
            </w:tcBorders>
          </w:tcPr>
          <w:p w14:paraId="76927809" w14:textId="77777777" w:rsidR="00FC4DF1" w:rsidRPr="006D790D" w:rsidRDefault="00FC4DF1" w:rsidP="00FC4DF1">
            <w:pPr>
              <w:pStyle w:val="Tabletext"/>
              <w:ind w:left="0" w:right="0"/>
            </w:pPr>
            <w:r w:rsidRPr="006D790D">
              <w:sym w:font="Wingdings" w:char="F0FC"/>
            </w:r>
            <w:r w:rsidRPr="006D790D">
              <w:t>†</w:t>
            </w:r>
          </w:p>
        </w:tc>
        <w:tc>
          <w:tcPr>
            <w:tcW w:w="993" w:type="dxa"/>
            <w:tcBorders>
              <w:top w:val="single" w:sz="8" w:space="0" w:color="auto"/>
              <w:left w:val="single" w:sz="8" w:space="0" w:color="auto"/>
              <w:bottom w:val="single" w:sz="8" w:space="0" w:color="auto"/>
              <w:right w:val="single" w:sz="8" w:space="0" w:color="auto"/>
            </w:tcBorders>
          </w:tcPr>
          <w:p w14:paraId="6C13E33C" w14:textId="77777777" w:rsidR="00FC4DF1" w:rsidRPr="006D790D" w:rsidRDefault="00FC4DF1" w:rsidP="00FC4DF1">
            <w:pPr>
              <w:pStyle w:val="Tabletext"/>
              <w:ind w:left="0" w:right="0"/>
            </w:pPr>
            <w:r w:rsidRPr="006D790D">
              <w:sym w:font="Wingdings" w:char="F0FC"/>
            </w:r>
          </w:p>
        </w:tc>
        <w:tc>
          <w:tcPr>
            <w:tcW w:w="1144" w:type="dxa"/>
            <w:tcBorders>
              <w:top w:val="single" w:sz="8" w:space="0" w:color="auto"/>
              <w:left w:val="single" w:sz="8" w:space="0" w:color="auto"/>
              <w:bottom w:val="single" w:sz="8" w:space="0" w:color="auto"/>
              <w:right w:val="single" w:sz="8" w:space="0" w:color="auto"/>
            </w:tcBorders>
          </w:tcPr>
          <w:p w14:paraId="52015946" w14:textId="77777777" w:rsidR="00FC4DF1" w:rsidRPr="006D790D" w:rsidRDefault="00FC4DF1" w:rsidP="00FC4DF1">
            <w:pPr>
              <w:pStyle w:val="Tabletext"/>
              <w:ind w:left="0" w:right="0"/>
            </w:pPr>
            <w:r w:rsidRPr="006D790D">
              <w:t>–</w:t>
            </w:r>
          </w:p>
        </w:tc>
      </w:tr>
    </w:tbl>
    <w:p w14:paraId="189DCE55" w14:textId="77777777" w:rsidR="00FC4DF1" w:rsidRPr="006D790D" w:rsidRDefault="00FC4DF1" w:rsidP="00FC4DF1">
      <w:pPr>
        <w:pStyle w:val="TableDescription"/>
      </w:pPr>
      <w:r w:rsidRPr="006D790D">
        <w:t>*Follow-up questionnaire</w:t>
      </w:r>
    </w:p>
    <w:p w14:paraId="35983E33" w14:textId="4EEA6F2C" w:rsidR="00FC4DF1" w:rsidRPr="006D790D" w:rsidRDefault="00FC4DF1" w:rsidP="00FC4DF1">
      <w:pPr>
        <w:pStyle w:val="TableDescription"/>
      </w:pPr>
      <w:r w:rsidRPr="006D790D">
        <w:t>† COV</w:t>
      </w:r>
      <w:r w:rsidR="005D34C2" w:rsidRPr="006D790D">
        <w:t>ID</w:t>
      </w:r>
      <w:r w:rsidRPr="006D790D">
        <w:t>-19 International Drug Pregnancy Registry</w:t>
      </w:r>
    </w:p>
    <w:p w14:paraId="386CDD5F" w14:textId="034F08C7" w:rsidR="00FC4DF1" w:rsidRPr="006D790D" w:rsidRDefault="00FC4DF1" w:rsidP="00FC4DF1">
      <w:pPr>
        <w:pStyle w:val="ListBullet"/>
      </w:pPr>
      <w:bookmarkStart w:id="124" w:name="_Hlk83372121"/>
      <w:r w:rsidRPr="006D790D">
        <w:t xml:space="preserve">The summary of safety concerns is acceptable at this stage. When making this conclusion, the RMP evaluator has considered the TGA’s nonclinical and clinical evaluations and advice provided by </w:t>
      </w:r>
      <w:r w:rsidR="00142B79" w:rsidRPr="006D790D">
        <w:t>Advisory Committee on Medicines (</w:t>
      </w:r>
      <w:r w:rsidRPr="006D790D">
        <w:t>ACM</w:t>
      </w:r>
      <w:r w:rsidR="00142B79" w:rsidRPr="006D790D">
        <w:t>)</w:t>
      </w:r>
      <w:r w:rsidRPr="006D790D">
        <w:t>.</w:t>
      </w:r>
    </w:p>
    <w:bookmarkEnd w:id="124"/>
    <w:p w14:paraId="437569FE" w14:textId="38CEF30C" w:rsidR="00FC4DF1" w:rsidRPr="006D790D" w:rsidRDefault="00FC4DF1" w:rsidP="00FC4DF1">
      <w:pPr>
        <w:pStyle w:val="ListBullet"/>
      </w:pPr>
      <w:r w:rsidRPr="006D790D">
        <w:t>The proposed pharmacovigilance plan is acceptable.</w:t>
      </w:r>
    </w:p>
    <w:p w14:paraId="0A6FFF02" w14:textId="50B19589" w:rsidR="00FC4DF1" w:rsidRPr="006D790D" w:rsidRDefault="00FC4DF1" w:rsidP="00FC4DF1">
      <w:pPr>
        <w:pStyle w:val="ListBullet"/>
      </w:pPr>
      <w:r w:rsidRPr="006D790D">
        <w:t xml:space="preserve">The sponsor should update the </w:t>
      </w:r>
      <w:r w:rsidR="006F5C93" w:rsidRPr="006D790D">
        <w:t>Consumer Medicines Information (</w:t>
      </w:r>
      <w:r w:rsidRPr="006D790D">
        <w:t>CMI</w:t>
      </w:r>
      <w:r w:rsidR="006F5C93" w:rsidRPr="006D790D">
        <w:t>)</w:t>
      </w:r>
      <w:r w:rsidRPr="006D790D">
        <w:t xml:space="preserve"> as required, in line with any changes made to the PI.</w:t>
      </w:r>
    </w:p>
    <w:p w14:paraId="7D9357D1" w14:textId="77777777" w:rsidR="008E7846" w:rsidRPr="006D790D" w:rsidRDefault="00AA0ED0" w:rsidP="008E7846">
      <w:pPr>
        <w:pStyle w:val="Heading3"/>
      </w:pPr>
      <w:bookmarkStart w:id="125" w:name="_Toc247691531"/>
      <w:bookmarkStart w:id="126" w:name="_Toc314842515"/>
      <w:bookmarkStart w:id="127" w:name="_Toc196046505"/>
      <w:bookmarkStart w:id="128" w:name="_Toc196046949"/>
      <w:bookmarkStart w:id="129" w:name="_Toc86748272"/>
      <w:r w:rsidRPr="006D790D">
        <w:t>Risk-benefit a</w:t>
      </w:r>
      <w:r w:rsidR="008E7846" w:rsidRPr="006D790D">
        <w:t>nalysis</w:t>
      </w:r>
      <w:bookmarkEnd w:id="125"/>
      <w:bookmarkEnd w:id="126"/>
      <w:bookmarkEnd w:id="129"/>
    </w:p>
    <w:p w14:paraId="189CF393" w14:textId="77777777" w:rsidR="00D23139" w:rsidRPr="006D790D" w:rsidRDefault="007D53B6" w:rsidP="00D23139">
      <w:pPr>
        <w:pStyle w:val="Heading4"/>
      </w:pPr>
      <w:r w:rsidRPr="006D790D">
        <w:t>Delegate’s considerations</w:t>
      </w:r>
    </w:p>
    <w:p w14:paraId="48386542" w14:textId="77777777" w:rsidR="00146C2C" w:rsidRPr="006D790D" w:rsidRDefault="00146C2C" w:rsidP="00FC4DF1">
      <w:proofErr w:type="gramStart"/>
      <w:r w:rsidRPr="006D790D">
        <w:t>The majority of</w:t>
      </w:r>
      <w:proofErr w:type="gramEnd"/>
      <w:r w:rsidRPr="006D790D">
        <w:t xml:space="preserve"> patients infected by SARS-CoV-2 recover without significant sequelae; however, certain factors have been associated with an increased risk of developing severe COVID-19. </w:t>
      </w:r>
      <w:proofErr w:type="gramStart"/>
      <w:r w:rsidRPr="006D790D">
        <w:t>Given the ongoing outbreak of SARS-CoV-2 infection and resulting COVID-19 related hospitalisations, there</w:t>
      </w:r>
      <w:proofErr w:type="gramEnd"/>
      <w:r w:rsidRPr="006D790D">
        <w:t xml:space="preserve"> is an unmet urgent need for both treatment and prophylaxis options.</w:t>
      </w:r>
    </w:p>
    <w:p w14:paraId="369180CD" w14:textId="77777777" w:rsidR="00146C2C" w:rsidRPr="006D790D" w:rsidRDefault="00146C2C" w:rsidP="00FC4DF1">
      <w:proofErr w:type="spellStart"/>
      <w:r w:rsidRPr="006D790D">
        <w:t>Ronapreve</w:t>
      </w:r>
      <w:proofErr w:type="spellEnd"/>
      <w:r w:rsidRPr="006D790D">
        <w:t xml:space="preserve"> (</w:t>
      </w:r>
      <w:proofErr w:type="spellStart"/>
      <w:r w:rsidRPr="006D790D">
        <w:t>casirivimab</w:t>
      </w:r>
      <w:proofErr w:type="spellEnd"/>
      <w:r w:rsidRPr="006D790D">
        <w:t xml:space="preserve"> and </w:t>
      </w:r>
      <w:proofErr w:type="spellStart"/>
      <w:r w:rsidRPr="006D790D">
        <w:t>imdevimab</w:t>
      </w:r>
      <w:proofErr w:type="spellEnd"/>
      <w:r w:rsidRPr="006D790D">
        <w:t>) is a neutralising antibody cocktail that has been developed to target the SARS-CoV-2 virus by simultaneously binding to distinct regions of the spike protein, thereby preventing the virus from infecting healthy cells.</w:t>
      </w:r>
    </w:p>
    <w:p w14:paraId="0706FA90" w14:textId="77777777" w:rsidR="00146C2C" w:rsidRPr="006D790D" w:rsidRDefault="00146C2C" w:rsidP="00FC4DF1">
      <w:pPr>
        <w:pStyle w:val="Heading5"/>
      </w:pPr>
      <w:bookmarkStart w:id="130" w:name="_Toc84071981"/>
      <w:r w:rsidRPr="006D790D">
        <w:t>Pharmacology</w:t>
      </w:r>
      <w:bookmarkEnd w:id="130"/>
    </w:p>
    <w:p w14:paraId="31C721BB" w14:textId="4BD18DAE" w:rsidR="00146C2C" w:rsidRPr="006D790D" w:rsidRDefault="00146C2C" w:rsidP="00FC4DF1">
      <w:r w:rsidRPr="006D790D">
        <w:t xml:space="preserve">The PK of </w:t>
      </w:r>
      <w:proofErr w:type="spellStart"/>
      <w:r w:rsidRPr="006D790D">
        <w:t>casirivimab</w:t>
      </w:r>
      <w:proofErr w:type="spellEnd"/>
      <w:r w:rsidR="00EA28EF" w:rsidRPr="006D790D">
        <w:t>/</w:t>
      </w:r>
      <w:proofErr w:type="spellStart"/>
      <w:r w:rsidRPr="006D790D">
        <w:t>imdevimab</w:t>
      </w:r>
      <w:proofErr w:type="spellEnd"/>
      <w:r w:rsidRPr="006D790D">
        <w:t xml:space="preserve"> were assessed in number of clinical studies.</w:t>
      </w:r>
    </w:p>
    <w:p w14:paraId="3F65DE59" w14:textId="0DCF3148" w:rsidR="00146C2C" w:rsidRPr="006D790D" w:rsidRDefault="00146C2C" w:rsidP="00FC4DF1">
      <w:r w:rsidRPr="006D790D">
        <w:lastRenderedPageBreak/>
        <w:t xml:space="preserve">In </w:t>
      </w:r>
      <w:r w:rsidR="005D34C2" w:rsidRPr="006D790D">
        <w:t>Study </w:t>
      </w:r>
      <w:r w:rsidRPr="006D790D">
        <w:t xml:space="preserve">COV-2067, the concentration-time profiles for </w:t>
      </w:r>
      <w:proofErr w:type="spellStart"/>
      <w:r w:rsidRPr="006D790D">
        <w:t>casirivimab</w:t>
      </w:r>
      <w:proofErr w:type="spellEnd"/>
      <w:r w:rsidRPr="006D790D">
        <w:t xml:space="preserve"> and </w:t>
      </w:r>
      <w:proofErr w:type="spellStart"/>
      <w:r w:rsidRPr="006D790D">
        <w:t>imdevimab</w:t>
      </w:r>
      <w:proofErr w:type="spellEnd"/>
      <w:r w:rsidRPr="006D790D">
        <w:t xml:space="preserve"> in serum increased in a dose</w:t>
      </w:r>
      <w:r w:rsidR="006F5C93" w:rsidRPr="006D790D">
        <w:t xml:space="preserve"> </w:t>
      </w:r>
      <w:r w:rsidRPr="006D790D">
        <w:t xml:space="preserve">proportional manner following single </w:t>
      </w:r>
      <w:r w:rsidR="00F43ACD" w:rsidRPr="006D790D">
        <w:t>intravenous</w:t>
      </w:r>
      <w:r w:rsidRPr="006D790D">
        <w:t xml:space="preserve"> injections of different doses. The estimated</w:t>
      </w:r>
      <w:r w:rsidR="00811CEE" w:rsidRPr="006D790D">
        <w:t xml:space="preserve"> </w:t>
      </w:r>
      <w:r w:rsidR="00652CDE" w:rsidRPr="006D790D">
        <w:t>h</w:t>
      </w:r>
      <w:r w:rsidR="00811CEE" w:rsidRPr="006D790D">
        <w:t>alf-life</w:t>
      </w:r>
      <w:r w:rsidR="00652CDE" w:rsidRPr="006D790D">
        <w:t xml:space="preserve"> (</w:t>
      </w:r>
      <w:r w:rsidRPr="006D790D">
        <w:t>t</w:t>
      </w:r>
      <w:r w:rsidRPr="006D790D">
        <w:rPr>
          <w:vertAlign w:val="subscript"/>
        </w:rPr>
        <w:t>1/2</w:t>
      </w:r>
      <w:r w:rsidR="00652CDE" w:rsidRPr="006D790D">
        <w:t>)</w:t>
      </w:r>
      <w:r w:rsidRPr="006D790D">
        <w:t xml:space="preserve"> for the two antibodies ranged between 25 to 37 days.</w:t>
      </w:r>
    </w:p>
    <w:p w14:paraId="420FC6E3" w14:textId="62BE75D3" w:rsidR="00146C2C" w:rsidRPr="006D790D" w:rsidRDefault="00146C2C" w:rsidP="00FC4DF1">
      <w:r w:rsidRPr="006D790D">
        <w:t xml:space="preserve">In </w:t>
      </w:r>
      <w:r w:rsidR="005D34C2" w:rsidRPr="006D790D">
        <w:t>Study </w:t>
      </w:r>
      <w:r w:rsidRPr="006D790D">
        <w:t xml:space="preserve">COV-20145, </w:t>
      </w:r>
      <w:proofErr w:type="spellStart"/>
      <w:r w:rsidRPr="006D790D">
        <w:t>casirivimab</w:t>
      </w:r>
      <w:proofErr w:type="spellEnd"/>
      <w:r w:rsidRPr="006D790D">
        <w:t xml:space="preserve"> and </w:t>
      </w:r>
      <w:proofErr w:type="spellStart"/>
      <w:r w:rsidRPr="006D790D">
        <w:t>imdevimab</w:t>
      </w:r>
      <w:proofErr w:type="spellEnd"/>
      <w:r w:rsidRPr="006D790D">
        <w:t xml:space="preserve"> concentrations were similar over the first 6 days following any given </w:t>
      </w:r>
      <w:r w:rsidR="00F43ACD" w:rsidRPr="006D790D">
        <w:t>intravenous</w:t>
      </w:r>
      <w:r w:rsidRPr="006D790D">
        <w:t xml:space="preserve"> or </w:t>
      </w:r>
      <w:r w:rsidR="00316746" w:rsidRPr="006D790D">
        <w:t>subcutaneous</w:t>
      </w:r>
      <w:r w:rsidRPr="006D790D">
        <w:t xml:space="preserve"> dose. No </w:t>
      </w:r>
      <w:proofErr w:type="spellStart"/>
      <w:r w:rsidRPr="006D790D">
        <w:t>casirivimab</w:t>
      </w:r>
      <w:proofErr w:type="spellEnd"/>
      <w:r w:rsidR="00EA28EF" w:rsidRPr="006D790D">
        <w:t>/</w:t>
      </w:r>
      <w:proofErr w:type="spellStart"/>
      <w:r w:rsidRPr="006D790D">
        <w:t>imdevimab</w:t>
      </w:r>
      <w:proofErr w:type="spellEnd"/>
      <w:r w:rsidRPr="006D790D">
        <w:t xml:space="preserve"> concentration or exposure-related differences in the change in viral load at Day 7 were observed, for </w:t>
      </w:r>
      <w:r w:rsidR="00F43ACD" w:rsidRPr="006D790D">
        <w:t>intravenous</w:t>
      </w:r>
      <w:r w:rsidRPr="006D790D">
        <w:t xml:space="preserve"> and </w:t>
      </w:r>
      <w:r w:rsidR="00316746" w:rsidRPr="006D790D">
        <w:t>subcutaneous</w:t>
      </w:r>
      <w:r w:rsidRPr="006D790D">
        <w:t xml:space="preserve"> dosing groups.</w:t>
      </w:r>
    </w:p>
    <w:p w14:paraId="724DC209" w14:textId="53618397" w:rsidR="00146C2C" w:rsidRPr="006D790D" w:rsidRDefault="00146C2C" w:rsidP="00FC4DF1">
      <w:r w:rsidRPr="006D790D">
        <w:t xml:space="preserve">In </w:t>
      </w:r>
      <w:r w:rsidR="005D34C2" w:rsidRPr="006D790D">
        <w:t>Study </w:t>
      </w:r>
      <w:r w:rsidRPr="006D790D">
        <w:t xml:space="preserve">COV-2069, after 600 mg </w:t>
      </w:r>
      <w:r w:rsidR="00316746" w:rsidRPr="006D790D">
        <w:t>subcutaneous</w:t>
      </w:r>
      <w:r w:rsidRPr="006D790D">
        <w:t xml:space="preserve"> dose, </w:t>
      </w:r>
      <w:proofErr w:type="spellStart"/>
      <w:r w:rsidRPr="006D790D">
        <w:t>casirivimab</w:t>
      </w:r>
      <w:proofErr w:type="spellEnd"/>
      <w:r w:rsidRPr="006D790D">
        <w:t xml:space="preserve"> and </w:t>
      </w:r>
      <w:proofErr w:type="spellStart"/>
      <w:r w:rsidRPr="006D790D">
        <w:t>imdevimab</w:t>
      </w:r>
      <w:proofErr w:type="spellEnd"/>
      <w:r w:rsidRPr="006D790D">
        <w:t xml:space="preserve"> achieved maximum serum concentrations within the first week. The combined serum concentrations of </w:t>
      </w:r>
      <w:proofErr w:type="spellStart"/>
      <w:r w:rsidRPr="006D790D">
        <w:t>casirivimab</w:t>
      </w:r>
      <w:proofErr w:type="spellEnd"/>
      <w:r w:rsidRPr="006D790D">
        <w:t xml:space="preserve"> and </w:t>
      </w:r>
      <w:proofErr w:type="spellStart"/>
      <w:r w:rsidRPr="006D790D">
        <w:t>imdevimab</w:t>
      </w:r>
      <w:proofErr w:type="spellEnd"/>
      <w:r w:rsidRPr="006D790D">
        <w:t xml:space="preserve"> after </w:t>
      </w:r>
      <w:r w:rsidR="00316746" w:rsidRPr="006D790D">
        <w:t>subcutaneous</w:t>
      </w:r>
      <w:r w:rsidRPr="006D790D">
        <w:t xml:space="preserve"> dosing of 600 mg and 1200</w:t>
      </w:r>
      <w:r w:rsidR="006F5C93" w:rsidRPr="006D790D">
        <w:t> </w:t>
      </w:r>
      <w:r w:rsidRPr="006D790D">
        <w:t xml:space="preserve">mg reached a comparable concentration to the </w:t>
      </w:r>
      <w:r w:rsidR="00F43ACD" w:rsidRPr="006D790D">
        <w:t>intravenous</w:t>
      </w:r>
      <w:r w:rsidRPr="006D790D">
        <w:t xml:space="preserve"> doses of 300</w:t>
      </w:r>
      <w:r w:rsidR="006F5C93" w:rsidRPr="006D790D">
        <w:t> </w:t>
      </w:r>
      <w:r w:rsidRPr="006D790D">
        <w:t>mg and 600</w:t>
      </w:r>
      <w:r w:rsidR="006F5C93" w:rsidRPr="006D790D">
        <w:t> </w:t>
      </w:r>
      <w:r w:rsidRPr="006D790D">
        <w:t xml:space="preserve">mg after a </w:t>
      </w:r>
      <w:proofErr w:type="gramStart"/>
      <w:r w:rsidRPr="006D790D">
        <w:t>two</w:t>
      </w:r>
      <w:r w:rsidR="006F5C93" w:rsidRPr="006D790D">
        <w:t xml:space="preserve"> </w:t>
      </w:r>
      <w:r w:rsidRPr="006D790D">
        <w:t>day</w:t>
      </w:r>
      <w:proofErr w:type="gramEnd"/>
      <w:r w:rsidRPr="006D790D">
        <w:t xml:space="preserve"> delay.</w:t>
      </w:r>
    </w:p>
    <w:p w14:paraId="2C19CFBA" w14:textId="0F3C0D63" w:rsidR="00146C2C" w:rsidRPr="006D790D" w:rsidRDefault="00146C2C" w:rsidP="00FC4DF1">
      <w:r w:rsidRPr="006D790D">
        <w:t xml:space="preserve">In </w:t>
      </w:r>
      <w:r w:rsidR="003C331A" w:rsidRPr="006D790D">
        <w:rPr>
          <w:rFonts w:eastAsiaTheme="minorHAnsi"/>
        </w:rPr>
        <w:t>Study </w:t>
      </w:r>
      <w:r w:rsidRPr="006D790D">
        <w:t xml:space="preserve">HV-2903, </w:t>
      </w:r>
      <w:proofErr w:type="spellStart"/>
      <w:r w:rsidRPr="006D790D">
        <w:t>casirivimab</w:t>
      </w:r>
      <w:proofErr w:type="spellEnd"/>
      <w:r w:rsidR="00EA28EF" w:rsidRPr="006D790D">
        <w:t>/</w:t>
      </w:r>
      <w:proofErr w:type="spellStart"/>
      <w:r w:rsidRPr="006D790D">
        <w:t>imdevimab</w:t>
      </w:r>
      <w:proofErr w:type="spellEnd"/>
      <w:r w:rsidRPr="006D790D">
        <w:t xml:space="preserve"> were administered as 4 </w:t>
      </w:r>
      <w:r w:rsidR="00316746" w:rsidRPr="006D790D">
        <w:t>subcutaneous</w:t>
      </w:r>
      <w:r w:rsidRPr="006D790D">
        <w:t xml:space="preserve"> doses </w:t>
      </w:r>
      <w:r w:rsidR="00285F19" w:rsidRPr="006D790D">
        <w:t>every 4 weeks</w:t>
      </w:r>
      <w:r w:rsidRPr="006D790D">
        <w:t xml:space="preserve"> for up to 6 doses. </w:t>
      </w:r>
      <w:proofErr w:type="spellStart"/>
      <w:r w:rsidRPr="006D790D">
        <w:t>Casirivimab</w:t>
      </w:r>
      <w:proofErr w:type="spellEnd"/>
      <w:r w:rsidRPr="006D790D">
        <w:t xml:space="preserve"> and </w:t>
      </w:r>
      <w:proofErr w:type="spellStart"/>
      <w:r w:rsidRPr="006D790D">
        <w:t>imdevimab</w:t>
      </w:r>
      <w:proofErr w:type="spellEnd"/>
      <w:r w:rsidRPr="006D790D">
        <w:t xml:space="preserve"> concentrations in serum reached steady state following the third dose (Week 12) and were maintained throughout the treatment period (Week 24).</w:t>
      </w:r>
    </w:p>
    <w:p w14:paraId="7542E12B" w14:textId="66F73EEA" w:rsidR="00146C2C" w:rsidRPr="006D790D" w:rsidRDefault="00146C2C" w:rsidP="00FC4DF1">
      <w:r w:rsidRPr="006D790D">
        <w:t xml:space="preserve">The dose regimens proposed for the treatment, acute and chronic prevention of COVID-19 are considered acceptable based on the totality of the submitted PK/PD, </w:t>
      </w:r>
      <w:proofErr w:type="gramStart"/>
      <w:r w:rsidRPr="006D790D">
        <w:t>efficacy</w:t>
      </w:r>
      <w:proofErr w:type="gramEnd"/>
      <w:r w:rsidRPr="006D790D">
        <w:t xml:space="preserve"> and safety analysis. In view of no apparent dose- and exposure</w:t>
      </w:r>
      <w:r w:rsidR="002A3F68">
        <w:noBreakHyphen/>
      </w:r>
      <w:r w:rsidRPr="006D790D">
        <w:t>response relationship with efficacy, PD marker</w:t>
      </w:r>
      <w:r w:rsidR="002A3F68">
        <w:t>s</w:t>
      </w:r>
      <w:r w:rsidRPr="006D790D">
        <w:t xml:space="preserve"> and safety, the selection of the lowest dose is supported. However, the use of </w:t>
      </w:r>
      <w:r w:rsidR="00316746" w:rsidRPr="006D790D">
        <w:t>subcutaneous</w:t>
      </w:r>
      <w:r w:rsidRPr="006D790D">
        <w:t xml:space="preserve"> administration bears some uncertainty for its use in the acute treatment indication, as there are concerns relating to the delay in achieving critical concentrations at the site of action as compared to </w:t>
      </w:r>
      <w:r w:rsidR="00F43ACD" w:rsidRPr="006D790D">
        <w:t>intravenous</w:t>
      </w:r>
      <w:r w:rsidRPr="006D790D">
        <w:t xml:space="preserve"> dosing.</w:t>
      </w:r>
    </w:p>
    <w:p w14:paraId="21C51D38" w14:textId="39E345C3" w:rsidR="00146C2C" w:rsidRPr="006D790D" w:rsidRDefault="00146C2C" w:rsidP="00FC4DF1">
      <w:pPr>
        <w:pStyle w:val="Heading5"/>
      </w:pPr>
      <w:bookmarkStart w:id="131" w:name="_Toc84071982"/>
      <w:r w:rsidRPr="006D790D">
        <w:t>Benefits of treatment</w:t>
      </w:r>
      <w:bookmarkEnd w:id="131"/>
    </w:p>
    <w:p w14:paraId="21FEA4B8" w14:textId="6C5C979F" w:rsidR="00146C2C" w:rsidRPr="006D790D" w:rsidRDefault="005D34C2" w:rsidP="00FC4DF1">
      <w:r w:rsidRPr="006D790D">
        <w:t>Study </w:t>
      </w:r>
      <w:r w:rsidR="00146C2C" w:rsidRPr="006D790D">
        <w:t xml:space="preserve">COV-2067 assessed the efficacy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for treatment of outpatients who do not require supplementary oxygen for COVID-19 management and who were within 7 days of symptom onset. For the primary efficacy population (</w:t>
      </w:r>
      <w:proofErr w:type="spellStart"/>
      <w:r w:rsidR="00146C2C" w:rsidRPr="006D790D">
        <w:t>mFAS</w:t>
      </w:r>
      <w:proofErr w:type="spellEnd"/>
      <w:r w:rsidR="00146C2C" w:rsidRPr="006D790D">
        <w:t xml:space="preserve">) in Cohort 1 of Phase </w:t>
      </w:r>
      <w:r w:rsidR="00AF6815" w:rsidRPr="006D790D">
        <w:t>III</w:t>
      </w:r>
      <w:r w:rsidR="00146C2C" w:rsidRPr="006D790D">
        <w:t xml:space="preserve">, a total of 1355 participants received the 2400 mg dose, 736 received the 1200 mg dose and 1341 received placebo. The 1200 mg treatment group was only compared to concurrently enrolled placebo patients (n = 748) who were a subset of the overall placebo group. The study demonstrated that a single </w:t>
      </w:r>
      <w:r w:rsidR="00F43ACD" w:rsidRPr="006D790D">
        <w:t>intravenous</w:t>
      </w:r>
      <w:r w:rsidR="00146C2C" w:rsidRPr="006D790D">
        <w:t xml:space="preserve"> dose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either 1200</w:t>
      </w:r>
      <w:r w:rsidR="006F5C93" w:rsidRPr="006D790D">
        <w:t xml:space="preserve"> </w:t>
      </w:r>
      <w:r w:rsidR="00146C2C" w:rsidRPr="006D790D">
        <w:t>mg or 2400</w:t>
      </w:r>
      <w:r w:rsidR="006F5C93" w:rsidRPr="006D790D">
        <w:t xml:space="preserve"> </w:t>
      </w:r>
      <w:r w:rsidR="00146C2C" w:rsidRPr="006D790D">
        <w:t>mg, led to a ≥ 70% reduction of COVID-19-related hospitali</w:t>
      </w:r>
      <w:r w:rsidR="00AF6815" w:rsidRPr="006D790D">
        <w:t>s</w:t>
      </w:r>
      <w:r w:rsidR="00146C2C" w:rsidRPr="006D790D">
        <w:t xml:space="preserve">ation or all-cause death over 29 days in infected outpatients who were considered at high risk of progressing to severe disease. The treatment also led to faster resolution of COVID-19 symptoms. The efficacy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was consistent across various baseline viral load and serostatus subgroups, including patients who were SARS-CoV-2 seropositive at </w:t>
      </w:r>
      <w:r w:rsidR="00FC63CA" w:rsidRPr="006D790D">
        <w:t>Baseline</w:t>
      </w:r>
      <w:r w:rsidR="00146C2C" w:rsidRPr="006D790D">
        <w:t xml:space="preserve">. Although the benefit in those who were seronegative at </w:t>
      </w:r>
      <w:r w:rsidR="00FC63CA" w:rsidRPr="006D790D">
        <w:t>Baseline</w:t>
      </w:r>
      <w:r w:rsidR="00146C2C" w:rsidRPr="006D790D">
        <w:t xml:space="preserve"> (</w:t>
      </w:r>
      <w:proofErr w:type="spellStart"/>
      <w:r w:rsidR="00146C2C" w:rsidRPr="006D790D">
        <w:t>mFAS</w:t>
      </w:r>
      <w:proofErr w:type="spellEnd"/>
      <w:r w:rsidR="00146C2C" w:rsidRPr="006D790D">
        <w:t xml:space="preserve"> population) was demonstrated in the primary analysis, the benefit appears to be there for the overall population without regards to baseline serostatus in the exploratory analysis. Serological testing is therefore not essential when making treatment decisions.</w:t>
      </w:r>
    </w:p>
    <w:p w14:paraId="4101E33C" w14:textId="3FBB04A8" w:rsidR="00146C2C" w:rsidRPr="006D790D" w:rsidRDefault="00146C2C" w:rsidP="00FC4DF1">
      <w:r w:rsidRPr="006D790D">
        <w:t>The efficacy outcomes among patients who had no protocol-defined risk factors showed that the rate of events in these patients is too low to reali</w:t>
      </w:r>
      <w:r w:rsidR="00AF6815" w:rsidRPr="006D790D">
        <w:t>s</w:t>
      </w:r>
      <w:r w:rsidRPr="006D790D">
        <w:t>e a benefit (2/369 in placebo group and 0/771 in the two active treatment groups). It is considered appropriate to specify in the indication that the treatment is for outpatients (those who do not require oxygen supplementation) who are at increased risk for progressing to severe COVID-9. It is acknowledged that the prescribers’ perception of what constitutes ‘at risk’ populations may be broader than what was defined in the trial protocol and other medical conditions or factors (for example, race or ethnicity) may also place individual patients at risk for progression to severe COVID-19.</w:t>
      </w:r>
    </w:p>
    <w:p w14:paraId="00775E13" w14:textId="5F068729" w:rsidR="00146C2C" w:rsidRPr="006D790D" w:rsidRDefault="00146C2C" w:rsidP="00FC4DF1">
      <w:r w:rsidRPr="006D790D">
        <w:lastRenderedPageBreak/>
        <w:t xml:space="preserve">Treatment should be given within 7 days of symptom onset; this reflects the limits applied in the selection criteria for </w:t>
      </w:r>
      <w:r w:rsidR="002A3F68">
        <w:t xml:space="preserve">Study </w:t>
      </w:r>
      <w:r w:rsidRPr="006D790D">
        <w:t>COV-2067. The treatment effect for delayed start (7 days later) is not known.</w:t>
      </w:r>
    </w:p>
    <w:p w14:paraId="7E60BA3E" w14:textId="77777777" w:rsidR="00146C2C" w:rsidRPr="006D790D" w:rsidRDefault="00146C2C" w:rsidP="00FC4DF1">
      <w:r w:rsidRPr="006D790D">
        <w:t xml:space="preserve">The evidence to support the treatment indication was obtained mainly in unvaccinated individuals with COVID-19. It is not known whether </w:t>
      </w:r>
      <w:proofErr w:type="spellStart"/>
      <w:r w:rsidRPr="006D790D">
        <w:t>Ronapreve</w:t>
      </w:r>
      <w:proofErr w:type="spellEnd"/>
      <w:r w:rsidRPr="006D790D">
        <w:t xml:space="preserve"> will have a benefit over and above any vaccine-associated effect of breakthrough COVID-19.</w:t>
      </w:r>
    </w:p>
    <w:p w14:paraId="5FD5D755" w14:textId="36358215" w:rsidR="00146C2C" w:rsidRPr="006D790D" w:rsidRDefault="005D34C2" w:rsidP="00FC4DF1">
      <w:r w:rsidRPr="006D790D">
        <w:t>Study </w:t>
      </w:r>
      <w:r w:rsidR="00146C2C" w:rsidRPr="006D790D">
        <w:t>COV-2067 is still ongoing. Further data on Day 169 follow</w:t>
      </w:r>
      <w:r w:rsidR="00303D77" w:rsidRPr="006D790D">
        <w:t>-</w:t>
      </w:r>
      <w:r w:rsidR="00146C2C" w:rsidRPr="006D790D">
        <w:t>up and data from Cohort 2 and 3 should be provided for consideration of full registration.</w:t>
      </w:r>
    </w:p>
    <w:p w14:paraId="29B2B22B" w14:textId="15E97781" w:rsidR="00146C2C" w:rsidRPr="006D790D" w:rsidRDefault="005D34C2" w:rsidP="00FC4DF1">
      <w:pPr>
        <w:rPr>
          <w:b/>
          <w:bCs/>
        </w:rPr>
      </w:pPr>
      <w:r w:rsidRPr="006D790D">
        <w:t>Study </w:t>
      </w:r>
      <w:r w:rsidR="00146C2C" w:rsidRPr="006D790D">
        <w:t xml:space="preserve">COV-20145 assessed a range of </w:t>
      </w:r>
      <w:r w:rsidR="00F43ACD" w:rsidRPr="006D790D">
        <w:t>intravenous</w:t>
      </w:r>
      <w:r w:rsidR="00146C2C" w:rsidRPr="006D790D">
        <w:t xml:space="preserve"> and </w:t>
      </w:r>
      <w:r w:rsidR="00316746" w:rsidRPr="006D790D">
        <w:t>subcutaneous</w:t>
      </w:r>
      <w:r w:rsidR="00146C2C" w:rsidRPr="006D790D">
        <w:t xml:space="preserve"> doses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The study did not show any clear dose-response for the viral load reductions with all the doses evaluated. The results indicate that 1200 mg </w:t>
      </w:r>
      <w:r w:rsidR="00316746" w:rsidRPr="006D790D">
        <w:t>subcutaneous</w:t>
      </w:r>
      <w:r w:rsidR="00146C2C" w:rsidRPr="006D790D">
        <w:t xml:space="preserve">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has similar antiviral effect as 1200 mg </w:t>
      </w:r>
      <w:r w:rsidR="00F43ACD" w:rsidRPr="006D790D">
        <w:t>intravenous</w:t>
      </w:r>
      <w:r w:rsidR="00146C2C" w:rsidRPr="006D790D">
        <w:t xml:space="preserve"> dose (based on viral load reduction as measured at Day</w:t>
      </w:r>
      <w:r w:rsidR="002A3F68">
        <w:t>s</w:t>
      </w:r>
      <w:r w:rsidR="00146C2C" w:rsidRPr="006D790D">
        <w:t xml:space="preserve"> 3, 5, and 7). However, there are no clinical efficacy data with </w:t>
      </w:r>
      <w:r w:rsidR="00316746" w:rsidRPr="006D790D">
        <w:t>subcutaneous</w:t>
      </w:r>
      <w:r w:rsidR="00146C2C" w:rsidRPr="006D790D">
        <w:t xml:space="preserve"> administration for the treatment study and there are concerns about the delay in achieving critical concentrations at the site of action with </w:t>
      </w:r>
      <w:r w:rsidR="00316746" w:rsidRPr="006D790D">
        <w:t>subcutaneous</w:t>
      </w:r>
      <w:r w:rsidR="00146C2C" w:rsidRPr="006D790D">
        <w:t xml:space="preserve"> administration.</w:t>
      </w:r>
    </w:p>
    <w:p w14:paraId="4769F0BD" w14:textId="53860998" w:rsidR="00146C2C" w:rsidRPr="006D790D" w:rsidRDefault="00146C2C" w:rsidP="00FC4DF1">
      <w:r w:rsidRPr="006D790D">
        <w:t xml:space="preserve">Data from </w:t>
      </w:r>
      <w:r w:rsidR="00811CEE" w:rsidRPr="006D790D">
        <w:t>CU</w:t>
      </w:r>
      <w:r w:rsidRPr="006D790D">
        <w:t xml:space="preserve"> provided supportive information with regards to the efficacy of </w:t>
      </w:r>
      <w:proofErr w:type="spellStart"/>
      <w:r w:rsidRPr="006D790D">
        <w:t>casirivimab</w:t>
      </w:r>
      <w:proofErr w:type="spellEnd"/>
      <w:r w:rsidR="00EA28EF" w:rsidRPr="006D790D">
        <w:t>/</w:t>
      </w:r>
      <w:proofErr w:type="spellStart"/>
      <w:r w:rsidRPr="006D790D">
        <w:t>imdevimab</w:t>
      </w:r>
      <w:proofErr w:type="spellEnd"/>
      <w:r w:rsidRPr="006D790D">
        <w:t xml:space="preserve"> for the treatment of COVID-19 in immunocompromised patients with a variety of B-cell deficiencies. The clinical outcomes in these patients are consistent with the data from the clinical studies in seronegative individuals who had not yet mounted an antibody response.</w:t>
      </w:r>
    </w:p>
    <w:p w14:paraId="464569B0" w14:textId="77777777" w:rsidR="00146C2C" w:rsidRPr="006D790D" w:rsidRDefault="00146C2C" w:rsidP="00FC4DF1">
      <w:pPr>
        <w:pStyle w:val="Heading5"/>
        <w:rPr>
          <w:lang w:eastAsia="en-AU"/>
        </w:rPr>
      </w:pPr>
      <w:bookmarkStart w:id="132" w:name="_Toc84071983"/>
      <w:r w:rsidRPr="006D790D">
        <w:rPr>
          <w:lang w:eastAsia="en-AU"/>
        </w:rPr>
        <w:t>Benefits of prophylaxis</w:t>
      </w:r>
      <w:bookmarkEnd w:id="132"/>
    </w:p>
    <w:p w14:paraId="6FF45568" w14:textId="1D674408" w:rsidR="00146C2C" w:rsidRPr="006D790D" w:rsidRDefault="005D34C2" w:rsidP="00FC4DF1">
      <w:r w:rsidRPr="006D790D">
        <w:t>Study </w:t>
      </w:r>
      <w:r w:rsidR="00146C2C" w:rsidRPr="006D790D">
        <w:t xml:space="preserve">COV-2069 assessed a single </w:t>
      </w:r>
      <w:r w:rsidR="00316746" w:rsidRPr="006D790D">
        <w:t>subcutaneous</w:t>
      </w:r>
      <w:r w:rsidR="00146C2C" w:rsidRPr="006D790D">
        <w:t xml:space="preserve"> dose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(1200</w:t>
      </w:r>
      <w:r w:rsidR="00B80EDA" w:rsidRPr="006D790D">
        <w:t> </w:t>
      </w:r>
      <w:r w:rsidR="00146C2C" w:rsidRPr="006D790D">
        <w:t>mg) for the prevention of COVID-19 in household contacts of individuals infected with SARS-CoV-2. The study demonstrated that in uninfected household contacts (SARS</w:t>
      </w:r>
      <w:r w:rsidR="00B80EDA" w:rsidRPr="006D790D">
        <w:noBreakHyphen/>
      </w:r>
      <w:r w:rsidR="00146C2C" w:rsidRPr="006D790D">
        <w:t>CoV</w:t>
      </w:r>
      <w:r w:rsidR="00B80EDA" w:rsidRPr="006D790D">
        <w:noBreakHyphen/>
      </w:r>
      <w:r w:rsidR="00146C2C" w:rsidRPr="006D790D">
        <w:t xml:space="preserve">2 PCR negative, Cohort A), a single </w:t>
      </w:r>
      <w:r w:rsidR="00316746" w:rsidRPr="006D790D">
        <w:t>subcutaneous</w:t>
      </w:r>
      <w:r w:rsidR="00146C2C" w:rsidRPr="006D790D">
        <w:t xml:space="preserve"> 1200</w:t>
      </w:r>
      <w:r w:rsidR="00B80EDA" w:rsidRPr="006D790D">
        <w:t> </w:t>
      </w:r>
      <w:r w:rsidR="00146C2C" w:rsidRPr="006D790D">
        <w:t xml:space="preserve">mg dose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reduced the risk of symptomatic infection by 81%. A 66% reduction in all infections (symptomatic and asymptomatic) was observed in the active treatment group. Individuals in the active treatment group who still experienced symptomatic infections were able to clear the virus faster and had shorter symptom duration, with no subjects in the active treatment group hospitalised or visiting the emergency room.</w:t>
      </w:r>
    </w:p>
    <w:p w14:paraId="0B7D7A22" w14:textId="0742A5AD" w:rsidR="00146C2C" w:rsidRPr="006D790D" w:rsidRDefault="00146C2C" w:rsidP="00FC4DF1">
      <w:r w:rsidRPr="006D790D">
        <w:t xml:space="preserve">In asymptomatic patients infected at </w:t>
      </w:r>
      <w:r w:rsidR="00FC63CA" w:rsidRPr="006D790D">
        <w:t>Baseline</w:t>
      </w:r>
      <w:r w:rsidRPr="006D790D">
        <w:t xml:space="preserve"> (SARS-CoV-2 PCR positive, Cohort B), a single </w:t>
      </w:r>
      <w:r w:rsidR="00316746" w:rsidRPr="006D790D">
        <w:t>subcutaneous</w:t>
      </w:r>
      <w:r w:rsidRPr="006D790D">
        <w:t xml:space="preserve"> dose of </w:t>
      </w:r>
      <w:proofErr w:type="spellStart"/>
      <w:r w:rsidRPr="006D790D">
        <w:t>casirivimab</w:t>
      </w:r>
      <w:proofErr w:type="spellEnd"/>
      <w:r w:rsidR="00EA28EF" w:rsidRPr="006D790D">
        <w:t>/</w:t>
      </w:r>
      <w:proofErr w:type="spellStart"/>
      <w:r w:rsidRPr="006D790D">
        <w:t>imdevimab</w:t>
      </w:r>
      <w:proofErr w:type="spellEnd"/>
      <w:r w:rsidRPr="006D790D">
        <w:t xml:space="preserve"> reduced the overall risk of progressing to symptomatic COVID-19 by 31%, with a more pronounced risk reduction after Day 3. The efficacy was observed early and was maintained through day 29. </w:t>
      </w:r>
      <w:r w:rsidR="00316746" w:rsidRPr="006D790D">
        <w:t>subcutaneous</w:t>
      </w:r>
      <w:r w:rsidRPr="006D790D">
        <w:t xml:space="preserve"> </w:t>
      </w:r>
      <w:proofErr w:type="spellStart"/>
      <w:r w:rsidRPr="006D790D">
        <w:t>casirivimab</w:t>
      </w:r>
      <w:proofErr w:type="spellEnd"/>
      <w:r w:rsidR="00EA28EF" w:rsidRPr="006D790D">
        <w:t>/</w:t>
      </w:r>
      <w:proofErr w:type="spellStart"/>
      <w:r w:rsidRPr="006D790D">
        <w:t>imdevimab</w:t>
      </w:r>
      <w:proofErr w:type="spellEnd"/>
      <w:r w:rsidRPr="006D790D">
        <w:t xml:space="preserve"> also reduced the duration of symptoms and the duration with high viral load.</w:t>
      </w:r>
    </w:p>
    <w:p w14:paraId="67C32DDC" w14:textId="12FE2074" w:rsidR="00146C2C" w:rsidRPr="006D790D" w:rsidRDefault="00146C2C" w:rsidP="00FC4DF1">
      <w:r w:rsidRPr="006D790D">
        <w:t xml:space="preserve">Of the total subjects described in the study report, 1505/2067 (73%) in Cohort A and 207/314 (66%) in Cohort B were seronegative at </w:t>
      </w:r>
      <w:r w:rsidR="00FC63CA" w:rsidRPr="006D790D">
        <w:t>Baseline</w:t>
      </w:r>
      <w:r w:rsidRPr="006D790D">
        <w:t>. A consistent benefit was observed in an exploratory post-hoc analysis of the primary endpoint performed in participants regardless of baseline serology, with a 35.4% risk reduction compared to placebo (nominal p</w:t>
      </w:r>
      <w:r w:rsidR="00B80EDA" w:rsidRPr="006D790D">
        <w:t xml:space="preserve"> </w:t>
      </w:r>
      <w:r w:rsidRPr="006D790D">
        <w:t>=</w:t>
      </w:r>
      <w:r w:rsidR="00B80EDA" w:rsidRPr="006D790D">
        <w:t xml:space="preserve"> </w:t>
      </w:r>
      <w:r w:rsidRPr="006D790D">
        <w:t>0.0166) in Cohort B. A comparable level of reduction was also shown when the analysis included only baseline</w:t>
      </w:r>
      <w:r w:rsidR="00FC63CA" w:rsidRPr="006D790D">
        <w:t xml:space="preserve"> </w:t>
      </w:r>
      <w:r w:rsidRPr="006D790D">
        <w:t xml:space="preserve">positive participants (33.9% risk reduction </w:t>
      </w:r>
      <w:r w:rsidR="00316746" w:rsidRPr="006D790D">
        <w:t>versus</w:t>
      </w:r>
      <w:r w:rsidRPr="006D790D">
        <w:t xml:space="preserve"> placebo, nominal p = 0.5079). The efficacy analysis in subjects who were seropositive at </w:t>
      </w:r>
      <w:r w:rsidR="00FC63CA" w:rsidRPr="006D790D">
        <w:t>Baseline</w:t>
      </w:r>
      <w:r w:rsidRPr="006D790D">
        <w:t xml:space="preserve"> is exploratory and should be interpreted with caution. </w:t>
      </w:r>
      <w:bookmarkStart w:id="133" w:name="_Hlk83192007"/>
      <w:proofErr w:type="gramStart"/>
      <w:r w:rsidRPr="006D790D">
        <w:t>In light of</w:t>
      </w:r>
      <w:proofErr w:type="gramEnd"/>
      <w:r w:rsidRPr="006D790D">
        <w:t xml:space="preserve"> the feasibility to test serostatus prior to treatment decision in clinical practice, it is irrelevant to know that there is also benefit in those seropositive individuals with no increased adverse effects. Serological testing is therefore not considered essential when making treatment decisions.</w:t>
      </w:r>
    </w:p>
    <w:p w14:paraId="45C34403" w14:textId="027BA21D" w:rsidR="00146C2C" w:rsidRPr="006D790D" w:rsidRDefault="005D34C2" w:rsidP="00FC4DF1">
      <w:r w:rsidRPr="006D790D">
        <w:lastRenderedPageBreak/>
        <w:t>Study </w:t>
      </w:r>
      <w:r w:rsidR="00146C2C" w:rsidRPr="006D790D">
        <w:t xml:space="preserve">COV-2069 included adolescents (≥ 12 to &lt; 18 years of age) in the efficacy analysis (68 in </w:t>
      </w:r>
      <w:r w:rsidR="00FC63CA" w:rsidRPr="006D790D">
        <w:t xml:space="preserve">Cohort </w:t>
      </w:r>
      <w:r w:rsidR="00146C2C" w:rsidRPr="006D790D">
        <w:t xml:space="preserve">A and 26 in Cohort B in the seronegative </w:t>
      </w:r>
      <w:proofErr w:type="spellStart"/>
      <w:r w:rsidR="00146C2C" w:rsidRPr="006D790D">
        <w:t>mFAS</w:t>
      </w:r>
      <w:proofErr w:type="spellEnd"/>
      <w:r w:rsidR="00146C2C" w:rsidRPr="006D790D">
        <w:t xml:space="preserve"> population). In the 68</w:t>
      </w:r>
      <w:r w:rsidR="00B80EDA" w:rsidRPr="006D790D">
        <w:t> </w:t>
      </w:r>
      <w:r w:rsidR="00146C2C" w:rsidRPr="006D790D">
        <w:t xml:space="preserve">adolescents in </w:t>
      </w:r>
      <w:r w:rsidRPr="006D790D">
        <w:t>Study </w:t>
      </w:r>
      <w:r w:rsidR="00146C2C" w:rsidRPr="006D790D">
        <w:t xml:space="preserve">COV-2069A, no participant (0/34) treated with </w:t>
      </w:r>
      <w:proofErr w:type="spellStart"/>
      <w:r w:rsidR="00146C2C" w:rsidRPr="006D790D">
        <w:t>Ronapreve</w:t>
      </w:r>
      <w:proofErr w:type="spellEnd"/>
      <w:r w:rsidR="00146C2C" w:rsidRPr="006D790D">
        <w:t xml:space="preserve"> had symptomatic RT-qPCR</w:t>
      </w:r>
      <w:r w:rsidR="00B80EDA" w:rsidRPr="006D790D">
        <w:t xml:space="preserve"> </w:t>
      </w:r>
      <w:r w:rsidR="00146C2C" w:rsidRPr="006D790D">
        <w:t xml:space="preserve">confirmed SARS-CoV-2 infection compared to 4/34 (11.8%) of placebo participants (corresponding to a 100% relative risk reduction). Data from </w:t>
      </w:r>
      <w:r w:rsidRPr="006D790D">
        <w:t>Study </w:t>
      </w:r>
      <w:r w:rsidR="00146C2C" w:rsidRPr="006D790D">
        <w:t>COV-2069B showed that in the adolescent subpopulation, the proportion of participants with asymptomatic RT-qPCR</w:t>
      </w:r>
      <w:r w:rsidR="00B80EDA" w:rsidRPr="006D790D">
        <w:t xml:space="preserve"> </w:t>
      </w:r>
      <w:r w:rsidR="00146C2C" w:rsidRPr="006D790D">
        <w:t xml:space="preserve">confirmed SARS-CoV-2 infection at </w:t>
      </w:r>
      <w:r w:rsidR="00FC63CA" w:rsidRPr="006D790D">
        <w:t>Baseline</w:t>
      </w:r>
      <w:r w:rsidR="00146C2C" w:rsidRPr="006D790D">
        <w:t xml:space="preserve"> who subsequently developed signs and symptoms of COVID-19 was lower in the group that received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(n</w:t>
      </w:r>
      <w:r w:rsidR="00B80EDA" w:rsidRPr="006D790D">
        <w:t xml:space="preserve"> </w:t>
      </w:r>
      <w:r w:rsidR="00146C2C" w:rsidRPr="006D790D">
        <w:t>=</w:t>
      </w:r>
      <w:r w:rsidR="00B80EDA" w:rsidRPr="006D790D">
        <w:t xml:space="preserve"> </w:t>
      </w:r>
      <w:r w:rsidR="00146C2C" w:rsidRPr="006D790D">
        <w:t>2/15, 13.3%) compared to placebo (n</w:t>
      </w:r>
      <w:r w:rsidR="00B80EDA" w:rsidRPr="006D790D">
        <w:t> </w:t>
      </w:r>
      <w:r w:rsidR="00146C2C" w:rsidRPr="006D790D">
        <w:t>=</w:t>
      </w:r>
      <w:r w:rsidR="00B80EDA" w:rsidRPr="006D790D">
        <w:t> </w:t>
      </w:r>
      <w:r w:rsidR="00146C2C" w:rsidRPr="006D790D">
        <w:t xml:space="preserve">5/11, 45.5%), corresponding to a 70.7% reduction in the risk of progression to symptomatic disease. The efficacy results with adolescents were found to be </w:t>
      </w:r>
      <w:proofErr w:type="gramStart"/>
      <w:r w:rsidR="00146C2C" w:rsidRPr="006D790D">
        <w:t>similar to</w:t>
      </w:r>
      <w:proofErr w:type="gramEnd"/>
      <w:r w:rsidR="00146C2C" w:rsidRPr="006D790D">
        <w:t xml:space="preserve"> that in adults, but the number of adolescents was limited.</w:t>
      </w:r>
    </w:p>
    <w:p w14:paraId="6F1500ED" w14:textId="6305AEA2" w:rsidR="00146C2C" w:rsidRPr="006D790D" w:rsidRDefault="00146C2C" w:rsidP="00FC4DF1">
      <w:r w:rsidRPr="006D790D">
        <w:t xml:space="preserve">It is noted that despite a median </w:t>
      </w:r>
      <w:proofErr w:type="spellStart"/>
      <w:r w:rsidRPr="006D790D">
        <w:t>T</w:t>
      </w:r>
      <w:r w:rsidRPr="006D790D">
        <w:rPr>
          <w:vertAlign w:val="subscript"/>
        </w:rPr>
        <w:t>max</w:t>
      </w:r>
      <w:proofErr w:type="spellEnd"/>
      <w:r w:rsidRPr="006D790D">
        <w:t xml:space="preserve"> of 5.73 to 6.87 days for </w:t>
      </w:r>
      <w:r w:rsidR="00316746" w:rsidRPr="006D790D">
        <w:t>subcutaneous</w:t>
      </w:r>
      <w:r w:rsidRPr="006D790D">
        <w:t xml:space="preserve"> </w:t>
      </w:r>
      <w:proofErr w:type="spellStart"/>
      <w:r w:rsidRPr="006D790D">
        <w:t>casirivimab</w:t>
      </w:r>
      <w:proofErr w:type="spellEnd"/>
      <w:r w:rsidRPr="006D790D">
        <w:t xml:space="preserve"> and </w:t>
      </w:r>
      <w:proofErr w:type="spellStart"/>
      <w:r w:rsidRPr="006D790D">
        <w:t>imdevimab</w:t>
      </w:r>
      <w:proofErr w:type="spellEnd"/>
      <w:r w:rsidRPr="006D790D">
        <w:t>, the benefit for the prevention of SARS-CoV-2 infection in Cohort</w:t>
      </w:r>
      <w:r w:rsidR="00B80EDA" w:rsidRPr="006D790D">
        <w:t> </w:t>
      </w:r>
      <w:r w:rsidRPr="006D790D">
        <w:t>A was observed from Day 1 and for pre-emptive treatment of SARS-CoV-2 infection (Cohort</w:t>
      </w:r>
      <w:r w:rsidR="00B80EDA" w:rsidRPr="006D790D">
        <w:t> </w:t>
      </w:r>
      <w:r w:rsidRPr="006D790D">
        <w:t>B), the benefit was observed 4 days after initiating treatment and maintained through Day</w:t>
      </w:r>
      <w:r w:rsidR="00B80EDA" w:rsidRPr="006D790D">
        <w:t> </w:t>
      </w:r>
      <w:r w:rsidRPr="006D790D">
        <w:t>29.</w:t>
      </w:r>
    </w:p>
    <w:bookmarkEnd w:id="133"/>
    <w:p w14:paraId="13D17C23" w14:textId="490E2DA0" w:rsidR="00146C2C" w:rsidRPr="006D790D" w:rsidRDefault="005D34C2" w:rsidP="00FC4DF1">
      <w:r w:rsidRPr="006D790D">
        <w:t>Study </w:t>
      </w:r>
      <w:r w:rsidR="00146C2C" w:rsidRPr="006D790D">
        <w:t xml:space="preserve">COV-2093 evaluated the </w:t>
      </w:r>
      <w:r w:rsidR="00216A81" w:rsidRPr="006D790D">
        <w:t>PK</w:t>
      </w:r>
      <w:r w:rsidR="00146C2C" w:rsidRPr="006D790D">
        <w:t xml:space="preserve"> and safety profile of the repeat-dosing regimen in healthy adult subjects. The 1200</w:t>
      </w:r>
      <w:r w:rsidR="00B80EDA" w:rsidRPr="006D790D">
        <w:t> </w:t>
      </w:r>
      <w:r w:rsidR="00146C2C" w:rsidRPr="006D790D">
        <w:t xml:space="preserve">mg dose (600 mg each </w:t>
      </w:r>
      <w:proofErr w:type="spellStart"/>
      <w:r w:rsidR="00146C2C" w:rsidRPr="006D790D">
        <w:t>mAb</w:t>
      </w:r>
      <w:proofErr w:type="spellEnd"/>
      <w:r w:rsidR="00146C2C" w:rsidRPr="006D790D">
        <w:t xml:space="preserve">) was administered subcutaneously every 4 weeks for 6 doses in this study. Note this is double the proposed repeat (maintenance) dose of 600 mg (300 mg per </w:t>
      </w:r>
      <w:proofErr w:type="spellStart"/>
      <w:r w:rsidR="00146C2C" w:rsidRPr="006D790D">
        <w:t>mAb</w:t>
      </w:r>
      <w:proofErr w:type="spellEnd"/>
      <w:r w:rsidR="00146C2C" w:rsidRPr="006D790D">
        <w:t xml:space="preserve">). The exploratory efficacy analysis indicated that repeat </w:t>
      </w:r>
      <w:r w:rsidR="00316746" w:rsidRPr="006D790D">
        <w:t>subcutaneous</w:t>
      </w:r>
      <w:r w:rsidR="00146C2C" w:rsidRPr="006D790D">
        <w:t xml:space="preserve"> dosing of </w:t>
      </w:r>
      <w:proofErr w:type="spellStart"/>
      <w:r w:rsidR="00146C2C" w:rsidRPr="006D790D">
        <w:t>casirivimab</w:t>
      </w:r>
      <w:proofErr w:type="spellEnd"/>
      <w:r w:rsidR="00146C2C" w:rsidRPr="006D790D">
        <w:t xml:space="preserve"> </w:t>
      </w:r>
      <w:r w:rsidR="00EA28EF" w:rsidRPr="006D790D">
        <w:t>/</w:t>
      </w:r>
      <w:proofErr w:type="spellStart"/>
      <w:r w:rsidR="00146C2C" w:rsidRPr="006D790D">
        <w:t>imdevimab</w:t>
      </w:r>
      <w:proofErr w:type="spellEnd"/>
      <w:r w:rsidR="00146C2C" w:rsidRPr="006D790D">
        <w:t xml:space="preserve"> 1200 mg </w:t>
      </w:r>
      <w:r w:rsidR="00285F19" w:rsidRPr="006D790D">
        <w:t>every 4</w:t>
      </w:r>
      <w:r w:rsidR="00B80EDA" w:rsidRPr="006D790D">
        <w:t> </w:t>
      </w:r>
      <w:r w:rsidR="00285F19" w:rsidRPr="006D790D">
        <w:t>weeks</w:t>
      </w:r>
      <w:r w:rsidR="00146C2C" w:rsidRPr="006D790D">
        <w:t xml:space="preserve"> reduced the risk of symptomatic SARS-CoV-2 infection by 92% over the course of 6 months. There are no efficacy data available for the proposed repeat</w:t>
      </w:r>
      <w:r w:rsidR="00B80EDA" w:rsidRPr="006D790D">
        <w:t xml:space="preserve"> </w:t>
      </w:r>
      <w:r w:rsidR="00146C2C" w:rsidRPr="006D790D">
        <w:t>dose regimen for long term prophylaxis in immunocompromised population.</w:t>
      </w:r>
    </w:p>
    <w:p w14:paraId="6693FDE4" w14:textId="4FAA29E2" w:rsidR="00146C2C" w:rsidRPr="006D790D" w:rsidRDefault="00146C2C" w:rsidP="00FC4DF1">
      <w:r w:rsidRPr="006D790D">
        <w:t xml:space="preserve">Population </w:t>
      </w:r>
      <w:r w:rsidR="003526A2" w:rsidRPr="006D790D">
        <w:t xml:space="preserve">pharmacokinetics </w:t>
      </w:r>
      <w:r w:rsidRPr="006D790D">
        <w:t>simulations: the results of simulations indicated that repeat dose regimen (1200</w:t>
      </w:r>
      <w:r w:rsidR="00B80EDA" w:rsidRPr="006D790D">
        <w:t> </w:t>
      </w:r>
      <w:r w:rsidRPr="006D790D">
        <w:t xml:space="preserve">mg </w:t>
      </w:r>
      <w:r w:rsidR="00F43ACD" w:rsidRPr="006D790D">
        <w:t>intravenous</w:t>
      </w:r>
      <w:r w:rsidRPr="006D790D">
        <w:t xml:space="preserve"> or </w:t>
      </w:r>
      <w:r w:rsidR="00316746" w:rsidRPr="006D790D">
        <w:t>subcutaneous</w:t>
      </w:r>
      <w:r w:rsidRPr="006D790D">
        <w:t xml:space="preserve"> loading with 600mg </w:t>
      </w:r>
      <w:r w:rsidR="00316746" w:rsidRPr="006D790D">
        <w:t>subcutaneous</w:t>
      </w:r>
      <w:r w:rsidRPr="006D790D">
        <w:t xml:space="preserve"> every 4 weeks) is expected to produce </w:t>
      </w:r>
      <w:r w:rsidR="002A3F68">
        <w:t>trough concentration</w:t>
      </w:r>
      <w:r w:rsidR="002A3F68" w:rsidRPr="006D790D">
        <w:t xml:space="preserve"> </w:t>
      </w:r>
      <w:r w:rsidRPr="006D790D">
        <w:t xml:space="preserve">values similar to the concentrations observed at Day 28 in </w:t>
      </w:r>
      <w:r w:rsidR="005D34C2" w:rsidRPr="006D790D">
        <w:t>Study </w:t>
      </w:r>
      <w:r w:rsidRPr="006D790D">
        <w:t>COV-2069 where the post</w:t>
      </w:r>
      <w:r w:rsidR="00B80EDA" w:rsidRPr="006D790D">
        <w:t xml:space="preserve"> </w:t>
      </w:r>
      <w:r w:rsidRPr="006D790D">
        <w:t xml:space="preserve">exposure prophylaxis efficacy has been demonstrated. This has provided support for the proposed repeat dosing regimen for chronic prevention indication. The safety and tolerability of repeat dose is supported by data from </w:t>
      </w:r>
      <w:r w:rsidR="003C331A" w:rsidRPr="006D790D">
        <w:rPr>
          <w:rFonts w:eastAsiaTheme="minorHAnsi"/>
        </w:rPr>
        <w:t>Study </w:t>
      </w:r>
      <w:r w:rsidRPr="006D790D">
        <w:t>HV</w:t>
      </w:r>
      <w:r w:rsidR="00613FF8">
        <w:noBreakHyphen/>
      </w:r>
      <w:r w:rsidRPr="006D790D">
        <w:t xml:space="preserve">2093 in which subjects were given up to 6 monthly injections of a 1200 mg </w:t>
      </w:r>
      <w:r w:rsidR="00316746" w:rsidRPr="006D790D">
        <w:t>subcutaneous</w:t>
      </w:r>
      <w:r w:rsidRPr="006D790D">
        <w:t xml:space="preserve"> dose. I</w:t>
      </w:r>
      <w:r w:rsidR="00961D16" w:rsidRPr="006D790D">
        <w:t>SRs</w:t>
      </w:r>
      <w:r w:rsidRPr="006D790D">
        <w:t xml:space="preserve"> occurred more frequently with </w:t>
      </w:r>
      <w:proofErr w:type="spellStart"/>
      <w:r w:rsidRPr="006D790D">
        <w:t>Ronapreve</w:t>
      </w:r>
      <w:proofErr w:type="spellEnd"/>
      <w:r w:rsidRPr="006D790D">
        <w:t xml:space="preserve"> compared to placebo but were mild to moderate in severity.</w:t>
      </w:r>
    </w:p>
    <w:p w14:paraId="567FEFFD" w14:textId="77777777" w:rsidR="00146C2C" w:rsidRPr="006D790D" w:rsidRDefault="00146C2C" w:rsidP="00FC4DF1">
      <w:pPr>
        <w:pStyle w:val="Heading5"/>
      </w:pPr>
      <w:bookmarkStart w:id="134" w:name="_Toc84071984"/>
      <w:r w:rsidRPr="006D790D">
        <w:t>Risks and uncertainties</w:t>
      </w:r>
      <w:bookmarkEnd w:id="134"/>
    </w:p>
    <w:p w14:paraId="0526A6CA" w14:textId="11E6C74D" w:rsidR="00146C2C" w:rsidRPr="006D790D" w:rsidRDefault="00146C2C" w:rsidP="00FC4DF1">
      <w:r w:rsidRPr="006D790D">
        <w:t xml:space="preserve">Overall, the safety profile of </w:t>
      </w:r>
      <w:proofErr w:type="spellStart"/>
      <w:r w:rsidRPr="006D790D">
        <w:t>Ronapreve</w:t>
      </w:r>
      <w:proofErr w:type="spellEnd"/>
      <w:r w:rsidRPr="006D790D">
        <w:t xml:space="preserve"> appears favourable and in line with what is expected from a </w:t>
      </w:r>
      <w:proofErr w:type="spellStart"/>
      <w:r w:rsidR="006C71D8" w:rsidRPr="006D790D">
        <w:t>mAb</w:t>
      </w:r>
      <w:proofErr w:type="spellEnd"/>
      <w:r w:rsidRPr="006D790D">
        <w:t xml:space="preserve"> targeting an external target and thus without intrinsic activity.</w:t>
      </w:r>
    </w:p>
    <w:p w14:paraId="36D939BF" w14:textId="220F5E0E" w:rsidR="00146C2C" w:rsidRPr="006D790D" w:rsidRDefault="00146C2C" w:rsidP="00FC4DF1">
      <w:r w:rsidRPr="006D790D">
        <w:t xml:space="preserve">The safety review identified Adverse Drug Reactions related to hypersensitivity reactions, including IRRs and ISRs. Across studies, </w:t>
      </w:r>
      <w:proofErr w:type="gramStart"/>
      <w:r w:rsidRPr="006D790D">
        <w:t>the majority of</w:t>
      </w:r>
      <w:proofErr w:type="gramEnd"/>
      <w:r w:rsidRPr="006D790D">
        <w:t xml:space="preserve"> hypersensitivity reactions, including IRRs and ISRs, were mild or moderate and could be treated according to standard medical practice. Few patients experienced infusion interruptions or discontinuations, but most participants were able to resume treatment.</w:t>
      </w:r>
    </w:p>
    <w:p w14:paraId="46892E3A" w14:textId="77777777" w:rsidR="00146C2C" w:rsidRPr="006D790D" w:rsidRDefault="00146C2C" w:rsidP="00FC4DF1">
      <w:r w:rsidRPr="006D790D">
        <w:t xml:space="preserve">Safety data are limited in certain populations. There are uncertainties and theoretical risks associated with the use of </w:t>
      </w:r>
      <w:proofErr w:type="spellStart"/>
      <w:r w:rsidRPr="006D790D">
        <w:t>Ronapreve</w:t>
      </w:r>
      <w:proofErr w:type="spellEnd"/>
      <w:r w:rsidRPr="006D790D">
        <w:t>. These are discussed below.</w:t>
      </w:r>
    </w:p>
    <w:p w14:paraId="17BF38BF" w14:textId="77777777" w:rsidR="00146C2C" w:rsidRPr="006D790D" w:rsidRDefault="00146C2C" w:rsidP="00DD0CD1">
      <w:pPr>
        <w:pStyle w:val="Heading6"/>
      </w:pPr>
      <w:r w:rsidRPr="006D790D">
        <w:t>Limited data in certain populations</w:t>
      </w:r>
    </w:p>
    <w:p w14:paraId="0EBF0A8E" w14:textId="77777777" w:rsidR="00FC4DF1" w:rsidRPr="00370E16" w:rsidRDefault="00146C2C" w:rsidP="00DD0CD1">
      <w:pPr>
        <w:pStyle w:val="Heading7"/>
        <w:rPr>
          <w:rFonts w:eastAsiaTheme="minorHAnsi"/>
        </w:rPr>
      </w:pPr>
      <w:r w:rsidRPr="00F0076F">
        <w:rPr>
          <w:rFonts w:eastAsiaTheme="minorHAnsi"/>
          <w:sz w:val="22"/>
        </w:rPr>
        <w:t>Pregnant women/lactating mothers</w:t>
      </w:r>
    </w:p>
    <w:p w14:paraId="1DF0AA6A" w14:textId="65C3FBFA" w:rsidR="00146C2C" w:rsidRPr="006D790D" w:rsidRDefault="00613FF8" w:rsidP="00FC4DF1">
      <w:r>
        <w:t>T</w:t>
      </w:r>
      <w:r w:rsidR="00146C2C" w:rsidRPr="006D790D">
        <w:t xml:space="preserve">here is currently limited clinical experience with the use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in patients and subjects who are pregnant or breastfeeding. Animal reproductive and developmental toxicity studies have not been conducted.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should be used during pregnancy only if the potential benefit justifies the potential risk for the mother and the </w:t>
      </w:r>
      <w:proofErr w:type="spellStart"/>
      <w:r w:rsidR="00146C2C" w:rsidRPr="006D790D">
        <w:t>fetus</w:t>
      </w:r>
      <w:proofErr w:type="spellEnd"/>
      <w:r w:rsidR="00146C2C" w:rsidRPr="006D790D">
        <w:t xml:space="preserve">/baby considering all associated health factors. Therefore, the use </w:t>
      </w:r>
      <w:r w:rsidR="00146C2C" w:rsidRPr="006D790D">
        <w:lastRenderedPageBreak/>
        <w:t xml:space="preserve">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should only be considered during pregnancy or lactation if the potential benefit justifies the potential risk.</w:t>
      </w:r>
    </w:p>
    <w:p w14:paraId="17747031" w14:textId="5EB84676" w:rsidR="00FC4DF1" w:rsidRPr="00370E16" w:rsidRDefault="00146C2C" w:rsidP="00F0076F">
      <w:pPr>
        <w:pStyle w:val="Heading7"/>
      </w:pPr>
      <w:r w:rsidRPr="00F0076F">
        <w:rPr>
          <w:sz w:val="22"/>
        </w:rPr>
        <w:t>Paediatric and adolescent individuals</w:t>
      </w:r>
    </w:p>
    <w:p w14:paraId="34C672BC" w14:textId="2AA68642" w:rsidR="00146C2C" w:rsidRPr="006D790D" w:rsidRDefault="00613FF8" w:rsidP="00FC4DF1">
      <w:r>
        <w:t>D</w:t>
      </w:r>
      <w:r w:rsidR="00146C2C" w:rsidRPr="006D790D">
        <w:t xml:space="preserve">ata are currently lacking on the </w:t>
      </w:r>
      <w:r w:rsidR="00216A81" w:rsidRPr="006D790D">
        <w:t>PK</w:t>
      </w:r>
      <w:r w:rsidR="00146C2C" w:rsidRPr="006D790D">
        <w:t xml:space="preserve"> in paediatric and adolescent patients. Since the body weight range of adolescents ≥ 12 years of age is generally within the range of body weight in adult subjects and body weight is the main covariate that affects exposure, exposures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in adolescent subjects (≥ 40 kg) are likely to be similar to those in adults. The </w:t>
      </w:r>
      <w:r w:rsidR="00303D77" w:rsidRPr="006D790D">
        <w:t>SAF</w:t>
      </w:r>
      <w:r w:rsidR="00146C2C" w:rsidRPr="006D790D">
        <w:t xml:space="preserve"> included 88 adolescents in Cohort A and 38 adolescents in Cohort</w:t>
      </w:r>
      <w:r w:rsidR="00B80EDA" w:rsidRPr="006D790D">
        <w:t> </w:t>
      </w:r>
      <w:r w:rsidR="00146C2C" w:rsidRPr="006D790D">
        <w:t xml:space="preserve">B of </w:t>
      </w:r>
      <w:r w:rsidR="005D34C2" w:rsidRPr="006D790D">
        <w:t>Study </w:t>
      </w:r>
      <w:r w:rsidR="00146C2C" w:rsidRPr="006D790D">
        <w:t>COV-2069.</w:t>
      </w:r>
    </w:p>
    <w:p w14:paraId="0A801C08" w14:textId="77777777" w:rsidR="00FC4DF1" w:rsidRPr="00370E16" w:rsidRDefault="00146C2C" w:rsidP="00F0076F">
      <w:pPr>
        <w:pStyle w:val="Heading7"/>
      </w:pPr>
      <w:r w:rsidRPr="00F0076F">
        <w:rPr>
          <w:sz w:val="22"/>
        </w:rPr>
        <w:t>Immunocompromised population</w:t>
      </w:r>
    </w:p>
    <w:p w14:paraId="3C2C620D" w14:textId="517953B0" w:rsidR="00146C2C" w:rsidRPr="006D790D" w:rsidRDefault="00613FF8" w:rsidP="00FC4DF1">
      <w:r>
        <w:t>D</w:t>
      </w:r>
      <w:r w:rsidR="00146C2C" w:rsidRPr="006D790D">
        <w:t xml:space="preserve">ata are currently limited on the use of </w:t>
      </w:r>
      <w:proofErr w:type="spellStart"/>
      <w:r w:rsidR="00146C2C" w:rsidRPr="006D790D">
        <w:t>Ronapreve</w:t>
      </w:r>
      <w:proofErr w:type="spellEnd"/>
      <w:r w:rsidR="00146C2C" w:rsidRPr="006D790D">
        <w:t xml:space="preserve"> in the immunocompromised population. There is also a lack of information on whether patients in clinical studies had primary or secondary immunodeficiency. The product is likely to have a widespread use in immunocompromised individuals after regulatory approval. The </w:t>
      </w:r>
      <w:r w:rsidR="00AE4F58" w:rsidRPr="006D790D">
        <w:t>sponsor</w:t>
      </w:r>
      <w:r w:rsidR="00146C2C" w:rsidRPr="006D790D">
        <w:t xml:space="preserve"> should gather further information with regards to the efficacy of </w:t>
      </w:r>
      <w:proofErr w:type="spellStart"/>
      <w:r w:rsidR="00146C2C" w:rsidRPr="006D790D">
        <w:t>Ronopreve</w:t>
      </w:r>
      <w:proofErr w:type="spellEnd"/>
      <w:r w:rsidR="00146C2C" w:rsidRPr="006D790D">
        <w:t xml:space="preserve"> in this population.</w:t>
      </w:r>
    </w:p>
    <w:p w14:paraId="322A3CA4" w14:textId="61AE3E17" w:rsidR="00FC4DF1" w:rsidRPr="006D790D" w:rsidRDefault="00146C2C" w:rsidP="00FC4DF1">
      <w:pPr>
        <w:pStyle w:val="Heading6"/>
        <w:rPr>
          <w:rFonts w:eastAsia="TimesNewRomanPSMT"/>
        </w:rPr>
      </w:pPr>
      <w:r w:rsidRPr="006D790D">
        <w:rPr>
          <w:rFonts w:eastAsia="TimesNewRomanPSMT"/>
        </w:rPr>
        <w:t xml:space="preserve">Limited </w:t>
      </w:r>
      <w:proofErr w:type="gramStart"/>
      <w:r w:rsidRPr="006D790D">
        <w:rPr>
          <w:rFonts w:eastAsia="TimesNewRomanPSMT"/>
        </w:rPr>
        <w:t>long</w:t>
      </w:r>
      <w:r w:rsidR="00B80EDA" w:rsidRPr="006D790D">
        <w:rPr>
          <w:rFonts w:eastAsia="TimesNewRomanPSMT"/>
        </w:rPr>
        <w:t xml:space="preserve"> </w:t>
      </w:r>
      <w:r w:rsidRPr="006D790D">
        <w:rPr>
          <w:rFonts w:eastAsia="TimesNewRomanPSMT"/>
        </w:rPr>
        <w:t>term</w:t>
      </w:r>
      <w:proofErr w:type="gramEnd"/>
      <w:r w:rsidRPr="006D790D">
        <w:rPr>
          <w:rFonts w:eastAsia="TimesNewRomanPSMT"/>
        </w:rPr>
        <w:t xml:space="preserve"> data for chronic prevention</w:t>
      </w:r>
    </w:p>
    <w:p w14:paraId="0DBA58B4" w14:textId="368C6C3E" w:rsidR="00146C2C" w:rsidRPr="006D790D" w:rsidRDefault="00613FF8" w:rsidP="00FC4DF1">
      <w:r>
        <w:t>S</w:t>
      </w:r>
      <w:r w:rsidR="00146C2C" w:rsidRPr="006D790D">
        <w:t xml:space="preserve">afety data in repeated use is only available for 6 months in a limited number of subjects in </w:t>
      </w:r>
      <w:r w:rsidR="003C331A" w:rsidRPr="006D790D">
        <w:rPr>
          <w:rFonts w:eastAsiaTheme="minorHAnsi"/>
        </w:rPr>
        <w:t>Study </w:t>
      </w:r>
      <w:r w:rsidR="00146C2C" w:rsidRPr="006D790D">
        <w:t xml:space="preserve">HV-2093. There are concerns regarding the increased AEs with prolonged and cumulative exposure. The </w:t>
      </w:r>
      <w:r w:rsidR="00AE4F58" w:rsidRPr="006D790D">
        <w:t>sponsor</w:t>
      </w:r>
      <w:r w:rsidR="00146C2C" w:rsidRPr="006D790D">
        <w:t xml:space="preserve"> should monitor the AEs and </w:t>
      </w:r>
      <w:r w:rsidR="00652CDE" w:rsidRPr="006D790D">
        <w:t>adverse drug reactions (</w:t>
      </w:r>
      <w:r w:rsidR="00146C2C" w:rsidRPr="006D790D">
        <w:t>ADR</w:t>
      </w:r>
      <w:r w:rsidR="00652CDE" w:rsidRPr="006D790D">
        <w:t>)</w:t>
      </w:r>
      <w:r w:rsidR="00146C2C" w:rsidRPr="006D790D">
        <w:t xml:space="preserve"> with long term prophylactic use in the post</w:t>
      </w:r>
      <w:r w:rsidR="00B80EDA" w:rsidRPr="006D790D">
        <w:t xml:space="preserve"> </w:t>
      </w:r>
      <w:r w:rsidR="00146C2C" w:rsidRPr="006D790D">
        <w:t>market setting. Repeat dose regimen for chronic prevention is expected to be used more often in immunocompromised population. There is a theoretical risk that repeat dose may drive viral resistance especially at low doses proposed in the chronic prophylaxis setting, so post-market monitoring is important.</w:t>
      </w:r>
    </w:p>
    <w:p w14:paraId="40E9ABE9" w14:textId="65CCCBD5" w:rsidR="00146C2C" w:rsidRPr="006D790D" w:rsidRDefault="00146C2C" w:rsidP="00142B79">
      <w:pPr>
        <w:pStyle w:val="Heading7"/>
        <w:rPr>
          <w:sz w:val="22"/>
          <w:szCs w:val="28"/>
        </w:rPr>
      </w:pPr>
      <w:r w:rsidRPr="006D790D">
        <w:rPr>
          <w:sz w:val="22"/>
          <w:szCs w:val="28"/>
        </w:rPr>
        <w:t xml:space="preserve">Effect against </w:t>
      </w:r>
      <w:r w:rsidR="00537F4D" w:rsidRPr="006D790D">
        <w:rPr>
          <w:sz w:val="22"/>
          <w:szCs w:val="28"/>
        </w:rPr>
        <w:t>viral variants</w:t>
      </w:r>
    </w:p>
    <w:p w14:paraId="5F74DE29" w14:textId="4E2299FB" w:rsidR="00146C2C" w:rsidRPr="006D790D" w:rsidRDefault="00146C2C" w:rsidP="00FC4DF1">
      <w:r w:rsidRPr="006D790D">
        <w:t xml:space="preserve">The combination of </w:t>
      </w:r>
      <w:proofErr w:type="spellStart"/>
      <w:r w:rsidRPr="006D790D">
        <w:t>casirivimab</w:t>
      </w:r>
      <w:proofErr w:type="spellEnd"/>
      <w:r w:rsidR="00EA28EF" w:rsidRPr="006D790D">
        <w:t>/</w:t>
      </w:r>
      <w:proofErr w:type="spellStart"/>
      <w:r w:rsidRPr="006D790D">
        <w:t>imdevimab</w:t>
      </w:r>
      <w:proofErr w:type="spellEnd"/>
      <w:r w:rsidRPr="006D790D">
        <w:t xml:space="preserve"> appears to retain potency </w:t>
      </w:r>
      <w:r w:rsidRPr="006D790D">
        <w:rPr>
          <w:i/>
          <w:iCs/>
        </w:rPr>
        <w:t>in vitro</w:t>
      </w:r>
      <w:r w:rsidRPr="006D790D">
        <w:t xml:space="preserve"> against the main VOC circulating, including P.1 (classified by the WHO as Gamma), B.1.351 (classified by the WHO as Beta) and B.1.617.2 (classified by the WHO as Delta). However, it is not known whether the clinical efficacy against these variants is the same as the efficacy observed in the clinical trial, which was conducted prior to these variants becoming prevalent.</w:t>
      </w:r>
    </w:p>
    <w:p w14:paraId="217BC6E7" w14:textId="4D2FA17F" w:rsidR="00146C2C" w:rsidRPr="006D790D" w:rsidRDefault="00146C2C" w:rsidP="00FC4DF1">
      <w:r w:rsidRPr="006D790D">
        <w:t xml:space="preserve">There is a potential for other viral variants to emerge in the future which may have reduced susceptibility to both antibodies. There is a theoretical risk of treatment failure due to the development of viral variants that are resistant to </w:t>
      </w:r>
      <w:proofErr w:type="spellStart"/>
      <w:r w:rsidRPr="006D790D">
        <w:t>casirivimab</w:t>
      </w:r>
      <w:proofErr w:type="spellEnd"/>
      <w:r w:rsidR="00EA28EF" w:rsidRPr="006D790D">
        <w:t>/</w:t>
      </w:r>
      <w:proofErr w:type="spellStart"/>
      <w:r w:rsidRPr="006D790D">
        <w:t>imdevimab</w:t>
      </w:r>
      <w:proofErr w:type="spellEnd"/>
      <w:r w:rsidRPr="006D790D">
        <w:t>.</w:t>
      </w:r>
    </w:p>
    <w:p w14:paraId="248A5700" w14:textId="136CBA22" w:rsidR="00146C2C" w:rsidRPr="006D790D" w:rsidRDefault="00146C2C" w:rsidP="00FC4DF1">
      <w:r w:rsidRPr="006D790D">
        <w:t xml:space="preserve">As novel variants of concern/variants of interest are identified, the </w:t>
      </w:r>
      <w:r w:rsidR="00AE4F58" w:rsidRPr="006D790D">
        <w:t>sponsor</w:t>
      </w:r>
      <w:r w:rsidRPr="006D790D">
        <w:t xml:space="preserve"> must assess the neutrali</w:t>
      </w:r>
      <w:r w:rsidR="00AF6815" w:rsidRPr="006D790D">
        <w:t>s</w:t>
      </w:r>
      <w:r w:rsidRPr="006D790D">
        <w:t xml:space="preserve">ing activity against variants to ensure susceptibility to </w:t>
      </w:r>
      <w:proofErr w:type="spellStart"/>
      <w:r w:rsidRPr="006D790D">
        <w:t>casirivimab</w:t>
      </w:r>
      <w:proofErr w:type="spellEnd"/>
      <w:r w:rsidRPr="006D790D">
        <w:t xml:space="preserve"> and </w:t>
      </w:r>
      <w:proofErr w:type="spellStart"/>
      <w:r w:rsidRPr="006D790D">
        <w:t>imdevimab</w:t>
      </w:r>
      <w:proofErr w:type="spellEnd"/>
      <w:r w:rsidRPr="006D790D">
        <w:t xml:space="preserve"> and to the combination. Efficacy of </w:t>
      </w:r>
      <w:proofErr w:type="spellStart"/>
      <w:r w:rsidRPr="006D790D">
        <w:t>casirivimab</w:t>
      </w:r>
      <w:proofErr w:type="spellEnd"/>
      <w:r w:rsidR="00EA28EF" w:rsidRPr="006D790D">
        <w:t>/</w:t>
      </w:r>
      <w:proofErr w:type="spellStart"/>
      <w:r w:rsidRPr="006D790D">
        <w:t>imdevimab</w:t>
      </w:r>
      <w:proofErr w:type="spellEnd"/>
      <w:r w:rsidRPr="006D790D">
        <w:t xml:space="preserve"> in patients infected with viral variants should be monitored in company</w:t>
      </w:r>
      <w:r w:rsidR="00142B79" w:rsidRPr="006D790D">
        <w:t xml:space="preserve"> </w:t>
      </w:r>
      <w:r w:rsidRPr="006D790D">
        <w:t>sponsored clinical trials.</w:t>
      </w:r>
    </w:p>
    <w:p w14:paraId="6A384EA0" w14:textId="77777777" w:rsidR="00146C2C" w:rsidRPr="006D790D" w:rsidRDefault="00146C2C" w:rsidP="00142B79">
      <w:pPr>
        <w:pStyle w:val="Heading7"/>
        <w:rPr>
          <w:i/>
          <w:sz w:val="22"/>
          <w:szCs w:val="28"/>
        </w:rPr>
      </w:pPr>
      <w:r w:rsidRPr="006D790D">
        <w:rPr>
          <w:sz w:val="22"/>
          <w:szCs w:val="28"/>
        </w:rPr>
        <w:t>Interfere with endogenous or vaccine response</w:t>
      </w:r>
    </w:p>
    <w:p w14:paraId="0D2D2FBD" w14:textId="643B343B" w:rsidR="00146C2C" w:rsidRPr="006D790D" w:rsidRDefault="00146C2C" w:rsidP="00FC4DF1">
      <w:r w:rsidRPr="006D790D">
        <w:t>Antibody administration may attenuate the endogenous immune response to SARS-CoV-2 and make patients more susceptible to re-infection. Based on evaluation of safety data from the clinical trial program, this theoretical risk of re</w:t>
      </w:r>
      <w:r w:rsidR="00142B79" w:rsidRPr="006D790D">
        <w:t>-</w:t>
      </w:r>
      <w:r w:rsidRPr="006D790D">
        <w:t>infection has not been observed.</w:t>
      </w:r>
    </w:p>
    <w:p w14:paraId="198D1072" w14:textId="6DC798BB" w:rsidR="00146C2C" w:rsidRPr="006D790D" w:rsidRDefault="00146C2C" w:rsidP="00FC4DF1">
      <w:proofErr w:type="spellStart"/>
      <w:r w:rsidRPr="006D790D">
        <w:t>Casirivimab</w:t>
      </w:r>
      <w:proofErr w:type="spellEnd"/>
      <w:r w:rsidR="00EA28EF" w:rsidRPr="006D790D">
        <w:t>/</w:t>
      </w:r>
      <w:proofErr w:type="spellStart"/>
      <w:r w:rsidRPr="006D790D">
        <w:t>imdevimab</w:t>
      </w:r>
      <w:proofErr w:type="spellEnd"/>
      <w:r w:rsidRPr="006D790D">
        <w:t xml:space="preserve"> binds to epitopes on the SARS-CoV-2 spike protein used as an immunogen in all COVID-19 vaccines; therefore, it may be possible that </w:t>
      </w:r>
      <w:proofErr w:type="spellStart"/>
      <w:r w:rsidRPr="006D790D">
        <w:t>Ronapreve</w:t>
      </w:r>
      <w:proofErr w:type="spellEnd"/>
      <w:r w:rsidRPr="006D790D">
        <w:t xml:space="preserve"> could interfere with the development of effective immune responses to COVID-19 vaccines.</w:t>
      </w:r>
    </w:p>
    <w:p w14:paraId="53BCB463" w14:textId="1F51EC4D" w:rsidR="00146C2C" w:rsidRPr="006D790D" w:rsidRDefault="005D34C2" w:rsidP="00FC4DF1">
      <w:r w:rsidRPr="006D790D">
        <w:t>Study </w:t>
      </w:r>
      <w:r w:rsidR="00146C2C" w:rsidRPr="006D790D">
        <w:t xml:space="preserve">COV-2067 and </w:t>
      </w:r>
      <w:r w:rsidRPr="006D790D">
        <w:t>Study </w:t>
      </w:r>
      <w:r w:rsidR="00146C2C" w:rsidRPr="006D790D">
        <w:t xml:space="preserve">COV-2069 included only limited numbers of vaccinated individuals. In </w:t>
      </w:r>
      <w:r w:rsidR="003C331A" w:rsidRPr="006D790D">
        <w:rPr>
          <w:rFonts w:eastAsiaTheme="minorHAnsi"/>
        </w:rPr>
        <w:t>Study </w:t>
      </w:r>
      <w:r w:rsidR="00146C2C" w:rsidRPr="006D790D">
        <w:t xml:space="preserve">HV-2093, 30 (12.5%) participants in the placebo group and 67 (9.2%) in the treatment group received COVID-19 vaccines. Among these vaccinated </w:t>
      </w:r>
      <w:r w:rsidR="00146C2C" w:rsidRPr="006D790D">
        <w:lastRenderedPageBreak/>
        <w:t>participants, there were no grade ≥ 3 TEAE</w:t>
      </w:r>
      <w:r w:rsidR="00613FF8">
        <w:t>s</w:t>
      </w:r>
      <w:r w:rsidR="00146C2C" w:rsidRPr="006D790D">
        <w:t>, SAE</w:t>
      </w:r>
      <w:r w:rsidR="00613FF8">
        <w:t>s</w:t>
      </w:r>
      <w:r w:rsidR="00146C2C" w:rsidRPr="006D790D">
        <w:t xml:space="preserve"> or AESI in the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groups following the vaccinations. The data on the effects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on potential attenuation of vaccine response are limited at this stage. The </w:t>
      </w:r>
      <w:r w:rsidR="00AE4F58" w:rsidRPr="006D790D">
        <w:t>sponsor</w:t>
      </w:r>
      <w:r w:rsidR="00146C2C" w:rsidRPr="006D790D">
        <w:t xml:space="preserve"> should evaluate the possible effect of </w:t>
      </w:r>
      <w:proofErr w:type="spellStart"/>
      <w:r w:rsidR="00146C2C" w:rsidRPr="006D790D">
        <w:t>casirivimab</w:t>
      </w:r>
      <w:proofErr w:type="spellEnd"/>
      <w:r w:rsidR="00146C2C" w:rsidRPr="006D790D">
        <w:t xml:space="preserve"> and </w:t>
      </w:r>
      <w:proofErr w:type="spellStart"/>
      <w:r w:rsidR="00146C2C" w:rsidRPr="006D790D">
        <w:t>imdevimab</w:t>
      </w:r>
      <w:proofErr w:type="spellEnd"/>
      <w:r w:rsidR="00146C2C" w:rsidRPr="006D790D">
        <w:t xml:space="preserve"> on vaccine</w:t>
      </w:r>
      <w:r w:rsidR="00142B79" w:rsidRPr="006D790D">
        <w:t xml:space="preserve"> </w:t>
      </w:r>
      <w:r w:rsidR="00146C2C" w:rsidRPr="006D790D">
        <w:t>induced immune responses in post</w:t>
      </w:r>
      <w:r w:rsidR="00142B79" w:rsidRPr="006D790D">
        <w:t xml:space="preserve"> </w:t>
      </w:r>
      <w:r w:rsidR="00146C2C" w:rsidRPr="006D790D">
        <w:t>market studies.</w:t>
      </w:r>
    </w:p>
    <w:p w14:paraId="0961250B" w14:textId="3B8C9F27" w:rsidR="00146C2C" w:rsidRPr="006D790D" w:rsidRDefault="00146C2C" w:rsidP="00142B79">
      <w:pPr>
        <w:pStyle w:val="Heading7"/>
        <w:rPr>
          <w:sz w:val="22"/>
          <w:szCs w:val="28"/>
        </w:rPr>
      </w:pPr>
      <w:r w:rsidRPr="006D790D">
        <w:rPr>
          <w:sz w:val="22"/>
          <w:szCs w:val="28"/>
        </w:rPr>
        <w:t>Treatment failure due to anti-drug antibodies</w:t>
      </w:r>
    </w:p>
    <w:p w14:paraId="6ED6B9C3" w14:textId="0275B15E" w:rsidR="00146C2C" w:rsidRPr="006D790D" w:rsidRDefault="00146C2C" w:rsidP="00FC4DF1">
      <w:r w:rsidRPr="006D790D">
        <w:t>Anti-drug antibodies may potentially be associated with a decrease in systemic drug concentrations and decrease in treatment effectiveness, and/or an increased incidence of hypersensitivity reactions/IRRs.</w:t>
      </w:r>
    </w:p>
    <w:p w14:paraId="3EA15278" w14:textId="56AC5935" w:rsidR="00146C2C" w:rsidRPr="006D790D" w:rsidRDefault="00146C2C" w:rsidP="00FC4DF1">
      <w:r w:rsidRPr="006D790D">
        <w:t xml:space="preserve">In </w:t>
      </w:r>
      <w:r w:rsidR="005D34C2" w:rsidRPr="006D790D">
        <w:t>Study </w:t>
      </w:r>
      <w:r w:rsidRPr="006D790D">
        <w:t xml:space="preserve">COV-2067, nearly all patients (97.1% for </w:t>
      </w:r>
      <w:proofErr w:type="spellStart"/>
      <w:r w:rsidRPr="006D790D">
        <w:t>casirivimab</w:t>
      </w:r>
      <w:proofErr w:type="spellEnd"/>
      <w:r w:rsidRPr="006D790D">
        <w:t xml:space="preserve">; 94.4% for </w:t>
      </w:r>
      <w:proofErr w:type="spellStart"/>
      <w:r w:rsidRPr="006D790D">
        <w:t>imdevimab</w:t>
      </w:r>
      <w:proofErr w:type="spellEnd"/>
      <w:r w:rsidRPr="006D790D">
        <w:t xml:space="preserve">) </w:t>
      </w:r>
      <w:proofErr w:type="gramStart"/>
      <w:r w:rsidRPr="006D790D">
        <w:t>were negative for ADA at all times</w:t>
      </w:r>
      <w:proofErr w:type="gramEnd"/>
      <w:r w:rsidRPr="006D790D">
        <w:t xml:space="preserve">, indicating minimal immunogenicity following single </w:t>
      </w:r>
      <w:r w:rsidR="00F43ACD" w:rsidRPr="006D790D">
        <w:t>intravenous</w:t>
      </w:r>
      <w:r w:rsidRPr="006D790D">
        <w:t xml:space="preserve"> doses of 1200 mg, 2400 mg, or 8000 mg of </w:t>
      </w:r>
      <w:proofErr w:type="spellStart"/>
      <w:r w:rsidRPr="006D790D">
        <w:t>casirivimab</w:t>
      </w:r>
      <w:proofErr w:type="spellEnd"/>
      <w:r w:rsidR="00EA28EF" w:rsidRPr="006D790D">
        <w:t>/</w:t>
      </w:r>
      <w:proofErr w:type="spellStart"/>
      <w:r w:rsidRPr="006D790D">
        <w:t>imdevimab</w:t>
      </w:r>
      <w:proofErr w:type="spellEnd"/>
      <w:r w:rsidRPr="006D790D">
        <w:t xml:space="preserve">. Concentrations in serum for </w:t>
      </w:r>
      <w:proofErr w:type="spellStart"/>
      <w:r w:rsidRPr="006D790D">
        <w:t>casirivimab</w:t>
      </w:r>
      <w:proofErr w:type="spellEnd"/>
      <w:r w:rsidRPr="006D790D">
        <w:t xml:space="preserve"> and </w:t>
      </w:r>
      <w:proofErr w:type="spellStart"/>
      <w:r w:rsidRPr="006D790D">
        <w:t>imdevimab</w:t>
      </w:r>
      <w:proofErr w:type="spellEnd"/>
      <w:r w:rsidRPr="006D790D">
        <w:t xml:space="preserve"> at Day 28 were similar between ADA-negative and ADA-positive patients.</w:t>
      </w:r>
    </w:p>
    <w:p w14:paraId="4DE59D56" w14:textId="0B0C112D" w:rsidR="00146C2C" w:rsidRPr="006D790D" w:rsidRDefault="00146C2C" w:rsidP="00FC4DF1">
      <w:r w:rsidRPr="006D790D">
        <w:t xml:space="preserve">In </w:t>
      </w:r>
      <w:r w:rsidR="003C331A" w:rsidRPr="006D790D">
        <w:rPr>
          <w:rFonts w:eastAsiaTheme="minorHAnsi"/>
        </w:rPr>
        <w:t>Study </w:t>
      </w:r>
      <w:r w:rsidRPr="006D790D">
        <w:t xml:space="preserve">HV-2093, the incidence of ADA following repeat doses was also low in subjects receiving </w:t>
      </w:r>
      <w:proofErr w:type="spellStart"/>
      <w:r w:rsidRPr="006D790D">
        <w:t>casirivimab</w:t>
      </w:r>
      <w:proofErr w:type="spellEnd"/>
      <w:r w:rsidR="00EA28EF" w:rsidRPr="006D790D">
        <w:t>/</w:t>
      </w:r>
      <w:proofErr w:type="spellStart"/>
      <w:r w:rsidRPr="006D790D">
        <w:t>imdevimab</w:t>
      </w:r>
      <w:proofErr w:type="spellEnd"/>
      <w:r w:rsidRPr="006D790D">
        <w:t>, and there was no apparent impact on efficacy or safety due to immunogenicity in the few patients with positive ADA.</w:t>
      </w:r>
    </w:p>
    <w:p w14:paraId="7CD1BA9D" w14:textId="207A16D1" w:rsidR="00146C2C" w:rsidRPr="006D790D" w:rsidRDefault="00146C2C" w:rsidP="00FC4DF1">
      <w:r w:rsidRPr="006D790D">
        <w:t>The presence of neutrali</w:t>
      </w:r>
      <w:r w:rsidR="00AF6815" w:rsidRPr="006D790D">
        <w:t>s</w:t>
      </w:r>
      <w:r w:rsidRPr="006D790D">
        <w:t xml:space="preserve">ing </w:t>
      </w:r>
      <w:r w:rsidR="00F847E4" w:rsidRPr="006D790D">
        <w:t>ADA</w:t>
      </w:r>
      <w:r w:rsidRPr="006D790D">
        <w:t xml:space="preserve"> in ADA</w:t>
      </w:r>
      <w:r w:rsidR="00613FF8">
        <w:noBreakHyphen/>
      </w:r>
      <w:r w:rsidRPr="006D790D">
        <w:t xml:space="preserve">positive samples has not yet been assessed in samples from submitted studies. The </w:t>
      </w:r>
      <w:r w:rsidR="00AE4F58" w:rsidRPr="006D790D">
        <w:t>sponsor</w:t>
      </w:r>
      <w:r w:rsidRPr="006D790D">
        <w:t xml:space="preserve"> should submit further information when seeking full registration.</w:t>
      </w:r>
    </w:p>
    <w:p w14:paraId="14F11917" w14:textId="23AA91F7" w:rsidR="00146C2C" w:rsidRPr="006D790D" w:rsidRDefault="00146C2C" w:rsidP="00142B79">
      <w:pPr>
        <w:pStyle w:val="Heading7"/>
        <w:rPr>
          <w:rFonts w:eastAsia="TimesNewRomanPSMT"/>
          <w:sz w:val="22"/>
          <w:szCs w:val="28"/>
        </w:rPr>
      </w:pPr>
      <w:r w:rsidRPr="006D790D">
        <w:rPr>
          <w:rFonts w:eastAsia="TimesNewRomanPSMT"/>
          <w:sz w:val="22"/>
          <w:szCs w:val="28"/>
        </w:rPr>
        <w:t>Antibody</w:t>
      </w:r>
      <w:r w:rsidR="00142B79" w:rsidRPr="006D790D">
        <w:rPr>
          <w:rFonts w:eastAsia="TimesNewRomanPSMT"/>
          <w:sz w:val="22"/>
          <w:szCs w:val="28"/>
        </w:rPr>
        <w:t xml:space="preserve"> </w:t>
      </w:r>
      <w:r w:rsidRPr="006D790D">
        <w:rPr>
          <w:rFonts w:eastAsia="TimesNewRomanPSMT"/>
          <w:sz w:val="22"/>
          <w:szCs w:val="28"/>
        </w:rPr>
        <w:t>dependent enhancement</w:t>
      </w:r>
    </w:p>
    <w:p w14:paraId="005C4B2B" w14:textId="19B3CD2A" w:rsidR="00146C2C" w:rsidRPr="006D790D" w:rsidRDefault="00142B79" w:rsidP="00FC4DF1">
      <w:r w:rsidRPr="006D790D">
        <w:t xml:space="preserve">Antibody dependent enhancement (ADE) </w:t>
      </w:r>
      <w:r w:rsidR="00146C2C" w:rsidRPr="006D790D">
        <w:t xml:space="preserve">is thought to occur when binding of antibody to the target viral protein enhances </w:t>
      </w:r>
      <w:proofErr w:type="spellStart"/>
      <w:r w:rsidR="00146C2C" w:rsidRPr="006D790D">
        <w:t>Fcγ</w:t>
      </w:r>
      <w:proofErr w:type="spellEnd"/>
      <w:r w:rsidR="00183B60" w:rsidRPr="006D790D">
        <w:t xml:space="preserve"> receptor </w:t>
      </w:r>
      <w:r w:rsidR="00146C2C" w:rsidRPr="006D790D">
        <w:t xml:space="preserve">mediated host cell entry of the virus. There is no evidence of ADE in animal studies of </w:t>
      </w:r>
      <w:proofErr w:type="spellStart"/>
      <w:r w:rsidR="00146C2C" w:rsidRPr="006D790D">
        <w:t>casirivimab</w:t>
      </w:r>
      <w:proofErr w:type="spellEnd"/>
      <w:r w:rsidR="00EA28EF" w:rsidRPr="006D790D">
        <w:t>/</w:t>
      </w:r>
      <w:proofErr w:type="spellStart"/>
      <w:r w:rsidR="00146C2C" w:rsidRPr="006D790D">
        <w:t>imdevimab</w:t>
      </w:r>
      <w:proofErr w:type="spellEnd"/>
      <w:r w:rsidR="00146C2C" w:rsidRPr="006D790D">
        <w:t xml:space="preserve"> </w:t>
      </w:r>
      <w:r w:rsidR="00146C2C" w:rsidRPr="006D790D">
        <w:rPr>
          <w:i/>
          <w:iCs/>
        </w:rPr>
        <w:t>in vivo</w:t>
      </w:r>
      <w:r w:rsidR="00146C2C" w:rsidRPr="006D790D">
        <w:t>. No treatment</w:t>
      </w:r>
      <w:r w:rsidR="003F0049">
        <w:t xml:space="preserve"> </w:t>
      </w:r>
      <w:r w:rsidR="00146C2C" w:rsidRPr="006D790D">
        <w:t>emergent AEs suggestive of ADE were observed during the safety follow-up periods of studies in the clinical development program. However, ADE is a potential risk and should be followed in future studies.</w:t>
      </w:r>
    </w:p>
    <w:p w14:paraId="6FBC72DB" w14:textId="09FAA2E9" w:rsidR="00146C2C" w:rsidRPr="006D790D" w:rsidRDefault="00146C2C" w:rsidP="00FC4DF1">
      <w:pPr>
        <w:pStyle w:val="Heading5"/>
      </w:pPr>
      <w:bookmarkStart w:id="135" w:name="_Toc84071985"/>
      <w:r w:rsidRPr="006D790D">
        <w:t xml:space="preserve">Other issues for </w:t>
      </w:r>
      <w:r w:rsidR="00142B79" w:rsidRPr="006D790D">
        <w:t xml:space="preserve">Advisory Committee on Medicines </w:t>
      </w:r>
      <w:r w:rsidRPr="006D790D">
        <w:t>discussion</w:t>
      </w:r>
      <w:bookmarkEnd w:id="135"/>
    </w:p>
    <w:p w14:paraId="2B8F2B48" w14:textId="77777777" w:rsidR="00146C2C" w:rsidRPr="006D790D" w:rsidRDefault="00146C2C" w:rsidP="00FC4DF1">
      <w:pPr>
        <w:pStyle w:val="Heading6"/>
      </w:pPr>
      <w:bookmarkStart w:id="136" w:name="_Toc84071986"/>
      <w:bookmarkStart w:id="137" w:name="_Hlk83369544"/>
      <w:r w:rsidRPr="006D790D">
        <w:t>Intravenous versus subcutaneous route</w:t>
      </w:r>
      <w:bookmarkEnd w:id="136"/>
    </w:p>
    <w:p w14:paraId="2E7C246D" w14:textId="240B0595" w:rsidR="00146C2C" w:rsidRPr="006D790D" w:rsidRDefault="00146C2C" w:rsidP="00FC4DF1">
      <w:r w:rsidRPr="006D790D">
        <w:t xml:space="preserve">Intravenous infusion can represent a barrier to access the product. The </w:t>
      </w:r>
      <w:r w:rsidR="00316746" w:rsidRPr="006D790D">
        <w:t>subcutaneous</w:t>
      </w:r>
      <w:r w:rsidRPr="006D790D">
        <w:t xml:space="preserve"> dose is expected to ease the burden and increase use of </w:t>
      </w:r>
      <w:proofErr w:type="spellStart"/>
      <w:r w:rsidRPr="006D790D">
        <w:t>Ronapreve</w:t>
      </w:r>
      <w:proofErr w:type="spellEnd"/>
      <w:r w:rsidRPr="006D790D">
        <w:t xml:space="preserve"> </w:t>
      </w:r>
      <w:proofErr w:type="gramStart"/>
      <w:r w:rsidRPr="006D790D">
        <w:t>in order to</w:t>
      </w:r>
      <w:proofErr w:type="gramEnd"/>
      <w:r w:rsidRPr="006D790D">
        <w:t xml:space="preserve"> reduce the rate of COVID</w:t>
      </w:r>
      <w:r w:rsidR="00142B79" w:rsidRPr="006D790D">
        <w:t xml:space="preserve">-19 </w:t>
      </w:r>
      <w:r w:rsidRPr="006D790D">
        <w:t>related hospitali</w:t>
      </w:r>
      <w:r w:rsidR="00AF6815" w:rsidRPr="006D790D">
        <w:t>s</w:t>
      </w:r>
      <w:r w:rsidRPr="006D790D">
        <w:t xml:space="preserve">ations and deaths. </w:t>
      </w:r>
      <w:r w:rsidR="00316746" w:rsidRPr="006D790D">
        <w:t>subcutaneous</w:t>
      </w:r>
      <w:r w:rsidRPr="006D790D">
        <w:t xml:space="preserve"> administration has not been associated with serious or severe hypersensitivity reactions or ISRs and the mild or moderate reactions observed resolved either without intervention or with usual standard of care.</w:t>
      </w:r>
    </w:p>
    <w:p w14:paraId="6B8E3712" w14:textId="57B1FC47" w:rsidR="00146C2C" w:rsidRPr="006D790D" w:rsidRDefault="00146C2C" w:rsidP="00FC4DF1">
      <w:r w:rsidRPr="006D790D">
        <w:t xml:space="preserve">The draft Australian PI implies that </w:t>
      </w:r>
      <w:r w:rsidR="00F43ACD" w:rsidRPr="006D790D">
        <w:t>intravenous</w:t>
      </w:r>
      <w:r w:rsidRPr="006D790D">
        <w:t xml:space="preserve"> and </w:t>
      </w:r>
      <w:r w:rsidR="00316746" w:rsidRPr="006D790D">
        <w:t>subcutaneous</w:t>
      </w:r>
      <w:r w:rsidRPr="006D790D">
        <w:t xml:space="preserve"> administration are interchangeable with no strong recommendation for </w:t>
      </w:r>
      <w:r w:rsidR="00F43ACD" w:rsidRPr="006D790D">
        <w:t>intravenous</w:t>
      </w:r>
      <w:r w:rsidRPr="006D790D">
        <w:t xml:space="preserve"> infusion over </w:t>
      </w:r>
      <w:r w:rsidR="00316746" w:rsidRPr="006D790D">
        <w:t>subcutaneous</w:t>
      </w:r>
      <w:r w:rsidRPr="006D790D">
        <w:t xml:space="preserve"> injection for the treatment of C</w:t>
      </w:r>
      <w:r w:rsidR="00142B79" w:rsidRPr="006D790D">
        <w:t>O</w:t>
      </w:r>
      <w:r w:rsidRPr="006D790D">
        <w:t>VID-19.</w:t>
      </w:r>
    </w:p>
    <w:p w14:paraId="49E3A6B3" w14:textId="2D1C97B8" w:rsidR="00146C2C" w:rsidRPr="006D790D" w:rsidRDefault="00146C2C" w:rsidP="00FC4DF1">
      <w:r w:rsidRPr="006D790D">
        <w:t xml:space="preserve">In contrast, the following statement is included in FDA’s </w:t>
      </w:r>
      <w:r w:rsidR="00142B79" w:rsidRPr="006D790D">
        <w:t xml:space="preserve">healthcare professional </w:t>
      </w:r>
      <w:r w:rsidRPr="006D790D">
        <w:t>fact sheet under ‘Routes of Administration for REGEN</w:t>
      </w:r>
      <w:r w:rsidR="00142B79" w:rsidRPr="006D790D">
        <w:noBreakHyphen/>
      </w:r>
      <w:r w:rsidRPr="006D790D">
        <w:t>COV’</w:t>
      </w:r>
      <w:r w:rsidR="00092E10" w:rsidRPr="006D790D">
        <w:rPr>
          <w:rStyle w:val="FootnoteReference"/>
        </w:rPr>
        <w:footnoteReference w:id="23"/>
      </w:r>
      <w:r w:rsidRPr="006D790D">
        <w:t>:</w:t>
      </w:r>
    </w:p>
    <w:p w14:paraId="3D7EEFED" w14:textId="159A2C88" w:rsidR="00146C2C" w:rsidRPr="006D790D" w:rsidRDefault="00092E10" w:rsidP="002F7BAE">
      <w:pPr>
        <w:ind w:left="720"/>
      </w:pPr>
      <w:r w:rsidRPr="006D790D">
        <w:t>‘</w:t>
      </w:r>
      <w:r w:rsidR="00146C2C" w:rsidRPr="006D790D">
        <w:rPr>
          <w:i/>
          <w:iCs/>
        </w:rPr>
        <w:t xml:space="preserve">REGEN-COV may be administered by intravenous infusion or subcutaneous injection. </w:t>
      </w:r>
      <w:r w:rsidRPr="006D790D">
        <w:rPr>
          <w:i/>
          <w:iCs/>
        </w:rPr>
        <w:t xml:space="preserve">For treatment, intravenous infusion is strongly recommended. subcutaneous injection is an alternative route of administration when intravenous infusion is not </w:t>
      </w:r>
      <w:r w:rsidRPr="006D790D">
        <w:rPr>
          <w:i/>
          <w:iCs/>
        </w:rPr>
        <w:lastRenderedPageBreak/>
        <w:t>feasible and would lead to delay in treatment. For post-exposure prophylaxis, either subcutaneous injection or intravenous infusion can be used</w:t>
      </w:r>
      <w:r w:rsidRPr="006D790D">
        <w:t>.’</w:t>
      </w:r>
    </w:p>
    <w:p w14:paraId="49C73B34" w14:textId="312F50D2" w:rsidR="00146C2C" w:rsidRPr="006D790D" w:rsidRDefault="00146C2C" w:rsidP="00FC4DF1">
      <w:r w:rsidRPr="006D790D">
        <w:t xml:space="preserve">The rationale for this inclusion can be seen from the information extracted from the </w:t>
      </w:r>
      <w:proofErr w:type="spellStart"/>
      <w:r w:rsidR="00092E10" w:rsidRPr="006D790D">
        <w:t>Center</w:t>
      </w:r>
      <w:proofErr w:type="spellEnd"/>
      <w:r w:rsidR="00092E10" w:rsidRPr="006D790D">
        <w:t xml:space="preserve"> for Drug Evaluation and Research </w:t>
      </w:r>
      <w:r w:rsidRPr="006D790D">
        <w:t>review for the treatment indication</w:t>
      </w:r>
      <w:r w:rsidR="00092E10" w:rsidRPr="006D790D">
        <w:t>;</w:t>
      </w:r>
      <w:r w:rsidR="00092E10" w:rsidRPr="006D790D">
        <w:rPr>
          <w:rStyle w:val="FootnoteReference"/>
        </w:rPr>
        <w:footnoteReference w:id="24"/>
      </w:r>
      <w:r w:rsidRPr="006D790D">
        <w:t>:</w:t>
      </w:r>
    </w:p>
    <w:p w14:paraId="7B370723" w14:textId="19CD200D" w:rsidR="00146C2C" w:rsidRPr="006D790D" w:rsidRDefault="008D531C" w:rsidP="002F7BAE">
      <w:pPr>
        <w:ind w:left="720"/>
        <w:rPr>
          <w:i/>
          <w:iCs/>
        </w:rPr>
      </w:pPr>
      <w:r w:rsidRPr="006D790D">
        <w:rPr>
          <w:i/>
          <w:iCs/>
        </w:rPr>
        <w:t>‘</w:t>
      </w:r>
      <w:r w:rsidR="00146C2C" w:rsidRPr="006D790D">
        <w:rPr>
          <w:i/>
          <w:iCs/>
        </w:rPr>
        <w:t xml:space="preserve">Subcutaneous dosing is typically associated with a slower absorption as compared to </w:t>
      </w:r>
      <w:r w:rsidR="00F43ACD" w:rsidRPr="006D790D">
        <w:t xml:space="preserve">[intravenous] </w:t>
      </w:r>
      <w:r w:rsidR="00146C2C" w:rsidRPr="006D790D">
        <w:rPr>
          <w:i/>
          <w:iCs/>
        </w:rPr>
        <w:t>IV dosing. This would result in a delay in achieving critical concentrations at the site of pharmacological action as compared to IV dosing. While the clinical relevance of such a delay for monoclonal antibodies targeting SARS-CoV-2 is unknown at this time, a simple exposure matching approach using AUC or concentrations at later time points (e.g., Day 7, 14, or 28 concentrations) is not sufficient alone to bridge the efficacy from IV dosing to subcutaneous dosing. To support the authorization of 1200 mg subcutaneous dosing, the Applicant proposed a totality of evidence approach using efficacy, safety, and PK data collected across all clinical trials. The review team has concluded that PK and PD (viral load reduction) data can support the use of a 1200 mg subcutaneous dose for treatment of COVID-19 when IV dosing is not feasible and would result in a delay in treatment.</w:t>
      </w:r>
      <w:r w:rsidRPr="006D790D">
        <w:rPr>
          <w:i/>
          <w:iCs/>
        </w:rPr>
        <w:t>’</w:t>
      </w:r>
    </w:p>
    <w:p w14:paraId="0919D456" w14:textId="3EF0C4AA" w:rsidR="00146C2C" w:rsidRPr="006D790D" w:rsidRDefault="008D531C" w:rsidP="002F7BAE">
      <w:pPr>
        <w:ind w:left="720"/>
        <w:rPr>
          <w:i/>
          <w:iCs/>
        </w:rPr>
      </w:pPr>
      <w:r w:rsidRPr="006D790D">
        <w:rPr>
          <w:i/>
          <w:iCs/>
        </w:rPr>
        <w:t>‘</w:t>
      </w:r>
      <w:r w:rsidR="00146C2C" w:rsidRPr="006D790D">
        <w:rPr>
          <w:i/>
          <w:iCs/>
        </w:rPr>
        <w:t>Based on the available clinical data including PK and safety data for</w:t>
      </w:r>
      <w:r w:rsidR="00F43ACD" w:rsidRPr="006D790D">
        <w:t xml:space="preserve"> [intravenous]</w:t>
      </w:r>
      <w:r w:rsidR="00146C2C" w:rsidRPr="006D790D">
        <w:rPr>
          <w:i/>
          <w:iCs/>
        </w:rPr>
        <w:t xml:space="preserve"> IV and subcutaneous administration of single dose of 600 mg of </w:t>
      </w:r>
      <w:proofErr w:type="spellStart"/>
      <w:r w:rsidR="00146C2C" w:rsidRPr="006D790D">
        <w:rPr>
          <w:i/>
          <w:iCs/>
        </w:rPr>
        <w:t>casirivimab</w:t>
      </w:r>
      <w:proofErr w:type="spellEnd"/>
      <w:r w:rsidR="00146C2C" w:rsidRPr="006D790D">
        <w:rPr>
          <w:i/>
          <w:iCs/>
        </w:rPr>
        <w:t xml:space="preserve"> and 600 mg of </w:t>
      </w:r>
      <w:proofErr w:type="spellStart"/>
      <w:r w:rsidR="00146C2C" w:rsidRPr="006D790D">
        <w:rPr>
          <w:i/>
          <w:iCs/>
        </w:rPr>
        <w:t>imdevimab</w:t>
      </w:r>
      <w:proofErr w:type="spellEnd"/>
      <w:r w:rsidR="00146C2C" w:rsidRPr="006D790D">
        <w:rPr>
          <w:i/>
          <w:iCs/>
        </w:rPr>
        <w:t xml:space="preserve">, it is reasonable to conclude that </w:t>
      </w:r>
      <w:proofErr w:type="spellStart"/>
      <w:r w:rsidR="00146C2C" w:rsidRPr="006D790D">
        <w:rPr>
          <w:i/>
          <w:iCs/>
        </w:rPr>
        <w:t>subutaneous</w:t>
      </w:r>
      <w:proofErr w:type="spellEnd"/>
      <w:r w:rsidR="00146C2C" w:rsidRPr="006D790D">
        <w:rPr>
          <w:i/>
          <w:iCs/>
        </w:rPr>
        <w:t xml:space="preserve"> administration is acceptable in those situations where IV administration is not feasible and may result in treatment delay, noting that IV administration is the recommended and preferred dosing route. Viral load reductions, while limited in scope given lack of viral load collection in the first 48 hours after dosing and other limitations discussed previously, indicate a similar magnitude of viral load reduction with both 1200 mg IV </w:t>
      </w:r>
      <w:proofErr w:type="gramStart"/>
      <w:r w:rsidR="00146C2C" w:rsidRPr="006D790D">
        <w:rPr>
          <w:i/>
          <w:iCs/>
        </w:rPr>
        <w:t>or</w:t>
      </w:r>
      <w:proofErr w:type="gramEnd"/>
      <w:r w:rsidR="00146C2C" w:rsidRPr="006D790D">
        <w:rPr>
          <w:i/>
          <w:iCs/>
        </w:rPr>
        <w:t xml:space="preserve"> subcutaneous dosing. The primary concern is the limited data for the clinically meaningful endpoints of COVID-19 hospitalization and all-cause death with subcutaneous dosing from a dedicated efficacy trial; however, we note that the Applicant is not proposing subcutaneous dosing in lieu of the currently authorized IV dosing. The Applicant’s proposal for subcutaneous dosing as an alternative in select situations when IV infusion is not feasible and would lead to delay in treatment, is adequately supported by PK/PD data as well as available clinical safety data with subcutaneous administration.</w:t>
      </w:r>
      <w:r w:rsidRPr="006D790D">
        <w:rPr>
          <w:i/>
          <w:iCs/>
        </w:rPr>
        <w:t>’</w:t>
      </w:r>
    </w:p>
    <w:p w14:paraId="3EF39C38" w14:textId="122F88BB" w:rsidR="00146C2C" w:rsidRPr="006D790D" w:rsidRDefault="00146C2C" w:rsidP="00FC4DF1">
      <w:r w:rsidRPr="006D790D">
        <w:t xml:space="preserve">The ACM is requested to advise whether the Australian PI should include similar statement and should specify that the </w:t>
      </w:r>
      <w:r w:rsidR="00F43ACD" w:rsidRPr="006D790D">
        <w:t>intravenous</w:t>
      </w:r>
      <w:r w:rsidRPr="006D790D">
        <w:t xml:space="preserve"> route is preferred over the </w:t>
      </w:r>
      <w:r w:rsidR="00316746" w:rsidRPr="006D790D">
        <w:t>subcutaneous</w:t>
      </w:r>
      <w:r w:rsidRPr="006D790D">
        <w:t xml:space="preserve"> route in the acute treatment setting.</w:t>
      </w:r>
    </w:p>
    <w:p w14:paraId="22BCD3EE" w14:textId="3D315DD3" w:rsidR="00146C2C" w:rsidRPr="006D790D" w:rsidRDefault="00146C2C" w:rsidP="00FC4DF1">
      <w:pPr>
        <w:pStyle w:val="Heading6"/>
      </w:pPr>
      <w:bookmarkStart w:id="138" w:name="_Toc84071987"/>
      <w:r w:rsidRPr="006D790D">
        <w:t>Multidose presentation</w:t>
      </w:r>
      <w:bookmarkEnd w:id="138"/>
    </w:p>
    <w:p w14:paraId="411B2528" w14:textId="77777777" w:rsidR="00146C2C" w:rsidRPr="006D790D" w:rsidRDefault="00146C2C" w:rsidP="00FC4DF1">
      <w:r w:rsidRPr="006D790D">
        <w:t>Given the product is also being marketed as a single use presentation, there are questions about the need for:</w:t>
      </w:r>
    </w:p>
    <w:p w14:paraId="496D4540" w14:textId="25152A12" w:rsidR="00146C2C" w:rsidRPr="006D790D" w:rsidRDefault="00146C2C" w:rsidP="00FC4DF1">
      <w:pPr>
        <w:pStyle w:val="ListBullet"/>
      </w:pPr>
      <w:r w:rsidRPr="006D790D">
        <w:t>a multidose product intended for use in a single patient</w:t>
      </w:r>
      <w:r w:rsidR="00142B79" w:rsidRPr="006D790D">
        <w:t xml:space="preserve">, </w:t>
      </w:r>
      <w:r w:rsidRPr="006D790D">
        <w:t>and</w:t>
      </w:r>
    </w:p>
    <w:p w14:paraId="00067A4D" w14:textId="5B42A8E0" w:rsidR="00146C2C" w:rsidRPr="006D790D" w:rsidRDefault="00146C2C" w:rsidP="00FC4DF1">
      <w:pPr>
        <w:pStyle w:val="ListBullet"/>
      </w:pPr>
      <w:r w:rsidRPr="006D790D">
        <w:t>a multidose product intended for use in multiple patients.</w:t>
      </w:r>
    </w:p>
    <w:p w14:paraId="138E8B7B" w14:textId="275581AD" w:rsidR="00146C2C" w:rsidRPr="006D790D" w:rsidRDefault="00146C2C" w:rsidP="00FC4DF1">
      <w:r w:rsidRPr="006D790D">
        <w:t xml:space="preserve">The product does not contain a preservative and is not a vaccine to be utilised for a pandemic situation. The ACM has a long-standing position against the use of multidose presentations in multiple </w:t>
      </w:r>
      <w:proofErr w:type="gramStart"/>
      <w:r w:rsidRPr="006D790D">
        <w:t>patients, unless</w:t>
      </w:r>
      <w:proofErr w:type="gramEnd"/>
      <w:r w:rsidRPr="006D790D">
        <w:t xml:space="preserve"> there is a cogent justification as to why it is necessary to market the product as multidose.</w:t>
      </w:r>
    </w:p>
    <w:p w14:paraId="5E89A74E" w14:textId="63E72F82" w:rsidR="00146C2C" w:rsidRPr="006D790D" w:rsidRDefault="00146C2C" w:rsidP="00FC4DF1">
      <w:r w:rsidRPr="006D790D">
        <w:lastRenderedPageBreak/>
        <w:t xml:space="preserve">The </w:t>
      </w:r>
      <w:r w:rsidR="00AE4F58" w:rsidRPr="006D790D">
        <w:t>sponsor</w:t>
      </w:r>
      <w:r w:rsidRPr="006D790D">
        <w:t xml:space="preserve"> has been asked to provide the justification. ACM advice is also sought on this issue.</w:t>
      </w:r>
    </w:p>
    <w:bookmarkEnd w:id="137"/>
    <w:p w14:paraId="20658B41" w14:textId="77777777" w:rsidR="00D23139" w:rsidRPr="006D790D" w:rsidRDefault="00D23139" w:rsidP="00D23139">
      <w:pPr>
        <w:pStyle w:val="Heading4"/>
      </w:pPr>
      <w:r w:rsidRPr="00945208">
        <w:t>Proposed action</w:t>
      </w:r>
    </w:p>
    <w:p w14:paraId="2D04D7DA" w14:textId="77777777" w:rsidR="00146C2C" w:rsidRPr="006D790D" w:rsidRDefault="00146C2C" w:rsidP="00FC4DF1">
      <w:r w:rsidRPr="006D790D">
        <w:t xml:space="preserve">In view of the urgent public health need, and based on the review of submitted data on quality, safety and efficacy, the Delegate is of the view that the potential benefits outweigh the potential risks for the use of </w:t>
      </w:r>
      <w:proofErr w:type="spellStart"/>
      <w:r w:rsidRPr="006D790D">
        <w:t>casirivimab</w:t>
      </w:r>
      <w:proofErr w:type="spellEnd"/>
      <w:r w:rsidRPr="006D790D">
        <w:t xml:space="preserve"> and </w:t>
      </w:r>
      <w:proofErr w:type="spellStart"/>
      <w:r w:rsidRPr="006D790D">
        <w:t>imdevimab</w:t>
      </w:r>
      <w:proofErr w:type="spellEnd"/>
      <w:r w:rsidRPr="006D790D">
        <w:t xml:space="preserve"> combination for the following indications:</w:t>
      </w:r>
    </w:p>
    <w:p w14:paraId="2DD9A0EF" w14:textId="165C9DB2" w:rsidR="00146C2C" w:rsidRPr="006D790D" w:rsidRDefault="00146C2C" w:rsidP="00FC4DF1">
      <w:pPr>
        <w:ind w:left="720"/>
        <w:rPr>
          <w:i/>
          <w:iCs/>
        </w:rPr>
      </w:pPr>
      <w:proofErr w:type="spellStart"/>
      <w:r w:rsidRPr="006D790D">
        <w:rPr>
          <w:i/>
          <w:iCs/>
        </w:rPr>
        <w:t>Ronapreve</w:t>
      </w:r>
      <w:proofErr w:type="spellEnd"/>
      <w:r w:rsidRPr="006D790D">
        <w:rPr>
          <w:i/>
          <w:iCs/>
        </w:rPr>
        <w:t xml:space="preserve"> is provisionally registered for the indications below:</w:t>
      </w:r>
    </w:p>
    <w:p w14:paraId="3FDDCFA1" w14:textId="77777777" w:rsidR="00146C2C" w:rsidRPr="006D790D" w:rsidRDefault="00146C2C" w:rsidP="00FC4DF1">
      <w:pPr>
        <w:ind w:left="720"/>
        <w:rPr>
          <w:b/>
          <w:bCs/>
          <w:i/>
          <w:iCs/>
        </w:rPr>
      </w:pPr>
      <w:r w:rsidRPr="006D790D">
        <w:rPr>
          <w:b/>
          <w:bCs/>
          <w:i/>
          <w:iCs/>
        </w:rPr>
        <w:t>Treatment</w:t>
      </w:r>
    </w:p>
    <w:p w14:paraId="3B732636" w14:textId="14F1F98E" w:rsidR="00146C2C" w:rsidRPr="006D790D" w:rsidRDefault="00146C2C" w:rsidP="00FC4DF1">
      <w:pPr>
        <w:ind w:left="720"/>
        <w:rPr>
          <w:i/>
          <w:iCs/>
        </w:rPr>
      </w:pPr>
      <w:proofErr w:type="spellStart"/>
      <w:r w:rsidRPr="006D790D">
        <w:rPr>
          <w:i/>
          <w:iCs/>
        </w:rPr>
        <w:t>Ronapreve</w:t>
      </w:r>
      <w:proofErr w:type="spellEnd"/>
      <w:r w:rsidRPr="006D790D">
        <w:rPr>
          <w:i/>
          <w:iCs/>
        </w:rPr>
        <w:t xml:space="preserve"> is indicated for the treatment of COVID-19 in adults and adolescents aged 12 years and older and weighing at least 40 kg who do not require supplemental oxygen for COVID-19 and who are at increased risk of progressing to severe COVID</w:t>
      </w:r>
      <w:r w:rsidR="003521AE" w:rsidRPr="006D790D">
        <w:rPr>
          <w:i/>
          <w:iCs/>
        </w:rPr>
        <w:noBreakHyphen/>
      </w:r>
      <w:r w:rsidRPr="006D790D">
        <w:rPr>
          <w:i/>
          <w:iCs/>
        </w:rPr>
        <w:t>19</w:t>
      </w:r>
      <w:r w:rsidR="003521AE" w:rsidRPr="006D790D">
        <w:rPr>
          <w:i/>
          <w:iCs/>
        </w:rPr>
        <w:t>.</w:t>
      </w:r>
    </w:p>
    <w:p w14:paraId="1544DC38" w14:textId="77777777" w:rsidR="00146C2C" w:rsidRPr="006D790D" w:rsidRDefault="00146C2C" w:rsidP="00FC4DF1">
      <w:pPr>
        <w:ind w:left="720"/>
        <w:rPr>
          <w:b/>
          <w:bCs/>
          <w:i/>
          <w:iCs/>
        </w:rPr>
      </w:pPr>
      <w:r w:rsidRPr="006D790D">
        <w:rPr>
          <w:b/>
          <w:bCs/>
          <w:i/>
          <w:iCs/>
        </w:rPr>
        <w:t>Prevention</w:t>
      </w:r>
    </w:p>
    <w:p w14:paraId="0DC0FAFB" w14:textId="0E9DFBD8" w:rsidR="00146C2C" w:rsidRPr="006D790D" w:rsidRDefault="00146C2C" w:rsidP="00FC4DF1">
      <w:pPr>
        <w:ind w:left="720"/>
        <w:rPr>
          <w:i/>
          <w:iCs/>
        </w:rPr>
      </w:pPr>
      <w:proofErr w:type="spellStart"/>
      <w:r w:rsidRPr="006D790D">
        <w:rPr>
          <w:i/>
          <w:iCs/>
        </w:rPr>
        <w:t>Ronapreve</w:t>
      </w:r>
      <w:proofErr w:type="spellEnd"/>
      <w:r w:rsidRPr="006D790D">
        <w:rPr>
          <w:i/>
          <w:iCs/>
        </w:rPr>
        <w:t xml:space="preserve"> is indicated for the prevention of COVID-19 in adults and adolescents aged 12 years and older and weighing at least 40 kg who have been exposed </w:t>
      </w:r>
      <w:r w:rsidR="003A402D" w:rsidRPr="003A402D">
        <w:rPr>
          <w:i/>
          <w:iCs/>
        </w:rPr>
        <w:t xml:space="preserve">or are at high risk of exposure </w:t>
      </w:r>
      <w:r w:rsidRPr="006D790D">
        <w:rPr>
          <w:i/>
          <w:iCs/>
        </w:rPr>
        <w:t xml:space="preserve">to SARS-CoV-2 </w:t>
      </w:r>
      <w:r w:rsidR="003A402D">
        <w:rPr>
          <w:i/>
          <w:iCs/>
        </w:rPr>
        <w:t>and</w:t>
      </w:r>
      <w:r w:rsidRPr="006D790D">
        <w:rPr>
          <w:i/>
          <w:iCs/>
        </w:rPr>
        <w:t xml:space="preserve"> who either</w:t>
      </w:r>
    </w:p>
    <w:p w14:paraId="3F693039" w14:textId="6DF66BF5" w:rsidR="00146C2C" w:rsidRPr="006D790D" w:rsidRDefault="00146C2C" w:rsidP="00FC4DF1">
      <w:pPr>
        <w:pStyle w:val="ListBullet"/>
        <w:ind w:left="1080"/>
        <w:rPr>
          <w:i/>
          <w:iCs/>
        </w:rPr>
      </w:pPr>
      <w:r w:rsidRPr="006D790D">
        <w:rPr>
          <w:i/>
          <w:iCs/>
        </w:rPr>
        <w:t xml:space="preserve">have a medical condition making them unlikely to respond to or be protected by vaccination, </w:t>
      </w:r>
      <w:r w:rsidR="003521AE" w:rsidRPr="006D790D">
        <w:rPr>
          <w:i/>
          <w:iCs/>
        </w:rPr>
        <w:t>or</w:t>
      </w:r>
    </w:p>
    <w:p w14:paraId="416BC7A9" w14:textId="77777777" w:rsidR="00146C2C" w:rsidRPr="006D790D" w:rsidRDefault="00146C2C" w:rsidP="00FC4DF1">
      <w:pPr>
        <w:pStyle w:val="ListBullet"/>
        <w:ind w:left="1080"/>
        <w:rPr>
          <w:i/>
          <w:iCs/>
        </w:rPr>
      </w:pPr>
      <w:r w:rsidRPr="006D790D">
        <w:rPr>
          <w:i/>
          <w:iCs/>
        </w:rPr>
        <w:t>are not vaccinated against COVID-19.</w:t>
      </w:r>
    </w:p>
    <w:p w14:paraId="088EA59B" w14:textId="7A1A72F4" w:rsidR="00146C2C" w:rsidRPr="006D790D" w:rsidRDefault="00146C2C" w:rsidP="00FC4DF1">
      <w:pPr>
        <w:ind w:left="720"/>
        <w:rPr>
          <w:i/>
          <w:iCs/>
        </w:rPr>
      </w:pPr>
      <w:r w:rsidRPr="006D790D">
        <w:rPr>
          <w:i/>
          <w:iCs/>
        </w:rPr>
        <w:t xml:space="preserve">The decision has been made </w:t>
      </w:r>
      <w:proofErr w:type="gramStart"/>
      <w:r w:rsidRPr="006D790D">
        <w:rPr>
          <w:i/>
          <w:iCs/>
        </w:rPr>
        <w:t>on the basis of</w:t>
      </w:r>
      <w:proofErr w:type="gramEnd"/>
      <w:r w:rsidRPr="006D790D">
        <w:rPr>
          <w:i/>
          <w:iCs/>
        </w:rPr>
        <w:t xml:space="preserve"> interim efficacy and safety data. Continued approval depends on the evidence of </w:t>
      </w:r>
      <w:proofErr w:type="gramStart"/>
      <w:r w:rsidRPr="006D790D">
        <w:rPr>
          <w:i/>
          <w:iCs/>
        </w:rPr>
        <w:t>longer term</w:t>
      </w:r>
      <w:proofErr w:type="gramEnd"/>
      <w:r w:rsidRPr="006D790D">
        <w:rPr>
          <w:i/>
          <w:iCs/>
        </w:rPr>
        <w:t xml:space="preserve"> efficacy and safety from ongoing clinical trials and post-market assessment.</w:t>
      </w:r>
    </w:p>
    <w:p w14:paraId="6373DF75" w14:textId="3DF11EE7" w:rsidR="00146C2C" w:rsidRPr="006D790D" w:rsidRDefault="00146C2C" w:rsidP="00FC4DF1">
      <w:r w:rsidRPr="006D790D">
        <w:t>The product is to be used as per the directions in the proposed P</w:t>
      </w:r>
      <w:r w:rsidR="003521AE" w:rsidRPr="006D790D">
        <w:t>I</w:t>
      </w:r>
      <w:r w:rsidRPr="006D790D">
        <w:t>.</w:t>
      </w:r>
    </w:p>
    <w:p w14:paraId="6F507586" w14:textId="55813E6B" w:rsidR="00146C2C" w:rsidRPr="006D790D" w:rsidRDefault="00146C2C" w:rsidP="00FC4DF1">
      <w:r w:rsidRPr="006D790D">
        <w:t xml:space="preserve">The approval of </w:t>
      </w:r>
      <w:proofErr w:type="spellStart"/>
      <w:r w:rsidRPr="006D790D">
        <w:t>casirivimab</w:t>
      </w:r>
      <w:proofErr w:type="spellEnd"/>
      <w:r w:rsidRPr="006D790D">
        <w:t xml:space="preserve"> and </w:t>
      </w:r>
      <w:proofErr w:type="spellStart"/>
      <w:r w:rsidRPr="006D790D">
        <w:t>imdevimab</w:t>
      </w:r>
      <w:proofErr w:type="spellEnd"/>
      <w:r w:rsidRPr="006D790D">
        <w:t xml:space="preserve"> is associated with conditions that need to be met by the </w:t>
      </w:r>
      <w:r w:rsidR="00AE4F58" w:rsidRPr="006D790D">
        <w:t>sponsor</w:t>
      </w:r>
      <w:r w:rsidRPr="006D790D">
        <w:t xml:space="preserve"> to ascertain the continued quality, safety, and efficacy of the product. Patients and doctors should be advised of the nature of the provisional registration.</w:t>
      </w:r>
    </w:p>
    <w:p w14:paraId="7CB996B4" w14:textId="77777777" w:rsidR="00146C2C" w:rsidRPr="006D790D" w:rsidRDefault="00146C2C" w:rsidP="00FC4DF1">
      <w:r w:rsidRPr="006D790D">
        <w:t>Further changes to the PI may be required following the ACM discussion. The final approval is subject to the satisfactory resolution of any outstanding issues.</w:t>
      </w:r>
    </w:p>
    <w:p w14:paraId="3BAE26DF" w14:textId="77777777" w:rsidR="008E7846" w:rsidRPr="006D790D" w:rsidRDefault="008E7846" w:rsidP="007D53B6">
      <w:pPr>
        <w:pStyle w:val="Heading4"/>
      </w:pPr>
      <w:r w:rsidRPr="00945208">
        <w:t xml:space="preserve">Advisory Committee </w:t>
      </w:r>
      <w:r w:rsidR="007D53B6" w:rsidRPr="00945208">
        <w:t>c</w:t>
      </w:r>
      <w:r w:rsidRPr="00945208">
        <w:t>onsiderations</w:t>
      </w:r>
      <w:r w:rsidR="00456765" w:rsidRPr="006D790D">
        <w:rPr>
          <w:rStyle w:val="FootnoteReference"/>
        </w:rPr>
        <w:footnoteReference w:id="25"/>
      </w:r>
    </w:p>
    <w:p w14:paraId="23160A16" w14:textId="77777777" w:rsidR="00744121" w:rsidRPr="006D790D" w:rsidRDefault="00744121" w:rsidP="00FC4DF1">
      <w:bookmarkStart w:id="139" w:name="_Toc247691532"/>
      <w:bookmarkStart w:id="140" w:name="_Toc314842516"/>
      <w:bookmarkEnd w:id="38"/>
      <w:bookmarkEnd w:id="127"/>
      <w:bookmarkEnd w:id="128"/>
      <w:r w:rsidRPr="006D790D">
        <w:t>The Advisory Committee on Medicines (ACM), having considered the evaluations and the Delegate’s overview, as well as the sponsor’s response to these documents, advised the following.</w:t>
      </w:r>
    </w:p>
    <w:p w14:paraId="1F8DB600" w14:textId="77777777" w:rsidR="00744121" w:rsidRPr="006D790D" w:rsidRDefault="00744121" w:rsidP="00744121">
      <w:pPr>
        <w:pStyle w:val="Heading5"/>
      </w:pPr>
      <w:r w:rsidRPr="006D790D">
        <w:t>Specific advice to the Delegate</w:t>
      </w:r>
    </w:p>
    <w:p w14:paraId="51B0113B" w14:textId="77777777" w:rsidR="009805CF" w:rsidRPr="006D790D" w:rsidRDefault="009805CF" w:rsidP="00FC4DF1">
      <w:pPr>
        <w:pStyle w:val="Numberbullet0"/>
        <w:numPr>
          <w:ilvl w:val="0"/>
          <w:numId w:val="24"/>
        </w:numPr>
        <w:rPr>
          <w:b/>
          <w:bCs/>
          <w:i/>
          <w:iCs/>
        </w:rPr>
      </w:pPr>
      <w:r w:rsidRPr="006D790D">
        <w:rPr>
          <w:b/>
          <w:bCs/>
          <w:i/>
          <w:iCs/>
        </w:rPr>
        <w:t xml:space="preserve">Does ACM support the provisional registration of </w:t>
      </w:r>
      <w:proofErr w:type="spellStart"/>
      <w:r w:rsidRPr="006D790D">
        <w:rPr>
          <w:b/>
          <w:bCs/>
          <w:i/>
          <w:iCs/>
        </w:rPr>
        <w:t>Ronapreve</w:t>
      </w:r>
      <w:proofErr w:type="spellEnd"/>
      <w:r w:rsidRPr="006D790D">
        <w:rPr>
          <w:b/>
          <w:bCs/>
          <w:i/>
          <w:iCs/>
        </w:rPr>
        <w:t xml:space="preserve"> for the treatment and prophylaxis indications? Any comments and advice on the indication wording revised by the TGA?</w:t>
      </w:r>
    </w:p>
    <w:p w14:paraId="6A91F2E0" w14:textId="77777777" w:rsidR="009805CF" w:rsidRPr="006D790D" w:rsidRDefault="009805CF" w:rsidP="00FC4DF1">
      <w:r w:rsidRPr="006D790D">
        <w:lastRenderedPageBreak/>
        <w:t>The ACM noted that there was robust data to support a treatment-orientated indication and are supportive of provisional registration for the following indication which includes a reference to the clinical trials section of the PI:</w:t>
      </w:r>
    </w:p>
    <w:p w14:paraId="7C1F7189" w14:textId="77777777" w:rsidR="009805CF" w:rsidRPr="006D790D" w:rsidRDefault="009805CF" w:rsidP="00FC4DF1">
      <w:pPr>
        <w:ind w:left="720"/>
        <w:rPr>
          <w:i/>
          <w:iCs/>
        </w:rPr>
      </w:pPr>
      <w:r w:rsidRPr="006D790D">
        <w:rPr>
          <w:b/>
          <w:bCs/>
          <w:i/>
          <w:iCs/>
        </w:rPr>
        <w:t>Treatment</w:t>
      </w:r>
      <w:r w:rsidRPr="006D790D">
        <w:rPr>
          <w:i/>
          <w:iCs/>
        </w:rPr>
        <w:t>:</w:t>
      </w:r>
    </w:p>
    <w:p w14:paraId="5D537FC4" w14:textId="0B0215C3" w:rsidR="009805CF" w:rsidRPr="006D790D" w:rsidRDefault="009805CF" w:rsidP="00FC4DF1">
      <w:pPr>
        <w:ind w:left="720"/>
        <w:rPr>
          <w:i/>
          <w:iCs/>
        </w:rPr>
      </w:pPr>
      <w:proofErr w:type="spellStart"/>
      <w:r w:rsidRPr="006D790D">
        <w:rPr>
          <w:i/>
          <w:iCs/>
        </w:rPr>
        <w:t>Ronapreve</w:t>
      </w:r>
      <w:proofErr w:type="spellEnd"/>
      <w:r w:rsidRPr="006D790D">
        <w:rPr>
          <w:i/>
          <w:iCs/>
        </w:rPr>
        <w:t xml:space="preserve"> is indicated for the treatment of COVID-19 in adults and adolescents aged 12 years and older and weighing at least 40 kg who do not require supplemental oxygen for COVID-19 and who are at increased risk of progressing to severe COVID</w:t>
      </w:r>
      <w:r w:rsidR="003521AE" w:rsidRPr="006D790D">
        <w:rPr>
          <w:i/>
          <w:iCs/>
        </w:rPr>
        <w:noBreakHyphen/>
      </w:r>
      <w:r w:rsidRPr="006D790D">
        <w:rPr>
          <w:i/>
          <w:iCs/>
        </w:rPr>
        <w:t>19 (refer to Clinical Trials).</w:t>
      </w:r>
    </w:p>
    <w:p w14:paraId="67596ABA" w14:textId="77777777" w:rsidR="009805CF" w:rsidRPr="006D790D" w:rsidRDefault="009805CF" w:rsidP="00FC4DF1">
      <w:r w:rsidRPr="006D790D">
        <w:t>The ACM was supportive of an indication for post-exposure prophylaxis only (see advice to Question 2, below, for discussion of long-term prophylactic usage), with the indication to state:</w:t>
      </w:r>
    </w:p>
    <w:p w14:paraId="6C604A51" w14:textId="77777777" w:rsidR="009805CF" w:rsidRPr="006D790D" w:rsidRDefault="009805CF" w:rsidP="00AE405D">
      <w:pPr>
        <w:ind w:left="720"/>
        <w:rPr>
          <w:i/>
          <w:iCs/>
        </w:rPr>
      </w:pPr>
      <w:r w:rsidRPr="006D790D">
        <w:rPr>
          <w:b/>
          <w:bCs/>
          <w:i/>
          <w:iCs/>
        </w:rPr>
        <w:t>Post exposure prophylaxis</w:t>
      </w:r>
      <w:r w:rsidRPr="006D790D">
        <w:rPr>
          <w:i/>
          <w:iCs/>
        </w:rPr>
        <w:t>:</w:t>
      </w:r>
    </w:p>
    <w:p w14:paraId="45100315" w14:textId="68037F32" w:rsidR="009805CF" w:rsidRPr="006D790D" w:rsidRDefault="009805CF" w:rsidP="00AE405D">
      <w:pPr>
        <w:ind w:left="720"/>
        <w:rPr>
          <w:i/>
          <w:iCs/>
        </w:rPr>
      </w:pPr>
      <w:proofErr w:type="spellStart"/>
      <w:r w:rsidRPr="006D790D">
        <w:rPr>
          <w:i/>
          <w:iCs/>
        </w:rPr>
        <w:t>Ronapreve</w:t>
      </w:r>
      <w:proofErr w:type="spellEnd"/>
      <w:r w:rsidRPr="006D790D">
        <w:rPr>
          <w:i/>
          <w:iCs/>
        </w:rPr>
        <w:t xml:space="preserve"> is indicated for the prevention of COVID-19 in adults and adolescents aged 12 years and older and weighing at least 40 kg who have been exposed to SARS</w:t>
      </w:r>
      <w:r w:rsidR="003521AE" w:rsidRPr="006D790D">
        <w:rPr>
          <w:i/>
          <w:iCs/>
        </w:rPr>
        <w:noBreakHyphen/>
      </w:r>
      <w:r w:rsidRPr="006D790D">
        <w:rPr>
          <w:i/>
          <w:iCs/>
        </w:rPr>
        <w:t>CoV</w:t>
      </w:r>
      <w:r w:rsidR="003521AE" w:rsidRPr="006D790D">
        <w:rPr>
          <w:i/>
          <w:iCs/>
        </w:rPr>
        <w:noBreakHyphen/>
      </w:r>
      <w:r w:rsidRPr="006D790D">
        <w:rPr>
          <w:i/>
          <w:iCs/>
        </w:rPr>
        <w:t xml:space="preserve">2 </w:t>
      </w:r>
      <w:r w:rsidR="003521AE" w:rsidRPr="006D790D">
        <w:rPr>
          <w:i/>
          <w:iCs/>
        </w:rPr>
        <w:t xml:space="preserve">and </w:t>
      </w:r>
      <w:r w:rsidRPr="006D790D">
        <w:rPr>
          <w:i/>
          <w:iCs/>
        </w:rPr>
        <w:t xml:space="preserve">who either: </w:t>
      </w:r>
    </w:p>
    <w:p w14:paraId="125307A3" w14:textId="499A28FC" w:rsidR="009805CF" w:rsidRPr="006D790D" w:rsidRDefault="009805CF" w:rsidP="00AE405D">
      <w:pPr>
        <w:pStyle w:val="ListBullet"/>
        <w:ind w:left="1080"/>
        <w:rPr>
          <w:i/>
          <w:iCs/>
        </w:rPr>
      </w:pPr>
      <w:r w:rsidRPr="006D790D">
        <w:rPr>
          <w:i/>
          <w:iCs/>
        </w:rPr>
        <w:t xml:space="preserve">have a medical condition making them unlikely to respond to or be protected by vaccination, </w:t>
      </w:r>
      <w:r w:rsidR="003521AE" w:rsidRPr="006D790D">
        <w:rPr>
          <w:i/>
          <w:iCs/>
        </w:rPr>
        <w:t xml:space="preserve">or </w:t>
      </w:r>
    </w:p>
    <w:p w14:paraId="1658A4E0" w14:textId="77777777" w:rsidR="009805CF" w:rsidRPr="006D790D" w:rsidRDefault="009805CF" w:rsidP="00AE405D">
      <w:pPr>
        <w:pStyle w:val="ListBullet"/>
        <w:ind w:left="1080"/>
        <w:rPr>
          <w:i/>
          <w:iCs/>
        </w:rPr>
      </w:pPr>
      <w:r w:rsidRPr="006D790D">
        <w:rPr>
          <w:i/>
          <w:iCs/>
        </w:rPr>
        <w:t>are not vaccinated against COVID-19</w:t>
      </w:r>
    </w:p>
    <w:p w14:paraId="61B9E2BD" w14:textId="77777777" w:rsidR="009805CF" w:rsidRPr="006D790D" w:rsidRDefault="009805CF" w:rsidP="00FC4DF1">
      <w:r w:rsidRPr="006D790D">
        <w:t>The ACM was of the view that including the wording ‘at high risk of exposure’ would encourage a long-term prophylactic use, noting that post-exposure prophylaxis is different from long-term prophylaxis.</w:t>
      </w:r>
    </w:p>
    <w:p w14:paraId="333C63CC" w14:textId="77777777" w:rsidR="009805CF" w:rsidRPr="006D790D" w:rsidRDefault="009805CF" w:rsidP="00FC4DF1">
      <w:r w:rsidRPr="006D790D">
        <w:t xml:space="preserve">The ACM discussed usage in the vaccinated population and noted the limited data in this population. The ACM commented that vaccination is very likely to induce neutralising antibodies in individuals with a robust immune response, reducing the need for antibody therapy. The ACM was of the view that most vaccinated individuals would not benefit from this therapy and advised that the PI should include the wording </w:t>
      </w:r>
      <w:r w:rsidRPr="002F7BAE">
        <w:rPr>
          <w:i/>
        </w:rPr>
        <w:t>‘There are limited data on efficacy in vaccinated populations</w:t>
      </w:r>
      <w:r w:rsidRPr="006D790D">
        <w:t>.’</w:t>
      </w:r>
    </w:p>
    <w:p w14:paraId="2ECD5B9B" w14:textId="77777777" w:rsidR="009805CF" w:rsidRPr="006D790D" w:rsidRDefault="009805CF" w:rsidP="00FC4DF1">
      <w:r w:rsidRPr="006D790D">
        <w:t>The ACM discussed the time limit of treatment from the onset of first symptoms and was of the view that the time limit should reflect the trial inclusion criteria. The ACM advised that the PI should state that treatment should be administered no later than 7 days after the onset of first symptoms as efficacy after this time is unclear.</w:t>
      </w:r>
    </w:p>
    <w:p w14:paraId="174022A0" w14:textId="77777777" w:rsidR="009805CF" w:rsidRPr="006D790D" w:rsidRDefault="009805CF" w:rsidP="00FC4DF1">
      <w:pPr>
        <w:pStyle w:val="Numberbullet0"/>
        <w:rPr>
          <w:b/>
          <w:bCs/>
          <w:i/>
          <w:iCs/>
        </w:rPr>
      </w:pPr>
      <w:r w:rsidRPr="006D790D">
        <w:rPr>
          <w:b/>
          <w:bCs/>
          <w:i/>
          <w:iCs/>
        </w:rPr>
        <w:t>Does ACM support the proposed repeat dosing regimen for long term chronic prophylaxis?</w:t>
      </w:r>
    </w:p>
    <w:p w14:paraId="127D1B63" w14:textId="7B8ED2A8" w:rsidR="009805CF" w:rsidRPr="006D790D" w:rsidRDefault="009805CF" w:rsidP="00FC4DF1">
      <w:r w:rsidRPr="006D790D">
        <w:t>The ACM noted there are limited efficacy and safety data for chronic prevention/long</w:t>
      </w:r>
      <w:r w:rsidRPr="006D790D">
        <w:noBreakHyphen/>
        <w:t>term prophylaxis, as Study</w:t>
      </w:r>
      <w:r w:rsidR="003C331A" w:rsidRPr="006D790D">
        <w:t> </w:t>
      </w:r>
      <w:r w:rsidRPr="006D790D">
        <w:t>HV-2093 was a small Phase I study in healthy volunteers where efficacy was based on unconfirmed symptomatic infection.</w:t>
      </w:r>
    </w:p>
    <w:p w14:paraId="64904E79" w14:textId="77777777" w:rsidR="009805CF" w:rsidRPr="006D790D" w:rsidRDefault="009805CF" w:rsidP="00FC4DF1">
      <w:r w:rsidRPr="006D790D">
        <w:t>The ACM expressed concern that no efficacy or safety data was available for long-term prophylaxis in the immunocompromised population, as this would be the intended treatment population.</w:t>
      </w:r>
    </w:p>
    <w:p w14:paraId="0F1F69ED" w14:textId="77777777" w:rsidR="009805CF" w:rsidRPr="006D790D" w:rsidRDefault="009805CF" w:rsidP="00FC4DF1">
      <w:r w:rsidRPr="006D790D">
        <w:t>The ACM also noted the small theoretical risk that repeated dosing may drive viral resistance.</w:t>
      </w:r>
    </w:p>
    <w:p w14:paraId="432F6723" w14:textId="77777777" w:rsidR="009805CF" w:rsidRPr="006D790D" w:rsidRDefault="009805CF" w:rsidP="00FC4DF1">
      <w:r w:rsidRPr="006D790D">
        <w:t>On balance, the ACM was not supportive of long-term prophylaxis and agreed that long</w:t>
      </w:r>
      <w:r w:rsidRPr="006D790D">
        <w:noBreakHyphen/>
        <w:t>term prophylaxis dosage instructions should be removed from the PI.</w:t>
      </w:r>
    </w:p>
    <w:p w14:paraId="0C9492D8" w14:textId="77777777" w:rsidR="009805CF" w:rsidRPr="006D790D" w:rsidRDefault="009805CF" w:rsidP="00FC4DF1">
      <w:r w:rsidRPr="006D790D">
        <w:t>The ACM was of the view that the need for vaccination should be emphasised instead of using long-term prophylaxis.</w:t>
      </w:r>
    </w:p>
    <w:p w14:paraId="3AD215E0" w14:textId="1EFA7BD2" w:rsidR="009805CF" w:rsidRPr="006D790D" w:rsidRDefault="00316746" w:rsidP="00FC4DF1">
      <w:pPr>
        <w:pStyle w:val="Numberbullet0"/>
        <w:rPr>
          <w:b/>
          <w:bCs/>
          <w:i/>
          <w:iCs/>
        </w:rPr>
      </w:pPr>
      <w:r w:rsidRPr="006D790D">
        <w:rPr>
          <w:b/>
          <w:bCs/>
          <w:i/>
          <w:iCs/>
        </w:rPr>
        <w:lastRenderedPageBreak/>
        <w:t>Subcutaneous (</w:t>
      </w:r>
      <w:r w:rsidR="009805CF" w:rsidRPr="006D790D">
        <w:rPr>
          <w:b/>
          <w:bCs/>
          <w:i/>
          <w:iCs/>
        </w:rPr>
        <w:t>SC</w:t>
      </w:r>
      <w:r w:rsidRPr="006D790D">
        <w:rPr>
          <w:b/>
          <w:bCs/>
          <w:i/>
          <w:iCs/>
        </w:rPr>
        <w:t>)</w:t>
      </w:r>
      <w:r w:rsidR="009805CF" w:rsidRPr="006D790D">
        <w:rPr>
          <w:b/>
          <w:bCs/>
          <w:i/>
          <w:iCs/>
        </w:rPr>
        <w:t xml:space="preserve"> administration provides an easy and convenient way to access the product. Does ACM have any concerns with regards to the efficacy of </w:t>
      </w:r>
      <w:proofErr w:type="spellStart"/>
      <w:r w:rsidR="009805CF" w:rsidRPr="006D790D">
        <w:rPr>
          <w:b/>
          <w:bCs/>
          <w:i/>
          <w:iCs/>
        </w:rPr>
        <w:t>Ronapreve</w:t>
      </w:r>
      <w:proofErr w:type="spellEnd"/>
      <w:r w:rsidR="009805CF" w:rsidRPr="006D790D">
        <w:rPr>
          <w:b/>
          <w:bCs/>
          <w:i/>
          <w:iCs/>
        </w:rPr>
        <w:t xml:space="preserve"> administered via SC route in the acute treatment setting? Should the Product Information (PI) specify that </w:t>
      </w:r>
      <w:r w:rsidR="00F43ACD" w:rsidRPr="006D790D">
        <w:rPr>
          <w:b/>
          <w:bCs/>
          <w:i/>
          <w:iCs/>
        </w:rPr>
        <w:t>intravenous</w:t>
      </w:r>
      <w:r w:rsidR="00F43ACD" w:rsidRPr="006D790D">
        <w:rPr>
          <w:i/>
          <w:iCs/>
        </w:rPr>
        <w:t xml:space="preserve"> </w:t>
      </w:r>
      <w:r w:rsidRPr="006D790D">
        <w:rPr>
          <w:i/>
          <w:iCs/>
        </w:rPr>
        <w:t>(</w:t>
      </w:r>
      <w:r w:rsidR="009805CF" w:rsidRPr="006D790D">
        <w:rPr>
          <w:b/>
          <w:bCs/>
          <w:i/>
          <w:iCs/>
        </w:rPr>
        <w:t>IV</w:t>
      </w:r>
      <w:r w:rsidRPr="006D790D">
        <w:rPr>
          <w:b/>
          <w:bCs/>
          <w:i/>
          <w:iCs/>
        </w:rPr>
        <w:t>)</w:t>
      </w:r>
      <w:r w:rsidR="009805CF" w:rsidRPr="006D790D">
        <w:rPr>
          <w:b/>
          <w:bCs/>
          <w:i/>
          <w:iCs/>
        </w:rPr>
        <w:t xml:space="preserve"> infusion is strongly recommended over SC administration in the acute treatment setting?</w:t>
      </w:r>
    </w:p>
    <w:p w14:paraId="289E0F10" w14:textId="629C7A6A" w:rsidR="009805CF" w:rsidRPr="006D790D" w:rsidRDefault="009805CF" w:rsidP="00FC4DF1">
      <w:r w:rsidRPr="006D790D">
        <w:t>The ACM noted that the pivotal treatment study used IV dosage only, while the pivotal prophylaxis study used SC dosing.</w:t>
      </w:r>
    </w:p>
    <w:p w14:paraId="52B4A6BD" w14:textId="77777777" w:rsidR="009805CF" w:rsidRPr="006D790D" w:rsidRDefault="009805CF" w:rsidP="00FC4DF1">
      <w:r w:rsidRPr="006D790D">
        <w:t>The ACM was of the view that IV administration is preferred, where possible, over SC in the acute treatment setting.</w:t>
      </w:r>
    </w:p>
    <w:p w14:paraId="776D76E6" w14:textId="1433BE5E" w:rsidR="009805CF" w:rsidRPr="006D790D" w:rsidRDefault="009805CF" w:rsidP="00FC4DF1">
      <w:r w:rsidRPr="006D790D">
        <w:t xml:space="preserve">The ACM supported the </w:t>
      </w:r>
      <w:r w:rsidR="00AE4F58" w:rsidRPr="006D790D">
        <w:t>Delegate</w:t>
      </w:r>
      <w:r w:rsidRPr="006D790D">
        <w:t xml:space="preserve">’s view that, based on the available clinical data including PK and safety data for IV and subcutaneous administration of single dose of 600 mg of </w:t>
      </w:r>
      <w:proofErr w:type="spellStart"/>
      <w:r w:rsidRPr="006D790D">
        <w:t>casirivimab</w:t>
      </w:r>
      <w:proofErr w:type="spellEnd"/>
      <w:r w:rsidRPr="006D790D">
        <w:t xml:space="preserve"> and 600 mg of </w:t>
      </w:r>
      <w:proofErr w:type="spellStart"/>
      <w:r w:rsidRPr="006D790D">
        <w:t>imdevimab</w:t>
      </w:r>
      <w:proofErr w:type="spellEnd"/>
      <w:r w:rsidRPr="006D790D">
        <w:t xml:space="preserve">, subcutaneous administration is acceptable in those situations where IV administration is not feasible and may result in treatment delay. The ACM reiterated that </w:t>
      </w:r>
      <w:r w:rsidR="00F43ACD" w:rsidRPr="006D790D">
        <w:t>intravenous</w:t>
      </w:r>
      <w:r w:rsidRPr="006D790D">
        <w:t xml:space="preserve"> administration is the recommended and preferred dosing route.</w:t>
      </w:r>
    </w:p>
    <w:p w14:paraId="3D775861" w14:textId="77777777" w:rsidR="009805CF" w:rsidRPr="006D790D" w:rsidRDefault="009805CF" w:rsidP="00FC4DF1">
      <w:r w:rsidRPr="006D790D">
        <w:t>The ACM was of the view that the Australian PI should include a similar statement to the FDA statement:</w:t>
      </w:r>
    </w:p>
    <w:p w14:paraId="268660C6" w14:textId="564F4E95" w:rsidR="009805CF" w:rsidRPr="006D790D" w:rsidRDefault="009805CF" w:rsidP="002F7BAE">
      <w:pPr>
        <w:ind w:left="425"/>
      </w:pPr>
      <w:r w:rsidRPr="006D790D">
        <w:t>‘</w:t>
      </w:r>
      <w:r w:rsidR="003521AE" w:rsidRPr="006D790D">
        <w:rPr>
          <w:i/>
          <w:iCs/>
        </w:rPr>
        <w:t>For treatment, intravenous infusion is strongly recommended. subcutaneous injection is an alternative route of administration when intravenous infusion is not feasible and would lead to delay in treatment</w:t>
      </w:r>
      <w:r w:rsidRPr="006D790D">
        <w:t>.’</w:t>
      </w:r>
    </w:p>
    <w:p w14:paraId="0C3B561D" w14:textId="77777777" w:rsidR="009805CF" w:rsidRPr="006D790D" w:rsidRDefault="009805CF" w:rsidP="00FC4DF1">
      <w:pPr>
        <w:pStyle w:val="Numberbullet0"/>
        <w:rPr>
          <w:b/>
          <w:bCs/>
          <w:i/>
          <w:iCs/>
        </w:rPr>
      </w:pPr>
      <w:r w:rsidRPr="006D790D">
        <w:rPr>
          <w:b/>
          <w:bCs/>
          <w:i/>
          <w:iCs/>
        </w:rPr>
        <w:t>Does ACM consider there is a clinical need for the multidose presentation? Does ACM support the use of multidose presentation?</w:t>
      </w:r>
    </w:p>
    <w:p w14:paraId="5B634344" w14:textId="77777777" w:rsidR="009805CF" w:rsidRPr="006D790D" w:rsidRDefault="009805CF" w:rsidP="00FC4DF1">
      <w:r w:rsidRPr="006D790D">
        <w:t>The ACM was of the view while there are some advantages to multidose vials, these are generally not preferred due to risk of errors and contamination.</w:t>
      </w:r>
    </w:p>
    <w:p w14:paraId="0A187268" w14:textId="77777777" w:rsidR="009805CF" w:rsidRPr="006D790D" w:rsidRDefault="009805CF" w:rsidP="00FC4DF1">
      <w:r w:rsidRPr="006D790D">
        <w:t xml:space="preserve">The ACM did acknowledge that </w:t>
      </w:r>
      <w:proofErr w:type="spellStart"/>
      <w:r w:rsidRPr="006D790D">
        <w:t>Ronapreve</w:t>
      </w:r>
      <w:proofErr w:type="spellEnd"/>
      <w:r w:rsidRPr="006D790D">
        <w:t xml:space="preserve"> would be used in treatment centres or given to multiple patients sequentially and administered by highly trained professionals.</w:t>
      </w:r>
    </w:p>
    <w:p w14:paraId="66E9A611" w14:textId="624BB7DF" w:rsidR="009805CF" w:rsidRPr="006D790D" w:rsidRDefault="009805CF" w:rsidP="00FC4DF1">
      <w:r w:rsidRPr="006D790D">
        <w:t>Given the current clinical need and potential access issues the ACM was supportive of the use of multidose vials in the short-term. The ACM commented that safety surveillance should encompass administration errors due to multidose vials.</w:t>
      </w:r>
    </w:p>
    <w:p w14:paraId="2C94D369" w14:textId="77777777" w:rsidR="009805CF" w:rsidRPr="006D790D" w:rsidRDefault="009805CF" w:rsidP="00FC4DF1">
      <w:pPr>
        <w:pStyle w:val="Numberbullet0"/>
        <w:rPr>
          <w:b/>
          <w:bCs/>
          <w:i/>
          <w:iCs/>
        </w:rPr>
      </w:pPr>
      <w:r w:rsidRPr="006D790D">
        <w:rPr>
          <w:b/>
          <w:bCs/>
          <w:i/>
          <w:iCs/>
        </w:rPr>
        <w:t xml:space="preserve">The committee is also requested to provide advice on any other issues that it thinks may be relevant to a decision on </w:t>
      </w:r>
      <w:proofErr w:type="gramStart"/>
      <w:r w:rsidRPr="006D790D">
        <w:rPr>
          <w:b/>
          <w:bCs/>
          <w:i/>
          <w:iCs/>
        </w:rPr>
        <w:t>whether or not</w:t>
      </w:r>
      <w:proofErr w:type="gramEnd"/>
      <w:r w:rsidRPr="006D790D">
        <w:rPr>
          <w:b/>
          <w:bCs/>
          <w:i/>
          <w:iCs/>
        </w:rPr>
        <w:t xml:space="preserve"> to approve this application.</w:t>
      </w:r>
    </w:p>
    <w:p w14:paraId="647F38EF" w14:textId="42033F1C" w:rsidR="009805CF" w:rsidRPr="006D790D" w:rsidRDefault="009805CF" w:rsidP="00FC4DF1">
      <w:r w:rsidRPr="006D790D">
        <w:t>The ACM discussed the timing of vaccination following this therapy and noted that it binds to epitopes on spike proteins used as an immunogen in all COVID-19 vaccines. The ACM noted that the CDC recommends delaying vaccination for 90 days following treatment and recommended that a similar statement be included in the PI:</w:t>
      </w:r>
    </w:p>
    <w:p w14:paraId="7FB82833" w14:textId="77777777" w:rsidR="009805CF" w:rsidRPr="006D790D" w:rsidRDefault="009805CF" w:rsidP="002F7BAE">
      <w:pPr>
        <w:ind w:left="720"/>
      </w:pPr>
      <w:r w:rsidRPr="006D790D">
        <w:t>‘</w:t>
      </w:r>
      <w:r w:rsidRPr="006D790D">
        <w:rPr>
          <w:i/>
          <w:iCs/>
        </w:rPr>
        <w:t>For people who previously received passive antibody therapy as part of COVID-19 treatment, defer vaccination for at least 90 days after receipt of passive antibody therapy (monoclonal antibodies or convalescent plasma). This recommendation applies to people who receive passive antibody therapy before receiving any COVID-19 vaccine dose and to those who receive passive antibody therapy after the first dose of an mRNA COVID-19 vaccine but before the second dose, in which case the second dose should be deferred for at least 90 days following receipt of the antibody therapy</w:t>
      </w:r>
      <w:r w:rsidRPr="006D790D">
        <w:t>.’</w:t>
      </w:r>
    </w:p>
    <w:p w14:paraId="56EB24A3" w14:textId="77777777" w:rsidR="009805CF" w:rsidRPr="006D790D" w:rsidRDefault="009805CF" w:rsidP="00FC4DF1">
      <w:r w:rsidRPr="006D790D">
        <w:t>The ACM discussed risk stratification from the clinical trials and was supportive of these being specified in the clinical trials section of the PI. The ACM noted that few patients in the trials had chronic kidney disease, chronic liver disease, or were immunosuppressed.</w:t>
      </w:r>
    </w:p>
    <w:p w14:paraId="15E961A7" w14:textId="77777777" w:rsidR="009805CF" w:rsidRPr="006D790D" w:rsidRDefault="009805CF" w:rsidP="00FC4DF1">
      <w:r w:rsidRPr="006D790D">
        <w:lastRenderedPageBreak/>
        <w:t>The ACM emphasised that this therapy is not an alternative or substitute for vaccination. The ACM reiterated its view that vaccination is the preferred and primary option to prevent COVID-19.</w:t>
      </w:r>
    </w:p>
    <w:p w14:paraId="04234223" w14:textId="77777777" w:rsidR="00744121" w:rsidRPr="006D790D" w:rsidRDefault="00744121" w:rsidP="00744121">
      <w:pPr>
        <w:pStyle w:val="Heading5"/>
      </w:pPr>
      <w:r w:rsidRPr="006D790D">
        <w:t>Conclusion</w:t>
      </w:r>
    </w:p>
    <w:p w14:paraId="6FFF0693" w14:textId="77777777" w:rsidR="009805CF" w:rsidRPr="006D790D" w:rsidRDefault="009805CF" w:rsidP="00FC4DF1">
      <w:r w:rsidRPr="006D790D">
        <w:t>The ACM considered this product to have an overall positive benefit-risk profile for the indication:</w:t>
      </w:r>
    </w:p>
    <w:p w14:paraId="25AC28A5" w14:textId="77777777" w:rsidR="009805CF" w:rsidRPr="006D790D" w:rsidRDefault="009805CF" w:rsidP="00AE405D">
      <w:pPr>
        <w:ind w:left="720"/>
        <w:rPr>
          <w:i/>
          <w:iCs/>
        </w:rPr>
      </w:pPr>
      <w:proofErr w:type="spellStart"/>
      <w:r w:rsidRPr="006D790D">
        <w:rPr>
          <w:i/>
          <w:iCs/>
        </w:rPr>
        <w:t>Ronapreve</w:t>
      </w:r>
      <w:proofErr w:type="spellEnd"/>
      <w:r w:rsidRPr="006D790D">
        <w:rPr>
          <w:i/>
          <w:iCs/>
        </w:rPr>
        <w:t xml:space="preserve"> is provisionally registered for the indications below:</w:t>
      </w:r>
    </w:p>
    <w:p w14:paraId="58A00381" w14:textId="77777777" w:rsidR="009805CF" w:rsidRPr="006D790D" w:rsidRDefault="009805CF" w:rsidP="00AE405D">
      <w:pPr>
        <w:ind w:left="720"/>
        <w:rPr>
          <w:i/>
          <w:iCs/>
        </w:rPr>
      </w:pPr>
      <w:r w:rsidRPr="006D790D">
        <w:rPr>
          <w:b/>
          <w:bCs/>
          <w:i/>
          <w:iCs/>
        </w:rPr>
        <w:t>Treatment</w:t>
      </w:r>
      <w:r w:rsidRPr="006D790D">
        <w:rPr>
          <w:i/>
          <w:iCs/>
        </w:rPr>
        <w:t>:</w:t>
      </w:r>
    </w:p>
    <w:p w14:paraId="0DB3433C" w14:textId="7C2B3D90" w:rsidR="009805CF" w:rsidRPr="006D790D" w:rsidRDefault="009805CF" w:rsidP="00AE405D">
      <w:pPr>
        <w:ind w:left="720"/>
        <w:rPr>
          <w:i/>
          <w:iCs/>
        </w:rPr>
      </w:pPr>
      <w:proofErr w:type="spellStart"/>
      <w:r w:rsidRPr="006D790D">
        <w:rPr>
          <w:i/>
          <w:iCs/>
        </w:rPr>
        <w:t>Ronapreve</w:t>
      </w:r>
      <w:proofErr w:type="spellEnd"/>
      <w:r w:rsidRPr="006D790D">
        <w:rPr>
          <w:i/>
          <w:iCs/>
        </w:rPr>
        <w:t xml:space="preserve"> is indicated for the treatment of COVID-19 in adults and adolescents aged 12 years and older and weighing at least 40 kg who do not require supplemental oxygen for COVID-19 and who are at increased risk of progressing to severe COVID</w:t>
      </w:r>
      <w:r w:rsidR="003521AE" w:rsidRPr="006D790D">
        <w:rPr>
          <w:i/>
          <w:iCs/>
        </w:rPr>
        <w:noBreakHyphen/>
      </w:r>
      <w:r w:rsidRPr="006D790D">
        <w:rPr>
          <w:i/>
          <w:iCs/>
        </w:rPr>
        <w:t>19 (refer to Clinical Trials).</w:t>
      </w:r>
    </w:p>
    <w:p w14:paraId="31270055" w14:textId="77777777" w:rsidR="009805CF" w:rsidRPr="006D790D" w:rsidRDefault="009805CF" w:rsidP="00AE405D">
      <w:pPr>
        <w:ind w:left="720"/>
        <w:rPr>
          <w:i/>
          <w:iCs/>
        </w:rPr>
      </w:pPr>
      <w:r w:rsidRPr="006D790D">
        <w:rPr>
          <w:b/>
          <w:bCs/>
          <w:i/>
          <w:iCs/>
        </w:rPr>
        <w:t>Post-exposure prophylaxis</w:t>
      </w:r>
      <w:r w:rsidRPr="006D790D">
        <w:rPr>
          <w:i/>
          <w:iCs/>
        </w:rPr>
        <w:t>:</w:t>
      </w:r>
    </w:p>
    <w:p w14:paraId="404484CF" w14:textId="07B7CC69" w:rsidR="009805CF" w:rsidRPr="006D790D" w:rsidRDefault="009805CF" w:rsidP="00AE405D">
      <w:pPr>
        <w:ind w:left="720"/>
        <w:rPr>
          <w:i/>
          <w:iCs/>
        </w:rPr>
      </w:pPr>
      <w:proofErr w:type="spellStart"/>
      <w:r w:rsidRPr="006D790D">
        <w:rPr>
          <w:i/>
          <w:iCs/>
        </w:rPr>
        <w:t>Ronapreve</w:t>
      </w:r>
      <w:proofErr w:type="spellEnd"/>
      <w:r w:rsidRPr="006D790D">
        <w:rPr>
          <w:i/>
          <w:iCs/>
        </w:rPr>
        <w:t xml:space="preserve"> is indicated for the prevention of COVID-19 in adults and adolescents aged 12 years and older and weighing at least 40 kg who have been exposed to SARS</w:t>
      </w:r>
      <w:r w:rsidR="003521AE" w:rsidRPr="006D790D">
        <w:rPr>
          <w:i/>
          <w:iCs/>
        </w:rPr>
        <w:noBreakHyphen/>
      </w:r>
      <w:r w:rsidRPr="006D790D">
        <w:rPr>
          <w:i/>
          <w:iCs/>
        </w:rPr>
        <w:t>CoV</w:t>
      </w:r>
      <w:r w:rsidR="003521AE" w:rsidRPr="006D790D">
        <w:rPr>
          <w:i/>
          <w:iCs/>
        </w:rPr>
        <w:noBreakHyphen/>
      </w:r>
      <w:r w:rsidRPr="006D790D">
        <w:rPr>
          <w:i/>
          <w:iCs/>
        </w:rPr>
        <w:t xml:space="preserve">2 </w:t>
      </w:r>
      <w:r w:rsidR="003521AE" w:rsidRPr="006D790D">
        <w:rPr>
          <w:i/>
          <w:iCs/>
        </w:rPr>
        <w:t>and</w:t>
      </w:r>
      <w:r w:rsidRPr="006D790D">
        <w:rPr>
          <w:i/>
          <w:iCs/>
        </w:rPr>
        <w:t xml:space="preserve"> who either:</w:t>
      </w:r>
    </w:p>
    <w:p w14:paraId="1FA7E16D" w14:textId="245967DB" w:rsidR="009805CF" w:rsidRPr="006D790D" w:rsidRDefault="009805CF" w:rsidP="00AE405D">
      <w:pPr>
        <w:pStyle w:val="ListBullet"/>
        <w:ind w:left="1080"/>
        <w:rPr>
          <w:i/>
          <w:iCs/>
        </w:rPr>
      </w:pPr>
      <w:r w:rsidRPr="006D790D">
        <w:rPr>
          <w:i/>
          <w:iCs/>
        </w:rPr>
        <w:t xml:space="preserve">have a medical condition making them unlikely to respond to or be protected by vaccination, </w:t>
      </w:r>
      <w:r w:rsidR="003521AE" w:rsidRPr="006D790D">
        <w:rPr>
          <w:i/>
          <w:iCs/>
        </w:rPr>
        <w:t>or</w:t>
      </w:r>
    </w:p>
    <w:p w14:paraId="067FDF7A" w14:textId="77777777" w:rsidR="009805CF" w:rsidRPr="006D790D" w:rsidRDefault="009805CF" w:rsidP="00AE405D">
      <w:pPr>
        <w:pStyle w:val="ListBullet"/>
        <w:ind w:left="1080"/>
        <w:rPr>
          <w:i/>
          <w:iCs/>
        </w:rPr>
      </w:pPr>
      <w:r w:rsidRPr="006D790D">
        <w:rPr>
          <w:i/>
          <w:iCs/>
        </w:rPr>
        <w:t>are not vaccinated against COVID-19.</w:t>
      </w:r>
    </w:p>
    <w:p w14:paraId="72AD0CBB" w14:textId="77777777" w:rsidR="009805CF" w:rsidRPr="006D790D" w:rsidRDefault="009805CF" w:rsidP="00AE405D">
      <w:pPr>
        <w:ind w:left="720"/>
        <w:rPr>
          <w:i/>
          <w:iCs/>
        </w:rPr>
      </w:pPr>
      <w:r w:rsidRPr="006D790D">
        <w:rPr>
          <w:i/>
          <w:iCs/>
        </w:rPr>
        <w:t xml:space="preserve">The decision has been made </w:t>
      </w:r>
      <w:proofErr w:type="gramStart"/>
      <w:r w:rsidRPr="006D790D">
        <w:rPr>
          <w:i/>
          <w:iCs/>
        </w:rPr>
        <w:t>on the basis of</w:t>
      </w:r>
      <w:proofErr w:type="gramEnd"/>
      <w:r w:rsidRPr="006D790D">
        <w:rPr>
          <w:i/>
          <w:iCs/>
        </w:rPr>
        <w:t xml:space="preserve"> interim efficacy and safety data. Continued approval depends on the evidence of </w:t>
      </w:r>
      <w:proofErr w:type="gramStart"/>
      <w:r w:rsidRPr="006D790D">
        <w:rPr>
          <w:i/>
          <w:iCs/>
        </w:rPr>
        <w:t>longer term</w:t>
      </w:r>
      <w:proofErr w:type="gramEnd"/>
      <w:r w:rsidRPr="006D790D">
        <w:rPr>
          <w:i/>
          <w:iCs/>
        </w:rPr>
        <w:t xml:space="preserve"> efficacy and safety from ongoing clinical trials and post-market assessment.</w:t>
      </w:r>
    </w:p>
    <w:p w14:paraId="7029892D" w14:textId="77777777" w:rsidR="008E7846" w:rsidRPr="006D790D" w:rsidRDefault="008E7846" w:rsidP="008E7846">
      <w:pPr>
        <w:pStyle w:val="Heading3"/>
      </w:pPr>
      <w:bookmarkStart w:id="141" w:name="_Toc86748273"/>
      <w:r w:rsidRPr="00945208">
        <w:t>Outcome</w:t>
      </w:r>
      <w:bookmarkEnd w:id="139"/>
      <w:bookmarkEnd w:id="140"/>
      <w:bookmarkEnd w:id="141"/>
    </w:p>
    <w:p w14:paraId="04808581" w14:textId="11C16951" w:rsidR="00744121" w:rsidRPr="006D790D" w:rsidRDefault="00744121" w:rsidP="00FC4DF1">
      <w:bookmarkStart w:id="142" w:name="_Toc247691533"/>
      <w:bookmarkStart w:id="143" w:name="_Toc314842517"/>
      <w:r w:rsidRPr="006D790D">
        <w:t xml:space="preserve">Based on a review of quality, </w:t>
      </w:r>
      <w:proofErr w:type="gramStart"/>
      <w:r w:rsidRPr="006D790D">
        <w:t>safety</w:t>
      </w:r>
      <w:proofErr w:type="gramEnd"/>
      <w:r w:rsidRPr="006D790D">
        <w:t xml:space="preserve"> and efficacy, the TGA approved the registration of </w:t>
      </w:r>
      <w:proofErr w:type="spellStart"/>
      <w:r w:rsidR="00873F42" w:rsidRPr="006D790D">
        <w:t>Ronapreve</w:t>
      </w:r>
      <w:proofErr w:type="spellEnd"/>
      <w:r w:rsidR="00873F42" w:rsidRPr="006D790D">
        <w:t xml:space="preserve"> </w:t>
      </w:r>
      <w:r w:rsidRPr="006D790D">
        <w:t>(</w:t>
      </w:r>
      <w:proofErr w:type="spellStart"/>
      <w:r w:rsidR="00873F42" w:rsidRPr="006D790D">
        <w:t>casirivimab</w:t>
      </w:r>
      <w:proofErr w:type="spellEnd"/>
      <w:r w:rsidR="00873F42" w:rsidRPr="006D790D">
        <w:t>/</w:t>
      </w:r>
      <w:proofErr w:type="spellStart"/>
      <w:r w:rsidR="00873F42" w:rsidRPr="006D790D">
        <w:t>imdevimab</w:t>
      </w:r>
      <w:proofErr w:type="spellEnd"/>
      <w:r w:rsidRPr="006D790D">
        <w:t xml:space="preserve">) </w:t>
      </w:r>
      <w:r w:rsidR="00873F42" w:rsidRPr="006D790D">
        <w:t xml:space="preserve">120 mg/mL </w:t>
      </w:r>
      <w:proofErr w:type="spellStart"/>
      <w:r w:rsidR="00873F42" w:rsidRPr="006D790D">
        <w:t>casirivimab</w:t>
      </w:r>
      <w:proofErr w:type="spellEnd"/>
      <w:r w:rsidR="00873F42" w:rsidRPr="006D790D">
        <w:t xml:space="preserve"> and 120 mg/mL </w:t>
      </w:r>
      <w:proofErr w:type="spellStart"/>
      <w:r w:rsidR="00873F42" w:rsidRPr="006D790D">
        <w:t>imdevimab</w:t>
      </w:r>
      <w:proofErr w:type="spellEnd"/>
      <w:r w:rsidRPr="006D790D">
        <w:t xml:space="preserve">, </w:t>
      </w:r>
      <w:r w:rsidR="00873F42" w:rsidRPr="006D790D">
        <w:t>solution for infusion and injection</w:t>
      </w:r>
      <w:r w:rsidRPr="006D790D">
        <w:t xml:space="preserve">, </w:t>
      </w:r>
      <w:r w:rsidR="00873F42" w:rsidRPr="006D790D">
        <w:t>single-use and multidose vials</w:t>
      </w:r>
      <w:r w:rsidRPr="006D790D">
        <w:t>, indicated for:</w:t>
      </w:r>
    </w:p>
    <w:p w14:paraId="4D4138E0" w14:textId="0E35AD83" w:rsidR="00AE405D" w:rsidRPr="006D790D" w:rsidRDefault="00AE405D" w:rsidP="00AE405D">
      <w:pPr>
        <w:ind w:left="720"/>
        <w:rPr>
          <w:i/>
          <w:iCs/>
        </w:rPr>
      </w:pPr>
      <w:proofErr w:type="spellStart"/>
      <w:r w:rsidRPr="006D790D">
        <w:rPr>
          <w:i/>
          <w:iCs/>
        </w:rPr>
        <w:t>Ronapreve</w:t>
      </w:r>
      <w:proofErr w:type="spellEnd"/>
      <w:r w:rsidRPr="006D790D">
        <w:rPr>
          <w:i/>
          <w:iCs/>
        </w:rPr>
        <w:t xml:space="preserve"> has provisional approval for the indications below:</w:t>
      </w:r>
    </w:p>
    <w:p w14:paraId="5A2FB61A" w14:textId="5C8FA83A" w:rsidR="00AE405D" w:rsidRPr="006D790D" w:rsidRDefault="00AE405D" w:rsidP="00AE405D">
      <w:pPr>
        <w:ind w:left="720"/>
        <w:rPr>
          <w:i/>
          <w:iCs/>
        </w:rPr>
      </w:pPr>
      <w:r w:rsidRPr="006D790D">
        <w:rPr>
          <w:b/>
          <w:bCs/>
          <w:i/>
          <w:iCs/>
        </w:rPr>
        <w:t>Treatment</w:t>
      </w:r>
      <w:r w:rsidRPr="006D790D">
        <w:rPr>
          <w:i/>
          <w:iCs/>
        </w:rPr>
        <w:t>:</w:t>
      </w:r>
    </w:p>
    <w:p w14:paraId="7369DD48" w14:textId="0D07AEBC" w:rsidR="00AE405D" w:rsidRPr="006D790D" w:rsidRDefault="00AE405D" w:rsidP="00AE405D">
      <w:pPr>
        <w:ind w:left="720"/>
        <w:rPr>
          <w:i/>
          <w:iCs/>
        </w:rPr>
      </w:pPr>
      <w:proofErr w:type="spellStart"/>
      <w:r w:rsidRPr="006D790D">
        <w:rPr>
          <w:i/>
          <w:iCs/>
        </w:rPr>
        <w:t>Ronapreve</w:t>
      </w:r>
      <w:proofErr w:type="spellEnd"/>
      <w:r w:rsidRPr="006D790D">
        <w:rPr>
          <w:i/>
          <w:iCs/>
        </w:rPr>
        <w:t xml:space="preserve"> is indicated for the treatment of COVID-19 in adults and adolescents </w:t>
      </w:r>
      <w:r w:rsidR="00945208">
        <w:rPr>
          <w:i/>
          <w:iCs/>
        </w:rPr>
        <w:t>(</w:t>
      </w:r>
      <w:r w:rsidRPr="006D790D">
        <w:rPr>
          <w:i/>
          <w:iCs/>
        </w:rPr>
        <w:t>aged 12 years and older and weighing at least 40 kg</w:t>
      </w:r>
      <w:r w:rsidR="00945208">
        <w:rPr>
          <w:i/>
          <w:iCs/>
        </w:rPr>
        <w:t>)</w:t>
      </w:r>
      <w:r w:rsidRPr="006D790D">
        <w:rPr>
          <w:i/>
          <w:iCs/>
        </w:rPr>
        <w:t xml:space="preserve"> who do not require supplemental oxygen for COVID-19 and who are at increased risk of progressing to severe COVID</w:t>
      </w:r>
      <w:r w:rsidRPr="006D790D">
        <w:rPr>
          <w:i/>
          <w:iCs/>
        </w:rPr>
        <w:noBreakHyphen/>
        <w:t>19.</w:t>
      </w:r>
    </w:p>
    <w:p w14:paraId="3F5B0B31" w14:textId="1FD6C201" w:rsidR="00AE405D" w:rsidRPr="006D790D" w:rsidRDefault="00AE405D" w:rsidP="00AE405D">
      <w:pPr>
        <w:ind w:left="720"/>
        <w:rPr>
          <w:b/>
          <w:bCs/>
          <w:i/>
          <w:iCs/>
        </w:rPr>
      </w:pPr>
      <w:r w:rsidRPr="006D790D">
        <w:rPr>
          <w:b/>
          <w:bCs/>
          <w:i/>
          <w:iCs/>
        </w:rPr>
        <w:t>Post-exposure prophylaxis:</w:t>
      </w:r>
    </w:p>
    <w:p w14:paraId="22C93058" w14:textId="7AC72115" w:rsidR="00AE405D" w:rsidRPr="006D790D" w:rsidRDefault="00AE405D" w:rsidP="00AE405D">
      <w:pPr>
        <w:ind w:left="720"/>
        <w:rPr>
          <w:i/>
          <w:iCs/>
        </w:rPr>
      </w:pPr>
      <w:proofErr w:type="spellStart"/>
      <w:r w:rsidRPr="006D790D">
        <w:rPr>
          <w:i/>
          <w:iCs/>
        </w:rPr>
        <w:t>Ronapreve</w:t>
      </w:r>
      <w:proofErr w:type="spellEnd"/>
      <w:r w:rsidRPr="006D790D">
        <w:rPr>
          <w:i/>
          <w:iCs/>
        </w:rPr>
        <w:t xml:space="preserve"> is indicated for the prevention of COVID-19 in adults and adolescents </w:t>
      </w:r>
      <w:r w:rsidR="00945208">
        <w:rPr>
          <w:i/>
          <w:iCs/>
        </w:rPr>
        <w:t>(</w:t>
      </w:r>
      <w:r w:rsidRPr="006D790D">
        <w:rPr>
          <w:i/>
          <w:iCs/>
        </w:rPr>
        <w:t>aged 12 years and older and weighing at least 40 kg</w:t>
      </w:r>
      <w:r w:rsidR="00945208">
        <w:rPr>
          <w:i/>
          <w:iCs/>
        </w:rPr>
        <w:t>)</w:t>
      </w:r>
      <w:r w:rsidRPr="006D790D">
        <w:rPr>
          <w:i/>
          <w:iCs/>
        </w:rPr>
        <w:t xml:space="preserve"> who have been exposed to SARS</w:t>
      </w:r>
      <w:r w:rsidRPr="006D790D">
        <w:rPr>
          <w:i/>
          <w:iCs/>
        </w:rPr>
        <w:noBreakHyphen/>
        <w:t>CoV</w:t>
      </w:r>
      <w:r w:rsidRPr="006D790D">
        <w:rPr>
          <w:i/>
          <w:iCs/>
        </w:rPr>
        <w:noBreakHyphen/>
        <w:t xml:space="preserve">2 </w:t>
      </w:r>
      <w:r w:rsidR="003A402D">
        <w:rPr>
          <w:i/>
          <w:iCs/>
        </w:rPr>
        <w:t>and</w:t>
      </w:r>
      <w:r w:rsidRPr="006D790D">
        <w:rPr>
          <w:i/>
          <w:iCs/>
        </w:rPr>
        <w:t xml:space="preserve"> who either:</w:t>
      </w:r>
    </w:p>
    <w:p w14:paraId="1B5055C5" w14:textId="26921094" w:rsidR="00AE405D" w:rsidRPr="006D790D" w:rsidRDefault="00AE405D" w:rsidP="00AE405D">
      <w:pPr>
        <w:pStyle w:val="ListBullet"/>
        <w:ind w:left="1080"/>
        <w:rPr>
          <w:i/>
          <w:iCs/>
        </w:rPr>
      </w:pPr>
      <w:r w:rsidRPr="006D790D">
        <w:rPr>
          <w:i/>
          <w:iCs/>
        </w:rPr>
        <w:t>have a medical condition making them unlikely to respond to or be protected by vaccination, or</w:t>
      </w:r>
    </w:p>
    <w:p w14:paraId="60BA19B7" w14:textId="798531F4" w:rsidR="00945208" w:rsidRPr="002F7BAE" w:rsidRDefault="00AE405D" w:rsidP="002F7BAE">
      <w:pPr>
        <w:pStyle w:val="ListBullet"/>
        <w:ind w:left="1080"/>
        <w:rPr>
          <w:i/>
          <w:iCs/>
        </w:rPr>
      </w:pPr>
      <w:r w:rsidRPr="006D790D">
        <w:rPr>
          <w:i/>
          <w:iCs/>
        </w:rPr>
        <w:t>are not vaccinated against COVID-19.</w:t>
      </w:r>
      <w:r w:rsidR="001307EC">
        <w:rPr>
          <w:i/>
          <w:iCs/>
        </w:rPr>
        <w:t xml:space="preserve"> </w:t>
      </w:r>
      <w:r w:rsidR="00945208" w:rsidRPr="002F7BAE">
        <w:rPr>
          <w:i/>
          <w:iCs/>
        </w:rPr>
        <w:t xml:space="preserve">(refer to </w:t>
      </w:r>
      <w:r w:rsidR="001307EC">
        <w:rPr>
          <w:i/>
          <w:iCs/>
        </w:rPr>
        <w:t>S</w:t>
      </w:r>
      <w:r w:rsidR="00945208" w:rsidRPr="002F7BAE">
        <w:rPr>
          <w:i/>
          <w:iCs/>
        </w:rPr>
        <w:t xml:space="preserve">ection 4.2 Dose and method of administration and 5.1, Clinical </w:t>
      </w:r>
      <w:r w:rsidR="001307EC">
        <w:rPr>
          <w:i/>
          <w:iCs/>
        </w:rPr>
        <w:t>t</w:t>
      </w:r>
      <w:r w:rsidR="00945208" w:rsidRPr="002F7BAE">
        <w:rPr>
          <w:i/>
          <w:iCs/>
        </w:rPr>
        <w:t>rials)</w:t>
      </w:r>
    </w:p>
    <w:p w14:paraId="6C160DFD" w14:textId="05DA4C77" w:rsidR="00AE405D" w:rsidRPr="006D790D" w:rsidRDefault="00AE405D" w:rsidP="00AE405D">
      <w:pPr>
        <w:ind w:left="720"/>
        <w:rPr>
          <w:i/>
          <w:iCs/>
        </w:rPr>
      </w:pPr>
      <w:proofErr w:type="spellStart"/>
      <w:r w:rsidRPr="006D790D">
        <w:rPr>
          <w:i/>
          <w:iCs/>
        </w:rPr>
        <w:t>Ronapreve</w:t>
      </w:r>
      <w:proofErr w:type="spellEnd"/>
      <w:r w:rsidRPr="006D790D">
        <w:rPr>
          <w:i/>
          <w:iCs/>
        </w:rPr>
        <w:t xml:space="preserve"> is not intended to be used as a substitute for vaccination against COVID</w:t>
      </w:r>
      <w:r w:rsidR="001307EC">
        <w:rPr>
          <w:i/>
          <w:iCs/>
        </w:rPr>
        <w:noBreakHyphen/>
      </w:r>
      <w:r w:rsidRPr="006D790D">
        <w:rPr>
          <w:i/>
          <w:iCs/>
        </w:rPr>
        <w:t>19.</w:t>
      </w:r>
    </w:p>
    <w:p w14:paraId="43F20D82" w14:textId="77EB36EF" w:rsidR="00AE405D" w:rsidRPr="006D790D" w:rsidRDefault="00AE405D" w:rsidP="00AE405D">
      <w:pPr>
        <w:ind w:left="720"/>
        <w:rPr>
          <w:i/>
          <w:iCs/>
        </w:rPr>
      </w:pPr>
      <w:r w:rsidRPr="006D790D">
        <w:rPr>
          <w:i/>
          <w:iCs/>
        </w:rPr>
        <w:lastRenderedPageBreak/>
        <w:t xml:space="preserve">The decision has been made on the basis of </w:t>
      </w:r>
      <w:proofErr w:type="gramStart"/>
      <w:r w:rsidRPr="006D790D">
        <w:rPr>
          <w:i/>
          <w:iCs/>
        </w:rPr>
        <w:t>short term</w:t>
      </w:r>
      <w:proofErr w:type="gramEnd"/>
      <w:r w:rsidRPr="006D790D">
        <w:rPr>
          <w:i/>
          <w:iCs/>
        </w:rPr>
        <w:t xml:space="preserve"> efficacy and safety data.</w:t>
      </w:r>
      <w:r w:rsidR="00C35A0F">
        <w:rPr>
          <w:i/>
          <w:iCs/>
        </w:rPr>
        <w:t xml:space="preserve"> </w:t>
      </w:r>
      <w:r w:rsidRPr="006D790D">
        <w:rPr>
          <w:i/>
          <w:iCs/>
        </w:rPr>
        <w:t xml:space="preserve">Continued approval of this indication depends on the evidence of </w:t>
      </w:r>
      <w:proofErr w:type="gramStart"/>
      <w:r w:rsidRPr="006D790D">
        <w:rPr>
          <w:i/>
          <w:iCs/>
        </w:rPr>
        <w:t>longer term</w:t>
      </w:r>
      <w:proofErr w:type="gramEnd"/>
      <w:r w:rsidRPr="006D790D">
        <w:rPr>
          <w:i/>
          <w:iCs/>
        </w:rPr>
        <w:t xml:space="preserve"> efficacy and safety from ongoing clinical trials and post-market assessment.</w:t>
      </w:r>
    </w:p>
    <w:p w14:paraId="040537F1" w14:textId="77777777" w:rsidR="00D23139" w:rsidRPr="006D790D" w:rsidRDefault="00D23139" w:rsidP="00D23139">
      <w:pPr>
        <w:pStyle w:val="Heading4"/>
      </w:pPr>
      <w:r w:rsidRPr="006D790D">
        <w:t>Specific conditions of registration applying to these goods</w:t>
      </w:r>
    </w:p>
    <w:p w14:paraId="6951B9C7" w14:textId="77777777" w:rsidR="00F93F70" w:rsidRPr="006D790D" w:rsidRDefault="00F93F70" w:rsidP="00F93F70">
      <w:pPr>
        <w:pStyle w:val="ListBullet"/>
      </w:pPr>
      <w:proofErr w:type="spellStart"/>
      <w:r w:rsidRPr="006D790D">
        <w:t>Ronapreve</w:t>
      </w:r>
      <w:proofErr w:type="spellEnd"/>
      <w:r w:rsidRPr="006D790D">
        <w:t xml:space="preserve"> (</w:t>
      </w:r>
      <w:proofErr w:type="spellStart"/>
      <w:r w:rsidRPr="006D790D">
        <w:t>casirivimab</w:t>
      </w:r>
      <w:proofErr w:type="spellEnd"/>
      <w:r w:rsidRPr="006D790D">
        <w:t xml:space="preserve"> and </w:t>
      </w:r>
      <w:proofErr w:type="spellStart"/>
      <w:r w:rsidRPr="006D790D">
        <w:t>imdevimab</w:t>
      </w:r>
      <w:proofErr w:type="spellEnd"/>
      <w:r w:rsidRPr="006D790D">
        <w:t xml:space="preserve">) is to be included in the Black Triangle Scheme. The Product Information (PI) and Consumer Medicines Information (CMI) for </w:t>
      </w:r>
      <w:proofErr w:type="spellStart"/>
      <w:r w:rsidRPr="006D790D">
        <w:t>Ronapreve</w:t>
      </w:r>
      <w:proofErr w:type="spellEnd"/>
      <w:r w:rsidRPr="006D790D">
        <w:t xml:space="preserve"> must include the black triangle symbol and mandatory accompanying text for the period of provisional registration.</w:t>
      </w:r>
    </w:p>
    <w:p w14:paraId="7F50F655" w14:textId="2DD97F3C" w:rsidR="00F93F70" w:rsidRPr="006D790D" w:rsidRDefault="00F93F70" w:rsidP="00F93F70">
      <w:pPr>
        <w:pStyle w:val="ListBullet"/>
      </w:pPr>
      <w:r w:rsidRPr="006D790D">
        <w:t xml:space="preserve">The </w:t>
      </w:r>
      <w:proofErr w:type="spellStart"/>
      <w:r w:rsidRPr="006D790D">
        <w:t>Ronapreve</w:t>
      </w:r>
      <w:proofErr w:type="spellEnd"/>
      <w:r w:rsidRPr="006D790D">
        <w:t xml:space="preserve"> European Union (EU)-Risk Management Plan (RMP) (version 0.1, dated 13 July 2021; data lock point 30 April 2021), with Australian Specific Annex (version 1.1, dated September 2021), included with submission PM-2021-03952-1-2, and any subsequent revisions, as agreed with the TGA will be implemented in Australia.</w:t>
      </w:r>
    </w:p>
    <w:p w14:paraId="6007226C" w14:textId="77777777" w:rsidR="00F93F70" w:rsidRPr="006D790D" w:rsidRDefault="00F93F70" w:rsidP="00F93F70">
      <w:pPr>
        <w:pStyle w:val="ListBullet"/>
        <w:numPr>
          <w:ilvl w:val="0"/>
          <w:numId w:val="0"/>
        </w:numPr>
        <w:ind w:left="357"/>
      </w:pPr>
      <w:r w:rsidRPr="006D790D">
        <w:t>An obligatory component of risk management plans is routine pharmacovigilance.</w:t>
      </w:r>
    </w:p>
    <w:p w14:paraId="0CC079B5" w14:textId="77777777" w:rsidR="00F93F70" w:rsidRPr="006D790D" w:rsidRDefault="00F93F70" w:rsidP="00F93F70">
      <w:pPr>
        <w:pStyle w:val="ListBullet"/>
        <w:numPr>
          <w:ilvl w:val="0"/>
          <w:numId w:val="0"/>
        </w:numPr>
        <w:ind w:left="357"/>
      </w:pPr>
      <w:r w:rsidRPr="006D790D">
        <w:t>Routine pharmacovigilance includes the submission of periodic safety update reports (PSURs).</w:t>
      </w:r>
    </w:p>
    <w:p w14:paraId="4F09BA84" w14:textId="77777777" w:rsidR="00F93F70" w:rsidRPr="006D790D" w:rsidRDefault="00F93F70" w:rsidP="00F93F70">
      <w:pPr>
        <w:pStyle w:val="ListBullet"/>
        <w:numPr>
          <w:ilvl w:val="0"/>
          <w:numId w:val="0"/>
        </w:numPr>
        <w:ind w:left="357"/>
      </w:pPr>
      <w:r w:rsidRPr="006D790D">
        <w:t>Unless agreed separately between the supplier who is the recipient of the approval and the TGA, the first report must be submitted to TGA no later than 15 calendar months after the date of the approval letter. The subsequent reports must be submitted no less frequently than annually from the date of the first submitted report until the period covered by such reports is not less than three years from the date of the approval letter, or the entire period of provisional registration, whichever is longer.</w:t>
      </w:r>
    </w:p>
    <w:p w14:paraId="434548C6" w14:textId="77777777" w:rsidR="00F93F70" w:rsidRPr="006D790D" w:rsidRDefault="00F93F70" w:rsidP="00F93F70">
      <w:pPr>
        <w:pStyle w:val="ListBullet"/>
        <w:numPr>
          <w:ilvl w:val="0"/>
          <w:numId w:val="0"/>
        </w:numPr>
        <w:ind w:left="357"/>
      </w:pPr>
      <w:r w:rsidRPr="006D790D">
        <w:t>The reports are to at least meet the requirements for PSURs as described in the European Medicines Agency’s Guideline on Good Pharmacovigilance Practices (GVP) Module VII-periodic safety update report (Rev 1), Part VII.B Structures and processes.</w:t>
      </w:r>
    </w:p>
    <w:p w14:paraId="5405A035" w14:textId="77777777" w:rsidR="00F93F70" w:rsidRPr="006D790D" w:rsidRDefault="00F93F70" w:rsidP="00F93F70">
      <w:pPr>
        <w:pStyle w:val="ListBullet"/>
        <w:numPr>
          <w:ilvl w:val="0"/>
          <w:numId w:val="0"/>
        </w:numPr>
        <w:ind w:left="357"/>
      </w:pPr>
      <w:r w:rsidRPr="006D790D">
        <w:t>Note that submission of a PSUR does not constitute an application to vary the registration. Each report must have been prepared within ninety calendar days of the data lock point for that report.</w:t>
      </w:r>
    </w:p>
    <w:p w14:paraId="76DFE7A5" w14:textId="77777777" w:rsidR="00F93F70" w:rsidRPr="006D790D" w:rsidRDefault="00F93F70" w:rsidP="00F93F70">
      <w:pPr>
        <w:pStyle w:val="ListBullet"/>
        <w:numPr>
          <w:ilvl w:val="0"/>
          <w:numId w:val="0"/>
        </w:numPr>
        <w:ind w:left="357"/>
      </w:pPr>
      <w:r w:rsidRPr="006D790D">
        <w:t>Additional to the submission of PSURs, expedited monthly summary safety reports (including safety data for patients in Australia and reporting of Australia specific safety concerns) are to be provided for the first 6 months post registration, and thereafter at intervals specified by the TGA.</w:t>
      </w:r>
    </w:p>
    <w:p w14:paraId="06C68F58" w14:textId="77777777" w:rsidR="00F93F70" w:rsidRPr="006D790D" w:rsidRDefault="00F93F70" w:rsidP="00F93F70">
      <w:pPr>
        <w:pStyle w:val="ListBullet"/>
      </w:pPr>
      <w:r w:rsidRPr="006D790D">
        <w:t>Clinical</w:t>
      </w:r>
    </w:p>
    <w:p w14:paraId="0A75D3C0" w14:textId="77777777" w:rsidR="00F93F70" w:rsidRPr="006D790D" w:rsidRDefault="00F93F70" w:rsidP="00F93F70">
      <w:pPr>
        <w:pStyle w:val="ListBullet2"/>
      </w:pPr>
      <w:r w:rsidRPr="006D790D">
        <w:t>The final study reports for the following studies must be submitted to the TGA when they become available:</w:t>
      </w:r>
    </w:p>
    <w:p w14:paraId="654929BD" w14:textId="77777777" w:rsidR="00F93F70" w:rsidRPr="006D790D" w:rsidRDefault="00F93F70" w:rsidP="00F93F70">
      <w:pPr>
        <w:pStyle w:val="ListBullet3"/>
      </w:pPr>
      <w:r w:rsidRPr="006D790D">
        <w:t>R10933-10987-COV-2067</w:t>
      </w:r>
    </w:p>
    <w:p w14:paraId="42D33251" w14:textId="77777777" w:rsidR="00F93F70" w:rsidRPr="006D790D" w:rsidRDefault="00F93F70" w:rsidP="00F93F70">
      <w:pPr>
        <w:pStyle w:val="ListBullet3"/>
      </w:pPr>
      <w:r w:rsidRPr="006D790D">
        <w:t>R10933-10987-COV-2069</w:t>
      </w:r>
    </w:p>
    <w:p w14:paraId="3B3E3487" w14:textId="77777777" w:rsidR="00F93F70" w:rsidRPr="006D790D" w:rsidRDefault="00F93F70" w:rsidP="00F93F70">
      <w:pPr>
        <w:pStyle w:val="ListBullet3"/>
      </w:pPr>
      <w:r w:rsidRPr="006D790D">
        <w:t>R10933-10987-HV-2093</w:t>
      </w:r>
    </w:p>
    <w:p w14:paraId="5C71F67C" w14:textId="77777777" w:rsidR="00F93F70" w:rsidRPr="006D790D" w:rsidRDefault="00F93F70" w:rsidP="00F93F70">
      <w:pPr>
        <w:pStyle w:val="ListBullet3"/>
      </w:pPr>
      <w:r w:rsidRPr="006D790D">
        <w:t>R10933-10987-COV-20145</w:t>
      </w:r>
    </w:p>
    <w:p w14:paraId="1B09CBEA" w14:textId="77777777" w:rsidR="00F93F70" w:rsidRPr="006D790D" w:rsidRDefault="00F93F70" w:rsidP="00F93F70">
      <w:pPr>
        <w:pStyle w:val="ListBullet2"/>
      </w:pPr>
      <w:r w:rsidRPr="006D790D">
        <w:t xml:space="preserve">Updates regarding the clinical activity, efficacy, and effectiveness of </w:t>
      </w:r>
      <w:proofErr w:type="spellStart"/>
      <w:r w:rsidRPr="006D790D">
        <w:t>casirivimab</w:t>
      </w:r>
      <w:proofErr w:type="spellEnd"/>
      <w:r w:rsidRPr="006D790D">
        <w:t xml:space="preserve"> and </w:t>
      </w:r>
      <w:proofErr w:type="spellStart"/>
      <w:r w:rsidRPr="006D790D">
        <w:t>imdevimab</w:t>
      </w:r>
      <w:proofErr w:type="spellEnd"/>
      <w:r w:rsidRPr="006D790D">
        <w:t xml:space="preserve"> against the current and future Variants of Concern and Variants of Interest identified by the World Health Organization (WHO) must be provided to the TGA when they become available.</w:t>
      </w:r>
    </w:p>
    <w:p w14:paraId="61E093D1" w14:textId="77777777" w:rsidR="00F93F70" w:rsidRPr="006D790D" w:rsidRDefault="00F93F70" w:rsidP="00F93F70">
      <w:pPr>
        <w:pStyle w:val="ListBullet2"/>
      </w:pPr>
      <w:r w:rsidRPr="006D790D">
        <w:lastRenderedPageBreak/>
        <w:t>Updates on timelines of the comparable overseas regulators for conditional and full marketing authorization applications must be provided to the TGA when they become available.</w:t>
      </w:r>
    </w:p>
    <w:p w14:paraId="7F93A186" w14:textId="77777777" w:rsidR="00F93F70" w:rsidRPr="006D790D" w:rsidRDefault="00F93F70" w:rsidP="00F93F70">
      <w:pPr>
        <w:pStyle w:val="ListBullet"/>
      </w:pPr>
      <w:r w:rsidRPr="006D790D">
        <w:t xml:space="preserve">Submit to the TGA the post-market safety and effectiveness data for the use of repeat doses of </w:t>
      </w:r>
      <w:proofErr w:type="spellStart"/>
      <w:r w:rsidRPr="006D790D">
        <w:t>Ronapreve</w:t>
      </w:r>
      <w:proofErr w:type="spellEnd"/>
      <w:r w:rsidRPr="006D790D">
        <w:t xml:space="preserve"> in immunocompromised population when seeking full registration of </w:t>
      </w:r>
      <w:proofErr w:type="spellStart"/>
      <w:r w:rsidRPr="006D790D">
        <w:t>Ronapreve</w:t>
      </w:r>
      <w:proofErr w:type="spellEnd"/>
      <w:r w:rsidRPr="006D790D">
        <w:t>.</w:t>
      </w:r>
    </w:p>
    <w:p w14:paraId="5DA88165" w14:textId="77777777" w:rsidR="00F93F70" w:rsidRPr="006D790D" w:rsidRDefault="00F93F70" w:rsidP="00F93F70">
      <w:pPr>
        <w:pStyle w:val="ListBullet"/>
      </w:pPr>
      <w:r w:rsidRPr="006D790D">
        <w:t>Nonclinical</w:t>
      </w:r>
    </w:p>
    <w:p w14:paraId="2478F94D" w14:textId="77777777" w:rsidR="00F93F70" w:rsidRPr="006D790D" w:rsidRDefault="00F93F70" w:rsidP="00F93F70">
      <w:pPr>
        <w:pStyle w:val="ListBullet"/>
        <w:numPr>
          <w:ilvl w:val="0"/>
          <w:numId w:val="0"/>
        </w:numPr>
        <w:ind w:left="357"/>
      </w:pPr>
      <w:r w:rsidRPr="006D790D">
        <w:t>Post approval commitments:</w:t>
      </w:r>
    </w:p>
    <w:p w14:paraId="5000D13E" w14:textId="77777777" w:rsidR="00F93F70" w:rsidRPr="006D790D" w:rsidRDefault="00F93F70" w:rsidP="00F93F70">
      <w:pPr>
        <w:pStyle w:val="ListBullet"/>
        <w:numPr>
          <w:ilvl w:val="0"/>
          <w:numId w:val="0"/>
        </w:numPr>
        <w:ind w:left="357"/>
      </w:pPr>
      <w:r w:rsidRPr="006D790D">
        <w:t xml:space="preserve">The sponsor is to provide study reports of </w:t>
      </w:r>
      <w:r w:rsidRPr="006D790D">
        <w:rPr>
          <w:i/>
          <w:iCs/>
        </w:rPr>
        <w:t>in vitro</w:t>
      </w:r>
      <w:r w:rsidRPr="006D790D">
        <w:t xml:space="preserve"> selection/escape studies when they become available.</w:t>
      </w:r>
    </w:p>
    <w:p w14:paraId="4A68224C" w14:textId="77777777" w:rsidR="00F93F70" w:rsidRPr="006D790D" w:rsidRDefault="00F93F70" w:rsidP="00F93F70">
      <w:pPr>
        <w:pStyle w:val="ListBullet"/>
      </w:pPr>
      <w:r w:rsidRPr="006D790D">
        <w:t>Quality</w:t>
      </w:r>
    </w:p>
    <w:p w14:paraId="17F8913B" w14:textId="77777777" w:rsidR="00F93F70" w:rsidRPr="006D790D" w:rsidRDefault="00F93F70" w:rsidP="00F93F70">
      <w:pPr>
        <w:pStyle w:val="ListBullet"/>
        <w:numPr>
          <w:ilvl w:val="0"/>
          <w:numId w:val="0"/>
        </w:numPr>
        <w:ind w:left="357"/>
      </w:pPr>
      <w:r w:rsidRPr="006D790D">
        <w:t>Laboratory testing and compliance with Certified Product Details (CPD)</w:t>
      </w:r>
    </w:p>
    <w:p w14:paraId="35E8532F" w14:textId="77777777" w:rsidR="00F93F70" w:rsidRPr="006D790D" w:rsidRDefault="00F93F70" w:rsidP="00F93F70">
      <w:pPr>
        <w:pStyle w:val="ListBullet2"/>
      </w:pPr>
      <w:r w:rsidRPr="006D790D">
        <w:t xml:space="preserve">All batches of </w:t>
      </w:r>
      <w:proofErr w:type="spellStart"/>
      <w:r w:rsidRPr="006D790D">
        <w:t>Ronapreve</w:t>
      </w:r>
      <w:proofErr w:type="spellEnd"/>
      <w:r w:rsidRPr="006D790D">
        <w:t xml:space="preserve"> supplied in Australia must comply with the product details and specifications approved during evaluation and detailed in the Certified Product Details (CPD).</w:t>
      </w:r>
    </w:p>
    <w:p w14:paraId="2CCC083E" w14:textId="77777777" w:rsidR="00F93F70" w:rsidRPr="006D790D" w:rsidRDefault="00F93F70" w:rsidP="00F93F70">
      <w:pPr>
        <w:pStyle w:val="ListBullet2"/>
      </w:pPr>
      <w:r w:rsidRPr="006D790D">
        <w:t>When requested by the TGA, the sponsor must provide product samples, specified reference materials and documentary evidence to enable the TGA to conduct laboratory testing on the Product.</w:t>
      </w:r>
    </w:p>
    <w:p w14:paraId="2A650805" w14:textId="77777777" w:rsidR="00F93F70" w:rsidRPr="006D790D" w:rsidRDefault="00F93F70" w:rsidP="00F93F70">
      <w:pPr>
        <w:pStyle w:val="ListBullet2"/>
        <w:numPr>
          <w:ilvl w:val="0"/>
          <w:numId w:val="0"/>
        </w:numPr>
        <w:ind w:left="850"/>
      </w:pPr>
      <w:r w:rsidRPr="006D790D">
        <w:t>Note: Outcomes of laboratory testing are published biannually in the TGA Database of Laboratory Testing Results: http://www.tga.gov.au/ws-labs-index and periodically in testing reports on the TGA website.</w:t>
      </w:r>
    </w:p>
    <w:p w14:paraId="00F164F6" w14:textId="77777777" w:rsidR="00F93F70" w:rsidRPr="006D790D" w:rsidRDefault="00F93F70" w:rsidP="00F93F70">
      <w:pPr>
        <w:pStyle w:val="ListBullet2"/>
      </w:pPr>
      <w:r w:rsidRPr="006D790D">
        <w:t>The Certified Product Details (CPD), as described in Guidance 7: Certified Product Details of the Australian Regulatory Guidelines for Prescription Medicines (ARGPM) [http://www.tga.gov.au/industry/pm-argpm-guidance-7.htm], in PDF format, for the medicines must be provided to the TGA upon registration. In addition, an updated CPD must be provided to the TGA when changes to finished product specifications and test methods are approved in a Category 3 application or notified through a self-assessable change.</w:t>
      </w:r>
    </w:p>
    <w:p w14:paraId="47BAED3C" w14:textId="77777777" w:rsidR="00F93F70" w:rsidRPr="006D790D" w:rsidRDefault="00F93F70" w:rsidP="00F93F70">
      <w:pPr>
        <w:pStyle w:val="ListBullet"/>
      </w:pPr>
      <w:r w:rsidRPr="006D790D">
        <w:t>Post approval commitments:</w:t>
      </w:r>
    </w:p>
    <w:p w14:paraId="692BF5A8" w14:textId="77777777" w:rsidR="00F93F70" w:rsidRPr="006D790D" w:rsidRDefault="00F93F70" w:rsidP="00F93F70">
      <w:pPr>
        <w:pStyle w:val="ListBullet"/>
        <w:numPr>
          <w:ilvl w:val="0"/>
          <w:numId w:val="0"/>
        </w:numPr>
        <w:ind w:left="357"/>
      </w:pPr>
      <w:r w:rsidRPr="006D790D">
        <w:t xml:space="preserve">The sponsor has submitted the list of manufacturing sites along with the responsibilities in the production of </w:t>
      </w:r>
      <w:proofErr w:type="spellStart"/>
      <w:r w:rsidRPr="006D790D">
        <w:t>Ronapreve</w:t>
      </w:r>
      <w:proofErr w:type="spellEnd"/>
      <w:r w:rsidRPr="006D790D">
        <w:t xml:space="preserve"> and specified functions.</w:t>
      </w:r>
    </w:p>
    <w:p w14:paraId="567C11AF" w14:textId="77777777" w:rsidR="00F93F70" w:rsidRPr="006D790D" w:rsidRDefault="00F93F70" w:rsidP="00F93F70">
      <w:pPr>
        <w:pStyle w:val="ListBullet"/>
        <w:numPr>
          <w:ilvl w:val="0"/>
          <w:numId w:val="0"/>
        </w:numPr>
        <w:ind w:left="357"/>
      </w:pPr>
      <w:r w:rsidRPr="006D790D">
        <w:t>Commitment is required from the sponsor that they maintain the validity of all manufacturer Good Manufacturing Clearance (GMP) Clearances for the duration of product supply to Australia. Additionally, that adherence to the conditions of GMP Clearance approval is upheld.</w:t>
      </w:r>
    </w:p>
    <w:p w14:paraId="70BF56BD" w14:textId="77777777" w:rsidR="00F93F70" w:rsidRPr="006D790D" w:rsidRDefault="00F93F70" w:rsidP="00F93F70">
      <w:pPr>
        <w:pStyle w:val="ListBullet"/>
      </w:pPr>
      <w:r w:rsidRPr="006D790D">
        <w:t>Medicine Labels</w:t>
      </w:r>
    </w:p>
    <w:p w14:paraId="776F8DA3" w14:textId="77777777" w:rsidR="00F93F70" w:rsidRPr="006D790D" w:rsidRDefault="00F93F70" w:rsidP="00F93F70">
      <w:pPr>
        <w:pStyle w:val="ListBullet"/>
        <w:numPr>
          <w:ilvl w:val="0"/>
          <w:numId w:val="0"/>
        </w:numPr>
        <w:ind w:left="357"/>
      </w:pPr>
      <w:r w:rsidRPr="006D790D">
        <w:t>Unless otherwise agreed to by the Secretary following an application under section 9D of the Act, the product must only be supplied with the following labels:</w:t>
      </w:r>
    </w:p>
    <w:p w14:paraId="0D99A585" w14:textId="77777777" w:rsidR="00F93F70" w:rsidRPr="006D790D" w:rsidRDefault="00F93F70" w:rsidP="00F93F70">
      <w:pPr>
        <w:pStyle w:val="ListBullet"/>
        <w:numPr>
          <w:ilvl w:val="0"/>
          <w:numId w:val="0"/>
        </w:numPr>
        <w:ind w:left="357"/>
      </w:pPr>
      <w:r w:rsidRPr="006D790D">
        <w:t>the international label as follows:</w:t>
      </w:r>
    </w:p>
    <w:p w14:paraId="5A6FAA2B" w14:textId="77777777" w:rsidR="00F93F70" w:rsidRPr="006D790D" w:rsidRDefault="00F93F70" w:rsidP="00F93F70">
      <w:pPr>
        <w:pStyle w:val="ListBullet2"/>
      </w:pPr>
      <w:r w:rsidRPr="006D790D">
        <w:t>A) Single Use carton label</w:t>
      </w:r>
    </w:p>
    <w:p w14:paraId="08E01F12" w14:textId="77777777" w:rsidR="00F93F70" w:rsidRPr="006D790D" w:rsidRDefault="00F93F70" w:rsidP="00F93F70">
      <w:pPr>
        <w:pStyle w:val="ListBullet2"/>
      </w:pPr>
      <w:r w:rsidRPr="006D790D">
        <w:t>B) Single Use vial label</w:t>
      </w:r>
    </w:p>
    <w:p w14:paraId="1914BB26" w14:textId="77777777" w:rsidR="00F93F70" w:rsidRPr="006D790D" w:rsidRDefault="00F93F70" w:rsidP="00F93F70">
      <w:pPr>
        <w:pStyle w:val="ListBullet2"/>
      </w:pPr>
      <w:r w:rsidRPr="006D790D">
        <w:t>C) Multi-use vial label</w:t>
      </w:r>
    </w:p>
    <w:p w14:paraId="4B5C70D4" w14:textId="77777777" w:rsidR="00F93F70" w:rsidRPr="006D790D" w:rsidRDefault="00F93F70" w:rsidP="00F93F70">
      <w:pPr>
        <w:pStyle w:val="ListBullet2"/>
      </w:pPr>
      <w:r w:rsidRPr="006D790D">
        <w:t>D) Multi-use carton label</w:t>
      </w:r>
    </w:p>
    <w:p w14:paraId="34614E8E" w14:textId="77777777" w:rsidR="00F93F70" w:rsidRPr="006D790D" w:rsidRDefault="00F93F70" w:rsidP="00F93F70">
      <w:pPr>
        <w:pStyle w:val="ListBullet"/>
        <w:numPr>
          <w:ilvl w:val="0"/>
          <w:numId w:val="0"/>
        </w:numPr>
        <w:ind w:left="357"/>
      </w:pPr>
      <w:r w:rsidRPr="006D790D">
        <w:lastRenderedPageBreak/>
        <w:t>The sponsor will develop Australian-specific labels for the product, that conform with all relevant Australian labelling requirements, and will take all reasonable steps to implement such labelling before the end of the provisional registration period referred to in subsection 29(3) of the Act (being the period of 2 years starting on the day specified in the ARTG certificate of registration) (noting that, consistent with paragraph 28(5)(</w:t>
      </w:r>
      <w:proofErr w:type="spellStart"/>
      <w:r w:rsidRPr="006D790D">
        <w:t>aaa</w:t>
      </w:r>
      <w:proofErr w:type="spellEnd"/>
      <w:r w:rsidRPr="006D790D">
        <w:t>) of the Act, changes to such matters as labels that have been agreed to as part of an evaluation under section 25 of the Act may only occur following submission under section 9D of a 'variation' application and approval by the TGA).</w:t>
      </w:r>
    </w:p>
    <w:p w14:paraId="352B76B1" w14:textId="77777777" w:rsidR="008E7846" w:rsidRPr="006D790D" w:rsidRDefault="00A80B5B" w:rsidP="00D23139">
      <w:pPr>
        <w:pStyle w:val="Heading2"/>
      </w:pPr>
      <w:bookmarkStart w:id="144" w:name="_Toc86748274"/>
      <w:r w:rsidRPr="006D790D">
        <w:t xml:space="preserve">Attachment 1. </w:t>
      </w:r>
      <w:r w:rsidR="008E7846" w:rsidRPr="006D790D">
        <w:t xml:space="preserve">Product </w:t>
      </w:r>
      <w:r w:rsidR="00AA0ED0" w:rsidRPr="006D790D">
        <w:t>I</w:t>
      </w:r>
      <w:r w:rsidR="008E7846" w:rsidRPr="006D790D">
        <w:t>nformation</w:t>
      </w:r>
      <w:bookmarkEnd w:id="142"/>
      <w:bookmarkEnd w:id="143"/>
      <w:bookmarkEnd w:id="144"/>
    </w:p>
    <w:p w14:paraId="5F752EDA" w14:textId="211E5733" w:rsidR="00C80137" w:rsidRPr="006D790D" w:rsidRDefault="006136D7" w:rsidP="00C80137">
      <w:pPr>
        <w:rPr>
          <w:color w:val="000000"/>
          <w:lang w:eastAsia="en-AU"/>
        </w:rPr>
      </w:pPr>
      <w:r w:rsidRPr="006D790D">
        <w:t xml:space="preserve">The PI for </w:t>
      </w:r>
      <w:proofErr w:type="spellStart"/>
      <w:r w:rsidR="00873F42" w:rsidRPr="006D790D">
        <w:t>Ronapreve</w:t>
      </w:r>
      <w:proofErr w:type="spellEnd"/>
      <w:r w:rsidRPr="006D790D">
        <w:t xml:space="preserve"> approved with the submission which is described in this </w:t>
      </w:r>
      <w:proofErr w:type="spellStart"/>
      <w:r w:rsidRPr="006D790D">
        <w:t>AusPAR</w:t>
      </w:r>
      <w:proofErr w:type="spellEnd"/>
      <w:r w:rsidRPr="006D790D">
        <w:t xml:space="preserve"> is at Attachment 1. For the most recent PI, please refer to the TGA website at </w:t>
      </w:r>
      <w:r w:rsidR="007C6B9B" w:rsidRPr="006D790D">
        <w:t>&lt;</w:t>
      </w:r>
      <w:hyperlink r:id="rId74" w:history="1">
        <w:r w:rsidR="007C6B9B" w:rsidRPr="006D790D">
          <w:rPr>
            <w:rStyle w:val="Hyperlink"/>
          </w:rPr>
          <w:t>https://www.tga.gov.au/product-information-pi</w:t>
        </w:r>
      </w:hyperlink>
      <w:r w:rsidR="007C6B9B" w:rsidRPr="006D790D">
        <w:t>&gt;.</w:t>
      </w:r>
    </w:p>
    <w:p w14:paraId="47246268" w14:textId="7D1E0B5F" w:rsidR="00744121" w:rsidRPr="006D790D" w:rsidRDefault="008E7846" w:rsidP="00FC4DF1">
      <w:pPr>
        <w:autoSpaceDE w:val="0"/>
        <w:autoSpaceDN w:val="0"/>
        <w:adjustRightInd w:val="0"/>
        <w:spacing w:after="0"/>
        <w:rPr>
          <w:b/>
        </w:rPr>
      </w:pPr>
      <w:r w:rsidRPr="006D790D">
        <w:rPr>
          <w:b/>
        </w:rPr>
        <w:br w:type="page"/>
      </w:r>
    </w:p>
    <w:p w14:paraId="59E00473" w14:textId="77777777" w:rsidR="00C80137" w:rsidRPr="006D790D" w:rsidRDefault="00C80137" w:rsidP="003A7F6C">
      <w:pPr>
        <w:pStyle w:val="TableTitle"/>
        <w:sectPr w:rsidR="00C80137" w:rsidRPr="006D790D" w:rsidSect="00B452CE">
          <w:headerReference w:type="even" r:id="rId75"/>
          <w:headerReference w:type="default" r:id="rId76"/>
          <w:headerReference w:type="first" r:id="rId77"/>
          <w:footerReference w:type="first" r:id="rId78"/>
          <w:pgSz w:w="11906" w:h="16838" w:code="9"/>
          <w:pgMar w:top="834" w:right="1701" w:bottom="1191" w:left="1701"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1C32CD" w:rsidRPr="006D790D" w14:paraId="5D7CF342" w14:textId="77777777" w:rsidTr="00A05FA4">
        <w:trPr>
          <w:trHeight w:hRule="exact" w:val="704"/>
        </w:trPr>
        <w:tc>
          <w:tcPr>
            <w:tcW w:w="9175" w:type="dxa"/>
          </w:tcPr>
          <w:p w14:paraId="0217935C" w14:textId="77777777" w:rsidR="001C32CD" w:rsidRPr="006D790D" w:rsidRDefault="001C32CD" w:rsidP="00A05FA4">
            <w:pPr>
              <w:pStyle w:val="TGASignoff"/>
            </w:pPr>
            <w:r w:rsidRPr="006D790D">
              <w:lastRenderedPageBreak/>
              <w:t>Therapeutic Goods Administration</w:t>
            </w:r>
          </w:p>
        </w:tc>
      </w:tr>
      <w:tr w:rsidR="001C32CD" w:rsidRPr="004C239D" w14:paraId="3FF95A8D" w14:textId="77777777" w:rsidTr="00A05FA4">
        <w:trPr>
          <w:trHeight w:val="1221"/>
        </w:trPr>
        <w:tc>
          <w:tcPr>
            <w:tcW w:w="9175" w:type="dxa"/>
            <w:tcMar>
              <w:top w:w="28" w:type="dxa"/>
            </w:tcMar>
          </w:tcPr>
          <w:p w14:paraId="1D8D05B8" w14:textId="77777777" w:rsidR="001C32CD" w:rsidRPr="006D790D" w:rsidRDefault="001C32CD" w:rsidP="00A05FA4">
            <w:pPr>
              <w:pStyle w:val="Address"/>
            </w:pPr>
            <w:r w:rsidRPr="006D790D">
              <w:t>PO Box 100 Woden ACT 2606 Australia</w:t>
            </w:r>
          </w:p>
          <w:p w14:paraId="46212D0C" w14:textId="2404054A" w:rsidR="001C32CD" w:rsidRPr="006D790D" w:rsidRDefault="001C32CD" w:rsidP="00A05FA4">
            <w:pPr>
              <w:pStyle w:val="Address"/>
            </w:pPr>
            <w:r w:rsidRPr="006D790D">
              <w:t xml:space="preserve">Email: </w:t>
            </w:r>
            <w:hyperlink r:id="rId79" w:history="1">
              <w:r w:rsidRPr="006D790D">
                <w:rPr>
                  <w:rStyle w:val="Hyperlink"/>
                </w:rPr>
                <w:t>info@tga.gov.au</w:t>
              </w:r>
            </w:hyperlink>
            <w:r w:rsidRPr="006D790D">
              <w:t xml:space="preserve">  Phone: 1800 020 </w:t>
            </w:r>
            <w:proofErr w:type="gramStart"/>
            <w:r w:rsidRPr="006D790D">
              <w:t>653  Fax</w:t>
            </w:r>
            <w:proofErr w:type="gramEnd"/>
            <w:r w:rsidRPr="006D790D">
              <w:t>: 02 6232 8605</w:t>
            </w:r>
          </w:p>
          <w:p w14:paraId="01CA10F6" w14:textId="494B9F7B" w:rsidR="001C32CD" w:rsidRPr="004C239D" w:rsidRDefault="004E3C0E" w:rsidP="00A05FA4">
            <w:pPr>
              <w:pStyle w:val="Address"/>
              <w:spacing w:line="260" w:lineRule="atLeast"/>
              <w:rPr>
                <w:b/>
                <w:color w:val="0000FF"/>
                <w:u w:val="single"/>
              </w:rPr>
            </w:pPr>
            <w:hyperlink r:id="rId80" w:history="1">
              <w:r w:rsidR="007C6B9B" w:rsidRPr="006D790D">
                <w:rPr>
                  <w:rStyle w:val="Hyperlink"/>
                  <w:b/>
                </w:rPr>
                <w:t>https://www.tga.gov.au</w:t>
              </w:r>
            </w:hyperlink>
          </w:p>
        </w:tc>
      </w:tr>
    </w:tbl>
    <w:p w14:paraId="5C139B01" w14:textId="77777777" w:rsidR="00774E1D" w:rsidRPr="008A5E0B" w:rsidRDefault="00774E1D" w:rsidP="004C239D"/>
    <w:sectPr w:rsidR="00774E1D" w:rsidRPr="008A5E0B" w:rsidSect="001C32CD">
      <w:headerReference w:type="even" r:id="rId81"/>
      <w:headerReference w:type="default" r:id="rId82"/>
      <w:footerReference w:type="default" r:id="rId83"/>
      <w:headerReference w:type="first" r:id="rId84"/>
      <w:footerReference w:type="first" r:id="rId85"/>
      <w:pgSz w:w="11906" w:h="16838" w:code="9"/>
      <w:pgMar w:top="13467" w:right="1701" w:bottom="426" w:left="1701" w:header="90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5C985B" w14:textId="77777777" w:rsidR="004E3C0E" w:rsidRDefault="004E3C0E" w:rsidP="00C40A36">
      <w:pPr>
        <w:spacing w:after="0"/>
      </w:pPr>
      <w:r>
        <w:separator/>
      </w:r>
    </w:p>
  </w:endnote>
  <w:endnote w:type="continuationSeparator" w:id="0">
    <w:p w14:paraId="66FC2365" w14:textId="77777777" w:rsidR="004E3C0E" w:rsidRDefault="004E3C0E"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ymbolMT">
    <w:altName w:val="Microsoft JhengHei"/>
    <w:panose1 w:val="00000000000000000000"/>
    <w:charset w:val="88"/>
    <w:family w:val="auto"/>
    <w:notTrueType/>
    <w:pitch w:val="default"/>
    <w:sig w:usb0="00000003" w:usb1="08080000" w:usb2="00000010" w:usb3="00000000" w:csb0="00100001" w:csb1="00000000"/>
  </w:font>
  <w:font w:name="Arial">
    <w:panose1 w:val="020B0604020202020204"/>
    <w:charset w:val="00"/>
    <w:family w:val="swiss"/>
    <w:pitch w:val="variable"/>
    <w:sig w:usb0="E0002EFF" w:usb1="C000785B" w:usb2="00000009" w:usb3="00000000" w:csb0="000001FF" w:csb1="00000000"/>
  </w:font>
  <w:font w:name="Minion-Regular">
    <w:altName w:val="Yu Gothic"/>
    <w:panose1 w:val="00000000000000000000"/>
    <w:charset w:val="80"/>
    <w:family w:val="auto"/>
    <w:notTrueType/>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A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Wingdings 3">
    <w:panose1 w:val="05040102010807070707"/>
    <w:charset w:val="02"/>
    <w:family w:val="roman"/>
    <w:pitch w:val="variable"/>
    <w:sig w:usb0="00000000" w:usb1="10000000" w:usb2="00000000" w:usb3="00000000" w:csb0="80000000" w:csb1="00000000"/>
  </w:font>
  <w:font w:name="Minion-Bold">
    <w:altName w:val="Calibri"/>
    <w:panose1 w:val="00000000000000000000"/>
    <w:charset w:val="00"/>
    <w:family w:val="swiss"/>
    <w:notTrueType/>
    <w:pitch w:val="default"/>
    <w:sig w:usb0="00000003" w:usb1="00000000" w:usb2="00000000" w:usb3="00000000" w:csb0="00000001" w:csb1="00000000"/>
  </w:font>
  <w:font w:name="TimesNewRomanPSMT">
    <w:altName w:val="MS Gothic"/>
    <w:panose1 w:val="00000000000000000000"/>
    <w:charset w:val="80"/>
    <w:family w:val="auto"/>
    <w:notTrueType/>
    <w:pitch w:val="default"/>
    <w:sig w:usb0="00000003" w:usb1="08070000" w:usb2="00000010" w:usb3="00000000" w:csb0="00020001" w:csb1="00000000"/>
  </w:font>
  <w:font w:name="TimesNewRomanPS-BoldItalicMT">
    <w:altName w:val="Yu Gothic"/>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A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C620F6" w14:textId="77777777" w:rsidR="004E3C0E" w:rsidRDefault="004E3C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4E3C0E" w:rsidRPr="00487162" w14:paraId="3215DD08" w14:textId="77777777" w:rsidTr="00DB750B">
      <w:trPr>
        <w:trHeight w:val="269"/>
      </w:trPr>
      <w:tc>
        <w:tcPr>
          <w:tcW w:w="7371" w:type="dxa"/>
          <w:tcMar>
            <w:top w:w="142" w:type="dxa"/>
            <w:bottom w:w="0" w:type="dxa"/>
          </w:tcMar>
        </w:tcPr>
        <w:p w14:paraId="63451F90" w14:textId="38F1F486" w:rsidR="004E3C0E" w:rsidRPr="00487162" w:rsidRDefault="004E3C0E" w:rsidP="00460036">
          <w:pPr>
            <w:pStyle w:val="Footer"/>
          </w:pPr>
          <w:proofErr w:type="spellStart"/>
          <w:r w:rsidRPr="00487162">
            <w:t>AusPA</w:t>
          </w:r>
          <w:r>
            <w:t>R</w:t>
          </w:r>
          <w:proofErr w:type="spellEnd"/>
          <w:r>
            <w:t xml:space="preserve"> - </w:t>
          </w:r>
          <w:proofErr w:type="spellStart"/>
          <w:r w:rsidRPr="00873F42">
            <w:t>Ronapreve</w:t>
          </w:r>
          <w:proofErr w:type="spellEnd"/>
          <w:r w:rsidRPr="00873F42">
            <w:t xml:space="preserve"> </w:t>
          </w:r>
          <w:r w:rsidRPr="00460036">
            <w:t xml:space="preserve">– </w:t>
          </w:r>
          <w:proofErr w:type="spellStart"/>
          <w:r w:rsidRPr="00873F42">
            <w:t>casirivimab</w:t>
          </w:r>
          <w:proofErr w:type="spellEnd"/>
          <w:r w:rsidRPr="00873F42">
            <w:t>/</w:t>
          </w:r>
          <w:proofErr w:type="spellStart"/>
          <w:r w:rsidRPr="00873F42">
            <w:t>imdevimab</w:t>
          </w:r>
          <w:proofErr w:type="spellEnd"/>
          <w:r w:rsidRPr="00873F42">
            <w:t xml:space="preserve"> </w:t>
          </w:r>
          <w:r>
            <w:t xml:space="preserve">- </w:t>
          </w:r>
          <w:r w:rsidRPr="009805CF">
            <w:t>Roche Products Pty Limited</w:t>
          </w:r>
          <w:r>
            <w:t xml:space="preserve"> - </w:t>
          </w:r>
          <w:r w:rsidRPr="00873F42">
            <w:t>PM-2021-03952-1-2</w:t>
          </w:r>
          <w:r>
            <w:br/>
            <w:t>Final 25 October 2021</w:t>
          </w:r>
        </w:p>
      </w:tc>
      <w:tc>
        <w:tcPr>
          <w:tcW w:w="1490" w:type="dxa"/>
          <w:tcMar>
            <w:top w:w="142" w:type="dxa"/>
            <w:bottom w:w="0" w:type="dxa"/>
          </w:tcMar>
        </w:tcPr>
        <w:p w14:paraId="6DD8D2A4" w14:textId="792C82CE" w:rsidR="004E3C0E" w:rsidRPr="00487162" w:rsidRDefault="004E3C0E" w:rsidP="00DB750B">
          <w:pPr>
            <w:pStyle w:val="Footer"/>
            <w:jc w:val="right"/>
          </w:pPr>
          <w:r w:rsidRPr="00487162">
            <w:t xml:space="preserve">Page </w:t>
          </w:r>
          <w:r>
            <w:fldChar w:fldCharType="begin"/>
          </w:r>
          <w:r>
            <w:instrText xml:space="preserve"> PAGE  \* Arabic </w:instrText>
          </w:r>
          <w:r>
            <w:fldChar w:fldCharType="separate"/>
          </w:r>
          <w:r>
            <w:rPr>
              <w:noProof/>
            </w:rPr>
            <w:t>36</w:t>
          </w:r>
          <w:r>
            <w:fldChar w:fldCharType="end"/>
          </w:r>
          <w:r w:rsidRPr="00487162">
            <w:t xml:space="preserve"> of </w:t>
          </w:r>
          <w:fldSimple w:instr=" NUMPAGES  \* Arabic ">
            <w:r>
              <w:rPr>
                <w:noProof/>
              </w:rPr>
              <w:t>78</w:t>
            </w:r>
          </w:fldSimple>
        </w:p>
      </w:tc>
    </w:tr>
  </w:tbl>
  <w:p w14:paraId="0BCD54B3" w14:textId="77777777" w:rsidR="004E3C0E" w:rsidRDefault="004E3C0E" w:rsidP="003D1E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3323D2" w14:textId="77777777" w:rsidR="004E3C0E" w:rsidRDefault="004E3C0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4E3C0E" w:rsidRPr="00487162" w14:paraId="2581ADD9" w14:textId="77777777" w:rsidTr="00E45619">
      <w:trPr>
        <w:trHeight w:val="269"/>
      </w:trPr>
      <w:tc>
        <w:tcPr>
          <w:tcW w:w="4519" w:type="dxa"/>
          <w:tcBorders>
            <w:top w:val="single" w:sz="4" w:space="0" w:color="auto"/>
          </w:tcBorders>
          <w:tcMar>
            <w:top w:w="142" w:type="dxa"/>
            <w:bottom w:w="0" w:type="dxa"/>
          </w:tcMar>
        </w:tcPr>
        <w:p w14:paraId="02BB4DF5" w14:textId="77777777" w:rsidR="004E3C0E" w:rsidRPr="00487162" w:rsidRDefault="004E3C0E" w:rsidP="00FE1DEE">
          <w:pPr>
            <w:pStyle w:val="Footer"/>
          </w:pPr>
          <w:r w:rsidRPr="00487162">
            <w:t>Document title, Part #, Section # - Section title</w:t>
          </w:r>
        </w:p>
        <w:p w14:paraId="66AA6ABF" w14:textId="77777777" w:rsidR="004E3C0E" w:rsidRPr="00487162" w:rsidRDefault="004E3C0E" w:rsidP="00FE1DEE">
          <w:pPr>
            <w:pStyle w:val="Footer"/>
          </w:pPr>
          <w:r w:rsidRPr="00487162">
            <w:t>V1.0 October 2010</w:t>
          </w:r>
        </w:p>
      </w:tc>
      <w:tc>
        <w:tcPr>
          <w:tcW w:w="4342" w:type="dxa"/>
          <w:tcBorders>
            <w:top w:val="single" w:sz="4" w:space="0" w:color="auto"/>
          </w:tcBorders>
          <w:tcMar>
            <w:top w:w="142" w:type="dxa"/>
            <w:bottom w:w="0" w:type="dxa"/>
          </w:tcMar>
        </w:tcPr>
        <w:p w14:paraId="32CE0AD0" w14:textId="77777777" w:rsidR="004E3C0E" w:rsidRPr="00487162" w:rsidRDefault="004E3C0E"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21</w:t>
            </w:r>
          </w:fldSimple>
        </w:p>
      </w:tc>
    </w:tr>
  </w:tbl>
  <w:p w14:paraId="7AF720F7" w14:textId="77777777" w:rsidR="004E3C0E" w:rsidRDefault="004E3C0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2B0A1" w14:textId="77777777" w:rsidR="004E3C0E" w:rsidRPr="001C32CD" w:rsidRDefault="004E3C0E" w:rsidP="001C32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4E3C0E" w14:paraId="4CFB73CB" w14:textId="77777777" w:rsidTr="0010601F">
      <w:trPr>
        <w:trHeight w:val="108"/>
      </w:trPr>
      <w:tc>
        <w:tcPr>
          <w:tcW w:w="8875" w:type="dxa"/>
          <w:gridSpan w:val="2"/>
          <w:tcBorders>
            <w:bottom w:val="single" w:sz="4" w:space="0" w:color="auto"/>
          </w:tcBorders>
          <w:tcMar>
            <w:right w:w="284" w:type="dxa"/>
          </w:tcMar>
        </w:tcPr>
        <w:p w14:paraId="6747A353" w14:textId="77777777" w:rsidR="004E3C0E" w:rsidRDefault="004E3C0E" w:rsidP="006E08B3">
          <w:pPr>
            <w:pStyle w:val="Heading3"/>
          </w:pPr>
          <w:r>
            <w:t>Copyright</w:t>
          </w:r>
        </w:p>
        <w:p w14:paraId="4251A2DC" w14:textId="77777777" w:rsidR="004E3C0E" w:rsidRDefault="004E3C0E" w:rsidP="006E08B3">
          <w:r>
            <w:rPr>
              <w:rFonts w:cs="Arial"/>
            </w:rPr>
            <w:t>©</w:t>
          </w:r>
          <w:r>
            <w:t xml:space="preserve"> Commonwealth of Australia [add year]</w:t>
          </w:r>
        </w:p>
        <w:p w14:paraId="50E1A77D" w14:textId="77777777" w:rsidR="004E3C0E" w:rsidRDefault="004E3C0E" w:rsidP="006E08B3"/>
        <w:p w14:paraId="7BE350E1" w14:textId="77777777" w:rsidR="004E3C0E" w:rsidRDefault="004E3C0E"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w:t>
          </w:r>
          <w:proofErr w:type="gramStart"/>
          <w:r>
            <w:t xml:space="preserve">at  </w:t>
          </w:r>
          <w:r w:rsidRPr="006E08B3">
            <w:t>http://www.ag.gov.au/cca</w:t>
          </w:r>
          <w:proofErr w:type="gramEnd"/>
        </w:p>
        <w:p w14:paraId="5AA2CC36" w14:textId="77777777" w:rsidR="004E3C0E" w:rsidRDefault="004E3C0E" w:rsidP="006E08B3"/>
        <w:p w14:paraId="328112DA" w14:textId="77777777" w:rsidR="004E3C0E" w:rsidRDefault="004E3C0E" w:rsidP="006E08B3">
          <w:pPr>
            <w:pStyle w:val="Heading3"/>
          </w:pPr>
          <w:r>
            <w:t>Confidentiality</w:t>
          </w:r>
        </w:p>
        <w:p w14:paraId="1CBD09DE" w14:textId="77777777" w:rsidR="004E3C0E" w:rsidRDefault="004E3C0E"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1B3046DE" w14:textId="77777777" w:rsidR="004E3C0E" w:rsidRDefault="004E3C0E" w:rsidP="006E08B3"/>
        <w:p w14:paraId="261B757D" w14:textId="77777777" w:rsidR="004E3C0E" w:rsidRDefault="004E3C0E" w:rsidP="006E08B3">
          <w:r>
            <w:t>For submission made by individuals, all personal details, other than your name, will be removed from your submission before it is published on the TGA’s Internet site.</w:t>
          </w:r>
        </w:p>
        <w:p w14:paraId="0676F0CA" w14:textId="77777777" w:rsidR="004E3C0E" w:rsidRDefault="004E3C0E" w:rsidP="006E08B3"/>
        <w:p w14:paraId="1C002796" w14:textId="77777777" w:rsidR="004E3C0E" w:rsidRDefault="004E3C0E"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4E3C0E" w14:paraId="3A40E745" w14:textId="77777777" w:rsidTr="0010601F">
      <w:trPr>
        <w:trHeight w:val="417"/>
      </w:trPr>
      <w:tc>
        <w:tcPr>
          <w:tcW w:w="4519" w:type="dxa"/>
          <w:tcBorders>
            <w:top w:val="single" w:sz="4" w:space="0" w:color="auto"/>
          </w:tcBorders>
          <w:tcMar>
            <w:top w:w="142" w:type="dxa"/>
            <w:bottom w:w="0" w:type="dxa"/>
          </w:tcMar>
        </w:tcPr>
        <w:p w14:paraId="65960577" w14:textId="77777777" w:rsidR="004E3C0E" w:rsidRDefault="004E3C0E" w:rsidP="006E08B3">
          <w:r>
            <w:t>Document title, Part #, Section # - Section title</w:t>
          </w:r>
        </w:p>
        <w:p w14:paraId="475C9473" w14:textId="77777777" w:rsidR="004E3C0E" w:rsidRDefault="004E3C0E" w:rsidP="006E08B3">
          <w:r>
            <w:t>V1.0 October 2010</w:t>
          </w:r>
        </w:p>
      </w:tc>
      <w:tc>
        <w:tcPr>
          <w:tcW w:w="4356" w:type="dxa"/>
          <w:tcBorders>
            <w:top w:val="single" w:sz="4" w:space="0" w:color="auto"/>
          </w:tcBorders>
          <w:tcMar>
            <w:top w:w="142" w:type="dxa"/>
            <w:bottom w:w="0" w:type="dxa"/>
          </w:tcMar>
        </w:tcPr>
        <w:p w14:paraId="45B7E109" w14:textId="77777777" w:rsidR="004E3C0E" w:rsidRDefault="004E3C0E"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21</w:t>
            </w:r>
          </w:fldSimple>
          <w:r>
            <w:t xml:space="preserve">  </w:t>
          </w:r>
        </w:p>
      </w:tc>
    </w:tr>
  </w:tbl>
  <w:p w14:paraId="66F5031A" w14:textId="77777777" w:rsidR="004E3C0E" w:rsidRDefault="004E3C0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E0720C" w14:textId="77777777" w:rsidR="004E3C0E" w:rsidRDefault="004E3C0E" w:rsidP="00C40A36">
      <w:pPr>
        <w:spacing w:after="0"/>
      </w:pPr>
      <w:r>
        <w:separator/>
      </w:r>
    </w:p>
  </w:footnote>
  <w:footnote w:type="continuationSeparator" w:id="0">
    <w:p w14:paraId="153576D4" w14:textId="77777777" w:rsidR="004E3C0E" w:rsidRDefault="004E3C0E" w:rsidP="00C40A36">
      <w:pPr>
        <w:spacing w:after="0"/>
      </w:pPr>
      <w:r>
        <w:continuationSeparator/>
      </w:r>
    </w:p>
  </w:footnote>
  <w:footnote w:id="1">
    <w:p w14:paraId="723CA8C0" w14:textId="77777777" w:rsidR="004E3C0E" w:rsidRDefault="004E3C0E">
      <w:pPr>
        <w:pStyle w:val="FootnoteText"/>
      </w:pPr>
      <w:r>
        <w:rPr>
          <w:rStyle w:val="FootnoteReference"/>
        </w:rPr>
        <w:footnoteRef/>
      </w:r>
      <w:r>
        <w:t xml:space="preserve"> </w:t>
      </w:r>
      <w:r w:rsidRPr="00460036">
        <w:t xml:space="preserve">The </w:t>
      </w:r>
      <w:r w:rsidRPr="00460036">
        <w:rPr>
          <w:b/>
        </w:rPr>
        <w:t>Black Triangle Scheme</w:t>
      </w:r>
      <w:r w:rsidRPr="00460036">
        <w:t xml:space="preserve"> provides a simple means for practitioners and patients to identify certain types of new prescription medicines, including those being used in new ways and to encourage the reporting of adverse events associated with their use. The Black Triangle does not denote that there are known safety problems, just that the TGA is encouraging adverse event reporting to help us build up the full picture of a medicine's safety profile.</w:t>
      </w:r>
    </w:p>
  </w:footnote>
  <w:footnote w:id="2">
    <w:p w14:paraId="78D63137" w14:textId="4D29FFF0" w:rsidR="004E3C0E" w:rsidRDefault="004E3C0E" w:rsidP="005F61F0">
      <w:pPr>
        <w:pStyle w:val="FootnoteText"/>
      </w:pPr>
      <w:r>
        <w:rPr>
          <w:rStyle w:val="FootnoteReference"/>
        </w:rPr>
        <w:footnoteRef/>
      </w:r>
      <w:r>
        <w:t xml:space="preserve"> World Health Organization (WHO) Statement on the Second Meeting of the International Health Regulations (2005) Emergency Committee Regarding the Outbreak of Novel Coronavirus (2019-nCoV). 30 January 2020. Available at: </w:t>
      </w:r>
      <w:hyperlink r:id="rId1" w:history="1">
        <w:r w:rsidRPr="00DA27E3">
          <w:rPr>
            <w:rStyle w:val="Hyperlink"/>
          </w:rPr>
          <w:t>https://www.who.int/news/item/30-01-2020-statement-on-the-second-meeting-of-the-international-health-regulations-(2005)-emergency-committee-regarding-the-outbreak-of-novel-coronavirus-(2019-ncov)</w:t>
        </w:r>
      </w:hyperlink>
    </w:p>
  </w:footnote>
  <w:footnote w:id="3">
    <w:p w14:paraId="4C2AFE98" w14:textId="24391367" w:rsidR="004E3C0E" w:rsidRDefault="004E3C0E" w:rsidP="005F61F0">
      <w:pPr>
        <w:pStyle w:val="FootnoteText"/>
      </w:pPr>
      <w:r>
        <w:rPr>
          <w:rStyle w:val="FootnoteReference"/>
        </w:rPr>
        <w:footnoteRef/>
      </w:r>
      <w:r>
        <w:t xml:space="preserve"> </w:t>
      </w:r>
      <w:r w:rsidRPr="00A86D2A">
        <w:t xml:space="preserve">World Health Organization </w:t>
      </w:r>
      <w:r>
        <w:t xml:space="preserve">(WHO) Director-General's Opening Remarks at the Media Briefing on COVID-19. 11 March 2020. Available at: </w:t>
      </w:r>
      <w:hyperlink r:id="rId2" w:history="1">
        <w:r w:rsidRPr="00DA27E3">
          <w:rPr>
            <w:rStyle w:val="Hyperlink"/>
          </w:rPr>
          <w:t>https://www.who.int/director-general/speeches/detail/who-director-general-s-opening-remarks-at-the-media-briefing-on-covid-19---11-march-2020</w:t>
        </w:r>
      </w:hyperlink>
    </w:p>
  </w:footnote>
  <w:footnote w:id="4">
    <w:p w14:paraId="631E741E" w14:textId="77777777" w:rsidR="004E3C0E" w:rsidRDefault="004E3C0E" w:rsidP="005F61F0">
      <w:pPr>
        <w:pStyle w:val="TableDescription"/>
      </w:pPr>
      <w:r>
        <w:rPr>
          <w:rStyle w:val="FootnoteReference"/>
        </w:rPr>
        <w:footnoteRef/>
      </w:r>
      <w:r>
        <w:t xml:space="preserve"> As part of the </w:t>
      </w:r>
      <w:r>
        <w:rPr>
          <w:b/>
        </w:rPr>
        <w:t>provisional approval pathway</w:t>
      </w:r>
      <w:r>
        <w:t xml:space="preserve">, the provisional registration process will allow certain medicines to be provisionally registered in the Australian Register of Therapeutic Goods (ARTG) for a limited duration. These medicines are registered </w:t>
      </w:r>
      <w:proofErr w:type="gramStart"/>
      <w:r>
        <w:t>on the basis of</w:t>
      </w:r>
      <w:proofErr w:type="gramEnd"/>
      <w:r>
        <w:t xml:space="preserve"> preliminary clinical data, where there is the potential for a substantial benefit to Australian patients. The TGA will re-assess risks related to the absence of evidence through data provided at a later stage, as part of the confirmatory data. Confirmatory data should confirm the relationship between outcomes predicted by the surrogate endpoint, or other preliminary data, and the clinical benefit as demonstrated by direct clinical outcomes.</w:t>
      </w:r>
    </w:p>
    <w:p w14:paraId="2259819C" w14:textId="77777777" w:rsidR="004E3C0E" w:rsidRDefault="004E3C0E" w:rsidP="005F61F0">
      <w:pPr>
        <w:pStyle w:val="TableDescription"/>
      </w:pPr>
      <w:r>
        <w:t>The sponsor may apply to transition to full registration at any time up until the provisional registration lapse date, once they have completed the obligations outlined for the provisional registration period and complete confirmatory data on safety and efficacy are available.</w:t>
      </w:r>
    </w:p>
  </w:footnote>
  <w:footnote w:id="5">
    <w:p w14:paraId="0578D983" w14:textId="47B5CD45" w:rsidR="004E3C0E" w:rsidRDefault="004E3C0E">
      <w:pPr>
        <w:pStyle w:val="FootnoteText"/>
      </w:pPr>
      <w:r>
        <w:rPr>
          <w:rStyle w:val="FootnoteReference"/>
        </w:rPr>
        <w:footnoteRef/>
      </w:r>
      <w:r>
        <w:t xml:space="preserve"> </w:t>
      </w:r>
      <w:proofErr w:type="spellStart"/>
      <w:r w:rsidRPr="00E0067A">
        <w:t>Veklury</w:t>
      </w:r>
      <w:proofErr w:type="spellEnd"/>
      <w:r w:rsidRPr="00E0067A">
        <w:t xml:space="preserve"> </w:t>
      </w:r>
      <w:r w:rsidRPr="00B4694F">
        <w:t xml:space="preserve">was first registered on the ARTG on </w:t>
      </w:r>
      <w:r w:rsidRPr="00E0067A">
        <w:t>10</w:t>
      </w:r>
      <w:r>
        <w:t xml:space="preserve"> July </w:t>
      </w:r>
      <w:r w:rsidRPr="00E0067A">
        <w:t xml:space="preserve">2020 </w:t>
      </w:r>
      <w:r w:rsidRPr="00B4694F">
        <w:t xml:space="preserve">(ARTG number: </w:t>
      </w:r>
      <w:r w:rsidRPr="00E0067A">
        <w:t>338419</w:t>
      </w:r>
      <w:r w:rsidRPr="00B4694F">
        <w:t>).</w:t>
      </w:r>
    </w:p>
  </w:footnote>
  <w:footnote w:id="6">
    <w:p w14:paraId="6A083796" w14:textId="666A345F" w:rsidR="004E3C0E" w:rsidRDefault="004E3C0E">
      <w:pPr>
        <w:pStyle w:val="FootnoteText"/>
      </w:pPr>
      <w:r>
        <w:rPr>
          <w:rStyle w:val="FootnoteReference"/>
        </w:rPr>
        <w:footnoteRef/>
      </w:r>
      <w:r>
        <w:t xml:space="preserve"> </w:t>
      </w:r>
      <w:proofErr w:type="spellStart"/>
      <w:r w:rsidRPr="005F61F0">
        <w:t>AusPAR</w:t>
      </w:r>
      <w:proofErr w:type="spellEnd"/>
      <w:r w:rsidRPr="005F61F0">
        <w:t xml:space="preserve"> for </w:t>
      </w:r>
      <w:proofErr w:type="spellStart"/>
      <w:r w:rsidRPr="005F61F0">
        <w:t>Veklury</w:t>
      </w:r>
      <w:proofErr w:type="spellEnd"/>
      <w:r w:rsidRPr="005F61F0">
        <w:t xml:space="preserve"> </w:t>
      </w:r>
      <w:r>
        <w:t>(</w:t>
      </w:r>
      <w:proofErr w:type="spellStart"/>
      <w:r w:rsidRPr="005F61F0">
        <w:t>remdesivir</w:t>
      </w:r>
      <w:proofErr w:type="spellEnd"/>
      <w:r>
        <w:t>) n</w:t>
      </w:r>
      <w:r w:rsidRPr="00E0067A">
        <w:t>ew chemical entity</w:t>
      </w:r>
      <w:r>
        <w:t xml:space="preserve">, published on </w:t>
      </w:r>
      <w:r w:rsidRPr="00E0067A">
        <w:t>21 July 2020</w:t>
      </w:r>
      <w:r>
        <w:t>. A</w:t>
      </w:r>
      <w:r w:rsidRPr="005F61F0">
        <w:t>vailable</w:t>
      </w:r>
      <w:r>
        <w:t> </w:t>
      </w:r>
      <w:r w:rsidRPr="005F61F0">
        <w:t>at:</w:t>
      </w:r>
      <w:r>
        <w:t> </w:t>
      </w:r>
      <w:hyperlink r:id="rId3" w:history="1">
        <w:r w:rsidRPr="00DA27E3">
          <w:rPr>
            <w:rStyle w:val="Hyperlink"/>
          </w:rPr>
          <w:t>https://www.tga.gov.au/auspar/auspar-remdesivir</w:t>
        </w:r>
      </w:hyperlink>
    </w:p>
  </w:footnote>
  <w:footnote w:id="7">
    <w:p w14:paraId="1EFC7E9C" w14:textId="70EB914A" w:rsidR="004E3C0E" w:rsidRDefault="004E3C0E">
      <w:pPr>
        <w:pStyle w:val="FootnoteText"/>
      </w:pPr>
      <w:r>
        <w:rPr>
          <w:rStyle w:val="FootnoteReference"/>
        </w:rPr>
        <w:footnoteRef/>
      </w:r>
      <w:r>
        <w:t xml:space="preserve"> </w:t>
      </w:r>
      <w:proofErr w:type="spellStart"/>
      <w:r w:rsidRPr="00E0067A">
        <w:t>Xevudy</w:t>
      </w:r>
      <w:proofErr w:type="spellEnd"/>
      <w:r w:rsidRPr="00E0067A">
        <w:t xml:space="preserve"> </w:t>
      </w:r>
      <w:r w:rsidRPr="00B4694F">
        <w:t>was first registered on the ARTG on</w:t>
      </w:r>
      <w:r>
        <w:t xml:space="preserve"> </w:t>
      </w:r>
      <w:r w:rsidRPr="00E0067A">
        <w:t>20</w:t>
      </w:r>
      <w:r>
        <w:t xml:space="preserve"> August </w:t>
      </w:r>
      <w:r w:rsidRPr="00E0067A">
        <w:t>2021</w:t>
      </w:r>
      <w:r>
        <w:t xml:space="preserve"> (</w:t>
      </w:r>
      <w:r w:rsidRPr="00B4694F">
        <w:t>ARTG number:</w:t>
      </w:r>
      <w:r w:rsidRPr="00E0067A">
        <w:t xml:space="preserve"> 364110</w:t>
      </w:r>
      <w:r>
        <w:t>)</w:t>
      </w:r>
    </w:p>
  </w:footnote>
  <w:footnote w:id="8">
    <w:p w14:paraId="382CD351" w14:textId="1B269064" w:rsidR="004E3C0E" w:rsidRDefault="004E3C0E">
      <w:pPr>
        <w:pStyle w:val="FootnoteText"/>
      </w:pPr>
      <w:r>
        <w:rPr>
          <w:rStyle w:val="FootnoteReference"/>
        </w:rPr>
        <w:footnoteRef/>
      </w:r>
      <w:r>
        <w:t xml:space="preserve"> </w:t>
      </w:r>
      <w:proofErr w:type="spellStart"/>
      <w:r>
        <w:t>AusPAR</w:t>
      </w:r>
      <w:proofErr w:type="spellEnd"/>
      <w:r>
        <w:t xml:space="preserve"> for </w:t>
      </w:r>
      <w:proofErr w:type="spellStart"/>
      <w:r w:rsidRPr="00E0067A">
        <w:t>Xevudy</w:t>
      </w:r>
      <w:proofErr w:type="spellEnd"/>
      <w:r>
        <w:t xml:space="preserve"> (</w:t>
      </w:r>
      <w:proofErr w:type="spellStart"/>
      <w:r w:rsidRPr="00E0067A">
        <w:t>sotrovimab</w:t>
      </w:r>
      <w:proofErr w:type="spellEnd"/>
      <w:r>
        <w:t>) n</w:t>
      </w:r>
      <w:r w:rsidRPr="00E0067A">
        <w:t>ew biological entity</w:t>
      </w:r>
      <w:r>
        <w:t xml:space="preserve">, published on </w:t>
      </w:r>
      <w:r w:rsidRPr="00E0067A">
        <w:t>20 August 2021</w:t>
      </w:r>
      <w:r>
        <w:t>. Available at: </w:t>
      </w:r>
      <w:hyperlink r:id="rId4" w:history="1">
        <w:r w:rsidRPr="00DA27E3">
          <w:rPr>
            <w:rStyle w:val="Hyperlink"/>
          </w:rPr>
          <w:t>https://www.tga.gov.au/auspar/auspar-sotrovimab</w:t>
        </w:r>
      </w:hyperlink>
    </w:p>
  </w:footnote>
  <w:footnote w:id="9">
    <w:p w14:paraId="4267273D" w14:textId="0D105E6A" w:rsidR="004E3C0E" w:rsidRDefault="004E3C0E">
      <w:pPr>
        <w:pStyle w:val="FootnoteText"/>
      </w:pPr>
      <w:r>
        <w:rPr>
          <w:rStyle w:val="FootnoteReference"/>
        </w:rPr>
        <w:footnoteRef/>
      </w:r>
      <w:r>
        <w:t xml:space="preserve"> </w:t>
      </w:r>
      <w:proofErr w:type="spellStart"/>
      <w:r>
        <w:t>Comirnaty</w:t>
      </w:r>
      <w:proofErr w:type="spellEnd"/>
      <w:r w:rsidRPr="00B4694F">
        <w:t xml:space="preserve"> was first registered on the ARTG on 25</w:t>
      </w:r>
      <w:r>
        <w:t xml:space="preserve"> January </w:t>
      </w:r>
      <w:r w:rsidRPr="00B4694F">
        <w:t xml:space="preserve">2021 (ARTG number: </w:t>
      </w:r>
      <w:r>
        <w:t>346290</w:t>
      </w:r>
      <w:r w:rsidRPr="00B4694F">
        <w:t>).</w:t>
      </w:r>
    </w:p>
  </w:footnote>
  <w:footnote w:id="10">
    <w:p w14:paraId="7BA114DD" w14:textId="317E04FA" w:rsidR="004E3C0E" w:rsidRDefault="004E3C0E">
      <w:pPr>
        <w:pStyle w:val="FootnoteText"/>
      </w:pPr>
      <w:r>
        <w:rPr>
          <w:rStyle w:val="FootnoteReference"/>
        </w:rPr>
        <w:footnoteRef/>
      </w:r>
      <w:r>
        <w:t xml:space="preserve"> </w:t>
      </w:r>
      <w:proofErr w:type="spellStart"/>
      <w:r>
        <w:t>AusPAR</w:t>
      </w:r>
      <w:proofErr w:type="spellEnd"/>
      <w:r>
        <w:t xml:space="preserve"> for </w:t>
      </w:r>
      <w:proofErr w:type="spellStart"/>
      <w:r>
        <w:t>Comirnaty</w:t>
      </w:r>
      <w:proofErr w:type="spellEnd"/>
      <w:r>
        <w:t xml:space="preserve"> (</w:t>
      </w:r>
      <w:r w:rsidRPr="00CB4E2F">
        <w:t>BNT162b2 (mRNA)</w:t>
      </w:r>
      <w:r>
        <w:t xml:space="preserve">) new biological entity, published on 25 January 2021. Available at: </w:t>
      </w:r>
      <w:hyperlink r:id="rId5" w:history="1">
        <w:r w:rsidRPr="00AD11B1">
          <w:rPr>
            <w:rStyle w:val="Hyperlink"/>
          </w:rPr>
          <w:t>https://www.tga.gov.au/auspar/auspar-bnt162b2-mrna-comirnaty</w:t>
        </w:r>
      </w:hyperlink>
    </w:p>
  </w:footnote>
  <w:footnote w:id="11">
    <w:p w14:paraId="3F68B395" w14:textId="4A91AA95" w:rsidR="004E3C0E" w:rsidRDefault="004E3C0E">
      <w:pPr>
        <w:pStyle w:val="FootnoteText"/>
      </w:pPr>
      <w:r>
        <w:rPr>
          <w:rStyle w:val="FootnoteReference"/>
        </w:rPr>
        <w:footnoteRef/>
      </w:r>
      <w:r>
        <w:t xml:space="preserve"> </w:t>
      </w:r>
      <w:proofErr w:type="spellStart"/>
      <w:r>
        <w:t>AusPAR</w:t>
      </w:r>
      <w:proofErr w:type="spellEnd"/>
      <w:r>
        <w:t xml:space="preserve"> for </w:t>
      </w:r>
      <w:proofErr w:type="spellStart"/>
      <w:r>
        <w:t>Comirnaty</w:t>
      </w:r>
      <w:proofErr w:type="spellEnd"/>
      <w:r>
        <w:t xml:space="preserve"> (</w:t>
      </w:r>
      <w:r w:rsidRPr="00CB4E2F">
        <w:t>BNT162b2 (mRNA)</w:t>
      </w:r>
      <w:r>
        <w:t>) e</w:t>
      </w:r>
      <w:r w:rsidRPr="00D86E36">
        <w:t>xtension of indications</w:t>
      </w:r>
      <w:r>
        <w:t xml:space="preserve">, published on </w:t>
      </w:r>
      <w:r w:rsidRPr="00D86E36">
        <w:t>23 July 2021</w:t>
      </w:r>
      <w:r>
        <w:t xml:space="preserve">. Available at: </w:t>
      </w:r>
      <w:hyperlink r:id="rId6" w:history="1">
        <w:r w:rsidRPr="00AD11B1">
          <w:rPr>
            <w:rStyle w:val="Hyperlink"/>
          </w:rPr>
          <w:t>https://www.tga.gov.au/auspar/auspar-bnt162b2-mrna</w:t>
        </w:r>
      </w:hyperlink>
    </w:p>
  </w:footnote>
  <w:footnote w:id="12">
    <w:p w14:paraId="0FE9D673" w14:textId="1FD7C89E" w:rsidR="004E3C0E" w:rsidRDefault="004E3C0E">
      <w:pPr>
        <w:pStyle w:val="FootnoteText"/>
      </w:pPr>
      <w:r>
        <w:rPr>
          <w:rStyle w:val="FootnoteReference"/>
        </w:rPr>
        <w:footnoteRef/>
      </w:r>
      <w:r>
        <w:t xml:space="preserve"> </w:t>
      </w:r>
      <w:r w:rsidRPr="00B4694F">
        <w:t>COVID-19 Vaccine AstraZeneca was first registered on the ARTG on 16</w:t>
      </w:r>
      <w:r>
        <w:t xml:space="preserve"> February </w:t>
      </w:r>
      <w:r w:rsidRPr="00B4694F">
        <w:t>2021 (ARTG</w:t>
      </w:r>
      <w:r>
        <w:t> </w:t>
      </w:r>
      <w:r w:rsidRPr="00B4694F">
        <w:t>number:</w:t>
      </w:r>
      <w:r>
        <w:t> </w:t>
      </w:r>
      <w:r w:rsidRPr="00B4694F">
        <w:t>349072).</w:t>
      </w:r>
    </w:p>
  </w:footnote>
  <w:footnote w:id="13">
    <w:p w14:paraId="3BBDBC30" w14:textId="66711742" w:rsidR="004E3C0E" w:rsidRDefault="004E3C0E">
      <w:pPr>
        <w:pStyle w:val="FootnoteText"/>
      </w:pPr>
      <w:r>
        <w:rPr>
          <w:rStyle w:val="FootnoteReference"/>
        </w:rPr>
        <w:footnoteRef/>
      </w:r>
      <w:r>
        <w:t xml:space="preserve"> </w:t>
      </w:r>
      <w:proofErr w:type="spellStart"/>
      <w:r>
        <w:t>AusPAR</w:t>
      </w:r>
      <w:proofErr w:type="spellEnd"/>
      <w:r>
        <w:t xml:space="preserve"> for </w:t>
      </w:r>
      <w:r w:rsidRPr="008B7930">
        <w:t>COVID-19 Vaccine AstraZeneca</w:t>
      </w:r>
      <w:r>
        <w:t xml:space="preserve"> (</w:t>
      </w:r>
      <w:r w:rsidRPr="008B7930">
        <w:t>ChAdOx1-S</w:t>
      </w:r>
      <w:r>
        <w:t xml:space="preserve">) new biological entity, published on 16 February 2021. Available at: </w:t>
      </w:r>
      <w:hyperlink r:id="rId7" w:history="1">
        <w:r w:rsidRPr="002E142D">
          <w:rPr>
            <w:rStyle w:val="Hyperlink"/>
          </w:rPr>
          <w:t>https://www.tga.gov.au/auspar/auspar-chadox1-s</w:t>
        </w:r>
      </w:hyperlink>
    </w:p>
  </w:footnote>
  <w:footnote w:id="14">
    <w:p w14:paraId="20B5E620" w14:textId="5DF9907A" w:rsidR="004E3C0E" w:rsidRDefault="004E3C0E">
      <w:pPr>
        <w:pStyle w:val="FootnoteText"/>
      </w:pPr>
      <w:r>
        <w:rPr>
          <w:rStyle w:val="FootnoteReference"/>
        </w:rPr>
        <w:footnoteRef/>
      </w:r>
      <w:r>
        <w:t xml:space="preserve"> COVID-19 Vaccine Janssen </w:t>
      </w:r>
      <w:r w:rsidRPr="00B4694F">
        <w:t xml:space="preserve">was first registered on the ARTG on </w:t>
      </w:r>
      <w:r>
        <w:t xml:space="preserve">25 June </w:t>
      </w:r>
      <w:r w:rsidRPr="00021741">
        <w:t>2021</w:t>
      </w:r>
      <w:r w:rsidRPr="00B4694F">
        <w:t xml:space="preserve"> (ARTG number: </w:t>
      </w:r>
      <w:r>
        <w:t>350150</w:t>
      </w:r>
      <w:r w:rsidRPr="00B4694F">
        <w:t>).</w:t>
      </w:r>
    </w:p>
  </w:footnote>
  <w:footnote w:id="15">
    <w:p w14:paraId="15C647AD" w14:textId="7715F7A0" w:rsidR="004E3C0E" w:rsidRDefault="004E3C0E">
      <w:pPr>
        <w:pStyle w:val="FootnoteText"/>
      </w:pPr>
      <w:r>
        <w:rPr>
          <w:rStyle w:val="FootnoteReference"/>
        </w:rPr>
        <w:footnoteRef/>
      </w:r>
      <w:r>
        <w:t xml:space="preserve"> </w:t>
      </w:r>
      <w:proofErr w:type="spellStart"/>
      <w:r>
        <w:t>AusPAR</w:t>
      </w:r>
      <w:proofErr w:type="spellEnd"/>
      <w:r>
        <w:t xml:space="preserve"> for </w:t>
      </w:r>
      <w:r w:rsidRPr="008B7930">
        <w:t>COVID-19 Vaccine Janssen</w:t>
      </w:r>
      <w:r>
        <w:t xml:space="preserve"> (</w:t>
      </w:r>
      <w:r w:rsidRPr="008B7930">
        <w:t>Ad26.COV</w:t>
      </w:r>
      <w:proofErr w:type="gramStart"/>
      <w:r w:rsidRPr="008B7930">
        <w:t>2.S</w:t>
      </w:r>
      <w:proofErr w:type="gramEnd"/>
      <w:r>
        <w:t xml:space="preserve">) new biological entity, published on 25 June 2021. Available at: </w:t>
      </w:r>
      <w:hyperlink r:id="rId8" w:history="1">
        <w:r w:rsidRPr="00AD11B1">
          <w:rPr>
            <w:rStyle w:val="Hyperlink"/>
          </w:rPr>
          <w:t>https://www.tga.gov.au/auspar/auspar-ad26cov2s</w:t>
        </w:r>
      </w:hyperlink>
    </w:p>
  </w:footnote>
  <w:footnote w:id="16">
    <w:p w14:paraId="7CD9DD2E" w14:textId="3C48CD71" w:rsidR="004E3C0E" w:rsidRDefault="004E3C0E">
      <w:pPr>
        <w:pStyle w:val="FootnoteText"/>
      </w:pPr>
      <w:r>
        <w:rPr>
          <w:rStyle w:val="FootnoteReference"/>
        </w:rPr>
        <w:footnoteRef/>
      </w:r>
      <w:r>
        <w:t xml:space="preserve"> </w:t>
      </w:r>
      <w:proofErr w:type="spellStart"/>
      <w:r w:rsidRPr="00582A8E">
        <w:t>Spikevax</w:t>
      </w:r>
      <w:proofErr w:type="spellEnd"/>
      <w:r w:rsidRPr="00B4694F">
        <w:t xml:space="preserve"> was first registered on the ARTG on </w:t>
      </w:r>
      <w:r w:rsidRPr="00582A8E">
        <w:t>9</w:t>
      </w:r>
      <w:r>
        <w:t xml:space="preserve"> August </w:t>
      </w:r>
      <w:r w:rsidRPr="00582A8E">
        <w:t>2021</w:t>
      </w:r>
      <w:r w:rsidRPr="00B4694F">
        <w:t xml:space="preserve"> (ARTG</w:t>
      </w:r>
      <w:r>
        <w:t xml:space="preserve"> </w:t>
      </w:r>
      <w:r w:rsidRPr="00B4694F">
        <w:t>number:</w:t>
      </w:r>
      <w:r>
        <w:t xml:space="preserve"> </w:t>
      </w:r>
      <w:r w:rsidRPr="00582A8E">
        <w:t>370599</w:t>
      </w:r>
      <w:r w:rsidRPr="00B4694F">
        <w:t>).</w:t>
      </w:r>
    </w:p>
  </w:footnote>
  <w:footnote w:id="17">
    <w:p w14:paraId="1E0F0948" w14:textId="29F03925" w:rsidR="004E3C0E" w:rsidRDefault="004E3C0E">
      <w:pPr>
        <w:pStyle w:val="FootnoteText"/>
      </w:pPr>
      <w:r>
        <w:rPr>
          <w:rStyle w:val="FootnoteReference"/>
        </w:rPr>
        <w:footnoteRef/>
      </w:r>
      <w:r>
        <w:t xml:space="preserve"> </w:t>
      </w:r>
      <w:proofErr w:type="spellStart"/>
      <w:r>
        <w:t>AusPAR</w:t>
      </w:r>
      <w:proofErr w:type="spellEnd"/>
      <w:r>
        <w:t xml:space="preserve"> for </w:t>
      </w:r>
      <w:proofErr w:type="spellStart"/>
      <w:r w:rsidRPr="00582A8E">
        <w:t>Spikevax</w:t>
      </w:r>
      <w:proofErr w:type="spellEnd"/>
      <w:r>
        <w:t xml:space="preserve"> (</w:t>
      </w:r>
      <w:proofErr w:type="spellStart"/>
      <w:r>
        <w:t>e</w:t>
      </w:r>
      <w:r w:rsidRPr="005B2EA7">
        <w:t>lasomeran</w:t>
      </w:r>
      <w:proofErr w:type="spellEnd"/>
      <w:r>
        <w:t xml:space="preserve">) new biological entity, adult indication, published on </w:t>
      </w:r>
      <w:r w:rsidRPr="005B2EA7">
        <w:t>9 August 2021</w:t>
      </w:r>
      <w:r>
        <w:t xml:space="preserve">. Available at: </w:t>
      </w:r>
      <w:hyperlink r:id="rId9" w:history="1">
        <w:r w:rsidRPr="00AD11B1">
          <w:rPr>
            <w:rStyle w:val="Hyperlink"/>
          </w:rPr>
          <w:t>https://www.tga.gov.au/auspar/auspar-elasomeran</w:t>
        </w:r>
      </w:hyperlink>
    </w:p>
  </w:footnote>
  <w:footnote w:id="18">
    <w:p w14:paraId="7DE3615D" w14:textId="1B89C97E" w:rsidR="004E3C0E" w:rsidRDefault="004E3C0E">
      <w:pPr>
        <w:pStyle w:val="FootnoteText"/>
      </w:pPr>
      <w:r>
        <w:rPr>
          <w:rStyle w:val="FootnoteReference"/>
        </w:rPr>
        <w:footnoteRef/>
      </w:r>
      <w:r>
        <w:t xml:space="preserve"> </w:t>
      </w:r>
      <w:proofErr w:type="spellStart"/>
      <w:r>
        <w:t>AusPAR</w:t>
      </w:r>
      <w:proofErr w:type="spellEnd"/>
      <w:r>
        <w:t xml:space="preserve"> for </w:t>
      </w:r>
      <w:proofErr w:type="spellStart"/>
      <w:r w:rsidRPr="00582A8E">
        <w:t>Spikevax</w:t>
      </w:r>
      <w:proofErr w:type="spellEnd"/>
      <w:r>
        <w:t xml:space="preserve"> (</w:t>
      </w:r>
      <w:proofErr w:type="spellStart"/>
      <w:r>
        <w:t>e</w:t>
      </w:r>
      <w:r w:rsidRPr="005B2EA7">
        <w:t>lasomeran</w:t>
      </w:r>
      <w:proofErr w:type="spellEnd"/>
      <w:r>
        <w:t xml:space="preserve">) new biological entity, paediatric indication, published on </w:t>
      </w:r>
      <w:r w:rsidRPr="00FB3F47">
        <w:t>4 September 2021</w:t>
      </w:r>
      <w:r>
        <w:t>. Available at:</w:t>
      </w:r>
      <w:r w:rsidRPr="00FB3F47">
        <w:t xml:space="preserve"> </w:t>
      </w:r>
      <w:hyperlink r:id="rId10" w:history="1">
        <w:r w:rsidRPr="00DA27E3">
          <w:rPr>
            <w:rStyle w:val="Hyperlink"/>
          </w:rPr>
          <w:t>https://www.tga.gov.au/auspar/auspar-elasomeran-0</w:t>
        </w:r>
      </w:hyperlink>
    </w:p>
  </w:footnote>
  <w:footnote w:id="19">
    <w:p w14:paraId="1EC4BB76" w14:textId="5D7A344B" w:rsidR="004E3C0E" w:rsidRDefault="004E3C0E">
      <w:pPr>
        <w:pStyle w:val="FootnoteText"/>
      </w:pPr>
      <w:r>
        <w:rPr>
          <w:rStyle w:val="FootnoteReference"/>
        </w:rPr>
        <w:footnoteRef/>
      </w:r>
      <w:r>
        <w:t xml:space="preserve"> </w:t>
      </w:r>
      <w:r w:rsidRPr="00AC6F98">
        <w:t xml:space="preserve">The TGA is a member of the Access Consortium along with Health Canada, Health Sciences Authority of Singapore, </w:t>
      </w:r>
      <w:proofErr w:type="spellStart"/>
      <w:r w:rsidRPr="00AC6F98">
        <w:t>Swissmedic</w:t>
      </w:r>
      <w:proofErr w:type="spellEnd"/>
      <w:r w:rsidRPr="00AC6F98">
        <w:t xml:space="preserve"> and the UK's Medicines and Healthcare products Regulatory Agency (MHRA).</w:t>
      </w:r>
      <w:r>
        <w:t xml:space="preserve"> </w:t>
      </w:r>
      <w:r w:rsidRPr="00AC6F98">
        <w:t>The Access Consortium is a medium-sized coalition of regulatory authorities that work together to promote greater regulatory collaboration and alignment of regulatory requirements.</w:t>
      </w:r>
      <w:r>
        <w:t xml:space="preserve"> More information is available at: </w:t>
      </w:r>
      <w:hyperlink r:id="rId11" w:history="1">
        <w:r w:rsidRPr="00DA27E3">
          <w:rPr>
            <w:rStyle w:val="Hyperlink"/>
          </w:rPr>
          <w:t>https://www.tga.gov.au/australia-canada-singapore-switzerland-united-kingdom-access-consortium</w:t>
        </w:r>
      </w:hyperlink>
      <w:r>
        <w:t xml:space="preserve"> </w:t>
      </w:r>
    </w:p>
  </w:footnote>
  <w:footnote w:id="20">
    <w:p w14:paraId="5EEE9C11" w14:textId="5D9FA1B5" w:rsidR="004E3C0E" w:rsidRDefault="004E3C0E" w:rsidP="00C46B27">
      <w:pPr>
        <w:pStyle w:val="FootnoteText"/>
        <w:rPr>
          <w:lang w:val="en-US"/>
        </w:rPr>
      </w:pPr>
      <w:r>
        <w:rPr>
          <w:rStyle w:val="FootnoteReference"/>
        </w:rPr>
        <w:footnoteRef/>
      </w:r>
      <w:r>
        <w:t xml:space="preserve"> </w:t>
      </w:r>
      <w:r w:rsidRPr="00A86D2A">
        <w:t>European Medicines Agency (EMA), Committee for Medicinal Products for Human Use (CHMP), Guideline on Immunogenicity Assessment of Monoclonal Antibodies Intended for in vivo Clinical Use, EMA/CHMP/BMWP/86289/2, 24 May 2012</w:t>
      </w:r>
      <w:r>
        <w:t xml:space="preserve">. Available at: </w:t>
      </w:r>
      <w:hyperlink r:id="rId12" w:history="1">
        <w:r w:rsidRPr="00DA27E3">
          <w:rPr>
            <w:rStyle w:val="Hyperlink"/>
          </w:rPr>
          <w:t>https://www.ema.europa.eu/en/documents/scientific-guideline/guideline-immunogenicity-assessment-monoclonal-antibodies-intended-vivo-clinical-use_en.pdf</w:t>
        </w:r>
      </w:hyperlink>
    </w:p>
  </w:footnote>
  <w:footnote w:id="21">
    <w:p w14:paraId="68FB9A8E" w14:textId="500B8C3F" w:rsidR="004E3C0E" w:rsidRDefault="004E3C0E" w:rsidP="005F61F0">
      <w:pPr>
        <w:pStyle w:val="FootnoteText"/>
        <w:rPr>
          <w:lang w:val="en-US"/>
        </w:rPr>
      </w:pPr>
      <w:r>
        <w:rPr>
          <w:rStyle w:val="FootnoteReference"/>
        </w:rPr>
        <w:footnoteRef/>
      </w:r>
      <w:r>
        <w:t xml:space="preserve"> </w:t>
      </w:r>
      <w:r w:rsidRPr="00A86D2A">
        <w:t>Food and Drug Administration (FDA) (United States), COVID-19: Developing Drugs and Biological Products for Treatment or Prevention Guidance for Industry, February 2021</w:t>
      </w:r>
      <w:r>
        <w:t xml:space="preserve">. Available at: </w:t>
      </w:r>
      <w:hyperlink r:id="rId13" w:history="1">
        <w:r w:rsidRPr="000C5E64">
          <w:rPr>
            <w:rStyle w:val="Hyperlink"/>
          </w:rPr>
          <w:t>https://www.fda.gov/media/137926/download</w:t>
        </w:r>
      </w:hyperlink>
    </w:p>
  </w:footnote>
  <w:footnote w:id="22">
    <w:p w14:paraId="1C22CEDB" w14:textId="77777777" w:rsidR="004E3C0E" w:rsidRDefault="004E3C0E" w:rsidP="007D53B6">
      <w:pPr>
        <w:pStyle w:val="FootnoteText"/>
      </w:pPr>
      <w:r>
        <w:rPr>
          <w:rStyle w:val="FootnoteReference"/>
        </w:rPr>
        <w:footnoteRef/>
      </w:r>
      <w:r>
        <w:t xml:space="preserve"> </w:t>
      </w:r>
      <w:r w:rsidRPr="007D53B6">
        <w:rPr>
          <w:i/>
        </w:rPr>
        <w:t xml:space="preserve">Routine risk minimisation </w:t>
      </w:r>
      <w:r>
        <w:t>activities may be limited to ensuring that suitable warnings are included in the product information or by careful use of labelling and packaging.</w:t>
      </w:r>
    </w:p>
    <w:p w14:paraId="7E6659D5" w14:textId="77777777" w:rsidR="004E3C0E" w:rsidRDefault="004E3C0E" w:rsidP="007D53B6">
      <w:pPr>
        <w:pStyle w:val="FootnoteText"/>
      </w:pPr>
      <w:r w:rsidRPr="007D53B6">
        <w:rPr>
          <w:i/>
        </w:rPr>
        <w:t>Routine pharmacovigilance</w:t>
      </w:r>
      <w:r>
        <w:t xml:space="preserve"> practices involve the following activities:</w:t>
      </w:r>
    </w:p>
    <w:p w14:paraId="37913C03" w14:textId="77777777" w:rsidR="004E3C0E" w:rsidRDefault="004E3C0E" w:rsidP="00146C2C">
      <w:pPr>
        <w:pStyle w:val="FootnoteText"/>
        <w:numPr>
          <w:ilvl w:val="0"/>
          <w:numId w:val="7"/>
        </w:numPr>
        <w:ind w:left="284" w:hanging="284"/>
      </w:pPr>
      <w:r>
        <w:t xml:space="preserve">All suspected adverse reactions that are reported to the personnel of the company are collected and collated in an accessible </w:t>
      </w:r>
      <w:proofErr w:type="gramStart"/>
      <w:r>
        <w:t>manner;</w:t>
      </w:r>
      <w:proofErr w:type="gramEnd"/>
    </w:p>
    <w:p w14:paraId="59B80DD7" w14:textId="77777777" w:rsidR="004E3C0E" w:rsidRDefault="004E3C0E" w:rsidP="00146C2C">
      <w:pPr>
        <w:pStyle w:val="FootnoteText"/>
        <w:numPr>
          <w:ilvl w:val="0"/>
          <w:numId w:val="7"/>
        </w:numPr>
        <w:ind w:left="284" w:hanging="284"/>
      </w:pPr>
      <w:r>
        <w:t xml:space="preserve">Reporting to regulatory </w:t>
      </w:r>
      <w:proofErr w:type="gramStart"/>
      <w:r>
        <w:t>authorities;</w:t>
      </w:r>
      <w:proofErr w:type="gramEnd"/>
    </w:p>
    <w:p w14:paraId="04F7C747" w14:textId="77777777" w:rsidR="004E3C0E" w:rsidRDefault="004E3C0E" w:rsidP="00146C2C">
      <w:pPr>
        <w:pStyle w:val="FootnoteText"/>
        <w:numPr>
          <w:ilvl w:val="0"/>
          <w:numId w:val="7"/>
        </w:numPr>
        <w:ind w:left="284" w:hanging="284"/>
      </w:pPr>
      <w:r>
        <w:t xml:space="preserve">Continuous monitoring of the safety profiles of approved products including signal detection and updating of </w:t>
      </w:r>
      <w:proofErr w:type="gramStart"/>
      <w:r>
        <w:t>labelling;</w:t>
      </w:r>
      <w:proofErr w:type="gramEnd"/>
    </w:p>
    <w:p w14:paraId="30A49DED" w14:textId="77777777" w:rsidR="004E3C0E" w:rsidRDefault="004E3C0E" w:rsidP="00146C2C">
      <w:pPr>
        <w:pStyle w:val="FootnoteText"/>
        <w:numPr>
          <w:ilvl w:val="0"/>
          <w:numId w:val="7"/>
        </w:numPr>
        <w:ind w:left="284" w:hanging="284"/>
      </w:pPr>
      <w:r>
        <w:t xml:space="preserve">Submission of </w:t>
      </w:r>
      <w:proofErr w:type="gramStart"/>
      <w:r>
        <w:t>PSURs;</w:t>
      </w:r>
      <w:proofErr w:type="gramEnd"/>
    </w:p>
    <w:p w14:paraId="364B4A3D" w14:textId="77777777" w:rsidR="004E3C0E" w:rsidRDefault="004E3C0E" w:rsidP="00146C2C">
      <w:pPr>
        <w:pStyle w:val="FootnoteText"/>
        <w:numPr>
          <w:ilvl w:val="0"/>
          <w:numId w:val="7"/>
        </w:numPr>
        <w:ind w:left="284" w:hanging="284"/>
      </w:pPr>
      <w:r>
        <w:t>Meeting other local regulatory agency requirements.</w:t>
      </w:r>
    </w:p>
  </w:footnote>
  <w:footnote w:id="23">
    <w:p w14:paraId="3CF54835" w14:textId="16486C9F" w:rsidR="004E3C0E" w:rsidRDefault="004E3C0E" w:rsidP="00092E10">
      <w:pPr>
        <w:pStyle w:val="FootnoteText"/>
      </w:pPr>
      <w:r>
        <w:rPr>
          <w:rStyle w:val="FootnoteReference"/>
        </w:rPr>
        <w:footnoteRef/>
      </w:r>
      <w:r>
        <w:t xml:space="preserve"> </w:t>
      </w:r>
      <w:r w:rsidRPr="00092E10">
        <w:t>U</w:t>
      </w:r>
      <w:r>
        <w:t xml:space="preserve">nited States (US) </w:t>
      </w:r>
      <w:r w:rsidRPr="00092E10">
        <w:t>Food and Drug Administration (FDA)</w:t>
      </w:r>
      <w:r>
        <w:t>,</w:t>
      </w:r>
      <w:r w:rsidRPr="00092E10">
        <w:t xml:space="preserve"> </w:t>
      </w:r>
      <w:r>
        <w:t>Fact Sheet for Health Care Providers Emergency Use Authorization (EUA) of REGEN-COV</w:t>
      </w:r>
      <w:r w:rsidRPr="00BB0979">
        <w:rPr>
          <w:vertAlign w:val="superscript"/>
        </w:rPr>
        <w:t>TM</w:t>
      </w:r>
      <w:r>
        <w:t xml:space="preserve"> (</w:t>
      </w:r>
      <w:proofErr w:type="spellStart"/>
      <w:r>
        <w:t>casirivimab</w:t>
      </w:r>
      <w:proofErr w:type="spellEnd"/>
      <w:r>
        <w:t xml:space="preserve"> and </w:t>
      </w:r>
      <w:proofErr w:type="spellStart"/>
      <w:r>
        <w:t>imdevimab</w:t>
      </w:r>
      <w:proofErr w:type="spellEnd"/>
      <w:r>
        <w:t xml:space="preserve">). Available at: </w:t>
      </w:r>
      <w:hyperlink r:id="rId14" w:history="1">
        <w:r w:rsidRPr="00FC4DF1">
          <w:rPr>
            <w:rStyle w:val="Hyperlink"/>
          </w:rPr>
          <w:t>https://www.regeneron.com/downloads/treatment-covid19-eua-fact-sheet-for-hcp.pdf</w:t>
        </w:r>
      </w:hyperlink>
    </w:p>
  </w:footnote>
  <w:footnote w:id="24">
    <w:p w14:paraId="7F3C49BC" w14:textId="437015BE" w:rsidR="004E3C0E" w:rsidRDefault="004E3C0E" w:rsidP="00092E10">
      <w:pPr>
        <w:pStyle w:val="FootnoteText"/>
      </w:pPr>
      <w:r>
        <w:rPr>
          <w:rStyle w:val="FootnoteReference"/>
        </w:rPr>
        <w:footnoteRef/>
      </w:r>
      <w:r>
        <w:t xml:space="preserve"> </w:t>
      </w:r>
      <w:r w:rsidRPr="00092E10">
        <w:t>U</w:t>
      </w:r>
      <w:r>
        <w:t xml:space="preserve">nited States (US) </w:t>
      </w:r>
      <w:r w:rsidRPr="00092E10">
        <w:t>Food and Drug Administration (FDA)</w:t>
      </w:r>
      <w:r>
        <w:t>,</w:t>
      </w:r>
      <w:r w:rsidRPr="00092E10">
        <w:t xml:space="preserve"> </w:t>
      </w:r>
      <w:r>
        <w:t xml:space="preserve">Emergency Use Authorization (EUA) for </w:t>
      </w:r>
      <w:proofErr w:type="spellStart"/>
      <w:r>
        <w:t>casirivimab</w:t>
      </w:r>
      <w:proofErr w:type="spellEnd"/>
      <w:r>
        <w:t xml:space="preserve"> and </w:t>
      </w:r>
      <w:proofErr w:type="spellStart"/>
      <w:r>
        <w:t>imdevimab</w:t>
      </w:r>
      <w:proofErr w:type="spellEnd"/>
      <w:r>
        <w:t xml:space="preserve"> </w:t>
      </w:r>
      <w:proofErr w:type="spellStart"/>
      <w:r>
        <w:t>Center</w:t>
      </w:r>
      <w:proofErr w:type="spellEnd"/>
      <w:r>
        <w:t xml:space="preserve"> for Drug Evaluation and Research (CDER) Review. Available at: </w:t>
      </w:r>
      <w:hyperlink r:id="rId15" w:history="1">
        <w:r w:rsidRPr="00DA27E3">
          <w:rPr>
            <w:rStyle w:val="Hyperlink"/>
          </w:rPr>
          <w:t>https://www.fda.gov/media/150165/download</w:t>
        </w:r>
      </w:hyperlink>
    </w:p>
  </w:footnote>
  <w:footnote w:id="25">
    <w:p w14:paraId="23BF2330" w14:textId="77777777" w:rsidR="004E3C0E" w:rsidRPr="00456765" w:rsidRDefault="004E3C0E" w:rsidP="00FB369D">
      <w:pPr>
        <w:pStyle w:val="FootnoteText"/>
        <w:rPr>
          <w:lang w:val="en-US"/>
        </w:rPr>
      </w:pPr>
      <w:r>
        <w:rPr>
          <w:rStyle w:val="FootnoteReference"/>
        </w:rPr>
        <w:footnoteRef/>
      </w:r>
      <w:r>
        <w:t xml:space="preserve"> </w:t>
      </w:r>
      <w:r w:rsidRPr="00FB369D">
        <w:t xml:space="preserve">The ACM provides independent medical and scientific advice to the Minister for Health and the TGA on issues relating to the safety, quality and efficacy of medicines supplied in Australia including issues relating to </w:t>
      </w:r>
      <w:proofErr w:type="gramStart"/>
      <w:r w:rsidRPr="00FB369D">
        <w:t>pre market</w:t>
      </w:r>
      <w:proofErr w:type="gramEnd"/>
      <w:r w:rsidRPr="00FB369D">
        <w:t xml:space="preserve"> and post-market functions for medicines. Further information can be found here: </w:t>
      </w:r>
      <w:hyperlink r:id="rId16" w:history="1">
        <w:r w:rsidRPr="0004151A">
          <w:rPr>
            <w:rStyle w:val="Hyperlink"/>
          </w:rPr>
          <w:t>https://www.tga.gov.au/committee/advisory-committee-medicines-acm</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B13B9" w14:textId="77777777" w:rsidR="004E3C0E" w:rsidRDefault="004E3C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D4DBE2" w14:textId="77777777" w:rsidR="004E3C0E" w:rsidRDefault="004E3C0E" w:rsidP="00E45619">
    <w:pPr>
      <w:pStyle w:val="Header"/>
    </w:pPr>
    <w:r>
      <w:t>Therapeutic Goods Administration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2185E" w14:textId="77777777" w:rsidR="004E3C0E" w:rsidRDefault="004E3C0E">
    <w:pPr>
      <w:rPr>
        <w:noProof/>
        <w:lang w:eastAsia="en-AU"/>
      </w:rPr>
    </w:pPr>
    <w:r w:rsidRPr="00347824">
      <w:rPr>
        <w:noProof/>
        <w:lang w:val="en-GB" w:eastAsia="en-GB"/>
      </w:rPr>
      <w:drawing>
        <wp:anchor distT="0" distB="0" distL="114300" distR="114300" simplePos="0" relativeHeight="251659264" behindDoc="1" locked="0" layoutInCell="1" allowOverlap="1" wp14:anchorId="73505403" wp14:editId="6BB3F7F7">
          <wp:simplePos x="0" y="0"/>
          <wp:positionH relativeFrom="column">
            <wp:posOffset>-1089660</wp:posOffset>
          </wp:positionH>
          <wp:positionV relativeFrom="paragraph">
            <wp:posOffset>-585470</wp:posOffset>
          </wp:positionV>
          <wp:extent cx="7572375" cy="10706100"/>
          <wp:effectExtent l="19050" t="0" r="0" b="0"/>
          <wp:wrapNone/>
          <wp:docPr id="9"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6E6DBD7D" w14:textId="77777777" w:rsidR="004E3C0E" w:rsidRDefault="004E3C0E" w:rsidP="00593AD1">
    <w:pPr>
      <w:pStyle w:val="HeaderNoLi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29330A" w14:textId="77777777" w:rsidR="004E3C0E" w:rsidRDefault="004E3C0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C4029" w14:textId="77777777" w:rsidR="004E3C0E" w:rsidRDefault="004E3C0E">
    <w:pPr>
      <w:pStyle w:val="Header"/>
    </w:pPr>
    <w:r>
      <w:t>Therapeutic Goods Administration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6F2D8" w14:textId="77777777" w:rsidR="004E3C0E" w:rsidRDefault="004E3C0E">
    <w:pPr>
      <w:pStyle w:val="Header"/>
    </w:pPr>
    <w:r>
      <w:t>Therapeutic Goods Administration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5EA20" w14:textId="77777777" w:rsidR="004E3C0E" w:rsidRDefault="004E3C0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F95712" w14:textId="77777777" w:rsidR="004E3C0E" w:rsidRDefault="004E3C0E" w:rsidP="004C239D">
    <w:pPr>
      <w:pStyle w:val="HeaderNoLin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FF835" w14:textId="77777777" w:rsidR="004E3C0E" w:rsidRDefault="004E3C0E" w:rsidP="006E08B3">
    <w:r>
      <w:t>Therapeutic Goods Administration</w:t>
    </w:r>
  </w:p>
  <w:p w14:paraId="58D20BB4" w14:textId="77777777" w:rsidR="004E3C0E" w:rsidRDefault="004E3C0E" w:rsidP="006D03E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9108CD"/>
    <w:multiLevelType w:val="hybridMultilevel"/>
    <w:tmpl w:val="F07C7BCA"/>
    <w:lvl w:ilvl="0" w:tplc="7E7496A6">
      <w:start w:val="1"/>
      <w:numFmt w:val="bullet"/>
      <w:pStyle w:val="Bulle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F8F23CA"/>
    <w:multiLevelType w:val="hybridMultilevel"/>
    <w:tmpl w:val="59AECE04"/>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2" w15:restartNumberingAfterBreak="0">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15:restartNumberingAfterBreak="0">
    <w:nsid w:val="106E0FB5"/>
    <w:multiLevelType w:val="hybridMultilevel"/>
    <w:tmpl w:val="9D5C65B2"/>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46445D"/>
    <w:multiLevelType w:val="hybridMultilevel"/>
    <w:tmpl w:val="F0C2EAE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F7719C"/>
    <w:multiLevelType w:val="hybridMultilevel"/>
    <w:tmpl w:val="28E085B6"/>
    <w:lvl w:ilvl="0" w:tplc="0C090001">
      <w:start w:val="1"/>
      <w:numFmt w:val="bullet"/>
      <w:lvlText w:val=""/>
      <w:lvlJc w:val="left"/>
      <w:pPr>
        <w:ind w:left="720" w:hanging="360"/>
      </w:pPr>
      <w:rPr>
        <w:rFonts w:ascii="Symbol" w:hAnsi="Symbol" w:hint="default"/>
      </w:rPr>
    </w:lvl>
    <w:lvl w:ilvl="1" w:tplc="16D4308A">
      <w:numFmt w:val="bullet"/>
      <w:lvlText w:val="•"/>
      <w:lvlJc w:val="left"/>
      <w:pPr>
        <w:ind w:left="1440" w:hanging="360"/>
      </w:pPr>
      <w:rPr>
        <w:rFonts w:ascii="Cambria" w:eastAsia="SymbolMT" w:hAnsi="Cambria" w:cs="SymbolMT"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8F13E9"/>
    <w:multiLevelType w:val="multilevel"/>
    <w:tmpl w:val="9D34592C"/>
    <w:styleLink w:val="ListBullets"/>
    <w:lvl w:ilvl="0">
      <w:start w:val="1"/>
      <w:numFmt w:val="bullet"/>
      <w:pStyle w:val="ListBullet"/>
      <w:lvlText w:val="•"/>
      <w:lvlJc w:val="left"/>
      <w:pPr>
        <w:ind w:left="360" w:hanging="360"/>
      </w:pPr>
      <w:rPr>
        <w:rFonts w:ascii="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 w15:restartNumberingAfterBreak="0">
    <w:nsid w:val="16F73316"/>
    <w:multiLevelType w:val="hybridMultilevel"/>
    <w:tmpl w:val="2A9608BE"/>
    <w:lvl w:ilvl="0" w:tplc="0C090003">
      <w:start w:val="1"/>
      <w:numFmt w:val="bullet"/>
      <w:lvlText w:val="o"/>
      <w:lvlJc w:val="left"/>
      <w:pPr>
        <w:ind w:left="770" w:hanging="360"/>
      </w:pPr>
      <w:rPr>
        <w:rFonts w:ascii="Courier New" w:hAnsi="Courier New" w:cs="Courier New" w:hint="default"/>
      </w:rPr>
    </w:lvl>
    <w:lvl w:ilvl="1" w:tplc="0C090003">
      <w:start w:val="1"/>
      <w:numFmt w:val="bullet"/>
      <w:lvlText w:val="o"/>
      <w:lvlJc w:val="left"/>
      <w:pPr>
        <w:ind w:left="1490" w:hanging="360"/>
      </w:pPr>
      <w:rPr>
        <w:rFonts w:ascii="Courier New" w:hAnsi="Courier New" w:cs="Courier New" w:hint="default"/>
      </w:rPr>
    </w:lvl>
    <w:lvl w:ilvl="2" w:tplc="0C090005">
      <w:start w:val="1"/>
      <w:numFmt w:val="bullet"/>
      <w:lvlText w:val=""/>
      <w:lvlJc w:val="left"/>
      <w:pPr>
        <w:ind w:left="2210" w:hanging="360"/>
      </w:pPr>
      <w:rPr>
        <w:rFonts w:ascii="Wingdings" w:hAnsi="Wingdings" w:hint="default"/>
      </w:rPr>
    </w:lvl>
    <w:lvl w:ilvl="3" w:tplc="0C090001">
      <w:start w:val="1"/>
      <w:numFmt w:val="bullet"/>
      <w:lvlText w:val=""/>
      <w:lvlJc w:val="left"/>
      <w:pPr>
        <w:ind w:left="2930" w:hanging="360"/>
      </w:pPr>
      <w:rPr>
        <w:rFonts w:ascii="Symbol" w:hAnsi="Symbol" w:hint="default"/>
      </w:rPr>
    </w:lvl>
    <w:lvl w:ilvl="4" w:tplc="0C090003">
      <w:start w:val="1"/>
      <w:numFmt w:val="bullet"/>
      <w:lvlText w:val="o"/>
      <w:lvlJc w:val="left"/>
      <w:pPr>
        <w:ind w:left="3650" w:hanging="360"/>
      </w:pPr>
      <w:rPr>
        <w:rFonts w:ascii="Courier New" w:hAnsi="Courier New" w:cs="Courier New" w:hint="default"/>
      </w:rPr>
    </w:lvl>
    <w:lvl w:ilvl="5" w:tplc="0C090005">
      <w:start w:val="1"/>
      <w:numFmt w:val="bullet"/>
      <w:lvlText w:val=""/>
      <w:lvlJc w:val="left"/>
      <w:pPr>
        <w:ind w:left="4370" w:hanging="360"/>
      </w:pPr>
      <w:rPr>
        <w:rFonts w:ascii="Wingdings" w:hAnsi="Wingdings" w:hint="default"/>
      </w:rPr>
    </w:lvl>
    <w:lvl w:ilvl="6" w:tplc="0C090001">
      <w:start w:val="1"/>
      <w:numFmt w:val="bullet"/>
      <w:lvlText w:val=""/>
      <w:lvlJc w:val="left"/>
      <w:pPr>
        <w:ind w:left="5090" w:hanging="360"/>
      </w:pPr>
      <w:rPr>
        <w:rFonts w:ascii="Symbol" w:hAnsi="Symbol" w:hint="default"/>
      </w:rPr>
    </w:lvl>
    <w:lvl w:ilvl="7" w:tplc="0C090003">
      <w:start w:val="1"/>
      <w:numFmt w:val="bullet"/>
      <w:lvlText w:val="o"/>
      <w:lvlJc w:val="left"/>
      <w:pPr>
        <w:ind w:left="5810" w:hanging="360"/>
      </w:pPr>
      <w:rPr>
        <w:rFonts w:ascii="Courier New" w:hAnsi="Courier New" w:cs="Courier New" w:hint="default"/>
      </w:rPr>
    </w:lvl>
    <w:lvl w:ilvl="8" w:tplc="0C090005">
      <w:start w:val="1"/>
      <w:numFmt w:val="bullet"/>
      <w:lvlText w:val=""/>
      <w:lvlJc w:val="left"/>
      <w:pPr>
        <w:ind w:left="6530" w:hanging="360"/>
      </w:pPr>
      <w:rPr>
        <w:rFonts w:ascii="Wingdings" w:hAnsi="Wingdings" w:hint="default"/>
      </w:rPr>
    </w:lvl>
  </w:abstractNum>
  <w:abstractNum w:abstractNumId="8" w15:restartNumberingAfterBreak="0">
    <w:nsid w:val="1FEB2EC0"/>
    <w:multiLevelType w:val="hybridMultilevel"/>
    <w:tmpl w:val="C6428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516C34"/>
    <w:multiLevelType w:val="hybridMultilevel"/>
    <w:tmpl w:val="5980F0D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683F09"/>
    <w:multiLevelType w:val="hybridMultilevel"/>
    <w:tmpl w:val="1CD21F30"/>
    <w:lvl w:ilvl="0" w:tplc="C6C4FF06">
      <w:start w:val="8"/>
      <w:numFmt w:val="bullet"/>
      <w:lvlText w:val="-"/>
      <w:lvlJc w:val="left"/>
      <w:pPr>
        <w:ind w:left="360" w:hanging="360"/>
      </w:pPr>
      <w:rPr>
        <w:rFonts w:ascii="Cambria" w:eastAsia="Minion-Regular" w:hAnsi="Cambria" w:cs="Minion-Regular"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3A2F5CDC"/>
    <w:multiLevelType w:val="hybridMultilevel"/>
    <w:tmpl w:val="CB4A66DE"/>
    <w:lvl w:ilvl="0" w:tplc="CB98220E">
      <w:numFmt w:val="bullet"/>
      <w:lvlText w:val="-"/>
      <w:lvlJc w:val="left"/>
      <w:pPr>
        <w:ind w:left="1080" w:hanging="72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294EEB"/>
    <w:multiLevelType w:val="hybridMultilevel"/>
    <w:tmpl w:val="8D3A77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5CD0E24"/>
    <w:multiLevelType w:val="hybridMultilevel"/>
    <w:tmpl w:val="62F83D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9B15D7"/>
    <w:multiLevelType w:val="hybridMultilevel"/>
    <w:tmpl w:val="3D2E60CC"/>
    <w:lvl w:ilvl="0" w:tplc="04CEB5FC">
      <w:start w:val="1"/>
      <w:numFmt w:val="bullet"/>
      <w:pStyle w:val="Bulletpoint"/>
      <w:lvlText w:val=""/>
      <w:lvlJc w:val="left"/>
      <w:pPr>
        <w:tabs>
          <w:tab w:val="num" w:pos="369"/>
        </w:tabs>
        <w:ind w:left="369" w:hanging="227"/>
      </w:pPr>
      <w:rPr>
        <w:rFonts w:ascii="Symbol" w:hAnsi="Symbol" w:hint="default"/>
        <w:position w:val="0"/>
        <w:sz w:val="22"/>
        <w:szCs w:val="22"/>
      </w:rPr>
    </w:lvl>
    <w:lvl w:ilvl="1" w:tplc="0C090003" w:tentative="1">
      <w:start w:val="1"/>
      <w:numFmt w:val="bullet"/>
      <w:lvlText w:val="o"/>
      <w:lvlJc w:val="left"/>
      <w:pPr>
        <w:tabs>
          <w:tab w:val="num" w:pos="1440"/>
        </w:tabs>
        <w:ind w:left="1440" w:hanging="360"/>
      </w:pPr>
      <w:rPr>
        <w:rFonts w:ascii="Courier New" w:hAnsi="Courier New" w:cs="Symbo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ymbo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ymbo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8C609D4"/>
    <w:multiLevelType w:val="hybridMultilevel"/>
    <w:tmpl w:val="9558D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E5839CA"/>
    <w:multiLevelType w:val="hybridMultilevel"/>
    <w:tmpl w:val="801417E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07279CB"/>
    <w:multiLevelType w:val="hybridMultilevel"/>
    <w:tmpl w:val="324839D4"/>
    <w:lvl w:ilvl="0" w:tplc="E5EACD22">
      <w:numFmt w:val="bullet"/>
      <w:lvlText w:val="•"/>
      <w:lvlJc w:val="left"/>
      <w:pPr>
        <w:ind w:left="720" w:hanging="720"/>
      </w:pPr>
      <w:rPr>
        <w:rFonts w:ascii="Cambria" w:eastAsia="Cambria" w:hAnsi="Cambria"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56716789"/>
    <w:multiLevelType w:val="hybridMultilevel"/>
    <w:tmpl w:val="8CCE62B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122A2D3"/>
    <w:multiLevelType w:val="hybridMultilevel"/>
    <w:tmpl w:val="71B4BC5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67381F4D"/>
    <w:multiLevelType w:val="hybridMultilevel"/>
    <w:tmpl w:val="6AB4E120"/>
    <w:lvl w:ilvl="0" w:tplc="4BC8A140">
      <w:start w:val="1"/>
      <w:numFmt w:val="decimal"/>
      <w:pStyle w:val="ListNumber"/>
      <w:lvlText w:val="%1."/>
      <w:lvlJc w:val="lef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A0B7EF8"/>
    <w:multiLevelType w:val="hybridMultilevel"/>
    <w:tmpl w:val="4C7EF7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22F47E4"/>
    <w:multiLevelType w:val="hybridMultilevel"/>
    <w:tmpl w:val="8BFA5EE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2FC0D2E"/>
    <w:multiLevelType w:val="hybridMultilevel"/>
    <w:tmpl w:val="433496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F4141E8"/>
    <w:multiLevelType w:val="hybridMultilevel"/>
    <w:tmpl w:val="4A46C01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6"/>
  </w:num>
  <w:num w:numId="4">
    <w:abstractNumId w:val="2"/>
  </w:num>
  <w:num w:numId="5">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6">
    <w:abstractNumId w:val="11"/>
  </w:num>
  <w:num w:numId="7">
    <w:abstractNumId w:val="17"/>
  </w:num>
  <w:num w:numId="8">
    <w:abstractNumId w:val="14"/>
  </w:num>
  <w:num w:numId="9">
    <w:abstractNumId w:val="1"/>
  </w:num>
  <w:num w:numId="10">
    <w:abstractNumId w:val="8"/>
  </w:num>
  <w:num w:numId="11">
    <w:abstractNumId w:val="15"/>
  </w:num>
  <w:num w:numId="12">
    <w:abstractNumId w:val="5"/>
  </w:num>
  <w:num w:numId="13">
    <w:abstractNumId w:val="13"/>
  </w:num>
  <w:num w:numId="14">
    <w:abstractNumId w:val="9"/>
  </w:num>
  <w:num w:numId="15">
    <w:abstractNumId w:val="4"/>
  </w:num>
  <w:num w:numId="16">
    <w:abstractNumId w:val="18"/>
  </w:num>
  <w:num w:numId="17">
    <w:abstractNumId w:val="10"/>
  </w:num>
  <w:num w:numId="18">
    <w:abstractNumId w:val="22"/>
  </w:num>
  <w:num w:numId="19">
    <w:abstractNumId w:val="3"/>
  </w:num>
  <w:num w:numId="20">
    <w:abstractNumId w:val="24"/>
  </w:num>
  <w:num w:numId="21">
    <w:abstractNumId w:val="16"/>
  </w:num>
  <w:num w:numId="22">
    <w:abstractNumId w:val="7"/>
  </w:num>
  <w:num w:numId="23">
    <w:abstractNumId w:val="20"/>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21"/>
  </w:num>
  <w:num w:numId="27">
    <w:abstractNumId w:val="19"/>
  </w:num>
  <w:num w:numId="28">
    <w:abstractNumId w:val="12"/>
  </w:num>
  <w:num w:numId="29">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isplayBackgroundShap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F42"/>
    <w:rsid w:val="000012B1"/>
    <w:rsid w:val="00002031"/>
    <w:rsid w:val="00004734"/>
    <w:rsid w:val="00006B22"/>
    <w:rsid w:val="00006FAB"/>
    <w:rsid w:val="0001276A"/>
    <w:rsid w:val="000232C7"/>
    <w:rsid w:val="000246AE"/>
    <w:rsid w:val="00025C67"/>
    <w:rsid w:val="00030A65"/>
    <w:rsid w:val="000329BE"/>
    <w:rsid w:val="00035B9A"/>
    <w:rsid w:val="00044772"/>
    <w:rsid w:val="0004541C"/>
    <w:rsid w:val="0005559E"/>
    <w:rsid w:val="00055FD4"/>
    <w:rsid w:val="000604D6"/>
    <w:rsid w:val="000734D8"/>
    <w:rsid w:val="00074D7D"/>
    <w:rsid w:val="00077775"/>
    <w:rsid w:val="00084EC5"/>
    <w:rsid w:val="00090471"/>
    <w:rsid w:val="00091336"/>
    <w:rsid w:val="00092E10"/>
    <w:rsid w:val="00096AA7"/>
    <w:rsid w:val="000A3AED"/>
    <w:rsid w:val="000B3532"/>
    <w:rsid w:val="000B3A75"/>
    <w:rsid w:val="000C00C2"/>
    <w:rsid w:val="000C45E7"/>
    <w:rsid w:val="000C690F"/>
    <w:rsid w:val="000C781C"/>
    <w:rsid w:val="000D1295"/>
    <w:rsid w:val="000D391B"/>
    <w:rsid w:val="000D3D6D"/>
    <w:rsid w:val="000D4FC7"/>
    <w:rsid w:val="000D6834"/>
    <w:rsid w:val="000E0D00"/>
    <w:rsid w:val="000E3EE1"/>
    <w:rsid w:val="000E6196"/>
    <w:rsid w:val="000F4869"/>
    <w:rsid w:val="000F5B42"/>
    <w:rsid w:val="000F6E6F"/>
    <w:rsid w:val="0010601F"/>
    <w:rsid w:val="0010788A"/>
    <w:rsid w:val="00107A31"/>
    <w:rsid w:val="00110EA5"/>
    <w:rsid w:val="00112F56"/>
    <w:rsid w:val="00122C2E"/>
    <w:rsid w:val="00124ACD"/>
    <w:rsid w:val="00125318"/>
    <w:rsid w:val="001305A2"/>
    <w:rsid w:val="001307EC"/>
    <w:rsid w:val="00133238"/>
    <w:rsid w:val="00133A1B"/>
    <w:rsid w:val="0014094C"/>
    <w:rsid w:val="0014197B"/>
    <w:rsid w:val="00142B79"/>
    <w:rsid w:val="001447CD"/>
    <w:rsid w:val="00146C2C"/>
    <w:rsid w:val="001516B1"/>
    <w:rsid w:val="00154EBB"/>
    <w:rsid w:val="00156316"/>
    <w:rsid w:val="00161181"/>
    <w:rsid w:val="00162D14"/>
    <w:rsid w:val="00163780"/>
    <w:rsid w:val="00165389"/>
    <w:rsid w:val="00175BF7"/>
    <w:rsid w:val="0017693F"/>
    <w:rsid w:val="00177671"/>
    <w:rsid w:val="0018110E"/>
    <w:rsid w:val="00181684"/>
    <w:rsid w:val="00183B60"/>
    <w:rsid w:val="001843C6"/>
    <w:rsid w:val="001850E0"/>
    <w:rsid w:val="00187407"/>
    <w:rsid w:val="001A03AF"/>
    <w:rsid w:val="001A2158"/>
    <w:rsid w:val="001A525F"/>
    <w:rsid w:val="001B036D"/>
    <w:rsid w:val="001B09F9"/>
    <w:rsid w:val="001B2D09"/>
    <w:rsid w:val="001B328E"/>
    <w:rsid w:val="001B5C90"/>
    <w:rsid w:val="001B6448"/>
    <w:rsid w:val="001C32CD"/>
    <w:rsid w:val="001D2984"/>
    <w:rsid w:val="001D545B"/>
    <w:rsid w:val="001E07CF"/>
    <w:rsid w:val="001E325B"/>
    <w:rsid w:val="001E5803"/>
    <w:rsid w:val="001E59F1"/>
    <w:rsid w:val="001F2CEE"/>
    <w:rsid w:val="001F3DD1"/>
    <w:rsid w:val="001F49EB"/>
    <w:rsid w:val="001F5573"/>
    <w:rsid w:val="001F6CBA"/>
    <w:rsid w:val="00201D4E"/>
    <w:rsid w:val="002076C9"/>
    <w:rsid w:val="00216A81"/>
    <w:rsid w:val="00220B8A"/>
    <w:rsid w:val="00224533"/>
    <w:rsid w:val="002257F3"/>
    <w:rsid w:val="00233456"/>
    <w:rsid w:val="002339A5"/>
    <w:rsid w:val="00250271"/>
    <w:rsid w:val="00257848"/>
    <w:rsid w:val="002578E8"/>
    <w:rsid w:val="002623E1"/>
    <w:rsid w:val="0027084A"/>
    <w:rsid w:val="002709BB"/>
    <w:rsid w:val="0027189C"/>
    <w:rsid w:val="00280265"/>
    <w:rsid w:val="002812D2"/>
    <w:rsid w:val="002824D1"/>
    <w:rsid w:val="00285F19"/>
    <w:rsid w:val="00286434"/>
    <w:rsid w:val="00286C59"/>
    <w:rsid w:val="00291957"/>
    <w:rsid w:val="002942D1"/>
    <w:rsid w:val="00294E7B"/>
    <w:rsid w:val="0029501A"/>
    <w:rsid w:val="002A3721"/>
    <w:rsid w:val="002A3F68"/>
    <w:rsid w:val="002A5CF8"/>
    <w:rsid w:val="002A66C5"/>
    <w:rsid w:val="002A6E1B"/>
    <w:rsid w:val="002B1638"/>
    <w:rsid w:val="002B3624"/>
    <w:rsid w:val="002B79F0"/>
    <w:rsid w:val="002D0952"/>
    <w:rsid w:val="002E40B3"/>
    <w:rsid w:val="002E4C9A"/>
    <w:rsid w:val="002E6012"/>
    <w:rsid w:val="002F11F8"/>
    <w:rsid w:val="002F3F56"/>
    <w:rsid w:val="002F44B5"/>
    <w:rsid w:val="002F4516"/>
    <w:rsid w:val="002F5122"/>
    <w:rsid w:val="002F7BAE"/>
    <w:rsid w:val="00303D77"/>
    <w:rsid w:val="0030635D"/>
    <w:rsid w:val="00311AC0"/>
    <w:rsid w:val="00316746"/>
    <w:rsid w:val="003176FC"/>
    <w:rsid w:val="00324E45"/>
    <w:rsid w:val="0032583B"/>
    <w:rsid w:val="00327883"/>
    <w:rsid w:val="00335504"/>
    <w:rsid w:val="00340C18"/>
    <w:rsid w:val="00341D98"/>
    <w:rsid w:val="003442FD"/>
    <w:rsid w:val="00344743"/>
    <w:rsid w:val="0034615E"/>
    <w:rsid w:val="00347824"/>
    <w:rsid w:val="00347A2F"/>
    <w:rsid w:val="00350567"/>
    <w:rsid w:val="003521AE"/>
    <w:rsid w:val="003521E8"/>
    <w:rsid w:val="003526A2"/>
    <w:rsid w:val="0036377E"/>
    <w:rsid w:val="00370CE3"/>
    <w:rsid w:val="00370E16"/>
    <w:rsid w:val="003728F3"/>
    <w:rsid w:val="003735BC"/>
    <w:rsid w:val="0037496E"/>
    <w:rsid w:val="00383221"/>
    <w:rsid w:val="00386150"/>
    <w:rsid w:val="003874CE"/>
    <w:rsid w:val="00390900"/>
    <w:rsid w:val="003A402D"/>
    <w:rsid w:val="003A411F"/>
    <w:rsid w:val="003A7F6C"/>
    <w:rsid w:val="003B4D60"/>
    <w:rsid w:val="003B7E39"/>
    <w:rsid w:val="003C331A"/>
    <w:rsid w:val="003C4987"/>
    <w:rsid w:val="003C58DC"/>
    <w:rsid w:val="003D1E62"/>
    <w:rsid w:val="003E0B99"/>
    <w:rsid w:val="003E2486"/>
    <w:rsid w:val="003E3208"/>
    <w:rsid w:val="003F0049"/>
    <w:rsid w:val="003F0B04"/>
    <w:rsid w:val="0040134E"/>
    <w:rsid w:val="00405C8B"/>
    <w:rsid w:val="00416215"/>
    <w:rsid w:val="00423649"/>
    <w:rsid w:val="004334C7"/>
    <w:rsid w:val="00440A2D"/>
    <w:rsid w:val="00441C3F"/>
    <w:rsid w:val="00444D1A"/>
    <w:rsid w:val="0045186A"/>
    <w:rsid w:val="0045221A"/>
    <w:rsid w:val="004564A7"/>
    <w:rsid w:val="00456765"/>
    <w:rsid w:val="00457E2A"/>
    <w:rsid w:val="00460036"/>
    <w:rsid w:val="004617BF"/>
    <w:rsid w:val="00463658"/>
    <w:rsid w:val="004637A0"/>
    <w:rsid w:val="004722CC"/>
    <w:rsid w:val="00476578"/>
    <w:rsid w:val="0048403E"/>
    <w:rsid w:val="00490483"/>
    <w:rsid w:val="004936E4"/>
    <w:rsid w:val="00494E60"/>
    <w:rsid w:val="00496991"/>
    <w:rsid w:val="00497487"/>
    <w:rsid w:val="004A2771"/>
    <w:rsid w:val="004A6189"/>
    <w:rsid w:val="004A7390"/>
    <w:rsid w:val="004B7B76"/>
    <w:rsid w:val="004C235A"/>
    <w:rsid w:val="004C239D"/>
    <w:rsid w:val="004C2DCA"/>
    <w:rsid w:val="004C4FBE"/>
    <w:rsid w:val="004C61D2"/>
    <w:rsid w:val="004E3C0E"/>
    <w:rsid w:val="004F0C4A"/>
    <w:rsid w:val="004F0F38"/>
    <w:rsid w:val="004F24C5"/>
    <w:rsid w:val="004F47D6"/>
    <w:rsid w:val="00500337"/>
    <w:rsid w:val="00501921"/>
    <w:rsid w:val="005252B2"/>
    <w:rsid w:val="005302C3"/>
    <w:rsid w:val="00530354"/>
    <w:rsid w:val="0053625B"/>
    <w:rsid w:val="00537F4D"/>
    <w:rsid w:val="005434C6"/>
    <w:rsid w:val="00543B39"/>
    <w:rsid w:val="005460AF"/>
    <w:rsid w:val="00546154"/>
    <w:rsid w:val="00550096"/>
    <w:rsid w:val="00553082"/>
    <w:rsid w:val="00555280"/>
    <w:rsid w:val="00557FF9"/>
    <w:rsid w:val="005609F3"/>
    <w:rsid w:val="00562327"/>
    <w:rsid w:val="00563101"/>
    <w:rsid w:val="00570B64"/>
    <w:rsid w:val="005711D5"/>
    <w:rsid w:val="00576378"/>
    <w:rsid w:val="00576396"/>
    <w:rsid w:val="00577130"/>
    <w:rsid w:val="00577945"/>
    <w:rsid w:val="00577E38"/>
    <w:rsid w:val="00585322"/>
    <w:rsid w:val="005857C6"/>
    <w:rsid w:val="00592F6E"/>
    <w:rsid w:val="00593AD1"/>
    <w:rsid w:val="00596211"/>
    <w:rsid w:val="005A68B6"/>
    <w:rsid w:val="005C5570"/>
    <w:rsid w:val="005C5B66"/>
    <w:rsid w:val="005C79A4"/>
    <w:rsid w:val="005D34C2"/>
    <w:rsid w:val="005D5442"/>
    <w:rsid w:val="005E6F10"/>
    <w:rsid w:val="005F1707"/>
    <w:rsid w:val="005F61F0"/>
    <w:rsid w:val="005F7058"/>
    <w:rsid w:val="00603F32"/>
    <w:rsid w:val="00605698"/>
    <w:rsid w:val="00605AD4"/>
    <w:rsid w:val="00611290"/>
    <w:rsid w:val="006136D7"/>
    <w:rsid w:val="00613FF8"/>
    <w:rsid w:val="006221BC"/>
    <w:rsid w:val="006237BB"/>
    <w:rsid w:val="00624B64"/>
    <w:rsid w:val="00625A6E"/>
    <w:rsid w:val="00632398"/>
    <w:rsid w:val="00640FC3"/>
    <w:rsid w:val="00641033"/>
    <w:rsid w:val="00642020"/>
    <w:rsid w:val="006430EE"/>
    <w:rsid w:val="00647742"/>
    <w:rsid w:val="006510D9"/>
    <w:rsid w:val="00652CDE"/>
    <w:rsid w:val="0065337B"/>
    <w:rsid w:val="0065419D"/>
    <w:rsid w:val="006603BC"/>
    <w:rsid w:val="006604D8"/>
    <w:rsid w:val="006604DD"/>
    <w:rsid w:val="00664A5B"/>
    <w:rsid w:val="00666C97"/>
    <w:rsid w:val="0066735C"/>
    <w:rsid w:val="0067093F"/>
    <w:rsid w:val="006763D2"/>
    <w:rsid w:val="00680C08"/>
    <w:rsid w:val="00683A5C"/>
    <w:rsid w:val="006857B4"/>
    <w:rsid w:val="00690436"/>
    <w:rsid w:val="006916A0"/>
    <w:rsid w:val="006931B1"/>
    <w:rsid w:val="006A15C0"/>
    <w:rsid w:val="006A58A8"/>
    <w:rsid w:val="006C3E2A"/>
    <w:rsid w:val="006C642F"/>
    <w:rsid w:val="006C71D8"/>
    <w:rsid w:val="006D03E5"/>
    <w:rsid w:val="006D2E4C"/>
    <w:rsid w:val="006D5D3E"/>
    <w:rsid w:val="006D790D"/>
    <w:rsid w:val="006E08B3"/>
    <w:rsid w:val="006E443D"/>
    <w:rsid w:val="006F17AC"/>
    <w:rsid w:val="006F25B8"/>
    <w:rsid w:val="006F572E"/>
    <w:rsid w:val="006F5C93"/>
    <w:rsid w:val="007046D6"/>
    <w:rsid w:val="00705DB0"/>
    <w:rsid w:val="007174BD"/>
    <w:rsid w:val="00721037"/>
    <w:rsid w:val="00722B57"/>
    <w:rsid w:val="00730F8A"/>
    <w:rsid w:val="00735A8C"/>
    <w:rsid w:val="0074253D"/>
    <w:rsid w:val="00744121"/>
    <w:rsid w:val="0074429B"/>
    <w:rsid w:val="007615BC"/>
    <w:rsid w:val="00762F05"/>
    <w:rsid w:val="007652FF"/>
    <w:rsid w:val="00770CAC"/>
    <w:rsid w:val="00770EF1"/>
    <w:rsid w:val="00773EF7"/>
    <w:rsid w:val="00774E1D"/>
    <w:rsid w:val="007765D8"/>
    <w:rsid w:val="0077675A"/>
    <w:rsid w:val="00777FBC"/>
    <w:rsid w:val="00780355"/>
    <w:rsid w:val="007819FD"/>
    <w:rsid w:val="00785717"/>
    <w:rsid w:val="00785721"/>
    <w:rsid w:val="007868D7"/>
    <w:rsid w:val="00793A59"/>
    <w:rsid w:val="0079672A"/>
    <w:rsid w:val="007A46F5"/>
    <w:rsid w:val="007A6505"/>
    <w:rsid w:val="007B44A5"/>
    <w:rsid w:val="007B6132"/>
    <w:rsid w:val="007B6E9F"/>
    <w:rsid w:val="007C1216"/>
    <w:rsid w:val="007C1AF7"/>
    <w:rsid w:val="007C2E0B"/>
    <w:rsid w:val="007C6B9B"/>
    <w:rsid w:val="007D53B6"/>
    <w:rsid w:val="007E4FE1"/>
    <w:rsid w:val="007F1879"/>
    <w:rsid w:val="00805D27"/>
    <w:rsid w:val="00806DCB"/>
    <w:rsid w:val="00811CEE"/>
    <w:rsid w:val="00814C00"/>
    <w:rsid w:val="00821776"/>
    <w:rsid w:val="00825B6E"/>
    <w:rsid w:val="008321F5"/>
    <w:rsid w:val="00832369"/>
    <w:rsid w:val="00834660"/>
    <w:rsid w:val="00836BC2"/>
    <w:rsid w:val="0085121E"/>
    <w:rsid w:val="0085156D"/>
    <w:rsid w:val="00851C6F"/>
    <w:rsid w:val="00852B28"/>
    <w:rsid w:val="00854B51"/>
    <w:rsid w:val="00855426"/>
    <w:rsid w:val="0085641B"/>
    <w:rsid w:val="00857136"/>
    <w:rsid w:val="0086486E"/>
    <w:rsid w:val="00873F42"/>
    <w:rsid w:val="00875506"/>
    <w:rsid w:val="00875A6B"/>
    <w:rsid w:val="008811E3"/>
    <w:rsid w:val="00885599"/>
    <w:rsid w:val="00885B11"/>
    <w:rsid w:val="00886D15"/>
    <w:rsid w:val="00887DD8"/>
    <w:rsid w:val="00890DD9"/>
    <w:rsid w:val="00891BA9"/>
    <w:rsid w:val="00896018"/>
    <w:rsid w:val="008960DD"/>
    <w:rsid w:val="0089635C"/>
    <w:rsid w:val="008A248A"/>
    <w:rsid w:val="008A2B9D"/>
    <w:rsid w:val="008A3D9F"/>
    <w:rsid w:val="008A478E"/>
    <w:rsid w:val="008A521A"/>
    <w:rsid w:val="008A5DCA"/>
    <w:rsid w:val="008A5E0B"/>
    <w:rsid w:val="008A6D59"/>
    <w:rsid w:val="008B0EEA"/>
    <w:rsid w:val="008B4B03"/>
    <w:rsid w:val="008B596F"/>
    <w:rsid w:val="008C159F"/>
    <w:rsid w:val="008C1623"/>
    <w:rsid w:val="008C1850"/>
    <w:rsid w:val="008C3382"/>
    <w:rsid w:val="008C51A9"/>
    <w:rsid w:val="008D531C"/>
    <w:rsid w:val="008E7846"/>
    <w:rsid w:val="008F02E5"/>
    <w:rsid w:val="008F1CCC"/>
    <w:rsid w:val="008F2967"/>
    <w:rsid w:val="008F6943"/>
    <w:rsid w:val="00902A21"/>
    <w:rsid w:val="0091523F"/>
    <w:rsid w:val="00920330"/>
    <w:rsid w:val="00920E85"/>
    <w:rsid w:val="009219D7"/>
    <w:rsid w:val="00922D53"/>
    <w:rsid w:val="009236C2"/>
    <w:rsid w:val="00923B70"/>
    <w:rsid w:val="00924482"/>
    <w:rsid w:val="00930237"/>
    <w:rsid w:val="0093162F"/>
    <w:rsid w:val="00937C17"/>
    <w:rsid w:val="00940A89"/>
    <w:rsid w:val="00941F77"/>
    <w:rsid w:val="00945208"/>
    <w:rsid w:val="009467C2"/>
    <w:rsid w:val="00946EA5"/>
    <w:rsid w:val="00950E80"/>
    <w:rsid w:val="009570CE"/>
    <w:rsid w:val="00960520"/>
    <w:rsid w:val="00961D16"/>
    <w:rsid w:val="00963C08"/>
    <w:rsid w:val="00973209"/>
    <w:rsid w:val="009752A5"/>
    <w:rsid w:val="009775C4"/>
    <w:rsid w:val="009805CF"/>
    <w:rsid w:val="0098419C"/>
    <w:rsid w:val="0098585A"/>
    <w:rsid w:val="00985B44"/>
    <w:rsid w:val="0099246E"/>
    <w:rsid w:val="009978A2"/>
    <w:rsid w:val="009A4CED"/>
    <w:rsid w:val="009A690D"/>
    <w:rsid w:val="009B1D12"/>
    <w:rsid w:val="009B416B"/>
    <w:rsid w:val="009C02F2"/>
    <w:rsid w:val="009C45A3"/>
    <w:rsid w:val="009C4BD5"/>
    <w:rsid w:val="009D1F7B"/>
    <w:rsid w:val="009D7B77"/>
    <w:rsid w:val="009E0BB0"/>
    <w:rsid w:val="009E3FBB"/>
    <w:rsid w:val="009F7353"/>
    <w:rsid w:val="00A04F85"/>
    <w:rsid w:val="00A05FA4"/>
    <w:rsid w:val="00A07FAF"/>
    <w:rsid w:val="00A102E4"/>
    <w:rsid w:val="00A1219C"/>
    <w:rsid w:val="00A12C42"/>
    <w:rsid w:val="00A14DF7"/>
    <w:rsid w:val="00A204C2"/>
    <w:rsid w:val="00A22D57"/>
    <w:rsid w:val="00A246AA"/>
    <w:rsid w:val="00A3246D"/>
    <w:rsid w:val="00A35073"/>
    <w:rsid w:val="00A36F68"/>
    <w:rsid w:val="00A36FA7"/>
    <w:rsid w:val="00A43729"/>
    <w:rsid w:val="00A44DDB"/>
    <w:rsid w:val="00A475B7"/>
    <w:rsid w:val="00A47AF7"/>
    <w:rsid w:val="00A47C3E"/>
    <w:rsid w:val="00A50226"/>
    <w:rsid w:val="00A55DDC"/>
    <w:rsid w:val="00A60BAD"/>
    <w:rsid w:val="00A63200"/>
    <w:rsid w:val="00A64D46"/>
    <w:rsid w:val="00A65462"/>
    <w:rsid w:val="00A7527B"/>
    <w:rsid w:val="00A77F87"/>
    <w:rsid w:val="00A80B5B"/>
    <w:rsid w:val="00A84E36"/>
    <w:rsid w:val="00A86D2A"/>
    <w:rsid w:val="00A9012F"/>
    <w:rsid w:val="00A964D1"/>
    <w:rsid w:val="00AA0ED0"/>
    <w:rsid w:val="00AB3EF0"/>
    <w:rsid w:val="00AC2B40"/>
    <w:rsid w:val="00AC2BB2"/>
    <w:rsid w:val="00AC2C3C"/>
    <w:rsid w:val="00AC512D"/>
    <w:rsid w:val="00AC6F98"/>
    <w:rsid w:val="00AD0083"/>
    <w:rsid w:val="00AD3935"/>
    <w:rsid w:val="00AD6ABC"/>
    <w:rsid w:val="00AE38B2"/>
    <w:rsid w:val="00AE405D"/>
    <w:rsid w:val="00AE4633"/>
    <w:rsid w:val="00AE4F58"/>
    <w:rsid w:val="00AE599B"/>
    <w:rsid w:val="00AE65EB"/>
    <w:rsid w:val="00AE67A7"/>
    <w:rsid w:val="00AF1D94"/>
    <w:rsid w:val="00AF60C5"/>
    <w:rsid w:val="00AF6815"/>
    <w:rsid w:val="00B009C6"/>
    <w:rsid w:val="00B01548"/>
    <w:rsid w:val="00B130C5"/>
    <w:rsid w:val="00B13EBD"/>
    <w:rsid w:val="00B1559C"/>
    <w:rsid w:val="00B21D29"/>
    <w:rsid w:val="00B25034"/>
    <w:rsid w:val="00B27AE3"/>
    <w:rsid w:val="00B33588"/>
    <w:rsid w:val="00B33863"/>
    <w:rsid w:val="00B37D17"/>
    <w:rsid w:val="00B4175E"/>
    <w:rsid w:val="00B41C85"/>
    <w:rsid w:val="00B423AA"/>
    <w:rsid w:val="00B451E4"/>
    <w:rsid w:val="00B452CE"/>
    <w:rsid w:val="00B54BD3"/>
    <w:rsid w:val="00B54C25"/>
    <w:rsid w:val="00B70E5F"/>
    <w:rsid w:val="00B761D8"/>
    <w:rsid w:val="00B76B91"/>
    <w:rsid w:val="00B77EB1"/>
    <w:rsid w:val="00B80EDA"/>
    <w:rsid w:val="00B811C6"/>
    <w:rsid w:val="00B83541"/>
    <w:rsid w:val="00B8548B"/>
    <w:rsid w:val="00B855B0"/>
    <w:rsid w:val="00B92C43"/>
    <w:rsid w:val="00B92E08"/>
    <w:rsid w:val="00B933B9"/>
    <w:rsid w:val="00BA6D19"/>
    <w:rsid w:val="00BB0979"/>
    <w:rsid w:val="00BB0FD9"/>
    <w:rsid w:val="00BC027C"/>
    <w:rsid w:val="00BC622A"/>
    <w:rsid w:val="00BC7E06"/>
    <w:rsid w:val="00BD1F85"/>
    <w:rsid w:val="00BE0A78"/>
    <w:rsid w:val="00BE7722"/>
    <w:rsid w:val="00BE79F0"/>
    <w:rsid w:val="00BE7D77"/>
    <w:rsid w:val="00BF046D"/>
    <w:rsid w:val="00BF0B4A"/>
    <w:rsid w:val="00BF1190"/>
    <w:rsid w:val="00BF2614"/>
    <w:rsid w:val="00BF3774"/>
    <w:rsid w:val="00BF5D04"/>
    <w:rsid w:val="00C009AA"/>
    <w:rsid w:val="00C05180"/>
    <w:rsid w:val="00C1164D"/>
    <w:rsid w:val="00C16861"/>
    <w:rsid w:val="00C346AB"/>
    <w:rsid w:val="00C35A0F"/>
    <w:rsid w:val="00C404A6"/>
    <w:rsid w:val="00C40A36"/>
    <w:rsid w:val="00C44419"/>
    <w:rsid w:val="00C45B54"/>
    <w:rsid w:val="00C45E7B"/>
    <w:rsid w:val="00C46B27"/>
    <w:rsid w:val="00C471B1"/>
    <w:rsid w:val="00C5091E"/>
    <w:rsid w:val="00C525A2"/>
    <w:rsid w:val="00C5297C"/>
    <w:rsid w:val="00C52E24"/>
    <w:rsid w:val="00C6316B"/>
    <w:rsid w:val="00C634A9"/>
    <w:rsid w:val="00C64586"/>
    <w:rsid w:val="00C70A36"/>
    <w:rsid w:val="00C70D53"/>
    <w:rsid w:val="00C720E5"/>
    <w:rsid w:val="00C73561"/>
    <w:rsid w:val="00C73D0B"/>
    <w:rsid w:val="00C74F5C"/>
    <w:rsid w:val="00C75526"/>
    <w:rsid w:val="00C772FF"/>
    <w:rsid w:val="00C80137"/>
    <w:rsid w:val="00C801AF"/>
    <w:rsid w:val="00C80256"/>
    <w:rsid w:val="00C94CD4"/>
    <w:rsid w:val="00C9747E"/>
    <w:rsid w:val="00CB04FD"/>
    <w:rsid w:val="00CB2864"/>
    <w:rsid w:val="00CB450F"/>
    <w:rsid w:val="00CB6BC0"/>
    <w:rsid w:val="00CC1B7C"/>
    <w:rsid w:val="00CC727F"/>
    <w:rsid w:val="00CD7062"/>
    <w:rsid w:val="00CF15C3"/>
    <w:rsid w:val="00CF2B6F"/>
    <w:rsid w:val="00CF2F3E"/>
    <w:rsid w:val="00CF3791"/>
    <w:rsid w:val="00CF58B6"/>
    <w:rsid w:val="00CF5DAD"/>
    <w:rsid w:val="00D0062D"/>
    <w:rsid w:val="00D017ED"/>
    <w:rsid w:val="00D040D3"/>
    <w:rsid w:val="00D04C65"/>
    <w:rsid w:val="00D07EF4"/>
    <w:rsid w:val="00D14434"/>
    <w:rsid w:val="00D153D8"/>
    <w:rsid w:val="00D201D2"/>
    <w:rsid w:val="00D224FE"/>
    <w:rsid w:val="00D23139"/>
    <w:rsid w:val="00D37FA5"/>
    <w:rsid w:val="00D413A9"/>
    <w:rsid w:val="00D425BB"/>
    <w:rsid w:val="00D45114"/>
    <w:rsid w:val="00D453FA"/>
    <w:rsid w:val="00D5326E"/>
    <w:rsid w:val="00D60ED8"/>
    <w:rsid w:val="00D6493E"/>
    <w:rsid w:val="00D65251"/>
    <w:rsid w:val="00D7195D"/>
    <w:rsid w:val="00D7301E"/>
    <w:rsid w:val="00D833DC"/>
    <w:rsid w:val="00D83AE1"/>
    <w:rsid w:val="00D855D4"/>
    <w:rsid w:val="00D902C9"/>
    <w:rsid w:val="00D93466"/>
    <w:rsid w:val="00DA1124"/>
    <w:rsid w:val="00DA64CB"/>
    <w:rsid w:val="00DB06B8"/>
    <w:rsid w:val="00DB6124"/>
    <w:rsid w:val="00DB750B"/>
    <w:rsid w:val="00DB75B7"/>
    <w:rsid w:val="00DC0A2F"/>
    <w:rsid w:val="00DC1948"/>
    <w:rsid w:val="00DC60BC"/>
    <w:rsid w:val="00DC6E02"/>
    <w:rsid w:val="00DC740E"/>
    <w:rsid w:val="00DD0CD1"/>
    <w:rsid w:val="00DD28CD"/>
    <w:rsid w:val="00DE02AE"/>
    <w:rsid w:val="00DE39D1"/>
    <w:rsid w:val="00DF1D7F"/>
    <w:rsid w:val="00DF48EF"/>
    <w:rsid w:val="00DF4BE4"/>
    <w:rsid w:val="00E0067A"/>
    <w:rsid w:val="00E02382"/>
    <w:rsid w:val="00E02FB4"/>
    <w:rsid w:val="00E04628"/>
    <w:rsid w:val="00E13419"/>
    <w:rsid w:val="00E13FC7"/>
    <w:rsid w:val="00E20571"/>
    <w:rsid w:val="00E235F7"/>
    <w:rsid w:val="00E23659"/>
    <w:rsid w:val="00E239D4"/>
    <w:rsid w:val="00E242C3"/>
    <w:rsid w:val="00E25695"/>
    <w:rsid w:val="00E26130"/>
    <w:rsid w:val="00E264DF"/>
    <w:rsid w:val="00E321A8"/>
    <w:rsid w:val="00E33D42"/>
    <w:rsid w:val="00E35737"/>
    <w:rsid w:val="00E40B22"/>
    <w:rsid w:val="00E423B4"/>
    <w:rsid w:val="00E44ED1"/>
    <w:rsid w:val="00E45619"/>
    <w:rsid w:val="00E4588F"/>
    <w:rsid w:val="00E46DA3"/>
    <w:rsid w:val="00E51BB1"/>
    <w:rsid w:val="00E55CB0"/>
    <w:rsid w:val="00E624A5"/>
    <w:rsid w:val="00E62D57"/>
    <w:rsid w:val="00E64BA4"/>
    <w:rsid w:val="00E7344E"/>
    <w:rsid w:val="00E82665"/>
    <w:rsid w:val="00E917B0"/>
    <w:rsid w:val="00EA28EF"/>
    <w:rsid w:val="00EA7099"/>
    <w:rsid w:val="00EB0798"/>
    <w:rsid w:val="00EB40AD"/>
    <w:rsid w:val="00EB586E"/>
    <w:rsid w:val="00EB5FC8"/>
    <w:rsid w:val="00EC463D"/>
    <w:rsid w:val="00EC7A85"/>
    <w:rsid w:val="00ED2922"/>
    <w:rsid w:val="00ED31F7"/>
    <w:rsid w:val="00ED336E"/>
    <w:rsid w:val="00ED3CAD"/>
    <w:rsid w:val="00ED42D4"/>
    <w:rsid w:val="00ED5A41"/>
    <w:rsid w:val="00EE1DE8"/>
    <w:rsid w:val="00EE27C2"/>
    <w:rsid w:val="00EE7A1E"/>
    <w:rsid w:val="00EF3566"/>
    <w:rsid w:val="00EF4BAD"/>
    <w:rsid w:val="00EF59DC"/>
    <w:rsid w:val="00F0076F"/>
    <w:rsid w:val="00F033EC"/>
    <w:rsid w:val="00F04F68"/>
    <w:rsid w:val="00F10E2C"/>
    <w:rsid w:val="00F12670"/>
    <w:rsid w:val="00F14B27"/>
    <w:rsid w:val="00F3148D"/>
    <w:rsid w:val="00F325C5"/>
    <w:rsid w:val="00F32FE0"/>
    <w:rsid w:val="00F35298"/>
    <w:rsid w:val="00F35E5A"/>
    <w:rsid w:val="00F40137"/>
    <w:rsid w:val="00F43ACD"/>
    <w:rsid w:val="00F47333"/>
    <w:rsid w:val="00F47E37"/>
    <w:rsid w:val="00F53C07"/>
    <w:rsid w:val="00F54B65"/>
    <w:rsid w:val="00F57760"/>
    <w:rsid w:val="00F63DBF"/>
    <w:rsid w:val="00F640B6"/>
    <w:rsid w:val="00F66D16"/>
    <w:rsid w:val="00F66DF2"/>
    <w:rsid w:val="00F74904"/>
    <w:rsid w:val="00F757FF"/>
    <w:rsid w:val="00F806FD"/>
    <w:rsid w:val="00F80E40"/>
    <w:rsid w:val="00F847E4"/>
    <w:rsid w:val="00F848D9"/>
    <w:rsid w:val="00F93F70"/>
    <w:rsid w:val="00FA5069"/>
    <w:rsid w:val="00FA5B82"/>
    <w:rsid w:val="00FA639E"/>
    <w:rsid w:val="00FB369D"/>
    <w:rsid w:val="00FB39BC"/>
    <w:rsid w:val="00FB3F47"/>
    <w:rsid w:val="00FC1FCA"/>
    <w:rsid w:val="00FC25E4"/>
    <w:rsid w:val="00FC45E3"/>
    <w:rsid w:val="00FC4DF1"/>
    <w:rsid w:val="00FC4EF7"/>
    <w:rsid w:val="00FC63CA"/>
    <w:rsid w:val="00FC7942"/>
    <w:rsid w:val="00FD0824"/>
    <w:rsid w:val="00FD119B"/>
    <w:rsid w:val="00FD1EDC"/>
    <w:rsid w:val="00FE1DEE"/>
    <w:rsid w:val="00FE3467"/>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189DA437"/>
  <w15:docId w15:val="{93B574F1-6BD6-4CAF-A845-78882896C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lsdException w:name="footer" w:qFormat="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2"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D3935"/>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qFormat/>
    <w:rsid w:val="00AD0083"/>
    <w:pPr>
      <w:keepNext/>
      <w:spacing w:before="360" w:after="0" w:line="220" w:lineRule="atLeast"/>
      <w:outlineLvl w:val="3"/>
    </w:pPr>
    <w:rPr>
      <w:b/>
      <w:bCs/>
      <w:szCs w:val="21"/>
    </w:rPr>
  </w:style>
  <w:style w:type="paragraph" w:styleId="Heading5">
    <w:name w:val="heading 5"/>
    <w:basedOn w:val="Normal"/>
    <w:next w:val="Normal"/>
    <w:link w:val="Heading5Char"/>
    <w:uiPriority w:val="9"/>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qFormat/>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uiPriority w:val="9"/>
    <w:qFormat/>
    <w:rsid w:val="00770CAC"/>
    <w:pPr>
      <w:keepNext/>
      <w:spacing w:after="60" w:line="180" w:lineRule="atLeast"/>
      <w:outlineLvl w:val="6"/>
    </w:pPr>
    <w:rPr>
      <w:rFonts w:eastAsia="Times New Roman"/>
      <w:bCs/>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qFormat/>
    <w:rsid w:val="00F3148D"/>
    <w:pPr>
      <w:spacing w:after="0" w:line="240" w:lineRule="auto"/>
    </w:pPr>
    <w:rPr>
      <w:rFonts w:ascii="Arial" w:hAnsi="Arial"/>
      <w:noProof/>
      <w:sz w:val="14"/>
      <w:lang w:eastAsia="en-AU"/>
    </w:rPr>
  </w:style>
  <w:style w:type="paragraph" w:customStyle="1" w:styleId="AxisTitle">
    <w:name w:val="Axis Title"/>
    <w:basedOn w:val="Normal"/>
    <w:qFormat/>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qFormat/>
    <w:rsid w:val="001B5C90"/>
    <w:pPr>
      <w:keepNext/>
      <w:spacing w:line="220" w:lineRule="atLeast"/>
    </w:pPr>
    <w:rPr>
      <w:b/>
    </w:rPr>
  </w:style>
  <w:style w:type="character" w:customStyle="1" w:styleId="Heading4Char">
    <w:name w:val="Heading 4 Char"/>
    <w:basedOn w:val="DefaultParagraphFont"/>
    <w:link w:val="Heading4"/>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qFormat/>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57713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qFormat/>
    <w:rsid w:val="00F3148D"/>
    <w:rPr>
      <w:sz w:val="14"/>
    </w:rPr>
  </w:style>
  <w:style w:type="paragraph" w:customStyle="1" w:styleId="LegalCopy">
    <w:name w:val="Legal Copy"/>
    <w:basedOn w:val="Footer"/>
    <w:qFormat/>
    <w:rsid w:val="00F3148D"/>
  </w:style>
  <w:style w:type="paragraph" w:customStyle="1" w:styleId="LegalSubheading">
    <w:name w:val="Legal Subheading"/>
    <w:basedOn w:val="Footer"/>
    <w:qFormat/>
    <w:rsid w:val="00C74F5C"/>
    <w:pPr>
      <w:outlineLvl w:val="1"/>
    </w:pPr>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855426"/>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C74F5C"/>
    <w:pPr>
      <w:spacing w:before="240"/>
      <w:outlineLvl w:val="1"/>
    </w:pPr>
    <w:rPr>
      <w:rFonts w:ascii="Arial" w:hAnsi="Arial"/>
      <w:b/>
      <w:sz w:val="32"/>
    </w:rPr>
  </w:style>
  <w:style w:type="paragraph" w:customStyle="1" w:styleId="Notes">
    <w:name w:val="Notes"/>
    <w:basedOn w:val="Normal"/>
    <w:qFormat/>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4"/>
      </w:numPr>
    </w:pPr>
  </w:style>
  <w:style w:type="paragraph" w:customStyle="1" w:styleId="Numberbullet2">
    <w:name w:val="Number bullet 2"/>
    <w:basedOn w:val="ListBullet2"/>
    <w:uiPriority w:val="2"/>
    <w:qFormat/>
    <w:rsid w:val="004C2DCA"/>
    <w:pPr>
      <w:numPr>
        <w:numId w:val="4"/>
      </w:numPr>
    </w:pPr>
  </w:style>
  <w:style w:type="paragraph" w:customStyle="1" w:styleId="Numberbullet3">
    <w:name w:val="Number bullet 3"/>
    <w:basedOn w:val="ListBullet3"/>
    <w:uiPriority w:val="2"/>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00337"/>
    <w:pPr>
      <w:spacing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qFormat/>
    <w:rsid w:val="002E40B3"/>
    <w:pPr>
      <w:keepNext/>
    </w:pPr>
    <w:rPr>
      <w:b/>
    </w:rPr>
  </w:style>
  <w:style w:type="paragraph" w:customStyle="1" w:styleId="TGASignoff">
    <w:name w:val="TGA Signoff"/>
    <w:basedOn w:val="Normal"/>
    <w:qFormat/>
    <w:rsid w:val="00F3148D"/>
    <w:pPr>
      <w:jc w:val="center"/>
    </w:pPr>
    <w:rPr>
      <w:rFonts w:ascii="Arial" w:hAnsi="Arial"/>
      <w:b/>
      <w:sz w:val="28"/>
    </w:rPr>
  </w:style>
  <w:style w:type="paragraph" w:styleId="Title">
    <w:name w:val="Title"/>
    <w:next w:val="Normal"/>
    <w:link w:val="TitleChar"/>
    <w:uiPriority w:val="10"/>
    <w:rsid w:val="00C74F5C"/>
    <w:pPr>
      <w:spacing w:after="480" w:line="240" w:lineRule="auto"/>
      <w:contextualSpacing/>
      <w:outlineLvl w:val="0"/>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C74F5C"/>
    <w:rPr>
      <w:rFonts w:ascii="Arial" w:eastAsia="Times New Roman" w:hAnsi="Arial" w:cs="Times New Roman"/>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iPriority w:val="99"/>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uiPriority w:val="99"/>
    <w:rsid w:val="001B5C90"/>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uiPriority w:val="99"/>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unhideWhenUsed/>
    <w:rsid w:val="00EC463D"/>
    <w:rPr>
      <w:sz w:val="16"/>
      <w:szCs w:val="16"/>
    </w:rPr>
  </w:style>
  <w:style w:type="paragraph" w:styleId="CommentText">
    <w:name w:val="annotation text"/>
    <w:basedOn w:val="Normal"/>
    <w:link w:val="CommentTextChar"/>
    <w:uiPriority w:val="99"/>
    <w:unhideWhenUsed/>
    <w:rsid w:val="00EC463D"/>
    <w:pPr>
      <w:spacing w:line="240" w:lineRule="auto"/>
    </w:pPr>
    <w:rPr>
      <w:sz w:val="20"/>
      <w:szCs w:val="20"/>
    </w:rPr>
  </w:style>
  <w:style w:type="character" w:customStyle="1" w:styleId="CommentTextChar">
    <w:name w:val="Comment Text Char"/>
    <w:basedOn w:val="DefaultParagraphFont"/>
    <w:link w:val="CommentText"/>
    <w:uiPriority w:val="99"/>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character" w:customStyle="1" w:styleId="UnresolvedMention1">
    <w:name w:val="Unresolved Mention1"/>
    <w:basedOn w:val="DefaultParagraphFont"/>
    <w:uiPriority w:val="99"/>
    <w:semiHidden/>
    <w:unhideWhenUsed/>
    <w:rsid w:val="00FB369D"/>
    <w:rPr>
      <w:color w:val="605E5C"/>
      <w:shd w:val="clear" w:color="auto" w:fill="E1DFDD"/>
    </w:rPr>
  </w:style>
  <w:style w:type="paragraph" w:customStyle="1" w:styleId="FigureCaption">
    <w:name w:val="Figure Caption"/>
    <w:basedOn w:val="Normal"/>
    <w:qFormat/>
    <w:rsid w:val="00146C2C"/>
    <w:pPr>
      <w:adjustRightInd w:val="0"/>
      <w:snapToGrid w:val="0"/>
      <w:spacing w:before="180" w:after="180"/>
    </w:pPr>
    <w:rPr>
      <w:rFonts w:eastAsia="MS Mincho"/>
      <w:szCs w:val="20"/>
      <w:lang w:eastAsia="ja-JP"/>
    </w:rPr>
  </w:style>
  <w:style w:type="paragraph" w:customStyle="1" w:styleId="TableCaption">
    <w:name w:val="Table Caption"/>
    <w:basedOn w:val="FigureCaption"/>
    <w:qFormat/>
    <w:rsid w:val="00146C2C"/>
    <w:pPr>
      <w:spacing w:after="240"/>
    </w:pPr>
    <w:rPr>
      <w:sz w:val="17"/>
    </w:rPr>
  </w:style>
  <w:style w:type="table" w:customStyle="1" w:styleId="TableTGA2">
    <w:name w:val="Table TGA 2"/>
    <w:basedOn w:val="TableNormal"/>
    <w:uiPriority w:val="99"/>
    <w:rsid w:val="00146C2C"/>
    <w:pPr>
      <w:spacing w:before="60" w:after="0" w:line="240" w:lineRule="auto"/>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cantSplit/>
    </w:trPr>
    <w:tcPr>
      <w:shd w:val="clear" w:color="auto" w:fill="auto"/>
    </w:tcPr>
    <w:tblStylePr w:type="firstRow">
      <w:pPr>
        <w:wordWrap/>
        <w:spacing w:beforeLines="0" w:beforeAutospacing="0" w:afterLines="0" w:afterAutospacing="0"/>
      </w:pPr>
      <w:rPr>
        <w:rFonts w:ascii="Cambria" w:hAnsi="Cambria"/>
        <w:b/>
        <w:color w:val="FFFFFF"/>
        <w:sz w:val="22"/>
      </w:rPr>
      <w:tblPr/>
      <w:trPr>
        <w:tblHeader/>
      </w:trPr>
      <w:tcPr>
        <w:shd w:val="clear" w:color="auto" w:fill="000000"/>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Subject">
    <w:name w:val="Subject"/>
    <w:basedOn w:val="Normal"/>
    <w:qFormat/>
    <w:rsid w:val="00146C2C"/>
    <w:pPr>
      <w:adjustRightInd w:val="0"/>
      <w:snapToGrid w:val="0"/>
      <w:spacing w:before="180" w:after="180"/>
    </w:pPr>
    <w:rPr>
      <w:rFonts w:eastAsia="MS Mincho"/>
      <w:b/>
      <w:szCs w:val="20"/>
      <w:lang w:eastAsia="ja-JP"/>
    </w:rPr>
  </w:style>
  <w:style w:type="paragraph" w:customStyle="1" w:styleId="Addressee">
    <w:name w:val="Addressee"/>
    <w:basedOn w:val="Normal"/>
    <w:qFormat/>
    <w:rsid w:val="00146C2C"/>
    <w:pPr>
      <w:adjustRightInd w:val="0"/>
      <w:snapToGrid w:val="0"/>
      <w:spacing w:before="180" w:after="180"/>
    </w:pPr>
    <w:rPr>
      <w:rFonts w:eastAsia="MS Mincho"/>
      <w:szCs w:val="20"/>
      <w:lang w:eastAsia="ja-JP"/>
    </w:rPr>
  </w:style>
  <w:style w:type="character" w:customStyle="1" w:styleId="ABN">
    <w:name w:val="ABN"/>
    <w:basedOn w:val="DefaultParagraphFont"/>
    <w:uiPriority w:val="1"/>
    <w:qFormat/>
    <w:rsid w:val="00146C2C"/>
    <w:rPr>
      <w:rFonts w:ascii="Arial" w:hAnsi="Arial"/>
      <w:color w:val="002C47"/>
      <w:sz w:val="14"/>
    </w:rPr>
  </w:style>
  <w:style w:type="paragraph" w:customStyle="1" w:styleId="BodyCopy">
    <w:name w:val="Body Copy"/>
    <w:basedOn w:val="Normal"/>
    <w:qFormat/>
    <w:rsid w:val="00146C2C"/>
    <w:pPr>
      <w:adjustRightInd w:val="0"/>
      <w:snapToGrid w:val="0"/>
      <w:spacing w:before="180" w:after="180"/>
    </w:pPr>
    <w:rPr>
      <w:rFonts w:eastAsia="MS Mincho"/>
      <w:szCs w:val="20"/>
      <w:lang w:eastAsia="ja-JP"/>
    </w:rPr>
  </w:style>
  <w:style w:type="paragraph" w:styleId="ListParagraph">
    <w:name w:val="List Paragraph"/>
    <w:basedOn w:val="Normal"/>
    <w:uiPriority w:val="34"/>
    <w:qFormat/>
    <w:rsid w:val="00146C2C"/>
    <w:pPr>
      <w:adjustRightInd w:val="0"/>
      <w:snapToGrid w:val="0"/>
      <w:spacing w:before="180" w:after="180"/>
      <w:ind w:left="720"/>
      <w:contextualSpacing/>
    </w:pPr>
    <w:rPr>
      <w:rFonts w:eastAsia="MS Mincho"/>
      <w:szCs w:val="20"/>
      <w:lang w:eastAsia="ja-JP"/>
    </w:rPr>
  </w:style>
  <w:style w:type="paragraph" w:customStyle="1" w:styleId="Standard">
    <w:name w:val="Standard"/>
    <w:basedOn w:val="Normal"/>
    <w:link w:val="StandardChar"/>
    <w:qFormat/>
    <w:rsid w:val="00146C2C"/>
    <w:pPr>
      <w:spacing w:before="0" w:after="220" w:line="252" w:lineRule="auto"/>
    </w:pPr>
    <w:rPr>
      <w:rFonts w:eastAsia="Times New Roman"/>
      <w:snapToGrid w:val="0"/>
      <w:kern w:val="16"/>
      <w:sz w:val="23"/>
      <w:szCs w:val="24"/>
    </w:rPr>
  </w:style>
  <w:style w:type="character" w:customStyle="1" w:styleId="StandardChar">
    <w:name w:val="Standard Char"/>
    <w:basedOn w:val="DefaultParagraphFont"/>
    <w:link w:val="Standard"/>
    <w:rsid w:val="00146C2C"/>
    <w:rPr>
      <w:rFonts w:ascii="Cambria" w:eastAsia="Times New Roman" w:hAnsi="Cambria" w:cs="Times New Roman"/>
      <w:snapToGrid w:val="0"/>
      <w:kern w:val="16"/>
      <w:sz w:val="23"/>
      <w:szCs w:val="24"/>
    </w:rPr>
  </w:style>
  <w:style w:type="paragraph" w:customStyle="1" w:styleId="Bulletpoint">
    <w:name w:val="Bullet point"/>
    <w:basedOn w:val="Standard"/>
    <w:rsid w:val="00146C2C"/>
    <w:pPr>
      <w:numPr>
        <w:numId w:val="8"/>
      </w:numPr>
      <w:tabs>
        <w:tab w:val="clear" w:pos="369"/>
        <w:tab w:val="left" w:pos="397"/>
        <w:tab w:val="num" w:pos="511"/>
        <w:tab w:val="num" w:pos="926"/>
      </w:tabs>
      <w:spacing w:after="180"/>
      <w:ind w:left="0" w:firstLine="0"/>
    </w:pPr>
    <w:rPr>
      <w:sz w:val="22"/>
    </w:rPr>
  </w:style>
  <w:style w:type="paragraph" w:customStyle="1" w:styleId="PISubsection">
    <w:name w:val="PI Subsection"/>
    <w:basedOn w:val="Standard"/>
    <w:next w:val="Standard"/>
    <w:rsid w:val="00146C2C"/>
    <w:pPr>
      <w:keepNext/>
      <w:spacing w:after="120"/>
    </w:pPr>
    <w:rPr>
      <w:b/>
      <w:i/>
      <w:kern w:val="2"/>
      <w:sz w:val="22"/>
    </w:rPr>
  </w:style>
  <w:style w:type="table" w:customStyle="1" w:styleId="TableGrid1">
    <w:name w:val="Table Grid1"/>
    <w:basedOn w:val="TableNormal"/>
    <w:next w:val="TableGrid"/>
    <w:uiPriority w:val="59"/>
    <w:rsid w:val="00146C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older">
    <w:name w:val="holder"/>
    <w:basedOn w:val="DefaultParagraphFont"/>
    <w:rsid w:val="00146C2C"/>
  </w:style>
  <w:style w:type="character" w:customStyle="1" w:styleId="a-subtitle">
    <w:name w:val="a-subtitle"/>
    <w:basedOn w:val="DefaultParagraphFont"/>
    <w:rsid w:val="00146C2C"/>
  </w:style>
  <w:style w:type="character" w:customStyle="1" w:styleId="f-caption">
    <w:name w:val="f-caption"/>
    <w:basedOn w:val="DefaultParagraphFont"/>
    <w:rsid w:val="00146C2C"/>
  </w:style>
  <w:style w:type="paragraph" w:customStyle="1" w:styleId="f-body">
    <w:name w:val="f-body"/>
    <w:basedOn w:val="Normal"/>
    <w:rsid w:val="00146C2C"/>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Default">
    <w:name w:val="Default"/>
    <w:rsid w:val="00146C2C"/>
    <w:pPr>
      <w:autoSpaceDE w:val="0"/>
      <w:autoSpaceDN w:val="0"/>
      <w:adjustRightInd w:val="0"/>
      <w:spacing w:after="0" w:line="240" w:lineRule="auto"/>
    </w:pPr>
    <w:rPr>
      <w:rFonts w:ascii="Cambria" w:hAnsi="Cambria" w:cs="Cambria"/>
      <w:color w:val="000000"/>
      <w:sz w:val="24"/>
      <w:szCs w:val="24"/>
    </w:rPr>
  </w:style>
  <w:style w:type="paragraph" w:styleId="NormalWeb">
    <w:name w:val="Normal (Web)"/>
    <w:basedOn w:val="Normal"/>
    <w:unhideWhenUsed/>
    <w:rsid w:val="00146C2C"/>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UnresolvedMention10">
    <w:name w:val="Unresolved Mention1"/>
    <w:basedOn w:val="DefaultParagraphFont"/>
    <w:uiPriority w:val="99"/>
    <w:semiHidden/>
    <w:unhideWhenUsed/>
    <w:rsid w:val="00146C2C"/>
    <w:rPr>
      <w:color w:val="605E5C"/>
      <w:shd w:val="clear" w:color="auto" w:fill="E1DFDD"/>
    </w:rPr>
  </w:style>
  <w:style w:type="paragraph" w:customStyle="1" w:styleId="first-child">
    <w:name w:val="first-child"/>
    <w:basedOn w:val="Normal"/>
    <w:rsid w:val="00146C2C"/>
    <w:pPr>
      <w:spacing w:before="100" w:beforeAutospacing="1" w:after="100" w:afterAutospacing="1" w:line="240" w:lineRule="auto"/>
    </w:pPr>
    <w:rPr>
      <w:rFonts w:ascii="Times New Roman" w:eastAsia="Times New Roman" w:hAnsi="Times New Roman"/>
      <w:sz w:val="24"/>
      <w:szCs w:val="24"/>
      <w:lang w:eastAsia="en-AU"/>
    </w:rPr>
  </w:style>
  <w:style w:type="character" w:styleId="Emphasis">
    <w:name w:val="Emphasis"/>
    <w:basedOn w:val="DefaultParagraphFont"/>
    <w:uiPriority w:val="20"/>
    <w:qFormat/>
    <w:rsid w:val="00146C2C"/>
    <w:rPr>
      <w:i/>
      <w:iCs/>
    </w:rPr>
  </w:style>
  <w:style w:type="character" w:styleId="Strong">
    <w:name w:val="Strong"/>
    <w:basedOn w:val="DefaultParagraphFont"/>
    <w:uiPriority w:val="22"/>
    <w:qFormat/>
    <w:rsid w:val="00146C2C"/>
    <w:rPr>
      <w:b/>
      <w:bCs/>
    </w:rPr>
  </w:style>
  <w:style w:type="paragraph" w:styleId="NoSpacing">
    <w:name w:val="No Spacing"/>
    <w:uiPriority w:val="1"/>
    <w:qFormat/>
    <w:rsid w:val="00146C2C"/>
    <w:pPr>
      <w:spacing w:after="0" w:line="240" w:lineRule="auto"/>
    </w:pPr>
    <w:rPr>
      <w:rFonts w:ascii="Times New Roman" w:eastAsia="Times New Roman" w:hAnsi="Times New Roman" w:cs="Times New Roman"/>
      <w:sz w:val="24"/>
      <w:szCs w:val="24"/>
      <w:lang w:val="en-CA"/>
    </w:rPr>
  </w:style>
  <w:style w:type="paragraph" w:customStyle="1" w:styleId="BodytextAgency">
    <w:name w:val="Body text (Agency)"/>
    <w:basedOn w:val="Normal"/>
    <w:link w:val="BodytextAgencyChar"/>
    <w:qFormat/>
    <w:rsid w:val="00146C2C"/>
    <w:pPr>
      <w:spacing w:before="0" w:after="140" w:line="280" w:lineRule="atLeast"/>
    </w:pPr>
    <w:rPr>
      <w:rFonts w:ascii="Verdana" w:eastAsia="Verdana" w:hAnsi="Verdana" w:cs="Verdana"/>
      <w:sz w:val="18"/>
      <w:szCs w:val="18"/>
      <w:lang w:val="en-GB" w:eastAsia="en-GB"/>
    </w:rPr>
  </w:style>
  <w:style w:type="character" w:customStyle="1" w:styleId="BodytextAgencyChar">
    <w:name w:val="Body text (Agency) Char"/>
    <w:link w:val="BodytextAgency"/>
    <w:qFormat/>
    <w:locked/>
    <w:rsid w:val="00146C2C"/>
    <w:rPr>
      <w:rFonts w:ascii="Verdana" w:eastAsia="Verdana" w:hAnsi="Verdana" w:cs="Verdana"/>
      <w:sz w:val="18"/>
      <w:szCs w:val="18"/>
      <w:lang w:val="en-GB" w:eastAsia="en-GB"/>
    </w:rPr>
  </w:style>
  <w:style w:type="paragraph" w:customStyle="1" w:styleId="C-BodyText">
    <w:name w:val="C-Body Text"/>
    <w:link w:val="C-BodyTextChar"/>
    <w:rsid w:val="00146C2C"/>
    <w:pPr>
      <w:spacing w:before="120" w:after="120" w:line="280" w:lineRule="atLeast"/>
    </w:pPr>
    <w:rPr>
      <w:rFonts w:ascii="Times New Roman" w:eastAsia="Times New Roman" w:hAnsi="Times New Roman" w:cs="Times New Roman"/>
      <w:sz w:val="24"/>
      <w:szCs w:val="20"/>
      <w:lang w:val="en-US"/>
    </w:rPr>
  </w:style>
  <w:style w:type="paragraph" w:customStyle="1" w:styleId="C-Heading2">
    <w:name w:val="C-Heading 2"/>
    <w:next w:val="C-BodyText"/>
    <w:rsid w:val="00146C2C"/>
    <w:pPr>
      <w:keepNext/>
      <w:tabs>
        <w:tab w:val="num" w:pos="1080"/>
      </w:tabs>
      <w:spacing w:before="240" w:after="0" w:line="240" w:lineRule="auto"/>
      <w:ind w:left="1080" w:hanging="1080"/>
      <w:outlineLvl w:val="1"/>
    </w:pPr>
    <w:rPr>
      <w:rFonts w:ascii="Times New Roman" w:eastAsia="Times New Roman" w:hAnsi="Times New Roman" w:cs="Times New Roman"/>
      <w:b/>
      <w:szCs w:val="20"/>
      <w:lang w:val="en-US"/>
    </w:rPr>
  </w:style>
  <w:style w:type="character" w:customStyle="1" w:styleId="C-BodyTextChar">
    <w:name w:val="C-Body Text Char"/>
    <w:link w:val="C-BodyText"/>
    <w:rsid w:val="00146C2C"/>
    <w:rPr>
      <w:rFonts w:ascii="Times New Roman" w:eastAsia="Times New Roman" w:hAnsi="Times New Roman" w:cs="Times New Roman"/>
      <w:sz w:val="24"/>
      <w:szCs w:val="20"/>
      <w:lang w:val="en-US"/>
    </w:rPr>
  </w:style>
  <w:style w:type="paragraph" w:customStyle="1" w:styleId="TableheadingrowsAgency">
    <w:name w:val="Table heading rows (Agency)"/>
    <w:basedOn w:val="BodytextAgency"/>
    <w:rsid w:val="00146C2C"/>
    <w:pPr>
      <w:keepNext/>
    </w:pPr>
    <w:rPr>
      <w:rFonts w:eastAsia="Times New Roman"/>
      <w:b/>
    </w:rPr>
  </w:style>
  <w:style w:type="paragraph" w:customStyle="1" w:styleId="TabletextrowsAgency">
    <w:name w:val="Table text rows (Agency)"/>
    <w:basedOn w:val="Normal"/>
    <w:link w:val="TabletextrowsAgencyChar"/>
    <w:rsid w:val="00146C2C"/>
    <w:pPr>
      <w:spacing w:before="0" w:after="0" w:line="280" w:lineRule="exact"/>
    </w:pPr>
    <w:rPr>
      <w:rFonts w:ascii="Verdana" w:eastAsia="Times New Roman" w:hAnsi="Verdana" w:cs="Verdana"/>
      <w:sz w:val="18"/>
      <w:szCs w:val="18"/>
      <w:lang w:val="en-GB" w:eastAsia="zh-CN"/>
    </w:rPr>
  </w:style>
  <w:style w:type="character" w:customStyle="1" w:styleId="TabletextrowsAgencyChar">
    <w:name w:val="Table text rows (Agency) Char"/>
    <w:link w:val="TabletextrowsAgency"/>
    <w:rsid w:val="00146C2C"/>
    <w:rPr>
      <w:rFonts w:ascii="Verdana" w:eastAsia="Times New Roman" w:hAnsi="Verdana" w:cs="Verdana"/>
      <w:sz w:val="18"/>
      <w:szCs w:val="18"/>
      <w:lang w:val="en-GB" w:eastAsia="zh-CN"/>
    </w:rPr>
  </w:style>
  <w:style w:type="paragraph" w:styleId="TOC4">
    <w:name w:val="toc 4"/>
    <w:basedOn w:val="Normal"/>
    <w:next w:val="Normal"/>
    <w:autoRedefine/>
    <w:uiPriority w:val="39"/>
    <w:unhideWhenUsed/>
    <w:rsid w:val="00146C2C"/>
    <w:pPr>
      <w:spacing w:before="0" w:after="0"/>
      <w:ind w:left="440"/>
    </w:pPr>
    <w:rPr>
      <w:rFonts w:asciiTheme="minorHAnsi" w:hAnsiTheme="minorHAnsi"/>
      <w:sz w:val="20"/>
      <w:szCs w:val="20"/>
    </w:rPr>
  </w:style>
  <w:style w:type="paragraph" w:styleId="TOC5">
    <w:name w:val="toc 5"/>
    <w:basedOn w:val="Normal"/>
    <w:next w:val="Normal"/>
    <w:autoRedefine/>
    <w:uiPriority w:val="39"/>
    <w:unhideWhenUsed/>
    <w:rsid w:val="00146C2C"/>
    <w:pPr>
      <w:spacing w:before="0" w:after="0"/>
      <w:ind w:left="660"/>
    </w:pPr>
    <w:rPr>
      <w:rFonts w:asciiTheme="minorHAnsi" w:hAnsiTheme="minorHAnsi"/>
      <w:sz w:val="20"/>
      <w:szCs w:val="20"/>
    </w:rPr>
  </w:style>
  <w:style w:type="paragraph" w:styleId="TOC6">
    <w:name w:val="toc 6"/>
    <w:basedOn w:val="Normal"/>
    <w:next w:val="Normal"/>
    <w:autoRedefine/>
    <w:uiPriority w:val="39"/>
    <w:unhideWhenUsed/>
    <w:rsid w:val="00146C2C"/>
    <w:pPr>
      <w:spacing w:before="0" w:after="0"/>
      <w:ind w:left="880"/>
    </w:pPr>
    <w:rPr>
      <w:rFonts w:asciiTheme="minorHAnsi" w:hAnsiTheme="minorHAnsi"/>
      <w:sz w:val="20"/>
      <w:szCs w:val="20"/>
    </w:rPr>
  </w:style>
  <w:style w:type="paragraph" w:styleId="TOC7">
    <w:name w:val="toc 7"/>
    <w:basedOn w:val="Normal"/>
    <w:next w:val="Normal"/>
    <w:autoRedefine/>
    <w:uiPriority w:val="39"/>
    <w:unhideWhenUsed/>
    <w:rsid w:val="00146C2C"/>
    <w:pPr>
      <w:spacing w:before="0" w:after="0"/>
      <w:ind w:left="1100"/>
    </w:pPr>
    <w:rPr>
      <w:rFonts w:asciiTheme="minorHAnsi" w:hAnsiTheme="minorHAnsi"/>
      <w:sz w:val="20"/>
      <w:szCs w:val="20"/>
    </w:rPr>
  </w:style>
  <w:style w:type="paragraph" w:styleId="TOC8">
    <w:name w:val="toc 8"/>
    <w:basedOn w:val="Normal"/>
    <w:next w:val="Normal"/>
    <w:autoRedefine/>
    <w:uiPriority w:val="39"/>
    <w:unhideWhenUsed/>
    <w:rsid w:val="00146C2C"/>
    <w:pPr>
      <w:spacing w:before="0" w:after="0"/>
      <w:ind w:left="1320"/>
    </w:pPr>
    <w:rPr>
      <w:rFonts w:asciiTheme="minorHAnsi" w:hAnsiTheme="minorHAnsi"/>
      <w:sz w:val="20"/>
      <w:szCs w:val="20"/>
    </w:rPr>
  </w:style>
  <w:style w:type="paragraph" w:styleId="TOC9">
    <w:name w:val="toc 9"/>
    <w:basedOn w:val="Normal"/>
    <w:next w:val="Normal"/>
    <w:autoRedefine/>
    <w:uiPriority w:val="39"/>
    <w:unhideWhenUsed/>
    <w:rsid w:val="00146C2C"/>
    <w:pPr>
      <w:spacing w:before="0" w:after="0"/>
      <w:ind w:left="1540"/>
    </w:pPr>
    <w:rPr>
      <w:rFonts w:asciiTheme="minorHAnsi" w:hAnsiTheme="minorHAnsi"/>
      <w:sz w:val="20"/>
      <w:szCs w:val="20"/>
    </w:rPr>
  </w:style>
  <w:style w:type="paragraph" w:styleId="ListNumber">
    <w:name w:val="List Number"/>
    <w:basedOn w:val="ListParagraph"/>
    <w:unhideWhenUsed/>
    <w:rsid w:val="00146C2C"/>
    <w:pPr>
      <w:numPr>
        <w:numId w:val="23"/>
      </w:numPr>
      <w:adjustRightInd/>
      <w:snapToGrid/>
      <w:spacing w:before="0" w:after="120" w:line="240" w:lineRule="auto"/>
      <w:ind w:left="426" w:hanging="426"/>
    </w:pPr>
    <w:rPr>
      <w:rFonts w:asciiTheme="minorHAnsi" w:eastAsia="Times New Roman" w:hAnsiTheme="minorHAnsi"/>
      <w:b/>
      <w:szCs w:val="22"/>
      <w:lang w:eastAsia="en-AU"/>
    </w:rPr>
  </w:style>
  <w:style w:type="paragraph" w:customStyle="1" w:styleId="Bulletlist">
    <w:name w:val="Bullet list"/>
    <w:basedOn w:val="Standard"/>
    <w:link w:val="BulletlistChar"/>
    <w:qFormat/>
    <w:rsid w:val="00FC4DF1"/>
    <w:pPr>
      <w:numPr>
        <w:numId w:val="25"/>
      </w:numPr>
      <w:spacing w:after="180"/>
    </w:pPr>
    <w:rPr>
      <w:kern w:val="2"/>
    </w:rPr>
  </w:style>
  <w:style w:type="character" w:customStyle="1" w:styleId="BulletlistChar">
    <w:name w:val="Bullet list Char"/>
    <w:basedOn w:val="StandardChar"/>
    <w:link w:val="Bulletlist"/>
    <w:rsid w:val="00FC4DF1"/>
    <w:rPr>
      <w:rFonts w:ascii="Cambria" w:eastAsia="Times New Roman" w:hAnsi="Cambria" w:cs="Times New Roman"/>
      <w:snapToGrid w:val="0"/>
      <w:kern w:val="2"/>
      <w:sz w:val="23"/>
      <w:szCs w:val="24"/>
    </w:rPr>
  </w:style>
  <w:style w:type="character" w:customStyle="1" w:styleId="TabletextChar">
    <w:name w:val="Table text Char"/>
    <w:basedOn w:val="StandardChar"/>
    <w:link w:val="Tabletext"/>
    <w:rsid w:val="00FC4DF1"/>
    <w:rPr>
      <w:rFonts w:ascii="Cambria" w:eastAsia="Cambria" w:hAnsi="Cambria" w:cs="Times New Roman"/>
      <w:snapToGrid/>
      <w:kern w:val="16"/>
      <w:sz w:val="19"/>
      <w:szCs w:val="24"/>
    </w:rPr>
  </w:style>
  <w:style w:type="character" w:customStyle="1" w:styleId="UnresolvedMention2">
    <w:name w:val="Unresolved Mention2"/>
    <w:basedOn w:val="DefaultParagraphFont"/>
    <w:uiPriority w:val="99"/>
    <w:semiHidden/>
    <w:unhideWhenUsed/>
    <w:rsid w:val="00624B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9069890">
      <w:bodyDiv w:val="1"/>
      <w:marLeft w:val="0"/>
      <w:marRight w:val="0"/>
      <w:marTop w:val="0"/>
      <w:marBottom w:val="0"/>
      <w:divBdr>
        <w:top w:val="none" w:sz="0" w:space="0" w:color="auto"/>
        <w:left w:val="none" w:sz="0" w:space="0" w:color="auto"/>
        <w:bottom w:val="none" w:sz="0" w:space="0" w:color="auto"/>
        <w:right w:val="none" w:sz="0" w:space="0" w:color="auto"/>
      </w:divBdr>
    </w:div>
    <w:div w:id="624121552">
      <w:bodyDiv w:val="1"/>
      <w:marLeft w:val="0"/>
      <w:marRight w:val="0"/>
      <w:marTop w:val="0"/>
      <w:marBottom w:val="0"/>
      <w:divBdr>
        <w:top w:val="none" w:sz="0" w:space="0" w:color="auto"/>
        <w:left w:val="none" w:sz="0" w:space="0" w:color="auto"/>
        <w:bottom w:val="none" w:sz="0" w:space="0" w:color="auto"/>
        <w:right w:val="none" w:sz="0" w:space="0" w:color="auto"/>
      </w:divBdr>
    </w:div>
    <w:div w:id="690686076">
      <w:bodyDiv w:val="1"/>
      <w:marLeft w:val="0"/>
      <w:marRight w:val="0"/>
      <w:marTop w:val="0"/>
      <w:marBottom w:val="0"/>
      <w:divBdr>
        <w:top w:val="none" w:sz="0" w:space="0" w:color="auto"/>
        <w:left w:val="none" w:sz="0" w:space="0" w:color="auto"/>
        <w:bottom w:val="none" w:sz="0" w:space="0" w:color="auto"/>
        <w:right w:val="none" w:sz="0" w:space="0" w:color="auto"/>
      </w:divBdr>
    </w:div>
    <w:div w:id="1689402738">
      <w:bodyDiv w:val="1"/>
      <w:marLeft w:val="0"/>
      <w:marRight w:val="0"/>
      <w:marTop w:val="0"/>
      <w:marBottom w:val="0"/>
      <w:divBdr>
        <w:top w:val="none" w:sz="0" w:space="0" w:color="auto"/>
        <w:left w:val="none" w:sz="0" w:space="0" w:color="auto"/>
        <w:bottom w:val="none" w:sz="0" w:space="0" w:color="auto"/>
        <w:right w:val="none" w:sz="0" w:space="0" w:color="auto"/>
      </w:divBdr>
    </w:div>
    <w:div w:id="1907032886">
      <w:bodyDiv w:val="1"/>
      <w:marLeft w:val="0"/>
      <w:marRight w:val="0"/>
      <w:marTop w:val="0"/>
      <w:marBottom w:val="0"/>
      <w:divBdr>
        <w:top w:val="none" w:sz="0" w:space="0" w:color="auto"/>
        <w:left w:val="none" w:sz="0" w:space="0" w:color="auto"/>
        <w:bottom w:val="none" w:sz="0" w:space="0" w:color="auto"/>
        <w:right w:val="none" w:sz="0" w:space="0" w:color="auto"/>
      </w:divBdr>
    </w:div>
    <w:div w:id="2115705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9.emf"/><Relationship Id="rId39" Type="http://schemas.openxmlformats.org/officeDocument/2006/relationships/image" Target="media/image22.emf"/><Relationship Id="rId21" Type="http://schemas.openxmlformats.org/officeDocument/2006/relationships/image" Target="media/image4.png"/><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image" Target="media/image30.emf"/><Relationship Id="rId50" Type="http://schemas.openxmlformats.org/officeDocument/2006/relationships/image" Target="media/image33.png"/><Relationship Id="rId55" Type="http://schemas.openxmlformats.org/officeDocument/2006/relationships/image" Target="media/image38.emf"/><Relationship Id="rId63" Type="http://schemas.openxmlformats.org/officeDocument/2006/relationships/image" Target="media/image46.emf"/><Relationship Id="rId68" Type="http://schemas.openxmlformats.org/officeDocument/2006/relationships/image" Target="media/image51.png"/><Relationship Id="rId76" Type="http://schemas.openxmlformats.org/officeDocument/2006/relationships/header" Target="header5.xml"/><Relationship Id="rId84"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hyperlink" Target="https://www.tga.gov.au/product-information-pi" TargetMode="External"/><Relationship Id="rId29" Type="http://schemas.openxmlformats.org/officeDocument/2006/relationships/image" Target="media/image12.emf"/><Relationship Id="rId11" Type="http://schemas.openxmlformats.org/officeDocument/2006/relationships/header" Target="header2.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emf"/><Relationship Id="rId66" Type="http://schemas.openxmlformats.org/officeDocument/2006/relationships/image" Target="media/image49.png"/><Relationship Id="rId74" Type="http://schemas.openxmlformats.org/officeDocument/2006/relationships/hyperlink" Target="https://www.tga.gov.au/product-information-pi" TargetMode="External"/><Relationship Id="rId79" Type="http://schemas.openxmlformats.org/officeDocument/2006/relationships/hyperlink" Target="mailto:info@tga.gov.au"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emf"/><Relationship Id="rId82" Type="http://schemas.openxmlformats.org/officeDocument/2006/relationships/header" Target="header8.xml"/><Relationship Id="rId19" Type="http://schemas.openxmlformats.org/officeDocument/2006/relationships/hyperlink" Target="http://www.tga.gov.au/ws-labs-index" TargetMode="External"/><Relationship Id="rId4" Type="http://schemas.openxmlformats.org/officeDocument/2006/relationships/settings" Target="settings.xml"/><Relationship Id="rId9" Type="http://schemas.openxmlformats.org/officeDocument/2006/relationships/hyperlink" Target="mailto:tga.copyright@tga.gov.au" TargetMode="External"/><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emf"/><Relationship Id="rId30" Type="http://schemas.openxmlformats.org/officeDocument/2006/relationships/image" Target="media/image13.png"/><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header" Target="header6.xml"/><Relationship Id="rId8" Type="http://schemas.openxmlformats.org/officeDocument/2006/relationships/hyperlink" Target="https://www.tga.gov.au" TargetMode="Externa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hyperlink" Target="https://www.tga.gov.au" TargetMode="External"/><Relationship Id="rId85" Type="http://schemas.openxmlformats.org/officeDocument/2006/relationships/footer" Target="footer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emf"/><Relationship Id="rId20" Type="http://schemas.openxmlformats.org/officeDocument/2006/relationships/hyperlink" Target="http://www.tga.gov.au/industry/pm-argpm-guidance-7.htm" TargetMode="External"/><Relationship Id="rId41" Type="http://schemas.openxmlformats.org/officeDocument/2006/relationships/image" Target="media/image24.png"/><Relationship Id="rId54" Type="http://schemas.openxmlformats.org/officeDocument/2006/relationships/image" Target="media/image37.emf"/><Relationship Id="rId62" Type="http://schemas.openxmlformats.org/officeDocument/2006/relationships/image" Target="media/image45.png"/><Relationship Id="rId70" Type="http://schemas.openxmlformats.org/officeDocument/2006/relationships/image" Target="media/image53.emf"/><Relationship Id="rId75" Type="http://schemas.openxmlformats.org/officeDocument/2006/relationships/header" Target="header4.xml"/><Relationship Id="rId83"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emf"/><Relationship Id="rId49" Type="http://schemas.openxmlformats.org/officeDocument/2006/relationships/image" Target="media/image32.png"/><Relationship Id="rId57" Type="http://schemas.openxmlformats.org/officeDocument/2006/relationships/image" Target="media/image40.emf"/><Relationship Id="rId10" Type="http://schemas.openxmlformats.org/officeDocument/2006/relationships/header" Target="header1.xml"/><Relationship Id="rId31" Type="http://schemas.openxmlformats.org/officeDocument/2006/relationships/image" Target="media/image14.emf"/><Relationship Id="rId44" Type="http://schemas.openxmlformats.org/officeDocument/2006/relationships/image" Target="media/image27.png"/><Relationship Id="rId52" Type="http://schemas.openxmlformats.org/officeDocument/2006/relationships/image" Target="media/image35.emf"/><Relationship Id="rId60" Type="http://schemas.openxmlformats.org/officeDocument/2006/relationships/image" Target="media/image43.png"/><Relationship Id="rId65" Type="http://schemas.openxmlformats.org/officeDocument/2006/relationships/image" Target="media/image48.emf"/><Relationship Id="rId73" Type="http://schemas.openxmlformats.org/officeDocument/2006/relationships/image" Target="media/image56.png"/><Relationship Id="rId78" Type="http://schemas.openxmlformats.org/officeDocument/2006/relationships/footer" Target="footer4.xml"/><Relationship Id="rId81" Type="http://schemas.openxmlformats.org/officeDocument/2006/relationships/header" Target="header7.xm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tga.gov.au/auspar/auspar-ad26cov2s" TargetMode="External"/><Relationship Id="rId13" Type="http://schemas.openxmlformats.org/officeDocument/2006/relationships/hyperlink" Target="https://www.fda.gov/media/137926/download" TargetMode="External"/><Relationship Id="rId3" Type="http://schemas.openxmlformats.org/officeDocument/2006/relationships/hyperlink" Target="https://www.tga.gov.au/auspar/auspar-remdesivir" TargetMode="External"/><Relationship Id="rId7" Type="http://schemas.openxmlformats.org/officeDocument/2006/relationships/hyperlink" Target="https://www.tga.gov.au/auspar/auspar-chadox1-s" TargetMode="External"/><Relationship Id="rId12" Type="http://schemas.openxmlformats.org/officeDocument/2006/relationships/hyperlink" Target="https://www.ema.europa.eu/en/documents/scientific-guideline/guideline-immunogenicity-assessment-monoclonal-antibodies-intended-vivo-clinical-use_en.pdf" TargetMode="External"/><Relationship Id="rId2" Type="http://schemas.openxmlformats.org/officeDocument/2006/relationships/hyperlink" Target="https://www.who.int/director-general/speeches/detail/who-director-general-s-opening-remarks-at-the-media-briefing-on-covid-19---11-march-2020" TargetMode="External"/><Relationship Id="rId16" Type="http://schemas.openxmlformats.org/officeDocument/2006/relationships/hyperlink" Target="https://www.tga.gov.au/committee/advisory-committee-medicines-acm" TargetMode="External"/><Relationship Id="rId1" Type="http://schemas.openxmlformats.org/officeDocument/2006/relationships/hyperlink" Target="https://www.who.int/news/item/30-01-2020-statement-on-the-second-meeting-of-the-international-health-regulations-(2005)-emergency-committee-regarding-the-outbreak-of-novel-coronavirus-(2019-ncov)" TargetMode="External"/><Relationship Id="rId6" Type="http://schemas.openxmlformats.org/officeDocument/2006/relationships/hyperlink" Target="https://www.tga.gov.au/auspar/auspar-bnt162b2-mrna" TargetMode="External"/><Relationship Id="rId11" Type="http://schemas.openxmlformats.org/officeDocument/2006/relationships/hyperlink" Target="https://www.tga.gov.au/australia-canada-singapore-switzerland-united-kingdom-access-consortium" TargetMode="External"/><Relationship Id="rId5" Type="http://schemas.openxmlformats.org/officeDocument/2006/relationships/hyperlink" Target="https://www.tga.gov.au/auspar/auspar-bnt162b2-mrna-comirnaty" TargetMode="External"/><Relationship Id="rId15" Type="http://schemas.openxmlformats.org/officeDocument/2006/relationships/hyperlink" Target="https://www.fda.gov/media/150165/download" TargetMode="External"/><Relationship Id="rId10" Type="http://schemas.openxmlformats.org/officeDocument/2006/relationships/hyperlink" Target="https://www.tga.gov.au/auspar/auspar-elasomeran-0" TargetMode="External"/><Relationship Id="rId4" Type="http://schemas.openxmlformats.org/officeDocument/2006/relationships/hyperlink" Target="https://www.tga.gov.au/auspar/auspar-sotrovimab" TargetMode="External"/><Relationship Id="rId9" Type="http://schemas.openxmlformats.org/officeDocument/2006/relationships/hyperlink" Target="https://www.tga.gov.au/auspar/auspar-elasomeran" TargetMode="External"/><Relationship Id="rId14" Type="http://schemas.openxmlformats.org/officeDocument/2006/relationships/hyperlink" Target="https://www.regeneron.com/downloads/treatment-covid19-eua-fact-sheet-for-hcp.pdf"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8981C5-7D30-4F7E-B570-A832D3388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78</Pages>
  <Words>24832</Words>
  <Characters>141549</Characters>
  <Application>Microsoft Office Word</Application>
  <DocSecurity>0</DocSecurity>
  <Lines>1179</Lines>
  <Paragraphs>332</Paragraphs>
  <ScaleCrop>false</ScaleCrop>
  <HeadingPairs>
    <vt:vector size="2" baseType="variant">
      <vt:variant>
        <vt:lpstr>Title</vt:lpstr>
      </vt:variant>
      <vt:variant>
        <vt:i4>1</vt:i4>
      </vt:variant>
    </vt:vector>
  </HeadingPairs>
  <TitlesOfParts>
    <vt:vector size="1" baseType="lpstr">
      <vt:lpstr>Australian public assessment report for Casirivimab/imdevimab</vt:lpstr>
    </vt:vector>
  </TitlesOfParts>
  <Company>Department of Health Therapeutic Goods Administration</Company>
  <LinksUpToDate>false</LinksUpToDate>
  <CharactersWithSpaces>166049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Casirivimab/imdevimab</dc:title>
  <dc:subject>prescription medicines</dc:subject>
  <dc:creator>Therapeutic Goods Administration</dc:creator>
  <cp:keywords/>
  <cp:lastPrinted>2019-08-14T04:30:00Z</cp:lastPrinted>
  <dcterms:created xsi:type="dcterms:W3CDTF">2021-11-02T00:57:00Z</dcterms:created>
  <dcterms:modified xsi:type="dcterms:W3CDTF">2021-11-02T01:24:00Z</dcterms:modified>
  <cp:category/>
</cp:coreProperties>
</file>